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C76812" w14:textId="77EA50C0" w:rsidR="006D1F4A" w:rsidRPr="007D54E4" w:rsidRDefault="006D1F4A" w:rsidP="00E50BE7">
      <w:pPr>
        <w:rPr>
          <w:rFonts w:ascii="ITC Avant Garde" w:eastAsia="Calibri" w:hAnsi="ITC Avant Garde" w:cs="Times New Roman"/>
          <w:b/>
          <w:lang w:val="es-ES"/>
        </w:rPr>
      </w:pPr>
      <w:bookmarkStart w:id="0" w:name="_Toc323285056"/>
      <w:bookmarkStart w:id="1" w:name="_GoBack"/>
      <w:bookmarkEnd w:id="1"/>
      <w:r w:rsidRPr="007D54E4">
        <w:rPr>
          <w:rFonts w:ascii="ITC Avant Garde" w:eastAsia="Calibri" w:hAnsi="ITC Avant Garde" w:cs="Times New Roman"/>
          <w:b/>
          <w:lang w:val="es-ES"/>
        </w:rPr>
        <w:t xml:space="preserve">INFORME DE CONSIDERACIONES SOBRE LAS MANIFESTACIONES, OPINIONES, COMENTARIOS Y PROPUESTAS, PRESENTADOS DURANTE LA CONSULTA PÚBLICA SOBRE EL </w:t>
      </w:r>
      <w:r w:rsidRPr="007D54E4">
        <w:rPr>
          <w:rFonts w:ascii="ITC Avant Garde" w:eastAsia="Calibri" w:hAnsi="ITC Avant Garde" w:cs="Times New Roman"/>
          <w:b/>
          <w:i/>
          <w:lang w:val="es-ES"/>
        </w:rPr>
        <w:t>“MODELO DE COSTOS PARA DETERMINAR LAS TARIFAS DE ACCESO PARA LA DESAGREGACIÓN DEL BUCLE LOCAL DE FIBRA ÓPTICA DEL AGENTE ECONÓMICO PREPONDERANTE EN EL SECTOR DE LAS TELECOMUNICACIONES”</w:t>
      </w:r>
      <w:r w:rsidRPr="007D54E4">
        <w:rPr>
          <w:rFonts w:ascii="ITC Avant Garde" w:eastAsia="Calibri" w:hAnsi="ITC Avant Garde" w:cs="Times New Roman"/>
          <w:b/>
          <w:lang w:val="es-ES"/>
        </w:rPr>
        <w:t>.</w:t>
      </w:r>
    </w:p>
    <w:p w14:paraId="42C3DE1A" w14:textId="77777777" w:rsidR="006D1F4A" w:rsidRPr="007D54E4" w:rsidRDefault="006D1F4A" w:rsidP="006D1F4A">
      <w:pPr>
        <w:rPr>
          <w:rFonts w:ascii="ITC Avant Garde" w:eastAsiaTheme="majorEastAsia" w:hAnsi="ITC Avant Garde" w:cstheme="majorBidi"/>
          <w:b/>
          <w:lang w:val="es-ES"/>
        </w:rPr>
      </w:pPr>
      <w:r w:rsidRPr="007D54E4">
        <w:rPr>
          <w:rFonts w:ascii="ITC Avant Garde" w:eastAsiaTheme="majorEastAsia" w:hAnsi="ITC Avant Garde" w:cstheme="majorBidi"/>
          <w:b/>
          <w:lang w:val="es-ES"/>
        </w:rPr>
        <w:t>Fecha de elaboración:</w:t>
      </w:r>
    </w:p>
    <w:p w14:paraId="6F2C6C53" w14:textId="176D2C3C" w:rsidR="006D1F4A" w:rsidRPr="007D54E4" w:rsidRDefault="006D1F4A" w:rsidP="006D1F4A">
      <w:pPr>
        <w:rPr>
          <w:rFonts w:ascii="ITC Avant Garde" w:eastAsiaTheme="majorEastAsia" w:hAnsi="ITC Avant Garde" w:cstheme="majorBidi"/>
          <w:lang w:val="es-ES"/>
        </w:rPr>
      </w:pPr>
      <w:r w:rsidRPr="007D54E4">
        <w:rPr>
          <w:rFonts w:ascii="ITC Avant Garde" w:eastAsiaTheme="majorEastAsia" w:hAnsi="ITC Avant Garde" w:cstheme="majorBidi"/>
          <w:lang w:val="es-ES"/>
        </w:rPr>
        <w:t>15 de diciembre de 2016</w:t>
      </w:r>
    </w:p>
    <w:p w14:paraId="1644A70A" w14:textId="77777777" w:rsidR="006D1F4A" w:rsidRPr="007D54E4" w:rsidRDefault="006D1F4A" w:rsidP="006D1F4A">
      <w:pPr>
        <w:rPr>
          <w:rFonts w:ascii="ITC Avant Garde" w:eastAsiaTheme="majorEastAsia" w:hAnsi="ITC Avant Garde" w:cstheme="majorBidi"/>
          <w:b/>
          <w:lang w:val="es-ES"/>
        </w:rPr>
      </w:pPr>
      <w:r w:rsidRPr="007D54E4">
        <w:rPr>
          <w:rFonts w:ascii="ITC Avant Garde" w:eastAsiaTheme="majorEastAsia" w:hAnsi="ITC Avant Garde" w:cstheme="majorBidi"/>
          <w:b/>
          <w:lang w:val="es-ES"/>
        </w:rPr>
        <w:t>Título o denominación de la consulta pública:</w:t>
      </w:r>
    </w:p>
    <w:p w14:paraId="7E99862C" w14:textId="2556519C" w:rsidR="006D1F4A" w:rsidRPr="007D54E4" w:rsidRDefault="006D1F4A" w:rsidP="00E50BE7">
      <w:pPr>
        <w:rPr>
          <w:rFonts w:ascii="ITC Avant Garde" w:eastAsiaTheme="majorEastAsia" w:hAnsi="ITC Avant Garde" w:cstheme="majorBidi"/>
          <w:i/>
          <w:lang w:val="es-ES"/>
        </w:rPr>
      </w:pPr>
      <w:r w:rsidRPr="007D54E4">
        <w:rPr>
          <w:rFonts w:ascii="ITC Avant Garde" w:eastAsiaTheme="majorEastAsia" w:hAnsi="ITC Avant Garde" w:cstheme="majorBidi"/>
          <w:i/>
          <w:lang w:val="es-ES"/>
        </w:rPr>
        <w:t>“Modelo de Costos para determinar las tarifas de acceso para la desagregación del bucle local de fibra óptica del Agente Económico Preponderante en el sector de las telecomunicaciones”.</w:t>
      </w:r>
    </w:p>
    <w:p w14:paraId="5022C277" w14:textId="77777777" w:rsidR="006D1F4A" w:rsidRPr="007D54E4" w:rsidRDefault="006D1F4A" w:rsidP="006D1F4A">
      <w:pPr>
        <w:rPr>
          <w:rFonts w:ascii="ITC Avant Garde" w:eastAsiaTheme="majorEastAsia" w:hAnsi="ITC Avant Garde" w:cstheme="majorBidi"/>
          <w:b/>
          <w:lang w:val="es-ES"/>
        </w:rPr>
      </w:pPr>
      <w:r w:rsidRPr="007D54E4">
        <w:rPr>
          <w:rFonts w:ascii="ITC Avant Garde" w:eastAsiaTheme="majorEastAsia" w:hAnsi="ITC Avant Garde" w:cstheme="majorBidi"/>
          <w:b/>
          <w:lang w:val="es-ES"/>
        </w:rPr>
        <w:t>Descripción de la consulta pública:</w:t>
      </w:r>
    </w:p>
    <w:p w14:paraId="751E9E14" w14:textId="38C920C3" w:rsidR="007D54E4" w:rsidRPr="0091357A" w:rsidRDefault="008A3C50" w:rsidP="007D54E4">
      <w:pPr>
        <w:rPr>
          <w:rFonts w:ascii="ITC Avant Garde" w:hAnsi="ITC Avant Garde"/>
          <w:lang w:val="es-MX"/>
        </w:rPr>
      </w:pPr>
      <w:r w:rsidRPr="007D54E4">
        <w:rPr>
          <w:rFonts w:ascii="ITC Avant Garde" w:eastAsiaTheme="majorEastAsia" w:hAnsi="ITC Avant Garde" w:cstheme="majorBidi"/>
          <w:lang w:val="es-ES"/>
        </w:rPr>
        <w:t xml:space="preserve">Del 15 de </w:t>
      </w:r>
      <w:r w:rsidR="0096626C" w:rsidRPr="007D54E4">
        <w:rPr>
          <w:rFonts w:ascii="ITC Avant Garde" w:eastAsiaTheme="majorEastAsia" w:hAnsi="ITC Avant Garde" w:cstheme="majorBidi"/>
          <w:lang w:val="es-ES"/>
        </w:rPr>
        <w:t>septiembre</w:t>
      </w:r>
      <w:r w:rsidRPr="007D54E4">
        <w:rPr>
          <w:rFonts w:ascii="ITC Avant Garde" w:eastAsiaTheme="majorEastAsia" w:hAnsi="ITC Avant Garde" w:cstheme="majorBidi"/>
          <w:lang w:val="es-ES"/>
        </w:rPr>
        <w:t xml:space="preserve"> de 2016 al 13 de </w:t>
      </w:r>
      <w:r w:rsidR="0096626C" w:rsidRPr="007D54E4">
        <w:rPr>
          <w:rFonts w:ascii="ITC Avant Garde" w:eastAsiaTheme="majorEastAsia" w:hAnsi="ITC Avant Garde" w:cstheme="majorBidi"/>
          <w:lang w:val="es-ES"/>
        </w:rPr>
        <w:t>octubre</w:t>
      </w:r>
      <w:r w:rsidRPr="007D54E4">
        <w:rPr>
          <w:rFonts w:ascii="ITC Avant Garde" w:eastAsiaTheme="majorEastAsia" w:hAnsi="ITC Avant Garde" w:cstheme="majorBidi"/>
          <w:lang w:val="es-ES"/>
        </w:rPr>
        <w:t xml:space="preserve"> de 2016</w:t>
      </w:r>
      <w:r w:rsidR="006D1F4A" w:rsidRPr="007D54E4">
        <w:rPr>
          <w:rFonts w:ascii="ITC Avant Garde" w:eastAsiaTheme="majorEastAsia" w:hAnsi="ITC Avant Garde" w:cstheme="majorBidi"/>
          <w:lang w:val="es-ES"/>
        </w:rPr>
        <w:t>, el Instituto Federal de Telecomunicaciones (en lo sucesivo, “Instituto”) llevó a cabo el proceso de consulta pública de</w:t>
      </w:r>
      <w:r w:rsidRPr="007D54E4">
        <w:rPr>
          <w:rFonts w:ascii="ITC Avant Garde" w:eastAsiaTheme="majorEastAsia" w:hAnsi="ITC Avant Garde" w:cstheme="majorBidi"/>
          <w:lang w:val="es-ES"/>
        </w:rPr>
        <w:t xml:space="preserve">l </w:t>
      </w:r>
      <w:r w:rsidRPr="007D54E4">
        <w:rPr>
          <w:rFonts w:ascii="ITC Avant Garde" w:eastAsiaTheme="majorEastAsia" w:hAnsi="ITC Avant Garde" w:cstheme="majorBidi"/>
          <w:i/>
          <w:lang w:val="es-ES"/>
        </w:rPr>
        <w:t>“Modelo de Costos para determinar las tarifas de acceso para la desagregación del bucle local de fibra óptica del Agente Económico Preponderante en el sector de las telecomunicaciones”</w:t>
      </w:r>
      <w:r w:rsidRPr="007D54E4">
        <w:rPr>
          <w:rFonts w:ascii="ITC Avant Garde" w:eastAsia="Calibri" w:hAnsi="ITC Avant Garde" w:cs="Times New Roman"/>
          <w:lang w:val="es-ES"/>
        </w:rPr>
        <w:t>, desarrollado por el Instituto</w:t>
      </w:r>
      <w:r w:rsidR="007D54E4" w:rsidRPr="0091357A">
        <w:rPr>
          <w:rFonts w:ascii="ITC Avant Garde" w:hAnsi="ITC Avant Garde"/>
          <w:lang w:val="es-MX"/>
        </w:rPr>
        <w:t>.</w:t>
      </w:r>
    </w:p>
    <w:p w14:paraId="169551CC" w14:textId="4F15099D" w:rsidR="007D54E4" w:rsidRPr="007D54E4" w:rsidRDefault="007D54E4" w:rsidP="007D54E4">
      <w:pPr>
        <w:rPr>
          <w:rFonts w:ascii="ITC Avant Garde" w:eastAsiaTheme="majorEastAsia" w:hAnsi="ITC Avant Garde" w:cstheme="majorBidi"/>
          <w:lang w:val="es-MX"/>
        </w:rPr>
      </w:pPr>
      <w:r w:rsidRPr="007D54E4">
        <w:rPr>
          <w:rFonts w:ascii="ITC Avant Garde" w:hAnsi="ITC Avant Garde"/>
          <w:lang w:val="es-MX"/>
        </w:rPr>
        <w:t xml:space="preserve">El Instituto puso a disposición de los interesados los siguientes medios para recibir las participaciones: </w:t>
      </w:r>
      <w:r w:rsidRPr="007D54E4">
        <w:rPr>
          <w:rFonts w:ascii="ITC Avant Garde" w:eastAsiaTheme="majorEastAsia" w:hAnsi="ITC Avant Garde" w:cstheme="majorBidi"/>
          <w:lang w:val="es-MX"/>
        </w:rPr>
        <w:t xml:space="preserve">a través de la dirección de correo electrónico modelodecostos@ift.org.mx, o mediante escrito presentado en la Oficialía de Partes Común del Instituto ubicada en Insurgentes Sur 1143, colonia Nochebuena, Delegación Benito Juárez, C.P. 03720, Ciudad de México, de lunes a jueves de las 9:00 a las 18:30 horas y los viernes de las 9:00 a las 15:00 horas, así como el </w:t>
      </w:r>
      <w:r w:rsidRPr="007D54E4">
        <w:rPr>
          <w:rFonts w:ascii="ITC Avant Garde" w:eastAsiaTheme="majorEastAsia" w:hAnsi="ITC Avant Garde" w:cstheme="majorBidi"/>
          <w:i/>
          <w:lang w:val="es-MX"/>
        </w:rPr>
        <w:t>“Formato para participar en la Consulta Pública”</w:t>
      </w:r>
      <w:r w:rsidRPr="007D54E4">
        <w:rPr>
          <w:rFonts w:ascii="ITC Avant Garde" w:eastAsiaTheme="majorEastAsia" w:hAnsi="ITC Avant Garde" w:cstheme="majorBidi"/>
          <w:lang w:val="es-MX"/>
        </w:rPr>
        <w:t>.</w:t>
      </w:r>
    </w:p>
    <w:p w14:paraId="745F743E" w14:textId="31134F28" w:rsidR="006D1F4A" w:rsidRDefault="006D1F4A" w:rsidP="006D1F4A">
      <w:pPr>
        <w:rPr>
          <w:rFonts w:ascii="ITC Avant Garde" w:eastAsiaTheme="majorEastAsia" w:hAnsi="ITC Avant Garde" w:cstheme="majorBidi"/>
          <w:lang w:val="es-ES"/>
        </w:rPr>
      </w:pPr>
      <w:r w:rsidRPr="007D54E4">
        <w:rPr>
          <w:rFonts w:ascii="ITC Avant Garde" w:eastAsiaTheme="majorEastAsia" w:hAnsi="ITC Avant Garde" w:cstheme="majorBidi"/>
          <w:lang w:val="es-ES"/>
        </w:rPr>
        <w:t>La información que los interesados hicieron llegar al Instituto, de acuerdo a los plazos y términos descritos en esta mecánica, no tiene carácter vinculante, sin perjuicio de que el Instituto pueda ponderarla en un documento que refleje los resultados de dicha consulta, el cual se hará público en el apartado de la página de la consulta pública</w:t>
      </w:r>
      <w:r w:rsidRPr="007D54E4">
        <w:rPr>
          <w:rStyle w:val="Refdenotaalpie"/>
          <w:rFonts w:ascii="ITC Avant Garde" w:eastAsiaTheme="majorEastAsia" w:hAnsi="ITC Avant Garde" w:cstheme="majorBidi"/>
          <w:sz w:val="22"/>
          <w:lang w:val="es-ES"/>
        </w:rPr>
        <w:footnoteReference w:id="1"/>
      </w:r>
      <w:r w:rsidRPr="007D54E4">
        <w:rPr>
          <w:rFonts w:ascii="ITC Avant Garde" w:eastAsiaTheme="majorEastAsia" w:hAnsi="ITC Avant Garde" w:cstheme="majorBidi"/>
          <w:lang w:val="es-ES"/>
        </w:rPr>
        <w:t>.</w:t>
      </w:r>
    </w:p>
    <w:p w14:paraId="4CD077D0" w14:textId="4EC0BE13" w:rsidR="007D54E4" w:rsidRDefault="007D54E4" w:rsidP="006D1F4A">
      <w:pPr>
        <w:rPr>
          <w:rFonts w:ascii="ITC Avant Garde" w:eastAsiaTheme="majorEastAsia" w:hAnsi="ITC Avant Garde" w:cstheme="majorBidi"/>
          <w:lang w:val="es-ES"/>
        </w:rPr>
      </w:pPr>
    </w:p>
    <w:p w14:paraId="5348BD16" w14:textId="77777777" w:rsidR="007D54E4" w:rsidRPr="0091357A" w:rsidRDefault="007D54E4" w:rsidP="006D1F4A">
      <w:pPr>
        <w:rPr>
          <w:rFonts w:ascii="ITC Avant Garde" w:hAnsi="ITC Avant Garde"/>
          <w:lang w:val="es-MX"/>
        </w:rPr>
      </w:pPr>
    </w:p>
    <w:p w14:paraId="55B4E627" w14:textId="77777777" w:rsidR="007D54E4" w:rsidRPr="007D54E4" w:rsidRDefault="007D54E4" w:rsidP="007D54E4">
      <w:pPr>
        <w:rPr>
          <w:rFonts w:ascii="ITC Avant Garde" w:eastAsiaTheme="majorEastAsia" w:hAnsi="ITC Avant Garde" w:cstheme="majorBidi"/>
          <w:b/>
          <w:lang w:val="es-ES"/>
        </w:rPr>
      </w:pPr>
      <w:r w:rsidRPr="007D54E4">
        <w:rPr>
          <w:rFonts w:ascii="ITC Avant Garde" w:eastAsiaTheme="majorEastAsia" w:hAnsi="ITC Avant Garde" w:cstheme="majorBidi"/>
          <w:b/>
          <w:lang w:val="es-ES"/>
        </w:rPr>
        <w:lastRenderedPageBreak/>
        <w:t>Objetivo de la consulta pública:</w:t>
      </w:r>
    </w:p>
    <w:p w14:paraId="15B2598D" w14:textId="4A2A71D4" w:rsidR="007D54E4" w:rsidRPr="007D54E4" w:rsidRDefault="007D54E4" w:rsidP="007D54E4">
      <w:pPr>
        <w:rPr>
          <w:rFonts w:ascii="ITC Avant Garde" w:eastAsiaTheme="majorEastAsia" w:hAnsi="ITC Avant Garde" w:cstheme="majorBidi"/>
          <w:lang w:val="es-ES"/>
        </w:rPr>
      </w:pPr>
      <w:r w:rsidRPr="007D54E4">
        <w:rPr>
          <w:rFonts w:ascii="ITC Avant Garde" w:eastAsiaTheme="majorEastAsia" w:hAnsi="ITC Avant Garde" w:cstheme="majorBidi"/>
          <w:lang w:val="es-ES"/>
        </w:rPr>
        <w:t>El objetivo principal de la consulta pública consiste en recabar comentarios de la industria, especialistas en la materia y del público en general sobre el proceso de estimación de las tarifas de acceso para la desagregación del bucle local de fibra óptica del Agente Económico Preponderante, así como robustecer el análisis de la estructura, arquitectura, algoritmos y parámetros del Modelo de Costos desarrollado por el Instituto.</w:t>
      </w:r>
    </w:p>
    <w:p w14:paraId="28C72DA9" w14:textId="77777777" w:rsidR="007D54E4" w:rsidRPr="007D54E4" w:rsidRDefault="007D54E4" w:rsidP="007D54E4">
      <w:pPr>
        <w:rPr>
          <w:rFonts w:ascii="ITC Avant Garde" w:eastAsiaTheme="majorEastAsia" w:hAnsi="ITC Avant Garde" w:cstheme="majorBidi"/>
          <w:b/>
          <w:lang w:val="es-ES"/>
        </w:rPr>
      </w:pPr>
      <w:r w:rsidRPr="007D54E4">
        <w:rPr>
          <w:rFonts w:ascii="ITC Avant Garde" w:eastAsiaTheme="majorEastAsia" w:hAnsi="ITC Avant Garde" w:cstheme="majorBidi"/>
          <w:b/>
          <w:lang w:val="es-ES"/>
        </w:rPr>
        <w:t>Unidades y/o Coordinaciones Generales responsables de la consulta pública:</w:t>
      </w:r>
    </w:p>
    <w:p w14:paraId="7C2F7958" w14:textId="77777777" w:rsidR="007D54E4" w:rsidRPr="007D54E4" w:rsidRDefault="007D54E4" w:rsidP="007D54E4">
      <w:pPr>
        <w:rPr>
          <w:rFonts w:ascii="ITC Avant Garde" w:eastAsiaTheme="majorEastAsia" w:hAnsi="ITC Avant Garde" w:cstheme="majorBidi"/>
          <w:lang w:val="es-ES"/>
        </w:rPr>
      </w:pPr>
      <w:r w:rsidRPr="007D54E4">
        <w:rPr>
          <w:rFonts w:ascii="ITC Avant Garde" w:eastAsiaTheme="majorEastAsia" w:hAnsi="ITC Avant Garde" w:cstheme="majorBidi"/>
          <w:lang w:val="es-ES"/>
        </w:rPr>
        <w:t>Unidad Política Regulatoria</w:t>
      </w:r>
    </w:p>
    <w:p w14:paraId="03DFFB9D" w14:textId="77777777" w:rsidR="007D54E4" w:rsidRPr="007D54E4" w:rsidRDefault="007D54E4" w:rsidP="007D54E4">
      <w:pPr>
        <w:rPr>
          <w:rFonts w:ascii="ITC Avant Garde" w:eastAsiaTheme="majorEastAsia" w:hAnsi="ITC Avant Garde" w:cstheme="majorBidi"/>
          <w:b/>
          <w:lang w:val="es-ES"/>
        </w:rPr>
      </w:pPr>
      <w:r w:rsidRPr="007D54E4">
        <w:rPr>
          <w:rFonts w:ascii="ITC Avant Garde" w:eastAsiaTheme="majorEastAsia" w:hAnsi="ITC Avant Garde" w:cstheme="majorBidi"/>
          <w:b/>
          <w:lang w:val="es-ES"/>
        </w:rPr>
        <w:t>Descripción de los participantes en la consulta pública:</w:t>
      </w:r>
    </w:p>
    <w:p w14:paraId="42C470DB" w14:textId="508C242A" w:rsidR="007D54E4" w:rsidRPr="007D54E4" w:rsidRDefault="007D54E4" w:rsidP="007D54E4">
      <w:pPr>
        <w:rPr>
          <w:rFonts w:ascii="ITC Avant Garde" w:eastAsia="Calibri" w:hAnsi="ITC Avant Garde" w:cs="Times New Roman"/>
          <w:lang w:val="es-ES"/>
        </w:rPr>
      </w:pPr>
      <w:r w:rsidRPr="007D54E4">
        <w:rPr>
          <w:rFonts w:ascii="ITC Avant Garde" w:eastAsia="Calibri" w:hAnsi="ITC Avant Garde" w:cs="Times New Roman"/>
          <w:lang w:val="es-ES"/>
        </w:rPr>
        <w:t>Durante el periodo de la consulta pública de mérito se recibieron comentarios por parte de los siguientes concesionarios:</w:t>
      </w:r>
    </w:p>
    <w:p w14:paraId="4C17B151" w14:textId="77777777" w:rsidR="007D54E4" w:rsidRPr="007D54E4" w:rsidRDefault="007D54E4" w:rsidP="009C0D93">
      <w:pPr>
        <w:pStyle w:val="Prrafodelista"/>
        <w:numPr>
          <w:ilvl w:val="0"/>
          <w:numId w:val="10"/>
        </w:numPr>
        <w:spacing w:before="240" w:line="336" w:lineRule="auto"/>
        <w:rPr>
          <w:rFonts w:ascii="ITC Avant Garde" w:hAnsi="ITC Avant Garde"/>
        </w:rPr>
      </w:pPr>
      <w:r w:rsidRPr="007D54E4">
        <w:rPr>
          <w:rFonts w:ascii="ITC Avant Garde" w:hAnsi="ITC Avant Garde"/>
        </w:rPr>
        <w:t>Alberto Razo Meza, en representación de las empresas Alestra, S. de R.L. de C.V., Axtel, S.A.B. de C.V., Avantel, S. de R.L. de C.V. (conjuntamente, “Avantel/Alestra/Axtel”);</w:t>
      </w:r>
    </w:p>
    <w:p w14:paraId="43FA53DB" w14:textId="77777777" w:rsidR="007D54E4" w:rsidRPr="007D54E4" w:rsidRDefault="007D54E4" w:rsidP="009C0D93">
      <w:pPr>
        <w:pStyle w:val="Prrafodelista"/>
        <w:numPr>
          <w:ilvl w:val="0"/>
          <w:numId w:val="10"/>
        </w:numPr>
        <w:spacing w:before="240" w:line="336" w:lineRule="auto"/>
        <w:rPr>
          <w:rFonts w:ascii="ITC Avant Garde" w:hAnsi="ITC Avant Garde"/>
        </w:rPr>
      </w:pPr>
      <w:r w:rsidRPr="007D54E4">
        <w:rPr>
          <w:rFonts w:ascii="ITC Avant Garde" w:hAnsi="ITC Avant Garde"/>
        </w:rPr>
        <w:t>Cámara Nacional de la Industria Electrónica de Telecomunicaciones y Tecnologías de la Comunicación (“CANIETI”);</w:t>
      </w:r>
    </w:p>
    <w:p w14:paraId="756FD3D1" w14:textId="77777777" w:rsidR="007D54E4" w:rsidRPr="007D54E4" w:rsidRDefault="007D54E4" w:rsidP="009C0D93">
      <w:pPr>
        <w:pStyle w:val="Prrafodelista"/>
        <w:numPr>
          <w:ilvl w:val="0"/>
          <w:numId w:val="10"/>
        </w:numPr>
        <w:spacing w:before="240" w:line="336" w:lineRule="auto"/>
        <w:rPr>
          <w:rFonts w:ascii="ITC Avant Garde" w:hAnsi="ITC Avant Garde"/>
        </w:rPr>
      </w:pPr>
      <w:r w:rsidRPr="007D54E4">
        <w:rPr>
          <w:rFonts w:ascii="ITC Avant Garde" w:hAnsi="ITC Avant Garde"/>
        </w:rPr>
        <w:t>Ramón Olivares Chávez, en representación de Mega Cable, S.A. de C.V., (“Mega Cable”);</w:t>
      </w:r>
    </w:p>
    <w:p w14:paraId="5E1E0245" w14:textId="77777777" w:rsidR="007D54E4" w:rsidRPr="007D54E4" w:rsidRDefault="007D54E4" w:rsidP="009C0D93">
      <w:pPr>
        <w:pStyle w:val="Prrafodelista"/>
        <w:numPr>
          <w:ilvl w:val="0"/>
          <w:numId w:val="10"/>
        </w:numPr>
        <w:spacing w:before="240" w:line="336" w:lineRule="auto"/>
        <w:rPr>
          <w:rFonts w:ascii="ITC Avant Garde" w:hAnsi="ITC Avant Garde"/>
        </w:rPr>
      </w:pPr>
      <w:r w:rsidRPr="007D54E4">
        <w:rPr>
          <w:rFonts w:ascii="ITC Avant Garde" w:hAnsi="ITC Avant Garde"/>
        </w:rPr>
        <w:t>Yamil Habib Ortíz, en representación de las empresas Pegaso PCS, S.A. de C.V. y Grupo de Telecomunicaciones Mexicanas, S.A. de C.V., (conjuntamente “Telefónica”);</w:t>
      </w:r>
    </w:p>
    <w:p w14:paraId="4049E8F5" w14:textId="77777777" w:rsidR="007D54E4" w:rsidRPr="007D54E4" w:rsidRDefault="007D54E4" w:rsidP="009C0D93">
      <w:pPr>
        <w:pStyle w:val="Prrafodelista"/>
        <w:numPr>
          <w:ilvl w:val="0"/>
          <w:numId w:val="10"/>
        </w:numPr>
        <w:spacing w:before="240" w:line="336" w:lineRule="auto"/>
        <w:rPr>
          <w:rFonts w:ascii="ITC Avant Garde" w:hAnsi="ITC Avant Garde"/>
        </w:rPr>
      </w:pPr>
      <w:r w:rsidRPr="007D54E4">
        <w:rPr>
          <w:rFonts w:ascii="ITC Avant Garde" w:hAnsi="ITC Avant Garde"/>
        </w:rPr>
        <w:t>Gonzalo Martínez Pous, en representación de las empresas Operbes, S.A. de C.V., México Red de Telecomunicaciones, S. de R.L. de C.V. y Corporación de Radio y Televisión del Norte de México, S. de R.L. de C.V., (conjuntamente, “Televisa”); y</w:t>
      </w:r>
    </w:p>
    <w:p w14:paraId="6E7ADB50" w14:textId="77777777" w:rsidR="007D54E4" w:rsidRPr="007D54E4" w:rsidRDefault="007D54E4" w:rsidP="009C0D93">
      <w:pPr>
        <w:pStyle w:val="Prrafodelista"/>
        <w:numPr>
          <w:ilvl w:val="0"/>
          <w:numId w:val="10"/>
        </w:numPr>
        <w:spacing w:before="240" w:line="336" w:lineRule="auto"/>
        <w:rPr>
          <w:rFonts w:ascii="ITC Avant Garde" w:hAnsi="ITC Avant Garde"/>
        </w:rPr>
      </w:pPr>
      <w:r w:rsidRPr="007D54E4">
        <w:rPr>
          <w:rFonts w:ascii="ITC Avant Garde" w:hAnsi="ITC Avant Garde"/>
        </w:rPr>
        <w:t>Francisco Javier Islas Mancera, en representación de las empresas Teléfonos de México, S.A.B de C.V. y Teléfonos del Noroeste S.A. de C.V. (conjuntamente “Telmex”).</w:t>
      </w:r>
    </w:p>
    <w:p w14:paraId="7A3C83DF" w14:textId="77777777" w:rsidR="007D54E4" w:rsidRPr="007D54E4" w:rsidRDefault="007D54E4" w:rsidP="007D54E4">
      <w:pPr>
        <w:rPr>
          <w:rFonts w:ascii="ITC Avant Garde" w:hAnsi="ITC Avant Garde"/>
          <w:lang w:val="es-MX"/>
        </w:rPr>
      </w:pPr>
      <w:r w:rsidRPr="007D54E4">
        <w:rPr>
          <w:rFonts w:ascii="ITC Avant Garde" w:hAnsi="ITC Avant Garde"/>
          <w:lang w:val="es-MX"/>
        </w:rPr>
        <w:t>Adicionalmente, se recibieron participaciones individuales de quince personas</w:t>
      </w:r>
      <w:r w:rsidRPr="007D54E4">
        <w:rPr>
          <w:rFonts w:ascii="ITC Avant Garde" w:hAnsi="ITC Avant Garde"/>
          <w:vertAlign w:val="superscript"/>
        </w:rPr>
        <w:footnoteReference w:id="2"/>
      </w:r>
      <w:r w:rsidRPr="007D54E4">
        <w:rPr>
          <w:rFonts w:ascii="ITC Avant Garde" w:hAnsi="ITC Avant Garde"/>
          <w:lang w:val="es-MX"/>
        </w:rPr>
        <w:t xml:space="preserve">, las cuales se agruparon mediante ocho conjuntos de respuestas únicas, a las que </w:t>
      </w:r>
      <w:r w:rsidRPr="007D54E4">
        <w:rPr>
          <w:rFonts w:ascii="ITC Avant Garde" w:hAnsi="ITC Avant Garde"/>
          <w:lang w:val="es-MX"/>
        </w:rPr>
        <w:lastRenderedPageBreak/>
        <w:t>se les asoció una denominación abreviada para referirse a estas a lo largo del presente documento, como se indica a continuación:</w:t>
      </w:r>
    </w:p>
    <w:p w14:paraId="7E9BECEE" w14:textId="1AF9CEBE" w:rsidR="007D54E4" w:rsidRPr="007D54E4" w:rsidRDefault="007D54E4" w:rsidP="009C0D93">
      <w:pPr>
        <w:pStyle w:val="Prrafodelista"/>
        <w:numPr>
          <w:ilvl w:val="0"/>
          <w:numId w:val="10"/>
        </w:numPr>
        <w:spacing w:before="240" w:line="336" w:lineRule="auto"/>
        <w:rPr>
          <w:rFonts w:ascii="ITC Avant Garde" w:hAnsi="ITC Avant Garde"/>
          <w:lang w:val="es-MX"/>
        </w:rPr>
      </w:pPr>
      <w:r w:rsidRPr="007D54E4">
        <w:rPr>
          <w:rFonts w:ascii="ITC Avant Garde" w:hAnsi="ITC Avant Garde"/>
          <w:lang w:val="es-MX"/>
        </w:rPr>
        <w:t>Uziel Osvaldo Barrios González y Juan Carlos Gutiérrez Gabino (“</w:t>
      </w:r>
      <w:r w:rsidR="00EC2881">
        <w:rPr>
          <w:rFonts w:ascii="ITC Avant Garde" w:hAnsi="ITC Avant Garde"/>
          <w:lang w:val="es-MX"/>
        </w:rPr>
        <w:t>CC</w:t>
      </w:r>
      <w:r w:rsidRPr="007D54E4">
        <w:rPr>
          <w:rFonts w:ascii="ITC Avant Garde" w:hAnsi="ITC Avant Garde"/>
          <w:lang w:val="es-MX"/>
        </w:rPr>
        <w:t>. Barrios González, Gutiérrez Gabino y Pérez Pinto”);</w:t>
      </w:r>
    </w:p>
    <w:p w14:paraId="3EDD6E75" w14:textId="7C7D0FE8" w:rsidR="007D54E4" w:rsidRPr="007D54E4" w:rsidRDefault="007D54E4" w:rsidP="009C0D93">
      <w:pPr>
        <w:pStyle w:val="Prrafodelista"/>
        <w:numPr>
          <w:ilvl w:val="0"/>
          <w:numId w:val="10"/>
        </w:numPr>
        <w:spacing w:before="240" w:line="336" w:lineRule="auto"/>
        <w:rPr>
          <w:rFonts w:ascii="ITC Avant Garde" w:hAnsi="ITC Avant Garde"/>
          <w:lang w:val="es-MX"/>
        </w:rPr>
      </w:pPr>
      <w:r w:rsidRPr="007D54E4">
        <w:rPr>
          <w:rFonts w:ascii="ITC Avant Garde" w:hAnsi="ITC Avant Garde"/>
          <w:lang w:val="es-MX"/>
        </w:rPr>
        <w:t>Francisco Gaspar Briceño Moo (“</w:t>
      </w:r>
      <w:r w:rsidR="00EC2881">
        <w:rPr>
          <w:rFonts w:ascii="ITC Avant Garde" w:hAnsi="ITC Avant Garde"/>
          <w:lang w:val="es-MX"/>
        </w:rPr>
        <w:t>C</w:t>
      </w:r>
      <w:r w:rsidRPr="007D54E4">
        <w:rPr>
          <w:rFonts w:ascii="ITC Avant Garde" w:hAnsi="ITC Avant Garde"/>
          <w:lang w:val="es-MX"/>
        </w:rPr>
        <w:t>. Briceño Moo”);</w:t>
      </w:r>
    </w:p>
    <w:p w14:paraId="4FE34C0E" w14:textId="64D84305" w:rsidR="007D54E4" w:rsidRPr="007D54E4" w:rsidRDefault="007D54E4" w:rsidP="009C0D93">
      <w:pPr>
        <w:pStyle w:val="Prrafodelista"/>
        <w:numPr>
          <w:ilvl w:val="0"/>
          <w:numId w:val="10"/>
        </w:numPr>
        <w:spacing w:before="240" w:line="336" w:lineRule="auto"/>
        <w:rPr>
          <w:rFonts w:ascii="ITC Avant Garde" w:hAnsi="ITC Avant Garde"/>
          <w:lang w:val="es-MX"/>
        </w:rPr>
      </w:pPr>
      <w:r w:rsidRPr="007D54E4">
        <w:rPr>
          <w:rFonts w:ascii="ITC Avant Garde" w:hAnsi="ITC Avant Garde"/>
          <w:lang w:val="es-MX"/>
        </w:rPr>
        <w:t>José Ángel Chepe Campuzano y Román Sánchez Dávila (“</w:t>
      </w:r>
      <w:r w:rsidR="00EC2881">
        <w:rPr>
          <w:rFonts w:ascii="ITC Avant Garde" w:hAnsi="ITC Avant Garde"/>
          <w:lang w:val="es-MX"/>
        </w:rPr>
        <w:t>CC</w:t>
      </w:r>
      <w:r w:rsidRPr="007D54E4">
        <w:rPr>
          <w:rFonts w:ascii="ITC Avant Garde" w:hAnsi="ITC Avant Garde"/>
          <w:lang w:val="es-MX"/>
        </w:rPr>
        <w:t>. Chepe Campuzano y Sánchez Dávila”);</w:t>
      </w:r>
    </w:p>
    <w:p w14:paraId="5DE98ED9" w14:textId="57900DE0" w:rsidR="007D54E4" w:rsidRPr="007D54E4" w:rsidRDefault="007D54E4" w:rsidP="009C0D93">
      <w:pPr>
        <w:pStyle w:val="Prrafodelista"/>
        <w:numPr>
          <w:ilvl w:val="0"/>
          <w:numId w:val="10"/>
        </w:numPr>
        <w:spacing w:before="240" w:line="336" w:lineRule="auto"/>
        <w:rPr>
          <w:rFonts w:ascii="ITC Avant Garde" w:hAnsi="ITC Avant Garde"/>
          <w:lang w:val="es-MX"/>
        </w:rPr>
      </w:pPr>
      <w:r w:rsidRPr="007D54E4">
        <w:rPr>
          <w:rFonts w:ascii="ITC Avant Garde" w:hAnsi="ITC Avant Garde"/>
          <w:lang w:val="es-MX"/>
        </w:rPr>
        <w:t>Laura Viridiana González Bringas y Emmanuel Yammin Garibay Marín (“</w:t>
      </w:r>
      <w:r w:rsidR="00EC2881">
        <w:rPr>
          <w:rFonts w:ascii="ITC Avant Garde" w:hAnsi="ITC Avant Garde"/>
          <w:lang w:val="es-MX"/>
        </w:rPr>
        <w:t>CC</w:t>
      </w:r>
      <w:r w:rsidRPr="007D54E4">
        <w:rPr>
          <w:rFonts w:ascii="ITC Avant Garde" w:hAnsi="ITC Avant Garde"/>
          <w:lang w:val="es-MX"/>
        </w:rPr>
        <w:t>. González Bringas y Garibay Marín”);</w:t>
      </w:r>
    </w:p>
    <w:p w14:paraId="641A0BE6" w14:textId="4C713C44" w:rsidR="007D54E4" w:rsidRPr="007D54E4" w:rsidRDefault="007D54E4" w:rsidP="009C0D93">
      <w:pPr>
        <w:pStyle w:val="Prrafodelista"/>
        <w:numPr>
          <w:ilvl w:val="0"/>
          <w:numId w:val="10"/>
        </w:numPr>
        <w:spacing w:before="240" w:line="336" w:lineRule="auto"/>
        <w:rPr>
          <w:rFonts w:ascii="ITC Avant Garde" w:hAnsi="ITC Avant Garde"/>
        </w:rPr>
      </w:pPr>
      <w:r w:rsidRPr="007D54E4">
        <w:rPr>
          <w:rFonts w:ascii="ITC Avant Garde" w:hAnsi="ITC Avant Garde"/>
          <w:lang w:val="es-MX"/>
        </w:rPr>
        <w:t>Mara Fernanda Hernández Beltrán (“</w:t>
      </w:r>
      <w:r w:rsidR="00EC2881">
        <w:rPr>
          <w:rFonts w:ascii="ITC Avant Garde" w:hAnsi="ITC Avant Garde"/>
          <w:bCs/>
          <w:lang w:val="es-MX"/>
        </w:rPr>
        <w:t>C</w:t>
      </w:r>
      <w:r w:rsidRPr="007D54E4">
        <w:rPr>
          <w:rFonts w:ascii="ITC Avant Garde" w:hAnsi="ITC Avant Garde"/>
          <w:bCs/>
          <w:lang w:val="es-MX"/>
        </w:rPr>
        <w:t>. Hernández Beltrán”);</w:t>
      </w:r>
    </w:p>
    <w:p w14:paraId="56475410" w14:textId="2F21DA24" w:rsidR="007D54E4" w:rsidRPr="007D54E4" w:rsidRDefault="007D54E4" w:rsidP="009C0D93">
      <w:pPr>
        <w:pStyle w:val="Prrafodelista"/>
        <w:numPr>
          <w:ilvl w:val="0"/>
          <w:numId w:val="10"/>
        </w:numPr>
        <w:spacing w:before="240" w:line="336" w:lineRule="auto"/>
        <w:rPr>
          <w:rFonts w:ascii="ITC Avant Garde" w:hAnsi="ITC Avant Garde"/>
          <w:lang w:val="es-MX"/>
        </w:rPr>
      </w:pPr>
      <w:r w:rsidRPr="007D54E4">
        <w:rPr>
          <w:rFonts w:ascii="ITC Avant Garde" w:hAnsi="ITC Avant Garde"/>
          <w:lang w:val="es-MX"/>
        </w:rPr>
        <w:t>Carlos Perea Gómez (“</w:t>
      </w:r>
      <w:r w:rsidR="00EC2881">
        <w:rPr>
          <w:rFonts w:ascii="ITC Avant Garde" w:hAnsi="ITC Avant Garde"/>
          <w:lang w:val="es-MX"/>
        </w:rPr>
        <w:t>C</w:t>
      </w:r>
      <w:r w:rsidRPr="007D54E4">
        <w:rPr>
          <w:rFonts w:ascii="ITC Avant Garde" w:hAnsi="ITC Avant Garde"/>
          <w:lang w:val="es-MX"/>
        </w:rPr>
        <w:t>. Perea Gómez”);</w:t>
      </w:r>
    </w:p>
    <w:p w14:paraId="0970DE08" w14:textId="40BA5DF6" w:rsidR="007D54E4" w:rsidRPr="007D54E4" w:rsidRDefault="007D54E4" w:rsidP="009C0D93">
      <w:pPr>
        <w:pStyle w:val="Prrafodelista"/>
        <w:numPr>
          <w:ilvl w:val="0"/>
          <w:numId w:val="10"/>
        </w:numPr>
        <w:spacing w:before="240" w:line="336" w:lineRule="auto"/>
        <w:rPr>
          <w:rFonts w:ascii="ITC Avant Garde" w:hAnsi="ITC Avant Garde"/>
          <w:lang w:val="es-MX"/>
        </w:rPr>
      </w:pPr>
      <w:r w:rsidRPr="007D54E4">
        <w:rPr>
          <w:rFonts w:ascii="ITC Avant Garde" w:hAnsi="ITC Avant Garde"/>
          <w:lang w:val="es-MX"/>
        </w:rPr>
        <w:t>Sofía Isabel Sánchez Colín y Anel Domínguez Jardon; (“</w:t>
      </w:r>
      <w:r w:rsidR="00EC2881">
        <w:rPr>
          <w:rFonts w:ascii="ITC Avant Garde" w:hAnsi="ITC Avant Garde"/>
          <w:lang w:val="es-MX"/>
        </w:rPr>
        <w:t>CC</w:t>
      </w:r>
      <w:r w:rsidRPr="007D54E4">
        <w:rPr>
          <w:rFonts w:ascii="ITC Avant Garde" w:hAnsi="ITC Avant Garde"/>
          <w:lang w:val="es-MX"/>
        </w:rPr>
        <w:t>. Sánchez Colín, Domínguez Jardon y Velázquez Valdez”); y</w:t>
      </w:r>
    </w:p>
    <w:p w14:paraId="4A0281D1" w14:textId="48B379C3" w:rsidR="007D54E4" w:rsidRPr="007D54E4" w:rsidRDefault="007D54E4" w:rsidP="009C0D93">
      <w:pPr>
        <w:pStyle w:val="Prrafodelista"/>
        <w:numPr>
          <w:ilvl w:val="0"/>
          <w:numId w:val="10"/>
        </w:numPr>
        <w:spacing w:before="240" w:line="336" w:lineRule="auto"/>
        <w:rPr>
          <w:rFonts w:ascii="ITC Avant Garde" w:hAnsi="ITC Avant Garde"/>
          <w:lang w:val="es-MX"/>
        </w:rPr>
      </w:pPr>
      <w:r w:rsidRPr="007D54E4">
        <w:rPr>
          <w:rFonts w:ascii="ITC Avant Garde" w:hAnsi="ITC Avant Garde"/>
          <w:lang w:val="es-MX"/>
        </w:rPr>
        <w:t>Michele Vincen Quiroz y José Juan Mondragón Mora (“</w:t>
      </w:r>
      <w:r w:rsidR="00EC2881">
        <w:rPr>
          <w:rFonts w:ascii="ITC Avant Garde" w:hAnsi="ITC Avant Garde"/>
          <w:lang w:val="es-MX"/>
        </w:rPr>
        <w:t>CC</w:t>
      </w:r>
      <w:r w:rsidRPr="007D54E4">
        <w:rPr>
          <w:rFonts w:ascii="ITC Avant Garde" w:hAnsi="ITC Avant Garde"/>
          <w:lang w:val="es-MX"/>
        </w:rPr>
        <w:t>. Vincen Quiroz y Mondragón Mora”).</w:t>
      </w:r>
    </w:p>
    <w:p w14:paraId="6C9499CE" w14:textId="7FF446B7" w:rsidR="007D54E4" w:rsidRPr="0091357A" w:rsidRDefault="007D54E4" w:rsidP="007D54E4">
      <w:pPr>
        <w:rPr>
          <w:rStyle w:val="Hipervnculo"/>
          <w:rFonts w:ascii="ITC Avant Garde" w:hAnsi="ITC Avant Garde"/>
          <w:lang w:val="es-MX"/>
        </w:rPr>
      </w:pPr>
      <w:r w:rsidRPr="0091357A">
        <w:rPr>
          <w:rFonts w:ascii="ITC Avant Garde" w:hAnsi="ITC Avant Garde"/>
          <w:lang w:val="es-MX"/>
        </w:rPr>
        <w:t xml:space="preserve">Dichos comentarios se encuentran disponibles para su consulta en la página de Internet del Instituto </w:t>
      </w:r>
      <w:hyperlink r:id="rId11" w:history="1">
        <w:r w:rsidRPr="0091357A">
          <w:rPr>
            <w:rStyle w:val="Hipervnculo"/>
            <w:rFonts w:ascii="ITC Avant Garde" w:hAnsi="ITC Avant Garde"/>
            <w:lang w:val="es-MX"/>
          </w:rPr>
          <w:t>http://www.ift.org.mx/industria/consultas-publicas/consulta-publica-sobre-el-modelo-de-costos-para-determinar-las-tarifas-de-acceso-para-la</w:t>
        </w:r>
      </w:hyperlink>
      <w:r w:rsidRPr="0091357A">
        <w:rPr>
          <w:rStyle w:val="Hipervnculo"/>
          <w:rFonts w:ascii="ITC Avant Garde" w:hAnsi="ITC Avant Garde"/>
          <w:lang w:val="es-MX"/>
        </w:rPr>
        <w:t xml:space="preserve"> </w:t>
      </w:r>
    </w:p>
    <w:p w14:paraId="7B859394" w14:textId="014C84BB" w:rsidR="006D1F4A" w:rsidRPr="007D54E4" w:rsidRDefault="007D54E4" w:rsidP="00E50BE7">
      <w:pPr>
        <w:rPr>
          <w:rFonts w:ascii="ITC Avant Garde" w:eastAsia="Calibri" w:hAnsi="ITC Avant Garde" w:cs="Times New Roman"/>
          <w:lang w:val="es-ES"/>
        </w:rPr>
      </w:pPr>
      <w:r w:rsidRPr="007D54E4">
        <w:rPr>
          <w:rFonts w:ascii="ITC Avant Garde" w:eastAsia="Calibri" w:hAnsi="ITC Avant Garde" w:cs="Times New Roman"/>
          <w:b/>
          <w:lang w:val="es-ES"/>
        </w:rPr>
        <w:t>Respuestas o posicionamientos por parte del Instituto</w:t>
      </w:r>
    </w:p>
    <w:bookmarkEnd w:id="0"/>
    <w:p w14:paraId="6A37A3EF" w14:textId="600756E5" w:rsidR="001769CC" w:rsidRPr="007D54E4" w:rsidRDefault="001769CC" w:rsidP="001769CC">
      <w:pPr>
        <w:rPr>
          <w:rFonts w:ascii="ITC Avant Garde" w:eastAsia="Calibri" w:hAnsi="ITC Avant Garde"/>
          <w:lang w:val="es-MX"/>
        </w:rPr>
      </w:pPr>
      <w:r w:rsidRPr="007D54E4">
        <w:rPr>
          <w:rFonts w:ascii="ITC Avant Garde" w:eastAsia="Calibri" w:hAnsi="ITC Avant Garde"/>
          <w:lang w:val="es-MX"/>
        </w:rPr>
        <w:t xml:space="preserve">Lo contenido en la presentes Respuestas Generales atiende únicamente lo relacionado con las observaciones realizadas por los participantes en la Consulta Pública referente a los asuntos relacionados con el modelo de costo considerado. Se excluye por lo tanto los comentarios y respuestas asociadas a la Oferta de Referencia correspondiente, ya cubierto en Consultas Públicas anteriores. Asimismo, no se responde a comentarios, referencias y sugerencias explícitas a los cálculos del modelo, si bien se han tomado en cuenta, corrigiéndolos o modificándolos cuando se haya considerado pertinente. Finalmente, en los casos de comentarios </w:t>
      </w:r>
      <w:r w:rsidR="0091357A">
        <w:rPr>
          <w:rFonts w:ascii="ITC Avant Garde" w:eastAsia="Calibri" w:hAnsi="ITC Avant Garde"/>
          <w:lang w:val="es-MX"/>
        </w:rPr>
        <w:t>similares</w:t>
      </w:r>
      <w:r w:rsidR="0091357A" w:rsidRPr="007D54E4">
        <w:rPr>
          <w:rFonts w:ascii="ITC Avant Garde" w:eastAsia="Calibri" w:hAnsi="ITC Avant Garde"/>
          <w:lang w:val="es-MX"/>
        </w:rPr>
        <w:t xml:space="preserve"> </w:t>
      </w:r>
      <w:r w:rsidRPr="007D54E4">
        <w:rPr>
          <w:rFonts w:ascii="ITC Avant Garde" w:eastAsia="Calibri" w:hAnsi="ITC Avant Garde"/>
          <w:lang w:val="es-MX"/>
        </w:rPr>
        <w:t xml:space="preserve">efectuados por el mismo participante en más de una pregunta, se responde exclusivamente a la primera aparición con el fin de simplificar la respuesta sin restar detalle. </w:t>
      </w:r>
    </w:p>
    <w:p w14:paraId="58F977ED" w14:textId="02F7169D" w:rsidR="001769CC" w:rsidRPr="007D54E4" w:rsidRDefault="001769CC" w:rsidP="001769CC">
      <w:pPr>
        <w:pStyle w:val="Ttulo2"/>
        <w:rPr>
          <w:rFonts w:ascii="ITC Avant Garde" w:hAnsi="ITC Avant Garde"/>
          <w:sz w:val="22"/>
          <w:szCs w:val="22"/>
          <w:lang w:val="es-ES_tradnl"/>
        </w:rPr>
      </w:pPr>
      <w:r w:rsidRPr="007D54E4">
        <w:rPr>
          <w:rFonts w:ascii="ITC Avant Garde" w:hAnsi="ITC Avant Garde"/>
          <w:sz w:val="22"/>
          <w:szCs w:val="22"/>
          <w:lang w:val="es-ES_tradnl"/>
        </w:rPr>
        <w:t>Análisis de los comentarios de la consulta pública</w:t>
      </w:r>
    </w:p>
    <w:p w14:paraId="1A35A7F3" w14:textId="149D7792" w:rsidR="001769CC" w:rsidRPr="007D54E4" w:rsidRDefault="001769CC" w:rsidP="001769CC">
      <w:pPr>
        <w:rPr>
          <w:rFonts w:ascii="ITC Avant Garde" w:hAnsi="ITC Avant Garde"/>
          <w:lang w:val="es-ES_tradnl"/>
        </w:rPr>
      </w:pPr>
      <w:r w:rsidRPr="007D54E4">
        <w:rPr>
          <w:rFonts w:ascii="ITC Avant Garde" w:hAnsi="ITC Avant Garde"/>
          <w:lang w:val="es-MX"/>
        </w:rPr>
        <w:t>A lo largo de esta sección se presentan tanto los comentarios de los participantes como el análisis y respuesta del Instituto a l</w:t>
      </w:r>
      <w:r w:rsidR="0091357A">
        <w:rPr>
          <w:rFonts w:ascii="ITC Avant Garde" w:hAnsi="ITC Avant Garde"/>
          <w:lang w:val="es-MX"/>
        </w:rPr>
        <w:t>o</w:t>
      </w:r>
      <w:r w:rsidRPr="007D54E4">
        <w:rPr>
          <w:rFonts w:ascii="ITC Avant Garde" w:hAnsi="ITC Avant Garde"/>
          <w:lang w:val="es-MX"/>
        </w:rPr>
        <w:t xml:space="preserve">s mismas. En este sentido, para facilitar su desarrollo, el contenido en cuestión se ha organizado siguiendo las preguntas </w:t>
      </w:r>
      <w:r w:rsidRPr="007D54E4">
        <w:rPr>
          <w:rFonts w:ascii="ITC Avant Garde" w:hAnsi="ITC Avant Garde"/>
          <w:lang w:val="es-MX"/>
        </w:rPr>
        <w:lastRenderedPageBreak/>
        <w:t>formuladas en el documento de consulta</w:t>
      </w:r>
      <w:r w:rsidRPr="007D54E4">
        <w:rPr>
          <w:rStyle w:val="Refdenotaalpie"/>
          <w:rFonts w:ascii="ITC Avant Garde" w:hAnsi="ITC Avant Garde"/>
          <w:sz w:val="22"/>
          <w:lang w:val="es-MX"/>
        </w:rPr>
        <w:footnoteReference w:id="3"/>
      </w:r>
      <w:r w:rsidRPr="007D54E4">
        <w:rPr>
          <w:rFonts w:ascii="ITC Avant Garde" w:hAnsi="ITC Avant Garde"/>
          <w:lang w:val="es-MX"/>
        </w:rPr>
        <w:t>, en el entendido de que los comentarios re</w:t>
      </w:r>
      <w:r w:rsidR="00C5502C" w:rsidRPr="007D54E4">
        <w:rPr>
          <w:rFonts w:ascii="ITC Avant Garde" w:hAnsi="ITC Avant Garde"/>
          <w:lang w:val="es-MX"/>
        </w:rPr>
        <w:t xml:space="preserve">alizados por los participantes </w:t>
      </w:r>
      <w:r w:rsidRPr="007D54E4">
        <w:rPr>
          <w:rFonts w:ascii="ITC Avant Garde" w:hAnsi="ITC Avant Garde"/>
          <w:lang w:val="es-MX"/>
        </w:rPr>
        <w:t>relativos a temas no considerados bajo la estructura de dicho documento, se han sido incluido</w:t>
      </w:r>
      <w:r w:rsidR="00C5502C" w:rsidRPr="007D54E4">
        <w:rPr>
          <w:rFonts w:ascii="ITC Avant Garde" w:hAnsi="ITC Avant Garde"/>
          <w:lang w:val="es-MX"/>
        </w:rPr>
        <w:t>,</w:t>
      </w:r>
      <w:r w:rsidRPr="007D54E4">
        <w:rPr>
          <w:rFonts w:ascii="ITC Avant Garde" w:hAnsi="ITC Avant Garde"/>
          <w:lang w:val="es-MX"/>
        </w:rPr>
        <w:t xml:space="preserve"> </w:t>
      </w:r>
      <w:r w:rsidR="00C5502C" w:rsidRPr="007D54E4">
        <w:rPr>
          <w:rFonts w:ascii="ITC Avant Garde" w:hAnsi="ITC Avant Garde"/>
          <w:lang w:val="es-MX"/>
        </w:rPr>
        <w:t xml:space="preserve">según la temática correspondiente, </w:t>
      </w:r>
      <w:r w:rsidRPr="007D54E4">
        <w:rPr>
          <w:rFonts w:ascii="ITC Avant Garde" w:hAnsi="ITC Avant Garde"/>
          <w:lang w:val="es-MX"/>
        </w:rPr>
        <w:t>en las siguientes subsecciones.</w:t>
      </w:r>
    </w:p>
    <w:p w14:paraId="19A131D7" w14:textId="74053104" w:rsidR="004C3DB8" w:rsidRPr="007D54E4" w:rsidRDefault="001769CC" w:rsidP="001769CC">
      <w:pPr>
        <w:pStyle w:val="Ttulo3"/>
        <w:rPr>
          <w:rFonts w:ascii="ITC Avant Garde" w:hAnsi="ITC Avant Garde"/>
          <w:lang w:val="es-ES_tradnl"/>
        </w:rPr>
      </w:pPr>
      <w:r w:rsidRPr="007D54E4">
        <w:rPr>
          <w:rFonts w:ascii="ITC Avant Garde" w:hAnsi="ITC Avant Garde"/>
          <w:lang w:val="es-ES_tradnl"/>
        </w:rPr>
        <w:t>¿Considera adecuados los servicios costeados en el modelo de acceso a la fibra del AEP?</w:t>
      </w:r>
    </w:p>
    <w:p w14:paraId="5908C64A" w14:textId="77777777" w:rsidR="001769CC" w:rsidRPr="007D54E4" w:rsidRDefault="001769CC" w:rsidP="002E6E4C">
      <w:pPr>
        <w:pStyle w:val="Ttulo3"/>
        <w:numPr>
          <w:ilvl w:val="0"/>
          <w:numId w:val="0"/>
        </w:numPr>
        <w:rPr>
          <w:rFonts w:ascii="ITC Avant Garde" w:eastAsiaTheme="minorHAnsi" w:hAnsi="ITC Avant Garde" w:cstheme="minorBidi"/>
          <w:b w:val="0"/>
          <w:i/>
          <w:u w:val="single"/>
          <w:lang w:val="es-ES_tradnl"/>
        </w:rPr>
      </w:pPr>
      <w:r w:rsidRPr="007D54E4">
        <w:rPr>
          <w:rFonts w:ascii="ITC Avant Garde" w:eastAsiaTheme="minorHAnsi" w:hAnsi="ITC Avant Garde" w:cstheme="minorBidi"/>
          <w:b w:val="0"/>
          <w:i/>
          <w:u w:val="single"/>
          <w:lang w:val="es-ES_tradnl"/>
        </w:rPr>
        <w:t>Resumen de comentarios de la Consulta Pública</w:t>
      </w:r>
    </w:p>
    <w:p w14:paraId="40ABFC52" w14:textId="703CFA23" w:rsidR="001769CC" w:rsidRPr="009C0D93" w:rsidRDefault="001769CC" w:rsidP="001769CC">
      <w:pPr>
        <w:rPr>
          <w:rFonts w:ascii="ITC Avant Garde" w:hAnsi="ITC Avant Garde"/>
          <w:lang w:val="es-MX"/>
        </w:rPr>
      </w:pPr>
      <w:r w:rsidRPr="009C0D93">
        <w:rPr>
          <w:rFonts w:ascii="ITC Avant Garde" w:hAnsi="ITC Avant Garde"/>
          <w:lang w:val="es-MX"/>
        </w:rPr>
        <w:t xml:space="preserve">Al respecto, diversos participantes de la consulta </w:t>
      </w:r>
      <w:r w:rsidR="006E70A2" w:rsidRPr="009C0D93">
        <w:rPr>
          <w:rFonts w:ascii="ITC Avant Garde" w:hAnsi="ITC Avant Garde"/>
          <w:lang w:val="es-MX"/>
        </w:rPr>
        <w:t>(</w:t>
      </w:r>
      <w:r w:rsidR="00814EAD" w:rsidRPr="009C0D93">
        <w:rPr>
          <w:rFonts w:ascii="ITC Avant Garde" w:hAnsi="ITC Avant Garde"/>
          <w:lang w:val="es-MX"/>
        </w:rPr>
        <w:t xml:space="preserve">CANIETI, Mega Cable, Telefónica, </w:t>
      </w:r>
      <w:r w:rsidR="001B77A7" w:rsidRPr="009C0D93">
        <w:rPr>
          <w:rFonts w:ascii="ITC Avant Garde" w:hAnsi="ITC Avant Garde"/>
          <w:lang w:val="es-MX"/>
        </w:rPr>
        <w:t xml:space="preserve">Televisa, </w:t>
      </w:r>
      <w:r w:rsidR="00EC2881" w:rsidRPr="009C0D93">
        <w:rPr>
          <w:rFonts w:ascii="ITC Avant Garde" w:hAnsi="ITC Avant Garde"/>
          <w:lang w:val="es-MX"/>
        </w:rPr>
        <w:t>CC</w:t>
      </w:r>
      <w:r w:rsidR="001B77A7" w:rsidRPr="009C0D93">
        <w:rPr>
          <w:rFonts w:ascii="ITC Avant Garde" w:hAnsi="ITC Avant Garde"/>
          <w:lang w:val="es-MX"/>
        </w:rPr>
        <w:t xml:space="preserve">. Barrios González, Gutiérrez Gabino y Pérez Pinto, </w:t>
      </w:r>
      <w:r w:rsidR="00EC2881" w:rsidRPr="009C0D93">
        <w:rPr>
          <w:rFonts w:ascii="ITC Avant Garde" w:hAnsi="ITC Avant Garde"/>
          <w:lang w:val="es-MX"/>
        </w:rPr>
        <w:t>C</w:t>
      </w:r>
      <w:r w:rsidR="00785C22" w:rsidRPr="009C0D93">
        <w:rPr>
          <w:rFonts w:ascii="ITC Avant Garde" w:hAnsi="ITC Avant Garde"/>
          <w:lang w:val="es-MX"/>
        </w:rPr>
        <w:t xml:space="preserve">. Briceño Moo, </w:t>
      </w:r>
      <w:r w:rsidR="00EC2881" w:rsidRPr="009C0D93">
        <w:rPr>
          <w:rFonts w:ascii="ITC Avant Garde" w:hAnsi="ITC Avant Garde"/>
          <w:lang w:val="es-MX"/>
        </w:rPr>
        <w:t>CC</w:t>
      </w:r>
      <w:r w:rsidR="00785C22" w:rsidRPr="009C0D93">
        <w:rPr>
          <w:rFonts w:ascii="ITC Avant Garde" w:hAnsi="ITC Avant Garde"/>
          <w:lang w:val="es-MX"/>
        </w:rPr>
        <w:t xml:space="preserve">. Chepe Campuzano y Sánchez Dávila, </w:t>
      </w:r>
      <w:r w:rsidR="00EC2881" w:rsidRPr="009C0D93">
        <w:rPr>
          <w:rFonts w:ascii="ITC Avant Garde" w:hAnsi="ITC Avant Garde"/>
          <w:lang w:val="es-MX"/>
        </w:rPr>
        <w:t>CC</w:t>
      </w:r>
      <w:r w:rsidR="00785C22" w:rsidRPr="009C0D93">
        <w:rPr>
          <w:rFonts w:ascii="ITC Avant Garde" w:hAnsi="ITC Avant Garde"/>
          <w:lang w:val="es-MX"/>
        </w:rPr>
        <w:t xml:space="preserve">. González Bringas y Garibay Marín, </w:t>
      </w:r>
      <w:r w:rsidR="00EC2881" w:rsidRPr="009C0D93">
        <w:rPr>
          <w:rFonts w:ascii="ITC Avant Garde" w:hAnsi="ITC Avant Garde"/>
          <w:lang w:val="es-MX"/>
        </w:rPr>
        <w:t>C</w:t>
      </w:r>
      <w:r w:rsidR="00785C22" w:rsidRPr="009C0D93">
        <w:rPr>
          <w:rFonts w:ascii="ITC Avant Garde" w:hAnsi="ITC Avant Garde"/>
          <w:lang w:val="es-MX"/>
        </w:rPr>
        <w:t xml:space="preserve">. Hernández Beltrán, </w:t>
      </w:r>
      <w:r w:rsidR="00EC2881" w:rsidRPr="009C0D93">
        <w:rPr>
          <w:rFonts w:ascii="ITC Avant Garde" w:hAnsi="ITC Avant Garde"/>
          <w:lang w:val="es-MX"/>
        </w:rPr>
        <w:t>C</w:t>
      </w:r>
      <w:r w:rsidR="00785C22" w:rsidRPr="009C0D93">
        <w:rPr>
          <w:rFonts w:ascii="ITC Avant Garde" w:hAnsi="ITC Avant Garde"/>
          <w:lang w:val="es-MX"/>
        </w:rPr>
        <w:t xml:space="preserve">. Perea Gómez, </w:t>
      </w:r>
      <w:r w:rsidR="00EC2881" w:rsidRPr="009C0D93">
        <w:rPr>
          <w:rFonts w:ascii="ITC Avant Garde" w:hAnsi="ITC Avant Garde"/>
          <w:lang w:val="es-MX"/>
        </w:rPr>
        <w:t>CC</w:t>
      </w:r>
      <w:r w:rsidR="00785C22" w:rsidRPr="009C0D93">
        <w:rPr>
          <w:rFonts w:ascii="ITC Avant Garde" w:hAnsi="ITC Avant Garde"/>
          <w:lang w:val="es-MX"/>
        </w:rPr>
        <w:t>. Sánchez Colín, Domínguez Jardon y Velázquez Valdez</w:t>
      </w:r>
      <w:r w:rsidR="00CC50B4" w:rsidRPr="009C0D93">
        <w:rPr>
          <w:rFonts w:ascii="ITC Avant Garde" w:hAnsi="ITC Avant Garde"/>
          <w:lang w:val="es-MX"/>
        </w:rPr>
        <w:t>, así como</w:t>
      </w:r>
      <w:r w:rsidR="00785C22" w:rsidRPr="009C0D93">
        <w:rPr>
          <w:rFonts w:ascii="ITC Avant Garde" w:hAnsi="ITC Avant Garde"/>
          <w:lang w:val="es-MX"/>
        </w:rPr>
        <w:t xml:space="preserve"> </w:t>
      </w:r>
      <w:r w:rsidR="00EC2881">
        <w:rPr>
          <w:rFonts w:ascii="ITC Avant Garde" w:hAnsi="ITC Avant Garde"/>
          <w:lang w:val="es-MX"/>
        </w:rPr>
        <w:t>CC</w:t>
      </w:r>
      <w:r w:rsidR="00563BE7" w:rsidRPr="007D54E4">
        <w:rPr>
          <w:rFonts w:ascii="ITC Avant Garde" w:hAnsi="ITC Avant Garde"/>
          <w:lang w:val="es-MX"/>
        </w:rPr>
        <w:t>. Vincen Quiroz y Mondragón Mora</w:t>
      </w:r>
      <w:r w:rsidR="006E70A2" w:rsidRPr="009C0D93">
        <w:rPr>
          <w:rFonts w:ascii="ITC Avant Garde" w:hAnsi="ITC Avant Garde"/>
          <w:lang w:val="es-MX"/>
        </w:rPr>
        <w:t>)</w:t>
      </w:r>
      <w:r w:rsidR="00814EAD" w:rsidRPr="009C0D93">
        <w:rPr>
          <w:rFonts w:ascii="ITC Avant Garde" w:hAnsi="ITC Avant Garde"/>
          <w:lang w:val="es-MX"/>
        </w:rPr>
        <w:t xml:space="preserve"> </w:t>
      </w:r>
      <w:r w:rsidRPr="009C0D93">
        <w:rPr>
          <w:rFonts w:ascii="ITC Avant Garde" w:hAnsi="ITC Avant Garde"/>
          <w:lang w:val="es-MX"/>
        </w:rPr>
        <w:t>expresan que están de acuerdo en general con la definición del servici</w:t>
      </w:r>
      <w:r w:rsidR="007F627F" w:rsidRPr="009C0D93">
        <w:rPr>
          <w:rFonts w:ascii="ITC Avant Garde" w:hAnsi="ITC Avant Garde"/>
          <w:lang w:val="es-MX"/>
        </w:rPr>
        <w:t>o VULA incorporado en el modelo</w:t>
      </w:r>
      <w:r w:rsidRPr="009C0D93">
        <w:rPr>
          <w:rFonts w:ascii="ITC Avant Garde" w:hAnsi="ITC Avant Garde"/>
          <w:lang w:val="es-MX"/>
        </w:rPr>
        <w:t xml:space="preserve">. De manera particular, uno de los participantes (Televisa) sugiere que </w:t>
      </w:r>
      <w:r w:rsidR="00785C22" w:rsidRPr="009C0D93">
        <w:rPr>
          <w:rFonts w:ascii="ITC Avant Garde" w:hAnsi="ITC Avant Garde"/>
          <w:lang w:val="es-MX"/>
        </w:rPr>
        <w:t xml:space="preserve">el modelo de costos debería considerar una modalidad del servicio VULA a través del cual </w:t>
      </w:r>
      <w:r w:rsidRPr="009C0D93">
        <w:rPr>
          <w:rFonts w:ascii="ITC Avant Garde" w:hAnsi="ITC Avant Garde"/>
          <w:lang w:val="es-MX"/>
        </w:rPr>
        <w:t>los concesionarios solicitantes</w:t>
      </w:r>
      <w:r w:rsidR="00277452" w:rsidRPr="009C0D93">
        <w:rPr>
          <w:rFonts w:ascii="ITC Avant Garde" w:hAnsi="ITC Avant Garde"/>
          <w:lang w:val="es-MX"/>
        </w:rPr>
        <w:t xml:space="preserve"> (“CS”)</w:t>
      </w:r>
      <w:r w:rsidRPr="009C0D93">
        <w:rPr>
          <w:rFonts w:ascii="ITC Avant Garde" w:hAnsi="ITC Avant Garde"/>
          <w:lang w:val="es-MX"/>
        </w:rPr>
        <w:t xml:space="preserve"> se conecten al ONT a través de un switch</w:t>
      </w:r>
      <w:r w:rsidR="00550282" w:rsidRPr="009C0D93">
        <w:rPr>
          <w:rFonts w:ascii="ITC Avant Garde" w:hAnsi="ITC Avant Garde"/>
          <w:lang w:val="es-MX"/>
        </w:rPr>
        <w:t>,</w:t>
      </w:r>
      <w:r w:rsidRPr="009C0D93">
        <w:rPr>
          <w:rFonts w:ascii="ITC Avant Garde" w:hAnsi="ITC Avant Garde"/>
          <w:lang w:val="es-MX"/>
        </w:rPr>
        <w:t xml:space="preserve"> en vez de hacerlo directamente</w:t>
      </w:r>
      <w:r w:rsidR="00550282" w:rsidRPr="009C0D93">
        <w:rPr>
          <w:rFonts w:ascii="ITC Avant Garde" w:hAnsi="ITC Avant Garde"/>
          <w:lang w:val="es-MX"/>
        </w:rPr>
        <w:t xml:space="preserve"> al OLT del Agente Económico Preponderante (“AEP”)</w:t>
      </w:r>
      <w:r w:rsidRPr="009C0D93">
        <w:rPr>
          <w:rFonts w:ascii="ITC Avant Garde" w:hAnsi="ITC Avant Garde"/>
          <w:lang w:val="es-MX"/>
        </w:rPr>
        <w:t xml:space="preserve">. </w:t>
      </w:r>
    </w:p>
    <w:p w14:paraId="20FB9DCC" w14:textId="478A9F0D" w:rsidR="001769CC" w:rsidRPr="009C0D93" w:rsidRDefault="00590CB8" w:rsidP="001769CC">
      <w:pPr>
        <w:rPr>
          <w:rFonts w:ascii="ITC Avant Garde" w:hAnsi="ITC Avant Garde"/>
          <w:lang w:val="es-MX"/>
        </w:rPr>
      </w:pPr>
      <w:r w:rsidRPr="009C0D93">
        <w:rPr>
          <w:rFonts w:ascii="ITC Avant Garde" w:hAnsi="ITC Avant Garde"/>
          <w:lang w:val="es-MX"/>
        </w:rPr>
        <w:t>En com</w:t>
      </w:r>
      <w:r w:rsidR="00D2020B" w:rsidRPr="009C0D93">
        <w:rPr>
          <w:rFonts w:ascii="ITC Avant Garde" w:hAnsi="ITC Avant Garde"/>
          <w:lang w:val="es-MX"/>
        </w:rPr>
        <w:t>plemento</w:t>
      </w:r>
      <w:r w:rsidR="001769CC" w:rsidRPr="009C0D93">
        <w:rPr>
          <w:rFonts w:ascii="ITC Avant Garde" w:hAnsi="ITC Avant Garde"/>
          <w:lang w:val="es-MX"/>
        </w:rPr>
        <w:t>, diversos participantes sugieren que en el modelo se deberían incluir y/o considerar servicios de otra naturaleza, como se describe a continuación:</w:t>
      </w:r>
    </w:p>
    <w:p w14:paraId="6FE163F0" w14:textId="203FECF2" w:rsidR="001769CC" w:rsidRPr="009C0D93" w:rsidRDefault="001769CC" w:rsidP="009C0D93">
      <w:pPr>
        <w:pStyle w:val="Prrafodelista"/>
        <w:numPr>
          <w:ilvl w:val="0"/>
          <w:numId w:val="20"/>
        </w:numPr>
        <w:rPr>
          <w:rFonts w:ascii="ITC Avant Garde" w:hAnsi="ITC Avant Garde"/>
          <w:lang w:val="es-MX"/>
        </w:rPr>
      </w:pPr>
      <w:r w:rsidRPr="009C0D93">
        <w:rPr>
          <w:rFonts w:ascii="ITC Avant Garde" w:hAnsi="ITC Avant Garde"/>
          <w:lang w:val="es-MX"/>
        </w:rPr>
        <w:t>Un participante (Avantel/Alestra/Axtel) sugiere la inclusión de los servic</w:t>
      </w:r>
      <w:r w:rsidR="009A6C19" w:rsidRPr="009C0D93">
        <w:rPr>
          <w:rFonts w:ascii="ITC Avant Garde" w:hAnsi="ITC Avant Garde"/>
          <w:lang w:val="es-MX"/>
        </w:rPr>
        <w:t>ios auxiliares al servicio VULA;</w:t>
      </w:r>
    </w:p>
    <w:p w14:paraId="638B6592" w14:textId="024DFECE" w:rsidR="00CC50B4" w:rsidRPr="009C0D93" w:rsidRDefault="0091357A" w:rsidP="009C0D93">
      <w:pPr>
        <w:pStyle w:val="Prrafodelista"/>
        <w:numPr>
          <w:ilvl w:val="0"/>
          <w:numId w:val="20"/>
        </w:numPr>
        <w:rPr>
          <w:rFonts w:ascii="ITC Avant Garde" w:hAnsi="ITC Avant Garde"/>
          <w:lang w:val="es-MX"/>
        </w:rPr>
      </w:pPr>
      <w:r w:rsidRPr="009C0D93">
        <w:rPr>
          <w:rFonts w:ascii="ITC Avant Garde" w:hAnsi="ITC Avant Garde"/>
          <w:lang w:val="es-MX"/>
        </w:rPr>
        <w:t xml:space="preserve">Diversos </w:t>
      </w:r>
      <w:r w:rsidR="00CC50B4" w:rsidRPr="009C0D93">
        <w:rPr>
          <w:rFonts w:ascii="ITC Avant Garde" w:hAnsi="ITC Avant Garde"/>
          <w:lang w:val="es-MX"/>
        </w:rPr>
        <w:t xml:space="preserve">participantes (Avantel/Alestra/Axtel, CANIETI y Televisa) </w:t>
      </w:r>
      <w:r w:rsidR="007F627F" w:rsidRPr="009C0D93">
        <w:rPr>
          <w:rFonts w:ascii="ITC Avant Garde" w:hAnsi="ITC Avant Garde"/>
          <w:lang w:val="es-MX"/>
        </w:rPr>
        <w:t>indican que estiman necesaria</w:t>
      </w:r>
      <w:r w:rsidR="00CC50B4" w:rsidRPr="009C0D93">
        <w:rPr>
          <w:rFonts w:ascii="ITC Avant Garde" w:hAnsi="ITC Avant Garde"/>
          <w:lang w:val="es-MX"/>
        </w:rPr>
        <w:t xml:space="preserve"> la inclusión </w:t>
      </w:r>
      <w:r w:rsidR="00ED4E42" w:rsidRPr="009C0D93">
        <w:rPr>
          <w:rFonts w:ascii="ITC Avant Garde" w:hAnsi="ITC Avant Garde"/>
          <w:lang w:val="es-MX"/>
        </w:rPr>
        <w:t>en el modelo de servicios de fibra obscura, o servicios similares como</w:t>
      </w:r>
      <w:r w:rsidR="008B6A56" w:rsidRPr="009C0D93">
        <w:rPr>
          <w:rFonts w:ascii="ITC Avant Garde" w:hAnsi="ITC Avant Garde"/>
          <w:lang w:val="es-MX"/>
        </w:rPr>
        <w:t xml:space="preserve"> “Derechos de uso irrevocables”</w:t>
      </w:r>
      <w:r w:rsidR="00ED4E42" w:rsidRPr="009C0D93">
        <w:rPr>
          <w:rFonts w:ascii="ITC Avant Garde" w:hAnsi="ITC Avant Garde"/>
          <w:lang w:val="es-MX"/>
        </w:rPr>
        <w:t xml:space="preserve"> (lndefeasible Rights of Use </w:t>
      </w:r>
      <w:r w:rsidR="008B6A56" w:rsidRPr="009C0D93">
        <w:rPr>
          <w:rFonts w:ascii="ITC Avant Garde" w:hAnsi="ITC Avant Garde"/>
          <w:lang w:val="es-MX"/>
        </w:rPr>
        <w:t xml:space="preserve">o IRU’s, </w:t>
      </w:r>
      <w:r w:rsidR="00ED4E42" w:rsidRPr="009C0D93">
        <w:rPr>
          <w:rFonts w:ascii="ITC Avant Garde" w:hAnsi="ITC Avant Garde"/>
          <w:lang w:val="es-MX"/>
        </w:rPr>
        <w:t>por sus siglas en inglés), canales ópticos o lambdas</w:t>
      </w:r>
      <w:r w:rsidR="009A6C19" w:rsidRPr="009C0D93">
        <w:rPr>
          <w:rFonts w:ascii="ITC Avant Garde" w:hAnsi="ITC Avant Garde"/>
          <w:lang w:val="es-MX"/>
        </w:rPr>
        <w:t>;</w:t>
      </w:r>
      <w:r w:rsidR="00CC50B4" w:rsidRPr="009C0D93">
        <w:rPr>
          <w:rFonts w:ascii="ITC Avant Garde" w:hAnsi="ITC Avant Garde"/>
          <w:lang w:val="es-MX"/>
        </w:rPr>
        <w:t xml:space="preserve"> </w:t>
      </w:r>
    </w:p>
    <w:p w14:paraId="34C3DD4F" w14:textId="0534D4CB" w:rsidR="001769CC" w:rsidRPr="009C0D93" w:rsidRDefault="0091357A" w:rsidP="009C0D93">
      <w:pPr>
        <w:pStyle w:val="Prrafodelista"/>
        <w:numPr>
          <w:ilvl w:val="0"/>
          <w:numId w:val="20"/>
        </w:numPr>
        <w:rPr>
          <w:rFonts w:ascii="ITC Avant Garde" w:hAnsi="ITC Avant Garde"/>
          <w:lang w:val="es-MX"/>
        </w:rPr>
      </w:pPr>
      <w:r w:rsidRPr="009C0D93">
        <w:rPr>
          <w:rFonts w:ascii="ITC Avant Garde" w:hAnsi="ITC Avant Garde"/>
          <w:lang w:val="es-MX"/>
        </w:rPr>
        <w:t>O</w:t>
      </w:r>
      <w:r w:rsidR="001769CC" w:rsidRPr="009C0D93">
        <w:rPr>
          <w:rFonts w:ascii="ITC Avant Garde" w:hAnsi="ITC Avant Garde"/>
          <w:lang w:val="es-MX"/>
        </w:rPr>
        <w:t>tro participante (Mega</w:t>
      </w:r>
      <w:r w:rsidR="00563BE7" w:rsidRPr="009C0D93">
        <w:rPr>
          <w:rFonts w:ascii="ITC Avant Garde" w:hAnsi="ITC Avant Garde"/>
          <w:lang w:val="es-MX"/>
        </w:rPr>
        <w:t xml:space="preserve"> C</w:t>
      </w:r>
      <w:r w:rsidR="00A87B25" w:rsidRPr="009C0D93">
        <w:rPr>
          <w:rFonts w:ascii="ITC Avant Garde" w:hAnsi="ITC Avant Garde"/>
          <w:lang w:val="es-MX"/>
        </w:rPr>
        <w:t xml:space="preserve">able) </w:t>
      </w:r>
      <w:r w:rsidR="008B6A56" w:rsidRPr="009C0D93">
        <w:rPr>
          <w:rFonts w:ascii="ITC Avant Garde" w:hAnsi="ITC Avant Garde"/>
          <w:lang w:val="es-MX"/>
        </w:rPr>
        <w:t>indica</w:t>
      </w:r>
      <w:r w:rsidR="00A87B25" w:rsidRPr="009C0D93">
        <w:rPr>
          <w:rFonts w:ascii="ITC Avant Garde" w:hAnsi="ITC Avant Garde"/>
          <w:lang w:val="es-MX"/>
        </w:rPr>
        <w:t xml:space="preserve"> que se deben considerar a</w:t>
      </w:r>
      <w:r w:rsidR="001769CC" w:rsidRPr="009C0D93">
        <w:rPr>
          <w:rFonts w:ascii="ITC Avant Garde" w:hAnsi="ITC Avant Garde"/>
          <w:lang w:val="es-MX"/>
        </w:rPr>
        <w:t xml:space="preserve"> otros servicios minoristas y mayoristas que empleen los elementos </w:t>
      </w:r>
      <w:r w:rsidR="00A87B25" w:rsidRPr="009C0D93">
        <w:rPr>
          <w:rFonts w:ascii="ITC Avant Garde" w:hAnsi="ITC Avant Garde"/>
          <w:lang w:val="es-MX"/>
        </w:rPr>
        <w:t>de infraestructura pasiva</w:t>
      </w:r>
      <w:r w:rsidR="001769CC" w:rsidRPr="009C0D93">
        <w:rPr>
          <w:rFonts w:ascii="ITC Avant Garde" w:hAnsi="ITC Avant Garde"/>
          <w:lang w:val="es-MX"/>
        </w:rPr>
        <w:t xml:space="preserve"> de la r</w:t>
      </w:r>
      <w:r w:rsidR="009A6C19" w:rsidRPr="009C0D93">
        <w:rPr>
          <w:rFonts w:ascii="ITC Avant Garde" w:hAnsi="ITC Avant Garde"/>
          <w:lang w:val="es-MX"/>
        </w:rPr>
        <w:t>ed del AEP;</w:t>
      </w:r>
    </w:p>
    <w:p w14:paraId="04931E31" w14:textId="7FE3458D" w:rsidR="001769CC" w:rsidRPr="009C0D93" w:rsidRDefault="008B6A56" w:rsidP="009C0D93">
      <w:pPr>
        <w:pStyle w:val="Prrafodelista"/>
        <w:numPr>
          <w:ilvl w:val="0"/>
          <w:numId w:val="20"/>
        </w:numPr>
        <w:rPr>
          <w:rFonts w:ascii="ITC Avant Garde" w:hAnsi="ITC Avant Garde"/>
          <w:lang w:val="es-MX"/>
        </w:rPr>
      </w:pPr>
      <w:r w:rsidRPr="009C0D93">
        <w:rPr>
          <w:rFonts w:ascii="ITC Avant Garde" w:hAnsi="ITC Avant Garde"/>
          <w:lang w:val="es-MX"/>
        </w:rPr>
        <w:t>Adicionalmente</w:t>
      </w:r>
      <w:r w:rsidR="001769CC" w:rsidRPr="009C0D93">
        <w:rPr>
          <w:rFonts w:ascii="ITC Avant Garde" w:hAnsi="ITC Avant Garde"/>
          <w:lang w:val="es-MX"/>
        </w:rPr>
        <w:t xml:space="preserve">, </w:t>
      </w:r>
      <w:r w:rsidR="005A0EA2" w:rsidRPr="009C0D93">
        <w:rPr>
          <w:rFonts w:ascii="ITC Avant Garde" w:hAnsi="ITC Avant Garde"/>
          <w:lang w:val="es-MX"/>
        </w:rPr>
        <w:t>un</w:t>
      </w:r>
      <w:r w:rsidR="001769CC" w:rsidRPr="009C0D93">
        <w:rPr>
          <w:rFonts w:ascii="ITC Avant Garde" w:hAnsi="ITC Avant Garde"/>
          <w:lang w:val="es-MX"/>
        </w:rPr>
        <w:t xml:space="preserve"> participante (Televisa) ha sugerido incluir un servicio </w:t>
      </w:r>
      <w:r w:rsidR="009D7688" w:rsidRPr="009C0D93">
        <w:rPr>
          <w:rFonts w:ascii="ITC Avant Garde" w:hAnsi="ITC Avant Garde"/>
          <w:lang w:val="es-MX"/>
        </w:rPr>
        <w:t xml:space="preserve">tipo </w:t>
      </w:r>
      <w:r w:rsidR="001769CC" w:rsidRPr="009C0D93">
        <w:rPr>
          <w:rFonts w:ascii="ITC Avant Garde" w:hAnsi="ITC Avant Garde"/>
          <w:lang w:val="es-MX"/>
        </w:rPr>
        <w:t>bitstream con calidad</w:t>
      </w:r>
      <w:r w:rsidRPr="009C0D93">
        <w:rPr>
          <w:rFonts w:ascii="ITC Avant Garde" w:hAnsi="ITC Avant Garde"/>
          <w:lang w:val="es-MX"/>
        </w:rPr>
        <w:t>es</w:t>
      </w:r>
      <w:r w:rsidR="001769CC" w:rsidRPr="009C0D93">
        <w:rPr>
          <w:rFonts w:ascii="ITC Avant Garde" w:hAnsi="ITC Avant Garde"/>
          <w:lang w:val="es-MX"/>
        </w:rPr>
        <w:t xml:space="preserve"> de servicio, así como </w:t>
      </w:r>
      <w:r w:rsidRPr="009C0D93">
        <w:rPr>
          <w:rFonts w:ascii="ITC Avant Garde" w:hAnsi="ITC Avant Garde"/>
          <w:lang w:val="es-MX"/>
        </w:rPr>
        <w:t xml:space="preserve">otra clase de </w:t>
      </w:r>
      <w:r w:rsidR="001769CC" w:rsidRPr="009C0D93">
        <w:rPr>
          <w:rFonts w:ascii="ITC Avant Garde" w:hAnsi="ITC Avant Garde"/>
          <w:lang w:val="es-MX"/>
        </w:rPr>
        <w:t xml:space="preserve">servicios </w:t>
      </w:r>
      <w:r w:rsidRPr="009C0D93">
        <w:rPr>
          <w:rFonts w:ascii="ITC Avant Garde" w:hAnsi="ITC Avant Garde"/>
          <w:lang w:val="es-MX"/>
        </w:rPr>
        <w:t xml:space="preserve">(concretamente, </w:t>
      </w:r>
      <w:r w:rsidR="001769CC" w:rsidRPr="009C0D93">
        <w:rPr>
          <w:rFonts w:ascii="ITC Avant Garde" w:hAnsi="ITC Avant Garde"/>
          <w:lang w:val="es-MX"/>
        </w:rPr>
        <w:t>VULA sob</w:t>
      </w:r>
      <w:r w:rsidR="009A6C19" w:rsidRPr="009C0D93">
        <w:rPr>
          <w:rFonts w:ascii="ITC Avant Garde" w:hAnsi="ITC Avant Garde"/>
          <w:lang w:val="es-MX"/>
        </w:rPr>
        <w:t xml:space="preserve">re accesos </w:t>
      </w:r>
      <w:r w:rsidRPr="009C0D93">
        <w:rPr>
          <w:rFonts w:ascii="ITC Avant Garde" w:hAnsi="ITC Avant Garde"/>
          <w:lang w:val="es-MX"/>
        </w:rPr>
        <w:t xml:space="preserve">de tipo </w:t>
      </w:r>
      <w:r w:rsidR="009A6C19" w:rsidRPr="009C0D93">
        <w:rPr>
          <w:rFonts w:ascii="ITC Avant Garde" w:hAnsi="ITC Avant Garde"/>
          <w:lang w:val="es-MX"/>
        </w:rPr>
        <w:t>FTTC, VDSL o ADSL2</w:t>
      </w:r>
      <w:r w:rsidRPr="009C0D93">
        <w:rPr>
          <w:rFonts w:ascii="ITC Avant Garde" w:hAnsi="ITC Avant Garde"/>
          <w:lang w:val="es-MX"/>
        </w:rPr>
        <w:t>+)</w:t>
      </w:r>
      <w:r w:rsidR="009A6C19" w:rsidRPr="009C0D93">
        <w:rPr>
          <w:rFonts w:ascii="ITC Avant Garde" w:hAnsi="ITC Avant Garde"/>
          <w:lang w:val="es-MX"/>
        </w:rPr>
        <w:t>; y</w:t>
      </w:r>
    </w:p>
    <w:p w14:paraId="1AF9FF37" w14:textId="220C4D86" w:rsidR="001769CC" w:rsidRPr="009C0D93" w:rsidRDefault="005A0EA2" w:rsidP="009C0D93">
      <w:pPr>
        <w:pStyle w:val="Prrafodelista"/>
        <w:numPr>
          <w:ilvl w:val="0"/>
          <w:numId w:val="20"/>
        </w:numPr>
        <w:rPr>
          <w:rFonts w:ascii="ITC Avant Garde" w:hAnsi="ITC Avant Garde"/>
          <w:lang w:val="es-MX"/>
        </w:rPr>
      </w:pPr>
      <w:r w:rsidRPr="009C0D93">
        <w:rPr>
          <w:rFonts w:ascii="ITC Avant Garde" w:hAnsi="ITC Avant Garde"/>
          <w:lang w:val="es-MX"/>
        </w:rPr>
        <w:lastRenderedPageBreak/>
        <w:t>Diversos</w:t>
      </w:r>
      <w:r w:rsidR="001769CC" w:rsidRPr="009C0D93">
        <w:rPr>
          <w:rFonts w:ascii="ITC Avant Garde" w:hAnsi="ITC Avant Garde"/>
          <w:lang w:val="es-MX"/>
        </w:rPr>
        <w:t xml:space="preserve"> participantes (Sres. Domínguez Jardon, Sánchez Colín y Velázquez Valdez) sugieren </w:t>
      </w:r>
      <w:r w:rsidR="0035272C" w:rsidRPr="009C0D93">
        <w:rPr>
          <w:rFonts w:ascii="ITC Avant Garde" w:hAnsi="ITC Avant Garde"/>
          <w:lang w:val="es-MX"/>
        </w:rPr>
        <w:t xml:space="preserve">que se debe </w:t>
      </w:r>
      <w:r w:rsidR="001769CC" w:rsidRPr="009C0D93">
        <w:rPr>
          <w:rFonts w:ascii="ITC Avant Garde" w:hAnsi="ITC Avant Garde"/>
          <w:lang w:val="es-MX"/>
        </w:rPr>
        <w:t>tener en cuenta un servicio que permita la entrega de tráfico en un punto de interconexión a nivel nacional.</w:t>
      </w:r>
    </w:p>
    <w:p w14:paraId="03C0AA6A" w14:textId="4456E13A" w:rsidR="001769CC" w:rsidRPr="009C0D93" w:rsidRDefault="001769CC" w:rsidP="009C0D93">
      <w:pPr>
        <w:rPr>
          <w:rFonts w:ascii="ITC Avant Garde" w:hAnsi="ITC Avant Garde"/>
          <w:lang w:val="es-MX"/>
        </w:rPr>
      </w:pPr>
      <w:r w:rsidRPr="009C0D93">
        <w:rPr>
          <w:rFonts w:ascii="ITC Avant Garde" w:hAnsi="ITC Avant Garde"/>
          <w:lang w:val="es-MX"/>
        </w:rPr>
        <w:t>En adición, otro participante (Telmex) ha manifestado que los servicios de enlaces dedicados</w:t>
      </w:r>
      <w:r w:rsidR="0035272C" w:rsidRPr="009C0D93">
        <w:rPr>
          <w:rFonts w:ascii="ITC Avant Garde" w:hAnsi="ITC Avant Garde"/>
          <w:lang w:val="es-MX"/>
        </w:rPr>
        <w:t>, que se consideran a través del modelo de costos en cuestión, no se encuentran</w:t>
      </w:r>
      <w:r w:rsidRPr="009C0D93">
        <w:rPr>
          <w:rFonts w:ascii="ITC Avant Garde" w:hAnsi="ITC Avant Garde"/>
          <w:lang w:val="es-MX"/>
        </w:rPr>
        <w:t xml:space="preserve"> relacionados con la Oferta de Referencia para la Desagregación del Bucle Local </w:t>
      </w:r>
      <w:r w:rsidR="0035272C" w:rsidRPr="009C0D93">
        <w:rPr>
          <w:rFonts w:ascii="ITC Avant Garde" w:hAnsi="ITC Avant Garde"/>
          <w:lang w:val="es-MX"/>
        </w:rPr>
        <w:t xml:space="preserve">del AEP </w:t>
      </w:r>
      <w:r w:rsidRPr="009C0D93">
        <w:rPr>
          <w:rFonts w:ascii="ITC Avant Garde" w:hAnsi="ITC Avant Garde"/>
          <w:lang w:val="es-MX"/>
        </w:rPr>
        <w:t>(“OREDA”).</w:t>
      </w:r>
    </w:p>
    <w:p w14:paraId="11565849" w14:textId="5AC27099" w:rsidR="001769CC" w:rsidRPr="007D54E4" w:rsidRDefault="001769CC" w:rsidP="002E6E4C">
      <w:pPr>
        <w:pStyle w:val="Ttulo3"/>
        <w:numPr>
          <w:ilvl w:val="0"/>
          <w:numId w:val="0"/>
        </w:numPr>
        <w:rPr>
          <w:rFonts w:ascii="ITC Avant Garde" w:eastAsiaTheme="minorHAnsi" w:hAnsi="ITC Avant Garde" w:cstheme="minorBidi"/>
          <w:b w:val="0"/>
          <w:i/>
          <w:u w:val="single"/>
          <w:lang w:val="es-ES_tradnl"/>
        </w:rPr>
      </w:pPr>
      <w:r w:rsidRPr="007D54E4">
        <w:rPr>
          <w:rFonts w:ascii="ITC Avant Garde" w:eastAsiaTheme="minorHAnsi" w:hAnsi="ITC Avant Garde" w:cstheme="minorBidi"/>
          <w:b w:val="0"/>
          <w:i/>
          <w:u w:val="single"/>
          <w:lang w:val="es-ES_tradnl"/>
        </w:rPr>
        <w:t>Respuesta del Instituto</w:t>
      </w:r>
    </w:p>
    <w:p w14:paraId="3885AFB4" w14:textId="56D42CD0" w:rsidR="001769CC" w:rsidRPr="007D54E4" w:rsidRDefault="001769CC" w:rsidP="001769CC">
      <w:pPr>
        <w:rPr>
          <w:rFonts w:ascii="ITC Avant Garde" w:hAnsi="ITC Avant Garde"/>
          <w:lang w:val="es-MX"/>
        </w:rPr>
      </w:pPr>
      <w:r w:rsidRPr="007D54E4">
        <w:rPr>
          <w:rFonts w:ascii="ITC Avant Garde" w:hAnsi="ITC Avant Garde"/>
          <w:lang w:val="es-MX"/>
        </w:rPr>
        <w:t xml:space="preserve">Al respecto, el Instituto señala </w:t>
      </w:r>
      <w:r w:rsidR="00573416" w:rsidRPr="007D54E4">
        <w:rPr>
          <w:rFonts w:ascii="ITC Avant Garde" w:hAnsi="ITC Avant Garde"/>
          <w:lang w:val="es-MX"/>
        </w:rPr>
        <w:t>que,</w:t>
      </w:r>
      <w:r w:rsidRPr="007D54E4">
        <w:rPr>
          <w:rFonts w:ascii="ITC Avant Garde" w:hAnsi="ITC Avant Garde"/>
          <w:lang w:val="es-MX"/>
        </w:rPr>
        <w:t xml:space="preserve"> considerando las opiniones y comentarios vertidos en la presente consulta pública, así como resultado del análisis de información proporcionada por el AEP, se </w:t>
      </w:r>
      <w:r w:rsidR="002F36EE" w:rsidRPr="007D54E4">
        <w:rPr>
          <w:rFonts w:ascii="ITC Avant Garde" w:hAnsi="ITC Avant Garde"/>
          <w:lang w:val="es-MX"/>
        </w:rPr>
        <w:t xml:space="preserve">refleja </w:t>
      </w:r>
      <w:r w:rsidRPr="007D54E4">
        <w:rPr>
          <w:rFonts w:ascii="ITC Avant Garde" w:hAnsi="ITC Avant Garde"/>
          <w:lang w:val="es-MX"/>
        </w:rPr>
        <w:t xml:space="preserve">en la versión final del modelo los ajustes necesarios a los servicios modelados conforme a la especificación y alcance que en su momento </w:t>
      </w:r>
      <w:r w:rsidR="006F7B19">
        <w:rPr>
          <w:rFonts w:ascii="ITC Avant Garde" w:hAnsi="ITC Avant Garde"/>
          <w:lang w:val="es-MX"/>
        </w:rPr>
        <w:t xml:space="preserve">se </w:t>
      </w:r>
      <w:r w:rsidRPr="007D54E4">
        <w:rPr>
          <w:rFonts w:ascii="ITC Avant Garde" w:hAnsi="ITC Avant Garde"/>
          <w:lang w:val="es-MX"/>
        </w:rPr>
        <w:t xml:space="preserve">precise en la oferta de referencia </w:t>
      </w:r>
      <w:r w:rsidR="006F7B19">
        <w:rPr>
          <w:rFonts w:ascii="ITC Avant Garde" w:hAnsi="ITC Avant Garde"/>
          <w:lang w:val="es-MX"/>
        </w:rPr>
        <w:t>de desagregación</w:t>
      </w:r>
      <w:r w:rsidRPr="007D54E4">
        <w:rPr>
          <w:rFonts w:ascii="ITC Avant Garde" w:hAnsi="ITC Avant Garde"/>
          <w:lang w:val="es-MX"/>
        </w:rPr>
        <w:t xml:space="preserve">, a partir de lo establecido en las Medidas de Desagregación. </w:t>
      </w:r>
    </w:p>
    <w:p w14:paraId="7BB2554B" w14:textId="047CEAFC" w:rsidR="001769CC" w:rsidRPr="007D54E4" w:rsidRDefault="001769CC" w:rsidP="001769CC">
      <w:pPr>
        <w:rPr>
          <w:rFonts w:ascii="ITC Avant Garde" w:hAnsi="ITC Avant Garde"/>
          <w:lang w:val="es-MX"/>
        </w:rPr>
      </w:pPr>
      <w:r w:rsidRPr="007D54E4">
        <w:rPr>
          <w:rFonts w:ascii="ITC Avant Garde" w:hAnsi="ITC Avant Garde"/>
          <w:lang w:val="es-MX"/>
        </w:rPr>
        <w:t>En este sentido</w:t>
      </w:r>
      <w:r w:rsidR="00F43379" w:rsidRPr="007D54E4">
        <w:rPr>
          <w:rFonts w:ascii="ITC Avant Garde" w:hAnsi="ITC Avant Garde"/>
          <w:lang w:val="es-MX"/>
        </w:rPr>
        <w:t xml:space="preserve"> y</w:t>
      </w:r>
      <w:r w:rsidR="000E1239" w:rsidRPr="007D54E4">
        <w:rPr>
          <w:rFonts w:ascii="ITC Avant Garde" w:hAnsi="ITC Avant Garde"/>
          <w:lang w:val="es-MX"/>
        </w:rPr>
        <w:t xml:space="preserve"> en consistencia con la metodología de costos incrementales promedio de largo plazo (“CIPLP”)</w:t>
      </w:r>
      <w:r w:rsidRPr="007D54E4">
        <w:rPr>
          <w:rFonts w:ascii="ITC Avant Garde" w:hAnsi="ITC Avant Garde"/>
          <w:lang w:val="es-MX"/>
        </w:rPr>
        <w:t xml:space="preserve"> </w:t>
      </w:r>
      <w:r w:rsidR="000E1239" w:rsidRPr="007D54E4">
        <w:rPr>
          <w:rFonts w:ascii="ITC Avant Garde" w:hAnsi="ITC Avant Garde"/>
          <w:lang w:val="es-MX"/>
        </w:rPr>
        <w:t>establecida en la Medida TRIGÉSIMA NOVENA de las Medidas de Desagregación</w:t>
      </w:r>
      <w:r w:rsidR="000E1239" w:rsidRPr="007D54E4">
        <w:rPr>
          <w:rStyle w:val="Refdenotaalpie"/>
          <w:rFonts w:ascii="ITC Avant Garde" w:hAnsi="ITC Avant Garde"/>
          <w:sz w:val="22"/>
          <w:lang w:val="es-MX"/>
        </w:rPr>
        <w:footnoteReference w:id="4"/>
      </w:r>
      <w:r w:rsidR="000E1239" w:rsidRPr="007D54E4">
        <w:rPr>
          <w:rFonts w:ascii="ITC Avant Garde" w:hAnsi="ITC Avant Garde"/>
          <w:lang w:val="es-MX"/>
        </w:rPr>
        <w:t xml:space="preserve"> bajo la cual se implementa el modelo en cuestión, </w:t>
      </w:r>
      <w:r w:rsidR="006F7B19">
        <w:rPr>
          <w:rFonts w:ascii="ITC Avant Garde" w:hAnsi="ITC Avant Garde"/>
          <w:lang w:val="es-MX"/>
        </w:rPr>
        <w:t>esta</w:t>
      </w:r>
      <w:r w:rsidR="006F7B19" w:rsidRPr="007D54E4">
        <w:rPr>
          <w:rFonts w:ascii="ITC Avant Garde" w:hAnsi="ITC Avant Garde"/>
          <w:lang w:val="es-MX"/>
        </w:rPr>
        <w:t xml:space="preserve"> </w:t>
      </w:r>
      <w:r w:rsidR="000E1239" w:rsidRPr="007D54E4">
        <w:rPr>
          <w:rFonts w:ascii="ITC Avant Garde" w:hAnsi="ITC Avant Garde"/>
          <w:lang w:val="es-MX"/>
        </w:rPr>
        <w:t>herramienta</w:t>
      </w:r>
      <w:r w:rsidRPr="007D54E4">
        <w:rPr>
          <w:rFonts w:ascii="ITC Avant Garde" w:hAnsi="ITC Avant Garde"/>
          <w:lang w:val="es-MX"/>
        </w:rPr>
        <w:t xml:space="preserve"> considera todos los servicios minoristas y mayoristas que el AEP oferta sobre su red de fibra. Adicionalmente, </w:t>
      </w:r>
      <w:r w:rsidR="006F7B19">
        <w:rPr>
          <w:rFonts w:ascii="ITC Avant Garde" w:hAnsi="ITC Avant Garde"/>
          <w:lang w:val="es-MX"/>
        </w:rPr>
        <w:t>el</w:t>
      </w:r>
      <w:r w:rsidR="006F7B19" w:rsidRPr="007D54E4">
        <w:rPr>
          <w:rFonts w:ascii="ITC Avant Garde" w:hAnsi="ITC Avant Garde"/>
          <w:lang w:val="es-MX"/>
        </w:rPr>
        <w:t xml:space="preserve"> </w:t>
      </w:r>
      <w:r w:rsidRPr="007D54E4">
        <w:rPr>
          <w:rFonts w:ascii="ITC Avant Garde" w:hAnsi="ITC Avant Garde"/>
          <w:lang w:val="es-MX"/>
        </w:rPr>
        <w:t xml:space="preserve">modelo </w:t>
      </w:r>
      <w:r w:rsidR="006F7B19">
        <w:rPr>
          <w:rFonts w:ascii="ITC Avant Garde" w:hAnsi="ITC Avant Garde"/>
          <w:lang w:val="es-MX"/>
        </w:rPr>
        <w:t xml:space="preserve">de costos </w:t>
      </w:r>
      <w:r w:rsidRPr="007D54E4">
        <w:rPr>
          <w:rFonts w:ascii="ITC Avant Garde" w:hAnsi="ITC Avant Garde"/>
          <w:lang w:val="es-MX"/>
        </w:rPr>
        <w:t xml:space="preserve">incluye mecanismos para </w:t>
      </w:r>
      <w:r w:rsidR="006F7B19">
        <w:rPr>
          <w:rFonts w:ascii="ITC Avant Garde" w:hAnsi="ITC Avant Garde"/>
          <w:lang w:val="es-MX"/>
        </w:rPr>
        <w:t>tomar</w:t>
      </w:r>
      <w:r w:rsidR="006F7B19" w:rsidRPr="007D54E4">
        <w:rPr>
          <w:rFonts w:ascii="ITC Avant Garde" w:hAnsi="ITC Avant Garde"/>
          <w:lang w:val="es-MX"/>
        </w:rPr>
        <w:t xml:space="preserve"> </w:t>
      </w:r>
      <w:r w:rsidRPr="007D54E4">
        <w:rPr>
          <w:rFonts w:ascii="ITC Avant Garde" w:hAnsi="ITC Avant Garde"/>
          <w:lang w:val="es-MX"/>
        </w:rPr>
        <w:t>en cuenta el uso que los servicios sobre acceso de cobre hacen de la infraestructura pasiva</w:t>
      </w:r>
      <w:r w:rsidR="00573416" w:rsidRPr="007D54E4">
        <w:rPr>
          <w:rFonts w:ascii="ITC Avant Garde" w:hAnsi="ITC Avant Garde"/>
          <w:lang w:val="es-MX"/>
        </w:rPr>
        <w:t xml:space="preserve">, tanto para el proceso de dimensionamiento de la red </w:t>
      </w:r>
      <w:r w:rsidR="006E55EC" w:rsidRPr="007D54E4">
        <w:rPr>
          <w:rFonts w:ascii="ITC Avant Garde" w:hAnsi="ITC Avant Garde"/>
          <w:lang w:val="es-MX"/>
        </w:rPr>
        <w:t xml:space="preserve">en la que se basa el modelo como en </w:t>
      </w:r>
      <w:r w:rsidR="00573416" w:rsidRPr="007D54E4">
        <w:rPr>
          <w:rFonts w:ascii="ITC Avant Garde" w:hAnsi="ITC Avant Garde"/>
          <w:lang w:val="es-MX"/>
        </w:rPr>
        <w:t xml:space="preserve">los algoritmos </w:t>
      </w:r>
      <w:r w:rsidR="006E55EC" w:rsidRPr="007D54E4">
        <w:rPr>
          <w:rFonts w:ascii="ITC Avant Garde" w:hAnsi="ITC Avant Garde"/>
          <w:lang w:val="es-MX"/>
        </w:rPr>
        <w:t>que permiten</w:t>
      </w:r>
      <w:r w:rsidR="00573416" w:rsidRPr="007D54E4">
        <w:rPr>
          <w:rFonts w:ascii="ITC Avant Garde" w:hAnsi="ITC Avant Garde"/>
          <w:lang w:val="es-MX"/>
        </w:rPr>
        <w:t xml:space="preserve"> la atribución de los costos de inversión de los activos correspondientes</w:t>
      </w:r>
      <w:r w:rsidR="006E55EC" w:rsidRPr="007D54E4">
        <w:rPr>
          <w:rFonts w:ascii="ITC Avant Garde" w:hAnsi="ITC Avant Garde"/>
          <w:lang w:val="es-MX"/>
        </w:rPr>
        <w:t xml:space="preserve"> para determinar los niveles tarifarios de los servicios mayoristas que se abordan en el modelo</w:t>
      </w:r>
      <w:r w:rsidR="00573416" w:rsidRPr="007D54E4">
        <w:rPr>
          <w:rFonts w:ascii="ITC Avant Garde" w:hAnsi="ITC Avant Garde"/>
          <w:lang w:val="es-MX"/>
        </w:rPr>
        <w:t>.</w:t>
      </w:r>
    </w:p>
    <w:p w14:paraId="037F1456" w14:textId="10D360EE" w:rsidR="001769CC" w:rsidRPr="007D54E4" w:rsidRDefault="001769CC" w:rsidP="000E1239">
      <w:pPr>
        <w:rPr>
          <w:rFonts w:ascii="ITC Avant Garde" w:hAnsi="ITC Avant Garde"/>
          <w:lang w:val="es-MX"/>
        </w:rPr>
      </w:pPr>
      <w:r w:rsidRPr="007D54E4">
        <w:rPr>
          <w:rFonts w:ascii="ITC Avant Garde" w:hAnsi="ITC Avant Garde"/>
          <w:lang w:val="es-MX"/>
        </w:rPr>
        <w:t xml:space="preserve">Asimismo, </w:t>
      </w:r>
      <w:r w:rsidR="006E55EC" w:rsidRPr="007D54E4">
        <w:rPr>
          <w:rFonts w:ascii="ITC Avant Garde" w:hAnsi="ITC Avant Garde"/>
          <w:lang w:val="es-MX"/>
        </w:rPr>
        <w:t xml:space="preserve">en lo tocante a </w:t>
      </w:r>
      <w:r w:rsidRPr="007D54E4">
        <w:rPr>
          <w:rFonts w:ascii="ITC Avant Garde" w:hAnsi="ITC Avant Garde"/>
          <w:lang w:val="es-MX"/>
        </w:rPr>
        <w:t>la inclusión de los enlaces dedicados en el modelo</w:t>
      </w:r>
      <w:r w:rsidR="006E55EC" w:rsidRPr="007D54E4">
        <w:rPr>
          <w:rFonts w:ascii="ITC Avant Garde" w:hAnsi="ITC Avant Garde"/>
          <w:lang w:val="es-MX"/>
        </w:rPr>
        <w:t xml:space="preserve">, el Instituto </w:t>
      </w:r>
      <w:r w:rsidR="000E1239" w:rsidRPr="007D54E4">
        <w:rPr>
          <w:rFonts w:ascii="ITC Avant Garde" w:hAnsi="ITC Avant Garde"/>
          <w:lang w:val="es-MX"/>
        </w:rPr>
        <w:t xml:space="preserve">señala </w:t>
      </w:r>
      <w:r w:rsidR="006E55EC" w:rsidRPr="007D54E4">
        <w:rPr>
          <w:rFonts w:ascii="ITC Avant Garde" w:hAnsi="ITC Avant Garde"/>
          <w:lang w:val="es-MX"/>
        </w:rPr>
        <w:t xml:space="preserve">que dicha consideración </w:t>
      </w:r>
      <w:r w:rsidRPr="007D54E4">
        <w:rPr>
          <w:rFonts w:ascii="ITC Avant Garde" w:hAnsi="ITC Avant Garde"/>
          <w:lang w:val="es-MX"/>
        </w:rPr>
        <w:t xml:space="preserve">es necesaria </w:t>
      </w:r>
      <w:r w:rsidR="000E1239" w:rsidRPr="007D54E4">
        <w:rPr>
          <w:rFonts w:ascii="ITC Avant Garde" w:hAnsi="ITC Avant Garde"/>
          <w:lang w:val="es-MX"/>
        </w:rPr>
        <w:t>desde el punto de vista de la metodología CIPLP</w:t>
      </w:r>
      <w:r w:rsidR="00056CFE" w:rsidRPr="007D54E4">
        <w:rPr>
          <w:rFonts w:ascii="ITC Avant Garde" w:hAnsi="ITC Avant Garde"/>
          <w:lang w:val="es-MX"/>
        </w:rPr>
        <w:t>,</w:t>
      </w:r>
      <w:r w:rsidR="000E1239" w:rsidRPr="007D54E4">
        <w:rPr>
          <w:rFonts w:ascii="ITC Avant Garde" w:hAnsi="ITC Avant Garde"/>
          <w:lang w:val="es-MX"/>
        </w:rPr>
        <w:t xml:space="preserve"> seguida para la implementación del modelo de costos en cuestión, en el entendido de que permite reflejar</w:t>
      </w:r>
      <w:r w:rsidRPr="007D54E4">
        <w:rPr>
          <w:rFonts w:ascii="ITC Avant Garde" w:hAnsi="ITC Avant Garde"/>
          <w:lang w:val="es-MX"/>
        </w:rPr>
        <w:t xml:space="preserve"> las economías de escala alcanzadas por la compartición de elementos de red entre los servicios GPON y </w:t>
      </w:r>
      <w:r w:rsidRPr="007D54E4">
        <w:rPr>
          <w:rFonts w:ascii="ITC Avant Garde" w:hAnsi="ITC Avant Garde"/>
          <w:lang w:val="es-MX"/>
        </w:rPr>
        <w:lastRenderedPageBreak/>
        <w:t>los enlaces dedicados, independientemente de su relación o no con la oferta de referencia correspondiente</w:t>
      </w:r>
      <w:r w:rsidR="000E1239" w:rsidRPr="007D54E4">
        <w:rPr>
          <w:rFonts w:ascii="ITC Avant Garde" w:hAnsi="ITC Avant Garde"/>
          <w:lang w:val="es-MX"/>
        </w:rPr>
        <w:t xml:space="preserve"> asociada a los servicios de desagregación del AEP</w:t>
      </w:r>
      <w:r w:rsidRPr="007D54E4">
        <w:rPr>
          <w:rFonts w:ascii="ITC Avant Garde" w:hAnsi="ITC Avant Garde"/>
          <w:lang w:val="es-MX"/>
        </w:rPr>
        <w:t>.</w:t>
      </w:r>
    </w:p>
    <w:p w14:paraId="1AEA5393" w14:textId="6258EF63" w:rsidR="004C3DB8" w:rsidRPr="007D54E4" w:rsidRDefault="00477423" w:rsidP="00477423">
      <w:pPr>
        <w:pStyle w:val="Ttulo3"/>
        <w:rPr>
          <w:rFonts w:ascii="ITC Avant Garde" w:hAnsi="ITC Avant Garde"/>
          <w:lang w:val="es-ES_tradnl"/>
        </w:rPr>
      </w:pPr>
      <w:bookmarkStart w:id="2" w:name="_Ref529358541"/>
      <w:r w:rsidRPr="007D54E4">
        <w:rPr>
          <w:rFonts w:ascii="ITC Avant Garde" w:hAnsi="ITC Avant Garde"/>
          <w:lang w:val="es-ES_tradnl"/>
        </w:rPr>
        <w:t>¿Está de acuerdo con la selección de parámetros de costos definidos en el modelo?</w:t>
      </w:r>
      <w:bookmarkEnd w:id="2"/>
    </w:p>
    <w:p w14:paraId="3F6501DE" w14:textId="77777777" w:rsidR="00850ECB" w:rsidRPr="007D54E4" w:rsidRDefault="00850ECB" w:rsidP="00477423">
      <w:pPr>
        <w:pStyle w:val="Ttulo3"/>
        <w:numPr>
          <w:ilvl w:val="0"/>
          <w:numId w:val="0"/>
        </w:numPr>
        <w:rPr>
          <w:rFonts w:ascii="ITC Avant Garde" w:hAnsi="ITC Avant Garde"/>
          <w:b w:val="0"/>
          <w:i/>
          <w:u w:val="single"/>
          <w:lang w:val="es-ES_tradnl"/>
        </w:rPr>
      </w:pPr>
      <w:r w:rsidRPr="007D54E4">
        <w:rPr>
          <w:rFonts w:ascii="ITC Avant Garde" w:hAnsi="ITC Avant Garde"/>
          <w:b w:val="0"/>
          <w:i/>
          <w:u w:val="single"/>
          <w:lang w:val="es-ES_tradnl"/>
        </w:rPr>
        <w:t>Resumen de comentarios de la Consulta Pública</w:t>
      </w:r>
    </w:p>
    <w:p w14:paraId="264D7AA8" w14:textId="66F93868" w:rsidR="00477423" w:rsidRPr="007D54E4" w:rsidRDefault="001236ED" w:rsidP="00477423">
      <w:pPr>
        <w:rPr>
          <w:rFonts w:ascii="ITC Avant Garde" w:hAnsi="ITC Avant Garde"/>
          <w:lang w:val="es-MX"/>
        </w:rPr>
      </w:pPr>
      <w:r w:rsidRPr="007D54E4">
        <w:rPr>
          <w:rFonts w:ascii="ITC Avant Garde" w:hAnsi="ITC Avant Garde"/>
          <w:lang w:val="es-MX"/>
        </w:rPr>
        <w:t>En torno a los comentarios recibidos para la presente interrogante, el Instituto</w:t>
      </w:r>
      <w:r w:rsidR="00477423" w:rsidRPr="007D54E4">
        <w:rPr>
          <w:rFonts w:ascii="ITC Avant Garde" w:hAnsi="ITC Avant Garde"/>
          <w:lang w:val="es-MX"/>
        </w:rPr>
        <w:t xml:space="preserve"> </w:t>
      </w:r>
      <w:r w:rsidRPr="007D54E4">
        <w:rPr>
          <w:rFonts w:ascii="ITC Avant Garde" w:hAnsi="ITC Avant Garde"/>
          <w:lang w:val="es-MX"/>
        </w:rPr>
        <w:t>destaca</w:t>
      </w:r>
      <w:r w:rsidR="00477423" w:rsidRPr="007D54E4">
        <w:rPr>
          <w:rFonts w:ascii="ITC Avant Garde" w:hAnsi="ITC Avant Garde"/>
          <w:lang w:val="es-MX"/>
        </w:rPr>
        <w:t xml:space="preserve"> que los participantes</w:t>
      </w:r>
      <w:r w:rsidRPr="007D54E4">
        <w:rPr>
          <w:rFonts w:ascii="ITC Avant Garde" w:hAnsi="ITC Avant Garde"/>
          <w:lang w:val="es-MX"/>
        </w:rPr>
        <w:t xml:space="preserve"> de la consulta</w:t>
      </w:r>
      <w:r w:rsidR="00477423" w:rsidRPr="007D54E4">
        <w:rPr>
          <w:rFonts w:ascii="ITC Avant Garde" w:hAnsi="ITC Avant Garde"/>
          <w:lang w:val="es-MX"/>
        </w:rPr>
        <w:t xml:space="preserve"> han expresado </w:t>
      </w:r>
      <w:r w:rsidR="00E02C92" w:rsidRPr="007D54E4">
        <w:rPr>
          <w:rFonts w:ascii="ITC Avant Garde" w:hAnsi="ITC Avant Garde"/>
          <w:lang w:val="es-MX"/>
        </w:rPr>
        <w:t>opiniones</w:t>
      </w:r>
      <w:r w:rsidR="00477423" w:rsidRPr="007D54E4">
        <w:rPr>
          <w:rFonts w:ascii="ITC Avant Garde" w:hAnsi="ITC Avant Garde"/>
          <w:lang w:val="es-MX"/>
        </w:rPr>
        <w:t xml:space="preserve"> </w:t>
      </w:r>
      <w:r w:rsidRPr="007D54E4">
        <w:rPr>
          <w:rFonts w:ascii="ITC Avant Garde" w:hAnsi="ITC Avant Garde"/>
          <w:lang w:val="es-MX"/>
        </w:rPr>
        <w:t xml:space="preserve">que se encuentran </w:t>
      </w:r>
      <w:r w:rsidR="00477423" w:rsidRPr="007D54E4">
        <w:rPr>
          <w:rFonts w:ascii="ITC Avant Garde" w:hAnsi="ITC Avant Garde"/>
          <w:lang w:val="es-MX"/>
        </w:rPr>
        <w:t xml:space="preserve">estrechamente relacionados </w:t>
      </w:r>
      <w:r w:rsidR="009253CA" w:rsidRPr="007D54E4">
        <w:rPr>
          <w:rFonts w:ascii="ITC Avant Garde" w:hAnsi="ITC Avant Garde"/>
          <w:lang w:val="es-MX"/>
        </w:rPr>
        <w:t>con</w:t>
      </w:r>
      <w:r w:rsidR="00477423" w:rsidRPr="007D54E4">
        <w:rPr>
          <w:rFonts w:ascii="ITC Avant Garde" w:hAnsi="ITC Avant Garde"/>
          <w:lang w:val="es-MX"/>
        </w:rPr>
        <w:t xml:space="preserve"> aspectos discutidos en otras secciones</w:t>
      </w:r>
      <w:r w:rsidRPr="007D54E4">
        <w:rPr>
          <w:rFonts w:ascii="ITC Avant Garde" w:hAnsi="ITC Avant Garde"/>
          <w:lang w:val="es-MX"/>
        </w:rPr>
        <w:t xml:space="preserve"> del presente documento</w:t>
      </w:r>
      <w:r w:rsidR="00477423" w:rsidRPr="007D54E4">
        <w:rPr>
          <w:rFonts w:ascii="ITC Avant Garde" w:hAnsi="ITC Avant Garde"/>
          <w:lang w:val="es-MX"/>
        </w:rPr>
        <w:t xml:space="preserve">. Por lo tanto, a efecto de facilitar el análisis correspondiente, </w:t>
      </w:r>
      <w:r w:rsidR="009A7724" w:rsidRPr="007D54E4">
        <w:rPr>
          <w:rFonts w:ascii="ITC Avant Garde" w:hAnsi="ITC Avant Garde"/>
          <w:lang w:val="es-MX"/>
        </w:rPr>
        <w:t xml:space="preserve">dichos comentarios se han incluido en la sección correspondiente, de acuerdo a las </w:t>
      </w:r>
      <w:r w:rsidR="00477423" w:rsidRPr="007D54E4">
        <w:rPr>
          <w:rFonts w:ascii="ITC Avant Garde" w:hAnsi="ITC Avant Garde"/>
          <w:lang w:val="es-MX"/>
        </w:rPr>
        <w:t>temáticas</w:t>
      </w:r>
      <w:r w:rsidR="009A7724" w:rsidRPr="007D54E4">
        <w:rPr>
          <w:rFonts w:ascii="ITC Avant Garde" w:hAnsi="ITC Avant Garde"/>
          <w:lang w:val="es-MX"/>
        </w:rPr>
        <w:t xml:space="preserve"> </w:t>
      </w:r>
      <w:r w:rsidR="0013713B" w:rsidRPr="007D54E4">
        <w:rPr>
          <w:rFonts w:ascii="ITC Avant Garde" w:hAnsi="ITC Avant Garde"/>
          <w:lang w:val="es-MX"/>
        </w:rPr>
        <w:t>asociadas</w:t>
      </w:r>
      <w:r w:rsidR="009A7724" w:rsidRPr="007D54E4">
        <w:rPr>
          <w:rFonts w:ascii="ITC Avant Garde" w:hAnsi="ITC Avant Garde"/>
          <w:lang w:val="es-MX"/>
        </w:rPr>
        <w:t>,</w:t>
      </w:r>
      <w:r w:rsidR="00477423" w:rsidRPr="007D54E4">
        <w:rPr>
          <w:rFonts w:ascii="ITC Avant Garde" w:hAnsi="ITC Avant Garde"/>
          <w:lang w:val="es-MX"/>
        </w:rPr>
        <w:t xml:space="preserve"> </w:t>
      </w:r>
      <w:r w:rsidR="00E02C92" w:rsidRPr="007D54E4">
        <w:rPr>
          <w:rFonts w:ascii="ITC Avant Garde" w:hAnsi="ITC Avant Garde"/>
          <w:lang w:val="es-MX"/>
        </w:rPr>
        <w:t>según se indica en la siguiente tabla</w:t>
      </w:r>
      <w:r w:rsidR="00477423" w:rsidRPr="007D54E4">
        <w:rPr>
          <w:rFonts w:ascii="ITC Avant Garde" w:hAnsi="ITC Avant Garde"/>
          <w:lang w:val="es-MX"/>
        </w:rPr>
        <w:t>:</w:t>
      </w:r>
      <w:r w:rsidRPr="007D54E4">
        <w:rPr>
          <w:rFonts w:ascii="ITC Avant Garde" w:hAnsi="ITC Avant Garde"/>
          <w:lang w:val="es-MX"/>
        </w:rPr>
        <w:tab/>
      </w:r>
    </w:p>
    <w:tbl>
      <w:tblPr>
        <w:tblW w:w="3132" w:type="pct"/>
        <w:jc w:val="center"/>
        <w:tblCellMar>
          <w:left w:w="70" w:type="dxa"/>
          <w:right w:w="70" w:type="dxa"/>
        </w:tblCellMar>
        <w:tblLook w:val="04A0" w:firstRow="1" w:lastRow="0" w:firstColumn="1" w:lastColumn="0" w:noHBand="0" w:noVBand="1"/>
      </w:tblPr>
      <w:tblGrid>
        <w:gridCol w:w="275"/>
        <w:gridCol w:w="3536"/>
        <w:gridCol w:w="1657"/>
      </w:tblGrid>
      <w:tr w:rsidR="00E02C92" w:rsidRPr="00CA0B9B" w14:paraId="585EB329" w14:textId="77777777" w:rsidTr="00E02C92">
        <w:trPr>
          <w:trHeight w:val="215"/>
          <w:jc w:val="center"/>
        </w:trPr>
        <w:tc>
          <w:tcPr>
            <w:tcW w:w="252" w:type="pct"/>
            <w:tcBorders>
              <w:top w:val="nil"/>
              <w:left w:val="nil"/>
              <w:bottom w:val="nil"/>
              <w:right w:val="nil"/>
            </w:tcBorders>
            <w:shd w:val="clear" w:color="221F72" w:fill="221F72"/>
          </w:tcPr>
          <w:p w14:paraId="5A45C27B" w14:textId="1585F8C0" w:rsidR="00E02C92" w:rsidRPr="00CA0B9B" w:rsidRDefault="00E02C92" w:rsidP="001236ED">
            <w:pPr>
              <w:spacing w:after="0" w:line="240" w:lineRule="auto"/>
              <w:rPr>
                <w:rFonts w:ascii="ITC Avant Garde" w:eastAsia="Times New Roman" w:hAnsi="ITC Avant Garde" w:cs="Arial"/>
                <w:b/>
                <w:bCs/>
                <w:color w:val="FFFFFF"/>
                <w:sz w:val="20"/>
                <w:szCs w:val="20"/>
                <w:lang w:val="es-MX" w:eastAsia="es-MX"/>
              </w:rPr>
            </w:pPr>
            <w:r w:rsidRPr="00CA0B9B">
              <w:rPr>
                <w:rFonts w:ascii="ITC Avant Garde" w:eastAsia="Times New Roman" w:hAnsi="ITC Avant Garde" w:cs="Arial"/>
                <w:b/>
                <w:bCs/>
                <w:color w:val="FFFFFF"/>
                <w:sz w:val="20"/>
                <w:szCs w:val="20"/>
                <w:lang w:val="es-MX" w:eastAsia="es-MX"/>
              </w:rPr>
              <w:t>#</w:t>
            </w:r>
          </w:p>
        </w:tc>
        <w:tc>
          <w:tcPr>
            <w:tcW w:w="3233" w:type="pct"/>
            <w:tcBorders>
              <w:top w:val="nil"/>
              <w:left w:val="nil"/>
              <w:bottom w:val="nil"/>
              <w:right w:val="nil"/>
            </w:tcBorders>
            <w:shd w:val="clear" w:color="221F72" w:fill="221F72"/>
            <w:hideMark/>
          </w:tcPr>
          <w:p w14:paraId="040E2FA9" w14:textId="60BD53D3" w:rsidR="00E02C92" w:rsidRPr="00CA0B9B" w:rsidRDefault="00E02C92" w:rsidP="001236ED">
            <w:pPr>
              <w:spacing w:after="0" w:line="240" w:lineRule="auto"/>
              <w:rPr>
                <w:rFonts w:ascii="ITC Avant Garde" w:eastAsia="Times New Roman" w:hAnsi="ITC Avant Garde" w:cs="Arial"/>
                <w:b/>
                <w:bCs/>
                <w:color w:val="FFFFFF"/>
                <w:sz w:val="20"/>
                <w:szCs w:val="20"/>
                <w:lang w:val="es-MX" w:eastAsia="es-MX"/>
              </w:rPr>
            </w:pPr>
            <w:r w:rsidRPr="00CA0B9B">
              <w:rPr>
                <w:rFonts w:ascii="ITC Avant Garde" w:eastAsia="Times New Roman" w:hAnsi="ITC Avant Garde" w:cs="Arial"/>
                <w:b/>
                <w:bCs/>
                <w:color w:val="FFFFFF"/>
                <w:sz w:val="20"/>
                <w:szCs w:val="20"/>
                <w:lang w:val="es-MX" w:eastAsia="es-MX"/>
              </w:rPr>
              <w:t>Temática</w:t>
            </w:r>
          </w:p>
        </w:tc>
        <w:tc>
          <w:tcPr>
            <w:tcW w:w="1515" w:type="pct"/>
            <w:tcBorders>
              <w:top w:val="nil"/>
              <w:left w:val="nil"/>
              <w:bottom w:val="nil"/>
              <w:right w:val="nil"/>
            </w:tcBorders>
            <w:shd w:val="clear" w:color="221F72" w:fill="221F72"/>
            <w:hideMark/>
          </w:tcPr>
          <w:p w14:paraId="2F472B8E" w14:textId="12D9D34B" w:rsidR="00E02C92" w:rsidRPr="00CA0B9B" w:rsidRDefault="00E02C92" w:rsidP="001236ED">
            <w:pPr>
              <w:spacing w:after="0" w:line="240" w:lineRule="auto"/>
              <w:jc w:val="center"/>
              <w:rPr>
                <w:rFonts w:ascii="ITC Avant Garde" w:eastAsia="Times New Roman" w:hAnsi="ITC Avant Garde" w:cs="Arial"/>
                <w:b/>
                <w:bCs/>
                <w:color w:val="FFFFFF"/>
                <w:sz w:val="20"/>
                <w:szCs w:val="20"/>
                <w:lang w:val="es-MX" w:eastAsia="es-MX"/>
              </w:rPr>
            </w:pPr>
            <w:r w:rsidRPr="00CA0B9B">
              <w:rPr>
                <w:rFonts w:ascii="ITC Avant Garde" w:eastAsia="Times New Roman" w:hAnsi="ITC Avant Garde" w:cs="Arial"/>
                <w:b/>
                <w:bCs/>
                <w:color w:val="FFFFFF"/>
                <w:sz w:val="20"/>
                <w:szCs w:val="20"/>
                <w:lang w:val="es-MX" w:eastAsia="es-MX"/>
              </w:rPr>
              <w:t>Sección donde se aborda</w:t>
            </w:r>
          </w:p>
        </w:tc>
      </w:tr>
      <w:tr w:rsidR="00E02C92" w:rsidRPr="00CA0B9B" w14:paraId="046FB1D8" w14:textId="77777777" w:rsidTr="00E02C92">
        <w:trPr>
          <w:trHeight w:val="396"/>
          <w:jc w:val="center"/>
        </w:trPr>
        <w:tc>
          <w:tcPr>
            <w:tcW w:w="252" w:type="pct"/>
            <w:tcBorders>
              <w:top w:val="nil"/>
              <w:left w:val="nil"/>
              <w:bottom w:val="nil"/>
              <w:right w:val="nil"/>
            </w:tcBorders>
            <w:shd w:val="clear" w:color="000000" w:fill="F2F2F2"/>
            <w:vAlign w:val="center"/>
          </w:tcPr>
          <w:p w14:paraId="6C8017E2" w14:textId="0A69BAB5" w:rsidR="00E02C92" w:rsidRPr="00CA0B9B" w:rsidRDefault="00E02C92" w:rsidP="00E02C92">
            <w:pPr>
              <w:spacing w:after="0" w:line="240" w:lineRule="auto"/>
              <w:jc w:val="center"/>
              <w:rPr>
                <w:rFonts w:ascii="ITC Avant Garde" w:eastAsia="Times New Roman" w:hAnsi="ITC Avant Garde" w:cs="Arial"/>
                <w:b/>
                <w:bCs/>
                <w:sz w:val="20"/>
                <w:szCs w:val="20"/>
                <w:lang w:val="es-MX" w:eastAsia="es-MX"/>
              </w:rPr>
            </w:pPr>
            <w:r w:rsidRPr="00CA0B9B">
              <w:rPr>
                <w:rFonts w:ascii="ITC Avant Garde" w:eastAsia="Times New Roman" w:hAnsi="ITC Avant Garde" w:cs="Arial"/>
                <w:b/>
                <w:bCs/>
                <w:sz w:val="20"/>
                <w:szCs w:val="20"/>
                <w:lang w:val="es-MX" w:eastAsia="es-MX"/>
              </w:rPr>
              <w:t>1</w:t>
            </w:r>
          </w:p>
        </w:tc>
        <w:tc>
          <w:tcPr>
            <w:tcW w:w="3233" w:type="pct"/>
            <w:tcBorders>
              <w:top w:val="nil"/>
              <w:left w:val="nil"/>
              <w:bottom w:val="nil"/>
              <w:right w:val="nil"/>
            </w:tcBorders>
            <w:shd w:val="clear" w:color="000000" w:fill="F2F2F2"/>
            <w:vAlign w:val="center"/>
            <w:hideMark/>
          </w:tcPr>
          <w:p w14:paraId="440C1E29" w14:textId="5F3417C0" w:rsidR="00E02C92" w:rsidRPr="00CA0B9B" w:rsidRDefault="00E02C92" w:rsidP="001236ED">
            <w:pPr>
              <w:spacing w:after="0" w:line="240" w:lineRule="auto"/>
              <w:jc w:val="left"/>
              <w:rPr>
                <w:rFonts w:ascii="ITC Avant Garde" w:eastAsia="Times New Roman" w:hAnsi="ITC Avant Garde" w:cs="Arial"/>
                <w:bCs/>
                <w:sz w:val="20"/>
                <w:szCs w:val="20"/>
                <w:lang w:val="es-MX" w:eastAsia="es-MX"/>
              </w:rPr>
            </w:pPr>
            <w:r w:rsidRPr="00CA0B9B">
              <w:rPr>
                <w:rFonts w:ascii="ITC Avant Garde" w:eastAsia="Times New Roman" w:hAnsi="ITC Avant Garde" w:cs="Arial"/>
                <w:bCs/>
                <w:sz w:val="20"/>
                <w:szCs w:val="20"/>
                <w:lang w:val="es-MX" w:eastAsia="es-MX"/>
              </w:rPr>
              <w:t>Servicios modelados</w:t>
            </w:r>
          </w:p>
        </w:tc>
        <w:tc>
          <w:tcPr>
            <w:tcW w:w="1515" w:type="pct"/>
            <w:tcBorders>
              <w:top w:val="nil"/>
              <w:left w:val="nil"/>
              <w:bottom w:val="nil"/>
              <w:right w:val="nil"/>
            </w:tcBorders>
            <w:shd w:val="clear" w:color="000000" w:fill="F2F2F2"/>
            <w:vAlign w:val="center"/>
            <w:hideMark/>
          </w:tcPr>
          <w:p w14:paraId="1FEDE4D0" w14:textId="0B1485C6" w:rsidR="00E02C92" w:rsidRPr="00CA0B9B" w:rsidRDefault="00E02C92" w:rsidP="001236ED">
            <w:pPr>
              <w:spacing w:after="0" w:line="240" w:lineRule="auto"/>
              <w:jc w:val="center"/>
              <w:rPr>
                <w:rFonts w:ascii="ITC Avant Garde" w:eastAsia="Times New Roman" w:hAnsi="ITC Avant Garde" w:cs="Arial"/>
                <w:b/>
                <w:bCs/>
                <w:sz w:val="20"/>
                <w:szCs w:val="20"/>
                <w:lang w:val="es-MX" w:eastAsia="es-MX"/>
              </w:rPr>
            </w:pPr>
            <w:r w:rsidRPr="00CA0B9B">
              <w:rPr>
                <w:rFonts w:ascii="ITC Avant Garde" w:hAnsi="ITC Avant Garde"/>
                <w:sz w:val="20"/>
                <w:szCs w:val="20"/>
                <w:lang w:val="es-MX"/>
              </w:rPr>
              <w:t xml:space="preserve">sección </w:t>
            </w:r>
            <w:r w:rsidRPr="00CA0B9B">
              <w:rPr>
                <w:rFonts w:ascii="ITC Avant Garde" w:hAnsi="ITC Avant Garde"/>
                <w:sz w:val="20"/>
                <w:szCs w:val="20"/>
                <w:lang w:val="es-MX"/>
              </w:rPr>
              <w:fldChar w:fldCharType="begin"/>
            </w:r>
            <w:r w:rsidRPr="00CA0B9B">
              <w:rPr>
                <w:rFonts w:ascii="ITC Avant Garde" w:hAnsi="ITC Avant Garde"/>
                <w:sz w:val="20"/>
                <w:szCs w:val="20"/>
                <w:lang w:val="es-MX"/>
              </w:rPr>
              <w:instrText xml:space="preserve"> REF _Ref467253612 \r \h  \* MERGEFORMAT </w:instrText>
            </w:r>
            <w:r w:rsidRPr="00CA0B9B">
              <w:rPr>
                <w:rFonts w:ascii="ITC Avant Garde" w:hAnsi="ITC Avant Garde"/>
                <w:sz w:val="20"/>
                <w:szCs w:val="20"/>
                <w:lang w:val="es-MX"/>
              </w:rPr>
            </w:r>
            <w:r w:rsidRPr="00CA0B9B">
              <w:rPr>
                <w:rFonts w:ascii="ITC Avant Garde" w:hAnsi="ITC Avant Garde"/>
                <w:sz w:val="20"/>
                <w:szCs w:val="20"/>
                <w:lang w:val="es-MX"/>
              </w:rPr>
              <w:fldChar w:fldCharType="separate"/>
            </w:r>
            <w:r w:rsidRPr="00CA0B9B">
              <w:rPr>
                <w:rFonts w:ascii="ITC Avant Garde" w:hAnsi="ITC Avant Garde"/>
                <w:sz w:val="20"/>
                <w:szCs w:val="20"/>
                <w:cs/>
                <w:lang w:val="es-MX"/>
              </w:rPr>
              <w:t>‎</w:t>
            </w:r>
            <w:r w:rsidRPr="00CA0B9B">
              <w:rPr>
                <w:rFonts w:ascii="ITC Avant Garde" w:hAnsi="ITC Avant Garde"/>
                <w:sz w:val="20"/>
                <w:szCs w:val="20"/>
                <w:lang w:val="es-MX"/>
              </w:rPr>
              <w:t>2.1</w:t>
            </w:r>
            <w:r w:rsidRPr="00CA0B9B">
              <w:rPr>
                <w:rFonts w:ascii="ITC Avant Garde" w:hAnsi="ITC Avant Garde"/>
                <w:sz w:val="20"/>
                <w:szCs w:val="20"/>
                <w:lang w:val="es-MX"/>
              </w:rPr>
              <w:fldChar w:fldCharType="end"/>
            </w:r>
          </w:p>
        </w:tc>
      </w:tr>
      <w:tr w:rsidR="00E02C92" w:rsidRPr="00CA0B9B" w14:paraId="04B4878E" w14:textId="77777777" w:rsidTr="00E02C92">
        <w:trPr>
          <w:trHeight w:val="396"/>
          <w:jc w:val="center"/>
        </w:trPr>
        <w:tc>
          <w:tcPr>
            <w:tcW w:w="252" w:type="pct"/>
            <w:tcBorders>
              <w:top w:val="nil"/>
              <w:left w:val="nil"/>
              <w:bottom w:val="nil"/>
              <w:right w:val="nil"/>
            </w:tcBorders>
            <w:vAlign w:val="center"/>
          </w:tcPr>
          <w:p w14:paraId="06F20026" w14:textId="758A744B" w:rsidR="00E02C92" w:rsidRPr="00CA0B9B" w:rsidRDefault="00E02C92" w:rsidP="00E02C92">
            <w:pPr>
              <w:spacing w:after="0" w:line="240" w:lineRule="auto"/>
              <w:jc w:val="center"/>
              <w:rPr>
                <w:rFonts w:ascii="ITC Avant Garde" w:eastAsia="Times New Roman" w:hAnsi="ITC Avant Garde" w:cs="Arial"/>
                <w:b/>
                <w:bCs/>
                <w:sz w:val="20"/>
                <w:szCs w:val="20"/>
                <w:lang w:val="es-MX" w:eastAsia="es-MX"/>
              </w:rPr>
            </w:pPr>
            <w:r w:rsidRPr="00CA0B9B">
              <w:rPr>
                <w:rFonts w:ascii="ITC Avant Garde" w:eastAsia="Times New Roman" w:hAnsi="ITC Avant Garde" w:cs="Arial"/>
                <w:b/>
                <w:bCs/>
                <w:sz w:val="20"/>
                <w:szCs w:val="20"/>
                <w:lang w:val="es-MX" w:eastAsia="es-MX"/>
              </w:rPr>
              <w:t>2</w:t>
            </w:r>
          </w:p>
        </w:tc>
        <w:tc>
          <w:tcPr>
            <w:tcW w:w="3233" w:type="pct"/>
            <w:tcBorders>
              <w:top w:val="nil"/>
              <w:left w:val="nil"/>
              <w:bottom w:val="nil"/>
              <w:right w:val="nil"/>
            </w:tcBorders>
            <w:shd w:val="clear" w:color="auto" w:fill="auto"/>
            <w:vAlign w:val="center"/>
            <w:hideMark/>
          </w:tcPr>
          <w:p w14:paraId="4C065A60" w14:textId="187977B4" w:rsidR="00E02C92" w:rsidRPr="00CA0B9B" w:rsidRDefault="00E02C92" w:rsidP="001236ED">
            <w:pPr>
              <w:spacing w:after="0" w:line="240" w:lineRule="auto"/>
              <w:jc w:val="left"/>
              <w:rPr>
                <w:rFonts w:ascii="ITC Avant Garde" w:eastAsia="Times New Roman" w:hAnsi="ITC Avant Garde" w:cs="Arial"/>
                <w:bCs/>
                <w:sz w:val="20"/>
                <w:szCs w:val="20"/>
                <w:lang w:val="es-MX" w:eastAsia="es-MX"/>
              </w:rPr>
            </w:pPr>
            <w:r w:rsidRPr="00CA0B9B">
              <w:rPr>
                <w:rFonts w:ascii="ITC Avant Garde" w:eastAsia="Times New Roman" w:hAnsi="ITC Avant Garde" w:cs="Arial"/>
                <w:bCs/>
                <w:sz w:val="20"/>
                <w:szCs w:val="20"/>
                <w:lang w:val="es-MX" w:eastAsia="es-MX"/>
              </w:rPr>
              <w:t>Demanda y cobertura</w:t>
            </w:r>
          </w:p>
        </w:tc>
        <w:tc>
          <w:tcPr>
            <w:tcW w:w="1515" w:type="pct"/>
            <w:tcBorders>
              <w:top w:val="nil"/>
              <w:left w:val="nil"/>
              <w:bottom w:val="nil"/>
              <w:right w:val="nil"/>
            </w:tcBorders>
            <w:shd w:val="clear" w:color="auto" w:fill="auto"/>
            <w:vAlign w:val="center"/>
            <w:hideMark/>
          </w:tcPr>
          <w:p w14:paraId="2AC5E37A" w14:textId="64BE5679" w:rsidR="00E02C92" w:rsidRPr="00CA0B9B" w:rsidRDefault="00E02C92" w:rsidP="001236ED">
            <w:pPr>
              <w:spacing w:after="0" w:line="240" w:lineRule="auto"/>
              <w:jc w:val="center"/>
              <w:rPr>
                <w:rFonts w:ascii="ITC Avant Garde" w:eastAsia="Times New Roman" w:hAnsi="ITC Avant Garde" w:cs="Arial"/>
                <w:b/>
                <w:bCs/>
                <w:sz w:val="20"/>
                <w:szCs w:val="20"/>
                <w:lang w:val="es-MX" w:eastAsia="es-MX"/>
              </w:rPr>
            </w:pPr>
            <w:r w:rsidRPr="00CA0B9B">
              <w:rPr>
                <w:rFonts w:ascii="ITC Avant Garde" w:hAnsi="ITC Avant Garde"/>
                <w:sz w:val="20"/>
                <w:szCs w:val="20"/>
                <w:lang w:val="es-MX"/>
              </w:rPr>
              <w:t xml:space="preserve">sección </w:t>
            </w:r>
            <w:r w:rsidRPr="00CA0B9B">
              <w:rPr>
                <w:rFonts w:ascii="ITC Avant Garde" w:hAnsi="ITC Avant Garde"/>
                <w:sz w:val="20"/>
                <w:szCs w:val="20"/>
                <w:lang w:val="es-MX"/>
              </w:rPr>
              <w:fldChar w:fldCharType="begin"/>
            </w:r>
            <w:r w:rsidRPr="00CA0B9B">
              <w:rPr>
                <w:rFonts w:ascii="ITC Avant Garde" w:hAnsi="ITC Avant Garde"/>
                <w:sz w:val="20"/>
                <w:szCs w:val="20"/>
                <w:lang w:val="es-MX"/>
              </w:rPr>
              <w:instrText xml:space="preserve"> REF _Ref467254692 \r \h  \* MERGEFORMAT </w:instrText>
            </w:r>
            <w:r w:rsidRPr="00CA0B9B">
              <w:rPr>
                <w:rFonts w:ascii="ITC Avant Garde" w:hAnsi="ITC Avant Garde"/>
                <w:sz w:val="20"/>
                <w:szCs w:val="20"/>
                <w:lang w:val="es-MX"/>
              </w:rPr>
            </w:r>
            <w:r w:rsidRPr="00CA0B9B">
              <w:rPr>
                <w:rFonts w:ascii="ITC Avant Garde" w:hAnsi="ITC Avant Garde"/>
                <w:sz w:val="20"/>
                <w:szCs w:val="20"/>
                <w:lang w:val="es-MX"/>
              </w:rPr>
              <w:fldChar w:fldCharType="separate"/>
            </w:r>
            <w:r w:rsidRPr="00CA0B9B">
              <w:rPr>
                <w:rFonts w:ascii="ITC Avant Garde" w:hAnsi="ITC Avant Garde"/>
                <w:sz w:val="20"/>
                <w:szCs w:val="20"/>
                <w:cs/>
                <w:lang w:val="es-MX"/>
              </w:rPr>
              <w:t>‎</w:t>
            </w:r>
            <w:r w:rsidRPr="00CA0B9B">
              <w:rPr>
                <w:rFonts w:ascii="ITC Avant Garde" w:hAnsi="ITC Avant Garde"/>
                <w:sz w:val="20"/>
                <w:szCs w:val="20"/>
                <w:lang w:val="es-MX"/>
              </w:rPr>
              <w:t>2.4</w:t>
            </w:r>
            <w:r w:rsidRPr="00CA0B9B">
              <w:rPr>
                <w:rFonts w:ascii="ITC Avant Garde" w:hAnsi="ITC Avant Garde"/>
                <w:sz w:val="20"/>
                <w:szCs w:val="20"/>
                <w:lang w:val="es-MX"/>
              </w:rPr>
              <w:fldChar w:fldCharType="end"/>
            </w:r>
          </w:p>
        </w:tc>
      </w:tr>
      <w:tr w:rsidR="00E02C92" w:rsidRPr="00CA0B9B" w14:paraId="2719A1C1" w14:textId="77777777" w:rsidTr="00E02C92">
        <w:trPr>
          <w:trHeight w:val="396"/>
          <w:jc w:val="center"/>
        </w:trPr>
        <w:tc>
          <w:tcPr>
            <w:tcW w:w="252" w:type="pct"/>
            <w:tcBorders>
              <w:top w:val="nil"/>
              <w:left w:val="nil"/>
              <w:bottom w:val="nil"/>
              <w:right w:val="nil"/>
            </w:tcBorders>
            <w:shd w:val="clear" w:color="000000" w:fill="F2F2F2"/>
            <w:vAlign w:val="center"/>
          </w:tcPr>
          <w:p w14:paraId="3E6D807F" w14:textId="5E69DC26" w:rsidR="00E02C92" w:rsidRPr="00CA0B9B" w:rsidRDefault="00E02C92" w:rsidP="00E02C92">
            <w:pPr>
              <w:spacing w:after="0" w:line="240" w:lineRule="auto"/>
              <w:jc w:val="center"/>
              <w:rPr>
                <w:rFonts w:ascii="ITC Avant Garde" w:eastAsia="Times New Roman" w:hAnsi="ITC Avant Garde" w:cs="Arial"/>
                <w:b/>
                <w:bCs/>
                <w:sz w:val="20"/>
                <w:szCs w:val="20"/>
                <w:lang w:val="es-MX" w:eastAsia="es-MX"/>
              </w:rPr>
            </w:pPr>
            <w:r w:rsidRPr="00CA0B9B">
              <w:rPr>
                <w:rFonts w:ascii="ITC Avant Garde" w:eastAsia="Times New Roman" w:hAnsi="ITC Avant Garde" w:cs="Arial"/>
                <w:b/>
                <w:bCs/>
                <w:sz w:val="20"/>
                <w:szCs w:val="20"/>
                <w:lang w:val="es-MX" w:eastAsia="es-MX"/>
              </w:rPr>
              <w:t>3</w:t>
            </w:r>
          </w:p>
        </w:tc>
        <w:tc>
          <w:tcPr>
            <w:tcW w:w="3233" w:type="pct"/>
            <w:tcBorders>
              <w:top w:val="nil"/>
              <w:left w:val="nil"/>
              <w:bottom w:val="nil"/>
              <w:right w:val="nil"/>
            </w:tcBorders>
            <w:shd w:val="clear" w:color="000000" w:fill="F2F2F2"/>
            <w:vAlign w:val="center"/>
            <w:hideMark/>
          </w:tcPr>
          <w:p w14:paraId="1CC109F6" w14:textId="269BB4A2" w:rsidR="00E02C92" w:rsidRPr="00CA0B9B" w:rsidRDefault="00E02C92" w:rsidP="001236ED">
            <w:pPr>
              <w:spacing w:after="0" w:line="240" w:lineRule="auto"/>
              <w:jc w:val="left"/>
              <w:rPr>
                <w:rFonts w:ascii="ITC Avant Garde" w:eastAsia="Times New Roman" w:hAnsi="ITC Avant Garde" w:cs="Arial"/>
                <w:bCs/>
                <w:sz w:val="20"/>
                <w:szCs w:val="20"/>
                <w:lang w:val="es-MX" w:eastAsia="es-MX"/>
              </w:rPr>
            </w:pPr>
            <w:r w:rsidRPr="00CA0B9B">
              <w:rPr>
                <w:rFonts w:ascii="ITC Avant Garde" w:eastAsia="Times New Roman" w:hAnsi="ITC Avant Garde" w:cs="Arial"/>
                <w:bCs/>
                <w:sz w:val="20"/>
                <w:szCs w:val="20"/>
                <w:lang w:val="es-MX" w:eastAsia="es-MX"/>
              </w:rPr>
              <w:t>Análisis geográfico</w:t>
            </w:r>
          </w:p>
        </w:tc>
        <w:tc>
          <w:tcPr>
            <w:tcW w:w="1515" w:type="pct"/>
            <w:tcBorders>
              <w:top w:val="nil"/>
              <w:left w:val="nil"/>
              <w:bottom w:val="nil"/>
              <w:right w:val="nil"/>
            </w:tcBorders>
            <w:shd w:val="clear" w:color="000000" w:fill="F2F2F2"/>
            <w:vAlign w:val="center"/>
            <w:hideMark/>
          </w:tcPr>
          <w:p w14:paraId="34A7DEC3" w14:textId="7D549683" w:rsidR="00E02C92" w:rsidRPr="00CA0B9B" w:rsidRDefault="00E02C92" w:rsidP="001236ED">
            <w:pPr>
              <w:spacing w:after="0" w:line="240" w:lineRule="auto"/>
              <w:jc w:val="center"/>
              <w:rPr>
                <w:rFonts w:ascii="ITC Avant Garde" w:eastAsia="Times New Roman" w:hAnsi="ITC Avant Garde" w:cs="Arial"/>
                <w:b/>
                <w:bCs/>
                <w:sz w:val="20"/>
                <w:szCs w:val="20"/>
                <w:lang w:val="es-MX" w:eastAsia="es-MX"/>
              </w:rPr>
            </w:pPr>
            <w:r w:rsidRPr="00CA0B9B">
              <w:rPr>
                <w:rFonts w:ascii="ITC Avant Garde" w:hAnsi="ITC Avant Garde"/>
                <w:sz w:val="20"/>
                <w:szCs w:val="20"/>
                <w:lang w:val="es-MX"/>
              </w:rPr>
              <w:t xml:space="preserve">sección </w:t>
            </w:r>
            <w:r w:rsidRPr="00CA0B9B">
              <w:rPr>
                <w:rFonts w:ascii="ITC Avant Garde" w:hAnsi="ITC Avant Garde"/>
                <w:sz w:val="20"/>
                <w:szCs w:val="20"/>
                <w:lang w:val="es-MX"/>
              </w:rPr>
              <w:fldChar w:fldCharType="begin"/>
            </w:r>
            <w:r w:rsidRPr="00CA0B9B">
              <w:rPr>
                <w:rFonts w:ascii="ITC Avant Garde" w:hAnsi="ITC Avant Garde"/>
                <w:sz w:val="20"/>
                <w:szCs w:val="20"/>
                <w:lang w:val="es-MX"/>
              </w:rPr>
              <w:instrText xml:space="preserve"> REF _Ref467253095 \r \h  \* MERGEFORMAT </w:instrText>
            </w:r>
            <w:r w:rsidRPr="00CA0B9B">
              <w:rPr>
                <w:rFonts w:ascii="ITC Avant Garde" w:hAnsi="ITC Avant Garde"/>
                <w:sz w:val="20"/>
                <w:szCs w:val="20"/>
                <w:lang w:val="es-MX"/>
              </w:rPr>
            </w:r>
            <w:r w:rsidRPr="00CA0B9B">
              <w:rPr>
                <w:rFonts w:ascii="ITC Avant Garde" w:hAnsi="ITC Avant Garde"/>
                <w:sz w:val="20"/>
                <w:szCs w:val="20"/>
                <w:lang w:val="es-MX"/>
              </w:rPr>
              <w:fldChar w:fldCharType="separate"/>
            </w:r>
            <w:r w:rsidRPr="00CA0B9B">
              <w:rPr>
                <w:rFonts w:ascii="ITC Avant Garde" w:hAnsi="ITC Avant Garde"/>
                <w:sz w:val="20"/>
                <w:szCs w:val="20"/>
                <w:cs/>
                <w:lang w:val="es-MX"/>
              </w:rPr>
              <w:t>‎</w:t>
            </w:r>
            <w:r w:rsidRPr="00CA0B9B">
              <w:rPr>
                <w:rFonts w:ascii="ITC Avant Garde" w:hAnsi="ITC Avant Garde"/>
                <w:sz w:val="20"/>
                <w:szCs w:val="20"/>
                <w:lang w:val="es-MX"/>
              </w:rPr>
              <w:t>2.6</w:t>
            </w:r>
            <w:r w:rsidRPr="00CA0B9B">
              <w:rPr>
                <w:rFonts w:ascii="ITC Avant Garde" w:hAnsi="ITC Avant Garde"/>
                <w:sz w:val="20"/>
                <w:szCs w:val="20"/>
                <w:lang w:val="es-MX"/>
              </w:rPr>
              <w:fldChar w:fldCharType="end"/>
            </w:r>
          </w:p>
        </w:tc>
      </w:tr>
      <w:tr w:rsidR="00E02C92" w:rsidRPr="00CA0B9B" w14:paraId="2027E8F4" w14:textId="77777777" w:rsidTr="00E02C92">
        <w:trPr>
          <w:trHeight w:val="396"/>
          <w:jc w:val="center"/>
        </w:trPr>
        <w:tc>
          <w:tcPr>
            <w:tcW w:w="252" w:type="pct"/>
            <w:tcBorders>
              <w:top w:val="nil"/>
              <w:left w:val="nil"/>
              <w:bottom w:val="nil"/>
              <w:right w:val="nil"/>
            </w:tcBorders>
            <w:vAlign w:val="center"/>
          </w:tcPr>
          <w:p w14:paraId="3B91BD8A" w14:textId="5B61E4AA" w:rsidR="00E02C92" w:rsidRPr="00CA0B9B" w:rsidRDefault="00E02C92" w:rsidP="00E02C92">
            <w:pPr>
              <w:spacing w:after="0" w:line="240" w:lineRule="auto"/>
              <w:jc w:val="center"/>
              <w:rPr>
                <w:rFonts w:ascii="ITC Avant Garde" w:eastAsia="Times New Roman" w:hAnsi="ITC Avant Garde" w:cs="Arial"/>
                <w:b/>
                <w:bCs/>
                <w:sz w:val="20"/>
                <w:szCs w:val="20"/>
                <w:lang w:val="es-MX" w:eastAsia="es-MX"/>
              </w:rPr>
            </w:pPr>
            <w:r w:rsidRPr="00CA0B9B">
              <w:rPr>
                <w:rFonts w:ascii="ITC Avant Garde" w:eastAsia="Times New Roman" w:hAnsi="ITC Avant Garde" w:cs="Arial"/>
                <w:b/>
                <w:bCs/>
                <w:sz w:val="20"/>
                <w:szCs w:val="20"/>
                <w:lang w:val="es-MX" w:eastAsia="es-MX"/>
              </w:rPr>
              <w:t>4</w:t>
            </w:r>
          </w:p>
        </w:tc>
        <w:tc>
          <w:tcPr>
            <w:tcW w:w="3233" w:type="pct"/>
            <w:tcBorders>
              <w:top w:val="nil"/>
              <w:left w:val="nil"/>
              <w:bottom w:val="nil"/>
              <w:right w:val="nil"/>
            </w:tcBorders>
            <w:shd w:val="clear" w:color="auto" w:fill="auto"/>
            <w:vAlign w:val="center"/>
            <w:hideMark/>
          </w:tcPr>
          <w:p w14:paraId="1D5F2475" w14:textId="0F2C8FB5" w:rsidR="00E02C92" w:rsidRPr="00CA0B9B" w:rsidRDefault="00E02C92" w:rsidP="001236ED">
            <w:pPr>
              <w:spacing w:after="0" w:line="240" w:lineRule="auto"/>
              <w:jc w:val="left"/>
              <w:rPr>
                <w:rFonts w:ascii="ITC Avant Garde" w:eastAsia="Times New Roman" w:hAnsi="ITC Avant Garde" w:cs="Arial"/>
                <w:bCs/>
                <w:sz w:val="20"/>
                <w:szCs w:val="20"/>
                <w:lang w:val="es-MX" w:eastAsia="es-MX"/>
              </w:rPr>
            </w:pPr>
            <w:r w:rsidRPr="00CA0B9B">
              <w:rPr>
                <w:rFonts w:ascii="ITC Avant Garde" w:eastAsia="Times New Roman" w:hAnsi="ITC Avant Garde" w:cs="Arial"/>
                <w:bCs/>
                <w:sz w:val="20"/>
                <w:szCs w:val="20"/>
                <w:lang w:val="es-MX" w:eastAsia="es-MX"/>
              </w:rPr>
              <w:t>Valores de OPEX y CAPEX considerados en el modelo y tratamiento de los mismos</w:t>
            </w:r>
          </w:p>
        </w:tc>
        <w:tc>
          <w:tcPr>
            <w:tcW w:w="1515" w:type="pct"/>
            <w:tcBorders>
              <w:top w:val="nil"/>
              <w:left w:val="nil"/>
              <w:bottom w:val="nil"/>
              <w:right w:val="nil"/>
            </w:tcBorders>
            <w:shd w:val="clear" w:color="auto" w:fill="auto"/>
            <w:vAlign w:val="center"/>
            <w:hideMark/>
          </w:tcPr>
          <w:p w14:paraId="660670F2" w14:textId="162A601A" w:rsidR="00E02C92" w:rsidRPr="00CA0B9B" w:rsidRDefault="00E02C92" w:rsidP="001236ED">
            <w:pPr>
              <w:spacing w:after="0" w:line="240" w:lineRule="auto"/>
              <w:jc w:val="center"/>
              <w:rPr>
                <w:rFonts w:ascii="ITC Avant Garde" w:eastAsia="Times New Roman" w:hAnsi="ITC Avant Garde" w:cs="Arial"/>
                <w:b/>
                <w:bCs/>
                <w:sz w:val="20"/>
                <w:szCs w:val="20"/>
                <w:lang w:val="es-MX" w:eastAsia="es-MX"/>
              </w:rPr>
            </w:pPr>
            <w:r w:rsidRPr="00CA0B9B">
              <w:rPr>
                <w:rFonts w:ascii="ITC Avant Garde" w:hAnsi="ITC Avant Garde"/>
                <w:sz w:val="20"/>
                <w:szCs w:val="20"/>
                <w:lang w:val="es-MX"/>
              </w:rPr>
              <w:t xml:space="preserve">sección </w:t>
            </w:r>
            <w:r w:rsidRPr="00CA0B9B">
              <w:rPr>
                <w:rFonts w:ascii="ITC Avant Garde" w:hAnsi="ITC Avant Garde"/>
                <w:sz w:val="20"/>
                <w:szCs w:val="20"/>
                <w:lang w:val="es-MX"/>
              </w:rPr>
              <w:fldChar w:fldCharType="begin"/>
            </w:r>
            <w:r w:rsidRPr="00CA0B9B">
              <w:rPr>
                <w:rFonts w:ascii="ITC Avant Garde" w:hAnsi="ITC Avant Garde"/>
                <w:sz w:val="20"/>
                <w:szCs w:val="20"/>
                <w:lang w:val="es-MX"/>
              </w:rPr>
              <w:instrText xml:space="preserve"> REF _Ref467253059 \r \h  \* MERGEFORMAT </w:instrText>
            </w:r>
            <w:r w:rsidRPr="00CA0B9B">
              <w:rPr>
                <w:rFonts w:ascii="ITC Avant Garde" w:hAnsi="ITC Avant Garde"/>
                <w:sz w:val="20"/>
                <w:szCs w:val="20"/>
                <w:lang w:val="es-MX"/>
              </w:rPr>
            </w:r>
            <w:r w:rsidRPr="00CA0B9B">
              <w:rPr>
                <w:rFonts w:ascii="ITC Avant Garde" w:hAnsi="ITC Avant Garde"/>
                <w:sz w:val="20"/>
                <w:szCs w:val="20"/>
                <w:lang w:val="es-MX"/>
              </w:rPr>
              <w:fldChar w:fldCharType="separate"/>
            </w:r>
            <w:r w:rsidRPr="00CA0B9B">
              <w:rPr>
                <w:rFonts w:ascii="ITC Avant Garde" w:hAnsi="ITC Avant Garde"/>
                <w:sz w:val="20"/>
                <w:szCs w:val="20"/>
                <w:cs/>
                <w:lang w:val="es-MX"/>
              </w:rPr>
              <w:t>‎</w:t>
            </w:r>
            <w:r w:rsidRPr="00CA0B9B">
              <w:rPr>
                <w:rFonts w:ascii="ITC Avant Garde" w:hAnsi="ITC Avant Garde"/>
                <w:sz w:val="20"/>
                <w:szCs w:val="20"/>
                <w:lang w:val="es-MX"/>
              </w:rPr>
              <w:t>2.8</w:t>
            </w:r>
            <w:r w:rsidRPr="00CA0B9B">
              <w:rPr>
                <w:rFonts w:ascii="ITC Avant Garde" w:hAnsi="ITC Avant Garde"/>
                <w:sz w:val="20"/>
                <w:szCs w:val="20"/>
                <w:lang w:val="es-MX"/>
              </w:rPr>
              <w:fldChar w:fldCharType="end"/>
            </w:r>
          </w:p>
        </w:tc>
      </w:tr>
      <w:tr w:rsidR="00E02C92" w:rsidRPr="00CA0B9B" w14:paraId="5EFBC1F9" w14:textId="77777777" w:rsidTr="00E02C92">
        <w:trPr>
          <w:trHeight w:val="396"/>
          <w:jc w:val="center"/>
        </w:trPr>
        <w:tc>
          <w:tcPr>
            <w:tcW w:w="252" w:type="pct"/>
            <w:tcBorders>
              <w:top w:val="nil"/>
              <w:left w:val="nil"/>
              <w:bottom w:val="nil"/>
              <w:right w:val="nil"/>
            </w:tcBorders>
            <w:shd w:val="clear" w:color="000000" w:fill="F2F2F2"/>
            <w:vAlign w:val="center"/>
          </w:tcPr>
          <w:p w14:paraId="55174B10" w14:textId="29073AFE" w:rsidR="00E02C92" w:rsidRPr="00CA0B9B" w:rsidRDefault="00E02C92" w:rsidP="00E02C92">
            <w:pPr>
              <w:spacing w:after="0" w:line="240" w:lineRule="auto"/>
              <w:jc w:val="center"/>
              <w:rPr>
                <w:rFonts w:ascii="ITC Avant Garde" w:eastAsia="Times New Roman" w:hAnsi="ITC Avant Garde" w:cs="Arial"/>
                <w:b/>
                <w:bCs/>
                <w:sz w:val="20"/>
                <w:szCs w:val="20"/>
                <w:lang w:val="es-MX" w:eastAsia="es-MX"/>
              </w:rPr>
            </w:pPr>
            <w:r w:rsidRPr="00CA0B9B">
              <w:rPr>
                <w:rFonts w:ascii="ITC Avant Garde" w:eastAsia="Times New Roman" w:hAnsi="ITC Avant Garde" w:cs="Arial"/>
                <w:b/>
                <w:bCs/>
                <w:sz w:val="20"/>
                <w:szCs w:val="20"/>
                <w:lang w:val="es-MX" w:eastAsia="es-MX"/>
              </w:rPr>
              <w:t>5</w:t>
            </w:r>
          </w:p>
        </w:tc>
        <w:tc>
          <w:tcPr>
            <w:tcW w:w="3233" w:type="pct"/>
            <w:tcBorders>
              <w:top w:val="nil"/>
              <w:left w:val="nil"/>
              <w:bottom w:val="nil"/>
              <w:right w:val="nil"/>
            </w:tcBorders>
            <w:shd w:val="clear" w:color="000000" w:fill="F2F2F2"/>
            <w:vAlign w:val="center"/>
            <w:hideMark/>
          </w:tcPr>
          <w:p w14:paraId="3620A7D7" w14:textId="0AF0DB3C" w:rsidR="00E02C92" w:rsidRPr="00CA0B9B" w:rsidRDefault="00E02C92" w:rsidP="001236ED">
            <w:pPr>
              <w:spacing w:after="0" w:line="240" w:lineRule="auto"/>
              <w:jc w:val="left"/>
              <w:rPr>
                <w:rFonts w:ascii="ITC Avant Garde" w:eastAsia="Times New Roman" w:hAnsi="ITC Avant Garde" w:cs="Arial"/>
                <w:bCs/>
                <w:sz w:val="20"/>
                <w:szCs w:val="20"/>
                <w:lang w:val="es-MX" w:eastAsia="es-MX"/>
              </w:rPr>
            </w:pPr>
            <w:r w:rsidRPr="00CA0B9B">
              <w:rPr>
                <w:rFonts w:ascii="ITC Avant Garde" w:eastAsia="Times New Roman" w:hAnsi="ITC Avant Garde" w:cs="Arial"/>
                <w:bCs/>
                <w:sz w:val="20"/>
                <w:szCs w:val="20"/>
                <w:lang w:val="es-MX" w:eastAsia="es-MX"/>
              </w:rPr>
              <w:t>Tendencias de costos</w:t>
            </w:r>
          </w:p>
        </w:tc>
        <w:tc>
          <w:tcPr>
            <w:tcW w:w="1515" w:type="pct"/>
            <w:tcBorders>
              <w:top w:val="nil"/>
              <w:left w:val="nil"/>
              <w:bottom w:val="nil"/>
              <w:right w:val="nil"/>
            </w:tcBorders>
            <w:shd w:val="clear" w:color="000000" w:fill="F2F2F2"/>
            <w:vAlign w:val="center"/>
            <w:hideMark/>
          </w:tcPr>
          <w:p w14:paraId="1DD3BCB9" w14:textId="311F0FE9" w:rsidR="00E02C92" w:rsidRPr="00CA0B9B" w:rsidRDefault="00E02C92" w:rsidP="001236ED">
            <w:pPr>
              <w:spacing w:after="0" w:line="240" w:lineRule="auto"/>
              <w:jc w:val="center"/>
              <w:rPr>
                <w:rFonts w:ascii="ITC Avant Garde" w:eastAsia="Times New Roman" w:hAnsi="ITC Avant Garde" w:cs="Arial"/>
                <w:b/>
                <w:bCs/>
                <w:sz w:val="20"/>
                <w:szCs w:val="20"/>
                <w:lang w:val="es-MX" w:eastAsia="es-MX"/>
              </w:rPr>
            </w:pPr>
            <w:r w:rsidRPr="00CA0B9B">
              <w:rPr>
                <w:rFonts w:ascii="ITC Avant Garde" w:hAnsi="ITC Avant Garde"/>
                <w:sz w:val="20"/>
                <w:szCs w:val="20"/>
                <w:lang w:val="es-MX"/>
              </w:rPr>
              <w:t xml:space="preserve">sección </w:t>
            </w:r>
            <w:r w:rsidRPr="00CA0B9B">
              <w:rPr>
                <w:rFonts w:ascii="ITC Avant Garde" w:hAnsi="ITC Avant Garde"/>
                <w:sz w:val="20"/>
                <w:szCs w:val="20"/>
                <w:lang w:val="es-MX"/>
              </w:rPr>
              <w:fldChar w:fldCharType="begin"/>
            </w:r>
            <w:r w:rsidRPr="00CA0B9B">
              <w:rPr>
                <w:rFonts w:ascii="ITC Avant Garde" w:hAnsi="ITC Avant Garde"/>
                <w:sz w:val="20"/>
                <w:szCs w:val="20"/>
                <w:lang w:val="es-MX"/>
              </w:rPr>
              <w:instrText xml:space="preserve"> REF _Ref467253485 \r \h  \* MERGEFORMAT </w:instrText>
            </w:r>
            <w:r w:rsidRPr="00CA0B9B">
              <w:rPr>
                <w:rFonts w:ascii="ITC Avant Garde" w:hAnsi="ITC Avant Garde"/>
                <w:sz w:val="20"/>
                <w:szCs w:val="20"/>
                <w:lang w:val="es-MX"/>
              </w:rPr>
            </w:r>
            <w:r w:rsidRPr="00CA0B9B">
              <w:rPr>
                <w:rFonts w:ascii="ITC Avant Garde" w:hAnsi="ITC Avant Garde"/>
                <w:sz w:val="20"/>
                <w:szCs w:val="20"/>
                <w:lang w:val="es-MX"/>
              </w:rPr>
              <w:fldChar w:fldCharType="separate"/>
            </w:r>
            <w:r w:rsidRPr="00CA0B9B">
              <w:rPr>
                <w:rFonts w:ascii="ITC Avant Garde" w:hAnsi="ITC Avant Garde"/>
                <w:sz w:val="20"/>
                <w:szCs w:val="20"/>
                <w:cs/>
                <w:lang w:val="es-MX"/>
              </w:rPr>
              <w:t>‎</w:t>
            </w:r>
            <w:r w:rsidRPr="00CA0B9B">
              <w:rPr>
                <w:rFonts w:ascii="ITC Avant Garde" w:hAnsi="ITC Avant Garde"/>
                <w:sz w:val="20"/>
                <w:szCs w:val="20"/>
                <w:lang w:val="es-MX"/>
              </w:rPr>
              <w:t>2.9</w:t>
            </w:r>
            <w:r w:rsidRPr="00CA0B9B">
              <w:rPr>
                <w:rFonts w:ascii="ITC Avant Garde" w:hAnsi="ITC Avant Garde"/>
                <w:sz w:val="20"/>
                <w:szCs w:val="20"/>
                <w:lang w:val="es-MX"/>
              </w:rPr>
              <w:fldChar w:fldCharType="end"/>
            </w:r>
          </w:p>
        </w:tc>
      </w:tr>
      <w:tr w:rsidR="00E02C92" w:rsidRPr="00CA0B9B" w14:paraId="5E94683C" w14:textId="77777777" w:rsidTr="00E02C92">
        <w:trPr>
          <w:trHeight w:val="396"/>
          <w:jc w:val="center"/>
        </w:trPr>
        <w:tc>
          <w:tcPr>
            <w:tcW w:w="252" w:type="pct"/>
            <w:tcBorders>
              <w:top w:val="nil"/>
              <w:left w:val="nil"/>
              <w:bottom w:val="nil"/>
              <w:right w:val="nil"/>
            </w:tcBorders>
            <w:vAlign w:val="center"/>
          </w:tcPr>
          <w:p w14:paraId="6967F6DA" w14:textId="4B7FCAFA" w:rsidR="00E02C92" w:rsidRPr="00CA0B9B" w:rsidRDefault="00E02C92" w:rsidP="00E02C92">
            <w:pPr>
              <w:spacing w:after="0" w:line="240" w:lineRule="auto"/>
              <w:jc w:val="center"/>
              <w:rPr>
                <w:rFonts w:ascii="ITC Avant Garde" w:eastAsia="Times New Roman" w:hAnsi="ITC Avant Garde" w:cs="Arial"/>
                <w:b/>
                <w:bCs/>
                <w:sz w:val="20"/>
                <w:szCs w:val="20"/>
                <w:lang w:val="es-MX" w:eastAsia="es-MX"/>
              </w:rPr>
            </w:pPr>
            <w:r w:rsidRPr="00CA0B9B">
              <w:rPr>
                <w:rFonts w:ascii="ITC Avant Garde" w:eastAsia="Times New Roman" w:hAnsi="ITC Avant Garde" w:cs="Arial"/>
                <w:b/>
                <w:bCs/>
                <w:sz w:val="20"/>
                <w:szCs w:val="20"/>
                <w:lang w:val="es-MX" w:eastAsia="es-MX"/>
              </w:rPr>
              <w:t>6</w:t>
            </w:r>
          </w:p>
        </w:tc>
        <w:tc>
          <w:tcPr>
            <w:tcW w:w="3233" w:type="pct"/>
            <w:tcBorders>
              <w:top w:val="nil"/>
              <w:left w:val="nil"/>
              <w:bottom w:val="nil"/>
              <w:right w:val="nil"/>
            </w:tcBorders>
            <w:shd w:val="clear" w:color="auto" w:fill="auto"/>
            <w:vAlign w:val="center"/>
            <w:hideMark/>
          </w:tcPr>
          <w:p w14:paraId="7B4D5335" w14:textId="46774A3E" w:rsidR="00E02C92" w:rsidRPr="00CA0B9B" w:rsidRDefault="00E02C92" w:rsidP="001236ED">
            <w:pPr>
              <w:spacing w:after="0" w:line="240" w:lineRule="auto"/>
              <w:jc w:val="left"/>
              <w:rPr>
                <w:rFonts w:ascii="ITC Avant Garde" w:eastAsia="Times New Roman" w:hAnsi="ITC Avant Garde" w:cs="Arial"/>
                <w:bCs/>
                <w:sz w:val="20"/>
                <w:szCs w:val="20"/>
                <w:lang w:val="es-MX" w:eastAsia="es-MX"/>
              </w:rPr>
            </w:pPr>
            <w:r w:rsidRPr="00CA0B9B">
              <w:rPr>
                <w:rFonts w:ascii="ITC Avant Garde" w:eastAsia="Times New Roman" w:hAnsi="ITC Avant Garde" w:cs="Arial"/>
                <w:bCs/>
                <w:sz w:val="20"/>
                <w:szCs w:val="20"/>
                <w:lang w:val="es-MX" w:eastAsia="es-MX"/>
              </w:rPr>
              <w:t>Método de depreciación</w:t>
            </w:r>
          </w:p>
        </w:tc>
        <w:tc>
          <w:tcPr>
            <w:tcW w:w="1515" w:type="pct"/>
            <w:tcBorders>
              <w:top w:val="nil"/>
              <w:left w:val="nil"/>
              <w:bottom w:val="nil"/>
              <w:right w:val="nil"/>
            </w:tcBorders>
            <w:shd w:val="clear" w:color="auto" w:fill="auto"/>
            <w:vAlign w:val="center"/>
            <w:hideMark/>
          </w:tcPr>
          <w:p w14:paraId="607E0BB7" w14:textId="3150BF41" w:rsidR="00E02C92" w:rsidRPr="00CA0B9B" w:rsidRDefault="00E02C92" w:rsidP="001236ED">
            <w:pPr>
              <w:spacing w:after="0" w:line="240" w:lineRule="auto"/>
              <w:jc w:val="center"/>
              <w:rPr>
                <w:rFonts w:ascii="ITC Avant Garde" w:eastAsia="Times New Roman" w:hAnsi="ITC Avant Garde" w:cs="Arial"/>
                <w:b/>
                <w:bCs/>
                <w:sz w:val="20"/>
                <w:szCs w:val="20"/>
                <w:lang w:val="es-MX" w:eastAsia="es-MX"/>
              </w:rPr>
            </w:pPr>
            <w:r w:rsidRPr="00CA0B9B">
              <w:rPr>
                <w:rFonts w:ascii="ITC Avant Garde" w:hAnsi="ITC Avant Garde"/>
                <w:sz w:val="20"/>
                <w:szCs w:val="20"/>
                <w:lang w:val="es-MX"/>
              </w:rPr>
              <w:t xml:space="preserve">sección </w:t>
            </w:r>
            <w:r w:rsidRPr="00CA0B9B">
              <w:rPr>
                <w:rFonts w:ascii="ITC Avant Garde" w:hAnsi="ITC Avant Garde"/>
                <w:sz w:val="20"/>
                <w:szCs w:val="20"/>
                <w:lang w:val="es-MX"/>
              </w:rPr>
              <w:fldChar w:fldCharType="begin"/>
            </w:r>
            <w:r w:rsidRPr="00CA0B9B">
              <w:rPr>
                <w:rFonts w:ascii="ITC Avant Garde" w:hAnsi="ITC Avant Garde"/>
                <w:sz w:val="20"/>
                <w:szCs w:val="20"/>
                <w:lang w:val="es-MX"/>
              </w:rPr>
              <w:instrText xml:space="preserve"> REF _Ref467253639 \r \h  \* MERGEFORMAT </w:instrText>
            </w:r>
            <w:r w:rsidRPr="00CA0B9B">
              <w:rPr>
                <w:rFonts w:ascii="ITC Avant Garde" w:hAnsi="ITC Avant Garde"/>
                <w:sz w:val="20"/>
                <w:szCs w:val="20"/>
                <w:lang w:val="es-MX"/>
              </w:rPr>
            </w:r>
            <w:r w:rsidRPr="00CA0B9B">
              <w:rPr>
                <w:rFonts w:ascii="ITC Avant Garde" w:hAnsi="ITC Avant Garde"/>
                <w:sz w:val="20"/>
                <w:szCs w:val="20"/>
                <w:lang w:val="es-MX"/>
              </w:rPr>
              <w:fldChar w:fldCharType="separate"/>
            </w:r>
            <w:r w:rsidRPr="00CA0B9B">
              <w:rPr>
                <w:rFonts w:ascii="ITC Avant Garde" w:hAnsi="ITC Avant Garde"/>
                <w:sz w:val="20"/>
                <w:szCs w:val="20"/>
                <w:cs/>
                <w:lang w:val="es-MX"/>
              </w:rPr>
              <w:t>‎</w:t>
            </w:r>
            <w:r w:rsidRPr="00CA0B9B">
              <w:rPr>
                <w:rFonts w:ascii="ITC Avant Garde" w:hAnsi="ITC Avant Garde"/>
                <w:sz w:val="20"/>
                <w:szCs w:val="20"/>
                <w:lang w:val="es-MX"/>
              </w:rPr>
              <w:t>2.11</w:t>
            </w:r>
            <w:r w:rsidRPr="00CA0B9B">
              <w:rPr>
                <w:rFonts w:ascii="ITC Avant Garde" w:hAnsi="ITC Avant Garde"/>
                <w:sz w:val="20"/>
                <w:szCs w:val="20"/>
                <w:lang w:val="es-MX"/>
              </w:rPr>
              <w:fldChar w:fldCharType="end"/>
            </w:r>
          </w:p>
        </w:tc>
      </w:tr>
      <w:tr w:rsidR="00E02C92" w:rsidRPr="00CA0B9B" w14:paraId="00BAA4C5" w14:textId="77777777" w:rsidTr="00E02C92">
        <w:trPr>
          <w:trHeight w:val="396"/>
          <w:jc w:val="center"/>
        </w:trPr>
        <w:tc>
          <w:tcPr>
            <w:tcW w:w="252" w:type="pct"/>
            <w:tcBorders>
              <w:top w:val="nil"/>
              <w:left w:val="nil"/>
              <w:bottom w:val="nil"/>
              <w:right w:val="nil"/>
            </w:tcBorders>
            <w:shd w:val="clear" w:color="000000" w:fill="F2F2F2"/>
            <w:vAlign w:val="center"/>
          </w:tcPr>
          <w:p w14:paraId="5EE2C63D" w14:textId="0E9B3CDB" w:rsidR="00E02C92" w:rsidRPr="00CA0B9B" w:rsidRDefault="00E02C92" w:rsidP="00E02C92">
            <w:pPr>
              <w:spacing w:after="0" w:line="240" w:lineRule="auto"/>
              <w:jc w:val="center"/>
              <w:rPr>
                <w:rFonts w:ascii="ITC Avant Garde" w:eastAsia="Times New Roman" w:hAnsi="ITC Avant Garde" w:cs="Arial"/>
                <w:b/>
                <w:bCs/>
                <w:sz w:val="20"/>
                <w:szCs w:val="20"/>
                <w:lang w:val="es-MX" w:eastAsia="es-MX"/>
              </w:rPr>
            </w:pPr>
            <w:r w:rsidRPr="00CA0B9B">
              <w:rPr>
                <w:rFonts w:ascii="ITC Avant Garde" w:eastAsia="Times New Roman" w:hAnsi="ITC Avant Garde" w:cs="Arial"/>
                <w:b/>
                <w:bCs/>
                <w:sz w:val="20"/>
                <w:szCs w:val="20"/>
                <w:lang w:val="es-MX" w:eastAsia="es-MX"/>
              </w:rPr>
              <w:t>7</w:t>
            </w:r>
          </w:p>
        </w:tc>
        <w:tc>
          <w:tcPr>
            <w:tcW w:w="3233" w:type="pct"/>
            <w:tcBorders>
              <w:top w:val="nil"/>
              <w:left w:val="nil"/>
              <w:bottom w:val="nil"/>
              <w:right w:val="nil"/>
            </w:tcBorders>
            <w:shd w:val="clear" w:color="000000" w:fill="F2F2F2"/>
            <w:vAlign w:val="center"/>
            <w:hideMark/>
          </w:tcPr>
          <w:p w14:paraId="7E6FB031" w14:textId="1A202972" w:rsidR="00E02C92" w:rsidRPr="00CA0B9B" w:rsidRDefault="00E02C92" w:rsidP="001236ED">
            <w:pPr>
              <w:spacing w:after="0" w:line="240" w:lineRule="auto"/>
              <w:jc w:val="left"/>
              <w:rPr>
                <w:rFonts w:ascii="ITC Avant Garde" w:eastAsia="Times New Roman" w:hAnsi="ITC Avant Garde" w:cs="Arial"/>
                <w:bCs/>
                <w:sz w:val="20"/>
                <w:szCs w:val="20"/>
                <w:lang w:val="es-MX" w:eastAsia="es-MX"/>
              </w:rPr>
            </w:pPr>
            <w:r w:rsidRPr="00CA0B9B">
              <w:rPr>
                <w:rFonts w:ascii="ITC Avant Garde" w:eastAsia="Times New Roman" w:hAnsi="ITC Avant Garde" w:cs="Arial"/>
                <w:bCs/>
                <w:sz w:val="20"/>
                <w:szCs w:val="20"/>
                <w:lang w:val="es-MX" w:eastAsia="es-MX"/>
              </w:rPr>
              <w:t xml:space="preserve">Estándar de costos </w:t>
            </w:r>
          </w:p>
        </w:tc>
        <w:tc>
          <w:tcPr>
            <w:tcW w:w="1515" w:type="pct"/>
            <w:tcBorders>
              <w:top w:val="nil"/>
              <w:left w:val="nil"/>
              <w:bottom w:val="nil"/>
              <w:right w:val="nil"/>
            </w:tcBorders>
            <w:shd w:val="clear" w:color="000000" w:fill="F2F2F2"/>
            <w:vAlign w:val="center"/>
            <w:hideMark/>
          </w:tcPr>
          <w:p w14:paraId="1DC7454F" w14:textId="0FB21BEA" w:rsidR="00E02C92" w:rsidRPr="00CA0B9B" w:rsidRDefault="00E02C92" w:rsidP="001236ED">
            <w:pPr>
              <w:spacing w:after="0" w:line="240" w:lineRule="auto"/>
              <w:jc w:val="center"/>
              <w:rPr>
                <w:rFonts w:ascii="ITC Avant Garde" w:eastAsia="Times New Roman" w:hAnsi="ITC Avant Garde" w:cs="Arial"/>
                <w:b/>
                <w:bCs/>
                <w:sz w:val="20"/>
                <w:szCs w:val="20"/>
                <w:lang w:val="es-MX" w:eastAsia="es-MX"/>
              </w:rPr>
            </w:pPr>
            <w:r w:rsidRPr="00CA0B9B">
              <w:rPr>
                <w:rFonts w:ascii="ITC Avant Garde" w:hAnsi="ITC Avant Garde"/>
                <w:sz w:val="20"/>
                <w:szCs w:val="20"/>
                <w:lang w:val="es-MX"/>
              </w:rPr>
              <w:t xml:space="preserve">sección </w:t>
            </w:r>
            <w:r w:rsidRPr="00CA0B9B">
              <w:rPr>
                <w:rFonts w:ascii="ITC Avant Garde" w:hAnsi="ITC Avant Garde"/>
                <w:sz w:val="20"/>
                <w:szCs w:val="20"/>
                <w:lang w:val="es-MX"/>
              </w:rPr>
              <w:fldChar w:fldCharType="begin"/>
            </w:r>
            <w:r w:rsidRPr="00CA0B9B">
              <w:rPr>
                <w:rFonts w:ascii="ITC Avant Garde" w:hAnsi="ITC Avant Garde"/>
                <w:sz w:val="20"/>
                <w:szCs w:val="20"/>
                <w:lang w:val="es-MX"/>
              </w:rPr>
              <w:instrText xml:space="preserve"> REF _Ref467597618 \r \h  \* MERGEFORMAT </w:instrText>
            </w:r>
            <w:r w:rsidRPr="00CA0B9B">
              <w:rPr>
                <w:rFonts w:ascii="ITC Avant Garde" w:hAnsi="ITC Avant Garde"/>
                <w:sz w:val="20"/>
                <w:szCs w:val="20"/>
                <w:lang w:val="es-MX"/>
              </w:rPr>
            </w:r>
            <w:r w:rsidRPr="00CA0B9B">
              <w:rPr>
                <w:rFonts w:ascii="ITC Avant Garde" w:hAnsi="ITC Avant Garde"/>
                <w:sz w:val="20"/>
                <w:szCs w:val="20"/>
                <w:lang w:val="es-MX"/>
              </w:rPr>
              <w:fldChar w:fldCharType="separate"/>
            </w:r>
            <w:r w:rsidRPr="00CA0B9B">
              <w:rPr>
                <w:rFonts w:ascii="ITC Avant Garde" w:hAnsi="ITC Avant Garde"/>
                <w:sz w:val="20"/>
                <w:szCs w:val="20"/>
                <w:cs/>
                <w:lang w:val="es-MX"/>
              </w:rPr>
              <w:t>‎</w:t>
            </w:r>
            <w:r w:rsidRPr="00CA0B9B">
              <w:rPr>
                <w:rFonts w:ascii="ITC Avant Garde" w:hAnsi="ITC Avant Garde"/>
                <w:sz w:val="20"/>
                <w:szCs w:val="20"/>
                <w:lang w:val="es-MX"/>
              </w:rPr>
              <w:t>2.16</w:t>
            </w:r>
            <w:r w:rsidRPr="00CA0B9B">
              <w:rPr>
                <w:rFonts w:ascii="ITC Avant Garde" w:hAnsi="ITC Avant Garde"/>
                <w:sz w:val="20"/>
                <w:szCs w:val="20"/>
                <w:lang w:val="es-MX"/>
              </w:rPr>
              <w:fldChar w:fldCharType="end"/>
            </w:r>
          </w:p>
        </w:tc>
      </w:tr>
      <w:tr w:rsidR="00E02C92" w:rsidRPr="00CA0B9B" w14:paraId="4B4C90EF" w14:textId="77777777" w:rsidTr="00E02C92">
        <w:trPr>
          <w:trHeight w:val="240"/>
          <w:jc w:val="center"/>
        </w:trPr>
        <w:tc>
          <w:tcPr>
            <w:tcW w:w="252" w:type="pct"/>
            <w:tcBorders>
              <w:top w:val="single" w:sz="8" w:space="0" w:color="C4D0E9"/>
              <w:left w:val="nil"/>
              <w:bottom w:val="nil"/>
              <w:right w:val="nil"/>
            </w:tcBorders>
          </w:tcPr>
          <w:p w14:paraId="440C6CC3" w14:textId="77777777" w:rsidR="00E02C92" w:rsidRPr="00CA0B9B" w:rsidRDefault="00E02C92" w:rsidP="001236ED">
            <w:pPr>
              <w:spacing w:after="0" w:line="240" w:lineRule="auto"/>
              <w:jc w:val="left"/>
              <w:rPr>
                <w:rFonts w:ascii="ITC Avant Garde" w:eastAsia="Times New Roman" w:hAnsi="ITC Avant Garde" w:cs="Arial"/>
                <w:sz w:val="20"/>
                <w:szCs w:val="20"/>
                <w:lang w:val="es-MX" w:eastAsia="es-MX"/>
              </w:rPr>
            </w:pPr>
          </w:p>
        </w:tc>
        <w:tc>
          <w:tcPr>
            <w:tcW w:w="3233" w:type="pct"/>
            <w:tcBorders>
              <w:top w:val="single" w:sz="8" w:space="0" w:color="C4D0E9"/>
              <w:left w:val="nil"/>
              <w:bottom w:val="nil"/>
              <w:right w:val="nil"/>
            </w:tcBorders>
            <w:shd w:val="clear" w:color="auto" w:fill="auto"/>
            <w:noWrap/>
            <w:vAlign w:val="center"/>
            <w:hideMark/>
          </w:tcPr>
          <w:p w14:paraId="134FCE78" w14:textId="7B4292F3" w:rsidR="00E02C92" w:rsidRPr="00CA0B9B" w:rsidRDefault="00E02C92" w:rsidP="001236ED">
            <w:pPr>
              <w:spacing w:after="0" w:line="240" w:lineRule="auto"/>
              <w:jc w:val="left"/>
              <w:rPr>
                <w:rFonts w:ascii="ITC Avant Garde" w:eastAsia="Times New Roman" w:hAnsi="ITC Avant Garde" w:cs="Arial"/>
                <w:sz w:val="20"/>
                <w:szCs w:val="20"/>
                <w:lang w:val="es-MX" w:eastAsia="es-MX"/>
              </w:rPr>
            </w:pPr>
            <w:r w:rsidRPr="00CA0B9B">
              <w:rPr>
                <w:rFonts w:ascii="ITC Avant Garde" w:eastAsia="Times New Roman" w:hAnsi="ITC Avant Garde" w:cs="Arial"/>
                <w:sz w:val="20"/>
                <w:szCs w:val="20"/>
                <w:lang w:val="es-MX" w:eastAsia="es-MX"/>
              </w:rPr>
              <w:t> </w:t>
            </w:r>
          </w:p>
        </w:tc>
        <w:tc>
          <w:tcPr>
            <w:tcW w:w="1515" w:type="pct"/>
            <w:tcBorders>
              <w:top w:val="single" w:sz="8" w:space="0" w:color="C4D0E9"/>
              <w:left w:val="nil"/>
              <w:bottom w:val="nil"/>
              <w:right w:val="nil"/>
            </w:tcBorders>
            <w:shd w:val="clear" w:color="auto" w:fill="auto"/>
            <w:noWrap/>
            <w:vAlign w:val="center"/>
            <w:hideMark/>
          </w:tcPr>
          <w:p w14:paraId="77B08E35" w14:textId="0EBD7261" w:rsidR="00E02C92" w:rsidRPr="00CA0B9B" w:rsidRDefault="00E02C92" w:rsidP="001236ED">
            <w:pPr>
              <w:spacing w:after="0" w:line="240" w:lineRule="auto"/>
              <w:jc w:val="left"/>
              <w:rPr>
                <w:rFonts w:ascii="ITC Avant Garde" w:eastAsia="Times New Roman" w:hAnsi="ITC Avant Garde" w:cs="Arial"/>
                <w:sz w:val="20"/>
                <w:szCs w:val="20"/>
                <w:lang w:val="es-MX" w:eastAsia="es-MX"/>
              </w:rPr>
            </w:pPr>
            <w:r w:rsidRPr="00CA0B9B">
              <w:rPr>
                <w:rFonts w:ascii="ITC Avant Garde" w:eastAsia="Times New Roman" w:hAnsi="ITC Avant Garde" w:cs="Arial"/>
                <w:sz w:val="20"/>
                <w:szCs w:val="20"/>
                <w:lang w:val="es-MX" w:eastAsia="es-MX"/>
              </w:rPr>
              <w:t> </w:t>
            </w:r>
          </w:p>
        </w:tc>
      </w:tr>
    </w:tbl>
    <w:p w14:paraId="590BE6DC" w14:textId="3CBEDE0A" w:rsidR="00477423" w:rsidRPr="009C0D93" w:rsidRDefault="004865BD" w:rsidP="009C0D93">
      <w:pPr>
        <w:rPr>
          <w:rFonts w:ascii="ITC Avant Garde" w:hAnsi="ITC Avant Garde"/>
          <w:lang w:val="es-MX"/>
        </w:rPr>
      </w:pPr>
      <w:r w:rsidRPr="009C0D93">
        <w:rPr>
          <w:rFonts w:ascii="ITC Avant Garde" w:hAnsi="ITC Avant Garde"/>
          <w:lang w:val="es-MX"/>
        </w:rPr>
        <w:t>En complemento</w:t>
      </w:r>
      <w:r w:rsidR="00477423" w:rsidRPr="009C0D93">
        <w:rPr>
          <w:rFonts w:ascii="ITC Avant Garde" w:hAnsi="ITC Avant Garde"/>
          <w:lang w:val="es-MX"/>
        </w:rPr>
        <w:t xml:space="preserve">, ciertos participantes de la consulta pública (CANIETI y Telefónica) han sugerido que el modelo </w:t>
      </w:r>
      <w:r w:rsidR="00CE1F20" w:rsidRPr="009C0D93">
        <w:rPr>
          <w:rFonts w:ascii="ITC Avant Garde" w:hAnsi="ITC Avant Garde"/>
          <w:lang w:val="es-MX"/>
        </w:rPr>
        <w:t>debe considerar un horizonte temporal</w:t>
      </w:r>
      <w:r w:rsidR="00477423" w:rsidRPr="009C0D93">
        <w:rPr>
          <w:rFonts w:ascii="ITC Avant Garde" w:hAnsi="ITC Avant Garde"/>
          <w:lang w:val="es-MX"/>
        </w:rPr>
        <w:t xml:space="preserve"> de 15 a 20 años.</w:t>
      </w:r>
    </w:p>
    <w:p w14:paraId="38A47D0F" w14:textId="4D3EFFBC" w:rsidR="00477423" w:rsidRPr="009C0D93" w:rsidRDefault="00477423" w:rsidP="009C0D93">
      <w:pPr>
        <w:rPr>
          <w:rFonts w:ascii="ITC Avant Garde" w:hAnsi="ITC Avant Garde"/>
          <w:lang w:val="es-MX"/>
        </w:rPr>
      </w:pPr>
      <w:r w:rsidRPr="009C0D93">
        <w:rPr>
          <w:rFonts w:ascii="ITC Avant Garde" w:hAnsi="ITC Avant Garde"/>
          <w:lang w:val="es-MX"/>
        </w:rPr>
        <w:t xml:space="preserve">Asimismo, uno de los participantes (Televisa) afirma que al </w:t>
      </w:r>
      <w:r w:rsidR="00492316" w:rsidRPr="009C0D93">
        <w:rPr>
          <w:rFonts w:ascii="ITC Avant Garde" w:hAnsi="ITC Avant Garde"/>
          <w:lang w:val="es-MX"/>
        </w:rPr>
        <w:t xml:space="preserve">tomar como punto de partida para </w:t>
      </w:r>
      <w:r w:rsidRPr="009C0D93">
        <w:rPr>
          <w:rFonts w:ascii="ITC Avant Garde" w:hAnsi="ITC Avant Garde"/>
          <w:lang w:val="es-MX"/>
        </w:rPr>
        <w:t xml:space="preserve">el modelo </w:t>
      </w:r>
      <w:r w:rsidR="00492316" w:rsidRPr="009C0D93">
        <w:rPr>
          <w:rFonts w:ascii="ITC Avant Garde" w:hAnsi="ITC Avant Garde"/>
          <w:lang w:val="es-MX"/>
        </w:rPr>
        <w:t xml:space="preserve">al año </w:t>
      </w:r>
      <w:r w:rsidRPr="009C0D93">
        <w:rPr>
          <w:rFonts w:ascii="ITC Avant Garde" w:hAnsi="ITC Avant Garde"/>
          <w:lang w:val="es-MX"/>
        </w:rPr>
        <w:t>2015</w:t>
      </w:r>
      <w:r w:rsidR="00492316" w:rsidRPr="009C0D93">
        <w:rPr>
          <w:rFonts w:ascii="ITC Avant Garde" w:hAnsi="ITC Avant Garde"/>
          <w:lang w:val="es-MX"/>
        </w:rPr>
        <w:t>,</w:t>
      </w:r>
      <w:r w:rsidRPr="009C0D93">
        <w:rPr>
          <w:rFonts w:ascii="ITC Avant Garde" w:hAnsi="ITC Avant Garde"/>
          <w:lang w:val="es-MX"/>
        </w:rPr>
        <w:t xml:space="preserve"> no se </w:t>
      </w:r>
      <w:r w:rsidR="00B92AB3" w:rsidRPr="009C0D93">
        <w:rPr>
          <w:rFonts w:ascii="ITC Avant Garde" w:hAnsi="ITC Avant Garde"/>
          <w:lang w:val="es-MX"/>
        </w:rPr>
        <w:t xml:space="preserve">consideraría los </w:t>
      </w:r>
      <w:r w:rsidRPr="009C0D93">
        <w:rPr>
          <w:rFonts w:ascii="ITC Avant Garde" w:hAnsi="ITC Avant Garde"/>
          <w:lang w:val="es-MX"/>
        </w:rPr>
        <w:t>activos desplegados desde 2011 (</w:t>
      </w:r>
      <w:r w:rsidR="00492316" w:rsidRPr="009C0D93">
        <w:rPr>
          <w:rFonts w:ascii="ITC Avant Garde" w:hAnsi="ITC Avant Garde"/>
          <w:lang w:val="es-MX"/>
        </w:rPr>
        <w:t>periodo en el que dicho participante refiere que el AEP</w:t>
      </w:r>
      <w:r w:rsidRPr="009C0D93">
        <w:rPr>
          <w:rFonts w:ascii="ITC Avant Garde" w:hAnsi="ITC Avant Garde"/>
          <w:lang w:val="es-MX"/>
        </w:rPr>
        <w:t xml:space="preserve"> comenzó </w:t>
      </w:r>
      <w:r w:rsidR="00492316" w:rsidRPr="009C0D93">
        <w:rPr>
          <w:rFonts w:ascii="ITC Avant Garde" w:hAnsi="ITC Avant Garde"/>
          <w:lang w:val="es-MX"/>
        </w:rPr>
        <w:t>sus</w:t>
      </w:r>
      <w:r w:rsidRPr="009C0D93">
        <w:rPr>
          <w:rFonts w:ascii="ITC Avant Garde" w:hAnsi="ITC Avant Garde"/>
          <w:lang w:val="es-MX"/>
        </w:rPr>
        <w:t xml:space="preserve"> despliegue</w:t>
      </w:r>
      <w:r w:rsidR="00492316" w:rsidRPr="009C0D93">
        <w:rPr>
          <w:rFonts w:ascii="ITC Avant Garde" w:hAnsi="ITC Avant Garde"/>
          <w:lang w:val="es-MX"/>
        </w:rPr>
        <w:t>s</w:t>
      </w:r>
      <w:r w:rsidRPr="009C0D93">
        <w:rPr>
          <w:rFonts w:ascii="ITC Avant Garde" w:hAnsi="ITC Avant Garde"/>
          <w:lang w:val="es-MX"/>
        </w:rPr>
        <w:t xml:space="preserve"> de fibra GPON)</w:t>
      </w:r>
      <w:r w:rsidR="00492316" w:rsidRPr="009C0D93">
        <w:rPr>
          <w:rFonts w:ascii="ITC Avant Garde" w:hAnsi="ITC Avant Garde"/>
          <w:lang w:val="es-MX"/>
        </w:rPr>
        <w:t xml:space="preserve">, se induciría a </w:t>
      </w:r>
      <w:r w:rsidR="00B92AB3" w:rsidRPr="009C0D93">
        <w:rPr>
          <w:rFonts w:ascii="ITC Avant Garde" w:hAnsi="ITC Avant Garde"/>
          <w:lang w:val="es-MX"/>
        </w:rPr>
        <w:t xml:space="preserve">que el </w:t>
      </w:r>
      <w:r w:rsidR="00492316" w:rsidRPr="009C0D93">
        <w:rPr>
          <w:rFonts w:ascii="ITC Avant Garde" w:hAnsi="ITC Avant Garde"/>
          <w:lang w:val="es-MX"/>
        </w:rPr>
        <w:t>modelo considerara, en su etapa inicial, a costos de activos que en la actualidad se encontrarían</w:t>
      </w:r>
      <w:r w:rsidRPr="009C0D93">
        <w:rPr>
          <w:rFonts w:ascii="ITC Avant Garde" w:hAnsi="ITC Avant Garde"/>
          <w:lang w:val="es-MX"/>
        </w:rPr>
        <w:t xml:space="preserve"> totalmente depreciados.</w:t>
      </w:r>
    </w:p>
    <w:p w14:paraId="195E7AF3" w14:textId="0A6EE294" w:rsidR="00477423" w:rsidRPr="009C0D93" w:rsidRDefault="00477423" w:rsidP="009C0D93">
      <w:pPr>
        <w:rPr>
          <w:rFonts w:ascii="ITC Avant Garde" w:hAnsi="ITC Avant Garde"/>
          <w:lang w:val="es-MX"/>
        </w:rPr>
      </w:pPr>
      <w:r w:rsidRPr="009C0D93">
        <w:rPr>
          <w:rFonts w:ascii="ITC Avant Garde" w:hAnsi="ITC Avant Garde"/>
          <w:lang w:val="es-MX"/>
        </w:rPr>
        <w:t>En adición, uno de los participantes (Avantel/Alestra/Axtel) sugiere que el modelo deb</w:t>
      </w:r>
      <w:r w:rsidR="00CC2B6A" w:rsidRPr="009C0D93">
        <w:rPr>
          <w:rFonts w:ascii="ITC Avant Garde" w:hAnsi="ITC Avant Garde"/>
          <w:lang w:val="es-MX"/>
        </w:rPr>
        <w:t>ería seguir una metodología de costos i</w:t>
      </w:r>
      <w:r w:rsidRPr="009C0D93">
        <w:rPr>
          <w:rFonts w:ascii="ITC Avant Garde" w:hAnsi="ITC Avant Garde"/>
          <w:lang w:val="es-MX"/>
        </w:rPr>
        <w:t>ncremen</w:t>
      </w:r>
      <w:r w:rsidR="00CC2B6A" w:rsidRPr="009C0D93">
        <w:rPr>
          <w:rFonts w:ascii="ITC Avant Garde" w:hAnsi="ITC Avant Garde"/>
          <w:lang w:val="es-MX"/>
        </w:rPr>
        <w:t>tales de largo p</w:t>
      </w:r>
      <w:r w:rsidR="004865BD" w:rsidRPr="009C0D93">
        <w:rPr>
          <w:rFonts w:ascii="ITC Avant Garde" w:hAnsi="ITC Avant Garde"/>
          <w:lang w:val="es-MX"/>
        </w:rPr>
        <w:t>lazo del tipo “p</w:t>
      </w:r>
      <w:r w:rsidRPr="009C0D93">
        <w:rPr>
          <w:rFonts w:ascii="ITC Avant Garde" w:hAnsi="ITC Avant Garde"/>
          <w:lang w:val="es-MX"/>
        </w:rPr>
        <w:t>uro”.</w:t>
      </w:r>
    </w:p>
    <w:p w14:paraId="589F6F3A" w14:textId="04E59C8D" w:rsidR="00477423" w:rsidRPr="009C0D93" w:rsidRDefault="00BF012C" w:rsidP="009C0D93">
      <w:pPr>
        <w:rPr>
          <w:rFonts w:ascii="ITC Avant Garde" w:hAnsi="ITC Avant Garde"/>
          <w:lang w:val="es-MX"/>
        </w:rPr>
      </w:pPr>
      <w:r w:rsidRPr="009C0D93">
        <w:rPr>
          <w:rFonts w:ascii="ITC Avant Garde" w:hAnsi="ITC Avant Garde"/>
          <w:lang w:val="es-MX"/>
        </w:rPr>
        <w:lastRenderedPageBreak/>
        <w:t>Por otra parte</w:t>
      </w:r>
      <w:r w:rsidR="00477423" w:rsidRPr="009C0D93">
        <w:rPr>
          <w:rFonts w:ascii="ITC Avant Garde" w:hAnsi="ITC Avant Garde"/>
          <w:lang w:val="es-MX"/>
        </w:rPr>
        <w:t xml:space="preserve">, </w:t>
      </w:r>
      <w:r w:rsidRPr="009C0D93">
        <w:rPr>
          <w:rFonts w:ascii="ITC Avant Garde" w:hAnsi="ITC Avant Garde"/>
          <w:lang w:val="es-MX"/>
        </w:rPr>
        <w:t>un participante</w:t>
      </w:r>
      <w:r w:rsidR="00477423" w:rsidRPr="009C0D93">
        <w:rPr>
          <w:rFonts w:ascii="ITC Avant Garde" w:hAnsi="ITC Avant Garde"/>
          <w:lang w:val="es-MX"/>
        </w:rPr>
        <w:t xml:space="preserve"> (Telmex) considera que es necesario realizar ajustes al tipo de cambio MXN/USD en el modelo</w:t>
      </w:r>
      <w:r w:rsidR="00A97E52" w:rsidRPr="009C0D93">
        <w:rPr>
          <w:rFonts w:ascii="ITC Avant Garde" w:hAnsi="ITC Avant Garde"/>
          <w:lang w:val="es-MX"/>
        </w:rPr>
        <w:t>,</w:t>
      </w:r>
      <w:r w:rsidR="00477423" w:rsidRPr="009C0D93">
        <w:rPr>
          <w:rFonts w:ascii="ITC Avant Garde" w:hAnsi="ITC Avant Garde"/>
          <w:lang w:val="es-MX"/>
        </w:rPr>
        <w:t xml:space="preserve"> derivado de la tendencia </w:t>
      </w:r>
      <w:r w:rsidR="00A97E52" w:rsidRPr="009C0D93">
        <w:rPr>
          <w:rFonts w:ascii="ITC Avant Garde" w:hAnsi="ITC Avant Garde"/>
          <w:lang w:val="es-MX"/>
        </w:rPr>
        <w:t xml:space="preserve">histórica </w:t>
      </w:r>
      <w:r w:rsidR="00477423" w:rsidRPr="009C0D93">
        <w:rPr>
          <w:rFonts w:ascii="ITC Avant Garde" w:hAnsi="ITC Avant Garde"/>
          <w:lang w:val="es-MX"/>
        </w:rPr>
        <w:t xml:space="preserve">que </w:t>
      </w:r>
      <w:r w:rsidR="00A97E52" w:rsidRPr="009C0D93">
        <w:rPr>
          <w:rFonts w:ascii="ITC Avant Garde" w:hAnsi="ITC Avant Garde"/>
          <w:lang w:val="es-MX"/>
        </w:rPr>
        <w:t>dich</w:t>
      </w:r>
      <w:r w:rsidR="00B92AB3" w:rsidRPr="009C0D93">
        <w:rPr>
          <w:rFonts w:ascii="ITC Avant Garde" w:hAnsi="ITC Avant Garde"/>
          <w:lang w:val="es-MX"/>
        </w:rPr>
        <w:t xml:space="preserve">a variable </w:t>
      </w:r>
      <w:r w:rsidR="00477423" w:rsidRPr="009C0D93">
        <w:rPr>
          <w:rFonts w:ascii="ITC Avant Garde" w:hAnsi="ITC Avant Garde"/>
          <w:lang w:val="es-MX"/>
        </w:rPr>
        <w:t>ha mostrado.</w:t>
      </w:r>
    </w:p>
    <w:p w14:paraId="777AF1B0" w14:textId="77B38B1C" w:rsidR="00477423" w:rsidRPr="009C0D93" w:rsidRDefault="00BF012C" w:rsidP="009C0D93">
      <w:pPr>
        <w:rPr>
          <w:rFonts w:ascii="ITC Avant Garde" w:hAnsi="ITC Avant Garde"/>
          <w:lang w:val="es-MX"/>
        </w:rPr>
      </w:pPr>
      <w:r w:rsidRPr="009C0D93">
        <w:rPr>
          <w:rFonts w:ascii="ITC Avant Garde" w:hAnsi="ITC Avant Garde"/>
          <w:lang w:val="es-MX"/>
        </w:rPr>
        <w:t>También se destaca que u</w:t>
      </w:r>
      <w:r w:rsidR="00477423" w:rsidRPr="009C0D93">
        <w:rPr>
          <w:rFonts w:ascii="ITC Avant Garde" w:hAnsi="ITC Avant Garde"/>
          <w:lang w:val="es-MX"/>
        </w:rPr>
        <w:t xml:space="preserve">no de los participantes (Televisa) menciona que no es claro el enfoque que se sigue para la asignación de costos comunes no de red, indicando que es necesario que se precise si se emplea </w:t>
      </w:r>
      <w:r w:rsidRPr="009C0D93">
        <w:rPr>
          <w:rFonts w:ascii="ITC Avant Garde" w:hAnsi="ITC Avant Garde"/>
          <w:lang w:val="es-MX"/>
        </w:rPr>
        <w:t>un enfoque en donde tales conceptos de costos son</w:t>
      </w:r>
      <w:r w:rsidR="00477423" w:rsidRPr="009C0D93">
        <w:rPr>
          <w:rFonts w:ascii="ITC Avant Garde" w:hAnsi="ITC Avant Garde"/>
          <w:lang w:val="es-MX"/>
        </w:rPr>
        <w:t xml:space="preserve"> adicionados</w:t>
      </w:r>
      <w:r w:rsidRPr="009C0D93">
        <w:rPr>
          <w:rFonts w:ascii="ITC Avant Garde" w:hAnsi="ITC Avant Garde"/>
          <w:lang w:val="es-MX"/>
        </w:rPr>
        <w:t xml:space="preserve"> a los niveles tarifarios de los servicios mayoristas que aborda el modelo</w:t>
      </w:r>
      <w:r w:rsidR="00477423" w:rsidRPr="009C0D93">
        <w:rPr>
          <w:rFonts w:ascii="ITC Avant Garde" w:hAnsi="ITC Avant Garde"/>
          <w:lang w:val="es-MX"/>
        </w:rPr>
        <w:t xml:space="preserve"> mediante un </w:t>
      </w:r>
      <w:r w:rsidRPr="009C0D93">
        <w:rPr>
          <w:rFonts w:ascii="ITC Avant Garde" w:hAnsi="ITC Avant Garde"/>
          <w:lang w:val="es-MX"/>
        </w:rPr>
        <w:t>enfoque tipo “</w:t>
      </w:r>
      <w:r w:rsidR="00477423" w:rsidRPr="009C0D93">
        <w:rPr>
          <w:rFonts w:ascii="ITC Avant Garde" w:hAnsi="ITC Avant Garde"/>
          <w:lang w:val="es-MX"/>
        </w:rPr>
        <w:t>EPMU</w:t>
      </w:r>
      <w:r w:rsidRPr="009C0D93">
        <w:rPr>
          <w:rFonts w:ascii="ITC Avant Garde" w:hAnsi="ITC Avant Garde"/>
          <w:lang w:val="es-MX"/>
        </w:rPr>
        <w:t>”, en cuyo caso, dicho participante</w:t>
      </w:r>
      <w:r w:rsidR="00477423" w:rsidRPr="009C0D93">
        <w:rPr>
          <w:rFonts w:ascii="ITC Avant Garde" w:hAnsi="ITC Avant Garde"/>
          <w:lang w:val="es-MX"/>
        </w:rPr>
        <w:t xml:space="preserve"> consideraría </w:t>
      </w:r>
      <w:r w:rsidRPr="009C0D93">
        <w:rPr>
          <w:rFonts w:ascii="ITC Avant Garde" w:hAnsi="ITC Avant Garde"/>
          <w:lang w:val="es-MX"/>
        </w:rPr>
        <w:t xml:space="preserve">dicho enfoque </w:t>
      </w:r>
      <w:r w:rsidR="00477423" w:rsidRPr="009C0D93">
        <w:rPr>
          <w:rFonts w:ascii="ITC Avant Garde" w:hAnsi="ITC Avant Garde"/>
          <w:lang w:val="es-MX"/>
        </w:rPr>
        <w:t>adecuado.</w:t>
      </w:r>
    </w:p>
    <w:p w14:paraId="4296E32D" w14:textId="17765B88" w:rsidR="00477423" w:rsidRPr="009C0D93" w:rsidRDefault="00477423" w:rsidP="009C0D93">
      <w:pPr>
        <w:rPr>
          <w:rFonts w:ascii="ITC Avant Garde" w:hAnsi="ITC Avant Garde"/>
          <w:lang w:val="es-MX"/>
        </w:rPr>
      </w:pPr>
      <w:r w:rsidRPr="009C0D93">
        <w:rPr>
          <w:rFonts w:ascii="ITC Avant Garde" w:hAnsi="ITC Avant Garde"/>
          <w:lang w:val="es-MX"/>
        </w:rPr>
        <w:t>Por otro lado, uno de los participantes (Mega</w:t>
      </w:r>
      <w:r w:rsidR="00563BE7" w:rsidRPr="009C0D93">
        <w:rPr>
          <w:rFonts w:ascii="ITC Avant Garde" w:hAnsi="ITC Avant Garde"/>
          <w:lang w:val="es-MX"/>
        </w:rPr>
        <w:t xml:space="preserve"> C</w:t>
      </w:r>
      <w:r w:rsidRPr="009C0D93">
        <w:rPr>
          <w:rFonts w:ascii="ITC Avant Garde" w:hAnsi="ITC Avant Garde"/>
          <w:lang w:val="es-MX"/>
        </w:rPr>
        <w:t xml:space="preserve">able) manifiesta que existe poca información y que la </w:t>
      </w:r>
      <w:r w:rsidR="00BF012C" w:rsidRPr="009C0D93">
        <w:rPr>
          <w:rFonts w:ascii="ITC Avant Garde" w:hAnsi="ITC Avant Garde"/>
          <w:lang w:val="es-MX"/>
        </w:rPr>
        <w:t>“</w:t>
      </w:r>
      <w:r w:rsidRPr="009C0D93">
        <w:rPr>
          <w:rFonts w:ascii="ITC Avant Garde" w:hAnsi="ITC Avant Garde"/>
          <w:lang w:val="es-MX"/>
        </w:rPr>
        <w:t>anonimización</w:t>
      </w:r>
      <w:r w:rsidR="00BF012C" w:rsidRPr="009C0D93">
        <w:rPr>
          <w:rFonts w:ascii="ITC Avant Garde" w:hAnsi="ITC Avant Garde"/>
          <w:lang w:val="es-MX"/>
        </w:rPr>
        <w:t>”</w:t>
      </w:r>
      <w:r w:rsidRPr="009C0D93">
        <w:rPr>
          <w:rFonts w:ascii="ITC Avant Garde" w:hAnsi="ITC Avant Garde"/>
          <w:lang w:val="es-MX"/>
        </w:rPr>
        <w:t xml:space="preserve"> de la información de entrada </w:t>
      </w:r>
      <w:r w:rsidR="00BF012C" w:rsidRPr="009C0D93">
        <w:rPr>
          <w:rFonts w:ascii="ITC Avant Garde" w:hAnsi="ITC Avant Garde"/>
          <w:lang w:val="es-MX"/>
        </w:rPr>
        <w:t xml:space="preserve">para el modelo de costos </w:t>
      </w:r>
      <w:r w:rsidRPr="009C0D93">
        <w:rPr>
          <w:rFonts w:ascii="ITC Avant Garde" w:hAnsi="ITC Avant Garde"/>
          <w:lang w:val="es-MX"/>
        </w:rPr>
        <w:t>dificulta dar respuesta a esta pregunta.</w:t>
      </w:r>
    </w:p>
    <w:p w14:paraId="2CF7E2EB" w14:textId="6577C200" w:rsidR="004C3DB8" w:rsidRPr="009C0D93" w:rsidRDefault="00477423" w:rsidP="009C0D93">
      <w:pPr>
        <w:rPr>
          <w:rFonts w:ascii="ITC Avant Garde" w:hAnsi="ITC Avant Garde"/>
          <w:lang w:val="es-MX"/>
        </w:rPr>
      </w:pPr>
      <w:r w:rsidRPr="009C0D93">
        <w:rPr>
          <w:rFonts w:ascii="ITC Avant Garde" w:hAnsi="ITC Avant Garde"/>
          <w:lang w:val="es-MX"/>
        </w:rPr>
        <w:t xml:space="preserve">Finalmente, ciertos participantes (Sres. Chepe Campuzano y Sánchez Dávila) sugieren </w:t>
      </w:r>
      <w:r w:rsidR="00E23B3C" w:rsidRPr="009C0D93">
        <w:rPr>
          <w:rFonts w:ascii="ITC Avant Garde" w:hAnsi="ITC Avant Garde"/>
          <w:lang w:val="es-MX"/>
        </w:rPr>
        <w:t xml:space="preserve">que se deben </w:t>
      </w:r>
      <w:r w:rsidRPr="009C0D93">
        <w:rPr>
          <w:rFonts w:ascii="ITC Avant Garde" w:hAnsi="ITC Avant Garde"/>
          <w:lang w:val="es-MX"/>
        </w:rPr>
        <w:t xml:space="preserve">tener en cuenta </w:t>
      </w:r>
      <w:r w:rsidR="00E23B3C" w:rsidRPr="009C0D93">
        <w:rPr>
          <w:rFonts w:ascii="ITC Avant Garde" w:hAnsi="ITC Avant Garde"/>
          <w:lang w:val="es-MX"/>
        </w:rPr>
        <w:t xml:space="preserve">a </w:t>
      </w:r>
      <w:r w:rsidRPr="009C0D93">
        <w:rPr>
          <w:rFonts w:ascii="ITC Avant Garde" w:hAnsi="ITC Avant Garde"/>
          <w:lang w:val="es-MX"/>
        </w:rPr>
        <w:t>las particularidades del país en el diseño del modelo.</w:t>
      </w:r>
    </w:p>
    <w:p w14:paraId="161A0D47" w14:textId="77777777" w:rsidR="00850ECB" w:rsidRPr="007D54E4" w:rsidRDefault="00850ECB" w:rsidP="00477423">
      <w:pPr>
        <w:pStyle w:val="Ttulo3"/>
        <w:numPr>
          <w:ilvl w:val="0"/>
          <w:numId w:val="0"/>
        </w:numPr>
        <w:rPr>
          <w:rFonts w:ascii="ITC Avant Garde" w:hAnsi="ITC Avant Garde"/>
          <w:b w:val="0"/>
          <w:i/>
          <w:u w:val="single"/>
          <w:lang w:val="es-ES_tradnl"/>
        </w:rPr>
      </w:pPr>
      <w:r w:rsidRPr="007D54E4">
        <w:rPr>
          <w:rFonts w:ascii="ITC Avant Garde" w:hAnsi="ITC Avant Garde"/>
          <w:b w:val="0"/>
          <w:i/>
          <w:u w:val="single"/>
          <w:lang w:val="es-ES_tradnl"/>
        </w:rPr>
        <w:t>Respuesta del Instituto</w:t>
      </w:r>
    </w:p>
    <w:p w14:paraId="1875E68D" w14:textId="2B360327" w:rsidR="00477423" w:rsidRPr="007D54E4" w:rsidRDefault="00477423" w:rsidP="00477423">
      <w:pPr>
        <w:rPr>
          <w:rFonts w:ascii="ITC Avant Garde" w:hAnsi="ITC Avant Garde"/>
          <w:lang w:val="es-MX"/>
        </w:rPr>
      </w:pPr>
      <w:r w:rsidRPr="007D54E4">
        <w:rPr>
          <w:rFonts w:ascii="ITC Avant Garde" w:hAnsi="ITC Avant Garde"/>
          <w:lang w:val="es-MX"/>
        </w:rPr>
        <w:t xml:space="preserve">En torno al plazo que debe considerar el modelo en comento, el Instituto considera que ampliar el plazo de modelado no es apropiado, ya que el nivel de incertidumbre aumenta al alejarse de los años actuales y, por lo tanto, el nivel de precisión </w:t>
      </w:r>
      <w:r w:rsidR="00595444" w:rsidRPr="007D54E4">
        <w:rPr>
          <w:rFonts w:ascii="ITC Avant Garde" w:hAnsi="ITC Avant Garde"/>
          <w:lang w:val="es-MX"/>
        </w:rPr>
        <w:t xml:space="preserve">de las estimaciones realizadas </w:t>
      </w:r>
      <w:r w:rsidRPr="007D54E4">
        <w:rPr>
          <w:rFonts w:ascii="ITC Avant Garde" w:hAnsi="ITC Avant Garde"/>
          <w:lang w:val="es-MX"/>
        </w:rPr>
        <w:t>disminuye</w:t>
      </w:r>
      <w:r w:rsidR="00595444" w:rsidRPr="007D54E4">
        <w:rPr>
          <w:rFonts w:ascii="ITC Avant Garde" w:hAnsi="ITC Avant Garde"/>
          <w:lang w:val="es-MX"/>
        </w:rPr>
        <w:t xml:space="preserve">, </w:t>
      </w:r>
      <w:r w:rsidR="00E77F28">
        <w:rPr>
          <w:rFonts w:ascii="ITC Avant Garde" w:hAnsi="ITC Avant Garde"/>
          <w:lang w:val="es-MX"/>
        </w:rPr>
        <w:t xml:space="preserve">lo que </w:t>
      </w:r>
      <w:r w:rsidR="00595444" w:rsidRPr="007D54E4">
        <w:rPr>
          <w:rFonts w:ascii="ITC Avant Garde" w:hAnsi="ITC Avant Garde"/>
          <w:lang w:val="es-MX"/>
        </w:rPr>
        <w:t>podría repercutir sobre los niveles tarifarios de los servicios en cuestión</w:t>
      </w:r>
      <w:r w:rsidRPr="007D54E4">
        <w:rPr>
          <w:rFonts w:ascii="ITC Avant Garde" w:hAnsi="ITC Avant Garde"/>
          <w:lang w:val="es-MX"/>
        </w:rPr>
        <w:t>. En este sentido, si bien es cierto que en otros países, especialmente en la Unión Europea, se emplean modelos de muy largo plazo, el uso de modelos con periodos de 15</w:t>
      </w:r>
      <w:r w:rsidR="00595444" w:rsidRPr="007D54E4">
        <w:rPr>
          <w:rFonts w:ascii="ITC Avant Garde" w:hAnsi="ITC Avant Garde"/>
          <w:lang w:val="es-MX"/>
        </w:rPr>
        <w:t xml:space="preserve"> a </w:t>
      </w:r>
      <w:r w:rsidRPr="007D54E4">
        <w:rPr>
          <w:rFonts w:ascii="ITC Avant Garde" w:hAnsi="ITC Avant Garde"/>
          <w:lang w:val="es-MX"/>
        </w:rPr>
        <w:t xml:space="preserve">20 años está asociado típicamente al </w:t>
      </w:r>
      <w:r w:rsidR="00595444" w:rsidRPr="007D54E4">
        <w:rPr>
          <w:rFonts w:ascii="ITC Avant Garde" w:hAnsi="ITC Avant Garde"/>
          <w:lang w:val="es-MX"/>
        </w:rPr>
        <w:t>uso</w:t>
      </w:r>
      <w:r w:rsidRPr="007D54E4">
        <w:rPr>
          <w:rFonts w:ascii="ITC Avant Garde" w:hAnsi="ITC Avant Garde"/>
          <w:lang w:val="es-MX"/>
        </w:rPr>
        <w:t xml:space="preserve"> del método de depreciación económica</w:t>
      </w:r>
      <w:r w:rsidRPr="007D54E4">
        <w:rPr>
          <w:rStyle w:val="Refdenotaalpie"/>
          <w:rFonts w:ascii="ITC Avant Garde" w:hAnsi="ITC Avant Garde"/>
          <w:sz w:val="22"/>
          <w:lang w:val="es-MX"/>
        </w:rPr>
        <w:footnoteReference w:id="5"/>
      </w:r>
      <w:r w:rsidRPr="007D54E4">
        <w:rPr>
          <w:rFonts w:ascii="ITC Avant Garde" w:hAnsi="ITC Avant Garde"/>
          <w:lang w:val="es-MX"/>
        </w:rPr>
        <w:t xml:space="preserve">, que no es el empleado en </w:t>
      </w:r>
      <w:r w:rsidR="00E77F28">
        <w:rPr>
          <w:rFonts w:ascii="ITC Avant Garde" w:hAnsi="ITC Avant Garde"/>
          <w:lang w:val="es-MX"/>
        </w:rPr>
        <w:t xml:space="preserve">el </w:t>
      </w:r>
      <w:r w:rsidRPr="007D54E4">
        <w:rPr>
          <w:rFonts w:ascii="ITC Avant Garde" w:hAnsi="ITC Avant Garde"/>
          <w:lang w:val="es-MX"/>
        </w:rPr>
        <w:t>presente modelo (véase la sección</w:t>
      </w:r>
      <w:r w:rsidR="00595444" w:rsidRPr="007D54E4">
        <w:rPr>
          <w:rFonts w:ascii="ITC Avant Garde" w:hAnsi="ITC Avant Garde"/>
          <w:lang w:val="es-MX"/>
        </w:rPr>
        <w:t xml:space="preserve"> </w:t>
      </w:r>
      <w:r w:rsidR="00595444" w:rsidRPr="007D54E4">
        <w:rPr>
          <w:rFonts w:ascii="ITC Avant Garde" w:hAnsi="ITC Avant Garde"/>
          <w:lang w:val="es-MX"/>
        </w:rPr>
        <w:fldChar w:fldCharType="begin"/>
      </w:r>
      <w:r w:rsidR="00595444" w:rsidRPr="007D54E4">
        <w:rPr>
          <w:rFonts w:ascii="ITC Avant Garde" w:hAnsi="ITC Avant Garde"/>
          <w:lang w:val="es-MX"/>
        </w:rPr>
        <w:instrText xml:space="preserve"> REF _Ref529352417 \r \h </w:instrText>
      </w:r>
      <w:r w:rsidR="007D54E4" w:rsidRPr="007D54E4">
        <w:rPr>
          <w:rFonts w:ascii="ITC Avant Garde" w:hAnsi="ITC Avant Garde"/>
          <w:lang w:val="es-MX"/>
        </w:rPr>
        <w:instrText xml:space="preserve"> \* MERGEFORMAT </w:instrText>
      </w:r>
      <w:r w:rsidR="00595444" w:rsidRPr="007D54E4">
        <w:rPr>
          <w:rFonts w:ascii="ITC Avant Garde" w:hAnsi="ITC Avant Garde"/>
          <w:lang w:val="es-MX"/>
        </w:rPr>
      </w:r>
      <w:r w:rsidR="00595444" w:rsidRPr="007D54E4">
        <w:rPr>
          <w:rFonts w:ascii="ITC Avant Garde" w:hAnsi="ITC Avant Garde"/>
          <w:lang w:val="es-MX"/>
        </w:rPr>
        <w:fldChar w:fldCharType="separate"/>
      </w:r>
      <w:r w:rsidR="00595444" w:rsidRPr="007D54E4">
        <w:rPr>
          <w:rFonts w:ascii="ITC Avant Garde" w:hAnsi="ITC Avant Garde"/>
          <w:lang w:val="es-MX"/>
        </w:rPr>
        <w:t>2.11</w:t>
      </w:r>
      <w:r w:rsidR="00595444" w:rsidRPr="007D54E4">
        <w:rPr>
          <w:rFonts w:ascii="ITC Avant Garde" w:hAnsi="ITC Avant Garde"/>
          <w:lang w:val="es-MX"/>
        </w:rPr>
        <w:fldChar w:fldCharType="end"/>
      </w:r>
      <w:r w:rsidRPr="007D54E4">
        <w:rPr>
          <w:rFonts w:ascii="ITC Avant Garde" w:hAnsi="ITC Avant Garde"/>
          <w:lang w:val="es-MX"/>
        </w:rPr>
        <w:t>). Adicionalmente, se hace notar que el objeto de este modelo es la definición de precios mayoristas que son de aplicación para el periodo de vigencia de la oferta de referencia correspondiente, por lo que no se considera necesario disponer de información posterior.</w:t>
      </w:r>
    </w:p>
    <w:p w14:paraId="1921442C" w14:textId="39F5E2B7" w:rsidR="005C59B7" w:rsidRPr="007D54E4" w:rsidRDefault="00477423" w:rsidP="005C59B7">
      <w:pPr>
        <w:rPr>
          <w:rFonts w:ascii="ITC Avant Garde" w:hAnsi="ITC Avant Garde"/>
          <w:lang w:val="es-MX"/>
        </w:rPr>
      </w:pPr>
      <w:r w:rsidRPr="007D54E4">
        <w:rPr>
          <w:rFonts w:ascii="ITC Avant Garde" w:hAnsi="ITC Avant Garde"/>
          <w:lang w:val="es-MX"/>
        </w:rPr>
        <w:t>Respecto a los comentarios en que se sugiere que ciertos activos de la red del AEP podrían estar totalmente depreciados al inicio del periodo considera</w:t>
      </w:r>
      <w:r w:rsidR="00595444" w:rsidRPr="007D54E4">
        <w:rPr>
          <w:rFonts w:ascii="ITC Avant Garde" w:hAnsi="ITC Avant Garde"/>
          <w:lang w:val="es-MX"/>
        </w:rPr>
        <w:t>do</w:t>
      </w:r>
      <w:r w:rsidRPr="007D54E4">
        <w:rPr>
          <w:rFonts w:ascii="ITC Avant Garde" w:hAnsi="ITC Avant Garde"/>
          <w:lang w:val="es-MX"/>
        </w:rPr>
        <w:t xml:space="preserve"> en el modelo, el Instituto </w:t>
      </w:r>
      <w:r w:rsidR="005C59B7" w:rsidRPr="007D54E4">
        <w:rPr>
          <w:rFonts w:ascii="ITC Avant Garde" w:hAnsi="ITC Avant Garde"/>
          <w:lang w:val="es-MX"/>
        </w:rPr>
        <w:t>señala que</w:t>
      </w:r>
      <w:r w:rsidR="000D5510" w:rsidRPr="007D54E4">
        <w:rPr>
          <w:rFonts w:ascii="ITC Avant Garde" w:hAnsi="ITC Avant Garde"/>
          <w:lang w:val="es-MX"/>
        </w:rPr>
        <w:t xml:space="preserve"> ante inquietudes similares,</w:t>
      </w:r>
      <w:r w:rsidR="005C59B7" w:rsidRPr="007D54E4">
        <w:rPr>
          <w:rFonts w:ascii="ITC Avant Garde" w:hAnsi="ITC Avant Garde"/>
          <w:lang w:val="es-MX"/>
        </w:rPr>
        <w:t xml:space="preserve"> </w:t>
      </w:r>
      <w:r w:rsidR="000D5510" w:rsidRPr="007D54E4">
        <w:rPr>
          <w:rFonts w:ascii="ITC Avant Garde" w:hAnsi="ITC Avant Garde"/>
          <w:lang w:val="es-MX"/>
        </w:rPr>
        <w:t>diversos</w:t>
      </w:r>
      <w:r w:rsidR="005C59B7" w:rsidRPr="007D54E4">
        <w:rPr>
          <w:rFonts w:ascii="ITC Avant Garde" w:hAnsi="ITC Avant Garde"/>
          <w:lang w:val="es-MX"/>
        </w:rPr>
        <w:t xml:space="preserve"> países de la Unión Europea han considerado necesario incorporar, en cierta medida, la depreciación de activos</w:t>
      </w:r>
      <w:r w:rsidR="00EC2881">
        <w:rPr>
          <w:rFonts w:ascii="ITC Avant Garde" w:hAnsi="ITC Avant Garde"/>
          <w:lang w:val="es-MX"/>
        </w:rPr>
        <w:t xml:space="preserve"> de</w:t>
      </w:r>
      <w:r w:rsidR="005C59B7" w:rsidRPr="007D54E4">
        <w:rPr>
          <w:rFonts w:ascii="ITC Avant Garde" w:hAnsi="ITC Avant Garde"/>
          <w:lang w:val="es-MX"/>
        </w:rPr>
        <w:t xml:space="preserve"> la red de acceso del operador histórico para representar</w:t>
      </w:r>
      <w:r w:rsidR="000D5510" w:rsidRPr="007D54E4">
        <w:rPr>
          <w:rFonts w:ascii="ITC Avant Garde" w:hAnsi="ITC Avant Garde"/>
          <w:lang w:val="es-MX"/>
        </w:rPr>
        <w:t xml:space="preserve"> a través de modelos de costos a</w:t>
      </w:r>
      <w:r w:rsidR="005C59B7" w:rsidRPr="007D54E4">
        <w:rPr>
          <w:rFonts w:ascii="ITC Avant Garde" w:hAnsi="ITC Avant Garde"/>
          <w:lang w:val="es-MX"/>
        </w:rPr>
        <w:t xml:space="preserve"> los niveles de inversión necesarios para brindar servicios mayoristas de acceso a través de esta. En este sentido, </w:t>
      </w:r>
      <w:r w:rsidR="005C59B7" w:rsidRPr="007D54E4">
        <w:rPr>
          <w:rFonts w:ascii="ITC Avant Garde" w:hAnsi="ITC Avant Garde"/>
          <w:lang w:val="es-MX"/>
        </w:rPr>
        <w:lastRenderedPageBreak/>
        <w:t xml:space="preserve">aunque </w:t>
      </w:r>
      <w:r w:rsidR="000D5510" w:rsidRPr="007D54E4">
        <w:rPr>
          <w:rFonts w:ascii="ITC Avant Garde" w:hAnsi="ITC Avant Garde"/>
          <w:lang w:val="es-MX"/>
        </w:rPr>
        <w:t xml:space="preserve">el Instituto estima que </w:t>
      </w:r>
      <w:r w:rsidR="005C59B7" w:rsidRPr="007D54E4">
        <w:rPr>
          <w:rFonts w:ascii="ITC Avant Garde" w:hAnsi="ITC Avant Garde"/>
          <w:lang w:val="es-MX"/>
        </w:rPr>
        <w:t xml:space="preserve">dicho enfoque es deseable desde el punto de vista regulatorio, para su implementación se requiere de datos que permitan representar de manera precisa la longevidad de los activos de la red de dicho operador y </w:t>
      </w:r>
      <w:r w:rsidR="000D5510" w:rsidRPr="007D54E4">
        <w:rPr>
          <w:rFonts w:ascii="ITC Avant Garde" w:hAnsi="ITC Avant Garde"/>
          <w:lang w:val="es-MX"/>
        </w:rPr>
        <w:t xml:space="preserve">su correspondiente </w:t>
      </w:r>
      <w:r w:rsidR="005C59B7" w:rsidRPr="007D54E4">
        <w:rPr>
          <w:rFonts w:ascii="ITC Avant Garde" w:hAnsi="ITC Avant Garde"/>
          <w:lang w:val="es-MX"/>
        </w:rPr>
        <w:t>nivel de depreciación, mismos que, en términos de la información aportada por el AEP y los datos con los que cuenta el Instituto,</w:t>
      </w:r>
      <w:r w:rsidR="000D5510" w:rsidRPr="007D54E4">
        <w:rPr>
          <w:rFonts w:ascii="ITC Avant Garde" w:hAnsi="ITC Avant Garde"/>
          <w:lang w:val="es-MX"/>
        </w:rPr>
        <w:t xml:space="preserve"> no se encuentran </w:t>
      </w:r>
      <w:r w:rsidR="005C59B7" w:rsidRPr="007D54E4">
        <w:rPr>
          <w:rFonts w:ascii="ITC Avant Garde" w:hAnsi="ITC Avant Garde"/>
          <w:lang w:val="es-MX"/>
        </w:rPr>
        <w:t>disponible</w:t>
      </w:r>
      <w:r w:rsidR="000D5510" w:rsidRPr="007D54E4">
        <w:rPr>
          <w:rFonts w:ascii="ITC Avant Garde" w:hAnsi="ITC Avant Garde"/>
          <w:lang w:val="es-MX"/>
        </w:rPr>
        <w:t>s para el modelo en comento</w:t>
      </w:r>
      <w:r w:rsidR="005C59B7" w:rsidRPr="007D54E4">
        <w:rPr>
          <w:rFonts w:ascii="ITC Avant Garde" w:hAnsi="ITC Avant Garde"/>
          <w:lang w:val="es-MX"/>
        </w:rPr>
        <w:t>.</w:t>
      </w:r>
    </w:p>
    <w:p w14:paraId="7E1A6F48" w14:textId="1A79280B" w:rsidR="00477423" w:rsidRPr="007D54E4" w:rsidRDefault="005C59B7" w:rsidP="00477423">
      <w:pPr>
        <w:rPr>
          <w:rFonts w:ascii="ITC Avant Garde" w:hAnsi="ITC Avant Garde"/>
          <w:lang w:val="es-MX"/>
        </w:rPr>
      </w:pPr>
      <w:r w:rsidRPr="007D54E4">
        <w:rPr>
          <w:rFonts w:ascii="ITC Avant Garde" w:hAnsi="ITC Avant Garde"/>
          <w:lang w:val="es-MX"/>
        </w:rPr>
        <w:t xml:space="preserve">En consecuencia, el Instituto </w:t>
      </w:r>
      <w:r w:rsidR="000D5510" w:rsidRPr="007D54E4">
        <w:rPr>
          <w:rFonts w:ascii="ITC Avant Garde" w:hAnsi="ITC Avant Garde"/>
          <w:lang w:val="es-MX"/>
        </w:rPr>
        <w:t>estimó pertinente implementar</w:t>
      </w:r>
      <w:r w:rsidR="00477423" w:rsidRPr="007D54E4">
        <w:rPr>
          <w:rFonts w:ascii="ITC Avant Garde" w:hAnsi="ITC Avant Garde"/>
          <w:lang w:val="es-MX"/>
        </w:rPr>
        <w:t xml:space="preserve"> el modelo </w:t>
      </w:r>
      <w:r w:rsidR="000D5510" w:rsidRPr="007D54E4">
        <w:rPr>
          <w:rFonts w:ascii="ITC Avant Garde" w:hAnsi="ITC Avant Garde"/>
          <w:lang w:val="es-MX"/>
        </w:rPr>
        <w:t xml:space="preserve">de costos empleando la mejor información disponible con la que cuenta, es decir, mediante </w:t>
      </w:r>
      <w:r w:rsidR="00477423" w:rsidRPr="007D54E4">
        <w:rPr>
          <w:rFonts w:ascii="ITC Avant Garde" w:hAnsi="ITC Avant Garde"/>
          <w:lang w:val="es-MX"/>
        </w:rPr>
        <w:t xml:space="preserve">un </w:t>
      </w:r>
      <w:r w:rsidR="000D5510" w:rsidRPr="007D54E4">
        <w:rPr>
          <w:rFonts w:ascii="ITC Avant Garde" w:hAnsi="ITC Avant Garde"/>
          <w:lang w:val="es-MX"/>
        </w:rPr>
        <w:t xml:space="preserve">enfoque de </w:t>
      </w:r>
      <w:r w:rsidR="00477423" w:rsidRPr="007D54E4">
        <w:rPr>
          <w:rFonts w:ascii="ITC Avant Garde" w:hAnsi="ITC Avant Garde"/>
          <w:lang w:val="es-MX"/>
        </w:rPr>
        <w:t>dimensionamiento eficiente, e</w:t>
      </w:r>
      <w:r w:rsidR="000D5510" w:rsidRPr="007D54E4">
        <w:rPr>
          <w:rFonts w:ascii="ITC Avant Garde" w:hAnsi="ITC Avant Garde"/>
          <w:lang w:val="es-MX"/>
        </w:rPr>
        <w:t>n el que se modela</w:t>
      </w:r>
      <w:r w:rsidR="00477423" w:rsidRPr="007D54E4">
        <w:rPr>
          <w:rFonts w:ascii="ITC Avant Garde" w:hAnsi="ITC Avant Garde"/>
          <w:lang w:val="es-MX"/>
        </w:rPr>
        <w:t xml:space="preserve"> </w:t>
      </w:r>
      <w:r w:rsidR="000D5510" w:rsidRPr="007D54E4">
        <w:rPr>
          <w:rFonts w:ascii="ITC Avant Garde" w:hAnsi="ITC Avant Garde"/>
          <w:lang w:val="es-MX"/>
        </w:rPr>
        <w:t xml:space="preserve">una red </w:t>
      </w:r>
      <w:r w:rsidR="00477423" w:rsidRPr="007D54E4">
        <w:rPr>
          <w:rFonts w:ascii="ITC Avant Garde" w:hAnsi="ITC Avant Garde"/>
          <w:lang w:val="es-MX"/>
        </w:rPr>
        <w:t>moderna y equivalente a la del AEP, bajo un enfoque teórico ascendente</w:t>
      </w:r>
      <w:r w:rsidR="000D5510" w:rsidRPr="007D54E4">
        <w:rPr>
          <w:rFonts w:ascii="ITC Avant Garde" w:hAnsi="ITC Avant Garde"/>
          <w:lang w:val="es-MX"/>
        </w:rPr>
        <w:t xml:space="preserve"> y en donde se emplean los costos de reposición de los activos involucrados</w:t>
      </w:r>
      <w:r w:rsidR="00477423" w:rsidRPr="007D54E4">
        <w:rPr>
          <w:rFonts w:ascii="ITC Avant Garde" w:hAnsi="ITC Avant Garde"/>
          <w:lang w:val="es-MX"/>
        </w:rPr>
        <w:t>.</w:t>
      </w:r>
      <w:r w:rsidR="000D5510" w:rsidRPr="007D54E4">
        <w:rPr>
          <w:rFonts w:ascii="ITC Avant Garde" w:hAnsi="ITC Avant Garde"/>
          <w:lang w:val="es-MX"/>
        </w:rPr>
        <w:t xml:space="preserve"> Ello sin perjuicio de que, ante la presencia de mejor información el enfoque anterior pueda ser revisado y en su caso, modificado.</w:t>
      </w:r>
      <w:r w:rsidR="00477423" w:rsidRPr="007D54E4">
        <w:rPr>
          <w:rFonts w:ascii="ITC Avant Garde" w:hAnsi="ITC Avant Garde"/>
          <w:lang w:val="es-MX"/>
        </w:rPr>
        <w:t xml:space="preserve"> </w:t>
      </w:r>
    </w:p>
    <w:p w14:paraId="572C28F9" w14:textId="5223C004" w:rsidR="00477423" w:rsidRPr="007D54E4" w:rsidRDefault="000D5510" w:rsidP="00A17845">
      <w:pPr>
        <w:rPr>
          <w:rFonts w:ascii="ITC Avant Garde" w:hAnsi="ITC Avant Garde"/>
          <w:lang w:val="es-MX"/>
        </w:rPr>
      </w:pPr>
      <w:r w:rsidRPr="007D54E4">
        <w:rPr>
          <w:rFonts w:ascii="ITC Avant Garde" w:hAnsi="ITC Avant Garde"/>
          <w:lang w:val="es-MX"/>
        </w:rPr>
        <w:t xml:space="preserve">En lo tocante al comentario donde se menciona que </w:t>
      </w:r>
      <w:r w:rsidRPr="007D54E4">
        <w:rPr>
          <w:rFonts w:ascii="ITC Avant Garde" w:hAnsi="ITC Avant Garde"/>
          <w:lang w:val="es-419"/>
        </w:rPr>
        <w:t>el modelo debería implementarse observando una</w:t>
      </w:r>
      <w:r w:rsidR="00477423" w:rsidRPr="007D54E4">
        <w:rPr>
          <w:rFonts w:ascii="ITC Avant Garde" w:hAnsi="ITC Avant Garde"/>
          <w:lang w:val="es-MX"/>
        </w:rPr>
        <w:t xml:space="preserve"> metodología </w:t>
      </w:r>
      <w:r w:rsidRPr="007D54E4">
        <w:rPr>
          <w:rFonts w:ascii="ITC Avant Garde" w:hAnsi="ITC Avant Garde"/>
          <w:lang w:val="es-MX"/>
        </w:rPr>
        <w:t>de costo incremental del tipo “</w:t>
      </w:r>
      <w:r w:rsidR="00477423" w:rsidRPr="007D54E4">
        <w:rPr>
          <w:rFonts w:ascii="ITC Avant Garde" w:hAnsi="ITC Avant Garde"/>
          <w:lang w:val="es-MX"/>
        </w:rPr>
        <w:t>puro</w:t>
      </w:r>
      <w:r w:rsidRPr="007D54E4">
        <w:rPr>
          <w:rFonts w:ascii="ITC Avant Garde" w:hAnsi="ITC Avant Garde"/>
          <w:lang w:val="es-MX"/>
        </w:rPr>
        <w:t>”</w:t>
      </w:r>
      <w:r w:rsidR="00477423" w:rsidRPr="007D54E4">
        <w:rPr>
          <w:rFonts w:ascii="ITC Avant Garde" w:hAnsi="ITC Avant Garde"/>
          <w:lang w:val="es-MX"/>
        </w:rPr>
        <w:t xml:space="preserve">, el Instituto destaca </w:t>
      </w:r>
      <w:r w:rsidRPr="007D54E4">
        <w:rPr>
          <w:rFonts w:ascii="ITC Avant Garde" w:hAnsi="ITC Avant Garde"/>
          <w:lang w:val="es-MX"/>
        </w:rPr>
        <w:t xml:space="preserve">que </w:t>
      </w:r>
      <w:r w:rsidR="006371DA" w:rsidRPr="007D54E4">
        <w:rPr>
          <w:rFonts w:ascii="ITC Avant Garde" w:hAnsi="ITC Avant Garde"/>
          <w:lang w:val="es-MX"/>
        </w:rPr>
        <w:t xml:space="preserve">la Medida TRIGÉSIMA NOVENA de las Medidas de Desagregación indica que los niveles tarifarios aplicables a los servicios de desagregación del AEP se deben determinar mediante una </w:t>
      </w:r>
      <w:r w:rsidRPr="007D54E4">
        <w:rPr>
          <w:rFonts w:ascii="ITC Avant Garde" w:hAnsi="ITC Avant Garde"/>
          <w:lang w:val="es-MX"/>
        </w:rPr>
        <w:t xml:space="preserve">metodología de CIPLP, </w:t>
      </w:r>
      <w:r w:rsidR="006371DA" w:rsidRPr="007D54E4">
        <w:rPr>
          <w:rFonts w:ascii="ITC Avant Garde" w:hAnsi="ITC Avant Garde"/>
          <w:lang w:val="es-MX"/>
        </w:rPr>
        <w:t xml:space="preserve">misma que se ha observada por el Instituto para </w:t>
      </w:r>
      <w:r w:rsidR="00EC2881">
        <w:rPr>
          <w:rFonts w:ascii="ITC Avant Garde" w:hAnsi="ITC Avant Garde"/>
          <w:lang w:val="es-MX"/>
        </w:rPr>
        <w:t xml:space="preserve">el desarrollo </w:t>
      </w:r>
      <w:r w:rsidR="006371DA" w:rsidRPr="007D54E4">
        <w:rPr>
          <w:rFonts w:ascii="ITC Avant Garde" w:hAnsi="ITC Avant Garde"/>
          <w:lang w:val="es-MX"/>
        </w:rPr>
        <w:t>del modelo de costos en cuestión. Al respecto, se debe destacar que una de las razones por las cuales la metodología CIPLP se suele emplear para determinar tarifas de servicios mayoristas de acceso a las redes de un operador histórico es el hecho de que a través de la misma se pueden</w:t>
      </w:r>
      <w:r w:rsidR="00477423" w:rsidRPr="007D54E4">
        <w:rPr>
          <w:rFonts w:ascii="ITC Avant Garde" w:hAnsi="ITC Avant Garde"/>
          <w:lang w:val="es-MX"/>
        </w:rPr>
        <w:t xml:space="preserve"> incorporar factores </w:t>
      </w:r>
      <w:r w:rsidR="006371DA" w:rsidRPr="007D54E4">
        <w:rPr>
          <w:rFonts w:ascii="ITC Avant Garde" w:hAnsi="ITC Avant Garde"/>
          <w:lang w:val="es-MX"/>
        </w:rPr>
        <w:t xml:space="preserve">que permitan al operador regulado la </w:t>
      </w:r>
      <w:r w:rsidR="00477423" w:rsidRPr="007D54E4">
        <w:rPr>
          <w:rFonts w:ascii="ITC Avant Garde" w:hAnsi="ITC Avant Garde"/>
          <w:lang w:val="es-MX"/>
        </w:rPr>
        <w:t>recupera</w:t>
      </w:r>
      <w:r w:rsidR="006371DA" w:rsidRPr="007D54E4">
        <w:rPr>
          <w:rFonts w:ascii="ITC Avant Garde" w:hAnsi="ITC Avant Garde"/>
          <w:lang w:val="es-MX"/>
        </w:rPr>
        <w:t>ción de</w:t>
      </w:r>
      <w:r w:rsidR="00477423" w:rsidRPr="007D54E4">
        <w:rPr>
          <w:rFonts w:ascii="ITC Avant Garde" w:hAnsi="ITC Avant Garde"/>
          <w:lang w:val="es-MX"/>
        </w:rPr>
        <w:t xml:space="preserve"> los costos comunes </w:t>
      </w:r>
      <w:r w:rsidR="006371DA" w:rsidRPr="007D54E4">
        <w:rPr>
          <w:rFonts w:ascii="ITC Avant Garde" w:hAnsi="ITC Avant Garde"/>
          <w:lang w:val="es-MX"/>
        </w:rPr>
        <w:t>y compartidos, mismos que no son capturados por la metodología de costo incremental del tipo “puro”, por lo cual no se considera adecuada para abordar los servicios en cuestión</w:t>
      </w:r>
      <w:r w:rsidR="00477423" w:rsidRPr="007D54E4">
        <w:rPr>
          <w:rFonts w:ascii="ITC Avant Garde" w:hAnsi="ITC Avant Garde"/>
          <w:lang w:val="es-MX"/>
        </w:rPr>
        <w:t>.</w:t>
      </w:r>
    </w:p>
    <w:p w14:paraId="542CB032" w14:textId="0F911882" w:rsidR="00477423" w:rsidRPr="007D54E4" w:rsidRDefault="00477423" w:rsidP="00477423">
      <w:pPr>
        <w:rPr>
          <w:rFonts w:ascii="ITC Avant Garde" w:hAnsi="ITC Avant Garde"/>
          <w:lang w:val="es-MX"/>
        </w:rPr>
      </w:pPr>
      <w:r w:rsidRPr="007D54E4">
        <w:rPr>
          <w:rFonts w:ascii="ITC Avant Garde" w:hAnsi="ITC Avant Garde"/>
          <w:lang w:val="es-MX"/>
        </w:rPr>
        <w:t xml:space="preserve">Por otra parte, el Instituto señala que en la versión final del modelo se </w:t>
      </w:r>
      <w:r w:rsidR="0031318E" w:rsidRPr="007D54E4">
        <w:rPr>
          <w:rFonts w:ascii="ITC Avant Garde" w:hAnsi="ITC Avant Garde"/>
          <w:lang w:val="es-MX"/>
        </w:rPr>
        <w:t xml:space="preserve">llevó </w:t>
      </w:r>
      <w:r w:rsidRPr="007D54E4">
        <w:rPr>
          <w:rFonts w:ascii="ITC Avant Garde" w:hAnsi="ITC Avant Garde"/>
          <w:lang w:val="es-MX"/>
        </w:rPr>
        <w:t>a cabo la actualización del tipo de cambio</w:t>
      </w:r>
      <w:r w:rsidR="0031318E" w:rsidRPr="007D54E4">
        <w:rPr>
          <w:rFonts w:ascii="ITC Avant Garde" w:hAnsi="ITC Avant Garde"/>
          <w:lang w:val="es-MX"/>
        </w:rPr>
        <w:t xml:space="preserve"> MXN/USD</w:t>
      </w:r>
      <w:r w:rsidR="00A17845" w:rsidRPr="007D54E4">
        <w:rPr>
          <w:rFonts w:ascii="ITC Avant Garde" w:hAnsi="ITC Avant Garde"/>
          <w:lang w:val="es-MX"/>
        </w:rPr>
        <w:t xml:space="preserve">, basándose </w:t>
      </w:r>
      <w:r w:rsidR="0031318E" w:rsidRPr="007D54E4">
        <w:rPr>
          <w:rFonts w:ascii="ITC Avant Garde" w:hAnsi="ITC Avant Garde"/>
          <w:lang w:val="es-MX"/>
        </w:rPr>
        <w:t>los datos de la</w:t>
      </w:r>
      <w:r w:rsidR="00A17845" w:rsidRPr="007D54E4">
        <w:rPr>
          <w:rFonts w:ascii="ITC Avant Garde" w:hAnsi="ITC Avant Garde"/>
          <w:lang w:val="es-MX"/>
        </w:rPr>
        <w:t xml:space="preserve"> </w:t>
      </w:r>
      <w:r w:rsidR="00341B9C" w:rsidRPr="007D54E4">
        <w:rPr>
          <w:rFonts w:ascii="ITC Avant Garde" w:hAnsi="ITC Avant Garde"/>
          <w:lang w:val="es-MX"/>
        </w:rPr>
        <w:t>“</w:t>
      </w:r>
      <w:r w:rsidR="0031318E" w:rsidRPr="007D54E4">
        <w:rPr>
          <w:rFonts w:ascii="ITC Avant Garde" w:hAnsi="ITC Avant Garde"/>
          <w:lang w:val="es-MX"/>
        </w:rPr>
        <w:t>Encuesta sobre las expectativas de los especialistas en economía del sector privado</w:t>
      </w:r>
      <w:r w:rsidR="00341B9C" w:rsidRPr="007D54E4">
        <w:rPr>
          <w:rFonts w:ascii="ITC Avant Garde" w:hAnsi="ITC Avant Garde"/>
          <w:lang w:val="es-MX"/>
        </w:rPr>
        <w:t xml:space="preserve">” </w:t>
      </w:r>
      <w:r w:rsidR="0031318E" w:rsidRPr="007D54E4">
        <w:rPr>
          <w:rFonts w:ascii="ITC Avant Garde" w:hAnsi="ITC Avant Garde"/>
          <w:lang w:val="es-MX"/>
        </w:rPr>
        <w:t xml:space="preserve">publicada por </w:t>
      </w:r>
      <w:r w:rsidR="00341B9C" w:rsidRPr="007D54E4">
        <w:rPr>
          <w:rFonts w:ascii="ITC Avant Garde" w:hAnsi="ITC Avant Garde"/>
          <w:lang w:val="es-MX"/>
        </w:rPr>
        <w:t>el Banco de México</w:t>
      </w:r>
      <w:r w:rsidR="0031318E" w:rsidRPr="007D54E4">
        <w:rPr>
          <w:rFonts w:ascii="ITC Avant Garde" w:hAnsi="ITC Avant Garde"/>
          <w:lang w:val="es-MX"/>
        </w:rPr>
        <w:t xml:space="preserve"> en agosto de 2016</w:t>
      </w:r>
      <w:r w:rsidRPr="007D54E4">
        <w:rPr>
          <w:rFonts w:ascii="ITC Avant Garde" w:hAnsi="ITC Avant Garde"/>
          <w:lang w:val="es-MX"/>
        </w:rPr>
        <w:t>.</w:t>
      </w:r>
    </w:p>
    <w:p w14:paraId="517062E7" w14:textId="4B46430D" w:rsidR="00477423" w:rsidRPr="007D54E4" w:rsidRDefault="00477423" w:rsidP="00477423">
      <w:pPr>
        <w:rPr>
          <w:rFonts w:ascii="ITC Avant Garde" w:hAnsi="ITC Avant Garde"/>
          <w:lang w:val="es-MX"/>
        </w:rPr>
      </w:pPr>
      <w:r w:rsidRPr="007D54E4">
        <w:rPr>
          <w:rFonts w:ascii="ITC Avant Garde" w:hAnsi="ITC Avant Garde"/>
          <w:lang w:val="es-MX"/>
        </w:rPr>
        <w:t xml:space="preserve">Con respecto a </w:t>
      </w:r>
      <w:r w:rsidR="001E02B7" w:rsidRPr="007D54E4">
        <w:rPr>
          <w:rFonts w:ascii="ITC Avant Garde" w:hAnsi="ITC Avant Garde"/>
          <w:lang w:val="es-MX"/>
        </w:rPr>
        <w:t>los comentarios de un participante sobre el enfoque del modelo para la asignación de costos comunes no de red (denominados como “G&amp;A” en el contexto de modelos de costos)</w:t>
      </w:r>
      <w:r w:rsidRPr="007D54E4">
        <w:rPr>
          <w:rFonts w:ascii="ITC Avant Garde" w:hAnsi="ITC Avant Garde"/>
          <w:lang w:val="es-MX"/>
        </w:rPr>
        <w:t xml:space="preserve">, el Instituto </w:t>
      </w:r>
      <w:r w:rsidR="001E02B7" w:rsidRPr="007D54E4">
        <w:rPr>
          <w:rFonts w:ascii="ITC Avant Garde" w:hAnsi="ITC Avant Garde"/>
          <w:lang w:val="es-MX"/>
        </w:rPr>
        <w:t xml:space="preserve">precisa </w:t>
      </w:r>
      <w:r w:rsidRPr="007D54E4">
        <w:rPr>
          <w:rFonts w:ascii="ITC Avant Garde" w:hAnsi="ITC Avant Garde"/>
          <w:lang w:val="es-MX"/>
        </w:rPr>
        <w:t xml:space="preserve">que son </w:t>
      </w:r>
      <w:r w:rsidR="001E02B7" w:rsidRPr="007D54E4">
        <w:rPr>
          <w:rFonts w:ascii="ITC Avant Garde" w:hAnsi="ITC Avant Garde"/>
          <w:lang w:val="es-MX"/>
        </w:rPr>
        <w:t xml:space="preserve">considerados en el modelo </w:t>
      </w:r>
      <w:r w:rsidRPr="007D54E4">
        <w:rPr>
          <w:rFonts w:ascii="ITC Avant Garde" w:hAnsi="ITC Avant Garde"/>
          <w:lang w:val="es-MX"/>
        </w:rPr>
        <w:t>mediante una metodología EPMU.</w:t>
      </w:r>
    </w:p>
    <w:p w14:paraId="5F8F119B" w14:textId="275FB87A" w:rsidR="00477423" w:rsidRPr="007D54E4" w:rsidRDefault="001E02B7" w:rsidP="00477423">
      <w:pPr>
        <w:rPr>
          <w:rFonts w:ascii="ITC Avant Garde" w:hAnsi="ITC Avant Garde"/>
          <w:lang w:val="es-MX"/>
        </w:rPr>
      </w:pPr>
      <w:r w:rsidRPr="007D54E4">
        <w:rPr>
          <w:rFonts w:ascii="ITC Avant Garde" w:hAnsi="ITC Avant Garde"/>
          <w:lang w:val="es-MX"/>
        </w:rPr>
        <w:t>Por otra parte, e</w:t>
      </w:r>
      <w:r w:rsidR="00477423" w:rsidRPr="007D54E4">
        <w:rPr>
          <w:rFonts w:ascii="ITC Avant Garde" w:hAnsi="ITC Avant Garde"/>
          <w:lang w:val="es-MX"/>
        </w:rPr>
        <w:t xml:space="preserve">n torno a la documentación del modelo y la </w:t>
      </w:r>
      <w:r w:rsidRPr="007D54E4">
        <w:rPr>
          <w:rFonts w:ascii="ITC Avant Garde" w:hAnsi="ITC Avant Garde"/>
          <w:lang w:val="es-MX"/>
        </w:rPr>
        <w:t>“</w:t>
      </w:r>
      <w:r w:rsidR="00477423" w:rsidRPr="007D54E4">
        <w:rPr>
          <w:rFonts w:ascii="ITC Avant Garde" w:hAnsi="ITC Avant Garde"/>
          <w:lang w:val="es-MX"/>
        </w:rPr>
        <w:t>anonimización</w:t>
      </w:r>
      <w:r w:rsidRPr="007D54E4">
        <w:rPr>
          <w:rFonts w:ascii="ITC Avant Garde" w:hAnsi="ITC Avant Garde"/>
          <w:lang w:val="es-MX"/>
        </w:rPr>
        <w:t>”</w:t>
      </w:r>
      <w:r w:rsidR="00477423" w:rsidRPr="007D54E4">
        <w:rPr>
          <w:rFonts w:ascii="ITC Avant Garde" w:hAnsi="ITC Avant Garde"/>
          <w:lang w:val="es-MX"/>
        </w:rPr>
        <w:t xml:space="preserve"> de los datos de entrada del mismo, el Instituto señala que dicho proceso es necesario a efecto de brindar transparencia a los participantes respecto a los principios bajo los cuales se implementa, sin comprometer la confidencialidad de la información del AEP</w:t>
      </w:r>
      <w:r w:rsidR="002824DE" w:rsidRPr="007D54E4">
        <w:rPr>
          <w:rFonts w:ascii="ITC Avant Garde" w:hAnsi="ITC Avant Garde"/>
          <w:lang w:val="es-MX"/>
        </w:rPr>
        <w:t xml:space="preserve">. En este sentido, el Instituto destaca que el proceso se emplea en la práctica internacional en el entendido de que permite a los interesados </w:t>
      </w:r>
      <w:r w:rsidR="00477423" w:rsidRPr="007D54E4">
        <w:rPr>
          <w:rFonts w:ascii="ITC Avant Garde" w:hAnsi="ITC Avant Garde"/>
          <w:lang w:val="es-MX"/>
        </w:rPr>
        <w:t xml:space="preserve">conocer </w:t>
      </w:r>
      <w:r w:rsidR="00477423" w:rsidRPr="007D54E4">
        <w:rPr>
          <w:rFonts w:ascii="ITC Avant Garde" w:hAnsi="ITC Avant Garde"/>
          <w:lang w:val="es-MX"/>
        </w:rPr>
        <w:lastRenderedPageBreak/>
        <w:t>el funcionamiento general de dicha herramienta</w:t>
      </w:r>
      <w:r w:rsidR="002824DE" w:rsidRPr="007D54E4">
        <w:rPr>
          <w:rFonts w:ascii="ITC Avant Garde" w:hAnsi="ITC Avant Garde"/>
          <w:lang w:val="es-MX"/>
        </w:rPr>
        <w:t>, para que puedan</w:t>
      </w:r>
      <w:r w:rsidR="00477423" w:rsidRPr="007D54E4">
        <w:rPr>
          <w:rFonts w:ascii="ITC Avant Garde" w:hAnsi="ITC Avant Garde"/>
          <w:lang w:val="es-MX"/>
        </w:rPr>
        <w:t xml:space="preserve"> aportar comentarios detallados sobre su funcionamiento y los insumos empleados en este. Sin perjuicio de </w:t>
      </w:r>
      <w:r w:rsidR="002824DE" w:rsidRPr="007D54E4">
        <w:rPr>
          <w:rFonts w:ascii="ITC Avant Garde" w:hAnsi="ITC Avant Garde"/>
          <w:lang w:val="es-MX"/>
        </w:rPr>
        <w:t>ello</w:t>
      </w:r>
      <w:r w:rsidR="00477423" w:rsidRPr="007D54E4">
        <w:rPr>
          <w:rFonts w:ascii="ITC Avant Garde" w:hAnsi="ITC Avant Garde"/>
          <w:lang w:val="es-MX"/>
        </w:rPr>
        <w:t xml:space="preserve">, </w:t>
      </w:r>
      <w:r w:rsidR="002824DE" w:rsidRPr="007D54E4">
        <w:rPr>
          <w:rFonts w:ascii="ITC Avant Garde" w:hAnsi="ITC Avant Garde"/>
          <w:lang w:val="es-MX"/>
        </w:rPr>
        <w:t>también se</w:t>
      </w:r>
      <w:r w:rsidR="00477423" w:rsidRPr="007D54E4">
        <w:rPr>
          <w:rFonts w:ascii="ITC Avant Garde" w:hAnsi="ITC Avant Garde"/>
          <w:lang w:val="es-MX"/>
        </w:rPr>
        <w:t xml:space="preserve"> destaca que los insumos empleados en la versión final del modelo </w:t>
      </w:r>
      <w:r w:rsidR="002824DE" w:rsidRPr="007D54E4">
        <w:rPr>
          <w:rFonts w:ascii="ITC Avant Garde" w:hAnsi="ITC Avant Garde"/>
          <w:lang w:val="es-MX"/>
        </w:rPr>
        <w:t xml:space="preserve">fueron </w:t>
      </w:r>
      <w:r w:rsidR="00477423" w:rsidRPr="007D54E4">
        <w:rPr>
          <w:rFonts w:ascii="ITC Avant Garde" w:hAnsi="ITC Avant Garde"/>
          <w:lang w:val="es-MX"/>
        </w:rPr>
        <w:t>revisados y contrastados con información de la práctica internacional asegurando</w:t>
      </w:r>
      <w:r w:rsidR="00EC2881">
        <w:rPr>
          <w:rFonts w:ascii="ITC Avant Garde" w:hAnsi="ITC Avant Garde"/>
          <w:lang w:val="es-MX"/>
        </w:rPr>
        <w:t xml:space="preserve"> así</w:t>
      </w:r>
      <w:r w:rsidR="00477423" w:rsidRPr="007D54E4">
        <w:rPr>
          <w:rFonts w:ascii="ITC Avant Garde" w:hAnsi="ITC Avant Garde"/>
          <w:lang w:val="es-MX"/>
        </w:rPr>
        <w:t xml:space="preserve"> la robustez de dicha herramienta.</w:t>
      </w:r>
    </w:p>
    <w:p w14:paraId="0EA35169" w14:textId="61872715" w:rsidR="00477423" w:rsidRPr="007D54E4" w:rsidRDefault="00477423" w:rsidP="00477423">
      <w:pPr>
        <w:rPr>
          <w:rFonts w:ascii="ITC Avant Garde" w:hAnsi="ITC Avant Garde"/>
          <w:lang w:val="es-MX"/>
        </w:rPr>
      </w:pPr>
      <w:r w:rsidRPr="007D54E4">
        <w:rPr>
          <w:rFonts w:ascii="ITC Avant Garde" w:hAnsi="ITC Avant Garde"/>
          <w:lang w:val="es-MX"/>
        </w:rPr>
        <w:t>Finalmente, y con respecto al comentario en que se sugiere tener en cuenta las particularidades del país, el Instituto destaca la versión final del</w:t>
      </w:r>
      <w:r w:rsidR="007B56A9" w:rsidRPr="007D54E4">
        <w:rPr>
          <w:rFonts w:ascii="ITC Avant Garde" w:hAnsi="ITC Avant Garde"/>
          <w:lang w:val="es-MX"/>
        </w:rPr>
        <w:t xml:space="preserve"> </w:t>
      </w:r>
      <w:r w:rsidRPr="007D54E4">
        <w:rPr>
          <w:rFonts w:ascii="ITC Avant Garde" w:hAnsi="ITC Avant Garde"/>
          <w:lang w:val="es-MX"/>
        </w:rPr>
        <w:t xml:space="preserve">modelo </w:t>
      </w:r>
      <w:r w:rsidR="002F36EE" w:rsidRPr="007D54E4">
        <w:rPr>
          <w:rFonts w:ascii="ITC Avant Garde" w:hAnsi="ITC Avant Garde"/>
          <w:lang w:val="es-MX"/>
        </w:rPr>
        <w:t xml:space="preserve">considera </w:t>
      </w:r>
      <w:r w:rsidRPr="007D54E4">
        <w:rPr>
          <w:rFonts w:ascii="ITC Avant Garde" w:hAnsi="ITC Avant Garde"/>
          <w:lang w:val="es-MX"/>
        </w:rPr>
        <w:t xml:space="preserve">información específica de México, principalmente a partir de un análisis geográfico, valores de costos </w:t>
      </w:r>
      <w:r w:rsidR="002824DE" w:rsidRPr="007D54E4">
        <w:rPr>
          <w:rFonts w:ascii="ITC Avant Garde" w:hAnsi="ITC Avant Garde"/>
          <w:lang w:val="es-MX"/>
        </w:rPr>
        <w:t xml:space="preserve">y </w:t>
      </w:r>
      <w:r w:rsidRPr="007D54E4">
        <w:rPr>
          <w:rFonts w:ascii="ITC Avant Garde" w:hAnsi="ITC Avant Garde"/>
          <w:lang w:val="es-MX"/>
        </w:rPr>
        <w:t>distribuciones de cobertura.</w:t>
      </w:r>
    </w:p>
    <w:p w14:paraId="5E63208A" w14:textId="73EC041A" w:rsidR="00477423" w:rsidRPr="007D54E4" w:rsidRDefault="00477423" w:rsidP="00477423">
      <w:pPr>
        <w:pStyle w:val="Ttulo3"/>
        <w:rPr>
          <w:rFonts w:ascii="ITC Avant Garde" w:hAnsi="ITC Avant Garde"/>
          <w:lang w:val="es-ES_tradnl"/>
        </w:rPr>
      </w:pPr>
      <w:r w:rsidRPr="007D54E4">
        <w:rPr>
          <w:rFonts w:ascii="ITC Avant Garde" w:hAnsi="ITC Avant Garde"/>
          <w:lang w:val="es-ES_tradnl"/>
        </w:rPr>
        <w:t>¿Cree que existe algún parámetro adicional que debería haberse tenido en cuenta?</w:t>
      </w:r>
    </w:p>
    <w:p w14:paraId="1BE43FCD" w14:textId="3DDA5E53" w:rsidR="00477423" w:rsidRPr="007D54E4" w:rsidRDefault="00477423" w:rsidP="00477423">
      <w:pPr>
        <w:pStyle w:val="Ttulo3"/>
        <w:numPr>
          <w:ilvl w:val="0"/>
          <w:numId w:val="0"/>
        </w:numPr>
        <w:rPr>
          <w:rFonts w:ascii="ITC Avant Garde" w:hAnsi="ITC Avant Garde"/>
          <w:b w:val="0"/>
          <w:i/>
          <w:u w:val="single"/>
          <w:lang w:val="es-ES_tradnl"/>
        </w:rPr>
      </w:pPr>
      <w:r w:rsidRPr="007D54E4">
        <w:rPr>
          <w:rFonts w:ascii="ITC Avant Garde" w:hAnsi="ITC Avant Garde"/>
          <w:b w:val="0"/>
          <w:i/>
          <w:u w:val="single"/>
          <w:lang w:val="es-ES_tradnl"/>
        </w:rPr>
        <w:t>Resumen de comentarios de la Consulta Pública</w:t>
      </w:r>
    </w:p>
    <w:p w14:paraId="54E39391" w14:textId="5F66FE9A" w:rsidR="00E642E6" w:rsidRPr="007D54E4" w:rsidRDefault="00E642E6" w:rsidP="00E642E6">
      <w:pPr>
        <w:rPr>
          <w:rFonts w:ascii="ITC Avant Garde" w:hAnsi="ITC Avant Garde"/>
          <w:lang w:val="es-MX"/>
        </w:rPr>
      </w:pPr>
      <w:r w:rsidRPr="007D54E4">
        <w:rPr>
          <w:rFonts w:ascii="ITC Avant Garde" w:hAnsi="ITC Avant Garde"/>
          <w:lang w:val="es-MX"/>
        </w:rPr>
        <w:t>Al respecto, uno de los participantes (CANIETI) ha propuesto considerar historias de éxito de otros países e información real del AEP en México</w:t>
      </w:r>
      <w:r w:rsidR="008A2D32" w:rsidRPr="007D54E4">
        <w:rPr>
          <w:rFonts w:ascii="ITC Avant Garde" w:hAnsi="ITC Avant Garde"/>
          <w:lang w:val="es-MX"/>
        </w:rPr>
        <w:t xml:space="preserve"> para la implementación del modelo</w:t>
      </w:r>
      <w:r w:rsidRPr="007D54E4">
        <w:rPr>
          <w:rFonts w:ascii="ITC Avant Garde" w:hAnsi="ITC Avant Garde"/>
          <w:lang w:val="es-MX"/>
        </w:rPr>
        <w:t>.</w:t>
      </w:r>
      <w:r w:rsidR="007B56A9" w:rsidRPr="007D54E4">
        <w:rPr>
          <w:rFonts w:ascii="ITC Avant Garde" w:hAnsi="ITC Avant Garde"/>
          <w:lang w:val="es-MX"/>
        </w:rPr>
        <w:t xml:space="preserve"> </w:t>
      </w:r>
    </w:p>
    <w:p w14:paraId="39A0FFA3" w14:textId="18F336E9" w:rsidR="00E642E6" w:rsidRPr="007D54E4" w:rsidRDefault="008A2D32" w:rsidP="00E642E6">
      <w:pPr>
        <w:rPr>
          <w:rFonts w:ascii="ITC Avant Garde" w:hAnsi="ITC Avant Garde"/>
          <w:lang w:val="es-MX"/>
        </w:rPr>
      </w:pPr>
      <w:r w:rsidRPr="007D54E4">
        <w:rPr>
          <w:rFonts w:ascii="ITC Avant Garde" w:hAnsi="ITC Avant Garde"/>
          <w:lang w:val="es-MX"/>
        </w:rPr>
        <w:t>Adicionalmente</w:t>
      </w:r>
      <w:r w:rsidR="00E642E6" w:rsidRPr="007D54E4">
        <w:rPr>
          <w:rFonts w:ascii="ITC Avant Garde" w:hAnsi="ITC Avant Garde"/>
          <w:lang w:val="es-MX"/>
        </w:rPr>
        <w:t>, otro participante (</w:t>
      </w:r>
      <w:r w:rsidR="00EC2881">
        <w:rPr>
          <w:rFonts w:ascii="ITC Avant Garde" w:hAnsi="ITC Avant Garde"/>
          <w:lang w:val="es-MX"/>
        </w:rPr>
        <w:t>C</w:t>
      </w:r>
      <w:r w:rsidR="00E642E6" w:rsidRPr="007D54E4">
        <w:rPr>
          <w:rFonts w:ascii="ITC Avant Garde" w:hAnsi="ITC Avant Garde"/>
          <w:lang w:val="es-MX"/>
        </w:rPr>
        <w:t xml:space="preserve">. Hernández Beltrán) sugiere </w:t>
      </w:r>
      <w:r w:rsidRPr="007D54E4">
        <w:rPr>
          <w:rFonts w:ascii="ITC Avant Garde" w:hAnsi="ITC Avant Garde"/>
          <w:lang w:val="es-MX"/>
        </w:rPr>
        <w:t xml:space="preserve">que en el modelo se debe considerar </w:t>
      </w:r>
      <w:r w:rsidR="00E642E6" w:rsidRPr="007D54E4">
        <w:rPr>
          <w:rFonts w:ascii="ITC Avant Garde" w:hAnsi="ITC Avant Garde"/>
          <w:lang w:val="es-MX"/>
        </w:rPr>
        <w:t xml:space="preserve">la inclusión </w:t>
      </w:r>
      <w:r w:rsidRPr="007D54E4">
        <w:rPr>
          <w:rFonts w:ascii="ITC Avant Garde" w:hAnsi="ITC Avant Garde"/>
          <w:lang w:val="es-MX"/>
        </w:rPr>
        <w:t xml:space="preserve">tanto de </w:t>
      </w:r>
      <w:r w:rsidR="00E642E6" w:rsidRPr="007D54E4">
        <w:rPr>
          <w:rFonts w:ascii="ITC Avant Garde" w:hAnsi="ITC Avant Garde"/>
          <w:lang w:val="es-MX"/>
        </w:rPr>
        <w:t xml:space="preserve">la localización de las viviendas </w:t>
      </w:r>
      <w:r w:rsidRPr="007D54E4">
        <w:rPr>
          <w:rFonts w:ascii="ITC Avant Garde" w:hAnsi="ITC Avant Garde"/>
          <w:lang w:val="es-MX"/>
        </w:rPr>
        <w:t xml:space="preserve">como </w:t>
      </w:r>
      <w:r w:rsidR="00E642E6" w:rsidRPr="007D54E4">
        <w:rPr>
          <w:rFonts w:ascii="ITC Avant Garde" w:hAnsi="ITC Avant Garde"/>
          <w:lang w:val="es-MX"/>
        </w:rPr>
        <w:t xml:space="preserve">de la zona conurbada. </w:t>
      </w:r>
      <w:r w:rsidR="004E4E94" w:rsidRPr="007D54E4">
        <w:rPr>
          <w:rFonts w:ascii="ITC Avant Garde" w:hAnsi="ITC Avant Garde"/>
          <w:lang w:val="es-MX"/>
        </w:rPr>
        <w:t>A su vez, dicho participante propone que se debe tomar en cuenta</w:t>
      </w:r>
      <w:r w:rsidR="00E642E6" w:rsidRPr="007D54E4">
        <w:rPr>
          <w:rFonts w:ascii="ITC Avant Garde" w:hAnsi="ITC Avant Garde"/>
          <w:lang w:val="es-MX"/>
        </w:rPr>
        <w:t xml:space="preserve"> la distancia de la torre que emite las ondas de transmisión </w:t>
      </w:r>
      <w:r w:rsidR="004E4E94" w:rsidRPr="007D54E4">
        <w:rPr>
          <w:rFonts w:ascii="ITC Avant Garde" w:hAnsi="ITC Avant Garde"/>
          <w:lang w:val="es-MX"/>
        </w:rPr>
        <w:t>y</w:t>
      </w:r>
      <w:r w:rsidR="00E642E6" w:rsidRPr="007D54E4">
        <w:rPr>
          <w:rFonts w:ascii="ITC Avant Garde" w:hAnsi="ITC Avant Garde"/>
          <w:lang w:val="es-MX"/>
        </w:rPr>
        <w:t xml:space="preserve"> el ingreso de las familias.</w:t>
      </w:r>
    </w:p>
    <w:p w14:paraId="707BE182" w14:textId="458E39CC" w:rsidR="00E642E6" w:rsidRPr="007D54E4" w:rsidRDefault="00E642E6" w:rsidP="00E642E6">
      <w:pPr>
        <w:rPr>
          <w:rFonts w:ascii="ITC Avant Garde" w:hAnsi="ITC Avant Garde"/>
          <w:lang w:val="es-MX"/>
        </w:rPr>
      </w:pPr>
      <w:r w:rsidRPr="007D54E4">
        <w:rPr>
          <w:rFonts w:ascii="ITC Avant Garde" w:hAnsi="ITC Avant Garde"/>
          <w:lang w:val="es-MX"/>
        </w:rPr>
        <w:t>En complemento, ciertos participantes (</w:t>
      </w:r>
      <w:r w:rsidR="00EC2881">
        <w:rPr>
          <w:rFonts w:ascii="ITC Avant Garde" w:hAnsi="ITC Avant Garde"/>
          <w:lang w:val="es-MX"/>
        </w:rPr>
        <w:t>CC</w:t>
      </w:r>
      <w:r w:rsidRPr="007D54E4">
        <w:rPr>
          <w:rFonts w:ascii="ITC Avant Garde" w:hAnsi="ITC Avant Garde"/>
          <w:lang w:val="es-MX"/>
        </w:rPr>
        <w:t xml:space="preserve">. Chepe Campuzano y Sánchez Dávila) </w:t>
      </w:r>
      <w:r w:rsidR="004E4E94" w:rsidRPr="007D54E4">
        <w:rPr>
          <w:rFonts w:ascii="ITC Avant Garde" w:hAnsi="ITC Avant Garde"/>
          <w:lang w:val="es-MX"/>
        </w:rPr>
        <w:t xml:space="preserve">indican que se deben </w:t>
      </w:r>
      <w:r w:rsidRPr="007D54E4">
        <w:rPr>
          <w:rFonts w:ascii="ITC Avant Garde" w:hAnsi="ITC Avant Garde"/>
          <w:lang w:val="es-MX"/>
        </w:rPr>
        <w:t xml:space="preserve">realizar análisis medioambientales y de impacto económico-social. Asimismo, también sugieren </w:t>
      </w:r>
      <w:r w:rsidR="004E4E94" w:rsidRPr="007D54E4">
        <w:rPr>
          <w:rFonts w:ascii="ITC Avant Garde" w:hAnsi="ITC Avant Garde"/>
          <w:lang w:val="es-MX"/>
        </w:rPr>
        <w:t xml:space="preserve">que se debe </w:t>
      </w:r>
      <w:r w:rsidRPr="007D54E4">
        <w:rPr>
          <w:rFonts w:ascii="ITC Avant Garde" w:hAnsi="ITC Avant Garde"/>
          <w:lang w:val="es-MX"/>
        </w:rPr>
        <w:t xml:space="preserve">considerar </w:t>
      </w:r>
      <w:r w:rsidR="004E4E94" w:rsidRPr="007D54E4">
        <w:rPr>
          <w:rFonts w:ascii="ITC Avant Garde" w:hAnsi="ITC Avant Garde"/>
          <w:lang w:val="es-MX"/>
        </w:rPr>
        <w:t xml:space="preserve">en el modelo </w:t>
      </w:r>
      <w:r w:rsidRPr="007D54E4">
        <w:rPr>
          <w:rFonts w:ascii="ITC Avant Garde" w:hAnsi="ITC Avant Garde"/>
          <w:lang w:val="es-MX"/>
        </w:rPr>
        <w:t>la gestión de la mano de obra y los riesgos hacia la inversión y el trabajo.</w:t>
      </w:r>
    </w:p>
    <w:p w14:paraId="5B873B80" w14:textId="7C4C26F0" w:rsidR="00E642E6" w:rsidRPr="007D54E4" w:rsidRDefault="00E642E6" w:rsidP="00E642E6">
      <w:pPr>
        <w:rPr>
          <w:rFonts w:ascii="ITC Avant Garde" w:hAnsi="ITC Avant Garde"/>
          <w:lang w:val="es-MX"/>
        </w:rPr>
      </w:pPr>
      <w:r w:rsidRPr="007D54E4">
        <w:rPr>
          <w:rFonts w:ascii="ITC Avant Garde" w:hAnsi="ITC Avant Garde"/>
          <w:lang w:val="es-MX"/>
        </w:rPr>
        <w:t>Adicional a lo anterior, otro grupo de participantes (</w:t>
      </w:r>
      <w:r w:rsidR="00EC2881">
        <w:rPr>
          <w:rFonts w:ascii="ITC Avant Garde" w:hAnsi="ITC Avant Garde"/>
          <w:lang w:val="es-MX"/>
        </w:rPr>
        <w:t>CC</w:t>
      </w:r>
      <w:r w:rsidRPr="007D54E4">
        <w:rPr>
          <w:rFonts w:ascii="ITC Avant Garde" w:hAnsi="ITC Avant Garde"/>
          <w:lang w:val="es-MX"/>
        </w:rPr>
        <w:t xml:space="preserve">. Sánchez Colín, Domínguez Jardon y Velázquez Valdez) </w:t>
      </w:r>
      <w:r w:rsidR="004E4E94" w:rsidRPr="007D54E4">
        <w:rPr>
          <w:rFonts w:ascii="ITC Avant Garde" w:hAnsi="ITC Avant Garde"/>
          <w:lang w:val="es-MX"/>
        </w:rPr>
        <w:t>sugieren que se debe realizar</w:t>
      </w:r>
      <w:r w:rsidRPr="007D54E4">
        <w:rPr>
          <w:rFonts w:ascii="ITC Avant Garde" w:hAnsi="ITC Avant Garde"/>
          <w:lang w:val="es-MX"/>
        </w:rPr>
        <w:t xml:space="preserve"> una “clusterización” de regiones</w:t>
      </w:r>
      <w:r w:rsidR="004E4E94" w:rsidRPr="007D54E4">
        <w:rPr>
          <w:rFonts w:ascii="ITC Avant Garde" w:hAnsi="ITC Avant Garde"/>
          <w:lang w:val="es-MX"/>
        </w:rPr>
        <w:t xml:space="preserve"> para el diseño del modelo</w:t>
      </w:r>
      <w:r w:rsidRPr="007D54E4">
        <w:rPr>
          <w:rFonts w:ascii="ITC Avant Garde" w:hAnsi="ITC Avant Garde"/>
          <w:lang w:val="es-MX"/>
        </w:rPr>
        <w:t>.</w:t>
      </w:r>
    </w:p>
    <w:p w14:paraId="6E028054" w14:textId="107ED19B" w:rsidR="00E642E6" w:rsidRPr="007D54E4" w:rsidRDefault="004E4E94" w:rsidP="00E642E6">
      <w:pPr>
        <w:rPr>
          <w:rFonts w:ascii="ITC Avant Garde" w:hAnsi="ITC Avant Garde"/>
          <w:lang w:val="es-MX"/>
        </w:rPr>
      </w:pPr>
      <w:r w:rsidRPr="007D54E4">
        <w:rPr>
          <w:rFonts w:ascii="ITC Avant Garde" w:hAnsi="ITC Avant Garde"/>
          <w:lang w:val="es-MX"/>
        </w:rPr>
        <w:t>Por otra parte, diversos participantes</w:t>
      </w:r>
      <w:r w:rsidR="00E642E6" w:rsidRPr="007D54E4">
        <w:rPr>
          <w:rFonts w:ascii="ITC Avant Garde" w:hAnsi="ITC Avant Garde"/>
          <w:lang w:val="es-MX"/>
        </w:rPr>
        <w:t xml:space="preserve"> </w:t>
      </w:r>
      <w:r w:rsidRPr="007D54E4">
        <w:rPr>
          <w:rFonts w:ascii="ITC Avant Garde" w:hAnsi="ITC Avant Garde"/>
          <w:lang w:val="es-MX"/>
        </w:rPr>
        <w:t>(</w:t>
      </w:r>
      <w:r w:rsidR="00642507">
        <w:rPr>
          <w:rFonts w:ascii="ITC Avant Garde" w:hAnsi="ITC Avant Garde"/>
          <w:lang w:val="es-MX"/>
        </w:rPr>
        <w:t>CC</w:t>
      </w:r>
      <w:r w:rsidR="00E642E6" w:rsidRPr="007D54E4">
        <w:rPr>
          <w:rFonts w:ascii="ITC Avant Garde" w:hAnsi="ITC Avant Garde"/>
          <w:lang w:val="es-MX"/>
        </w:rPr>
        <w:t>. Sánchez Colín, Domínguez Jardon y Velázquez Valdez</w:t>
      </w:r>
      <w:r w:rsidRPr="007D54E4">
        <w:rPr>
          <w:rFonts w:ascii="ITC Avant Garde" w:hAnsi="ITC Avant Garde"/>
          <w:lang w:val="es-MX"/>
        </w:rPr>
        <w:t>)</w:t>
      </w:r>
      <w:r w:rsidR="00E642E6" w:rsidRPr="007D54E4">
        <w:rPr>
          <w:rFonts w:ascii="ITC Avant Garde" w:hAnsi="ITC Avant Garde"/>
          <w:lang w:val="es-MX"/>
        </w:rPr>
        <w:t xml:space="preserve">, </w:t>
      </w:r>
      <w:r w:rsidRPr="007D54E4">
        <w:rPr>
          <w:rFonts w:ascii="ITC Avant Garde" w:hAnsi="ITC Avant Garde"/>
          <w:lang w:val="es-MX"/>
        </w:rPr>
        <w:t>sugieren que se debe tomar en cuenta la influencia del</w:t>
      </w:r>
      <w:r w:rsidR="00E642E6" w:rsidRPr="007D54E4">
        <w:rPr>
          <w:rFonts w:ascii="ITC Avant Garde" w:hAnsi="ITC Avant Garde"/>
          <w:lang w:val="es-MX"/>
        </w:rPr>
        <w:t xml:space="preserve"> sector externo</w:t>
      </w:r>
      <w:r w:rsidRPr="007D54E4">
        <w:rPr>
          <w:rFonts w:ascii="ITC Avant Garde" w:hAnsi="ITC Avant Garde"/>
          <w:lang w:val="es-MX"/>
        </w:rPr>
        <w:t xml:space="preserve"> para generar nuevos puntos de acceso bajo condiciones diferentes a las del mercado mexicano y que afectarían como un externalidad al modelo</w:t>
      </w:r>
      <w:r w:rsidR="00E642E6" w:rsidRPr="007D54E4">
        <w:rPr>
          <w:rFonts w:ascii="ITC Avant Garde" w:hAnsi="ITC Avant Garde"/>
          <w:lang w:val="es-MX"/>
        </w:rPr>
        <w:t>.</w:t>
      </w:r>
    </w:p>
    <w:p w14:paraId="7D615D42" w14:textId="6C3BEA11" w:rsidR="00477423" w:rsidRPr="007D54E4" w:rsidRDefault="00E642E6" w:rsidP="00E642E6">
      <w:pPr>
        <w:rPr>
          <w:rFonts w:ascii="ITC Avant Garde" w:hAnsi="ITC Avant Garde"/>
          <w:lang w:val="es-MX"/>
        </w:rPr>
      </w:pPr>
      <w:r w:rsidRPr="007D54E4">
        <w:rPr>
          <w:rFonts w:ascii="ITC Avant Garde" w:hAnsi="ITC Avant Garde"/>
          <w:lang w:val="es-MX"/>
        </w:rPr>
        <w:t>Finalmente, otros participantes (</w:t>
      </w:r>
      <w:r w:rsidR="00642507">
        <w:rPr>
          <w:rFonts w:ascii="ITC Avant Garde" w:hAnsi="ITC Avant Garde"/>
          <w:lang w:val="es-MX"/>
        </w:rPr>
        <w:t>CC</w:t>
      </w:r>
      <w:r w:rsidRPr="007D54E4">
        <w:rPr>
          <w:rFonts w:ascii="ITC Avant Garde" w:hAnsi="ITC Avant Garde"/>
          <w:lang w:val="es-MX"/>
        </w:rPr>
        <w:t xml:space="preserve">. González Bringas y Garibay Marín) proponen considerar la atenuación de la fibra en el modelo, así como tener en cuenta </w:t>
      </w:r>
      <w:r w:rsidR="00E13A6F" w:rsidRPr="007D54E4">
        <w:rPr>
          <w:rFonts w:ascii="ITC Avant Garde" w:hAnsi="ITC Avant Garde"/>
          <w:lang w:val="es-MX"/>
        </w:rPr>
        <w:t xml:space="preserve">a </w:t>
      </w:r>
      <w:r w:rsidRPr="007D54E4">
        <w:rPr>
          <w:rFonts w:ascii="ITC Avant Garde" w:hAnsi="ITC Avant Garde"/>
          <w:lang w:val="es-MX"/>
        </w:rPr>
        <w:t>los equipos de medición</w:t>
      </w:r>
      <w:r w:rsidR="00E13A6F" w:rsidRPr="007D54E4">
        <w:rPr>
          <w:rFonts w:ascii="ITC Avant Garde" w:hAnsi="ITC Avant Garde"/>
          <w:lang w:val="es-MX"/>
        </w:rPr>
        <w:t xml:space="preserve"> asociados</w:t>
      </w:r>
      <w:r w:rsidRPr="007D54E4">
        <w:rPr>
          <w:rFonts w:ascii="ITC Avant Garde" w:hAnsi="ITC Avant Garde"/>
          <w:lang w:val="es-MX"/>
        </w:rPr>
        <w:t>.</w:t>
      </w:r>
    </w:p>
    <w:p w14:paraId="251464DE" w14:textId="79901781" w:rsidR="00477423" w:rsidRPr="007D54E4" w:rsidRDefault="00477423" w:rsidP="00477423">
      <w:pPr>
        <w:pStyle w:val="Ttulo3"/>
        <w:numPr>
          <w:ilvl w:val="0"/>
          <w:numId w:val="0"/>
        </w:numPr>
        <w:rPr>
          <w:rFonts w:ascii="ITC Avant Garde" w:hAnsi="ITC Avant Garde"/>
          <w:b w:val="0"/>
          <w:i/>
          <w:u w:val="single"/>
          <w:lang w:val="es-ES_tradnl"/>
        </w:rPr>
      </w:pPr>
      <w:r w:rsidRPr="007D54E4">
        <w:rPr>
          <w:rFonts w:ascii="ITC Avant Garde" w:hAnsi="ITC Avant Garde"/>
          <w:b w:val="0"/>
          <w:i/>
          <w:u w:val="single"/>
          <w:lang w:val="es-ES_tradnl"/>
        </w:rPr>
        <w:lastRenderedPageBreak/>
        <w:t>Respuesta del Instituto</w:t>
      </w:r>
    </w:p>
    <w:p w14:paraId="66351C53" w14:textId="0A1BE435" w:rsidR="00E642E6" w:rsidRPr="007D54E4" w:rsidRDefault="00E642E6" w:rsidP="00E642E6">
      <w:pPr>
        <w:rPr>
          <w:rFonts w:ascii="ITC Avant Garde" w:hAnsi="ITC Avant Garde"/>
          <w:lang w:val="es-MX"/>
        </w:rPr>
      </w:pPr>
      <w:r w:rsidRPr="007D54E4">
        <w:rPr>
          <w:rFonts w:ascii="ITC Avant Garde" w:hAnsi="ITC Avant Garde"/>
          <w:lang w:val="es-MX"/>
        </w:rPr>
        <w:t xml:space="preserve">Al respecto de los comentarios </w:t>
      </w:r>
      <w:r w:rsidR="00D92B0F" w:rsidRPr="007D54E4">
        <w:rPr>
          <w:rFonts w:ascii="ITC Avant Garde" w:hAnsi="ITC Avant Garde"/>
          <w:lang w:val="es-MX"/>
        </w:rPr>
        <w:t xml:space="preserve">mediante los que se sugiere </w:t>
      </w:r>
      <w:r w:rsidRPr="007D54E4">
        <w:rPr>
          <w:rFonts w:ascii="ITC Avant Garde" w:hAnsi="ITC Avant Garde"/>
          <w:lang w:val="es-MX"/>
        </w:rPr>
        <w:t xml:space="preserve">considerar información de la práctica internacional, el Instituto destaca que la fuente principal de información del modelo es el AEP en México y que </w:t>
      </w:r>
      <w:r w:rsidR="00D92B0F" w:rsidRPr="007D54E4">
        <w:rPr>
          <w:rFonts w:ascii="ITC Avant Garde" w:hAnsi="ITC Avant Garde"/>
          <w:lang w:val="es-MX"/>
        </w:rPr>
        <w:t xml:space="preserve">se empleó como alternativa la información de la práctica internacional, únicamente cuando: 1) los datos en cuestión </w:t>
      </w:r>
      <w:r w:rsidRPr="007D54E4">
        <w:rPr>
          <w:rFonts w:ascii="ITC Avant Garde" w:hAnsi="ITC Avant Garde"/>
          <w:lang w:val="es-MX"/>
        </w:rPr>
        <w:t>no se enc</w:t>
      </w:r>
      <w:r w:rsidR="00D92B0F" w:rsidRPr="007D54E4">
        <w:rPr>
          <w:rFonts w:ascii="ITC Avant Garde" w:hAnsi="ITC Avant Garde"/>
          <w:lang w:val="es-MX"/>
        </w:rPr>
        <w:t>o</w:t>
      </w:r>
      <w:r w:rsidRPr="007D54E4">
        <w:rPr>
          <w:rFonts w:ascii="ITC Avant Garde" w:hAnsi="ITC Avant Garde"/>
          <w:lang w:val="es-MX"/>
        </w:rPr>
        <w:t>ntr</w:t>
      </w:r>
      <w:r w:rsidR="00D92B0F" w:rsidRPr="007D54E4">
        <w:rPr>
          <w:rFonts w:ascii="ITC Avant Garde" w:hAnsi="ITC Avant Garde"/>
          <w:lang w:val="es-MX"/>
        </w:rPr>
        <w:t>asen</w:t>
      </w:r>
      <w:r w:rsidRPr="007D54E4">
        <w:rPr>
          <w:rFonts w:ascii="ITC Avant Garde" w:hAnsi="ITC Avant Garde"/>
          <w:lang w:val="es-MX"/>
        </w:rPr>
        <w:t xml:space="preserve"> disponible</w:t>
      </w:r>
      <w:r w:rsidR="00D92B0F" w:rsidRPr="007D54E4">
        <w:rPr>
          <w:rFonts w:ascii="ITC Avant Garde" w:hAnsi="ITC Avant Garde"/>
          <w:lang w:val="es-MX"/>
        </w:rPr>
        <w:t>s</w:t>
      </w:r>
      <w:r w:rsidRPr="007D54E4">
        <w:rPr>
          <w:rFonts w:ascii="ITC Avant Garde" w:hAnsi="ITC Avant Garde"/>
          <w:lang w:val="es-MX"/>
        </w:rPr>
        <w:t>,</w:t>
      </w:r>
      <w:r w:rsidR="00D92B0F" w:rsidRPr="007D54E4">
        <w:rPr>
          <w:rFonts w:ascii="ITC Avant Garde" w:hAnsi="ITC Avant Garde"/>
          <w:lang w:val="es-MX"/>
        </w:rPr>
        <w:t xml:space="preserve"> 2) cuando la información presentada por el AEP no se encontrara bien sustentada, 3) cuando la información presentada al ser</w:t>
      </w:r>
      <w:r w:rsidRPr="007D54E4">
        <w:rPr>
          <w:rFonts w:ascii="ITC Avant Garde" w:hAnsi="ITC Avant Garde"/>
          <w:lang w:val="es-MX"/>
        </w:rPr>
        <w:t xml:space="preserve"> contrasta</w:t>
      </w:r>
      <w:r w:rsidR="00D92B0F" w:rsidRPr="007D54E4">
        <w:rPr>
          <w:rFonts w:ascii="ITC Avant Garde" w:hAnsi="ITC Avant Garde"/>
          <w:lang w:val="es-MX"/>
        </w:rPr>
        <w:t>da</w:t>
      </w:r>
      <w:r w:rsidRPr="007D54E4">
        <w:rPr>
          <w:rFonts w:ascii="ITC Avant Garde" w:hAnsi="ITC Avant Garde"/>
          <w:lang w:val="es-MX"/>
        </w:rPr>
        <w:t xml:space="preserve"> con referencias internacionales </w:t>
      </w:r>
      <w:r w:rsidR="00D92B0F" w:rsidRPr="007D54E4">
        <w:rPr>
          <w:rFonts w:ascii="ITC Avant Garde" w:hAnsi="ITC Avant Garde"/>
          <w:lang w:val="es-MX"/>
        </w:rPr>
        <w:t>no se encontrase</w:t>
      </w:r>
      <w:r w:rsidRPr="007D54E4">
        <w:rPr>
          <w:rFonts w:ascii="ITC Avant Garde" w:hAnsi="ITC Avant Garde"/>
          <w:lang w:val="es-MX"/>
        </w:rPr>
        <w:t xml:space="preserve"> en un rango razonable.</w:t>
      </w:r>
      <w:r w:rsidR="007B56A9" w:rsidRPr="007D54E4">
        <w:rPr>
          <w:rFonts w:ascii="ITC Avant Garde" w:hAnsi="ITC Avant Garde"/>
          <w:lang w:val="es-MX"/>
        </w:rPr>
        <w:t xml:space="preserve"> </w:t>
      </w:r>
    </w:p>
    <w:p w14:paraId="1E8C7CD0" w14:textId="11A01CFE" w:rsidR="00E642E6" w:rsidRPr="007D54E4" w:rsidRDefault="00E642E6" w:rsidP="00E642E6">
      <w:pPr>
        <w:rPr>
          <w:rFonts w:ascii="ITC Avant Garde" w:hAnsi="ITC Avant Garde"/>
          <w:lang w:val="es-MX"/>
        </w:rPr>
      </w:pPr>
      <w:r w:rsidRPr="007D54E4">
        <w:rPr>
          <w:rFonts w:ascii="ITC Avant Garde" w:hAnsi="ITC Avant Garde"/>
          <w:lang w:val="es-MX"/>
        </w:rPr>
        <w:t xml:space="preserve">En torno a los comentarios </w:t>
      </w:r>
      <w:r w:rsidR="00DF3CEA" w:rsidRPr="007D54E4">
        <w:rPr>
          <w:rFonts w:ascii="ITC Avant Garde" w:hAnsi="ITC Avant Garde"/>
          <w:lang w:val="es-MX"/>
        </w:rPr>
        <w:t>donde se sugiere incluir en el modelo</w:t>
      </w:r>
      <w:r w:rsidRPr="007D54E4">
        <w:rPr>
          <w:rFonts w:ascii="ITC Avant Garde" w:hAnsi="ITC Avant Garde"/>
          <w:lang w:val="es-MX"/>
        </w:rPr>
        <w:t xml:space="preserve"> la localización de las viviendas y de la zona conurbada, el Instituto hace notar que el análisis geográfico realizado para el modelo</w:t>
      </w:r>
      <w:r w:rsidRPr="007D54E4">
        <w:rPr>
          <w:rStyle w:val="Refdenotaalpie"/>
          <w:rFonts w:ascii="ITC Avant Garde" w:hAnsi="ITC Avant Garde"/>
          <w:sz w:val="22"/>
        </w:rPr>
        <w:footnoteReference w:id="6"/>
      </w:r>
      <w:r w:rsidRPr="007D54E4">
        <w:rPr>
          <w:rFonts w:ascii="ITC Avant Garde" w:hAnsi="ITC Avant Garde"/>
          <w:lang w:val="es-MX"/>
        </w:rPr>
        <w:t xml:space="preserve"> contempla </w:t>
      </w:r>
      <w:r w:rsidR="00DF3CEA" w:rsidRPr="007D54E4">
        <w:rPr>
          <w:rFonts w:ascii="ITC Avant Garde" w:hAnsi="ITC Avant Garde"/>
          <w:lang w:val="es-MX"/>
        </w:rPr>
        <w:t>tales puntos</w:t>
      </w:r>
      <w:r w:rsidRPr="007D54E4">
        <w:rPr>
          <w:rFonts w:ascii="ITC Avant Garde" w:hAnsi="ITC Avant Garde"/>
          <w:lang w:val="es-MX"/>
        </w:rPr>
        <w:t>. En complemento, el Instituto señala que el modelo considera una red de</w:t>
      </w:r>
      <w:r w:rsidR="00DF3CEA" w:rsidRPr="007D54E4">
        <w:rPr>
          <w:rFonts w:ascii="ITC Avant Garde" w:hAnsi="ITC Avant Garde"/>
          <w:lang w:val="es-MX"/>
        </w:rPr>
        <w:t xml:space="preserve"> acceso fijo basada en</w:t>
      </w:r>
      <w:r w:rsidRPr="007D54E4">
        <w:rPr>
          <w:rFonts w:ascii="ITC Avant Garde" w:hAnsi="ITC Avant Garde"/>
          <w:lang w:val="es-MX"/>
        </w:rPr>
        <w:t xml:space="preserve"> fibra GPON</w:t>
      </w:r>
      <w:r w:rsidR="00DF3CEA" w:rsidRPr="007D54E4">
        <w:rPr>
          <w:rFonts w:ascii="ITC Avant Garde" w:hAnsi="ITC Avant Garde"/>
          <w:lang w:val="es-MX"/>
        </w:rPr>
        <w:t xml:space="preserve"> del AEP</w:t>
      </w:r>
      <w:r w:rsidRPr="007D54E4">
        <w:rPr>
          <w:rFonts w:ascii="ITC Avant Garde" w:hAnsi="ITC Avant Garde"/>
          <w:lang w:val="es-MX"/>
        </w:rPr>
        <w:t>, que no hace uso de torres de transmisión.</w:t>
      </w:r>
    </w:p>
    <w:p w14:paraId="0E9CF72E" w14:textId="0A6D1B8A" w:rsidR="00E642E6" w:rsidRPr="007D54E4" w:rsidRDefault="00E642E6" w:rsidP="00E642E6">
      <w:pPr>
        <w:rPr>
          <w:rFonts w:ascii="ITC Avant Garde" w:hAnsi="ITC Avant Garde"/>
          <w:lang w:val="es-MX"/>
        </w:rPr>
      </w:pPr>
      <w:r w:rsidRPr="007D54E4">
        <w:rPr>
          <w:rFonts w:ascii="ITC Avant Garde" w:hAnsi="ITC Avant Garde"/>
          <w:lang w:val="es-MX"/>
        </w:rPr>
        <w:t>Por otra parte, respecto a los comentarios en donde se sugiere</w:t>
      </w:r>
      <w:r w:rsidR="00DF3CEA" w:rsidRPr="007D54E4">
        <w:rPr>
          <w:rFonts w:ascii="ITC Avant Garde" w:hAnsi="ITC Avant Garde"/>
          <w:lang w:val="es-MX"/>
        </w:rPr>
        <w:t xml:space="preserve"> hacer análisis que consideren conceptos tales como </w:t>
      </w:r>
      <w:r w:rsidRPr="007D54E4">
        <w:rPr>
          <w:rFonts w:ascii="ITC Avant Garde" w:hAnsi="ITC Avant Garde"/>
          <w:lang w:val="es-MX"/>
        </w:rPr>
        <w:t xml:space="preserve">ingreso de las familias, </w:t>
      </w:r>
      <w:r w:rsidR="00DF3CEA" w:rsidRPr="007D54E4">
        <w:rPr>
          <w:rFonts w:ascii="ITC Avant Garde" w:hAnsi="ITC Avant Garde"/>
          <w:lang w:val="es-MX"/>
        </w:rPr>
        <w:t xml:space="preserve">estudios </w:t>
      </w:r>
      <w:r w:rsidRPr="007D54E4">
        <w:rPr>
          <w:rFonts w:ascii="ITC Avant Garde" w:hAnsi="ITC Avant Garde"/>
          <w:lang w:val="es-MX"/>
        </w:rPr>
        <w:t>medioambiental</w:t>
      </w:r>
      <w:r w:rsidR="00DF3CEA" w:rsidRPr="007D54E4">
        <w:rPr>
          <w:rFonts w:ascii="ITC Avant Garde" w:hAnsi="ITC Avant Garde"/>
          <w:lang w:val="es-MX"/>
        </w:rPr>
        <w:t>es</w:t>
      </w:r>
      <w:r w:rsidRPr="007D54E4">
        <w:rPr>
          <w:rFonts w:ascii="ITC Avant Garde" w:hAnsi="ITC Avant Garde"/>
          <w:lang w:val="es-MX"/>
        </w:rPr>
        <w:t xml:space="preserve">, </w:t>
      </w:r>
      <w:r w:rsidR="00DF3CEA" w:rsidRPr="007D54E4">
        <w:rPr>
          <w:rFonts w:ascii="ITC Avant Garde" w:hAnsi="ITC Avant Garde"/>
          <w:lang w:val="es-MX"/>
        </w:rPr>
        <w:t xml:space="preserve">o </w:t>
      </w:r>
      <w:r w:rsidRPr="007D54E4">
        <w:rPr>
          <w:rFonts w:ascii="ITC Avant Garde" w:hAnsi="ITC Avant Garde"/>
          <w:lang w:val="es-MX"/>
        </w:rPr>
        <w:t xml:space="preserve">de impacto económico-social, el Instituto considera que este tipo de análisis </w:t>
      </w:r>
      <w:r w:rsidR="00DC2F8F">
        <w:rPr>
          <w:rFonts w:ascii="ITC Avant Garde" w:hAnsi="ITC Avant Garde"/>
          <w:lang w:val="es-MX"/>
        </w:rPr>
        <w:t xml:space="preserve">no </w:t>
      </w:r>
      <w:r w:rsidRPr="007D54E4">
        <w:rPr>
          <w:rFonts w:ascii="ITC Avant Garde" w:hAnsi="ITC Avant Garde"/>
          <w:lang w:val="es-MX"/>
        </w:rPr>
        <w:t>son frecuentes en la práctica internacional para el desarrollo modelos de costos</w:t>
      </w:r>
      <w:r w:rsidR="00DC2F8F">
        <w:rPr>
          <w:rFonts w:ascii="ITC Avant Garde" w:hAnsi="ITC Avant Garde"/>
          <w:lang w:val="es-MX"/>
        </w:rPr>
        <w:t xml:space="preserve">, por lo que </w:t>
      </w:r>
      <w:r w:rsidRPr="007D54E4">
        <w:rPr>
          <w:rFonts w:ascii="ITC Avant Garde" w:hAnsi="ITC Avant Garde"/>
          <w:lang w:val="es-MX"/>
        </w:rPr>
        <w:t>no se considera apropiado incluirlos en virtud de los alcances y objetivos de la presente herramienta.</w:t>
      </w:r>
    </w:p>
    <w:p w14:paraId="36C35B5B" w14:textId="77CE4950" w:rsidR="00E642E6" w:rsidRPr="007D54E4" w:rsidRDefault="00E642E6" w:rsidP="00E642E6">
      <w:pPr>
        <w:rPr>
          <w:rFonts w:ascii="ITC Avant Garde" w:hAnsi="ITC Avant Garde"/>
          <w:lang w:val="es-MX"/>
        </w:rPr>
      </w:pPr>
      <w:r w:rsidRPr="007D54E4">
        <w:rPr>
          <w:rFonts w:ascii="ITC Avant Garde" w:hAnsi="ITC Avant Garde"/>
          <w:lang w:val="es-MX"/>
        </w:rPr>
        <w:t xml:space="preserve">Adicional a lo anterior, el Instituto señala que toda </w:t>
      </w:r>
      <w:r w:rsidR="00595444" w:rsidRPr="007D54E4">
        <w:rPr>
          <w:rFonts w:ascii="ITC Avant Garde" w:hAnsi="ITC Avant Garde"/>
          <w:lang w:val="es-MX"/>
        </w:rPr>
        <w:t xml:space="preserve">vez </w:t>
      </w:r>
      <w:r w:rsidRPr="007D54E4">
        <w:rPr>
          <w:rFonts w:ascii="ITC Avant Garde" w:hAnsi="ITC Avant Garde"/>
          <w:lang w:val="es-MX"/>
        </w:rPr>
        <w:t xml:space="preserve">que el </w:t>
      </w:r>
      <w:r w:rsidR="00595444" w:rsidRPr="007D54E4">
        <w:rPr>
          <w:rFonts w:ascii="ITC Avant Garde" w:hAnsi="ITC Avant Garde"/>
          <w:lang w:val="es-MX"/>
        </w:rPr>
        <w:t xml:space="preserve">objetivo </w:t>
      </w:r>
      <w:r w:rsidRPr="007D54E4">
        <w:rPr>
          <w:rFonts w:ascii="ITC Avant Garde" w:hAnsi="ITC Avant Garde"/>
          <w:lang w:val="es-MX"/>
        </w:rPr>
        <w:t xml:space="preserve">del modelo es </w:t>
      </w:r>
      <w:r w:rsidR="00595444" w:rsidRPr="007D54E4">
        <w:rPr>
          <w:rFonts w:ascii="ITC Avant Garde" w:hAnsi="ITC Avant Garde"/>
          <w:lang w:val="es-MX"/>
        </w:rPr>
        <w:t xml:space="preserve">representar a </w:t>
      </w:r>
      <w:r w:rsidRPr="007D54E4">
        <w:rPr>
          <w:rFonts w:ascii="ITC Avant Garde" w:hAnsi="ITC Avant Garde"/>
          <w:lang w:val="es-MX"/>
        </w:rPr>
        <w:t>la red de acceso de fibra óptica del AEP, la consideración del “sector externo” no se encuentra dentro de los alcances del mismo.</w:t>
      </w:r>
    </w:p>
    <w:p w14:paraId="7F947C02" w14:textId="30FB9B53" w:rsidR="00E642E6" w:rsidRPr="007D54E4" w:rsidRDefault="002703DF" w:rsidP="00E642E6">
      <w:pPr>
        <w:rPr>
          <w:rFonts w:ascii="ITC Avant Garde" w:hAnsi="ITC Avant Garde"/>
          <w:lang w:val="es-MX"/>
        </w:rPr>
      </w:pPr>
      <w:r w:rsidRPr="007D54E4">
        <w:rPr>
          <w:rFonts w:ascii="ITC Avant Garde" w:hAnsi="ITC Avant Garde"/>
          <w:lang w:val="es-MX"/>
        </w:rPr>
        <w:t>En lo tocante a los comentarios donde se sugiere realizar</w:t>
      </w:r>
      <w:r w:rsidR="00E642E6" w:rsidRPr="007D54E4">
        <w:rPr>
          <w:rFonts w:ascii="ITC Avant Garde" w:hAnsi="ITC Avant Garde"/>
          <w:lang w:val="es-MX"/>
        </w:rPr>
        <w:t xml:space="preserve"> una “</w:t>
      </w:r>
      <w:r w:rsidR="00E642E6" w:rsidRPr="007D54E4">
        <w:rPr>
          <w:rFonts w:ascii="ITC Avant Garde" w:hAnsi="ITC Avant Garde"/>
          <w:i/>
          <w:iCs/>
          <w:lang w:val="es-MX"/>
        </w:rPr>
        <w:t>clusterización”</w:t>
      </w:r>
      <w:r w:rsidR="00E642E6" w:rsidRPr="007D54E4">
        <w:rPr>
          <w:rFonts w:ascii="ITC Avant Garde" w:hAnsi="ITC Avant Garde"/>
          <w:lang w:val="es-MX"/>
        </w:rPr>
        <w:t xml:space="preserve"> de regiones</w:t>
      </w:r>
      <w:r w:rsidRPr="007D54E4">
        <w:rPr>
          <w:rFonts w:ascii="ITC Avant Garde" w:hAnsi="ITC Avant Garde"/>
          <w:lang w:val="es-MX"/>
        </w:rPr>
        <w:t xml:space="preserve"> para el diseño del modelo</w:t>
      </w:r>
      <w:r w:rsidR="00E642E6" w:rsidRPr="007D54E4">
        <w:rPr>
          <w:rFonts w:ascii="ITC Avant Garde" w:hAnsi="ITC Avant Garde"/>
          <w:lang w:val="es-MX"/>
        </w:rPr>
        <w:t xml:space="preserve">, el Instituto señala que </w:t>
      </w:r>
      <w:r w:rsidR="00A40BE1" w:rsidRPr="007D54E4">
        <w:rPr>
          <w:rFonts w:ascii="ITC Avant Garde" w:hAnsi="ITC Avant Garde"/>
          <w:lang w:val="es-MX"/>
        </w:rPr>
        <w:t xml:space="preserve">dicho </w:t>
      </w:r>
      <w:r w:rsidR="00E642E6" w:rsidRPr="007D54E4">
        <w:rPr>
          <w:rFonts w:ascii="ITC Avant Garde" w:hAnsi="ITC Avant Garde"/>
          <w:lang w:val="es-MX"/>
        </w:rPr>
        <w:t xml:space="preserve">tipo de enfoque permite realizar el análisis geográfico mediante la agrupación del territorio en estudio </w:t>
      </w:r>
      <w:r w:rsidR="00A40BE1" w:rsidRPr="007D54E4">
        <w:rPr>
          <w:rFonts w:ascii="ITC Avant Garde" w:hAnsi="ITC Avant Garde"/>
          <w:lang w:val="es-MX"/>
        </w:rPr>
        <w:t>a partir de</w:t>
      </w:r>
      <w:r w:rsidR="00E642E6" w:rsidRPr="007D54E4">
        <w:rPr>
          <w:rFonts w:ascii="ITC Avant Garde" w:hAnsi="ITC Avant Garde"/>
          <w:lang w:val="es-MX"/>
        </w:rPr>
        <w:t xml:space="preserve"> regiones </w:t>
      </w:r>
      <w:r w:rsidR="00A40BE1" w:rsidRPr="007D54E4">
        <w:rPr>
          <w:rFonts w:ascii="ITC Avant Garde" w:hAnsi="ITC Avant Garde"/>
          <w:lang w:val="es-MX"/>
        </w:rPr>
        <w:t xml:space="preserve">que comparten </w:t>
      </w:r>
      <w:r w:rsidR="00E642E6" w:rsidRPr="007D54E4">
        <w:rPr>
          <w:rFonts w:ascii="ITC Avant Garde" w:hAnsi="ITC Avant Garde"/>
          <w:lang w:val="es-MX"/>
        </w:rPr>
        <w:t xml:space="preserve">características relevantes, en las cuales se efectúa el diseño de la red modelada </w:t>
      </w:r>
      <w:r w:rsidR="00A40BE1" w:rsidRPr="007D54E4">
        <w:rPr>
          <w:rFonts w:ascii="ITC Avant Garde" w:hAnsi="ITC Avant Garde"/>
          <w:lang w:val="es-MX"/>
        </w:rPr>
        <w:t>empleando</w:t>
      </w:r>
      <w:r w:rsidR="00E642E6" w:rsidRPr="007D54E4">
        <w:rPr>
          <w:rFonts w:ascii="ITC Avant Garde" w:hAnsi="ITC Avant Garde"/>
          <w:lang w:val="es-MX"/>
        </w:rPr>
        <w:t xml:space="preserve"> de técnicas estadísticas. En este sentido, dado que la información y enfoque empleados en el modelo se basa </w:t>
      </w:r>
      <w:r w:rsidR="00A40BE1" w:rsidRPr="007D54E4">
        <w:rPr>
          <w:rFonts w:ascii="ITC Avant Garde" w:hAnsi="ITC Avant Garde"/>
          <w:lang w:val="es-MX"/>
        </w:rPr>
        <w:t xml:space="preserve">tanto en </w:t>
      </w:r>
      <w:r w:rsidR="00E642E6" w:rsidRPr="007D54E4">
        <w:rPr>
          <w:rFonts w:ascii="ITC Avant Garde" w:hAnsi="ITC Avant Garde"/>
          <w:lang w:val="es-MX"/>
        </w:rPr>
        <w:t xml:space="preserve">datos aportados por el AEP </w:t>
      </w:r>
      <w:r w:rsidR="00A40BE1" w:rsidRPr="007D54E4">
        <w:rPr>
          <w:rFonts w:ascii="ITC Avant Garde" w:hAnsi="ITC Avant Garde"/>
          <w:lang w:val="es-MX"/>
        </w:rPr>
        <w:t xml:space="preserve">como </w:t>
      </w:r>
      <w:r w:rsidR="00E642E6" w:rsidRPr="007D54E4">
        <w:rPr>
          <w:rFonts w:ascii="ITC Avant Garde" w:hAnsi="ITC Avant Garde"/>
          <w:lang w:val="es-MX"/>
        </w:rPr>
        <w:t xml:space="preserve">en información geográfica y demográfica del país, </w:t>
      </w:r>
      <w:r w:rsidR="00A40BE1" w:rsidRPr="007D54E4">
        <w:rPr>
          <w:rFonts w:ascii="ITC Avant Garde" w:hAnsi="ITC Avant Garde"/>
          <w:lang w:val="es-MX"/>
        </w:rPr>
        <w:t xml:space="preserve">que caracteriza al territorio mexicano con base en “geotipos”, los cuales son caracterizaciones estadísticas del país que se asocian al nivel de urbanidad de las zonas en donde el AEP despliega su red de fibra óptica, </w:t>
      </w:r>
      <w:r w:rsidR="00E642E6" w:rsidRPr="007D54E4">
        <w:rPr>
          <w:rFonts w:ascii="ITC Avant Garde" w:hAnsi="ITC Avant Garde"/>
          <w:lang w:val="es-MX"/>
        </w:rPr>
        <w:t>se considera que la red diseñada es adecuada</w:t>
      </w:r>
      <w:r w:rsidR="00A40BE1" w:rsidRPr="007D54E4">
        <w:rPr>
          <w:rFonts w:ascii="ITC Avant Garde" w:hAnsi="ITC Avant Garde"/>
          <w:lang w:val="es-MX"/>
        </w:rPr>
        <w:t>,</w:t>
      </w:r>
      <w:r w:rsidR="00E642E6" w:rsidRPr="007D54E4">
        <w:rPr>
          <w:rFonts w:ascii="ITC Avant Garde" w:hAnsi="ITC Avant Garde"/>
          <w:lang w:val="es-MX"/>
        </w:rPr>
        <w:t xml:space="preserve"> en tanto permite representar las características de una red moderna y equivalente a la del AEP, sin </w:t>
      </w:r>
      <w:r w:rsidR="00E642E6" w:rsidRPr="007D54E4">
        <w:rPr>
          <w:rFonts w:ascii="ITC Avant Garde" w:hAnsi="ITC Avant Garde"/>
          <w:lang w:val="es-MX"/>
        </w:rPr>
        <w:lastRenderedPageBreak/>
        <w:t>que se necesite recurrir necesariamente a este tipo de técnicas para su diseño de la red.</w:t>
      </w:r>
    </w:p>
    <w:p w14:paraId="7E6663A4" w14:textId="3F829F49" w:rsidR="00E642E6" w:rsidRPr="007D54E4" w:rsidRDefault="00A40BE1" w:rsidP="00E642E6">
      <w:pPr>
        <w:rPr>
          <w:rFonts w:ascii="ITC Avant Garde" w:hAnsi="ITC Avant Garde"/>
          <w:lang w:val="es-MX"/>
        </w:rPr>
      </w:pPr>
      <w:r w:rsidRPr="007D54E4">
        <w:rPr>
          <w:rFonts w:ascii="ITC Avant Garde" w:hAnsi="ITC Avant Garde"/>
          <w:lang w:val="es-MX"/>
        </w:rPr>
        <w:t>Por otra parte, e</w:t>
      </w:r>
      <w:r w:rsidR="00E642E6" w:rsidRPr="007D54E4">
        <w:rPr>
          <w:rFonts w:ascii="ITC Avant Garde" w:hAnsi="ITC Avant Garde"/>
          <w:lang w:val="es-MX"/>
        </w:rPr>
        <w:t xml:space="preserve">n </w:t>
      </w:r>
      <w:r w:rsidR="006E70A2" w:rsidRPr="007D54E4">
        <w:rPr>
          <w:rFonts w:ascii="ITC Avant Garde" w:hAnsi="ITC Avant Garde"/>
          <w:lang w:val="es-MX"/>
        </w:rPr>
        <w:t>torno a</w:t>
      </w:r>
      <w:r w:rsidR="00E642E6" w:rsidRPr="007D54E4">
        <w:rPr>
          <w:rFonts w:ascii="ITC Avant Garde" w:hAnsi="ITC Avant Garde"/>
          <w:lang w:val="es-MX"/>
        </w:rPr>
        <w:t xml:space="preserve"> considerar </w:t>
      </w:r>
      <w:r w:rsidR="00B4135F" w:rsidRPr="007D54E4">
        <w:rPr>
          <w:rFonts w:ascii="ITC Avant Garde" w:hAnsi="ITC Avant Garde"/>
          <w:lang w:val="es-MX"/>
        </w:rPr>
        <w:t xml:space="preserve">en el modelo a </w:t>
      </w:r>
      <w:r w:rsidR="00E642E6" w:rsidRPr="007D54E4">
        <w:rPr>
          <w:rFonts w:ascii="ITC Avant Garde" w:hAnsi="ITC Avant Garde"/>
          <w:lang w:val="es-MX"/>
        </w:rPr>
        <w:t xml:space="preserve">la gestión de la mano de obra y los riesgos hacia la inversión y el trabajo, el Instituto considera que los riesgos hacia la inversión son inherentes a la rentabilidad esperada y se considera están incluidos en el </w:t>
      </w:r>
      <w:r w:rsidR="00310720" w:rsidRPr="007D54E4">
        <w:rPr>
          <w:rFonts w:ascii="ITC Avant Garde" w:hAnsi="ITC Avant Garde"/>
          <w:lang w:val="es-MX"/>
        </w:rPr>
        <w:t>Costo de Capital Promedio Ponderado (</w:t>
      </w:r>
      <w:r w:rsidR="00E642E6" w:rsidRPr="007D54E4">
        <w:rPr>
          <w:rFonts w:ascii="ITC Avant Garde" w:hAnsi="ITC Avant Garde"/>
          <w:lang w:val="es-MX"/>
        </w:rPr>
        <w:t>CCPP</w:t>
      </w:r>
      <w:r w:rsidR="00310720" w:rsidRPr="007D54E4">
        <w:rPr>
          <w:rFonts w:ascii="ITC Avant Garde" w:hAnsi="ITC Avant Garde"/>
          <w:lang w:val="es-MX"/>
        </w:rPr>
        <w:t>)</w:t>
      </w:r>
      <w:r w:rsidR="00E642E6" w:rsidRPr="007D54E4">
        <w:rPr>
          <w:rFonts w:ascii="ITC Avant Garde" w:hAnsi="ITC Avant Garde"/>
          <w:lang w:val="es-MX"/>
        </w:rPr>
        <w:t>, mientras que la gestión de la mano de obra y ante riesgos en el trabajo se consideran incluidos en los costos de instalación y mantenimiento de los recursos</w:t>
      </w:r>
      <w:r w:rsidR="00B4135F" w:rsidRPr="007D54E4">
        <w:rPr>
          <w:rFonts w:ascii="ITC Avant Garde" w:hAnsi="ITC Avant Garde"/>
          <w:lang w:val="es-MX"/>
        </w:rPr>
        <w:t xml:space="preserve">, </w:t>
      </w:r>
      <w:r w:rsidR="0095045E" w:rsidRPr="007D54E4">
        <w:rPr>
          <w:rFonts w:ascii="ITC Avant Garde" w:hAnsi="ITC Avant Garde"/>
          <w:lang w:val="es-MX"/>
        </w:rPr>
        <w:t>en el entendido de que para la estimación de los mismos</w:t>
      </w:r>
      <w:r w:rsidR="00B4135F" w:rsidRPr="007D54E4">
        <w:rPr>
          <w:rFonts w:ascii="ITC Avant Garde" w:hAnsi="ITC Avant Garde"/>
          <w:lang w:val="es-MX"/>
        </w:rPr>
        <w:t xml:space="preserve"> se han considerado los datos aportados por el AEP</w:t>
      </w:r>
      <w:r w:rsidR="00E642E6" w:rsidRPr="007D54E4">
        <w:rPr>
          <w:rFonts w:ascii="ITC Avant Garde" w:hAnsi="ITC Avant Garde"/>
          <w:lang w:val="es-MX"/>
        </w:rPr>
        <w:t>.</w:t>
      </w:r>
    </w:p>
    <w:p w14:paraId="27E297B7" w14:textId="27CEED32" w:rsidR="00E642E6" w:rsidRPr="007D54E4" w:rsidRDefault="00E642E6" w:rsidP="00E642E6">
      <w:pPr>
        <w:rPr>
          <w:rFonts w:ascii="ITC Avant Garde" w:hAnsi="ITC Avant Garde"/>
          <w:lang w:val="es-ES_tradnl"/>
        </w:rPr>
      </w:pPr>
      <w:r w:rsidRPr="007D54E4">
        <w:rPr>
          <w:rFonts w:ascii="ITC Avant Garde" w:hAnsi="ITC Avant Garde"/>
          <w:lang w:val="es-MX"/>
        </w:rPr>
        <w:t>Finalmente, el Instituto destaca que la atenuación de la fibra óptica es un parámetro inherente a dicho medio de transmisión</w:t>
      </w:r>
      <w:r w:rsidR="003C6E14" w:rsidRPr="007D54E4">
        <w:rPr>
          <w:rFonts w:ascii="ITC Avant Garde" w:hAnsi="ITC Avant Garde"/>
          <w:lang w:val="es-MX"/>
        </w:rPr>
        <w:t xml:space="preserve"> sin que guarde relación concreta con el alcance el diseño del modelo de costos en cuestión</w:t>
      </w:r>
      <w:r w:rsidRPr="007D54E4">
        <w:rPr>
          <w:rFonts w:ascii="ITC Avant Garde" w:hAnsi="ITC Avant Garde"/>
          <w:lang w:val="es-MX"/>
        </w:rPr>
        <w:t>,</w:t>
      </w:r>
      <w:r w:rsidR="003C6E14" w:rsidRPr="007D54E4">
        <w:rPr>
          <w:rFonts w:ascii="ITC Avant Garde" w:hAnsi="ITC Avant Garde"/>
          <w:lang w:val="es-MX"/>
        </w:rPr>
        <w:t xml:space="preserve"> el cual parte de los datos aportados por el AEP para su diseño,</w:t>
      </w:r>
      <w:r w:rsidRPr="007D54E4">
        <w:rPr>
          <w:rFonts w:ascii="ITC Avant Garde" w:hAnsi="ITC Avant Garde"/>
          <w:lang w:val="es-MX"/>
        </w:rPr>
        <w:t xml:space="preserve"> y que los costos de instalación y de operación son considerados en el modelo.</w:t>
      </w:r>
    </w:p>
    <w:p w14:paraId="5F19F534" w14:textId="312EE752" w:rsidR="00477423" w:rsidRPr="007D54E4" w:rsidRDefault="00477423" w:rsidP="00477423">
      <w:pPr>
        <w:pStyle w:val="Ttulo3"/>
        <w:rPr>
          <w:rFonts w:ascii="ITC Avant Garde" w:hAnsi="ITC Avant Garde"/>
          <w:lang w:val="es-ES_tradnl"/>
        </w:rPr>
      </w:pPr>
      <w:r w:rsidRPr="007D54E4">
        <w:rPr>
          <w:rFonts w:ascii="ITC Avant Garde" w:hAnsi="ITC Avant Garde"/>
          <w:lang w:val="es-ES_tradnl"/>
        </w:rPr>
        <w:t>¿</w:t>
      </w:r>
      <w:r w:rsidRPr="007D54E4">
        <w:rPr>
          <w:rFonts w:ascii="ITC Avant Garde" w:hAnsi="ITC Avant Garde"/>
          <w:lang w:val="es-MX"/>
        </w:rPr>
        <w:t>Considera convenientes las proyecciones de demanda consideradas en el Modelo</w:t>
      </w:r>
      <w:r w:rsidRPr="007D54E4">
        <w:rPr>
          <w:rFonts w:ascii="ITC Avant Garde" w:hAnsi="ITC Avant Garde"/>
          <w:lang w:val="es-ES_tradnl"/>
        </w:rPr>
        <w:t>?</w:t>
      </w:r>
    </w:p>
    <w:p w14:paraId="01E0BA7D" w14:textId="77777777" w:rsidR="00477423" w:rsidRPr="007D54E4" w:rsidRDefault="00477423" w:rsidP="00477423">
      <w:pPr>
        <w:pStyle w:val="Ttulo3"/>
        <w:numPr>
          <w:ilvl w:val="0"/>
          <w:numId w:val="0"/>
        </w:numPr>
        <w:rPr>
          <w:rFonts w:ascii="ITC Avant Garde" w:hAnsi="ITC Avant Garde"/>
          <w:b w:val="0"/>
          <w:i/>
          <w:u w:val="single"/>
          <w:lang w:val="es-ES_tradnl"/>
        </w:rPr>
      </w:pPr>
      <w:r w:rsidRPr="007D54E4">
        <w:rPr>
          <w:rFonts w:ascii="ITC Avant Garde" w:hAnsi="ITC Avant Garde"/>
          <w:b w:val="0"/>
          <w:i/>
          <w:u w:val="single"/>
          <w:lang w:val="es-ES_tradnl"/>
        </w:rPr>
        <w:t>Resumen de comentarios de la Consulta Pública</w:t>
      </w:r>
    </w:p>
    <w:p w14:paraId="2B45F37C" w14:textId="183CA010" w:rsidR="00A379AA" w:rsidRPr="009C0D93" w:rsidRDefault="00A379AA" w:rsidP="009C0D93">
      <w:pPr>
        <w:rPr>
          <w:rFonts w:ascii="ITC Avant Garde" w:hAnsi="ITC Avant Garde"/>
          <w:lang w:val="es-MX"/>
        </w:rPr>
      </w:pPr>
      <w:r w:rsidRPr="009C0D93">
        <w:rPr>
          <w:rFonts w:ascii="ITC Avant Garde" w:hAnsi="ITC Avant Garde"/>
          <w:lang w:val="es-MX"/>
        </w:rPr>
        <w:t>Al respecto, ciertos participantes (CANIETI, Mega</w:t>
      </w:r>
      <w:r w:rsidR="00563BE7" w:rsidRPr="009C0D93">
        <w:rPr>
          <w:rFonts w:ascii="ITC Avant Garde" w:hAnsi="ITC Avant Garde"/>
          <w:lang w:val="es-MX"/>
        </w:rPr>
        <w:t xml:space="preserve"> C</w:t>
      </w:r>
      <w:r w:rsidRPr="009C0D93">
        <w:rPr>
          <w:rFonts w:ascii="ITC Avant Garde" w:hAnsi="ITC Avant Garde"/>
          <w:lang w:val="es-MX"/>
        </w:rPr>
        <w:t xml:space="preserve">able, Telefónica y Televisa) consideran que la tasa de adopción empleada en el modelo es conservadora y que debería ampliarse. </w:t>
      </w:r>
    </w:p>
    <w:p w14:paraId="359A973E" w14:textId="7B250E67" w:rsidR="00A379AA" w:rsidRPr="009C0D93" w:rsidRDefault="00A379AA" w:rsidP="009C0D93">
      <w:pPr>
        <w:rPr>
          <w:rFonts w:ascii="ITC Avant Garde" w:hAnsi="ITC Avant Garde"/>
          <w:lang w:val="es-MX"/>
        </w:rPr>
      </w:pPr>
      <w:r w:rsidRPr="009C0D93">
        <w:rPr>
          <w:rFonts w:ascii="ITC Avant Garde" w:hAnsi="ITC Avant Garde"/>
          <w:lang w:val="es-MX"/>
        </w:rPr>
        <w:t xml:space="preserve">Asimismo, uno de los participantes de la consulta (Telefónica) </w:t>
      </w:r>
      <w:r w:rsidR="00301AAA" w:rsidRPr="009C0D93">
        <w:rPr>
          <w:rFonts w:ascii="ITC Avant Garde" w:hAnsi="ITC Avant Garde"/>
          <w:lang w:val="es-MX"/>
        </w:rPr>
        <w:t xml:space="preserve">sugiere </w:t>
      </w:r>
      <w:r w:rsidRPr="009C0D93">
        <w:rPr>
          <w:rFonts w:ascii="ITC Avant Garde" w:hAnsi="ITC Avant Garde"/>
          <w:lang w:val="es-MX"/>
        </w:rPr>
        <w:t>que deben adoptarse otros enfoques en torno a la proyección de la cobertura</w:t>
      </w:r>
      <w:r w:rsidR="005C495A" w:rsidRPr="009C0D93">
        <w:rPr>
          <w:rFonts w:ascii="ITC Avant Garde" w:hAnsi="ITC Avant Garde"/>
          <w:lang w:val="es-MX"/>
        </w:rPr>
        <w:t>.</w:t>
      </w:r>
      <w:r w:rsidRPr="009C0D93">
        <w:rPr>
          <w:rFonts w:ascii="ITC Avant Garde" w:hAnsi="ITC Avant Garde"/>
          <w:lang w:val="es-MX"/>
        </w:rPr>
        <w:t xml:space="preserve"> </w:t>
      </w:r>
      <w:r w:rsidR="005C495A" w:rsidRPr="009C0D93">
        <w:rPr>
          <w:rFonts w:ascii="ITC Avant Garde" w:hAnsi="ITC Avant Garde"/>
          <w:lang w:val="es-MX"/>
        </w:rPr>
        <w:t>P</w:t>
      </w:r>
      <w:r w:rsidRPr="009C0D93">
        <w:rPr>
          <w:rFonts w:ascii="ITC Avant Garde" w:hAnsi="ITC Avant Garde"/>
          <w:lang w:val="es-MX"/>
        </w:rPr>
        <w:t>or ejemplo, propone considerar el peso de los datos de cierto conjunto de países, así como tener en cuenta la cobertura agrupada de FTTH y otras tecnologías de nueva generación y a su vez descartar aquellos países que han centrado sus despliegues en otras tecnologías, como FTTC. En complemento, uno de los participantes (Televisa) considera que la penetración de conexiones de FTTH dentro de la zona de cobertura del AEP es posiblemente más alta de la que se considera en el modelo.</w:t>
      </w:r>
    </w:p>
    <w:p w14:paraId="06A8EC09" w14:textId="77777777" w:rsidR="00A379AA" w:rsidRPr="009C0D93" w:rsidRDefault="00A379AA" w:rsidP="009C0D93">
      <w:pPr>
        <w:rPr>
          <w:rFonts w:ascii="ITC Avant Garde" w:hAnsi="ITC Avant Garde"/>
          <w:lang w:val="es-MX"/>
        </w:rPr>
      </w:pPr>
      <w:r w:rsidRPr="009C0D93">
        <w:rPr>
          <w:rFonts w:ascii="ITC Avant Garde" w:hAnsi="ITC Avant Garde"/>
          <w:lang w:val="es-MX"/>
        </w:rPr>
        <w:t>Por otra parte, determinados participantes (CANIETI y Telefónica) proponen que las predicciones de cobertura se realicen con un periodo temporal más amplio, hasta de 20 años.</w:t>
      </w:r>
    </w:p>
    <w:p w14:paraId="1973C5D3" w14:textId="4E4988D8" w:rsidR="00A379AA" w:rsidRPr="009C0D93" w:rsidRDefault="00A379AA" w:rsidP="009C0D93">
      <w:pPr>
        <w:rPr>
          <w:rFonts w:ascii="ITC Avant Garde" w:hAnsi="ITC Avant Garde"/>
          <w:lang w:val="es-MX"/>
        </w:rPr>
      </w:pPr>
      <w:r w:rsidRPr="009C0D93">
        <w:rPr>
          <w:rFonts w:ascii="ITC Avant Garde" w:hAnsi="ITC Avant Garde"/>
          <w:lang w:val="es-MX"/>
        </w:rPr>
        <w:t>Con respecto a la demanda de enlaces dedicados, otro de los participantes (Mega</w:t>
      </w:r>
      <w:r w:rsidR="00563BE7" w:rsidRPr="009C0D93">
        <w:rPr>
          <w:rFonts w:ascii="ITC Avant Garde" w:hAnsi="ITC Avant Garde"/>
          <w:lang w:val="es-MX"/>
        </w:rPr>
        <w:t xml:space="preserve"> C</w:t>
      </w:r>
      <w:r w:rsidRPr="009C0D93">
        <w:rPr>
          <w:rFonts w:ascii="ITC Avant Garde" w:hAnsi="ITC Avant Garde"/>
          <w:lang w:val="es-MX"/>
        </w:rPr>
        <w:t>able) propone emplear información del INEGI en vez del pronóstico de la Confederación de Cámaras Industriales (</w:t>
      </w:r>
      <w:r w:rsidR="00E42021" w:rsidRPr="009C0D93">
        <w:rPr>
          <w:rFonts w:ascii="ITC Avant Garde" w:hAnsi="ITC Avant Garde"/>
          <w:lang w:val="es-MX"/>
        </w:rPr>
        <w:t>“</w:t>
      </w:r>
      <w:r w:rsidRPr="009C0D93">
        <w:rPr>
          <w:rFonts w:ascii="ITC Avant Garde" w:hAnsi="ITC Avant Garde"/>
          <w:lang w:val="es-MX"/>
        </w:rPr>
        <w:t>CONCAMIN</w:t>
      </w:r>
      <w:r w:rsidR="00E42021" w:rsidRPr="009C0D93">
        <w:rPr>
          <w:rFonts w:ascii="ITC Avant Garde" w:hAnsi="ITC Avant Garde"/>
          <w:lang w:val="es-MX"/>
        </w:rPr>
        <w:t>”</w:t>
      </w:r>
      <w:r w:rsidRPr="009C0D93">
        <w:rPr>
          <w:rFonts w:ascii="ITC Avant Garde" w:hAnsi="ITC Avant Garde"/>
          <w:lang w:val="es-MX"/>
        </w:rPr>
        <w:t>).</w:t>
      </w:r>
    </w:p>
    <w:p w14:paraId="0978FE1B" w14:textId="2A277919" w:rsidR="00A379AA" w:rsidRPr="009C0D93" w:rsidRDefault="00A379AA" w:rsidP="009C0D93">
      <w:pPr>
        <w:rPr>
          <w:rFonts w:ascii="ITC Avant Garde" w:hAnsi="ITC Avant Garde"/>
          <w:lang w:val="es-MX"/>
        </w:rPr>
      </w:pPr>
      <w:r w:rsidRPr="009C0D93">
        <w:rPr>
          <w:rFonts w:ascii="ITC Avant Garde" w:hAnsi="ITC Avant Garde"/>
          <w:lang w:val="es-MX"/>
        </w:rPr>
        <w:lastRenderedPageBreak/>
        <w:t xml:space="preserve">Asimismo, </w:t>
      </w:r>
      <w:r w:rsidR="005C495A" w:rsidRPr="009C0D93">
        <w:rPr>
          <w:rFonts w:ascii="ITC Avant Garde" w:hAnsi="ITC Avant Garde"/>
          <w:lang w:val="es-MX"/>
        </w:rPr>
        <w:t>algunos</w:t>
      </w:r>
      <w:r w:rsidRPr="009C0D93">
        <w:rPr>
          <w:rFonts w:ascii="ITC Avant Garde" w:hAnsi="ITC Avant Garde"/>
          <w:lang w:val="es-MX"/>
        </w:rPr>
        <w:t xml:space="preserve"> participantes (CANIETI, Mega</w:t>
      </w:r>
      <w:r w:rsidR="00563BE7" w:rsidRPr="009C0D93">
        <w:rPr>
          <w:rFonts w:ascii="ITC Avant Garde" w:hAnsi="ITC Avant Garde"/>
          <w:lang w:val="es-MX"/>
        </w:rPr>
        <w:t xml:space="preserve"> C</w:t>
      </w:r>
      <w:r w:rsidRPr="009C0D93">
        <w:rPr>
          <w:rFonts w:ascii="ITC Avant Garde" w:hAnsi="ITC Avant Garde"/>
          <w:lang w:val="es-MX"/>
        </w:rPr>
        <w:t xml:space="preserve">able, Telefónica y </w:t>
      </w:r>
      <w:r w:rsidR="005C495A" w:rsidRPr="009C0D93">
        <w:rPr>
          <w:rFonts w:ascii="ITC Avant Garde" w:hAnsi="ITC Avant Garde"/>
          <w:lang w:val="es-MX"/>
        </w:rPr>
        <w:t>CC</w:t>
      </w:r>
      <w:r w:rsidRPr="009C0D93">
        <w:rPr>
          <w:rFonts w:ascii="ITC Avant Garde" w:hAnsi="ITC Avant Garde"/>
          <w:lang w:val="es-MX"/>
        </w:rPr>
        <w:t>. Sánchez Colín, Domínguez Jardon y Velázquez Valdez) consideran necesario replantear la separación entre servicios mayoristas y servicios minoristas dentro del modelo.</w:t>
      </w:r>
    </w:p>
    <w:p w14:paraId="01B90C1B" w14:textId="1925DB55" w:rsidR="00A379AA" w:rsidRPr="009C0D93" w:rsidRDefault="00A379AA" w:rsidP="009C0D93">
      <w:pPr>
        <w:rPr>
          <w:rFonts w:ascii="ITC Avant Garde" w:hAnsi="ITC Avant Garde"/>
          <w:lang w:val="es-MX"/>
        </w:rPr>
      </w:pPr>
      <w:r w:rsidRPr="009C0D93">
        <w:rPr>
          <w:rFonts w:ascii="ITC Avant Garde" w:hAnsi="ITC Avant Garde"/>
          <w:lang w:val="es-MX"/>
        </w:rPr>
        <w:t xml:space="preserve">Adicionalmente, </w:t>
      </w:r>
      <w:r w:rsidR="005C495A" w:rsidRPr="009C0D93">
        <w:rPr>
          <w:rFonts w:ascii="ITC Avant Garde" w:hAnsi="ITC Avant Garde"/>
          <w:lang w:val="es-MX"/>
        </w:rPr>
        <w:t xml:space="preserve">algunos de </w:t>
      </w:r>
      <w:r w:rsidRPr="009C0D93">
        <w:rPr>
          <w:rFonts w:ascii="ITC Avant Garde" w:hAnsi="ITC Avant Garde"/>
          <w:lang w:val="es-MX"/>
        </w:rPr>
        <w:t xml:space="preserve">los </w:t>
      </w:r>
      <w:r w:rsidR="005C495A" w:rsidRPr="009C0D93">
        <w:rPr>
          <w:rFonts w:ascii="ITC Avant Garde" w:hAnsi="ITC Avant Garde"/>
          <w:lang w:val="es-MX"/>
        </w:rPr>
        <w:t xml:space="preserve">anteriores </w:t>
      </w:r>
      <w:r w:rsidRPr="009C0D93">
        <w:rPr>
          <w:rFonts w:ascii="ITC Avant Garde" w:hAnsi="ITC Avant Garde"/>
          <w:lang w:val="es-MX"/>
        </w:rPr>
        <w:t>participantes (</w:t>
      </w:r>
      <w:r w:rsidR="005C495A" w:rsidRPr="009C0D93">
        <w:rPr>
          <w:rFonts w:ascii="ITC Avant Garde" w:hAnsi="ITC Avant Garde"/>
          <w:lang w:val="es-MX"/>
        </w:rPr>
        <w:t>CC</w:t>
      </w:r>
      <w:r w:rsidRPr="009C0D93">
        <w:rPr>
          <w:rFonts w:ascii="ITC Avant Garde" w:hAnsi="ITC Avant Garde"/>
          <w:lang w:val="es-MX"/>
        </w:rPr>
        <w:t xml:space="preserve">. Sánchez Colín, Domínguez Jardon y Velázquez Valdez) </w:t>
      </w:r>
      <w:r w:rsidR="00E45FD7" w:rsidRPr="009C0D93">
        <w:rPr>
          <w:rFonts w:ascii="ITC Avant Garde" w:hAnsi="ITC Avant Garde"/>
          <w:lang w:val="es-MX"/>
        </w:rPr>
        <w:t xml:space="preserve">sugieren que en el modelo se debería </w:t>
      </w:r>
      <w:r w:rsidR="005C495A" w:rsidRPr="009C0D93">
        <w:rPr>
          <w:rFonts w:ascii="ITC Avant Garde" w:hAnsi="ITC Avant Garde"/>
          <w:lang w:val="es-MX"/>
        </w:rPr>
        <w:t>considerar</w:t>
      </w:r>
      <w:r w:rsidRPr="009C0D93">
        <w:rPr>
          <w:rFonts w:ascii="ITC Avant Garde" w:hAnsi="ITC Avant Garde"/>
          <w:lang w:val="es-MX"/>
        </w:rPr>
        <w:t xml:space="preserve"> la entrada de otros proveedores </w:t>
      </w:r>
      <w:r w:rsidR="00E45FD7" w:rsidRPr="009C0D93">
        <w:rPr>
          <w:rFonts w:ascii="ITC Avant Garde" w:hAnsi="ITC Avant Garde"/>
          <w:lang w:val="es-MX"/>
        </w:rPr>
        <w:t xml:space="preserve">como un factor que podría </w:t>
      </w:r>
      <w:r w:rsidRPr="009C0D93">
        <w:rPr>
          <w:rFonts w:ascii="ITC Avant Garde" w:hAnsi="ITC Avant Garde"/>
          <w:lang w:val="es-MX"/>
        </w:rPr>
        <w:t>afectar a la demanda</w:t>
      </w:r>
      <w:r w:rsidR="00E45FD7" w:rsidRPr="009C0D93">
        <w:rPr>
          <w:rFonts w:ascii="ITC Avant Garde" w:hAnsi="ITC Avant Garde"/>
          <w:lang w:val="es-MX"/>
        </w:rPr>
        <w:t xml:space="preserve"> que se considera en el modelo</w:t>
      </w:r>
      <w:r w:rsidRPr="009C0D93">
        <w:rPr>
          <w:rFonts w:ascii="ITC Avant Garde" w:hAnsi="ITC Avant Garde"/>
          <w:lang w:val="es-MX"/>
        </w:rPr>
        <w:t>.</w:t>
      </w:r>
    </w:p>
    <w:p w14:paraId="3312276D" w14:textId="5C5C0A71" w:rsidR="00A379AA" w:rsidRPr="009C0D93" w:rsidRDefault="00A379AA" w:rsidP="009C0D93">
      <w:pPr>
        <w:rPr>
          <w:rFonts w:ascii="ITC Avant Garde" w:hAnsi="ITC Avant Garde"/>
          <w:lang w:val="es-MX"/>
        </w:rPr>
      </w:pPr>
      <w:r w:rsidRPr="009C0D93">
        <w:rPr>
          <w:rFonts w:ascii="ITC Avant Garde" w:hAnsi="ITC Avant Garde"/>
          <w:lang w:val="es-MX"/>
        </w:rPr>
        <w:t>En adición, ciertos participantes (</w:t>
      </w:r>
      <w:r w:rsidR="005C495A" w:rsidRPr="009C0D93">
        <w:rPr>
          <w:rFonts w:ascii="ITC Avant Garde" w:hAnsi="ITC Avant Garde"/>
          <w:lang w:val="es-MX"/>
        </w:rPr>
        <w:t>CC</w:t>
      </w:r>
      <w:r w:rsidRPr="009C0D93">
        <w:rPr>
          <w:rFonts w:ascii="ITC Avant Garde" w:hAnsi="ITC Avant Garde"/>
          <w:lang w:val="es-MX"/>
        </w:rPr>
        <w:t>. Chepe Campuzano, Sánchez Dávila, Vincen Quiroz y Mondragón Mora) consideran que se debe incorporan un análisis de la demanda en la elasticidad de la misma, en conjunto con proyecciones del ingreso de los hogares.</w:t>
      </w:r>
    </w:p>
    <w:p w14:paraId="255F04C9" w14:textId="10F51148" w:rsidR="00477423" w:rsidRPr="009C0D93" w:rsidRDefault="00A379AA" w:rsidP="00A379AA">
      <w:pPr>
        <w:rPr>
          <w:rFonts w:ascii="ITC Avant Garde" w:hAnsi="ITC Avant Garde"/>
          <w:lang w:val="es-MX"/>
        </w:rPr>
      </w:pPr>
      <w:r w:rsidRPr="007D54E4">
        <w:rPr>
          <w:rFonts w:ascii="ITC Avant Garde" w:hAnsi="ITC Avant Garde"/>
          <w:lang w:val="es-MX"/>
        </w:rPr>
        <w:t>Finalmente, un participante (Mega</w:t>
      </w:r>
      <w:r w:rsidR="00563BE7" w:rsidRPr="007D54E4">
        <w:rPr>
          <w:rFonts w:ascii="ITC Avant Garde" w:hAnsi="ITC Avant Garde"/>
          <w:lang w:val="es-MX"/>
        </w:rPr>
        <w:t xml:space="preserve"> C</w:t>
      </w:r>
      <w:r w:rsidRPr="007D54E4">
        <w:rPr>
          <w:rFonts w:ascii="ITC Avant Garde" w:hAnsi="ITC Avant Garde"/>
          <w:lang w:val="es-MX"/>
        </w:rPr>
        <w:t>able) considera que se deben emplear las previsiones de demanda incluidas en otros modelos desarrollados por el Instituto.</w:t>
      </w:r>
    </w:p>
    <w:p w14:paraId="49474F6A" w14:textId="40B77F8D" w:rsidR="00477423" w:rsidRPr="007D54E4" w:rsidRDefault="00477423" w:rsidP="00477423">
      <w:pPr>
        <w:pStyle w:val="Ttulo3"/>
        <w:numPr>
          <w:ilvl w:val="0"/>
          <w:numId w:val="0"/>
        </w:numPr>
        <w:rPr>
          <w:rFonts w:ascii="ITC Avant Garde" w:hAnsi="ITC Avant Garde"/>
          <w:b w:val="0"/>
          <w:i/>
          <w:u w:val="single"/>
          <w:lang w:val="es-ES_tradnl"/>
        </w:rPr>
      </w:pPr>
      <w:r w:rsidRPr="007D54E4">
        <w:rPr>
          <w:rFonts w:ascii="ITC Avant Garde" w:hAnsi="ITC Avant Garde"/>
          <w:b w:val="0"/>
          <w:i/>
          <w:u w:val="single"/>
          <w:lang w:val="es-ES_tradnl"/>
        </w:rPr>
        <w:t>Respuesta del Instituto</w:t>
      </w:r>
    </w:p>
    <w:p w14:paraId="4D1D848E" w14:textId="52098497" w:rsidR="00A379AA" w:rsidRPr="007D54E4" w:rsidRDefault="0057702B" w:rsidP="00A379AA">
      <w:pPr>
        <w:rPr>
          <w:rFonts w:ascii="ITC Avant Garde" w:hAnsi="ITC Avant Garde"/>
          <w:lang w:val="es-MX"/>
        </w:rPr>
      </w:pPr>
      <w:r>
        <w:rPr>
          <w:rFonts w:ascii="ITC Avant Garde" w:hAnsi="ITC Avant Garde"/>
          <w:lang w:val="es-MX"/>
        </w:rPr>
        <w:t>R</w:t>
      </w:r>
      <w:r w:rsidR="00A379AA" w:rsidRPr="007D54E4">
        <w:rPr>
          <w:rFonts w:ascii="ITC Avant Garde" w:hAnsi="ITC Avant Garde"/>
          <w:lang w:val="es-MX"/>
        </w:rPr>
        <w:t>especto de la tasa de adopción empleada, el Instituto señala que dicho parámetro se calcula como el número de líneas activas sobre las casas pasadas, y que</w:t>
      </w:r>
      <w:r w:rsidR="00061286" w:rsidRPr="007D54E4">
        <w:rPr>
          <w:rFonts w:ascii="ITC Avant Garde" w:hAnsi="ITC Avant Garde"/>
          <w:lang w:val="es-MX"/>
        </w:rPr>
        <w:t>,</w:t>
      </w:r>
      <w:r w:rsidR="00A379AA" w:rsidRPr="007D54E4">
        <w:rPr>
          <w:rFonts w:ascii="ITC Avant Garde" w:hAnsi="ITC Avant Garde"/>
          <w:lang w:val="es-MX"/>
        </w:rPr>
        <w:t xml:space="preserve"> en este sentido</w:t>
      </w:r>
      <w:r w:rsidR="00061286" w:rsidRPr="007D54E4">
        <w:rPr>
          <w:rFonts w:ascii="ITC Avant Garde" w:hAnsi="ITC Avant Garde"/>
          <w:lang w:val="es-MX"/>
        </w:rPr>
        <w:t>,</w:t>
      </w:r>
      <w:r w:rsidR="00A379AA" w:rsidRPr="007D54E4">
        <w:rPr>
          <w:rFonts w:ascii="ITC Avant Garde" w:hAnsi="ITC Avant Garde"/>
          <w:lang w:val="es-MX"/>
        </w:rPr>
        <w:t xml:space="preserve"> </w:t>
      </w:r>
      <w:r w:rsidR="00061286" w:rsidRPr="007D54E4">
        <w:rPr>
          <w:rFonts w:ascii="ITC Avant Garde" w:hAnsi="ITC Avant Garde"/>
          <w:lang w:val="es-MX"/>
        </w:rPr>
        <w:t xml:space="preserve">es </w:t>
      </w:r>
      <w:r w:rsidR="00A379AA" w:rsidRPr="007D54E4">
        <w:rPr>
          <w:rFonts w:ascii="ITC Avant Garde" w:hAnsi="ITC Avant Garde"/>
          <w:lang w:val="es-MX"/>
        </w:rPr>
        <w:t>considerado en la versión final empleándose una cantidad superior a los valores observados en la práctica internacional</w:t>
      </w:r>
      <w:r w:rsidR="00A379AA" w:rsidRPr="009C0D93">
        <w:footnoteReference w:id="7"/>
      </w:r>
      <w:r w:rsidR="00A379AA" w:rsidRPr="007D54E4">
        <w:rPr>
          <w:rFonts w:ascii="ITC Avant Garde" w:hAnsi="ITC Avant Garde"/>
          <w:lang w:val="es-MX"/>
        </w:rPr>
        <w:t>.</w:t>
      </w:r>
    </w:p>
    <w:p w14:paraId="00732CE2" w14:textId="5F42F0A2" w:rsidR="00A379AA" w:rsidRPr="007D54E4" w:rsidRDefault="00A379AA" w:rsidP="00A379AA">
      <w:pPr>
        <w:rPr>
          <w:rFonts w:ascii="ITC Avant Garde" w:hAnsi="ITC Avant Garde"/>
          <w:lang w:val="es-MX"/>
        </w:rPr>
      </w:pPr>
      <w:r w:rsidRPr="007D54E4">
        <w:rPr>
          <w:rFonts w:ascii="ITC Avant Garde" w:hAnsi="ITC Avant Garde"/>
          <w:lang w:val="es-MX"/>
        </w:rPr>
        <w:t xml:space="preserve">Con referencia a los comentarios relativos a las proyecciones de cobertura y penetración de servicios basados en fibra óptica, el Instituto señala que los valores considerados </w:t>
      </w:r>
      <w:r w:rsidR="00061286" w:rsidRPr="007D54E4">
        <w:rPr>
          <w:rFonts w:ascii="ITC Avant Garde" w:hAnsi="ITC Avant Garde"/>
          <w:lang w:val="es-MX"/>
        </w:rPr>
        <w:t>en la</w:t>
      </w:r>
      <w:r w:rsidRPr="007D54E4">
        <w:rPr>
          <w:rFonts w:ascii="ITC Avant Garde" w:hAnsi="ITC Avant Garde"/>
          <w:lang w:val="es-MX"/>
        </w:rPr>
        <w:t xml:space="preserve"> versión final del modelo toman en consideración los datos provistos por el AEP, así como fuentes públicas y referencias internacionales a manera de consolidar una referencia objetiva y en términos de la mejor información disponible.</w:t>
      </w:r>
    </w:p>
    <w:p w14:paraId="5D8D7FCA" w14:textId="52307224" w:rsidR="00A379AA" w:rsidRPr="007D54E4" w:rsidRDefault="00A379AA" w:rsidP="00A379AA">
      <w:pPr>
        <w:rPr>
          <w:rFonts w:ascii="ITC Avant Garde" w:hAnsi="ITC Avant Garde"/>
          <w:lang w:val="es-MX"/>
        </w:rPr>
      </w:pPr>
      <w:r w:rsidRPr="007D54E4">
        <w:rPr>
          <w:rFonts w:ascii="ITC Avant Garde" w:hAnsi="ITC Avant Garde"/>
          <w:lang w:val="es-MX"/>
        </w:rPr>
        <w:t xml:space="preserve">Referente a los comentarios donde se pide considerar predicciones de cobertura para un periodo temporal más amplio, el Instituto destaca, tal y como se expone en la sección </w:t>
      </w:r>
      <w:r w:rsidRPr="007D54E4">
        <w:rPr>
          <w:rFonts w:ascii="ITC Avant Garde" w:hAnsi="ITC Avant Garde"/>
          <w:lang w:val="es-MX"/>
        </w:rPr>
        <w:fldChar w:fldCharType="begin"/>
      </w:r>
      <w:r w:rsidRPr="007D54E4">
        <w:rPr>
          <w:rFonts w:ascii="ITC Avant Garde" w:hAnsi="ITC Avant Garde"/>
          <w:lang w:val="es-MX"/>
        </w:rPr>
        <w:instrText xml:space="preserve"> REF _Ref467499450 \r \h  \* MERGEFORMAT </w:instrText>
      </w:r>
      <w:r w:rsidRPr="007D54E4">
        <w:rPr>
          <w:rFonts w:ascii="ITC Avant Garde" w:hAnsi="ITC Avant Garde"/>
          <w:lang w:val="es-MX"/>
        </w:rPr>
      </w:r>
      <w:r w:rsidRPr="007D54E4">
        <w:rPr>
          <w:rFonts w:ascii="ITC Avant Garde" w:hAnsi="ITC Avant Garde"/>
          <w:lang w:val="es-MX"/>
        </w:rPr>
        <w:fldChar w:fldCharType="separate"/>
      </w:r>
      <w:r w:rsidRPr="007D54E4">
        <w:rPr>
          <w:rFonts w:ascii="ITC Avant Garde" w:hAnsi="ITC Avant Garde"/>
          <w:cs/>
          <w:lang w:val="es-MX"/>
        </w:rPr>
        <w:t>‎</w:t>
      </w:r>
      <w:r w:rsidRPr="007D54E4">
        <w:rPr>
          <w:rFonts w:ascii="ITC Avant Garde" w:hAnsi="ITC Avant Garde"/>
          <w:lang w:val="es-MX"/>
        </w:rPr>
        <w:fldChar w:fldCharType="end"/>
      </w:r>
      <w:r w:rsidR="00061286" w:rsidRPr="007D54E4">
        <w:rPr>
          <w:rFonts w:ascii="ITC Avant Garde" w:hAnsi="ITC Avant Garde"/>
        </w:rPr>
        <w:fldChar w:fldCharType="begin"/>
      </w:r>
      <w:r w:rsidR="00061286" w:rsidRPr="007D54E4">
        <w:rPr>
          <w:rFonts w:ascii="ITC Avant Garde" w:hAnsi="ITC Avant Garde"/>
          <w:lang w:val="es-MX"/>
        </w:rPr>
        <w:instrText xml:space="preserve"> REF _Ref529358541 \r \h </w:instrText>
      </w:r>
      <w:r w:rsidR="007D54E4" w:rsidRPr="0091357A">
        <w:rPr>
          <w:rFonts w:ascii="ITC Avant Garde" w:hAnsi="ITC Avant Garde"/>
          <w:lang w:val="es-MX"/>
        </w:rPr>
        <w:instrText xml:space="preserve"> \* MERGEFORMAT </w:instrText>
      </w:r>
      <w:r w:rsidR="00061286" w:rsidRPr="007D54E4">
        <w:rPr>
          <w:rFonts w:ascii="ITC Avant Garde" w:hAnsi="ITC Avant Garde"/>
        </w:rPr>
      </w:r>
      <w:r w:rsidR="00061286" w:rsidRPr="007D54E4">
        <w:rPr>
          <w:rFonts w:ascii="ITC Avant Garde" w:hAnsi="ITC Avant Garde"/>
        </w:rPr>
        <w:fldChar w:fldCharType="separate"/>
      </w:r>
      <w:r w:rsidR="00061286" w:rsidRPr="007D54E4">
        <w:rPr>
          <w:rFonts w:ascii="ITC Avant Garde" w:hAnsi="ITC Avant Garde"/>
          <w:lang w:val="es-MX"/>
        </w:rPr>
        <w:t>2.2</w:t>
      </w:r>
      <w:r w:rsidR="00061286" w:rsidRPr="007D54E4">
        <w:rPr>
          <w:rFonts w:ascii="ITC Avant Garde" w:hAnsi="ITC Avant Garde"/>
        </w:rPr>
        <w:fldChar w:fldCharType="end"/>
      </w:r>
      <w:r w:rsidRPr="007D54E4">
        <w:rPr>
          <w:rFonts w:ascii="ITC Avant Garde" w:hAnsi="ITC Avant Garde"/>
          <w:lang w:val="es-MX"/>
        </w:rPr>
        <w:t xml:space="preserve">, que la incertidumbre existente sobre este parámetro para plazos tan largos de tiempo haría que los resultados pudieran </w:t>
      </w:r>
      <w:r w:rsidR="00382B28">
        <w:rPr>
          <w:rFonts w:ascii="ITC Avant Garde" w:hAnsi="ITC Avant Garde"/>
          <w:lang w:val="es-MX"/>
        </w:rPr>
        <w:t>resultar</w:t>
      </w:r>
      <w:r w:rsidR="00382B28" w:rsidRPr="007D54E4">
        <w:rPr>
          <w:rFonts w:ascii="ITC Avant Garde" w:hAnsi="ITC Avant Garde"/>
          <w:lang w:val="es-MX"/>
        </w:rPr>
        <w:t xml:space="preserve"> </w:t>
      </w:r>
      <w:r w:rsidRPr="007D54E4">
        <w:rPr>
          <w:rFonts w:ascii="ITC Avant Garde" w:hAnsi="ITC Avant Garde"/>
          <w:lang w:val="es-MX"/>
        </w:rPr>
        <w:t>poco robustos. En complemento, el Instituto destaca que los resultados del modelo en el corto plazo se encuentran ligados a la vigencia de la oferta de referencia correspondiente, por lo que no se considera necesario hacer proyecciones para un periodo más largo</w:t>
      </w:r>
      <w:r w:rsidR="00382B28">
        <w:rPr>
          <w:rFonts w:ascii="ITC Avant Garde" w:hAnsi="ITC Avant Garde"/>
          <w:lang w:val="es-MX"/>
        </w:rPr>
        <w:t xml:space="preserve"> ya que el modelo se actualizará con la misma periodicidad anual</w:t>
      </w:r>
      <w:r w:rsidRPr="007D54E4">
        <w:rPr>
          <w:rFonts w:ascii="ITC Avant Garde" w:hAnsi="ITC Avant Garde"/>
          <w:lang w:val="es-MX"/>
        </w:rPr>
        <w:t>.</w:t>
      </w:r>
    </w:p>
    <w:p w14:paraId="186C503D" w14:textId="36283029" w:rsidR="00A379AA" w:rsidRPr="007D54E4" w:rsidRDefault="00A379AA" w:rsidP="00A379AA">
      <w:pPr>
        <w:rPr>
          <w:rFonts w:ascii="ITC Avant Garde" w:hAnsi="ITC Avant Garde"/>
          <w:lang w:val="es-MX"/>
        </w:rPr>
      </w:pPr>
      <w:r w:rsidRPr="007D54E4">
        <w:rPr>
          <w:rFonts w:ascii="ITC Avant Garde" w:hAnsi="ITC Avant Garde"/>
          <w:lang w:val="es-MX"/>
        </w:rPr>
        <w:lastRenderedPageBreak/>
        <w:t xml:space="preserve">Referente a la demanda de enlaces dedicados, el Instituto destaca que en la versión final del modelo </w:t>
      </w:r>
      <w:r w:rsidR="00FB7221" w:rsidRPr="007D54E4">
        <w:rPr>
          <w:rFonts w:ascii="ITC Avant Garde" w:hAnsi="ITC Avant Garde"/>
          <w:lang w:val="es-MX"/>
        </w:rPr>
        <w:t xml:space="preserve">son </w:t>
      </w:r>
      <w:r w:rsidRPr="007D54E4">
        <w:rPr>
          <w:rFonts w:ascii="ITC Avant Garde" w:hAnsi="ITC Avant Garde"/>
          <w:lang w:val="es-MX"/>
        </w:rPr>
        <w:t>considerados datos de INEGI (</w:t>
      </w:r>
      <w:r w:rsidR="00FB7221" w:rsidRPr="007D54E4">
        <w:rPr>
          <w:rFonts w:ascii="ITC Avant Garde" w:hAnsi="ITC Avant Garde"/>
          <w:lang w:val="es-MX"/>
        </w:rPr>
        <w:t>en términos precisos, se empleó su “</w:t>
      </w:r>
      <w:r w:rsidRPr="007D54E4">
        <w:rPr>
          <w:rFonts w:ascii="ITC Avant Garde" w:hAnsi="ITC Avant Garde"/>
          <w:lang w:val="es-MX"/>
        </w:rPr>
        <w:t>Indicador Mensual de Actividad Industrial (IMAI)</w:t>
      </w:r>
      <w:r w:rsidR="00FB7221" w:rsidRPr="007D54E4">
        <w:rPr>
          <w:rFonts w:ascii="ITC Avant Garde" w:hAnsi="ITC Avant Garde"/>
          <w:lang w:val="es-MX"/>
        </w:rPr>
        <w:t>”</w:t>
      </w:r>
      <w:r w:rsidRPr="007D54E4">
        <w:rPr>
          <w:rFonts w:ascii="ITC Avant Garde" w:hAnsi="ITC Avant Garde"/>
          <w:lang w:val="es-MX"/>
        </w:rPr>
        <w:t>, con una evolución interanual</w:t>
      </w:r>
      <w:r w:rsidRPr="007D54E4">
        <w:rPr>
          <w:rStyle w:val="Refdenotaalpie"/>
          <w:rFonts w:ascii="ITC Avant Garde" w:hAnsi="ITC Avant Garde"/>
          <w:sz w:val="22"/>
          <w:lang w:val="es-MX"/>
        </w:rPr>
        <w:t xml:space="preserve"> </w:t>
      </w:r>
      <w:r w:rsidRPr="007D54E4">
        <w:rPr>
          <w:rFonts w:ascii="ITC Avant Garde" w:hAnsi="ITC Avant Garde"/>
          <w:lang w:val="es-MX"/>
        </w:rPr>
        <w:t>)</w:t>
      </w:r>
      <w:r w:rsidRPr="007D54E4">
        <w:rPr>
          <w:rStyle w:val="Refdenotaalpie"/>
          <w:rFonts w:ascii="ITC Avant Garde" w:hAnsi="ITC Avant Garde"/>
          <w:sz w:val="22"/>
          <w:lang w:val="es-MX"/>
        </w:rPr>
        <w:footnoteReference w:id="8"/>
      </w:r>
      <w:r w:rsidRPr="007D54E4">
        <w:rPr>
          <w:rFonts w:ascii="ITC Avant Garde" w:hAnsi="ITC Avant Garde"/>
          <w:lang w:val="es-MX"/>
        </w:rPr>
        <w:t>.</w:t>
      </w:r>
    </w:p>
    <w:p w14:paraId="0E4EE9AA" w14:textId="223393F6" w:rsidR="00A379AA" w:rsidRPr="007D54E4" w:rsidRDefault="00A379AA" w:rsidP="00A379AA">
      <w:pPr>
        <w:rPr>
          <w:rFonts w:ascii="ITC Avant Garde" w:hAnsi="ITC Avant Garde"/>
          <w:lang w:val="es-MX"/>
        </w:rPr>
      </w:pPr>
      <w:r w:rsidRPr="007D54E4">
        <w:rPr>
          <w:rFonts w:ascii="ITC Avant Garde" w:hAnsi="ITC Avant Garde"/>
          <w:lang w:val="es-MX"/>
        </w:rPr>
        <w:t>En lo tocante a considerar una separación entre servicios mayoristas y servicios minoristas, el Instituto considera, como se expone en la sección 4.1.3 del documento metodológico sujeto a consulta</w:t>
      </w:r>
      <w:r w:rsidR="00FB7221" w:rsidRPr="007D54E4">
        <w:rPr>
          <w:rStyle w:val="Refdenotaalpie"/>
          <w:rFonts w:ascii="ITC Avant Garde" w:hAnsi="ITC Avant Garde"/>
          <w:sz w:val="22"/>
          <w:lang w:val="es-MX"/>
        </w:rPr>
        <w:footnoteReference w:id="9"/>
      </w:r>
      <w:r w:rsidRPr="007D54E4">
        <w:rPr>
          <w:rFonts w:ascii="ITC Avant Garde" w:hAnsi="ITC Avant Garde"/>
          <w:lang w:val="es-MX"/>
        </w:rPr>
        <w:t xml:space="preserve">, que la desagregación entre servicios tiene un impacto mínimo sobre la base total de costos, por lo cual no considera necesario implementar cambios a este respecto. </w:t>
      </w:r>
    </w:p>
    <w:p w14:paraId="0466C666" w14:textId="2797AE64" w:rsidR="00A379AA" w:rsidRPr="007D54E4" w:rsidRDefault="00A379AA" w:rsidP="00A379AA">
      <w:pPr>
        <w:rPr>
          <w:rFonts w:ascii="ITC Avant Garde" w:hAnsi="ITC Avant Garde"/>
          <w:lang w:val="es-MX"/>
        </w:rPr>
      </w:pPr>
      <w:r w:rsidRPr="007D54E4">
        <w:rPr>
          <w:rFonts w:ascii="ITC Avant Garde" w:hAnsi="ITC Avant Garde"/>
          <w:lang w:val="es-MX"/>
        </w:rPr>
        <w:t xml:space="preserve">Adicionalmente, respecto a considerar </w:t>
      </w:r>
      <w:r w:rsidR="00FB7221" w:rsidRPr="007D54E4">
        <w:rPr>
          <w:rFonts w:ascii="ITC Avant Garde" w:hAnsi="ITC Avant Garde"/>
          <w:lang w:val="es-MX"/>
        </w:rPr>
        <w:t xml:space="preserve">en el modelo a </w:t>
      </w:r>
      <w:r w:rsidRPr="007D54E4">
        <w:rPr>
          <w:rFonts w:ascii="ITC Avant Garde" w:hAnsi="ITC Avant Garde"/>
          <w:lang w:val="es-MX"/>
        </w:rPr>
        <w:t xml:space="preserve">la entrada de otros </w:t>
      </w:r>
      <w:r w:rsidR="00382B28">
        <w:rPr>
          <w:rFonts w:ascii="ITC Avant Garde" w:hAnsi="ITC Avant Garde"/>
          <w:lang w:val="es-MX"/>
        </w:rPr>
        <w:t>operadores</w:t>
      </w:r>
      <w:r w:rsidR="00382B28" w:rsidRPr="007D54E4">
        <w:rPr>
          <w:rFonts w:ascii="ITC Avant Garde" w:hAnsi="ITC Avant Garde"/>
          <w:lang w:val="es-MX"/>
        </w:rPr>
        <w:t xml:space="preserve"> </w:t>
      </w:r>
      <w:r w:rsidRPr="007D54E4">
        <w:rPr>
          <w:rFonts w:ascii="ITC Avant Garde" w:hAnsi="ITC Avant Garde"/>
          <w:lang w:val="es-MX"/>
        </w:rPr>
        <w:t xml:space="preserve">y su efecto sobre la demanda del modelo, el Instituto resalta que actualmente existen </w:t>
      </w:r>
      <w:r w:rsidR="00FB7221" w:rsidRPr="007D54E4">
        <w:rPr>
          <w:rFonts w:ascii="ITC Avant Garde" w:hAnsi="ITC Avant Garde"/>
          <w:lang w:val="es-MX"/>
        </w:rPr>
        <w:t xml:space="preserve">diferentes </w:t>
      </w:r>
      <w:r w:rsidRPr="007D54E4">
        <w:rPr>
          <w:rFonts w:ascii="ITC Avant Garde" w:hAnsi="ITC Avant Garde"/>
          <w:lang w:val="es-MX"/>
        </w:rPr>
        <w:t xml:space="preserve">proveedores de servicios de fibra </w:t>
      </w:r>
      <w:r w:rsidR="00382B28">
        <w:rPr>
          <w:rFonts w:ascii="ITC Avant Garde" w:hAnsi="ITC Avant Garde"/>
          <w:lang w:val="es-MX"/>
        </w:rPr>
        <w:t xml:space="preserve">óptica </w:t>
      </w:r>
      <w:r w:rsidRPr="007D54E4">
        <w:rPr>
          <w:rFonts w:ascii="ITC Avant Garde" w:hAnsi="ITC Avant Garde"/>
          <w:lang w:val="es-MX"/>
        </w:rPr>
        <w:t>por lo que, al partir de información actual del AEP, así como fuentes públicas y referencias internacionales, este factor se tiene en cuenta.</w:t>
      </w:r>
    </w:p>
    <w:p w14:paraId="75D5EDE6" w14:textId="45C84810" w:rsidR="00A379AA" w:rsidRPr="007D54E4" w:rsidRDefault="00A379AA" w:rsidP="00A379AA">
      <w:pPr>
        <w:rPr>
          <w:rFonts w:ascii="ITC Avant Garde" w:hAnsi="ITC Avant Garde"/>
          <w:lang w:val="es-MX"/>
        </w:rPr>
      </w:pPr>
      <w:r w:rsidRPr="007D54E4">
        <w:rPr>
          <w:rFonts w:ascii="ITC Avant Garde" w:hAnsi="ITC Avant Garde"/>
          <w:lang w:val="es-MX"/>
        </w:rPr>
        <w:t xml:space="preserve">En torno a incorporar un análisis de la demanda en la elasticidad de la misma en conjunto con proyecciones del ingreso en cada uno de los hogares, el Instituto señala que tales enfoques no son comunes en el desarrollo de este tipo de herramientas, principalmente debido al alto grado de incertidumbre sobre los datos necesarios para realizarlo (por ejemplo, predicciones de evolución de servicios y </w:t>
      </w:r>
      <w:r w:rsidR="00FB7221" w:rsidRPr="007D54E4">
        <w:rPr>
          <w:rFonts w:ascii="ITC Avant Garde" w:hAnsi="ITC Avant Garde"/>
          <w:lang w:val="es-MX"/>
        </w:rPr>
        <w:t xml:space="preserve">las </w:t>
      </w:r>
      <w:r w:rsidRPr="007D54E4">
        <w:rPr>
          <w:rFonts w:ascii="ITC Avant Garde" w:hAnsi="ITC Avant Garde"/>
          <w:lang w:val="es-MX"/>
        </w:rPr>
        <w:t>tarifas minoristas</w:t>
      </w:r>
      <w:r w:rsidR="00FB7221" w:rsidRPr="007D54E4">
        <w:rPr>
          <w:rFonts w:ascii="ITC Avant Garde" w:hAnsi="ITC Avant Garde"/>
          <w:lang w:val="es-MX"/>
        </w:rPr>
        <w:t xml:space="preserve"> de servicios basados en fibra óptica</w:t>
      </w:r>
      <w:r w:rsidRPr="007D54E4">
        <w:rPr>
          <w:rFonts w:ascii="ITC Avant Garde" w:hAnsi="ITC Avant Garde"/>
          <w:lang w:val="es-MX"/>
        </w:rPr>
        <w:t>), motivo por el cual no se considera conveniente su desarrollo.</w:t>
      </w:r>
    </w:p>
    <w:p w14:paraId="2B148F43" w14:textId="0109E79B" w:rsidR="00A379AA" w:rsidRPr="007D54E4" w:rsidRDefault="00A379AA" w:rsidP="00A379AA">
      <w:pPr>
        <w:rPr>
          <w:rFonts w:ascii="ITC Avant Garde" w:hAnsi="ITC Avant Garde"/>
          <w:lang w:val="es-MX"/>
        </w:rPr>
      </w:pPr>
      <w:r w:rsidRPr="007D54E4">
        <w:rPr>
          <w:rFonts w:ascii="ITC Avant Garde" w:hAnsi="ITC Avant Garde"/>
          <w:lang w:val="es-MX"/>
        </w:rPr>
        <w:t xml:space="preserve">A este respecto, se observa que emplear dicho parámetro requeriría hacer una proyección de las tarifas minoristas. Dicha evolución es incierta, por lo que </w:t>
      </w:r>
      <w:r w:rsidR="00382B28">
        <w:rPr>
          <w:rFonts w:ascii="ITC Avant Garde" w:hAnsi="ITC Avant Garde"/>
          <w:lang w:val="es-MX"/>
        </w:rPr>
        <w:t>tomar en cuenta</w:t>
      </w:r>
      <w:r w:rsidR="00382B28" w:rsidRPr="007D54E4">
        <w:rPr>
          <w:rFonts w:ascii="ITC Avant Garde" w:hAnsi="ITC Avant Garde"/>
          <w:lang w:val="es-MX"/>
        </w:rPr>
        <w:t xml:space="preserve"> </w:t>
      </w:r>
      <w:r w:rsidRPr="007D54E4">
        <w:rPr>
          <w:rFonts w:ascii="ITC Avant Garde" w:hAnsi="ITC Avant Garde"/>
          <w:lang w:val="es-MX"/>
        </w:rPr>
        <w:t>esta aproximación se considera menos precisa.</w:t>
      </w:r>
    </w:p>
    <w:p w14:paraId="5AA50FF9" w14:textId="40629AC4" w:rsidR="00A379AA" w:rsidRPr="007D54E4" w:rsidRDefault="00A379AA" w:rsidP="00A379AA">
      <w:pPr>
        <w:rPr>
          <w:rFonts w:ascii="ITC Avant Garde" w:hAnsi="ITC Avant Garde"/>
          <w:lang w:val="es-ES_tradnl"/>
        </w:rPr>
      </w:pPr>
      <w:r w:rsidRPr="007D54E4">
        <w:rPr>
          <w:rFonts w:ascii="ITC Avant Garde" w:hAnsi="ITC Avant Garde"/>
          <w:lang w:val="es-MX"/>
        </w:rPr>
        <w:t xml:space="preserve">Finalmente, el Instituto reitera que las previsiones de demanda a incluirse en la versión final del modelo se </w:t>
      </w:r>
      <w:r w:rsidR="004047F8" w:rsidRPr="007D54E4">
        <w:rPr>
          <w:rFonts w:ascii="ITC Avant Garde" w:hAnsi="ITC Avant Garde"/>
          <w:lang w:val="es-MX"/>
        </w:rPr>
        <w:t xml:space="preserve">basan </w:t>
      </w:r>
      <w:r w:rsidRPr="007D54E4">
        <w:rPr>
          <w:rFonts w:ascii="ITC Avant Garde" w:hAnsi="ITC Avant Garde"/>
          <w:lang w:val="es-MX"/>
        </w:rPr>
        <w:t>en datos provistos por el AEP, así como fuentes públicas y referencias internacionales a manera de consolidar una referencia objetiva y en términos de la mejor información disponible.</w:t>
      </w:r>
    </w:p>
    <w:p w14:paraId="4F15FD42" w14:textId="186EFFCD" w:rsidR="00477423" w:rsidRPr="007D54E4" w:rsidRDefault="00477423" w:rsidP="00000D47">
      <w:pPr>
        <w:pStyle w:val="Ttulo3"/>
        <w:rPr>
          <w:rFonts w:ascii="ITC Avant Garde" w:hAnsi="ITC Avant Garde"/>
          <w:lang w:val="es-ES_tradnl"/>
        </w:rPr>
      </w:pPr>
      <w:r w:rsidRPr="007D54E4">
        <w:rPr>
          <w:rFonts w:ascii="ITC Avant Garde" w:hAnsi="ITC Avant Garde"/>
          <w:lang w:val="es-ES_tradnl"/>
        </w:rPr>
        <w:lastRenderedPageBreak/>
        <w:t>¿</w:t>
      </w:r>
      <w:r w:rsidR="00000D47" w:rsidRPr="007D54E4">
        <w:rPr>
          <w:rFonts w:ascii="ITC Avant Garde" w:hAnsi="ITC Avant Garde"/>
          <w:lang w:val="es-ES_tradnl"/>
        </w:rPr>
        <w:t>Considera convenientes y suficientes los elementos considerados para el modelado de la red de Acceso de Fibra Óptica</w:t>
      </w:r>
      <w:r w:rsidRPr="007D54E4">
        <w:rPr>
          <w:rFonts w:ascii="ITC Avant Garde" w:hAnsi="ITC Avant Garde"/>
          <w:lang w:val="es-ES_tradnl"/>
        </w:rPr>
        <w:t>?</w:t>
      </w:r>
    </w:p>
    <w:p w14:paraId="19A1BDBF" w14:textId="77777777" w:rsidR="00477423" w:rsidRPr="007D54E4" w:rsidRDefault="00477423" w:rsidP="00477423">
      <w:pPr>
        <w:pStyle w:val="Ttulo3"/>
        <w:numPr>
          <w:ilvl w:val="0"/>
          <w:numId w:val="0"/>
        </w:numPr>
        <w:rPr>
          <w:rFonts w:ascii="ITC Avant Garde" w:hAnsi="ITC Avant Garde"/>
          <w:b w:val="0"/>
          <w:i/>
          <w:u w:val="single"/>
          <w:lang w:val="es-ES_tradnl"/>
        </w:rPr>
      </w:pPr>
      <w:r w:rsidRPr="007D54E4">
        <w:rPr>
          <w:rFonts w:ascii="ITC Avant Garde" w:hAnsi="ITC Avant Garde"/>
          <w:b w:val="0"/>
          <w:i/>
          <w:u w:val="single"/>
          <w:lang w:val="es-ES_tradnl"/>
        </w:rPr>
        <w:t>Resumen de comentarios de la Consulta Pública</w:t>
      </w:r>
    </w:p>
    <w:p w14:paraId="0C95908C" w14:textId="36CBF77C" w:rsidR="00A379AA" w:rsidRPr="009C0D93" w:rsidRDefault="00A379AA" w:rsidP="009C0D93">
      <w:pPr>
        <w:rPr>
          <w:rFonts w:ascii="ITC Avant Garde" w:hAnsi="ITC Avant Garde"/>
          <w:lang w:val="es-MX"/>
        </w:rPr>
      </w:pPr>
      <w:r w:rsidRPr="009C0D93">
        <w:rPr>
          <w:rFonts w:ascii="ITC Avant Garde" w:hAnsi="ITC Avant Garde"/>
          <w:lang w:val="es-MX"/>
        </w:rPr>
        <w:t xml:space="preserve">Al respecto, los participantes han </w:t>
      </w:r>
      <w:r w:rsidR="00757F81" w:rsidRPr="009C0D93">
        <w:rPr>
          <w:rFonts w:ascii="ITC Avant Garde" w:hAnsi="ITC Avant Garde"/>
          <w:lang w:val="es-MX"/>
        </w:rPr>
        <w:t>sugerido</w:t>
      </w:r>
      <w:r w:rsidRPr="009C0D93">
        <w:rPr>
          <w:rFonts w:ascii="ITC Avant Garde" w:hAnsi="ITC Avant Garde"/>
          <w:lang w:val="es-MX"/>
        </w:rPr>
        <w:t xml:space="preserve"> que se debe considerar una serie de elementos adicionales al modelo</w:t>
      </w:r>
      <w:r w:rsidR="00757F81" w:rsidRPr="009C0D93">
        <w:rPr>
          <w:rFonts w:ascii="ITC Avant Garde" w:hAnsi="ITC Avant Garde"/>
          <w:lang w:val="es-MX"/>
        </w:rPr>
        <w:t>, como se resume a continuación</w:t>
      </w:r>
      <w:r w:rsidRPr="009C0D93">
        <w:rPr>
          <w:rFonts w:ascii="ITC Avant Garde" w:hAnsi="ITC Avant Garde"/>
          <w:lang w:val="es-MX"/>
        </w:rPr>
        <w:t>:</w:t>
      </w:r>
    </w:p>
    <w:p w14:paraId="60D7084D" w14:textId="3631472D" w:rsidR="00A379AA" w:rsidRPr="009C0D93" w:rsidRDefault="00A379AA" w:rsidP="009C0D93">
      <w:pPr>
        <w:pStyle w:val="Prrafodelista"/>
        <w:numPr>
          <w:ilvl w:val="0"/>
          <w:numId w:val="21"/>
        </w:numPr>
        <w:rPr>
          <w:rFonts w:ascii="ITC Avant Garde" w:hAnsi="ITC Avant Garde"/>
          <w:lang w:val="es-MX"/>
        </w:rPr>
      </w:pPr>
      <w:r w:rsidRPr="009C0D93">
        <w:rPr>
          <w:rFonts w:ascii="ITC Avant Garde" w:hAnsi="ITC Avant Garde"/>
          <w:lang w:val="es-MX"/>
        </w:rPr>
        <w:t xml:space="preserve">Ciertos participantes (Avantel/Alestra/Axtel y CANIETI) proponen </w:t>
      </w:r>
      <w:r w:rsidR="00622062" w:rsidRPr="009C0D93">
        <w:rPr>
          <w:rFonts w:ascii="ITC Avant Garde" w:hAnsi="ITC Avant Garde"/>
          <w:lang w:val="es-MX"/>
        </w:rPr>
        <w:t xml:space="preserve">que se deben </w:t>
      </w:r>
      <w:r w:rsidRPr="009C0D93">
        <w:rPr>
          <w:rFonts w:ascii="ITC Avant Garde" w:hAnsi="ITC Avant Garde"/>
          <w:lang w:val="es-MX"/>
        </w:rPr>
        <w:t>incluir</w:t>
      </w:r>
      <w:r w:rsidR="00622062" w:rsidRPr="009C0D93">
        <w:rPr>
          <w:rFonts w:ascii="ITC Avant Garde" w:hAnsi="ITC Avant Garde"/>
          <w:lang w:val="es-MX"/>
        </w:rPr>
        <w:t xml:space="preserve"> en el modelo a</w:t>
      </w:r>
      <w:r w:rsidRPr="009C0D93">
        <w:rPr>
          <w:rFonts w:ascii="ITC Avant Garde" w:hAnsi="ITC Avant Garde"/>
          <w:lang w:val="es-MX"/>
        </w:rPr>
        <w:t xml:space="preserve"> los elementos asociados a las redes FTTC y FTTN.</w:t>
      </w:r>
    </w:p>
    <w:p w14:paraId="346649B7" w14:textId="77777777" w:rsidR="00A379AA" w:rsidRPr="009C0D93" w:rsidRDefault="00A379AA" w:rsidP="009C0D93">
      <w:pPr>
        <w:pStyle w:val="Prrafodelista"/>
        <w:numPr>
          <w:ilvl w:val="0"/>
          <w:numId w:val="21"/>
        </w:numPr>
        <w:rPr>
          <w:rFonts w:ascii="ITC Avant Garde" w:hAnsi="ITC Avant Garde"/>
          <w:lang w:val="es-MX"/>
        </w:rPr>
      </w:pPr>
      <w:r w:rsidRPr="009C0D93">
        <w:rPr>
          <w:rFonts w:ascii="ITC Avant Garde" w:hAnsi="ITC Avant Garde"/>
          <w:lang w:val="es-MX"/>
        </w:rPr>
        <w:t>Por otra parte, uno de los participantes (CANIETI) propone considerar un sistema de gestión de los servicios mayoristas.</w:t>
      </w:r>
    </w:p>
    <w:p w14:paraId="5326BFDB" w14:textId="49E22132" w:rsidR="00A379AA" w:rsidRPr="009C0D93" w:rsidRDefault="00BF397E" w:rsidP="009C0D93">
      <w:pPr>
        <w:pStyle w:val="Prrafodelista"/>
        <w:numPr>
          <w:ilvl w:val="0"/>
          <w:numId w:val="21"/>
        </w:numPr>
        <w:rPr>
          <w:rFonts w:ascii="ITC Avant Garde" w:hAnsi="ITC Avant Garde"/>
          <w:lang w:val="es-MX"/>
        </w:rPr>
      </w:pPr>
      <w:r w:rsidRPr="009C0D93">
        <w:rPr>
          <w:rFonts w:ascii="ITC Avant Garde" w:hAnsi="ITC Avant Garde"/>
          <w:lang w:val="es-MX"/>
        </w:rPr>
        <w:t>Asimismo, u</w:t>
      </w:r>
      <w:r w:rsidR="00A379AA" w:rsidRPr="009C0D93">
        <w:rPr>
          <w:rFonts w:ascii="ITC Avant Garde" w:hAnsi="ITC Avant Garde"/>
          <w:lang w:val="es-MX"/>
        </w:rPr>
        <w:t>na serie de participantes (Televisa y Telmex) considera que se debe incluir un switch o “puerto uplink”.</w:t>
      </w:r>
    </w:p>
    <w:p w14:paraId="109B0E40" w14:textId="08C90BCB" w:rsidR="00A379AA" w:rsidRPr="009C0D93" w:rsidRDefault="00A379AA" w:rsidP="009C0D93">
      <w:pPr>
        <w:pStyle w:val="Prrafodelista"/>
        <w:numPr>
          <w:ilvl w:val="0"/>
          <w:numId w:val="21"/>
        </w:numPr>
        <w:rPr>
          <w:rFonts w:ascii="ITC Avant Garde" w:hAnsi="ITC Avant Garde"/>
          <w:lang w:val="es-MX"/>
        </w:rPr>
      </w:pPr>
      <w:r w:rsidRPr="009C0D93">
        <w:rPr>
          <w:rFonts w:ascii="ITC Avant Garde" w:hAnsi="ITC Avant Garde"/>
          <w:lang w:val="es-MX"/>
        </w:rPr>
        <w:t>En complemento, otro de los participantes (Telmex)</w:t>
      </w:r>
      <w:r w:rsidR="00BF397E" w:rsidRPr="009C0D93">
        <w:rPr>
          <w:rFonts w:ascii="ITC Avant Garde" w:hAnsi="ITC Avant Garde"/>
          <w:lang w:val="es-MX"/>
        </w:rPr>
        <w:t xml:space="preserve"> indica que se debe tomar en</w:t>
      </w:r>
      <w:r w:rsidRPr="009C0D93">
        <w:rPr>
          <w:rFonts w:ascii="ITC Avant Garde" w:hAnsi="ITC Avant Garde"/>
          <w:lang w:val="es-MX"/>
        </w:rPr>
        <w:t xml:space="preserve"> consideración el cableado interno en central.</w:t>
      </w:r>
    </w:p>
    <w:p w14:paraId="277E70FD" w14:textId="7406DE67" w:rsidR="00A379AA" w:rsidRPr="009C0D93" w:rsidRDefault="00A379AA" w:rsidP="009C0D93">
      <w:pPr>
        <w:pStyle w:val="Prrafodelista"/>
        <w:numPr>
          <w:ilvl w:val="0"/>
          <w:numId w:val="21"/>
        </w:numPr>
        <w:rPr>
          <w:rFonts w:ascii="ITC Avant Garde" w:hAnsi="ITC Avant Garde"/>
          <w:lang w:val="es-MX"/>
        </w:rPr>
      </w:pPr>
      <w:r w:rsidRPr="009C0D93">
        <w:rPr>
          <w:rFonts w:ascii="ITC Avant Garde" w:hAnsi="ITC Avant Garde"/>
          <w:lang w:val="es-MX"/>
        </w:rPr>
        <w:t xml:space="preserve">Los </w:t>
      </w:r>
      <w:r w:rsidR="00382B28" w:rsidRPr="009C0D93">
        <w:rPr>
          <w:rFonts w:ascii="ITC Avant Garde" w:hAnsi="ITC Avant Garde"/>
          <w:lang w:val="es-MX"/>
        </w:rPr>
        <w:t>CC</w:t>
      </w:r>
      <w:r w:rsidRPr="009C0D93">
        <w:rPr>
          <w:rFonts w:ascii="ITC Avant Garde" w:hAnsi="ITC Avant Garde"/>
          <w:lang w:val="es-MX"/>
        </w:rPr>
        <w:t xml:space="preserve">. Sánchez Colín, Domínguez Jardon y Velázquez Valdez </w:t>
      </w:r>
      <w:r w:rsidR="00BF397E" w:rsidRPr="009C0D93">
        <w:rPr>
          <w:rFonts w:ascii="ITC Avant Garde" w:hAnsi="ITC Avant Garde"/>
          <w:lang w:val="es-MX"/>
        </w:rPr>
        <w:t>sugieren que se debe tomar en cuenta a los</w:t>
      </w:r>
      <w:r w:rsidRPr="009C0D93">
        <w:rPr>
          <w:rFonts w:ascii="ITC Avant Garde" w:hAnsi="ITC Avant Garde"/>
          <w:lang w:val="es-MX"/>
        </w:rPr>
        <w:t xml:space="preserve"> amplificadores y receptores ópticos.</w:t>
      </w:r>
    </w:p>
    <w:p w14:paraId="38C1552E" w14:textId="468EFEFE" w:rsidR="00A379AA" w:rsidRPr="009C0D93" w:rsidRDefault="00A379AA" w:rsidP="009C0D93">
      <w:pPr>
        <w:pStyle w:val="Prrafodelista"/>
        <w:numPr>
          <w:ilvl w:val="0"/>
          <w:numId w:val="21"/>
        </w:numPr>
        <w:rPr>
          <w:rFonts w:ascii="ITC Avant Garde" w:hAnsi="ITC Avant Garde"/>
          <w:lang w:val="es-MX"/>
        </w:rPr>
      </w:pPr>
      <w:r w:rsidRPr="009C0D93">
        <w:rPr>
          <w:rFonts w:ascii="ITC Avant Garde" w:hAnsi="ITC Avant Garde"/>
          <w:lang w:val="es-MX"/>
        </w:rPr>
        <w:t>En adición, ciertos participantes (</w:t>
      </w:r>
      <w:r w:rsidR="00382B28" w:rsidRPr="009C0D93">
        <w:rPr>
          <w:rFonts w:ascii="ITC Avant Garde" w:hAnsi="ITC Avant Garde"/>
          <w:lang w:val="es-MX"/>
        </w:rPr>
        <w:t>CC</w:t>
      </w:r>
      <w:r w:rsidRPr="009C0D93">
        <w:rPr>
          <w:rFonts w:ascii="ITC Avant Garde" w:hAnsi="ITC Avant Garde"/>
          <w:lang w:val="es-MX"/>
        </w:rPr>
        <w:t xml:space="preserve">. Barrios González, Gutiérrez Gabino y Pérez Pinto) proponen </w:t>
      </w:r>
      <w:r w:rsidR="007E709E" w:rsidRPr="009C0D93">
        <w:rPr>
          <w:rFonts w:ascii="ITC Avant Garde" w:hAnsi="ITC Avant Garde"/>
          <w:lang w:val="es-MX"/>
        </w:rPr>
        <w:t>que se debe incorporar en el modelo a la</w:t>
      </w:r>
      <w:r w:rsidRPr="009C0D93">
        <w:rPr>
          <w:rFonts w:ascii="ITC Avant Garde" w:hAnsi="ITC Avant Garde"/>
          <w:lang w:val="es-MX"/>
        </w:rPr>
        <w:t xml:space="preserve"> “infraestructura faltante”.</w:t>
      </w:r>
    </w:p>
    <w:p w14:paraId="6BED932F" w14:textId="77777777" w:rsidR="00A379AA" w:rsidRPr="007D54E4" w:rsidRDefault="00A379AA" w:rsidP="00A379AA">
      <w:pPr>
        <w:rPr>
          <w:rFonts w:ascii="ITC Avant Garde" w:hAnsi="ITC Avant Garde"/>
          <w:lang w:val="es-MX"/>
        </w:rPr>
      </w:pPr>
      <w:r w:rsidRPr="007D54E4">
        <w:rPr>
          <w:rFonts w:ascii="ITC Avant Garde" w:hAnsi="ITC Avant Garde"/>
          <w:lang w:val="es-MX"/>
        </w:rPr>
        <w:t>Por otro lado, y con respecto a los elementos presentes en el modelo, otro de los participantes de dicha consulta (Televisa) ha proporcionado diversos comentarios:</w:t>
      </w:r>
    </w:p>
    <w:p w14:paraId="14346B3C" w14:textId="2FB25079" w:rsidR="00A379AA" w:rsidRPr="009C0D93" w:rsidRDefault="00A379AA" w:rsidP="009C0D93">
      <w:pPr>
        <w:pStyle w:val="Prrafodelista"/>
        <w:numPr>
          <w:ilvl w:val="0"/>
          <w:numId w:val="22"/>
        </w:numPr>
        <w:rPr>
          <w:rFonts w:ascii="ITC Avant Garde" w:hAnsi="ITC Avant Garde"/>
          <w:lang w:val="es-MX"/>
        </w:rPr>
      </w:pPr>
      <w:r w:rsidRPr="009C0D93">
        <w:rPr>
          <w:rFonts w:ascii="ITC Avant Garde" w:hAnsi="ITC Avant Garde"/>
          <w:lang w:val="es-MX"/>
        </w:rPr>
        <w:t xml:space="preserve">Los costos unitarios de la ONT incluidos en el </w:t>
      </w:r>
      <w:r w:rsidR="000C072D" w:rsidRPr="009C0D93">
        <w:rPr>
          <w:rFonts w:ascii="ITC Avant Garde" w:hAnsi="ITC Avant Garde"/>
          <w:lang w:val="es-MX"/>
        </w:rPr>
        <w:t>modelo deben</w:t>
      </w:r>
      <w:r w:rsidRPr="009C0D93">
        <w:rPr>
          <w:rFonts w:ascii="ITC Avant Garde" w:hAnsi="ITC Avant Garde"/>
          <w:lang w:val="es-MX"/>
        </w:rPr>
        <w:t xml:space="preserve"> reflej</w:t>
      </w:r>
      <w:r w:rsidR="000C072D" w:rsidRPr="009C0D93">
        <w:rPr>
          <w:rFonts w:ascii="ITC Avant Garde" w:hAnsi="ITC Avant Garde"/>
          <w:lang w:val="es-MX"/>
        </w:rPr>
        <w:t>ar</w:t>
      </w:r>
      <w:r w:rsidRPr="009C0D93">
        <w:rPr>
          <w:rFonts w:ascii="ITC Avant Garde" w:hAnsi="ITC Avant Garde"/>
          <w:lang w:val="es-MX"/>
        </w:rPr>
        <w:t xml:space="preserve"> las eficiencias de volumen que el AEP puede alcanzar.</w:t>
      </w:r>
    </w:p>
    <w:p w14:paraId="3A02ABB2" w14:textId="77777777" w:rsidR="00A379AA" w:rsidRPr="009C0D93" w:rsidRDefault="00A379AA" w:rsidP="009C0D93">
      <w:pPr>
        <w:pStyle w:val="Prrafodelista"/>
        <w:numPr>
          <w:ilvl w:val="0"/>
          <w:numId w:val="22"/>
        </w:numPr>
        <w:rPr>
          <w:rFonts w:ascii="ITC Avant Garde" w:hAnsi="ITC Avant Garde"/>
          <w:lang w:val="es-MX"/>
        </w:rPr>
      </w:pPr>
      <w:r w:rsidRPr="009C0D93">
        <w:rPr>
          <w:rFonts w:ascii="ITC Avant Garde" w:hAnsi="ITC Avant Garde"/>
          <w:lang w:val="es-MX"/>
        </w:rPr>
        <w:t>Se sugiere incluir un único ODF para todos los enlaces relacionados.</w:t>
      </w:r>
    </w:p>
    <w:p w14:paraId="1381AFC5" w14:textId="5597501A" w:rsidR="00A379AA" w:rsidRPr="009C0D93" w:rsidRDefault="000C072D" w:rsidP="009C0D93">
      <w:pPr>
        <w:pStyle w:val="Prrafodelista"/>
        <w:numPr>
          <w:ilvl w:val="0"/>
          <w:numId w:val="22"/>
        </w:numPr>
        <w:rPr>
          <w:rFonts w:ascii="ITC Avant Garde" w:hAnsi="ITC Avant Garde"/>
          <w:lang w:val="es-MX"/>
        </w:rPr>
      </w:pPr>
      <w:r w:rsidRPr="009C0D93">
        <w:rPr>
          <w:rFonts w:ascii="ITC Avant Garde" w:hAnsi="ITC Avant Garde"/>
          <w:lang w:val="es-MX"/>
        </w:rPr>
        <w:t>Es necesario r</w:t>
      </w:r>
      <w:r w:rsidR="00A379AA" w:rsidRPr="009C0D93">
        <w:rPr>
          <w:rFonts w:ascii="ITC Avant Garde" w:hAnsi="ITC Avant Garde"/>
          <w:lang w:val="es-MX"/>
        </w:rPr>
        <w:t xml:space="preserve">educir el número de fusiones incluidas en el modelo, </w:t>
      </w:r>
      <w:r w:rsidRPr="009C0D93">
        <w:rPr>
          <w:rFonts w:ascii="ITC Avant Garde" w:hAnsi="ITC Avant Garde"/>
          <w:lang w:val="es-MX"/>
        </w:rPr>
        <w:t>y a su vez se debe considerar que no</w:t>
      </w:r>
      <w:r w:rsidR="00A379AA" w:rsidRPr="009C0D93">
        <w:rPr>
          <w:rFonts w:ascii="ITC Avant Garde" w:hAnsi="ITC Avant Garde"/>
          <w:lang w:val="es-MX"/>
        </w:rPr>
        <w:t xml:space="preserve"> existe ningún elemento al que fusionar en el lado del cable más lejano de la central.</w:t>
      </w:r>
    </w:p>
    <w:p w14:paraId="7140E5D1" w14:textId="76D9391A" w:rsidR="00A379AA" w:rsidRPr="007D54E4" w:rsidRDefault="00A379AA" w:rsidP="00A379AA">
      <w:pPr>
        <w:rPr>
          <w:rFonts w:ascii="ITC Avant Garde" w:hAnsi="ITC Avant Garde"/>
          <w:lang w:val="es-MX"/>
        </w:rPr>
      </w:pPr>
      <w:r w:rsidRPr="007D54E4">
        <w:rPr>
          <w:rFonts w:ascii="ITC Avant Garde" w:hAnsi="ITC Avant Garde"/>
          <w:lang w:val="es-MX"/>
        </w:rPr>
        <w:t>Adicionalmente, ciertos participantes (</w:t>
      </w:r>
      <w:r w:rsidR="00382B28">
        <w:rPr>
          <w:rFonts w:ascii="ITC Avant Garde" w:hAnsi="ITC Avant Garde"/>
          <w:lang w:val="es-MX"/>
        </w:rPr>
        <w:t>CC</w:t>
      </w:r>
      <w:r w:rsidRPr="007D54E4">
        <w:rPr>
          <w:rFonts w:ascii="ITC Avant Garde" w:hAnsi="ITC Avant Garde"/>
          <w:lang w:val="es-MX"/>
        </w:rPr>
        <w:t>. Chepe Campuzano y Sánchez Dávila) señala</w:t>
      </w:r>
      <w:r w:rsidRPr="009C0D93">
        <w:rPr>
          <w:rFonts w:ascii="ITC Avant Garde" w:hAnsi="ITC Avant Garde"/>
          <w:lang w:val="es-MX"/>
        </w:rPr>
        <w:t>n</w:t>
      </w:r>
      <w:r w:rsidRPr="007D54E4">
        <w:rPr>
          <w:rFonts w:ascii="ITC Avant Garde" w:hAnsi="ITC Avant Garde"/>
          <w:lang w:val="es-MX"/>
        </w:rPr>
        <w:t xml:space="preserve"> que se deben considerar una “holgura económica” para tener en cuenta aquellos elementos que no se hayan considerado o situaciones de improviso.</w:t>
      </w:r>
    </w:p>
    <w:p w14:paraId="61BD672E" w14:textId="06708AB1" w:rsidR="00A379AA" w:rsidRPr="007D54E4" w:rsidRDefault="00A379AA" w:rsidP="00A379AA">
      <w:pPr>
        <w:rPr>
          <w:rFonts w:ascii="ITC Avant Garde" w:hAnsi="ITC Avant Garde"/>
          <w:lang w:val="es-MX"/>
        </w:rPr>
      </w:pPr>
      <w:r w:rsidRPr="007D54E4">
        <w:rPr>
          <w:rFonts w:ascii="ITC Avant Garde" w:hAnsi="ITC Avant Garde"/>
          <w:lang w:val="es-MX"/>
        </w:rPr>
        <w:t>Por su parte, otro de los participantes (</w:t>
      </w:r>
      <w:r w:rsidR="00382B28">
        <w:rPr>
          <w:rFonts w:ascii="ITC Avant Garde" w:hAnsi="ITC Avant Garde"/>
          <w:lang w:val="es-MX"/>
        </w:rPr>
        <w:t>C</w:t>
      </w:r>
      <w:r w:rsidRPr="007D54E4">
        <w:rPr>
          <w:rFonts w:ascii="ITC Avant Garde" w:hAnsi="ITC Avant Garde"/>
          <w:lang w:val="es-MX"/>
        </w:rPr>
        <w:t>. Perea Gómez) sugiere configuraciones alternativas de red, incluyendo topologías de estrella o duplexación</w:t>
      </w:r>
      <w:r w:rsidRPr="009C0D93">
        <w:footnoteReference w:id="10"/>
      </w:r>
      <w:r w:rsidRPr="007D54E4">
        <w:rPr>
          <w:rFonts w:ascii="ITC Avant Garde" w:hAnsi="ITC Avant Garde"/>
          <w:lang w:val="es-MX"/>
        </w:rPr>
        <w:t xml:space="preserve"> física (mediante dos fibras por usuario). </w:t>
      </w:r>
    </w:p>
    <w:p w14:paraId="6CF90A06" w14:textId="26855FAD" w:rsidR="00477423" w:rsidRPr="007D54E4" w:rsidRDefault="00A379AA" w:rsidP="00A379AA">
      <w:pPr>
        <w:rPr>
          <w:rFonts w:ascii="ITC Avant Garde" w:hAnsi="ITC Avant Garde"/>
          <w:lang w:val="es-ES_tradnl"/>
        </w:rPr>
      </w:pPr>
      <w:r w:rsidRPr="007D54E4">
        <w:rPr>
          <w:rFonts w:ascii="ITC Avant Garde" w:hAnsi="ITC Avant Garde"/>
          <w:lang w:val="es-MX"/>
        </w:rPr>
        <w:lastRenderedPageBreak/>
        <w:t>Finalmente, otro participante (</w:t>
      </w:r>
      <w:r w:rsidR="00382B28">
        <w:rPr>
          <w:rFonts w:ascii="ITC Avant Garde" w:hAnsi="ITC Avant Garde"/>
          <w:lang w:val="es-MX"/>
        </w:rPr>
        <w:t>C</w:t>
      </w:r>
      <w:r w:rsidRPr="007D54E4">
        <w:rPr>
          <w:rFonts w:ascii="ITC Avant Garde" w:hAnsi="ITC Avant Garde"/>
          <w:lang w:val="es-MX"/>
        </w:rPr>
        <w:t>. Hernández Beltrán) ha aportado comentarios con respecto a la calidad del servicio proporcionado.</w:t>
      </w:r>
    </w:p>
    <w:p w14:paraId="29026684" w14:textId="6B072B7F" w:rsidR="00477423" w:rsidRPr="007D54E4" w:rsidRDefault="00477423" w:rsidP="00477423">
      <w:pPr>
        <w:pStyle w:val="Ttulo3"/>
        <w:numPr>
          <w:ilvl w:val="0"/>
          <w:numId w:val="0"/>
        </w:numPr>
        <w:rPr>
          <w:rFonts w:ascii="ITC Avant Garde" w:hAnsi="ITC Avant Garde"/>
          <w:b w:val="0"/>
          <w:i/>
          <w:u w:val="single"/>
          <w:lang w:val="es-ES_tradnl"/>
        </w:rPr>
      </w:pPr>
      <w:r w:rsidRPr="007D54E4">
        <w:rPr>
          <w:rFonts w:ascii="ITC Avant Garde" w:hAnsi="ITC Avant Garde"/>
          <w:b w:val="0"/>
          <w:i/>
          <w:u w:val="single"/>
          <w:lang w:val="es-ES_tradnl"/>
        </w:rPr>
        <w:t>Respuesta del Instituto</w:t>
      </w:r>
    </w:p>
    <w:p w14:paraId="3B46766D" w14:textId="4AF07428" w:rsidR="00A379AA" w:rsidRPr="007D54E4" w:rsidRDefault="00A379AA" w:rsidP="00A379AA">
      <w:pPr>
        <w:rPr>
          <w:rFonts w:ascii="ITC Avant Garde" w:hAnsi="ITC Avant Garde"/>
          <w:lang w:val="es-MX"/>
        </w:rPr>
      </w:pPr>
      <w:r w:rsidRPr="007D54E4">
        <w:rPr>
          <w:rFonts w:ascii="ITC Avant Garde" w:hAnsi="ITC Avant Garde"/>
          <w:lang w:val="es-MX"/>
        </w:rPr>
        <w:t xml:space="preserve">El Instituto señala que, considerando las opiniones y comentarios vertidos en la presente consulta pública, así como </w:t>
      </w:r>
      <w:r w:rsidR="0024495D" w:rsidRPr="007D54E4">
        <w:rPr>
          <w:rFonts w:ascii="ITC Avant Garde" w:hAnsi="ITC Avant Garde"/>
          <w:lang w:val="es-MX"/>
        </w:rPr>
        <w:t xml:space="preserve">derivado </w:t>
      </w:r>
      <w:r w:rsidRPr="007D54E4">
        <w:rPr>
          <w:rFonts w:ascii="ITC Avant Garde" w:hAnsi="ITC Avant Garde"/>
          <w:lang w:val="es-MX"/>
        </w:rPr>
        <w:t xml:space="preserve">del análisis de información proporcionada por el AEP, la versión final del modelo </w:t>
      </w:r>
      <w:r w:rsidR="0024495D" w:rsidRPr="007D54E4">
        <w:rPr>
          <w:rFonts w:ascii="ITC Avant Garde" w:hAnsi="ITC Avant Garde"/>
          <w:lang w:val="es-MX"/>
        </w:rPr>
        <w:t xml:space="preserve">considera </w:t>
      </w:r>
      <w:r w:rsidRPr="007D54E4">
        <w:rPr>
          <w:rFonts w:ascii="ITC Avant Garde" w:hAnsi="ITC Avant Garde"/>
          <w:lang w:val="es-MX"/>
        </w:rPr>
        <w:t xml:space="preserve">los ajustes necesarios a los servicios modelados conforme a la especificación y alcance que </w:t>
      </w:r>
      <w:r w:rsidR="0024495D" w:rsidRPr="007D54E4">
        <w:rPr>
          <w:rFonts w:ascii="ITC Avant Garde" w:hAnsi="ITC Avant Garde"/>
          <w:lang w:val="es-MX"/>
        </w:rPr>
        <w:t>de</w:t>
      </w:r>
      <w:r w:rsidRPr="007D54E4">
        <w:rPr>
          <w:rFonts w:ascii="ITC Avant Garde" w:hAnsi="ITC Avant Garde"/>
          <w:lang w:val="es-MX"/>
        </w:rPr>
        <w:t xml:space="preserve"> la oferta de referencia correspondiente</w:t>
      </w:r>
      <w:r w:rsidR="0024495D" w:rsidRPr="007D54E4">
        <w:rPr>
          <w:rFonts w:ascii="ITC Avant Garde" w:hAnsi="ITC Avant Garde"/>
          <w:lang w:val="es-MX"/>
        </w:rPr>
        <w:t xml:space="preserve"> aprobada por el Instituto</w:t>
      </w:r>
      <w:r w:rsidRPr="007D54E4">
        <w:rPr>
          <w:rFonts w:ascii="ITC Avant Garde" w:hAnsi="ITC Avant Garde"/>
          <w:lang w:val="es-MX"/>
        </w:rPr>
        <w:t xml:space="preserve">, </w:t>
      </w:r>
      <w:r w:rsidR="0024495D" w:rsidRPr="007D54E4">
        <w:rPr>
          <w:rFonts w:ascii="ITC Avant Garde" w:hAnsi="ITC Avant Garde"/>
          <w:lang w:val="es-MX"/>
        </w:rPr>
        <w:t xml:space="preserve">así como </w:t>
      </w:r>
      <w:r w:rsidRPr="007D54E4">
        <w:rPr>
          <w:rFonts w:ascii="ITC Avant Garde" w:hAnsi="ITC Avant Garde"/>
          <w:lang w:val="es-MX"/>
        </w:rPr>
        <w:t xml:space="preserve">a partir de lo establecido en las Medidas de Desagregación. En este sentido, los elementos de infraestructura incluidos y las especificaciones a los que se </w:t>
      </w:r>
      <w:r w:rsidR="0024495D" w:rsidRPr="007D54E4">
        <w:rPr>
          <w:rFonts w:ascii="ITC Avant Garde" w:hAnsi="ITC Avant Garde"/>
          <w:lang w:val="es-MX"/>
        </w:rPr>
        <w:t>sujetan</w:t>
      </w:r>
      <w:r w:rsidRPr="007D54E4">
        <w:rPr>
          <w:rFonts w:ascii="ITC Avant Garde" w:hAnsi="ITC Avant Garde"/>
          <w:lang w:val="es-MX"/>
        </w:rPr>
        <w:t xml:space="preserve"> los servicios</w:t>
      </w:r>
      <w:r w:rsidR="0024495D" w:rsidRPr="007D54E4">
        <w:rPr>
          <w:rFonts w:ascii="ITC Avant Garde" w:hAnsi="ITC Avant Garde"/>
          <w:lang w:val="es-MX"/>
        </w:rPr>
        <w:t>,</w:t>
      </w:r>
      <w:r w:rsidRPr="007D54E4">
        <w:rPr>
          <w:rFonts w:ascii="ITC Avant Garde" w:hAnsi="ITC Avant Garde"/>
          <w:lang w:val="es-MX"/>
        </w:rPr>
        <w:t xml:space="preserve"> considerados</w:t>
      </w:r>
      <w:r w:rsidR="0024495D" w:rsidRPr="007D54E4">
        <w:rPr>
          <w:rFonts w:ascii="ITC Avant Garde" w:hAnsi="ITC Avant Garde"/>
          <w:lang w:val="es-MX"/>
        </w:rPr>
        <w:t xml:space="preserve"> en la versión final de dicha herramienta, se alinean con</w:t>
      </w:r>
      <w:r w:rsidRPr="007D54E4">
        <w:rPr>
          <w:rFonts w:ascii="ITC Avant Garde" w:hAnsi="ITC Avant Garde"/>
          <w:lang w:val="es-MX"/>
        </w:rPr>
        <w:t xml:space="preserve"> la oferta de referencia </w:t>
      </w:r>
      <w:r w:rsidR="0024495D" w:rsidRPr="007D54E4">
        <w:rPr>
          <w:rFonts w:ascii="ITC Avant Garde" w:hAnsi="ITC Avant Garde"/>
          <w:lang w:val="es-MX"/>
        </w:rPr>
        <w:t>aplicable al periodo en cuestión</w:t>
      </w:r>
      <w:r w:rsidRPr="007D54E4">
        <w:rPr>
          <w:rFonts w:ascii="ITC Avant Garde" w:hAnsi="ITC Avant Garde"/>
          <w:lang w:val="es-MX"/>
        </w:rPr>
        <w:t>.</w:t>
      </w:r>
    </w:p>
    <w:p w14:paraId="1939F95C" w14:textId="77777777" w:rsidR="00A379AA" w:rsidRPr="007D54E4" w:rsidRDefault="00A379AA" w:rsidP="00A379AA">
      <w:pPr>
        <w:rPr>
          <w:rFonts w:ascii="ITC Avant Garde" w:hAnsi="ITC Avant Garde"/>
          <w:lang w:val="es-MX"/>
        </w:rPr>
      </w:pPr>
      <w:r w:rsidRPr="007D54E4">
        <w:rPr>
          <w:rFonts w:ascii="ITC Avant Garde" w:hAnsi="ITC Avant Garde"/>
          <w:lang w:val="es-MX"/>
        </w:rPr>
        <w:t>En complemento, el Instituto destaca que los costos unitarios incluidos en el modelo toman en consideración los datos provistos por el AEP, así como fuentes públicas y referencias internacionales a manera de consolidar una referencia objetiva y en términos de la mejor información disponible.</w:t>
      </w:r>
    </w:p>
    <w:p w14:paraId="601FF604" w14:textId="77777777" w:rsidR="00A379AA" w:rsidRPr="007D54E4" w:rsidRDefault="00A379AA" w:rsidP="00A379AA">
      <w:pPr>
        <w:rPr>
          <w:rFonts w:ascii="ITC Avant Garde" w:hAnsi="ITC Avant Garde"/>
          <w:lang w:val="es-MX"/>
        </w:rPr>
      </w:pPr>
      <w:r w:rsidRPr="007D54E4">
        <w:rPr>
          <w:rFonts w:ascii="ITC Avant Garde" w:hAnsi="ITC Avant Garde"/>
          <w:lang w:val="es-MX"/>
        </w:rPr>
        <w:t xml:space="preserve">Asimismo, el Instituto señala respecto </w:t>
      </w:r>
      <w:r w:rsidRPr="007D54E4">
        <w:rPr>
          <w:rFonts w:ascii="ITC Avant Garde" w:hAnsi="ITC Avant Garde"/>
          <w:lang w:val="es-419"/>
        </w:rPr>
        <w:t>al</w:t>
      </w:r>
      <w:r w:rsidRPr="007D54E4">
        <w:rPr>
          <w:rFonts w:ascii="ITC Avant Garde" w:hAnsi="ITC Avant Garde"/>
          <w:lang w:val="es-MX"/>
        </w:rPr>
        <w:t xml:space="preserve"> número de fusiones incluidas, que este es procedente al derivar de un algoritmo de dimensionamiento eficiente, que emplea la información proporcionada por el AEP al respecto de las características de su red. En este sentido, el Instituto también hace notar que al final del cable “más lejano de la central”, es necesario fusionar la roseta óptica dado que en este punto se ubican los domicilios de los clientes.</w:t>
      </w:r>
    </w:p>
    <w:p w14:paraId="452DEF1D" w14:textId="4458862B" w:rsidR="00A379AA" w:rsidRPr="007D54E4" w:rsidRDefault="00A379AA" w:rsidP="00A379AA">
      <w:pPr>
        <w:rPr>
          <w:rFonts w:ascii="ITC Avant Garde" w:hAnsi="ITC Avant Garde"/>
          <w:lang w:val="es-MX"/>
        </w:rPr>
      </w:pPr>
      <w:r w:rsidRPr="007D54E4">
        <w:rPr>
          <w:rFonts w:ascii="ITC Avant Garde" w:hAnsi="ITC Avant Garde"/>
          <w:lang w:val="es-MX"/>
        </w:rPr>
        <w:t xml:space="preserve">Por otra parte, en torno a considerar una “holgura económica” para tener en cuenta aquellos elementos que no se hayan considerado o situaciones de improviso, en Instituto señala que la versión final del modelo considera todos los elementos necesarios para la prestación de los servicios, asegurando la recuperación de los costos involucrados en estos, </w:t>
      </w:r>
      <w:r w:rsidR="00524ABF" w:rsidRPr="007D54E4">
        <w:rPr>
          <w:rFonts w:ascii="ITC Avant Garde" w:hAnsi="ITC Avant Garde"/>
          <w:lang w:val="es-MX"/>
        </w:rPr>
        <w:t xml:space="preserve">tomando en cuenta particularmente </w:t>
      </w:r>
      <w:r w:rsidRPr="007D54E4">
        <w:rPr>
          <w:rFonts w:ascii="ITC Avant Garde" w:hAnsi="ITC Avant Garde"/>
          <w:lang w:val="es-MX"/>
        </w:rPr>
        <w:t>las diferentes casuísticas que pudieran surgir en la instalación y operación de la red del operador modelado.</w:t>
      </w:r>
    </w:p>
    <w:p w14:paraId="0E3B0873" w14:textId="300BA0C5" w:rsidR="00A379AA" w:rsidRPr="007D54E4" w:rsidRDefault="00A379AA" w:rsidP="00A379AA">
      <w:pPr>
        <w:rPr>
          <w:rFonts w:ascii="ITC Avant Garde" w:hAnsi="ITC Avant Garde"/>
          <w:lang w:val="es-MX"/>
        </w:rPr>
      </w:pPr>
      <w:r w:rsidRPr="007D54E4">
        <w:rPr>
          <w:rFonts w:ascii="ITC Avant Garde" w:hAnsi="ITC Avant Garde"/>
          <w:lang w:val="es-MX"/>
        </w:rPr>
        <w:t xml:space="preserve">En torno a las configuraciones de la red que se </w:t>
      </w:r>
      <w:r w:rsidR="007B56A9" w:rsidRPr="007D54E4">
        <w:rPr>
          <w:rFonts w:ascii="ITC Avant Garde" w:hAnsi="ITC Avant Garde"/>
          <w:lang w:val="es-MX"/>
        </w:rPr>
        <w:t>consideran</w:t>
      </w:r>
      <w:r w:rsidRPr="007D54E4">
        <w:rPr>
          <w:rFonts w:ascii="ITC Avant Garde" w:hAnsi="ITC Avant Garde"/>
          <w:lang w:val="es-MX"/>
        </w:rPr>
        <w:t xml:space="preserve"> en la versión final del modelo, el Instituto señala que tales se basan en las características propias de una red GPON, considerando aquella que corresponden a la perteneciente al AEP y con base en la cual se proveen los servicios materia de la oferta de referencia correspondiente, por lo que no es procedente considerar configuraciones alternativas.</w:t>
      </w:r>
    </w:p>
    <w:p w14:paraId="0D1CA7B8" w14:textId="3376D25F" w:rsidR="00A379AA" w:rsidRPr="007D54E4" w:rsidRDefault="00A379AA" w:rsidP="00A379AA">
      <w:pPr>
        <w:rPr>
          <w:rFonts w:ascii="ITC Avant Garde" w:hAnsi="ITC Avant Garde"/>
          <w:lang w:val="es-ES_tradnl"/>
        </w:rPr>
      </w:pPr>
      <w:r w:rsidRPr="007D54E4">
        <w:rPr>
          <w:rFonts w:ascii="ITC Avant Garde" w:hAnsi="ITC Avant Garde"/>
          <w:lang w:val="es-MX"/>
        </w:rPr>
        <w:t xml:space="preserve">Finalmente, en torno a los comentarios de </w:t>
      </w:r>
      <w:r w:rsidR="00524ABF" w:rsidRPr="007D54E4">
        <w:rPr>
          <w:rFonts w:ascii="ITC Avant Garde" w:hAnsi="ITC Avant Garde"/>
          <w:lang w:val="es-MX"/>
        </w:rPr>
        <w:t xml:space="preserve">la calidad de </w:t>
      </w:r>
      <w:r w:rsidRPr="007D54E4">
        <w:rPr>
          <w:rFonts w:ascii="ITC Avant Garde" w:hAnsi="ITC Avant Garde"/>
          <w:lang w:val="es-MX"/>
        </w:rPr>
        <w:t>los servicios, el Instituto considera que dicho concepto no está relacionado con el ejercicio de modelado.</w:t>
      </w:r>
    </w:p>
    <w:p w14:paraId="0793AFDB" w14:textId="3C99C4E4" w:rsidR="00477423" w:rsidRPr="007D54E4" w:rsidRDefault="00477423" w:rsidP="00000D47">
      <w:pPr>
        <w:pStyle w:val="Ttulo3"/>
        <w:rPr>
          <w:rFonts w:ascii="ITC Avant Garde" w:hAnsi="ITC Avant Garde"/>
          <w:lang w:val="es-ES_tradnl"/>
        </w:rPr>
      </w:pPr>
      <w:bookmarkStart w:id="3" w:name="_Ref529366396"/>
      <w:r w:rsidRPr="007D54E4">
        <w:rPr>
          <w:rFonts w:ascii="ITC Avant Garde" w:hAnsi="ITC Avant Garde"/>
          <w:lang w:val="es-ES_tradnl"/>
        </w:rPr>
        <w:lastRenderedPageBreak/>
        <w:t>¿</w:t>
      </w:r>
      <w:r w:rsidR="00000D47" w:rsidRPr="007D54E4">
        <w:rPr>
          <w:rFonts w:ascii="ITC Avant Garde" w:hAnsi="ITC Avant Garde"/>
          <w:lang w:val="es-ES_tradnl"/>
        </w:rPr>
        <w:t>Considera que el dimensionamiento geográfico contempla la realidad de la red de Acceso de Fibra Óptica del AEP</w:t>
      </w:r>
      <w:r w:rsidRPr="007D54E4">
        <w:rPr>
          <w:rFonts w:ascii="ITC Avant Garde" w:hAnsi="ITC Avant Garde"/>
          <w:lang w:val="es-ES_tradnl"/>
        </w:rPr>
        <w:t>?</w:t>
      </w:r>
      <w:bookmarkEnd w:id="3"/>
    </w:p>
    <w:p w14:paraId="47CE2333" w14:textId="77777777" w:rsidR="00477423" w:rsidRPr="007D54E4" w:rsidRDefault="00477423" w:rsidP="00477423">
      <w:pPr>
        <w:pStyle w:val="Ttulo3"/>
        <w:numPr>
          <w:ilvl w:val="0"/>
          <w:numId w:val="0"/>
        </w:numPr>
        <w:rPr>
          <w:rFonts w:ascii="ITC Avant Garde" w:hAnsi="ITC Avant Garde"/>
          <w:b w:val="0"/>
          <w:i/>
          <w:u w:val="single"/>
          <w:lang w:val="es-ES_tradnl"/>
        </w:rPr>
      </w:pPr>
      <w:r w:rsidRPr="007D54E4">
        <w:rPr>
          <w:rFonts w:ascii="ITC Avant Garde" w:hAnsi="ITC Avant Garde"/>
          <w:b w:val="0"/>
          <w:i/>
          <w:u w:val="single"/>
          <w:lang w:val="es-ES_tradnl"/>
        </w:rPr>
        <w:t>Resumen de comentarios de la Consulta Pública</w:t>
      </w:r>
    </w:p>
    <w:p w14:paraId="729E9C54" w14:textId="04C3AD6B" w:rsidR="00A379AA" w:rsidRPr="007D54E4" w:rsidRDefault="00A379AA" w:rsidP="00A379AA">
      <w:pPr>
        <w:rPr>
          <w:rFonts w:ascii="ITC Avant Garde" w:hAnsi="ITC Avant Garde"/>
          <w:highlight w:val="yellow"/>
          <w:lang w:val="es-MX"/>
        </w:rPr>
      </w:pPr>
      <w:r w:rsidRPr="007D54E4">
        <w:rPr>
          <w:rFonts w:ascii="ITC Avant Garde" w:hAnsi="ITC Avant Garde"/>
          <w:lang w:val="es-MX"/>
        </w:rPr>
        <w:t>Al respecto, diversos particip</w:t>
      </w:r>
      <w:r w:rsidR="00563BE7" w:rsidRPr="007D54E4">
        <w:rPr>
          <w:rFonts w:ascii="ITC Avant Garde" w:hAnsi="ITC Avant Garde"/>
          <w:lang w:val="es-MX"/>
        </w:rPr>
        <w:t xml:space="preserve">antes </w:t>
      </w:r>
      <w:r w:rsidR="00524ABF" w:rsidRPr="007D54E4">
        <w:rPr>
          <w:rFonts w:ascii="ITC Avant Garde" w:hAnsi="ITC Avant Garde"/>
          <w:lang w:val="es-MX"/>
        </w:rPr>
        <w:t xml:space="preserve">(CANIETI, Mega Cable y Telefónica) señalan </w:t>
      </w:r>
      <w:r w:rsidRPr="007D54E4">
        <w:rPr>
          <w:rFonts w:ascii="ITC Avant Garde" w:hAnsi="ITC Avant Garde"/>
          <w:lang w:val="es-MX"/>
        </w:rPr>
        <w:t xml:space="preserve"> </w:t>
      </w:r>
      <w:r w:rsidR="00524ABF" w:rsidRPr="007D54E4">
        <w:rPr>
          <w:rFonts w:ascii="ITC Avant Garde" w:hAnsi="ITC Avant Garde"/>
          <w:lang w:val="es-MX"/>
        </w:rPr>
        <w:t xml:space="preserve">que </w:t>
      </w:r>
      <w:r w:rsidRPr="007D54E4">
        <w:rPr>
          <w:rFonts w:ascii="ITC Avant Garde" w:hAnsi="ITC Avant Garde"/>
          <w:lang w:val="es-MX"/>
        </w:rPr>
        <w:t xml:space="preserve">para validar la información del modelo es necesario contar con información de la red del AEP y de sus planes detallados de despliegue. En complemento, ciertos participantes (Telefónica y Televisa) solicitan </w:t>
      </w:r>
      <w:r w:rsidR="00524ABF" w:rsidRPr="007D54E4">
        <w:rPr>
          <w:rFonts w:ascii="ITC Avant Garde" w:hAnsi="ITC Avant Garde"/>
          <w:lang w:val="es-MX"/>
        </w:rPr>
        <w:t xml:space="preserve">que exista </w:t>
      </w:r>
      <w:r w:rsidRPr="007D54E4">
        <w:rPr>
          <w:rFonts w:ascii="ITC Avant Garde" w:hAnsi="ITC Avant Garde"/>
          <w:lang w:val="es-MX"/>
        </w:rPr>
        <w:t xml:space="preserve">mayor visibilidad sobre la información empleada para el análisis geográfico, destacando que la implementación del modelo es difícil de </w:t>
      </w:r>
      <w:r w:rsidR="00524ABF" w:rsidRPr="007D54E4">
        <w:rPr>
          <w:rFonts w:ascii="ITC Avant Garde" w:hAnsi="ITC Avant Garde"/>
          <w:lang w:val="es-MX"/>
        </w:rPr>
        <w:t xml:space="preserve">analizar </w:t>
      </w:r>
      <w:r w:rsidRPr="007D54E4">
        <w:rPr>
          <w:rFonts w:ascii="ITC Avant Garde" w:hAnsi="ITC Avant Garde"/>
          <w:lang w:val="es-MX"/>
        </w:rPr>
        <w:t xml:space="preserve">al emplearse datos de fuentes externas, así como datos </w:t>
      </w:r>
      <w:r w:rsidR="00524ABF" w:rsidRPr="007D54E4">
        <w:rPr>
          <w:rFonts w:ascii="ITC Avant Garde" w:hAnsi="ITC Avant Garde"/>
          <w:lang w:val="es-MX"/>
        </w:rPr>
        <w:t>que derivan</w:t>
      </w:r>
      <w:r w:rsidRPr="007D54E4">
        <w:rPr>
          <w:rFonts w:ascii="ITC Avant Garde" w:hAnsi="ITC Avant Garde"/>
          <w:lang w:val="es-MX"/>
        </w:rPr>
        <w:t xml:space="preserve"> de fórmulas y Macros de</w:t>
      </w:r>
      <w:r w:rsidR="00524ABF" w:rsidRPr="007D54E4">
        <w:rPr>
          <w:rFonts w:ascii="ITC Avant Garde" w:hAnsi="ITC Avant Garde"/>
          <w:lang w:val="es-MX"/>
        </w:rPr>
        <w:t>l programa Microsoft</w:t>
      </w:r>
      <w:r w:rsidRPr="007D54E4">
        <w:rPr>
          <w:rFonts w:ascii="ITC Avant Garde" w:hAnsi="ITC Avant Garde"/>
          <w:lang w:val="es-MX"/>
        </w:rPr>
        <w:t xml:space="preserve"> Excel.</w:t>
      </w:r>
    </w:p>
    <w:p w14:paraId="49E03DEC" w14:textId="2BFEA434" w:rsidR="00A379AA" w:rsidRPr="007D54E4" w:rsidRDefault="00A379AA" w:rsidP="00A379AA">
      <w:pPr>
        <w:rPr>
          <w:rFonts w:ascii="ITC Avant Garde" w:hAnsi="ITC Avant Garde"/>
          <w:lang w:val="es-MX"/>
        </w:rPr>
      </w:pPr>
      <w:r w:rsidRPr="007D54E4">
        <w:rPr>
          <w:rFonts w:ascii="ITC Avant Garde" w:hAnsi="ITC Avant Garde"/>
          <w:lang w:val="es-MX"/>
        </w:rPr>
        <w:t>Por otro lado, uno de los participantes (Televisa) expres</w:t>
      </w:r>
      <w:r w:rsidR="007201B7" w:rsidRPr="007D54E4">
        <w:rPr>
          <w:rFonts w:ascii="ITC Avant Garde" w:hAnsi="ITC Avant Garde"/>
          <w:lang w:val="es-MX"/>
        </w:rPr>
        <w:t>ó</w:t>
      </w:r>
      <w:r w:rsidRPr="007D54E4">
        <w:rPr>
          <w:rFonts w:ascii="ITC Avant Garde" w:hAnsi="ITC Avant Garde"/>
          <w:lang w:val="es-MX"/>
        </w:rPr>
        <w:t xml:space="preserve"> diversas cuestiones, </w:t>
      </w:r>
      <w:r w:rsidR="007201B7" w:rsidRPr="007D54E4">
        <w:rPr>
          <w:rFonts w:ascii="ITC Avant Garde" w:hAnsi="ITC Avant Garde"/>
          <w:lang w:val="es-MX"/>
        </w:rPr>
        <w:t>mismas que</w:t>
      </w:r>
      <w:r w:rsidRPr="007D54E4">
        <w:rPr>
          <w:rFonts w:ascii="ITC Avant Garde" w:hAnsi="ITC Avant Garde"/>
          <w:lang w:val="es-MX"/>
        </w:rPr>
        <w:t xml:space="preserve"> se resumen a continuación:</w:t>
      </w:r>
    </w:p>
    <w:p w14:paraId="3AB466DE" w14:textId="77777777" w:rsidR="00A379AA" w:rsidRPr="007D54E4" w:rsidRDefault="00A379AA" w:rsidP="009C0D93">
      <w:pPr>
        <w:pStyle w:val="Prrafodelista"/>
        <w:numPr>
          <w:ilvl w:val="0"/>
          <w:numId w:val="15"/>
        </w:numPr>
        <w:spacing w:before="240" w:line="336" w:lineRule="auto"/>
        <w:rPr>
          <w:rFonts w:ascii="ITC Avant Garde" w:hAnsi="ITC Avant Garde"/>
          <w:lang w:val="es-MX"/>
        </w:rPr>
      </w:pPr>
      <w:r w:rsidRPr="007D54E4">
        <w:rPr>
          <w:rFonts w:ascii="ITC Avant Garde" w:hAnsi="ITC Avant Garde"/>
          <w:b/>
          <w:lang w:val="es-MX"/>
        </w:rPr>
        <w:t>Geotipos:</w:t>
      </w:r>
      <w:r w:rsidRPr="007D54E4">
        <w:rPr>
          <w:rFonts w:ascii="ITC Avant Garde" w:hAnsi="ITC Avant Garde"/>
          <w:lang w:val="es-MX"/>
        </w:rPr>
        <w:t xml:space="preserve"> </w:t>
      </w:r>
      <w:r w:rsidRPr="00CA0B9B">
        <w:rPr>
          <w:rFonts w:ascii="ITC Avant Garde" w:eastAsiaTheme="minorHAnsi" w:hAnsi="ITC Avant Garde" w:cstheme="minorBidi"/>
          <w:lang w:val="es-MX"/>
        </w:rPr>
        <w:t>se considera que la estratificación del país por geotipos no es adecuada, y que existen diversos problemas en torno a las características del geotipo 1.</w:t>
      </w:r>
    </w:p>
    <w:p w14:paraId="35DB2E36" w14:textId="652350B6" w:rsidR="00A379AA" w:rsidRPr="007D54E4" w:rsidRDefault="00A379AA" w:rsidP="009C0D93">
      <w:pPr>
        <w:pStyle w:val="Prrafodelista"/>
        <w:numPr>
          <w:ilvl w:val="0"/>
          <w:numId w:val="15"/>
        </w:numPr>
        <w:spacing w:before="240" w:line="336" w:lineRule="auto"/>
        <w:rPr>
          <w:rFonts w:ascii="ITC Avant Garde" w:hAnsi="ITC Avant Garde"/>
          <w:lang w:val="es-MX"/>
        </w:rPr>
      </w:pPr>
      <w:r w:rsidRPr="007D54E4">
        <w:rPr>
          <w:rFonts w:ascii="ITC Avant Garde" w:hAnsi="ITC Avant Garde"/>
          <w:b/>
          <w:lang w:val="es-MX"/>
        </w:rPr>
        <w:t>Muestreo realizado para el dimensionamiento geográfico:</w:t>
      </w:r>
      <w:r w:rsidRPr="007D54E4">
        <w:rPr>
          <w:rFonts w:ascii="ITC Avant Garde" w:hAnsi="ITC Avant Garde"/>
          <w:lang w:val="es-MX"/>
        </w:rPr>
        <w:t xml:space="preserve"> indica que el muestreo refleja la importancia de la selección de los geotipos, y critica la técnica de muestreo empleada, dado que se presume que no fue aleatoria, para lo cual se pide su verificación empleando un mayor número de centrales.</w:t>
      </w:r>
    </w:p>
    <w:p w14:paraId="3488A61C" w14:textId="16DC42B1" w:rsidR="00A379AA" w:rsidRPr="007D54E4" w:rsidRDefault="00A379AA" w:rsidP="009C0D93">
      <w:pPr>
        <w:pStyle w:val="Prrafodelista"/>
        <w:numPr>
          <w:ilvl w:val="0"/>
          <w:numId w:val="15"/>
        </w:numPr>
        <w:spacing w:before="240" w:line="336" w:lineRule="auto"/>
        <w:rPr>
          <w:rFonts w:ascii="ITC Avant Garde" w:hAnsi="ITC Avant Garde"/>
          <w:i/>
          <w:lang w:val="es-MX"/>
        </w:rPr>
      </w:pPr>
      <w:r w:rsidRPr="007D54E4">
        <w:rPr>
          <w:rFonts w:ascii="ITC Avant Garde" w:hAnsi="ITC Avant Garde"/>
          <w:b/>
          <w:lang w:val="es-MX"/>
        </w:rPr>
        <w:t>Ubicación de los edificios:</w:t>
      </w:r>
      <w:r w:rsidRPr="007D54E4">
        <w:rPr>
          <w:rFonts w:ascii="ITC Avant Garde" w:hAnsi="ITC Avant Garde"/>
          <w:i/>
          <w:lang w:val="es-MX"/>
        </w:rPr>
        <w:t xml:space="preserve"> </w:t>
      </w:r>
      <w:r w:rsidRPr="007D54E4">
        <w:rPr>
          <w:rFonts w:ascii="ITC Avant Garde" w:hAnsi="ITC Avant Garde"/>
          <w:lang w:val="es-MX"/>
        </w:rPr>
        <w:t>se indica que la selección de edificios realizada para el análisis geográfico del modelo podría conducir a errores derivados de elecciones de edificios potenciales para ser conectados con fibra</w:t>
      </w:r>
      <w:r w:rsidR="007201B7" w:rsidRPr="007D54E4">
        <w:rPr>
          <w:rFonts w:ascii="ITC Avant Garde" w:hAnsi="ITC Avant Garde"/>
          <w:lang w:val="es-MX"/>
        </w:rPr>
        <w:t>, los cuales considera que han sido</w:t>
      </w:r>
      <w:r w:rsidRPr="007D54E4">
        <w:rPr>
          <w:rFonts w:ascii="ITC Avant Garde" w:hAnsi="ITC Avant Garde"/>
          <w:lang w:val="es-MX"/>
        </w:rPr>
        <w:t xml:space="preserve"> incorrectas.</w:t>
      </w:r>
      <w:r w:rsidRPr="007D54E4">
        <w:rPr>
          <w:rFonts w:ascii="ITC Avant Garde" w:hAnsi="ITC Avant Garde"/>
          <w:i/>
          <w:lang w:val="es-MX"/>
        </w:rPr>
        <w:t xml:space="preserve"> </w:t>
      </w:r>
    </w:p>
    <w:p w14:paraId="79594780" w14:textId="231570DD" w:rsidR="00A379AA" w:rsidRPr="007D54E4" w:rsidRDefault="00A379AA" w:rsidP="009C0D93">
      <w:pPr>
        <w:pStyle w:val="Prrafodelista"/>
        <w:numPr>
          <w:ilvl w:val="0"/>
          <w:numId w:val="15"/>
        </w:numPr>
        <w:spacing w:before="240" w:line="336" w:lineRule="auto"/>
        <w:rPr>
          <w:rFonts w:ascii="ITC Avant Garde" w:hAnsi="ITC Avant Garde"/>
          <w:i/>
          <w:lang w:val="es-MX"/>
        </w:rPr>
      </w:pPr>
      <w:r w:rsidRPr="007D54E4">
        <w:rPr>
          <w:rFonts w:ascii="ITC Avant Garde" w:hAnsi="ITC Avant Garde"/>
          <w:b/>
          <w:lang w:val="es-MX"/>
        </w:rPr>
        <w:t>Área de cobertura:</w:t>
      </w:r>
      <w:r w:rsidR="007B56A9" w:rsidRPr="007D54E4">
        <w:rPr>
          <w:rFonts w:ascii="ITC Avant Garde" w:hAnsi="ITC Avant Garde"/>
          <w:lang w:val="es-MX"/>
        </w:rPr>
        <w:t xml:space="preserve"> </w:t>
      </w:r>
      <w:r w:rsidRPr="007D54E4">
        <w:rPr>
          <w:rFonts w:ascii="ITC Avant Garde" w:hAnsi="ITC Avant Garde"/>
          <w:lang w:val="es-MX"/>
        </w:rPr>
        <w:t xml:space="preserve">sugiere que no es razonable realizar un análisis geográfico para 100% de las viviendas, e indica que el análisis geográfico debe rehacerse para considerar información sobre las áreas cubiertas por las centrales de fibra del AEP </w:t>
      </w:r>
      <w:r w:rsidR="003E16DA" w:rsidRPr="007D54E4">
        <w:rPr>
          <w:rFonts w:ascii="ITC Avant Garde" w:hAnsi="ITC Avant Garde"/>
          <w:lang w:val="es-MX"/>
        </w:rPr>
        <w:t xml:space="preserve">a efecto de </w:t>
      </w:r>
      <w:r w:rsidRPr="007D54E4">
        <w:rPr>
          <w:rFonts w:ascii="ITC Avant Garde" w:hAnsi="ITC Avant Garde"/>
          <w:lang w:val="es-MX"/>
        </w:rPr>
        <w:t xml:space="preserve">reflejar </w:t>
      </w:r>
      <w:r w:rsidR="003E16DA" w:rsidRPr="007D54E4">
        <w:rPr>
          <w:rFonts w:ascii="ITC Avant Garde" w:hAnsi="ITC Avant Garde"/>
          <w:lang w:val="es-MX"/>
        </w:rPr>
        <w:t xml:space="preserve">en mejor medida </w:t>
      </w:r>
      <w:r w:rsidRPr="007D54E4">
        <w:rPr>
          <w:rFonts w:ascii="ITC Avant Garde" w:hAnsi="ITC Avant Garde"/>
          <w:lang w:val="es-MX"/>
        </w:rPr>
        <w:t>su despliegue</w:t>
      </w:r>
      <w:r w:rsidR="003E16DA" w:rsidRPr="007D54E4">
        <w:rPr>
          <w:rFonts w:ascii="ITC Avant Garde" w:hAnsi="ITC Avant Garde"/>
          <w:lang w:val="es-MX"/>
        </w:rPr>
        <w:t>, dentro</w:t>
      </w:r>
      <w:r w:rsidRPr="007D54E4">
        <w:rPr>
          <w:rFonts w:ascii="ITC Avant Garde" w:hAnsi="ITC Avant Garde"/>
          <w:lang w:val="es-MX"/>
        </w:rPr>
        <w:t xml:space="preserve"> </w:t>
      </w:r>
      <w:r w:rsidR="003E16DA" w:rsidRPr="007D54E4">
        <w:rPr>
          <w:rFonts w:ascii="ITC Avant Garde" w:hAnsi="ITC Avant Garde"/>
          <w:lang w:val="es-MX"/>
        </w:rPr>
        <w:t>d</w:t>
      </w:r>
      <w:r w:rsidRPr="007D54E4">
        <w:rPr>
          <w:rFonts w:ascii="ITC Avant Garde" w:hAnsi="ITC Avant Garde"/>
          <w:lang w:val="es-MX"/>
        </w:rPr>
        <w:t xml:space="preserve">el periodo tiempo del modelo. Lo anterior, </w:t>
      </w:r>
      <w:r w:rsidR="003E16DA" w:rsidRPr="007D54E4">
        <w:rPr>
          <w:rFonts w:ascii="ITC Avant Garde" w:hAnsi="ITC Avant Garde"/>
          <w:lang w:val="es-MX"/>
        </w:rPr>
        <w:t>señala</w:t>
      </w:r>
      <w:r w:rsidRPr="007D54E4">
        <w:rPr>
          <w:rFonts w:ascii="ITC Avant Garde" w:hAnsi="ITC Avant Garde"/>
          <w:lang w:val="es-MX"/>
        </w:rPr>
        <w:t xml:space="preserve">, </w:t>
      </w:r>
      <w:r w:rsidR="002F36EE" w:rsidRPr="007D54E4">
        <w:rPr>
          <w:rFonts w:ascii="ITC Avant Garde" w:hAnsi="ITC Avant Garde"/>
          <w:lang w:val="es-MX"/>
        </w:rPr>
        <w:t xml:space="preserve">redundará </w:t>
      </w:r>
      <w:r w:rsidRPr="007D54E4">
        <w:rPr>
          <w:rFonts w:ascii="ITC Avant Garde" w:hAnsi="ITC Avant Garde"/>
          <w:lang w:val="es-MX"/>
        </w:rPr>
        <w:t xml:space="preserve">en que </w:t>
      </w:r>
      <w:r w:rsidR="003E16DA" w:rsidRPr="007D54E4">
        <w:rPr>
          <w:rFonts w:ascii="ITC Avant Garde" w:hAnsi="ITC Avant Garde"/>
          <w:lang w:val="es-MX"/>
        </w:rPr>
        <w:t xml:space="preserve">menores </w:t>
      </w:r>
      <w:r w:rsidRPr="007D54E4">
        <w:rPr>
          <w:rFonts w:ascii="ITC Avant Garde" w:hAnsi="ITC Avant Garde"/>
          <w:lang w:val="es-MX"/>
        </w:rPr>
        <w:t xml:space="preserve">longitudes de </w:t>
      </w:r>
      <w:r w:rsidR="003E16DA" w:rsidRPr="007D54E4">
        <w:rPr>
          <w:rFonts w:ascii="ITC Avant Garde" w:hAnsi="ITC Avant Garde"/>
          <w:lang w:val="es-MX"/>
        </w:rPr>
        <w:t xml:space="preserve">la </w:t>
      </w:r>
      <w:r w:rsidRPr="007D54E4">
        <w:rPr>
          <w:rFonts w:ascii="ITC Avant Garde" w:hAnsi="ITC Avant Garde"/>
          <w:lang w:val="es-MX"/>
        </w:rPr>
        <w:t xml:space="preserve">fibra </w:t>
      </w:r>
      <w:r w:rsidR="003E16DA" w:rsidRPr="007D54E4">
        <w:rPr>
          <w:rFonts w:ascii="ITC Avant Garde" w:hAnsi="ITC Avant Garde"/>
          <w:lang w:val="es-MX"/>
        </w:rPr>
        <w:t xml:space="preserve">en </w:t>
      </w:r>
      <w:r w:rsidRPr="007D54E4">
        <w:rPr>
          <w:rFonts w:ascii="ITC Avant Garde" w:hAnsi="ITC Avant Garde"/>
          <w:lang w:val="es-MX"/>
        </w:rPr>
        <w:t xml:space="preserve">la red de acceso </w:t>
      </w:r>
      <w:r w:rsidR="003E16DA" w:rsidRPr="007D54E4">
        <w:rPr>
          <w:rFonts w:ascii="ITC Avant Garde" w:hAnsi="ITC Avant Garde"/>
          <w:lang w:val="es-MX"/>
        </w:rPr>
        <w:t>a las que se estiman actualmente</w:t>
      </w:r>
      <w:r w:rsidRPr="007D54E4">
        <w:rPr>
          <w:rFonts w:ascii="ITC Avant Garde" w:hAnsi="ITC Avant Garde"/>
          <w:lang w:val="es-MX"/>
        </w:rPr>
        <w:t>.</w:t>
      </w:r>
    </w:p>
    <w:p w14:paraId="7118F6B4" w14:textId="08978A15" w:rsidR="00A379AA" w:rsidRPr="007D54E4" w:rsidRDefault="00A379AA" w:rsidP="009C0D93">
      <w:pPr>
        <w:pStyle w:val="Prrafodelista"/>
        <w:numPr>
          <w:ilvl w:val="0"/>
          <w:numId w:val="15"/>
        </w:numPr>
        <w:spacing w:before="240" w:line="336" w:lineRule="auto"/>
        <w:rPr>
          <w:rFonts w:ascii="ITC Avant Garde" w:hAnsi="ITC Avant Garde"/>
          <w:i/>
          <w:lang w:val="es-MX"/>
        </w:rPr>
      </w:pPr>
      <w:r w:rsidRPr="007D54E4">
        <w:rPr>
          <w:rFonts w:ascii="ITC Avant Garde" w:hAnsi="ITC Avant Garde"/>
          <w:b/>
          <w:lang w:val="es-MX"/>
        </w:rPr>
        <w:t>Selección de nodos:</w:t>
      </w:r>
      <w:r w:rsidRPr="007D54E4">
        <w:rPr>
          <w:rFonts w:ascii="ITC Avant Garde" w:hAnsi="ITC Avant Garde"/>
          <w:i/>
          <w:lang w:val="es-MX"/>
        </w:rPr>
        <w:t xml:space="preserve"> </w:t>
      </w:r>
      <w:r w:rsidRPr="007D54E4">
        <w:rPr>
          <w:rFonts w:ascii="ITC Avant Garde" w:hAnsi="ITC Avant Garde"/>
          <w:lang w:val="es-MX"/>
        </w:rPr>
        <w:t>expresa que el alcance de fibra empleado (10 km) es demasiado “agresivo”</w:t>
      </w:r>
      <w:r w:rsidR="003E16DA" w:rsidRPr="007D54E4">
        <w:rPr>
          <w:rFonts w:ascii="ITC Avant Garde" w:hAnsi="ITC Avant Garde"/>
          <w:lang w:val="es-MX"/>
        </w:rPr>
        <w:t>, pues considera</w:t>
      </w:r>
      <w:r w:rsidRPr="007D54E4">
        <w:rPr>
          <w:rFonts w:ascii="ITC Avant Garde" w:hAnsi="ITC Avant Garde"/>
          <w:lang w:val="es-MX"/>
        </w:rPr>
        <w:t xml:space="preserve"> que la longitud promedio de las rutas desplegadas por el AEP deben ser menores, y que</w:t>
      </w:r>
      <w:r w:rsidR="003E16DA" w:rsidRPr="007D54E4">
        <w:rPr>
          <w:rFonts w:ascii="ITC Avant Garde" w:hAnsi="ITC Avant Garde"/>
          <w:lang w:val="es-MX"/>
        </w:rPr>
        <w:t>,</w:t>
      </w:r>
      <w:r w:rsidRPr="007D54E4">
        <w:rPr>
          <w:rFonts w:ascii="ITC Avant Garde" w:hAnsi="ITC Avant Garde"/>
          <w:lang w:val="es-MX"/>
        </w:rPr>
        <w:t xml:space="preserve"> por ende</w:t>
      </w:r>
      <w:r w:rsidR="003E16DA" w:rsidRPr="007D54E4">
        <w:rPr>
          <w:rFonts w:ascii="ITC Avant Garde" w:hAnsi="ITC Avant Garde"/>
          <w:lang w:val="es-MX"/>
        </w:rPr>
        <w:t>,</w:t>
      </w:r>
      <w:r w:rsidRPr="007D54E4">
        <w:rPr>
          <w:rFonts w:ascii="ITC Avant Garde" w:hAnsi="ITC Avant Garde"/>
          <w:lang w:val="es-MX"/>
        </w:rPr>
        <w:t xml:space="preserve"> se </w:t>
      </w:r>
      <w:r w:rsidRPr="007D54E4">
        <w:rPr>
          <w:rFonts w:ascii="ITC Avant Garde" w:hAnsi="ITC Avant Garde"/>
          <w:lang w:val="es-MX"/>
        </w:rPr>
        <w:lastRenderedPageBreak/>
        <w:t>esperaría un número mayor de centrales de fibra a las consideradas en el modelo.</w:t>
      </w:r>
    </w:p>
    <w:p w14:paraId="65BD454F" w14:textId="6452E2EA" w:rsidR="00A379AA" w:rsidRPr="007D54E4" w:rsidRDefault="00A379AA" w:rsidP="009C0D93">
      <w:pPr>
        <w:pStyle w:val="Prrafodelista"/>
        <w:numPr>
          <w:ilvl w:val="0"/>
          <w:numId w:val="15"/>
        </w:numPr>
        <w:spacing w:before="240" w:line="336" w:lineRule="auto"/>
        <w:rPr>
          <w:rFonts w:ascii="ITC Avant Garde" w:hAnsi="ITC Avant Garde"/>
          <w:b/>
          <w:lang w:val="es-MX"/>
        </w:rPr>
      </w:pPr>
      <w:r w:rsidRPr="007D54E4">
        <w:rPr>
          <w:rFonts w:ascii="ITC Avant Garde" w:hAnsi="ITC Avant Garde"/>
          <w:b/>
          <w:lang w:val="es-MX"/>
        </w:rPr>
        <w:t xml:space="preserve">Datos de salida del dimensionamiento geográfico: </w:t>
      </w:r>
      <w:r w:rsidRPr="007D54E4">
        <w:rPr>
          <w:rFonts w:ascii="ITC Avant Garde" w:hAnsi="ITC Avant Garde"/>
          <w:lang w:val="es-MX"/>
        </w:rPr>
        <w:t>considera que el análisis geográfico sobreestima la longitud de la ruta de ductos en red primaria, derivado del uso de algoritmos que minimizan distancias en el diseño de red del análisis geográfico en lugar de los costos. En este sentido, sugiere que el análisis geográfico debe rehacer</w:t>
      </w:r>
      <w:r w:rsidR="005378CB" w:rsidRPr="007D54E4">
        <w:rPr>
          <w:rFonts w:ascii="ITC Avant Garde" w:hAnsi="ITC Avant Garde"/>
          <w:lang w:val="es-MX"/>
        </w:rPr>
        <w:t>se</w:t>
      </w:r>
      <w:r w:rsidRPr="007D54E4">
        <w:rPr>
          <w:rFonts w:ascii="ITC Avant Garde" w:hAnsi="ITC Avant Garde"/>
          <w:lang w:val="es-MX"/>
        </w:rPr>
        <w:t xml:space="preserve"> considerando una serie de </w:t>
      </w:r>
      <w:r w:rsidR="005378CB" w:rsidRPr="007D54E4">
        <w:rPr>
          <w:rFonts w:ascii="ITC Avant Garde" w:hAnsi="ITC Avant Garde"/>
          <w:lang w:val="es-MX"/>
        </w:rPr>
        <w:t xml:space="preserve">propuestas que considera que </w:t>
      </w:r>
      <w:r w:rsidRPr="007D54E4">
        <w:rPr>
          <w:rFonts w:ascii="ITC Avant Garde" w:hAnsi="ITC Avant Garde"/>
          <w:lang w:val="es-MX"/>
        </w:rPr>
        <w:t>mejorar</w:t>
      </w:r>
      <w:r w:rsidR="005378CB" w:rsidRPr="007D54E4">
        <w:rPr>
          <w:rFonts w:ascii="ITC Avant Garde" w:hAnsi="ITC Avant Garde"/>
          <w:lang w:val="es-MX"/>
        </w:rPr>
        <w:t>án</w:t>
      </w:r>
      <w:r w:rsidRPr="007D54E4">
        <w:rPr>
          <w:rFonts w:ascii="ITC Avant Garde" w:hAnsi="ITC Avant Garde"/>
          <w:lang w:val="es-MX"/>
        </w:rPr>
        <w:t xml:space="preserve"> los resultados </w:t>
      </w:r>
      <w:r w:rsidR="005378CB" w:rsidRPr="007D54E4">
        <w:rPr>
          <w:rFonts w:ascii="ITC Avant Garde" w:hAnsi="ITC Avant Garde"/>
          <w:lang w:val="es-MX"/>
        </w:rPr>
        <w:t>del diseño</w:t>
      </w:r>
      <w:r w:rsidRPr="007D54E4">
        <w:rPr>
          <w:rFonts w:ascii="ITC Avant Garde" w:hAnsi="ITC Avant Garde"/>
          <w:lang w:val="es-MX"/>
        </w:rPr>
        <w:t>, particularmente destacando que el que el algoritmo de minimización de distancia debería sustituirse por un algoritmo de minimización de costos tal y como, según manifiesta el participante, aplica la CNMC</w:t>
      </w:r>
      <w:r w:rsidRPr="007D54E4">
        <w:rPr>
          <w:rStyle w:val="Refdenotaalpie"/>
          <w:rFonts w:ascii="ITC Avant Garde" w:hAnsi="ITC Avant Garde"/>
          <w:sz w:val="22"/>
          <w:lang w:val="es-MX"/>
        </w:rPr>
        <w:footnoteReference w:id="11"/>
      </w:r>
      <w:r w:rsidRPr="007D54E4">
        <w:rPr>
          <w:rFonts w:ascii="ITC Avant Garde" w:hAnsi="ITC Avant Garde"/>
          <w:lang w:val="es-MX"/>
        </w:rPr>
        <w:t>.</w:t>
      </w:r>
    </w:p>
    <w:p w14:paraId="2918D386" w14:textId="77777777" w:rsidR="00A379AA" w:rsidRPr="007D54E4" w:rsidRDefault="00A379AA" w:rsidP="009C0D93">
      <w:pPr>
        <w:pStyle w:val="Prrafodelista"/>
        <w:numPr>
          <w:ilvl w:val="0"/>
          <w:numId w:val="15"/>
        </w:numPr>
        <w:spacing w:before="240" w:line="336" w:lineRule="auto"/>
        <w:rPr>
          <w:rFonts w:ascii="ITC Avant Garde" w:hAnsi="ITC Avant Garde"/>
          <w:b/>
          <w:lang w:val="es-MX"/>
        </w:rPr>
      </w:pPr>
      <w:r w:rsidRPr="007D54E4">
        <w:rPr>
          <w:rFonts w:ascii="ITC Avant Garde" w:hAnsi="ITC Avant Garde"/>
          <w:b/>
          <w:lang w:val="es-MX"/>
        </w:rPr>
        <w:t xml:space="preserve">Dimensionamiento de la red de acceso: </w:t>
      </w:r>
      <w:r w:rsidRPr="007D54E4">
        <w:rPr>
          <w:rFonts w:ascii="ITC Avant Garde" w:hAnsi="ITC Avant Garde"/>
          <w:lang w:val="es-MX"/>
        </w:rPr>
        <w:t>propone que se revise el mecanismo para la recuperación de los costos asociados a la acometida.</w:t>
      </w:r>
    </w:p>
    <w:p w14:paraId="38777DC4" w14:textId="77777777" w:rsidR="00A379AA" w:rsidRPr="007D54E4" w:rsidRDefault="00A379AA" w:rsidP="00A379AA">
      <w:pPr>
        <w:rPr>
          <w:rFonts w:ascii="ITC Avant Garde" w:hAnsi="ITC Avant Garde"/>
          <w:lang w:val="es-MX"/>
        </w:rPr>
      </w:pPr>
      <w:r w:rsidRPr="007D54E4">
        <w:rPr>
          <w:rFonts w:ascii="ITC Avant Garde" w:hAnsi="ITC Avant Garde"/>
          <w:lang w:val="es-MX"/>
        </w:rPr>
        <w:t xml:space="preserve">En adición a lo anterior, al respecto del nivel de </w:t>
      </w:r>
      <w:r w:rsidRPr="007D54E4">
        <w:rPr>
          <w:rFonts w:ascii="ITC Avant Garde" w:hAnsi="ITC Avant Garde"/>
          <w:i/>
          <w:iCs/>
          <w:lang w:val="es-MX"/>
        </w:rPr>
        <w:t xml:space="preserve">splitting </w:t>
      </w:r>
      <w:r w:rsidRPr="007D54E4">
        <w:rPr>
          <w:rFonts w:ascii="ITC Avant Garde" w:hAnsi="ITC Avant Garde"/>
          <w:iCs/>
          <w:lang w:val="es-MX"/>
        </w:rPr>
        <w:t>involucrado en el modelo</w:t>
      </w:r>
      <w:r w:rsidRPr="007D54E4">
        <w:rPr>
          <w:rFonts w:ascii="ITC Avant Garde" w:hAnsi="ITC Avant Garde"/>
          <w:lang w:val="es-MX"/>
        </w:rPr>
        <w:t xml:space="preserve"> uno de los participantes (Telefónica) propone emplear diferentes grados de agregación en función </w:t>
      </w:r>
    </w:p>
    <w:p w14:paraId="5B20A9FC" w14:textId="77777777" w:rsidR="00A379AA" w:rsidRPr="007D54E4" w:rsidRDefault="00A379AA" w:rsidP="00A379AA">
      <w:pPr>
        <w:rPr>
          <w:rFonts w:ascii="ITC Avant Garde" w:hAnsi="ITC Avant Garde"/>
          <w:lang w:val="es-MX"/>
        </w:rPr>
      </w:pPr>
      <w:r w:rsidRPr="007D54E4">
        <w:rPr>
          <w:rFonts w:ascii="ITC Avant Garde" w:hAnsi="ITC Avant Garde"/>
          <w:lang w:val="es-MX"/>
        </w:rPr>
        <w:t>Por otra parte, uno de los participantes (Telmex) considera que se deben revisar los porcentajes de tramos aéreos considerados en el modelo.</w:t>
      </w:r>
    </w:p>
    <w:p w14:paraId="0F2603F6" w14:textId="5AD815DB" w:rsidR="00A379AA" w:rsidRPr="007D54E4" w:rsidRDefault="00A379AA" w:rsidP="00A379AA">
      <w:pPr>
        <w:rPr>
          <w:rFonts w:ascii="ITC Avant Garde" w:hAnsi="ITC Avant Garde"/>
          <w:lang w:val="es-MX"/>
        </w:rPr>
      </w:pPr>
      <w:r w:rsidRPr="007D54E4">
        <w:rPr>
          <w:rFonts w:ascii="ITC Avant Garde" w:hAnsi="ITC Avant Garde"/>
          <w:lang w:val="es-MX"/>
        </w:rPr>
        <w:t xml:space="preserve">En complemento, uno de los participantes (Telefónica) considera que no parece razonable el alto grado de cobertura asociada al </w:t>
      </w:r>
      <w:r w:rsidR="005378CB" w:rsidRPr="007D54E4">
        <w:rPr>
          <w:rFonts w:ascii="ITC Avant Garde" w:hAnsi="ITC Avant Garde"/>
          <w:lang w:val="es-MX"/>
        </w:rPr>
        <w:t xml:space="preserve">geotipo </w:t>
      </w:r>
      <w:r w:rsidRPr="007D54E4">
        <w:rPr>
          <w:rFonts w:ascii="ITC Avant Garde" w:hAnsi="ITC Avant Garde"/>
          <w:lang w:val="es-MX"/>
        </w:rPr>
        <w:t xml:space="preserve">4. </w:t>
      </w:r>
    </w:p>
    <w:p w14:paraId="4072BEEC" w14:textId="77777777" w:rsidR="00A379AA" w:rsidRPr="007D54E4" w:rsidRDefault="00A379AA" w:rsidP="00A379AA">
      <w:pPr>
        <w:rPr>
          <w:rFonts w:ascii="ITC Avant Garde" w:hAnsi="ITC Avant Garde"/>
          <w:highlight w:val="yellow"/>
          <w:lang w:val="es-MX"/>
        </w:rPr>
      </w:pPr>
      <w:r w:rsidRPr="007D54E4">
        <w:rPr>
          <w:rFonts w:ascii="ITC Avant Garde" w:hAnsi="ITC Avant Garde"/>
          <w:lang w:val="es-MX"/>
        </w:rPr>
        <w:t>Adicionalmente, ciertos participantes (Sres. Sánchez Colín, Domínguez Jardon y Velázquez Valdez) sugieren de se debe de tener en cuenta la radiación y el ruido en el dimensionamiento del modelo.</w:t>
      </w:r>
    </w:p>
    <w:p w14:paraId="0D133350" w14:textId="2245757C" w:rsidR="00A379AA" w:rsidRPr="007D54E4" w:rsidRDefault="00A379AA" w:rsidP="00A379AA">
      <w:pPr>
        <w:pStyle w:val="ComentarioCS"/>
        <w:rPr>
          <w:rFonts w:ascii="ITC Avant Garde" w:hAnsi="ITC Avant Garde"/>
          <w:i w:val="0"/>
          <w:sz w:val="22"/>
          <w:szCs w:val="22"/>
        </w:rPr>
      </w:pPr>
      <w:r w:rsidRPr="007D54E4">
        <w:rPr>
          <w:rFonts w:ascii="ITC Avant Garde" w:hAnsi="ITC Avant Garde"/>
          <w:i w:val="0"/>
          <w:sz w:val="22"/>
          <w:szCs w:val="22"/>
        </w:rPr>
        <w:t>Finalmente, uno de los participantes (Sr. Perea Gomez) considera que se debe aplican un algoritmo de</w:t>
      </w:r>
      <w:r w:rsidRPr="007D54E4">
        <w:rPr>
          <w:rFonts w:ascii="ITC Avant Garde" w:hAnsi="ITC Avant Garde"/>
          <w:i w:val="0"/>
          <w:iCs/>
          <w:sz w:val="22"/>
          <w:szCs w:val="22"/>
        </w:rPr>
        <w:t xml:space="preserve"> </w:t>
      </w:r>
      <w:r w:rsidRPr="007D54E4">
        <w:rPr>
          <w:rFonts w:ascii="ITC Avant Garde" w:hAnsi="ITC Avant Garde"/>
          <w:i w:val="0"/>
          <w:sz w:val="22"/>
          <w:szCs w:val="22"/>
        </w:rPr>
        <w:t>“árbol de expiación mínima”.</w:t>
      </w:r>
    </w:p>
    <w:p w14:paraId="2916B2A7" w14:textId="30BE46F6" w:rsidR="00477423" w:rsidRPr="007D54E4" w:rsidRDefault="00477423" w:rsidP="00477423">
      <w:pPr>
        <w:pStyle w:val="Ttulo3"/>
        <w:numPr>
          <w:ilvl w:val="0"/>
          <w:numId w:val="0"/>
        </w:numPr>
        <w:rPr>
          <w:rFonts w:ascii="ITC Avant Garde" w:hAnsi="ITC Avant Garde"/>
          <w:b w:val="0"/>
          <w:i/>
          <w:u w:val="single"/>
          <w:lang w:val="es-ES_tradnl"/>
        </w:rPr>
      </w:pPr>
      <w:r w:rsidRPr="007D54E4">
        <w:rPr>
          <w:rFonts w:ascii="ITC Avant Garde" w:hAnsi="ITC Avant Garde"/>
          <w:b w:val="0"/>
          <w:i/>
          <w:u w:val="single"/>
          <w:lang w:val="es-ES_tradnl"/>
        </w:rPr>
        <w:t>Respuesta del Instituto</w:t>
      </w:r>
    </w:p>
    <w:p w14:paraId="14F2D438" w14:textId="2304F451" w:rsidR="00A379AA" w:rsidRPr="007D54E4" w:rsidRDefault="00A379AA" w:rsidP="00A379AA">
      <w:pPr>
        <w:rPr>
          <w:rFonts w:ascii="ITC Avant Garde" w:hAnsi="ITC Avant Garde"/>
          <w:lang w:val="es-MX"/>
        </w:rPr>
      </w:pPr>
      <w:r w:rsidRPr="007D54E4">
        <w:rPr>
          <w:rFonts w:ascii="ITC Avant Garde" w:hAnsi="ITC Avant Garde"/>
          <w:lang w:val="es-MX"/>
        </w:rPr>
        <w:t xml:space="preserve">De manera general, el Instituto señala que el análisis geográfico </w:t>
      </w:r>
      <w:r w:rsidR="00926E1D" w:rsidRPr="007D54E4">
        <w:rPr>
          <w:rFonts w:ascii="ITC Avant Garde" w:hAnsi="ITC Avant Garde"/>
          <w:lang w:val="es-MX"/>
        </w:rPr>
        <w:t>en que se basa</w:t>
      </w:r>
      <w:r w:rsidRPr="007D54E4">
        <w:rPr>
          <w:rFonts w:ascii="ITC Avant Garde" w:hAnsi="ITC Avant Garde"/>
          <w:lang w:val="es-MX"/>
        </w:rPr>
        <w:t xml:space="preserve"> la implementación del modelo está basado </w:t>
      </w:r>
      <w:r w:rsidR="00926E1D" w:rsidRPr="007D54E4">
        <w:rPr>
          <w:rFonts w:ascii="ITC Avant Garde" w:hAnsi="ITC Avant Garde"/>
          <w:lang w:val="es-MX"/>
        </w:rPr>
        <w:t xml:space="preserve">principalmente </w:t>
      </w:r>
      <w:r w:rsidRPr="007D54E4">
        <w:rPr>
          <w:rFonts w:ascii="ITC Avant Garde" w:hAnsi="ITC Avant Garde"/>
          <w:lang w:val="es-MX"/>
        </w:rPr>
        <w:t xml:space="preserve">en información </w:t>
      </w:r>
      <w:r w:rsidR="00926E1D" w:rsidRPr="007D54E4">
        <w:rPr>
          <w:rFonts w:ascii="ITC Avant Garde" w:hAnsi="ITC Avant Garde"/>
          <w:lang w:val="es-MX"/>
        </w:rPr>
        <w:t>aportada por el</w:t>
      </w:r>
      <w:r w:rsidRPr="007D54E4">
        <w:rPr>
          <w:rFonts w:ascii="ITC Avant Garde" w:hAnsi="ITC Avant Garde"/>
          <w:lang w:val="es-MX"/>
        </w:rPr>
        <w:t xml:space="preserve"> AEP, misma que tiene carácter confidencial, en términos de ubicación de centrales de fibra, distribución geográfica de las líneas, huellas de cobertura, así como otra información relevante recaba en el proceso de implementación del presente modelo. En dicho proceso</w:t>
      </w:r>
      <w:r w:rsidR="00926E1D" w:rsidRPr="007D54E4">
        <w:rPr>
          <w:rFonts w:ascii="ITC Avant Garde" w:hAnsi="ITC Avant Garde"/>
          <w:lang w:val="es-MX"/>
        </w:rPr>
        <w:t>,</w:t>
      </w:r>
      <w:r w:rsidRPr="007D54E4">
        <w:rPr>
          <w:rFonts w:ascii="ITC Avant Garde" w:hAnsi="ITC Avant Garde"/>
          <w:lang w:val="es-MX"/>
        </w:rPr>
        <w:t xml:space="preserve"> los resultados que se obtienen a partir del análisis geográfico son consistentes con la infraestructura </w:t>
      </w:r>
      <w:r w:rsidRPr="007D54E4">
        <w:rPr>
          <w:rFonts w:ascii="ITC Avant Garde" w:hAnsi="ITC Avant Garde"/>
          <w:lang w:val="es-MX"/>
        </w:rPr>
        <w:lastRenderedPageBreak/>
        <w:t>reportada por el AEP</w:t>
      </w:r>
      <w:r w:rsidR="00926E1D" w:rsidRPr="007D54E4">
        <w:rPr>
          <w:rFonts w:ascii="ITC Avant Garde" w:hAnsi="ITC Avant Garde"/>
          <w:lang w:val="es-MX"/>
        </w:rPr>
        <w:t>, lo cual</w:t>
      </w:r>
      <w:r w:rsidRPr="007D54E4">
        <w:rPr>
          <w:rFonts w:ascii="ITC Avant Garde" w:hAnsi="ITC Avant Garde"/>
          <w:lang w:val="es-MX"/>
        </w:rPr>
        <w:t xml:space="preserve"> confirma la razonabilidad del análisis y la no sobreestimación o subestimación de </w:t>
      </w:r>
      <w:r w:rsidR="00926E1D" w:rsidRPr="007D54E4">
        <w:rPr>
          <w:rFonts w:ascii="ITC Avant Garde" w:hAnsi="ITC Avant Garde"/>
          <w:lang w:val="es-MX"/>
        </w:rPr>
        <w:t xml:space="preserve">los activos e inversiones que se asocian a la </w:t>
      </w:r>
      <w:r w:rsidRPr="007D54E4">
        <w:rPr>
          <w:rFonts w:ascii="ITC Avant Garde" w:hAnsi="ITC Avant Garde"/>
          <w:lang w:val="es-MX"/>
        </w:rPr>
        <w:t>red modelada.</w:t>
      </w:r>
    </w:p>
    <w:p w14:paraId="42C4154D" w14:textId="59ACB74D" w:rsidR="00A379AA" w:rsidRPr="007D54E4" w:rsidRDefault="00A379AA" w:rsidP="00A379AA">
      <w:pPr>
        <w:rPr>
          <w:rFonts w:ascii="ITC Avant Garde" w:hAnsi="ITC Avant Garde"/>
          <w:lang w:val="es-MX"/>
        </w:rPr>
      </w:pPr>
      <w:r w:rsidRPr="007D54E4">
        <w:rPr>
          <w:rFonts w:ascii="ITC Avant Garde" w:hAnsi="ITC Avant Garde"/>
          <w:lang w:val="es-MX"/>
        </w:rPr>
        <w:t xml:space="preserve">Por otro lado, el Instituto enfatiza que: i) a través de la documentación de la presente consulta pública se ha provisto información detallada sobre los insumos y cálculos empleados, los cuales han sido implementados </w:t>
      </w:r>
      <w:r w:rsidR="0001732F" w:rsidRPr="007D54E4">
        <w:rPr>
          <w:rFonts w:ascii="ITC Avant Garde" w:hAnsi="ITC Avant Garde"/>
          <w:lang w:val="es-MX"/>
        </w:rPr>
        <w:t>conforme a</w:t>
      </w:r>
      <w:r w:rsidRPr="007D54E4">
        <w:rPr>
          <w:rFonts w:ascii="ITC Avant Garde" w:hAnsi="ITC Avant Garde"/>
          <w:lang w:val="es-MX"/>
        </w:rPr>
        <w:t xml:space="preserve"> los algoritmos descritos en el documento metodológico</w:t>
      </w:r>
      <w:r w:rsidR="0001732F" w:rsidRPr="007D54E4">
        <w:rPr>
          <w:rFonts w:ascii="ITC Avant Garde" w:hAnsi="ITC Avant Garde"/>
          <w:lang w:val="es-MX"/>
        </w:rPr>
        <w:t xml:space="preserve"> provisto durante la consulta</w:t>
      </w:r>
      <w:r w:rsidRPr="007D54E4">
        <w:rPr>
          <w:rFonts w:ascii="ITC Avant Garde" w:hAnsi="ITC Avant Garde"/>
          <w:lang w:val="es-MX"/>
        </w:rPr>
        <w:t xml:space="preserve"> y ii) que las Macros de Excel</w:t>
      </w:r>
      <w:r w:rsidRPr="007D54E4">
        <w:rPr>
          <w:rStyle w:val="Refdenotaalpie"/>
          <w:rFonts w:ascii="ITC Avant Garde" w:hAnsi="ITC Avant Garde"/>
          <w:sz w:val="22"/>
          <w:lang w:val="es-MX"/>
        </w:rPr>
        <w:footnoteReference w:id="12"/>
      </w:r>
      <w:r w:rsidRPr="007D54E4">
        <w:rPr>
          <w:rFonts w:ascii="ITC Avant Garde" w:hAnsi="ITC Avant Garde"/>
          <w:lang w:val="es-MX"/>
        </w:rPr>
        <w:t xml:space="preserve"> incluidas en el modelo son plenamente accesibles y públicas a efecto de que los participantes puedan realizar su evaluación y revisión, y fortalecer con ello la implementación relativa a la versión final del modelo en comento.</w:t>
      </w:r>
    </w:p>
    <w:p w14:paraId="77720436" w14:textId="77777777" w:rsidR="00A379AA" w:rsidRPr="007D54E4" w:rsidRDefault="00A379AA" w:rsidP="00A379AA">
      <w:pPr>
        <w:rPr>
          <w:rFonts w:ascii="ITC Avant Garde" w:hAnsi="ITC Avant Garde"/>
          <w:lang w:val="es-MX"/>
        </w:rPr>
      </w:pPr>
      <w:r w:rsidRPr="007D54E4">
        <w:rPr>
          <w:rFonts w:ascii="ITC Avant Garde" w:hAnsi="ITC Avant Garde"/>
          <w:lang w:val="es-MX"/>
        </w:rPr>
        <w:t>Por lo que hace a los comentarios sobre los geotipos considerados en el modelo, el Instituto señala que estos tienen su fundamento en la estratificación del país por geotipos empleada en el denominado “Modelo de red de acceso fija para servicios de desagregación y compartición de infraestructura”, considerado en la “Consulta pública sobre los modelos de costos para determinar tarifas de los servicios prestados por el Agente Económico Preponderante en el sector de las telecomunicaciones”</w:t>
      </w:r>
      <w:r w:rsidRPr="007D54E4">
        <w:rPr>
          <w:rStyle w:val="Refdenotaalpie"/>
          <w:rFonts w:ascii="ITC Avant Garde" w:hAnsi="ITC Avant Garde"/>
          <w:sz w:val="22"/>
        </w:rPr>
        <w:footnoteReference w:id="13"/>
      </w:r>
      <w:r w:rsidRPr="007D54E4">
        <w:rPr>
          <w:rFonts w:ascii="ITC Avant Garde" w:hAnsi="ITC Avant Garde"/>
          <w:lang w:val="es-MX"/>
        </w:rPr>
        <w:t xml:space="preserve">, realizada por el Instituto en el periodo 1 de Octubre de 2015 al 11 de Noviembre de 2015. La estratificación propuesta se considera procedente, en el sentido de que permite el diseño y dimensionamiento adecuado de una red de acceso fijo de un operador hipotético eficiente, basado en la operación real del AEP, a partir de conjuntos de zonas que comparten niveles similares de urbanidad. </w:t>
      </w:r>
    </w:p>
    <w:p w14:paraId="6C187244" w14:textId="43DD417D" w:rsidR="00A379AA" w:rsidRPr="007D54E4" w:rsidRDefault="00A379AA" w:rsidP="00A379AA">
      <w:pPr>
        <w:rPr>
          <w:rFonts w:ascii="ITC Avant Garde" w:hAnsi="ITC Avant Garde"/>
          <w:lang w:val="es-MX"/>
        </w:rPr>
      </w:pPr>
      <w:r w:rsidRPr="007D54E4">
        <w:rPr>
          <w:rFonts w:ascii="ITC Avant Garde" w:hAnsi="ITC Avant Garde"/>
          <w:lang w:val="es-MX"/>
        </w:rPr>
        <w:t>Lo anterior, a su vez, facilita la consistencia entre los modelos de costos del Instituto que se enfocan en servicios mayoristas prestados a través de la red de acceso del AEP, en mérito de lo cual</w:t>
      </w:r>
      <w:r w:rsidR="004773A2" w:rsidRPr="007D54E4">
        <w:rPr>
          <w:rFonts w:ascii="ITC Avant Garde" w:hAnsi="ITC Avant Garde"/>
          <w:lang w:val="es-MX"/>
        </w:rPr>
        <w:t>,</w:t>
      </w:r>
      <w:r w:rsidRPr="007D54E4">
        <w:rPr>
          <w:rFonts w:ascii="ITC Avant Garde" w:hAnsi="ITC Avant Garde"/>
          <w:lang w:val="es-MX"/>
        </w:rPr>
        <w:t xml:space="preserve"> el Instituto no considera procedentes realizar modificaciones a este respecto.</w:t>
      </w:r>
    </w:p>
    <w:p w14:paraId="00E49537" w14:textId="05A48C6C" w:rsidR="00A379AA" w:rsidRPr="007D54E4" w:rsidRDefault="003B4DC0" w:rsidP="00A379AA">
      <w:pPr>
        <w:rPr>
          <w:rFonts w:ascii="ITC Avant Garde" w:hAnsi="ITC Avant Garde"/>
          <w:lang w:val="es-MX"/>
        </w:rPr>
      </w:pPr>
      <w:r w:rsidRPr="007D54E4">
        <w:rPr>
          <w:rFonts w:ascii="ITC Avant Garde" w:hAnsi="ITC Avant Garde"/>
          <w:lang w:val="es-MX"/>
        </w:rPr>
        <w:t>A</w:t>
      </w:r>
      <w:r w:rsidR="004773A2" w:rsidRPr="007D54E4">
        <w:rPr>
          <w:rFonts w:ascii="ITC Avant Garde" w:hAnsi="ITC Avant Garde"/>
          <w:lang w:val="es-MX"/>
        </w:rPr>
        <w:t>sociado</w:t>
      </w:r>
      <w:r w:rsidR="00A379AA" w:rsidRPr="007D54E4">
        <w:rPr>
          <w:rFonts w:ascii="ITC Avant Garde" w:hAnsi="ITC Avant Garde"/>
          <w:lang w:val="es-MX"/>
        </w:rPr>
        <w:t xml:space="preserve"> al ejercicio de muestreo empleado en la caracterización de la red modelada, el Instituto señala que </w:t>
      </w:r>
      <w:r w:rsidR="004773A2" w:rsidRPr="007D54E4">
        <w:rPr>
          <w:rFonts w:ascii="ITC Avant Garde" w:hAnsi="ITC Avant Garde"/>
          <w:lang w:val="es-MX"/>
        </w:rPr>
        <w:t xml:space="preserve">este </w:t>
      </w:r>
      <w:r w:rsidR="00A379AA" w:rsidRPr="007D54E4">
        <w:rPr>
          <w:rFonts w:ascii="ITC Avant Garde" w:hAnsi="ITC Avant Garde"/>
          <w:lang w:val="es-MX"/>
        </w:rPr>
        <w:t xml:space="preserve">se ha realizado </w:t>
      </w:r>
      <w:r w:rsidR="004773A2" w:rsidRPr="007D54E4">
        <w:rPr>
          <w:rFonts w:ascii="ITC Avant Garde" w:hAnsi="ITC Avant Garde"/>
          <w:lang w:val="es-MX"/>
        </w:rPr>
        <w:t>empleando la técnica estadística de</w:t>
      </w:r>
      <w:r w:rsidR="00A379AA" w:rsidRPr="007D54E4">
        <w:rPr>
          <w:rFonts w:ascii="ITC Avant Garde" w:hAnsi="ITC Avant Garde"/>
          <w:lang w:val="es-MX"/>
        </w:rPr>
        <w:t xml:space="preserve"> muestreo estratificado aleatorio</w:t>
      </w:r>
      <w:r w:rsidR="004773A2" w:rsidRPr="007D54E4">
        <w:rPr>
          <w:rFonts w:ascii="ITC Avant Garde" w:hAnsi="ITC Avant Garde"/>
          <w:lang w:val="es-MX"/>
        </w:rPr>
        <w:t>,</w:t>
      </w:r>
      <w:r w:rsidR="00A379AA" w:rsidRPr="007D54E4">
        <w:rPr>
          <w:rFonts w:ascii="ITC Avant Garde" w:hAnsi="ITC Avant Garde"/>
          <w:lang w:val="es-MX"/>
        </w:rPr>
        <w:t xml:space="preserve"> de manera que se representen apropiadamente las diferentes zonas del país, municipios de diferente tamaño y como los diferentes geotipos, en estricto apego a los principios de la teoría estadística.</w:t>
      </w:r>
    </w:p>
    <w:p w14:paraId="5C3D11DB" w14:textId="58142B4F" w:rsidR="00A379AA" w:rsidRPr="007D54E4" w:rsidRDefault="00A379AA" w:rsidP="00A379AA">
      <w:pPr>
        <w:rPr>
          <w:rFonts w:ascii="ITC Avant Garde" w:hAnsi="ITC Avant Garde"/>
          <w:lang w:val="es-MX"/>
        </w:rPr>
      </w:pPr>
      <w:r w:rsidRPr="007D54E4">
        <w:rPr>
          <w:rFonts w:ascii="ITC Avant Garde" w:hAnsi="ITC Avant Garde"/>
          <w:lang w:val="es-MX"/>
        </w:rPr>
        <w:lastRenderedPageBreak/>
        <w:t>En lo tocante a la ubicación de los edificios considerados</w:t>
      </w:r>
      <w:r w:rsidR="003B4DC0" w:rsidRPr="007D54E4">
        <w:rPr>
          <w:rFonts w:ascii="ITC Avant Garde" w:hAnsi="ITC Avant Garde"/>
          <w:lang w:val="es-MX"/>
        </w:rPr>
        <w:t xml:space="preserve"> en el diseño del modelo</w:t>
      </w:r>
      <w:r w:rsidRPr="007D54E4">
        <w:rPr>
          <w:rFonts w:ascii="ITC Avant Garde" w:hAnsi="ITC Avant Garde"/>
          <w:lang w:val="es-MX"/>
        </w:rPr>
        <w:t xml:space="preserve">, el Instituto señala que en la versión final del modelo se </w:t>
      </w:r>
      <w:r w:rsidR="003B4DC0" w:rsidRPr="007D54E4">
        <w:rPr>
          <w:rFonts w:ascii="ITC Avant Garde" w:hAnsi="ITC Avant Garde"/>
          <w:lang w:val="es-MX"/>
        </w:rPr>
        <w:t xml:space="preserve">revisó </w:t>
      </w:r>
      <w:r w:rsidRPr="007D54E4">
        <w:rPr>
          <w:rFonts w:ascii="ITC Avant Garde" w:hAnsi="ITC Avant Garde"/>
          <w:lang w:val="es-MX"/>
        </w:rPr>
        <w:t xml:space="preserve">dicho concepto, con el propósito de corregir, en su caso, los errores y omisiones observados, </w:t>
      </w:r>
      <w:r w:rsidR="002F36EE" w:rsidRPr="007D54E4">
        <w:rPr>
          <w:rFonts w:ascii="ITC Avant Garde" w:hAnsi="ITC Avant Garde"/>
          <w:lang w:val="es-MX"/>
        </w:rPr>
        <w:t>con el objeto de consolidar el</w:t>
      </w:r>
      <w:r w:rsidRPr="007D54E4">
        <w:rPr>
          <w:rFonts w:ascii="ITC Avant Garde" w:hAnsi="ITC Avant Garde"/>
          <w:lang w:val="es-MX"/>
        </w:rPr>
        <w:t xml:space="preserve"> análisis geográfico para tener en cuenta una potencial cobertura teórica a futuro.</w:t>
      </w:r>
    </w:p>
    <w:p w14:paraId="2DE2E537" w14:textId="77777777" w:rsidR="00A379AA" w:rsidRPr="007D54E4" w:rsidRDefault="00A379AA" w:rsidP="00A379AA">
      <w:pPr>
        <w:rPr>
          <w:rFonts w:ascii="ITC Avant Garde" w:hAnsi="ITC Avant Garde"/>
          <w:highlight w:val="yellow"/>
          <w:lang w:val="es-MX"/>
        </w:rPr>
      </w:pPr>
      <w:r w:rsidRPr="007D54E4">
        <w:rPr>
          <w:rFonts w:ascii="ITC Avant Garde" w:hAnsi="ITC Avant Garde"/>
          <w:lang w:val="es-MX"/>
        </w:rPr>
        <w:t xml:space="preserve">Por otra parte, asociado al área de cobertura que se considera en el modelo, el Instituto señala que para el análisis geográfico se determinan los parámetros que caracterizarían un despliegue teórico a futuro en el 100% del país, tomando en consideración las características de todas y cada una de las regiones hasta donde pudiera llegar hipotéticamente una red de acceso de fibra. En este sentido, la cobertura realmente empleada en el modelo es la introducida en la hoja “1C INP VIVIENDAS COBERT” con referencia al año en estudio, y no corresponde al 100%, y solo en aquellos casos necesarios en los que no ha existido información suficiente del AEP para caracterizar un geotipo determinado se han tomado datos relativos a centrales teóricas. </w:t>
      </w:r>
    </w:p>
    <w:p w14:paraId="74802813" w14:textId="3F6BAEEE" w:rsidR="00A379AA" w:rsidRPr="007D54E4" w:rsidRDefault="00A379AA" w:rsidP="00A379AA">
      <w:pPr>
        <w:rPr>
          <w:rFonts w:ascii="ITC Avant Garde" w:hAnsi="ITC Avant Garde"/>
          <w:lang w:val="es-MX"/>
        </w:rPr>
      </w:pPr>
      <w:r w:rsidRPr="007D54E4">
        <w:rPr>
          <w:rFonts w:ascii="ITC Avant Garde" w:hAnsi="ITC Avant Garde"/>
          <w:lang w:val="es-MX"/>
        </w:rPr>
        <w:t xml:space="preserve">Adicionalmente, el Instituto destaca </w:t>
      </w:r>
      <w:r w:rsidR="006E70A2" w:rsidRPr="007D54E4">
        <w:rPr>
          <w:rFonts w:ascii="ITC Avant Garde" w:hAnsi="ITC Avant Garde"/>
          <w:lang w:val="es-MX"/>
        </w:rPr>
        <w:t>que,</w:t>
      </w:r>
      <w:r w:rsidRPr="007D54E4">
        <w:rPr>
          <w:rFonts w:ascii="ITC Avant Garde" w:hAnsi="ITC Avant Garde"/>
          <w:lang w:val="es-MX"/>
        </w:rPr>
        <w:t xml:space="preserve"> de acuerdo a la información reportada por el AEP, los despliegues </w:t>
      </w:r>
      <w:r w:rsidR="000D4F0A" w:rsidRPr="007D54E4">
        <w:rPr>
          <w:rFonts w:ascii="ITC Avant Garde" w:hAnsi="ITC Avant Garde"/>
          <w:lang w:val="es-MX"/>
        </w:rPr>
        <w:t xml:space="preserve">de </w:t>
      </w:r>
      <w:r w:rsidRPr="007D54E4">
        <w:rPr>
          <w:rFonts w:ascii="ITC Avant Garde" w:hAnsi="ITC Avant Garde"/>
          <w:lang w:val="es-MX"/>
        </w:rPr>
        <w:t xml:space="preserve">las centrales de fibra instaladas pueden alcanzar longitudes de bucle cercanas a los 10 kilómetros en todas las zonas, lo que representa el límite de alcance para esquemas de </w:t>
      </w:r>
      <w:r w:rsidRPr="007D54E4">
        <w:rPr>
          <w:rFonts w:ascii="ITC Avant Garde" w:hAnsi="ITC Avant Garde"/>
          <w:i/>
          <w:iCs/>
          <w:lang w:val="es-MX"/>
        </w:rPr>
        <w:t xml:space="preserve">splitting </w:t>
      </w:r>
      <w:r w:rsidRPr="007D54E4">
        <w:rPr>
          <w:rFonts w:ascii="ITC Avant Garde" w:hAnsi="ITC Avant Garde"/>
          <w:lang w:val="es-MX"/>
        </w:rPr>
        <w:t xml:space="preserve">de dos etapas 1:8 (1:64) tanto en zonas urbanas como en zonas rurales considerando el esquema de </w:t>
      </w:r>
      <w:r w:rsidRPr="007D54E4">
        <w:rPr>
          <w:rFonts w:ascii="ITC Avant Garde" w:hAnsi="ITC Avant Garde"/>
          <w:i/>
          <w:lang w:val="es-MX"/>
        </w:rPr>
        <w:t>splitting</w:t>
      </w:r>
      <w:r w:rsidRPr="007D54E4">
        <w:rPr>
          <w:rFonts w:ascii="ITC Avant Garde" w:hAnsi="ITC Avant Garde"/>
          <w:lang w:val="es-MX"/>
        </w:rPr>
        <w:t xml:space="preserve"> en dos etapas de 1:8 (1x64). </w:t>
      </w:r>
      <w:r w:rsidR="000D4F0A" w:rsidRPr="007D54E4">
        <w:rPr>
          <w:rFonts w:ascii="ITC Avant Garde" w:hAnsi="ITC Avant Garde"/>
          <w:lang w:val="es-MX"/>
        </w:rPr>
        <w:t>En este sentido</w:t>
      </w:r>
      <w:r w:rsidRPr="007D54E4">
        <w:rPr>
          <w:rFonts w:ascii="ITC Avant Garde" w:hAnsi="ITC Avant Garde"/>
          <w:lang w:val="es-MX"/>
        </w:rPr>
        <w:t>, el Instituto también señala que el estándar ITU G.984.1</w:t>
      </w:r>
      <w:r w:rsidR="00703103" w:rsidRPr="007D54E4">
        <w:rPr>
          <w:rStyle w:val="Refdenotaalpie"/>
          <w:rFonts w:ascii="ITC Avant Garde" w:hAnsi="ITC Avant Garde"/>
          <w:sz w:val="22"/>
          <w:lang w:val="es-MX"/>
        </w:rPr>
        <w:footnoteReference w:id="14"/>
      </w:r>
      <w:r w:rsidRPr="007D54E4">
        <w:rPr>
          <w:rFonts w:ascii="ITC Avant Garde" w:hAnsi="ITC Avant Garde"/>
          <w:lang w:val="es-MX"/>
        </w:rPr>
        <w:t xml:space="preserve"> define un alcance máximo de 10 km, pudiéndose alcanzar distancias mayores para niveles de </w:t>
      </w:r>
      <w:r w:rsidRPr="007D54E4">
        <w:rPr>
          <w:rFonts w:ascii="ITC Avant Garde" w:hAnsi="ITC Avant Garde"/>
          <w:i/>
          <w:iCs/>
          <w:lang w:val="es-MX"/>
        </w:rPr>
        <w:t>splitting</w:t>
      </w:r>
      <w:r w:rsidRPr="007D54E4">
        <w:rPr>
          <w:rFonts w:ascii="ITC Avant Garde" w:hAnsi="ITC Avant Garde"/>
          <w:lang w:val="es-MX"/>
        </w:rPr>
        <w:t xml:space="preserve"> o velocidades inferiores, como han confirmado otros participantes de la presente consulta.</w:t>
      </w:r>
    </w:p>
    <w:p w14:paraId="738E4A79" w14:textId="782C9FC6" w:rsidR="00A379AA" w:rsidRPr="007D54E4" w:rsidRDefault="00A379AA" w:rsidP="00A379AA">
      <w:pPr>
        <w:rPr>
          <w:rFonts w:ascii="ITC Avant Garde" w:hAnsi="ITC Avant Garde"/>
          <w:highlight w:val="yellow"/>
          <w:lang w:val="es-MX"/>
        </w:rPr>
      </w:pPr>
      <w:r w:rsidRPr="007D54E4">
        <w:rPr>
          <w:rFonts w:ascii="ITC Avant Garde" w:hAnsi="ITC Avant Garde"/>
          <w:lang w:val="es-MX"/>
        </w:rPr>
        <w:t>En mérito de lo anterior, no se considera necesario realizar modificaciones en la versión final del modelo respecto a la estimación las centrales de fibra teórica a través del algoritmo de cálculo descrito la sección 4.2.2 del documento metodológico adjunto a la consulta pública</w:t>
      </w:r>
      <w:r w:rsidR="00703103" w:rsidRPr="007D54E4">
        <w:rPr>
          <w:rStyle w:val="Refdenotaalpie"/>
          <w:rFonts w:ascii="ITC Avant Garde" w:hAnsi="ITC Avant Garde"/>
          <w:sz w:val="22"/>
          <w:lang w:val="es-MX"/>
        </w:rPr>
        <w:footnoteReference w:id="15"/>
      </w:r>
      <w:r w:rsidRPr="007D54E4">
        <w:rPr>
          <w:rFonts w:ascii="ITC Avant Garde" w:hAnsi="ITC Avant Garde"/>
          <w:lang w:val="es-MX"/>
        </w:rPr>
        <w:t>.</w:t>
      </w:r>
    </w:p>
    <w:p w14:paraId="34CC019D" w14:textId="49D0EA7C" w:rsidR="00A379AA" w:rsidRPr="007D54E4" w:rsidRDefault="00A379AA" w:rsidP="00A379AA">
      <w:pPr>
        <w:rPr>
          <w:rFonts w:ascii="ITC Avant Garde" w:hAnsi="ITC Avant Garde"/>
          <w:lang w:val="es-MX"/>
        </w:rPr>
      </w:pPr>
      <w:r w:rsidRPr="007D54E4">
        <w:rPr>
          <w:rFonts w:ascii="ITC Avant Garde" w:hAnsi="ITC Avant Garde"/>
          <w:lang w:val="es-MX"/>
        </w:rPr>
        <w:t xml:space="preserve">Por otra parte, respecto a los algoritmos de optimización de rutas empleados en el modelo, el Instituto señala que </w:t>
      </w:r>
      <w:r w:rsidR="00703103" w:rsidRPr="007D54E4">
        <w:rPr>
          <w:rFonts w:ascii="ITC Avant Garde" w:hAnsi="ITC Avant Garde"/>
          <w:lang w:val="es-MX"/>
        </w:rPr>
        <w:t>tales son del tipo de</w:t>
      </w:r>
      <w:r w:rsidRPr="007D54E4">
        <w:rPr>
          <w:rFonts w:ascii="ITC Avant Garde" w:hAnsi="ITC Avant Garde"/>
          <w:lang w:val="es-MX"/>
        </w:rPr>
        <w:t xml:space="preserve"> minimización de distancias</w:t>
      </w:r>
      <w:r w:rsidR="00703103" w:rsidRPr="007D54E4">
        <w:rPr>
          <w:rFonts w:ascii="ITC Avant Garde" w:hAnsi="ITC Avant Garde"/>
          <w:lang w:val="es-MX"/>
        </w:rPr>
        <w:t>, los cuales</w:t>
      </w:r>
      <w:r w:rsidRPr="007D54E4">
        <w:rPr>
          <w:rFonts w:ascii="ITC Avant Garde" w:hAnsi="ITC Avant Garde"/>
          <w:lang w:val="es-MX"/>
        </w:rPr>
        <w:t xml:space="preserve"> son ampliamente utilizados en el diseño de modelos de costos asociados redes fijas. En este sentido, la metodología empleada con el Instituto se considera apropiada al alinearse con principios comúnmente aceptados en la práctica internacional y en el sentido que posibilita el dimensionamiento de la red de acceso de un operador hipotético eficiente, basado en la operación del AEP.</w:t>
      </w:r>
    </w:p>
    <w:p w14:paraId="1166AF0B" w14:textId="77777777" w:rsidR="00A379AA" w:rsidRPr="007D54E4" w:rsidRDefault="00A379AA" w:rsidP="00A379AA">
      <w:pPr>
        <w:rPr>
          <w:rFonts w:ascii="ITC Avant Garde" w:hAnsi="ITC Avant Garde"/>
          <w:lang w:val="es-MX"/>
        </w:rPr>
      </w:pPr>
      <w:r w:rsidRPr="007D54E4">
        <w:rPr>
          <w:rFonts w:ascii="ITC Avant Garde" w:hAnsi="ITC Avant Garde"/>
          <w:lang w:val="es-MX"/>
        </w:rPr>
        <w:lastRenderedPageBreak/>
        <w:t>Para reforzar lo anterior, se muestra la comparación</w:t>
      </w:r>
      <w:r w:rsidRPr="007D54E4">
        <w:rPr>
          <w:rStyle w:val="Refdenotaalpie"/>
          <w:rFonts w:ascii="ITC Avant Garde" w:hAnsi="ITC Avant Garde"/>
          <w:sz w:val="22"/>
          <w:lang w:val="es-MX"/>
        </w:rPr>
        <w:footnoteReference w:id="16"/>
      </w:r>
      <w:r w:rsidRPr="007D54E4">
        <w:rPr>
          <w:rFonts w:ascii="ITC Avant Garde" w:hAnsi="ITC Avant Garde"/>
          <w:lang w:val="es-MX"/>
        </w:rPr>
        <w:t xml:space="preserve"> entre la red primaria resultado de la metodología del Instituto y la de la CNMC, destacando que en ambos casos se puede ver un dimensionamiento y diseño similar.</w:t>
      </w:r>
    </w:p>
    <w:p w14:paraId="2B55E5A8" w14:textId="77777777" w:rsidR="00A379AA" w:rsidRPr="007D54E4" w:rsidRDefault="00A379AA" w:rsidP="00A379AA">
      <w:pPr>
        <w:keepNext/>
        <w:rPr>
          <w:rFonts w:ascii="ITC Avant Garde" w:hAnsi="ITC Avant Garde"/>
          <w:highlight w:val="yellow"/>
        </w:rPr>
      </w:pPr>
      <w:r w:rsidRPr="007D54E4">
        <w:rPr>
          <w:rFonts w:ascii="ITC Avant Garde" w:hAnsi="ITC Avant Garde"/>
          <w:noProof/>
          <w:lang w:val="es-MX" w:eastAsia="es-MX"/>
        </w:rPr>
        <w:drawing>
          <wp:inline distT="0" distB="0" distL="0" distR="0" wp14:anchorId="114BF480" wp14:editId="29EF7FE9">
            <wp:extent cx="5731510" cy="2741871"/>
            <wp:effectExtent l="0" t="0" r="2540" b="1905"/>
            <wp:docPr id="77060" name="Picture 77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741871"/>
                    </a:xfrm>
                    <a:prstGeom prst="rect">
                      <a:avLst/>
                    </a:prstGeom>
                    <a:noFill/>
                    <a:ln>
                      <a:noFill/>
                    </a:ln>
                  </pic:spPr>
                </pic:pic>
              </a:graphicData>
            </a:graphic>
          </wp:inline>
        </w:drawing>
      </w:r>
    </w:p>
    <w:p w14:paraId="19581B66" w14:textId="656BE712" w:rsidR="00A379AA" w:rsidRPr="007D54E4" w:rsidRDefault="00703103" w:rsidP="00A379AA">
      <w:pPr>
        <w:pStyle w:val="Descripcin"/>
        <w:jc w:val="both"/>
        <w:rPr>
          <w:rFonts w:ascii="ITC Avant Garde" w:hAnsi="ITC Avant Garde"/>
          <w:b/>
          <w:i w:val="0"/>
          <w:sz w:val="22"/>
          <w:szCs w:val="22"/>
          <w:lang w:val="es-MX"/>
        </w:rPr>
      </w:pPr>
      <w:r w:rsidRPr="007D54E4">
        <w:rPr>
          <w:rFonts w:ascii="ITC Avant Garde" w:hAnsi="ITC Avant Garde"/>
          <w:b/>
          <w:i w:val="0"/>
          <w:sz w:val="22"/>
          <w:szCs w:val="22"/>
          <w:lang w:val="es-MX"/>
        </w:rPr>
        <w:t>Figura 1</w:t>
      </w:r>
      <w:r w:rsidR="00A379AA" w:rsidRPr="007D54E4">
        <w:rPr>
          <w:rFonts w:ascii="ITC Avant Garde" w:hAnsi="ITC Avant Garde"/>
          <w:b/>
          <w:i w:val="0"/>
          <w:sz w:val="22"/>
          <w:szCs w:val="22"/>
          <w:lang w:val="es-MX"/>
        </w:rPr>
        <w:t xml:space="preserve">: </w:t>
      </w:r>
      <w:r w:rsidR="00A379AA" w:rsidRPr="007D54E4">
        <w:rPr>
          <w:rFonts w:ascii="ITC Avant Garde" w:hAnsi="ITC Avant Garde"/>
          <w:i w:val="0"/>
          <w:sz w:val="22"/>
          <w:szCs w:val="22"/>
          <w:lang w:val="es-MX"/>
        </w:rPr>
        <w:t>Comparativa de un ejemplo de red primaria obtenida con el algoritmo empleado por el Instituto y con el de CNMC</w:t>
      </w:r>
      <w:r w:rsidR="005A3553" w:rsidRPr="007D54E4">
        <w:rPr>
          <w:rFonts w:ascii="ITC Avant Garde" w:hAnsi="ITC Avant Garde"/>
          <w:i w:val="0"/>
          <w:sz w:val="22"/>
          <w:szCs w:val="22"/>
          <w:lang w:val="es-MX"/>
        </w:rPr>
        <w:t xml:space="preserve">, los cuales se muestran en las figuras a la izquierda y derecha, respectivamente. </w:t>
      </w:r>
      <w:r w:rsidR="00A379AA" w:rsidRPr="007D54E4">
        <w:rPr>
          <w:rFonts w:ascii="ITC Avant Garde" w:hAnsi="ITC Avant Garde"/>
          <w:i w:val="0"/>
          <w:sz w:val="22"/>
          <w:szCs w:val="22"/>
          <w:lang w:val="es-MX"/>
        </w:rPr>
        <w:t>[</w:t>
      </w:r>
      <w:r w:rsidR="00A379AA" w:rsidRPr="007D54E4">
        <w:rPr>
          <w:rFonts w:ascii="ITC Avant Garde" w:hAnsi="ITC Avant Garde"/>
          <w:b/>
          <w:i w:val="0"/>
          <w:sz w:val="22"/>
          <w:szCs w:val="22"/>
          <w:lang w:val="es-MX"/>
        </w:rPr>
        <w:t>Fuente</w:t>
      </w:r>
      <w:r w:rsidR="00A379AA" w:rsidRPr="007D54E4">
        <w:rPr>
          <w:rFonts w:ascii="ITC Avant Garde" w:hAnsi="ITC Avant Garde"/>
          <w:i w:val="0"/>
          <w:sz w:val="22"/>
          <w:szCs w:val="22"/>
          <w:lang w:val="es-MX"/>
        </w:rPr>
        <w:t>: IFT y CNMC</w:t>
      </w:r>
      <w:r w:rsidRPr="007D54E4">
        <w:rPr>
          <w:rFonts w:ascii="ITC Avant Garde" w:hAnsi="ITC Avant Garde"/>
          <w:i w:val="0"/>
          <w:sz w:val="22"/>
          <w:szCs w:val="22"/>
          <w:lang w:val="es-MX"/>
        </w:rPr>
        <w:t>, 2016</w:t>
      </w:r>
      <w:r w:rsidR="00A379AA" w:rsidRPr="007D54E4">
        <w:rPr>
          <w:rFonts w:ascii="ITC Avant Garde" w:hAnsi="ITC Avant Garde"/>
          <w:i w:val="0"/>
          <w:sz w:val="22"/>
          <w:szCs w:val="22"/>
          <w:lang w:val="es-MX"/>
        </w:rPr>
        <w:t>]</w:t>
      </w:r>
    </w:p>
    <w:p w14:paraId="641FE8D3" w14:textId="51DB6415" w:rsidR="00A379AA" w:rsidRPr="007D54E4" w:rsidRDefault="00A379AA" w:rsidP="00A379AA">
      <w:pPr>
        <w:rPr>
          <w:rFonts w:ascii="ITC Avant Garde" w:hAnsi="ITC Avant Garde"/>
          <w:lang w:val="es-MX"/>
        </w:rPr>
      </w:pPr>
      <w:r w:rsidRPr="007D54E4">
        <w:rPr>
          <w:rFonts w:ascii="ITC Avant Garde" w:hAnsi="ITC Avant Garde"/>
          <w:lang w:val="es-MX"/>
        </w:rPr>
        <w:t xml:space="preserve">En lo relativo a los datos de salida del dimensionamiento geográfico, el Instituto señala que en la versión final del modelo dichos parámetros se </w:t>
      </w:r>
      <w:r w:rsidR="00C64D31" w:rsidRPr="007D54E4">
        <w:rPr>
          <w:rFonts w:ascii="ITC Avant Garde" w:hAnsi="ITC Avant Garde"/>
          <w:lang w:val="es-MX"/>
        </w:rPr>
        <w:t xml:space="preserve">revisaron </w:t>
      </w:r>
      <w:r w:rsidRPr="007D54E4">
        <w:rPr>
          <w:rFonts w:ascii="ITC Avant Garde" w:hAnsi="ITC Avant Garde"/>
          <w:lang w:val="es-MX"/>
        </w:rPr>
        <w:t xml:space="preserve">considerando </w:t>
      </w:r>
      <w:r w:rsidR="00C64D31" w:rsidRPr="007D54E4">
        <w:rPr>
          <w:rFonts w:ascii="ITC Avant Garde" w:hAnsi="ITC Avant Garde"/>
          <w:lang w:val="es-MX"/>
        </w:rPr>
        <w:t xml:space="preserve">la </w:t>
      </w:r>
      <w:r w:rsidRPr="007D54E4">
        <w:rPr>
          <w:rFonts w:ascii="ITC Avant Garde" w:hAnsi="ITC Avant Garde"/>
          <w:lang w:val="es-MX"/>
        </w:rPr>
        <w:t xml:space="preserve">información proporcionada por el AEP y los </w:t>
      </w:r>
      <w:r w:rsidR="00C64D31" w:rsidRPr="007D54E4">
        <w:rPr>
          <w:rFonts w:ascii="ITC Avant Garde" w:hAnsi="ITC Avant Garde"/>
          <w:lang w:val="es-MX"/>
        </w:rPr>
        <w:t xml:space="preserve">demás </w:t>
      </w:r>
      <w:r w:rsidRPr="007D54E4">
        <w:rPr>
          <w:rFonts w:ascii="ITC Avant Garde" w:hAnsi="ITC Avant Garde"/>
          <w:lang w:val="es-MX"/>
        </w:rPr>
        <w:t xml:space="preserve">participantes de la consulta pública, a efecto de corregir, en su caso, los errores y omisiones observados, </w:t>
      </w:r>
      <w:r w:rsidR="00C21FBE" w:rsidRPr="007D54E4">
        <w:rPr>
          <w:rFonts w:ascii="ITC Avant Garde" w:hAnsi="ITC Avant Garde"/>
          <w:lang w:val="es-MX"/>
        </w:rPr>
        <w:t>a</w:t>
      </w:r>
      <w:r w:rsidRPr="007D54E4">
        <w:rPr>
          <w:rFonts w:ascii="ITC Avant Garde" w:hAnsi="ITC Avant Garde"/>
          <w:lang w:val="es-MX"/>
        </w:rPr>
        <w:t xml:space="preserve"> manera </w:t>
      </w:r>
      <w:r w:rsidR="00C21FBE" w:rsidRPr="007D54E4">
        <w:rPr>
          <w:rFonts w:ascii="ITC Avant Garde" w:hAnsi="ITC Avant Garde"/>
          <w:lang w:val="es-MX"/>
        </w:rPr>
        <w:t xml:space="preserve">consolidar </w:t>
      </w:r>
      <w:r w:rsidRPr="007D54E4">
        <w:rPr>
          <w:rFonts w:ascii="ITC Avant Garde" w:hAnsi="ITC Avant Garde"/>
          <w:lang w:val="es-MX"/>
        </w:rPr>
        <w:t xml:space="preserve">el análisis geográfico </w:t>
      </w:r>
      <w:r w:rsidR="00C21FBE" w:rsidRPr="007D54E4">
        <w:rPr>
          <w:rFonts w:ascii="ITC Avant Garde" w:hAnsi="ITC Avant Garde"/>
          <w:lang w:val="es-MX"/>
        </w:rPr>
        <w:t>en que se basa el modelo en comento</w:t>
      </w:r>
      <w:r w:rsidRPr="007D54E4">
        <w:rPr>
          <w:rFonts w:ascii="ITC Avant Garde" w:hAnsi="ITC Avant Garde"/>
          <w:lang w:val="es-MX"/>
        </w:rPr>
        <w:t>.</w:t>
      </w:r>
    </w:p>
    <w:p w14:paraId="3733DF83" w14:textId="77777777" w:rsidR="00A379AA" w:rsidRPr="007D54E4" w:rsidRDefault="00A379AA" w:rsidP="00A379AA">
      <w:pPr>
        <w:rPr>
          <w:rFonts w:ascii="ITC Avant Garde" w:hAnsi="ITC Avant Garde"/>
          <w:lang w:val="es-MX"/>
        </w:rPr>
      </w:pPr>
      <w:r w:rsidRPr="007D54E4">
        <w:rPr>
          <w:rFonts w:ascii="ITC Avant Garde" w:hAnsi="ITC Avant Garde"/>
          <w:lang w:val="es-MX"/>
        </w:rPr>
        <w:t>En torno a los comentarios sobre la recuperación de los costos asociados a la acometida, el Instituto señala que la versión final del modelo se realizaran los ajustes necesarios a la misma, de conformidad con los cargos aplicables por este concepto definidos en la oferta de referencia correspondiente, a partir de lo establecido en las Medidas de Desagregación.</w:t>
      </w:r>
    </w:p>
    <w:p w14:paraId="5C127DE7" w14:textId="65FC5D69" w:rsidR="00A379AA" w:rsidRPr="007D54E4" w:rsidRDefault="00A379AA" w:rsidP="00A379AA">
      <w:pPr>
        <w:rPr>
          <w:rFonts w:ascii="ITC Avant Garde" w:hAnsi="ITC Avant Garde"/>
          <w:lang w:val="es-MX"/>
        </w:rPr>
      </w:pPr>
      <w:r w:rsidRPr="007D54E4">
        <w:rPr>
          <w:rFonts w:ascii="ITC Avant Garde" w:hAnsi="ITC Avant Garde"/>
          <w:lang w:val="es-MX"/>
        </w:rPr>
        <w:t xml:space="preserve">Respecto a considerar diferentes grados de </w:t>
      </w:r>
      <w:r w:rsidRPr="007D54E4">
        <w:rPr>
          <w:rFonts w:ascii="ITC Avant Garde" w:hAnsi="ITC Avant Garde"/>
          <w:i/>
          <w:iCs/>
          <w:lang w:val="es-MX"/>
        </w:rPr>
        <w:t>splitting</w:t>
      </w:r>
      <w:r w:rsidRPr="007D54E4">
        <w:rPr>
          <w:rFonts w:ascii="ITC Avant Garde" w:hAnsi="ITC Avant Garde"/>
          <w:lang w:val="es-MX"/>
        </w:rPr>
        <w:t xml:space="preserve"> en función de la zona, el Instituto destaca que, si bien es cierto que la tecnología GPON permite varios grados de </w:t>
      </w:r>
      <w:r w:rsidRPr="007D54E4">
        <w:rPr>
          <w:rFonts w:ascii="ITC Avant Garde" w:hAnsi="ITC Avant Garde"/>
          <w:i/>
          <w:iCs/>
          <w:lang w:val="es-MX"/>
        </w:rPr>
        <w:t>splitting</w:t>
      </w:r>
      <w:r w:rsidRPr="007D54E4">
        <w:rPr>
          <w:rFonts w:ascii="ITC Avant Garde" w:hAnsi="ITC Avant Garde"/>
          <w:lang w:val="es-MX"/>
        </w:rPr>
        <w:t>, las características empleadas en el modelo toman como base los datos aportados por el AEP (</w:t>
      </w:r>
      <w:r w:rsidR="00CF7A58" w:rsidRPr="007D54E4">
        <w:rPr>
          <w:rFonts w:ascii="ITC Avant Garde" w:hAnsi="ITC Avant Garde"/>
          <w:lang w:val="es-MX"/>
        </w:rPr>
        <w:t xml:space="preserve">en concreto, el </w:t>
      </w:r>
      <w:r w:rsidRPr="007D54E4">
        <w:rPr>
          <w:rFonts w:ascii="ITC Avant Garde" w:hAnsi="ITC Avant Garde"/>
          <w:lang w:val="es-MX"/>
        </w:rPr>
        <w:t xml:space="preserve">uso de un factor 1:64 en dos etapas de 1:8). </w:t>
      </w:r>
    </w:p>
    <w:p w14:paraId="4C74F48A" w14:textId="28656536" w:rsidR="00A379AA" w:rsidRPr="007D54E4" w:rsidRDefault="00A379AA" w:rsidP="00A379AA">
      <w:pPr>
        <w:rPr>
          <w:rFonts w:ascii="ITC Avant Garde" w:hAnsi="ITC Avant Garde"/>
          <w:lang w:val="es-MX"/>
        </w:rPr>
      </w:pPr>
      <w:r w:rsidRPr="007D54E4">
        <w:rPr>
          <w:rFonts w:ascii="ITC Avant Garde" w:hAnsi="ITC Avant Garde"/>
          <w:lang w:val="es-MX"/>
        </w:rPr>
        <w:lastRenderedPageBreak/>
        <w:t>En lo tocante a los porcentajes de tramos aéreos considerados</w:t>
      </w:r>
      <w:r w:rsidR="000F58F3" w:rsidRPr="007D54E4">
        <w:rPr>
          <w:rFonts w:ascii="ITC Avant Garde" w:hAnsi="ITC Avant Garde"/>
          <w:lang w:val="es-MX"/>
        </w:rPr>
        <w:t xml:space="preserve"> en el modelo</w:t>
      </w:r>
      <w:r w:rsidRPr="007D54E4">
        <w:rPr>
          <w:rFonts w:ascii="ITC Avant Garde" w:hAnsi="ITC Avant Garde"/>
          <w:lang w:val="es-MX"/>
        </w:rPr>
        <w:t xml:space="preserve">, el Instituto señala que en la versión final de dicho modelo tales parámetros se </w:t>
      </w:r>
      <w:r w:rsidR="000F58F3" w:rsidRPr="007D54E4">
        <w:rPr>
          <w:rFonts w:ascii="ITC Avant Garde" w:hAnsi="ITC Avant Garde"/>
          <w:lang w:val="es-MX"/>
        </w:rPr>
        <w:t xml:space="preserve">revisaron </w:t>
      </w:r>
      <w:r w:rsidRPr="007D54E4">
        <w:rPr>
          <w:rFonts w:ascii="ITC Avant Garde" w:hAnsi="ITC Avant Garde"/>
          <w:lang w:val="es-MX"/>
        </w:rPr>
        <w:t>conforme a la información reportada por el AEP y los participantes de la consulta.</w:t>
      </w:r>
    </w:p>
    <w:p w14:paraId="3DD62202" w14:textId="0C6A8655" w:rsidR="00A379AA" w:rsidRPr="007D54E4" w:rsidRDefault="00A379AA" w:rsidP="00A379AA">
      <w:pPr>
        <w:rPr>
          <w:rFonts w:ascii="ITC Avant Garde" w:hAnsi="ITC Avant Garde"/>
          <w:lang w:val="es-MX"/>
        </w:rPr>
      </w:pPr>
      <w:r w:rsidRPr="007D54E4">
        <w:rPr>
          <w:rFonts w:ascii="ITC Avant Garde" w:hAnsi="ITC Avant Garde"/>
          <w:lang w:val="es-MX"/>
        </w:rPr>
        <w:t xml:space="preserve">Asimismo, el Instituto señala que </w:t>
      </w:r>
      <w:r w:rsidR="002C18B6" w:rsidRPr="007D54E4">
        <w:rPr>
          <w:rFonts w:ascii="ITC Avant Garde" w:hAnsi="ITC Avant Garde"/>
          <w:lang w:val="es-MX"/>
        </w:rPr>
        <w:t>la</w:t>
      </w:r>
      <w:r w:rsidRPr="007D54E4">
        <w:rPr>
          <w:rFonts w:ascii="ITC Avant Garde" w:hAnsi="ITC Avant Garde"/>
          <w:lang w:val="es-MX"/>
        </w:rPr>
        <w:t xml:space="preserve"> cobertura asociad</w:t>
      </w:r>
      <w:r w:rsidR="002C18B6" w:rsidRPr="007D54E4">
        <w:rPr>
          <w:rFonts w:ascii="ITC Avant Garde" w:hAnsi="ITC Avant Garde"/>
          <w:lang w:val="es-MX"/>
        </w:rPr>
        <w:t>a</w:t>
      </w:r>
      <w:r w:rsidRPr="007D54E4">
        <w:rPr>
          <w:rFonts w:ascii="ITC Avant Garde" w:hAnsi="ITC Avant Garde"/>
          <w:lang w:val="es-MX"/>
        </w:rPr>
        <w:t xml:space="preserve"> a los diferentes geotipos del modelo, toma como base la información del AEP al Instituto.</w:t>
      </w:r>
    </w:p>
    <w:p w14:paraId="5AE37254" w14:textId="18895ABC" w:rsidR="00A379AA" w:rsidRPr="007D54E4" w:rsidRDefault="00A379AA" w:rsidP="00A379AA">
      <w:pPr>
        <w:rPr>
          <w:rFonts w:ascii="ITC Avant Garde" w:hAnsi="ITC Avant Garde"/>
          <w:lang w:val="es-MX"/>
        </w:rPr>
      </w:pPr>
      <w:r w:rsidRPr="007D54E4">
        <w:rPr>
          <w:rFonts w:ascii="ITC Avant Garde" w:hAnsi="ITC Avant Garde"/>
          <w:lang w:val="es-MX"/>
        </w:rPr>
        <w:t xml:space="preserve">Por </w:t>
      </w:r>
      <w:r w:rsidR="0076361A" w:rsidRPr="007D54E4">
        <w:rPr>
          <w:rFonts w:ascii="ITC Avant Garde" w:hAnsi="ITC Avant Garde"/>
          <w:lang w:val="es-MX"/>
        </w:rPr>
        <w:t>lo que hacer a los que comentarios que sugieren que se debería tomar en</w:t>
      </w:r>
      <w:r w:rsidRPr="007D54E4">
        <w:rPr>
          <w:rFonts w:ascii="ITC Avant Garde" w:hAnsi="ITC Avant Garde"/>
          <w:lang w:val="es-MX"/>
        </w:rPr>
        <w:t xml:space="preserve"> cuenta la radiación y el ruido en el dimensionamiento del modelo, el Instituto señala que las redes de fibra óptica, debido su naturaleza, son especialmente inmunes a estos efectos, por lo que no se consideran relevantes realizar modificaciones </w:t>
      </w:r>
      <w:r w:rsidR="0076361A" w:rsidRPr="007D54E4">
        <w:rPr>
          <w:rFonts w:ascii="ITC Avant Garde" w:hAnsi="ITC Avant Garde"/>
          <w:lang w:val="es-MX"/>
        </w:rPr>
        <w:t xml:space="preserve">para </w:t>
      </w:r>
      <w:r w:rsidRPr="007D54E4">
        <w:rPr>
          <w:rFonts w:ascii="ITC Avant Garde" w:hAnsi="ITC Avant Garde"/>
          <w:lang w:val="es-MX"/>
        </w:rPr>
        <w:t>el modelo en torno a ello.</w:t>
      </w:r>
    </w:p>
    <w:p w14:paraId="62A5E4EB" w14:textId="686A9179" w:rsidR="00A379AA" w:rsidRPr="007D54E4" w:rsidRDefault="00A379AA" w:rsidP="00A379AA">
      <w:pPr>
        <w:rPr>
          <w:rFonts w:ascii="ITC Avant Garde" w:hAnsi="ITC Avant Garde"/>
          <w:lang w:val="es-MX"/>
        </w:rPr>
      </w:pPr>
      <w:r w:rsidRPr="007D54E4">
        <w:rPr>
          <w:rFonts w:ascii="ITC Avant Garde" w:hAnsi="ITC Avant Garde"/>
          <w:lang w:val="es-MX"/>
        </w:rPr>
        <w:t>Finalmente, en lo tocante a considerar un algoritmo de</w:t>
      </w:r>
      <w:r w:rsidRPr="009C0D93">
        <w:rPr>
          <w:rFonts w:ascii="ITC Avant Garde" w:hAnsi="ITC Avant Garde"/>
          <w:lang w:val="es-MX"/>
        </w:rPr>
        <w:t xml:space="preserve"> </w:t>
      </w:r>
      <w:r w:rsidRPr="007D54E4">
        <w:rPr>
          <w:rFonts w:ascii="ITC Avant Garde" w:hAnsi="ITC Avant Garde"/>
          <w:lang w:val="es-MX"/>
        </w:rPr>
        <w:t xml:space="preserve">“árbol de expiación mínima” en el diseño del modelo, el Instituto </w:t>
      </w:r>
      <w:r w:rsidR="00EE64CE" w:rsidRPr="007D54E4">
        <w:rPr>
          <w:rFonts w:ascii="ITC Avant Garde" w:hAnsi="ITC Avant Garde"/>
          <w:lang w:val="es-MX"/>
        </w:rPr>
        <w:t xml:space="preserve">reitera </w:t>
      </w:r>
      <w:r w:rsidRPr="007D54E4">
        <w:rPr>
          <w:rFonts w:ascii="ITC Avant Garde" w:hAnsi="ITC Avant Garde"/>
          <w:lang w:val="es-MX"/>
        </w:rPr>
        <w:t>que el análisis geográfico se basa en algoritmos de minimización, que son empleados en la práctica internacional, por lo cual no se consideran modificaciones particulares al respecto.</w:t>
      </w:r>
    </w:p>
    <w:p w14:paraId="7A4F31C0" w14:textId="357B83E5" w:rsidR="00477423" w:rsidRPr="007D54E4" w:rsidRDefault="00477423" w:rsidP="00000D47">
      <w:pPr>
        <w:pStyle w:val="Ttulo3"/>
        <w:rPr>
          <w:rFonts w:ascii="ITC Avant Garde" w:hAnsi="ITC Avant Garde"/>
          <w:lang w:val="es-ES_tradnl"/>
        </w:rPr>
      </w:pPr>
      <w:r w:rsidRPr="007D54E4">
        <w:rPr>
          <w:rFonts w:ascii="ITC Avant Garde" w:hAnsi="ITC Avant Garde"/>
          <w:lang w:val="es-ES_tradnl"/>
        </w:rPr>
        <w:t>¿</w:t>
      </w:r>
      <w:r w:rsidR="00000D47" w:rsidRPr="007D54E4">
        <w:rPr>
          <w:rFonts w:ascii="ITC Avant Garde" w:hAnsi="ITC Avant Garde"/>
          <w:lang w:val="es-ES_tradnl"/>
        </w:rPr>
        <w:t xml:space="preserve">Considera adecuada la utilización e implementación del enfoque </w:t>
      </w:r>
      <w:r w:rsidR="00000D47" w:rsidRPr="007D54E4">
        <w:rPr>
          <w:rFonts w:ascii="ITC Avant Garde" w:hAnsi="ITC Avant Garde"/>
          <w:i/>
          <w:lang w:val="es-ES_tradnl"/>
        </w:rPr>
        <w:t>Modified Scorched-Node</w:t>
      </w:r>
      <w:r w:rsidRPr="007D54E4">
        <w:rPr>
          <w:rFonts w:ascii="ITC Avant Garde" w:hAnsi="ITC Avant Garde"/>
          <w:lang w:val="es-ES_tradnl"/>
        </w:rPr>
        <w:t>?</w:t>
      </w:r>
    </w:p>
    <w:p w14:paraId="4B3497F9" w14:textId="77777777" w:rsidR="00477423" w:rsidRPr="007D54E4" w:rsidRDefault="00477423" w:rsidP="00477423">
      <w:pPr>
        <w:pStyle w:val="Ttulo3"/>
        <w:numPr>
          <w:ilvl w:val="0"/>
          <w:numId w:val="0"/>
        </w:numPr>
        <w:rPr>
          <w:rFonts w:ascii="ITC Avant Garde" w:hAnsi="ITC Avant Garde"/>
          <w:b w:val="0"/>
          <w:i/>
          <w:u w:val="single"/>
          <w:lang w:val="es-ES_tradnl"/>
        </w:rPr>
      </w:pPr>
      <w:r w:rsidRPr="007D54E4">
        <w:rPr>
          <w:rFonts w:ascii="ITC Avant Garde" w:hAnsi="ITC Avant Garde"/>
          <w:b w:val="0"/>
          <w:i/>
          <w:u w:val="single"/>
          <w:lang w:val="es-ES_tradnl"/>
        </w:rPr>
        <w:t>Resumen de comentarios de la Consulta Pública</w:t>
      </w:r>
    </w:p>
    <w:p w14:paraId="16C5F728" w14:textId="7972BD6D" w:rsidR="00A379AA" w:rsidRPr="009C0D93" w:rsidRDefault="00A379AA" w:rsidP="009C0D93">
      <w:pPr>
        <w:rPr>
          <w:rFonts w:ascii="ITC Avant Garde" w:hAnsi="ITC Avant Garde"/>
          <w:lang w:val="es-MX"/>
        </w:rPr>
      </w:pPr>
      <w:r w:rsidRPr="009C0D93">
        <w:rPr>
          <w:rFonts w:ascii="ITC Avant Garde" w:hAnsi="ITC Avant Garde"/>
          <w:lang w:val="es-MX"/>
        </w:rPr>
        <w:t>Al respecto, en términos generales los participantes están de acuerdo con emplear una aproximación Modified Scorched Node. En contraste,</w:t>
      </w:r>
      <w:r w:rsidR="00563BE7" w:rsidRPr="009C0D93">
        <w:rPr>
          <w:rFonts w:ascii="ITC Avant Garde" w:hAnsi="ITC Avant Garde"/>
          <w:lang w:val="es-MX"/>
        </w:rPr>
        <w:t xml:space="preserve"> uno de los participantes (Mega c</w:t>
      </w:r>
      <w:r w:rsidRPr="009C0D93">
        <w:rPr>
          <w:rFonts w:ascii="ITC Avant Garde" w:hAnsi="ITC Avant Garde"/>
          <w:lang w:val="es-MX"/>
        </w:rPr>
        <w:t>able) propone mantener consistencia con los modelos desarrollados por el Instituto para obtener los costos de interconexión y basar el modelo de fibra en un enfoque Scorched Earth.</w:t>
      </w:r>
    </w:p>
    <w:p w14:paraId="43A77BA8" w14:textId="66C087C5" w:rsidR="00A379AA" w:rsidRPr="007D54E4" w:rsidRDefault="00A379AA" w:rsidP="00A379AA">
      <w:pPr>
        <w:rPr>
          <w:rFonts w:ascii="ITC Avant Garde" w:hAnsi="ITC Avant Garde"/>
          <w:lang w:val="es-MX"/>
        </w:rPr>
      </w:pPr>
      <w:r w:rsidRPr="007D54E4">
        <w:rPr>
          <w:rFonts w:ascii="ITC Avant Garde" w:hAnsi="ITC Avant Garde"/>
          <w:lang w:val="es-MX"/>
        </w:rPr>
        <w:t xml:space="preserve">Por otro lado, ciertos participantes (Sres. Sánchez Colín, Domínguez Jardon y Velázquez Valdez) proponen la implementación de </w:t>
      </w:r>
      <w:r w:rsidR="00F20220" w:rsidRPr="007D54E4">
        <w:rPr>
          <w:rFonts w:ascii="ITC Avant Garde" w:hAnsi="ITC Avant Garde"/>
          <w:lang w:val="es-MX"/>
        </w:rPr>
        <w:t>un enfoque</w:t>
      </w:r>
      <w:r w:rsidRPr="007D54E4">
        <w:rPr>
          <w:rFonts w:ascii="ITC Avant Garde" w:hAnsi="ITC Avant Garde"/>
          <w:lang w:val="es-MX"/>
        </w:rPr>
        <w:t xml:space="preserve"> </w:t>
      </w:r>
      <w:r w:rsidRPr="009C0D93">
        <w:rPr>
          <w:rFonts w:ascii="ITC Avant Garde" w:hAnsi="ITC Avant Garde"/>
          <w:lang w:val="es-MX"/>
        </w:rPr>
        <w:t>Scorched Node</w:t>
      </w:r>
      <w:r w:rsidRPr="007D54E4">
        <w:rPr>
          <w:rFonts w:ascii="ITC Avant Garde" w:hAnsi="ITC Avant Garde"/>
          <w:lang w:val="es-MX"/>
        </w:rPr>
        <w:t xml:space="preserve"> o</w:t>
      </w:r>
      <w:r w:rsidRPr="009C0D93">
        <w:rPr>
          <w:rFonts w:ascii="ITC Avant Garde" w:hAnsi="ITC Avant Garde"/>
          <w:lang w:val="es-MX"/>
        </w:rPr>
        <w:t xml:space="preserve"> Scorched Earth</w:t>
      </w:r>
      <w:r w:rsidR="007B56A9" w:rsidRPr="009C0D93">
        <w:rPr>
          <w:rFonts w:ascii="ITC Avant Garde" w:hAnsi="ITC Avant Garde"/>
          <w:lang w:val="es-MX"/>
        </w:rPr>
        <w:t xml:space="preserve"> </w:t>
      </w:r>
      <w:r w:rsidR="00F20220" w:rsidRPr="009C0D93">
        <w:rPr>
          <w:rFonts w:ascii="ITC Avant Garde" w:hAnsi="ITC Avant Garde"/>
          <w:lang w:val="es-MX"/>
        </w:rPr>
        <w:t>para el modelo en cuestión</w:t>
      </w:r>
      <w:r w:rsidRPr="007D54E4">
        <w:rPr>
          <w:rFonts w:ascii="ITC Avant Garde" w:hAnsi="ITC Avant Garde"/>
          <w:lang w:val="es-MX"/>
        </w:rPr>
        <w:t xml:space="preserve">. </w:t>
      </w:r>
    </w:p>
    <w:p w14:paraId="0B3FAE1E" w14:textId="20D4181E" w:rsidR="00A379AA" w:rsidRPr="009C0D93" w:rsidRDefault="00A379AA" w:rsidP="00A379AA">
      <w:pPr>
        <w:rPr>
          <w:rFonts w:ascii="ITC Avant Garde" w:hAnsi="ITC Avant Garde"/>
          <w:lang w:val="es-MX"/>
        </w:rPr>
      </w:pPr>
      <w:r w:rsidRPr="007D54E4">
        <w:rPr>
          <w:rFonts w:ascii="ITC Avant Garde" w:hAnsi="ITC Avant Garde"/>
          <w:lang w:val="es-MX"/>
        </w:rPr>
        <w:t xml:space="preserve">En complemento, uno de los participantes (Telefónica) hace comentarios respecto al nivel de </w:t>
      </w:r>
      <w:r w:rsidRPr="009C0D93">
        <w:rPr>
          <w:rFonts w:ascii="ITC Avant Garde" w:hAnsi="ITC Avant Garde"/>
          <w:lang w:val="es-MX"/>
        </w:rPr>
        <w:t>splitting considerado en el modelo</w:t>
      </w:r>
      <w:r w:rsidRPr="007D54E4">
        <w:rPr>
          <w:rFonts w:ascii="ITC Avant Garde" w:hAnsi="ITC Avant Garde"/>
          <w:lang w:val="es-MX"/>
        </w:rPr>
        <w:t xml:space="preserve">, tema se </w:t>
      </w:r>
      <w:r w:rsidR="00F20220" w:rsidRPr="007D54E4">
        <w:rPr>
          <w:rFonts w:ascii="ITC Avant Garde" w:hAnsi="ITC Avant Garde"/>
          <w:lang w:val="es-MX"/>
        </w:rPr>
        <w:t xml:space="preserve">aborda </w:t>
      </w:r>
      <w:r w:rsidRPr="007D54E4">
        <w:rPr>
          <w:rFonts w:ascii="ITC Avant Garde" w:hAnsi="ITC Avant Garde"/>
          <w:lang w:val="es-MX"/>
        </w:rPr>
        <w:t>en la sección</w:t>
      </w:r>
      <w:r w:rsidR="003C6662" w:rsidRPr="007D54E4">
        <w:rPr>
          <w:rFonts w:ascii="ITC Avant Garde" w:hAnsi="ITC Avant Garde"/>
          <w:lang w:val="es-MX"/>
        </w:rPr>
        <w:t xml:space="preserve"> </w:t>
      </w:r>
      <w:r w:rsidR="003C6662" w:rsidRPr="007D54E4">
        <w:rPr>
          <w:rFonts w:ascii="ITC Avant Garde" w:hAnsi="ITC Avant Garde"/>
          <w:lang w:val="es-MX"/>
        </w:rPr>
        <w:fldChar w:fldCharType="begin"/>
      </w:r>
      <w:r w:rsidR="003C6662" w:rsidRPr="007D54E4">
        <w:rPr>
          <w:rFonts w:ascii="ITC Avant Garde" w:hAnsi="ITC Avant Garde"/>
          <w:lang w:val="es-MX"/>
        </w:rPr>
        <w:instrText xml:space="preserve"> REF _Ref529366396 \r \h </w:instrText>
      </w:r>
      <w:r w:rsidR="007D54E4" w:rsidRPr="007D54E4">
        <w:rPr>
          <w:rFonts w:ascii="ITC Avant Garde" w:hAnsi="ITC Avant Garde"/>
          <w:lang w:val="es-MX"/>
        </w:rPr>
        <w:instrText xml:space="preserve"> \* MERGEFORMAT </w:instrText>
      </w:r>
      <w:r w:rsidR="003C6662" w:rsidRPr="007D54E4">
        <w:rPr>
          <w:rFonts w:ascii="ITC Avant Garde" w:hAnsi="ITC Avant Garde"/>
          <w:lang w:val="es-MX"/>
        </w:rPr>
      </w:r>
      <w:r w:rsidR="003C6662" w:rsidRPr="007D54E4">
        <w:rPr>
          <w:rFonts w:ascii="ITC Avant Garde" w:hAnsi="ITC Avant Garde"/>
          <w:lang w:val="es-MX"/>
        </w:rPr>
        <w:fldChar w:fldCharType="separate"/>
      </w:r>
      <w:r w:rsidR="003C6662" w:rsidRPr="007D54E4">
        <w:rPr>
          <w:rFonts w:ascii="ITC Avant Garde" w:hAnsi="ITC Avant Garde"/>
          <w:lang w:val="es-MX"/>
        </w:rPr>
        <w:t>2.6</w:t>
      </w:r>
      <w:r w:rsidR="003C6662" w:rsidRPr="007D54E4">
        <w:rPr>
          <w:rFonts w:ascii="ITC Avant Garde" w:hAnsi="ITC Avant Garde"/>
          <w:lang w:val="es-MX"/>
        </w:rPr>
        <w:fldChar w:fldCharType="end"/>
      </w:r>
      <w:r w:rsidRPr="007D54E4">
        <w:rPr>
          <w:rFonts w:ascii="ITC Avant Garde" w:hAnsi="ITC Avant Garde"/>
          <w:lang w:val="es-MX"/>
        </w:rPr>
        <w:t>.</w:t>
      </w:r>
    </w:p>
    <w:p w14:paraId="771988DD" w14:textId="4CD7C91C" w:rsidR="00477423" w:rsidRPr="007D54E4" w:rsidRDefault="00477423" w:rsidP="00477423">
      <w:pPr>
        <w:pStyle w:val="Ttulo3"/>
        <w:numPr>
          <w:ilvl w:val="0"/>
          <w:numId w:val="0"/>
        </w:numPr>
        <w:rPr>
          <w:rFonts w:ascii="ITC Avant Garde" w:hAnsi="ITC Avant Garde"/>
          <w:b w:val="0"/>
          <w:i/>
          <w:u w:val="single"/>
          <w:lang w:val="es-ES_tradnl"/>
        </w:rPr>
      </w:pPr>
      <w:r w:rsidRPr="007D54E4">
        <w:rPr>
          <w:rFonts w:ascii="ITC Avant Garde" w:hAnsi="ITC Avant Garde"/>
          <w:b w:val="0"/>
          <w:i/>
          <w:u w:val="single"/>
          <w:lang w:val="es-ES_tradnl"/>
        </w:rPr>
        <w:t>Respuesta del Instituto</w:t>
      </w:r>
    </w:p>
    <w:p w14:paraId="65FFAEBE" w14:textId="31F638C7" w:rsidR="00A379AA" w:rsidRPr="007D54E4" w:rsidRDefault="00A379AA" w:rsidP="00A379AA">
      <w:pPr>
        <w:rPr>
          <w:rFonts w:ascii="ITC Avant Garde" w:hAnsi="ITC Avant Garde"/>
          <w:lang w:val="es-MX"/>
        </w:rPr>
      </w:pPr>
      <w:r w:rsidRPr="007D54E4">
        <w:rPr>
          <w:rFonts w:ascii="ITC Avant Garde" w:hAnsi="ITC Avant Garde"/>
          <w:lang w:val="es-MX"/>
        </w:rPr>
        <w:t xml:space="preserve">En referencia a considerar un enfoque </w:t>
      </w:r>
      <w:r w:rsidRPr="007D54E4">
        <w:rPr>
          <w:rFonts w:ascii="ITC Avant Garde" w:hAnsi="ITC Avant Garde"/>
          <w:i/>
          <w:iCs/>
          <w:lang w:val="es-MX"/>
        </w:rPr>
        <w:t>Scorched Earth</w:t>
      </w:r>
      <w:r w:rsidRPr="007D54E4">
        <w:rPr>
          <w:rFonts w:ascii="ITC Avant Garde" w:hAnsi="ITC Avant Garde"/>
          <w:iCs/>
          <w:lang w:val="es-MX"/>
        </w:rPr>
        <w:t>, el Instituto considera que tal enfoque es</w:t>
      </w:r>
      <w:r w:rsidRPr="007D54E4">
        <w:rPr>
          <w:rFonts w:ascii="ITC Avant Garde" w:hAnsi="ITC Avant Garde"/>
          <w:lang w:val="es-MX"/>
        </w:rPr>
        <w:t xml:space="preserve"> común en el desarrollo de modelos de interconexión, sin embargo, la práctica internacional para el diseño de modelos de redes de acceso fijo se basa típicamente en aproximaciones </w:t>
      </w:r>
      <w:r w:rsidRPr="007D54E4">
        <w:rPr>
          <w:rFonts w:ascii="ITC Avant Garde" w:hAnsi="ITC Avant Garde"/>
          <w:i/>
          <w:iCs/>
          <w:lang w:val="es-MX"/>
        </w:rPr>
        <w:t>Scorched Node</w:t>
      </w:r>
      <w:r w:rsidRPr="007D54E4">
        <w:rPr>
          <w:rFonts w:ascii="ITC Avant Garde" w:hAnsi="ITC Avant Garde"/>
          <w:lang w:val="es-MX"/>
        </w:rPr>
        <w:t xml:space="preserve"> o </w:t>
      </w:r>
      <w:r w:rsidRPr="007D54E4">
        <w:rPr>
          <w:rFonts w:ascii="ITC Avant Garde" w:hAnsi="ITC Avant Garde"/>
          <w:i/>
          <w:iCs/>
          <w:lang w:val="es-MX"/>
        </w:rPr>
        <w:t>Modified Scorched Node</w:t>
      </w:r>
      <w:r w:rsidRPr="007D54E4">
        <w:rPr>
          <w:rFonts w:ascii="ITC Avant Garde" w:hAnsi="ITC Avant Garde"/>
          <w:lang w:val="es-MX"/>
        </w:rPr>
        <w:t xml:space="preserve">, </w:t>
      </w:r>
      <w:r w:rsidRPr="007D54E4">
        <w:rPr>
          <w:rFonts w:ascii="ITC Avant Garde" w:hAnsi="ITC Avant Garde"/>
          <w:lang w:val="es-MX"/>
        </w:rPr>
        <w:lastRenderedPageBreak/>
        <w:t>por lo cual no se considera procedente realizar modificaciones a la versión final del modelo a este respecto.</w:t>
      </w:r>
      <w:r w:rsidR="00A72495" w:rsidRPr="007D54E4">
        <w:rPr>
          <w:rFonts w:ascii="ITC Avant Garde" w:hAnsi="ITC Avant Garde"/>
          <w:lang w:val="es-MX"/>
        </w:rPr>
        <w:t xml:space="preserve"> De hecho, dicho enfoque es similar al que el propio Instituto empleo en otro modelo de la red de acceso de AEP, basado en par de cobre, </w:t>
      </w:r>
      <w:r w:rsidR="004E4F9A" w:rsidRPr="007D54E4">
        <w:rPr>
          <w:rFonts w:ascii="ITC Avant Garde" w:hAnsi="ITC Avant Garde"/>
          <w:lang w:val="es-MX"/>
        </w:rPr>
        <w:t>denominado</w:t>
      </w:r>
      <w:r w:rsidR="000D621D" w:rsidRPr="007D54E4">
        <w:rPr>
          <w:rFonts w:ascii="ITC Avant Garde" w:hAnsi="ITC Avant Garde"/>
          <w:lang w:val="es-MX"/>
        </w:rPr>
        <w:t xml:space="preserve"> </w:t>
      </w:r>
      <w:r w:rsidR="00A72495" w:rsidRPr="007D54E4">
        <w:rPr>
          <w:rFonts w:ascii="ITC Avant Garde" w:hAnsi="ITC Avant Garde"/>
          <w:lang w:val="es-MX"/>
        </w:rPr>
        <w:t xml:space="preserve">“Modelo de red de acceso fija para servicios de desagregación y compartición de infraestructura”, </w:t>
      </w:r>
      <w:r w:rsidR="004E4F9A" w:rsidRPr="007D54E4">
        <w:rPr>
          <w:rFonts w:ascii="ITC Avant Garde" w:hAnsi="ITC Avant Garde"/>
          <w:lang w:val="es-MX"/>
        </w:rPr>
        <w:t>dentro del contexto de la</w:t>
      </w:r>
      <w:r w:rsidR="00A72495" w:rsidRPr="007D54E4">
        <w:rPr>
          <w:rFonts w:ascii="ITC Avant Garde" w:hAnsi="ITC Avant Garde"/>
          <w:lang w:val="es-MX"/>
        </w:rPr>
        <w:t xml:space="preserve"> “Consulta pública sobre los modelos de costos para determinar tarifas de los servicios prestados por el Agente Económico Preponderante en el sector de las telecomunicaciones”</w:t>
      </w:r>
      <w:r w:rsidR="00A72495" w:rsidRPr="007D54E4">
        <w:rPr>
          <w:rStyle w:val="Refdenotaalpie"/>
          <w:rFonts w:ascii="ITC Avant Garde" w:hAnsi="ITC Avant Garde"/>
          <w:sz w:val="22"/>
        </w:rPr>
        <w:footnoteReference w:id="17"/>
      </w:r>
      <w:r w:rsidR="00A72495" w:rsidRPr="007D54E4">
        <w:rPr>
          <w:rFonts w:ascii="ITC Avant Garde" w:hAnsi="ITC Avant Garde"/>
          <w:lang w:val="es-MX"/>
        </w:rPr>
        <w:t>, realizada por el Instituto en el periodo 1 de Octubre de 2015 al 11 de Noviembre de 2015.</w:t>
      </w:r>
    </w:p>
    <w:p w14:paraId="1CDF9574" w14:textId="465CE94E" w:rsidR="00A379AA" w:rsidRPr="007D54E4" w:rsidRDefault="00A379AA" w:rsidP="00A379AA">
      <w:pPr>
        <w:rPr>
          <w:rFonts w:ascii="ITC Avant Garde" w:hAnsi="ITC Avant Garde"/>
          <w:lang w:val="es-MX"/>
        </w:rPr>
      </w:pPr>
      <w:r w:rsidRPr="007D54E4">
        <w:rPr>
          <w:rFonts w:ascii="ITC Avant Garde" w:hAnsi="ITC Avant Garde"/>
          <w:lang w:val="es-MX"/>
        </w:rPr>
        <w:t xml:space="preserve">Asimismo, la adopción de la aproximación </w:t>
      </w:r>
      <w:r w:rsidRPr="007D54E4">
        <w:rPr>
          <w:rFonts w:ascii="ITC Avant Garde" w:hAnsi="ITC Avant Garde"/>
          <w:i/>
          <w:iCs/>
          <w:lang w:val="es-MX"/>
        </w:rPr>
        <w:t>Scorched Node</w:t>
      </w:r>
      <w:r w:rsidRPr="007D54E4">
        <w:rPr>
          <w:rFonts w:ascii="ITC Avant Garde" w:hAnsi="ITC Avant Garde"/>
          <w:lang w:val="es-MX"/>
        </w:rPr>
        <w:t xml:space="preserve"> no considera apropiada para el modelo</w:t>
      </w:r>
      <w:r w:rsidR="00ED0B3C" w:rsidRPr="007D54E4">
        <w:rPr>
          <w:rFonts w:ascii="ITC Avant Garde" w:hAnsi="ITC Avant Garde"/>
          <w:lang w:val="es-MX"/>
        </w:rPr>
        <w:t xml:space="preserve"> por el Instituto</w:t>
      </w:r>
      <w:r w:rsidRPr="007D54E4">
        <w:rPr>
          <w:rFonts w:ascii="ITC Avant Garde" w:hAnsi="ITC Avant Garde"/>
          <w:lang w:val="es-MX"/>
        </w:rPr>
        <w:t xml:space="preserve">, dado que </w:t>
      </w:r>
      <w:r w:rsidR="00FB0ACF" w:rsidRPr="007D54E4">
        <w:rPr>
          <w:rFonts w:ascii="ITC Avant Garde" w:hAnsi="ITC Avant Garde"/>
          <w:lang w:val="es-MX"/>
        </w:rPr>
        <w:t>bajo dicho enfoque, se toma en cuenta a</w:t>
      </w:r>
      <w:r w:rsidRPr="007D54E4">
        <w:rPr>
          <w:rFonts w:ascii="ITC Avant Garde" w:hAnsi="ITC Avant Garde"/>
          <w:lang w:val="es-MX"/>
        </w:rPr>
        <w:t xml:space="preserve"> conjunto estático de nodos para el diseño de la red</w:t>
      </w:r>
      <w:r w:rsidR="00ED0B3C" w:rsidRPr="007D54E4">
        <w:rPr>
          <w:rFonts w:ascii="ITC Avant Garde" w:hAnsi="ITC Avant Garde"/>
          <w:lang w:val="es-MX"/>
        </w:rPr>
        <w:t>, lo cual</w:t>
      </w:r>
      <w:r w:rsidRPr="007D54E4">
        <w:rPr>
          <w:rFonts w:ascii="ITC Avant Garde" w:hAnsi="ITC Avant Garde"/>
          <w:lang w:val="es-MX"/>
        </w:rPr>
        <w:t xml:space="preserve"> sería inconsistente con un modelo de múltiples años</w:t>
      </w:r>
      <w:r w:rsidR="00ED0B3C" w:rsidRPr="007D54E4">
        <w:rPr>
          <w:rFonts w:ascii="ITC Avant Garde" w:hAnsi="ITC Avant Garde"/>
          <w:lang w:val="es-MX"/>
        </w:rPr>
        <w:t>, como en que nos ocupa, a través del cual se pretenden</w:t>
      </w:r>
      <w:r w:rsidRPr="007D54E4">
        <w:rPr>
          <w:rFonts w:ascii="ITC Avant Garde" w:hAnsi="ITC Avant Garde"/>
          <w:lang w:val="es-MX"/>
        </w:rPr>
        <w:t xml:space="preserve"> estimar resultados para el futuro.</w:t>
      </w:r>
    </w:p>
    <w:p w14:paraId="363BACE8" w14:textId="7B349B88" w:rsidR="00477423" w:rsidRPr="007D54E4" w:rsidRDefault="00477423" w:rsidP="00857352">
      <w:pPr>
        <w:pStyle w:val="Ttulo3"/>
        <w:rPr>
          <w:rFonts w:ascii="ITC Avant Garde" w:hAnsi="ITC Avant Garde"/>
          <w:lang w:val="es-ES_tradnl"/>
        </w:rPr>
      </w:pPr>
      <w:bookmarkStart w:id="4" w:name="_Ref529371172"/>
      <w:r w:rsidRPr="007D54E4">
        <w:rPr>
          <w:rFonts w:ascii="ITC Avant Garde" w:hAnsi="ITC Avant Garde"/>
          <w:lang w:val="es-ES_tradnl"/>
        </w:rPr>
        <w:t>¿</w:t>
      </w:r>
      <w:r w:rsidR="00857352" w:rsidRPr="007D54E4">
        <w:rPr>
          <w:rFonts w:ascii="ITC Avant Garde" w:hAnsi="ITC Avant Garde"/>
          <w:lang w:val="es-ES_tradnl"/>
        </w:rPr>
        <w:t xml:space="preserve">Considera adecuada la metodología del cálculo del CAPEX </w:t>
      </w:r>
      <w:r w:rsidR="009253CA" w:rsidRPr="007D54E4">
        <w:rPr>
          <w:rFonts w:ascii="ITC Avant Garde" w:hAnsi="ITC Avant Garde"/>
          <w:lang w:val="es-ES_tradnl"/>
        </w:rPr>
        <w:t>y</w:t>
      </w:r>
      <w:r w:rsidR="00857352" w:rsidRPr="007D54E4">
        <w:rPr>
          <w:rFonts w:ascii="ITC Avant Garde" w:hAnsi="ITC Avant Garde"/>
          <w:lang w:val="es-ES_tradnl"/>
        </w:rPr>
        <w:t xml:space="preserve"> OPEX</w:t>
      </w:r>
      <w:r w:rsidRPr="007D54E4">
        <w:rPr>
          <w:rFonts w:ascii="ITC Avant Garde" w:hAnsi="ITC Avant Garde"/>
          <w:lang w:val="es-ES_tradnl"/>
        </w:rPr>
        <w:t>?</w:t>
      </w:r>
      <w:bookmarkEnd w:id="4"/>
    </w:p>
    <w:p w14:paraId="2A65025F" w14:textId="77777777" w:rsidR="00477423" w:rsidRPr="007D54E4" w:rsidRDefault="00477423" w:rsidP="00477423">
      <w:pPr>
        <w:pStyle w:val="Ttulo3"/>
        <w:numPr>
          <w:ilvl w:val="0"/>
          <w:numId w:val="0"/>
        </w:numPr>
        <w:rPr>
          <w:rFonts w:ascii="ITC Avant Garde" w:hAnsi="ITC Avant Garde"/>
          <w:b w:val="0"/>
          <w:i/>
          <w:u w:val="single"/>
          <w:lang w:val="es-ES_tradnl"/>
        </w:rPr>
      </w:pPr>
      <w:r w:rsidRPr="007D54E4">
        <w:rPr>
          <w:rFonts w:ascii="ITC Avant Garde" w:hAnsi="ITC Avant Garde"/>
          <w:b w:val="0"/>
          <w:i/>
          <w:u w:val="single"/>
          <w:lang w:val="es-ES_tradnl"/>
        </w:rPr>
        <w:t>Resumen de comentarios de la Consulta Pública</w:t>
      </w:r>
    </w:p>
    <w:p w14:paraId="716B75F8" w14:textId="756F2DF9" w:rsidR="00A379AA" w:rsidRPr="00CA0B9B" w:rsidRDefault="00F00EEA" w:rsidP="00CA0B9B">
      <w:pPr>
        <w:rPr>
          <w:rFonts w:ascii="ITC Avant Garde" w:hAnsi="ITC Avant Garde"/>
          <w:lang w:val="es-MX"/>
        </w:rPr>
      </w:pPr>
      <w:r w:rsidRPr="00CA0B9B">
        <w:rPr>
          <w:rFonts w:ascii="ITC Avant Garde" w:hAnsi="ITC Avant Garde"/>
          <w:lang w:val="es-MX"/>
        </w:rPr>
        <w:t>L</w:t>
      </w:r>
      <w:r w:rsidR="00A379AA" w:rsidRPr="00CA0B9B">
        <w:rPr>
          <w:rFonts w:ascii="ITC Avant Garde" w:hAnsi="ITC Avant Garde"/>
          <w:lang w:val="es-MX"/>
        </w:rPr>
        <w:t>os comentarios recibidos con respecto a la metodología de cálculo del OPEX y CAPEX se resumen a continuación:</w:t>
      </w:r>
    </w:p>
    <w:p w14:paraId="4299A1DB" w14:textId="4543A517" w:rsidR="00A379AA" w:rsidRPr="00CA0B9B" w:rsidRDefault="00563BE7" w:rsidP="00CA0B9B">
      <w:pPr>
        <w:pStyle w:val="Prrafodelista"/>
        <w:numPr>
          <w:ilvl w:val="0"/>
          <w:numId w:val="24"/>
        </w:numPr>
        <w:rPr>
          <w:rFonts w:ascii="ITC Avant Garde" w:hAnsi="ITC Avant Garde"/>
          <w:lang w:val="es-MX"/>
        </w:rPr>
      </w:pPr>
      <w:r w:rsidRPr="00CA0B9B">
        <w:rPr>
          <w:rFonts w:ascii="ITC Avant Garde" w:hAnsi="ITC Avant Garde"/>
          <w:lang w:val="es-MX"/>
        </w:rPr>
        <w:t>Uno de los participantes (Mega C</w:t>
      </w:r>
      <w:r w:rsidR="00A379AA" w:rsidRPr="00CA0B9B">
        <w:rPr>
          <w:rFonts w:ascii="ITC Avant Garde" w:hAnsi="ITC Avant Garde"/>
          <w:lang w:val="es-MX"/>
        </w:rPr>
        <w:t>able) considera que sólo se deberían incluir los elementos considerados incrementales, es decir, aquellos sensibles a</w:t>
      </w:r>
      <w:r w:rsidR="002D01F1" w:rsidRPr="00CA0B9B">
        <w:rPr>
          <w:rFonts w:ascii="ITC Avant Garde" w:hAnsi="ITC Avant Garde"/>
          <w:lang w:val="es-MX"/>
        </w:rPr>
        <w:t xml:space="preserve"> </w:t>
      </w:r>
      <w:r w:rsidR="00A379AA" w:rsidRPr="00CA0B9B">
        <w:rPr>
          <w:rFonts w:ascii="ITC Avant Garde" w:hAnsi="ITC Avant Garde"/>
          <w:lang w:val="es-MX"/>
        </w:rPr>
        <w:t>los servicios modelados.</w:t>
      </w:r>
    </w:p>
    <w:p w14:paraId="1AE324A7" w14:textId="77777777" w:rsidR="00A379AA" w:rsidRPr="00CA0B9B" w:rsidRDefault="00A379AA" w:rsidP="00CA0B9B">
      <w:pPr>
        <w:pStyle w:val="Prrafodelista"/>
        <w:numPr>
          <w:ilvl w:val="0"/>
          <w:numId w:val="24"/>
        </w:numPr>
        <w:rPr>
          <w:rFonts w:ascii="ITC Avant Garde" w:hAnsi="ITC Avant Garde"/>
          <w:lang w:val="es-MX"/>
        </w:rPr>
      </w:pPr>
      <w:r w:rsidRPr="00CA0B9B">
        <w:rPr>
          <w:rFonts w:ascii="ITC Avant Garde" w:hAnsi="ITC Avant Garde"/>
          <w:lang w:val="es-MX"/>
        </w:rPr>
        <w:t>En complemento, dicho participante sugiere que sólo se consideren los costos asociados a la red de acceso.</w:t>
      </w:r>
    </w:p>
    <w:p w14:paraId="1701E932" w14:textId="77059A9B" w:rsidR="00A379AA" w:rsidRPr="00CA0B9B" w:rsidRDefault="00A379AA" w:rsidP="00CA0B9B">
      <w:pPr>
        <w:pStyle w:val="Prrafodelista"/>
        <w:numPr>
          <w:ilvl w:val="0"/>
          <w:numId w:val="24"/>
        </w:numPr>
        <w:rPr>
          <w:rFonts w:ascii="ITC Avant Garde" w:hAnsi="ITC Avant Garde"/>
          <w:lang w:val="es-MX"/>
        </w:rPr>
      </w:pPr>
      <w:r w:rsidRPr="00CA0B9B">
        <w:rPr>
          <w:rFonts w:ascii="ITC Avant Garde" w:hAnsi="ITC Avant Garde"/>
          <w:lang w:val="es-MX"/>
        </w:rPr>
        <w:t xml:space="preserve">Asimismo, éste </w:t>
      </w:r>
      <w:r w:rsidR="002D01F1" w:rsidRPr="00CA0B9B">
        <w:rPr>
          <w:rFonts w:ascii="ITC Avant Garde" w:hAnsi="ITC Avant Garde"/>
          <w:lang w:val="es-MX"/>
        </w:rPr>
        <w:t xml:space="preserve">mismo </w:t>
      </w:r>
      <w:r w:rsidRPr="00CA0B9B">
        <w:rPr>
          <w:rFonts w:ascii="ITC Avant Garde" w:hAnsi="ITC Avant Garde"/>
          <w:lang w:val="es-MX"/>
        </w:rPr>
        <w:t xml:space="preserve">participante considera que se deberían tener en cuenta todos los servicios que emplean la infraestructura civil de acceso. </w:t>
      </w:r>
    </w:p>
    <w:p w14:paraId="3F5BE46D" w14:textId="4F21321B" w:rsidR="00A379AA" w:rsidRPr="00CA0B9B" w:rsidRDefault="00A379AA" w:rsidP="00CA0B9B">
      <w:pPr>
        <w:pStyle w:val="Prrafodelista"/>
        <w:numPr>
          <w:ilvl w:val="0"/>
          <w:numId w:val="24"/>
        </w:numPr>
        <w:rPr>
          <w:rFonts w:ascii="ITC Avant Garde" w:hAnsi="ITC Avant Garde"/>
          <w:lang w:val="es-MX"/>
        </w:rPr>
      </w:pPr>
      <w:r w:rsidRPr="00CA0B9B">
        <w:rPr>
          <w:rFonts w:ascii="ITC Avant Garde" w:hAnsi="ITC Avant Garde"/>
          <w:lang w:val="es-MX"/>
        </w:rPr>
        <w:t xml:space="preserve">Por otra parte, </w:t>
      </w:r>
      <w:r w:rsidR="002D01F1" w:rsidRPr="00CA0B9B">
        <w:rPr>
          <w:rFonts w:ascii="ITC Avant Garde" w:hAnsi="ITC Avant Garde"/>
          <w:lang w:val="es-MX"/>
        </w:rPr>
        <w:t>e</w:t>
      </w:r>
      <w:r w:rsidR="00213768" w:rsidRPr="00CA0B9B">
        <w:rPr>
          <w:rFonts w:ascii="ITC Avant Garde" w:hAnsi="ITC Avant Garde"/>
          <w:lang w:val="es-MX"/>
        </w:rPr>
        <w:t>l</w:t>
      </w:r>
      <w:r w:rsidR="002D01F1" w:rsidRPr="00CA0B9B">
        <w:rPr>
          <w:rFonts w:ascii="ITC Avant Garde" w:hAnsi="ITC Avant Garde"/>
          <w:lang w:val="es-MX"/>
        </w:rPr>
        <w:t xml:space="preserve"> </w:t>
      </w:r>
      <w:r w:rsidRPr="00CA0B9B">
        <w:rPr>
          <w:rFonts w:ascii="ITC Avant Garde" w:hAnsi="ITC Avant Garde"/>
          <w:lang w:val="es-MX"/>
        </w:rPr>
        <w:t>participante</w:t>
      </w:r>
      <w:r w:rsidR="002D01F1" w:rsidRPr="00CA0B9B">
        <w:rPr>
          <w:rFonts w:ascii="ITC Avant Garde" w:hAnsi="ITC Avant Garde"/>
          <w:lang w:val="es-MX"/>
        </w:rPr>
        <w:t xml:space="preserve"> en comento</w:t>
      </w:r>
      <w:r w:rsidRPr="00CA0B9B">
        <w:rPr>
          <w:rFonts w:ascii="ITC Avant Garde" w:hAnsi="ITC Avant Garde"/>
          <w:lang w:val="es-MX"/>
        </w:rPr>
        <w:t xml:space="preserve"> expresa dudas sobre si se están considerando las “tecnologías más eficientes disponibles comercialmente”.</w:t>
      </w:r>
    </w:p>
    <w:p w14:paraId="43570B74" w14:textId="77777777" w:rsidR="00A379AA" w:rsidRPr="00CA0B9B" w:rsidRDefault="00A379AA" w:rsidP="00CA0B9B">
      <w:pPr>
        <w:pStyle w:val="Prrafodelista"/>
        <w:numPr>
          <w:ilvl w:val="0"/>
          <w:numId w:val="24"/>
        </w:numPr>
        <w:rPr>
          <w:rFonts w:ascii="ITC Avant Garde" w:hAnsi="ITC Avant Garde"/>
          <w:lang w:val="es-MX"/>
        </w:rPr>
      </w:pPr>
      <w:r w:rsidRPr="00CA0B9B">
        <w:rPr>
          <w:rFonts w:ascii="ITC Avant Garde" w:hAnsi="ITC Avant Garde"/>
          <w:lang w:val="es-MX"/>
        </w:rPr>
        <w:t>En adición, dicho participante considera que no es claro cómo se implementa la metodología de “capacidad requerida” para el reparto de costos comunes de red.</w:t>
      </w:r>
    </w:p>
    <w:p w14:paraId="7D5F4385" w14:textId="00D7C81C" w:rsidR="00A379AA" w:rsidRPr="00CA0B9B" w:rsidRDefault="00A379AA" w:rsidP="00CA0B9B">
      <w:pPr>
        <w:pStyle w:val="Prrafodelista"/>
        <w:numPr>
          <w:ilvl w:val="0"/>
          <w:numId w:val="24"/>
        </w:numPr>
        <w:rPr>
          <w:rFonts w:ascii="ITC Avant Garde" w:hAnsi="ITC Avant Garde"/>
          <w:lang w:val="es-MX"/>
        </w:rPr>
      </w:pPr>
      <w:r w:rsidRPr="00CA0B9B">
        <w:rPr>
          <w:rFonts w:ascii="ITC Avant Garde" w:hAnsi="ITC Avant Garde"/>
          <w:lang w:val="es-MX"/>
        </w:rPr>
        <w:t>Por su parte, uno de los participantes (CANIETI) considera que se debería emplea</w:t>
      </w:r>
      <w:r w:rsidR="002D01F1" w:rsidRPr="00CA0B9B">
        <w:rPr>
          <w:rFonts w:ascii="ITC Avant Garde" w:hAnsi="ITC Avant Garde"/>
          <w:lang w:val="es-MX"/>
        </w:rPr>
        <w:t>r</w:t>
      </w:r>
      <w:r w:rsidRPr="00CA0B9B">
        <w:rPr>
          <w:rFonts w:ascii="ITC Avant Garde" w:hAnsi="ITC Avant Garde"/>
          <w:lang w:val="es-MX"/>
        </w:rPr>
        <w:t xml:space="preserve"> la metodología Ramsey Pricing.</w:t>
      </w:r>
    </w:p>
    <w:p w14:paraId="4AAE321D" w14:textId="77777777" w:rsidR="00A379AA" w:rsidRPr="00CA0B9B" w:rsidRDefault="00A379AA" w:rsidP="00CA0B9B">
      <w:pPr>
        <w:pStyle w:val="Prrafodelista"/>
        <w:numPr>
          <w:ilvl w:val="0"/>
          <w:numId w:val="24"/>
        </w:numPr>
        <w:rPr>
          <w:rFonts w:ascii="ITC Avant Garde" w:hAnsi="ITC Avant Garde"/>
          <w:lang w:val="es-MX"/>
        </w:rPr>
      </w:pPr>
      <w:r w:rsidRPr="00CA0B9B">
        <w:rPr>
          <w:rFonts w:ascii="ITC Avant Garde" w:hAnsi="ITC Avant Garde"/>
          <w:lang w:val="es-MX"/>
        </w:rPr>
        <w:t>En otro sentido, ciertos participantes (Sres. Sánchez Colín, Domínguez Jardon, Velázquez Valdez, Chepe Campuzano y Sánchez Dávila) proponen la inclusión de otros costos como los de transacción, ambientales y de preparación del capital humano.</w:t>
      </w:r>
    </w:p>
    <w:p w14:paraId="17C5527D" w14:textId="77777777" w:rsidR="00A379AA" w:rsidRPr="00CA0B9B" w:rsidRDefault="00A379AA" w:rsidP="00CA0B9B">
      <w:pPr>
        <w:pStyle w:val="Prrafodelista"/>
        <w:numPr>
          <w:ilvl w:val="0"/>
          <w:numId w:val="24"/>
        </w:numPr>
        <w:rPr>
          <w:rFonts w:ascii="ITC Avant Garde" w:hAnsi="ITC Avant Garde"/>
          <w:lang w:val="es-MX"/>
        </w:rPr>
      </w:pPr>
      <w:r w:rsidRPr="00CA0B9B">
        <w:rPr>
          <w:rFonts w:ascii="ITC Avant Garde" w:hAnsi="ITC Avant Garde"/>
          <w:lang w:val="es-MX"/>
        </w:rPr>
        <w:lastRenderedPageBreak/>
        <w:t xml:space="preserve">Asimismo, determinados participantes (Sres. Barrios González, Gutiérrez Gabino y Pérez Pinto) sugieren la homogenización de la moneda empleada. </w:t>
      </w:r>
    </w:p>
    <w:p w14:paraId="07FA319F" w14:textId="77777777" w:rsidR="00A379AA" w:rsidRPr="00CA0B9B" w:rsidRDefault="00A379AA" w:rsidP="00CA0B9B">
      <w:pPr>
        <w:pStyle w:val="Prrafodelista"/>
        <w:numPr>
          <w:ilvl w:val="0"/>
          <w:numId w:val="24"/>
        </w:numPr>
        <w:rPr>
          <w:rFonts w:ascii="ITC Avant Garde" w:hAnsi="ITC Avant Garde"/>
          <w:lang w:val="es-MX"/>
        </w:rPr>
      </w:pPr>
      <w:r w:rsidRPr="00CA0B9B">
        <w:rPr>
          <w:rFonts w:ascii="ITC Avant Garde" w:hAnsi="ITC Avant Garde"/>
          <w:lang w:val="es-MX"/>
        </w:rPr>
        <w:t xml:space="preserve">En adición, uno de los participantes (Sr. Perea Gómez) propone considerar la volatilidad de los cambios de moneda. </w:t>
      </w:r>
    </w:p>
    <w:p w14:paraId="244E5AAF" w14:textId="77777777" w:rsidR="00A379AA" w:rsidRPr="009C0D93" w:rsidRDefault="00A379AA" w:rsidP="009C0D93">
      <w:pPr>
        <w:rPr>
          <w:rFonts w:ascii="ITC Avant Garde" w:hAnsi="ITC Avant Garde"/>
          <w:lang w:val="es-MX"/>
        </w:rPr>
      </w:pPr>
      <w:r w:rsidRPr="009C0D93">
        <w:rPr>
          <w:rFonts w:ascii="ITC Avant Garde" w:hAnsi="ITC Avant Garde"/>
          <w:lang w:val="es-MX"/>
        </w:rPr>
        <w:t>Por otra parte, uno de los participantes (Televisa) considera que los supuestos realizados en torno a los costos unitarios no son del todo razonables, de manera particular para elementos como canalización, postes, pozos y subductos. Dicho participante presentó una serie de referencias (benchmarks) para complementar su postura.</w:t>
      </w:r>
    </w:p>
    <w:p w14:paraId="6CF9AEB5" w14:textId="5E0F7EAF" w:rsidR="00A379AA" w:rsidRPr="009C0D93" w:rsidRDefault="00A379AA" w:rsidP="009C0D93">
      <w:pPr>
        <w:rPr>
          <w:rFonts w:ascii="ITC Avant Garde" w:hAnsi="ITC Avant Garde"/>
          <w:lang w:val="es-MX"/>
        </w:rPr>
      </w:pPr>
      <w:r w:rsidRPr="009C0D93">
        <w:rPr>
          <w:rFonts w:ascii="ITC Avant Garde" w:hAnsi="ITC Avant Garde"/>
          <w:lang w:val="es-MX"/>
        </w:rPr>
        <w:t>En adición, otro de los participantes (Mega</w:t>
      </w:r>
      <w:r w:rsidR="00563BE7" w:rsidRPr="009C0D93">
        <w:rPr>
          <w:rFonts w:ascii="ITC Avant Garde" w:hAnsi="ITC Avant Garde"/>
          <w:lang w:val="es-MX"/>
        </w:rPr>
        <w:t xml:space="preserve"> C</w:t>
      </w:r>
      <w:r w:rsidRPr="009C0D93">
        <w:rPr>
          <w:rFonts w:ascii="ITC Avant Garde" w:hAnsi="ITC Avant Garde"/>
          <w:lang w:val="es-MX"/>
        </w:rPr>
        <w:t>able) considera que no se ofrece explicación del nivel de costos comunes considerados en el modelo, al tiempo expresa que se debe guardar consistencia con los criterios y supuestos utilizados en otros modelos de costos desarrollados e implementados por el Instituto.</w:t>
      </w:r>
    </w:p>
    <w:p w14:paraId="41B04C5E" w14:textId="03AE0162" w:rsidR="00A379AA" w:rsidRPr="009C0D93" w:rsidRDefault="00A379AA" w:rsidP="009C0D93">
      <w:pPr>
        <w:rPr>
          <w:rFonts w:ascii="ITC Avant Garde" w:hAnsi="ITC Avant Garde"/>
          <w:lang w:val="es-MX"/>
        </w:rPr>
      </w:pPr>
      <w:r w:rsidRPr="009C0D93">
        <w:rPr>
          <w:rFonts w:ascii="ITC Avant Garde" w:hAnsi="ITC Avant Garde"/>
          <w:lang w:val="es-MX"/>
        </w:rPr>
        <w:t xml:space="preserve">Finalmente, ciertos participantes de la consulta (CANIETI y Televisa) han expresado comentarios sobre la evolución de los costos, los cuales se abordan en la sección </w:t>
      </w:r>
      <w:r w:rsidRPr="009C0D93">
        <w:rPr>
          <w:rFonts w:ascii="ITC Avant Garde" w:hAnsi="ITC Avant Garde"/>
          <w:lang w:val="es-MX"/>
        </w:rPr>
        <w:fldChar w:fldCharType="begin"/>
      </w:r>
      <w:r w:rsidRPr="009C0D93">
        <w:rPr>
          <w:rFonts w:ascii="ITC Avant Garde" w:hAnsi="ITC Avant Garde"/>
          <w:lang w:val="es-MX"/>
        </w:rPr>
        <w:instrText xml:space="preserve"> REF _Ref468291800 \r \h  \* MERGEFORMAT </w:instrText>
      </w:r>
      <w:r w:rsidRPr="009C0D93">
        <w:rPr>
          <w:rFonts w:ascii="ITC Avant Garde" w:hAnsi="ITC Avant Garde"/>
          <w:lang w:val="es-MX"/>
        </w:rPr>
      </w:r>
      <w:r w:rsidRPr="009C0D93">
        <w:rPr>
          <w:rFonts w:ascii="ITC Avant Garde" w:hAnsi="ITC Avant Garde"/>
          <w:lang w:val="es-MX"/>
        </w:rPr>
        <w:fldChar w:fldCharType="separate"/>
      </w:r>
      <w:r w:rsidRPr="009C0D93">
        <w:rPr>
          <w:rFonts w:ascii="ITC Avant Garde" w:hAnsi="ITC Avant Garde"/>
          <w:cs/>
          <w:lang w:val="es-MX"/>
        </w:rPr>
        <w:t>‎</w:t>
      </w:r>
      <w:r w:rsidRPr="009C0D93">
        <w:rPr>
          <w:rFonts w:ascii="ITC Avant Garde" w:hAnsi="ITC Avant Garde"/>
          <w:lang w:val="es-MX"/>
        </w:rPr>
        <w:fldChar w:fldCharType="end"/>
      </w:r>
      <w:r w:rsidR="000F4139" w:rsidRPr="009C0D93">
        <w:rPr>
          <w:rFonts w:ascii="ITC Avant Garde" w:hAnsi="ITC Avant Garde"/>
          <w:lang w:val="es-MX"/>
        </w:rPr>
        <w:fldChar w:fldCharType="begin"/>
      </w:r>
      <w:r w:rsidR="000F4139" w:rsidRPr="009C0D93">
        <w:rPr>
          <w:rFonts w:ascii="ITC Avant Garde" w:hAnsi="ITC Avant Garde"/>
          <w:lang w:val="es-MX"/>
        </w:rPr>
        <w:instrText xml:space="preserve"> REF _Ref529367110 \r \h </w:instrText>
      </w:r>
      <w:r w:rsidR="007D54E4" w:rsidRPr="009C0D93">
        <w:rPr>
          <w:rFonts w:ascii="ITC Avant Garde" w:hAnsi="ITC Avant Garde"/>
          <w:lang w:val="es-MX"/>
        </w:rPr>
        <w:instrText xml:space="preserve"> \* MERGEFORMAT </w:instrText>
      </w:r>
      <w:r w:rsidR="000F4139" w:rsidRPr="009C0D93">
        <w:rPr>
          <w:rFonts w:ascii="ITC Avant Garde" w:hAnsi="ITC Avant Garde"/>
          <w:lang w:val="es-MX"/>
        </w:rPr>
      </w:r>
      <w:r w:rsidR="000F4139" w:rsidRPr="009C0D93">
        <w:rPr>
          <w:rFonts w:ascii="ITC Avant Garde" w:hAnsi="ITC Avant Garde"/>
          <w:lang w:val="es-MX"/>
        </w:rPr>
        <w:fldChar w:fldCharType="separate"/>
      </w:r>
      <w:r w:rsidR="000F4139" w:rsidRPr="009C0D93">
        <w:rPr>
          <w:rFonts w:ascii="ITC Avant Garde" w:hAnsi="ITC Avant Garde"/>
          <w:lang w:val="es-MX"/>
        </w:rPr>
        <w:t>2.9</w:t>
      </w:r>
      <w:r w:rsidR="000F4139" w:rsidRPr="009C0D93">
        <w:rPr>
          <w:rFonts w:ascii="ITC Avant Garde" w:hAnsi="ITC Avant Garde"/>
          <w:lang w:val="es-MX"/>
        </w:rPr>
        <w:fldChar w:fldCharType="end"/>
      </w:r>
      <w:r w:rsidRPr="009C0D93">
        <w:rPr>
          <w:rFonts w:ascii="ITC Avant Garde" w:hAnsi="ITC Avant Garde"/>
          <w:lang w:val="es-MX"/>
        </w:rPr>
        <w:t>.</w:t>
      </w:r>
    </w:p>
    <w:p w14:paraId="4E6ED2DF" w14:textId="1A938811" w:rsidR="00477423" w:rsidRPr="007D54E4" w:rsidRDefault="00477423" w:rsidP="00477423">
      <w:pPr>
        <w:pStyle w:val="Ttulo3"/>
        <w:numPr>
          <w:ilvl w:val="0"/>
          <w:numId w:val="0"/>
        </w:numPr>
        <w:rPr>
          <w:rFonts w:ascii="ITC Avant Garde" w:hAnsi="ITC Avant Garde"/>
          <w:b w:val="0"/>
          <w:i/>
          <w:u w:val="single"/>
          <w:lang w:val="es-ES_tradnl"/>
        </w:rPr>
      </w:pPr>
      <w:r w:rsidRPr="007D54E4">
        <w:rPr>
          <w:rFonts w:ascii="ITC Avant Garde" w:hAnsi="ITC Avant Garde"/>
          <w:b w:val="0"/>
          <w:i/>
          <w:u w:val="single"/>
          <w:lang w:val="es-ES_tradnl"/>
        </w:rPr>
        <w:t>Respuesta del Instituto</w:t>
      </w:r>
    </w:p>
    <w:p w14:paraId="293F9AA7" w14:textId="4F7CA7F6" w:rsidR="00A379AA" w:rsidRPr="007D54E4" w:rsidRDefault="00A379AA" w:rsidP="00A379AA">
      <w:pPr>
        <w:rPr>
          <w:rFonts w:ascii="ITC Avant Garde" w:hAnsi="ITC Avant Garde"/>
          <w:highlight w:val="green"/>
          <w:lang w:val="es-MX"/>
        </w:rPr>
      </w:pPr>
      <w:r w:rsidRPr="007D54E4">
        <w:rPr>
          <w:rFonts w:ascii="ITC Avant Garde" w:hAnsi="ITC Avant Garde"/>
          <w:lang w:val="es-MX"/>
        </w:rPr>
        <w:t xml:space="preserve">El Instituto reitera que la versión final del modelo se </w:t>
      </w:r>
      <w:r w:rsidR="002F36EE" w:rsidRPr="007D54E4">
        <w:rPr>
          <w:rFonts w:ascii="ITC Avant Garde" w:hAnsi="ITC Avant Garde"/>
          <w:lang w:val="es-MX"/>
        </w:rPr>
        <w:t xml:space="preserve">ajustó </w:t>
      </w:r>
      <w:r w:rsidRPr="007D54E4">
        <w:rPr>
          <w:rFonts w:ascii="ITC Avant Garde" w:hAnsi="ITC Avant Garde"/>
          <w:lang w:val="es-MX"/>
        </w:rPr>
        <w:t>conforme a la especificación y alcance reflejados en la oferta de referencia correspondiente, a partir de lo establecido en las Medidas de Desagregación, y que</w:t>
      </w:r>
      <w:r w:rsidR="00835495" w:rsidRPr="007D54E4">
        <w:rPr>
          <w:rFonts w:ascii="ITC Avant Garde" w:hAnsi="ITC Avant Garde"/>
          <w:lang w:val="es-MX"/>
        </w:rPr>
        <w:t>,</w:t>
      </w:r>
      <w:r w:rsidRPr="007D54E4">
        <w:rPr>
          <w:rFonts w:ascii="ITC Avant Garde" w:hAnsi="ITC Avant Garde"/>
          <w:lang w:val="es-MX"/>
        </w:rPr>
        <w:t xml:space="preserve"> en este sentido</w:t>
      </w:r>
      <w:r w:rsidR="00835495" w:rsidRPr="007D54E4">
        <w:rPr>
          <w:rFonts w:ascii="ITC Avant Garde" w:hAnsi="ITC Avant Garde"/>
          <w:lang w:val="es-MX"/>
        </w:rPr>
        <w:t>,</w:t>
      </w:r>
      <w:r w:rsidRPr="007D54E4">
        <w:rPr>
          <w:rFonts w:ascii="ITC Avant Garde" w:hAnsi="ITC Avant Garde"/>
          <w:lang w:val="es-MX"/>
        </w:rPr>
        <w:t xml:space="preserve"> </w:t>
      </w:r>
      <w:r w:rsidR="00835495" w:rsidRPr="007D54E4">
        <w:rPr>
          <w:rFonts w:ascii="ITC Avant Garde" w:hAnsi="ITC Avant Garde"/>
          <w:lang w:val="es-MX"/>
        </w:rPr>
        <w:t xml:space="preserve">en la versión final del modelo </w:t>
      </w:r>
      <w:r w:rsidRPr="007D54E4">
        <w:rPr>
          <w:rFonts w:ascii="ITC Avant Garde" w:hAnsi="ITC Avant Garde"/>
          <w:lang w:val="es-MX"/>
        </w:rPr>
        <w:t>se consideran únicamente los conceptos y elementos de costos que se involucran en la prestación de los servicios mayoristas modelados</w:t>
      </w:r>
      <w:r w:rsidR="00835495" w:rsidRPr="007D54E4">
        <w:rPr>
          <w:rFonts w:ascii="ITC Avant Garde" w:hAnsi="ITC Avant Garde"/>
          <w:lang w:val="es-MX"/>
        </w:rPr>
        <w:t>,</w:t>
      </w:r>
      <w:r w:rsidRPr="007D54E4">
        <w:rPr>
          <w:rFonts w:ascii="ITC Avant Garde" w:hAnsi="ITC Avant Garde"/>
          <w:lang w:val="es-MX"/>
        </w:rPr>
        <w:t xml:space="preserve"> en términos de la</w:t>
      </w:r>
      <w:r w:rsidR="00835495" w:rsidRPr="007D54E4">
        <w:rPr>
          <w:rFonts w:ascii="ITC Avant Garde" w:hAnsi="ITC Avant Garde"/>
          <w:lang w:val="es-MX"/>
        </w:rPr>
        <w:t>s características de la</w:t>
      </w:r>
      <w:r w:rsidRPr="007D54E4">
        <w:rPr>
          <w:rFonts w:ascii="ITC Avant Garde" w:hAnsi="ITC Avant Garde"/>
          <w:lang w:val="es-MX"/>
        </w:rPr>
        <w:t xml:space="preserve"> red de acceso del AEP, incluyendo en particular todos los servicios de fibra (minoristas y mayoristas)</w:t>
      </w:r>
      <w:r w:rsidR="007B56A9" w:rsidRPr="007D54E4">
        <w:rPr>
          <w:rFonts w:ascii="ITC Avant Garde" w:hAnsi="ITC Avant Garde"/>
          <w:lang w:val="es-MX"/>
        </w:rPr>
        <w:t xml:space="preserve"> </w:t>
      </w:r>
      <w:r w:rsidRPr="007D54E4">
        <w:rPr>
          <w:rFonts w:ascii="ITC Avant Garde" w:hAnsi="ITC Avant Garde"/>
          <w:lang w:val="es-MX"/>
        </w:rPr>
        <w:t xml:space="preserve">que emplean la infraestructura civil. En particular, la anterior </w:t>
      </w:r>
      <w:r w:rsidR="00835495" w:rsidRPr="007D54E4">
        <w:rPr>
          <w:rFonts w:ascii="ITC Avant Garde" w:hAnsi="ITC Avant Garde"/>
          <w:lang w:val="es-MX"/>
        </w:rPr>
        <w:t xml:space="preserve">permite </w:t>
      </w:r>
      <w:r w:rsidRPr="007D54E4">
        <w:rPr>
          <w:rFonts w:ascii="ITC Avant Garde" w:hAnsi="ITC Avant Garde"/>
          <w:lang w:val="es-MX"/>
        </w:rPr>
        <w:t xml:space="preserve">asegurar que los costos asociados a los servicios que se brinda a través de cobre no son </w:t>
      </w:r>
      <w:r w:rsidR="00E32994" w:rsidRPr="007D54E4">
        <w:rPr>
          <w:rFonts w:ascii="ITC Avant Garde" w:hAnsi="ITC Avant Garde"/>
          <w:lang w:val="es-MX"/>
        </w:rPr>
        <w:t>atribuidos</w:t>
      </w:r>
      <w:r w:rsidRPr="007D54E4">
        <w:rPr>
          <w:rFonts w:ascii="ITC Avant Garde" w:hAnsi="ITC Avant Garde"/>
          <w:lang w:val="es-MX"/>
        </w:rPr>
        <w:t xml:space="preserve"> a los de fibra.</w:t>
      </w:r>
    </w:p>
    <w:p w14:paraId="081CCEB0" w14:textId="4BA8B5B6" w:rsidR="00A379AA" w:rsidRPr="007D54E4" w:rsidRDefault="00A379AA" w:rsidP="00A379AA">
      <w:pPr>
        <w:rPr>
          <w:rFonts w:ascii="ITC Avant Garde" w:hAnsi="ITC Avant Garde"/>
          <w:lang w:val="es-MX"/>
        </w:rPr>
      </w:pPr>
      <w:r w:rsidRPr="007D54E4">
        <w:rPr>
          <w:rFonts w:ascii="ITC Avant Garde" w:hAnsi="ITC Avant Garde"/>
          <w:lang w:val="es-MX"/>
        </w:rPr>
        <w:t xml:space="preserve">Por otra parte, respecto a si el modelo toma en cuenta las “tecnologías más eficientes disponibles comercialmente”, el Instituto señala que el modelo se basa en el diseño de una red GPON, considerada eficiente y que es la más ampliamente empleada por operadores de telecomunicaciones para el despliegue de servicios FTTH, </w:t>
      </w:r>
      <w:r w:rsidR="0040294E" w:rsidRPr="007D54E4">
        <w:rPr>
          <w:rFonts w:ascii="ITC Avant Garde" w:hAnsi="ITC Avant Garde"/>
          <w:lang w:val="es-MX"/>
        </w:rPr>
        <w:t xml:space="preserve">enfoque a partir del cual se </w:t>
      </w:r>
      <w:r w:rsidRPr="007D54E4">
        <w:rPr>
          <w:rFonts w:ascii="ITC Avant Garde" w:hAnsi="ITC Avant Garde"/>
          <w:lang w:val="es-MX"/>
        </w:rPr>
        <w:t>consider</w:t>
      </w:r>
      <w:r w:rsidR="0040294E" w:rsidRPr="007D54E4">
        <w:rPr>
          <w:rFonts w:ascii="ITC Avant Garde" w:hAnsi="ITC Avant Garde"/>
          <w:lang w:val="es-MX"/>
        </w:rPr>
        <w:t>an,</w:t>
      </w:r>
      <w:r w:rsidRPr="007D54E4">
        <w:rPr>
          <w:rFonts w:ascii="ITC Avant Garde" w:hAnsi="ITC Avant Garde"/>
          <w:lang w:val="es-MX"/>
        </w:rPr>
        <w:t xml:space="preserve"> en particular</w:t>
      </w:r>
      <w:r w:rsidR="0040294E" w:rsidRPr="007D54E4">
        <w:rPr>
          <w:rFonts w:ascii="ITC Avant Garde" w:hAnsi="ITC Avant Garde"/>
          <w:lang w:val="es-MX"/>
        </w:rPr>
        <w:t>, los</w:t>
      </w:r>
      <w:r w:rsidRPr="007D54E4">
        <w:rPr>
          <w:rFonts w:ascii="ITC Avant Garde" w:hAnsi="ITC Avant Garde"/>
          <w:lang w:val="es-MX"/>
        </w:rPr>
        <w:t xml:space="preserve"> costos de reposición de activos.</w:t>
      </w:r>
    </w:p>
    <w:p w14:paraId="5431FD7E" w14:textId="77777777" w:rsidR="00A379AA" w:rsidRPr="007D54E4" w:rsidRDefault="00A379AA" w:rsidP="00A379AA">
      <w:pPr>
        <w:rPr>
          <w:rFonts w:ascii="ITC Avant Garde" w:hAnsi="ITC Avant Garde"/>
          <w:lang w:val="es-MX"/>
        </w:rPr>
      </w:pPr>
      <w:r w:rsidRPr="007D54E4">
        <w:rPr>
          <w:rFonts w:ascii="ITC Avant Garde" w:hAnsi="ITC Avant Garde"/>
          <w:lang w:val="es-MX"/>
        </w:rPr>
        <w:lastRenderedPageBreak/>
        <w:t>En complemento, el Instituto destaca que la metodología de “capacidad requerida” para el reparto de costos comunes de red se implementa empleando de factores de uso o enrutamiento y el consumo de cada servicio</w:t>
      </w:r>
      <w:r w:rsidRPr="007D54E4">
        <w:rPr>
          <w:rStyle w:val="Refdenotaalpie"/>
          <w:rFonts w:ascii="ITC Avant Garde" w:hAnsi="ITC Avant Garde"/>
          <w:sz w:val="22"/>
          <w:lang w:val="es-MX"/>
        </w:rPr>
        <w:footnoteReference w:id="18"/>
      </w:r>
      <w:r w:rsidRPr="007D54E4">
        <w:rPr>
          <w:rFonts w:ascii="ITC Avant Garde" w:hAnsi="ITC Avant Garde"/>
          <w:lang w:val="es-MX"/>
        </w:rPr>
        <w:t>.</w:t>
      </w:r>
    </w:p>
    <w:p w14:paraId="1CD6B686" w14:textId="0E2975BC" w:rsidR="00A379AA" w:rsidRPr="007D54E4" w:rsidRDefault="00A379AA" w:rsidP="00A379AA">
      <w:pPr>
        <w:rPr>
          <w:rFonts w:ascii="ITC Avant Garde" w:hAnsi="ITC Avant Garde"/>
          <w:lang w:val="es-MX"/>
        </w:rPr>
      </w:pPr>
      <w:r w:rsidRPr="007D54E4">
        <w:rPr>
          <w:rFonts w:ascii="ITC Avant Garde" w:hAnsi="ITC Avant Garde"/>
          <w:lang w:val="es-MX"/>
        </w:rPr>
        <w:t xml:space="preserve">Por otra parte, respecto al uso de una metodología del tipo </w:t>
      </w:r>
      <w:r w:rsidRPr="007D54E4">
        <w:rPr>
          <w:rFonts w:ascii="ITC Avant Garde" w:hAnsi="ITC Avant Garde"/>
          <w:i/>
          <w:iCs/>
          <w:lang w:val="es-MX"/>
        </w:rPr>
        <w:t>Ramsey Pricing</w:t>
      </w:r>
      <w:r w:rsidRPr="007D54E4">
        <w:rPr>
          <w:rFonts w:ascii="ITC Avant Garde" w:hAnsi="ITC Avant Garde"/>
          <w:lang w:val="es-MX"/>
        </w:rPr>
        <w:t xml:space="preserve">, el Instituto considera que en la práctica dicho enfoque no resulta adecuado en razón de que los datos necesarios para poder aplicar dicha metodología (elasticidad de la demanda) presentan una alta variabilidad, lo que redundaría en incertidumbre sobre los resultados del modelo y reduciría la robustez del mismo. </w:t>
      </w:r>
      <w:r w:rsidR="004571AD" w:rsidRPr="007D54E4">
        <w:rPr>
          <w:rFonts w:ascii="ITC Avant Garde" w:hAnsi="ITC Avant Garde"/>
          <w:lang w:val="es-MX"/>
        </w:rPr>
        <w:t>Lo motivos anteriores constituyen las razones principales por las cuales</w:t>
      </w:r>
      <w:r w:rsidRPr="007D54E4">
        <w:rPr>
          <w:rFonts w:ascii="ITC Avant Garde" w:hAnsi="ITC Avant Garde"/>
          <w:lang w:val="es-MX"/>
        </w:rPr>
        <w:t xml:space="preserve"> la metodología </w:t>
      </w:r>
      <w:r w:rsidRPr="007D54E4">
        <w:rPr>
          <w:rFonts w:ascii="ITC Avant Garde" w:hAnsi="ITC Avant Garde"/>
          <w:i/>
          <w:iCs/>
          <w:lang w:val="es-MX"/>
        </w:rPr>
        <w:t>Ramsey Pricing</w:t>
      </w:r>
      <w:r w:rsidRPr="007D54E4">
        <w:rPr>
          <w:rFonts w:ascii="ITC Avant Garde" w:hAnsi="ITC Avant Garde"/>
          <w:lang w:val="es-MX"/>
        </w:rPr>
        <w:t xml:space="preserve"> es empleada </w:t>
      </w:r>
      <w:r w:rsidR="004571AD" w:rsidRPr="007D54E4">
        <w:rPr>
          <w:rFonts w:ascii="ITC Avant Garde" w:hAnsi="ITC Avant Garde"/>
          <w:lang w:val="es-MX"/>
        </w:rPr>
        <w:t xml:space="preserve">con poca frecuencia </w:t>
      </w:r>
      <w:r w:rsidRPr="007D54E4">
        <w:rPr>
          <w:rFonts w:ascii="ITC Avant Garde" w:hAnsi="ITC Avant Garde"/>
          <w:lang w:val="es-MX"/>
        </w:rPr>
        <w:t xml:space="preserve">en modelos </w:t>
      </w:r>
      <w:r w:rsidR="004571AD" w:rsidRPr="007D54E4">
        <w:rPr>
          <w:rFonts w:ascii="ITC Avant Garde" w:hAnsi="ITC Avant Garde"/>
          <w:lang w:val="es-MX"/>
        </w:rPr>
        <w:t>de costos de autoridades regulatorias</w:t>
      </w:r>
      <w:r w:rsidRPr="007D54E4">
        <w:rPr>
          <w:rFonts w:ascii="ITC Avant Garde" w:hAnsi="ITC Avant Garde"/>
          <w:lang w:val="es-MX"/>
        </w:rPr>
        <w:t>.</w:t>
      </w:r>
    </w:p>
    <w:p w14:paraId="7424EDCC" w14:textId="77777777" w:rsidR="00A379AA" w:rsidRPr="007D54E4" w:rsidRDefault="00A379AA" w:rsidP="00A379AA">
      <w:pPr>
        <w:rPr>
          <w:rFonts w:ascii="ITC Avant Garde" w:hAnsi="ITC Avant Garde"/>
          <w:lang w:val="es-MX"/>
        </w:rPr>
      </w:pPr>
      <w:r w:rsidRPr="007D54E4">
        <w:rPr>
          <w:rFonts w:ascii="ITC Avant Garde" w:hAnsi="ITC Avant Garde"/>
          <w:lang w:val="es-MX"/>
        </w:rPr>
        <w:t>Por otra parte, respecto a considerar costos por transacción, ambientales y de preparación del capital humano, el Instituto señala que tales se consideran incluidos en los costos unitarios de los recursos incorporados en el modelo.</w:t>
      </w:r>
    </w:p>
    <w:p w14:paraId="47C39103" w14:textId="60837CF1" w:rsidR="00A379AA" w:rsidRPr="007D54E4" w:rsidRDefault="00A379AA" w:rsidP="00A379AA">
      <w:pPr>
        <w:rPr>
          <w:rFonts w:ascii="ITC Avant Garde" w:hAnsi="ITC Avant Garde"/>
          <w:lang w:val="es-MX"/>
        </w:rPr>
      </w:pPr>
      <w:r w:rsidRPr="007D54E4">
        <w:rPr>
          <w:rFonts w:ascii="ITC Avant Garde" w:hAnsi="ITC Avant Garde"/>
          <w:lang w:val="es-MX"/>
        </w:rPr>
        <w:t xml:space="preserve">En complemento, el Instituto considera apropiado </w:t>
      </w:r>
      <w:r w:rsidR="005C12B8" w:rsidRPr="007D54E4">
        <w:rPr>
          <w:rFonts w:ascii="ITC Avant Garde" w:hAnsi="ITC Avant Garde"/>
          <w:lang w:val="es-MX"/>
        </w:rPr>
        <w:t>emplear como datos de entrada para los</w:t>
      </w:r>
      <w:r w:rsidRPr="007D54E4">
        <w:rPr>
          <w:rFonts w:ascii="ITC Avant Garde" w:hAnsi="ITC Avant Garde"/>
          <w:lang w:val="es-MX"/>
        </w:rPr>
        <w:t xml:space="preserve"> costos</w:t>
      </w:r>
      <w:r w:rsidR="005C12B8" w:rsidRPr="007D54E4">
        <w:rPr>
          <w:rFonts w:ascii="ITC Avant Garde" w:hAnsi="ITC Avant Garde"/>
          <w:lang w:val="es-MX"/>
        </w:rPr>
        <w:t xml:space="preserve"> de los activos del modelo, conforme a</w:t>
      </w:r>
      <w:r w:rsidRPr="007D54E4">
        <w:rPr>
          <w:rFonts w:ascii="ITC Avant Garde" w:hAnsi="ITC Avant Garde"/>
          <w:lang w:val="es-MX"/>
        </w:rPr>
        <w:t xml:space="preserve"> la moneda en la que se incurre para la adquisición y operación de los elementos de la red de acceso</w:t>
      </w:r>
      <w:r w:rsidR="005C12B8" w:rsidRPr="007D54E4">
        <w:rPr>
          <w:rFonts w:ascii="ITC Avant Garde" w:hAnsi="ITC Avant Garde"/>
          <w:lang w:val="es-MX"/>
        </w:rPr>
        <w:t>, lo cual facilita la</w:t>
      </w:r>
      <w:r w:rsidRPr="007D54E4">
        <w:rPr>
          <w:rFonts w:ascii="ITC Avant Garde" w:hAnsi="ITC Avant Garde"/>
          <w:lang w:val="es-MX"/>
        </w:rPr>
        <w:t xml:space="preserve"> aplica</w:t>
      </w:r>
      <w:r w:rsidR="005C12B8" w:rsidRPr="007D54E4">
        <w:rPr>
          <w:rFonts w:ascii="ITC Avant Garde" w:hAnsi="ITC Avant Garde"/>
          <w:lang w:val="es-MX"/>
        </w:rPr>
        <w:t>ción de</w:t>
      </w:r>
      <w:r w:rsidRPr="007D54E4">
        <w:rPr>
          <w:rFonts w:ascii="ITC Avant Garde" w:hAnsi="ITC Avant Garde"/>
          <w:lang w:val="es-MX"/>
        </w:rPr>
        <w:t xml:space="preserve"> tendencias de costos más transparentes, siendo </w:t>
      </w:r>
      <w:r w:rsidR="005C12B8" w:rsidRPr="007D54E4">
        <w:rPr>
          <w:rFonts w:ascii="ITC Avant Garde" w:hAnsi="ITC Avant Garde"/>
          <w:lang w:val="es-MX"/>
        </w:rPr>
        <w:t>el resultado de dicho proceso</w:t>
      </w:r>
      <w:r w:rsidRPr="007D54E4">
        <w:rPr>
          <w:rFonts w:ascii="ITC Avant Garde" w:hAnsi="ITC Avant Garde"/>
          <w:lang w:val="es-MX"/>
        </w:rPr>
        <w:t xml:space="preserve"> posteriormente convertid</w:t>
      </w:r>
      <w:r w:rsidR="005C12B8" w:rsidRPr="007D54E4">
        <w:rPr>
          <w:rFonts w:ascii="ITC Avant Garde" w:hAnsi="ITC Avant Garde"/>
          <w:lang w:val="es-MX"/>
        </w:rPr>
        <w:t>o</w:t>
      </w:r>
      <w:r w:rsidRPr="007D54E4">
        <w:rPr>
          <w:rFonts w:ascii="ITC Avant Garde" w:hAnsi="ITC Avant Garde"/>
          <w:lang w:val="es-MX"/>
        </w:rPr>
        <w:t xml:space="preserve"> a una moneda homogénea.</w:t>
      </w:r>
    </w:p>
    <w:p w14:paraId="349EFB21" w14:textId="227C9548" w:rsidR="00A379AA" w:rsidRPr="007D54E4" w:rsidRDefault="00A379AA" w:rsidP="00A379AA">
      <w:pPr>
        <w:rPr>
          <w:rFonts w:ascii="ITC Avant Garde" w:hAnsi="ITC Avant Garde"/>
          <w:lang w:val="es-MX"/>
        </w:rPr>
      </w:pPr>
      <w:r w:rsidRPr="007D54E4">
        <w:rPr>
          <w:rFonts w:ascii="ITC Avant Garde" w:hAnsi="ITC Avant Garde"/>
          <w:lang w:val="es-MX"/>
        </w:rPr>
        <w:t xml:space="preserve">Asimismo, el Instituto aclara que en el modelo considera proyecciones de cambios de moneda, </w:t>
      </w:r>
      <w:r w:rsidR="00A32E3F" w:rsidRPr="007D54E4">
        <w:rPr>
          <w:rFonts w:ascii="ITC Avant Garde" w:hAnsi="ITC Avant Garde"/>
          <w:lang w:val="es-MX"/>
        </w:rPr>
        <w:t>con base en información del Banco de México</w:t>
      </w:r>
      <w:r w:rsidRPr="007D54E4">
        <w:rPr>
          <w:rFonts w:ascii="ITC Avant Garde" w:hAnsi="ITC Avant Garde"/>
          <w:lang w:val="es-MX"/>
        </w:rPr>
        <w:t>, que representarían el cambio promedio en cada ejercicio, es decir</w:t>
      </w:r>
      <w:r w:rsidR="005C12B8" w:rsidRPr="007D54E4">
        <w:rPr>
          <w:rFonts w:ascii="ITC Avant Garde" w:hAnsi="ITC Avant Garde"/>
          <w:lang w:val="es-MX"/>
        </w:rPr>
        <w:t>, en el modelo se considera a través de ello a</w:t>
      </w:r>
      <w:r w:rsidRPr="007D54E4">
        <w:rPr>
          <w:rFonts w:ascii="ITC Avant Garde" w:hAnsi="ITC Avant Garde"/>
          <w:lang w:val="es-MX"/>
        </w:rPr>
        <w:t xml:space="preserve"> la volatilidad de los cambios de moneda.</w:t>
      </w:r>
    </w:p>
    <w:p w14:paraId="5214EF10" w14:textId="43F7BE7F" w:rsidR="00A379AA" w:rsidRPr="007D54E4" w:rsidRDefault="00A379AA" w:rsidP="00A379AA">
      <w:pPr>
        <w:rPr>
          <w:rFonts w:ascii="ITC Avant Garde" w:hAnsi="ITC Avant Garde"/>
          <w:lang w:val="es-MX"/>
        </w:rPr>
      </w:pPr>
      <w:r w:rsidRPr="007D54E4">
        <w:rPr>
          <w:rFonts w:ascii="ITC Avant Garde" w:hAnsi="ITC Avant Garde"/>
          <w:lang w:val="es-MX"/>
        </w:rPr>
        <w:t xml:space="preserve">Respecto a los comentarios sobre los niveles de costos unitarios empleados en el modelo, el Instituto destaca que los valores empleados en la versión final del modelo proceden de datos provistos por el AEP y demás participantes de la presente consulta, los cuales </w:t>
      </w:r>
      <w:r w:rsidR="00780731" w:rsidRPr="007D54E4">
        <w:rPr>
          <w:rFonts w:ascii="ITC Avant Garde" w:hAnsi="ITC Avant Garde"/>
          <w:lang w:val="es-MX"/>
        </w:rPr>
        <w:t>fuero</w:t>
      </w:r>
      <w:r w:rsidRPr="007D54E4">
        <w:rPr>
          <w:rFonts w:ascii="ITC Avant Garde" w:hAnsi="ITC Avant Garde"/>
          <w:lang w:val="es-MX"/>
        </w:rPr>
        <w:t>n debidamente analizados y contrastados, siempre que ha sido posible, y que sólo se emple</w:t>
      </w:r>
      <w:r w:rsidR="00780731" w:rsidRPr="007D54E4">
        <w:rPr>
          <w:rFonts w:ascii="ITC Avant Garde" w:hAnsi="ITC Avant Garde"/>
          <w:lang w:val="es-MX"/>
        </w:rPr>
        <w:t>a</w:t>
      </w:r>
      <w:r w:rsidR="00606043" w:rsidRPr="007D54E4">
        <w:rPr>
          <w:rFonts w:ascii="ITC Avant Garde" w:hAnsi="ITC Avant Garde"/>
          <w:lang w:val="es-MX"/>
        </w:rPr>
        <w:t>ro</w:t>
      </w:r>
      <w:r w:rsidRPr="007D54E4">
        <w:rPr>
          <w:rFonts w:ascii="ITC Avant Garde" w:hAnsi="ITC Avant Garde"/>
          <w:lang w:val="es-MX"/>
        </w:rPr>
        <w:t>n comparativas internacionales o estimaciones donde no haya sido posible hacerlo de otra manera.</w:t>
      </w:r>
    </w:p>
    <w:p w14:paraId="459DC8F6" w14:textId="3DE2331E" w:rsidR="00477423" w:rsidRPr="007D54E4" w:rsidRDefault="00477423" w:rsidP="00857352">
      <w:pPr>
        <w:pStyle w:val="Ttulo3"/>
        <w:rPr>
          <w:rFonts w:ascii="ITC Avant Garde" w:hAnsi="ITC Avant Garde"/>
          <w:lang w:val="es-ES_tradnl"/>
        </w:rPr>
      </w:pPr>
      <w:bookmarkStart w:id="5" w:name="_Ref529367110"/>
      <w:r w:rsidRPr="007D54E4">
        <w:rPr>
          <w:rFonts w:ascii="ITC Avant Garde" w:hAnsi="ITC Avant Garde"/>
          <w:lang w:val="es-ES_tradnl"/>
        </w:rPr>
        <w:lastRenderedPageBreak/>
        <w:t>¿</w:t>
      </w:r>
      <w:r w:rsidR="00857352" w:rsidRPr="007D54E4">
        <w:rPr>
          <w:rFonts w:ascii="ITC Avant Garde" w:hAnsi="ITC Avant Garde"/>
          <w:lang w:val="es-ES_tradnl"/>
        </w:rPr>
        <w:t>Considera adecuadas las tendencias de costo consideradas en el Modelo</w:t>
      </w:r>
      <w:r w:rsidRPr="007D54E4">
        <w:rPr>
          <w:rFonts w:ascii="ITC Avant Garde" w:hAnsi="ITC Avant Garde"/>
          <w:lang w:val="es-ES_tradnl"/>
        </w:rPr>
        <w:t>?</w:t>
      </w:r>
      <w:bookmarkEnd w:id="5"/>
    </w:p>
    <w:p w14:paraId="51334C66" w14:textId="77777777" w:rsidR="00477423" w:rsidRPr="007D54E4" w:rsidRDefault="00477423" w:rsidP="00477423">
      <w:pPr>
        <w:pStyle w:val="Ttulo3"/>
        <w:numPr>
          <w:ilvl w:val="0"/>
          <w:numId w:val="0"/>
        </w:numPr>
        <w:rPr>
          <w:rFonts w:ascii="ITC Avant Garde" w:hAnsi="ITC Avant Garde"/>
          <w:b w:val="0"/>
          <w:i/>
          <w:u w:val="single"/>
          <w:lang w:val="es-ES_tradnl"/>
        </w:rPr>
      </w:pPr>
      <w:r w:rsidRPr="007D54E4">
        <w:rPr>
          <w:rFonts w:ascii="ITC Avant Garde" w:hAnsi="ITC Avant Garde"/>
          <w:b w:val="0"/>
          <w:i/>
          <w:u w:val="single"/>
          <w:lang w:val="es-ES_tradnl"/>
        </w:rPr>
        <w:t>Resumen de comentarios de la Consulta Pública</w:t>
      </w:r>
    </w:p>
    <w:p w14:paraId="114F85FB" w14:textId="41E5AC16" w:rsidR="00A379AA" w:rsidRPr="007D54E4" w:rsidRDefault="00A379AA" w:rsidP="00A379AA">
      <w:pPr>
        <w:rPr>
          <w:rFonts w:ascii="ITC Avant Garde" w:hAnsi="ITC Avant Garde"/>
          <w:lang w:val="es-MX"/>
        </w:rPr>
      </w:pPr>
      <w:r w:rsidRPr="007D54E4">
        <w:rPr>
          <w:rFonts w:ascii="ITC Avant Garde" w:hAnsi="ITC Avant Garde"/>
          <w:lang w:val="es-MX"/>
        </w:rPr>
        <w:t>Al respecto, los participantes han sugerido las diversas alternativas para los costos asociados a la mano de obra</w:t>
      </w:r>
      <w:r w:rsidR="00BE25BB" w:rsidRPr="007D54E4">
        <w:rPr>
          <w:rFonts w:ascii="ITC Avant Garde" w:hAnsi="ITC Avant Garde"/>
          <w:lang w:val="es-MX"/>
        </w:rPr>
        <w:t xml:space="preserve">, </w:t>
      </w:r>
      <w:r w:rsidR="00F446CE" w:rsidRPr="007D54E4">
        <w:rPr>
          <w:rFonts w:ascii="ITC Avant Garde" w:hAnsi="ITC Avant Garde"/>
          <w:lang w:val="es-MX"/>
        </w:rPr>
        <w:t>mismos que se resumen a continuación</w:t>
      </w:r>
      <w:r w:rsidRPr="007D54E4">
        <w:rPr>
          <w:rFonts w:ascii="ITC Avant Garde" w:hAnsi="ITC Avant Garde"/>
          <w:lang w:val="es-MX"/>
        </w:rPr>
        <w:t>:</w:t>
      </w:r>
    </w:p>
    <w:p w14:paraId="32D39DC4" w14:textId="6AF4465E" w:rsidR="00A379AA" w:rsidRPr="009C0D93" w:rsidRDefault="00563BE7" w:rsidP="009C0D93">
      <w:pPr>
        <w:pStyle w:val="Prrafodelista"/>
        <w:numPr>
          <w:ilvl w:val="0"/>
          <w:numId w:val="23"/>
        </w:numPr>
        <w:rPr>
          <w:rFonts w:ascii="ITC Avant Garde" w:hAnsi="ITC Avant Garde"/>
          <w:lang w:val="es-MX"/>
        </w:rPr>
      </w:pPr>
      <w:r w:rsidRPr="009C0D93">
        <w:rPr>
          <w:rFonts w:ascii="ITC Avant Garde" w:hAnsi="ITC Avant Garde"/>
          <w:lang w:val="es-MX"/>
        </w:rPr>
        <w:t>Uno de los participantes (Mega C</w:t>
      </w:r>
      <w:r w:rsidR="00A379AA" w:rsidRPr="009C0D93">
        <w:rPr>
          <w:rFonts w:ascii="ITC Avant Garde" w:hAnsi="ITC Avant Garde"/>
          <w:lang w:val="es-MX"/>
        </w:rPr>
        <w:t>able) ha sugerido emplear las proyecciones de salarios mínimos.</w:t>
      </w:r>
    </w:p>
    <w:p w14:paraId="7B5828CA" w14:textId="1253F910" w:rsidR="00A379AA" w:rsidRPr="009C0D93" w:rsidRDefault="00A379AA" w:rsidP="009C0D93">
      <w:pPr>
        <w:pStyle w:val="Prrafodelista"/>
        <w:numPr>
          <w:ilvl w:val="0"/>
          <w:numId w:val="23"/>
        </w:numPr>
        <w:rPr>
          <w:rFonts w:ascii="ITC Avant Garde" w:hAnsi="ITC Avant Garde"/>
          <w:lang w:val="es-MX"/>
        </w:rPr>
      </w:pPr>
      <w:r w:rsidRPr="009C0D93">
        <w:rPr>
          <w:rFonts w:ascii="ITC Avant Garde" w:hAnsi="ITC Avant Garde"/>
          <w:lang w:val="es-MX"/>
        </w:rPr>
        <w:t xml:space="preserve">En complemento, éste mismo participante propone que se debe considerar el </w:t>
      </w:r>
      <w:r w:rsidR="00383887" w:rsidRPr="009C0D93">
        <w:rPr>
          <w:rFonts w:ascii="ITC Avant Garde" w:hAnsi="ITC Avant Garde"/>
          <w:lang w:val="es-MX"/>
        </w:rPr>
        <w:t>“Índice Nacional de Precios al Productor” (“</w:t>
      </w:r>
      <w:r w:rsidRPr="009C0D93">
        <w:rPr>
          <w:rFonts w:ascii="ITC Avant Garde" w:hAnsi="ITC Avant Garde"/>
          <w:lang w:val="es-MX"/>
        </w:rPr>
        <w:t>INPP</w:t>
      </w:r>
      <w:r w:rsidR="00383887" w:rsidRPr="009C0D93">
        <w:rPr>
          <w:rFonts w:ascii="ITC Avant Garde" w:hAnsi="ITC Avant Garde"/>
          <w:lang w:val="es-MX"/>
        </w:rPr>
        <w:t>”)</w:t>
      </w:r>
      <w:r w:rsidRPr="009C0D93">
        <w:rPr>
          <w:rFonts w:ascii="ITC Avant Garde" w:hAnsi="ITC Avant Garde"/>
          <w:lang w:val="es-MX"/>
        </w:rPr>
        <w:t xml:space="preserve"> para los materiales asociados a la obra civil.</w:t>
      </w:r>
    </w:p>
    <w:p w14:paraId="0021BD41" w14:textId="5835913C" w:rsidR="00A379AA" w:rsidRPr="009C0D93" w:rsidRDefault="00A379AA" w:rsidP="009C0D93">
      <w:pPr>
        <w:pStyle w:val="Prrafodelista"/>
        <w:numPr>
          <w:ilvl w:val="0"/>
          <w:numId w:val="23"/>
        </w:numPr>
        <w:rPr>
          <w:rFonts w:ascii="ITC Avant Garde" w:hAnsi="ITC Avant Garde"/>
          <w:lang w:val="es-MX"/>
        </w:rPr>
      </w:pPr>
      <w:r w:rsidRPr="009C0D93">
        <w:rPr>
          <w:rFonts w:ascii="ITC Avant Garde" w:hAnsi="ITC Avant Garde"/>
          <w:lang w:val="es-MX"/>
        </w:rPr>
        <w:t xml:space="preserve">En adición, otro de los participantes (Avantel/Alestra/Axtel) </w:t>
      </w:r>
      <w:r w:rsidR="002752D8" w:rsidRPr="009C0D93">
        <w:rPr>
          <w:rFonts w:ascii="ITC Avant Garde" w:hAnsi="ITC Avant Garde"/>
          <w:lang w:val="es-MX"/>
        </w:rPr>
        <w:t>propone</w:t>
      </w:r>
      <w:r w:rsidRPr="009C0D93">
        <w:rPr>
          <w:rFonts w:ascii="ITC Avant Garde" w:hAnsi="ITC Avant Garde"/>
          <w:lang w:val="es-MX"/>
        </w:rPr>
        <w:t xml:space="preserve"> emplear el </w:t>
      </w:r>
      <w:r w:rsidR="002752D8" w:rsidRPr="009C0D93">
        <w:rPr>
          <w:rFonts w:ascii="ITC Avant Garde" w:hAnsi="ITC Avant Garde"/>
          <w:lang w:val="es-MX"/>
        </w:rPr>
        <w:t xml:space="preserve">“Índice Nacional de Precios del Consumidor” (“INPC”) </w:t>
      </w:r>
      <w:r w:rsidRPr="009C0D93">
        <w:rPr>
          <w:rFonts w:ascii="ITC Avant Garde" w:hAnsi="ITC Avant Garde"/>
          <w:lang w:val="es-MX"/>
        </w:rPr>
        <w:t>de telecomunicaciones.</w:t>
      </w:r>
    </w:p>
    <w:p w14:paraId="2966216F" w14:textId="77777777" w:rsidR="00A379AA" w:rsidRPr="009C0D93" w:rsidRDefault="00A379AA" w:rsidP="009C0D93">
      <w:pPr>
        <w:pStyle w:val="Prrafodelista"/>
        <w:numPr>
          <w:ilvl w:val="0"/>
          <w:numId w:val="23"/>
        </w:numPr>
        <w:rPr>
          <w:rFonts w:ascii="ITC Avant Garde" w:hAnsi="ITC Avant Garde"/>
          <w:lang w:val="es-MX"/>
        </w:rPr>
      </w:pPr>
      <w:r w:rsidRPr="009C0D93">
        <w:rPr>
          <w:rFonts w:ascii="ITC Avant Garde" w:hAnsi="ITC Avant Garde"/>
          <w:lang w:val="es-MX"/>
        </w:rPr>
        <w:t>Por otra parte, un participante de dicha consulta (Telefónica) sugiere reducir las tendencias asociadas a los costos operativos con base en la hipótesis de que el operador mejoraría sus operaciones con el tiempo mejorando en eficiencia.</w:t>
      </w:r>
    </w:p>
    <w:p w14:paraId="4E1D695B" w14:textId="1A1181B7" w:rsidR="00A379AA" w:rsidRPr="009C0D93" w:rsidRDefault="00A379AA" w:rsidP="009C0D93">
      <w:pPr>
        <w:pStyle w:val="Prrafodelista"/>
        <w:numPr>
          <w:ilvl w:val="0"/>
          <w:numId w:val="23"/>
        </w:numPr>
        <w:rPr>
          <w:rFonts w:ascii="ITC Avant Garde" w:hAnsi="ITC Avant Garde"/>
          <w:lang w:val="es-MX"/>
        </w:rPr>
      </w:pPr>
      <w:r w:rsidRPr="009C0D93">
        <w:rPr>
          <w:rFonts w:ascii="ITC Avant Garde" w:hAnsi="ITC Avant Garde"/>
          <w:lang w:val="es-MX"/>
        </w:rPr>
        <w:t>En contraposici</w:t>
      </w:r>
      <w:r w:rsidR="00563BE7" w:rsidRPr="009C0D93">
        <w:rPr>
          <w:rFonts w:ascii="ITC Avant Garde" w:hAnsi="ITC Avant Garde"/>
          <w:lang w:val="es-MX"/>
        </w:rPr>
        <w:t>ón, ciertos participantes (Mega C</w:t>
      </w:r>
      <w:r w:rsidRPr="009C0D93">
        <w:rPr>
          <w:rFonts w:ascii="ITC Avant Garde" w:hAnsi="ITC Avant Garde"/>
          <w:lang w:val="es-MX"/>
        </w:rPr>
        <w:t xml:space="preserve">able y Televisa) han propuesto considerar tendencias de costos en términos reales. </w:t>
      </w:r>
      <w:r w:rsidR="002752D8" w:rsidRPr="009C0D93">
        <w:rPr>
          <w:rFonts w:ascii="ITC Avant Garde" w:hAnsi="ITC Avant Garde"/>
          <w:lang w:val="es-MX"/>
        </w:rPr>
        <w:t>De manera particular, u</w:t>
      </w:r>
      <w:r w:rsidRPr="009C0D93">
        <w:rPr>
          <w:rFonts w:ascii="ITC Avant Garde" w:hAnsi="ITC Avant Garde"/>
          <w:lang w:val="es-MX"/>
        </w:rPr>
        <w:t xml:space="preserve">no de estos participantes (Televisa) apoya su postura en una serie de comparativas de dichas tendencias. </w:t>
      </w:r>
    </w:p>
    <w:p w14:paraId="595F9B9A" w14:textId="77777777" w:rsidR="00A379AA" w:rsidRPr="009C0D93" w:rsidRDefault="00A379AA" w:rsidP="009C0D93">
      <w:pPr>
        <w:pStyle w:val="Prrafodelista"/>
        <w:numPr>
          <w:ilvl w:val="0"/>
          <w:numId w:val="23"/>
        </w:numPr>
        <w:rPr>
          <w:rFonts w:ascii="ITC Avant Garde" w:hAnsi="ITC Avant Garde"/>
          <w:lang w:val="es-MX"/>
        </w:rPr>
      </w:pPr>
      <w:r w:rsidRPr="009C0D93">
        <w:rPr>
          <w:rFonts w:ascii="ITC Avant Garde" w:hAnsi="ITC Avant Garde"/>
          <w:lang w:val="es-MX"/>
        </w:rPr>
        <w:t>Asimismo, uno de los participantes (Telefónica) sugiere que las tendencias de equipos específicos de telecomunicaciones deberían ser más bajas y que se deberían incluir descuentos por volumen a los que pueda acceder el operador.</w:t>
      </w:r>
    </w:p>
    <w:p w14:paraId="43E15117" w14:textId="2CAA17EF" w:rsidR="00A379AA" w:rsidRPr="009C0D93" w:rsidRDefault="00A379AA" w:rsidP="009C0D93">
      <w:pPr>
        <w:pStyle w:val="Prrafodelista"/>
        <w:numPr>
          <w:ilvl w:val="0"/>
          <w:numId w:val="23"/>
        </w:numPr>
        <w:rPr>
          <w:rFonts w:ascii="ITC Avant Garde" w:hAnsi="ITC Avant Garde"/>
          <w:lang w:val="es-MX"/>
        </w:rPr>
      </w:pPr>
      <w:r w:rsidRPr="009C0D93">
        <w:rPr>
          <w:rFonts w:ascii="ITC Avant Garde" w:hAnsi="ITC Avant Garde"/>
          <w:lang w:val="es-MX"/>
        </w:rPr>
        <w:t xml:space="preserve">Por otra parte, determinados participantes (Sres. Sánchez Colín, Domínguez Jardon y Velázquez Valdez) </w:t>
      </w:r>
      <w:r w:rsidR="00F534F7" w:rsidRPr="009C0D93">
        <w:rPr>
          <w:rFonts w:ascii="ITC Avant Garde" w:hAnsi="ITC Avant Garde"/>
          <w:lang w:val="es-MX"/>
        </w:rPr>
        <w:t xml:space="preserve">indican </w:t>
      </w:r>
      <w:r w:rsidRPr="009C0D93">
        <w:rPr>
          <w:rFonts w:ascii="ITC Avant Garde" w:hAnsi="ITC Avant Garde"/>
          <w:lang w:val="es-MX"/>
        </w:rPr>
        <w:t xml:space="preserve">que se deben considerar cambios tecnológicos en las tendencias de costos. </w:t>
      </w:r>
    </w:p>
    <w:p w14:paraId="35F0B9A5" w14:textId="77777777" w:rsidR="00A379AA" w:rsidRPr="009C0D93" w:rsidRDefault="00A379AA" w:rsidP="009C0D93">
      <w:pPr>
        <w:pStyle w:val="Prrafodelista"/>
        <w:numPr>
          <w:ilvl w:val="0"/>
          <w:numId w:val="23"/>
        </w:numPr>
        <w:rPr>
          <w:rFonts w:ascii="ITC Avant Garde" w:hAnsi="ITC Avant Garde"/>
          <w:lang w:val="es-MX"/>
        </w:rPr>
      </w:pPr>
      <w:r w:rsidRPr="009C0D93">
        <w:rPr>
          <w:rFonts w:ascii="ITC Avant Garde" w:hAnsi="ITC Avant Garde"/>
          <w:lang w:val="es-MX"/>
        </w:rPr>
        <w:t xml:space="preserve">En complemento, ciertos participantes (Sres. Chepe Campuzano y Sánchez Dávila) sugieren que se debe considerar la volatilidad cambiaria. </w:t>
      </w:r>
    </w:p>
    <w:p w14:paraId="6F0EC40F" w14:textId="77777777" w:rsidR="00A379AA" w:rsidRPr="009C0D93" w:rsidRDefault="00A379AA" w:rsidP="009C0D93">
      <w:pPr>
        <w:pStyle w:val="Prrafodelista"/>
        <w:numPr>
          <w:ilvl w:val="0"/>
          <w:numId w:val="23"/>
        </w:numPr>
        <w:rPr>
          <w:rFonts w:ascii="ITC Avant Garde" w:hAnsi="ITC Avant Garde"/>
          <w:lang w:val="es-MX"/>
        </w:rPr>
      </w:pPr>
      <w:r w:rsidRPr="009C0D93">
        <w:rPr>
          <w:rFonts w:ascii="ITC Avant Garde" w:hAnsi="ITC Avant Garde"/>
          <w:lang w:val="es-MX"/>
        </w:rPr>
        <w:t>Asimismo, ciertos participantes (Sres. Vincen Quiroz y Mondragón Mora) consideran que se debe revisar el modelo a efecto evitar posibles redundancias al emplear el INPC.</w:t>
      </w:r>
    </w:p>
    <w:p w14:paraId="24845A7A" w14:textId="4577AED8" w:rsidR="00A379AA" w:rsidRPr="009C0D93" w:rsidRDefault="00A379AA" w:rsidP="009C0D93">
      <w:pPr>
        <w:rPr>
          <w:rFonts w:ascii="ITC Avant Garde" w:hAnsi="ITC Avant Garde"/>
          <w:lang w:val="es-MX"/>
        </w:rPr>
      </w:pPr>
      <w:r w:rsidRPr="009C0D93">
        <w:rPr>
          <w:rFonts w:ascii="ITC Avant Garde" w:hAnsi="ITC Avant Garde"/>
          <w:lang w:val="es-MX"/>
        </w:rPr>
        <w:t xml:space="preserve">Finalmente, uno de los participantes (CANIETI) realizó comentarios relativos a la definición de los incrementos, lo cual se aborda en la sección </w:t>
      </w:r>
      <w:r w:rsidRPr="009C0D93">
        <w:rPr>
          <w:rFonts w:ascii="ITC Avant Garde" w:hAnsi="ITC Avant Garde"/>
          <w:lang w:val="es-MX"/>
        </w:rPr>
        <w:fldChar w:fldCharType="begin"/>
      </w:r>
      <w:r w:rsidRPr="009C0D93">
        <w:rPr>
          <w:rFonts w:ascii="ITC Avant Garde" w:hAnsi="ITC Avant Garde"/>
          <w:lang w:val="es-MX"/>
        </w:rPr>
        <w:instrText xml:space="preserve"> REF _Ref468291761 \r \h  \* MERGEFORMAT </w:instrText>
      </w:r>
      <w:r w:rsidRPr="009C0D93">
        <w:rPr>
          <w:rFonts w:ascii="ITC Avant Garde" w:hAnsi="ITC Avant Garde"/>
          <w:lang w:val="es-MX"/>
        </w:rPr>
      </w:r>
      <w:r w:rsidRPr="009C0D93">
        <w:rPr>
          <w:rFonts w:ascii="ITC Avant Garde" w:hAnsi="ITC Avant Garde"/>
          <w:lang w:val="es-MX"/>
        </w:rPr>
        <w:fldChar w:fldCharType="separate"/>
      </w:r>
      <w:r w:rsidRPr="009C0D93">
        <w:rPr>
          <w:rFonts w:ascii="ITC Avant Garde" w:hAnsi="ITC Avant Garde"/>
          <w:cs/>
          <w:lang w:val="es-MX"/>
        </w:rPr>
        <w:t>‎</w:t>
      </w:r>
      <w:r w:rsidRPr="009C0D93">
        <w:rPr>
          <w:rFonts w:ascii="ITC Avant Garde" w:hAnsi="ITC Avant Garde"/>
          <w:lang w:val="es-MX"/>
        </w:rPr>
        <w:fldChar w:fldCharType="end"/>
      </w:r>
      <w:r w:rsidR="00F534F7" w:rsidRPr="009C0D93">
        <w:rPr>
          <w:rFonts w:ascii="ITC Avant Garde" w:hAnsi="ITC Avant Garde"/>
          <w:lang w:val="es-MX"/>
        </w:rPr>
        <w:fldChar w:fldCharType="begin"/>
      </w:r>
      <w:r w:rsidR="00F534F7" w:rsidRPr="009C0D93">
        <w:rPr>
          <w:rFonts w:ascii="ITC Avant Garde" w:hAnsi="ITC Avant Garde"/>
          <w:lang w:val="es-MX"/>
        </w:rPr>
        <w:instrText xml:space="preserve"> REF _Ref529367981 \r \h </w:instrText>
      </w:r>
      <w:r w:rsidR="007D54E4" w:rsidRPr="009C0D93">
        <w:rPr>
          <w:rFonts w:ascii="ITC Avant Garde" w:hAnsi="ITC Avant Garde"/>
          <w:lang w:val="es-MX"/>
        </w:rPr>
        <w:instrText xml:space="preserve"> \* MERGEFORMAT </w:instrText>
      </w:r>
      <w:r w:rsidR="00F534F7" w:rsidRPr="009C0D93">
        <w:rPr>
          <w:rFonts w:ascii="ITC Avant Garde" w:hAnsi="ITC Avant Garde"/>
          <w:lang w:val="es-MX"/>
        </w:rPr>
      </w:r>
      <w:r w:rsidR="00F534F7" w:rsidRPr="009C0D93">
        <w:rPr>
          <w:rFonts w:ascii="ITC Avant Garde" w:hAnsi="ITC Avant Garde"/>
          <w:lang w:val="es-MX"/>
        </w:rPr>
        <w:fldChar w:fldCharType="separate"/>
      </w:r>
      <w:r w:rsidR="00F534F7" w:rsidRPr="009C0D93">
        <w:rPr>
          <w:rFonts w:ascii="ITC Avant Garde" w:hAnsi="ITC Avant Garde"/>
          <w:lang w:val="es-MX"/>
        </w:rPr>
        <w:t>2.13</w:t>
      </w:r>
      <w:r w:rsidR="00F534F7" w:rsidRPr="009C0D93">
        <w:rPr>
          <w:rFonts w:ascii="ITC Avant Garde" w:hAnsi="ITC Avant Garde"/>
          <w:lang w:val="es-MX"/>
        </w:rPr>
        <w:fldChar w:fldCharType="end"/>
      </w:r>
      <w:r w:rsidRPr="009C0D93">
        <w:rPr>
          <w:rFonts w:ascii="ITC Avant Garde" w:hAnsi="ITC Avant Garde"/>
          <w:lang w:val="es-MX"/>
        </w:rPr>
        <w:t>.</w:t>
      </w:r>
    </w:p>
    <w:p w14:paraId="76F59BED" w14:textId="766C47AB" w:rsidR="00477423" w:rsidRPr="007D54E4" w:rsidRDefault="00477423" w:rsidP="00477423">
      <w:pPr>
        <w:pStyle w:val="Ttulo3"/>
        <w:numPr>
          <w:ilvl w:val="0"/>
          <w:numId w:val="0"/>
        </w:numPr>
        <w:rPr>
          <w:rFonts w:ascii="ITC Avant Garde" w:hAnsi="ITC Avant Garde"/>
          <w:b w:val="0"/>
          <w:i/>
          <w:u w:val="single"/>
          <w:lang w:val="es-ES_tradnl"/>
        </w:rPr>
      </w:pPr>
      <w:r w:rsidRPr="007D54E4">
        <w:rPr>
          <w:rFonts w:ascii="ITC Avant Garde" w:hAnsi="ITC Avant Garde"/>
          <w:b w:val="0"/>
          <w:i/>
          <w:u w:val="single"/>
          <w:lang w:val="es-ES_tradnl"/>
        </w:rPr>
        <w:t>Respuesta del Instituto</w:t>
      </w:r>
    </w:p>
    <w:p w14:paraId="7931EAEC" w14:textId="7DDCF2DF" w:rsidR="00A379AA" w:rsidRPr="009C0D93" w:rsidRDefault="00A379AA" w:rsidP="009C0D93">
      <w:pPr>
        <w:rPr>
          <w:rFonts w:ascii="ITC Avant Garde" w:hAnsi="ITC Avant Garde"/>
          <w:lang w:val="es-MX"/>
        </w:rPr>
      </w:pPr>
      <w:r w:rsidRPr="009C0D93">
        <w:rPr>
          <w:rFonts w:ascii="ITC Avant Garde" w:hAnsi="ITC Avant Garde"/>
          <w:lang w:val="es-MX"/>
        </w:rPr>
        <w:t xml:space="preserve">En lo tocante a considerar proyecciones de salarios mínimos, el Instituto no considera aplicable el comentario dado que en la versión final del modelo se </w:t>
      </w:r>
      <w:r w:rsidRPr="009C0D93">
        <w:rPr>
          <w:rFonts w:ascii="ITC Avant Garde" w:hAnsi="ITC Avant Garde"/>
          <w:lang w:val="es-MX"/>
        </w:rPr>
        <w:lastRenderedPageBreak/>
        <w:t xml:space="preserve">emplean tasas de inflación </w:t>
      </w:r>
      <w:r w:rsidR="003D11CE" w:rsidRPr="009C0D93">
        <w:rPr>
          <w:rFonts w:ascii="ITC Avant Garde" w:hAnsi="ITC Avant Garde"/>
          <w:lang w:val="es-MX"/>
        </w:rPr>
        <w:t xml:space="preserve">del Banco de México, </w:t>
      </w:r>
      <w:r w:rsidRPr="009C0D93">
        <w:rPr>
          <w:rFonts w:ascii="ITC Avant Garde" w:hAnsi="ITC Avant Garde"/>
          <w:lang w:val="es-MX"/>
        </w:rPr>
        <w:t>las cuales se consideran como proyecciones razonables de los costos de mano de obra.</w:t>
      </w:r>
    </w:p>
    <w:p w14:paraId="0B0E46D7" w14:textId="3E7CB4E5" w:rsidR="00A379AA" w:rsidRPr="009C0D93" w:rsidRDefault="00A379AA" w:rsidP="009C0D93">
      <w:pPr>
        <w:rPr>
          <w:rFonts w:ascii="ITC Avant Garde" w:hAnsi="ITC Avant Garde"/>
          <w:lang w:val="es-MX"/>
        </w:rPr>
      </w:pPr>
      <w:r w:rsidRPr="009C0D93">
        <w:rPr>
          <w:rFonts w:ascii="ITC Avant Garde" w:hAnsi="ITC Avant Garde"/>
          <w:lang w:val="es-MX"/>
        </w:rPr>
        <w:t xml:space="preserve">Por otra parte, respecto a </w:t>
      </w:r>
      <w:r w:rsidR="0040734A" w:rsidRPr="009C0D93">
        <w:rPr>
          <w:rFonts w:ascii="ITC Avant Garde" w:hAnsi="ITC Avant Garde"/>
          <w:lang w:val="es-MX"/>
        </w:rPr>
        <w:t>tomar en cuenta</w:t>
      </w:r>
      <w:r w:rsidRPr="009C0D93">
        <w:rPr>
          <w:rFonts w:ascii="ITC Avant Garde" w:hAnsi="ITC Avant Garde"/>
          <w:lang w:val="es-MX"/>
        </w:rPr>
        <w:t xml:space="preserve"> dentro del modelo diferentes indicadores</w:t>
      </w:r>
      <w:r w:rsidR="0040734A" w:rsidRPr="009C0D93">
        <w:rPr>
          <w:rFonts w:ascii="ITC Avant Garde" w:hAnsi="ITC Avant Garde"/>
          <w:lang w:val="es-MX"/>
        </w:rPr>
        <w:t xml:space="preserve"> para las tendencias de los costos de los activos de la red modelada</w:t>
      </w:r>
      <w:r w:rsidR="003D11CE" w:rsidRPr="009C0D93">
        <w:rPr>
          <w:rFonts w:ascii="ITC Avant Garde" w:hAnsi="ITC Avant Garde"/>
          <w:lang w:val="es-MX"/>
        </w:rPr>
        <w:t>, como</w:t>
      </w:r>
      <w:r w:rsidRPr="009C0D93">
        <w:rPr>
          <w:rFonts w:ascii="ITC Avant Garde" w:hAnsi="ITC Avant Garde"/>
          <w:lang w:val="es-MX"/>
        </w:rPr>
        <w:t xml:space="preserve"> el INPP para los materiales asociados a la obra civil, el Instituto </w:t>
      </w:r>
      <w:r w:rsidR="003D11CE" w:rsidRPr="009C0D93">
        <w:rPr>
          <w:rFonts w:ascii="ITC Avant Garde" w:hAnsi="ITC Avant Garde"/>
          <w:lang w:val="es-MX"/>
        </w:rPr>
        <w:t xml:space="preserve">señala </w:t>
      </w:r>
      <w:r w:rsidRPr="009C0D93">
        <w:rPr>
          <w:rFonts w:ascii="ITC Avant Garde" w:hAnsi="ITC Avant Garde"/>
          <w:lang w:val="es-MX"/>
        </w:rPr>
        <w:t xml:space="preserve">que los parámetros empleados en la versión final del modelo proceden de datos provistos por el AEP y demás participantes de la presente consulta, los cuales </w:t>
      </w:r>
      <w:r w:rsidR="00780731" w:rsidRPr="009C0D93">
        <w:rPr>
          <w:rFonts w:ascii="ITC Avant Garde" w:hAnsi="ITC Avant Garde"/>
          <w:lang w:val="es-MX"/>
        </w:rPr>
        <w:t>fuero</w:t>
      </w:r>
      <w:r w:rsidRPr="009C0D93">
        <w:rPr>
          <w:rFonts w:ascii="ITC Avant Garde" w:hAnsi="ITC Avant Garde"/>
          <w:lang w:val="es-MX"/>
        </w:rPr>
        <w:t>n debidamente analizados y contrastados, siempre que ha sido posible, y que sólo emplean comparativas internacionales o estimaciones donde no haya sido posible hacerlo de otra manera. En este sentido, tales valores se consideran una referencia válida los materiales asociados a la obra civil.</w:t>
      </w:r>
    </w:p>
    <w:p w14:paraId="3DC0572F" w14:textId="1B7EBCDC" w:rsidR="00A379AA" w:rsidRPr="009C0D93" w:rsidRDefault="00A379AA" w:rsidP="009C0D93">
      <w:pPr>
        <w:rPr>
          <w:rFonts w:ascii="ITC Avant Garde" w:hAnsi="ITC Avant Garde"/>
          <w:lang w:val="es-MX"/>
        </w:rPr>
      </w:pPr>
      <w:r w:rsidRPr="009C0D93">
        <w:rPr>
          <w:rFonts w:ascii="ITC Avant Garde" w:hAnsi="ITC Avant Garde"/>
          <w:lang w:val="es-MX"/>
        </w:rPr>
        <w:t xml:space="preserve">En torno a los comentarios en donde se </w:t>
      </w:r>
      <w:r w:rsidR="001D472D" w:rsidRPr="009C0D93">
        <w:rPr>
          <w:rFonts w:ascii="ITC Avant Garde" w:hAnsi="ITC Avant Garde"/>
          <w:lang w:val="es-MX"/>
        </w:rPr>
        <w:t>plantea</w:t>
      </w:r>
      <w:r w:rsidRPr="009C0D93">
        <w:rPr>
          <w:rFonts w:ascii="ITC Avant Garde" w:hAnsi="ITC Avant Garde"/>
          <w:lang w:val="es-MX"/>
        </w:rPr>
        <w:t xml:space="preserve"> reducir las tendencias asociadas a los costos operativos con base en </w:t>
      </w:r>
      <w:r w:rsidR="00982187" w:rsidRPr="009C0D93">
        <w:rPr>
          <w:rFonts w:ascii="ITC Avant Garde" w:hAnsi="ITC Avant Garde"/>
          <w:lang w:val="es-MX"/>
        </w:rPr>
        <w:t>un</w:t>
      </w:r>
      <w:r w:rsidR="00382B28" w:rsidRPr="009C0D93">
        <w:rPr>
          <w:rFonts w:ascii="ITC Avant Garde" w:hAnsi="ITC Avant Garde"/>
          <w:lang w:val="es-MX"/>
        </w:rPr>
        <w:t>a</w:t>
      </w:r>
      <w:r w:rsidRPr="009C0D93">
        <w:rPr>
          <w:rFonts w:ascii="ITC Avant Garde" w:hAnsi="ITC Avant Garde"/>
          <w:lang w:val="es-MX"/>
        </w:rPr>
        <w:t xml:space="preserve"> hipótesis </w:t>
      </w:r>
      <w:r w:rsidR="001D472D" w:rsidRPr="009C0D93">
        <w:rPr>
          <w:rFonts w:ascii="ITC Avant Garde" w:hAnsi="ITC Avant Garde"/>
          <w:lang w:val="es-MX"/>
        </w:rPr>
        <w:t xml:space="preserve">de eficiencia gradual en </w:t>
      </w:r>
      <w:r w:rsidR="00982187" w:rsidRPr="009C0D93">
        <w:rPr>
          <w:rFonts w:ascii="ITC Avant Garde" w:hAnsi="ITC Avant Garde"/>
          <w:lang w:val="es-MX"/>
        </w:rPr>
        <w:t>los procesos del AEP</w:t>
      </w:r>
      <w:r w:rsidRPr="009C0D93">
        <w:rPr>
          <w:rFonts w:ascii="ITC Avant Garde" w:hAnsi="ITC Avant Garde"/>
          <w:lang w:val="es-MX"/>
        </w:rPr>
        <w:t>, el Instituto no considera procedente este enfoque dado que no tiene en cuenta otros factores que inciden sobre las tendencias de dichos costos</w:t>
      </w:r>
      <w:r w:rsidR="00C30D8A" w:rsidRPr="009C0D93">
        <w:rPr>
          <w:rFonts w:ascii="ITC Avant Garde" w:hAnsi="ITC Avant Garde"/>
          <w:lang w:val="es-MX"/>
        </w:rPr>
        <w:t xml:space="preserve"> </w:t>
      </w:r>
      <w:r w:rsidRPr="009C0D93">
        <w:rPr>
          <w:rFonts w:ascii="ITC Avant Garde" w:hAnsi="ITC Avant Garde"/>
          <w:lang w:val="es-MX"/>
        </w:rPr>
        <w:t>(</w:t>
      </w:r>
      <w:r w:rsidR="00C30D8A" w:rsidRPr="009C0D93">
        <w:rPr>
          <w:rFonts w:ascii="ITC Avant Garde" w:hAnsi="ITC Avant Garde"/>
          <w:lang w:val="es-MX"/>
        </w:rPr>
        <w:t xml:space="preserve">por ejemplo, </w:t>
      </w:r>
      <w:r w:rsidRPr="009C0D93">
        <w:rPr>
          <w:rFonts w:ascii="ITC Avant Garde" w:hAnsi="ITC Avant Garde"/>
          <w:lang w:val="es-MX"/>
        </w:rPr>
        <w:t xml:space="preserve">la ampliación de cobertura a futuro en zonas menos densamente pobladas que podrían resultar en mayores costos unitarios). </w:t>
      </w:r>
    </w:p>
    <w:p w14:paraId="16DD7EF1" w14:textId="3FFC2D04" w:rsidR="00A379AA" w:rsidRPr="007D54E4" w:rsidRDefault="00A379AA" w:rsidP="00A379AA">
      <w:pPr>
        <w:rPr>
          <w:rFonts w:ascii="ITC Avant Garde" w:hAnsi="ITC Avant Garde"/>
          <w:lang w:val="es-MX"/>
        </w:rPr>
      </w:pPr>
      <w:r w:rsidRPr="007D54E4">
        <w:rPr>
          <w:rFonts w:ascii="ITC Avant Garde" w:hAnsi="ITC Avant Garde"/>
          <w:lang w:val="es-MX"/>
        </w:rPr>
        <w:t>Por otra parte, el Instituto destaca que en la versión final del modelo las tendencias de costos se ajustar</w:t>
      </w:r>
      <w:r w:rsidR="00ED0B3C" w:rsidRPr="007D54E4">
        <w:rPr>
          <w:rFonts w:ascii="ITC Avant Garde" w:hAnsi="ITC Avant Garde"/>
          <w:lang w:val="es-MX"/>
        </w:rPr>
        <w:t>o</w:t>
      </w:r>
      <w:r w:rsidRPr="007D54E4">
        <w:rPr>
          <w:rFonts w:ascii="ITC Avant Garde" w:hAnsi="ITC Avant Garde"/>
          <w:lang w:val="es-MX"/>
        </w:rPr>
        <w:t xml:space="preserve">n de conformidad con el tipo </w:t>
      </w:r>
      <w:r w:rsidR="00310720" w:rsidRPr="007D54E4">
        <w:rPr>
          <w:rFonts w:ascii="ITC Avant Garde" w:hAnsi="ITC Avant Garde"/>
          <w:lang w:val="es-MX"/>
        </w:rPr>
        <w:t xml:space="preserve">de </w:t>
      </w:r>
      <w:r w:rsidRPr="007D54E4">
        <w:rPr>
          <w:rFonts w:ascii="ITC Avant Garde" w:hAnsi="ITC Avant Garde"/>
          <w:lang w:val="es-MX"/>
        </w:rPr>
        <w:t>CCPP empleado (es decir, valores reales)</w:t>
      </w:r>
      <w:r w:rsidR="00310720" w:rsidRPr="007D54E4">
        <w:rPr>
          <w:rFonts w:ascii="ITC Avant Garde" w:hAnsi="ITC Avant Garde"/>
          <w:lang w:val="es-MX"/>
        </w:rPr>
        <w:t xml:space="preserve">, y que tales </w:t>
      </w:r>
      <w:r w:rsidRPr="007D54E4">
        <w:rPr>
          <w:rFonts w:ascii="ITC Avant Garde" w:hAnsi="ITC Avant Garde"/>
          <w:lang w:val="es-MX"/>
        </w:rPr>
        <w:t xml:space="preserve">las tendencias </w:t>
      </w:r>
      <w:r w:rsidR="00ED0B3C" w:rsidRPr="007D54E4">
        <w:rPr>
          <w:rFonts w:ascii="ITC Avant Garde" w:hAnsi="ITC Avant Garde"/>
          <w:lang w:val="es-MX"/>
        </w:rPr>
        <w:t>fuero</w:t>
      </w:r>
      <w:r w:rsidRPr="007D54E4">
        <w:rPr>
          <w:rFonts w:ascii="ITC Avant Garde" w:hAnsi="ITC Avant Garde"/>
          <w:lang w:val="es-MX"/>
        </w:rPr>
        <w:t>n contrastadas con la práctica internacional, considerándose</w:t>
      </w:r>
      <w:r w:rsidR="00310720" w:rsidRPr="007D54E4">
        <w:rPr>
          <w:rFonts w:ascii="ITC Avant Garde" w:hAnsi="ITC Avant Garde"/>
          <w:lang w:val="es-MX"/>
        </w:rPr>
        <w:t>,</w:t>
      </w:r>
      <w:r w:rsidRPr="007D54E4">
        <w:rPr>
          <w:rFonts w:ascii="ITC Avant Garde" w:hAnsi="ITC Avant Garde"/>
          <w:lang w:val="es-MX"/>
        </w:rPr>
        <w:t xml:space="preserve"> por tanto</w:t>
      </w:r>
      <w:r w:rsidR="00310720" w:rsidRPr="007D54E4">
        <w:rPr>
          <w:rFonts w:ascii="ITC Avant Garde" w:hAnsi="ITC Avant Garde"/>
          <w:lang w:val="es-MX"/>
        </w:rPr>
        <w:t>,</w:t>
      </w:r>
      <w:r w:rsidRPr="007D54E4">
        <w:rPr>
          <w:rFonts w:ascii="ITC Avant Garde" w:hAnsi="ITC Avant Garde"/>
          <w:lang w:val="es-MX"/>
        </w:rPr>
        <w:t xml:space="preserve"> razonables.</w:t>
      </w:r>
    </w:p>
    <w:p w14:paraId="4A5BA75C" w14:textId="287193F2" w:rsidR="00A379AA" w:rsidRPr="007D54E4" w:rsidRDefault="002923CD" w:rsidP="00A379AA">
      <w:pPr>
        <w:rPr>
          <w:rFonts w:ascii="ITC Avant Garde" w:hAnsi="ITC Avant Garde"/>
          <w:lang w:val="es-MX"/>
        </w:rPr>
      </w:pPr>
      <w:r w:rsidRPr="007D54E4">
        <w:rPr>
          <w:rFonts w:ascii="ITC Avant Garde" w:hAnsi="ITC Avant Garde"/>
          <w:lang w:val="es-MX"/>
        </w:rPr>
        <w:t>R</w:t>
      </w:r>
      <w:r w:rsidR="00A379AA" w:rsidRPr="007D54E4">
        <w:rPr>
          <w:rFonts w:ascii="ITC Avant Garde" w:hAnsi="ITC Avant Garde"/>
          <w:lang w:val="es-MX"/>
        </w:rPr>
        <w:t xml:space="preserve">especto a considerar que las tendencias de equipos específicos de telecomunicaciones deberían ser más bajas las tendencias empleadas en la versión final del modelo, el Instituto </w:t>
      </w:r>
      <w:r w:rsidRPr="007D54E4">
        <w:rPr>
          <w:rFonts w:ascii="ITC Avant Garde" w:hAnsi="ITC Avant Garde"/>
          <w:lang w:val="es-MX"/>
        </w:rPr>
        <w:t xml:space="preserve">reitera </w:t>
      </w:r>
      <w:r w:rsidR="00A379AA" w:rsidRPr="007D54E4">
        <w:rPr>
          <w:rFonts w:ascii="ITC Avant Garde" w:hAnsi="ITC Avant Garde"/>
          <w:lang w:val="es-MX"/>
        </w:rPr>
        <w:t xml:space="preserve">que éstas </w:t>
      </w:r>
      <w:r w:rsidR="00ED0B3C" w:rsidRPr="007D54E4">
        <w:rPr>
          <w:rFonts w:ascii="ITC Avant Garde" w:hAnsi="ITC Avant Garde"/>
          <w:lang w:val="es-MX"/>
        </w:rPr>
        <w:t xml:space="preserve">provienen </w:t>
      </w:r>
      <w:r w:rsidR="00A379AA" w:rsidRPr="007D54E4">
        <w:rPr>
          <w:rFonts w:ascii="ITC Avant Garde" w:hAnsi="ITC Avant Garde"/>
          <w:lang w:val="es-MX"/>
        </w:rPr>
        <w:t xml:space="preserve">de datos de la práctica internacional que en este sentido se consideran apropiadas. </w:t>
      </w:r>
    </w:p>
    <w:p w14:paraId="39305D06" w14:textId="77777777" w:rsidR="00A379AA" w:rsidRPr="007D54E4" w:rsidRDefault="00A379AA" w:rsidP="00A379AA">
      <w:pPr>
        <w:rPr>
          <w:rFonts w:ascii="ITC Avant Garde" w:hAnsi="ITC Avant Garde"/>
          <w:lang w:val="es-MX"/>
        </w:rPr>
      </w:pPr>
      <w:r w:rsidRPr="007D54E4">
        <w:rPr>
          <w:rFonts w:ascii="ITC Avant Garde" w:hAnsi="ITC Avant Garde"/>
          <w:lang w:val="es-MX"/>
        </w:rPr>
        <w:t xml:space="preserve">En adición, en lo tocante a incluir descuentos por volumen a los que pueda acceder el operador, el Instituto señala que este punto no es aplicable, dado que, de existir, tales estarían asociados a los costos unitarios y no a las tendencias de los mismos. </w:t>
      </w:r>
    </w:p>
    <w:p w14:paraId="0F6D788A" w14:textId="28458009" w:rsidR="00A379AA" w:rsidRPr="007D54E4" w:rsidRDefault="00A379AA" w:rsidP="00A379AA">
      <w:pPr>
        <w:rPr>
          <w:rFonts w:ascii="ITC Avant Garde" w:hAnsi="ITC Avant Garde"/>
          <w:lang w:val="es-MX"/>
        </w:rPr>
      </w:pPr>
      <w:r w:rsidRPr="007D54E4">
        <w:rPr>
          <w:rFonts w:ascii="ITC Avant Garde" w:hAnsi="ITC Avant Garde"/>
          <w:lang w:val="es-MX"/>
        </w:rPr>
        <w:t xml:space="preserve">Respecto a considerar cambios tecnológicos en las tendencias de costos, el Instituto considera que, dentro del periodo de cálculo del modelo, el cual se encuentra asociado al periodo de vigencia de la oferta de referencia correspondiente, no se </w:t>
      </w:r>
      <w:r w:rsidR="002923CD" w:rsidRPr="007D54E4">
        <w:rPr>
          <w:rFonts w:ascii="ITC Avant Garde" w:hAnsi="ITC Avant Garde"/>
          <w:lang w:val="es-MX"/>
        </w:rPr>
        <w:t xml:space="preserve">estima que se suscitará </w:t>
      </w:r>
      <w:r w:rsidRPr="007D54E4">
        <w:rPr>
          <w:rFonts w:ascii="ITC Avant Garde" w:hAnsi="ITC Avant Garde"/>
          <w:lang w:val="es-MX"/>
        </w:rPr>
        <w:t>la introducción de cambios tecnológicos que pudieran tener impacto directo sobre las tendencias de costos de activos y elementos relacionados con la red de acceso.</w:t>
      </w:r>
    </w:p>
    <w:p w14:paraId="75B5F2F0" w14:textId="7517364B" w:rsidR="00A379AA" w:rsidRPr="007D54E4" w:rsidRDefault="009C561C" w:rsidP="00A379AA">
      <w:pPr>
        <w:rPr>
          <w:rFonts w:ascii="ITC Avant Garde" w:hAnsi="ITC Avant Garde"/>
          <w:lang w:val="es-MX"/>
        </w:rPr>
      </w:pPr>
      <w:r w:rsidRPr="007D54E4">
        <w:rPr>
          <w:rFonts w:ascii="ITC Avant Garde" w:hAnsi="ITC Avant Garde"/>
          <w:lang w:val="es-MX"/>
        </w:rPr>
        <w:t xml:space="preserve">Por lo que hace </w:t>
      </w:r>
      <w:r w:rsidR="002E7B47" w:rsidRPr="007D54E4">
        <w:rPr>
          <w:rFonts w:ascii="ITC Avant Garde" w:hAnsi="ITC Avant Garde"/>
          <w:lang w:val="es-MX"/>
        </w:rPr>
        <w:t>a</w:t>
      </w:r>
      <w:r w:rsidR="00A379AA" w:rsidRPr="007D54E4">
        <w:rPr>
          <w:rFonts w:ascii="ITC Avant Garde" w:hAnsi="ITC Avant Garde"/>
          <w:lang w:val="es-MX"/>
        </w:rPr>
        <w:t xml:space="preserve"> considerar la volatilidad cambiaria, el Instituto aclara que en el modelo las previsiones de los cambios de divisa se introducen por separado, con base en información del Banco de México.</w:t>
      </w:r>
    </w:p>
    <w:p w14:paraId="6035D2DA" w14:textId="77777777" w:rsidR="00A379AA" w:rsidRPr="007D54E4" w:rsidRDefault="00A379AA" w:rsidP="00A379AA">
      <w:pPr>
        <w:rPr>
          <w:rFonts w:ascii="ITC Avant Garde" w:hAnsi="ITC Avant Garde"/>
          <w:lang w:val="es-MX"/>
        </w:rPr>
      </w:pPr>
      <w:r w:rsidRPr="007D54E4">
        <w:rPr>
          <w:rFonts w:ascii="ITC Avant Garde" w:hAnsi="ITC Avant Garde"/>
          <w:lang w:val="es-MX"/>
        </w:rPr>
        <w:lastRenderedPageBreak/>
        <w:t>Al respecto de posibles redundancias al emplear el INPC en el modelo, el Instituto observa que los servicios de telecomunicaciones son típicamente una parte reducida de la inflación y, por lo tanto, es razonable emplear este índice en modelos de costos de telecomunicaciones.</w:t>
      </w:r>
    </w:p>
    <w:p w14:paraId="6FA9B819" w14:textId="1D857CB2" w:rsidR="00477423" w:rsidRPr="007D54E4" w:rsidRDefault="00477423" w:rsidP="00857352">
      <w:pPr>
        <w:pStyle w:val="Ttulo3"/>
        <w:rPr>
          <w:rFonts w:ascii="ITC Avant Garde" w:hAnsi="ITC Avant Garde"/>
          <w:lang w:val="es-ES_tradnl"/>
        </w:rPr>
      </w:pPr>
      <w:r w:rsidRPr="007D54E4">
        <w:rPr>
          <w:rFonts w:ascii="ITC Avant Garde" w:hAnsi="ITC Avant Garde"/>
          <w:lang w:val="es-ES_tradnl"/>
        </w:rPr>
        <w:t>¿</w:t>
      </w:r>
      <w:r w:rsidR="00857352" w:rsidRPr="007D54E4">
        <w:rPr>
          <w:rFonts w:ascii="ITC Avant Garde" w:hAnsi="ITC Avant Garde"/>
          <w:lang w:val="es-ES_tradnl"/>
        </w:rPr>
        <w:t>Considera adecuadas las vidas útiles asociadas a cada uno de los elementos de red considerados en el Modelo</w:t>
      </w:r>
      <w:r w:rsidRPr="007D54E4">
        <w:rPr>
          <w:rFonts w:ascii="ITC Avant Garde" w:hAnsi="ITC Avant Garde"/>
          <w:lang w:val="es-ES_tradnl"/>
        </w:rPr>
        <w:t>?</w:t>
      </w:r>
    </w:p>
    <w:p w14:paraId="5D08879F" w14:textId="77777777" w:rsidR="00477423" w:rsidRPr="007D54E4" w:rsidRDefault="00477423" w:rsidP="00477423">
      <w:pPr>
        <w:pStyle w:val="Ttulo3"/>
        <w:numPr>
          <w:ilvl w:val="0"/>
          <w:numId w:val="0"/>
        </w:numPr>
        <w:rPr>
          <w:rFonts w:ascii="ITC Avant Garde" w:hAnsi="ITC Avant Garde"/>
          <w:b w:val="0"/>
          <w:i/>
          <w:u w:val="single"/>
          <w:lang w:val="es-ES_tradnl"/>
        </w:rPr>
      </w:pPr>
      <w:r w:rsidRPr="007D54E4">
        <w:rPr>
          <w:rFonts w:ascii="ITC Avant Garde" w:hAnsi="ITC Avant Garde"/>
          <w:b w:val="0"/>
          <w:i/>
          <w:u w:val="single"/>
          <w:lang w:val="es-ES_tradnl"/>
        </w:rPr>
        <w:t>Resumen de comentarios de la Consulta Pública</w:t>
      </w:r>
    </w:p>
    <w:p w14:paraId="266D76E0" w14:textId="7F1792E0" w:rsidR="00A379AA" w:rsidRPr="007D54E4" w:rsidRDefault="00A379AA" w:rsidP="00A379AA">
      <w:pPr>
        <w:pStyle w:val="ComentarioCS"/>
        <w:rPr>
          <w:rFonts w:ascii="ITC Avant Garde" w:hAnsi="ITC Avant Garde"/>
          <w:i w:val="0"/>
          <w:sz w:val="22"/>
          <w:szCs w:val="22"/>
        </w:rPr>
      </w:pPr>
      <w:r w:rsidRPr="007D54E4">
        <w:rPr>
          <w:rFonts w:ascii="ITC Avant Garde" w:hAnsi="ITC Avant Garde"/>
          <w:i w:val="0"/>
          <w:sz w:val="22"/>
          <w:szCs w:val="22"/>
        </w:rPr>
        <w:t>Al respecto, ciertos participantes (Mega</w:t>
      </w:r>
      <w:r w:rsidR="00563BE7" w:rsidRPr="007D54E4">
        <w:rPr>
          <w:rFonts w:ascii="ITC Avant Garde" w:hAnsi="ITC Avant Garde"/>
          <w:i w:val="0"/>
          <w:sz w:val="22"/>
          <w:szCs w:val="22"/>
        </w:rPr>
        <w:t xml:space="preserve"> C</w:t>
      </w:r>
      <w:r w:rsidRPr="007D54E4">
        <w:rPr>
          <w:rFonts w:ascii="ITC Avant Garde" w:hAnsi="ITC Avant Garde"/>
          <w:i w:val="0"/>
          <w:sz w:val="22"/>
          <w:szCs w:val="22"/>
        </w:rPr>
        <w:t>able y Televisa) consideran que las vidas útiles asociadas a la infraestructura deberían ser mayores a las incluidas en el modelo.</w:t>
      </w:r>
    </w:p>
    <w:p w14:paraId="7E4486C8" w14:textId="759D4B40" w:rsidR="00477423" w:rsidRPr="007D54E4" w:rsidRDefault="00477423" w:rsidP="00477423">
      <w:pPr>
        <w:pStyle w:val="Ttulo3"/>
        <w:numPr>
          <w:ilvl w:val="0"/>
          <w:numId w:val="0"/>
        </w:numPr>
        <w:rPr>
          <w:rFonts w:ascii="ITC Avant Garde" w:hAnsi="ITC Avant Garde"/>
          <w:b w:val="0"/>
          <w:i/>
          <w:u w:val="single"/>
          <w:lang w:val="es-ES_tradnl"/>
        </w:rPr>
      </w:pPr>
      <w:r w:rsidRPr="007D54E4">
        <w:rPr>
          <w:rFonts w:ascii="ITC Avant Garde" w:hAnsi="ITC Avant Garde"/>
          <w:b w:val="0"/>
          <w:i/>
          <w:u w:val="single"/>
          <w:lang w:val="es-ES_tradnl"/>
        </w:rPr>
        <w:t>Respuesta del Instituto</w:t>
      </w:r>
    </w:p>
    <w:p w14:paraId="364A517F" w14:textId="7EE9EF40" w:rsidR="00A379AA" w:rsidRPr="007D54E4" w:rsidRDefault="00A379AA" w:rsidP="00A379AA">
      <w:pPr>
        <w:rPr>
          <w:rFonts w:ascii="ITC Avant Garde" w:hAnsi="ITC Avant Garde"/>
          <w:lang w:val="es-MX"/>
        </w:rPr>
      </w:pPr>
      <w:r w:rsidRPr="007D54E4">
        <w:rPr>
          <w:rFonts w:ascii="ITC Avant Garde" w:hAnsi="ITC Avant Garde"/>
          <w:lang w:val="es-MX"/>
        </w:rPr>
        <w:t>El Instituto señala que los valores de vida útil empleados en la versión final del modelo proceden de datos provistos por el AEP y demás participantes de la presente consulta, los cuales</w:t>
      </w:r>
      <w:r w:rsidR="00ED0B3C" w:rsidRPr="007D54E4">
        <w:rPr>
          <w:rFonts w:ascii="ITC Avant Garde" w:hAnsi="ITC Avant Garde"/>
          <w:lang w:val="es-MX"/>
        </w:rPr>
        <w:t xml:space="preserve"> fueron </w:t>
      </w:r>
      <w:r w:rsidRPr="007D54E4">
        <w:rPr>
          <w:rFonts w:ascii="ITC Avant Garde" w:hAnsi="ITC Avant Garde"/>
          <w:lang w:val="es-MX"/>
        </w:rPr>
        <w:t>debidamente analizados y contrastados, siempre que sea posible, y que sólo se emplear</w:t>
      </w:r>
      <w:r w:rsidR="00ED0B3C" w:rsidRPr="007D54E4">
        <w:rPr>
          <w:rFonts w:ascii="ITC Avant Garde" w:hAnsi="ITC Avant Garde"/>
          <w:lang w:val="es-MX"/>
        </w:rPr>
        <w:t>o</w:t>
      </w:r>
      <w:r w:rsidRPr="007D54E4">
        <w:rPr>
          <w:rFonts w:ascii="ITC Avant Garde" w:hAnsi="ITC Avant Garde"/>
          <w:lang w:val="es-MX"/>
        </w:rPr>
        <w:t>n comparativas internacionales o estimaciones donde no haya sido posible hacerlo de otra manera.</w:t>
      </w:r>
      <w:r w:rsidR="007B56A9" w:rsidRPr="007D54E4">
        <w:rPr>
          <w:rFonts w:ascii="ITC Avant Garde" w:hAnsi="ITC Avant Garde"/>
          <w:lang w:val="es-MX"/>
        </w:rPr>
        <w:t xml:space="preserve"> </w:t>
      </w:r>
      <w:r w:rsidRPr="007D54E4">
        <w:rPr>
          <w:rFonts w:ascii="ITC Avant Garde" w:hAnsi="ITC Avant Garde"/>
          <w:lang w:val="es-MX"/>
        </w:rPr>
        <w:t>De manera particular, se observa que los valores empleados en el modelo están alineados con la información provista por los operadores de México.</w:t>
      </w:r>
    </w:p>
    <w:p w14:paraId="0528B65F" w14:textId="0E08E04A" w:rsidR="00477423" w:rsidRPr="007D54E4" w:rsidRDefault="00477423" w:rsidP="00857352">
      <w:pPr>
        <w:pStyle w:val="Ttulo3"/>
        <w:rPr>
          <w:rFonts w:ascii="ITC Avant Garde" w:hAnsi="ITC Avant Garde"/>
          <w:lang w:val="es-ES_tradnl"/>
        </w:rPr>
      </w:pPr>
      <w:bookmarkStart w:id="6" w:name="_Ref529352417"/>
      <w:r w:rsidRPr="007D54E4">
        <w:rPr>
          <w:rFonts w:ascii="ITC Avant Garde" w:hAnsi="ITC Avant Garde"/>
          <w:lang w:val="es-ES_tradnl"/>
        </w:rPr>
        <w:t>¿</w:t>
      </w:r>
      <w:r w:rsidR="00857352" w:rsidRPr="007D54E4">
        <w:rPr>
          <w:rFonts w:ascii="ITC Avant Garde" w:hAnsi="ITC Avant Garde"/>
          <w:lang w:val="es-ES_tradnl"/>
        </w:rPr>
        <w:t>Considera adecuado el método de depreciación utilizado en el Modelo</w:t>
      </w:r>
      <w:r w:rsidRPr="007D54E4">
        <w:rPr>
          <w:rFonts w:ascii="ITC Avant Garde" w:hAnsi="ITC Avant Garde"/>
          <w:lang w:val="es-ES_tradnl"/>
        </w:rPr>
        <w:t>?</w:t>
      </w:r>
      <w:bookmarkEnd w:id="6"/>
    </w:p>
    <w:p w14:paraId="05E920E0" w14:textId="77777777" w:rsidR="00477423" w:rsidRPr="007D54E4" w:rsidRDefault="00477423" w:rsidP="00477423">
      <w:pPr>
        <w:pStyle w:val="Ttulo3"/>
        <w:numPr>
          <w:ilvl w:val="0"/>
          <w:numId w:val="0"/>
        </w:numPr>
        <w:rPr>
          <w:rFonts w:ascii="ITC Avant Garde" w:hAnsi="ITC Avant Garde"/>
          <w:b w:val="0"/>
          <w:i/>
          <w:u w:val="single"/>
          <w:lang w:val="es-ES_tradnl"/>
        </w:rPr>
      </w:pPr>
      <w:r w:rsidRPr="007D54E4">
        <w:rPr>
          <w:rFonts w:ascii="ITC Avant Garde" w:hAnsi="ITC Avant Garde"/>
          <w:b w:val="0"/>
          <w:i/>
          <w:u w:val="single"/>
          <w:lang w:val="es-ES_tradnl"/>
        </w:rPr>
        <w:t>Resumen de comentarios de la Consulta Pública</w:t>
      </w:r>
    </w:p>
    <w:p w14:paraId="74E2C1FF" w14:textId="6D266C78" w:rsidR="00A379AA" w:rsidRPr="007D54E4" w:rsidRDefault="00A379AA" w:rsidP="00A379AA">
      <w:pPr>
        <w:pStyle w:val="ComentarioCS"/>
        <w:rPr>
          <w:rFonts w:ascii="ITC Avant Garde" w:hAnsi="ITC Avant Garde"/>
          <w:i w:val="0"/>
          <w:sz w:val="22"/>
          <w:szCs w:val="22"/>
        </w:rPr>
      </w:pPr>
      <w:r w:rsidRPr="007D54E4">
        <w:rPr>
          <w:rFonts w:ascii="ITC Avant Garde" w:hAnsi="ITC Avant Garde"/>
          <w:i w:val="0"/>
          <w:sz w:val="22"/>
          <w:szCs w:val="22"/>
        </w:rPr>
        <w:t>Al respect</w:t>
      </w:r>
      <w:r w:rsidR="00563BE7" w:rsidRPr="007D54E4">
        <w:rPr>
          <w:rFonts w:ascii="ITC Avant Garde" w:hAnsi="ITC Avant Garde"/>
          <w:i w:val="0"/>
          <w:sz w:val="22"/>
          <w:szCs w:val="22"/>
        </w:rPr>
        <w:t>o, diversos participantes (Mega C</w:t>
      </w:r>
      <w:r w:rsidRPr="007D54E4">
        <w:rPr>
          <w:rFonts w:ascii="ITC Avant Garde" w:hAnsi="ITC Avant Garde"/>
          <w:i w:val="0"/>
          <w:sz w:val="22"/>
          <w:szCs w:val="22"/>
        </w:rPr>
        <w:t>able, CANIETI, Telefónica y Avantel/Alestra/Axtel) consideran que deberían emplearse otros métodos para la depreciación para despliegues de redes de fibra óptica.</w:t>
      </w:r>
    </w:p>
    <w:p w14:paraId="3A393C76" w14:textId="77777777" w:rsidR="00A379AA" w:rsidRPr="007D54E4" w:rsidRDefault="00A379AA" w:rsidP="00A379AA">
      <w:pPr>
        <w:pStyle w:val="ComentarioCS"/>
        <w:rPr>
          <w:rFonts w:ascii="ITC Avant Garde" w:hAnsi="ITC Avant Garde"/>
          <w:i w:val="0"/>
          <w:sz w:val="22"/>
          <w:szCs w:val="22"/>
        </w:rPr>
      </w:pPr>
      <w:r w:rsidRPr="007D54E4">
        <w:rPr>
          <w:rFonts w:ascii="ITC Avant Garde" w:hAnsi="ITC Avant Garde"/>
          <w:i w:val="0"/>
          <w:sz w:val="22"/>
          <w:szCs w:val="22"/>
        </w:rPr>
        <w:t>En complemento, uno de los participantes (Telmex) sugiere que es más adecuado emplear la metodología de “anualidad simple” para propósitos del presente modelo.</w:t>
      </w:r>
    </w:p>
    <w:p w14:paraId="77378DF6" w14:textId="083A5E12" w:rsidR="00477423" w:rsidRPr="007D54E4" w:rsidRDefault="00477423" w:rsidP="00477423">
      <w:pPr>
        <w:pStyle w:val="Ttulo3"/>
        <w:numPr>
          <w:ilvl w:val="0"/>
          <w:numId w:val="0"/>
        </w:numPr>
        <w:rPr>
          <w:rFonts w:ascii="ITC Avant Garde" w:hAnsi="ITC Avant Garde"/>
          <w:b w:val="0"/>
          <w:i/>
          <w:u w:val="single"/>
          <w:lang w:val="es-ES_tradnl"/>
        </w:rPr>
      </w:pPr>
      <w:r w:rsidRPr="007D54E4">
        <w:rPr>
          <w:rFonts w:ascii="ITC Avant Garde" w:hAnsi="ITC Avant Garde"/>
          <w:b w:val="0"/>
          <w:i/>
          <w:u w:val="single"/>
          <w:lang w:val="es-ES_tradnl"/>
        </w:rPr>
        <w:t>Respuesta del Instituto</w:t>
      </w:r>
    </w:p>
    <w:p w14:paraId="6F403F74" w14:textId="72D2AEE3" w:rsidR="00A379AA" w:rsidRPr="007D54E4" w:rsidRDefault="00A379AA" w:rsidP="00A379AA">
      <w:pPr>
        <w:rPr>
          <w:rFonts w:ascii="ITC Avant Garde" w:hAnsi="ITC Avant Garde"/>
          <w:lang w:val="es-MX"/>
        </w:rPr>
      </w:pPr>
      <w:r w:rsidRPr="007D54E4">
        <w:rPr>
          <w:rFonts w:ascii="ITC Avant Garde" w:hAnsi="ITC Avant Garde"/>
          <w:lang w:val="es-MX"/>
        </w:rPr>
        <w:t xml:space="preserve">En torno a emplear una metodología de depreciación alternativa, el Instituto señala que el grado de incertidumbre existente en las predicciones de demanda de servicios de fibra reduciría la robustez de los resultados del modelo para el </w:t>
      </w:r>
      <w:r w:rsidRPr="007D54E4">
        <w:rPr>
          <w:rFonts w:ascii="ITC Avant Garde" w:hAnsi="ITC Avant Garde"/>
          <w:lang w:val="es-MX"/>
        </w:rPr>
        <w:lastRenderedPageBreak/>
        <w:t>presente</w:t>
      </w:r>
      <w:r w:rsidR="00B1407B" w:rsidRPr="007D54E4">
        <w:rPr>
          <w:rFonts w:ascii="ITC Avant Garde" w:hAnsi="ITC Avant Garde"/>
          <w:lang w:val="es-MX"/>
        </w:rPr>
        <w:t>,</w:t>
      </w:r>
      <w:r w:rsidRPr="007D54E4">
        <w:rPr>
          <w:rFonts w:ascii="ITC Avant Garde" w:hAnsi="ITC Avant Garde"/>
          <w:lang w:val="es-MX"/>
        </w:rPr>
        <w:t xml:space="preserve"> </w:t>
      </w:r>
      <w:r w:rsidR="00576552" w:rsidRPr="007D54E4">
        <w:rPr>
          <w:rFonts w:ascii="ITC Avant Garde" w:hAnsi="ITC Avant Garde"/>
          <w:lang w:val="es-MX"/>
        </w:rPr>
        <w:t xml:space="preserve">la cual se obtiene a través de la metodología de </w:t>
      </w:r>
      <w:r w:rsidRPr="007D54E4">
        <w:rPr>
          <w:rFonts w:ascii="ITC Avant Garde" w:hAnsi="ITC Avant Garde"/>
          <w:lang w:val="es-MX"/>
        </w:rPr>
        <w:t xml:space="preserve">depreciación </w:t>
      </w:r>
      <w:r w:rsidR="00576552" w:rsidRPr="007D54E4">
        <w:rPr>
          <w:rFonts w:ascii="ITC Avant Garde" w:hAnsi="ITC Avant Garde"/>
          <w:lang w:val="es-MX"/>
        </w:rPr>
        <w:t xml:space="preserve">con </w:t>
      </w:r>
      <w:r w:rsidRPr="007D54E4">
        <w:rPr>
          <w:rFonts w:ascii="ITC Avant Garde" w:hAnsi="ITC Avant Garde"/>
          <w:lang w:val="es-MX"/>
        </w:rPr>
        <w:t>anualidad inclinada</w:t>
      </w:r>
      <w:r w:rsidR="00576552" w:rsidRPr="007D54E4">
        <w:rPr>
          <w:rFonts w:ascii="ITC Avant Garde" w:hAnsi="ITC Avant Garde"/>
          <w:lang w:val="es-MX"/>
        </w:rPr>
        <w:t>,</w:t>
      </w:r>
      <w:r w:rsidRPr="007D54E4">
        <w:rPr>
          <w:rFonts w:ascii="ITC Avant Garde" w:hAnsi="ITC Avant Garde"/>
          <w:lang w:val="es-MX"/>
        </w:rPr>
        <w:t xml:space="preserve"> emplead</w:t>
      </w:r>
      <w:r w:rsidR="00576552" w:rsidRPr="007D54E4">
        <w:rPr>
          <w:rFonts w:ascii="ITC Avant Garde" w:hAnsi="ITC Avant Garde"/>
          <w:lang w:val="es-MX"/>
        </w:rPr>
        <w:t>a</w:t>
      </w:r>
      <w:r w:rsidRPr="007D54E4">
        <w:rPr>
          <w:rFonts w:ascii="ITC Avant Garde" w:hAnsi="ITC Avant Garde"/>
          <w:lang w:val="es-MX"/>
        </w:rPr>
        <w:t xml:space="preserve"> e</w:t>
      </w:r>
      <w:r w:rsidR="00576552" w:rsidRPr="007D54E4">
        <w:rPr>
          <w:rFonts w:ascii="ITC Avant Garde" w:hAnsi="ITC Avant Garde"/>
          <w:lang w:val="es-MX"/>
        </w:rPr>
        <w:t>n el modelo de costos que nos ocupa</w:t>
      </w:r>
      <w:r w:rsidRPr="007D54E4">
        <w:rPr>
          <w:rFonts w:ascii="ITC Avant Garde" w:hAnsi="ITC Avant Garde"/>
          <w:lang w:val="es-MX"/>
        </w:rPr>
        <w:t>.</w:t>
      </w:r>
    </w:p>
    <w:p w14:paraId="0ECF493E" w14:textId="178C1C53" w:rsidR="00A379AA" w:rsidRPr="007D54E4" w:rsidRDefault="00A379AA" w:rsidP="00A379AA">
      <w:pPr>
        <w:rPr>
          <w:rFonts w:ascii="ITC Avant Garde" w:hAnsi="ITC Avant Garde"/>
          <w:lang w:val="es-MX"/>
        </w:rPr>
      </w:pPr>
      <w:r w:rsidRPr="007D54E4">
        <w:rPr>
          <w:rFonts w:ascii="ITC Avant Garde" w:hAnsi="ITC Avant Garde"/>
          <w:lang w:val="es-MX"/>
        </w:rPr>
        <w:t>Respecto a emplear una metodología de “anualidad simple”, el Instituto destaca que dicho enfoque no es comúnmente empleado en la práctica internacional en lo referente a modelos de costos, al no tener en cuenta las tendencias de costos de los activos, con lo cual no se considera procedente realizar modificaciones a la versión final del modelo</w:t>
      </w:r>
      <w:r w:rsidR="00576552" w:rsidRPr="007D54E4">
        <w:rPr>
          <w:rFonts w:ascii="ITC Avant Garde" w:hAnsi="ITC Avant Garde"/>
          <w:lang w:val="es-MX"/>
        </w:rPr>
        <w:t>, sobre este tema</w:t>
      </w:r>
      <w:r w:rsidRPr="007D54E4">
        <w:rPr>
          <w:rFonts w:ascii="ITC Avant Garde" w:hAnsi="ITC Avant Garde"/>
          <w:lang w:val="es-MX"/>
        </w:rPr>
        <w:t>.</w:t>
      </w:r>
    </w:p>
    <w:p w14:paraId="75A19D12" w14:textId="423CE234" w:rsidR="00477423" w:rsidRPr="007D54E4" w:rsidRDefault="00477423" w:rsidP="00857352">
      <w:pPr>
        <w:pStyle w:val="Ttulo3"/>
        <w:rPr>
          <w:rFonts w:ascii="ITC Avant Garde" w:hAnsi="ITC Avant Garde"/>
          <w:lang w:val="es-ES_tradnl"/>
        </w:rPr>
      </w:pPr>
      <w:r w:rsidRPr="007D54E4">
        <w:rPr>
          <w:rFonts w:ascii="ITC Avant Garde" w:hAnsi="ITC Avant Garde"/>
          <w:lang w:val="es-ES_tradnl"/>
        </w:rPr>
        <w:t>¿</w:t>
      </w:r>
      <w:r w:rsidR="00857352" w:rsidRPr="007D54E4">
        <w:rPr>
          <w:rFonts w:ascii="ITC Avant Garde" w:hAnsi="ITC Avant Garde"/>
          <w:lang w:val="es-ES_tradnl"/>
        </w:rPr>
        <w:t>Considera adecuada la implementación del método de depreciación seleccionado en el modelo</w:t>
      </w:r>
      <w:r w:rsidRPr="007D54E4">
        <w:rPr>
          <w:rFonts w:ascii="ITC Avant Garde" w:hAnsi="ITC Avant Garde"/>
          <w:lang w:val="es-ES_tradnl"/>
        </w:rPr>
        <w:t>?</w:t>
      </w:r>
    </w:p>
    <w:p w14:paraId="5413A4E3" w14:textId="77777777" w:rsidR="00477423" w:rsidRPr="007D54E4" w:rsidRDefault="00477423" w:rsidP="00477423">
      <w:pPr>
        <w:pStyle w:val="Ttulo3"/>
        <w:numPr>
          <w:ilvl w:val="0"/>
          <w:numId w:val="0"/>
        </w:numPr>
        <w:rPr>
          <w:rFonts w:ascii="ITC Avant Garde" w:hAnsi="ITC Avant Garde"/>
          <w:b w:val="0"/>
          <w:i/>
          <w:u w:val="single"/>
          <w:lang w:val="es-ES_tradnl"/>
        </w:rPr>
      </w:pPr>
      <w:r w:rsidRPr="007D54E4">
        <w:rPr>
          <w:rFonts w:ascii="ITC Avant Garde" w:hAnsi="ITC Avant Garde"/>
          <w:b w:val="0"/>
          <w:i/>
          <w:u w:val="single"/>
          <w:lang w:val="es-ES_tradnl"/>
        </w:rPr>
        <w:t>Resumen de comentarios de la Consulta Pública</w:t>
      </w:r>
    </w:p>
    <w:p w14:paraId="7CCF48D6" w14:textId="78709C2C" w:rsidR="00A379AA" w:rsidRPr="007D54E4" w:rsidRDefault="00A379AA" w:rsidP="00A379AA">
      <w:pPr>
        <w:pStyle w:val="ComentarioCS"/>
        <w:rPr>
          <w:rFonts w:ascii="ITC Avant Garde" w:hAnsi="ITC Avant Garde"/>
          <w:i w:val="0"/>
          <w:sz w:val="22"/>
          <w:szCs w:val="22"/>
        </w:rPr>
      </w:pPr>
      <w:r w:rsidRPr="007D54E4">
        <w:rPr>
          <w:rFonts w:ascii="ITC Avant Garde" w:hAnsi="ITC Avant Garde"/>
          <w:i w:val="0"/>
          <w:sz w:val="22"/>
          <w:szCs w:val="22"/>
        </w:rPr>
        <w:t>Uno de los participantes (Mega</w:t>
      </w:r>
      <w:r w:rsidR="00563BE7" w:rsidRPr="007D54E4">
        <w:rPr>
          <w:rFonts w:ascii="ITC Avant Garde" w:hAnsi="ITC Avant Garde"/>
          <w:i w:val="0"/>
          <w:sz w:val="22"/>
          <w:szCs w:val="22"/>
        </w:rPr>
        <w:t xml:space="preserve"> C</w:t>
      </w:r>
      <w:r w:rsidRPr="007D54E4">
        <w:rPr>
          <w:rFonts w:ascii="ITC Avant Garde" w:hAnsi="ITC Avant Garde"/>
          <w:i w:val="0"/>
          <w:sz w:val="22"/>
          <w:szCs w:val="22"/>
        </w:rPr>
        <w:t xml:space="preserve">able) considera que no se puede pronunciar debido a la </w:t>
      </w:r>
      <w:r w:rsidR="00283774" w:rsidRPr="007D54E4">
        <w:rPr>
          <w:rFonts w:ascii="ITC Avant Garde" w:hAnsi="ITC Avant Garde"/>
          <w:i w:val="0"/>
          <w:sz w:val="22"/>
          <w:szCs w:val="22"/>
        </w:rPr>
        <w:t>“</w:t>
      </w:r>
      <w:r w:rsidRPr="007D54E4">
        <w:rPr>
          <w:rFonts w:ascii="ITC Avant Garde" w:hAnsi="ITC Avant Garde"/>
          <w:i w:val="0"/>
          <w:sz w:val="22"/>
          <w:szCs w:val="22"/>
        </w:rPr>
        <w:t>anonimización</w:t>
      </w:r>
      <w:r w:rsidR="00283774" w:rsidRPr="007D54E4">
        <w:rPr>
          <w:rFonts w:ascii="ITC Avant Garde" w:hAnsi="ITC Avant Garde"/>
          <w:i w:val="0"/>
          <w:sz w:val="22"/>
          <w:szCs w:val="22"/>
        </w:rPr>
        <w:t>”</w:t>
      </w:r>
      <w:r w:rsidRPr="007D54E4">
        <w:rPr>
          <w:rFonts w:ascii="ITC Avant Garde" w:hAnsi="ITC Avant Garde"/>
          <w:i w:val="0"/>
          <w:sz w:val="22"/>
          <w:szCs w:val="22"/>
        </w:rPr>
        <w:t xml:space="preserve"> del modelo.</w:t>
      </w:r>
    </w:p>
    <w:p w14:paraId="372A4316" w14:textId="1B7B6EAF" w:rsidR="00A379AA" w:rsidRPr="007D54E4" w:rsidRDefault="00A379AA" w:rsidP="00A379AA">
      <w:pPr>
        <w:pStyle w:val="ComentarioCS"/>
        <w:rPr>
          <w:rFonts w:ascii="ITC Avant Garde" w:hAnsi="ITC Avant Garde"/>
          <w:i w:val="0"/>
          <w:sz w:val="22"/>
          <w:szCs w:val="22"/>
        </w:rPr>
      </w:pPr>
      <w:r w:rsidRPr="007D54E4">
        <w:rPr>
          <w:rFonts w:ascii="ITC Avant Garde" w:hAnsi="ITC Avant Garde"/>
          <w:i w:val="0"/>
          <w:sz w:val="22"/>
          <w:szCs w:val="22"/>
        </w:rPr>
        <w:t>Adicionalmente, ciertos participantes hicieron comentarios referentes al uso de una depreciación económica, los cuales se abordan en la sección</w:t>
      </w:r>
      <w:r w:rsidR="00DE2F3C" w:rsidRPr="007D54E4">
        <w:rPr>
          <w:rFonts w:ascii="ITC Avant Garde" w:hAnsi="ITC Avant Garde"/>
          <w:i w:val="0"/>
          <w:sz w:val="22"/>
          <w:szCs w:val="22"/>
        </w:rPr>
        <w:t xml:space="preserve"> </w:t>
      </w:r>
      <w:r w:rsidR="00DE2F3C" w:rsidRPr="007D54E4">
        <w:rPr>
          <w:rFonts w:ascii="ITC Avant Garde" w:hAnsi="ITC Avant Garde"/>
          <w:i w:val="0"/>
          <w:sz w:val="22"/>
          <w:szCs w:val="22"/>
        </w:rPr>
        <w:fldChar w:fldCharType="begin"/>
      </w:r>
      <w:r w:rsidR="00DE2F3C" w:rsidRPr="007D54E4">
        <w:rPr>
          <w:rFonts w:ascii="ITC Avant Garde" w:hAnsi="ITC Avant Garde"/>
          <w:i w:val="0"/>
          <w:sz w:val="22"/>
          <w:szCs w:val="22"/>
        </w:rPr>
        <w:instrText xml:space="preserve"> REF _Ref529352417 \r \h </w:instrText>
      </w:r>
      <w:r w:rsidR="007D54E4" w:rsidRPr="007D54E4">
        <w:rPr>
          <w:rFonts w:ascii="ITC Avant Garde" w:hAnsi="ITC Avant Garde"/>
          <w:i w:val="0"/>
          <w:sz w:val="22"/>
          <w:szCs w:val="22"/>
        </w:rPr>
        <w:instrText xml:space="preserve"> \* MERGEFORMAT </w:instrText>
      </w:r>
      <w:r w:rsidR="00DE2F3C" w:rsidRPr="007D54E4">
        <w:rPr>
          <w:rFonts w:ascii="ITC Avant Garde" w:hAnsi="ITC Avant Garde"/>
          <w:i w:val="0"/>
          <w:sz w:val="22"/>
          <w:szCs w:val="22"/>
        </w:rPr>
      </w:r>
      <w:r w:rsidR="00DE2F3C" w:rsidRPr="007D54E4">
        <w:rPr>
          <w:rFonts w:ascii="ITC Avant Garde" w:hAnsi="ITC Avant Garde"/>
          <w:i w:val="0"/>
          <w:sz w:val="22"/>
          <w:szCs w:val="22"/>
        </w:rPr>
        <w:fldChar w:fldCharType="separate"/>
      </w:r>
      <w:r w:rsidR="00DE2F3C" w:rsidRPr="007D54E4">
        <w:rPr>
          <w:rFonts w:ascii="ITC Avant Garde" w:hAnsi="ITC Avant Garde"/>
          <w:i w:val="0"/>
          <w:sz w:val="22"/>
          <w:szCs w:val="22"/>
        </w:rPr>
        <w:t>2.11</w:t>
      </w:r>
      <w:r w:rsidR="00DE2F3C" w:rsidRPr="007D54E4">
        <w:rPr>
          <w:rFonts w:ascii="ITC Avant Garde" w:hAnsi="ITC Avant Garde"/>
          <w:i w:val="0"/>
          <w:sz w:val="22"/>
          <w:szCs w:val="22"/>
        </w:rPr>
        <w:fldChar w:fldCharType="end"/>
      </w:r>
      <w:r w:rsidRPr="007D54E4">
        <w:rPr>
          <w:rFonts w:ascii="ITC Avant Garde" w:hAnsi="ITC Avant Garde"/>
          <w:i w:val="0"/>
          <w:sz w:val="22"/>
          <w:szCs w:val="22"/>
        </w:rPr>
        <w:t>.</w:t>
      </w:r>
    </w:p>
    <w:p w14:paraId="51D1D224" w14:textId="3F768B25" w:rsidR="00477423" w:rsidRPr="007D54E4" w:rsidRDefault="00477423" w:rsidP="00477423">
      <w:pPr>
        <w:pStyle w:val="Ttulo3"/>
        <w:numPr>
          <w:ilvl w:val="0"/>
          <w:numId w:val="0"/>
        </w:numPr>
        <w:rPr>
          <w:rFonts w:ascii="ITC Avant Garde" w:hAnsi="ITC Avant Garde"/>
          <w:b w:val="0"/>
          <w:i/>
          <w:u w:val="single"/>
          <w:lang w:val="es-ES_tradnl"/>
        </w:rPr>
      </w:pPr>
      <w:r w:rsidRPr="007D54E4">
        <w:rPr>
          <w:rFonts w:ascii="ITC Avant Garde" w:hAnsi="ITC Avant Garde"/>
          <w:b w:val="0"/>
          <w:i/>
          <w:u w:val="single"/>
          <w:lang w:val="es-ES_tradnl"/>
        </w:rPr>
        <w:t>Respuesta del Instituto</w:t>
      </w:r>
    </w:p>
    <w:p w14:paraId="3D255A1D" w14:textId="1A6438ED" w:rsidR="00A379AA" w:rsidRPr="007D54E4" w:rsidRDefault="00A379AA" w:rsidP="00A379AA">
      <w:pPr>
        <w:rPr>
          <w:rFonts w:ascii="ITC Avant Garde" w:hAnsi="ITC Avant Garde"/>
          <w:highlight w:val="yellow"/>
          <w:lang w:val="es-MX"/>
        </w:rPr>
      </w:pPr>
      <w:r w:rsidRPr="007D54E4">
        <w:rPr>
          <w:rFonts w:ascii="ITC Avant Garde" w:hAnsi="ITC Avant Garde"/>
          <w:lang w:val="es-MX"/>
        </w:rPr>
        <w:t xml:space="preserve">El Instituto señala que la información empleada para definir los parámetros del modelo se basa en su gran mayoría en información confidencial provista por el AEP o basada en datos confidenciales de operadores, los cuales se </w:t>
      </w:r>
      <w:r w:rsidR="00E142A3" w:rsidRPr="007D54E4">
        <w:rPr>
          <w:rFonts w:ascii="ITC Avant Garde" w:hAnsi="ITC Avant Garde"/>
          <w:lang w:val="es-MX"/>
        </w:rPr>
        <w:t>“</w:t>
      </w:r>
      <w:r w:rsidRPr="007D54E4">
        <w:rPr>
          <w:rFonts w:ascii="ITC Avant Garde" w:hAnsi="ITC Avant Garde"/>
          <w:lang w:val="es-MX"/>
        </w:rPr>
        <w:t>anonimizan</w:t>
      </w:r>
      <w:r w:rsidR="00E142A3" w:rsidRPr="007D54E4">
        <w:rPr>
          <w:rFonts w:ascii="ITC Avant Garde" w:hAnsi="ITC Avant Garde"/>
          <w:lang w:val="es-MX"/>
        </w:rPr>
        <w:t>”</w:t>
      </w:r>
      <w:r w:rsidRPr="007D54E4">
        <w:rPr>
          <w:rFonts w:ascii="ITC Avant Garde" w:hAnsi="ITC Avant Garde"/>
          <w:lang w:val="es-MX"/>
        </w:rPr>
        <w:t xml:space="preserve"> para proteger su carácter y de manera que el modelo sometido a consulta pública permita a los participantes conocer el funcionamiento general del modelo de costos y diferencias en su configuración. En este sentido, la consulta pública permite al Instituto recabar comentarios, opiniones y aportaciones que permiten robustecer la construcción del modelo en cuestión y en su caso realizar modificaciones correspondientes.</w:t>
      </w:r>
    </w:p>
    <w:p w14:paraId="5CFED1CA" w14:textId="5F8A21C9" w:rsidR="00A379AA" w:rsidRPr="007D54E4" w:rsidRDefault="00A379AA" w:rsidP="00A379AA">
      <w:pPr>
        <w:rPr>
          <w:rFonts w:ascii="ITC Avant Garde" w:hAnsi="ITC Avant Garde"/>
          <w:lang w:val="es-MX"/>
        </w:rPr>
      </w:pPr>
      <w:r w:rsidRPr="007D54E4">
        <w:rPr>
          <w:rFonts w:ascii="ITC Avant Garde" w:hAnsi="ITC Avant Garde"/>
          <w:lang w:val="es-MX"/>
        </w:rPr>
        <w:t xml:space="preserve">Con independencia de lo anterior, el Instituto seña que, si bien algunos insumos del modelo se han </w:t>
      </w:r>
      <w:r w:rsidR="00E142A3" w:rsidRPr="007D54E4">
        <w:rPr>
          <w:rFonts w:ascii="ITC Avant Garde" w:hAnsi="ITC Avant Garde"/>
          <w:lang w:val="es-MX"/>
        </w:rPr>
        <w:t>“</w:t>
      </w:r>
      <w:r w:rsidRPr="007D54E4">
        <w:rPr>
          <w:rFonts w:ascii="ITC Avant Garde" w:hAnsi="ITC Avant Garde"/>
          <w:lang w:val="es-MX"/>
        </w:rPr>
        <w:t>anonimizado</w:t>
      </w:r>
      <w:r w:rsidR="00E142A3" w:rsidRPr="007D54E4">
        <w:rPr>
          <w:rFonts w:ascii="ITC Avant Garde" w:hAnsi="ITC Avant Garde"/>
          <w:lang w:val="es-MX"/>
        </w:rPr>
        <w:t>”</w:t>
      </w:r>
      <w:r w:rsidRPr="007D54E4">
        <w:rPr>
          <w:rFonts w:ascii="ITC Avant Garde" w:hAnsi="ITC Avant Garde"/>
          <w:lang w:val="es-MX"/>
        </w:rPr>
        <w:t>, los algoritmos de depreciación están disponibles para la revisión de los participantes a través del modelo de costos sometido a c</w:t>
      </w:r>
      <w:r w:rsidR="009253CA" w:rsidRPr="007D54E4">
        <w:rPr>
          <w:rFonts w:ascii="ITC Avant Garde" w:hAnsi="ITC Avant Garde"/>
          <w:lang w:val="es-MX"/>
        </w:rPr>
        <w:t>onsulta pública (véase la hoja “</w:t>
      </w:r>
      <w:r w:rsidRPr="007D54E4">
        <w:rPr>
          <w:rFonts w:ascii="ITC Avant Garde" w:hAnsi="ITC Avant Garde"/>
          <w:lang w:val="es-MX"/>
        </w:rPr>
        <w:t>9A</w:t>
      </w:r>
      <w:r w:rsidR="009253CA" w:rsidRPr="007D54E4">
        <w:rPr>
          <w:rFonts w:ascii="ITC Avant Garde" w:hAnsi="ITC Avant Garde"/>
          <w:lang w:val="es-MX"/>
        </w:rPr>
        <w:t xml:space="preserve"> CALC CAPEX TILTED”</w:t>
      </w:r>
      <w:r w:rsidRPr="007D54E4">
        <w:rPr>
          <w:rFonts w:ascii="ITC Avant Garde" w:hAnsi="ITC Avant Garde"/>
          <w:lang w:val="es-MX"/>
        </w:rPr>
        <w:t xml:space="preserve"> del archivo Excel correspondiente</w:t>
      </w:r>
      <w:r w:rsidR="00D563F0" w:rsidRPr="007D54E4">
        <w:rPr>
          <w:rFonts w:ascii="ITC Avant Garde" w:hAnsi="ITC Avant Garde"/>
          <w:lang w:val="es-MX"/>
        </w:rPr>
        <w:t xml:space="preserve"> al modelo de costos</w:t>
      </w:r>
      <w:r w:rsidRPr="007D54E4">
        <w:rPr>
          <w:rFonts w:ascii="ITC Avant Garde" w:hAnsi="ITC Avant Garde"/>
          <w:lang w:val="es-MX"/>
        </w:rPr>
        <w:t>).</w:t>
      </w:r>
    </w:p>
    <w:p w14:paraId="51F54DBA" w14:textId="3EE52DD9" w:rsidR="00477423" w:rsidRPr="007D54E4" w:rsidRDefault="00477423" w:rsidP="00477423">
      <w:pPr>
        <w:pStyle w:val="Ttulo3"/>
        <w:rPr>
          <w:rFonts w:ascii="ITC Avant Garde" w:hAnsi="ITC Avant Garde"/>
          <w:lang w:val="es-ES_tradnl"/>
        </w:rPr>
      </w:pPr>
      <w:bookmarkStart w:id="7" w:name="_Ref529367981"/>
      <w:r w:rsidRPr="007D54E4">
        <w:rPr>
          <w:rFonts w:ascii="ITC Avant Garde" w:hAnsi="ITC Avant Garde"/>
          <w:lang w:val="es-ES_tradnl"/>
        </w:rPr>
        <w:lastRenderedPageBreak/>
        <w:t>¿</w:t>
      </w:r>
      <w:r w:rsidR="00857352" w:rsidRPr="007D54E4">
        <w:rPr>
          <w:rFonts w:ascii="ITC Avant Garde" w:hAnsi="ITC Avant Garde"/>
          <w:lang w:val="es-MX"/>
        </w:rPr>
        <w:t>Tiene comentarios respecto a la definición del incremento antes mencionado</w:t>
      </w:r>
      <w:r w:rsidRPr="007D54E4">
        <w:rPr>
          <w:rFonts w:ascii="ITC Avant Garde" w:hAnsi="ITC Avant Garde"/>
          <w:lang w:val="es-ES_tradnl"/>
        </w:rPr>
        <w:t>?</w:t>
      </w:r>
      <w:bookmarkEnd w:id="7"/>
    </w:p>
    <w:p w14:paraId="4AB3CB49" w14:textId="77777777" w:rsidR="00477423" w:rsidRPr="007D54E4" w:rsidRDefault="00477423" w:rsidP="00477423">
      <w:pPr>
        <w:pStyle w:val="Ttulo3"/>
        <w:numPr>
          <w:ilvl w:val="0"/>
          <w:numId w:val="0"/>
        </w:numPr>
        <w:rPr>
          <w:rFonts w:ascii="ITC Avant Garde" w:hAnsi="ITC Avant Garde"/>
          <w:b w:val="0"/>
          <w:i/>
          <w:u w:val="single"/>
          <w:lang w:val="es-ES_tradnl"/>
        </w:rPr>
      </w:pPr>
      <w:r w:rsidRPr="007D54E4">
        <w:rPr>
          <w:rFonts w:ascii="ITC Avant Garde" w:hAnsi="ITC Avant Garde"/>
          <w:b w:val="0"/>
          <w:i/>
          <w:u w:val="single"/>
          <w:lang w:val="es-ES_tradnl"/>
        </w:rPr>
        <w:t>Resumen de comentarios de la Consulta Pública</w:t>
      </w:r>
    </w:p>
    <w:p w14:paraId="5EF68FA1" w14:textId="718616B6" w:rsidR="00A379AA" w:rsidRPr="009C0D93" w:rsidRDefault="00A379AA" w:rsidP="009C0D93">
      <w:pPr>
        <w:rPr>
          <w:rFonts w:ascii="ITC Avant Garde" w:hAnsi="ITC Avant Garde"/>
          <w:lang w:val="es-MX"/>
        </w:rPr>
      </w:pPr>
      <w:r w:rsidRPr="009C0D93">
        <w:rPr>
          <w:rFonts w:ascii="ITC Avant Garde" w:hAnsi="ITC Avant Garde"/>
          <w:lang w:val="es-MX"/>
        </w:rPr>
        <w:t>Al respecto,</w:t>
      </w:r>
      <w:r w:rsidR="00563BE7" w:rsidRPr="009C0D93">
        <w:rPr>
          <w:rFonts w:ascii="ITC Avant Garde" w:hAnsi="ITC Avant Garde"/>
          <w:lang w:val="es-MX"/>
        </w:rPr>
        <w:t xml:space="preserve"> uno de los participantes (Mega C</w:t>
      </w:r>
      <w:r w:rsidRPr="009C0D93">
        <w:rPr>
          <w:rFonts w:ascii="ITC Avant Garde" w:hAnsi="ITC Avant Garde"/>
          <w:lang w:val="es-MX"/>
        </w:rPr>
        <w:t>able) sugiere que se deben considerar todos los elementos que corresponden a la red y no únicamente aquellos asociados a fibra óptica.</w:t>
      </w:r>
    </w:p>
    <w:p w14:paraId="33F0FC9D" w14:textId="77777777" w:rsidR="00A379AA" w:rsidRPr="009C0D93" w:rsidRDefault="00A379AA" w:rsidP="009C0D93">
      <w:pPr>
        <w:rPr>
          <w:rFonts w:ascii="ITC Avant Garde" w:hAnsi="ITC Avant Garde"/>
          <w:lang w:val="es-MX"/>
        </w:rPr>
      </w:pPr>
      <w:r w:rsidRPr="009C0D93">
        <w:rPr>
          <w:rFonts w:ascii="ITC Avant Garde" w:hAnsi="ITC Avant Garde"/>
          <w:lang w:val="es-MX"/>
        </w:rPr>
        <w:t>Por su parte, diversos participantes (CANIETI, Telefónica y los Sres. Sánchez Colín, Domínguez Jardon y Velázquez Valdez) consideran que el incremento elegido en el modelo no debe corresponder a la totalidad de los servicios sino el servicio mayorista objeto de cálculo.</w:t>
      </w:r>
    </w:p>
    <w:p w14:paraId="3F17E6CE" w14:textId="4D3D1074" w:rsidR="00A379AA" w:rsidRPr="009C0D93" w:rsidRDefault="00A379AA" w:rsidP="009C0D93">
      <w:pPr>
        <w:rPr>
          <w:rFonts w:ascii="ITC Avant Garde" w:hAnsi="ITC Avant Garde"/>
          <w:lang w:val="es-MX"/>
        </w:rPr>
      </w:pPr>
      <w:r w:rsidRPr="009C0D93">
        <w:rPr>
          <w:rFonts w:ascii="ITC Avant Garde" w:hAnsi="ITC Avant Garde"/>
          <w:lang w:val="es-MX"/>
        </w:rPr>
        <w:t>Finalmente, uno de los participantes considera que el modelo debería contemplar diferentes incrementos por tecnología.</w:t>
      </w:r>
    </w:p>
    <w:p w14:paraId="544B7A04" w14:textId="43186F5C" w:rsidR="00477423" w:rsidRPr="007D54E4" w:rsidRDefault="00477423" w:rsidP="00477423">
      <w:pPr>
        <w:pStyle w:val="Ttulo3"/>
        <w:numPr>
          <w:ilvl w:val="0"/>
          <w:numId w:val="0"/>
        </w:numPr>
        <w:rPr>
          <w:rFonts w:ascii="ITC Avant Garde" w:hAnsi="ITC Avant Garde"/>
          <w:b w:val="0"/>
          <w:i/>
          <w:u w:val="single"/>
          <w:lang w:val="es-ES_tradnl"/>
        </w:rPr>
      </w:pPr>
      <w:r w:rsidRPr="007D54E4">
        <w:rPr>
          <w:rFonts w:ascii="ITC Avant Garde" w:hAnsi="ITC Avant Garde"/>
          <w:b w:val="0"/>
          <w:i/>
          <w:u w:val="single"/>
          <w:lang w:val="es-ES_tradnl"/>
        </w:rPr>
        <w:t>Respuesta del Instituto</w:t>
      </w:r>
    </w:p>
    <w:p w14:paraId="2166561B" w14:textId="0274A903" w:rsidR="00A379AA" w:rsidRPr="007D54E4" w:rsidRDefault="00A379AA" w:rsidP="00A379AA">
      <w:pPr>
        <w:rPr>
          <w:rFonts w:ascii="ITC Avant Garde" w:hAnsi="ITC Avant Garde"/>
          <w:lang w:val="es-MX"/>
        </w:rPr>
      </w:pPr>
      <w:r w:rsidRPr="007D54E4">
        <w:rPr>
          <w:rFonts w:ascii="ITC Avant Garde" w:hAnsi="ITC Avant Garde"/>
          <w:lang w:val="es-MX"/>
        </w:rPr>
        <w:t xml:space="preserve">El Instituto señala que la versión final del modelo </w:t>
      </w:r>
      <w:r w:rsidR="002F36EE" w:rsidRPr="007D54E4">
        <w:rPr>
          <w:rFonts w:ascii="ITC Avant Garde" w:hAnsi="ITC Avant Garde"/>
          <w:lang w:val="es-MX"/>
        </w:rPr>
        <w:t>consider</w:t>
      </w:r>
      <w:r w:rsidR="009C41EC" w:rsidRPr="007D54E4">
        <w:rPr>
          <w:rFonts w:ascii="ITC Avant Garde" w:hAnsi="ITC Avant Garde"/>
          <w:lang w:val="es-MX"/>
        </w:rPr>
        <w:t>a</w:t>
      </w:r>
      <w:r w:rsidR="002F36EE" w:rsidRPr="007D54E4">
        <w:rPr>
          <w:rFonts w:ascii="ITC Avant Garde" w:hAnsi="ITC Avant Garde"/>
          <w:lang w:val="es-MX"/>
        </w:rPr>
        <w:t xml:space="preserve"> </w:t>
      </w:r>
      <w:r w:rsidRPr="007D54E4">
        <w:rPr>
          <w:rFonts w:ascii="ITC Avant Garde" w:hAnsi="ITC Avant Garde"/>
          <w:lang w:val="es-MX"/>
        </w:rPr>
        <w:t xml:space="preserve">los servicios asociados a la red </w:t>
      </w:r>
      <w:r w:rsidR="009C41EC" w:rsidRPr="007D54E4">
        <w:rPr>
          <w:rFonts w:ascii="ITC Avant Garde" w:hAnsi="ITC Avant Garde"/>
          <w:lang w:val="es-MX"/>
        </w:rPr>
        <w:t>de acceso del AEP</w:t>
      </w:r>
      <w:r w:rsidRPr="007D54E4">
        <w:rPr>
          <w:rFonts w:ascii="ITC Avant Garde" w:hAnsi="ITC Avant Garde"/>
          <w:lang w:val="es-MX"/>
        </w:rPr>
        <w:t>, según la definición y alcance que en su momento precise en la oferta de referencia correspondiente, a partir de lo establecido en las Medidas de Desagregación</w:t>
      </w:r>
      <w:r w:rsidR="00547B9A" w:rsidRPr="007D54E4">
        <w:rPr>
          <w:rFonts w:ascii="ITC Avant Garde" w:hAnsi="ITC Avant Garde"/>
          <w:lang w:val="es-MX"/>
        </w:rPr>
        <w:t>, enfocándose</w:t>
      </w:r>
      <w:r w:rsidR="00277452" w:rsidRPr="007D54E4">
        <w:rPr>
          <w:rFonts w:ascii="ITC Avant Garde" w:hAnsi="ITC Avant Garde"/>
          <w:lang w:val="es-MX"/>
        </w:rPr>
        <w:t>,</w:t>
      </w:r>
      <w:r w:rsidR="00547B9A" w:rsidRPr="007D54E4">
        <w:rPr>
          <w:rFonts w:ascii="ITC Avant Garde" w:hAnsi="ITC Avant Garde"/>
          <w:lang w:val="es-MX"/>
        </w:rPr>
        <w:t xml:space="preserve"> en particular</w:t>
      </w:r>
      <w:r w:rsidR="00277452" w:rsidRPr="007D54E4">
        <w:rPr>
          <w:rFonts w:ascii="ITC Avant Garde" w:hAnsi="ITC Avant Garde"/>
          <w:lang w:val="es-MX"/>
        </w:rPr>
        <w:t>,</w:t>
      </w:r>
      <w:r w:rsidR="00547B9A" w:rsidRPr="007D54E4">
        <w:rPr>
          <w:rFonts w:ascii="ITC Avant Garde" w:hAnsi="ITC Avant Garde"/>
          <w:lang w:val="es-MX"/>
        </w:rPr>
        <w:t xml:space="preserve"> en aquellos provistos a través de fibra óptica</w:t>
      </w:r>
      <w:r w:rsidRPr="007D54E4">
        <w:rPr>
          <w:rFonts w:ascii="ITC Avant Garde" w:hAnsi="ITC Avant Garde"/>
          <w:lang w:val="es-MX"/>
        </w:rPr>
        <w:t>.</w:t>
      </w:r>
    </w:p>
    <w:p w14:paraId="6E0204D9" w14:textId="72BFBFE5" w:rsidR="00A379AA" w:rsidRPr="007D54E4" w:rsidRDefault="00A379AA" w:rsidP="00A379AA">
      <w:pPr>
        <w:rPr>
          <w:rFonts w:ascii="ITC Avant Garde" w:hAnsi="ITC Avant Garde"/>
          <w:lang w:val="es-MX"/>
        </w:rPr>
      </w:pPr>
      <w:r w:rsidRPr="007D54E4">
        <w:rPr>
          <w:rFonts w:ascii="ITC Avant Garde" w:hAnsi="ITC Avant Garde"/>
          <w:lang w:val="es-MX"/>
        </w:rPr>
        <w:t xml:space="preserve">Por otra parte, respecto a considerar un incremento específico de un servicio mayorista se observa que la propuesta no es procedente en tanto </w:t>
      </w:r>
      <w:r w:rsidR="00277452" w:rsidRPr="007D54E4">
        <w:rPr>
          <w:rFonts w:ascii="ITC Avant Garde" w:hAnsi="ITC Avant Garde"/>
          <w:lang w:val="es-MX"/>
        </w:rPr>
        <w:t xml:space="preserve">se encuentra </w:t>
      </w:r>
      <w:r w:rsidRPr="007D54E4">
        <w:rPr>
          <w:rFonts w:ascii="ITC Avant Garde" w:hAnsi="ITC Avant Garde"/>
          <w:lang w:val="es-MX"/>
        </w:rPr>
        <w:t>desalineada con la práctica internacional, y bajo la visión de que diversos CS solicitarían servicios mayoristas sobre la red de acceso del AEP.</w:t>
      </w:r>
    </w:p>
    <w:p w14:paraId="5E80FE21" w14:textId="29C00594" w:rsidR="00A379AA" w:rsidRPr="007D54E4" w:rsidRDefault="00A22B67" w:rsidP="00A379AA">
      <w:pPr>
        <w:rPr>
          <w:rFonts w:ascii="ITC Avant Garde" w:hAnsi="ITC Avant Garde"/>
          <w:lang w:val="es-MX"/>
        </w:rPr>
      </w:pPr>
      <w:r w:rsidRPr="007D54E4">
        <w:rPr>
          <w:rFonts w:ascii="ITC Avant Garde" w:hAnsi="ITC Avant Garde"/>
          <w:lang w:val="es-MX"/>
        </w:rPr>
        <w:t xml:space="preserve">En torno </w:t>
      </w:r>
      <w:r w:rsidR="00A379AA" w:rsidRPr="007D54E4">
        <w:rPr>
          <w:rFonts w:ascii="ITC Avant Garde" w:hAnsi="ITC Avant Garde"/>
          <w:lang w:val="es-MX"/>
        </w:rPr>
        <w:t>a la sugerencia de incluir diferentes incrementos por tecnología, el Instituto considera que, dado que no esperan cambios tecnológicos relevantes en los periodos modelados para servicios de acceso a fibra óptica del AEP, los cuales están asociados a la vigencia de la oferta de referencia correspondiente, estos no se consideran representativos para al incluir el modelo</w:t>
      </w:r>
      <w:r w:rsidR="007A4468" w:rsidRPr="007D54E4">
        <w:rPr>
          <w:rFonts w:ascii="ITC Avant Garde" w:hAnsi="ITC Avant Garde"/>
          <w:lang w:val="es-MX"/>
        </w:rPr>
        <w:t xml:space="preserve"> de costos en comento</w:t>
      </w:r>
      <w:r w:rsidR="00A379AA" w:rsidRPr="007D54E4">
        <w:rPr>
          <w:rFonts w:ascii="ITC Avant Garde" w:hAnsi="ITC Avant Garde"/>
          <w:lang w:val="es-MX"/>
        </w:rPr>
        <w:t>.</w:t>
      </w:r>
    </w:p>
    <w:p w14:paraId="4798B5E5" w14:textId="4A77C192" w:rsidR="00477423" w:rsidRPr="007D54E4" w:rsidRDefault="00477423" w:rsidP="00857352">
      <w:pPr>
        <w:pStyle w:val="Ttulo3"/>
        <w:rPr>
          <w:rFonts w:ascii="ITC Avant Garde" w:hAnsi="ITC Avant Garde"/>
          <w:lang w:val="es-ES_tradnl"/>
        </w:rPr>
      </w:pPr>
      <w:r w:rsidRPr="007D54E4">
        <w:rPr>
          <w:rFonts w:ascii="ITC Avant Garde" w:hAnsi="ITC Avant Garde"/>
          <w:lang w:val="es-ES_tradnl"/>
        </w:rPr>
        <w:t>¿</w:t>
      </w:r>
      <w:r w:rsidR="00857352" w:rsidRPr="007D54E4">
        <w:rPr>
          <w:rFonts w:ascii="ITC Avant Garde" w:hAnsi="ITC Avant Garde"/>
          <w:lang w:val="es-ES_tradnl"/>
        </w:rPr>
        <w:t>Tiene algún comentario respecto al valor de CCPP empleado</w:t>
      </w:r>
      <w:r w:rsidRPr="007D54E4">
        <w:rPr>
          <w:rFonts w:ascii="ITC Avant Garde" w:hAnsi="ITC Avant Garde"/>
          <w:lang w:val="es-ES_tradnl"/>
        </w:rPr>
        <w:t>?</w:t>
      </w:r>
    </w:p>
    <w:p w14:paraId="4886F6F8" w14:textId="04AE7C70" w:rsidR="00477423" w:rsidRPr="007D54E4" w:rsidRDefault="00477423" w:rsidP="00477423">
      <w:pPr>
        <w:pStyle w:val="Ttulo3"/>
        <w:numPr>
          <w:ilvl w:val="0"/>
          <w:numId w:val="0"/>
        </w:numPr>
        <w:rPr>
          <w:rFonts w:ascii="ITC Avant Garde" w:hAnsi="ITC Avant Garde"/>
          <w:b w:val="0"/>
          <w:i/>
          <w:u w:val="single"/>
          <w:lang w:val="es-ES_tradnl"/>
        </w:rPr>
      </w:pPr>
      <w:r w:rsidRPr="007D54E4">
        <w:rPr>
          <w:rFonts w:ascii="ITC Avant Garde" w:hAnsi="ITC Avant Garde"/>
          <w:b w:val="0"/>
          <w:i/>
          <w:u w:val="single"/>
          <w:lang w:val="es-ES_tradnl"/>
        </w:rPr>
        <w:t>Resumen de comentarios de la Consulta Pública</w:t>
      </w:r>
    </w:p>
    <w:p w14:paraId="5C6CCB67" w14:textId="77777777" w:rsidR="004C4AC7" w:rsidRPr="009C0D93" w:rsidRDefault="004C4AC7" w:rsidP="009C0D93">
      <w:pPr>
        <w:rPr>
          <w:rFonts w:ascii="ITC Avant Garde" w:hAnsi="ITC Avant Garde"/>
          <w:lang w:val="es-MX"/>
        </w:rPr>
      </w:pPr>
      <w:r w:rsidRPr="009C0D93">
        <w:rPr>
          <w:rFonts w:ascii="ITC Avant Garde" w:hAnsi="ITC Avant Garde"/>
          <w:lang w:val="es-MX"/>
        </w:rPr>
        <w:t>De manera general, los participantes, indican estar de acuerdo con el uso de un CCPP en términos reales.</w:t>
      </w:r>
    </w:p>
    <w:p w14:paraId="54C42075" w14:textId="33F9C66D" w:rsidR="004C4AC7" w:rsidRPr="009C0D93" w:rsidRDefault="004C4AC7" w:rsidP="009C0D93">
      <w:pPr>
        <w:rPr>
          <w:rFonts w:ascii="ITC Avant Garde" w:hAnsi="ITC Avant Garde"/>
          <w:lang w:val="es-MX"/>
        </w:rPr>
      </w:pPr>
      <w:r w:rsidRPr="009C0D93">
        <w:rPr>
          <w:rFonts w:ascii="ITC Avant Garde" w:hAnsi="ITC Avant Garde"/>
          <w:lang w:val="es-MX"/>
        </w:rPr>
        <w:t>Por otra par</w:t>
      </w:r>
      <w:r w:rsidR="00563BE7" w:rsidRPr="009C0D93">
        <w:rPr>
          <w:rFonts w:ascii="ITC Avant Garde" w:hAnsi="ITC Avant Garde"/>
          <w:lang w:val="es-MX"/>
        </w:rPr>
        <w:t>te, ciertos participantes (Mega C</w:t>
      </w:r>
      <w:r w:rsidRPr="009C0D93">
        <w:rPr>
          <w:rFonts w:ascii="ITC Avant Garde" w:hAnsi="ITC Avant Garde"/>
          <w:lang w:val="es-MX"/>
        </w:rPr>
        <w:t xml:space="preserve">able y Televisa) sugieren que se debe considerar las tendencias de costos en términos reales con lo cual el uso de un CCPP sería consistente. </w:t>
      </w:r>
    </w:p>
    <w:p w14:paraId="031E13E1" w14:textId="6951FDB9" w:rsidR="004C4AC7" w:rsidRPr="009C0D93" w:rsidRDefault="004C4AC7" w:rsidP="009C0D93">
      <w:pPr>
        <w:rPr>
          <w:rFonts w:ascii="ITC Avant Garde" w:hAnsi="ITC Avant Garde"/>
          <w:lang w:val="es-MX"/>
        </w:rPr>
      </w:pPr>
      <w:r w:rsidRPr="009C0D93">
        <w:rPr>
          <w:rFonts w:ascii="ITC Avant Garde" w:hAnsi="ITC Avant Garde"/>
          <w:lang w:val="es-MX"/>
        </w:rPr>
        <w:lastRenderedPageBreak/>
        <w:t xml:space="preserve">Finalmente, determinados participantes (Sres. Barrios González, Gutiérrez Gabino y Pérez Pinto) expresaron comentarios en torno a los niveles de precios, </w:t>
      </w:r>
      <w:r w:rsidR="005C7381" w:rsidRPr="009C0D93">
        <w:rPr>
          <w:rFonts w:ascii="ITC Avant Garde" w:hAnsi="ITC Avant Garde"/>
          <w:lang w:val="es-MX"/>
        </w:rPr>
        <w:t xml:space="preserve">los cuales </w:t>
      </w:r>
      <w:r w:rsidRPr="009C0D93">
        <w:rPr>
          <w:rFonts w:ascii="ITC Avant Garde" w:hAnsi="ITC Avant Garde"/>
          <w:lang w:val="es-MX"/>
        </w:rPr>
        <w:t>son tratados en la sección</w:t>
      </w:r>
      <w:r w:rsidR="005C7381" w:rsidRPr="009C0D93">
        <w:rPr>
          <w:rFonts w:ascii="ITC Avant Garde" w:hAnsi="ITC Avant Garde"/>
          <w:lang w:val="es-MX"/>
        </w:rPr>
        <w:t xml:space="preserve"> </w:t>
      </w:r>
      <w:r w:rsidR="005C7381" w:rsidRPr="009C0D93">
        <w:rPr>
          <w:rFonts w:ascii="ITC Avant Garde" w:hAnsi="ITC Avant Garde"/>
          <w:lang w:val="es-MX"/>
        </w:rPr>
        <w:fldChar w:fldCharType="begin"/>
      </w:r>
      <w:r w:rsidR="005C7381" w:rsidRPr="009C0D93">
        <w:rPr>
          <w:rFonts w:ascii="ITC Avant Garde" w:hAnsi="ITC Avant Garde"/>
          <w:lang w:val="es-MX"/>
        </w:rPr>
        <w:instrText xml:space="preserve"> REF _Ref529371172 \r \h </w:instrText>
      </w:r>
      <w:r w:rsidR="007D54E4" w:rsidRPr="009C0D93">
        <w:rPr>
          <w:rFonts w:ascii="ITC Avant Garde" w:hAnsi="ITC Avant Garde"/>
          <w:lang w:val="es-MX"/>
        </w:rPr>
        <w:instrText xml:space="preserve"> \* MERGEFORMAT </w:instrText>
      </w:r>
      <w:r w:rsidR="005C7381" w:rsidRPr="009C0D93">
        <w:rPr>
          <w:rFonts w:ascii="ITC Avant Garde" w:hAnsi="ITC Avant Garde"/>
          <w:lang w:val="es-MX"/>
        </w:rPr>
      </w:r>
      <w:r w:rsidR="005C7381" w:rsidRPr="009C0D93">
        <w:rPr>
          <w:rFonts w:ascii="ITC Avant Garde" w:hAnsi="ITC Avant Garde"/>
          <w:lang w:val="es-MX"/>
        </w:rPr>
        <w:fldChar w:fldCharType="separate"/>
      </w:r>
      <w:r w:rsidR="005C7381" w:rsidRPr="009C0D93">
        <w:rPr>
          <w:rFonts w:ascii="ITC Avant Garde" w:hAnsi="ITC Avant Garde"/>
          <w:lang w:val="es-MX"/>
        </w:rPr>
        <w:t>2.8</w:t>
      </w:r>
      <w:r w:rsidR="005C7381" w:rsidRPr="009C0D93">
        <w:rPr>
          <w:rFonts w:ascii="ITC Avant Garde" w:hAnsi="ITC Avant Garde"/>
          <w:lang w:val="es-MX"/>
        </w:rPr>
        <w:fldChar w:fldCharType="end"/>
      </w:r>
      <w:r w:rsidRPr="009C0D93">
        <w:rPr>
          <w:rFonts w:ascii="ITC Avant Garde" w:hAnsi="ITC Avant Garde"/>
          <w:lang w:val="es-MX"/>
        </w:rPr>
        <w:t>.</w:t>
      </w:r>
    </w:p>
    <w:p w14:paraId="0A262B32" w14:textId="7645C99A" w:rsidR="00477423" w:rsidRPr="009C0D93" w:rsidRDefault="00477423" w:rsidP="009C0D93">
      <w:pPr>
        <w:rPr>
          <w:rFonts w:ascii="ITC Avant Garde" w:hAnsi="ITC Avant Garde"/>
          <w:lang w:val="es-MX"/>
        </w:rPr>
      </w:pPr>
      <w:r w:rsidRPr="009C0D93">
        <w:rPr>
          <w:rFonts w:ascii="ITC Avant Garde" w:hAnsi="ITC Avant Garde"/>
          <w:lang w:val="es-MX"/>
        </w:rPr>
        <w:t>Respuesta del Instituto</w:t>
      </w:r>
    </w:p>
    <w:p w14:paraId="5A46F9B0" w14:textId="097F8D5C" w:rsidR="004C4AC7" w:rsidRPr="007D54E4" w:rsidRDefault="004C4AC7" w:rsidP="004C4AC7">
      <w:pPr>
        <w:rPr>
          <w:rFonts w:ascii="ITC Avant Garde" w:hAnsi="ITC Avant Garde"/>
          <w:lang w:val="es-MX"/>
        </w:rPr>
      </w:pPr>
      <w:r w:rsidRPr="007D54E4">
        <w:rPr>
          <w:rFonts w:ascii="ITC Avant Garde" w:hAnsi="ITC Avant Garde"/>
          <w:lang w:val="es-MX"/>
        </w:rPr>
        <w:t>El Instituto señala que</w:t>
      </w:r>
      <w:r w:rsidR="007B56A9" w:rsidRPr="007D54E4">
        <w:rPr>
          <w:rFonts w:ascii="ITC Avant Garde" w:hAnsi="ITC Avant Garde"/>
          <w:lang w:val="es-MX"/>
        </w:rPr>
        <w:t xml:space="preserve"> </w:t>
      </w:r>
      <w:r w:rsidRPr="007D54E4">
        <w:rPr>
          <w:rFonts w:ascii="ITC Avant Garde" w:hAnsi="ITC Avant Garde"/>
          <w:lang w:val="es-MX"/>
        </w:rPr>
        <w:t xml:space="preserve">la sección </w:t>
      </w:r>
      <w:r w:rsidRPr="007D54E4">
        <w:rPr>
          <w:rFonts w:ascii="ITC Avant Garde" w:hAnsi="ITC Avant Garde"/>
          <w:lang w:val="es-MX"/>
        </w:rPr>
        <w:fldChar w:fldCharType="begin"/>
      </w:r>
      <w:r w:rsidRPr="007D54E4">
        <w:rPr>
          <w:rFonts w:ascii="ITC Avant Garde" w:hAnsi="ITC Avant Garde"/>
          <w:lang w:val="es-MX"/>
        </w:rPr>
        <w:instrText xml:space="preserve"> REF _Ref468291800 \r \h  \* MERGEFORMAT </w:instrText>
      </w:r>
      <w:r w:rsidRPr="007D54E4">
        <w:rPr>
          <w:rFonts w:ascii="ITC Avant Garde" w:hAnsi="ITC Avant Garde"/>
          <w:lang w:val="es-MX"/>
        </w:rPr>
      </w:r>
      <w:r w:rsidRPr="007D54E4">
        <w:rPr>
          <w:rFonts w:ascii="ITC Avant Garde" w:hAnsi="ITC Avant Garde"/>
          <w:lang w:val="es-MX"/>
        </w:rPr>
        <w:fldChar w:fldCharType="separate"/>
      </w:r>
      <w:r w:rsidRPr="007D54E4">
        <w:rPr>
          <w:rFonts w:ascii="ITC Avant Garde" w:hAnsi="ITC Avant Garde"/>
          <w:cs/>
          <w:lang w:val="es-MX"/>
        </w:rPr>
        <w:t>‎</w:t>
      </w:r>
      <w:r w:rsidRPr="007D54E4">
        <w:rPr>
          <w:rFonts w:ascii="ITC Avant Garde" w:hAnsi="ITC Avant Garde"/>
          <w:lang w:val="es-MX"/>
        </w:rPr>
        <w:fldChar w:fldCharType="end"/>
      </w:r>
      <w:r w:rsidR="005C7381" w:rsidRPr="007D54E4">
        <w:rPr>
          <w:rFonts w:ascii="ITC Avant Garde" w:hAnsi="ITC Avant Garde"/>
          <w:lang w:val="es-MX"/>
        </w:rPr>
        <w:fldChar w:fldCharType="begin"/>
      </w:r>
      <w:r w:rsidR="005C7381" w:rsidRPr="007D54E4">
        <w:rPr>
          <w:rFonts w:ascii="ITC Avant Garde" w:hAnsi="ITC Avant Garde"/>
          <w:lang w:val="es-MX"/>
        </w:rPr>
        <w:instrText xml:space="preserve"> REF _Ref529367110 \r \h </w:instrText>
      </w:r>
      <w:r w:rsidR="007D54E4" w:rsidRPr="007D54E4">
        <w:rPr>
          <w:rFonts w:ascii="ITC Avant Garde" w:hAnsi="ITC Avant Garde"/>
          <w:lang w:val="es-MX"/>
        </w:rPr>
        <w:instrText xml:space="preserve"> \* MERGEFORMAT </w:instrText>
      </w:r>
      <w:r w:rsidR="005C7381" w:rsidRPr="007D54E4">
        <w:rPr>
          <w:rFonts w:ascii="ITC Avant Garde" w:hAnsi="ITC Avant Garde"/>
          <w:lang w:val="es-MX"/>
        </w:rPr>
      </w:r>
      <w:r w:rsidR="005C7381" w:rsidRPr="007D54E4">
        <w:rPr>
          <w:rFonts w:ascii="ITC Avant Garde" w:hAnsi="ITC Avant Garde"/>
          <w:lang w:val="es-MX"/>
        </w:rPr>
        <w:fldChar w:fldCharType="separate"/>
      </w:r>
      <w:r w:rsidR="005C7381" w:rsidRPr="007D54E4">
        <w:rPr>
          <w:rFonts w:ascii="ITC Avant Garde" w:hAnsi="ITC Avant Garde"/>
          <w:lang w:val="es-MX"/>
        </w:rPr>
        <w:t>2.9</w:t>
      </w:r>
      <w:r w:rsidR="005C7381" w:rsidRPr="007D54E4">
        <w:rPr>
          <w:rFonts w:ascii="ITC Avant Garde" w:hAnsi="ITC Avant Garde"/>
          <w:lang w:val="es-MX"/>
        </w:rPr>
        <w:fldChar w:fldCharType="end"/>
      </w:r>
      <w:r w:rsidRPr="007D54E4">
        <w:rPr>
          <w:rFonts w:ascii="ITC Avant Garde" w:hAnsi="ITC Avant Garde"/>
          <w:lang w:val="es-MX"/>
        </w:rPr>
        <w:t>, aborda los comentarios respecto a emplear las tendencias de costos en términos reales.</w:t>
      </w:r>
    </w:p>
    <w:p w14:paraId="4A16936B" w14:textId="1D4D8C20" w:rsidR="00477423" w:rsidRPr="007D54E4" w:rsidRDefault="00477423" w:rsidP="00857352">
      <w:pPr>
        <w:pStyle w:val="Ttulo3"/>
        <w:rPr>
          <w:rFonts w:ascii="ITC Avant Garde" w:hAnsi="ITC Avant Garde"/>
          <w:lang w:val="es-ES_tradnl"/>
        </w:rPr>
      </w:pPr>
      <w:r w:rsidRPr="007D54E4">
        <w:rPr>
          <w:rFonts w:ascii="ITC Avant Garde" w:hAnsi="ITC Avant Garde"/>
          <w:lang w:val="es-ES_tradnl"/>
        </w:rPr>
        <w:t>¿</w:t>
      </w:r>
      <w:r w:rsidR="00857352" w:rsidRPr="007D54E4">
        <w:rPr>
          <w:rFonts w:ascii="ITC Avant Garde" w:hAnsi="ITC Avant Garde"/>
          <w:lang w:val="es-ES_tradnl"/>
        </w:rPr>
        <w:t>Considera conveniente el uso del CCPP real en lugar del nominal</w:t>
      </w:r>
      <w:r w:rsidRPr="007D54E4">
        <w:rPr>
          <w:rFonts w:ascii="ITC Avant Garde" w:hAnsi="ITC Avant Garde"/>
          <w:lang w:val="es-ES_tradnl"/>
        </w:rPr>
        <w:t>?</w:t>
      </w:r>
    </w:p>
    <w:p w14:paraId="5F225EEA" w14:textId="77777777" w:rsidR="00477423" w:rsidRPr="007D54E4" w:rsidRDefault="00477423" w:rsidP="00477423">
      <w:pPr>
        <w:pStyle w:val="Ttulo3"/>
        <w:numPr>
          <w:ilvl w:val="0"/>
          <w:numId w:val="0"/>
        </w:numPr>
        <w:rPr>
          <w:rFonts w:ascii="ITC Avant Garde" w:hAnsi="ITC Avant Garde"/>
          <w:b w:val="0"/>
          <w:i/>
          <w:u w:val="single"/>
          <w:lang w:val="es-ES_tradnl"/>
        </w:rPr>
      </w:pPr>
      <w:r w:rsidRPr="007D54E4">
        <w:rPr>
          <w:rFonts w:ascii="ITC Avant Garde" w:hAnsi="ITC Avant Garde"/>
          <w:b w:val="0"/>
          <w:i/>
          <w:u w:val="single"/>
          <w:lang w:val="es-ES_tradnl"/>
        </w:rPr>
        <w:t>Resumen de comentarios de la Consulta Pública</w:t>
      </w:r>
    </w:p>
    <w:p w14:paraId="3311DCAE" w14:textId="1F42B4D3" w:rsidR="004C4AC7" w:rsidRPr="009C0D93" w:rsidRDefault="004C4AC7" w:rsidP="009C0D93">
      <w:pPr>
        <w:rPr>
          <w:rFonts w:ascii="ITC Avant Garde" w:hAnsi="ITC Avant Garde"/>
          <w:lang w:val="es-MX"/>
        </w:rPr>
      </w:pPr>
      <w:r w:rsidRPr="009C0D93">
        <w:rPr>
          <w:rFonts w:ascii="ITC Avant Garde" w:hAnsi="ITC Avant Garde"/>
          <w:lang w:val="es-MX"/>
        </w:rPr>
        <w:t>Al respecto, ciertos participantes (Avantel/Alestra/Axtel, CANIETI y Mega</w:t>
      </w:r>
      <w:r w:rsidR="00563BE7" w:rsidRPr="009C0D93">
        <w:rPr>
          <w:rFonts w:ascii="ITC Avant Garde" w:hAnsi="ITC Avant Garde"/>
          <w:lang w:val="es-MX"/>
        </w:rPr>
        <w:t xml:space="preserve"> C</w:t>
      </w:r>
      <w:r w:rsidRPr="009C0D93">
        <w:rPr>
          <w:rFonts w:ascii="ITC Avant Garde" w:hAnsi="ITC Avant Garde"/>
          <w:lang w:val="es-MX"/>
        </w:rPr>
        <w:t>able) sugieren que debería emplear en CCPP más bajo. Por otra parte, uno de los participantes (Telmex) considera más adecuando emplear el valor del CCPP que utilizó la autoridad para definir los “precios tope”.</w:t>
      </w:r>
    </w:p>
    <w:p w14:paraId="4CCCD9D4" w14:textId="28FA08A1" w:rsidR="00477423" w:rsidRPr="007D54E4" w:rsidRDefault="00477423" w:rsidP="00477423">
      <w:pPr>
        <w:pStyle w:val="Ttulo3"/>
        <w:numPr>
          <w:ilvl w:val="0"/>
          <w:numId w:val="0"/>
        </w:numPr>
        <w:rPr>
          <w:rFonts w:ascii="ITC Avant Garde" w:hAnsi="ITC Avant Garde"/>
          <w:b w:val="0"/>
          <w:i/>
          <w:u w:val="single"/>
          <w:lang w:val="es-ES_tradnl"/>
        </w:rPr>
      </w:pPr>
      <w:r w:rsidRPr="007D54E4">
        <w:rPr>
          <w:rFonts w:ascii="ITC Avant Garde" w:hAnsi="ITC Avant Garde"/>
          <w:b w:val="0"/>
          <w:i/>
          <w:u w:val="single"/>
          <w:lang w:val="es-ES_tradnl"/>
        </w:rPr>
        <w:t>Respuesta del Instituto</w:t>
      </w:r>
    </w:p>
    <w:p w14:paraId="699A5C9B" w14:textId="719CCA29" w:rsidR="004C4AC7" w:rsidRPr="007D54E4" w:rsidRDefault="004C4AC7" w:rsidP="00BA2FCE">
      <w:pPr>
        <w:rPr>
          <w:rFonts w:ascii="ITC Avant Garde" w:hAnsi="ITC Avant Garde"/>
          <w:lang w:val="es-MX"/>
        </w:rPr>
      </w:pPr>
      <w:r w:rsidRPr="007D54E4">
        <w:rPr>
          <w:rFonts w:ascii="ITC Avant Garde" w:hAnsi="ITC Avant Garde"/>
          <w:lang w:val="es-MX"/>
        </w:rPr>
        <w:t xml:space="preserve">Al respecto, el Instituto señala que la versión final del </w:t>
      </w:r>
      <w:r w:rsidR="002F36EE" w:rsidRPr="007D54E4">
        <w:rPr>
          <w:rFonts w:ascii="ITC Avant Garde" w:hAnsi="ITC Avant Garde"/>
          <w:lang w:val="es-MX"/>
        </w:rPr>
        <w:t xml:space="preserve">incorpora </w:t>
      </w:r>
      <w:r w:rsidR="00BA2FCE" w:rsidRPr="007D54E4">
        <w:rPr>
          <w:rFonts w:ascii="ITC Avant Garde" w:hAnsi="ITC Avant Garde"/>
          <w:lang w:val="es-MX"/>
        </w:rPr>
        <w:t xml:space="preserve">un </w:t>
      </w:r>
      <w:r w:rsidRPr="007D54E4">
        <w:rPr>
          <w:rFonts w:ascii="ITC Avant Garde" w:hAnsi="ITC Avant Garde"/>
          <w:lang w:val="es-MX"/>
        </w:rPr>
        <w:t>valor del CCPP real antes de impuestos</w:t>
      </w:r>
      <w:r w:rsidR="00BA2FCE" w:rsidRPr="007D54E4">
        <w:rPr>
          <w:rFonts w:ascii="ITC Avant Garde" w:hAnsi="ITC Avant Garde"/>
          <w:lang w:val="es-MX"/>
        </w:rPr>
        <w:t xml:space="preserve"> de 6.58% aplicable al AEP, mismo que fue determinado por el Instituto a través del “ACUERDO MEDIANTE EL CUAL EL PLENO DEL INSTITUTO FEDERAL DE TELECOMUNICACIONES ESTABLECE LAS CONDICIONES TÉCNICAS MÍNIMAS ENTRE CONCESIONARIOS QUE OPEREN REDES PÚBLICAS DE TELECOMUNICACIONES Y DETERMINA LAS TARIFAS DE INTERCONEXIÓN RESULTADO DE LA METODOLOGÍA PARA EL CÁLCULO DE COSTOS DE INTERCONEXIÓN QUE ESTARÁN VIGENTES DEL 1 DE ENERO AL 31 DE DICIEMBRE DE 2017.”</w:t>
      </w:r>
      <w:r w:rsidR="00BA2FCE" w:rsidRPr="007D54E4">
        <w:rPr>
          <w:rStyle w:val="Refdenotaalpie"/>
          <w:rFonts w:ascii="ITC Avant Garde" w:hAnsi="ITC Avant Garde"/>
          <w:sz w:val="22"/>
          <w:lang w:val="es-MX"/>
        </w:rPr>
        <w:footnoteReference w:id="19"/>
      </w:r>
      <w:r w:rsidRPr="007D54E4">
        <w:rPr>
          <w:rFonts w:ascii="ITC Avant Garde" w:hAnsi="ITC Avant Garde"/>
          <w:lang w:val="es-MX"/>
        </w:rPr>
        <w:t>.</w:t>
      </w:r>
    </w:p>
    <w:p w14:paraId="1F7246F6" w14:textId="3B6902F7" w:rsidR="00477423" w:rsidRPr="007D54E4" w:rsidRDefault="00477423" w:rsidP="00477423">
      <w:pPr>
        <w:pStyle w:val="Ttulo3"/>
        <w:rPr>
          <w:rFonts w:ascii="ITC Avant Garde" w:hAnsi="ITC Avant Garde"/>
          <w:lang w:val="es-ES_tradnl"/>
        </w:rPr>
      </w:pPr>
      <w:r w:rsidRPr="007D54E4">
        <w:rPr>
          <w:rFonts w:ascii="ITC Avant Garde" w:hAnsi="ITC Avant Garde"/>
          <w:lang w:val="es-ES_tradnl"/>
        </w:rPr>
        <w:t>¿</w:t>
      </w:r>
      <w:r w:rsidR="00E642E6" w:rsidRPr="007D54E4">
        <w:rPr>
          <w:rFonts w:ascii="ITC Avant Garde" w:hAnsi="ITC Avant Garde"/>
          <w:lang w:val="es-ES_tradnl"/>
        </w:rPr>
        <w:t>Tiene</w:t>
      </w:r>
      <w:r w:rsidR="00857352" w:rsidRPr="007D54E4">
        <w:rPr>
          <w:rFonts w:ascii="ITC Avant Garde" w:hAnsi="ITC Avant Garde"/>
          <w:lang w:val="es-MX"/>
        </w:rPr>
        <w:t xml:space="preserve"> algún comentario adicional relativo al Modelo de costos y/o la documentación presentada</w:t>
      </w:r>
      <w:r w:rsidRPr="007D54E4">
        <w:rPr>
          <w:rFonts w:ascii="ITC Avant Garde" w:hAnsi="ITC Avant Garde"/>
          <w:lang w:val="es-ES_tradnl"/>
        </w:rPr>
        <w:t>?</w:t>
      </w:r>
    </w:p>
    <w:p w14:paraId="7E190AC1" w14:textId="77777777" w:rsidR="00477423" w:rsidRPr="007D54E4" w:rsidRDefault="00477423" w:rsidP="00477423">
      <w:pPr>
        <w:pStyle w:val="Ttulo3"/>
        <w:numPr>
          <w:ilvl w:val="0"/>
          <w:numId w:val="0"/>
        </w:numPr>
        <w:rPr>
          <w:rFonts w:ascii="ITC Avant Garde" w:hAnsi="ITC Avant Garde"/>
          <w:b w:val="0"/>
          <w:i/>
          <w:u w:val="single"/>
          <w:lang w:val="es-ES_tradnl"/>
        </w:rPr>
      </w:pPr>
      <w:r w:rsidRPr="007D54E4">
        <w:rPr>
          <w:rFonts w:ascii="ITC Avant Garde" w:hAnsi="ITC Avant Garde"/>
          <w:b w:val="0"/>
          <w:i/>
          <w:u w:val="single"/>
          <w:lang w:val="es-ES_tradnl"/>
        </w:rPr>
        <w:t>Resumen de comentarios de la Consulta Pública</w:t>
      </w:r>
    </w:p>
    <w:p w14:paraId="6A83F419" w14:textId="66621B1A" w:rsidR="004C4AC7" w:rsidRPr="007D54E4" w:rsidRDefault="004C4AC7" w:rsidP="009C0D93">
      <w:pPr>
        <w:rPr>
          <w:rFonts w:ascii="ITC Avant Garde" w:hAnsi="ITC Avant Garde"/>
          <w:i/>
        </w:rPr>
      </w:pPr>
      <w:r w:rsidRPr="009C0D93">
        <w:rPr>
          <w:rFonts w:ascii="ITC Avant Garde" w:hAnsi="ITC Avant Garde"/>
        </w:rPr>
        <w:t>Al respecto, un participante (Mega</w:t>
      </w:r>
      <w:r w:rsidR="00563BE7" w:rsidRPr="009C0D93">
        <w:rPr>
          <w:rFonts w:ascii="ITC Avant Garde" w:hAnsi="ITC Avant Garde"/>
        </w:rPr>
        <w:t xml:space="preserve"> C</w:t>
      </w:r>
      <w:r w:rsidRPr="009C0D93">
        <w:rPr>
          <w:rFonts w:ascii="ITC Avant Garde" w:hAnsi="ITC Avant Garde"/>
        </w:rPr>
        <w:t>able) en el que señala que el modelo es extremadamente complejo impidiendo su verificación</w:t>
      </w:r>
      <w:r w:rsidRPr="007D54E4">
        <w:rPr>
          <w:rFonts w:ascii="ITC Avant Garde" w:hAnsi="ITC Avant Garde"/>
        </w:rPr>
        <w:t>.</w:t>
      </w:r>
    </w:p>
    <w:p w14:paraId="63385233" w14:textId="0E2DC4B0" w:rsidR="004C4AC7" w:rsidRPr="009C0D93" w:rsidRDefault="004C4AC7" w:rsidP="009C0D93">
      <w:pPr>
        <w:rPr>
          <w:rFonts w:ascii="ITC Avant Garde" w:hAnsi="ITC Avant Garde"/>
          <w:lang w:val="es-MX"/>
        </w:rPr>
      </w:pPr>
      <w:r w:rsidRPr="009C0D93">
        <w:rPr>
          <w:rFonts w:ascii="ITC Avant Garde" w:hAnsi="ITC Avant Garde"/>
          <w:lang w:val="es-MX"/>
        </w:rPr>
        <w:t xml:space="preserve">Por otra parte, ciertos participantes [Avantel/Alestra/Axtel, CANIETI y Telefónica) consideran que sería más apropiado emplear un enfoque de costos incrementales </w:t>
      </w:r>
      <w:r w:rsidR="00BA2FCE" w:rsidRPr="009C0D93">
        <w:rPr>
          <w:rFonts w:ascii="ITC Avant Garde" w:hAnsi="ITC Avant Garde"/>
          <w:lang w:val="es-MX"/>
        </w:rPr>
        <w:t>“</w:t>
      </w:r>
      <w:r w:rsidRPr="009C0D93">
        <w:rPr>
          <w:rFonts w:ascii="ITC Avant Garde" w:hAnsi="ITC Avant Garde"/>
          <w:lang w:val="es-MX"/>
        </w:rPr>
        <w:t>puros</w:t>
      </w:r>
      <w:r w:rsidR="00BA2FCE" w:rsidRPr="009C0D93">
        <w:rPr>
          <w:rFonts w:ascii="ITC Avant Garde" w:hAnsi="ITC Avant Garde"/>
          <w:lang w:val="es-MX"/>
        </w:rPr>
        <w:t>”</w:t>
      </w:r>
      <w:r w:rsidRPr="009C0D93">
        <w:rPr>
          <w:rFonts w:ascii="ITC Avant Garde" w:hAnsi="ITC Avant Garde"/>
          <w:lang w:val="es-MX"/>
        </w:rPr>
        <w:t>.</w:t>
      </w:r>
    </w:p>
    <w:p w14:paraId="02B656AF" w14:textId="77777777" w:rsidR="004C4AC7" w:rsidRPr="009C0D93" w:rsidRDefault="004C4AC7" w:rsidP="009C0D93">
      <w:pPr>
        <w:rPr>
          <w:rFonts w:ascii="ITC Avant Garde" w:hAnsi="ITC Avant Garde"/>
          <w:lang w:val="es-MX"/>
        </w:rPr>
      </w:pPr>
      <w:r w:rsidRPr="009C0D93">
        <w:rPr>
          <w:rFonts w:ascii="ITC Avant Garde" w:hAnsi="ITC Avant Garde"/>
          <w:lang w:val="es-MX"/>
        </w:rPr>
        <w:lastRenderedPageBreak/>
        <w:t>En adición, uno de los participantes (Telefónica) considera que una parte relevante de la infraestructura civil está totalmente depreciada, lo que podría resultar en que la metodología aplicada sobre-recuperara las inversiones.</w:t>
      </w:r>
    </w:p>
    <w:p w14:paraId="2828171F" w14:textId="77777777" w:rsidR="004C4AC7" w:rsidRPr="009C0D93" w:rsidRDefault="004C4AC7" w:rsidP="009C0D93">
      <w:pPr>
        <w:rPr>
          <w:rFonts w:ascii="ITC Avant Garde" w:hAnsi="ITC Avant Garde"/>
          <w:lang w:val="es-MX"/>
        </w:rPr>
      </w:pPr>
      <w:r w:rsidRPr="009C0D93">
        <w:rPr>
          <w:rFonts w:ascii="ITC Avant Garde" w:hAnsi="ITC Avant Garde"/>
          <w:lang w:val="es-MX"/>
        </w:rPr>
        <w:t>En complemento, uno de los participantes (Televisa) refiere una serie de comentarios al respecto de diversos puntos:</w:t>
      </w:r>
    </w:p>
    <w:p w14:paraId="250BC5CD" w14:textId="77777777" w:rsidR="004C4AC7" w:rsidRPr="007D54E4" w:rsidRDefault="004C4AC7" w:rsidP="009C0D93">
      <w:pPr>
        <w:pStyle w:val="Indentation1"/>
        <w:numPr>
          <w:ilvl w:val="0"/>
          <w:numId w:val="14"/>
        </w:numPr>
        <w:rPr>
          <w:rFonts w:ascii="ITC Avant Garde" w:hAnsi="ITC Avant Garde"/>
          <w:sz w:val="22"/>
          <w:szCs w:val="22"/>
          <w:lang w:val="es-MX"/>
        </w:rPr>
      </w:pPr>
      <w:r w:rsidRPr="007D54E4">
        <w:rPr>
          <w:rFonts w:ascii="ITC Avant Garde" w:hAnsi="ITC Avant Garde"/>
          <w:b/>
          <w:sz w:val="22"/>
          <w:szCs w:val="22"/>
          <w:lang w:val="es-MX"/>
        </w:rPr>
        <w:t>Criterios de atribución de la infraestructura civil</w:t>
      </w:r>
      <w:r w:rsidRPr="007D54E4">
        <w:rPr>
          <w:rFonts w:ascii="ITC Avant Garde" w:hAnsi="ITC Avant Garde"/>
          <w:sz w:val="22"/>
          <w:szCs w:val="22"/>
          <w:lang w:val="es-MX"/>
        </w:rPr>
        <w:t>: indica que se deben tener en cuenta los diámetros de los cables de cobre y de fibra (y de los ductos que estos emplean), y que además se deben asignar costos a los servicios de alquiler de infraestructura.</w:t>
      </w:r>
    </w:p>
    <w:p w14:paraId="4FB0032B" w14:textId="4E23D586" w:rsidR="004C4AC7" w:rsidRPr="007D54E4" w:rsidRDefault="004C4AC7" w:rsidP="009C0D93">
      <w:pPr>
        <w:pStyle w:val="Indentation1"/>
        <w:numPr>
          <w:ilvl w:val="0"/>
          <w:numId w:val="14"/>
        </w:numPr>
        <w:rPr>
          <w:rFonts w:ascii="ITC Avant Garde" w:hAnsi="ITC Avant Garde"/>
          <w:b/>
          <w:sz w:val="22"/>
          <w:szCs w:val="22"/>
          <w:lang w:val="es-MX"/>
        </w:rPr>
      </w:pPr>
      <w:r w:rsidRPr="007D54E4">
        <w:rPr>
          <w:rFonts w:ascii="ITC Avant Garde" w:hAnsi="ITC Avant Garde"/>
          <w:b/>
          <w:sz w:val="22"/>
          <w:szCs w:val="22"/>
          <w:lang w:val="es-MX"/>
        </w:rPr>
        <w:t xml:space="preserve">Metodología aplicada para reparto de los costos de la infraestructura: </w:t>
      </w:r>
      <w:r w:rsidR="00CE757E" w:rsidRPr="007D54E4">
        <w:rPr>
          <w:rFonts w:ascii="ITC Avant Garde" w:hAnsi="ITC Avant Garde"/>
          <w:sz w:val="22"/>
          <w:szCs w:val="22"/>
          <w:lang w:val="es-MX"/>
        </w:rPr>
        <w:t xml:space="preserve">sugiere que </w:t>
      </w:r>
      <w:r w:rsidRPr="007D54E4">
        <w:rPr>
          <w:rFonts w:ascii="ITC Avant Garde" w:hAnsi="ITC Avant Garde"/>
          <w:sz w:val="22"/>
          <w:szCs w:val="22"/>
          <w:lang w:val="es-MX"/>
        </w:rPr>
        <w:t>es necesario verificar la metodología de reparto de costos asociados a los distintos tramos de red (red primaria, secundaria y acometida) a efecto de consolidar una asignación apropiada.</w:t>
      </w:r>
    </w:p>
    <w:p w14:paraId="2E765D37" w14:textId="27048C32" w:rsidR="004C4AC7" w:rsidRPr="007D54E4" w:rsidRDefault="004C4AC7" w:rsidP="009C0D93">
      <w:pPr>
        <w:pStyle w:val="Indentation1"/>
        <w:numPr>
          <w:ilvl w:val="0"/>
          <w:numId w:val="14"/>
        </w:numPr>
        <w:rPr>
          <w:rFonts w:ascii="ITC Avant Garde" w:hAnsi="ITC Avant Garde"/>
          <w:b/>
          <w:sz w:val="22"/>
          <w:szCs w:val="22"/>
          <w:lang w:val="es-MX"/>
        </w:rPr>
      </w:pPr>
      <w:r w:rsidRPr="007D54E4">
        <w:rPr>
          <w:rFonts w:ascii="ITC Avant Garde" w:hAnsi="ITC Avant Garde"/>
          <w:b/>
          <w:sz w:val="22"/>
          <w:szCs w:val="22"/>
          <w:lang w:val="es-MX"/>
        </w:rPr>
        <w:t>Costos generales y administrativos:</w:t>
      </w:r>
      <w:r w:rsidRPr="007D54E4">
        <w:rPr>
          <w:rFonts w:ascii="ITC Avant Garde" w:hAnsi="ITC Avant Garde"/>
          <w:sz w:val="22"/>
          <w:szCs w:val="22"/>
          <w:lang w:val="es-MX"/>
        </w:rPr>
        <w:t xml:space="preserve"> </w:t>
      </w:r>
      <w:r w:rsidR="00CE757E" w:rsidRPr="007D54E4">
        <w:rPr>
          <w:rFonts w:ascii="ITC Avant Garde" w:hAnsi="ITC Avant Garde"/>
          <w:sz w:val="22"/>
          <w:szCs w:val="22"/>
          <w:lang w:val="es-MX"/>
        </w:rPr>
        <w:t xml:space="preserve">indica que </w:t>
      </w:r>
      <w:r w:rsidRPr="007D54E4">
        <w:rPr>
          <w:rFonts w:ascii="ITC Avant Garde" w:hAnsi="ITC Avant Garde"/>
          <w:sz w:val="22"/>
          <w:szCs w:val="22"/>
          <w:lang w:val="es-MX"/>
        </w:rPr>
        <w:t>se necesita revisar el valor incluido en el modelo a efecto de asegurar consistencia con otros modelos de costos del Instituto.</w:t>
      </w:r>
    </w:p>
    <w:p w14:paraId="0DE2E398" w14:textId="77777777" w:rsidR="004C4AC7" w:rsidRPr="007D54E4" w:rsidRDefault="004C4AC7" w:rsidP="009C0D93">
      <w:pPr>
        <w:pStyle w:val="Indentation1"/>
        <w:numPr>
          <w:ilvl w:val="0"/>
          <w:numId w:val="14"/>
        </w:numPr>
        <w:rPr>
          <w:rFonts w:ascii="ITC Avant Garde" w:hAnsi="ITC Avant Garde"/>
          <w:sz w:val="22"/>
          <w:szCs w:val="22"/>
          <w:lang w:val="es-MX"/>
        </w:rPr>
      </w:pPr>
      <w:r w:rsidRPr="007D54E4">
        <w:rPr>
          <w:rFonts w:ascii="ITC Avant Garde" w:hAnsi="ITC Avant Garde"/>
          <w:b/>
          <w:sz w:val="22"/>
          <w:szCs w:val="22"/>
          <w:lang w:val="es-MX"/>
        </w:rPr>
        <w:t xml:space="preserve">Enfoque bajo el que se consideran los puertos asociados a los OLT: </w:t>
      </w:r>
      <w:r w:rsidRPr="007D54E4">
        <w:rPr>
          <w:rFonts w:ascii="ITC Avant Garde" w:hAnsi="ITC Avant Garde"/>
          <w:sz w:val="22"/>
          <w:szCs w:val="22"/>
          <w:lang w:val="es-MX"/>
        </w:rPr>
        <w:t>se debe aclarar si se consideran tales elementos como incrementales o no.</w:t>
      </w:r>
    </w:p>
    <w:p w14:paraId="5442052D" w14:textId="77777777" w:rsidR="004C4AC7" w:rsidRPr="007D54E4" w:rsidRDefault="004C4AC7" w:rsidP="009C0D93">
      <w:pPr>
        <w:pStyle w:val="Indentation1"/>
        <w:numPr>
          <w:ilvl w:val="0"/>
          <w:numId w:val="14"/>
        </w:numPr>
        <w:rPr>
          <w:rFonts w:ascii="ITC Avant Garde" w:hAnsi="ITC Avant Garde"/>
          <w:sz w:val="22"/>
          <w:szCs w:val="22"/>
          <w:lang w:val="es-MX"/>
        </w:rPr>
      </w:pPr>
      <w:r w:rsidRPr="007D54E4">
        <w:rPr>
          <w:rFonts w:ascii="ITC Avant Garde" w:hAnsi="ITC Avant Garde"/>
          <w:b/>
          <w:sz w:val="22"/>
          <w:szCs w:val="22"/>
          <w:lang w:val="es-MX"/>
        </w:rPr>
        <w:t>Separación de costos incrementales y comunes:</w:t>
      </w:r>
      <w:r w:rsidRPr="007D54E4">
        <w:rPr>
          <w:rFonts w:ascii="ITC Avant Garde" w:hAnsi="ITC Avant Garde"/>
          <w:sz w:val="22"/>
          <w:szCs w:val="22"/>
          <w:lang w:val="es-MX"/>
        </w:rPr>
        <w:t xml:space="preserve"> es compleja de hacer al realizarse a través de Macros de Excel.</w:t>
      </w:r>
    </w:p>
    <w:p w14:paraId="03CD69B7" w14:textId="77777777" w:rsidR="004C4AC7" w:rsidRPr="009C0D93" w:rsidRDefault="004C4AC7" w:rsidP="009C0D93">
      <w:pPr>
        <w:rPr>
          <w:rFonts w:ascii="ITC Avant Garde" w:hAnsi="ITC Avant Garde"/>
          <w:lang w:val="es-MX"/>
        </w:rPr>
      </w:pPr>
      <w:r w:rsidRPr="009C0D93">
        <w:rPr>
          <w:rFonts w:ascii="ITC Avant Garde" w:hAnsi="ITC Avant Garde"/>
          <w:lang w:val="es-MX"/>
        </w:rPr>
        <w:t>En complemento, uno de los participantes (Telmex) sugiere que el modelo debe considerar la incorporación de costos comunes y compartidos.</w:t>
      </w:r>
    </w:p>
    <w:p w14:paraId="7A5D4733" w14:textId="77777777" w:rsidR="004C4AC7" w:rsidRPr="009C0D93" w:rsidRDefault="004C4AC7" w:rsidP="009C0D93">
      <w:pPr>
        <w:rPr>
          <w:rFonts w:ascii="ITC Avant Garde" w:hAnsi="ITC Avant Garde"/>
          <w:lang w:val="es-MX"/>
        </w:rPr>
      </w:pPr>
      <w:r w:rsidRPr="009C0D93">
        <w:rPr>
          <w:rFonts w:ascii="ITC Avant Garde" w:hAnsi="ITC Avant Garde"/>
          <w:lang w:val="es-MX"/>
        </w:rPr>
        <w:t>Finalmente, diversos participantes de ésta consulta (Sres. Barrios González, Gutiérrez Gabino y Pérez Pinto) expresan dudas sobre las bases de la información empleada para la implementación del modelo.</w:t>
      </w:r>
    </w:p>
    <w:p w14:paraId="247DE129" w14:textId="7883E8B9" w:rsidR="00477423" w:rsidRPr="007D54E4" w:rsidRDefault="00477423" w:rsidP="00477423">
      <w:pPr>
        <w:pStyle w:val="Ttulo3"/>
        <w:numPr>
          <w:ilvl w:val="0"/>
          <w:numId w:val="0"/>
        </w:numPr>
        <w:rPr>
          <w:rFonts w:ascii="ITC Avant Garde" w:hAnsi="ITC Avant Garde"/>
          <w:b w:val="0"/>
          <w:i/>
          <w:u w:val="single"/>
          <w:lang w:val="es-ES_tradnl"/>
        </w:rPr>
      </w:pPr>
      <w:r w:rsidRPr="007D54E4">
        <w:rPr>
          <w:rFonts w:ascii="ITC Avant Garde" w:hAnsi="ITC Avant Garde"/>
          <w:b w:val="0"/>
          <w:i/>
          <w:u w:val="single"/>
          <w:lang w:val="es-ES_tradnl"/>
        </w:rPr>
        <w:t>Respuesta del Instituto</w:t>
      </w:r>
    </w:p>
    <w:p w14:paraId="7AB992EC" w14:textId="0CBDCD39" w:rsidR="004C4AC7" w:rsidRPr="007D54E4" w:rsidRDefault="004C4AC7" w:rsidP="004C4AC7">
      <w:pPr>
        <w:rPr>
          <w:rFonts w:ascii="ITC Avant Garde" w:hAnsi="ITC Avant Garde"/>
          <w:lang w:val="es-MX"/>
        </w:rPr>
      </w:pPr>
      <w:r w:rsidRPr="007D54E4">
        <w:rPr>
          <w:rFonts w:ascii="ITC Avant Garde" w:hAnsi="ITC Avant Garde"/>
          <w:lang w:val="es-MX"/>
        </w:rPr>
        <w:t xml:space="preserve">El Instituto señala que el presente modelo se encuentra alineado con las mejores prácticas internacionales en modelado regulatorio y que está debidamente documentado. En este sentido, se considera que el modelo </w:t>
      </w:r>
      <w:r w:rsidR="00CE757E" w:rsidRPr="007D54E4">
        <w:rPr>
          <w:rFonts w:ascii="ITC Avant Garde" w:hAnsi="ITC Avant Garde"/>
          <w:lang w:val="es-MX"/>
        </w:rPr>
        <w:t xml:space="preserve">es </w:t>
      </w:r>
      <w:r w:rsidRPr="007D54E4">
        <w:rPr>
          <w:rFonts w:ascii="ITC Avant Garde" w:hAnsi="ITC Avant Garde"/>
          <w:lang w:val="es-MX"/>
        </w:rPr>
        <w:t>suficientemente transparente y auditable, como lo comprueban las diversas observaciones de los participantes en dicho proceso, derivadas del análisis de ésta herramienta y su implementación.</w:t>
      </w:r>
    </w:p>
    <w:p w14:paraId="702C524E" w14:textId="7A73265F" w:rsidR="00CE757E" w:rsidRPr="007D54E4" w:rsidRDefault="004C4AC7" w:rsidP="00CE757E">
      <w:pPr>
        <w:rPr>
          <w:rFonts w:ascii="ITC Avant Garde" w:hAnsi="ITC Avant Garde"/>
          <w:lang w:val="es-MX"/>
        </w:rPr>
      </w:pPr>
      <w:r w:rsidRPr="007D54E4">
        <w:rPr>
          <w:rFonts w:ascii="ITC Avant Garde" w:hAnsi="ITC Avant Garde"/>
          <w:lang w:val="es-MX"/>
        </w:rPr>
        <w:t xml:space="preserve">Por otra parte, el Instituto señala que la metodología a partir de la cual se implementa el modelo, a </w:t>
      </w:r>
      <w:r w:rsidR="006E70A2" w:rsidRPr="007D54E4">
        <w:rPr>
          <w:rFonts w:ascii="ITC Avant Garde" w:hAnsi="ITC Avant Garde"/>
          <w:lang w:val="es-MX"/>
        </w:rPr>
        <w:t>saber,</w:t>
      </w:r>
      <w:r w:rsidRPr="007D54E4">
        <w:rPr>
          <w:rFonts w:ascii="ITC Avant Garde" w:hAnsi="ITC Avant Garde"/>
          <w:lang w:val="es-MX"/>
        </w:rPr>
        <w:t xml:space="preserve"> Costos Incrementales Promedio de Largo Plazo, tiene su fundamento en la Medida TRIGÉSIMA NOVENA de las Medidas de Desagregación.</w:t>
      </w:r>
      <w:r w:rsidR="00CE757E" w:rsidRPr="007D54E4">
        <w:rPr>
          <w:rFonts w:ascii="ITC Avant Garde" w:hAnsi="ITC Avant Garde"/>
          <w:lang w:val="es-MX"/>
        </w:rPr>
        <w:t xml:space="preserve"> Al respecto, el Instituto reitera que una de las razones por las </w:t>
      </w:r>
      <w:r w:rsidR="00CE757E" w:rsidRPr="007D54E4">
        <w:rPr>
          <w:rFonts w:ascii="ITC Avant Garde" w:hAnsi="ITC Avant Garde"/>
          <w:lang w:val="es-MX"/>
        </w:rPr>
        <w:lastRenderedPageBreak/>
        <w:t>cuales la metodología CIPLP se suele emplear para determinar tarifas de servicios mayoristas de acceso a las redes de un operador histórico es el hecho de que a través de la misma se pueden incorporar factores que permitan al operador regulado la recuperación de los costos comunes y compartidos, mismos que no son capturados por la metodología de costo incremental del tipo “puro”.</w:t>
      </w:r>
    </w:p>
    <w:p w14:paraId="0678BB78" w14:textId="77777777" w:rsidR="00033764" w:rsidRPr="007D54E4" w:rsidRDefault="004C4AC7" w:rsidP="00033764">
      <w:pPr>
        <w:rPr>
          <w:rFonts w:ascii="ITC Avant Garde" w:hAnsi="ITC Avant Garde"/>
          <w:lang w:val="es-MX"/>
        </w:rPr>
      </w:pPr>
      <w:r w:rsidRPr="007D54E4">
        <w:rPr>
          <w:rFonts w:ascii="ITC Avant Garde" w:hAnsi="ITC Avant Garde"/>
          <w:lang w:val="es-MX"/>
        </w:rPr>
        <w:t xml:space="preserve">En lo tocante a los comentarios en donde se afirma que la infraestructura civil involucrada está totalmente depreciada, y que por </w:t>
      </w:r>
      <w:r w:rsidR="006E70A2" w:rsidRPr="007D54E4">
        <w:rPr>
          <w:rFonts w:ascii="ITC Avant Garde" w:hAnsi="ITC Avant Garde"/>
          <w:lang w:val="es-MX"/>
        </w:rPr>
        <w:t>ende la</w:t>
      </w:r>
      <w:r w:rsidRPr="007D54E4">
        <w:rPr>
          <w:rFonts w:ascii="ITC Avant Garde" w:hAnsi="ITC Avant Garde"/>
          <w:lang w:val="es-MX"/>
        </w:rPr>
        <w:t xml:space="preserve"> metodología aplicada en el modelo sobre-recuperara las inversiones, </w:t>
      </w:r>
      <w:r w:rsidR="00033764" w:rsidRPr="007D54E4">
        <w:rPr>
          <w:rFonts w:ascii="ITC Avant Garde" w:hAnsi="ITC Avant Garde"/>
          <w:lang w:val="es-MX"/>
        </w:rPr>
        <w:t xml:space="preserve">el Instituto, reitera, que ante inquietudes similares, diversos países de la Unión Europea han considerado necesario incorporar, en cierta medida, la depreciación de activos la red de acceso del operador histórico para representar a través de modelos de costos a los niveles de inversión necesarios para brindar servicios mayoristas de acceso a través de esta. </w:t>
      </w:r>
    </w:p>
    <w:p w14:paraId="444413D2" w14:textId="77777777" w:rsidR="00033764" w:rsidRPr="007D54E4" w:rsidRDefault="00033764" w:rsidP="00033764">
      <w:pPr>
        <w:rPr>
          <w:rFonts w:ascii="ITC Avant Garde" w:hAnsi="ITC Avant Garde"/>
          <w:lang w:val="es-MX"/>
        </w:rPr>
      </w:pPr>
      <w:r w:rsidRPr="007D54E4">
        <w:rPr>
          <w:rFonts w:ascii="ITC Avant Garde" w:hAnsi="ITC Avant Garde"/>
          <w:lang w:val="es-MX"/>
        </w:rPr>
        <w:t xml:space="preserve">En este sentido, aunque el Instituto estima que dicho enfoque es deseable desde el punto de vista regulatorio, para su implementación se requiere de datos que permitan representar de manera precisa la longevidad de los activos de la red de dicho operador y su correspondiente nivel de depreciación, mismos que, en términos de la información aportada por el AEP y los datos con los que cuenta el Instituto, no se encuentran disponibles para el modelo en comento. </w:t>
      </w:r>
    </w:p>
    <w:p w14:paraId="72E34162" w14:textId="1A18D417" w:rsidR="004C4AC7" w:rsidRPr="007D54E4" w:rsidRDefault="00033764" w:rsidP="00033764">
      <w:pPr>
        <w:rPr>
          <w:rFonts w:ascii="ITC Avant Garde" w:hAnsi="ITC Avant Garde"/>
          <w:lang w:val="es-MX"/>
        </w:rPr>
      </w:pPr>
      <w:r w:rsidRPr="007D54E4">
        <w:rPr>
          <w:rFonts w:ascii="ITC Avant Garde" w:hAnsi="ITC Avant Garde"/>
          <w:lang w:val="es-MX"/>
        </w:rPr>
        <w:t>En consecuencia, el Instituto estimó pertinente implementar el modelo de costos empleando la mejor información disponible con la que cuenta, es decir, mediante un enfoque de dimensionamiento eficiente, en el que se modela una red moderna y equivalente a la del AEP, bajo un enfoque teórico ascendente y en donde se emplean los costos de reposición de los activos involucrados. Ello sin perjuicio de que, ante la presencia de mejor información el enfoque anterior pueda ser revisado y en su caso, modificado.</w:t>
      </w:r>
    </w:p>
    <w:p w14:paraId="06D6983F" w14:textId="4C12096F" w:rsidR="004C4AC7" w:rsidRPr="007D54E4" w:rsidRDefault="004C4AC7" w:rsidP="004C4AC7">
      <w:pPr>
        <w:rPr>
          <w:rFonts w:ascii="ITC Avant Garde" w:hAnsi="ITC Avant Garde"/>
          <w:lang w:val="es-MX"/>
        </w:rPr>
      </w:pPr>
      <w:r w:rsidRPr="007D54E4">
        <w:rPr>
          <w:rFonts w:ascii="ITC Avant Garde" w:hAnsi="ITC Avant Garde"/>
          <w:lang w:val="es-MX"/>
        </w:rPr>
        <w:t xml:space="preserve">Referente a la metodología aplicada para </w:t>
      </w:r>
      <w:r w:rsidR="00507D99" w:rsidRPr="007D54E4">
        <w:rPr>
          <w:rFonts w:ascii="ITC Avant Garde" w:hAnsi="ITC Avant Garde"/>
          <w:lang w:val="es-MX"/>
        </w:rPr>
        <w:t xml:space="preserve">la atribución </w:t>
      </w:r>
      <w:r w:rsidRPr="007D54E4">
        <w:rPr>
          <w:rFonts w:ascii="ITC Avant Garde" w:hAnsi="ITC Avant Garde"/>
          <w:lang w:val="es-MX"/>
        </w:rPr>
        <w:t>de los costos de la infraestructura</w:t>
      </w:r>
      <w:r w:rsidR="00507D99" w:rsidRPr="007D54E4">
        <w:rPr>
          <w:rFonts w:ascii="ITC Avant Garde" w:hAnsi="ITC Avant Garde"/>
          <w:lang w:val="es-MX"/>
        </w:rPr>
        <w:t xml:space="preserve"> civil</w:t>
      </w:r>
      <w:r w:rsidRPr="007D54E4">
        <w:rPr>
          <w:rFonts w:ascii="ITC Avant Garde" w:hAnsi="ITC Avant Garde"/>
          <w:lang w:val="es-MX"/>
        </w:rPr>
        <w:t xml:space="preserve">, el Instituto destaca que los costos de los trabajos de excavación provienen de datos provistos por el AEP y demás participantes de la presente consulta, los cuales han sido debidamente analizados y contrastados, siempre que ha sido posible, y que sólo se han empleado comparativas internacionales o estimaciones donde no ha sido posible hacerlo de otra manera. </w:t>
      </w:r>
      <w:r w:rsidR="00507D99" w:rsidRPr="007D54E4">
        <w:rPr>
          <w:rFonts w:ascii="ITC Avant Garde" w:hAnsi="ITC Avant Garde"/>
          <w:lang w:val="es-MX"/>
        </w:rPr>
        <w:t>Por ello</w:t>
      </w:r>
      <w:r w:rsidRPr="007D54E4">
        <w:rPr>
          <w:rFonts w:ascii="ITC Avant Garde" w:hAnsi="ITC Avant Garde"/>
          <w:lang w:val="es-MX"/>
        </w:rPr>
        <w:t xml:space="preserve">, </w:t>
      </w:r>
      <w:r w:rsidR="00507D99" w:rsidRPr="007D54E4">
        <w:rPr>
          <w:rFonts w:ascii="ITC Avant Garde" w:hAnsi="ITC Avant Garde"/>
          <w:lang w:val="es-MX"/>
        </w:rPr>
        <w:t>tales valores se consideran</w:t>
      </w:r>
      <w:r w:rsidRPr="007D54E4">
        <w:rPr>
          <w:rFonts w:ascii="ITC Avant Garde" w:hAnsi="ITC Avant Garde"/>
          <w:lang w:val="es-MX"/>
        </w:rPr>
        <w:t xml:space="preserve"> representativos de este tipo de infraestructura, aun para diferentes configuraciones</w:t>
      </w:r>
      <w:r w:rsidR="00507D99" w:rsidRPr="007D54E4">
        <w:rPr>
          <w:rFonts w:ascii="ITC Avant Garde" w:hAnsi="ITC Avant Garde"/>
          <w:lang w:val="es-MX"/>
        </w:rPr>
        <w:t xml:space="preserve"> y</w:t>
      </w:r>
      <w:r w:rsidR="00CC3A9C" w:rsidRPr="007D54E4">
        <w:rPr>
          <w:rFonts w:ascii="ITC Avant Garde" w:hAnsi="ITC Avant Garde"/>
          <w:lang w:val="es-MX"/>
        </w:rPr>
        <w:t>,</w:t>
      </w:r>
      <w:r w:rsidR="00382B28">
        <w:rPr>
          <w:rFonts w:ascii="ITC Avant Garde" w:hAnsi="ITC Avant Garde"/>
          <w:lang w:val="es-MX"/>
        </w:rPr>
        <w:t xml:space="preserve"> </w:t>
      </w:r>
      <w:r w:rsidR="00507D99" w:rsidRPr="007D54E4">
        <w:rPr>
          <w:rFonts w:ascii="ITC Avant Garde" w:hAnsi="ITC Avant Garde"/>
          <w:lang w:val="es-MX"/>
        </w:rPr>
        <w:t xml:space="preserve">en consecuencia, </w:t>
      </w:r>
      <w:r w:rsidRPr="007D54E4">
        <w:rPr>
          <w:rFonts w:ascii="ITC Avant Garde" w:hAnsi="ITC Avant Garde"/>
          <w:lang w:val="es-MX"/>
        </w:rPr>
        <w:t>el Instituto señala que la longitud de infraestructura empleada por cada tecnología se considera suficientemente causal como criterio de reparto.</w:t>
      </w:r>
    </w:p>
    <w:p w14:paraId="719B4B34" w14:textId="2FC489C5" w:rsidR="004C4AC7" w:rsidRPr="007D54E4" w:rsidRDefault="004C4AC7" w:rsidP="004C4AC7">
      <w:pPr>
        <w:rPr>
          <w:rFonts w:ascii="ITC Avant Garde" w:hAnsi="ITC Avant Garde"/>
          <w:lang w:val="es-MX"/>
        </w:rPr>
      </w:pPr>
      <w:r w:rsidRPr="007D54E4">
        <w:rPr>
          <w:rFonts w:ascii="ITC Avant Garde" w:hAnsi="ITC Avant Garde"/>
          <w:lang w:val="es-MX"/>
        </w:rPr>
        <w:t xml:space="preserve">Por su parte, respecto a asignar costos a los servicios de alquiler de infraestructura, el Instituto destaca que la demanda actual de estos servicios es reducida por lo que su impacto en los servicios de fibra sería </w:t>
      </w:r>
      <w:r w:rsidR="00186225" w:rsidRPr="007D54E4">
        <w:rPr>
          <w:rFonts w:ascii="ITC Avant Garde" w:hAnsi="ITC Avant Garde"/>
          <w:lang w:val="es-MX"/>
        </w:rPr>
        <w:t>limitado</w:t>
      </w:r>
      <w:r w:rsidRPr="007D54E4">
        <w:rPr>
          <w:rFonts w:ascii="ITC Avant Garde" w:hAnsi="ITC Avant Garde"/>
          <w:lang w:val="es-MX"/>
        </w:rPr>
        <w:t>.</w:t>
      </w:r>
    </w:p>
    <w:p w14:paraId="6DA0EB12" w14:textId="49FF024E" w:rsidR="004C4AC7" w:rsidRPr="007D54E4" w:rsidRDefault="004C4AC7" w:rsidP="004C4AC7">
      <w:pPr>
        <w:rPr>
          <w:rFonts w:ascii="ITC Avant Garde" w:hAnsi="ITC Avant Garde"/>
          <w:lang w:val="es-MX"/>
        </w:rPr>
      </w:pPr>
      <w:r w:rsidRPr="007D54E4">
        <w:rPr>
          <w:rFonts w:ascii="ITC Avant Garde" w:hAnsi="ITC Avant Garde"/>
          <w:lang w:val="es-MX"/>
        </w:rPr>
        <w:lastRenderedPageBreak/>
        <w:t xml:space="preserve">Sin perjuicio de lo anterior, el Instituto considera pertinente </w:t>
      </w:r>
      <w:r w:rsidR="006E70A2" w:rsidRPr="007D54E4">
        <w:rPr>
          <w:rFonts w:ascii="ITC Avant Garde" w:hAnsi="ITC Avant Garde"/>
          <w:lang w:val="es-MX"/>
        </w:rPr>
        <w:t>revisar la</w:t>
      </w:r>
      <w:r w:rsidRPr="007D54E4">
        <w:rPr>
          <w:rFonts w:ascii="ITC Avant Garde" w:hAnsi="ITC Avant Garde"/>
          <w:lang w:val="es-MX"/>
        </w:rPr>
        <w:t xml:space="preserve"> metodología aplicada para reparto de los costos de la infraestructura, es decir</w:t>
      </w:r>
      <w:r w:rsidR="00186225" w:rsidRPr="007D54E4">
        <w:rPr>
          <w:rFonts w:ascii="ITC Avant Garde" w:hAnsi="ITC Avant Garde"/>
          <w:lang w:val="es-MX"/>
        </w:rPr>
        <w:t>,</w:t>
      </w:r>
      <w:r w:rsidRPr="007D54E4">
        <w:rPr>
          <w:rFonts w:ascii="ITC Avant Garde" w:hAnsi="ITC Avant Garde"/>
          <w:lang w:val="es-MX"/>
        </w:rPr>
        <w:t xml:space="preserve"> a los elementos de red asociados a los distintos tramos de la red de acceso (es decir, red primaria, red secundaria y acometida), para aplicar factores de enrutamiento específicos para cada tramo, a efecto de brindar claridad sobre las asignaciones realizadas.</w:t>
      </w:r>
    </w:p>
    <w:p w14:paraId="51670201" w14:textId="77777777" w:rsidR="004C4AC7" w:rsidRPr="007D54E4" w:rsidRDefault="004C4AC7" w:rsidP="004C4AC7">
      <w:pPr>
        <w:rPr>
          <w:rFonts w:ascii="ITC Avant Garde" w:hAnsi="ITC Avant Garde"/>
          <w:lang w:val="es-MX"/>
        </w:rPr>
      </w:pPr>
      <w:r w:rsidRPr="007D54E4">
        <w:rPr>
          <w:rFonts w:ascii="ITC Avant Garde" w:hAnsi="ITC Avant Garde"/>
          <w:lang w:val="es-MX"/>
        </w:rPr>
        <w:t>Con respecto los costos generales y administrativos involucrados en el modelo, el Instituto señala que los valores incluidos se consideran apropiados en el sentido de que son consistentes con el “Modelo de red de acceso fija para servicios de desagregación y compartición de infraestructura”, considerado en la “Consulta pública sobre los modelos de costos para determinar tarifas de los servicios prestados por el Agente Económico Preponderante en el sector de las telecomunicaciones”</w:t>
      </w:r>
      <w:r w:rsidRPr="007D54E4">
        <w:rPr>
          <w:rStyle w:val="Refdenotaalpie"/>
          <w:rFonts w:ascii="ITC Avant Garde" w:hAnsi="ITC Avant Garde"/>
          <w:sz w:val="22"/>
        </w:rPr>
        <w:footnoteReference w:id="20"/>
      </w:r>
      <w:r w:rsidRPr="007D54E4">
        <w:rPr>
          <w:rFonts w:ascii="ITC Avant Garde" w:hAnsi="ITC Avant Garde"/>
          <w:lang w:val="es-MX"/>
        </w:rPr>
        <w:t>, toda vez que se tratan de segmentos análogos de la red del AEP, con lo cual no se considera procedente realizar ajustes al modelo al respecto.</w:t>
      </w:r>
    </w:p>
    <w:p w14:paraId="77C4D2ED" w14:textId="21E61FFD" w:rsidR="004C4AC7" w:rsidRPr="007D54E4" w:rsidRDefault="004C4AC7" w:rsidP="004C4AC7">
      <w:pPr>
        <w:rPr>
          <w:rFonts w:ascii="ITC Avant Garde" w:hAnsi="ITC Avant Garde"/>
          <w:lang w:val="es-MX"/>
        </w:rPr>
      </w:pPr>
      <w:r w:rsidRPr="007D54E4">
        <w:rPr>
          <w:rFonts w:ascii="ITC Avant Garde" w:hAnsi="ITC Avant Garde"/>
          <w:lang w:val="es-MX"/>
        </w:rPr>
        <w:t xml:space="preserve">En lo relativo al enfoque a través del cual se consideran los puertos los puertos asociados a los OLT, el Instituto aclara que, si bien en redes de acceso basado en cobre los puertos de los nodos de acceso (equipos MSAN) están directamente asociados a las líneas activas y, por lo tanto es común considerarlos bajo un enfoque incremental, en el caso de las redes GPON los puertos de los OLT están más asociados a la cantidad de casas cubiertas, lo cual se encuentra reflejado en la implementación del modelo. Lo anterior, </w:t>
      </w:r>
      <w:r w:rsidR="00186225" w:rsidRPr="007D54E4">
        <w:rPr>
          <w:rFonts w:ascii="ITC Avant Garde" w:hAnsi="ITC Avant Garde"/>
          <w:lang w:val="es-MX"/>
        </w:rPr>
        <w:t xml:space="preserve">a consideración del Instituto, se debe </w:t>
      </w:r>
      <w:r w:rsidRPr="007D54E4">
        <w:rPr>
          <w:rFonts w:ascii="ITC Avant Garde" w:hAnsi="ITC Avant Garde"/>
          <w:lang w:val="es-MX"/>
        </w:rPr>
        <w:t xml:space="preserve">principalmente a que la fibra óptica que se conecta a cada puerto del OLT está compartida por hasta 64 usuarios (debido al </w:t>
      </w:r>
      <w:r w:rsidRPr="007D54E4">
        <w:rPr>
          <w:rFonts w:ascii="ITC Avant Garde" w:hAnsi="ITC Avant Garde"/>
          <w:i/>
          <w:iCs/>
          <w:lang w:val="es-MX"/>
        </w:rPr>
        <w:t>splitting)</w:t>
      </w:r>
      <w:r w:rsidRPr="007D54E4">
        <w:rPr>
          <w:rFonts w:ascii="ITC Avant Garde" w:hAnsi="ITC Avant Garde"/>
          <w:lang w:val="es-MX"/>
        </w:rPr>
        <w:t>, no pudiendo ahorrar en puertos al reducir la demanda de líneas activas.</w:t>
      </w:r>
    </w:p>
    <w:p w14:paraId="54DCC3E2" w14:textId="23C582FC" w:rsidR="004C4AC7" w:rsidRPr="007D54E4" w:rsidRDefault="004C4AC7" w:rsidP="004C4AC7">
      <w:pPr>
        <w:rPr>
          <w:rFonts w:ascii="ITC Avant Garde" w:hAnsi="ITC Avant Garde"/>
          <w:lang w:val="es-MX"/>
        </w:rPr>
      </w:pPr>
      <w:r w:rsidRPr="007D54E4">
        <w:rPr>
          <w:rFonts w:ascii="ITC Avant Garde" w:hAnsi="ITC Avant Garde"/>
          <w:lang w:val="es-MX"/>
        </w:rPr>
        <w:t xml:space="preserve">Por otra parte, en lo tocante a la separación de costos incrementales y comunes efectuada por el modelo, el Instituto señala el enfoque metodológico para este punto no se </w:t>
      </w:r>
      <w:r w:rsidR="00186225" w:rsidRPr="007D54E4">
        <w:rPr>
          <w:rFonts w:ascii="ITC Avant Garde" w:hAnsi="ITC Avant Garde"/>
          <w:lang w:val="es-MX"/>
        </w:rPr>
        <w:t xml:space="preserve">realiza en dicha herramienta </w:t>
      </w:r>
      <w:r w:rsidRPr="007D54E4">
        <w:rPr>
          <w:rFonts w:ascii="ITC Avant Garde" w:hAnsi="ITC Avant Garde"/>
          <w:lang w:val="es-MX"/>
        </w:rPr>
        <w:t xml:space="preserve">mediante Macros de Excel. En este sentido, es pertinente aclarar </w:t>
      </w:r>
      <w:r w:rsidR="001E79ED" w:rsidRPr="007D54E4">
        <w:rPr>
          <w:rFonts w:ascii="ITC Avant Garde" w:hAnsi="ITC Avant Garde"/>
          <w:lang w:val="es-MX"/>
        </w:rPr>
        <w:t xml:space="preserve">que </w:t>
      </w:r>
      <w:r w:rsidRPr="007D54E4">
        <w:rPr>
          <w:rFonts w:ascii="ITC Avant Garde" w:hAnsi="ITC Avant Garde"/>
          <w:lang w:val="es-MX"/>
        </w:rPr>
        <w:t>los programas que efectivamente se incluyen dentro del modelo únicamente se encargan de ejecutar los diferentes escenarios (</w:t>
      </w:r>
      <w:r w:rsidR="001E79ED" w:rsidRPr="007D54E4">
        <w:rPr>
          <w:rFonts w:ascii="ITC Avant Garde" w:hAnsi="ITC Avant Garde"/>
          <w:lang w:val="es-MX"/>
        </w:rPr>
        <w:t xml:space="preserve">es decir, la ejecución del modelo </w:t>
      </w:r>
      <w:r w:rsidRPr="007D54E4">
        <w:rPr>
          <w:rFonts w:ascii="ITC Avant Garde" w:hAnsi="ITC Avant Garde"/>
          <w:lang w:val="es-MX"/>
        </w:rPr>
        <w:t xml:space="preserve">con el total de la demanda y </w:t>
      </w:r>
      <w:r w:rsidR="001E79ED" w:rsidRPr="007D54E4">
        <w:rPr>
          <w:rFonts w:ascii="ITC Avant Garde" w:hAnsi="ITC Avant Garde"/>
          <w:lang w:val="es-MX"/>
        </w:rPr>
        <w:t>el caso resultado de</w:t>
      </w:r>
      <w:r w:rsidRPr="007D54E4">
        <w:rPr>
          <w:rFonts w:ascii="ITC Avant Garde" w:hAnsi="ITC Avant Garde"/>
          <w:lang w:val="es-MX"/>
        </w:rPr>
        <w:t xml:space="preserve"> eliminar la demanda del incremento), a los que se le aplican fórmulas de Excel para separar costos comunes de incrementales.</w:t>
      </w:r>
    </w:p>
    <w:p w14:paraId="3453A39F" w14:textId="5FCC3CD5" w:rsidR="004C4AC7" w:rsidRPr="007D54E4" w:rsidRDefault="004C4AC7" w:rsidP="004C4AC7">
      <w:pPr>
        <w:rPr>
          <w:rFonts w:ascii="ITC Avant Garde" w:hAnsi="ITC Avant Garde"/>
          <w:lang w:val="es-MX"/>
        </w:rPr>
      </w:pPr>
      <w:r w:rsidRPr="007D54E4">
        <w:rPr>
          <w:rFonts w:ascii="ITC Avant Garde" w:hAnsi="ITC Avant Garde"/>
          <w:lang w:val="es-MX"/>
        </w:rPr>
        <w:t xml:space="preserve">En cuanto que el modelo debe considerar la incorporación de costos comunes y compartidos, el Instituto señala que la versión final del modelo </w:t>
      </w:r>
      <w:r w:rsidR="002F36EE" w:rsidRPr="007D54E4">
        <w:rPr>
          <w:rFonts w:ascii="ITC Avant Garde" w:hAnsi="ITC Avant Garde"/>
          <w:lang w:val="es-MX"/>
        </w:rPr>
        <w:t xml:space="preserve">incorpora </w:t>
      </w:r>
      <w:r w:rsidR="00336EE3" w:rsidRPr="007D54E4">
        <w:rPr>
          <w:rFonts w:ascii="ITC Avant Garde" w:hAnsi="ITC Avant Garde"/>
          <w:lang w:val="es-MX"/>
        </w:rPr>
        <w:t xml:space="preserve">los </w:t>
      </w:r>
      <w:r w:rsidRPr="007D54E4">
        <w:rPr>
          <w:rFonts w:ascii="ITC Avant Garde" w:hAnsi="ITC Avant Garde"/>
          <w:lang w:val="es-MX"/>
        </w:rPr>
        <w:t>costos comunes tanto de red como no de red.</w:t>
      </w:r>
    </w:p>
    <w:p w14:paraId="07B8E188" w14:textId="3670677A" w:rsidR="004C4AC7" w:rsidRPr="007D54E4" w:rsidRDefault="004C4AC7" w:rsidP="004C4AC7">
      <w:pPr>
        <w:rPr>
          <w:rFonts w:ascii="ITC Avant Garde" w:hAnsi="ITC Avant Garde"/>
          <w:lang w:val="es-MX"/>
        </w:rPr>
      </w:pPr>
      <w:r w:rsidRPr="007D54E4">
        <w:rPr>
          <w:rFonts w:ascii="ITC Avant Garde" w:hAnsi="ITC Avant Garde"/>
          <w:lang w:val="es-MX"/>
        </w:rPr>
        <w:t xml:space="preserve">En cuanto a las bases de la información empleada, en Instituto reitera que en la versión final de dicha herramienta se </w:t>
      </w:r>
      <w:r w:rsidR="002F36EE" w:rsidRPr="007D54E4">
        <w:rPr>
          <w:rFonts w:ascii="ITC Avant Garde" w:hAnsi="ITC Avant Garde"/>
          <w:lang w:val="es-MX"/>
        </w:rPr>
        <w:t xml:space="preserve">emplea </w:t>
      </w:r>
      <w:r w:rsidRPr="007D54E4">
        <w:rPr>
          <w:rFonts w:ascii="ITC Avant Garde" w:hAnsi="ITC Avant Garde"/>
          <w:lang w:val="es-MX"/>
        </w:rPr>
        <w:t xml:space="preserve">información provista por los </w:t>
      </w:r>
      <w:r w:rsidRPr="007D54E4">
        <w:rPr>
          <w:rFonts w:ascii="ITC Avant Garde" w:hAnsi="ITC Avant Garde"/>
          <w:lang w:val="es-MX"/>
        </w:rPr>
        <w:lastRenderedPageBreak/>
        <w:t>operadores</w:t>
      </w:r>
      <w:r w:rsidR="00336EE3" w:rsidRPr="007D54E4">
        <w:rPr>
          <w:rFonts w:ascii="ITC Avant Garde" w:hAnsi="ITC Avant Garde"/>
          <w:lang w:val="es-MX"/>
        </w:rPr>
        <w:t>, particularmente del AEP</w:t>
      </w:r>
      <w:r w:rsidRPr="007D54E4">
        <w:rPr>
          <w:rFonts w:ascii="ITC Avant Garde" w:hAnsi="ITC Avant Garde"/>
          <w:lang w:val="es-MX"/>
        </w:rPr>
        <w:t>, así como información de la práctica internacional, en mérito de lo cual el modelo se considera suficientemente robusto.</w:t>
      </w:r>
    </w:p>
    <w:p w14:paraId="44ED0A0C" w14:textId="77777777" w:rsidR="004C4AC7" w:rsidRPr="007D54E4" w:rsidRDefault="004C4AC7" w:rsidP="004C4AC7">
      <w:pPr>
        <w:rPr>
          <w:rFonts w:ascii="ITC Avant Garde" w:hAnsi="ITC Avant Garde"/>
          <w:lang w:val="es-ES_tradnl"/>
        </w:rPr>
      </w:pPr>
    </w:p>
    <w:sectPr w:rsidR="004C4AC7" w:rsidRPr="007D54E4" w:rsidSect="001438D2">
      <w:headerReference w:type="default" r:id="rId13"/>
      <w:footerReference w:type="default" r:id="rId14"/>
      <w:footerReference w:type="first" r:id="rId15"/>
      <w:type w:val="continuous"/>
      <w:pgSz w:w="11906" w:h="16838" w:code="9"/>
      <w:pgMar w:top="1418" w:right="1588" w:bottom="1418" w:left="1588" w:header="567" w:footer="567"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C1EB17" w14:textId="77777777" w:rsidR="0023584F" w:rsidRDefault="0023584F" w:rsidP="003C6172">
      <w:pPr>
        <w:spacing w:after="0" w:line="240" w:lineRule="auto"/>
      </w:pPr>
      <w:r>
        <w:separator/>
      </w:r>
    </w:p>
  </w:endnote>
  <w:endnote w:type="continuationSeparator" w:id="0">
    <w:p w14:paraId="6DEC0726" w14:textId="77777777" w:rsidR="0023584F" w:rsidRDefault="0023584F" w:rsidP="003C6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ITC Avant Garde">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B4061" w14:textId="632BE520" w:rsidR="009C0D93" w:rsidRPr="00C84A1D" w:rsidRDefault="009C0D93" w:rsidP="008958B5">
    <w:pPr>
      <w:pStyle w:val="Piedepgina"/>
      <w:jc w:val="right"/>
      <w:rPr>
        <w:rFonts w:ascii="ITC Avant Garde" w:hAnsi="ITC Avant Garde"/>
        <w:b/>
      </w:rPr>
    </w:pPr>
    <w:r w:rsidRPr="00C84A1D">
      <w:rPr>
        <w:rFonts w:ascii="ITC Avant Garde" w:hAnsi="ITC Avant Garde"/>
        <w:b/>
      </w:rPr>
      <w:t xml:space="preserve">Página </w:t>
    </w:r>
    <w:sdt>
      <w:sdtPr>
        <w:rPr>
          <w:rFonts w:ascii="ITC Avant Garde" w:hAnsi="ITC Avant Garde"/>
          <w:b/>
        </w:rPr>
        <w:id w:val="-1245482973"/>
        <w:docPartObj>
          <w:docPartGallery w:val="Page Numbers (Bottom of Page)"/>
          <w:docPartUnique/>
        </w:docPartObj>
      </w:sdtPr>
      <w:sdtContent>
        <w:r w:rsidRPr="00C84A1D">
          <w:rPr>
            <w:rFonts w:ascii="ITC Avant Garde" w:hAnsi="ITC Avant Garde"/>
            <w:b/>
          </w:rPr>
          <w:fldChar w:fldCharType="begin"/>
        </w:r>
        <w:r w:rsidRPr="00C84A1D">
          <w:rPr>
            <w:rFonts w:ascii="ITC Avant Garde" w:hAnsi="ITC Avant Garde"/>
            <w:b/>
          </w:rPr>
          <w:instrText>PAGE   \* MERGEFORMAT</w:instrText>
        </w:r>
        <w:r w:rsidRPr="00C84A1D">
          <w:rPr>
            <w:rFonts w:ascii="ITC Avant Garde" w:hAnsi="ITC Avant Garde"/>
            <w:b/>
          </w:rPr>
          <w:fldChar w:fldCharType="separate"/>
        </w:r>
        <w:r w:rsidR="00CA0B9B" w:rsidRPr="00CA0B9B">
          <w:rPr>
            <w:rFonts w:ascii="ITC Avant Garde" w:hAnsi="ITC Avant Garde"/>
            <w:b/>
            <w:noProof/>
            <w:lang w:val="es-ES"/>
          </w:rPr>
          <w:t>20</w:t>
        </w:r>
        <w:r w:rsidRPr="00C84A1D">
          <w:rPr>
            <w:rFonts w:ascii="ITC Avant Garde" w:hAnsi="ITC Avant Garde"/>
            <w:b/>
          </w:rPr>
          <w:fldChar w:fldCharType="end"/>
        </w:r>
        <w:r w:rsidRPr="00C84A1D">
          <w:rPr>
            <w:rFonts w:ascii="ITC Avant Garde" w:hAnsi="ITC Avant Garde"/>
            <w:b/>
          </w:rPr>
          <w:t xml:space="preserve"> de </w:t>
        </w:r>
        <w:r w:rsidRPr="00C84A1D">
          <w:rPr>
            <w:rFonts w:ascii="ITC Avant Garde" w:hAnsi="ITC Avant Garde"/>
            <w:b/>
          </w:rPr>
          <w:fldChar w:fldCharType="begin"/>
        </w:r>
        <w:r w:rsidRPr="00C84A1D">
          <w:rPr>
            <w:rFonts w:ascii="ITC Avant Garde" w:hAnsi="ITC Avant Garde"/>
            <w:b/>
          </w:rPr>
          <w:instrText xml:space="preserve"> NUMPAGES   \* MERGEFORMAT </w:instrText>
        </w:r>
        <w:r w:rsidRPr="00C84A1D">
          <w:rPr>
            <w:rFonts w:ascii="ITC Avant Garde" w:hAnsi="ITC Avant Garde"/>
            <w:b/>
          </w:rPr>
          <w:fldChar w:fldCharType="separate"/>
        </w:r>
        <w:r w:rsidR="00CA0B9B">
          <w:rPr>
            <w:rFonts w:ascii="ITC Avant Garde" w:hAnsi="ITC Avant Garde"/>
            <w:b/>
            <w:noProof/>
          </w:rPr>
          <w:t>34</w:t>
        </w:r>
        <w:r w:rsidRPr="00C84A1D">
          <w:rPr>
            <w:rFonts w:ascii="ITC Avant Garde" w:hAnsi="ITC Avant Garde"/>
            <w:b/>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4092483"/>
      <w:docPartObj>
        <w:docPartGallery w:val="Page Numbers (Bottom of Page)"/>
        <w:docPartUnique/>
      </w:docPartObj>
    </w:sdtPr>
    <w:sdtContent>
      <w:p w14:paraId="3AD03DE8" w14:textId="31EEB9F4" w:rsidR="009C0D93" w:rsidRPr="008958B5" w:rsidRDefault="009C0D93" w:rsidP="008958B5">
        <w:pPr>
          <w:pStyle w:val="Piedepgina"/>
          <w:jc w:val="right"/>
        </w:pPr>
        <w:r>
          <w:fldChar w:fldCharType="begin"/>
        </w:r>
        <w:r>
          <w:instrText>PAGE   \* MERGEFORMAT</w:instrText>
        </w:r>
        <w:r>
          <w:fldChar w:fldCharType="separate"/>
        </w:r>
        <w:r w:rsidR="00CA0B9B" w:rsidRPr="00CA0B9B">
          <w:rPr>
            <w:noProof/>
            <w:lang w:val="es-ES"/>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210E2B" w14:textId="77777777" w:rsidR="0023584F" w:rsidRDefault="0023584F" w:rsidP="003C6172">
      <w:pPr>
        <w:spacing w:after="0" w:line="240" w:lineRule="auto"/>
      </w:pPr>
      <w:r>
        <w:separator/>
      </w:r>
    </w:p>
  </w:footnote>
  <w:footnote w:type="continuationSeparator" w:id="0">
    <w:p w14:paraId="37CCFFC1" w14:textId="77777777" w:rsidR="0023584F" w:rsidRDefault="0023584F" w:rsidP="003C6172">
      <w:pPr>
        <w:spacing w:after="0" w:line="240" w:lineRule="auto"/>
      </w:pPr>
      <w:r>
        <w:continuationSeparator/>
      </w:r>
    </w:p>
  </w:footnote>
  <w:footnote w:id="1">
    <w:p w14:paraId="0CFB575A" w14:textId="672619E9" w:rsidR="009C0D93" w:rsidRPr="00DB41B3" w:rsidRDefault="009C0D93" w:rsidP="006D1F4A">
      <w:pPr>
        <w:pStyle w:val="Textonotapie"/>
        <w:ind w:left="0" w:firstLine="0"/>
        <w:rPr>
          <w:rFonts w:ascii="ITC Avant Garde" w:hAnsi="ITC Avant Garde"/>
          <w:sz w:val="14"/>
          <w:szCs w:val="14"/>
          <w:lang w:val="es-MX"/>
        </w:rPr>
      </w:pPr>
      <w:r w:rsidRPr="00DB41B3">
        <w:rPr>
          <w:rStyle w:val="Refdenotaalpie"/>
          <w:rFonts w:ascii="ITC Avant Garde" w:hAnsi="ITC Avant Garde"/>
          <w:sz w:val="14"/>
          <w:szCs w:val="14"/>
        </w:rPr>
        <w:footnoteRef/>
      </w:r>
      <w:r w:rsidRPr="0091357A">
        <w:rPr>
          <w:rFonts w:ascii="ITC Avant Garde" w:hAnsi="ITC Avant Garde"/>
          <w:sz w:val="14"/>
          <w:szCs w:val="14"/>
          <w:lang w:val="es-MX"/>
        </w:rPr>
        <w:t xml:space="preserve"> </w:t>
      </w:r>
      <w:r>
        <w:rPr>
          <w:rFonts w:ascii="ITC Avant Garde" w:hAnsi="ITC Avant Garde"/>
          <w:sz w:val="14"/>
          <w:szCs w:val="14"/>
          <w:lang w:val="es-MX"/>
        </w:rPr>
        <w:t>La consulta pública del</w:t>
      </w:r>
      <w:r w:rsidRPr="00DB41B3">
        <w:rPr>
          <w:rFonts w:ascii="ITC Avant Garde" w:hAnsi="ITC Avant Garde"/>
          <w:sz w:val="14"/>
          <w:szCs w:val="14"/>
          <w:lang w:val="es-MX"/>
        </w:rPr>
        <w:t xml:space="preserve"> </w:t>
      </w:r>
      <w:r w:rsidRPr="007D54E4">
        <w:rPr>
          <w:rFonts w:ascii="ITC Avant Garde" w:hAnsi="ITC Avant Garde"/>
          <w:i/>
          <w:sz w:val="14"/>
          <w:szCs w:val="14"/>
          <w:lang w:val="es-MX"/>
        </w:rPr>
        <w:t>“Modelo de Costos para determinar las tarifas de acceso para la desagregación del bucle local de fibra óptica del Agente Económico Preponderante en el sector de las telecomunicaciones”.</w:t>
      </w:r>
      <w:r w:rsidRPr="00DB41B3">
        <w:rPr>
          <w:rFonts w:ascii="ITC Avant Garde" w:hAnsi="ITC Avant Garde"/>
          <w:sz w:val="14"/>
          <w:szCs w:val="14"/>
          <w:lang w:val="es-MX"/>
        </w:rPr>
        <w:t xml:space="preserve"> se encuentra disponible a través de la siguiente dirección electrónica: </w:t>
      </w:r>
      <w:hyperlink r:id="rId1" w:history="1">
        <w:r w:rsidRPr="003532F0">
          <w:rPr>
            <w:rStyle w:val="Hipervnculo"/>
            <w:rFonts w:ascii="ITC Avant Garde" w:hAnsi="ITC Avant Garde"/>
            <w:sz w:val="14"/>
            <w:szCs w:val="14"/>
            <w:lang w:val="es-MX"/>
          </w:rPr>
          <w:t>http://www.ift.org.mx/industria/consultas-publicas/consulta-publica-sobre-el-modelo-de-costos-para-determinar-las-tarifas-de-acceso-para-la</w:t>
        </w:r>
      </w:hyperlink>
      <w:r>
        <w:rPr>
          <w:rStyle w:val="Hipervnculo"/>
          <w:rFonts w:ascii="ITC Avant Garde" w:hAnsi="ITC Avant Garde"/>
          <w:sz w:val="14"/>
          <w:szCs w:val="14"/>
          <w:lang w:val="es-MX"/>
        </w:rPr>
        <w:t xml:space="preserve"> </w:t>
      </w:r>
      <w:r w:rsidRPr="00DB41B3">
        <w:rPr>
          <w:rFonts w:ascii="ITC Avant Garde" w:hAnsi="ITC Avant Garde"/>
          <w:sz w:val="14"/>
          <w:szCs w:val="14"/>
          <w:lang w:val="es-MX"/>
        </w:rPr>
        <w:t xml:space="preserve"> </w:t>
      </w:r>
    </w:p>
  </w:footnote>
  <w:footnote w:id="2">
    <w:p w14:paraId="5D3B0F82" w14:textId="77777777" w:rsidR="009C0D93" w:rsidRPr="001769CC" w:rsidRDefault="009C0D93" w:rsidP="007D54E4">
      <w:pPr>
        <w:pStyle w:val="Textonotapie"/>
        <w:rPr>
          <w:rFonts w:ascii="ITC Avant Garde" w:hAnsi="ITC Avant Garde"/>
          <w:szCs w:val="16"/>
          <w:lang w:val="es-MX"/>
        </w:rPr>
      </w:pPr>
      <w:r w:rsidRPr="00E327AB">
        <w:rPr>
          <w:rStyle w:val="Refdenotaalpie"/>
          <w:rFonts w:ascii="ITC Avant Garde" w:hAnsi="ITC Avant Garde"/>
          <w:sz w:val="16"/>
          <w:szCs w:val="16"/>
        </w:rPr>
        <w:footnoteRef/>
      </w:r>
      <w:r w:rsidRPr="001769CC">
        <w:rPr>
          <w:rFonts w:ascii="ITC Avant Garde" w:hAnsi="ITC Avant Garde"/>
          <w:szCs w:val="16"/>
          <w:lang w:val="es-MX"/>
        </w:rPr>
        <w:t xml:space="preserve"> Cabe destacar que algunas de las personas en comento han presentado respuestas de manera conjunta.</w:t>
      </w:r>
    </w:p>
  </w:footnote>
  <w:footnote w:id="3">
    <w:p w14:paraId="2B9E64E1" w14:textId="1123200F" w:rsidR="009C0D93" w:rsidRPr="001769CC" w:rsidRDefault="009C0D93" w:rsidP="00CF76F6">
      <w:pPr>
        <w:pStyle w:val="Textonotapie"/>
        <w:ind w:left="0" w:firstLine="0"/>
        <w:rPr>
          <w:rFonts w:ascii="ITC Avant Garde" w:hAnsi="ITC Avant Garde"/>
          <w:szCs w:val="16"/>
          <w:lang w:val="es-MX"/>
        </w:rPr>
      </w:pPr>
      <w:r w:rsidRPr="00E327AB">
        <w:rPr>
          <w:rStyle w:val="Refdenotaalpie"/>
          <w:rFonts w:ascii="ITC Avant Garde" w:hAnsi="ITC Avant Garde"/>
          <w:sz w:val="16"/>
          <w:szCs w:val="16"/>
        </w:rPr>
        <w:footnoteRef/>
      </w:r>
      <w:hyperlink r:id="rId2" w:history="1">
        <w:r w:rsidRPr="0035272C">
          <w:rPr>
            <w:rStyle w:val="Hipervnculo"/>
            <w:rFonts w:ascii="ITC Avant Garde" w:hAnsi="ITC Avant Garde"/>
            <w:color w:val="4F81BD" w:themeColor="accent1"/>
            <w:szCs w:val="16"/>
            <w:u w:val="single"/>
            <w:lang w:val="es-MX"/>
          </w:rPr>
          <w:t>http://www.ift.org.mx/sites/default/files/industria/temasrelevantes/7729/documentos/1.1formatoparaparticipar.docx</w:t>
        </w:r>
      </w:hyperlink>
    </w:p>
  </w:footnote>
  <w:footnote w:id="4">
    <w:p w14:paraId="7E0F58A2" w14:textId="0173B335" w:rsidR="009C0D93" w:rsidRPr="000E1239" w:rsidRDefault="009C0D93" w:rsidP="000E1239">
      <w:pPr>
        <w:pStyle w:val="Textonotapie"/>
        <w:ind w:left="0" w:firstLine="0"/>
        <w:rPr>
          <w:lang w:val="es-MX"/>
        </w:rPr>
      </w:pPr>
      <w:r>
        <w:rPr>
          <w:rStyle w:val="Refdenotaalpie"/>
        </w:rPr>
        <w:footnoteRef/>
      </w:r>
      <w:r w:rsidRPr="000E1239">
        <w:rPr>
          <w:lang w:val="es-MX"/>
        </w:rPr>
        <w:t xml:space="preserve"> </w:t>
      </w:r>
      <w:r w:rsidRPr="000E1239">
        <w:rPr>
          <w:rFonts w:ascii="ITC Avant Garde" w:eastAsia="Times New Roman" w:hAnsi="ITC Avant Garde"/>
          <w:lang w:val="es-MX"/>
        </w:rPr>
        <w:t>Se refiere al Anexo 3 denominado</w:t>
      </w:r>
      <w:r w:rsidRPr="000E1239">
        <w:rPr>
          <w:rFonts w:ascii="ITC Avant Garde" w:hAnsi="ITC Avant Garde"/>
          <w:lang w:val="es-MX"/>
        </w:rPr>
        <w:t xml:space="preserve"> “</w:t>
      </w:r>
      <w:r w:rsidRPr="000E1239">
        <w:rPr>
          <w:rFonts w:ascii="ITC Avant Garde" w:eastAsia="Times New Roman" w:hAnsi="ITC Avant Garde"/>
          <w:i/>
          <w:lang w:val="es-MX"/>
        </w:rPr>
        <w:t>MEDIDAS QUE PERMITEN LA DESAGREGACIÓN EFECTIVA DE LA RED LOCAL DEL AGENTE ECONÓMICO PREPONDERANTE EN TELECOMUNICACIONES DE MANERA QUE OTROS CONCESIONARIOS DE TELECOMUNICACIONES PUEDAN ACCEDER, ENTRE OTROS, A LOS MEDIOS FÍSICOS, TÉCNICOS Y LÓGICOS DE CONEXIÓN ENTRE CUALQUIER PUNTO TERMINAL DE LA RED PÚBLICA DE TELECOMUNICACIONES Y EL PUNTO DE ACCESO A LA RED LOCAL PERTENECIENTE A DICHO AGENTE</w:t>
      </w:r>
      <w:r w:rsidRPr="000E1239">
        <w:rPr>
          <w:rFonts w:ascii="ITC Avant Garde" w:eastAsia="Times New Roman" w:hAnsi="ITC Avant Garde"/>
          <w:lang w:val="es-MX"/>
        </w:rPr>
        <w:t>”</w:t>
      </w:r>
      <w:r>
        <w:rPr>
          <w:rFonts w:ascii="ITC Avant Garde" w:eastAsia="Times New Roman" w:hAnsi="ITC Avant Garde"/>
          <w:lang w:val="es-MX"/>
        </w:rPr>
        <w:t xml:space="preserve"> integrante del </w:t>
      </w:r>
      <w:r w:rsidRPr="000E1239">
        <w:rPr>
          <w:rFonts w:ascii="ITC Avant Garde" w:eastAsia="Times New Roman" w:hAnsi="ITC Avant Garde"/>
          <w:lang w:val="es-MX"/>
        </w:rPr>
        <w:t>Acuerdo P/IFT/EXT/060314/76 la “</w:t>
      </w:r>
      <w:r w:rsidRPr="000E1239">
        <w:rPr>
          <w:rFonts w:ascii="ITC Avant Garde" w:eastAsia="Times New Roman" w:hAnsi="ITC Avant Garde"/>
          <w:i/>
          <w:lang w:val="es-MX"/>
        </w:rPr>
        <w:t>RESOLUCIÓN MEDIANTE LA CUAL EL PLENO DEL INSTITUTO FEDERAL DE TELECOMUNICACIONES DETERMINA AL GRUPO DE INTERÉS ECONÓMICO DEL QUE FORMAN PARTE AMÉRICA MÓVIL, S.A.B. DE C.V., TELÉFONOS DE MÉXICO, S.A.B. DE C.V., TELÉFONOS DEL NOROESTE, S.A. DE C.V., RADIOMÓVIL DIPSA, S.A.B. DE C. V., GRUPO CARSO, S.A.B. DE C.V., Y GRUPO FINANCIERO INBURSA, S.A.B. DE C.V., COMO AGENTE ECONÓMICO PREPONDERANTE EN EL SECTOR DE TELECOMUNICACIONES Y LE IMPONE LAS MEDIDAS NECESARIAS PARA EVITAR QUE SE AFECTE LA COMPETENCIA Y LA LIBRE CONCURRENCIA</w:t>
      </w:r>
      <w:r w:rsidRPr="000E1239">
        <w:rPr>
          <w:rFonts w:ascii="ITC Avant Garde" w:eastAsia="Times New Roman" w:hAnsi="ITC Avant Garde"/>
          <w:lang w:val="es-MX"/>
        </w:rPr>
        <w:t>.”</w:t>
      </w:r>
      <w:r>
        <w:rPr>
          <w:rFonts w:ascii="ITC Avant Garde" w:eastAsia="Times New Roman" w:hAnsi="ITC Avant Garde"/>
          <w:lang w:val="es-MX"/>
        </w:rPr>
        <w:t xml:space="preserve">, aprobado por el Pleno del Instituto el </w:t>
      </w:r>
      <w:r w:rsidRPr="000E1239">
        <w:rPr>
          <w:rFonts w:ascii="ITC Avant Garde" w:eastAsia="Times New Roman" w:hAnsi="ITC Avant Garde"/>
          <w:lang w:val="es-MX"/>
        </w:rPr>
        <w:t>6 de marzo de 2014, en su V Sesión Extraordinaria</w:t>
      </w:r>
      <w:r>
        <w:rPr>
          <w:rFonts w:ascii="ITC Avant Garde" w:eastAsia="Times New Roman" w:hAnsi="ITC Avant Garde"/>
          <w:lang w:val="es-MX"/>
        </w:rPr>
        <w:t>.</w:t>
      </w:r>
    </w:p>
  </w:footnote>
  <w:footnote w:id="5">
    <w:p w14:paraId="46F60765" w14:textId="77777777" w:rsidR="009C0D93" w:rsidRPr="00477423" w:rsidRDefault="009C0D93" w:rsidP="007B56A9">
      <w:pPr>
        <w:pStyle w:val="Textonotapie"/>
        <w:ind w:left="0" w:firstLine="0"/>
        <w:rPr>
          <w:rFonts w:ascii="ITC Avant Garde" w:hAnsi="ITC Avant Garde"/>
          <w:szCs w:val="16"/>
          <w:lang w:val="es-MX"/>
        </w:rPr>
      </w:pPr>
      <w:r w:rsidRPr="00E327AB">
        <w:rPr>
          <w:rStyle w:val="Refdenotaalpie"/>
          <w:rFonts w:ascii="ITC Avant Garde" w:hAnsi="ITC Avant Garde"/>
          <w:sz w:val="16"/>
          <w:szCs w:val="16"/>
        </w:rPr>
        <w:footnoteRef/>
      </w:r>
      <w:r w:rsidRPr="00477423">
        <w:rPr>
          <w:rFonts w:ascii="ITC Avant Garde" w:hAnsi="ITC Avant Garde"/>
          <w:szCs w:val="16"/>
          <w:lang w:val="es-MX"/>
        </w:rPr>
        <w:t xml:space="preserve"> Para el cálculo preciso de la depreciación económica es recomendable incluir en el modelo un plazo de modelado superior a la vida útil más larga considerada.</w:t>
      </w:r>
    </w:p>
  </w:footnote>
  <w:footnote w:id="6">
    <w:p w14:paraId="6C0168E5" w14:textId="77777777" w:rsidR="009C0D93" w:rsidRPr="00E642E6" w:rsidRDefault="009C0D93" w:rsidP="00D92B0F">
      <w:pPr>
        <w:pStyle w:val="Textonotapie"/>
        <w:ind w:left="0" w:firstLine="0"/>
        <w:rPr>
          <w:rFonts w:ascii="ITC Avant Garde" w:hAnsi="ITC Avant Garde"/>
          <w:szCs w:val="16"/>
          <w:lang w:val="es-MX"/>
        </w:rPr>
      </w:pPr>
      <w:r w:rsidRPr="00E327AB">
        <w:rPr>
          <w:rStyle w:val="Refdenotaalpie"/>
          <w:rFonts w:ascii="ITC Avant Garde" w:hAnsi="ITC Avant Garde"/>
          <w:sz w:val="16"/>
          <w:szCs w:val="16"/>
        </w:rPr>
        <w:footnoteRef/>
      </w:r>
      <w:r w:rsidRPr="00E642E6">
        <w:rPr>
          <w:rFonts w:ascii="ITC Avant Garde" w:hAnsi="ITC Avant Garde"/>
          <w:szCs w:val="16"/>
          <w:lang w:val="es-MX"/>
        </w:rPr>
        <w:t xml:space="preserve"> Véase la sección ‘4.2 Análisis geográfico’ del documento metodológico incluidos en los documentos de la presente consulta pública.</w:t>
      </w:r>
    </w:p>
  </w:footnote>
  <w:footnote w:id="7">
    <w:p w14:paraId="3A5807E7" w14:textId="4EE13D21" w:rsidR="009C0D93" w:rsidRPr="007D54E4" w:rsidRDefault="009C0D93" w:rsidP="006E70A2">
      <w:pPr>
        <w:pStyle w:val="Textonotapie"/>
        <w:ind w:left="0" w:firstLine="0"/>
        <w:rPr>
          <w:rFonts w:ascii="ITC Avant Garde" w:hAnsi="ITC Avant Garde"/>
          <w:color w:val="4F81BD" w:themeColor="accent1"/>
          <w:szCs w:val="16"/>
          <w:u w:val="single"/>
          <w:lang w:val="es-MX"/>
        </w:rPr>
      </w:pPr>
      <w:r w:rsidRPr="00E327AB">
        <w:rPr>
          <w:rStyle w:val="Refdenotaalpie"/>
          <w:rFonts w:ascii="ITC Avant Garde" w:hAnsi="ITC Avant Garde"/>
          <w:sz w:val="16"/>
          <w:szCs w:val="16"/>
        </w:rPr>
        <w:footnoteRef/>
      </w:r>
      <w:r w:rsidRPr="00A379AA">
        <w:rPr>
          <w:rFonts w:ascii="ITC Avant Garde" w:hAnsi="ITC Avant Garde"/>
          <w:szCs w:val="16"/>
          <w:lang w:val="es-MX"/>
        </w:rPr>
        <w:t xml:space="preserve"> Por ejemplo, la adopción tanto la Unión Europea como la Comunidad de Estados Independientes no superó en el periodo 2010-2015 el 30% de adopción, como se muestra en la sección 4.1.1 del documento metodológico sujeto a consulta</w:t>
      </w:r>
      <w:r>
        <w:rPr>
          <w:rFonts w:ascii="ITC Avant Garde" w:hAnsi="ITC Avant Garde"/>
          <w:szCs w:val="16"/>
          <w:lang w:val="es-MX"/>
        </w:rPr>
        <w:t xml:space="preserve"> (</w:t>
      </w:r>
      <w:r w:rsidRPr="005514AA">
        <w:rPr>
          <w:rFonts w:ascii="ITC Avant Garde" w:hAnsi="ITC Avant Garde"/>
          <w:lang w:val="es-MX"/>
        </w:rPr>
        <w:t>Véanse las páginas 2</w:t>
      </w:r>
      <w:r>
        <w:rPr>
          <w:rFonts w:ascii="ITC Avant Garde" w:hAnsi="ITC Avant Garde"/>
          <w:lang w:val="es-MX"/>
        </w:rPr>
        <w:t>2 a 25</w:t>
      </w:r>
      <w:r w:rsidRPr="005514AA">
        <w:rPr>
          <w:rFonts w:ascii="ITC Avant Garde" w:hAnsi="ITC Avant Garde"/>
          <w:lang w:val="es-MX"/>
        </w:rPr>
        <w:t xml:space="preserve"> del documento: </w:t>
      </w:r>
      <w:hyperlink r:id="rId3" w:history="1">
        <w:r w:rsidRPr="007D54E4">
          <w:rPr>
            <w:rStyle w:val="Hipervnculo"/>
            <w:rFonts w:ascii="ITC Avant Garde" w:hAnsi="ITC Avant Garde"/>
            <w:color w:val="4F81BD" w:themeColor="accent1"/>
            <w:u w:val="single"/>
            <w:lang w:val="es-MX"/>
          </w:rPr>
          <w:t>http://www.ift.org.mx/sites/default/files/industria/temasrelevantes/7729/documentos/1.3descripciondelmodelodecostosdereddeaccesodefibraopticadelaep.docx</w:t>
        </w:r>
      </w:hyperlink>
      <w:r w:rsidRPr="007D54E4">
        <w:rPr>
          <w:rFonts w:ascii="ITC Avant Garde" w:hAnsi="ITC Avant Garde"/>
          <w:color w:val="4F81BD" w:themeColor="accent1"/>
          <w:u w:val="single"/>
          <w:lang w:val="es-MX"/>
        </w:rPr>
        <w:t>)</w:t>
      </w:r>
    </w:p>
  </w:footnote>
  <w:footnote w:id="8">
    <w:p w14:paraId="5E340DD8" w14:textId="5E911DA8" w:rsidR="009C0D93" w:rsidRPr="00A379AA" w:rsidRDefault="009C0D93" w:rsidP="00A379AA">
      <w:pPr>
        <w:pStyle w:val="Textonotapie"/>
        <w:rPr>
          <w:rFonts w:ascii="ITC Avant Garde" w:hAnsi="ITC Avant Garde"/>
          <w:szCs w:val="16"/>
          <w:lang w:val="es-MX"/>
        </w:rPr>
      </w:pPr>
      <w:r w:rsidRPr="007B56A9">
        <w:rPr>
          <w:rStyle w:val="Refdenotaalpie"/>
          <w:rFonts w:ascii="ITC Avant Garde" w:hAnsi="ITC Avant Garde"/>
          <w:sz w:val="16"/>
          <w:szCs w:val="16"/>
        </w:rPr>
        <w:footnoteRef/>
      </w:r>
      <w:r w:rsidRPr="007B56A9">
        <w:rPr>
          <w:rFonts w:ascii="ITC Avant Garde" w:hAnsi="ITC Avant Garde"/>
          <w:szCs w:val="16"/>
          <w:lang w:val="es-MX"/>
        </w:rPr>
        <w:t xml:space="preserve"> Véase la dirección electrónica:</w:t>
      </w:r>
      <w:r w:rsidRPr="007D54E4">
        <w:rPr>
          <w:rFonts w:ascii="ITC Avant Garde" w:hAnsi="ITC Avant Garde"/>
          <w:szCs w:val="16"/>
          <w:u w:val="single"/>
          <w:lang w:val="es-MX"/>
        </w:rPr>
        <w:t xml:space="preserve"> </w:t>
      </w:r>
      <w:hyperlink r:id="rId4" w:history="1">
        <w:r w:rsidRPr="007D54E4">
          <w:rPr>
            <w:rStyle w:val="Hipervnculo"/>
            <w:rFonts w:ascii="ITC Avant Garde" w:hAnsi="ITC Avant Garde"/>
            <w:color w:val="4F81BD" w:themeColor="accent1"/>
            <w:szCs w:val="16"/>
            <w:u w:val="single"/>
            <w:lang w:val="es-MX"/>
          </w:rPr>
          <w:t>http://www.inegi.org.mx/est/contenidos/proyectos/cn/ai/</w:t>
        </w:r>
      </w:hyperlink>
      <w:r w:rsidRPr="00A379AA">
        <w:rPr>
          <w:rFonts w:ascii="ITC Avant Garde" w:hAnsi="ITC Avant Garde"/>
          <w:szCs w:val="16"/>
          <w:lang w:val="es-MX"/>
        </w:rPr>
        <w:t>.</w:t>
      </w:r>
    </w:p>
  </w:footnote>
  <w:footnote w:id="9">
    <w:p w14:paraId="2FBFF8F8" w14:textId="7883EB5A" w:rsidR="009C0D93" w:rsidRPr="007D54E4" w:rsidRDefault="009C0D93" w:rsidP="00FB7221">
      <w:pPr>
        <w:pStyle w:val="Textonotapie"/>
        <w:ind w:left="0" w:firstLine="0"/>
        <w:rPr>
          <w:rFonts w:ascii="ITC Avant Garde" w:hAnsi="ITC Avant Garde"/>
          <w:lang w:val="es-MX"/>
        </w:rPr>
      </w:pPr>
      <w:r>
        <w:rPr>
          <w:rStyle w:val="Refdenotaalpie"/>
        </w:rPr>
        <w:footnoteRef/>
      </w:r>
      <w:r w:rsidRPr="007D54E4">
        <w:rPr>
          <w:lang w:val="es-MX"/>
        </w:rPr>
        <w:t xml:space="preserve"> </w:t>
      </w:r>
      <w:r w:rsidRPr="007D54E4">
        <w:rPr>
          <w:rFonts w:ascii="ITC Avant Garde" w:hAnsi="ITC Avant Garde"/>
          <w:lang w:val="es-MX"/>
        </w:rPr>
        <w:t xml:space="preserve">Véanse las páginas 27 a 33 del documento: </w:t>
      </w:r>
      <w:hyperlink r:id="rId5" w:history="1">
        <w:r w:rsidRPr="007D54E4">
          <w:rPr>
            <w:rStyle w:val="Hipervnculo"/>
            <w:rFonts w:ascii="ITC Avant Garde" w:hAnsi="ITC Avant Garde"/>
            <w:color w:val="4F81BD" w:themeColor="accent1"/>
            <w:u w:val="single"/>
            <w:lang w:val="es-MX"/>
          </w:rPr>
          <w:t>http://www.ift.org.mx/sites/default/files/industria/temasrelevantes/7729/documentos/1.3descripciondelmodelodecostosdereddeaccesodefibraopticadelaep.docx</w:t>
        </w:r>
      </w:hyperlink>
      <w:r w:rsidRPr="007D54E4">
        <w:rPr>
          <w:rFonts w:ascii="ITC Avant Garde" w:hAnsi="ITC Avant Garde"/>
          <w:color w:val="4F81BD" w:themeColor="accent1"/>
          <w:lang w:val="es-MX"/>
        </w:rPr>
        <w:t xml:space="preserve"> </w:t>
      </w:r>
    </w:p>
  </w:footnote>
  <w:footnote w:id="10">
    <w:p w14:paraId="4B7C554F" w14:textId="31F300BE" w:rsidR="009C0D93" w:rsidRPr="00A379AA" w:rsidRDefault="009C0D93" w:rsidP="00A379AA">
      <w:pPr>
        <w:pStyle w:val="Textonotapie"/>
        <w:rPr>
          <w:rFonts w:ascii="ITC Avant Garde" w:hAnsi="ITC Avant Garde"/>
          <w:szCs w:val="16"/>
          <w:lang w:val="es-MX"/>
        </w:rPr>
      </w:pPr>
      <w:r w:rsidRPr="00E327AB">
        <w:rPr>
          <w:rStyle w:val="Refdenotaalpie"/>
          <w:rFonts w:ascii="ITC Avant Garde" w:hAnsi="ITC Avant Garde"/>
          <w:sz w:val="16"/>
          <w:szCs w:val="16"/>
        </w:rPr>
        <w:footnoteRef/>
      </w:r>
      <w:r w:rsidRPr="00A379AA">
        <w:rPr>
          <w:rFonts w:ascii="ITC Avant Garde" w:hAnsi="ITC Avant Garde"/>
          <w:szCs w:val="16"/>
          <w:lang w:val="es-MX"/>
        </w:rPr>
        <w:t xml:space="preserve"> </w:t>
      </w:r>
      <w:r>
        <w:rPr>
          <w:rFonts w:ascii="ITC Avant Garde" w:hAnsi="ITC Avant Garde"/>
          <w:szCs w:val="16"/>
          <w:lang w:val="es-MX"/>
        </w:rPr>
        <w:t>Este término se refiere a la c</w:t>
      </w:r>
      <w:r w:rsidRPr="00A379AA">
        <w:rPr>
          <w:rFonts w:ascii="ITC Avant Garde" w:hAnsi="ITC Avant Garde"/>
          <w:szCs w:val="16"/>
          <w:lang w:val="es-MX"/>
        </w:rPr>
        <w:t>apacidad de transmitir información en ambas direcciones (cliente-red y viceversa).</w:t>
      </w:r>
    </w:p>
  </w:footnote>
  <w:footnote w:id="11">
    <w:p w14:paraId="34A433CB" w14:textId="77777777" w:rsidR="009C0D93" w:rsidRPr="00A379AA" w:rsidRDefault="009C0D93" w:rsidP="00A379AA">
      <w:pPr>
        <w:pStyle w:val="Textonotapie"/>
        <w:rPr>
          <w:rFonts w:ascii="ITC Avant Garde" w:hAnsi="ITC Avant Garde"/>
          <w:szCs w:val="16"/>
          <w:lang w:val="es-MX"/>
        </w:rPr>
      </w:pPr>
      <w:r w:rsidRPr="00E327AB">
        <w:rPr>
          <w:rStyle w:val="Refdenotaalpie"/>
          <w:rFonts w:ascii="ITC Avant Garde" w:hAnsi="ITC Avant Garde"/>
          <w:sz w:val="16"/>
          <w:szCs w:val="16"/>
        </w:rPr>
        <w:footnoteRef/>
      </w:r>
      <w:r w:rsidRPr="00A379AA">
        <w:rPr>
          <w:rFonts w:ascii="ITC Avant Garde" w:hAnsi="ITC Avant Garde"/>
          <w:szCs w:val="16"/>
          <w:lang w:val="es-MX"/>
        </w:rPr>
        <w:t xml:space="preserve"> Comisión Nacional de los Mercados y la Competencia, regulador español.</w:t>
      </w:r>
    </w:p>
  </w:footnote>
  <w:footnote w:id="12">
    <w:p w14:paraId="640AC3F7" w14:textId="07808983" w:rsidR="009C0D93" w:rsidRPr="00A379AA" w:rsidRDefault="009C0D93" w:rsidP="0001732F">
      <w:pPr>
        <w:pStyle w:val="Textonotapie"/>
        <w:ind w:left="0" w:firstLine="0"/>
        <w:rPr>
          <w:rFonts w:ascii="ITC Avant Garde" w:hAnsi="ITC Avant Garde"/>
          <w:szCs w:val="16"/>
          <w:lang w:val="es-MX"/>
        </w:rPr>
      </w:pPr>
      <w:r w:rsidRPr="00E327AB">
        <w:rPr>
          <w:rStyle w:val="Refdenotaalpie"/>
          <w:rFonts w:ascii="ITC Avant Garde" w:hAnsi="ITC Avant Garde"/>
          <w:sz w:val="16"/>
          <w:szCs w:val="16"/>
        </w:rPr>
        <w:footnoteRef/>
      </w:r>
      <w:r w:rsidRPr="00A379AA">
        <w:rPr>
          <w:rFonts w:ascii="ITC Avant Garde" w:hAnsi="ITC Avant Garde"/>
          <w:szCs w:val="16"/>
          <w:lang w:val="es-MX"/>
        </w:rPr>
        <w:t xml:space="preserve"> Nótese que el uso de Macros está plenamente extendido en la implementación de modelos </w:t>
      </w:r>
      <w:r>
        <w:rPr>
          <w:rFonts w:ascii="ITC Avant Garde" w:hAnsi="ITC Avant Garde"/>
          <w:szCs w:val="16"/>
          <w:lang w:val="es-MX"/>
        </w:rPr>
        <w:t>bajo el enfoque teórico ascendente (</w:t>
      </w:r>
      <w:r w:rsidRPr="00A379AA">
        <w:rPr>
          <w:rFonts w:ascii="ITC Avant Garde" w:hAnsi="ITC Avant Garde"/>
          <w:i/>
          <w:szCs w:val="16"/>
          <w:lang w:val="es-MX"/>
        </w:rPr>
        <w:t>bottom-up</w:t>
      </w:r>
      <w:r>
        <w:rPr>
          <w:rFonts w:ascii="ITC Avant Garde" w:hAnsi="ITC Avant Garde"/>
          <w:i/>
          <w:szCs w:val="16"/>
          <w:lang w:val="es-MX"/>
        </w:rPr>
        <w:t xml:space="preserve">, </w:t>
      </w:r>
      <w:r>
        <w:rPr>
          <w:rFonts w:ascii="ITC Avant Garde" w:hAnsi="ITC Avant Garde"/>
          <w:szCs w:val="16"/>
          <w:lang w:val="es-MX"/>
        </w:rPr>
        <w:t>por sus siglas en inglés)</w:t>
      </w:r>
      <w:r w:rsidRPr="00A379AA">
        <w:rPr>
          <w:rFonts w:ascii="ITC Avant Garde" w:hAnsi="ITC Avant Garde"/>
          <w:szCs w:val="16"/>
          <w:lang w:val="es-MX"/>
        </w:rPr>
        <w:t xml:space="preserve"> de costos por </w:t>
      </w:r>
      <w:r>
        <w:rPr>
          <w:rFonts w:ascii="ITC Avant Garde" w:hAnsi="ITC Avant Garde"/>
          <w:szCs w:val="16"/>
          <w:lang w:val="es-MX"/>
        </w:rPr>
        <w:t>autoridades</w:t>
      </w:r>
      <w:r w:rsidRPr="00A379AA">
        <w:rPr>
          <w:rFonts w:ascii="ITC Avant Garde" w:hAnsi="ITC Avant Garde"/>
          <w:szCs w:val="16"/>
          <w:lang w:val="es-MX"/>
        </w:rPr>
        <w:t xml:space="preserve"> </w:t>
      </w:r>
      <w:r>
        <w:rPr>
          <w:rFonts w:ascii="ITC Avant Garde" w:hAnsi="ITC Avant Garde"/>
          <w:szCs w:val="16"/>
          <w:lang w:val="es-MX"/>
        </w:rPr>
        <w:t>regulatorias a nivel internacional</w:t>
      </w:r>
      <w:r w:rsidRPr="00A379AA">
        <w:rPr>
          <w:rFonts w:ascii="ITC Avant Garde" w:hAnsi="ITC Avant Garde"/>
          <w:szCs w:val="16"/>
          <w:lang w:val="es-MX"/>
        </w:rPr>
        <w:t xml:space="preserve"> y el código de implementación de dichas Macros </w:t>
      </w:r>
      <w:r>
        <w:rPr>
          <w:rFonts w:ascii="ITC Avant Garde" w:hAnsi="ITC Avant Garde"/>
          <w:szCs w:val="16"/>
          <w:lang w:val="es-MX"/>
        </w:rPr>
        <w:t xml:space="preserve">es </w:t>
      </w:r>
      <w:r w:rsidRPr="00A379AA">
        <w:rPr>
          <w:rFonts w:ascii="ITC Avant Garde" w:hAnsi="ITC Avant Garde"/>
          <w:szCs w:val="16"/>
          <w:lang w:val="es-MX"/>
        </w:rPr>
        <w:t>público para que puedan ser validadas</w:t>
      </w:r>
      <w:r>
        <w:rPr>
          <w:rFonts w:ascii="ITC Avant Garde" w:hAnsi="ITC Avant Garde"/>
          <w:szCs w:val="16"/>
          <w:lang w:val="es-MX"/>
        </w:rPr>
        <w:t xml:space="preserve"> (es decir, es visible para analizarse y, de hecho, se puede compilar sin ninguna restricción, tal como solicitudes de contraseña o cifrado)</w:t>
      </w:r>
      <w:r w:rsidRPr="00A379AA">
        <w:rPr>
          <w:rFonts w:ascii="ITC Avant Garde" w:hAnsi="ITC Avant Garde"/>
          <w:szCs w:val="16"/>
          <w:lang w:val="es-MX"/>
        </w:rPr>
        <w:t>.</w:t>
      </w:r>
    </w:p>
  </w:footnote>
  <w:footnote w:id="13">
    <w:p w14:paraId="0C0CCF06" w14:textId="77777777" w:rsidR="009C0D93" w:rsidRPr="00E327AB" w:rsidRDefault="009C0D93" w:rsidP="0001732F">
      <w:pPr>
        <w:pStyle w:val="Textonotapie"/>
        <w:ind w:left="0" w:firstLine="0"/>
        <w:rPr>
          <w:rFonts w:ascii="ITC Avant Garde" w:hAnsi="ITC Avant Garde"/>
          <w:szCs w:val="16"/>
          <w:lang w:val="es-MX"/>
        </w:rPr>
      </w:pPr>
      <w:r w:rsidRPr="00E327AB">
        <w:rPr>
          <w:rStyle w:val="Refdenotaalpie"/>
          <w:rFonts w:ascii="ITC Avant Garde" w:hAnsi="ITC Avant Garde"/>
          <w:sz w:val="16"/>
          <w:szCs w:val="16"/>
        </w:rPr>
        <w:footnoteRef/>
      </w:r>
      <w:r w:rsidRPr="00A379AA">
        <w:rPr>
          <w:rFonts w:ascii="ITC Avant Garde" w:hAnsi="ITC Avant Garde"/>
          <w:szCs w:val="16"/>
          <w:lang w:val="es-MX"/>
        </w:rPr>
        <w:t xml:space="preserve"> </w:t>
      </w:r>
      <w:r w:rsidRPr="00E327AB">
        <w:rPr>
          <w:rFonts w:ascii="ITC Avant Garde" w:hAnsi="ITC Avant Garde"/>
          <w:szCs w:val="16"/>
          <w:lang w:val="es-MX"/>
        </w:rPr>
        <w:t xml:space="preserve">Véase: </w:t>
      </w:r>
      <w:hyperlink r:id="rId6" w:history="1">
        <w:r w:rsidRPr="007D54E4">
          <w:rPr>
            <w:rStyle w:val="Hipervnculo"/>
            <w:rFonts w:ascii="ITC Avant Garde" w:hAnsi="ITC Avant Garde"/>
            <w:color w:val="4F81BD" w:themeColor="accent1"/>
            <w:szCs w:val="16"/>
            <w:u w:val="single"/>
            <w:lang w:val="es-MX"/>
          </w:rPr>
          <w:t>http://www.ift.org.mx/industria/consultas-publicas/consulta-publica-sobre-los-modelos-de-costos-para-determinar-tarifas-de-los-servicios-prestados-por</w:t>
        </w:r>
      </w:hyperlink>
      <w:r w:rsidRPr="007D54E4">
        <w:rPr>
          <w:rFonts w:ascii="ITC Avant Garde" w:hAnsi="ITC Avant Garde"/>
          <w:color w:val="4F81BD" w:themeColor="accent1"/>
          <w:szCs w:val="16"/>
          <w:lang w:val="es-MX"/>
        </w:rPr>
        <w:t xml:space="preserve"> </w:t>
      </w:r>
    </w:p>
  </w:footnote>
  <w:footnote w:id="14">
    <w:p w14:paraId="702D841A" w14:textId="01DD040A" w:rsidR="009C0D93" w:rsidRPr="007D54E4" w:rsidRDefault="009C0D93" w:rsidP="00703103">
      <w:pPr>
        <w:pStyle w:val="Textonotapie"/>
        <w:ind w:left="0" w:firstLine="0"/>
        <w:rPr>
          <w:rFonts w:ascii="ITC Avant Garde" w:hAnsi="ITC Avant Garde"/>
          <w:szCs w:val="16"/>
          <w:lang w:val="es-MX"/>
        </w:rPr>
      </w:pPr>
      <w:r w:rsidRPr="007D54E4">
        <w:rPr>
          <w:rStyle w:val="Refdenotaalpie"/>
          <w:rFonts w:ascii="ITC Avant Garde" w:hAnsi="ITC Avant Garde"/>
          <w:sz w:val="16"/>
          <w:szCs w:val="16"/>
        </w:rPr>
        <w:footnoteRef/>
      </w:r>
      <w:r w:rsidRPr="007D54E4">
        <w:rPr>
          <w:rFonts w:ascii="ITC Avant Garde" w:hAnsi="ITC Avant Garde"/>
          <w:szCs w:val="16"/>
          <w:lang w:val="es-MX"/>
        </w:rPr>
        <w:t xml:space="preserve"> Disponible a través de la siguiente dirección electrónica: </w:t>
      </w:r>
      <w:hyperlink r:id="rId7" w:history="1">
        <w:r w:rsidRPr="007D54E4">
          <w:rPr>
            <w:rStyle w:val="Hipervnculo"/>
            <w:rFonts w:ascii="ITC Avant Garde" w:hAnsi="ITC Avant Garde"/>
            <w:color w:val="4F81BD" w:themeColor="accent1"/>
            <w:szCs w:val="16"/>
            <w:u w:val="single"/>
            <w:lang w:val="es-MX"/>
          </w:rPr>
          <w:t>https://www.itu.int/rec/dologin_pub.asp?lang=s&amp;id=T-REC-G.984.1-200803-I!!PDF-E&amp;type=items</w:t>
        </w:r>
      </w:hyperlink>
    </w:p>
  </w:footnote>
  <w:footnote w:id="15">
    <w:p w14:paraId="62FA7187" w14:textId="472B8B32" w:rsidR="009C0D93" w:rsidRPr="007D54E4" w:rsidRDefault="009C0D93" w:rsidP="00703103">
      <w:pPr>
        <w:pStyle w:val="Textonotapie"/>
        <w:ind w:left="0" w:firstLine="0"/>
        <w:rPr>
          <w:lang w:val="es-MX"/>
        </w:rPr>
      </w:pPr>
      <w:r>
        <w:rPr>
          <w:rStyle w:val="Refdenotaalpie"/>
        </w:rPr>
        <w:footnoteRef/>
      </w:r>
      <w:r w:rsidRPr="007D54E4">
        <w:rPr>
          <w:rFonts w:ascii="ITC Avant Garde" w:hAnsi="ITC Avant Garde"/>
          <w:lang w:val="es-MX"/>
        </w:rPr>
        <w:t xml:space="preserve">Véanse las páginas 34 a 47 del documento: </w:t>
      </w:r>
      <w:r w:rsidRPr="007D54E4">
        <w:rPr>
          <w:rFonts w:ascii="ITC Avant Garde" w:hAnsi="ITC Avant Garde"/>
          <w:color w:val="4F81BD" w:themeColor="accent1"/>
          <w:u w:val="single"/>
          <w:lang w:val="es-MX"/>
        </w:rPr>
        <w:t>http://www.ift.org.mx/sites/default/files/industria/temasrelevantes/7729/documentos/1.3descripciondelmodelodecostosdereddeaccesodefibraopticadelaep.docx</w:t>
      </w:r>
    </w:p>
  </w:footnote>
  <w:footnote w:id="16">
    <w:p w14:paraId="626EC90F" w14:textId="3A7339C4" w:rsidR="009C0D93" w:rsidRPr="00E327AB" w:rsidRDefault="009C0D93" w:rsidP="00F534F7">
      <w:pPr>
        <w:pStyle w:val="Textonotapie"/>
        <w:ind w:left="0" w:firstLine="0"/>
        <w:rPr>
          <w:rFonts w:ascii="ITC Avant Garde" w:hAnsi="ITC Avant Garde"/>
          <w:szCs w:val="16"/>
          <w:lang w:val="es-MX"/>
        </w:rPr>
      </w:pPr>
      <w:r w:rsidRPr="00E327AB">
        <w:rPr>
          <w:rStyle w:val="Refdenotaalpie"/>
          <w:rFonts w:ascii="ITC Avant Garde" w:hAnsi="ITC Avant Garde"/>
          <w:sz w:val="16"/>
          <w:szCs w:val="16"/>
        </w:rPr>
        <w:footnoteRef/>
      </w:r>
      <w:r w:rsidRPr="00A379AA">
        <w:rPr>
          <w:rFonts w:ascii="ITC Avant Garde" w:hAnsi="ITC Avant Garde"/>
          <w:szCs w:val="16"/>
          <w:lang w:val="es-MX"/>
        </w:rPr>
        <w:t xml:space="preserve"> </w:t>
      </w:r>
      <w:r>
        <w:rPr>
          <w:rFonts w:ascii="ITC Avant Garde" w:hAnsi="ITC Avant Garde"/>
          <w:szCs w:val="16"/>
          <w:lang w:val="es-MX"/>
        </w:rPr>
        <w:t>Cabe destacar que e</w:t>
      </w:r>
      <w:r w:rsidRPr="00E327AB">
        <w:rPr>
          <w:rFonts w:ascii="ITC Avant Garde" w:hAnsi="ITC Avant Garde"/>
          <w:szCs w:val="16"/>
          <w:lang w:val="es-MX"/>
        </w:rPr>
        <w:t xml:space="preserve">n la consulta pública, el participante (Televisa) </w:t>
      </w:r>
      <w:r>
        <w:rPr>
          <w:rFonts w:ascii="ITC Avant Garde" w:hAnsi="ITC Avant Garde"/>
          <w:szCs w:val="16"/>
          <w:lang w:val="es-MX"/>
        </w:rPr>
        <w:t>basó su respuesta en un</w:t>
      </w:r>
      <w:r w:rsidRPr="00E327AB">
        <w:rPr>
          <w:rFonts w:ascii="ITC Avant Garde" w:hAnsi="ITC Avant Garde"/>
          <w:szCs w:val="16"/>
          <w:lang w:val="es-MX"/>
        </w:rPr>
        <w:t xml:space="preserve"> compar</w:t>
      </w:r>
      <w:r>
        <w:rPr>
          <w:rFonts w:ascii="ITC Avant Garde" w:hAnsi="ITC Avant Garde"/>
          <w:szCs w:val="16"/>
          <w:lang w:val="es-MX"/>
        </w:rPr>
        <w:t>ativo de</w:t>
      </w:r>
      <w:r w:rsidRPr="00E327AB">
        <w:rPr>
          <w:rFonts w:ascii="ITC Avant Garde" w:hAnsi="ITC Avant Garde"/>
          <w:szCs w:val="16"/>
          <w:lang w:val="es-MX"/>
        </w:rPr>
        <w:t xml:space="preserve"> los diagramas de una red primaria y secundaria (el del Instituto) con un diagrama de únicamente red primaria (el de CNMC)</w:t>
      </w:r>
      <w:r>
        <w:rPr>
          <w:rFonts w:ascii="ITC Avant Garde" w:hAnsi="ITC Avant Garde"/>
          <w:szCs w:val="16"/>
          <w:lang w:val="es-MX"/>
        </w:rPr>
        <w:t>, razones por las cuales, no se consideran precisos los argumentos vertidos por este.</w:t>
      </w:r>
    </w:p>
  </w:footnote>
  <w:footnote w:id="17">
    <w:p w14:paraId="605695BE" w14:textId="1FE82E3E" w:rsidR="009C0D93" w:rsidRPr="00E327AB" w:rsidRDefault="009C0D93" w:rsidP="00A72495">
      <w:pPr>
        <w:pStyle w:val="Textonotapie"/>
        <w:ind w:left="0" w:firstLine="0"/>
        <w:rPr>
          <w:rFonts w:ascii="ITC Avant Garde" w:hAnsi="ITC Avant Garde"/>
          <w:szCs w:val="16"/>
          <w:lang w:val="es-MX"/>
        </w:rPr>
      </w:pPr>
      <w:r w:rsidRPr="00E327AB">
        <w:rPr>
          <w:rStyle w:val="Refdenotaalpie"/>
          <w:rFonts w:ascii="ITC Avant Garde" w:hAnsi="ITC Avant Garde"/>
          <w:sz w:val="16"/>
          <w:szCs w:val="16"/>
        </w:rPr>
        <w:footnoteRef/>
      </w:r>
      <w:r w:rsidRPr="00A379AA">
        <w:rPr>
          <w:rFonts w:ascii="ITC Avant Garde" w:hAnsi="ITC Avant Garde"/>
          <w:szCs w:val="16"/>
          <w:lang w:val="es-MX"/>
        </w:rPr>
        <w:t xml:space="preserve"> </w:t>
      </w:r>
      <w:r w:rsidRPr="00E327AB">
        <w:rPr>
          <w:rFonts w:ascii="ITC Avant Garde" w:hAnsi="ITC Avant Garde"/>
          <w:szCs w:val="16"/>
          <w:lang w:val="es-MX"/>
        </w:rPr>
        <w:t>Véase</w:t>
      </w:r>
      <w:r>
        <w:rPr>
          <w:rFonts w:ascii="ITC Avant Garde" w:hAnsi="ITC Avant Garde"/>
          <w:szCs w:val="16"/>
          <w:lang w:val="es-MX"/>
        </w:rPr>
        <w:t xml:space="preserve"> la siguiente dirección electrónica</w:t>
      </w:r>
      <w:r w:rsidRPr="00E327AB">
        <w:rPr>
          <w:rFonts w:ascii="ITC Avant Garde" w:hAnsi="ITC Avant Garde"/>
          <w:szCs w:val="16"/>
          <w:lang w:val="es-MX"/>
        </w:rPr>
        <w:t xml:space="preserve">: </w:t>
      </w:r>
      <w:hyperlink r:id="rId8" w:history="1">
        <w:r w:rsidRPr="007D54E4">
          <w:rPr>
            <w:rStyle w:val="Hipervnculo"/>
            <w:rFonts w:ascii="ITC Avant Garde" w:hAnsi="ITC Avant Garde"/>
            <w:color w:val="4F81BD" w:themeColor="accent1"/>
            <w:szCs w:val="16"/>
            <w:u w:val="single"/>
            <w:lang w:val="es-MX"/>
          </w:rPr>
          <w:t>http://www.ift.org.mx/industria/consultas-publicas/consulta-publica-sobre-los-modelos-de-costos-para-determinar-tarifas-de-los-servicios-prestados-por</w:t>
        </w:r>
      </w:hyperlink>
      <w:r w:rsidRPr="007D54E4">
        <w:rPr>
          <w:rFonts w:ascii="ITC Avant Garde" w:hAnsi="ITC Avant Garde"/>
          <w:color w:val="4F81BD" w:themeColor="accent1"/>
          <w:szCs w:val="16"/>
          <w:lang w:val="es-MX"/>
        </w:rPr>
        <w:t xml:space="preserve"> </w:t>
      </w:r>
    </w:p>
  </w:footnote>
  <w:footnote w:id="18">
    <w:p w14:paraId="08241CFF" w14:textId="77777777" w:rsidR="009C0D93" w:rsidRPr="00A379AA" w:rsidRDefault="009C0D93" w:rsidP="00E92154">
      <w:pPr>
        <w:pStyle w:val="Textonotapie"/>
        <w:ind w:left="0" w:firstLine="0"/>
        <w:rPr>
          <w:rFonts w:ascii="ITC Avant Garde" w:hAnsi="ITC Avant Garde"/>
          <w:szCs w:val="16"/>
          <w:lang w:val="es-MX"/>
        </w:rPr>
      </w:pPr>
      <w:r w:rsidRPr="00E327AB">
        <w:rPr>
          <w:rStyle w:val="Refdenotaalpie"/>
          <w:rFonts w:ascii="ITC Avant Garde" w:hAnsi="ITC Avant Garde"/>
          <w:sz w:val="16"/>
          <w:szCs w:val="16"/>
        </w:rPr>
        <w:footnoteRef/>
      </w:r>
      <w:r w:rsidRPr="00A379AA">
        <w:rPr>
          <w:rFonts w:ascii="ITC Avant Garde" w:hAnsi="ITC Avant Garde"/>
          <w:szCs w:val="16"/>
          <w:lang w:val="es-MX"/>
        </w:rPr>
        <w:t xml:space="preserve"> En concreto, la implementación de esta metodología puede revisarse en la hoja “11C CALC SERV COM RED” del modelo.</w:t>
      </w:r>
    </w:p>
  </w:footnote>
  <w:footnote w:id="19">
    <w:p w14:paraId="080040A9" w14:textId="713B9CA5" w:rsidR="009C0D93" w:rsidRPr="007D54E4" w:rsidRDefault="009C0D93" w:rsidP="00BA2FCE">
      <w:pPr>
        <w:pStyle w:val="Textonotapie"/>
        <w:ind w:left="0" w:firstLine="0"/>
        <w:rPr>
          <w:rFonts w:ascii="ITC Avant Garde" w:hAnsi="ITC Avant Garde"/>
          <w:lang w:val="es-MX"/>
        </w:rPr>
      </w:pPr>
      <w:r w:rsidRPr="007D54E4">
        <w:rPr>
          <w:rStyle w:val="Refdenotaalpie"/>
          <w:rFonts w:ascii="ITC Avant Garde" w:hAnsi="ITC Avant Garde"/>
        </w:rPr>
        <w:footnoteRef/>
      </w:r>
      <w:r w:rsidRPr="007D54E4">
        <w:rPr>
          <w:rFonts w:ascii="ITC Avant Garde" w:hAnsi="ITC Avant Garde"/>
          <w:lang w:val="es-MX"/>
        </w:rPr>
        <w:t xml:space="preserve"> Disponible a través de la siguiente dirección electrónica: http://www.ift.org.mx/sites/default/files/contenidogeneral/politica-regulatoria/condicionestecnicasminimasytarifasdeinterconexion2017.pdf#overlay-context=politica-regulatoria/condiciones-tecnicas-minimas-y-modelo-de-costos-utilizado-para-determinar-las-tarifas-de</w:t>
      </w:r>
    </w:p>
  </w:footnote>
  <w:footnote w:id="20">
    <w:p w14:paraId="5AB0DEEB" w14:textId="77777777" w:rsidR="009C0D93" w:rsidRPr="00E327AB" w:rsidRDefault="009C0D93" w:rsidP="00336EE3">
      <w:pPr>
        <w:pStyle w:val="Textonotapie"/>
        <w:ind w:left="0" w:firstLine="0"/>
        <w:rPr>
          <w:rFonts w:ascii="ITC Avant Garde" w:hAnsi="ITC Avant Garde"/>
          <w:szCs w:val="16"/>
          <w:lang w:val="es-MX"/>
        </w:rPr>
      </w:pPr>
      <w:r w:rsidRPr="00E327AB">
        <w:rPr>
          <w:rStyle w:val="Refdenotaalpie"/>
          <w:rFonts w:ascii="ITC Avant Garde" w:hAnsi="ITC Avant Garde"/>
          <w:sz w:val="16"/>
          <w:szCs w:val="16"/>
        </w:rPr>
        <w:footnoteRef/>
      </w:r>
      <w:r w:rsidRPr="004C4AC7">
        <w:rPr>
          <w:rFonts w:ascii="ITC Avant Garde" w:hAnsi="ITC Avant Garde"/>
          <w:szCs w:val="16"/>
          <w:lang w:val="es-MX"/>
        </w:rPr>
        <w:t xml:space="preserve"> </w:t>
      </w:r>
      <w:r w:rsidRPr="00E327AB">
        <w:rPr>
          <w:rFonts w:ascii="ITC Avant Garde" w:hAnsi="ITC Avant Garde"/>
          <w:szCs w:val="16"/>
          <w:lang w:val="es-MX"/>
        </w:rPr>
        <w:t xml:space="preserve">Véase: </w:t>
      </w:r>
      <w:hyperlink r:id="rId9" w:history="1">
        <w:r w:rsidRPr="00E327AB">
          <w:rPr>
            <w:rStyle w:val="Hipervnculo"/>
            <w:rFonts w:ascii="ITC Avant Garde" w:hAnsi="ITC Avant Garde"/>
            <w:szCs w:val="16"/>
            <w:lang w:val="es-MX"/>
          </w:rPr>
          <w:t>http://www.ift.org.mx/industria/consultas-publicas/consulta-publica-sobre-los-modelos-de-costos-para-determinar-tarifas-de-los-servicios-prestados-por</w:t>
        </w:r>
      </w:hyperlink>
      <w:r w:rsidRPr="00E327AB">
        <w:rPr>
          <w:rFonts w:ascii="ITC Avant Garde" w:hAnsi="ITC Avant Garde"/>
          <w:szCs w:val="16"/>
          <w:lang w:val="es-MX"/>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901AA" w14:textId="77777777" w:rsidR="009C0D93" w:rsidRPr="00FD6F5F" w:rsidRDefault="009C0D93" w:rsidP="00FD6F5F">
    <w:pPr>
      <w:pStyle w:val="Encabezado"/>
      <w:rPr>
        <w:lang w:val="es-ES"/>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1F00BBA8"/>
    <w:lvl w:ilvl="0">
      <w:start w:val="1"/>
      <w:numFmt w:val="decimal"/>
      <w:pStyle w:val="Listaconnmeros"/>
      <w:lvlText w:val="%1."/>
      <w:lvlJc w:val="left"/>
      <w:pPr>
        <w:tabs>
          <w:tab w:val="num" w:pos="360"/>
        </w:tabs>
        <w:ind w:left="360" w:hanging="360"/>
      </w:pPr>
    </w:lvl>
  </w:abstractNum>
  <w:abstractNum w:abstractNumId="1" w15:restartNumberingAfterBreak="0">
    <w:nsid w:val="FFFFFF89"/>
    <w:multiLevelType w:val="singleLevel"/>
    <w:tmpl w:val="7F64B16A"/>
    <w:lvl w:ilvl="0">
      <w:start w:val="1"/>
      <w:numFmt w:val="bullet"/>
      <w:pStyle w:val="Listaconvietas"/>
      <w:lvlText w:val=""/>
      <w:lvlJc w:val="left"/>
      <w:pPr>
        <w:ind w:left="360" w:hanging="360"/>
      </w:pPr>
      <w:rPr>
        <w:rFonts w:ascii="Symbol" w:hAnsi="Symbol" w:hint="default"/>
        <w:b w:val="0"/>
        <w:i w:val="0"/>
        <w:sz w:val="20"/>
      </w:rPr>
    </w:lvl>
  </w:abstractNum>
  <w:abstractNum w:abstractNumId="2" w15:restartNumberingAfterBreak="0">
    <w:nsid w:val="04BD7627"/>
    <w:multiLevelType w:val="multilevel"/>
    <w:tmpl w:val="DA1E6E9C"/>
    <w:lvl w:ilvl="0">
      <w:start w:val="1"/>
      <w:numFmt w:val="bullet"/>
      <w:pStyle w:val="BulletPoints"/>
      <w:lvlText w:val=""/>
      <w:lvlJc w:val="left"/>
      <w:pPr>
        <w:ind w:left="785" w:hanging="360"/>
      </w:pPr>
      <w:rPr>
        <w:rFonts w:ascii="Symbol" w:hAnsi="Symbol" w:hint="default"/>
        <w:b w:val="0"/>
        <w:bCs w:val="0"/>
        <w:i w:val="0"/>
        <w:iCs w:val="0"/>
        <w:caps w:val="0"/>
        <w:smallCaps w:val="0"/>
        <w:strike w:val="0"/>
        <w:dstrike w:val="0"/>
        <w:noProof w:val="0"/>
        <w:vanish w:val="0"/>
        <w:color w:val="0C2749"/>
        <w:spacing w:val="0"/>
        <w:kern w:val="0"/>
        <w:position w:val="0"/>
        <w:u w:val="none"/>
        <w:effect w:val="none"/>
        <w:vertAlign w:val="baseline"/>
        <w:em w:val="none"/>
        <w:specVanish w:val="0"/>
      </w:rPr>
    </w:lvl>
    <w:lvl w:ilvl="1">
      <w:start w:val="1"/>
      <w:numFmt w:val="bullet"/>
      <w:lvlText w:val=""/>
      <w:lvlJc w:val="left"/>
      <w:pPr>
        <w:tabs>
          <w:tab w:val="num" w:pos="1437"/>
        </w:tabs>
        <w:ind w:left="1437" w:hanging="360"/>
      </w:pPr>
      <w:rPr>
        <w:rFonts w:ascii="Symbol" w:hAnsi="Symbol" w:hint="default"/>
        <w:color w:val="B46566"/>
      </w:rPr>
    </w:lvl>
    <w:lvl w:ilvl="2">
      <w:start w:val="1"/>
      <w:numFmt w:val="bullet"/>
      <w:lvlText w:val="‒"/>
      <w:lvlJc w:val="left"/>
      <w:pPr>
        <w:tabs>
          <w:tab w:val="num" w:pos="2157"/>
        </w:tabs>
        <w:ind w:left="2157" w:hanging="360"/>
      </w:pPr>
      <w:rPr>
        <w:rFonts w:ascii="Verdana" w:hAnsi="Verdana" w:hint="default"/>
        <w:color w:val="B46566"/>
      </w:rPr>
    </w:lvl>
    <w:lvl w:ilvl="3">
      <w:start w:val="1"/>
      <w:numFmt w:val="bullet"/>
      <w:lvlText w:val="‒"/>
      <w:lvlJc w:val="left"/>
      <w:pPr>
        <w:tabs>
          <w:tab w:val="num" w:pos="2877"/>
        </w:tabs>
        <w:ind w:left="2877" w:hanging="360"/>
      </w:pPr>
      <w:rPr>
        <w:rFonts w:ascii="Verdana" w:hAnsi="Verdana" w:hint="default"/>
        <w:color w:val="B46566"/>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hint="default"/>
      </w:rPr>
    </w:lvl>
    <w:lvl w:ilvl="6">
      <w:start w:val="1"/>
      <w:numFmt w:val="bullet"/>
      <w:lvlText w:val=""/>
      <w:lvlJc w:val="left"/>
      <w:pPr>
        <w:tabs>
          <w:tab w:val="num" w:pos="5037"/>
        </w:tabs>
        <w:ind w:left="5037" w:hanging="360"/>
      </w:pPr>
      <w:rPr>
        <w:rFonts w:ascii="Symbol" w:hAnsi="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hint="default"/>
      </w:rPr>
    </w:lvl>
  </w:abstractNum>
  <w:abstractNum w:abstractNumId="3" w15:restartNumberingAfterBreak="0">
    <w:nsid w:val="0DB6421E"/>
    <w:multiLevelType w:val="hybridMultilevel"/>
    <w:tmpl w:val="3ECC6E2E"/>
    <w:lvl w:ilvl="0" w:tplc="5C802E30">
      <w:start w:val="1"/>
      <w:numFmt w:val="bullet"/>
      <w:pStyle w:val="Listaconvietas2"/>
      <w:lvlText w:val="–"/>
      <w:lvlJc w:val="left"/>
      <w:pPr>
        <w:ind w:left="717" w:hanging="360"/>
      </w:pPr>
      <w:rPr>
        <w:rFonts w:ascii="Times New Roman" w:hAnsi="Times New Roman" w:cs="Times New Roman" w:hint="default"/>
        <w:b w:val="0"/>
        <w:i w:val="0"/>
        <w:sz w:val="22"/>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 w15:restartNumberingAfterBreak="0">
    <w:nsid w:val="11801E1A"/>
    <w:multiLevelType w:val="hybridMultilevel"/>
    <w:tmpl w:val="15585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A362D84"/>
    <w:multiLevelType w:val="hybridMultilevel"/>
    <w:tmpl w:val="8AC4234A"/>
    <w:lvl w:ilvl="0" w:tplc="3CA842C0">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29695B"/>
    <w:multiLevelType w:val="multilevel"/>
    <w:tmpl w:val="8C9A8758"/>
    <w:lvl w:ilvl="0">
      <w:start w:val="1"/>
      <w:numFmt w:val="upperLetter"/>
      <w:pStyle w:val="Annex1"/>
      <w:lvlText w:val="Annex %1"/>
      <w:lvlJc w:val="left"/>
      <w:pPr>
        <w:tabs>
          <w:tab w:val="num" w:pos="1134"/>
        </w:tabs>
        <w:ind w:left="0" w:hanging="499"/>
      </w:pPr>
      <w:rPr>
        <w:rFonts w:ascii="Times New Roman" w:hAnsi="Times New Roman" w:hint="default"/>
        <w:b w:val="0"/>
        <w:i w:val="0"/>
        <w:sz w:val="36"/>
      </w:rPr>
    </w:lvl>
    <w:lvl w:ilvl="1">
      <w:start w:val="1"/>
      <w:numFmt w:val="upperLetter"/>
      <w:lvlRestart w:val="0"/>
      <w:pStyle w:val="Annex2"/>
      <w:lvlText w:val="Annex %2"/>
      <w:lvlJc w:val="left"/>
      <w:pPr>
        <w:tabs>
          <w:tab w:val="num" w:pos="709"/>
        </w:tabs>
        <w:ind w:left="0" w:hanging="499"/>
      </w:pPr>
      <w:rPr>
        <w:rFonts w:ascii="Times New Roman Bold" w:hAnsi="Times New Roman Bold" w:hint="default"/>
        <w:b/>
        <w:i w:val="0"/>
        <w:sz w:val="24"/>
      </w:rPr>
    </w:lvl>
    <w:lvl w:ilvl="2">
      <w:start w:val="1"/>
      <w:numFmt w:val="decimal"/>
      <w:pStyle w:val="Annex3"/>
      <w:suff w:val="space"/>
      <w:lvlText w:val="%2.%3"/>
      <w:lvlJc w:val="left"/>
      <w:pPr>
        <w:ind w:left="0" w:hanging="499"/>
      </w:pPr>
      <w:rPr>
        <w:rFonts w:hint="default"/>
      </w:rPr>
    </w:lvl>
    <w:lvl w:ilvl="3">
      <w:start w:val="1"/>
      <w:numFmt w:val="none"/>
      <w:pStyle w:val="Annex4"/>
      <w:suff w:val="nothing"/>
      <w:lvlText w:val=""/>
      <w:lvlJc w:val="left"/>
      <w:pPr>
        <w:ind w:left="0" w:firstLine="0"/>
      </w:pPr>
      <w:rPr>
        <w:rFonts w:hint="default"/>
      </w:rPr>
    </w:lvl>
    <w:lvl w:ilvl="4">
      <w:start w:val="1"/>
      <w:numFmt w:val="lowerLetter"/>
      <w:lvlText w:val="(%5)"/>
      <w:lvlJc w:val="left"/>
      <w:pPr>
        <w:tabs>
          <w:tab w:val="num" w:pos="1134"/>
        </w:tabs>
        <w:ind w:left="0" w:hanging="499"/>
      </w:pPr>
      <w:rPr>
        <w:rFonts w:hint="default"/>
      </w:rPr>
    </w:lvl>
    <w:lvl w:ilvl="5">
      <w:start w:val="1"/>
      <w:numFmt w:val="lowerRoman"/>
      <w:lvlText w:val="(%6)"/>
      <w:lvlJc w:val="left"/>
      <w:pPr>
        <w:tabs>
          <w:tab w:val="num" w:pos="1134"/>
        </w:tabs>
        <w:ind w:left="0" w:hanging="499"/>
      </w:pPr>
      <w:rPr>
        <w:rFonts w:hint="default"/>
      </w:rPr>
    </w:lvl>
    <w:lvl w:ilvl="6">
      <w:start w:val="1"/>
      <w:numFmt w:val="decimal"/>
      <w:lvlText w:val="%7."/>
      <w:lvlJc w:val="left"/>
      <w:pPr>
        <w:tabs>
          <w:tab w:val="num" w:pos="1134"/>
        </w:tabs>
        <w:ind w:left="0" w:hanging="499"/>
      </w:pPr>
      <w:rPr>
        <w:rFonts w:hint="default"/>
      </w:rPr>
    </w:lvl>
    <w:lvl w:ilvl="7">
      <w:start w:val="1"/>
      <w:numFmt w:val="lowerLetter"/>
      <w:lvlText w:val="%8."/>
      <w:lvlJc w:val="left"/>
      <w:pPr>
        <w:tabs>
          <w:tab w:val="num" w:pos="1134"/>
        </w:tabs>
        <w:ind w:left="0" w:hanging="499"/>
      </w:pPr>
      <w:rPr>
        <w:rFonts w:hint="default"/>
      </w:rPr>
    </w:lvl>
    <w:lvl w:ilvl="8">
      <w:start w:val="1"/>
      <w:numFmt w:val="lowerRoman"/>
      <w:lvlText w:val="%9."/>
      <w:lvlJc w:val="left"/>
      <w:pPr>
        <w:tabs>
          <w:tab w:val="num" w:pos="1134"/>
        </w:tabs>
        <w:ind w:left="0" w:hanging="499"/>
      </w:pPr>
      <w:rPr>
        <w:rFonts w:hint="default"/>
      </w:rPr>
    </w:lvl>
  </w:abstractNum>
  <w:abstractNum w:abstractNumId="7" w15:restartNumberingAfterBreak="0">
    <w:nsid w:val="2A7056DA"/>
    <w:multiLevelType w:val="hybridMultilevel"/>
    <w:tmpl w:val="FFC02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3735F4"/>
    <w:multiLevelType w:val="multilevel"/>
    <w:tmpl w:val="010EE54E"/>
    <w:lvl w:ilvl="0">
      <w:start w:val="1"/>
      <w:numFmt w:val="decimal"/>
      <w:pStyle w:val="Ttulo1"/>
      <w:lvlText w:val="%1"/>
      <w:lvlJc w:val="left"/>
      <w:pPr>
        <w:ind w:left="0" w:hanging="499"/>
      </w:pPr>
      <w:rPr>
        <w:rFonts w:ascii="Times New Roman" w:hAnsi="Times New Roman" w:hint="default"/>
        <w:b w:val="0"/>
        <w:i w:val="0"/>
        <w:sz w:val="36"/>
      </w:rPr>
    </w:lvl>
    <w:lvl w:ilvl="1">
      <w:start w:val="1"/>
      <w:numFmt w:val="decimal"/>
      <w:lvlRestart w:val="0"/>
      <w:pStyle w:val="Ttulo2"/>
      <w:lvlText w:val="%2"/>
      <w:lvlJc w:val="left"/>
      <w:pPr>
        <w:ind w:left="0" w:hanging="499"/>
      </w:pPr>
      <w:rPr>
        <w:rFonts w:ascii="ITC Avant Garde" w:hAnsi="ITC Avant Garde" w:hint="default"/>
        <w:b/>
        <w:i w:val="0"/>
        <w:sz w:val="18"/>
        <w:szCs w:val="18"/>
      </w:rPr>
    </w:lvl>
    <w:lvl w:ilvl="2">
      <w:start w:val="1"/>
      <w:numFmt w:val="decimal"/>
      <w:pStyle w:val="Ttulo3"/>
      <w:lvlText w:val="%2.%3"/>
      <w:lvlJc w:val="left"/>
      <w:pPr>
        <w:ind w:left="0" w:hanging="499"/>
      </w:pPr>
      <w:rPr>
        <w:rFonts w:ascii="ITC Avant Garde" w:hAnsi="ITC Avant Garde" w:hint="default"/>
        <w:b/>
        <w:i w:val="0"/>
        <w:sz w:val="18"/>
        <w:szCs w:val="18"/>
      </w:rPr>
    </w:lvl>
    <w:lvl w:ilvl="3">
      <w:start w:val="1"/>
      <w:numFmt w:val="none"/>
      <w:lvlRestart w:val="0"/>
      <w:pStyle w:val="Ttulo4"/>
      <w:suff w:val="nothing"/>
      <w:lvlText w:val=""/>
      <w:lvlJc w:val="left"/>
      <w:pPr>
        <w:ind w:left="0" w:firstLine="0"/>
      </w:pPr>
      <w:rPr>
        <w:rFonts w:ascii="Times New Roman" w:hAnsi="Times New Roman" w:hint="default"/>
        <w:b w:val="0"/>
        <w:i/>
        <w:sz w:val="22"/>
      </w:rPr>
    </w:lvl>
    <w:lvl w:ilvl="4">
      <w:start w:val="1"/>
      <w:numFmt w:val="none"/>
      <w:lvlText w:val=""/>
      <w:lvlJc w:val="left"/>
      <w:pPr>
        <w:ind w:left="0" w:hanging="499"/>
      </w:pPr>
      <w:rPr>
        <w:rFonts w:hint="default"/>
      </w:rPr>
    </w:lvl>
    <w:lvl w:ilvl="5">
      <w:start w:val="1"/>
      <w:numFmt w:val="none"/>
      <w:lvlText w:val=""/>
      <w:lvlJc w:val="left"/>
      <w:pPr>
        <w:ind w:left="0" w:hanging="499"/>
      </w:pPr>
      <w:rPr>
        <w:rFonts w:hint="default"/>
      </w:rPr>
    </w:lvl>
    <w:lvl w:ilvl="6">
      <w:start w:val="1"/>
      <w:numFmt w:val="none"/>
      <w:lvlText w:val=""/>
      <w:lvlJc w:val="left"/>
      <w:pPr>
        <w:ind w:left="0" w:hanging="499"/>
      </w:pPr>
      <w:rPr>
        <w:rFonts w:hint="default"/>
      </w:rPr>
    </w:lvl>
    <w:lvl w:ilvl="7">
      <w:start w:val="1"/>
      <w:numFmt w:val="none"/>
      <w:lvlText w:val=""/>
      <w:lvlJc w:val="left"/>
      <w:pPr>
        <w:ind w:left="0" w:hanging="499"/>
      </w:pPr>
      <w:rPr>
        <w:rFonts w:hint="default"/>
      </w:rPr>
    </w:lvl>
    <w:lvl w:ilvl="8">
      <w:start w:val="1"/>
      <w:numFmt w:val="none"/>
      <w:lvlText w:val=""/>
      <w:lvlJc w:val="left"/>
      <w:pPr>
        <w:ind w:left="0" w:hanging="499"/>
      </w:pPr>
      <w:rPr>
        <w:rFonts w:hint="default"/>
      </w:rPr>
    </w:lvl>
  </w:abstractNum>
  <w:abstractNum w:abstractNumId="9" w15:restartNumberingAfterBreak="0">
    <w:nsid w:val="394A09F0"/>
    <w:multiLevelType w:val="multilevel"/>
    <w:tmpl w:val="1436D260"/>
    <w:lvl w:ilvl="0">
      <w:start w:val="1"/>
      <w:numFmt w:val="upperLetter"/>
      <w:pStyle w:val="Annex10"/>
      <w:suff w:val="space"/>
      <w:lvlText w:val="Annex %1."/>
      <w:lvlJc w:val="left"/>
      <w:pPr>
        <w:ind w:left="0" w:hanging="357"/>
      </w:pPr>
      <w:rPr>
        <w:rFonts w:ascii="Verdana" w:hAnsi="Verdana" w:hint="default"/>
        <w:b/>
        <w:i w:val="0"/>
        <w:color w:val="4F81BD" w:themeColor="accent1"/>
        <w:sz w:val="40"/>
        <w:szCs w:val="40"/>
      </w:rPr>
    </w:lvl>
    <w:lvl w:ilvl="1">
      <w:start w:val="1"/>
      <w:numFmt w:val="decimal"/>
      <w:suff w:val="space"/>
      <w:lvlText w:val="%1.%2."/>
      <w:lvlJc w:val="left"/>
      <w:pPr>
        <w:ind w:left="0" w:hanging="357"/>
      </w:pPr>
      <w:rPr>
        <w:rFonts w:ascii="Verdana" w:hAnsi="Verdana" w:hint="default"/>
        <w:b/>
        <w:i w:val="0"/>
        <w:color w:val="B76172"/>
        <w:sz w:val="28"/>
        <w:szCs w:val="28"/>
      </w:rPr>
    </w:lvl>
    <w:lvl w:ilvl="2">
      <w:start w:val="1"/>
      <w:numFmt w:val="decimal"/>
      <w:suff w:val="space"/>
      <w:lvlText w:val="%1.%2.%3."/>
      <w:lvlJc w:val="left"/>
      <w:pPr>
        <w:ind w:left="0" w:hanging="357"/>
      </w:pPr>
      <w:rPr>
        <w:rFonts w:ascii="Verdana" w:hAnsi="Verdana" w:hint="default"/>
        <w:b/>
        <w:i w:val="0"/>
        <w:color w:val="B76172"/>
        <w:sz w:val="24"/>
        <w:szCs w:val="24"/>
      </w:rPr>
    </w:lvl>
    <w:lvl w:ilvl="3">
      <w:start w:val="1"/>
      <w:numFmt w:val="decimal"/>
      <w:lvlText w:val="(%4)"/>
      <w:lvlJc w:val="left"/>
      <w:pPr>
        <w:tabs>
          <w:tab w:val="num" w:pos="1083"/>
        </w:tabs>
        <w:ind w:left="1083" w:hanging="360"/>
      </w:pPr>
      <w:rPr>
        <w:rFonts w:hint="default"/>
      </w:rPr>
    </w:lvl>
    <w:lvl w:ilvl="4">
      <w:start w:val="1"/>
      <w:numFmt w:val="lowerLetter"/>
      <w:lvlText w:val="(%5)"/>
      <w:lvlJc w:val="left"/>
      <w:pPr>
        <w:tabs>
          <w:tab w:val="num" w:pos="1443"/>
        </w:tabs>
        <w:ind w:left="1443" w:hanging="360"/>
      </w:pPr>
      <w:rPr>
        <w:rFonts w:hint="default"/>
      </w:rPr>
    </w:lvl>
    <w:lvl w:ilvl="5">
      <w:start w:val="1"/>
      <w:numFmt w:val="lowerRoman"/>
      <w:lvlText w:val="(%6)"/>
      <w:lvlJc w:val="left"/>
      <w:pPr>
        <w:tabs>
          <w:tab w:val="num" w:pos="1803"/>
        </w:tabs>
        <w:ind w:left="1803" w:hanging="360"/>
      </w:pPr>
      <w:rPr>
        <w:rFonts w:hint="default"/>
      </w:rPr>
    </w:lvl>
    <w:lvl w:ilvl="6">
      <w:start w:val="1"/>
      <w:numFmt w:val="decimal"/>
      <w:lvlText w:val="%7."/>
      <w:lvlJc w:val="left"/>
      <w:pPr>
        <w:tabs>
          <w:tab w:val="num" w:pos="2163"/>
        </w:tabs>
        <w:ind w:left="2163" w:hanging="360"/>
      </w:pPr>
      <w:rPr>
        <w:rFonts w:hint="default"/>
      </w:rPr>
    </w:lvl>
    <w:lvl w:ilvl="7">
      <w:start w:val="1"/>
      <w:numFmt w:val="lowerLetter"/>
      <w:lvlText w:val="%8."/>
      <w:lvlJc w:val="left"/>
      <w:pPr>
        <w:tabs>
          <w:tab w:val="num" w:pos="2523"/>
        </w:tabs>
        <w:ind w:left="2523" w:hanging="360"/>
      </w:pPr>
      <w:rPr>
        <w:rFonts w:hint="default"/>
      </w:rPr>
    </w:lvl>
    <w:lvl w:ilvl="8">
      <w:start w:val="1"/>
      <w:numFmt w:val="lowerRoman"/>
      <w:lvlText w:val="%9."/>
      <w:lvlJc w:val="left"/>
      <w:pPr>
        <w:tabs>
          <w:tab w:val="num" w:pos="2883"/>
        </w:tabs>
        <w:ind w:left="2883" w:hanging="360"/>
      </w:pPr>
      <w:rPr>
        <w:rFonts w:hint="default"/>
      </w:rPr>
    </w:lvl>
  </w:abstractNum>
  <w:abstractNum w:abstractNumId="10" w15:restartNumberingAfterBreak="0">
    <w:nsid w:val="3FC07CDE"/>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44D0715"/>
    <w:multiLevelType w:val="hybridMultilevel"/>
    <w:tmpl w:val="D936AC78"/>
    <w:lvl w:ilvl="0" w:tplc="F7DA2562">
      <w:start w:val="1"/>
      <w:numFmt w:val="bullet"/>
      <w:pStyle w:val="ListBullet2Compact"/>
      <w:lvlText w:val="–"/>
      <w:lvlJc w:val="left"/>
      <w:pPr>
        <w:ind w:left="1077" w:hanging="360"/>
      </w:pPr>
      <w:rPr>
        <w:rFonts w:ascii="Times New Roman" w:hAnsi="Times New Roman" w:cs="Times New Roman" w:hint="default"/>
        <w:b w:val="0"/>
        <w:i w:val="0"/>
        <w:sz w:val="22"/>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2" w15:restartNumberingAfterBreak="0">
    <w:nsid w:val="4B605592"/>
    <w:multiLevelType w:val="hybridMultilevel"/>
    <w:tmpl w:val="FBBE61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BF820F7"/>
    <w:multiLevelType w:val="multilevel"/>
    <w:tmpl w:val="918659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0010E74"/>
    <w:multiLevelType w:val="hybridMultilevel"/>
    <w:tmpl w:val="D744FFAA"/>
    <w:lvl w:ilvl="0" w:tplc="C3ECCD6C">
      <w:start w:val="1"/>
      <w:numFmt w:val="bullet"/>
      <w:lvlText w:val=""/>
      <w:lvlJc w:val="left"/>
      <w:pPr>
        <w:ind w:left="360" w:hanging="360"/>
      </w:pPr>
      <w:rPr>
        <w:rFonts w:ascii="Symbol" w:hAnsi="Symbol" w:hint="default"/>
        <w:color w:val="auto"/>
      </w:rPr>
    </w:lvl>
    <w:lvl w:ilvl="1" w:tplc="04090009">
      <w:start w:val="1"/>
      <w:numFmt w:val="bullet"/>
      <w:lvlText w:val=""/>
      <w:lvlJc w:val="left"/>
      <w:pPr>
        <w:ind w:left="1444" w:hanging="360"/>
      </w:pPr>
      <w:rPr>
        <w:rFonts w:ascii="Wingdings" w:hAnsi="Wingdings" w:hint="default"/>
      </w:rPr>
    </w:lvl>
    <w:lvl w:ilvl="2" w:tplc="040A0005">
      <w:start w:val="1"/>
      <w:numFmt w:val="bullet"/>
      <w:lvlText w:val=""/>
      <w:lvlJc w:val="left"/>
      <w:pPr>
        <w:ind w:left="2164" w:hanging="360"/>
      </w:pPr>
      <w:rPr>
        <w:rFonts w:ascii="Wingdings" w:hAnsi="Wingdings" w:hint="default"/>
      </w:rPr>
    </w:lvl>
    <w:lvl w:ilvl="3" w:tplc="040A0001" w:tentative="1">
      <w:start w:val="1"/>
      <w:numFmt w:val="bullet"/>
      <w:lvlText w:val=""/>
      <w:lvlJc w:val="left"/>
      <w:pPr>
        <w:ind w:left="2884" w:hanging="360"/>
      </w:pPr>
      <w:rPr>
        <w:rFonts w:ascii="Symbol" w:hAnsi="Symbol" w:hint="default"/>
      </w:rPr>
    </w:lvl>
    <w:lvl w:ilvl="4" w:tplc="040A0003" w:tentative="1">
      <w:start w:val="1"/>
      <w:numFmt w:val="bullet"/>
      <w:lvlText w:val="o"/>
      <w:lvlJc w:val="left"/>
      <w:pPr>
        <w:ind w:left="3604" w:hanging="360"/>
      </w:pPr>
      <w:rPr>
        <w:rFonts w:ascii="Courier New" w:hAnsi="Courier New" w:cs="Courier New" w:hint="default"/>
      </w:rPr>
    </w:lvl>
    <w:lvl w:ilvl="5" w:tplc="040A0005" w:tentative="1">
      <w:start w:val="1"/>
      <w:numFmt w:val="bullet"/>
      <w:lvlText w:val=""/>
      <w:lvlJc w:val="left"/>
      <w:pPr>
        <w:ind w:left="4324" w:hanging="360"/>
      </w:pPr>
      <w:rPr>
        <w:rFonts w:ascii="Wingdings" w:hAnsi="Wingdings" w:hint="default"/>
      </w:rPr>
    </w:lvl>
    <w:lvl w:ilvl="6" w:tplc="040A0001" w:tentative="1">
      <w:start w:val="1"/>
      <w:numFmt w:val="bullet"/>
      <w:lvlText w:val=""/>
      <w:lvlJc w:val="left"/>
      <w:pPr>
        <w:ind w:left="5044" w:hanging="360"/>
      </w:pPr>
      <w:rPr>
        <w:rFonts w:ascii="Symbol" w:hAnsi="Symbol" w:hint="default"/>
      </w:rPr>
    </w:lvl>
    <w:lvl w:ilvl="7" w:tplc="040A0003" w:tentative="1">
      <w:start w:val="1"/>
      <w:numFmt w:val="bullet"/>
      <w:lvlText w:val="o"/>
      <w:lvlJc w:val="left"/>
      <w:pPr>
        <w:ind w:left="5764" w:hanging="360"/>
      </w:pPr>
      <w:rPr>
        <w:rFonts w:ascii="Courier New" w:hAnsi="Courier New" w:cs="Courier New" w:hint="default"/>
      </w:rPr>
    </w:lvl>
    <w:lvl w:ilvl="8" w:tplc="040A0005" w:tentative="1">
      <w:start w:val="1"/>
      <w:numFmt w:val="bullet"/>
      <w:lvlText w:val=""/>
      <w:lvlJc w:val="left"/>
      <w:pPr>
        <w:ind w:left="6484" w:hanging="360"/>
      </w:pPr>
      <w:rPr>
        <w:rFonts w:ascii="Wingdings" w:hAnsi="Wingdings" w:hint="default"/>
      </w:rPr>
    </w:lvl>
  </w:abstractNum>
  <w:abstractNum w:abstractNumId="15" w15:restartNumberingAfterBreak="0">
    <w:nsid w:val="50F759CB"/>
    <w:multiLevelType w:val="hybridMultilevel"/>
    <w:tmpl w:val="C3262652"/>
    <w:lvl w:ilvl="0" w:tplc="FA64576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CF74542"/>
    <w:multiLevelType w:val="hybridMultilevel"/>
    <w:tmpl w:val="5BD2D9A8"/>
    <w:lvl w:ilvl="0" w:tplc="95DCC1AE">
      <w:start w:val="1"/>
      <w:numFmt w:val="bullet"/>
      <w:pStyle w:val="H5"/>
      <w:lvlText w:val="►"/>
      <w:lvlJc w:val="left"/>
      <w:pPr>
        <w:ind w:left="720" w:hanging="360"/>
      </w:pPr>
      <w:rPr>
        <w:rFonts w:ascii="Times New Roman" w:hAnsi="Times New Roman" w:cs="Times New Roman" w:hint="default"/>
        <w:b w:val="0"/>
        <w:i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3A3383"/>
    <w:multiLevelType w:val="hybridMultilevel"/>
    <w:tmpl w:val="E90637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7863A35"/>
    <w:multiLevelType w:val="hybridMultilevel"/>
    <w:tmpl w:val="8056CA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6D10FE2"/>
    <w:multiLevelType w:val="hybridMultilevel"/>
    <w:tmpl w:val="005412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FD44435"/>
    <w:multiLevelType w:val="hybridMultilevel"/>
    <w:tmpl w:val="DCD0BE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6"/>
  </w:num>
  <w:num w:numId="5">
    <w:abstractNumId w:val="10"/>
  </w:num>
  <w:num w:numId="6">
    <w:abstractNumId w:val="5"/>
  </w:num>
  <w:num w:numId="7">
    <w:abstractNumId w:val="8"/>
  </w:num>
  <w:num w:numId="8">
    <w:abstractNumId w:val="16"/>
  </w:num>
  <w:num w:numId="9">
    <w:abstractNumId w:val="11"/>
  </w:num>
  <w:num w:numId="10">
    <w:abstractNumId w:val="15"/>
  </w:num>
  <w:num w:numId="11">
    <w:abstractNumId w:val="9"/>
  </w:num>
  <w:num w:numId="12">
    <w:abstractNumId w:val="18"/>
  </w:num>
  <w:num w:numId="13">
    <w:abstractNumId w:val="2"/>
  </w:num>
  <w:num w:numId="14">
    <w:abstractNumId w:val="14"/>
  </w:num>
  <w:num w:numId="15">
    <w:abstractNumId w:val="20"/>
  </w:num>
  <w:num w:numId="16">
    <w:abstractNumId w:val="13"/>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19"/>
  </w:num>
  <w:num w:numId="22">
    <w:abstractNumId w:val="12"/>
  </w:num>
  <w:num w:numId="23">
    <w:abstractNumId w:val="7"/>
  </w:num>
  <w:num w:numId="24">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3EB"/>
    <w:rsid w:val="00000D47"/>
    <w:rsid w:val="00003005"/>
    <w:rsid w:val="00011374"/>
    <w:rsid w:val="00012F9A"/>
    <w:rsid w:val="000164CB"/>
    <w:rsid w:val="00016DF3"/>
    <w:rsid w:val="0001732F"/>
    <w:rsid w:val="00017776"/>
    <w:rsid w:val="00021D46"/>
    <w:rsid w:val="00025921"/>
    <w:rsid w:val="00025D89"/>
    <w:rsid w:val="00030DD9"/>
    <w:rsid w:val="00033764"/>
    <w:rsid w:val="00033AFD"/>
    <w:rsid w:val="0004267F"/>
    <w:rsid w:val="000466BB"/>
    <w:rsid w:val="00047D1F"/>
    <w:rsid w:val="00050F2F"/>
    <w:rsid w:val="0005524C"/>
    <w:rsid w:val="00056CFE"/>
    <w:rsid w:val="0006115B"/>
    <w:rsid w:val="00061286"/>
    <w:rsid w:val="00066589"/>
    <w:rsid w:val="000721ED"/>
    <w:rsid w:val="00073654"/>
    <w:rsid w:val="00075AB9"/>
    <w:rsid w:val="000774F6"/>
    <w:rsid w:val="00077AA6"/>
    <w:rsid w:val="00077F62"/>
    <w:rsid w:val="000809B1"/>
    <w:rsid w:val="00084FC5"/>
    <w:rsid w:val="00086AA7"/>
    <w:rsid w:val="00094B13"/>
    <w:rsid w:val="000979CE"/>
    <w:rsid w:val="000A0E4D"/>
    <w:rsid w:val="000A2AC3"/>
    <w:rsid w:val="000A59A7"/>
    <w:rsid w:val="000A7C0A"/>
    <w:rsid w:val="000B2BF0"/>
    <w:rsid w:val="000B2F3C"/>
    <w:rsid w:val="000C072D"/>
    <w:rsid w:val="000C21E9"/>
    <w:rsid w:val="000C49E3"/>
    <w:rsid w:val="000C6C0D"/>
    <w:rsid w:val="000C785D"/>
    <w:rsid w:val="000C7D84"/>
    <w:rsid w:val="000D137F"/>
    <w:rsid w:val="000D3E75"/>
    <w:rsid w:val="000D4F0A"/>
    <w:rsid w:val="000D5510"/>
    <w:rsid w:val="000D621D"/>
    <w:rsid w:val="000E1239"/>
    <w:rsid w:val="000F1744"/>
    <w:rsid w:val="000F4139"/>
    <w:rsid w:val="000F44F2"/>
    <w:rsid w:val="000F58F3"/>
    <w:rsid w:val="001042DF"/>
    <w:rsid w:val="00107553"/>
    <w:rsid w:val="00115749"/>
    <w:rsid w:val="001178BC"/>
    <w:rsid w:val="001236ED"/>
    <w:rsid w:val="00123DA5"/>
    <w:rsid w:val="0012797F"/>
    <w:rsid w:val="00131DDE"/>
    <w:rsid w:val="0013713B"/>
    <w:rsid w:val="0013763A"/>
    <w:rsid w:val="00137ED3"/>
    <w:rsid w:val="001438D2"/>
    <w:rsid w:val="00145144"/>
    <w:rsid w:val="00145323"/>
    <w:rsid w:val="00157D64"/>
    <w:rsid w:val="00163B82"/>
    <w:rsid w:val="00165F67"/>
    <w:rsid w:val="00166C6E"/>
    <w:rsid w:val="00166F41"/>
    <w:rsid w:val="0017023A"/>
    <w:rsid w:val="001769CC"/>
    <w:rsid w:val="00176FA1"/>
    <w:rsid w:val="00177636"/>
    <w:rsid w:val="001820C8"/>
    <w:rsid w:val="00186225"/>
    <w:rsid w:val="00187F10"/>
    <w:rsid w:val="00193324"/>
    <w:rsid w:val="001A0DC4"/>
    <w:rsid w:val="001A42F1"/>
    <w:rsid w:val="001A5353"/>
    <w:rsid w:val="001A6A44"/>
    <w:rsid w:val="001B0607"/>
    <w:rsid w:val="001B5FDD"/>
    <w:rsid w:val="001B77A7"/>
    <w:rsid w:val="001C12FC"/>
    <w:rsid w:val="001C54DD"/>
    <w:rsid w:val="001D472D"/>
    <w:rsid w:val="001E02B7"/>
    <w:rsid w:val="001E0D16"/>
    <w:rsid w:val="001E4098"/>
    <w:rsid w:val="001E79ED"/>
    <w:rsid w:val="001F06DC"/>
    <w:rsid w:val="001F57FB"/>
    <w:rsid w:val="001F77DB"/>
    <w:rsid w:val="00201BDE"/>
    <w:rsid w:val="002061B5"/>
    <w:rsid w:val="00210F78"/>
    <w:rsid w:val="00213768"/>
    <w:rsid w:val="00213E01"/>
    <w:rsid w:val="00217218"/>
    <w:rsid w:val="002211DC"/>
    <w:rsid w:val="002222A7"/>
    <w:rsid w:val="00227FDB"/>
    <w:rsid w:val="00231B56"/>
    <w:rsid w:val="00233139"/>
    <w:rsid w:val="0023584F"/>
    <w:rsid w:val="00237A2C"/>
    <w:rsid w:val="0024495D"/>
    <w:rsid w:val="00245939"/>
    <w:rsid w:val="0025274D"/>
    <w:rsid w:val="00253DC7"/>
    <w:rsid w:val="00257057"/>
    <w:rsid w:val="0025753D"/>
    <w:rsid w:val="00261F43"/>
    <w:rsid w:val="00263060"/>
    <w:rsid w:val="002640AC"/>
    <w:rsid w:val="0026545D"/>
    <w:rsid w:val="00265B26"/>
    <w:rsid w:val="00266FA3"/>
    <w:rsid w:val="002678EB"/>
    <w:rsid w:val="002703DF"/>
    <w:rsid w:val="002712DD"/>
    <w:rsid w:val="00273C1F"/>
    <w:rsid w:val="00274DA3"/>
    <w:rsid w:val="002750D4"/>
    <w:rsid w:val="002752D8"/>
    <w:rsid w:val="00276E91"/>
    <w:rsid w:val="00277452"/>
    <w:rsid w:val="002800BD"/>
    <w:rsid w:val="002824DE"/>
    <w:rsid w:val="00282B1C"/>
    <w:rsid w:val="00283774"/>
    <w:rsid w:val="00291BF0"/>
    <w:rsid w:val="0029238A"/>
    <w:rsid w:val="002923CD"/>
    <w:rsid w:val="0029355D"/>
    <w:rsid w:val="002938A6"/>
    <w:rsid w:val="002966F9"/>
    <w:rsid w:val="00296EF6"/>
    <w:rsid w:val="002972DD"/>
    <w:rsid w:val="002A1FA3"/>
    <w:rsid w:val="002B2056"/>
    <w:rsid w:val="002B258A"/>
    <w:rsid w:val="002C18B6"/>
    <w:rsid w:val="002C2016"/>
    <w:rsid w:val="002C5826"/>
    <w:rsid w:val="002D01F1"/>
    <w:rsid w:val="002D092A"/>
    <w:rsid w:val="002D4F88"/>
    <w:rsid w:val="002D5AAC"/>
    <w:rsid w:val="002D678E"/>
    <w:rsid w:val="002D7683"/>
    <w:rsid w:val="002E6E4C"/>
    <w:rsid w:val="002E7B47"/>
    <w:rsid w:val="002F1F37"/>
    <w:rsid w:val="002F24A5"/>
    <w:rsid w:val="002F36EE"/>
    <w:rsid w:val="002F4E92"/>
    <w:rsid w:val="00301AAA"/>
    <w:rsid w:val="00307792"/>
    <w:rsid w:val="00310720"/>
    <w:rsid w:val="003110D4"/>
    <w:rsid w:val="00311803"/>
    <w:rsid w:val="0031318E"/>
    <w:rsid w:val="003136A0"/>
    <w:rsid w:val="00314973"/>
    <w:rsid w:val="00320F3B"/>
    <w:rsid w:val="003226EB"/>
    <w:rsid w:val="003242AE"/>
    <w:rsid w:val="00324B8A"/>
    <w:rsid w:val="003302B3"/>
    <w:rsid w:val="00330717"/>
    <w:rsid w:val="00336042"/>
    <w:rsid w:val="00336EE3"/>
    <w:rsid w:val="00337756"/>
    <w:rsid w:val="0033789D"/>
    <w:rsid w:val="00341B9C"/>
    <w:rsid w:val="00343F42"/>
    <w:rsid w:val="003442D2"/>
    <w:rsid w:val="0035272C"/>
    <w:rsid w:val="00355028"/>
    <w:rsid w:val="00356CC9"/>
    <w:rsid w:val="0035710A"/>
    <w:rsid w:val="00365395"/>
    <w:rsid w:val="00371888"/>
    <w:rsid w:val="00372B67"/>
    <w:rsid w:val="00372BF7"/>
    <w:rsid w:val="00372E2A"/>
    <w:rsid w:val="00375395"/>
    <w:rsid w:val="00382B28"/>
    <w:rsid w:val="00383016"/>
    <w:rsid w:val="00383887"/>
    <w:rsid w:val="003934A0"/>
    <w:rsid w:val="003A5D6B"/>
    <w:rsid w:val="003B1AD2"/>
    <w:rsid w:val="003B4DC0"/>
    <w:rsid w:val="003B6396"/>
    <w:rsid w:val="003C1F76"/>
    <w:rsid w:val="003C304F"/>
    <w:rsid w:val="003C6172"/>
    <w:rsid w:val="003C6662"/>
    <w:rsid w:val="003C6E14"/>
    <w:rsid w:val="003D05E2"/>
    <w:rsid w:val="003D11CE"/>
    <w:rsid w:val="003D2CB9"/>
    <w:rsid w:val="003E16DA"/>
    <w:rsid w:val="003E51A3"/>
    <w:rsid w:val="003F2680"/>
    <w:rsid w:val="003F5875"/>
    <w:rsid w:val="003F62BB"/>
    <w:rsid w:val="004005AA"/>
    <w:rsid w:val="0040294E"/>
    <w:rsid w:val="004047F8"/>
    <w:rsid w:val="00404CFC"/>
    <w:rsid w:val="0040734A"/>
    <w:rsid w:val="00410F94"/>
    <w:rsid w:val="0041250B"/>
    <w:rsid w:val="00414199"/>
    <w:rsid w:val="00414DBD"/>
    <w:rsid w:val="00417405"/>
    <w:rsid w:val="00417CB6"/>
    <w:rsid w:val="00422108"/>
    <w:rsid w:val="00423489"/>
    <w:rsid w:val="004244F2"/>
    <w:rsid w:val="00436AEE"/>
    <w:rsid w:val="00444DA5"/>
    <w:rsid w:val="004457BE"/>
    <w:rsid w:val="00447110"/>
    <w:rsid w:val="00453F3C"/>
    <w:rsid w:val="004571AD"/>
    <w:rsid w:val="00457F76"/>
    <w:rsid w:val="004630CC"/>
    <w:rsid w:val="00472070"/>
    <w:rsid w:val="004727D7"/>
    <w:rsid w:val="00475B37"/>
    <w:rsid w:val="004773A2"/>
    <w:rsid w:val="00477423"/>
    <w:rsid w:val="004803DB"/>
    <w:rsid w:val="00480565"/>
    <w:rsid w:val="00482D9A"/>
    <w:rsid w:val="00486181"/>
    <w:rsid w:val="004865BD"/>
    <w:rsid w:val="00486AAD"/>
    <w:rsid w:val="00491F91"/>
    <w:rsid w:val="00492316"/>
    <w:rsid w:val="00492DEF"/>
    <w:rsid w:val="004955CB"/>
    <w:rsid w:val="00495BBE"/>
    <w:rsid w:val="00496224"/>
    <w:rsid w:val="00496AB3"/>
    <w:rsid w:val="004979B9"/>
    <w:rsid w:val="004A0261"/>
    <w:rsid w:val="004A4DD7"/>
    <w:rsid w:val="004A69CB"/>
    <w:rsid w:val="004B1994"/>
    <w:rsid w:val="004B3D61"/>
    <w:rsid w:val="004B3FBE"/>
    <w:rsid w:val="004B4C27"/>
    <w:rsid w:val="004C143A"/>
    <w:rsid w:val="004C3635"/>
    <w:rsid w:val="004C3DB8"/>
    <w:rsid w:val="004C4AC7"/>
    <w:rsid w:val="004C7191"/>
    <w:rsid w:val="004C73E5"/>
    <w:rsid w:val="004E3222"/>
    <w:rsid w:val="004E4E94"/>
    <w:rsid w:val="004E4F9A"/>
    <w:rsid w:val="004E5D44"/>
    <w:rsid w:val="004E6780"/>
    <w:rsid w:val="004E68FC"/>
    <w:rsid w:val="004F1823"/>
    <w:rsid w:val="004F2277"/>
    <w:rsid w:val="004F55E9"/>
    <w:rsid w:val="005004AC"/>
    <w:rsid w:val="005013F3"/>
    <w:rsid w:val="00507D99"/>
    <w:rsid w:val="00513E19"/>
    <w:rsid w:val="00514DD9"/>
    <w:rsid w:val="00517391"/>
    <w:rsid w:val="00520A74"/>
    <w:rsid w:val="00524ABF"/>
    <w:rsid w:val="0053181C"/>
    <w:rsid w:val="005378CB"/>
    <w:rsid w:val="005434C3"/>
    <w:rsid w:val="005446DB"/>
    <w:rsid w:val="00547B9A"/>
    <w:rsid w:val="00550282"/>
    <w:rsid w:val="00563BE7"/>
    <w:rsid w:val="005655EE"/>
    <w:rsid w:val="00572001"/>
    <w:rsid w:val="0057330A"/>
    <w:rsid w:val="00573416"/>
    <w:rsid w:val="00574C9A"/>
    <w:rsid w:val="00576552"/>
    <w:rsid w:val="0057702B"/>
    <w:rsid w:val="0058057E"/>
    <w:rsid w:val="00582E9C"/>
    <w:rsid w:val="00586307"/>
    <w:rsid w:val="00587BCB"/>
    <w:rsid w:val="00590CB8"/>
    <w:rsid w:val="00592F58"/>
    <w:rsid w:val="00595444"/>
    <w:rsid w:val="005A0EA2"/>
    <w:rsid w:val="005A0EF0"/>
    <w:rsid w:val="005A3553"/>
    <w:rsid w:val="005A5979"/>
    <w:rsid w:val="005C12B8"/>
    <w:rsid w:val="005C16EE"/>
    <w:rsid w:val="005C3F58"/>
    <w:rsid w:val="005C495A"/>
    <w:rsid w:val="005C4F3F"/>
    <w:rsid w:val="005C513E"/>
    <w:rsid w:val="005C59B7"/>
    <w:rsid w:val="005C65AD"/>
    <w:rsid w:val="005C7381"/>
    <w:rsid w:val="005D07A3"/>
    <w:rsid w:val="005D225C"/>
    <w:rsid w:val="005D45C8"/>
    <w:rsid w:val="005F0D61"/>
    <w:rsid w:val="005F79F0"/>
    <w:rsid w:val="00606043"/>
    <w:rsid w:val="00607E5F"/>
    <w:rsid w:val="00610037"/>
    <w:rsid w:val="00610A85"/>
    <w:rsid w:val="00611FD8"/>
    <w:rsid w:val="00620036"/>
    <w:rsid w:val="00622062"/>
    <w:rsid w:val="00622D11"/>
    <w:rsid w:val="00625D84"/>
    <w:rsid w:val="00632C3B"/>
    <w:rsid w:val="00634925"/>
    <w:rsid w:val="006371DA"/>
    <w:rsid w:val="00637B9E"/>
    <w:rsid w:val="0064112D"/>
    <w:rsid w:val="00641CB9"/>
    <w:rsid w:val="00642507"/>
    <w:rsid w:val="00643405"/>
    <w:rsid w:val="006435B5"/>
    <w:rsid w:val="00647B4E"/>
    <w:rsid w:val="00650C3B"/>
    <w:rsid w:val="006528FC"/>
    <w:rsid w:val="006534F4"/>
    <w:rsid w:val="006626B7"/>
    <w:rsid w:val="00662CE0"/>
    <w:rsid w:val="00670815"/>
    <w:rsid w:val="0067121E"/>
    <w:rsid w:val="0067149E"/>
    <w:rsid w:val="00677547"/>
    <w:rsid w:val="00682B77"/>
    <w:rsid w:val="0068491B"/>
    <w:rsid w:val="00685F22"/>
    <w:rsid w:val="00686395"/>
    <w:rsid w:val="0069500B"/>
    <w:rsid w:val="00696783"/>
    <w:rsid w:val="00696966"/>
    <w:rsid w:val="006A1C1E"/>
    <w:rsid w:val="006A459C"/>
    <w:rsid w:val="006A5331"/>
    <w:rsid w:val="006A64D8"/>
    <w:rsid w:val="006B4487"/>
    <w:rsid w:val="006B48D2"/>
    <w:rsid w:val="006B5229"/>
    <w:rsid w:val="006C5E5F"/>
    <w:rsid w:val="006C7103"/>
    <w:rsid w:val="006D1D1F"/>
    <w:rsid w:val="006D1F4A"/>
    <w:rsid w:val="006D4AE8"/>
    <w:rsid w:val="006D5382"/>
    <w:rsid w:val="006D7C3C"/>
    <w:rsid w:val="006E3221"/>
    <w:rsid w:val="006E55EC"/>
    <w:rsid w:val="006E70A2"/>
    <w:rsid w:val="006F33E0"/>
    <w:rsid w:val="006F6B48"/>
    <w:rsid w:val="006F7B19"/>
    <w:rsid w:val="00703103"/>
    <w:rsid w:val="00703750"/>
    <w:rsid w:val="007077C7"/>
    <w:rsid w:val="00707DD2"/>
    <w:rsid w:val="00711130"/>
    <w:rsid w:val="00714311"/>
    <w:rsid w:val="00717A74"/>
    <w:rsid w:val="007201B7"/>
    <w:rsid w:val="007224FA"/>
    <w:rsid w:val="00722F0D"/>
    <w:rsid w:val="007236F8"/>
    <w:rsid w:val="00723C4E"/>
    <w:rsid w:val="00725297"/>
    <w:rsid w:val="0072570D"/>
    <w:rsid w:val="0072745C"/>
    <w:rsid w:val="00735A60"/>
    <w:rsid w:val="0074046F"/>
    <w:rsid w:val="00740540"/>
    <w:rsid w:val="00741FFC"/>
    <w:rsid w:val="00742BF5"/>
    <w:rsid w:val="007431AB"/>
    <w:rsid w:val="00743DCD"/>
    <w:rsid w:val="00744208"/>
    <w:rsid w:val="007454DF"/>
    <w:rsid w:val="00752327"/>
    <w:rsid w:val="00757F81"/>
    <w:rsid w:val="00761EAE"/>
    <w:rsid w:val="0076361A"/>
    <w:rsid w:val="0076581D"/>
    <w:rsid w:val="007713C5"/>
    <w:rsid w:val="00772EDF"/>
    <w:rsid w:val="007772B0"/>
    <w:rsid w:val="00780731"/>
    <w:rsid w:val="00780CD0"/>
    <w:rsid w:val="00781C49"/>
    <w:rsid w:val="00782410"/>
    <w:rsid w:val="007858A7"/>
    <w:rsid w:val="00785C22"/>
    <w:rsid w:val="00793F88"/>
    <w:rsid w:val="007A291D"/>
    <w:rsid w:val="007A2BB9"/>
    <w:rsid w:val="007A4468"/>
    <w:rsid w:val="007B138B"/>
    <w:rsid w:val="007B56A9"/>
    <w:rsid w:val="007D0D90"/>
    <w:rsid w:val="007D1957"/>
    <w:rsid w:val="007D2579"/>
    <w:rsid w:val="007D382C"/>
    <w:rsid w:val="007D54E4"/>
    <w:rsid w:val="007E130C"/>
    <w:rsid w:val="007E2539"/>
    <w:rsid w:val="007E5B50"/>
    <w:rsid w:val="007E709E"/>
    <w:rsid w:val="007F2A33"/>
    <w:rsid w:val="007F3D26"/>
    <w:rsid w:val="007F627F"/>
    <w:rsid w:val="007F6C1D"/>
    <w:rsid w:val="008034AB"/>
    <w:rsid w:val="00805AE8"/>
    <w:rsid w:val="00814EAD"/>
    <w:rsid w:val="00817475"/>
    <w:rsid w:val="00830B7D"/>
    <w:rsid w:val="00835495"/>
    <w:rsid w:val="0084114E"/>
    <w:rsid w:val="008472FF"/>
    <w:rsid w:val="00847F11"/>
    <w:rsid w:val="00850ECB"/>
    <w:rsid w:val="00851767"/>
    <w:rsid w:val="00852FC1"/>
    <w:rsid w:val="00857352"/>
    <w:rsid w:val="00861F3B"/>
    <w:rsid w:val="00863720"/>
    <w:rsid w:val="0086385E"/>
    <w:rsid w:val="008659AE"/>
    <w:rsid w:val="00870324"/>
    <w:rsid w:val="00871925"/>
    <w:rsid w:val="00871A12"/>
    <w:rsid w:val="00874992"/>
    <w:rsid w:val="00876B8D"/>
    <w:rsid w:val="00880D6C"/>
    <w:rsid w:val="00882004"/>
    <w:rsid w:val="0088307C"/>
    <w:rsid w:val="00886324"/>
    <w:rsid w:val="0088698F"/>
    <w:rsid w:val="00886B3B"/>
    <w:rsid w:val="0089104A"/>
    <w:rsid w:val="008958B5"/>
    <w:rsid w:val="008A14A4"/>
    <w:rsid w:val="008A2D32"/>
    <w:rsid w:val="008A3C50"/>
    <w:rsid w:val="008A515A"/>
    <w:rsid w:val="008B3F33"/>
    <w:rsid w:val="008B6A56"/>
    <w:rsid w:val="008B74FA"/>
    <w:rsid w:val="008C0DF8"/>
    <w:rsid w:val="008C5AAE"/>
    <w:rsid w:val="008D3D7E"/>
    <w:rsid w:val="008D3F8A"/>
    <w:rsid w:val="008D723D"/>
    <w:rsid w:val="008D7EEB"/>
    <w:rsid w:val="008E0DD6"/>
    <w:rsid w:val="008E1FBD"/>
    <w:rsid w:val="008E296D"/>
    <w:rsid w:val="008E306F"/>
    <w:rsid w:val="008E6139"/>
    <w:rsid w:val="008E7A89"/>
    <w:rsid w:val="008F41D1"/>
    <w:rsid w:val="008F4C6E"/>
    <w:rsid w:val="008F5BAC"/>
    <w:rsid w:val="008F66F9"/>
    <w:rsid w:val="008F777C"/>
    <w:rsid w:val="0091357A"/>
    <w:rsid w:val="00917514"/>
    <w:rsid w:val="00920D59"/>
    <w:rsid w:val="009253CA"/>
    <w:rsid w:val="009258E7"/>
    <w:rsid w:val="00926E1D"/>
    <w:rsid w:val="0093182A"/>
    <w:rsid w:val="00931AF2"/>
    <w:rsid w:val="00932E6C"/>
    <w:rsid w:val="00932FED"/>
    <w:rsid w:val="00935D4B"/>
    <w:rsid w:val="00936300"/>
    <w:rsid w:val="00943F9D"/>
    <w:rsid w:val="00946DD7"/>
    <w:rsid w:val="009472D0"/>
    <w:rsid w:val="0095045E"/>
    <w:rsid w:val="009507F5"/>
    <w:rsid w:val="00961542"/>
    <w:rsid w:val="00961CBF"/>
    <w:rsid w:val="0096626C"/>
    <w:rsid w:val="0097064E"/>
    <w:rsid w:val="009803EB"/>
    <w:rsid w:val="00982187"/>
    <w:rsid w:val="00983C74"/>
    <w:rsid w:val="00985537"/>
    <w:rsid w:val="00987891"/>
    <w:rsid w:val="00991875"/>
    <w:rsid w:val="00991942"/>
    <w:rsid w:val="00991D90"/>
    <w:rsid w:val="00994555"/>
    <w:rsid w:val="009962D7"/>
    <w:rsid w:val="009964B3"/>
    <w:rsid w:val="00996F5D"/>
    <w:rsid w:val="009A5290"/>
    <w:rsid w:val="009A6C19"/>
    <w:rsid w:val="009A7724"/>
    <w:rsid w:val="009A77B7"/>
    <w:rsid w:val="009B6E56"/>
    <w:rsid w:val="009C0D93"/>
    <w:rsid w:val="009C41EC"/>
    <w:rsid w:val="009C561C"/>
    <w:rsid w:val="009D1589"/>
    <w:rsid w:val="009D75EF"/>
    <w:rsid w:val="009D7688"/>
    <w:rsid w:val="009D7A9F"/>
    <w:rsid w:val="009E4796"/>
    <w:rsid w:val="009E53C1"/>
    <w:rsid w:val="009E75CE"/>
    <w:rsid w:val="009E7860"/>
    <w:rsid w:val="00A01F5A"/>
    <w:rsid w:val="00A0450C"/>
    <w:rsid w:val="00A07629"/>
    <w:rsid w:val="00A079B6"/>
    <w:rsid w:val="00A11FE9"/>
    <w:rsid w:val="00A14682"/>
    <w:rsid w:val="00A15173"/>
    <w:rsid w:val="00A17845"/>
    <w:rsid w:val="00A20395"/>
    <w:rsid w:val="00A22B67"/>
    <w:rsid w:val="00A239F1"/>
    <w:rsid w:val="00A315B9"/>
    <w:rsid w:val="00A321F0"/>
    <w:rsid w:val="00A32E3F"/>
    <w:rsid w:val="00A35A1F"/>
    <w:rsid w:val="00A36CBD"/>
    <w:rsid w:val="00A37939"/>
    <w:rsid w:val="00A379AA"/>
    <w:rsid w:val="00A406A5"/>
    <w:rsid w:val="00A40BE1"/>
    <w:rsid w:val="00A418AD"/>
    <w:rsid w:val="00A42BF0"/>
    <w:rsid w:val="00A4583C"/>
    <w:rsid w:val="00A465B1"/>
    <w:rsid w:val="00A465CE"/>
    <w:rsid w:val="00A46A18"/>
    <w:rsid w:val="00A50287"/>
    <w:rsid w:val="00A52EAF"/>
    <w:rsid w:val="00A605C5"/>
    <w:rsid w:val="00A6743B"/>
    <w:rsid w:val="00A705E9"/>
    <w:rsid w:val="00A72495"/>
    <w:rsid w:val="00A724C9"/>
    <w:rsid w:val="00A73836"/>
    <w:rsid w:val="00A73CDD"/>
    <w:rsid w:val="00A75587"/>
    <w:rsid w:val="00A75AF2"/>
    <w:rsid w:val="00A76038"/>
    <w:rsid w:val="00A8191D"/>
    <w:rsid w:val="00A84B18"/>
    <w:rsid w:val="00A879F9"/>
    <w:rsid w:val="00A87B25"/>
    <w:rsid w:val="00A91308"/>
    <w:rsid w:val="00A913C0"/>
    <w:rsid w:val="00A91ADF"/>
    <w:rsid w:val="00A921D4"/>
    <w:rsid w:val="00A94AEC"/>
    <w:rsid w:val="00A97E52"/>
    <w:rsid w:val="00AA02E1"/>
    <w:rsid w:val="00AA045A"/>
    <w:rsid w:val="00AB3D6F"/>
    <w:rsid w:val="00AC45B0"/>
    <w:rsid w:val="00AC4A09"/>
    <w:rsid w:val="00AD06B7"/>
    <w:rsid w:val="00AD5A72"/>
    <w:rsid w:val="00AD7E0E"/>
    <w:rsid w:val="00AD7E1B"/>
    <w:rsid w:val="00AE0F00"/>
    <w:rsid w:val="00AE1783"/>
    <w:rsid w:val="00AF1EA6"/>
    <w:rsid w:val="00AF23C9"/>
    <w:rsid w:val="00B001F8"/>
    <w:rsid w:val="00B02122"/>
    <w:rsid w:val="00B029E7"/>
    <w:rsid w:val="00B029F2"/>
    <w:rsid w:val="00B03489"/>
    <w:rsid w:val="00B07286"/>
    <w:rsid w:val="00B13207"/>
    <w:rsid w:val="00B1407B"/>
    <w:rsid w:val="00B2076F"/>
    <w:rsid w:val="00B209A2"/>
    <w:rsid w:val="00B27F62"/>
    <w:rsid w:val="00B36AE6"/>
    <w:rsid w:val="00B40810"/>
    <w:rsid w:val="00B4135F"/>
    <w:rsid w:val="00B55172"/>
    <w:rsid w:val="00B6781B"/>
    <w:rsid w:val="00B734D2"/>
    <w:rsid w:val="00B87550"/>
    <w:rsid w:val="00B926B5"/>
    <w:rsid w:val="00B928DC"/>
    <w:rsid w:val="00B92AB3"/>
    <w:rsid w:val="00B93220"/>
    <w:rsid w:val="00B93BD1"/>
    <w:rsid w:val="00B943D1"/>
    <w:rsid w:val="00B96939"/>
    <w:rsid w:val="00BA2FCE"/>
    <w:rsid w:val="00BA40E9"/>
    <w:rsid w:val="00BA6121"/>
    <w:rsid w:val="00BB1C4F"/>
    <w:rsid w:val="00BB38B5"/>
    <w:rsid w:val="00BB3B88"/>
    <w:rsid w:val="00BB4033"/>
    <w:rsid w:val="00BB64EC"/>
    <w:rsid w:val="00BC5411"/>
    <w:rsid w:val="00BC56F6"/>
    <w:rsid w:val="00BE25BB"/>
    <w:rsid w:val="00BE3108"/>
    <w:rsid w:val="00BE4026"/>
    <w:rsid w:val="00BF012C"/>
    <w:rsid w:val="00BF0AB8"/>
    <w:rsid w:val="00BF2C4A"/>
    <w:rsid w:val="00BF397E"/>
    <w:rsid w:val="00BF5A19"/>
    <w:rsid w:val="00BF5ED7"/>
    <w:rsid w:val="00BF5FDA"/>
    <w:rsid w:val="00BF7454"/>
    <w:rsid w:val="00C019EC"/>
    <w:rsid w:val="00C02C66"/>
    <w:rsid w:val="00C036A6"/>
    <w:rsid w:val="00C04D64"/>
    <w:rsid w:val="00C07666"/>
    <w:rsid w:val="00C1254F"/>
    <w:rsid w:val="00C14ABC"/>
    <w:rsid w:val="00C14BC4"/>
    <w:rsid w:val="00C15B53"/>
    <w:rsid w:val="00C164D3"/>
    <w:rsid w:val="00C2174A"/>
    <w:rsid w:val="00C21F9B"/>
    <w:rsid w:val="00C21FBE"/>
    <w:rsid w:val="00C26B4C"/>
    <w:rsid w:val="00C30D8A"/>
    <w:rsid w:val="00C41EE5"/>
    <w:rsid w:val="00C43BE0"/>
    <w:rsid w:val="00C4453B"/>
    <w:rsid w:val="00C44ACE"/>
    <w:rsid w:val="00C45082"/>
    <w:rsid w:val="00C46257"/>
    <w:rsid w:val="00C47C10"/>
    <w:rsid w:val="00C50030"/>
    <w:rsid w:val="00C50C93"/>
    <w:rsid w:val="00C5502C"/>
    <w:rsid w:val="00C556AB"/>
    <w:rsid w:val="00C55A7D"/>
    <w:rsid w:val="00C56987"/>
    <w:rsid w:val="00C57867"/>
    <w:rsid w:val="00C61241"/>
    <w:rsid w:val="00C62435"/>
    <w:rsid w:val="00C63343"/>
    <w:rsid w:val="00C6387C"/>
    <w:rsid w:val="00C64D31"/>
    <w:rsid w:val="00C664CC"/>
    <w:rsid w:val="00C73865"/>
    <w:rsid w:val="00C80269"/>
    <w:rsid w:val="00C84A1D"/>
    <w:rsid w:val="00C855DD"/>
    <w:rsid w:val="00C86653"/>
    <w:rsid w:val="00C911BF"/>
    <w:rsid w:val="00C97CC0"/>
    <w:rsid w:val="00CA0B92"/>
    <w:rsid w:val="00CA0B9B"/>
    <w:rsid w:val="00CA3F64"/>
    <w:rsid w:val="00CA5EC8"/>
    <w:rsid w:val="00CA7880"/>
    <w:rsid w:val="00CB6CCB"/>
    <w:rsid w:val="00CB7AE8"/>
    <w:rsid w:val="00CC09F0"/>
    <w:rsid w:val="00CC2310"/>
    <w:rsid w:val="00CC2B6A"/>
    <w:rsid w:val="00CC3A9C"/>
    <w:rsid w:val="00CC50B4"/>
    <w:rsid w:val="00CD09B7"/>
    <w:rsid w:val="00CD3809"/>
    <w:rsid w:val="00CD58B3"/>
    <w:rsid w:val="00CD650B"/>
    <w:rsid w:val="00CE1F20"/>
    <w:rsid w:val="00CE6974"/>
    <w:rsid w:val="00CE757E"/>
    <w:rsid w:val="00CE782F"/>
    <w:rsid w:val="00CF3B7D"/>
    <w:rsid w:val="00CF497E"/>
    <w:rsid w:val="00CF6277"/>
    <w:rsid w:val="00CF76F6"/>
    <w:rsid w:val="00CF7A58"/>
    <w:rsid w:val="00D02D6E"/>
    <w:rsid w:val="00D05F54"/>
    <w:rsid w:val="00D068DB"/>
    <w:rsid w:val="00D06B34"/>
    <w:rsid w:val="00D14DBB"/>
    <w:rsid w:val="00D17968"/>
    <w:rsid w:val="00D17D19"/>
    <w:rsid w:val="00D2020B"/>
    <w:rsid w:val="00D21702"/>
    <w:rsid w:val="00D247C6"/>
    <w:rsid w:val="00D32FAB"/>
    <w:rsid w:val="00D34F31"/>
    <w:rsid w:val="00D440B1"/>
    <w:rsid w:val="00D445BE"/>
    <w:rsid w:val="00D4486D"/>
    <w:rsid w:val="00D53197"/>
    <w:rsid w:val="00D5396B"/>
    <w:rsid w:val="00D55CCD"/>
    <w:rsid w:val="00D55DA4"/>
    <w:rsid w:val="00D563F0"/>
    <w:rsid w:val="00D63674"/>
    <w:rsid w:val="00D67154"/>
    <w:rsid w:val="00D70A15"/>
    <w:rsid w:val="00D72240"/>
    <w:rsid w:val="00D74D08"/>
    <w:rsid w:val="00D77C8F"/>
    <w:rsid w:val="00D84F7B"/>
    <w:rsid w:val="00D9098B"/>
    <w:rsid w:val="00D92B0F"/>
    <w:rsid w:val="00D92EA9"/>
    <w:rsid w:val="00DA790E"/>
    <w:rsid w:val="00DB2804"/>
    <w:rsid w:val="00DB4001"/>
    <w:rsid w:val="00DC0F0D"/>
    <w:rsid w:val="00DC1A0B"/>
    <w:rsid w:val="00DC2F8F"/>
    <w:rsid w:val="00DC7D0E"/>
    <w:rsid w:val="00DE240D"/>
    <w:rsid w:val="00DE2F3C"/>
    <w:rsid w:val="00DE301F"/>
    <w:rsid w:val="00DE522D"/>
    <w:rsid w:val="00DE571B"/>
    <w:rsid w:val="00DF26F1"/>
    <w:rsid w:val="00DF3294"/>
    <w:rsid w:val="00DF3CEA"/>
    <w:rsid w:val="00E02C92"/>
    <w:rsid w:val="00E05F55"/>
    <w:rsid w:val="00E07DF8"/>
    <w:rsid w:val="00E13A6F"/>
    <w:rsid w:val="00E142A3"/>
    <w:rsid w:val="00E23445"/>
    <w:rsid w:val="00E23B3C"/>
    <w:rsid w:val="00E2748A"/>
    <w:rsid w:val="00E32852"/>
    <w:rsid w:val="00E32994"/>
    <w:rsid w:val="00E348D3"/>
    <w:rsid w:val="00E360C0"/>
    <w:rsid w:val="00E42021"/>
    <w:rsid w:val="00E42C2F"/>
    <w:rsid w:val="00E430AE"/>
    <w:rsid w:val="00E43A41"/>
    <w:rsid w:val="00E43DB9"/>
    <w:rsid w:val="00E45FD7"/>
    <w:rsid w:val="00E50BE7"/>
    <w:rsid w:val="00E5383D"/>
    <w:rsid w:val="00E56DE8"/>
    <w:rsid w:val="00E609D2"/>
    <w:rsid w:val="00E61BF1"/>
    <w:rsid w:val="00E642E6"/>
    <w:rsid w:val="00E74967"/>
    <w:rsid w:val="00E77F28"/>
    <w:rsid w:val="00E81B4B"/>
    <w:rsid w:val="00E83F7A"/>
    <w:rsid w:val="00E92154"/>
    <w:rsid w:val="00E92DAB"/>
    <w:rsid w:val="00E96093"/>
    <w:rsid w:val="00E96D98"/>
    <w:rsid w:val="00E96FDD"/>
    <w:rsid w:val="00EA03B5"/>
    <w:rsid w:val="00EA1157"/>
    <w:rsid w:val="00EA56AF"/>
    <w:rsid w:val="00EA7B6F"/>
    <w:rsid w:val="00EC0733"/>
    <w:rsid w:val="00EC2881"/>
    <w:rsid w:val="00ED0B3C"/>
    <w:rsid w:val="00ED4E42"/>
    <w:rsid w:val="00EE00CC"/>
    <w:rsid w:val="00EE0BEB"/>
    <w:rsid w:val="00EE5676"/>
    <w:rsid w:val="00EE64CE"/>
    <w:rsid w:val="00EE74BA"/>
    <w:rsid w:val="00EF69DF"/>
    <w:rsid w:val="00EF764D"/>
    <w:rsid w:val="00F00EEA"/>
    <w:rsid w:val="00F03DFC"/>
    <w:rsid w:val="00F0426A"/>
    <w:rsid w:val="00F04DDF"/>
    <w:rsid w:val="00F0613B"/>
    <w:rsid w:val="00F07078"/>
    <w:rsid w:val="00F1570E"/>
    <w:rsid w:val="00F20220"/>
    <w:rsid w:val="00F21D36"/>
    <w:rsid w:val="00F24051"/>
    <w:rsid w:val="00F26B1D"/>
    <w:rsid w:val="00F366FF"/>
    <w:rsid w:val="00F43379"/>
    <w:rsid w:val="00F446CE"/>
    <w:rsid w:val="00F534F7"/>
    <w:rsid w:val="00F6492F"/>
    <w:rsid w:val="00F64F41"/>
    <w:rsid w:val="00F704EC"/>
    <w:rsid w:val="00F7078F"/>
    <w:rsid w:val="00F70C4A"/>
    <w:rsid w:val="00F7100E"/>
    <w:rsid w:val="00F739F7"/>
    <w:rsid w:val="00F741A1"/>
    <w:rsid w:val="00F77466"/>
    <w:rsid w:val="00F80067"/>
    <w:rsid w:val="00F84B14"/>
    <w:rsid w:val="00F85C68"/>
    <w:rsid w:val="00F86B41"/>
    <w:rsid w:val="00F91A02"/>
    <w:rsid w:val="00F9278A"/>
    <w:rsid w:val="00F92864"/>
    <w:rsid w:val="00F97585"/>
    <w:rsid w:val="00FA19B9"/>
    <w:rsid w:val="00FA1F4F"/>
    <w:rsid w:val="00FA276E"/>
    <w:rsid w:val="00FA4881"/>
    <w:rsid w:val="00FA65B9"/>
    <w:rsid w:val="00FB05AD"/>
    <w:rsid w:val="00FB0ACF"/>
    <w:rsid w:val="00FB321F"/>
    <w:rsid w:val="00FB34D2"/>
    <w:rsid w:val="00FB7221"/>
    <w:rsid w:val="00FC226E"/>
    <w:rsid w:val="00FC6E17"/>
    <w:rsid w:val="00FD0C35"/>
    <w:rsid w:val="00FD16A2"/>
    <w:rsid w:val="00FD2088"/>
    <w:rsid w:val="00FD6F5F"/>
    <w:rsid w:val="00FE002D"/>
    <w:rsid w:val="00FE1F05"/>
    <w:rsid w:val="00FE5BAC"/>
    <w:rsid w:val="00FF5185"/>
    <w:rsid w:val="00FF5F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1C420F"/>
  <w15:docId w15:val="{604529B5-3107-45C7-A0CE-596AEF890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5AAC"/>
    <w:pPr>
      <w:spacing w:after="240" w:line="320" w:lineRule="atLeast"/>
      <w:jc w:val="both"/>
    </w:pPr>
    <w:rPr>
      <w:rFonts w:ascii="Times New Roman" w:hAnsi="Times New Roman"/>
    </w:rPr>
  </w:style>
  <w:style w:type="paragraph" w:styleId="Ttulo1">
    <w:name w:val="heading 1"/>
    <w:next w:val="Normal"/>
    <w:link w:val="Ttulo1Car"/>
    <w:uiPriority w:val="99"/>
    <w:qFormat/>
    <w:rsid w:val="00DE301F"/>
    <w:pPr>
      <w:keepNext/>
      <w:keepLines/>
      <w:pageBreakBefore/>
      <w:numPr>
        <w:numId w:val="7"/>
      </w:numPr>
      <w:spacing w:after="600" w:line="560" w:lineRule="exact"/>
      <w:outlineLvl w:val="0"/>
    </w:pPr>
    <w:rPr>
      <w:rFonts w:ascii="Times New Roman" w:eastAsiaTheme="majorEastAsia" w:hAnsi="Times New Roman" w:cstheme="majorBidi"/>
      <w:bCs/>
      <w:sz w:val="36"/>
      <w:szCs w:val="28"/>
    </w:rPr>
  </w:style>
  <w:style w:type="paragraph" w:styleId="Ttulo2">
    <w:name w:val="heading 2"/>
    <w:basedOn w:val="Normal"/>
    <w:next w:val="Normal"/>
    <w:link w:val="Ttulo2Car"/>
    <w:uiPriority w:val="99"/>
    <w:unhideWhenUsed/>
    <w:qFormat/>
    <w:rsid w:val="00BE4026"/>
    <w:pPr>
      <w:keepNext/>
      <w:keepLines/>
      <w:numPr>
        <w:ilvl w:val="1"/>
        <w:numId w:val="7"/>
      </w:numPr>
      <w:spacing w:before="360"/>
      <w:outlineLvl w:val="1"/>
    </w:pPr>
    <w:rPr>
      <w:rFonts w:eastAsiaTheme="majorEastAsia" w:cstheme="majorBidi"/>
      <w:b/>
      <w:bCs/>
      <w:sz w:val="24"/>
      <w:szCs w:val="26"/>
    </w:rPr>
  </w:style>
  <w:style w:type="paragraph" w:styleId="Ttulo3">
    <w:name w:val="heading 3"/>
    <w:basedOn w:val="Normal"/>
    <w:next w:val="Normal"/>
    <w:link w:val="Ttulo3Car"/>
    <w:uiPriority w:val="99"/>
    <w:unhideWhenUsed/>
    <w:qFormat/>
    <w:rsid w:val="0013763A"/>
    <w:pPr>
      <w:keepNext/>
      <w:keepLines/>
      <w:numPr>
        <w:ilvl w:val="2"/>
        <w:numId w:val="7"/>
      </w:numPr>
      <w:spacing w:before="360"/>
      <w:outlineLvl w:val="2"/>
    </w:pPr>
    <w:rPr>
      <w:rFonts w:eastAsiaTheme="majorEastAsia" w:cstheme="majorBidi"/>
      <w:b/>
      <w:bCs/>
    </w:rPr>
  </w:style>
  <w:style w:type="paragraph" w:styleId="Ttulo4">
    <w:name w:val="heading 4"/>
    <w:basedOn w:val="Normal"/>
    <w:next w:val="Normal"/>
    <w:link w:val="Ttulo4Car"/>
    <w:uiPriority w:val="9"/>
    <w:unhideWhenUsed/>
    <w:qFormat/>
    <w:rsid w:val="0013763A"/>
    <w:pPr>
      <w:keepNext/>
      <w:keepLines/>
      <w:numPr>
        <w:ilvl w:val="3"/>
        <w:numId w:val="7"/>
      </w:numPr>
      <w:spacing w:before="360"/>
      <w:outlineLvl w:val="3"/>
    </w:pPr>
    <w:rPr>
      <w:rFonts w:eastAsiaTheme="majorEastAsia" w:cstheme="majorBidi"/>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convietas2">
    <w:name w:val="List Bullet 2"/>
    <w:basedOn w:val="Listaconvietas"/>
    <w:next w:val="Listaconvietas"/>
    <w:link w:val="Listaconvietas2Car"/>
    <w:uiPriority w:val="99"/>
    <w:unhideWhenUsed/>
    <w:qFormat/>
    <w:rsid w:val="00634925"/>
    <w:pPr>
      <w:keepLines/>
      <w:numPr>
        <w:numId w:val="2"/>
      </w:numPr>
    </w:pPr>
  </w:style>
  <w:style w:type="paragraph" w:styleId="Encabezado">
    <w:name w:val="header"/>
    <w:link w:val="EncabezadoCar"/>
    <w:unhideWhenUsed/>
    <w:rsid w:val="003C6172"/>
    <w:pPr>
      <w:tabs>
        <w:tab w:val="right" w:pos="9214"/>
      </w:tabs>
      <w:spacing w:after="0" w:line="260" w:lineRule="atLeast"/>
      <w:ind w:left="-499" w:right="-499"/>
      <w:jc w:val="right"/>
    </w:pPr>
    <w:rPr>
      <w:rFonts w:ascii="Arial" w:hAnsi="Arial"/>
      <w:sz w:val="16"/>
    </w:rPr>
  </w:style>
  <w:style w:type="character" w:customStyle="1" w:styleId="EncabezadoCar">
    <w:name w:val="Encabezado Car"/>
    <w:basedOn w:val="Fuentedeprrafopredeter"/>
    <w:link w:val="Encabezado"/>
    <w:uiPriority w:val="99"/>
    <w:rsid w:val="003C6172"/>
    <w:rPr>
      <w:rFonts w:ascii="Arial" w:hAnsi="Arial"/>
      <w:sz w:val="16"/>
    </w:rPr>
  </w:style>
  <w:style w:type="paragraph" w:customStyle="1" w:styleId="Border">
    <w:name w:val="Border"/>
    <w:next w:val="Descripcin"/>
    <w:qFormat/>
    <w:rsid w:val="00D74D08"/>
    <w:pPr>
      <w:spacing w:after="360" w:line="320" w:lineRule="atLeast"/>
      <w:jc w:val="center"/>
    </w:pPr>
    <w:rPr>
      <w:rFonts w:ascii="Times New Roman" w:hAnsi="Times New Roman"/>
    </w:rPr>
  </w:style>
  <w:style w:type="paragraph" w:styleId="Descripcin">
    <w:name w:val="caption"/>
    <w:next w:val="Normal"/>
    <w:link w:val="DescripcinCar"/>
    <w:uiPriority w:val="35"/>
    <w:qFormat/>
    <w:rsid w:val="00FC226E"/>
    <w:pPr>
      <w:keepNext/>
      <w:pBdr>
        <w:bottom w:val="single" w:sz="6" w:space="3" w:color="A6A6A6"/>
      </w:pBdr>
      <w:tabs>
        <w:tab w:val="left" w:pos="2041"/>
      </w:tabs>
      <w:spacing w:after="160" w:line="280" w:lineRule="atLeast"/>
    </w:pPr>
    <w:rPr>
      <w:rFonts w:ascii="Arial" w:hAnsi="Arial" w:cs="Arial"/>
      <w:bCs/>
      <w:i/>
      <w:sz w:val="18"/>
      <w:szCs w:val="18"/>
    </w:rPr>
  </w:style>
  <w:style w:type="paragraph" w:customStyle="1" w:styleId="Captionsmall">
    <w:name w:val="Caption: small"/>
    <w:basedOn w:val="Descripcin"/>
    <w:next w:val="Normal"/>
    <w:qFormat/>
    <w:rsid w:val="00517391"/>
    <w:pPr>
      <w:spacing w:after="0"/>
      <w:ind w:left="113" w:right="113"/>
    </w:pPr>
  </w:style>
  <w:style w:type="paragraph" w:customStyle="1" w:styleId="Bordersmall">
    <w:name w:val="Border: small"/>
    <w:basedOn w:val="Border"/>
    <w:qFormat/>
    <w:rsid w:val="00517391"/>
    <w:pPr>
      <w:spacing w:after="0"/>
    </w:pPr>
  </w:style>
  <w:style w:type="paragraph" w:customStyle="1" w:styleId="Emphasised">
    <w:name w:val="Emphasised"/>
    <w:basedOn w:val="Normal"/>
    <w:qFormat/>
    <w:rsid w:val="001E4098"/>
    <w:pPr>
      <w:keepLines/>
      <w:pBdr>
        <w:top w:val="single" w:sz="2" w:space="2" w:color="auto"/>
        <w:bottom w:val="single" w:sz="2" w:space="5" w:color="auto"/>
      </w:pBdr>
      <w:ind w:left="284" w:right="284"/>
    </w:pPr>
  </w:style>
  <w:style w:type="character" w:customStyle="1" w:styleId="HeaderChar">
    <w:name w:val="Header Char"/>
    <w:basedOn w:val="Fuentedeprrafopredeter"/>
    <w:uiPriority w:val="99"/>
    <w:semiHidden/>
    <w:rsid w:val="00DB2804"/>
    <w:rPr>
      <w:rFonts w:ascii="Arial" w:hAnsi="Arial"/>
      <w:sz w:val="16"/>
    </w:rPr>
  </w:style>
  <w:style w:type="character" w:customStyle="1" w:styleId="Listaconvietas2Car">
    <w:name w:val="Lista con viñetas 2 Car"/>
    <w:basedOn w:val="Fuentedeprrafopredeter"/>
    <w:link w:val="Listaconvietas2"/>
    <w:uiPriority w:val="99"/>
    <w:rsid w:val="00634925"/>
    <w:rPr>
      <w:rFonts w:ascii="Times New Roman" w:hAnsi="Times New Roman"/>
    </w:rPr>
  </w:style>
  <w:style w:type="paragraph" w:styleId="Textonotapie">
    <w:name w:val="footnote text"/>
    <w:aliases w:val="Footnote,Fußnote,Texto nota pie Car2,Texto nota pie Car1 Car,Texto nota pie Car Car Car,Texto nota pie Car Car1,Texto nota pie Car2 Car Car1,Texto nota pie Car1 Car Car Car1,Texto nota pie Car Car Car Car Car1,Footnote Text Char3,Car,5_G"/>
    <w:link w:val="TextonotapieCar"/>
    <w:uiPriority w:val="99"/>
    <w:unhideWhenUsed/>
    <w:qFormat/>
    <w:rsid w:val="00A705E9"/>
    <w:pPr>
      <w:spacing w:after="100" w:line="240" w:lineRule="auto"/>
      <w:ind w:left="499" w:hanging="499"/>
      <w:jc w:val="both"/>
    </w:pPr>
    <w:rPr>
      <w:rFonts w:ascii="Arial" w:hAnsi="Arial"/>
      <w:sz w:val="16"/>
      <w:szCs w:val="20"/>
    </w:rPr>
  </w:style>
  <w:style w:type="character" w:customStyle="1" w:styleId="FooterChar">
    <w:name w:val="Footer Char"/>
    <w:basedOn w:val="Fuentedeprrafopredeter"/>
    <w:uiPriority w:val="99"/>
    <w:rsid w:val="004E3222"/>
    <w:rPr>
      <w:rFonts w:ascii="Arial" w:hAnsi="Arial"/>
      <w:sz w:val="16"/>
    </w:rPr>
  </w:style>
  <w:style w:type="character" w:styleId="Hipervnculo">
    <w:name w:val="Hyperlink"/>
    <w:basedOn w:val="Fuentedeprrafopredeter"/>
    <w:uiPriority w:val="99"/>
    <w:unhideWhenUsed/>
    <w:rsid w:val="000C6C0D"/>
    <w:rPr>
      <w:color w:val="auto"/>
      <w:u w:val="none"/>
    </w:rPr>
  </w:style>
  <w:style w:type="character" w:styleId="Hipervnculovisitado">
    <w:name w:val="FollowedHyperlink"/>
    <w:basedOn w:val="Fuentedeprrafopredeter"/>
    <w:uiPriority w:val="99"/>
    <w:semiHidden/>
    <w:unhideWhenUsed/>
    <w:rsid w:val="000C6C0D"/>
    <w:rPr>
      <w:color w:val="800080" w:themeColor="followedHyperlink"/>
      <w:u w:val="single"/>
    </w:rPr>
  </w:style>
  <w:style w:type="paragraph" w:styleId="Listaconvietas">
    <w:name w:val="List Bullet"/>
    <w:basedOn w:val="Normal"/>
    <w:uiPriority w:val="99"/>
    <w:unhideWhenUsed/>
    <w:qFormat/>
    <w:rsid w:val="00607E5F"/>
    <w:pPr>
      <w:numPr>
        <w:numId w:val="1"/>
      </w:numPr>
    </w:pPr>
  </w:style>
  <w:style w:type="paragraph" w:customStyle="1" w:styleId="ListBulletCompact">
    <w:name w:val="List Bullet Compact"/>
    <w:basedOn w:val="Listaconvietas"/>
    <w:qFormat/>
    <w:rsid w:val="00685F22"/>
    <w:pPr>
      <w:spacing w:after="0"/>
    </w:pPr>
  </w:style>
  <w:style w:type="paragraph" w:customStyle="1" w:styleId="ListBullet2Compact">
    <w:name w:val="List Bullet 2 Compact"/>
    <w:basedOn w:val="Listaconvietas2"/>
    <w:qFormat/>
    <w:rsid w:val="00634925"/>
    <w:pPr>
      <w:numPr>
        <w:numId w:val="9"/>
      </w:numPr>
      <w:spacing w:after="0"/>
      <w:ind w:left="714" w:hanging="357"/>
    </w:pPr>
  </w:style>
  <w:style w:type="paragraph" w:styleId="Listaconnmeros">
    <w:name w:val="List Number"/>
    <w:basedOn w:val="Normal"/>
    <w:uiPriority w:val="99"/>
    <w:semiHidden/>
    <w:unhideWhenUsed/>
    <w:rsid w:val="003934A0"/>
    <w:pPr>
      <w:numPr>
        <w:numId w:val="3"/>
      </w:numPr>
      <w:contextualSpacing/>
    </w:pPr>
  </w:style>
  <w:style w:type="paragraph" w:customStyle="1" w:styleId="Annex1">
    <w:name w:val="Annex 1"/>
    <w:next w:val="Normal"/>
    <w:qFormat/>
    <w:rsid w:val="00444DA5"/>
    <w:pPr>
      <w:keepNext/>
      <w:pageBreakBefore/>
      <w:numPr>
        <w:numId w:val="4"/>
      </w:numPr>
      <w:spacing w:after="600" w:line="560" w:lineRule="exact"/>
      <w:outlineLvl w:val="0"/>
    </w:pPr>
    <w:rPr>
      <w:rFonts w:ascii="Times New Roman" w:hAnsi="Times New Roman"/>
      <w:sz w:val="36"/>
    </w:rPr>
  </w:style>
  <w:style w:type="paragraph" w:styleId="Sangradetextonormal">
    <w:name w:val="Body Text Indent"/>
    <w:basedOn w:val="Normal"/>
    <w:link w:val="SangradetextonormalCar"/>
    <w:uiPriority w:val="99"/>
    <w:semiHidden/>
    <w:unhideWhenUsed/>
    <w:rsid w:val="00C164D3"/>
    <w:pPr>
      <w:spacing w:after="120"/>
      <w:ind w:left="283"/>
    </w:pPr>
  </w:style>
  <w:style w:type="character" w:customStyle="1" w:styleId="SangradetextonormalCar">
    <w:name w:val="Sangría de texto normal Car"/>
    <w:basedOn w:val="Fuentedeprrafopredeter"/>
    <w:link w:val="Sangradetextonormal"/>
    <w:uiPriority w:val="99"/>
    <w:semiHidden/>
    <w:rsid w:val="00C164D3"/>
    <w:rPr>
      <w:rFonts w:ascii="Times New Roman" w:hAnsi="Times New Roman"/>
    </w:rPr>
  </w:style>
  <w:style w:type="character" w:customStyle="1" w:styleId="Ttulo1Car">
    <w:name w:val="Título 1 Car"/>
    <w:basedOn w:val="Fuentedeprrafopredeter"/>
    <w:link w:val="Ttulo1"/>
    <w:uiPriority w:val="99"/>
    <w:rsid w:val="00DE301F"/>
    <w:rPr>
      <w:rFonts w:ascii="Times New Roman" w:eastAsiaTheme="majorEastAsia" w:hAnsi="Times New Roman" w:cstheme="majorBidi"/>
      <w:bCs/>
      <w:sz w:val="36"/>
      <w:szCs w:val="28"/>
    </w:rPr>
  </w:style>
  <w:style w:type="character" w:customStyle="1" w:styleId="Ttulo2Car">
    <w:name w:val="Título 2 Car"/>
    <w:basedOn w:val="Fuentedeprrafopredeter"/>
    <w:link w:val="Ttulo2"/>
    <w:uiPriority w:val="99"/>
    <w:rsid w:val="00BE4026"/>
    <w:rPr>
      <w:rFonts w:ascii="Times New Roman" w:eastAsiaTheme="majorEastAsia" w:hAnsi="Times New Roman" w:cstheme="majorBidi"/>
      <w:b/>
      <w:bCs/>
      <w:sz w:val="24"/>
      <w:szCs w:val="26"/>
    </w:rPr>
  </w:style>
  <w:style w:type="character" w:customStyle="1" w:styleId="Ttulo3Car">
    <w:name w:val="Título 3 Car"/>
    <w:basedOn w:val="Fuentedeprrafopredeter"/>
    <w:link w:val="Ttulo3"/>
    <w:uiPriority w:val="99"/>
    <w:rsid w:val="0013763A"/>
    <w:rPr>
      <w:rFonts w:ascii="Times New Roman" w:eastAsiaTheme="majorEastAsia" w:hAnsi="Times New Roman" w:cstheme="majorBidi"/>
      <w:b/>
      <w:bCs/>
    </w:rPr>
  </w:style>
  <w:style w:type="numbering" w:styleId="1ai">
    <w:name w:val="Outline List 1"/>
    <w:basedOn w:val="Sinlista"/>
    <w:uiPriority w:val="99"/>
    <w:unhideWhenUsed/>
    <w:rsid w:val="003C6172"/>
    <w:pPr>
      <w:numPr>
        <w:numId w:val="5"/>
      </w:numPr>
    </w:pPr>
  </w:style>
  <w:style w:type="character" w:customStyle="1" w:styleId="TextonotapieCar">
    <w:name w:val="Texto nota pie Car"/>
    <w:aliases w:val="Footnote Car,Fußnote Car,Texto nota pie Car2 Car,Texto nota pie Car1 Car Car,Texto nota pie Car Car Car Car,Texto nota pie Car Car1 Car,Texto nota pie Car2 Car Car1 Car,Texto nota pie Car1 Car Car Car1 Car,Footnote Text Char3 Car"/>
    <w:basedOn w:val="Fuentedeprrafopredeter"/>
    <w:link w:val="Textonotapie"/>
    <w:uiPriority w:val="99"/>
    <w:rsid w:val="00A705E9"/>
    <w:rPr>
      <w:rFonts w:ascii="Arial" w:hAnsi="Arial"/>
      <w:sz w:val="16"/>
      <w:szCs w:val="20"/>
    </w:rPr>
  </w:style>
  <w:style w:type="character" w:styleId="Refdenotaalpie">
    <w:name w:val="footnote reference"/>
    <w:aliases w:val="Footnote Reference Superscript,fr,o,Style 6,(NECG) Footnote Reference,Style 3,Appel note de bas de p,Style 12,Style 124,Style 13,FR,Style 17,Footnote Reference/,Ref,de nota al pie,Ref. de nota al pie 2"/>
    <w:basedOn w:val="Fuentedeprrafopredeter"/>
    <w:uiPriority w:val="99"/>
    <w:unhideWhenUsed/>
    <w:rsid w:val="00486181"/>
    <w:rPr>
      <w:rFonts w:ascii="Arial" w:hAnsi="Arial"/>
      <w:b w:val="0"/>
      <w:i w:val="0"/>
      <w:sz w:val="20"/>
      <w:vertAlign w:val="superscript"/>
    </w:rPr>
  </w:style>
  <w:style w:type="paragraph" w:styleId="Piedepgina">
    <w:name w:val="footer"/>
    <w:link w:val="PiedepginaCar"/>
    <w:unhideWhenUsed/>
    <w:rsid w:val="00647B4E"/>
    <w:pPr>
      <w:tabs>
        <w:tab w:val="center" w:pos="4394"/>
        <w:tab w:val="right" w:pos="9214"/>
      </w:tabs>
      <w:spacing w:after="0" w:line="260" w:lineRule="atLeast"/>
      <w:ind w:left="-499" w:right="-499"/>
    </w:pPr>
    <w:rPr>
      <w:rFonts w:ascii="Arial" w:hAnsi="Arial"/>
      <w:sz w:val="16"/>
    </w:rPr>
  </w:style>
  <w:style w:type="character" w:customStyle="1" w:styleId="PiedepginaCar">
    <w:name w:val="Pie de página Car"/>
    <w:basedOn w:val="Fuentedeprrafopredeter"/>
    <w:link w:val="Piedepgina"/>
    <w:uiPriority w:val="99"/>
    <w:rsid w:val="00647B4E"/>
    <w:rPr>
      <w:rFonts w:ascii="Arial" w:hAnsi="Arial"/>
      <w:sz w:val="16"/>
    </w:rPr>
  </w:style>
  <w:style w:type="character" w:styleId="Nmerodepgina">
    <w:name w:val="page number"/>
    <w:basedOn w:val="Fuentedeprrafopredeter"/>
    <w:unhideWhenUsed/>
    <w:rsid w:val="000A7C0A"/>
  </w:style>
  <w:style w:type="paragraph" w:customStyle="1" w:styleId="I1">
    <w:name w:val="I1"/>
    <w:basedOn w:val="Listaconvietas"/>
    <w:rsid w:val="00C21F9B"/>
  </w:style>
  <w:style w:type="paragraph" w:customStyle="1" w:styleId="II">
    <w:name w:val="II"/>
    <w:basedOn w:val="Listaconvietas2"/>
    <w:link w:val="IIChar"/>
    <w:qFormat/>
    <w:rsid w:val="007A2BB9"/>
  </w:style>
  <w:style w:type="character" w:customStyle="1" w:styleId="IIChar">
    <w:name w:val="II Char"/>
    <w:basedOn w:val="Listaconvietas2Car"/>
    <w:link w:val="II"/>
    <w:rsid w:val="007A2BB9"/>
    <w:rPr>
      <w:rFonts w:ascii="Times New Roman" w:hAnsi="Times New Roman"/>
    </w:rPr>
  </w:style>
  <w:style w:type="paragraph" w:customStyle="1" w:styleId="LL">
    <w:name w:val="LL"/>
    <w:basedOn w:val="ListBullet2Compact"/>
    <w:rsid w:val="002750D4"/>
  </w:style>
  <w:style w:type="paragraph" w:customStyle="1" w:styleId="SBSheader">
    <w:name w:val="SBS: header"/>
    <w:basedOn w:val="Normal"/>
    <w:qFormat/>
    <w:rsid w:val="007D382C"/>
    <w:pPr>
      <w:jc w:val="left"/>
    </w:pPr>
    <w:rPr>
      <w:i/>
    </w:rPr>
  </w:style>
  <w:style w:type="paragraph" w:customStyle="1" w:styleId="Tablecells">
    <w:name w:val="Table: cells"/>
    <w:qFormat/>
    <w:rsid w:val="00A73836"/>
    <w:pPr>
      <w:spacing w:before="40" w:after="40" w:line="240" w:lineRule="exact"/>
      <w:ind w:right="113"/>
    </w:pPr>
    <w:rPr>
      <w:rFonts w:ascii="Arial" w:hAnsi="Arial"/>
      <w:sz w:val="18"/>
    </w:rPr>
  </w:style>
  <w:style w:type="paragraph" w:customStyle="1" w:styleId="Tableheading">
    <w:name w:val="Table: heading"/>
    <w:basedOn w:val="Tablecells"/>
    <w:next w:val="Tablecells"/>
    <w:qFormat/>
    <w:rsid w:val="00A73836"/>
    <w:pPr>
      <w:keepNext/>
    </w:pPr>
    <w:rPr>
      <w:b/>
      <w:color w:val="FFFFFF"/>
    </w:rPr>
  </w:style>
  <w:style w:type="paragraph" w:customStyle="1" w:styleId="Tablenote">
    <w:name w:val="Table: note"/>
    <w:basedOn w:val="Tablecells"/>
    <w:qFormat/>
    <w:rsid w:val="007236F8"/>
    <w:pPr>
      <w:pBdr>
        <w:bottom w:val="single" w:sz="4" w:space="9" w:color="auto"/>
      </w:pBdr>
      <w:spacing w:before="100" w:after="0"/>
      <w:ind w:left="357" w:right="0" w:hanging="357"/>
    </w:pPr>
  </w:style>
  <w:style w:type="paragraph" w:customStyle="1" w:styleId="Tablebullet">
    <w:name w:val="Table: bullet"/>
    <w:basedOn w:val="Tablecells"/>
    <w:qFormat/>
    <w:rsid w:val="0053181C"/>
    <w:pPr>
      <w:numPr>
        <w:numId w:val="6"/>
      </w:numPr>
      <w:ind w:left="227" w:hanging="227"/>
    </w:pPr>
  </w:style>
  <w:style w:type="paragraph" w:styleId="TDC2">
    <w:name w:val="toc 2"/>
    <w:basedOn w:val="TDC1"/>
    <w:next w:val="Normal"/>
    <w:autoRedefine/>
    <w:uiPriority w:val="39"/>
    <w:unhideWhenUsed/>
    <w:rsid w:val="00EA7B6F"/>
    <w:pPr>
      <w:keepNext w:val="0"/>
      <w:spacing w:before="0"/>
    </w:pPr>
    <w:rPr>
      <w:b w:val="0"/>
      <w:noProof/>
    </w:rPr>
  </w:style>
  <w:style w:type="paragraph" w:styleId="Textocomentario">
    <w:name w:val="annotation text"/>
    <w:basedOn w:val="Normal"/>
    <w:link w:val="TextocomentarioCar"/>
    <w:uiPriority w:val="99"/>
    <w:unhideWhenUsed/>
    <w:rsid w:val="00AD06B7"/>
    <w:pPr>
      <w:spacing w:line="240" w:lineRule="auto"/>
    </w:pPr>
    <w:rPr>
      <w:sz w:val="20"/>
      <w:szCs w:val="20"/>
    </w:rPr>
  </w:style>
  <w:style w:type="character" w:customStyle="1" w:styleId="TextocomentarioCar">
    <w:name w:val="Texto comentario Car"/>
    <w:basedOn w:val="Fuentedeprrafopredeter"/>
    <w:link w:val="Textocomentario"/>
    <w:uiPriority w:val="99"/>
    <w:rsid w:val="00AD06B7"/>
    <w:rPr>
      <w:rFonts w:ascii="Times New Roman" w:hAnsi="Times New Roman"/>
      <w:sz w:val="20"/>
      <w:szCs w:val="20"/>
    </w:rPr>
  </w:style>
  <w:style w:type="character" w:customStyle="1" w:styleId="ConfidentialFooter">
    <w:name w:val="ConfidentialFooter"/>
    <w:basedOn w:val="Fuentedeprrafopredeter"/>
    <w:uiPriority w:val="1"/>
    <w:rsid w:val="00AD06B7"/>
    <w:rPr>
      <w:color w:val="FFFFFF"/>
      <w:sz w:val="2"/>
    </w:rPr>
  </w:style>
  <w:style w:type="paragraph" w:customStyle="1" w:styleId="ConfidentialFront">
    <w:name w:val="ConfidentialFront"/>
    <w:basedOn w:val="Normal"/>
    <w:qFormat/>
    <w:rsid w:val="00B13207"/>
    <w:pPr>
      <w:spacing w:before="960"/>
      <w:ind w:left="-227"/>
    </w:pPr>
    <w:rPr>
      <w:rFonts w:ascii="Arial" w:hAnsi="Arial"/>
      <w:color w:val="FFFFFF"/>
      <w:sz w:val="2"/>
    </w:rPr>
  </w:style>
  <w:style w:type="paragraph" w:customStyle="1" w:styleId="H5">
    <w:name w:val="H5"/>
    <w:basedOn w:val="Normal"/>
    <w:next w:val="Normal"/>
    <w:link w:val="H5Char"/>
    <w:qFormat/>
    <w:rsid w:val="00696966"/>
    <w:pPr>
      <w:keepNext/>
      <w:numPr>
        <w:numId w:val="8"/>
      </w:numPr>
      <w:spacing w:after="200"/>
      <w:ind w:left="357" w:hanging="357"/>
    </w:pPr>
    <w:rPr>
      <w:i/>
    </w:rPr>
  </w:style>
  <w:style w:type="character" w:customStyle="1" w:styleId="H5Char">
    <w:name w:val="H5 Char"/>
    <w:basedOn w:val="Fuentedeprrafopredeter"/>
    <w:link w:val="H5"/>
    <w:rsid w:val="00696966"/>
    <w:rPr>
      <w:rFonts w:ascii="Times New Roman" w:hAnsi="Times New Roman"/>
      <w:i/>
    </w:rPr>
  </w:style>
  <w:style w:type="paragraph" w:styleId="TDC1">
    <w:name w:val="toc 1"/>
    <w:basedOn w:val="Normal"/>
    <w:next w:val="Normal"/>
    <w:autoRedefine/>
    <w:uiPriority w:val="39"/>
    <w:semiHidden/>
    <w:unhideWhenUsed/>
    <w:rsid w:val="00830B7D"/>
    <w:pPr>
      <w:keepNext/>
      <w:tabs>
        <w:tab w:val="left" w:pos="635"/>
        <w:tab w:val="right" w:pos="8789"/>
      </w:tabs>
      <w:spacing w:before="240" w:after="0"/>
    </w:pPr>
    <w:rPr>
      <w:b/>
    </w:rPr>
  </w:style>
  <w:style w:type="paragraph" w:styleId="TDC3">
    <w:name w:val="toc 3"/>
    <w:basedOn w:val="TDC2"/>
    <w:next w:val="Normal"/>
    <w:autoRedefine/>
    <w:uiPriority w:val="39"/>
    <w:unhideWhenUsed/>
    <w:rsid w:val="00EA7B6F"/>
    <w:rPr>
      <w:sz w:val="20"/>
    </w:rPr>
  </w:style>
  <w:style w:type="paragraph" w:styleId="TDC4">
    <w:name w:val="toc 4"/>
    <w:basedOn w:val="TDC3"/>
    <w:next w:val="Normal"/>
    <w:autoRedefine/>
    <w:uiPriority w:val="39"/>
    <w:unhideWhenUsed/>
    <w:rsid w:val="00EA7B6F"/>
  </w:style>
  <w:style w:type="character" w:customStyle="1" w:styleId="Ttulo4Car">
    <w:name w:val="Título 4 Car"/>
    <w:basedOn w:val="Fuentedeprrafopredeter"/>
    <w:link w:val="Ttulo4"/>
    <w:uiPriority w:val="9"/>
    <w:rsid w:val="0013763A"/>
    <w:rPr>
      <w:rFonts w:ascii="Times New Roman" w:eastAsiaTheme="majorEastAsia" w:hAnsi="Times New Roman" w:cstheme="majorBidi"/>
      <w:bCs/>
      <w:i/>
      <w:iCs/>
    </w:rPr>
  </w:style>
  <w:style w:type="paragraph" w:customStyle="1" w:styleId="Annex2">
    <w:name w:val="Annex 2"/>
    <w:next w:val="Normal"/>
    <w:qFormat/>
    <w:rsid w:val="000C49E3"/>
    <w:pPr>
      <w:keepNext/>
      <w:numPr>
        <w:ilvl w:val="1"/>
        <w:numId w:val="4"/>
      </w:numPr>
      <w:spacing w:before="360" w:line="320" w:lineRule="atLeast"/>
    </w:pPr>
    <w:rPr>
      <w:rFonts w:ascii="Times New Roman" w:hAnsi="Times New Roman"/>
      <w:b/>
      <w:sz w:val="24"/>
    </w:rPr>
  </w:style>
  <w:style w:type="paragraph" w:customStyle="1" w:styleId="Annex3">
    <w:name w:val="Annex 3"/>
    <w:next w:val="Normal"/>
    <w:qFormat/>
    <w:rsid w:val="000C49E3"/>
    <w:pPr>
      <w:keepNext/>
      <w:numPr>
        <w:ilvl w:val="2"/>
        <w:numId w:val="4"/>
      </w:numPr>
      <w:spacing w:before="360" w:after="240" w:line="320" w:lineRule="atLeast"/>
    </w:pPr>
    <w:rPr>
      <w:rFonts w:ascii="Times New Roman" w:hAnsi="Times New Roman"/>
      <w:b/>
    </w:rPr>
  </w:style>
  <w:style w:type="paragraph" w:customStyle="1" w:styleId="Annex4">
    <w:name w:val="Annex 4"/>
    <w:next w:val="Normal"/>
    <w:qFormat/>
    <w:rsid w:val="00B001F8"/>
    <w:pPr>
      <w:keepNext/>
      <w:numPr>
        <w:ilvl w:val="3"/>
        <w:numId w:val="4"/>
      </w:numPr>
      <w:spacing w:before="360" w:after="240" w:line="320" w:lineRule="atLeast"/>
    </w:pPr>
    <w:rPr>
      <w:rFonts w:ascii="Times New Roman" w:hAnsi="Times New Roman"/>
      <w:i/>
    </w:rPr>
  </w:style>
  <w:style w:type="paragraph" w:customStyle="1" w:styleId="cvcont">
    <w:name w:val="cvcont"/>
    <w:basedOn w:val="Normal"/>
    <w:next w:val="Normal"/>
    <w:qFormat/>
    <w:rsid w:val="00D34F31"/>
    <w:pPr>
      <w:spacing w:before="300" w:line="240" w:lineRule="exact"/>
      <w:ind w:left="-499" w:right="-499"/>
      <w:jc w:val="left"/>
    </w:pPr>
    <w:rPr>
      <w:b/>
      <w:sz w:val="18"/>
    </w:rPr>
  </w:style>
  <w:style w:type="paragraph" w:customStyle="1" w:styleId="Titletype">
    <w:name w:val="Title: type"/>
    <w:next w:val="Titlemain"/>
    <w:qFormat/>
    <w:rsid w:val="00752327"/>
    <w:pPr>
      <w:spacing w:before="1160" w:after="240" w:line="510" w:lineRule="exact"/>
      <w:ind w:left="-227" w:right="2268"/>
    </w:pPr>
    <w:rPr>
      <w:rFonts w:ascii="Arial" w:eastAsiaTheme="majorEastAsia" w:hAnsi="Arial" w:cstheme="majorBidi"/>
      <w:bCs/>
      <w:color w:val="A71930"/>
      <w:spacing w:val="8"/>
      <w:sz w:val="30"/>
      <w:szCs w:val="28"/>
    </w:rPr>
  </w:style>
  <w:style w:type="paragraph" w:customStyle="1" w:styleId="Titlemain">
    <w:name w:val="Title: main"/>
    <w:next w:val="Titleauthor"/>
    <w:qFormat/>
    <w:rsid w:val="00320F3B"/>
    <w:pPr>
      <w:spacing w:after="240" w:line="510" w:lineRule="exact"/>
      <w:ind w:left="-227" w:right="2268"/>
    </w:pPr>
    <w:rPr>
      <w:rFonts w:ascii="Arial" w:eastAsiaTheme="majorEastAsia" w:hAnsi="Arial" w:cstheme="majorBidi"/>
      <w:bCs/>
      <w:color w:val="003478"/>
      <w:spacing w:val="8"/>
      <w:sz w:val="38"/>
      <w:szCs w:val="28"/>
    </w:rPr>
  </w:style>
  <w:style w:type="paragraph" w:customStyle="1" w:styleId="Titleauthor">
    <w:name w:val="Title: author"/>
    <w:basedOn w:val="Titletype"/>
    <w:next w:val="Titledate"/>
    <w:qFormat/>
    <w:rsid w:val="002061B5"/>
    <w:pPr>
      <w:spacing w:before="0"/>
    </w:pPr>
  </w:style>
  <w:style w:type="paragraph" w:customStyle="1" w:styleId="Titledate">
    <w:name w:val="Title: date"/>
    <w:basedOn w:val="Titlemain"/>
    <w:next w:val="TitleRefNo"/>
    <w:qFormat/>
    <w:rsid w:val="00AA02E1"/>
    <w:pPr>
      <w:spacing w:after="0"/>
    </w:pPr>
    <w:rPr>
      <w:i/>
      <w:sz w:val="30"/>
    </w:rPr>
  </w:style>
  <w:style w:type="paragraph" w:customStyle="1" w:styleId="TitleRefNo">
    <w:name w:val="Title: RefNo"/>
    <w:basedOn w:val="Titledate"/>
    <w:next w:val="Normal"/>
    <w:qFormat/>
    <w:rsid w:val="00FE5BAC"/>
    <w:rPr>
      <w:i w:val="0"/>
      <w:sz w:val="22"/>
    </w:rPr>
  </w:style>
  <w:style w:type="paragraph" w:customStyle="1" w:styleId="B1">
    <w:name w:val="B1"/>
    <w:basedOn w:val="Emphasised"/>
    <w:qFormat/>
    <w:rsid w:val="00C556AB"/>
  </w:style>
  <w:style w:type="paragraph" w:customStyle="1" w:styleId="Contentsheading">
    <w:name w:val="Contents: heading"/>
    <w:basedOn w:val="Normal"/>
    <w:next w:val="TDC1"/>
    <w:qFormat/>
    <w:rsid w:val="00E81B4B"/>
    <w:pPr>
      <w:spacing w:after="560" w:line="720" w:lineRule="exact"/>
    </w:pPr>
    <w:rPr>
      <w:sz w:val="40"/>
    </w:rPr>
  </w:style>
  <w:style w:type="paragraph" w:customStyle="1" w:styleId="Contentssubsection">
    <w:name w:val="Contents: subsection"/>
    <w:basedOn w:val="Normal"/>
    <w:next w:val="TDC1"/>
    <w:qFormat/>
    <w:rsid w:val="0069500B"/>
    <w:pPr>
      <w:spacing w:before="360" w:after="0"/>
    </w:pPr>
    <w:rPr>
      <w:b/>
      <w:sz w:val="26"/>
    </w:rPr>
  </w:style>
  <w:style w:type="paragraph" w:customStyle="1" w:styleId="cvhead">
    <w:name w:val="cvhead"/>
    <w:basedOn w:val="Normal"/>
    <w:next w:val="Normal"/>
    <w:qFormat/>
    <w:rsid w:val="00780CD0"/>
    <w:pPr>
      <w:keepNext/>
      <w:spacing w:after="400" w:line="400" w:lineRule="exact"/>
      <w:ind w:left="-499"/>
    </w:pPr>
    <w:rPr>
      <w:b/>
      <w:sz w:val="30"/>
    </w:rPr>
  </w:style>
  <w:style w:type="paragraph" w:customStyle="1" w:styleId="cvsec">
    <w:name w:val="cvsec"/>
    <w:basedOn w:val="Normal"/>
    <w:next w:val="Normal"/>
    <w:qFormat/>
    <w:rsid w:val="00D34F31"/>
    <w:pPr>
      <w:keepNext/>
      <w:spacing w:before="240"/>
      <w:ind w:left="-499"/>
    </w:pPr>
    <w:rPr>
      <w:b/>
    </w:rPr>
  </w:style>
  <w:style w:type="paragraph" w:customStyle="1" w:styleId="01">
    <w:name w:val="01"/>
    <w:basedOn w:val="Normal"/>
    <w:qFormat/>
    <w:rsid w:val="00C911BF"/>
    <w:pPr>
      <w:spacing w:after="0"/>
    </w:pPr>
  </w:style>
  <w:style w:type="paragraph" w:customStyle="1" w:styleId="Titleaddress">
    <w:name w:val="Title: address"/>
    <w:basedOn w:val="01"/>
    <w:qFormat/>
    <w:rsid w:val="005C4F3F"/>
    <w:pPr>
      <w:ind w:left="567"/>
    </w:pPr>
  </w:style>
  <w:style w:type="paragraph" w:customStyle="1" w:styleId="L1">
    <w:name w:val="L1"/>
    <w:basedOn w:val="ListBulletCompact"/>
    <w:qFormat/>
    <w:rsid w:val="00BB3B88"/>
  </w:style>
  <w:style w:type="paragraph" w:customStyle="1" w:styleId="Contentstitle">
    <w:name w:val="Contents: title"/>
    <w:basedOn w:val="Normal"/>
    <w:rsid w:val="001C54DD"/>
    <w:pPr>
      <w:spacing w:before="120" w:line="480" w:lineRule="exact"/>
      <w:ind w:left="567" w:right="567"/>
      <w:jc w:val="center"/>
    </w:pPr>
    <w:rPr>
      <w:rFonts w:eastAsia="Times New Roman" w:cs="Times New Roman"/>
      <w:sz w:val="38"/>
      <w:szCs w:val="20"/>
    </w:rPr>
  </w:style>
  <w:style w:type="paragraph" w:customStyle="1" w:styleId="Contentsrefno">
    <w:name w:val="Contents: refno"/>
    <w:basedOn w:val="Normal"/>
    <w:next w:val="Ttulo2"/>
    <w:rsid w:val="002D5AAC"/>
    <w:pPr>
      <w:spacing w:before="80" w:after="160" w:line="280" w:lineRule="exact"/>
      <w:jc w:val="left"/>
    </w:pPr>
    <w:rPr>
      <w:rFonts w:eastAsia="Times New Roman" w:cs="Times New Roman"/>
      <w:sz w:val="26"/>
      <w:szCs w:val="20"/>
    </w:rPr>
  </w:style>
  <w:style w:type="paragraph" w:customStyle="1" w:styleId="Contentsdate">
    <w:name w:val="Contents: date"/>
    <w:basedOn w:val="Contentsrefno"/>
    <w:rsid w:val="002D5AAC"/>
    <w:pPr>
      <w:jc w:val="right"/>
    </w:pPr>
  </w:style>
  <w:style w:type="paragraph" w:styleId="Prrafodelista">
    <w:name w:val="List Paragraph"/>
    <w:aliases w:val="CNBV Parrafo1,4 Viñ 1nivel"/>
    <w:basedOn w:val="Normal"/>
    <w:link w:val="PrrafodelistaCar"/>
    <w:uiPriority w:val="1"/>
    <w:qFormat/>
    <w:rsid w:val="009803EB"/>
    <w:pPr>
      <w:ind w:left="720"/>
      <w:contextualSpacing/>
    </w:pPr>
    <w:rPr>
      <w:rFonts w:eastAsia="Calibri" w:cs="Times New Roman"/>
      <w:lang w:val="es-ES"/>
    </w:rPr>
  </w:style>
  <w:style w:type="character" w:styleId="Textodelmarcadordeposicin">
    <w:name w:val="Placeholder Text"/>
    <w:basedOn w:val="Fuentedeprrafopredeter"/>
    <w:uiPriority w:val="99"/>
    <w:semiHidden/>
    <w:rsid w:val="009803EB"/>
    <w:rPr>
      <w:color w:val="808080"/>
    </w:rPr>
  </w:style>
  <w:style w:type="table" w:styleId="Tablaconcuadrcula">
    <w:name w:val="Table Grid"/>
    <w:basedOn w:val="Tablanormal"/>
    <w:uiPriority w:val="59"/>
    <w:rsid w:val="00980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2-nfasis1">
    <w:name w:val="Medium Shading 2 Accent 1"/>
    <w:basedOn w:val="Tablanormal"/>
    <w:uiPriority w:val="64"/>
    <w:rsid w:val="009803E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extodeglobo">
    <w:name w:val="Balloon Text"/>
    <w:basedOn w:val="Normal"/>
    <w:link w:val="TextodegloboCar"/>
    <w:uiPriority w:val="99"/>
    <w:semiHidden/>
    <w:unhideWhenUsed/>
    <w:rsid w:val="009803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03EB"/>
    <w:rPr>
      <w:rFonts w:ascii="Tahoma" w:hAnsi="Tahoma" w:cs="Tahoma"/>
      <w:sz w:val="16"/>
      <w:szCs w:val="16"/>
    </w:rPr>
  </w:style>
  <w:style w:type="character" w:styleId="Refdecomentario">
    <w:name w:val="annotation reference"/>
    <w:basedOn w:val="Fuentedeprrafopredeter"/>
    <w:uiPriority w:val="99"/>
    <w:unhideWhenUsed/>
    <w:rsid w:val="001438D2"/>
    <w:rPr>
      <w:sz w:val="16"/>
      <w:szCs w:val="16"/>
    </w:rPr>
  </w:style>
  <w:style w:type="paragraph" w:customStyle="1" w:styleId="Default">
    <w:name w:val="Default"/>
    <w:rsid w:val="00D5396B"/>
    <w:pPr>
      <w:autoSpaceDE w:val="0"/>
      <w:autoSpaceDN w:val="0"/>
      <w:adjustRightInd w:val="0"/>
      <w:spacing w:after="0" w:line="240" w:lineRule="auto"/>
    </w:pPr>
    <w:rPr>
      <w:rFonts w:ascii="Courier New" w:hAnsi="Courier New" w:cs="Courier New"/>
      <w:color w:val="000000"/>
      <w:sz w:val="24"/>
      <w:szCs w:val="24"/>
    </w:rPr>
  </w:style>
  <w:style w:type="paragraph" w:customStyle="1" w:styleId="IFTnormal">
    <w:name w:val="IFT normal"/>
    <w:basedOn w:val="Normal"/>
    <w:link w:val="IFTnormalCar"/>
    <w:qFormat/>
    <w:rsid w:val="00574C9A"/>
    <w:pPr>
      <w:spacing w:after="200" w:line="276" w:lineRule="auto"/>
    </w:pPr>
    <w:rPr>
      <w:rFonts w:ascii="ITC Avant Garde" w:eastAsia="Calibri" w:hAnsi="ITC Avant Garde" w:cs="Arial"/>
      <w:color w:val="000000"/>
      <w:lang w:val="es-ES_tradnl" w:eastAsia="es-ES"/>
    </w:rPr>
  </w:style>
  <w:style w:type="character" w:customStyle="1" w:styleId="IFTnormalCar">
    <w:name w:val="IFT normal Car"/>
    <w:basedOn w:val="Fuentedeprrafopredeter"/>
    <w:link w:val="IFTnormal"/>
    <w:qFormat/>
    <w:rsid w:val="00574C9A"/>
    <w:rPr>
      <w:rFonts w:ascii="ITC Avant Garde" w:eastAsia="Calibri" w:hAnsi="ITC Avant Garde" w:cs="Arial"/>
      <w:color w:val="000000"/>
      <w:lang w:val="es-ES_tradnl" w:eastAsia="es-ES"/>
    </w:rPr>
  </w:style>
  <w:style w:type="paragraph" w:customStyle="1" w:styleId="TableCaption">
    <w:name w:val="Table Caption"/>
    <w:basedOn w:val="Normal"/>
    <w:link w:val="TableCaptionChar"/>
    <w:rsid w:val="006D5382"/>
    <w:pPr>
      <w:keepNext/>
      <w:spacing w:after="160" w:line="280" w:lineRule="atLeast"/>
      <w:jc w:val="left"/>
    </w:pPr>
    <w:rPr>
      <w:rFonts w:ascii="Arial" w:hAnsi="Arial" w:cs="Arial"/>
      <w:i/>
      <w:color w:val="548DD4" w:themeColor="text2" w:themeTint="99"/>
      <w:sz w:val="18"/>
      <w:szCs w:val="18"/>
      <w:lang w:val="es-ES_tradnl"/>
    </w:rPr>
  </w:style>
  <w:style w:type="character" w:customStyle="1" w:styleId="TableCaptionChar">
    <w:name w:val="Table Caption Char"/>
    <w:basedOn w:val="Fuentedeprrafopredeter"/>
    <w:link w:val="TableCaption"/>
    <w:rsid w:val="006D5382"/>
    <w:rPr>
      <w:rFonts w:ascii="Arial" w:hAnsi="Arial" w:cs="Arial"/>
      <w:i/>
      <w:color w:val="548DD4" w:themeColor="text2" w:themeTint="99"/>
      <w:sz w:val="18"/>
      <w:szCs w:val="18"/>
      <w:lang w:val="es-ES_tradnl"/>
    </w:rPr>
  </w:style>
  <w:style w:type="paragraph" w:styleId="Asuntodelcomentario">
    <w:name w:val="annotation subject"/>
    <w:basedOn w:val="Textocomentario"/>
    <w:next w:val="Textocomentario"/>
    <w:link w:val="AsuntodelcomentarioCar"/>
    <w:uiPriority w:val="99"/>
    <w:semiHidden/>
    <w:unhideWhenUsed/>
    <w:rsid w:val="00A36CBD"/>
    <w:rPr>
      <w:b/>
      <w:bCs/>
    </w:rPr>
  </w:style>
  <w:style w:type="character" w:customStyle="1" w:styleId="AsuntodelcomentarioCar">
    <w:name w:val="Asunto del comentario Car"/>
    <w:basedOn w:val="TextocomentarioCar"/>
    <w:link w:val="Asuntodelcomentario"/>
    <w:uiPriority w:val="99"/>
    <w:semiHidden/>
    <w:rsid w:val="00A36CBD"/>
    <w:rPr>
      <w:rFonts w:ascii="Times New Roman" w:hAnsi="Times New Roman"/>
      <w:b/>
      <w:bCs/>
      <w:sz w:val="20"/>
      <w:szCs w:val="20"/>
    </w:rPr>
  </w:style>
  <w:style w:type="paragraph" w:customStyle="1" w:styleId="IFTTexto">
    <w:name w:val="IFT Texto"/>
    <w:link w:val="IFTTextoCar"/>
    <w:qFormat/>
    <w:rsid w:val="007713C5"/>
    <w:pPr>
      <w:spacing w:line="276" w:lineRule="auto"/>
      <w:jc w:val="both"/>
    </w:pPr>
    <w:rPr>
      <w:rFonts w:ascii="ITC Avant Garde" w:eastAsia="Calibri" w:hAnsi="ITC Avant Garde" w:cs="Arial"/>
      <w:color w:val="000000"/>
      <w:lang w:val="es-ES_tradnl" w:eastAsia="es-ES"/>
    </w:rPr>
  </w:style>
  <w:style w:type="character" w:customStyle="1" w:styleId="IFTTextoCar">
    <w:name w:val="IFT Texto Car"/>
    <w:basedOn w:val="Fuentedeprrafopredeter"/>
    <w:link w:val="IFTTexto"/>
    <w:rsid w:val="007713C5"/>
    <w:rPr>
      <w:rFonts w:ascii="ITC Avant Garde" w:eastAsia="Calibri" w:hAnsi="ITC Avant Garde" w:cs="Arial"/>
      <w:color w:val="000000"/>
      <w:lang w:val="es-ES_tradnl" w:eastAsia="es-ES"/>
    </w:rPr>
  </w:style>
  <w:style w:type="paragraph" w:customStyle="1" w:styleId="Annex10">
    <w:name w:val="Annex1"/>
    <w:basedOn w:val="Ttulo1"/>
    <w:uiPriority w:val="99"/>
    <w:rsid w:val="001769CC"/>
    <w:pPr>
      <w:keepLines w:val="0"/>
      <w:numPr>
        <w:numId w:val="11"/>
      </w:numPr>
      <w:spacing w:before="240" w:after="240" w:line="336" w:lineRule="auto"/>
      <w:jc w:val="both"/>
    </w:pPr>
    <w:rPr>
      <w:rFonts w:ascii="Verdana" w:eastAsia="Times New Roman" w:hAnsi="Verdana" w:cs="Times New Roman"/>
      <w:b/>
      <w:sz w:val="40"/>
      <w:lang w:val="es-ES" w:eastAsia="es-ES"/>
    </w:rPr>
  </w:style>
  <w:style w:type="character" w:customStyle="1" w:styleId="PrrafodelistaCar">
    <w:name w:val="Párrafo de lista Car"/>
    <w:aliases w:val="CNBV Parrafo1 Car,4 Viñ 1nivel Car"/>
    <w:link w:val="Prrafodelista"/>
    <w:uiPriority w:val="99"/>
    <w:locked/>
    <w:rsid w:val="001769CC"/>
    <w:rPr>
      <w:rFonts w:ascii="Times New Roman" w:eastAsia="Calibri" w:hAnsi="Times New Roman" w:cs="Times New Roman"/>
      <w:lang w:val="es-ES"/>
    </w:rPr>
  </w:style>
  <w:style w:type="character" w:customStyle="1" w:styleId="BulletPointsChar">
    <w:name w:val="Bullet Points Char"/>
    <w:basedOn w:val="Fuentedeprrafopredeter"/>
    <w:link w:val="BulletPoints"/>
    <w:uiPriority w:val="99"/>
    <w:locked/>
    <w:rsid w:val="001769CC"/>
    <w:rPr>
      <w:rFonts w:ascii="Verdana" w:hAnsi="Verdana"/>
      <w:szCs w:val="24"/>
      <w:lang w:val="es-MX"/>
    </w:rPr>
  </w:style>
  <w:style w:type="paragraph" w:customStyle="1" w:styleId="BulletPoints">
    <w:name w:val="Bullet Points"/>
    <w:basedOn w:val="Normal"/>
    <w:link w:val="BulletPointsChar"/>
    <w:uiPriority w:val="99"/>
    <w:qFormat/>
    <w:rsid w:val="001769CC"/>
    <w:pPr>
      <w:numPr>
        <w:numId w:val="13"/>
      </w:numPr>
      <w:spacing w:before="240" w:line="336" w:lineRule="auto"/>
    </w:pPr>
    <w:rPr>
      <w:rFonts w:ascii="Verdana" w:hAnsi="Verdana"/>
      <w:szCs w:val="24"/>
      <w:lang w:val="es-MX"/>
    </w:rPr>
  </w:style>
  <w:style w:type="paragraph" w:customStyle="1" w:styleId="ComentarioCS">
    <w:name w:val="Comentario CS"/>
    <w:basedOn w:val="Normal"/>
    <w:link w:val="ComentarioCSChar"/>
    <w:qFormat/>
    <w:rsid w:val="001769CC"/>
    <w:pPr>
      <w:spacing w:before="120" w:after="120" w:line="336" w:lineRule="auto"/>
    </w:pPr>
    <w:rPr>
      <w:rFonts w:ascii="Verdana" w:eastAsia="Times New Roman" w:hAnsi="Verdana" w:cs="Times New Roman"/>
      <w:i/>
      <w:sz w:val="20"/>
      <w:szCs w:val="24"/>
      <w:lang w:val="es-MX" w:eastAsia="es-ES"/>
    </w:rPr>
  </w:style>
  <w:style w:type="character" w:customStyle="1" w:styleId="ComentarioCSChar">
    <w:name w:val="Comentario CS Char"/>
    <w:basedOn w:val="Fuentedeprrafopredeter"/>
    <w:link w:val="ComentarioCS"/>
    <w:rsid w:val="001769CC"/>
    <w:rPr>
      <w:rFonts w:ascii="Verdana" w:eastAsia="Times New Roman" w:hAnsi="Verdana" w:cs="Times New Roman"/>
      <w:i/>
      <w:sz w:val="20"/>
      <w:szCs w:val="24"/>
      <w:lang w:val="es-MX" w:eastAsia="es-ES"/>
    </w:rPr>
  </w:style>
  <w:style w:type="paragraph" w:customStyle="1" w:styleId="Indentado1">
    <w:name w:val="Indentado 1"/>
    <w:basedOn w:val="I1"/>
    <w:link w:val="Indentado1Char1"/>
    <w:qFormat/>
    <w:rsid w:val="00A379AA"/>
    <w:pPr>
      <w:numPr>
        <w:numId w:val="0"/>
      </w:numPr>
      <w:spacing w:after="0" w:line="336" w:lineRule="auto"/>
      <w:ind w:left="360" w:hanging="360"/>
    </w:pPr>
    <w:rPr>
      <w:rFonts w:ascii="Verdana" w:eastAsia="Times New Roman" w:hAnsi="Verdana" w:cs="Times New Roman"/>
      <w:sz w:val="20"/>
      <w:szCs w:val="24"/>
      <w:lang w:val="es-ES" w:eastAsia="es-ES"/>
    </w:rPr>
  </w:style>
  <w:style w:type="character" w:customStyle="1" w:styleId="Indentado1Char1">
    <w:name w:val="Indentado 1 Char1"/>
    <w:basedOn w:val="Fuentedeprrafopredeter"/>
    <w:link w:val="Indentado1"/>
    <w:rsid w:val="00A379AA"/>
    <w:rPr>
      <w:rFonts w:ascii="Verdana" w:eastAsia="Times New Roman" w:hAnsi="Verdana" w:cs="Times New Roman"/>
      <w:sz w:val="20"/>
      <w:szCs w:val="24"/>
      <w:lang w:val="es-ES" w:eastAsia="es-ES"/>
    </w:rPr>
  </w:style>
  <w:style w:type="character" w:customStyle="1" w:styleId="DescripcinCar">
    <w:name w:val="Descripción Car"/>
    <w:basedOn w:val="Fuentedeprrafopredeter"/>
    <w:link w:val="Descripcin"/>
    <w:uiPriority w:val="35"/>
    <w:rsid w:val="00A379AA"/>
    <w:rPr>
      <w:rFonts w:ascii="Arial" w:hAnsi="Arial" w:cs="Arial"/>
      <w:bCs/>
      <w:i/>
      <w:sz w:val="18"/>
      <w:szCs w:val="18"/>
    </w:rPr>
  </w:style>
  <w:style w:type="paragraph" w:customStyle="1" w:styleId="Indentation1">
    <w:name w:val="Indentation 1"/>
    <w:basedOn w:val="Indentado1"/>
    <w:link w:val="Indentation1Char"/>
    <w:uiPriority w:val="99"/>
    <w:qFormat/>
    <w:rsid w:val="00A379AA"/>
    <w:pPr>
      <w:spacing w:before="240"/>
      <w:contextualSpacing/>
    </w:pPr>
  </w:style>
  <w:style w:type="character" w:customStyle="1" w:styleId="Indentation1Char">
    <w:name w:val="Indentation 1 Char"/>
    <w:basedOn w:val="Indentado1Char1"/>
    <w:link w:val="Indentation1"/>
    <w:uiPriority w:val="99"/>
    <w:rsid w:val="00A379AA"/>
    <w:rPr>
      <w:rFonts w:ascii="Verdana" w:eastAsia="Times New Roman" w:hAnsi="Verdana" w:cs="Times New Roman"/>
      <w:sz w:val="20"/>
      <w:szCs w:val="24"/>
      <w:lang w:val="es-ES" w:eastAsia="es-ES"/>
    </w:rPr>
  </w:style>
  <w:style w:type="paragraph" w:styleId="Revisin">
    <w:name w:val="Revision"/>
    <w:hidden/>
    <w:uiPriority w:val="99"/>
    <w:semiHidden/>
    <w:rsid w:val="00F534F7"/>
    <w:pPr>
      <w:spacing w:after="0" w:line="240" w:lineRule="auto"/>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51402">
      <w:bodyDiv w:val="1"/>
      <w:marLeft w:val="0"/>
      <w:marRight w:val="0"/>
      <w:marTop w:val="0"/>
      <w:marBottom w:val="0"/>
      <w:divBdr>
        <w:top w:val="none" w:sz="0" w:space="0" w:color="auto"/>
        <w:left w:val="none" w:sz="0" w:space="0" w:color="auto"/>
        <w:bottom w:val="none" w:sz="0" w:space="0" w:color="auto"/>
        <w:right w:val="none" w:sz="0" w:space="0" w:color="auto"/>
      </w:divBdr>
      <w:divsChild>
        <w:div w:id="2100326665">
          <w:marLeft w:val="274"/>
          <w:marRight w:val="0"/>
          <w:marTop w:val="0"/>
          <w:marBottom w:val="60"/>
          <w:divBdr>
            <w:top w:val="none" w:sz="0" w:space="0" w:color="auto"/>
            <w:left w:val="none" w:sz="0" w:space="0" w:color="auto"/>
            <w:bottom w:val="none" w:sz="0" w:space="0" w:color="auto"/>
            <w:right w:val="none" w:sz="0" w:space="0" w:color="auto"/>
          </w:divBdr>
        </w:div>
      </w:divsChild>
    </w:div>
    <w:div w:id="361978225">
      <w:bodyDiv w:val="1"/>
      <w:marLeft w:val="0"/>
      <w:marRight w:val="0"/>
      <w:marTop w:val="0"/>
      <w:marBottom w:val="0"/>
      <w:divBdr>
        <w:top w:val="none" w:sz="0" w:space="0" w:color="auto"/>
        <w:left w:val="none" w:sz="0" w:space="0" w:color="auto"/>
        <w:bottom w:val="none" w:sz="0" w:space="0" w:color="auto"/>
        <w:right w:val="none" w:sz="0" w:space="0" w:color="auto"/>
      </w:divBdr>
      <w:divsChild>
        <w:div w:id="1193765011">
          <w:marLeft w:val="274"/>
          <w:marRight w:val="0"/>
          <w:marTop w:val="0"/>
          <w:marBottom w:val="120"/>
          <w:divBdr>
            <w:top w:val="none" w:sz="0" w:space="0" w:color="auto"/>
            <w:left w:val="none" w:sz="0" w:space="0" w:color="auto"/>
            <w:bottom w:val="none" w:sz="0" w:space="0" w:color="auto"/>
            <w:right w:val="none" w:sz="0" w:space="0" w:color="auto"/>
          </w:divBdr>
        </w:div>
        <w:div w:id="1543708176">
          <w:marLeft w:val="274"/>
          <w:marRight w:val="0"/>
          <w:marTop w:val="0"/>
          <w:marBottom w:val="120"/>
          <w:divBdr>
            <w:top w:val="none" w:sz="0" w:space="0" w:color="auto"/>
            <w:left w:val="none" w:sz="0" w:space="0" w:color="auto"/>
            <w:bottom w:val="none" w:sz="0" w:space="0" w:color="auto"/>
            <w:right w:val="none" w:sz="0" w:space="0" w:color="auto"/>
          </w:divBdr>
        </w:div>
        <w:div w:id="172886584">
          <w:marLeft w:val="274"/>
          <w:marRight w:val="0"/>
          <w:marTop w:val="0"/>
          <w:marBottom w:val="120"/>
          <w:divBdr>
            <w:top w:val="none" w:sz="0" w:space="0" w:color="auto"/>
            <w:left w:val="none" w:sz="0" w:space="0" w:color="auto"/>
            <w:bottom w:val="none" w:sz="0" w:space="0" w:color="auto"/>
            <w:right w:val="none" w:sz="0" w:space="0" w:color="auto"/>
          </w:divBdr>
        </w:div>
      </w:divsChild>
    </w:div>
    <w:div w:id="519247937">
      <w:bodyDiv w:val="1"/>
      <w:marLeft w:val="0"/>
      <w:marRight w:val="0"/>
      <w:marTop w:val="0"/>
      <w:marBottom w:val="0"/>
      <w:divBdr>
        <w:top w:val="none" w:sz="0" w:space="0" w:color="auto"/>
        <w:left w:val="none" w:sz="0" w:space="0" w:color="auto"/>
        <w:bottom w:val="none" w:sz="0" w:space="0" w:color="auto"/>
        <w:right w:val="none" w:sz="0" w:space="0" w:color="auto"/>
      </w:divBdr>
    </w:div>
    <w:div w:id="641890972">
      <w:bodyDiv w:val="1"/>
      <w:marLeft w:val="0"/>
      <w:marRight w:val="0"/>
      <w:marTop w:val="0"/>
      <w:marBottom w:val="0"/>
      <w:divBdr>
        <w:top w:val="none" w:sz="0" w:space="0" w:color="auto"/>
        <w:left w:val="none" w:sz="0" w:space="0" w:color="auto"/>
        <w:bottom w:val="none" w:sz="0" w:space="0" w:color="auto"/>
        <w:right w:val="none" w:sz="0" w:space="0" w:color="auto"/>
      </w:divBdr>
    </w:div>
    <w:div w:id="797257157">
      <w:bodyDiv w:val="1"/>
      <w:marLeft w:val="0"/>
      <w:marRight w:val="0"/>
      <w:marTop w:val="0"/>
      <w:marBottom w:val="0"/>
      <w:divBdr>
        <w:top w:val="none" w:sz="0" w:space="0" w:color="auto"/>
        <w:left w:val="none" w:sz="0" w:space="0" w:color="auto"/>
        <w:bottom w:val="none" w:sz="0" w:space="0" w:color="auto"/>
        <w:right w:val="none" w:sz="0" w:space="0" w:color="auto"/>
      </w:divBdr>
    </w:div>
    <w:div w:id="803885254">
      <w:bodyDiv w:val="1"/>
      <w:marLeft w:val="0"/>
      <w:marRight w:val="0"/>
      <w:marTop w:val="0"/>
      <w:marBottom w:val="0"/>
      <w:divBdr>
        <w:top w:val="none" w:sz="0" w:space="0" w:color="auto"/>
        <w:left w:val="none" w:sz="0" w:space="0" w:color="auto"/>
        <w:bottom w:val="none" w:sz="0" w:space="0" w:color="auto"/>
        <w:right w:val="none" w:sz="0" w:space="0" w:color="auto"/>
      </w:divBdr>
    </w:div>
    <w:div w:id="885727419">
      <w:bodyDiv w:val="1"/>
      <w:marLeft w:val="0"/>
      <w:marRight w:val="0"/>
      <w:marTop w:val="0"/>
      <w:marBottom w:val="0"/>
      <w:divBdr>
        <w:top w:val="none" w:sz="0" w:space="0" w:color="auto"/>
        <w:left w:val="none" w:sz="0" w:space="0" w:color="auto"/>
        <w:bottom w:val="none" w:sz="0" w:space="0" w:color="auto"/>
        <w:right w:val="none" w:sz="0" w:space="0" w:color="auto"/>
      </w:divBdr>
    </w:div>
    <w:div w:id="1093165117">
      <w:bodyDiv w:val="1"/>
      <w:marLeft w:val="0"/>
      <w:marRight w:val="0"/>
      <w:marTop w:val="0"/>
      <w:marBottom w:val="0"/>
      <w:divBdr>
        <w:top w:val="none" w:sz="0" w:space="0" w:color="auto"/>
        <w:left w:val="none" w:sz="0" w:space="0" w:color="auto"/>
        <w:bottom w:val="none" w:sz="0" w:space="0" w:color="auto"/>
        <w:right w:val="none" w:sz="0" w:space="0" w:color="auto"/>
      </w:divBdr>
    </w:div>
    <w:div w:id="1532495289">
      <w:bodyDiv w:val="1"/>
      <w:marLeft w:val="0"/>
      <w:marRight w:val="0"/>
      <w:marTop w:val="0"/>
      <w:marBottom w:val="0"/>
      <w:divBdr>
        <w:top w:val="none" w:sz="0" w:space="0" w:color="auto"/>
        <w:left w:val="none" w:sz="0" w:space="0" w:color="auto"/>
        <w:bottom w:val="none" w:sz="0" w:space="0" w:color="auto"/>
        <w:right w:val="none" w:sz="0" w:space="0" w:color="auto"/>
      </w:divBdr>
    </w:div>
    <w:div w:id="1651136266">
      <w:bodyDiv w:val="1"/>
      <w:marLeft w:val="0"/>
      <w:marRight w:val="0"/>
      <w:marTop w:val="0"/>
      <w:marBottom w:val="0"/>
      <w:divBdr>
        <w:top w:val="none" w:sz="0" w:space="0" w:color="auto"/>
        <w:left w:val="none" w:sz="0" w:space="0" w:color="auto"/>
        <w:bottom w:val="none" w:sz="0" w:space="0" w:color="auto"/>
        <w:right w:val="none" w:sz="0" w:space="0" w:color="auto"/>
      </w:divBdr>
      <w:divsChild>
        <w:div w:id="778909255">
          <w:marLeft w:val="0"/>
          <w:marRight w:val="0"/>
          <w:marTop w:val="0"/>
          <w:marBottom w:val="0"/>
          <w:divBdr>
            <w:top w:val="none" w:sz="0" w:space="0" w:color="auto"/>
            <w:left w:val="none" w:sz="0" w:space="0" w:color="auto"/>
            <w:bottom w:val="none" w:sz="0" w:space="0" w:color="auto"/>
            <w:right w:val="none" w:sz="0" w:space="0" w:color="auto"/>
          </w:divBdr>
          <w:divsChild>
            <w:div w:id="816267403">
              <w:marLeft w:val="-225"/>
              <w:marRight w:val="-225"/>
              <w:marTop w:val="0"/>
              <w:marBottom w:val="0"/>
              <w:divBdr>
                <w:top w:val="none" w:sz="0" w:space="0" w:color="auto"/>
                <w:left w:val="none" w:sz="0" w:space="0" w:color="auto"/>
                <w:bottom w:val="none" w:sz="0" w:space="0" w:color="auto"/>
                <w:right w:val="none" w:sz="0" w:space="0" w:color="auto"/>
              </w:divBdr>
              <w:divsChild>
                <w:div w:id="661007381">
                  <w:marLeft w:val="0"/>
                  <w:marRight w:val="0"/>
                  <w:marTop w:val="0"/>
                  <w:marBottom w:val="0"/>
                  <w:divBdr>
                    <w:top w:val="none" w:sz="0" w:space="0" w:color="auto"/>
                    <w:left w:val="none" w:sz="0" w:space="0" w:color="auto"/>
                    <w:bottom w:val="none" w:sz="0" w:space="0" w:color="auto"/>
                    <w:right w:val="none" w:sz="0" w:space="0" w:color="auto"/>
                  </w:divBdr>
                  <w:divsChild>
                    <w:div w:id="1573735070">
                      <w:marLeft w:val="-225"/>
                      <w:marRight w:val="-225"/>
                      <w:marTop w:val="0"/>
                      <w:marBottom w:val="0"/>
                      <w:divBdr>
                        <w:top w:val="none" w:sz="0" w:space="0" w:color="auto"/>
                        <w:left w:val="none" w:sz="0" w:space="0" w:color="auto"/>
                        <w:bottom w:val="none" w:sz="0" w:space="0" w:color="auto"/>
                        <w:right w:val="none" w:sz="0" w:space="0" w:color="auto"/>
                      </w:divBdr>
                      <w:divsChild>
                        <w:div w:id="1547109879">
                          <w:marLeft w:val="-225"/>
                          <w:marRight w:val="-225"/>
                          <w:marTop w:val="0"/>
                          <w:marBottom w:val="0"/>
                          <w:divBdr>
                            <w:top w:val="none" w:sz="0" w:space="0" w:color="auto"/>
                            <w:left w:val="none" w:sz="0" w:space="0" w:color="auto"/>
                            <w:bottom w:val="none" w:sz="0" w:space="0" w:color="auto"/>
                            <w:right w:val="none" w:sz="0" w:space="0" w:color="auto"/>
                          </w:divBdr>
                          <w:divsChild>
                            <w:div w:id="491877693">
                              <w:marLeft w:val="0"/>
                              <w:marRight w:val="0"/>
                              <w:marTop w:val="0"/>
                              <w:marBottom w:val="0"/>
                              <w:divBdr>
                                <w:top w:val="none" w:sz="0" w:space="0" w:color="auto"/>
                                <w:left w:val="none" w:sz="0" w:space="0" w:color="auto"/>
                                <w:bottom w:val="none" w:sz="0" w:space="0" w:color="auto"/>
                                <w:right w:val="none" w:sz="0" w:space="0" w:color="auto"/>
                              </w:divBdr>
                              <w:divsChild>
                                <w:div w:id="1728067242">
                                  <w:marLeft w:val="-225"/>
                                  <w:marRight w:val="-225"/>
                                  <w:marTop w:val="0"/>
                                  <w:marBottom w:val="0"/>
                                  <w:divBdr>
                                    <w:top w:val="none" w:sz="0" w:space="0" w:color="auto"/>
                                    <w:left w:val="none" w:sz="0" w:space="0" w:color="auto"/>
                                    <w:bottom w:val="none" w:sz="0" w:space="0" w:color="auto"/>
                                    <w:right w:val="none" w:sz="0" w:space="0" w:color="auto"/>
                                  </w:divBdr>
                                  <w:divsChild>
                                    <w:div w:id="185638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9307656">
      <w:bodyDiv w:val="1"/>
      <w:marLeft w:val="0"/>
      <w:marRight w:val="0"/>
      <w:marTop w:val="0"/>
      <w:marBottom w:val="0"/>
      <w:divBdr>
        <w:top w:val="none" w:sz="0" w:space="0" w:color="auto"/>
        <w:left w:val="none" w:sz="0" w:space="0" w:color="auto"/>
        <w:bottom w:val="none" w:sz="0" w:space="0" w:color="auto"/>
        <w:right w:val="none" w:sz="0" w:space="0" w:color="auto"/>
      </w:divBdr>
    </w:div>
    <w:div w:id="21362952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ft.org.mx/industria/consultas-publicas/consulta-publica-sobre-el-modelo-de-costos-para-determinar-las-tarifas-de-acceso-para-la"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ift.org.mx/industria/consultas-publicas/consulta-publica-sobre-los-modelos-de-costos-para-determinar-tarifas-de-los-servicios-prestados-por" TargetMode="External"/><Relationship Id="rId3" Type="http://schemas.openxmlformats.org/officeDocument/2006/relationships/hyperlink" Target="http://www.ift.org.mx/sites/default/files/industria/temasrelevantes/7729/documentos/1.3descripciondelmodelodecostosdereddeaccesodefibraopticadelaep.docx" TargetMode="External"/><Relationship Id="rId7" Type="http://schemas.openxmlformats.org/officeDocument/2006/relationships/hyperlink" Target="https://www.itu.int/rec/dologin_pub.asp?lang=s&amp;id=T-REC-G.984.1-200803-I!!PDF-E&amp;type=items" TargetMode="External"/><Relationship Id="rId2" Type="http://schemas.openxmlformats.org/officeDocument/2006/relationships/hyperlink" Target="http://www.ift.org.mx/sites/default/files/industria/temasrelevantes/7729/documentos/1.1formatoparaparticipar.docx" TargetMode="External"/><Relationship Id="rId1" Type="http://schemas.openxmlformats.org/officeDocument/2006/relationships/hyperlink" Target="http://www.ift.org.mx/industria/consultas-publicas/consulta-publica-sobre-el-modelo-de-costos-para-determinar-las-tarifas-de-acceso-para-la" TargetMode="External"/><Relationship Id="rId6" Type="http://schemas.openxmlformats.org/officeDocument/2006/relationships/hyperlink" Target="http://www.ift.org.mx/industria/consultas-publicas/consulta-publica-sobre-los-modelos-de-costos-para-determinar-tarifas-de-los-servicios-prestados-por" TargetMode="External"/><Relationship Id="rId5" Type="http://schemas.openxmlformats.org/officeDocument/2006/relationships/hyperlink" Target="http://www.ift.org.mx/sites/default/files/industria/temasrelevantes/7729/documentos/1.3descripciondelmodelodecostosdereddeaccesodefibraopticadelaep.docx" TargetMode="External"/><Relationship Id="rId4" Type="http://schemas.openxmlformats.org/officeDocument/2006/relationships/hyperlink" Target="http://www.inegi.org.mx/est/contenidos/proyectos/cn/ai/" TargetMode="External"/><Relationship Id="rId9" Type="http://schemas.openxmlformats.org/officeDocument/2006/relationships/hyperlink" Target="http://www.ift.org.mx/industria/consultas-publicas/consulta-publica-sobre-los-modelos-de-costos-para-determinar-tarifas-de-los-servicios-prestados-po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AnalysysMason\Templates\SimpleA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ECEEB889474DA94B9F68B747786921B0" ma:contentTypeVersion="0" ma:contentTypeDescription="Crear nuevo documento." ma:contentTypeScope="" ma:versionID="6ec2e770e8c827b4c671df3dc9465bfd">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CF452-1D2B-4AAA-8886-D3B2FA8A7A06}">
  <ds:schemaRefs>
    <ds:schemaRef ds:uri="http://schemas.microsoft.com/sharepoint/v3/contenttype/forms"/>
  </ds:schemaRefs>
</ds:datastoreItem>
</file>

<file path=customXml/itemProps2.xml><?xml version="1.0" encoding="utf-8"?>
<ds:datastoreItem xmlns:ds="http://schemas.openxmlformats.org/officeDocument/2006/customXml" ds:itemID="{97CE4457-4133-4D85-975E-A108148E7E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9F2B441-1141-4CED-815B-EE78941C8B1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2CBC74A-BE8B-49E2-8676-45F1B1CFB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SimpleA4</Template>
  <TotalTime>0</TotalTime>
  <Pages>34</Pages>
  <Words>11685</Words>
  <Characters>64269</Characters>
  <Application>Microsoft Office Word</Application>
  <DocSecurity>0</DocSecurity>
  <Lines>535</Lines>
  <Paragraphs>151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Manager>
  <Company>Analysys Mason</Company>
  <LinksUpToDate>false</LinksUpToDate>
  <CharactersWithSpaces>75803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c:subject>
  <dc:creator>cesar.zamora@ift.org.mx</dc:creator>
  <cp:lastModifiedBy>Luis Raul Rey Jimenez</cp:lastModifiedBy>
  <cp:revision>2</cp:revision>
  <cp:lastPrinted>2011-01-06T16:36:00Z</cp:lastPrinted>
  <dcterms:created xsi:type="dcterms:W3CDTF">2020-07-01T19:07:00Z</dcterms:created>
  <dcterms:modified xsi:type="dcterms:W3CDTF">2020-07-01T19:07:00Z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0x010100ECEEB889474DA94B9F68B747786921B0</vt:lpwstr>
  </property>
</Properties>
</file>