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2555A1" w:rsidRPr="008B162A" w:rsidRDefault="008B162A" w:rsidP="009252E3">
      <w:pPr>
        <w:rPr>
          <w:rFonts w:ascii="Century Gothic" w:hAnsi="Century Gothic"/>
          <w:lang w:val="es-CR"/>
        </w:rPr>
      </w:pPr>
      <w:r w:rsidRPr="008B162A">
        <w:rPr>
          <w:rFonts w:ascii="Century Gothic" w:hAnsi="Century Gothic"/>
          <w:noProof/>
          <w:lang w:eastAsia="es-MX"/>
        </w:rPr>
        <mc:AlternateContent>
          <mc:Choice Requires="wps">
            <w:drawing>
              <wp:anchor distT="0" distB="0" distL="114300" distR="114300" simplePos="0" relativeHeight="251659264" behindDoc="0" locked="0" layoutInCell="1" allowOverlap="1" wp14:anchorId="60DC9954" wp14:editId="09F318D7">
                <wp:simplePos x="0" y="0"/>
                <wp:positionH relativeFrom="margin">
                  <wp:align>left</wp:align>
                </wp:positionH>
                <wp:positionV relativeFrom="paragraph">
                  <wp:posOffset>431637</wp:posOffset>
                </wp:positionV>
                <wp:extent cx="5375275" cy="2434856"/>
                <wp:effectExtent l="0" t="0" r="0" b="3810"/>
                <wp:wrapNone/>
                <wp:docPr id="23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5275" cy="2434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F3" w:rsidRPr="008B162A" w:rsidRDefault="00E714F3" w:rsidP="008B162A">
                            <w:pPr>
                              <w:rPr>
                                <w:rFonts w:ascii="Century Gothic" w:hAnsi="Century Gothic"/>
                                <w:b/>
                                <w:sz w:val="36"/>
                                <w:szCs w:val="36"/>
                                <w:lang w:val="es-ES"/>
                              </w:rPr>
                            </w:pPr>
                            <w:r w:rsidRPr="008B162A">
                              <w:rPr>
                                <w:rFonts w:ascii="Century Gothic" w:hAnsi="Century Gothic"/>
                                <w:b/>
                                <w:sz w:val="36"/>
                                <w:szCs w:val="36"/>
                                <w:lang w:val="es-ES"/>
                              </w:rPr>
                              <w:t>Modelo de costos para la determinación de las tarifas de acceso a la red de fibra óptica del Agente Económico Preponderante</w:t>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0DC9954" id="_x0000_t202" coordsize="21600,21600" o:spt="202" path="m,l,21600r21600,l21600,xe">
                <v:stroke joinstyle="miter"/>
                <v:path gradientshapeok="t" o:connecttype="rect"/>
              </v:shapetype>
              <v:shape id="Text Box 12" o:spid="_x0000_s1026" type="#_x0000_t202" style="position:absolute;left:0;text-align:left;margin-left:0;margin-top:34pt;width:423.25pt;height:191.7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kUjuAIAAL0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" filled="f" stroked="f">
                <v:textbox>
                  <w:txbxContent>
                    <w:p w:rsidR="00E714F3" w:rsidRPr="008B162A" w:rsidRDefault="00E714F3" w:rsidP="008B162A">
                      <w:pPr>
                        <w:rPr>
                          <w:rFonts w:ascii="Century Gothic" w:hAnsi="Century Gothic"/>
                          <w:b/>
                          <w:sz w:val="36"/>
                          <w:szCs w:val="36"/>
                          <w:lang w:val="es-ES"/>
                        </w:rPr>
                      </w:pPr>
                      <w:r w:rsidRPr="008B162A">
                        <w:rPr>
                          <w:rFonts w:ascii="Century Gothic" w:hAnsi="Century Gothic"/>
                          <w:b/>
                          <w:sz w:val="36"/>
                          <w:szCs w:val="36"/>
                          <w:lang w:val="es-ES"/>
                        </w:rPr>
                        <w:t>Modelo de costos para la determinación de las tarifas de acceso a la red de fibra óptica del Agente Económico Preponderante</w:t>
                      </w:r>
                    </w:p>
                  </w:txbxContent>
                </v:textbox>
                <w10:wrap anchorx="margin"/>
              </v:shape>
            </w:pict>
          </mc:Fallback>
        </mc:AlternateContent>
      </w:r>
    </w:p>
    <w:p w:rsidR="002555A1" w:rsidRPr="008B162A" w:rsidRDefault="002555A1" w:rsidP="002555A1">
      <w:pPr>
        <w:rPr>
          <w:rFonts w:ascii="Century Gothic" w:hAnsi="Century Gothic"/>
          <w:lang w:val="es-CR"/>
        </w:rPr>
      </w:pPr>
    </w:p>
    <w:p w:rsidR="002555A1" w:rsidRPr="008B162A" w:rsidRDefault="002555A1" w:rsidP="002555A1">
      <w:pPr>
        <w:rPr>
          <w:rFonts w:ascii="Century Gothic" w:hAnsi="Century Gothic"/>
          <w:lang w:val="es-CR"/>
        </w:rPr>
      </w:pPr>
    </w:p>
    <w:p w:rsidR="002555A1" w:rsidRPr="008B162A" w:rsidRDefault="002555A1" w:rsidP="002555A1">
      <w:pPr>
        <w:rPr>
          <w:rFonts w:ascii="Century Gothic" w:hAnsi="Century Gothic"/>
          <w:lang w:val="es-CR"/>
        </w:rPr>
      </w:pPr>
    </w:p>
    <w:p w:rsidR="00674E82" w:rsidRPr="008B162A" w:rsidRDefault="008B162A" w:rsidP="002555A1">
      <w:pPr>
        <w:rPr>
          <w:rFonts w:ascii="Century Gothic" w:hAnsi="Century Gothic"/>
          <w:lang w:val="es-CR"/>
        </w:rPr>
      </w:pPr>
      <w:r w:rsidRPr="008B162A">
        <w:rPr>
          <w:rFonts w:ascii="Century Gothic" w:hAnsi="Century Gothic"/>
          <w:noProof/>
          <w:lang w:eastAsia="es-MX"/>
        </w:rPr>
        <mc:AlternateContent>
          <mc:Choice Requires="wps">
            <w:drawing>
              <wp:anchor distT="0" distB="0" distL="114300" distR="114300" simplePos="0" relativeHeight="251657216" behindDoc="0" locked="0" layoutInCell="1" allowOverlap="1" wp14:anchorId="4E0CA41B" wp14:editId="56007BE5">
                <wp:simplePos x="0" y="0"/>
                <wp:positionH relativeFrom="margin">
                  <wp:posOffset>63899</wp:posOffset>
                </wp:positionH>
                <wp:positionV relativeFrom="paragraph">
                  <wp:posOffset>1948032</wp:posOffset>
                </wp:positionV>
                <wp:extent cx="5433695" cy="1507490"/>
                <wp:effectExtent l="0" t="0" r="0" b="9525"/>
                <wp:wrapNone/>
                <wp:docPr id="5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3695" cy="150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F3" w:rsidRPr="008B162A" w:rsidRDefault="00E714F3" w:rsidP="008B162A">
                            <w:pPr>
                              <w:pStyle w:val="Subttulodeldocumento"/>
                              <w:jc w:val="both"/>
                              <w:rPr>
                                <w:rFonts w:ascii="Century Gothic" w:hAnsi="Century Gothic"/>
                                <w:color w:val="808080" w:themeColor="background1" w:themeShade="80"/>
                                <w:lang w:val="es-CR"/>
                              </w:rPr>
                            </w:pPr>
                            <w:r w:rsidRPr="008B162A">
                              <w:rPr>
                                <w:rFonts w:ascii="Century Gothic" w:hAnsi="Century Gothic"/>
                                <w:color w:val="808080" w:themeColor="background1" w:themeShade="80"/>
                                <w:lang w:val="es-CR"/>
                              </w:rPr>
                              <w:t xml:space="preserve">Documento Metodológico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E0CA41B" id="Text Box 13" o:spid="_x0000_s1027" type="#_x0000_t202" style="position:absolute;left:0;text-align:left;margin-left:5.05pt;margin-top:153.4pt;width:427.85pt;height:118.7pt;z-index:25165721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NqtuwIAAMM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" filled="f" stroked="f">
                <v:textbox style="mso-fit-shape-to-text:t">
                  <w:txbxContent>
                    <w:p w:rsidR="00E714F3" w:rsidRPr="008B162A" w:rsidRDefault="00E714F3" w:rsidP="008B162A">
                      <w:pPr>
                        <w:pStyle w:val="Subttulodeldocumento"/>
                        <w:jc w:val="both"/>
                        <w:rPr>
                          <w:rFonts w:ascii="Century Gothic" w:hAnsi="Century Gothic"/>
                          <w:color w:val="808080" w:themeColor="background1" w:themeShade="80"/>
                          <w:lang w:val="es-CR"/>
                        </w:rPr>
                      </w:pPr>
                      <w:r w:rsidRPr="008B162A">
                        <w:rPr>
                          <w:rFonts w:ascii="Century Gothic" w:hAnsi="Century Gothic"/>
                          <w:color w:val="808080" w:themeColor="background1" w:themeShade="80"/>
                          <w:lang w:val="es-CR"/>
                        </w:rPr>
                        <w:t xml:space="preserve">Documento Metodológico </w:t>
                      </w:r>
                    </w:p>
                  </w:txbxContent>
                </v:textbox>
                <w10:wrap anchorx="margin"/>
              </v:shape>
            </w:pict>
          </mc:Fallback>
        </mc:AlternateContent>
      </w:r>
      <w:r w:rsidRPr="008B162A">
        <w:rPr>
          <w:rFonts w:ascii="Century Gothic" w:hAnsi="Century Gothic"/>
          <w:noProof/>
          <w:lang w:eastAsia="es-MX"/>
        </w:rPr>
        <mc:AlternateContent>
          <mc:Choice Requires="wps">
            <w:drawing>
              <wp:anchor distT="4294967291" distB="4294967291" distL="114300" distR="114300" simplePos="0" relativeHeight="251658240" behindDoc="0" locked="0" layoutInCell="1" allowOverlap="1" wp14:anchorId="6B9DE318" wp14:editId="231E06EF">
                <wp:simplePos x="0" y="0"/>
                <wp:positionH relativeFrom="margin">
                  <wp:align>left</wp:align>
                </wp:positionH>
                <wp:positionV relativeFrom="paragraph">
                  <wp:posOffset>1328287</wp:posOffset>
                </wp:positionV>
                <wp:extent cx="5162550" cy="0"/>
                <wp:effectExtent l="0" t="0" r="19050" b="19050"/>
                <wp:wrapThrough wrapText="bothSides">
                  <wp:wrapPolygon edited="0">
                    <wp:start x="0" y="-1"/>
                    <wp:lineTo x="0" y="-1"/>
                    <wp:lineTo x="21600" y="-1"/>
                    <wp:lineTo x="21600" y="-1"/>
                    <wp:lineTo x="0" y="-1"/>
                  </wp:wrapPolygon>
                </wp:wrapThrough>
                <wp:docPr id="61" name="Straight Connector 37" descr="LINEA" title="LINE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62550" cy="0"/>
                        </a:xfrm>
                        <a:prstGeom prst="line">
                          <a:avLst/>
                        </a:prstGeom>
                        <a:noFill/>
                        <a:ln w="9525" cap="flat" cmpd="sng">
                          <a:solidFill>
                            <a:schemeClr val="accent1">
                              <a:lumMod val="100000"/>
                              <a:lumOff val="0"/>
                            </a:schemeClr>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50F097DB" id="Straight Connector 37" o:spid="_x0000_s1026" alt="Título: LINEA - Descripción: LINEA" style="position:absolute;flip:x;z-index:251658240;visibility:visible;mso-wrap-style:square;mso-width-percent:0;mso-height-percent:0;mso-wrap-distance-left:9pt;mso-wrap-distance-top:-1e-4mm;mso-wrap-distance-right:9pt;mso-wrap-distance-bottom:-1e-4mm;mso-position-horizontal:left;mso-position-horizontal-relative:margin;mso-position-vertical:absolute;mso-position-vertical-relative:text;mso-width-percent:0;mso-height-percent:0;mso-width-relative:page;mso-height-relative:page" from="0,104.6pt" to="406.5pt,1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" strokecolor="#0c2749 [3204]">
                <w10:wrap type="through" anchorx="margin"/>
              </v:line>
            </w:pict>
          </mc:Fallback>
        </mc:AlternateContent>
      </w:r>
      <w:r w:rsidR="00CE4638" w:rsidRPr="008B162A">
        <w:rPr>
          <w:rFonts w:ascii="Century Gothic" w:hAnsi="Century Gothic"/>
          <w:noProof/>
          <w:lang w:eastAsia="es-MX"/>
        </w:rPr>
        <mc:AlternateContent>
          <mc:Choice Requires="wps">
            <w:drawing>
              <wp:anchor distT="0" distB="0" distL="114300" distR="114300" simplePos="0" relativeHeight="251655168" behindDoc="0" locked="0" layoutInCell="1" allowOverlap="1" wp14:anchorId="51FCB200" wp14:editId="66458629">
                <wp:simplePos x="0" y="0"/>
                <wp:positionH relativeFrom="column">
                  <wp:posOffset>479425</wp:posOffset>
                </wp:positionH>
                <wp:positionV relativeFrom="paragraph">
                  <wp:posOffset>3683635</wp:posOffset>
                </wp:positionV>
                <wp:extent cx="5456555" cy="398145"/>
                <wp:effectExtent l="0" t="0" r="0" b="1905"/>
                <wp:wrapNone/>
                <wp:docPr id="6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655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14F3" w:rsidRPr="008B162A" w:rsidRDefault="00E714F3" w:rsidP="000C0FC2">
                            <w:pPr>
                              <w:pStyle w:val="FechadePresentacin"/>
                              <w:rPr>
                                <w:rFonts w:ascii="Century Gothic" w:hAnsi="Century Gothic"/>
                                <w:color w:val="auto"/>
                                <w:lang w:val="es-ES"/>
                              </w:rPr>
                            </w:pPr>
                            <w:r w:rsidRPr="008B162A">
                              <w:rPr>
                                <w:rFonts w:ascii="Century Gothic" w:hAnsi="Century Gothic"/>
                                <w:color w:val="auto"/>
                                <w:lang w:val="es-ES"/>
                              </w:rPr>
                              <w:t>15 de septiembre de 2016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51FCB200" id="Text Box 15" o:spid="_x0000_s1028" type="#_x0000_t202" style="position:absolute;left:0;text-align:left;margin-left:37.75pt;margin-top:290.05pt;width:429.65pt;height:31.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ysIuwIAAMI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" filled="f" stroked="f">
                <v:textbox style="mso-fit-shape-to-text:t">
                  <w:txbxContent>
                    <w:p w:rsidR="00E714F3" w:rsidRPr="008B162A" w:rsidRDefault="00E714F3" w:rsidP="000C0FC2">
                      <w:pPr>
                        <w:pStyle w:val="FechadePresentacin"/>
                        <w:rPr>
                          <w:rFonts w:ascii="Century Gothic" w:hAnsi="Century Gothic"/>
                          <w:color w:val="auto"/>
                          <w:lang w:val="es-ES"/>
                        </w:rPr>
                      </w:pPr>
                      <w:r w:rsidRPr="008B162A">
                        <w:rPr>
                          <w:rFonts w:ascii="Century Gothic" w:hAnsi="Century Gothic"/>
                          <w:color w:val="auto"/>
                          <w:lang w:val="es-ES"/>
                        </w:rPr>
                        <w:t>15 de septiembre de 2016</w:t>
                      </w:r>
                    </w:p>
                  </w:txbxContent>
                </v:textbox>
              </v:shape>
            </w:pict>
          </mc:Fallback>
        </mc:AlternateContent>
      </w:r>
    </w:p>
    <w:p w:rsidR="00674E82" w:rsidRPr="008B162A" w:rsidRDefault="00674E82" w:rsidP="007E3EF3">
      <w:pPr>
        <w:pStyle w:val="ContentsFiguresGlossary"/>
        <w:spacing w:line="360" w:lineRule="auto"/>
        <w:outlineLvl w:val="0"/>
        <w:rPr>
          <w:rFonts w:ascii="Century Gothic" w:hAnsi="Century Gothic"/>
          <w:color w:val="auto"/>
          <w:lang w:val="es-CR"/>
        </w:rPr>
      </w:pPr>
      <w:bookmarkStart w:id="1" w:name="_Toc431900677"/>
      <w:bookmarkStart w:id="2" w:name="_Toc461625877"/>
      <w:r w:rsidRPr="008B162A">
        <w:rPr>
          <w:rFonts w:ascii="Century Gothic" w:hAnsi="Century Gothic"/>
          <w:noProof/>
          <w:color w:val="auto"/>
          <w:lang w:val="es-CR"/>
        </w:rPr>
        <w:lastRenderedPageBreak/>
        <w:t>Conten</w:t>
      </w:r>
      <w:r w:rsidR="00ED7D97" w:rsidRPr="008B162A">
        <w:rPr>
          <w:rFonts w:ascii="Century Gothic" w:hAnsi="Century Gothic"/>
          <w:noProof/>
          <w:color w:val="auto"/>
          <w:lang w:val="es-CR"/>
        </w:rPr>
        <w:t>idos</w:t>
      </w:r>
      <w:bookmarkEnd w:id="1"/>
      <w:bookmarkEnd w:id="2"/>
    </w:p>
    <w:p w:rsidR="00070A05" w:rsidRPr="008B162A" w:rsidRDefault="0010449A">
      <w:pPr>
        <w:pStyle w:val="TDC1"/>
        <w:rPr>
          <w:rFonts w:ascii="Century Gothic" w:eastAsiaTheme="minorEastAsia" w:hAnsi="Century Gothic" w:cstheme="minorBidi"/>
          <w:noProof/>
          <w:sz w:val="22"/>
          <w:szCs w:val="22"/>
          <w:lang w:eastAsia="es-MX"/>
        </w:rPr>
      </w:pPr>
      <w:r w:rsidRPr="008B162A">
        <w:rPr>
          <w:rFonts w:ascii="Century Gothic" w:hAnsi="Century Gothic"/>
          <w:lang w:val="es-CR"/>
        </w:rPr>
        <w:fldChar w:fldCharType="begin"/>
      </w:r>
      <w:r w:rsidR="00674E82" w:rsidRPr="008B162A">
        <w:rPr>
          <w:rFonts w:ascii="Century Gothic" w:hAnsi="Century Gothic"/>
          <w:lang w:val="es-CR"/>
        </w:rPr>
        <w:instrText xml:space="preserve"> TOC \o "1-3" \h \z \u </w:instrText>
      </w:r>
      <w:r w:rsidRPr="008B162A">
        <w:rPr>
          <w:rFonts w:ascii="Century Gothic" w:hAnsi="Century Gothic"/>
          <w:lang w:val="es-CR"/>
        </w:rPr>
        <w:fldChar w:fldCharType="separate"/>
      </w:r>
      <w:hyperlink w:anchor="_Toc461625877" w:history="1">
        <w:r w:rsidR="00070A05" w:rsidRPr="008B162A">
          <w:rPr>
            <w:rStyle w:val="Hipervnculo"/>
            <w:rFonts w:ascii="Century Gothic" w:hAnsi="Century Gothic"/>
            <w:noProof/>
            <w:color w:val="auto"/>
            <w:lang w:val="es-CR"/>
          </w:rPr>
          <w:t>Contenidos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_Toc461625877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2</w:t>
        </w:r>
        <w:r w:rsidR="00070A05" w:rsidRPr="008B162A">
          <w:rPr>
            <w:rFonts w:ascii="Century Gothic" w:hAnsi="Century Gothic"/>
            <w:noProof/>
            <w:webHidden/>
          </w:rPr>
          <w:fldChar w:fldCharType="end"/>
        </w:r>
      </w:hyperlink>
    </w:p>
    <w:p w:rsidR="00070A05" w:rsidRPr="008B162A" w:rsidRDefault="002808E1">
      <w:pPr>
        <w:pStyle w:val="TDC1"/>
        <w:tabs>
          <w:tab w:val="left" w:pos="540"/>
        </w:tabs>
        <w:rPr>
          <w:rFonts w:ascii="Century Gothic" w:eastAsiaTheme="minorEastAsia" w:hAnsi="Century Gothic" w:cstheme="minorBidi"/>
          <w:noProof/>
          <w:sz w:val="22"/>
          <w:szCs w:val="22"/>
          <w:lang w:eastAsia="es-MX"/>
        </w:rPr>
      </w:pPr>
      <w:hyperlink w:anchor="_Toc461625878" w:history="1">
        <w:r w:rsidR="00070A05" w:rsidRPr="008B162A">
          <w:rPr>
            <w:rStyle w:val="Hipervnculo"/>
            <w:rFonts w:ascii="Century Gothic" w:hAnsi="Century Gothic"/>
            <w:noProof/>
            <w:color w:val="auto"/>
            <w:lang w:val="es-CR"/>
          </w:rPr>
          <w:t>1.</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lang w:val="es-CR"/>
          </w:rPr>
          <w:t>Introducción</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_Toc461625878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4</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79" w:history="1">
        <w:r w:rsidR="00070A05" w:rsidRPr="008B162A">
          <w:rPr>
            <w:rStyle w:val="Hipervnculo"/>
            <w:rFonts w:ascii="Century Gothic" w:hAnsi="Century Gothic"/>
            <w:noProof/>
            <w:color w:val="auto"/>
          </w:rPr>
          <w:t>1.1. Definiciones y abreviaciones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_Toc461625879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5</w:t>
        </w:r>
        <w:r w:rsidR="00070A05" w:rsidRPr="008B162A">
          <w:rPr>
            <w:rFonts w:ascii="Century Gothic" w:hAnsi="Century Gothic"/>
            <w:noProof/>
            <w:webHidden/>
          </w:rPr>
          <w:fldChar w:fldCharType="end"/>
        </w:r>
      </w:hyperlink>
    </w:p>
    <w:p w:rsidR="00070A05" w:rsidRPr="008B162A" w:rsidRDefault="002808E1">
      <w:pPr>
        <w:pStyle w:val="TDC1"/>
        <w:tabs>
          <w:tab w:val="left" w:pos="540"/>
        </w:tabs>
        <w:rPr>
          <w:rFonts w:ascii="Century Gothic" w:eastAsiaTheme="minorEastAsia" w:hAnsi="Century Gothic" w:cstheme="minorBidi"/>
          <w:noProof/>
          <w:sz w:val="22"/>
          <w:szCs w:val="22"/>
          <w:lang w:eastAsia="es-MX"/>
        </w:rPr>
      </w:pPr>
      <w:hyperlink w:anchor="_Toc461625880" w:history="1">
        <w:r w:rsidR="00070A05" w:rsidRPr="008B162A">
          <w:rPr>
            <w:rStyle w:val="Hipervnculo"/>
            <w:rFonts w:ascii="Century Gothic" w:hAnsi="Century Gothic"/>
            <w:noProof/>
            <w:color w:val="auto"/>
            <w:lang w:val="es-CR"/>
          </w:rPr>
          <w:t>2.</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lang w:val="es-CR"/>
          </w:rPr>
          <w:t>Metodología</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_Toc461625880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6</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81" w:history="1">
        <w:r w:rsidR="00070A05" w:rsidRPr="008B162A">
          <w:rPr>
            <w:rStyle w:val="Hipervnculo"/>
            <w:rFonts w:ascii="Century Gothic" w:hAnsi="Century Gothic"/>
            <w:noProof/>
            <w:color w:val="auto"/>
            <w:lang w:val="es-CR"/>
          </w:rPr>
          <w:t>2.1. Categorías de costo a considerar</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_Toc461625881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7</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82" w:history="1">
        <w:r w:rsidR="00070A05" w:rsidRPr="008B162A">
          <w:rPr>
            <w:rStyle w:val="Hipervnculo"/>
            <w:rFonts w:ascii="Century Gothic" w:hAnsi="Century Gothic"/>
            <w:noProof/>
            <w:color w:val="auto"/>
            <w:lang w:val="es-CR"/>
          </w:rPr>
          <w:t>2.2. Costo de Capital</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_Toc461625882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8</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83" w:history="1">
        <w:r w:rsidR="00070A05" w:rsidRPr="008B162A">
          <w:rPr>
            <w:rStyle w:val="Hipervnculo"/>
            <w:rFonts w:ascii="Century Gothic" w:hAnsi="Century Gothic"/>
            <w:noProof/>
            <w:color w:val="auto"/>
          </w:rPr>
          <w:t>2.3. Método de anualización de costos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_Toc461625883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9</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84" w:history="1">
        <w:r w:rsidR="00070A05" w:rsidRPr="008B162A">
          <w:rPr>
            <w:rStyle w:val="Hipervnculo"/>
            <w:rFonts w:ascii="Century Gothic" w:hAnsi="Century Gothic"/>
            <w:noProof/>
            <w:color w:val="auto"/>
            <w:lang w:val="es-ES_tradnl"/>
          </w:rPr>
          <w:t>2.4. Estándar de costos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_Toc461625884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10</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85" w:history="1">
        <w:r w:rsidR="00070A05" w:rsidRPr="008B162A">
          <w:rPr>
            <w:rStyle w:val="Hipervnculo"/>
            <w:rFonts w:ascii="Century Gothic" w:hAnsi="Century Gothic"/>
            <w:noProof/>
            <w:color w:val="auto"/>
            <w:lang w:val="es-ES_tradnl"/>
          </w:rPr>
          <w:t>2.5. Asignación de costos comunes de red</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_Toc461625885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11</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86" w:history="1">
        <w:r w:rsidR="00070A05" w:rsidRPr="008B162A">
          <w:rPr>
            <w:rStyle w:val="Hipervnculo"/>
            <w:rFonts w:ascii="Century Gothic" w:hAnsi="Century Gothic"/>
            <w:noProof/>
            <w:color w:val="auto"/>
            <w:lang w:val="es-ES_tradnl"/>
          </w:rPr>
          <w:t>2.6. Asignación de costos comunes no de red</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_Toc461625886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12</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87" w:history="1">
        <w:r w:rsidR="00070A05" w:rsidRPr="008B162A">
          <w:rPr>
            <w:rStyle w:val="Hipervnculo"/>
            <w:rFonts w:ascii="Century Gothic" w:hAnsi="Century Gothic"/>
            <w:noProof/>
            <w:color w:val="auto"/>
            <w:lang w:val="es-ES_tradnl"/>
          </w:rPr>
          <w:t>2.7. Definición de los incrementos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_Toc461625887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12</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88" w:history="1">
        <w:r w:rsidR="00070A05" w:rsidRPr="008B162A">
          <w:rPr>
            <w:rStyle w:val="Hipervnculo"/>
            <w:rFonts w:ascii="Century Gothic" w:hAnsi="Century Gothic"/>
            <w:noProof/>
            <w:color w:val="auto"/>
            <w:lang w:val="es-ES_tradnl"/>
          </w:rPr>
          <w:t>2.8. Operador a modelar</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_Toc461625888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13</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89" w:history="1">
        <w:r w:rsidR="00070A05" w:rsidRPr="008B162A">
          <w:rPr>
            <w:rStyle w:val="Hipervnculo"/>
            <w:rFonts w:ascii="Century Gothic" w:hAnsi="Century Gothic"/>
            <w:noProof/>
            <w:color w:val="auto"/>
            <w:lang w:val="es-ES_tradnl"/>
          </w:rPr>
          <w:t>2.9. Tecnologías de Acceso</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_Toc461625889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14</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90" w:history="1">
        <w:r w:rsidR="00070A05" w:rsidRPr="008B162A">
          <w:rPr>
            <w:rStyle w:val="Hipervnculo"/>
            <w:rFonts w:ascii="Century Gothic" w:hAnsi="Century Gothic"/>
            <w:noProof/>
            <w:color w:val="auto"/>
            <w:lang w:val="es-ES_tradnl"/>
          </w:rPr>
          <w:t>2.10. Topología de la red</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_Toc461625890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15</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91" w:history="1">
        <w:r w:rsidR="00070A05" w:rsidRPr="008B162A">
          <w:rPr>
            <w:rStyle w:val="Hipervnculo"/>
            <w:rFonts w:ascii="Century Gothic" w:hAnsi="Century Gothic"/>
            <w:noProof/>
            <w:color w:val="auto"/>
            <w:lang w:val="es-ES_tradnl"/>
          </w:rPr>
          <w:t>2.11. Horizonte temporal</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_Toc461625891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15</w:t>
        </w:r>
        <w:r w:rsidR="00070A05" w:rsidRPr="008B162A">
          <w:rPr>
            <w:rFonts w:ascii="Century Gothic" w:hAnsi="Century Gothic"/>
            <w:noProof/>
            <w:webHidden/>
          </w:rPr>
          <w:fldChar w:fldCharType="end"/>
        </w:r>
      </w:hyperlink>
    </w:p>
    <w:p w:rsidR="00070A05" w:rsidRPr="008B162A" w:rsidRDefault="002808E1">
      <w:pPr>
        <w:pStyle w:val="TDC1"/>
        <w:tabs>
          <w:tab w:val="left" w:pos="540"/>
        </w:tabs>
        <w:rPr>
          <w:rFonts w:ascii="Century Gothic" w:eastAsiaTheme="minorEastAsia" w:hAnsi="Century Gothic" w:cstheme="minorBidi"/>
          <w:noProof/>
          <w:sz w:val="22"/>
          <w:szCs w:val="22"/>
          <w:lang w:eastAsia="es-MX"/>
        </w:rPr>
      </w:pPr>
      <w:hyperlink w:anchor="_Toc461625892" w:history="1">
        <w:r w:rsidR="00070A05" w:rsidRPr="008B162A">
          <w:rPr>
            <w:rStyle w:val="Hipervnculo"/>
            <w:rFonts w:ascii="Century Gothic" w:hAnsi="Century Gothic"/>
            <w:noProof/>
            <w:color w:val="auto"/>
          </w:rPr>
          <w:t>3.</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rPr>
          <w:t>Servicios modelados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_Toc461625892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17</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93" w:history="1">
        <w:r w:rsidR="00070A05" w:rsidRPr="008B162A">
          <w:rPr>
            <w:rStyle w:val="Hipervnculo"/>
            <w:rFonts w:ascii="Century Gothic" w:hAnsi="Century Gothic"/>
            <w:noProof/>
            <w:color w:val="auto"/>
          </w:rPr>
          <w:t>3.1. Servicio de desagregación virtual – VULA</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_Toc461625893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17</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94" w:history="1">
        <w:r w:rsidR="00070A05" w:rsidRPr="008B162A">
          <w:rPr>
            <w:rStyle w:val="Hipervnculo"/>
            <w:rFonts w:ascii="Century Gothic" w:hAnsi="Century Gothic"/>
            <w:noProof/>
            <w:color w:val="auto"/>
          </w:rPr>
          <w:t>3.2. Servicio de desagregación del bucle punto a punto</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_Toc461625894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18</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95" w:history="1">
        <w:r w:rsidR="00070A05" w:rsidRPr="008B162A">
          <w:rPr>
            <w:rStyle w:val="Hipervnculo"/>
            <w:rFonts w:ascii="Century Gothic" w:hAnsi="Century Gothic"/>
            <w:noProof/>
            <w:color w:val="auto"/>
          </w:rPr>
          <w:t>3.3. Otros servicios relevantes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_Toc461625895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19</w:t>
        </w:r>
        <w:r w:rsidR="00070A05" w:rsidRPr="008B162A">
          <w:rPr>
            <w:rFonts w:ascii="Century Gothic" w:hAnsi="Century Gothic"/>
            <w:noProof/>
            <w:webHidden/>
          </w:rPr>
          <w:fldChar w:fldCharType="end"/>
        </w:r>
      </w:hyperlink>
    </w:p>
    <w:p w:rsidR="00070A05" w:rsidRPr="008B162A" w:rsidRDefault="002808E1">
      <w:pPr>
        <w:pStyle w:val="TDC1"/>
        <w:tabs>
          <w:tab w:val="left" w:pos="540"/>
        </w:tabs>
        <w:rPr>
          <w:rFonts w:ascii="Century Gothic" w:eastAsiaTheme="minorEastAsia" w:hAnsi="Century Gothic" w:cstheme="minorBidi"/>
          <w:noProof/>
          <w:sz w:val="22"/>
          <w:szCs w:val="22"/>
          <w:lang w:eastAsia="es-MX"/>
        </w:rPr>
      </w:pPr>
      <w:hyperlink w:anchor="_Toc461625896" w:history="1">
        <w:r w:rsidR="00070A05" w:rsidRPr="008B162A">
          <w:rPr>
            <w:rStyle w:val="Hipervnculo"/>
            <w:rFonts w:ascii="Century Gothic" w:hAnsi="Century Gothic"/>
            <w:noProof/>
            <w:color w:val="auto"/>
          </w:rPr>
          <w:t>4.</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rPr>
          <w:t>Parámetros de entrada</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_Toc461625896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23</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897" w:history="1">
        <w:r w:rsidR="00070A05" w:rsidRPr="008B162A">
          <w:rPr>
            <w:rStyle w:val="Hipervnculo"/>
            <w:rFonts w:ascii="Century Gothic" w:hAnsi="Century Gothic"/>
            <w:noProof/>
            <w:color w:val="auto"/>
          </w:rPr>
          <w:t>4.1. Obtención de los insumos de Cobertura y Demanda</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_Toc461625897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23</w:t>
        </w:r>
        <w:r w:rsidR="00070A05" w:rsidRPr="008B162A">
          <w:rPr>
            <w:rFonts w:ascii="Century Gothic" w:hAnsi="Century Gothic"/>
            <w:noProof/>
            <w:webHidden/>
          </w:rPr>
          <w:fldChar w:fldCharType="end"/>
        </w:r>
      </w:hyperlink>
    </w:p>
    <w:p w:rsidR="00070A05" w:rsidRPr="008B162A" w:rsidRDefault="002808E1">
      <w:pPr>
        <w:pStyle w:val="TDC3"/>
        <w:rPr>
          <w:rFonts w:ascii="Century Gothic" w:eastAsiaTheme="minorEastAsia" w:hAnsi="Century Gothic" w:cstheme="minorBidi"/>
          <w:noProof/>
          <w:sz w:val="22"/>
          <w:szCs w:val="22"/>
          <w:lang w:eastAsia="es-MX"/>
        </w:rPr>
      </w:pPr>
      <w:hyperlink w:anchor="_Toc461625898" w:history="1">
        <w:r w:rsidR="00070A05" w:rsidRPr="008B162A">
          <w:rPr>
            <w:rStyle w:val="Hipervnculo"/>
            <w:rFonts w:ascii="Century Gothic" w:hAnsi="Century Gothic"/>
            <w:noProof/>
            <w:color w:val="auto"/>
          </w:rPr>
          <w:t>4.1.1. Evolución de las redes FTTH en otros países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_Toc461625898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23</w:t>
        </w:r>
        <w:r w:rsidR="00070A05" w:rsidRPr="008B162A">
          <w:rPr>
            <w:rFonts w:ascii="Century Gothic" w:hAnsi="Century Gothic"/>
            <w:noProof/>
            <w:webHidden/>
          </w:rPr>
          <w:fldChar w:fldCharType="end"/>
        </w:r>
      </w:hyperlink>
    </w:p>
    <w:p w:rsidR="00070A05" w:rsidRPr="008B162A" w:rsidRDefault="002808E1">
      <w:pPr>
        <w:pStyle w:val="TDC3"/>
        <w:rPr>
          <w:rFonts w:ascii="Century Gothic" w:eastAsiaTheme="minorEastAsia" w:hAnsi="Century Gothic" w:cstheme="minorBidi"/>
          <w:noProof/>
          <w:sz w:val="22"/>
          <w:szCs w:val="22"/>
          <w:lang w:eastAsia="es-MX"/>
        </w:rPr>
      </w:pPr>
      <w:hyperlink w:anchor="_Toc461625899" w:history="1">
        <w:r w:rsidR="00070A05" w:rsidRPr="008B162A">
          <w:rPr>
            <w:rStyle w:val="Hipervnculo"/>
            <w:rFonts w:ascii="Century Gothic" w:hAnsi="Century Gothic"/>
            <w:noProof/>
            <w:color w:val="auto"/>
          </w:rPr>
          <w:t>4.1.2. Estimación de la cobertura</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_Toc461625899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26</w:t>
        </w:r>
        <w:r w:rsidR="00070A05" w:rsidRPr="008B162A">
          <w:rPr>
            <w:rFonts w:ascii="Century Gothic" w:hAnsi="Century Gothic"/>
            <w:noProof/>
            <w:webHidden/>
          </w:rPr>
          <w:fldChar w:fldCharType="end"/>
        </w:r>
      </w:hyperlink>
    </w:p>
    <w:p w:rsidR="00070A05" w:rsidRPr="008B162A" w:rsidRDefault="002808E1">
      <w:pPr>
        <w:pStyle w:val="TDC3"/>
        <w:rPr>
          <w:rFonts w:ascii="Century Gothic" w:eastAsiaTheme="minorEastAsia" w:hAnsi="Century Gothic" w:cstheme="minorBidi"/>
          <w:noProof/>
          <w:sz w:val="22"/>
          <w:szCs w:val="22"/>
          <w:lang w:eastAsia="es-MX"/>
        </w:rPr>
      </w:pPr>
      <w:hyperlink w:anchor="_Toc461625900" w:history="1">
        <w:r w:rsidR="00070A05" w:rsidRPr="008B162A">
          <w:rPr>
            <w:rStyle w:val="Hipervnculo"/>
            <w:rFonts w:ascii="Century Gothic" w:hAnsi="Century Gothic"/>
            <w:noProof/>
            <w:color w:val="auto"/>
          </w:rPr>
          <w:t>4.1.3. Estimación de la demanda</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_Toc461625900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28</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901" w:history="1">
        <w:r w:rsidR="00070A05" w:rsidRPr="008B162A">
          <w:rPr>
            <w:rStyle w:val="Hipervnculo"/>
            <w:rFonts w:ascii="Century Gothic" w:hAnsi="Century Gothic"/>
            <w:noProof/>
            <w:color w:val="auto"/>
          </w:rPr>
          <w:t>4.2. Análisis geográfico</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_Toc461625901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34</w:t>
        </w:r>
        <w:r w:rsidR="00070A05" w:rsidRPr="008B162A">
          <w:rPr>
            <w:rFonts w:ascii="Century Gothic" w:hAnsi="Century Gothic"/>
            <w:noProof/>
            <w:webHidden/>
          </w:rPr>
          <w:fldChar w:fldCharType="end"/>
        </w:r>
      </w:hyperlink>
    </w:p>
    <w:p w:rsidR="00070A05" w:rsidRPr="008B162A" w:rsidRDefault="002808E1">
      <w:pPr>
        <w:pStyle w:val="TDC3"/>
        <w:rPr>
          <w:rFonts w:ascii="Century Gothic" w:eastAsiaTheme="minorEastAsia" w:hAnsi="Century Gothic" w:cstheme="minorBidi"/>
          <w:noProof/>
          <w:sz w:val="22"/>
          <w:szCs w:val="22"/>
          <w:lang w:eastAsia="es-MX"/>
        </w:rPr>
      </w:pPr>
      <w:hyperlink w:anchor="_Toc461625902" w:history="1">
        <w:r w:rsidR="00070A05" w:rsidRPr="008B162A">
          <w:rPr>
            <w:rStyle w:val="Hipervnculo"/>
            <w:rFonts w:ascii="Century Gothic" w:hAnsi="Century Gothic"/>
            <w:noProof/>
            <w:color w:val="auto"/>
          </w:rPr>
          <w:t>4.2.1. Aproximación para la caracterización geográfica</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_Toc461625902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35</w:t>
        </w:r>
        <w:r w:rsidR="00070A05" w:rsidRPr="008B162A">
          <w:rPr>
            <w:rFonts w:ascii="Century Gothic" w:hAnsi="Century Gothic"/>
            <w:noProof/>
            <w:webHidden/>
          </w:rPr>
          <w:fldChar w:fldCharType="end"/>
        </w:r>
      </w:hyperlink>
    </w:p>
    <w:p w:rsidR="00070A05" w:rsidRPr="008B162A" w:rsidRDefault="002808E1">
      <w:pPr>
        <w:pStyle w:val="TDC3"/>
        <w:rPr>
          <w:rFonts w:ascii="Century Gothic" w:eastAsiaTheme="minorEastAsia" w:hAnsi="Century Gothic" w:cstheme="minorBidi"/>
          <w:noProof/>
          <w:sz w:val="22"/>
          <w:szCs w:val="22"/>
          <w:lang w:eastAsia="es-MX"/>
        </w:rPr>
      </w:pPr>
      <w:hyperlink w:anchor="_Toc461625903" w:history="1">
        <w:r w:rsidR="00070A05" w:rsidRPr="008B162A">
          <w:rPr>
            <w:rStyle w:val="Hipervnculo"/>
            <w:rFonts w:ascii="Century Gothic" w:hAnsi="Century Gothic"/>
            <w:noProof/>
            <w:color w:val="auto"/>
          </w:rPr>
          <w:t>4.2.2. Caracterización de la red de acceso para el modelo de acceso sobre redes de fibra óptica</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_Toc461625903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35</w:t>
        </w:r>
        <w:r w:rsidR="00070A05" w:rsidRPr="008B162A">
          <w:rPr>
            <w:rFonts w:ascii="Century Gothic" w:hAnsi="Century Gothic"/>
            <w:noProof/>
            <w:webHidden/>
          </w:rPr>
          <w:fldChar w:fldCharType="end"/>
        </w:r>
      </w:hyperlink>
    </w:p>
    <w:p w:rsidR="00070A05" w:rsidRPr="008B162A" w:rsidRDefault="002808E1">
      <w:pPr>
        <w:pStyle w:val="TDC1"/>
        <w:tabs>
          <w:tab w:val="left" w:pos="540"/>
        </w:tabs>
        <w:rPr>
          <w:rFonts w:ascii="Century Gothic" w:eastAsiaTheme="minorEastAsia" w:hAnsi="Century Gothic" w:cstheme="minorBidi"/>
          <w:noProof/>
          <w:sz w:val="22"/>
          <w:szCs w:val="22"/>
          <w:lang w:eastAsia="es-MX"/>
        </w:rPr>
      </w:pPr>
      <w:hyperlink w:anchor="_Toc461625904" w:history="1">
        <w:r w:rsidR="00070A05" w:rsidRPr="008B162A">
          <w:rPr>
            <w:rStyle w:val="Hipervnculo"/>
            <w:rFonts w:ascii="Century Gothic" w:hAnsi="Century Gothic"/>
            <w:noProof/>
            <w:color w:val="auto"/>
            <w:lang w:val="es-CR"/>
          </w:rPr>
          <w:t>5.</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lang w:val="es-CR"/>
          </w:rPr>
          <w:t>Arquitectura del modelo</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_Toc461625904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50</w:t>
        </w:r>
        <w:r w:rsidR="00070A05" w:rsidRPr="008B162A">
          <w:rPr>
            <w:rFonts w:ascii="Century Gothic" w:hAnsi="Century Gothic"/>
            <w:noProof/>
            <w:webHidden/>
          </w:rPr>
          <w:fldChar w:fldCharType="end"/>
        </w:r>
      </w:hyperlink>
    </w:p>
    <w:p w:rsidR="00070A05" w:rsidRPr="008B162A" w:rsidRDefault="002808E1">
      <w:pPr>
        <w:pStyle w:val="TDC1"/>
        <w:tabs>
          <w:tab w:val="left" w:pos="540"/>
        </w:tabs>
        <w:rPr>
          <w:rFonts w:ascii="Century Gothic" w:eastAsiaTheme="minorEastAsia" w:hAnsi="Century Gothic" w:cstheme="minorBidi"/>
          <w:noProof/>
          <w:sz w:val="22"/>
          <w:szCs w:val="22"/>
          <w:lang w:eastAsia="es-MX"/>
        </w:rPr>
      </w:pPr>
      <w:hyperlink w:anchor="_Toc461625905" w:history="1">
        <w:r w:rsidR="00070A05" w:rsidRPr="008B162A">
          <w:rPr>
            <w:rStyle w:val="Hipervnculo"/>
            <w:rFonts w:ascii="Century Gothic" w:hAnsi="Century Gothic"/>
            <w:noProof/>
            <w:color w:val="auto"/>
            <w:lang w:val="es-CR"/>
          </w:rPr>
          <w:t>6.</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lang w:val="es-CR"/>
          </w:rPr>
          <w:t>Conductores de Dimensionamiento</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_Toc461625905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54</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906" w:history="1">
        <w:r w:rsidR="00070A05" w:rsidRPr="008B162A">
          <w:rPr>
            <w:rStyle w:val="Hipervnculo"/>
            <w:rFonts w:ascii="Century Gothic" w:hAnsi="Century Gothic"/>
            <w:noProof/>
            <w:color w:val="auto"/>
          </w:rPr>
          <w:t>6.1. Concepto de los conductores de dimensionamiento</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_Toc461625906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54</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907" w:history="1">
        <w:r w:rsidR="00070A05" w:rsidRPr="008B162A">
          <w:rPr>
            <w:rStyle w:val="Hipervnculo"/>
            <w:rFonts w:ascii="Century Gothic" w:hAnsi="Century Gothic"/>
            <w:noProof/>
            <w:color w:val="auto"/>
            <w:lang w:val="es-CR"/>
          </w:rPr>
          <w:t>6.2. Mapeo de servicios a conductores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_Toc461625907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55</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908" w:history="1">
        <w:r w:rsidR="00070A05" w:rsidRPr="008B162A">
          <w:rPr>
            <w:rStyle w:val="Hipervnculo"/>
            <w:rFonts w:ascii="Century Gothic" w:hAnsi="Century Gothic"/>
            <w:noProof/>
            <w:color w:val="auto"/>
            <w:lang w:val="es-CR"/>
          </w:rPr>
          <w:t>6.3. Factores de uso</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_Toc461625908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55</w:t>
        </w:r>
        <w:r w:rsidR="00070A05" w:rsidRPr="008B162A">
          <w:rPr>
            <w:rFonts w:ascii="Century Gothic" w:hAnsi="Century Gothic"/>
            <w:noProof/>
            <w:webHidden/>
          </w:rPr>
          <w:fldChar w:fldCharType="end"/>
        </w:r>
      </w:hyperlink>
    </w:p>
    <w:p w:rsidR="00070A05" w:rsidRPr="008B162A" w:rsidRDefault="002808E1">
      <w:pPr>
        <w:pStyle w:val="TDC1"/>
        <w:tabs>
          <w:tab w:val="left" w:pos="540"/>
        </w:tabs>
        <w:rPr>
          <w:rFonts w:ascii="Century Gothic" w:eastAsiaTheme="minorEastAsia" w:hAnsi="Century Gothic" w:cstheme="minorBidi"/>
          <w:noProof/>
          <w:sz w:val="22"/>
          <w:szCs w:val="22"/>
          <w:lang w:eastAsia="es-MX"/>
        </w:rPr>
      </w:pPr>
      <w:hyperlink w:anchor="_Toc461625909" w:history="1">
        <w:r w:rsidR="00070A05" w:rsidRPr="008B162A">
          <w:rPr>
            <w:rStyle w:val="Hipervnculo"/>
            <w:rFonts w:ascii="Century Gothic" w:hAnsi="Century Gothic"/>
            <w:noProof/>
            <w:color w:val="auto"/>
            <w:lang w:val="es-CR"/>
          </w:rPr>
          <w:t>7.</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lang w:val="es-CR"/>
          </w:rPr>
          <w:t>Módulo de Dimensionado</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_Toc461625909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56</w:t>
        </w:r>
        <w:r w:rsidR="00070A05" w:rsidRPr="008B162A">
          <w:rPr>
            <w:rFonts w:ascii="Century Gothic" w:hAnsi="Century Gothic"/>
            <w:noProof/>
            <w:webHidden/>
          </w:rPr>
          <w:fldChar w:fldCharType="end"/>
        </w:r>
      </w:hyperlink>
    </w:p>
    <w:p w:rsidR="00070A05" w:rsidRPr="008B162A" w:rsidRDefault="002808E1">
      <w:pPr>
        <w:pStyle w:val="TDC3"/>
        <w:rPr>
          <w:rFonts w:ascii="Century Gothic" w:eastAsiaTheme="minorEastAsia" w:hAnsi="Century Gothic" w:cstheme="minorBidi"/>
          <w:noProof/>
          <w:sz w:val="22"/>
          <w:szCs w:val="22"/>
          <w:lang w:eastAsia="es-MX"/>
        </w:rPr>
      </w:pPr>
      <w:hyperlink w:anchor="_Toc461625910" w:history="1">
        <w:r w:rsidR="00070A05" w:rsidRPr="008B162A">
          <w:rPr>
            <w:rStyle w:val="Hipervnculo"/>
            <w:rFonts w:ascii="Century Gothic" w:hAnsi="Century Gothic"/>
            <w:noProof/>
            <w:color w:val="auto"/>
            <w:lang w:val="es-CR"/>
          </w:rPr>
          <w:t>7.1.1. Dimensionado de la red de acceso de fibra</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_Toc461625910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57</w:t>
        </w:r>
        <w:r w:rsidR="00070A05" w:rsidRPr="008B162A">
          <w:rPr>
            <w:rFonts w:ascii="Century Gothic" w:hAnsi="Century Gothic"/>
            <w:noProof/>
            <w:webHidden/>
          </w:rPr>
          <w:fldChar w:fldCharType="end"/>
        </w:r>
      </w:hyperlink>
    </w:p>
    <w:p w:rsidR="00070A05" w:rsidRPr="008B162A" w:rsidRDefault="002808E1">
      <w:pPr>
        <w:pStyle w:val="TDC3"/>
        <w:rPr>
          <w:rFonts w:ascii="Century Gothic" w:eastAsiaTheme="minorEastAsia" w:hAnsi="Century Gothic" w:cstheme="minorBidi"/>
          <w:noProof/>
          <w:sz w:val="22"/>
          <w:szCs w:val="22"/>
          <w:lang w:eastAsia="es-MX"/>
        </w:rPr>
      </w:pPr>
      <w:hyperlink w:anchor="_Toc461625911" w:history="1">
        <w:r w:rsidR="00070A05" w:rsidRPr="008B162A">
          <w:rPr>
            <w:rStyle w:val="Hipervnculo"/>
            <w:rFonts w:ascii="Century Gothic" w:hAnsi="Century Gothic"/>
            <w:noProof/>
            <w:color w:val="auto"/>
            <w:lang w:val="es-CR"/>
          </w:rPr>
          <w:t>7.1.2. Dimensionado de la infraestructura civil de acceso</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_Toc461625911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71</w:t>
        </w:r>
        <w:r w:rsidR="00070A05" w:rsidRPr="008B162A">
          <w:rPr>
            <w:rFonts w:ascii="Century Gothic" w:hAnsi="Century Gothic"/>
            <w:noProof/>
            <w:webHidden/>
          </w:rPr>
          <w:fldChar w:fldCharType="end"/>
        </w:r>
      </w:hyperlink>
    </w:p>
    <w:p w:rsidR="00070A05" w:rsidRPr="008B162A" w:rsidRDefault="002808E1">
      <w:pPr>
        <w:pStyle w:val="TDC3"/>
        <w:rPr>
          <w:rFonts w:ascii="Century Gothic" w:eastAsiaTheme="minorEastAsia" w:hAnsi="Century Gothic" w:cstheme="minorBidi"/>
          <w:noProof/>
          <w:sz w:val="22"/>
          <w:szCs w:val="22"/>
          <w:lang w:eastAsia="es-MX"/>
        </w:rPr>
      </w:pPr>
      <w:hyperlink w:anchor="_Toc461625912" w:history="1">
        <w:r w:rsidR="00070A05" w:rsidRPr="008B162A">
          <w:rPr>
            <w:rStyle w:val="Hipervnculo"/>
            <w:rFonts w:ascii="Century Gothic" w:hAnsi="Century Gothic"/>
            <w:noProof/>
            <w:color w:val="auto"/>
            <w:lang w:val="es-CR"/>
          </w:rPr>
          <w:t>7.1.3. Equipamiento de las centrales ópticas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_Toc461625912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78</w:t>
        </w:r>
        <w:r w:rsidR="00070A05" w:rsidRPr="008B162A">
          <w:rPr>
            <w:rFonts w:ascii="Century Gothic" w:hAnsi="Century Gothic"/>
            <w:noProof/>
            <w:webHidden/>
          </w:rPr>
          <w:fldChar w:fldCharType="end"/>
        </w:r>
      </w:hyperlink>
    </w:p>
    <w:p w:rsidR="00070A05" w:rsidRPr="008B162A" w:rsidRDefault="002808E1">
      <w:pPr>
        <w:pStyle w:val="TDC1"/>
        <w:tabs>
          <w:tab w:val="left" w:pos="540"/>
        </w:tabs>
        <w:rPr>
          <w:rFonts w:ascii="Century Gothic" w:eastAsiaTheme="minorEastAsia" w:hAnsi="Century Gothic" w:cstheme="minorBidi"/>
          <w:noProof/>
          <w:sz w:val="22"/>
          <w:szCs w:val="22"/>
          <w:lang w:eastAsia="es-MX"/>
        </w:rPr>
      </w:pPr>
      <w:hyperlink w:anchor="_Toc461625913" w:history="1">
        <w:r w:rsidR="00070A05" w:rsidRPr="008B162A">
          <w:rPr>
            <w:rStyle w:val="Hipervnculo"/>
            <w:rFonts w:ascii="Century Gothic" w:hAnsi="Century Gothic"/>
            <w:noProof/>
            <w:color w:val="auto"/>
            <w:lang w:val="es-CR"/>
          </w:rPr>
          <w:t>8.</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lang w:val="es-CR"/>
          </w:rPr>
          <w:t>Módulo de Costos CapEx y OpEx</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_Toc461625913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84</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914" w:history="1">
        <w:r w:rsidR="00070A05" w:rsidRPr="008B162A">
          <w:rPr>
            <w:rStyle w:val="Hipervnculo"/>
            <w:rFonts w:ascii="Century Gothic" w:hAnsi="Century Gothic"/>
            <w:noProof/>
            <w:color w:val="auto"/>
            <w:lang w:val="es-CR"/>
          </w:rPr>
          <w:t>8.1. Paso 1. Determinación de los costos unitarios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_Toc461625914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84</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915" w:history="1">
        <w:r w:rsidR="00070A05" w:rsidRPr="008B162A">
          <w:rPr>
            <w:rStyle w:val="Hipervnculo"/>
            <w:rFonts w:ascii="Century Gothic" w:hAnsi="Century Gothic"/>
            <w:noProof/>
            <w:color w:val="auto"/>
          </w:rPr>
          <w:t>8.2. Paso 2. Cálculo de Adquisiciones de Recursos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_Toc461625915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85</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916" w:history="1">
        <w:r w:rsidR="00070A05" w:rsidRPr="008B162A">
          <w:rPr>
            <w:rStyle w:val="Hipervnculo"/>
            <w:rFonts w:ascii="Century Gothic" w:hAnsi="Century Gothic"/>
            <w:noProof/>
            <w:color w:val="auto"/>
            <w:lang w:val="es-CR"/>
          </w:rPr>
          <w:t>8.3. Paso 3. Cálculo de costos CapEx y OpEx</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_Toc461625916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86</w:t>
        </w:r>
        <w:r w:rsidR="00070A05" w:rsidRPr="008B162A">
          <w:rPr>
            <w:rFonts w:ascii="Century Gothic" w:hAnsi="Century Gothic"/>
            <w:noProof/>
            <w:webHidden/>
          </w:rPr>
          <w:fldChar w:fldCharType="end"/>
        </w:r>
      </w:hyperlink>
    </w:p>
    <w:p w:rsidR="00070A05" w:rsidRPr="008B162A" w:rsidRDefault="002808E1">
      <w:pPr>
        <w:pStyle w:val="TDC1"/>
        <w:tabs>
          <w:tab w:val="left" w:pos="540"/>
        </w:tabs>
        <w:rPr>
          <w:rFonts w:ascii="Century Gothic" w:eastAsiaTheme="minorEastAsia" w:hAnsi="Century Gothic" w:cstheme="minorBidi"/>
          <w:noProof/>
          <w:sz w:val="22"/>
          <w:szCs w:val="22"/>
          <w:lang w:eastAsia="es-MX"/>
        </w:rPr>
      </w:pPr>
      <w:hyperlink w:anchor="_Toc461625917" w:history="1">
        <w:r w:rsidR="00070A05" w:rsidRPr="008B162A">
          <w:rPr>
            <w:rStyle w:val="Hipervnculo"/>
            <w:rFonts w:ascii="Century Gothic" w:hAnsi="Century Gothic"/>
            <w:noProof/>
            <w:color w:val="auto"/>
            <w:lang w:val="es-CR"/>
          </w:rPr>
          <w:t>9.</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lang w:val="es-CR"/>
          </w:rPr>
          <w:t>Módulo de Depreciación</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_Toc461625917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87</w:t>
        </w:r>
        <w:r w:rsidR="00070A05" w:rsidRPr="008B162A">
          <w:rPr>
            <w:rFonts w:ascii="Century Gothic" w:hAnsi="Century Gothic"/>
            <w:noProof/>
            <w:webHidden/>
          </w:rPr>
          <w:fldChar w:fldCharType="end"/>
        </w:r>
      </w:hyperlink>
    </w:p>
    <w:p w:rsidR="00070A05" w:rsidRPr="008B162A" w:rsidRDefault="002808E1">
      <w:pPr>
        <w:pStyle w:val="TDC1"/>
        <w:tabs>
          <w:tab w:val="left" w:pos="880"/>
        </w:tabs>
        <w:rPr>
          <w:rFonts w:ascii="Century Gothic" w:eastAsiaTheme="minorEastAsia" w:hAnsi="Century Gothic" w:cstheme="minorBidi"/>
          <w:noProof/>
          <w:sz w:val="22"/>
          <w:szCs w:val="22"/>
          <w:lang w:eastAsia="es-MX"/>
        </w:rPr>
      </w:pPr>
      <w:hyperlink w:anchor="_Toc461625918" w:history="1">
        <w:r w:rsidR="00070A05" w:rsidRPr="008B162A">
          <w:rPr>
            <w:rStyle w:val="Hipervnculo"/>
            <w:rFonts w:ascii="Century Gothic" w:hAnsi="Century Gothic"/>
            <w:noProof/>
            <w:color w:val="auto"/>
            <w:lang w:val="es-CR"/>
          </w:rPr>
          <w:t>10.</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lang w:val="es-CR"/>
          </w:rPr>
          <w:t>Tratamiento de la compartición de infraestructura entre las redes de fibra y cobre</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_Toc461625918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88</w:t>
        </w:r>
        <w:r w:rsidR="00070A05" w:rsidRPr="008B162A">
          <w:rPr>
            <w:rFonts w:ascii="Century Gothic" w:hAnsi="Century Gothic"/>
            <w:noProof/>
            <w:webHidden/>
          </w:rPr>
          <w:fldChar w:fldCharType="end"/>
        </w:r>
      </w:hyperlink>
    </w:p>
    <w:p w:rsidR="00070A05" w:rsidRPr="008B162A" w:rsidRDefault="002808E1">
      <w:pPr>
        <w:pStyle w:val="TDC1"/>
        <w:tabs>
          <w:tab w:val="left" w:pos="880"/>
        </w:tabs>
        <w:rPr>
          <w:rFonts w:ascii="Century Gothic" w:eastAsiaTheme="minorEastAsia" w:hAnsi="Century Gothic" w:cstheme="minorBidi"/>
          <w:noProof/>
          <w:sz w:val="22"/>
          <w:szCs w:val="22"/>
          <w:lang w:eastAsia="es-MX"/>
        </w:rPr>
      </w:pPr>
      <w:hyperlink w:anchor="_Toc461625919" w:history="1">
        <w:r w:rsidR="00070A05" w:rsidRPr="008B162A">
          <w:rPr>
            <w:rStyle w:val="Hipervnculo"/>
            <w:rFonts w:ascii="Century Gothic" w:hAnsi="Century Gothic"/>
            <w:noProof/>
            <w:color w:val="auto"/>
            <w:lang w:val="es-CR"/>
          </w:rPr>
          <w:t>11.</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lang w:val="es-CR"/>
          </w:rPr>
          <w:t>Imputación de Costos a Servicios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_Toc461625919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90</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920" w:history="1">
        <w:r w:rsidR="00070A05" w:rsidRPr="008B162A">
          <w:rPr>
            <w:rStyle w:val="Hipervnculo"/>
            <w:rFonts w:ascii="Century Gothic" w:hAnsi="Century Gothic"/>
            <w:noProof/>
            <w:color w:val="auto"/>
            <w:lang w:val="es-CR"/>
          </w:rPr>
          <w:t>11.1. Paso 1: Combinación de Factores de Enrutamiento y Demanda</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_Toc461625920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90</w:t>
        </w:r>
        <w:r w:rsidR="00070A05" w:rsidRPr="008B162A">
          <w:rPr>
            <w:rFonts w:ascii="Century Gothic" w:hAnsi="Century Gothic"/>
            <w:noProof/>
            <w:webHidden/>
          </w:rPr>
          <w:fldChar w:fldCharType="end"/>
        </w:r>
      </w:hyperlink>
    </w:p>
    <w:p w:rsidR="00070A05" w:rsidRPr="008B162A" w:rsidRDefault="002808E1">
      <w:pPr>
        <w:pStyle w:val="TDC2"/>
        <w:rPr>
          <w:rFonts w:ascii="Century Gothic" w:eastAsiaTheme="minorEastAsia" w:hAnsi="Century Gothic" w:cstheme="minorBidi"/>
          <w:noProof/>
          <w:sz w:val="22"/>
          <w:szCs w:val="22"/>
          <w:lang w:eastAsia="es-MX"/>
        </w:rPr>
      </w:pPr>
      <w:hyperlink w:anchor="_Toc461625921" w:history="1">
        <w:r w:rsidR="00070A05" w:rsidRPr="008B162A">
          <w:rPr>
            <w:rStyle w:val="Hipervnculo"/>
            <w:rFonts w:ascii="Century Gothic" w:hAnsi="Century Gothic"/>
            <w:noProof/>
            <w:color w:val="auto"/>
            <w:lang w:val="es-CR"/>
          </w:rPr>
          <w:t>11.2. Paso 2: Asignación de Costos a Servicios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_Toc461625921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91</w:t>
        </w:r>
        <w:r w:rsidR="00070A05" w:rsidRPr="008B162A">
          <w:rPr>
            <w:rFonts w:ascii="Century Gothic" w:hAnsi="Century Gothic"/>
            <w:noProof/>
            <w:webHidden/>
          </w:rPr>
          <w:fldChar w:fldCharType="end"/>
        </w:r>
      </w:hyperlink>
    </w:p>
    <w:p w:rsidR="00070A05" w:rsidRPr="008B162A" w:rsidRDefault="002808E1">
      <w:pPr>
        <w:pStyle w:val="TDC1"/>
        <w:tabs>
          <w:tab w:val="left" w:pos="1320"/>
        </w:tabs>
        <w:rPr>
          <w:rFonts w:ascii="Century Gothic" w:eastAsiaTheme="minorEastAsia" w:hAnsi="Century Gothic" w:cstheme="minorBidi"/>
          <w:noProof/>
          <w:sz w:val="22"/>
          <w:szCs w:val="22"/>
          <w:lang w:eastAsia="es-MX"/>
        </w:rPr>
      </w:pPr>
      <w:hyperlink w:anchor="_Toc461625922" w:history="1">
        <w:r w:rsidR="00070A05" w:rsidRPr="008B162A">
          <w:rPr>
            <w:rStyle w:val="Hipervnculo"/>
            <w:rFonts w:ascii="Century Gothic" w:hAnsi="Century Gothic"/>
            <w:noProof/>
            <w:color w:val="auto"/>
          </w:rPr>
          <w:t>Anexo A.</w:t>
        </w:r>
        <w:r w:rsidR="00070A05" w:rsidRPr="008B162A">
          <w:rPr>
            <w:rFonts w:ascii="Century Gothic" w:eastAsiaTheme="minorEastAsia" w:hAnsi="Century Gothic" w:cstheme="minorBidi"/>
            <w:noProof/>
            <w:sz w:val="22"/>
            <w:szCs w:val="22"/>
            <w:lang w:eastAsia="es-MX"/>
          </w:rPr>
          <w:tab/>
        </w:r>
        <w:r w:rsidR="00070A05" w:rsidRPr="008B162A">
          <w:rPr>
            <w:rStyle w:val="Hipervnculo"/>
            <w:rFonts w:ascii="Century Gothic" w:hAnsi="Century Gothic"/>
            <w:noProof/>
            <w:color w:val="auto"/>
          </w:rPr>
          <w:t>Referencias internacionales</w:t>
        </w:r>
        <w:r w:rsidR="00070A05" w:rsidRPr="008B162A">
          <w:rPr>
            <w:rFonts w:ascii="Century Gothic" w:hAnsi="Century Gothic"/>
            <w:noProof/>
            <w:webHidden/>
          </w:rPr>
          <w:tab/>
        </w:r>
        <w:r w:rsidR="00070A05" w:rsidRPr="008B162A">
          <w:rPr>
            <w:rFonts w:ascii="Century Gothic" w:hAnsi="Century Gothic"/>
            <w:noProof/>
            <w:webHidden/>
          </w:rPr>
          <w:fldChar w:fldCharType="begin"/>
        </w:r>
        <w:r w:rsidR="00070A05" w:rsidRPr="008B162A">
          <w:rPr>
            <w:rFonts w:ascii="Century Gothic" w:hAnsi="Century Gothic"/>
            <w:noProof/>
            <w:webHidden/>
          </w:rPr>
          <w:instrText xml:space="preserve"> PAGEREF _Toc461625922 \h </w:instrText>
        </w:r>
        <w:r w:rsidR="00070A05" w:rsidRPr="008B162A">
          <w:rPr>
            <w:rFonts w:ascii="Century Gothic" w:hAnsi="Century Gothic"/>
            <w:noProof/>
            <w:webHidden/>
          </w:rPr>
        </w:r>
        <w:r w:rsidR="00070A05" w:rsidRPr="008B162A">
          <w:rPr>
            <w:rFonts w:ascii="Century Gothic" w:hAnsi="Century Gothic"/>
            <w:noProof/>
            <w:webHidden/>
          </w:rPr>
          <w:fldChar w:fldCharType="separate"/>
        </w:r>
        <w:r w:rsidR="00431406">
          <w:rPr>
            <w:rFonts w:ascii="Century Gothic" w:hAnsi="Century Gothic"/>
            <w:noProof/>
            <w:webHidden/>
          </w:rPr>
          <w:t>92</w:t>
        </w:r>
        <w:r w:rsidR="00070A05" w:rsidRPr="008B162A">
          <w:rPr>
            <w:rFonts w:ascii="Century Gothic" w:hAnsi="Century Gothic"/>
            <w:noProof/>
            <w:webHidden/>
          </w:rPr>
          <w:fldChar w:fldCharType="end"/>
        </w:r>
      </w:hyperlink>
    </w:p>
    <w:p w:rsidR="00345305" w:rsidRPr="008B162A" w:rsidRDefault="0010449A" w:rsidP="00E714F3">
      <w:pPr>
        <w:pStyle w:val="Piedepgina"/>
        <w:jc w:val="right"/>
        <w:rPr>
          <w:rFonts w:ascii="Century Gothic" w:hAnsi="Century Gothic" w:cs="Arial"/>
          <w:sz w:val="40"/>
          <w:szCs w:val="28"/>
          <w:lang w:val="es-CR"/>
        </w:rPr>
      </w:pPr>
      <w:r w:rsidRPr="008B162A">
        <w:rPr>
          <w:rFonts w:ascii="Century Gothic" w:hAnsi="Century Gothic"/>
          <w:lang w:val="es-CR"/>
        </w:rPr>
        <w:fldChar w:fldCharType="end"/>
      </w:r>
      <w:r w:rsidR="00345305" w:rsidRPr="008B162A">
        <w:rPr>
          <w:rFonts w:ascii="Century Gothic" w:hAnsi="Century Gothic"/>
          <w:lang w:val="es-CR"/>
        </w:rPr>
        <w:br w:type="page"/>
      </w:r>
    </w:p>
    <w:p w:rsidR="00674E82" w:rsidRPr="008B162A" w:rsidRDefault="00674E82" w:rsidP="00C607F1">
      <w:pPr>
        <w:pStyle w:val="Ttulo1"/>
        <w:rPr>
          <w:rFonts w:ascii="Century Gothic" w:hAnsi="Century Gothic"/>
          <w:color w:val="auto"/>
          <w:lang w:val="es-CR"/>
        </w:rPr>
      </w:pPr>
      <w:bookmarkStart w:id="3" w:name="_Toc431900678"/>
      <w:bookmarkStart w:id="4" w:name="_Ref436757893"/>
      <w:bookmarkStart w:id="5" w:name="_Toc461625878"/>
      <w:r w:rsidRPr="008B162A">
        <w:rPr>
          <w:rFonts w:ascii="Century Gothic" w:hAnsi="Century Gothic"/>
          <w:color w:val="auto"/>
          <w:lang w:val="es-CR"/>
        </w:rPr>
        <w:lastRenderedPageBreak/>
        <w:t>Introduc</w:t>
      </w:r>
      <w:r w:rsidR="00ED7D97" w:rsidRPr="008B162A">
        <w:rPr>
          <w:rFonts w:ascii="Century Gothic" w:hAnsi="Century Gothic"/>
          <w:color w:val="auto"/>
          <w:lang w:val="es-CR"/>
        </w:rPr>
        <w:t>ción</w:t>
      </w:r>
      <w:bookmarkEnd w:id="3"/>
      <w:bookmarkEnd w:id="4"/>
      <w:bookmarkEnd w:id="5"/>
    </w:p>
    <w:p w:rsidR="009A6F9F" w:rsidRPr="008B162A" w:rsidRDefault="009A6F9F" w:rsidP="004209C7">
      <w:pPr>
        <w:rPr>
          <w:rFonts w:ascii="Century Gothic" w:hAnsi="Century Gothic"/>
        </w:rPr>
      </w:pPr>
      <w:bookmarkStart w:id="6" w:name="_Toc171829096"/>
      <w:bookmarkStart w:id="7" w:name="_Toc171830671"/>
      <w:bookmarkStart w:id="8" w:name="_Ref403550937"/>
      <w:r w:rsidRPr="008B162A">
        <w:rPr>
          <w:rFonts w:ascii="Century Gothic" w:hAnsi="Century Gothic"/>
        </w:rPr>
        <w:t xml:space="preserve">El Instituto </w:t>
      </w:r>
      <w:r w:rsidR="00847BCF" w:rsidRPr="008B162A">
        <w:rPr>
          <w:rFonts w:ascii="Century Gothic" w:hAnsi="Century Gothic"/>
        </w:rPr>
        <w:t xml:space="preserve">Federal de Telecomunicaciones </w:t>
      </w:r>
      <w:r w:rsidR="002808E1">
        <w:rPr>
          <w:rFonts w:ascii="Century Gothic" w:hAnsi="Century Gothic"/>
        </w:rPr>
        <w:t>desarrolló un</w:t>
      </w:r>
      <w:r w:rsidRPr="008B162A">
        <w:rPr>
          <w:rFonts w:ascii="Century Gothic" w:hAnsi="Century Gothic"/>
        </w:rPr>
        <w:t xml:space="preserve"> </w:t>
      </w:r>
      <w:r w:rsidR="002808E1">
        <w:rPr>
          <w:rFonts w:ascii="Century Gothic" w:hAnsi="Century Gothic"/>
        </w:rPr>
        <w:t>m</w:t>
      </w:r>
      <w:r w:rsidRPr="008B162A">
        <w:rPr>
          <w:rFonts w:ascii="Century Gothic" w:hAnsi="Century Gothic"/>
        </w:rPr>
        <w:t>odelo de costos para la determinación de las tarifas de acceso a la red de fibra óptica del Agente Económico Preponderante.</w:t>
      </w:r>
    </w:p>
    <w:p w:rsidR="00230B71" w:rsidRPr="008B162A" w:rsidRDefault="00230B71" w:rsidP="001B0A76">
      <w:pPr>
        <w:rPr>
          <w:rFonts w:ascii="Century Gothic" w:hAnsi="Century Gothic"/>
        </w:rPr>
      </w:pPr>
      <w:r w:rsidRPr="008B162A">
        <w:rPr>
          <w:rFonts w:ascii="Century Gothic" w:hAnsi="Century Gothic"/>
        </w:rPr>
        <w:t xml:space="preserve">El principal objetivo del proyecto es el </w:t>
      </w:r>
      <w:r w:rsidR="003644B5" w:rsidRPr="008B162A">
        <w:rPr>
          <w:rFonts w:ascii="Century Gothic" w:hAnsi="Century Gothic"/>
        </w:rPr>
        <w:t xml:space="preserve">desarrollo de un modelo de costos </w:t>
      </w:r>
      <w:proofErr w:type="spellStart"/>
      <w:r w:rsidR="003644B5" w:rsidRPr="002808E1">
        <w:rPr>
          <w:rFonts w:ascii="Century Gothic" w:hAnsi="Century Gothic"/>
          <w:i/>
        </w:rPr>
        <w:t>bottom</w:t>
      </w:r>
      <w:proofErr w:type="spellEnd"/>
      <w:r w:rsidR="003644B5" w:rsidRPr="002808E1">
        <w:rPr>
          <w:rFonts w:ascii="Century Gothic" w:hAnsi="Century Gothic"/>
          <w:i/>
        </w:rPr>
        <w:t>-up</w:t>
      </w:r>
      <w:r w:rsidR="003644B5" w:rsidRPr="008B162A">
        <w:rPr>
          <w:rFonts w:ascii="Century Gothic" w:hAnsi="Century Gothic"/>
        </w:rPr>
        <w:t xml:space="preserve"> basado en la metodología </w:t>
      </w:r>
      <w:r w:rsidR="00847BCF" w:rsidRPr="008B162A">
        <w:rPr>
          <w:rFonts w:ascii="Century Gothic" w:hAnsi="Century Gothic"/>
        </w:rPr>
        <w:t xml:space="preserve">de Costos Incrementales Promedio de Largo Plazo </w:t>
      </w:r>
      <w:r w:rsidR="003644B5" w:rsidRPr="008B162A">
        <w:rPr>
          <w:rFonts w:ascii="Century Gothic" w:hAnsi="Century Gothic"/>
        </w:rPr>
        <w:t>(</w:t>
      </w:r>
      <w:r w:rsidR="00847BCF" w:rsidRPr="008B162A">
        <w:rPr>
          <w:rFonts w:ascii="Century Gothic" w:hAnsi="Century Gothic"/>
        </w:rPr>
        <w:t>en lo sucesivo, “CIPLP”</w:t>
      </w:r>
      <w:r w:rsidR="003644B5" w:rsidRPr="008B162A">
        <w:rPr>
          <w:rFonts w:ascii="Century Gothic" w:hAnsi="Century Gothic"/>
        </w:rPr>
        <w:t>) que permita la determinación de las tarifas de los servicios de desagregación proporcionados a través de la red de fibra óptica del A</w:t>
      </w:r>
      <w:r w:rsidR="00847BCF" w:rsidRPr="008B162A">
        <w:rPr>
          <w:rFonts w:ascii="Century Gothic" w:hAnsi="Century Gothic"/>
        </w:rPr>
        <w:t xml:space="preserve">gente </w:t>
      </w:r>
      <w:r w:rsidR="003644B5" w:rsidRPr="008B162A">
        <w:rPr>
          <w:rFonts w:ascii="Century Gothic" w:hAnsi="Century Gothic"/>
        </w:rPr>
        <w:t>E</w:t>
      </w:r>
      <w:r w:rsidR="00847BCF" w:rsidRPr="008B162A">
        <w:rPr>
          <w:rFonts w:ascii="Century Gothic" w:hAnsi="Century Gothic"/>
        </w:rPr>
        <w:t xml:space="preserve">conómico </w:t>
      </w:r>
      <w:r w:rsidR="003644B5" w:rsidRPr="008B162A">
        <w:rPr>
          <w:rFonts w:ascii="Century Gothic" w:hAnsi="Century Gothic"/>
        </w:rPr>
        <w:t>P</w:t>
      </w:r>
      <w:r w:rsidR="00847BCF" w:rsidRPr="008B162A">
        <w:rPr>
          <w:rFonts w:ascii="Century Gothic" w:hAnsi="Century Gothic"/>
        </w:rPr>
        <w:t>reponderante (en lo sucesivo, “AEP”)</w:t>
      </w:r>
      <w:r w:rsidR="003644B5" w:rsidRPr="008B162A">
        <w:rPr>
          <w:rFonts w:ascii="Century Gothic" w:hAnsi="Century Gothic"/>
        </w:rPr>
        <w:t>.</w:t>
      </w:r>
      <w:r w:rsidR="00070A05" w:rsidRPr="008B162A">
        <w:rPr>
          <w:rFonts w:ascii="Century Gothic" w:hAnsi="Century Gothic"/>
        </w:rPr>
        <w:t xml:space="preserve"> </w:t>
      </w:r>
    </w:p>
    <w:p w:rsidR="00E72031" w:rsidRPr="008B162A" w:rsidRDefault="00E72031" w:rsidP="00070A05">
      <w:pPr>
        <w:rPr>
          <w:rFonts w:ascii="Century Gothic" w:hAnsi="Century Gothic"/>
        </w:rPr>
      </w:pPr>
      <w:r w:rsidRPr="008B162A">
        <w:rPr>
          <w:rFonts w:ascii="Century Gothic" w:hAnsi="Century Gothic"/>
        </w:rPr>
        <w:t>Asimismo</w:t>
      </w:r>
      <w:r w:rsidR="00070A05" w:rsidRPr="008B162A">
        <w:rPr>
          <w:rFonts w:ascii="Century Gothic" w:hAnsi="Century Gothic"/>
        </w:rPr>
        <w:t xml:space="preserve">, con el objetivo de preservar la confidencialidad de cierta información aportada por los operadores durante la fase de construcción del modelo de costos, se han modificado los datos de entrada aplicando un factor aleatorio entre -30% y 30%, si bien se ha mantenido la estructura, los cálculos y las variables del modelo. </w:t>
      </w:r>
      <w:r w:rsidRPr="008B162A">
        <w:rPr>
          <w:rFonts w:ascii="Century Gothic" w:hAnsi="Century Gothic"/>
        </w:rPr>
        <w:t>En este tenor en el archivo Excel correspondiente al modelo los cambios efectuados están señalados con un color especial para el fondo de celda, tal y como se muestra en el ejemplo siguiente:</w:t>
      </w:r>
    </w:p>
    <w:p w:rsidR="00E72031" w:rsidRPr="008B162A" w:rsidRDefault="00E72031" w:rsidP="00E72031">
      <w:pPr>
        <w:jc w:val="center"/>
        <w:rPr>
          <w:rFonts w:ascii="Century Gothic" w:hAnsi="Century Gothic"/>
        </w:rPr>
      </w:pPr>
      <w:r w:rsidRPr="008B162A">
        <w:rPr>
          <w:rFonts w:ascii="Century Gothic" w:hAnsi="Century Gothic"/>
          <w:noProof/>
          <w:lang w:eastAsia="es-MX"/>
        </w:rPr>
        <w:drawing>
          <wp:inline distT="0" distB="0" distL="0" distR="0" wp14:anchorId="1438BCC5" wp14:editId="5FAE9E4B">
            <wp:extent cx="1638300" cy="276225"/>
            <wp:effectExtent l="0" t="0" r="0" b="9525"/>
            <wp:docPr id="6" name="Imagen 6" descr="LINEA" title="LI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38300" cy="276225"/>
                    </a:xfrm>
                    <a:prstGeom prst="rect">
                      <a:avLst/>
                    </a:prstGeom>
                  </pic:spPr>
                </pic:pic>
              </a:graphicData>
            </a:graphic>
          </wp:inline>
        </w:drawing>
      </w:r>
    </w:p>
    <w:p w:rsidR="00FE02C5" w:rsidRPr="008B162A" w:rsidRDefault="00FE02C5" w:rsidP="00070A05">
      <w:pPr>
        <w:rPr>
          <w:rFonts w:ascii="Century Gothic" w:hAnsi="Century Gothic"/>
        </w:rPr>
      </w:pPr>
      <w:r w:rsidRPr="008B162A">
        <w:rPr>
          <w:rFonts w:ascii="Century Gothic" w:hAnsi="Century Gothic"/>
        </w:rPr>
        <w:t>Este formato es usado para identificar aquellos insumos que han sido anonimizados por motivos de confidencialidad</w:t>
      </w:r>
    </w:p>
    <w:p w:rsidR="00070A05" w:rsidRPr="008B162A" w:rsidRDefault="00E72031" w:rsidP="00070A05">
      <w:pPr>
        <w:rPr>
          <w:rFonts w:ascii="Century Gothic" w:hAnsi="Century Gothic"/>
        </w:rPr>
      </w:pPr>
      <w:r w:rsidRPr="008B162A">
        <w:rPr>
          <w:rFonts w:ascii="Century Gothic" w:hAnsi="Century Gothic"/>
        </w:rPr>
        <w:t xml:space="preserve">De esta manera, el objetivo de este ejercicio en la </w:t>
      </w:r>
      <w:r w:rsidR="00070A05" w:rsidRPr="008B162A">
        <w:rPr>
          <w:rFonts w:ascii="Century Gothic" w:hAnsi="Century Gothic"/>
        </w:rPr>
        <w:t>Consulta Pública es el análisis de todas las cuestiones relacionadas con los principios conceptuales ut</w:t>
      </w:r>
      <w:r w:rsidRPr="008B162A">
        <w:rPr>
          <w:rFonts w:ascii="Century Gothic" w:hAnsi="Century Gothic"/>
        </w:rPr>
        <w:t>ilizados en la elaboración del m</w:t>
      </w:r>
      <w:r w:rsidR="00070A05" w:rsidRPr="008B162A">
        <w:rPr>
          <w:rFonts w:ascii="Century Gothic" w:hAnsi="Century Gothic"/>
        </w:rPr>
        <w:t xml:space="preserve">odelo de </w:t>
      </w:r>
      <w:r w:rsidRPr="008B162A">
        <w:rPr>
          <w:rFonts w:ascii="Century Gothic" w:hAnsi="Century Gothic"/>
        </w:rPr>
        <w:t>c</w:t>
      </w:r>
      <w:r w:rsidR="00070A05" w:rsidRPr="008B162A">
        <w:rPr>
          <w:rFonts w:ascii="Century Gothic" w:hAnsi="Century Gothic"/>
        </w:rPr>
        <w:t>ostos, así como la estructura y parámetros de los mismos.</w:t>
      </w:r>
    </w:p>
    <w:p w:rsidR="001B0A76" w:rsidRPr="008B162A" w:rsidRDefault="00FE02C5" w:rsidP="001B0A76">
      <w:pPr>
        <w:rPr>
          <w:rFonts w:ascii="Century Gothic" w:hAnsi="Century Gothic"/>
          <w:b/>
          <w:bCs/>
          <w:iCs/>
          <w:lang w:val="es-CR"/>
        </w:rPr>
      </w:pPr>
      <w:r w:rsidRPr="008B162A">
        <w:rPr>
          <w:rFonts w:ascii="Century Gothic" w:hAnsi="Century Gothic"/>
        </w:rPr>
        <w:t>En consideración de lo anterior, e</w:t>
      </w:r>
      <w:r w:rsidR="001B0A76" w:rsidRPr="008B162A">
        <w:rPr>
          <w:rFonts w:ascii="Century Gothic" w:hAnsi="Century Gothic"/>
        </w:rPr>
        <w:t xml:space="preserve">ste documento </w:t>
      </w:r>
      <w:r w:rsidR="001B0A76" w:rsidRPr="008B162A">
        <w:rPr>
          <w:rFonts w:ascii="Century Gothic" w:hAnsi="Century Gothic"/>
          <w:lang w:val="es-CR"/>
        </w:rPr>
        <w:t xml:space="preserve">describe </w:t>
      </w:r>
      <w:r w:rsidR="00FB2CE7" w:rsidRPr="008B162A">
        <w:rPr>
          <w:rFonts w:ascii="Century Gothic" w:hAnsi="Century Gothic"/>
          <w:lang w:val="es-CR"/>
        </w:rPr>
        <w:t xml:space="preserve">las premisas metodológicas adoptadas en el ejercicio de modelado, la estructura, características, y proceso de cálculo </w:t>
      </w:r>
      <w:r w:rsidR="00847BCF" w:rsidRPr="008B162A">
        <w:rPr>
          <w:rFonts w:ascii="Century Gothic" w:hAnsi="Century Gothic"/>
        </w:rPr>
        <w:t>del</w:t>
      </w:r>
      <w:r w:rsidR="00847BCF" w:rsidRPr="008B162A">
        <w:rPr>
          <w:rFonts w:ascii="Century Gothic" w:hAnsi="Century Gothic"/>
          <w:spacing w:val="-22"/>
        </w:rPr>
        <w:t xml:space="preserve"> </w:t>
      </w:r>
      <w:r w:rsidR="00847BCF" w:rsidRPr="008B162A">
        <w:rPr>
          <w:rFonts w:ascii="Century Gothic" w:hAnsi="Century Gothic"/>
        </w:rPr>
        <w:t>Modelo de costos incrementales de largo plazo de la red de acceso fija de fibra óptica del AEP</w:t>
      </w:r>
      <w:r w:rsidR="001B0A76" w:rsidRPr="008B162A">
        <w:rPr>
          <w:rFonts w:ascii="Century Gothic" w:hAnsi="Century Gothic"/>
          <w:lang w:val="es-CR"/>
        </w:rPr>
        <w:t xml:space="preserve"> </w:t>
      </w:r>
      <w:r w:rsidR="00847BCF" w:rsidRPr="008B162A">
        <w:rPr>
          <w:rFonts w:ascii="Century Gothic" w:hAnsi="Century Gothic"/>
          <w:lang w:val="es-CR"/>
        </w:rPr>
        <w:t xml:space="preserve">(en lo sucesivo, </w:t>
      </w:r>
      <w:r w:rsidR="001B0A76" w:rsidRPr="008B162A">
        <w:rPr>
          <w:rFonts w:ascii="Century Gothic" w:hAnsi="Century Gothic"/>
          <w:lang w:val="es-CR"/>
        </w:rPr>
        <w:t xml:space="preserve">el </w:t>
      </w:r>
      <w:r w:rsidR="00847BCF" w:rsidRPr="008B162A">
        <w:rPr>
          <w:rFonts w:ascii="Century Gothic" w:hAnsi="Century Gothic"/>
          <w:lang w:val="es-CR"/>
        </w:rPr>
        <w:t>“</w:t>
      </w:r>
      <w:r w:rsidR="001B0A76" w:rsidRPr="008B162A">
        <w:rPr>
          <w:rFonts w:ascii="Century Gothic" w:hAnsi="Century Gothic"/>
          <w:lang w:val="es-CR"/>
        </w:rPr>
        <w:t>Modelo</w:t>
      </w:r>
      <w:r w:rsidR="00847BCF" w:rsidRPr="008B162A">
        <w:rPr>
          <w:rFonts w:ascii="Century Gothic" w:hAnsi="Century Gothic"/>
          <w:lang w:val="es-CR"/>
        </w:rPr>
        <w:t>”</w:t>
      </w:r>
      <w:r w:rsidR="001B0A76" w:rsidRPr="008B162A">
        <w:rPr>
          <w:rFonts w:ascii="Century Gothic" w:hAnsi="Century Gothic"/>
          <w:lang w:val="es-CR"/>
        </w:rPr>
        <w:t>).</w:t>
      </w:r>
    </w:p>
    <w:bookmarkEnd w:id="6"/>
    <w:bookmarkEnd w:id="7"/>
    <w:bookmarkEnd w:id="8"/>
    <w:p w:rsidR="00674E82" w:rsidRPr="008B162A" w:rsidRDefault="00FB2CE7" w:rsidP="007A7E8C">
      <w:pPr>
        <w:rPr>
          <w:rFonts w:ascii="Century Gothic" w:hAnsi="Century Gothic"/>
          <w:lang w:val="es-CR"/>
        </w:rPr>
      </w:pPr>
      <w:r w:rsidRPr="008B162A">
        <w:rPr>
          <w:rFonts w:ascii="Century Gothic" w:hAnsi="Century Gothic"/>
          <w:lang w:val="es-CR"/>
        </w:rPr>
        <w:t>Para facilitar la lectura y seguimiento de este documento, el mismo ha sido dividido en las siguientes secciones</w:t>
      </w:r>
      <w:r w:rsidR="007A7E8C" w:rsidRPr="008B162A">
        <w:rPr>
          <w:rFonts w:ascii="Century Gothic" w:hAnsi="Century Gothic"/>
          <w:lang w:val="es-CR"/>
        </w:rPr>
        <w:t>:</w:t>
      </w:r>
      <w:r w:rsidR="00674E82" w:rsidRPr="008B162A">
        <w:rPr>
          <w:rFonts w:ascii="Century Gothic" w:hAnsi="Century Gothic"/>
          <w:lang w:val="es-CR"/>
        </w:rPr>
        <w:t xml:space="preserve"> </w:t>
      </w:r>
    </w:p>
    <w:p w:rsidR="00EB08B4" w:rsidRPr="00D7559E" w:rsidRDefault="00F120EB" w:rsidP="000F1DD5">
      <w:pPr>
        <w:pStyle w:val="Indentado1"/>
        <w:numPr>
          <w:ilvl w:val="0"/>
          <w:numId w:val="22"/>
        </w:numPr>
      </w:pPr>
      <w:r w:rsidRPr="00D7559E">
        <w:rPr>
          <w:b/>
        </w:rPr>
        <w:t>Metodología</w:t>
      </w:r>
      <w:r w:rsidR="00EB08B4" w:rsidRPr="00D7559E">
        <w:t xml:space="preserve">, </w:t>
      </w:r>
      <w:r w:rsidR="00FB2CE7" w:rsidRPr="00D7559E">
        <w:t xml:space="preserve">donde </w:t>
      </w:r>
      <w:r w:rsidR="00432EAD" w:rsidRPr="00D7559E">
        <w:t xml:space="preserve">se </w:t>
      </w:r>
      <w:r w:rsidRPr="00D7559E">
        <w:t xml:space="preserve">detalla </w:t>
      </w:r>
      <w:r w:rsidR="00432EAD" w:rsidRPr="00D7559E">
        <w:t xml:space="preserve">la </w:t>
      </w:r>
      <w:r w:rsidRPr="00D7559E">
        <w:t xml:space="preserve">metodología </w:t>
      </w:r>
      <w:r w:rsidR="00432EAD" w:rsidRPr="00D7559E">
        <w:t>adoptada</w:t>
      </w:r>
      <w:r w:rsidRPr="00D7559E">
        <w:t xml:space="preserve"> en el modelo de costos</w:t>
      </w:r>
      <w:r w:rsidR="00432EAD" w:rsidRPr="00D7559E">
        <w:t>.</w:t>
      </w:r>
    </w:p>
    <w:p w:rsidR="002A06D1" w:rsidRPr="00D7559E" w:rsidRDefault="007F58FE" w:rsidP="000F1DD5">
      <w:pPr>
        <w:pStyle w:val="Indentado1"/>
        <w:numPr>
          <w:ilvl w:val="0"/>
          <w:numId w:val="22"/>
        </w:numPr>
      </w:pPr>
      <w:r w:rsidRPr="00D7559E">
        <w:rPr>
          <w:b/>
        </w:rPr>
        <w:fldChar w:fldCharType="begin"/>
      </w:r>
      <w:r w:rsidRPr="00D7559E">
        <w:rPr>
          <w:b/>
        </w:rPr>
        <w:instrText xml:space="preserve"> REF _Ref459796548 \h  \* MERGEFORMAT </w:instrText>
      </w:r>
      <w:r w:rsidRPr="00D7559E">
        <w:rPr>
          <w:b/>
        </w:rPr>
      </w:r>
      <w:r w:rsidRPr="00D7559E">
        <w:rPr>
          <w:b/>
        </w:rPr>
        <w:fldChar w:fldCharType="separate"/>
      </w:r>
      <w:r w:rsidR="00431406" w:rsidRPr="00431406">
        <w:rPr>
          <w:b/>
        </w:rPr>
        <w:t>Servicios modelados</w:t>
      </w:r>
      <w:r w:rsidRPr="00D7559E">
        <w:rPr>
          <w:b/>
        </w:rPr>
        <w:fldChar w:fldCharType="end"/>
      </w:r>
      <w:r w:rsidR="002A06D1" w:rsidRPr="00D7559E">
        <w:rPr>
          <w:b/>
        </w:rPr>
        <w:t>,</w:t>
      </w:r>
      <w:r w:rsidR="002A06D1" w:rsidRPr="00D7559E">
        <w:t xml:space="preserve"> </w:t>
      </w:r>
      <w:r w:rsidR="00432EAD" w:rsidRPr="00D7559E">
        <w:t xml:space="preserve">donde se </w:t>
      </w:r>
      <w:r w:rsidR="002A06D1" w:rsidRPr="00D7559E">
        <w:t>introduce</w:t>
      </w:r>
      <w:r w:rsidR="00432EAD" w:rsidRPr="00D7559E">
        <w:t>n</w:t>
      </w:r>
      <w:r w:rsidR="002A06D1" w:rsidRPr="00D7559E">
        <w:t xml:space="preserve"> los </w:t>
      </w:r>
      <w:r w:rsidR="00432EAD" w:rsidRPr="00D7559E">
        <w:t xml:space="preserve">distintos </w:t>
      </w:r>
      <w:r w:rsidR="002A06D1" w:rsidRPr="00D7559E">
        <w:t xml:space="preserve">servicios </w:t>
      </w:r>
      <w:r w:rsidR="00432EAD" w:rsidRPr="00D7559E">
        <w:t>considerados en el modelo, detallándose el esquema seguido para su prestación.</w:t>
      </w:r>
    </w:p>
    <w:p w:rsidR="00431406" w:rsidRPr="00431406" w:rsidRDefault="007F58FE" w:rsidP="000F1DD5">
      <w:pPr>
        <w:pStyle w:val="Indentado1"/>
        <w:numPr>
          <w:ilvl w:val="0"/>
          <w:numId w:val="22"/>
        </w:numPr>
        <w:rPr>
          <w:b/>
        </w:rPr>
      </w:pPr>
      <w:r w:rsidRPr="00D7559E">
        <w:rPr>
          <w:b/>
        </w:rPr>
        <w:lastRenderedPageBreak/>
        <w:fldChar w:fldCharType="begin"/>
      </w:r>
      <w:r w:rsidRPr="00D7559E">
        <w:rPr>
          <w:b/>
        </w:rPr>
        <w:instrText xml:space="preserve"> REF _Ref459796574 \h  \* MERGEFORMAT </w:instrText>
      </w:r>
      <w:r w:rsidRPr="00D7559E">
        <w:rPr>
          <w:b/>
        </w:rPr>
      </w:r>
      <w:r w:rsidRPr="00D7559E">
        <w:rPr>
          <w:b/>
        </w:rPr>
        <w:fldChar w:fldCharType="separate"/>
      </w:r>
      <w:r w:rsidR="00431406" w:rsidRPr="00431406">
        <w:rPr>
          <w:b/>
        </w:rPr>
        <w:t>Parámetros de entrada</w:t>
      </w:r>
      <w:r w:rsidRPr="00D7559E">
        <w:rPr>
          <w:b/>
        </w:rPr>
        <w:fldChar w:fldCharType="end"/>
      </w:r>
      <w:r w:rsidR="008F1810" w:rsidRPr="00D7559E">
        <w:t xml:space="preserve">, </w:t>
      </w:r>
      <w:r w:rsidR="00432EAD" w:rsidRPr="00D7559E">
        <w:t>donde se indican las aproximaciones seguidas para la definición de los insumos de cobertura, demanda e información geográfica en el modelo.</w:t>
      </w:r>
      <w:r w:rsidR="007B6445" w:rsidRPr="00D7559E">
        <w:rPr>
          <w:b/>
        </w:rPr>
        <w:fldChar w:fldCharType="begin"/>
      </w:r>
      <w:r w:rsidR="007B6445" w:rsidRPr="00D7559E">
        <w:rPr>
          <w:b/>
        </w:rPr>
        <w:instrText xml:space="preserve"> REF _Ref459799104 \h  \* MERGEFORMAT </w:instrText>
      </w:r>
      <w:r w:rsidR="007B6445" w:rsidRPr="00D7559E">
        <w:rPr>
          <w:b/>
        </w:rPr>
      </w:r>
      <w:r w:rsidR="007B6445" w:rsidRPr="00D7559E">
        <w:rPr>
          <w:b/>
        </w:rPr>
        <w:fldChar w:fldCharType="separate"/>
      </w:r>
    </w:p>
    <w:p w:rsidR="007B6445" w:rsidRPr="00D7559E" w:rsidRDefault="00431406" w:rsidP="000F1DD5">
      <w:pPr>
        <w:pStyle w:val="Indentado1"/>
        <w:numPr>
          <w:ilvl w:val="0"/>
          <w:numId w:val="22"/>
        </w:numPr>
        <w:rPr>
          <w:b/>
        </w:rPr>
      </w:pPr>
      <w:r w:rsidRPr="00431406">
        <w:rPr>
          <w:b/>
        </w:rPr>
        <w:t xml:space="preserve"> Arquitectura del modelo</w:t>
      </w:r>
      <w:r w:rsidR="007B6445" w:rsidRPr="00D7559E">
        <w:rPr>
          <w:b/>
        </w:rPr>
        <w:fldChar w:fldCharType="end"/>
      </w:r>
      <w:r w:rsidR="00F120EB" w:rsidRPr="00D7559E">
        <w:rPr>
          <w:b/>
        </w:rPr>
        <w:t xml:space="preserve"> del modelo</w:t>
      </w:r>
      <w:r w:rsidR="007B6445" w:rsidRPr="00D7559E">
        <w:rPr>
          <w:b/>
        </w:rPr>
        <w:t>,</w:t>
      </w:r>
      <w:r w:rsidR="007B6445" w:rsidRPr="00D7559E">
        <w:t xml:space="preserve"> introduce la estructura general del modelo, desde el módulo de demanda a los módulos de dimensionamiento de red y costeo.</w:t>
      </w:r>
    </w:p>
    <w:p w:rsidR="00DB1F26" w:rsidRPr="00D7559E" w:rsidRDefault="00DB1F26" w:rsidP="000F1DD5">
      <w:pPr>
        <w:pStyle w:val="Indentado1"/>
        <w:numPr>
          <w:ilvl w:val="0"/>
          <w:numId w:val="22"/>
        </w:numPr>
      </w:pPr>
      <w:r w:rsidRPr="00D7559E">
        <w:rPr>
          <w:b/>
        </w:rPr>
        <w:fldChar w:fldCharType="begin"/>
      </w:r>
      <w:r w:rsidRPr="00D7559E">
        <w:rPr>
          <w:b/>
        </w:rPr>
        <w:instrText xml:space="preserve"> REF _Ref459978653 \h  \* MERGEFORMAT </w:instrText>
      </w:r>
      <w:r w:rsidRPr="00D7559E">
        <w:rPr>
          <w:b/>
        </w:rPr>
      </w:r>
      <w:r w:rsidRPr="00D7559E">
        <w:rPr>
          <w:b/>
        </w:rPr>
        <w:fldChar w:fldCharType="separate"/>
      </w:r>
      <w:r w:rsidR="00431406" w:rsidRPr="00431406">
        <w:rPr>
          <w:b/>
        </w:rPr>
        <w:t>Conductores de Dimensionamiento</w:t>
      </w:r>
      <w:r w:rsidRPr="00D7559E">
        <w:rPr>
          <w:b/>
        </w:rPr>
        <w:fldChar w:fldCharType="end"/>
      </w:r>
      <w:r w:rsidRPr="00D7559E">
        <w:t xml:space="preserve">, presenta el proceso de conversión de </w:t>
      </w:r>
      <w:r w:rsidR="0008614E" w:rsidRPr="00D7559E">
        <w:t xml:space="preserve">la demanda </w:t>
      </w:r>
      <w:r w:rsidRPr="00D7559E">
        <w:t xml:space="preserve">desde un nivel de consumidor (p.ej. líneas, </w:t>
      </w:r>
      <w:r w:rsidR="00103C5F" w:rsidRPr="00D7559E">
        <w:t>enlaces</w:t>
      </w:r>
      <w:r w:rsidRPr="00D7559E">
        <w:t xml:space="preserve">) a un nivel de red (p.ej. </w:t>
      </w:r>
      <w:r w:rsidR="0008614E" w:rsidRPr="00D7559E">
        <w:t>líneas GPON, enlaces punto a punto</w:t>
      </w:r>
      <w:r w:rsidRPr="00D7559E">
        <w:t xml:space="preserve">) </w:t>
      </w:r>
      <w:r w:rsidR="009A6F9F" w:rsidRPr="00D7559E">
        <w:t xml:space="preserve">para </w:t>
      </w:r>
      <w:r w:rsidRPr="00D7559E">
        <w:t>facilita</w:t>
      </w:r>
      <w:r w:rsidR="009A6F9F" w:rsidRPr="00D7559E">
        <w:t>r</w:t>
      </w:r>
      <w:r w:rsidRPr="00D7559E">
        <w:t xml:space="preserve"> el dimensionado de la red</w:t>
      </w:r>
    </w:p>
    <w:p w:rsidR="00DB1F26" w:rsidRPr="00D7559E" w:rsidRDefault="00DB1F26" w:rsidP="000F1DD5">
      <w:pPr>
        <w:pStyle w:val="Indentado1"/>
        <w:numPr>
          <w:ilvl w:val="0"/>
          <w:numId w:val="22"/>
        </w:numPr>
      </w:pPr>
      <w:r w:rsidRPr="00D7559E">
        <w:rPr>
          <w:b/>
        </w:rPr>
        <w:fldChar w:fldCharType="begin"/>
      </w:r>
      <w:r w:rsidRPr="00D7559E">
        <w:rPr>
          <w:b/>
        </w:rPr>
        <w:instrText xml:space="preserve"> REF _Ref459978654 \h  \* MERGEFORMAT </w:instrText>
      </w:r>
      <w:r w:rsidRPr="00D7559E">
        <w:rPr>
          <w:b/>
        </w:rPr>
      </w:r>
      <w:r w:rsidRPr="00D7559E">
        <w:rPr>
          <w:b/>
        </w:rPr>
        <w:fldChar w:fldCharType="separate"/>
      </w:r>
      <w:r w:rsidR="00431406" w:rsidRPr="00431406">
        <w:rPr>
          <w:b/>
        </w:rPr>
        <w:t>Módulo de Dimensionado</w:t>
      </w:r>
      <w:r w:rsidRPr="00D7559E">
        <w:rPr>
          <w:b/>
        </w:rPr>
        <w:fldChar w:fldCharType="end"/>
      </w:r>
      <w:r w:rsidRPr="00D7559E">
        <w:t>, presenta los algoritmos de cálculo empleados para el dimensionado de la red.</w:t>
      </w:r>
    </w:p>
    <w:p w:rsidR="00DB1F26" w:rsidRPr="00D7559E" w:rsidRDefault="00DB1F26" w:rsidP="000F1DD5">
      <w:pPr>
        <w:pStyle w:val="Indentado1"/>
        <w:numPr>
          <w:ilvl w:val="0"/>
          <w:numId w:val="22"/>
        </w:numPr>
      </w:pPr>
      <w:r w:rsidRPr="00D7559E">
        <w:rPr>
          <w:b/>
        </w:rPr>
        <w:fldChar w:fldCharType="begin"/>
      </w:r>
      <w:r w:rsidRPr="00D7559E">
        <w:rPr>
          <w:b/>
        </w:rPr>
        <w:instrText xml:space="preserve"> REF _Ref305572211 \h  \* MERGEFORMAT </w:instrText>
      </w:r>
      <w:r w:rsidRPr="00D7559E">
        <w:rPr>
          <w:b/>
        </w:rPr>
      </w:r>
      <w:r w:rsidRPr="00D7559E">
        <w:rPr>
          <w:b/>
        </w:rPr>
        <w:fldChar w:fldCharType="separate"/>
      </w:r>
      <w:r w:rsidR="00431406" w:rsidRPr="00431406">
        <w:rPr>
          <w:b/>
        </w:rPr>
        <w:t xml:space="preserve">Módulo de Costos </w:t>
      </w:r>
      <w:proofErr w:type="spellStart"/>
      <w:r w:rsidR="00431406" w:rsidRPr="00431406">
        <w:rPr>
          <w:b/>
        </w:rPr>
        <w:t>CapEx</w:t>
      </w:r>
      <w:proofErr w:type="spellEnd"/>
      <w:r w:rsidR="00431406" w:rsidRPr="00431406">
        <w:rPr>
          <w:b/>
        </w:rPr>
        <w:t xml:space="preserve"> y </w:t>
      </w:r>
      <w:proofErr w:type="spellStart"/>
      <w:r w:rsidR="00431406" w:rsidRPr="00431406">
        <w:rPr>
          <w:b/>
        </w:rPr>
        <w:t>OpEx</w:t>
      </w:r>
      <w:proofErr w:type="spellEnd"/>
      <w:r w:rsidRPr="00D7559E">
        <w:rPr>
          <w:b/>
        </w:rPr>
        <w:fldChar w:fldCharType="end"/>
      </w:r>
      <w:r w:rsidRPr="00D7559E">
        <w:t>, detalla el procedimiento seguido para la obtención de los costos operacionales y de capital – no anualizados – asociados</w:t>
      </w:r>
      <w:r w:rsidR="009A6F9F" w:rsidRPr="00D7559E">
        <w:t xml:space="preserve"> </w:t>
      </w:r>
      <w:r w:rsidRPr="00D7559E">
        <w:t>a los elementos de red dimensionados</w:t>
      </w:r>
    </w:p>
    <w:p w:rsidR="00DB1F26" w:rsidRPr="00D7559E" w:rsidRDefault="00DB1F26" w:rsidP="000F1DD5">
      <w:pPr>
        <w:pStyle w:val="Indentado1"/>
        <w:numPr>
          <w:ilvl w:val="0"/>
          <w:numId w:val="22"/>
        </w:numPr>
      </w:pPr>
      <w:r w:rsidRPr="00D7559E">
        <w:rPr>
          <w:b/>
        </w:rPr>
        <w:fldChar w:fldCharType="begin"/>
      </w:r>
      <w:r w:rsidRPr="00D7559E">
        <w:rPr>
          <w:b/>
        </w:rPr>
        <w:instrText xml:space="preserve"> REF _Ref305572229 \h  \* MERGEFORMAT </w:instrText>
      </w:r>
      <w:r w:rsidRPr="00D7559E">
        <w:rPr>
          <w:b/>
        </w:rPr>
      </w:r>
      <w:r w:rsidRPr="00D7559E">
        <w:rPr>
          <w:b/>
        </w:rPr>
        <w:fldChar w:fldCharType="separate"/>
      </w:r>
      <w:r w:rsidR="00431406" w:rsidRPr="00431406">
        <w:rPr>
          <w:b/>
        </w:rPr>
        <w:t>Módulo de Depreciación</w:t>
      </w:r>
      <w:r w:rsidRPr="00D7559E">
        <w:rPr>
          <w:b/>
        </w:rPr>
        <w:fldChar w:fldCharType="end"/>
      </w:r>
      <w:r w:rsidRPr="00D7559E">
        <w:t xml:space="preserve">, donde se describe el método empleado para la </w:t>
      </w:r>
      <w:proofErr w:type="spellStart"/>
      <w:r w:rsidRPr="00D7559E">
        <w:t>anualización</w:t>
      </w:r>
      <w:proofErr w:type="spellEnd"/>
      <w:r w:rsidRPr="00D7559E">
        <w:t xml:space="preserve"> de los costos asociados al capital</w:t>
      </w:r>
    </w:p>
    <w:p w:rsidR="0008614E" w:rsidRPr="00D7559E" w:rsidRDefault="0008614E" w:rsidP="000F1DD5">
      <w:pPr>
        <w:pStyle w:val="Indentado1"/>
        <w:numPr>
          <w:ilvl w:val="0"/>
          <w:numId w:val="22"/>
        </w:numPr>
      </w:pPr>
      <w:r w:rsidRPr="00D7559E">
        <w:fldChar w:fldCharType="begin"/>
      </w:r>
      <w:r w:rsidRPr="00D7559E">
        <w:instrText xml:space="preserve"> REF _Ref460845536 \h  \* MERGEFORMAT </w:instrText>
      </w:r>
      <w:r w:rsidRPr="00D7559E">
        <w:fldChar w:fldCharType="separate"/>
      </w:r>
      <w:r w:rsidR="00431406" w:rsidRPr="00431406">
        <w:rPr>
          <w:b/>
        </w:rPr>
        <w:t>Tratamiento de la compartición de infraestructura</w:t>
      </w:r>
      <w:r w:rsidR="00431406" w:rsidRPr="008B162A">
        <w:t xml:space="preserve"> entre las redes de fibra y cobre</w:t>
      </w:r>
      <w:r w:rsidRPr="00D7559E">
        <w:fldChar w:fldCharType="end"/>
      </w:r>
    </w:p>
    <w:p w:rsidR="00DB1F26" w:rsidRPr="00D7559E" w:rsidRDefault="00F120EB" w:rsidP="000F1DD5">
      <w:pPr>
        <w:pStyle w:val="Indentado1"/>
        <w:numPr>
          <w:ilvl w:val="0"/>
          <w:numId w:val="22"/>
        </w:numPr>
      </w:pPr>
      <w:r w:rsidRPr="00D7559E">
        <w:rPr>
          <w:b/>
        </w:rPr>
        <w:t>Imputación de costos a servicios</w:t>
      </w:r>
      <w:r w:rsidR="00DB1F26" w:rsidRPr="00D7559E">
        <w:t>, presenta el esquema adoptado para la asignación del costo de los elementos de red a los servicios</w:t>
      </w:r>
    </w:p>
    <w:p w:rsidR="00DB1F26" w:rsidRPr="00D7559E" w:rsidRDefault="00DB1F26" w:rsidP="00DB1F26">
      <w:pPr>
        <w:rPr>
          <w:rFonts w:ascii="Century Gothic" w:hAnsi="Century Gothic"/>
          <w:lang w:val="es-CR"/>
        </w:rPr>
      </w:pPr>
      <w:bookmarkStart w:id="9" w:name="_Ref327437253"/>
      <w:r w:rsidRPr="00D7559E">
        <w:rPr>
          <w:rFonts w:ascii="Century Gothic" w:hAnsi="Century Gothic"/>
          <w:lang w:val="es-CR"/>
        </w:rPr>
        <w:t>Por último, se ha producido adicionalmente un Manual de Usuario del modelo, el cual se proporciona en un documento separado.</w:t>
      </w:r>
    </w:p>
    <w:p w:rsidR="00AC0779" w:rsidRPr="00D7559E" w:rsidRDefault="00AC0779" w:rsidP="005066DF">
      <w:pPr>
        <w:pStyle w:val="Annexlevel2"/>
        <w:rPr>
          <w:rFonts w:ascii="Century Gothic" w:hAnsi="Century Gothic"/>
          <w:color w:val="auto"/>
        </w:rPr>
      </w:pPr>
      <w:bookmarkStart w:id="10" w:name="_Toc461625879"/>
      <w:r w:rsidRPr="00D7559E">
        <w:rPr>
          <w:rFonts w:ascii="Century Gothic" w:hAnsi="Century Gothic"/>
          <w:color w:val="auto"/>
          <w:lang w:val="es-MX"/>
        </w:rPr>
        <w:t>Definiciones</w:t>
      </w:r>
      <w:r w:rsidRPr="00D7559E">
        <w:rPr>
          <w:rFonts w:ascii="Century Gothic" w:hAnsi="Century Gothic"/>
          <w:color w:val="auto"/>
        </w:rPr>
        <w:t xml:space="preserve"> y </w:t>
      </w:r>
      <w:r w:rsidRPr="00D7559E">
        <w:rPr>
          <w:rFonts w:ascii="Century Gothic" w:hAnsi="Century Gothic"/>
          <w:color w:val="auto"/>
          <w:lang w:val="es-MX"/>
        </w:rPr>
        <w:t>abreviaciones</w:t>
      </w:r>
      <w:bookmarkEnd w:id="10"/>
    </w:p>
    <w:p w:rsidR="00AC0779" w:rsidRPr="00D7559E" w:rsidRDefault="00AC0779" w:rsidP="00AC0779">
      <w:pPr>
        <w:spacing w:line="360" w:lineRule="auto"/>
        <w:rPr>
          <w:rFonts w:ascii="Century Gothic" w:hAnsi="Century Gothic"/>
          <w:bCs/>
          <w:lang w:val="es-CR"/>
        </w:rPr>
      </w:pPr>
      <w:r w:rsidRPr="00D7559E">
        <w:rPr>
          <w:rFonts w:ascii="Century Gothic" w:hAnsi="Century Gothic"/>
          <w:bCs/>
          <w:lang w:val="es-CR"/>
        </w:rPr>
        <w:t xml:space="preserve">A continuación, se definen las definiciones y abreviaciones </w:t>
      </w:r>
      <w:r w:rsidR="00411017" w:rsidRPr="00D7559E">
        <w:rPr>
          <w:rFonts w:ascii="Century Gothic" w:hAnsi="Century Gothic"/>
          <w:bCs/>
          <w:lang w:val="es-CR"/>
        </w:rPr>
        <w:t>utilizadas</w:t>
      </w:r>
      <w:r w:rsidRPr="00D7559E">
        <w:rPr>
          <w:rFonts w:ascii="Century Gothic" w:hAnsi="Century Gothic"/>
          <w:bCs/>
          <w:lang w:val="es-CR"/>
        </w:rPr>
        <w:t xml:space="preserve"> a lo largo del documento:</w:t>
      </w:r>
    </w:p>
    <w:p w:rsidR="00AC0779" w:rsidRPr="00D7559E" w:rsidRDefault="00AC0779" w:rsidP="000F1DD5">
      <w:pPr>
        <w:pStyle w:val="Indentado1"/>
        <w:numPr>
          <w:ilvl w:val="0"/>
          <w:numId w:val="21"/>
        </w:numPr>
      </w:pPr>
      <w:r w:rsidRPr="00D7559E">
        <w:rPr>
          <w:b/>
        </w:rPr>
        <w:t>AEP</w:t>
      </w:r>
      <w:r w:rsidRPr="00D7559E">
        <w:t>: Agente Económico Preponderante</w:t>
      </w:r>
    </w:p>
    <w:p w:rsidR="00AC0779" w:rsidRPr="00D7559E" w:rsidRDefault="00AC0779" w:rsidP="000F1DD5">
      <w:pPr>
        <w:pStyle w:val="Indentado1"/>
        <w:numPr>
          <w:ilvl w:val="0"/>
          <w:numId w:val="21"/>
        </w:numPr>
      </w:pPr>
      <w:r w:rsidRPr="00D7559E">
        <w:rPr>
          <w:b/>
        </w:rPr>
        <w:t>CAPEX</w:t>
      </w:r>
      <w:r w:rsidRPr="00D7559E">
        <w:t xml:space="preserve">: Capital </w:t>
      </w:r>
      <w:proofErr w:type="spellStart"/>
      <w:r w:rsidRPr="00D7559E">
        <w:t>Expenditure</w:t>
      </w:r>
      <w:proofErr w:type="spellEnd"/>
      <w:r w:rsidRPr="00D7559E">
        <w:t>. Inversiones en capital para la adquisición de activos</w:t>
      </w:r>
    </w:p>
    <w:p w:rsidR="00A61BD5" w:rsidRPr="00D7559E" w:rsidRDefault="00A61BD5" w:rsidP="000F1DD5">
      <w:pPr>
        <w:pStyle w:val="Indentado1"/>
        <w:numPr>
          <w:ilvl w:val="0"/>
          <w:numId w:val="21"/>
        </w:numPr>
      </w:pPr>
      <w:r w:rsidRPr="00D7559E">
        <w:rPr>
          <w:b/>
        </w:rPr>
        <w:t>CIPLP</w:t>
      </w:r>
      <w:r w:rsidRPr="00D7559E">
        <w:t>: Costos Incrementales Promedio de Largo Plazo</w:t>
      </w:r>
    </w:p>
    <w:p w:rsidR="00AC0779" w:rsidRPr="00D7559E" w:rsidRDefault="00AC0779" w:rsidP="000F1DD5">
      <w:pPr>
        <w:pStyle w:val="Indentado1"/>
        <w:numPr>
          <w:ilvl w:val="0"/>
          <w:numId w:val="21"/>
        </w:numPr>
      </w:pPr>
      <w:r w:rsidRPr="00D7559E">
        <w:rPr>
          <w:b/>
        </w:rPr>
        <w:t>C</w:t>
      </w:r>
      <w:r w:rsidR="00A25795" w:rsidRPr="00D7559E">
        <w:rPr>
          <w:b/>
        </w:rPr>
        <w:t>C</w:t>
      </w:r>
      <w:r w:rsidRPr="00D7559E">
        <w:rPr>
          <w:b/>
        </w:rPr>
        <w:t>PP</w:t>
      </w:r>
      <w:r w:rsidRPr="00D7559E">
        <w:t>: Costo de Capital</w:t>
      </w:r>
      <w:r w:rsidR="00A25795" w:rsidRPr="00D7559E">
        <w:t xml:space="preserve"> Promedio Ponderado</w:t>
      </w:r>
    </w:p>
    <w:p w:rsidR="005F7F18" w:rsidRPr="00D7559E" w:rsidRDefault="005F7F18" w:rsidP="000F1DD5">
      <w:pPr>
        <w:pStyle w:val="Indentado1"/>
        <w:numPr>
          <w:ilvl w:val="0"/>
          <w:numId w:val="21"/>
        </w:numPr>
      </w:pPr>
      <w:r w:rsidRPr="00D7559E">
        <w:rPr>
          <w:b/>
        </w:rPr>
        <w:t>CS</w:t>
      </w:r>
      <w:r w:rsidRPr="00D7559E">
        <w:t>: Concesionario Solicitante</w:t>
      </w:r>
    </w:p>
    <w:p w:rsidR="00AC0779" w:rsidRPr="00D7559E" w:rsidRDefault="00AC0779" w:rsidP="000F1DD5">
      <w:pPr>
        <w:pStyle w:val="Indentado1"/>
        <w:numPr>
          <w:ilvl w:val="0"/>
          <w:numId w:val="21"/>
        </w:numPr>
      </w:pPr>
      <w:r w:rsidRPr="00D7559E">
        <w:rPr>
          <w:b/>
        </w:rPr>
        <w:t>CT</w:t>
      </w:r>
      <w:r w:rsidRPr="00D7559E">
        <w:t>: Caja Terminal</w:t>
      </w:r>
    </w:p>
    <w:p w:rsidR="00AC0779" w:rsidRPr="00D7559E" w:rsidRDefault="00AC0779" w:rsidP="000F1DD5">
      <w:pPr>
        <w:pStyle w:val="Indentado1"/>
        <w:numPr>
          <w:ilvl w:val="0"/>
          <w:numId w:val="21"/>
        </w:numPr>
      </w:pPr>
      <w:r w:rsidRPr="00D7559E">
        <w:rPr>
          <w:b/>
        </w:rPr>
        <w:t>EPMU</w:t>
      </w:r>
      <w:r w:rsidRPr="00D7559E">
        <w:t xml:space="preserve">: </w:t>
      </w:r>
      <w:proofErr w:type="spellStart"/>
      <w:r w:rsidRPr="00D7559E">
        <w:t>Equi-proportional</w:t>
      </w:r>
      <w:proofErr w:type="spellEnd"/>
      <w:r w:rsidRPr="00D7559E">
        <w:t xml:space="preserve"> Mark-up</w:t>
      </w:r>
    </w:p>
    <w:p w:rsidR="00AC0779" w:rsidRPr="00D7559E" w:rsidRDefault="00AC0779" w:rsidP="000F1DD5">
      <w:pPr>
        <w:pStyle w:val="Indentado1"/>
        <w:numPr>
          <w:ilvl w:val="0"/>
          <w:numId w:val="21"/>
        </w:numPr>
      </w:pPr>
      <w:r w:rsidRPr="00D7559E">
        <w:rPr>
          <w:b/>
        </w:rPr>
        <w:t>G&amp;A</w:t>
      </w:r>
      <w:r w:rsidRPr="00D7559E">
        <w:t>: Costos Generales y de Administración</w:t>
      </w:r>
    </w:p>
    <w:p w:rsidR="00EC3390" w:rsidRPr="00D7559E" w:rsidRDefault="00EC3390" w:rsidP="000F1DD5">
      <w:pPr>
        <w:pStyle w:val="Indentado1"/>
        <w:numPr>
          <w:ilvl w:val="0"/>
          <w:numId w:val="21"/>
        </w:numPr>
      </w:pPr>
      <w:r w:rsidRPr="00D7559E">
        <w:rPr>
          <w:b/>
        </w:rPr>
        <w:t>GPON:</w:t>
      </w:r>
      <w:r w:rsidRPr="00D7559E">
        <w:t xml:space="preserve"> Red Óptica Pasiva con Capacidad de Gigabit (Gigabit-</w:t>
      </w:r>
      <w:proofErr w:type="spellStart"/>
      <w:r w:rsidRPr="00D7559E">
        <w:t>capable</w:t>
      </w:r>
      <w:proofErr w:type="spellEnd"/>
      <w:r w:rsidRPr="00D7559E">
        <w:t xml:space="preserve"> </w:t>
      </w:r>
      <w:proofErr w:type="spellStart"/>
      <w:r w:rsidRPr="00D7559E">
        <w:t>Passive</w:t>
      </w:r>
      <w:proofErr w:type="spellEnd"/>
      <w:r w:rsidRPr="00D7559E">
        <w:t xml:space="preserve"> </w:t>
      </w:r>
      <w:proofErr w:type="spellStart"/>
      <w:r w:rsidRPr="00D7559E">
        <w:t>Optical</w:t>
      </w:r>
      <w:proofErr w:type="spellEnd"/>
      <w:r w:rsidRPr="00D7559E">
        <w:t xml:space="preserve"> Network)</w:t>
      </w:r>
    </w:p>
    <w:p w:rsidR="00AC0779" w:rsidRPr="00D7559E" w:rsidRDefault="00AC0779" w:rsidP="000F1DD5">
      <w:pPr>
        <w:pStyle w:val="Indentado1"/>
        <w:numPr>
          <w:ilvl w:val="0"/>
          <w:numId w:val="21"/>
        </w:numPr>
      </w:pPr>
      <w:r w:rsidRPr="00D7559E">
        <w:rPr>
          <w:b/>
        </w:rPr>
        <w:t>IFT</w:t>
      </w:r>
      <w:r w:rsidR="006B7D75" w:rsidRPr="00D7559E">
        <w:rPr>
          <w:b/>
        </w:rPr>
        <w:t xml:space="preserve"> o Instituto</w:t>
      </w:r>
      <w:r w:rsidRPr="00D7559E">
        <w:t>: Instituto Federal de Telecomunicaciones</w:t>
      </w:r>
    </w:p>
    <w:p w:rsidR="00AC0779" w:rsidRPr="00D7559E" w:rsidRDefault="00AC0779" w:rsidP="000F1DD5">
      <w:pPr>
        <w:pStyle w:val="Indentado1"/>
        <w:numPr>
          <w:ilvl w:val="0"/>
          <w:numId w:val="21"/>
        </w:numPr>
      </w:pPr>
      <w:r w:rsidRPr="00D7559E">
        <w:rPr>
          <w:b/>
        </w:rPr>
        <w:lastRenderedPageBreak/>
        <w:t>INEGI</w:t>
      </w:r>
      <w:r w:rsidRPr="00D7559E">
        <w:t>: Instituto Nacional de Estadística y Geografía</w:t>
      </w:r>
    </w:p>
    <w:p w:rsidR="00AC0779" w:rsidRPr="00D7559E" w:rsidRDefault="00AC0779" w:rsidP="000F1DD5">
      <w:pPr>
        <w:pStyle w:val="Indentado1"/>
        <w:numPr>
          <w:ilvl w:val="0"/>
          <w:numId w:val="21"/>
        </w:numPr>
      </w:pPr>
      <w:r w:rsidRPr="00D7559E">
        <w:rPr>
          <w:b/>
        </w:rPr>
        <w:t>Multiplexor Multiservicios</w:t>
      </w:r>
      <w:r w:rsidRPr="00D7559E">
        <w:t>: Equipo situado en la central que permite la provisión del servicio de enlaces dedicados al cliente final</w:t>
      </w:r>
    </w:p>
    <w:p w:rsidR="00AC0779" w:rsidRPr="00D7559E" w:rsidRDefault="00AC0779" w:rsidP="000F1DD5">
      <w:pPr>
        <w:pStyle w:val="Indentado1"/>
        <w:numPr>
          <w:ilvl w:val="0"/>
          <w:numId w:val="21"/>
        </w:numPr>
      </w:pPr>
      <w:r w:rsidRPr="00D7559E">
        <w:rPr>
          <w:b/>
        </w:rPr>
        <w:t>ODF</w:t>
      </w:r>
      <w:r w:rsidRPr="00D7559E">
        <w:t xml:space="preserve">: </w:t>
      </w:r>
      <w:proofErr w:type="spellStart"/>
      <w:r w:rsidRPr="00D7559E">
        <w:t>Optical</w:t>
      </w:r>
      <w:proofErr w:type="spellEnd"/>
      <w:r w:rsidRPr="00D7559E">
        <w:t xml:space="preserve"> </w:t>
      </w:r>
      <w:proofErr w:type="spellStart"/>
      <w:r w:rsidRPr="00D7559E">
        <w:t>Distribution</w:t>
      </w:r>
      <w:proofErr w:type="spellEnd"/>
      <w:r w:rsidRPr="00D7559E">
        <w:t xml:space="preserve"> </w:t>
      </w:r>
      <w:proofErr w:type="spellStart"/>
      <w:r w:rsidRPr="00D7559E">
        <w:t>Frame</w:t>
      </w:r>
      <w:proofErr w:type="spellEnd"/>
    </w:p>
    <w:p w:rsidR="00AC0779" w:rsidRPr="00D7559E" w:rsidRDefault="00AC0779" w:rsidP="000F1DD5">
      <w:pPr>
        <w:pStyle w:val="Indentado1"/>
        <w:numPr>
          <w:ilvl w:val="0"/>
          <w:numId w:val="21"/>
        </w:numPr>
      </w:pPr>
      <w:r w:rsidRPr="00D7559E">
        <w:rPr>
          <w:b/>
        </w:rPr>
        <w:t>OLT</w:t>
      </w:r>
      <w:r w:rsidRPr="00D7559E">
        <w:t xml:space="preserve">: </w:t>
      </w:r>
      <w:proofErr w:type="spellStart"/>
      <w:r w:rsidRPr="00D7559E">
        <w:t>Optical</w:t>
      </w:r>
      <w:proofErr w:type="spellEnd"/>
      <w:r w:rsidRPr="00D7559E">
        <w:t xml:space="preserve"> Line Terminal</w:t>
      </w:r>
    </w:p>
    <w:p w:rsidR="006C6D41" w:rsidRPr="00D7559E" w:rsidRDefault="006C6D41" w:rsidP="000F1DD5">
      <w:pPr>
        <w:pStyle w:val="Indentado1"/>
        <w:numPr>
          <w:ilvl w:val="0"/>
          <w:numId w:val="21"/>
        </w:numPr>
      </w:pPr>
      <w:r w:rsidRPr="00D7559E">
        <w:rPr>
          <w:b/>
        </w:rPr>
        <w:t>ONT</w:t>
      </w:r>
      <w:r w:rsidRPr="00D7559E">
        <w:t xml:space="preserve">: </w:t>
      </w:r>
      <w:proofErr w:type="spellStart"/>
      <w:r w:rsidRPr="00D7559E">
        <w:t>Optical</w:t>
      </w:r>
      <w:proofErr w:type="spellEnd"/>
      <w:r w:rsidRPr="00D7559E">
        <w:t xml:space="preserve"> Network Terminal</w:t>
      </w:r>
    </w:p>
    <w:p w:rsidR="00AC0779" w:rsidRPr="00D7559E" w:rsidRDefault="00AC0779" w:rsidP="000F1DD5">
      <w:pPr>
        <w:pStyle w:val="Indentado1"/>
        <w:numPr>
          <w:ilvl w:val="0"/>
          <w:numId w:val="21"/>
        </w:numPr>
      </w:pPr>
      <w:r w:rsidRPr="00D7559E">
        <w:rPr>
          <w:b/>
        </w:rPr>
        <w:t>OPEX</w:t>
      </w:r>
      <w:r w:rsidRPr="00D7559E">
        <w:t xml:space="preserve">: </w:t>
      </w:r>
      <w:proofErr w:type="spellStart"/>
      <w:r w:rsidRPr="00D7559E">
        <w:t>Operating</w:t>
      </w:r>
      <w:proofErr w:type="spellEnd"/>
      <w:r w:rsidRPr="00D7559E">
        <w:t xml:space="preserve"> Expense. Costo anual asociado al mantenimiento, operación y gestión de la red</w:t>
      </w:r>
    </w:p>
    <w:p w:rsidR="00AC0779" w:rsidRPr="00D7559E" w:rsidRDefault="00AC0779" w:rsidP="000F1DD5">
      <w:pPr>
        <w:pStyle w:val="Indentado1"/>
        <w:numPr>
          <w:ilvl w:val="0"/>
          <w:numId w:val="21"/>
        </w:numPr>
      </w:pPr>
      <w:r w:rsidRPr="00D7559E">
        <w:rPr>
          <w:b/>
        </w:rPr>
        <w:t>PD</w:t>
      </w:r>
      <w:r w:rsidRPr="00D7559E">
        <w:t>: Punto de distribución</w:t>
      </w:r>
    </w:p>
    <w:p w:rsidR="00AC0779" w:rsidRPr="00D7559E" w:rsidRDefault="00AC0779" w:rsidP="000F1DD5">
      <w:pPr>
        <w:pStyle w:val="Indentado1"/>
        <w:numPr>
          <w:ilvl w:val="0"/>
          <w:numId w:val="21"/>
        </w:numPr>
      </w:pPr>
      <w:r w:rsidRPr="00D7559E">
        <w:rPr>
          <w:b/>
        </w:rPr>
        <w:t>VULA</w:t>
      </w:r>
      <w:r w:rsidRPr="00D7559E">
        <w:t xml:space="preserve">: Virtual </w:t>
      </w:r>
      <w:proofErr w:type="spellStart"/>
      <w:r w:rsidRPr="00D7559E">
        <w:t>Unbu</w:t>
      </w:r>
      <w:r w:rsidR="004A0C20" w:rsidRPr="00D7559E">
        <w:t>n</w:t>
      </w:r>
      <w:r w:rsidRPr="00D7559E">
        <w:t>dling</w:t>
      </w:r>
      <w:proofErr w:type="spellEnd"/>
      <w:r w:rsidRPr="00D7559E">
        <w:t xml:space="preserve"> </w:t>
      </w:r>
      <w:proofErr w:type="spellStart"/>
      <w:r w:rsidRPr="00D7559E">
        <w:t>Loop</w:t>
      </w:r>
      <w:proofErr w:type="spellEnd"/>
      <w:r w:rsidRPr="00D7559E">
        <w:t xml:space="preserve"> Access</w:t>
      </w:r>
    </w:p>
    <w:p w:rsidR="00AC0779" w:rsidRPr="002808E1" w:rsidRDefault="00AC0779" w:rsidP="000F1DD5">
      <w:pPr>
        <w:pStyle w:val="Indentado1"/>
        <w:numPr>
          <w:ilvl w:val="0"/>
          <w:numId w:val="21"/>
        </w:numPr>
        <w:rPr>
          <w:lang w:val="es-MX"/>
        </w:rPr>
      </w:pPr>
      <w:r w:rsidRPr="002808E1">
        <w:rPr>
          <w:b/>
          <w:lang w:val="es-MX"/>
        </w:rPr>
        <w:t>WACC</w:t>
      </w:r>
      <w:r w:rsidRPr="002808E1">
        <w:rPr>
          <w:lang w:val="es-MX"/>
        </w:rPr>
        <w:t xml:space="preserve">: </w:t>
      </w:r>
      <w:proofErr w:type="spellStart"/>
      <w:r w:rsidR="006B7D75" w:rsidRPr="00D7559E">
        <w:t>Weighted</w:t>
      </w:r>
      <w:proofErr w:type="spellEnd"/>
      <w:r w:rsidR="006B7D75" w:rsidRPr="00D7559E">
        <w:t xml:space="preserve"> </w:t>
      </w:r>
      <w:proofErr w:type="spellStart"/>
      <w:r w:rsidR="006B7D75" w:rsidRPr="00D7559E">
        <w:t>Average</w:t>
      </w:r>
      <w:proofErr w:type="spellEnd"/>
      <w:r w:rsidR="006B7D75" w:rsidRPr="00D7559E">
        <w:t xml:space="preserve"> </w:t>
      </w:r>
      <w:proofErr w:type="spellStart"/>
      <w:r w:rsidR="006B7D75" w:rsidRPr="00D7559E">
        <w:t>Cost</w:t>
      </w:r>
      <w:proofErr w:type="spellEnd"/>
      <w:r w:rsidR="006B7D75" w:rsidRPr="00D7559E">
        <w:t xml:space="preserve"> of Capital, </w:t>
      </w:r>
      <w:r w:rsidR="008B162A" w:rsidRPr="00D7559E">
        <w:t xml:space="preserve">de acuerdo a </w:t>
      </w:r>
      <w:r w:rsidR="006B7D75" w:rsidRPr="00D7559E">
        <w:t xml:space="preserve">la </w:t>
      </w:r>
      <w:r w:rsidR="006B7D75" w:rsidRPr="00D7559E">
        <w:rPr>
          <w:lang w:val="es-MX"/>
        </w:rPr>
        <w:t>terminología</w:t>
      </w:r>
      <w:r w:rsidR="006B7D75" w:rsidRPr="00D7559E">
        <w:t xml:space="preserve"> en inglés para el CCPP.</w:t>
      </w:r>
    </w:p>
    <w:p w:rsidR="00C15825" w:rsidRPr="008B162A" w:rsidRDefault="00F120EB" w:rsidP="00C15825">
      <w:pPr>
        <w:pStyle w:val="Ttulo1"/>
        <w:rPr>
          <w:rFonts w:ascii="Century Gothic" w:hAnsi="Century Gothic"/>
          <w:color w:val="auto"/>
          <w:lang w:val="es-CR"/>
        </w:rPr>
      </w:pPr>
      <w:bookmarkStart w:id="11" w:name="_Alternativas_metodológicas"/>
      <w:bookmarkStart w:id="12" w:name="_Toc461625880"/>
      <w:bookmarkStart w:id="13" w:name="_Toc431900681"/>
      <w:bookmarkStart w:id="14" w:name="_Ref437523644"/>
      <w:bookmarkEnd w:id="11"/>
      <w:r w:rsidRPr="008B162A">
        <w:rPr>
          <w:rFonts w:ascii="Century Gothic" w:hAnsi="Century Gothic"/>
          <w:color w:val="auto"/>
          <w:lang w:val="es-CR"/>
        </w:rPr>
        <w:t>Metodología</w:t>
      </w:r>
      <w:bookmarkEnd w:id="12"/>
    </w:p>
    <w:p w:rsidR="00A8448A" w:rsidRPr="008B162A" w:rsidRDefault="00A8448A" w:rsidP="00C15825">
      <w:pPr>
        <w:spacing w:line="360" w:lineRule="auto"/>
        <w:rPr>
          <w:rFonts w:ascii="Century Gothic" w:hAnsi="Century Gothic"/>
          <w:lang w:val="es-CR"/>
        </w:rPr>
      </w:pPr>
      <w:r w:rsidRPr="008B162A">
        <w:rPr>
          <w:rFonts w:ascii="Century Gothic" w:hAnsi="Century Gothic"/>
          <w:lang w:val="es-CR"/>
        </w:rPr>
        <w:t xml:space="preserve">En los siguientes apartados se </w:t>
      </w:r>
      <w:r w:rsidR="0008614E" w:rsidRPr="008B162A">
        <w:rPr>
          <w:rFonts w:ascii="Century Gothic" w:hAnsi="Century Gothic"/>
          <w:lang w:val="es-CR"/>
        </w:rPr>
        <w:t xml:space="preserve">detalla </w:t>
      </w:r>
      <w:r w:rsidRPr="008B162A">
        <w:rPr>
          <w:rFonts w:ascii="Century Gothic" w:hAnsi="Century Gothic"/>
          <w:lang w:val="es-CR"/>
        </w:rPr>
        <w:t xml:space="preserve">el contexto metodológico adoptado para el desarrollo del modelo. Para ello, se </w:t>
      </w:r>
      <w:r w:rsidR="0008614E" w:rsidRPr="008B162A">
        <w:rPr>
          <w:rFonts w:ascii="Century Gothic" w:hAnsi="Century Gothic"/>
          <w:lang w:val="es-CR"/>
        </w:rPr>
        <w:t>indican</w:t>
      </w:r>
      <w:r w:rsidRPr="008B162A">
        <w:rPr>
          <w:rFonts w:ascii="Century Gothic" w:hAnsi="Century Gothic"/>
          <w:lang w:val="es-CR"/>
        </w:rPr>
        <w:t xml:space="preserve"> las principales áreas </w:t>
      </w:r>
      <w:r w:rsidR="00845198" w:rsidRPr="008B162A">
        <w:rPr>
          <w:rFonts w:ascii="Century Gothic" w:hAnsi="Century Gothic"/>
          <w:lang w:val="es-CR"/>
        </w:rPr>
        <w:t>metodológicas para las cuales se identifican varias alternativas aplicables, definiendo cada una de ellas y analizando sus ventajas y/o inconvenientes para cumplir con los objetivos del presente proyecto. Por último, se expone la alternativa adoptada en el modelo.</w:t>
      </w:r>
      <w:r w:rsidR="0050054F" w:rsidRPr="008B162A">
        <w:rPr>
          <w:rFonts w:ascii="Century Gothic" w:hAnsi="Century Gothic"/>
          <w:lang w:val="es-CR"/>
        </w:rPr>
        <w:t xml:space="preserve"> </w:t>
      </w:r>
    </w:p>
    <w:p w:rsidR="00845198" w:rsidRPr="008B162A" w:rsidRDefault="00845198" w:rsidP="00C15825">
      <w:pPr>
        <w:spacing w:line="360" w:lineRule="auto"/>
        <w:rPr>
          <w:rFonts w:ascii="Century Gothic" w:hAnsi="Century Gothic"/>
          <w:lang w:val="es-CR"/>
        </w:rPr>
      </w:pPr>
      <w:r w:rsidRPr="008B162A">
        <w:rPr>
          <w:rFonts w:ascii="Century Gothic" w:hAnsi="Century Gothic"/>
          <w:lang w:val="es-CR"/>
        </w:rPr>
        <w:t>A continuación</w:t>
      </w:r>
      <w:r w:rsidR="007B6445" w:rsidRPr="008B162A">
        <w:rPr>
          <w:rFonts w:ascii="Century Gothic" w:hAnsi="Century Gothic"/>
          <w:lang w:val="es-CR"/>
        </w:rPr>
        <w:t>,</w:t>
      </w:r>
      <w:r w:rsidRPr="008B162A">
        <w:rPr>
          <w:rFonts w:ascii="Century Gothic" w:hAnsi="Century Gothic"/>
          <w:lang w:val="es-CR"/>
        </w:rPr>
        <w:t xml:space="preserve"> se presenta un resumen de los temas tratados, así como del enfoque eventualmente adoptado:</w:t>
      </w:r>
    </w:p>
    <w:tbl>
      <w:tblPr>
        <w:tblW w:w="8662" w:type="dxa"/>
        <w:tblInd w:w="55" w:type="dxa"/>
        <w:tblCellMar>
          <w:top w:w="72" w:type="dxa"/>
          <w:left w:w="70" w:type="dxa"/>
          <w:bottom w:w="72" w:type="dxa"/>
          <w:right w:w="70" w:type="dxa"/>
        </w:tblCellMar>
        <w:tblLook w:val="04A0" w:firstRow="1" w:lastRow="0" w:firstColumn="1" w:lastColumn="0" w:noHBand="0" w:noVBand="1"/>
      </w:tblPr>
      <w:tblGrid>
        <w:gridCol w:w="3280"/>
        <w:gridCol w:w="5382"/>
      </w:tblGrid>
      <w:tr w:rsidR="008B162A" w:rsidRPr="008B162A" w:rsidTr="004209C7">
        <w:trPr>
          <w:cantSplit/>
          <w:trHeight w:val="20"/>
        </w:trPr>
        <w:tc>
          <w:tcPr>
            <w:tcW w:w="3280" w:type="dxa"/>
            <w:tcBorders>
              <w:top w:val="nil"/>
              <w:left w:val="single" w:sz="4" w:space="0" w:color="FFFFFF"/>
              <w:bottom w:val="nil"/>
              <w:right w:val="single" w:sz="4" w:space="0" w:color="FFFFFF"/>
            </w:tcBorders>
            <w:shd w:val="clear" w:color="auto" w:fill="4F629B"/>
            <w:vAlign w:val="center"/>
            <w:hideMark/>
          </w:tcPr>
          <w:p w:rsidR="00845198" w:rsidRPr="008B162A" w:rsidRDefault="00845198" w:rsidP="00845198">
            <w:pPr>
              <w:spacing w:before="0" w:after="0" w:line="240" w:lineRule="auto"/>
              <w:jc w:val="center"/>
              <w:rPr>
                <w:rFonts w:ascii="Century Gothic" w:hAnsi="Century Gothic"/>
                <w:b/>
                <w:bCs/>
                <w:color w:val="FFFFFF" w:themeColor="background2"/>
                <w:szCs w:val="20"/>
              </w:rPr>
            </w:pPr>
            <w:r w:rsidRPr="008B162A">
              <w:rPr>
                <w:rFonts w:ascii="Century Gothic" w:hAnsi="Century Gothic"/>
                <w:b/>
                <w:bCs/>
                <w:color w:val="FFFFFF" w:themeColor="background2"/>
                <w:szCs w:val="20"/>
                <w:lang w:val="es-CR"/>
              </w:rPr>
              <w:t>Aspecto Metodológico</w:t>
            </w:r>
          </w:p>
        </w:tc>
        <w:tc>
          <w:tcPr>
            <w:tcW w:w="5382" w:type="dxa"/>
            <w:tcBorders>
              <w:top w:val="nil"/>
              <w:left w:val="nil"/>
              <w:bottom w:val="single" w:sz="4" w:space="0" w:color="244062"/>
              <w:right w:val="single" w:sz="4" w:space="0" w:color="FFFFFF"/>
            </w:tcBorders>
            <w:shd w:val="clear" w:color="000000" w:fill="4F629B"/>
            <w:vAlign w:val="center"/>
            <w:hideMark/>
          </w:tcPr>
          <w:p w:rsidR="00845198" w:rsidRPr="008B162A" w:rsidRDefault="00845198" w:rsidP="00845198">
            <w:pPr>
              <w:spacing w:before="0" w:after="0" w:line="240" w:lineRule="auto"/>
              <w:jc w:val="center"/>
              <w:rPr>
                <w:rFonts w:ascii="Century Gothic" w:hAnsi="Century Gothic"/>
                <w:b/>
                <w:bCs/>
                <w:color w:val="FFFFFF" w:themeColor="background2"/>
                <w:szCs w:val="20"/>
              </w:rPr>
            </w:pPr>
            <w:r w:rsidRPr="008B162A">
              <w:rPr>
                <w:rFonts w:ascii="Century Gothic" w:hAnsi="Century Gothic"/>
                <w:b/>
                <w:bCs/>
                <w:color w:val="FFFFFF" w:themeColor="background2"/>
                <w:szCs w:val="20"/>
                <w:lang w:val="es-CR"/>
              </w:rPr>
              <w:t>Enfoque Adoptado</w:t>
            </w:r>
          </w:p>
        </w:tc>
      </w:tr>
      <w:tr w:rsidR="008B162A" w:rsidRPr="008B162A" w:rsidTr="004209C7">
        <w:trPr>
          <w:cantSplit/>
          <w:trHeight w:val="20"/>
        </w:trPr>
        <w:tc>
          <w:tcPr>
            <w:tcW w:w="3280" w:type="dxa"/>
            <w:tcBorders>
              <w:top w:val="single" w:sz="4" w:space="0" w:color="244062"/>
              <w:left w:val="nil"/>
              <w:bottom w:val="single" w:sz="4" w:space="0" w:color="244062"/>
              <w:right w:val="nil"/>
            </w:tcBorders>
            <w:shd w:val="clear" w:color="auto" w:fill="FFFFFF" w:themeFill="background1"/>
            <w:vAlign w:val="center"/>
            <w:hideMark/>
          </w:tcPr>
          <w:p w:rsidR="003858DE" w:rsidRPr="008B162A" w:rsidRDefault="003858DE" w:rsidP="00845198">
            <w:pPr>
              <w:spacing w:before="0" w:after="0" w:line="240" w:lineRule="auto"/>
              <w:jc w:val="left"/>
              <w:rPr>
                <w:rFonts w:ascii="Century Gothic" w:hAnsi="Century Gothic"/>
                <w:szCs w:val="20"/>
              </w:rPr>
            </w:pPr>
            <w:r w:rsidRPr="008B162A">
              <w:rPr>
                <w:rFonts w:ascii="Century Gothic" w:hAnsi="Century Gothic"/>
                <w:szCs w:val="20"/>
                <w:lang w:val="es-CR"/>
              </w:rPr>
              <w:t>Categorías de costo a considerar</w:t>
            </w:r>
          </w:p>
        </w:tc>
        <w:tc>
          <w:tcPr>
            <w:tcW w:w="5382" w:type="dxa"/>
            <w:tcBorders>
              <w:top w:val="single" w:sz="4" w:space="0" w:color="244062"/>
              <w:left w:val="nil"/>
              <w:bottom w:val="single" w:sz="4" w:space="0" w:color="auto"/>
              <w:right w:val="nil"/>
            </w:tcBorders>
            <w:shd w:val="clear" w:color="auto" w:fill="auto"/>
            <w:vAlign w:val="center"/>
          </w:tcPr>
          <w:p w:rsidR="003858DE" w:rsidRPr="008B162A" w:rsidRDefault="003858DE" w:rsidP="003858DE">
            <w:pPr>
              <w:spacing w:before="0" w:after="0" w:line="240" w:lineRule="auto"/>
              <w:rPr>
                <w:rFonts w:ascii="Century Gothic" w:hAnsi="Century Gothic"/>
                <w:szCs w:val="20"/>
                <w:lang w:val="es-CR"/>
              </w:rPr>
            </w:pPr>
            <w:proofErr w:type="spellStart"/>
            <w:r w:rsidRPr="008B162A">
              <w:rPr>
                <w:rFonts w:ascii="Century Gothic" w:hAnsi="Century Gothic"/>
                <w:szCs w:val="20"/>
                <w:lang w:val="es-CR"/>
              </w:rPr>
              <w:t>CapEx</w:t>
            </w:r>
            <w:proofErr w:type="spellEnd"/>
            <w:r w:rsidRPr="008B162A">
              <w:rPr>
                <w:rFonts w:ascii="Century Gothic" w:hAnsi="Century Gothic"/>
                <w:szCs w:val="20"/>
                <w:lang w:val="es-CR"/>
              </w:rPr>
              <w:t xml:space="preserve"> de red</w:t>
            </w:r>
          </w:p>
          <w:p w:rsidR="003858DE" w:rsidRPr="008B162A" w:rsidRDefault="003858DE" w:rsidP="003858DE">
            <w:pPr>
              <w:spacing w:before="0" w:after="0" w:line="240" w:lineRule="auto"/>
              <w:rPr>
                <w:rFonts w:ascii="Century Gothic" w:hAnsi="Century Gothic"/>
                <w:szCs w:val="20"/>
                <w:lang w:val="es-CR"/>
              </w:rPr>
            </w:pPr>
            <w:proofErr w:type="spellStart"/>
            <w:r w:rsidRPr="008B162A">
              <w:rPr>
                <w:rFonts w:ascii="Century Gothic" w:hAnsi="Century Gothic"/>
                <w:szCs w:val="20"/>
                <w:lang w:val="es-CR"/>
              </w:rPr>
              <w:t>OpEx</w:t>
            </w:r>
            <w:proofErr w:type="spellEnd"/>
            <w:r w:rsidRPr="008B162A">
              <w:rPr>
                <w:rFonts w:ascii="Century Gothic" w:hAnsi="Century Gothic"/>
                <w:szCs w:val="20"/>
                <w:lang w:val="es-CR"/>
              </w:rPr>
              <w:t xml:space="preserve"> de red</w:t>
            </w:r>
          </w:p>
          <w:p w:rsidR="003858DE" w:rsidRPr="008B162A" w:rsidRDefault="003858DE" w:rsidP="00AC0779">
            <w:pPr>
              <w:spacing w:before="0" w:after="0" w:line="240" w:lineRule="auto"/>
              <w:rPr>
                <w:rFonts w:ascii="Century Gothic" w:hAnsi="Century Gothic"/>
                <w:szCs w:val="20"/>
                <w:lang w:val="es-CR"/>
              </w:rPr>
            </w:pPr>
            <w:r w:rsidRPr="008B162A">
              <w:rPr>
                <w:rFonts w:ascii="Century Gothic" w:hAnsi="Century Gothic"/>
                <w:szCs w:val="20"/>
                <w:lang w:val="es-CR"/>
              </w:rPr>
              <w:t xml:space="preserve">Costos </w:t>
            </w:r>
            <w:r w:rsidR="00AC0779" w:rsidRPr="008B162A">
              <w:rPr>
                <w:rFonts w:ascii="Century Gothic" w:hAnsi="Century Gothic"/>
                <w:szCs w:val="20"/>
                <w:lang w:val="es-CR"/>
              </w:rPr>
              <w:t>G&amp;A</w:t>
            </w:r>
          </w:p>
        </w:tc>
      </w:tr>
      <w:tr w:rsidR="008B162A" w:rsidRPr="008B162A" w:rsidTr="004209C7">
        <w:trPr>
          <w:cantSplit/>
          <w:trHeight w:val="20"/>
        </w:trPr>
        <w:tc>
          <w:tcPr>
            <w:tcW w:w="3280" w:type="dxa"/>
            <w:tcBorders>
              <w:top w:val="nil"/>
              <w:left w:val="nil"/>
              <w:bottom w:val="single" w:sz="4" w:space="0" w:color="244062"/>
              <w:right w:val="nil"/>
            </w:tcBorders>
            <w:shd w:val="clear" w:color="auto" w:fill="FFFFFF" w:themeFill="background1"/>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szCs w:val="20"/>
                <w:lang w:val="es-CR"/>
              </w:rPr>
              <w:t>Costo de Capital</w:t>
            </w:r>
          </w:p>
        </w:tc>
        <w:tc>
          <w:tcPr>
            <w:tcW w:w="5382" w:type="dxa"/>
            <w:tcBorders>
              <w:top w:val="single" w:sz="4" w:space="0" w:color="auto"/>
              <w:left w:val="nil"/>
              <w:bottom w:val="single" w:sz="4" w:space="0" w:color="244062"/>
              <w:right w:val="nil"/>
            </w:tcBorders>
            <w:shd w:val="clear" w:color="auto" w:fill="auto"/>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szCs w:val="20"/>
              </w:rPr>
              <w:t>Costo de capital promedio ponderado (WACC)</w:t>
            </w:r>
            <w:r w:rsidR="00103C5F" w:rsidRPr="008B162A">
              <w:rPr>
                <w:rFonts w:ascii="Century Gothic" w:hAnsi="Century Gothic"/>
                <w:szCs w:val="20"/>
              </w:rPr>
              <w:t xml:space="preserve"> real</w:t>
            </w:r>
            <w:r w:rsidR="00AD65BA" w:rsidRPr="008B162A">
              <w:rPr>
                <w:rFonts w:ascii="Century Gothic" w:hAnsi="Century Gothic"/>
                <w:szCs w:val="20"/>
              </w:rPr>
              <w:t xml:space="preserve"> antes de impuestos</w:t>
            </w:r>
          </w:p>
        </w:tc>
      </w:tr>
      <w:tr w:rsidR="008B162A" w:rsidRPr="008B162A" w:rsidTr="004209C7">
        <w:trPr>
          <w:cantSplit/>
          <w:trHeight w:val="20"/>
        </w:trPr>
        <w:tc>
          <w:tcPr>
            <w:tcW w:w="3280" w:type="dxa"/>
            <w:tcBorders>
              <w:top w:val="nil"/>
              <w:left w:val="nil"/>
              <w:bottom w:val="single" w:sz="4" w:space="0" w:color="244062"/>
              <w:right w:val="nil"/>
            </w:tcBorders>
            <w:shd w:val="clear" w:color="auto" w:fill="FFFFFF" w:themeFill="background1"/>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bCs/>
                <w:szCs w:val="20"/>
              </w:rPr>
              <w:t xml:space="preserve">Método de </w:t>
            </w:r>
            <w:proofErr w:type="spellStart"/>
            <w:r w:rsidRPr="008B162A">
              <w:rPr>
                <w:rFonts w:ascii="Century Gothic" w:hAnsi="Century Gothic"/>
                <w:bCs/>
                <w:szCs w:val="20"/>
              </w:rPr>
              <w:t>anualización</w:t>
            </w:r>
            <w:proofErr w:type="spellEnd"/>
            <w:r w:rsidRPr="008B162A">
              <w:rPr>
                <w:rFonts w:ascii="Century Gothic" w:hAnsi="Century Gothic"/>
                <w:bCs/>
                <w:szCs w:val="20"/>
              </w:rPr>
              <w:t xml:space="preserve"> de costos</w:t>
            </w:r>
          </w:p>
        </w:tc>
        <w:tc>
          <w:tcPr>
            <w:tcW w:w="5382" w:type="dxa"/>
            <w:tcBorders>
              <w:top w:val="nil"/>
              <w:left w:val="nil"/>
              <w:bottom w:val="single" w:sz="4" w:space="0" w:color="244062"/>
              <w:right w:val="nil"/>
            </w:tcBorders>
            <w:shd w:val="clear" w:color="auto" w:fill="auto"/>
            <w:vAlign w:val="center"/>
            <w:hideMark/>
          </w:tcPr>
          <w:p w:rsidR="00845198" w:rsidRPr="008B162A" w:rsidRDefault="00845198" w:rsidP="003D25FC">
            <w:pPr>
              <w:spacing w:before="0" w:after="0" w:line="240" w:lineRule="auto"/>
              <w:jc w:val="left"/>
              <w:rPr>
                <w:rFonts w:ascii="Century Gothic" w:hAnsi="Century Gothic"/>
                <w:szCs w:val="20"/>
              </w:rPr>
            </w:pPr>
            <w:r w:rsidRPr="008B162A">
              <w:rPr>
                <w:rFonts w:ascii="Century Gothic" w:hAnsi="Century Gothic"/>
                <w:szCs w:val="20"/>
              </w:rPr>
              <w:t xml:space="preserve">Método de </w:t>
            </w:r>
            <w:r w:rsidR="003D25FC" w:rsidRPr="008B162A">
              <w:rPr>
                <w:rFonts w:ascii="Century Gothic" w:hAnsi="Century Gothic"/>
              </w:rPr>
              <w:t xml:space="preserve">anualidad inclinada para la </w:t>
            </w:r>
            <w:proofErr w:type="spellStart"/>
            <w:r w:rsidR="003D25FC" w:rsidRPr="008B162A">
              <w:rPr>
                <w:rFonts w:ascii="Century Gothic" w:hAnsi="Century Gothic"/>
              </w:rPr>
              <w:t>anualización</w:t>
            </w:r>
            <w:proofErr w:type="spellEnd"/>
            <w:r w:rsidR="003D25FC" w:rsidRPr="008B162A">
              <w:rPr>
                <w:rFonts w:ascii="Century Gothic" w:hAnsi="Century Gothic"/>
              </w:rPr>
              <w:t xml:space="preserve"> de los costos asociados al capital</w:t>
            </w:r>
            <w:r w:rsidR="003D25FC" w:rsidRPr="008B162A" w:rsidDel="003D25FC">
              <w:rPr>
                <w:rFonts w:ascii="Century Gothic" w:hAnsi="Century Gothic"/>
                <w:szCs w:val="20"/>
              </w:rPr>
              <w:t xml:space="preserve"> </w:t>
            </w:r>
          </w:p>
        </w:tc>
      </w:tr>
      <w:tr w:rsidR="008B162A" w:rsidRPr="008B162A" w:rsidTr="004209C7">
        <w:trPr>
          <w:cantSplit/>
          <w:trHeight w:val="20"/>
        </w:trPr>
        <w:tc>
          <w:tcPr>
            <w:tcW w:w="3280" w:type="dxa"/>
            <w:tcBorders>
              <w:top w:val="nil"/>
              <w:left w:val="nil"/>
              <w:bottom w:val="single" w:sz="4" w:space="0" w:color="244062"/>
              <w:right w:val="nil"/>
            </w:tcBorders>
            <w:shd w:val="clear" w:color="auto" w:fill="FFFFFF" w:themeFill="background1"/>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bCs/>
                <w:szCs w:val="20"/>
              </w:rPr>
              <w:t>Estándar de Costos</w:t>
            </w:r>
          </w:p>
        </w:tc>
        <w:tc>
          <w:tcPr>
            <w:tcW w:w="5382" w:type="dxa"/>
            <w:tcBorders>
              <w:top w:val="nil"/>
              <w:left w:val="nil"/>
              <w:bottom w:val="single" w:sz="4" w:space="0" w:color="244062"/>
              <w:right w:val="nil"/>
            </w:tcBorders>
            <w:shd w:val="clear" w:color="auto" w:fill="auto"/>
            <w:vAlign w:val="center"/>
            <w:hideMark/>
          </w:tcPr>
          <w:p w:rsidR="00845198" w:rsidRPr="008B162A" w:rsidRDefault="00845198" w:rsidP="00F95228">
            <w:pPr>
              <w:spacing w:before="0" w:after="0" w:line="240" w:lineRule="auto"/>
              <w:jc w:val="left"/>
              <w:rPr>
                <w:rFonts w:ascii="Century Gothic" w:hAnsi="Century Gothic"/>
                <w:szCs w:val="20"/>
              </w:rPr>
            </w:pPr>
            <w:r w:rsidRPr="008B162A">
              <w:rPr>
                <w:rFonts w:ascii="Century Gothic" w:hAnsi="Century Gothic"/>
                <w:szCs w:val="20"/>
              </w:rPr>
              <w:t>Estándar de costos LR</w:t>
            </w:r>
            <w:r w:rsidR="00F95228" w:rsidRPr="008B162A">
              <w:rPr>
                <w:rFonts w:ascii="Century Gothic" w:hAnsi="Century Gothic"/>
                <w:szCs w:val="20"/>
              </w:rPr>
              <w:t>A</w:t>
            </w:r>
            <w:r w:rsidRPr="008B162A">
              <w:rPr>
                <w:rFonts w:ascii="Century Gothic" w:hAnsi="Century Gothic"/>
                <w:szCs w:val="20"/>
              </w:rPr>
              <w:t>IC, el cual incorpora costos comunes</w:t>
            </w:r>
          </w:p>
        </w:tc>
      </w:tr>
      <w:tr w:rsidR="008B162A" w:rsidRPr="008B162A" w:rsidTr="004209C7">
        <w:trPr>
          <w:cantSplit/>
          <w:trHeight w:val="20"/>
        </w:trPr>
        <w:tc>
          <w:tcPr>
            <w:tcW w:w="3280" w:type="dxa"/>
            <w:tcBorders>
              <w:top w:val="nil"/>
              <w:left w:val="nil"/>
              <w:bottom w:val="single" w:sz="4" w:space="0" w:color="244062"/>
              <w:right w:val="nil"/>
            </w:tcBorders>
            <w:shd w:val="clear" w:color="auto" w:fill="FFFFFF" w:themeFill="background1"/>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bCs/>
                <w:szCs w:val="20"/>
              </w:rPr>
              <w:t>Asignación de costos comunes de red</w:t>
            </w:r>
          </w:p>
        </w:tc>
        <w:tc>
          <w:tcPr>
            <w:tcW w:w="5382" w:type="dxa"/>
            <w:tcBorders>
              <w:top w:val="nil"/>
              <w:left w:val="nil"/>
              <w:bottom w:val="single" w:sz="4" w:space="0" w:color="244062"/>
              <w:right w:val="nil"/>
            </w:tcBorders>
            <w:shd w:val="clear" w:color="auto" w:fill="auto"/>
            <w:vAlign w:val="center"/>
            <w:hideMark/>
          </w:tcPr>
          <w:p w:rsidR="00845198" w:rsidRPr="008B162A" w:rsidRDefault="00875B0E" w:rsidP="00875B0E">
            <w:pPr>
              <w:spacing w:before="0" w:after="0" w:line="240" w:lineRule="auto"/>
              <w:jc w:val="left"/>
              <w:rPr>
                <w:rFonts w:ascii="Century Gothic" w:hAnsi="Century Gothic"/>
                <w:szCs w:val="20"/>
              </w:rPr>
            </w:pPr>
            <w:r w:rsidRPr="008B162A">
              <w:rPr>
                <w:rFonts w:ascii="Century Gothic" w:hAnsi="Century Gothic"/>
                <w:szCs w:val="20"/>
              </w:rPr>
              <w:t>M</w:t>
            </w:r>
            <w:r w:rsidR="007B6445" w:rsidRPr="008B162A">
              <w:rPr>
                <w:rFonts w:ascii="Century Gothic" w:hAnsi="Century Gothic"/>
                <w:szCs w:val="20"/>
              </w:rPr>
              <w:t xml:space="preserve">ediante </w:t>
            </w:r>
            <w:r w:rsidR="003D09E3" w:rsidRPr="008B162A">
              <w:rPr>
                <w:rFonts w:ascii="Century Gothic" w:hAnsi="Century Gothic"/>
                <w:szCs w:val="20"/>
              </w:rPr>
              <w:t>el método de capacidad requerida</w:t>
            </w:r>
            <w:r w:rsidR="007B6445" w:rsidRPr="008B162A">
              <w:rPr>
                <w:rFonts w:ascii="Century Gothic" w:hAnsi="Century Gothic"/>
                <w:szCs w:val="20"/>
              </w:rPr>
              <w:t xml:space="preserve"> sobre los costos incrementales</w:t>
            </w:r>
          </w:p>
        </w:tc>
      </w:tr>
      <w:tr w:rsidR="008B162A" w:rsidRPr="008B162A" w:rsidTr="004209C7">
        <w:trPr>
          <w:cantSplit/>
          <w:trHeight w:val="20"/>
        </w:trPr>
        <w:tc>
          <w:tcPr>
            <w:tcW w:w="3280" w:type="dxa"/>
            <w:tcBorders>
              <w:top w:val="nil"/>
              <w:left w:val="nil"/>
              <w:bottom w:val="single" w:sz="4" w:space="0" w:color="244062"/>
              <w:right w:val="nil"/>
            </w:tcBorders>
            <w:shd w:val="clear" w:color="auto" w:fill="FFFFFF" w:themeFill="background1"/>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bCs/>
                <w:szCs w:val="20"/>
              </w:rPr>
              <w:t>Asignación de costos comunes no de red</w:t>
            </w:r>
          </w:p>
        </w:tc>
        <w:tc>
          <w:tcPr>
            <w:tcW w:w="5382" w:type="dxa"/>
            <w:tcBorders>
              <w:top w:val="nil"/>
              <w:left w:val="nil"/>
              <w:bottom w:val="single" w:sz="4" w:space="0" w:color="244062"/>
              <w:right w:val="nil"/>
            </w:tcBorders>
            <w:shd w:val="clear" w:color="auto" w:fill="auto"/>
            <w:vAlign w:val="center"/>
            <w:hideMark/>
          </w:tcPr>
          <w:p w:rsidR="00845198" w:rsidRPr="008B162A" w:rsidRDefault="00875B0E" w:rsidP="00875B0E">
            <w:pPr>
              <w:spacing w:before="0" w:after="0" w:line="240" w:lineRule="auto"/>
              <w:jc w:val="left"/>
              <w:rPr>
                <w:rFonts w:ascii="Century Gothic" w:hAnsi="Century Gothic"/>
                <w:szCs w:val="20"/>
              </w:rPr>
            </w:pPr>
            <w:r w:rsidRPr="008B162A">
              <w:rPr>
                <w:rFonts w:ascii="Century Gothic" w:hAnsi="Century Gothic"/>
                <w:szCs w:val="20"/>
              </w:rPr>
              <w:t>M</w:t>
            </w:r>
            <w:r w:rsidR="007B6445" w:rsidRPr="008B162A">
              <w:rPr>
                <w:rFonts w:ascii="Century Gothic" w:hAnsi="Century Gothic"/>
                <w:szCs w:val="20"/>
              </w:rPr>
              <w:t xml:space="preserve">ediante un </w:t>
            </w:r>
            <w:r w:rsidR="00845198" w:rsidRPr="008B162A">
              <w:rPr>
                <w:rFonts w:ascii="Century Gothic" w:hAnsi="Century Gothic"/>
                <w:szCs w:val="20"/>
              </w:rPr>
              <w:t xml:space="preserve">Mark-up </w:t>
            </w:r>
            <w:proofErr w:type="spellStart"/>
            <w:r w:rsidR="00845198" w:rsidRPr="008B162A">
              <w:rPr>
                <w:rFonts w:ascii="Century Gothic" w:hAnsi="Century Gothic"/>
                <w:szCs w:val="20"/>
              </w:rPr>
              <w:t>equiproporcional</w:t>
            </w:r>
            <w:proofErr w:type="spellEnd"/>
            <w:r w:rsidR="00845198" w:rsidRPr="008B162A">
              <w:rPr>
                <w:rFonts w:ascii="Century Gothic" w:hAnsi="Century Gothic"/>
                <w:szCs w:val="20"/>
              </w:rPr>
              <w:t xml:space="preserve"> (EPMU)</w:t>
            </w:r>
            <w:r w:rsidR="007B6445" w:rsidRPr="008B162A">
              <w:rPr>
                <w:rFonts w:ascii="Century Gothic" w:hAnsi="Century Gothic"/>
                <w:szCs w:val="20"/>
              </w:rPr>
              <w:t xml:space="preserve"> sobre </w:t>
            </w:r>
            <w:r w:rsidRPr="008B162A">
              <w:rPr>
                <w:rFonts w:ascii="Century Gothic" w:hAnsi="Century Gothic"/>
                <w:szCs w:val="20"/>
              </w:rPr>
              <w:t>l</w:t>
            </w:r>
            <w:r w:rsidR="007B6445" w:rsidRPr="008B162A">
              <w:rPr>
                <w:rFonts w:ascii="Century Gothic" w:hAnsi="Century Gothic"/>
                <w:szCs w:val="20"/>
              </w:rPr>
              <w:t>os costos incrementales</w:t>
            </w:r>
          </w:p>
        </w:tc>
      </w:tr>
      <w:tr w:rsidR="008B162A" w:rsidRPr="008B162A" w:rsidTr="004209C7">
        <w:trPr>
          <w:cantSplit/>
          <w:trHeight w:val="20"/>
        </w:trPr>
        <w:tc>
          <w:tcPr>
            <w:tcW w:w="3280" w:type="dxa"/>
            <w:tcBorders>
              <w:top w:val="nil"/>
              <w:left w:val="nil"/>
              <w:bottom w:val="single" w:sz="4" w:space="0" w:color="244062"/>
              <w:right w:val="nil"/>
            </w:tcBorders>
            <w:shd w:val="clear" w:color="auto" w:fill="FFFFFF" w:themeFill="background1"/>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bCs/>
                <w:szCs w:val="20"/>
              </w:rPr>
              <w:lastRenderedPageBreak/>
              <w:t>Incrementos</w:t>
            </w:r>
          </w:p>
        </w:tc>
        <w:tc>
          <w:tcPr>
            <w:tcW w:w="5382" w:type="dxa"/>
            <w:tcBorders>
              <w:top w:val="nil"/>
              <w:left w:val="nil"/>
              <w:bottom w:val="single" w:sz="4" w:space="0" w:color="244062"/>
              <w:right w:val="nil"/>
            </w:tcBorders>
            <w:shd w:val="clear" w:color="auto" w:fill="auto"/>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szCs w:val="20"/>
                <w:lang w:val="es-CR"/>
              </w:rPr>
              <w:t>Único incremento asociado a la totalidad de la demanda</w:t>
            </w:r>
          </w:p>
        </w:tc>
      </w:tr>
      <w:tr w:rsidR="008B162A" w:rsidRPr="008B162A" w:rsidTr="004209C7">
        <w:trPr>
          <w:cantSplit/>
          <w:trHeight w:val="20"/>
        </w:trPr>
        <w:tc>
          <w:tcPr>
            <w:tcW w:w="3280" w:type="dxa"/>
            <w:tcBorders>
              <w:top w:val="nil"/>
              <w:left w:val="nil"/>
              <w:bottom w:val="single" w:sz="4" w:space="0" w:color="244062"/>
              <w:right w:val="nil"/>
            </w:tcBorders>
            <w:shd w:val="clear" w:color="auto" w:fill="FFFFFF" w:themeFill="background1"/>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bCs/>
                <w:szCs w:val="20"/>
              </w:rPr>
              <w:t>Operador a modelar</w:t>
            </w:r>
          </w:p>
        </w:tc>
        <w:tc>
          <w:tcPr>
            <w:tcW w:w="5382" w:type="dxa"/>
            <w:tcBorders>
              <w:top w:val="nil"/>
              <w:left w:val="nil"/>
              <w:bottom w:val="single" w:sz="4" w:space="0" w:color="244062"/>
              <w:right w:val="nil"/>
            </w:tcBorders>
            <w:shd w:val="clear" w:color="auto" w:fill="auto"/>
            <w:vAlign w:val="center"/>
            <w:hideMark/>
          </w:tcPr>
          <w:p w:rsidR="00845198" w:rsidRPr="008B162A" w:rsidRDefault="003D25FC" w:rsidP="00C33DCC">
            <w:pPr>
              <w:spacing w:before="0" w:after="0" w:line="240" w:lineRule="auto"/>
              <w:jc w:val="left"/>
              <w:rPr>
                <w:rFonts w:ascii="Century Gothic" w:hAnsi="Century Gothic"/>
                <w:szCs w:val="20"/>
              </w:rPr>
            </w:pPr>
            <w:r w:rsidRPr="008B162A">
              <w:rPr>
                <w:rFonts w:ascii="Century Gothic" w:hAnsi="Century Gothic"/>
                <w:szCs w:val="20"/>
              </w:rPr>
              <w:t xml:space="preserve">Operador </w:t>
            </w:r>
            <w:r w:rsidR="0008614E" w:rsidRPr="008B162A">
              <w:rPr>
                <w:rFonts w:ascii="Century Gothic" w:hAnsi="Century Gothic"/>
                <w:szCs w:val="20"/>
              </w:rPr>
              <w:t xml:space="preserve">hipotético eficiente </w:t>
            </w:r>
            <w:r w:rsidRPr="008B162A">
              <w:rPr>
                <w:rFonts w:ascii="Century Gothic" w:hAnsi="Century Gothic"/>
                <w:szCs w:val="20"/>
              </w:rPr>
              <w:t xml:space="preserve">basado en la operación real del </w:t>
            </w:r>
            <w:r w:rsidR="0008614E" w:rsidRPr="008B162A">
              <w:rPr>
                <w:rFonts w:ascii="Century Gothic" w:hAnsi="Century Gothic"/>
                <w:szCs w:val="20"/>
              </w:rPr>
              <w:t>AEP</w:t>
            </w:r>
          </w:p>
        </w:tc>
      </w:tr>
      <w:tr w:rsidR="008B162A" w:rsidRPr="008B162A" w:rsidTr="004209C7">
        <w:trPr>
          <w:cantSplit/>
          <w:trHeight w:val="20"/>
        </w:trPr>
        <w:tc>
          <w:tcPr>
            <w:tcW w:w="3280" w:type="dxa"/>
            <w:tcBorders>
              <w:top w:val="nil"/>
              <w:left w:val="nil"/>
              <w:bottom w:val="single" w:sz="4" w:space="0" w:color="244062"/>
              <w:right w:val="nil"/>
            </w:tcBorders>
            <w:shd w:val="clear" w:color="auto" w:fill="FFFFFF" w:themeFill="background1"/>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bCs/>
                <w:szCs w:val="20"/>
              </w:rPr>
              <w:t>Tecnologías de Acceso</w:t>
            </w:r>
          </w:p>
        </w:tc>
        <w:tc>
          <w:tcPr>
            <w:tcW w:w="5382" w:type="dxa"/>
            <w:tcBorders>
              <w:top w:val="nil"/>
              <w:left w:val="nil"/>
              <w:bottom w:val="single" w:sz="4" w:space="0" w:color="244062"/>
              <w:right w:val="nil"/>
            </w:tcBorders>
            <w:shd w:val="clear" w:color="auto" w:fill="auto"/>
            <w:vAlign w:val="center"/>
            <w:hideMark/>
          </w:tcPr>
          <w:p w:rsidR="00845198" w:rsidRPr="008B162A" w:rsidRDefault="0045032F" w:rsidP="00845198">
            <w:pPr>
              <w:spacing w:before="0" w:after="0" w:line="240" w:lineRule="auto"/>
              <w:jc w:val="left"/>
              <w:rPr>
                <w:rFonts w:ascii="Century Gothic" w:hAnsi="Century Gothic"/>
                <w:szCs w:val="20"/>
              </w:rPr>
            </w:pPr>
            <w:r w:rsidRPr="008B162A">
              <w:rPr>
                <w:rFonts w:ascii="Century Gothic" w:hAnsi="Century Gothic"/>
                <w:szCs w:val="20"/>
              </w:rPr>
              <w:t>R</w:t>
            </w:r>
            <w:r w:rsidR="00845198" w:rsidRPr="008B162A">
              <w:rPr>
                <w:rFonts w:ascii="Century Gothic" w:hAnsi="Century Gothic"/>
                <w:szCs w:val="20"/>
              </w:rPr>
              <w:t>edes de acceso de fibra</w:t>
            </w:r>
          </w:p>
        </w:tc>
      </w:tr>
      <w:tr w:rsidR="008B162A" w:rsidRPr="008B162A" w:rsidTr="004209C7">
        <w:trPr>
          <w:cantSplit/>
          <w:trHeight w:val="20"/>
        </w:trPr>
        <w:tc>
          <w:tcPr>
            <w:tcW w:w="3280" w:type="dxa"/>
            <w:tcBorders>
              <w:top w:val="nil"/>
              <w:left w:val="nil"/>
              <w:bottom w:val="single" w:sz="4" w:space="0" w:color="244062"/>
              <w:right w:val="nil"/>
            </w:tcBorders>
            <w:shd w:val="clear" w:color="auto" w:fill="FFFFFF" w:themeFill="background1"/>
            <w:vAlign w:val="center"/>
            <w:hideMark/>
          </w:tcPr>
          <w:p w:rsidR="00845198" w:rsidRPr="008B162A" w:rsidRDefault="00845198" w:rsidP="00845198">
            <w:pPr>
              <w:spacing w:before="0" w:after="0" w:line="240" w:lineRule="auto"/>
              <w:jc w:val="left"/>
              <w:rPr>
                <w:rFonts w:ascii="Century Gothic" w:hAnsi="Century Gothic"/>
                <w:szCs w:val="20"/>
              </w:rPr>
            </w:pPr>
            <w:r w:rsidRPr="008B162A">
              <w:rPr>
                <w:rFonts w:ascii="Century Gothic" w:hAnsi="Century Gothic"/>
                <w:bCs/>
                <w:szCs w:val="20"/>
              </w:rPr>
              <w:t>Topología de la red</w:t>
            </w:r>
          </w:p>
        </w:tc>
        <w:tc>
          <w:tcPr>
            <w:tcW w:w="5382" w:type="dxa"/>
            <w:tcBorders>
              <w:top w:val="nil"/>
              <w:left w:val="nil"/>
              <w:bottom w:val="single" w:sz="4" w:space="0" w:color="244062"/>
              <w:right w:val="nil"/>
            </w:tcBorders>
            <w:shd w:val="clear" w:color="auto" w:fill="auto"/>
            <w:vAlign w:val="center"/>
            <w:hideMark/>
          </w:tcPr>
          <w:p w:rsidR="00845198" w:rsidRPr="008B162A" w:rsidRDefault="0045032F" w:rsidP="00103C5F">
            <w:pPr>
              <w:spacing w:before="0" w:after="0" w:line="240" w:lineRule="auto"/>
              <w:jc w:val="left"/>
              <w:rPr>
                <w:rFonts w:ascii="Century Gothic" w:hAnsi="Century Gothic"/>
                <w:szCs w:val="20"/>
              </w:rPr>
            </w:pPr>
            <w:r w:rsidRPr="008B162A">
              <w:rPr>
                <w:rFonts w:ascii="Century Gothic" w:hAnsi="Century Gothic"/>
                <w:szCs w:val="20"/>
              </w:rPr>
              <w:t xml:space="preserve">Enfoque </w:t>
            </w:r>
            <w:proofErr w:type="spellStart"/>
            <w:r w:rsidR="00103C5F" w:rsidRPr="008B162A">
              <w:rPr>
                <w:rFonts w:ascii="Century Gothic" w:hAnsi="Century Gothic"/>
                <w:szCs w:val="20"/>
              </w:rPr>
              <w:t>modified</w:t>
            </w:r>
            <w:proofErr w:type="spellEnd"/>
            <w:r w:rsidR="00103C5F" w:rsidRPr="008B162A">
              <w:rPr>
                <w:rFonts w:ascii="Century Gothic" w:hAnsi="Century Gothic"/>
                <w:szCs w:val="20"/>
              </w:rPr>
              <w:t xml:space="preserve"> </w:t>
            </w:r>
            <w:proofErr w:type="spellStart"/>
            <w:r w:rsidRPr="008B162A">
              <w:rPr>
                <w:rFonts w:ascii="Century Gothic" w:hAnsi="Century Gothic"/>
                <w:szCs w:val="20"/>
              </w:rPr>
              <w:t>scorched</w:t>
            </w:r>
            <w:r w:rsidR="00103C5F" w:rsidRPr="008B162A">
              <w:rPr>
                <w:rFonts w:ascii="Century Gothic" w:hAnsi="Century Gothic"/>
                <w:szCs w:val="20"/>
              </w:rPr>
              <w:t>-node</w:t>
            </w:r>
            <w:proofErr w:type="spellEnd"/>
            <w:r w:rsidRPr="008B162A">
              <w:rPr>
                <w:rFonts w:ascii="Century Gothic" w:hAnsi="Century Gothic"/>
                <w:szCs w:val="20"/>
              </w:rPr>
              <w:t xml:space="preserve">, reconociendo </w:t>
            </w:r>
            <w:r w:rsidR="00845198" w:rsidRPr="008B162A">
              <w:rPr>
                <w:rFonts w:ascii="Century Gothic" w:hAnsi="Century Gothic"/>
                <w:szCs w:val="20"/>
              </w:rPr>
              <w:t>los datos operacionales disponibles del AEP</w:t>
            </w:r>
          </w:p>
        </w:tc>
      </w:tr>
      <w:tr w:rsidR="008B162A" w:rsidRPr="008B162A" w:rsidTr="004209C7">
        <w:trPr>
          <w:cantSplit/>
          <w:trHeight w:val="20"/>
        </w:trPr>
        <w:tc>
          <w:tcPr>
            <w:tcW w:w="3280" w:type="dxa"/>
            <w:tcBorders>
              <w:top w:val="nil"/>
              <w:left w:val="nil"/>
              <w:bottom w:val="single" w:sz="4" w:space="0" w:color="244062"/>
              <w:right w:val="nil"/>
            </w:tcBorders>
            <w:shd w:val="clear" w:color="auto" w:fill="FFFFFF" w:themeFill="background1"/>
            <w:vAlign w:val="center"/>
            <w:hideMark/>
          </w:tcPr>
          <w:p w:rsidR="00845198" w:rsidRPr="008B162A" w:rsidRDefault="003D25FC" w:rsidP="003D25FC">
            <w:pPr>
              <w:spacing w:before="0" w:after="0" w:line="240" w:lineRule="auto"/>
              <w:jc w:val="left"/>
              <w:rPr>
                <w:rFonts w:ascii="Century Gothic" w:hAnsi="Century Gothic"/>
                <w:szCs w:val="20"/>
              </w:rPr>
            </w:pPr>
            <w:r w:rsidRPr="008B162A">
              <w:rPr>
                <w:rFonts w:ascii="Century Gothic" w:hAnsi="Century Gothic"/>
                <w:bCs/>
                <w:szCs w:val="20"/>
              </w:rPr>
              <w:t>Horizonte temporal</w:t>
            </w:r>
          </w:p>
        </w:tc>
        <w:tc>
          <w:tcPr>
            <w:tcW w:w="5382" w:type="dxa"/>
            <w:tcBorders>
              <w:top w:val="nil"/>
              <w:left w:val="nil"/>
              <w:bottom w:val="single" w:sz="4" w:space="0" w:color="244062"/>
              <w:right w:val="nil"/>
            </w:tcBorders>
            <w:shd w:val="clear" w:color="auto" w:fill="auto"/>
            <w:vAlign w:val="center"/>
            <w:hideMark/>
          </w:tcPr>
          <w:p w:rsidR="00845198" w:rsidRPr="008B162A" w:rsidRDefault="00845198" w:rsidP="007B6445">
            <w:pPr>
              <w:keepNext/>
              <w:spacing w:before="0" w:after="0" w:line="240" w:lineRule="auto"/>
              <w:jc w:val="left"/>
              <w:rPr>
                <w:rFonts w:ascii="Century Gothic" w:hAnsi="Century Gothic"/>
                <w:szCs w:val="20"/>
              </w:rPr>
            </w:pPr>
            <w:r w:rsidRPr="008B162A">
              <w:rPr>
                <w:rFonts w:ascii="Century Gothic" w:hAnsi="Century Gothic"/>
                <w:szCs w:val="20"/>
              </w:rPr>
              <w:t>Diseño de un modelo dinámico que considere 2015 como año de referencia e incluya 4 años futuros (2015 - 2020)</w:t>
            </w:r>
          </w:p>
        </w:tc>
      </w:tr>
    </w:tbl>
    <w:p w:rsidR="00845198" w:rsidRPr="008B162A" w:rsidRDefault="00845198" w:rsidP="007B6445">
      <w:pPr>
        <w:pStyle w:val="Descripcin"/>
        <w:rPr>
          <w:rFonts w:ascii="Century Gothic" w:hAnsi="Century Gothic"/>
        </w:rPr>
      </w:pPr>
      <w:r w:rsidRPr="008B162A">
        <w:rPr>
          <w:rFonts w:ascii="Century Gothic" w:hAnsi="Century Gothic"/>
        </w:rPr>
        <w:t xml:space="preserve">Tabla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2</w:t>
      </w:r>
      <w:r w:rsidR="00847BCF" w:rsidRPr="008B162A">
        <w:rPr>
          <w:rFonts w:ascii="Century Gothic" w:hAnsi="Century Gothic"/>
          <w:noProof/>
        </w:rPr>
        <w:fldChar w:fldCharType="end"/>
      </w:r>
      <w:r w:rsidR="00AD65BA"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Tabla \* ARABIC \s 1 </w:instrText>
      </w:r>
      <w:r w:rsidR="00847BCF" w:rsidRPr="008B162A">
        <w:rPr>
          <w:rFonts w:ascii="Century Gothic" w:hAnsi="Century Gothic"/>
        </w:rPr>
        <w:fldChar w:fldCharType="separate"/>
      </w:r>
      <w:r w:rsidR="00431406">
        <w:rPr>
          <w:rFonts w:ascii="Century Gothic" w:hAnsi="Century Gothic"/>
          <w:noProof/>
        </w:rPr>
        <w:t>1</w:t>
      </w:r>
      <w:r w:rsidR="00847BCF" w:rsidRPr="008B162A">
        <w:rPr>
          <w:rFonts w:ascii="Century Gothic" w:hAnsi="Century Gothic"/>
          <w:noProof/>
        </w:rPr>
        <w:fldChar w:fldCharType="end"/>
      </w:r>
      <w:r w:rsidRPr="008B162A">
        <w:rPr>
          <w:rFonts w:ascii="Century Gothic" w:hAnsi="Century Gothic"/>
        </w:rPr>
        <w:t xml:space="preserve">: Resumen de la aproximación metodológica adoptada para la construcción del modelo [Fuente: </w:t>
      </w:r>
      <w:r w:rsidR="006B7D75" w:rsidRPr="008B162A">
        <w:rPr>
          <w:rFonts w:ascii="Century Gothic" w:hAnsi="Century Gothic"/>
        </w:rPr>
        <w:t>IFT, 2016</w:t>
      </w:r>
      <w:r w:rsidRPr="008B162A">
        <w:rPr>
          <w:rFonts w:ascii="Century Gothic" w:hAnsi="Century Gothic"/>
        </w:rPr>
        <w:t>]</w:t>
      </w:r>
    </w:p>
    <w:p w:rsidR="00C15825" w:rsidRPr="008B162A" w:rsidRDefault="0045032F" w:rsidP="00C15825">
      <w:pPr>
        <w:spacing w:line="360" w:lineRule="auto"/>
        <w:rPr>
          <w:rFonts w:ascii="Century Gothic" w:hAnsi="Century Gothic"/>
          <w:lang w:val="es-CR"/>
        </w:rPr>
      </w:pPr>
      <w:r w:rsidRPr="008B162A">
        <w:rPr>
          <w:rFonts w:ascii="Century Gothic" w:hAnsi="Century Gothic"/>
          <w:lang w:val="es-CR"/>
        </w:rPr>
        <w:t>A continuación</w:t>
      </w:r>
      <w:r w:rsidR="007B6445" w:rsidRPr="008B162A">
        <w:rPr>
          <w:rFonts w:ascii="Century Gothic" w:hAnsi="Century Gothic"/>
          <w:lang w:val="es-CR"/>
        </w:rPr>
        <w:t>,</w:t>
      </w:r>
      <w:r w:rsidRPr="008B162A">
        <w:rPr>
          <w:rFonts w:ascii="Century Gothic" w:hAnsi="Century Gothic"/>
          <w:lang w:val="es-CR"/>
        </w:rPr>
        <w:t xml:space="preserve"> se presenta el detalle relativo al análisis de cada uno de los aspectos metodológicos resumidos en la tabla anterior.</w:t>
      </w:r>
    </w:p>
    <w:p w:rsidR="00C15825" w:rsidRPr="008B162A" w:rsidRDefault="00C15825" w:rsidP="00C15825">
      <w:pPr>
        <w:pStyle w:val="Ttulo2"/>
        <w:rPr>
          <w:rFonts w:ascii="Century Gothic" w:hAnsi="Century Gothic"/>
          <w:color w:val="auto"/>
          <w:lang w:val="es-CR"/>
        </w:rPr>
      </w:pPr>
      <w:bookmarkStart w:id="15" w:name="_Ref459887118"/>
      <w:bookmarkStart w:id="16" w:name="_Toc461625881"/>
      <w:r w:rsidRPr="008B162A">
        <w:rPr>
          <w:rFonts w:ascii="Century Gothic" w:hAnsi="Century Gothic"/>
          <w:color w:val="auto"/>
          <w:lang w:val="es-CR"/>
        </w:rPr>
        <w:t>Categorías de costo a considerar</w:t>
      </w:r>
      <w:bookmarkEnd w:id="15"/>
      <w:bookmarkEnd w:id="16"/>
    </w:p>
    <w:p w:rsidR="00C15825" w:rsidRPr="008B162A" w:rsidRDefault="0045032F" w:rsidP="00C15825">
      <w:pPr>
        <w:rPr>
          <w:rFonts w:ascii="Century Gothic" w:hAnsi="Century Gothic"/>
          <w:lang w:val="es-CR"/>
        </w:rPr>
      </w:pPr>
      <w:r w:rsidRPr="008B162A">
        <w:rPr>
          <w:rFonts w:ascii="Century Gothic" w:hAnsi="Century Gothic"/>
          <w:lang w:val="es-CR"/>
        </w:rPr>
        <w:t>Las categorías de costos en las que incurre un operador para la construcción, gestión y mantenimiento de su red se pueden resumir mediante el esquema indicado a continuación:</w:t>
      </w:r>
    </w:p>
    <w:p w:rsidR="00C15825" w:rsidRPr="00D7559E" w:rsidRDefault="00C15825" w:rsidP="000F1DD5">
      <w:pPr>
        <w:pStyle w:val="Indentado1"/>
        <w:numPr>
          <w:ilvl w:val="0"/>
          <w:numId w:val="25"/>
        </w:numPr>
      </w:pPr>
      <w:proofErr w:type="spellStart"/>
      <w:r w:rsidRPr="00D7559E">
        <w:rPr>
          <w:b/>
        </w:rPr>
        <w:t>CapEx</w:t>
      </w:r>
      <w:proofErr w:type="spellEnd"/>
      <w:r w:rsidRPr="00D7559E">
        <w:rPr>
          <w:b/>
        </w:rPr>
        <w:t xml:space="preserve"> de Red</w:t>
      </w:r>
      <w:r w:rsidRPr="00D7559E">
        <w:t xml:space="preserve">, entre los que se encuentran </w:t>
      </w:r>
      <w:r w:rsidR="0045032F" w:rsidRPr="00D7559E">
        <w:t xml:space="preserve">los costos asociados a la </w:t>
      </w:r>
      <w:r w:rsidRPr="00D7559E">
        <w:t xml:space="preserve">adquisición de </w:t>
      </w:r>
      <w:r w:rsidR="0045032F" w:rsidRPr="00D7559E">
        <w:t>la infraestructura de red</w:t>
      </w:r>
      <w:r w:rsidR="0008614E" w:rsidRPr="00D7559E">
        <w:t xml:space="preserve"> y</w:t>
      </w:r>
      <w:r w:rsidR="0045032F" w:rsidRPr="00D7559E">
        <w:t xml:space="preserve"> equipos, así como los costos de instalación</w:t>
      </w:r>
      <w:r w:rsidRPr="00D7559E">
        <w:t>.</w:t>
      </w:r>
    </w:p>
    <w:p w:rsidR="00C15825" w:rsidRPr="00D7559E" w:rsidRDefault="00C15825" w:rsidP="000F1DD5">
      <w:pPr>
        <w:pStyle w:val="Indentado1"/>
        <w:numPr>
          <w:ilvl w:val="0"/>
          <w:numId w:val="25"/>
        </w:numPr>
      </w:pPr>
      <w:proofErr w:type="spellStart"/>
      <w:r w:rsidRPr="00D7559E">
        <w:rPr>
          <w:b/>
        </w:rPr>
        <w:t>OpEx</w:t>
      </w:r>
      <w:proofErr w:type="spellEnd"/>
      <w:r w:rsidRPr="00D7559E">
        <w:rPr>
          <w:b/>
        </w:rPr>
        <w:t xml:space="preserve"> de Red</w:t>
      </w:r>
      <w:r w:rsidRPr="00D7559E">
        <w:t xml:space="preserve">, </w:t>
      </w:r>
      <w:r w:rsidR="0045032F" w:rsidRPr="00D7559E">
        <w:t xml:space="preserve">que incluye </w:t>
      </w:r>
      <w:r w:rsidRPr="00D7559E">
        <w:t xml:space="preserve">los costos asociados </w:t>
      </w:r>
      <w:r w:rsidR="00AC0779" w:rsidRPr="00D7559E">
        <w:t xml:space="preserve">tanto al </w:t>
      </w:r>
      <w:r w:rsidRPr="00D7559E">
        <w:t xml:space="preserve">personal </w:t>
      </w:r>
      <w:r w:rsidR="00AC0779" w:rsidRPr="00D7559E">
        <w:t xml:space="preserve">propio </w:t>
      </w:r>
      <w:r w:rsidRPr="00D7559E">
        <w:t xml:space="preserve">de red, </w:t>
      </w:r>
      <w:r w:rsidR="00AC0779" w:rsidRPr="00D7559E">
        <w:t>actividades externalizadas (por ejemplo, empresas contratadas para el mantenimiento de la red de acceso)</w:t>
      </w:r>
      <w:r w:rsidRPr="00D7559E">
        <w:t>, así como la energía necesaria para el funcionamiento de la red.</w:t>
      </w:r>
    </w:p>
    <w:p w:rsidR="00C15825" w:rsidRPr="00D7559E" w:rsidRDefault="00C15825" w:rsidP="000F1DD5">
      <w:pPr>
        <w:pStyle w:val="Indentado1"/>
        <w:numPr>
          <w:ilvl w:val="0"/>
          <w:numId w:val="25"/>
        </w:numPr>
      </w:pPr>
      <w:r w:rsidRPr="00D7559E">
        <w:rPr>
          <w:b/>
        </w:rPr>
        <w:t xml:space="preserve">Costos </w:t>
      </w:r>
      <w:r w:rsidR="0008614E" w:rsidRPr="00D7559E">
        <w:rPr>
          <w:b/>
        </w:rPr>
        <w:t>G&amp;A</w:t>
      </w:r>
      <w:r w:rsidRPr="00D7559E">
        <w:t xml:space="preserve">, son los costos asociados a la gestión de la empresa </w:t>
      </w:r>
      <w:r w:rsidR="0045032F" w:rsidRPr="00D7559E">
        <w:t xml:space="preserve">como por ejemplo </w:t>
      </w:r>
      <w:r w:rsidRPr="00D7559E">
        <w:t>Recursos Humanos, Finanzas, entre otros.</w:t>
      </w:r>
    </w:p>
    <w:p w:rsidR="00AD418D" w:rsidRPr="008B162A" w:rsidRDefault="00AD418D" w:rsidP="007B6445">
      <w:pPr>
        <w:pStyle w:val="Boxes"/>
        <w:numPr>
          <w:ilvl w:val="0"/>
          <w:numId w:val="0"/>
        </w:numPr>
        <w:ind w:left="142"/>
        <w:rPr>
          <w:rFonts w:ascii="Century Gothic" w:hAnsi="Century Gothic"/>
          <w:color w:val="auto"/>
          <w:sz w:val="20"/>
          <w:lang w:val="es-CR"/>
        </w:rPr>
      </w:pPr>
      <w:r w:rsidRPr="008B162A">
        <w:rPr>
          <w:rFonts w:ascii="Century Gothic" w:hAnsi="Century Gothic"/>
          <w:color w:val="auto"/>
          <w:sz w:val="20"/>
          <w:lang w:val="es-CR"/>
        </w:rPr>
        <w:t>Enfoque Adoptado. Categorías de costo a considerar</w:t>
      </w:r>
    </w:p>
    <w:p w:rsidR="0045032F" w:rsidRPr="008B162A" w:rsidRDefault="0045032F" w:rsidP="007B6445">
      <w:pPr>
        <w:pStyle w:val="Boxes"/>
        <w:numPr>
          <w:ilvl w:val="0"/>
          <w:numId w:val="0"/>
        </w:numPr>
        <w:ind w:left="142"/>
        <w:rPr>
          <w:rFonts w:ascii="Century Gothic" w:hAnsi="Century Gothic"/>
          <w:color w:val="auto"/>
          <w:sz w:val="20"/>
          <w:lang w:val="es-CR"/>
        </w:rPr>
      </w:pPr>
      <w:r w:rsidRPr="008B162A">
        <w:rPr>
          <w:rFonts w:ascii="Century Gothic" w:hAnsi="Century Gothic"/>
          <w:b w:val="0"/>
          <w:color w:val="auto"/>
          <w:sz w:val="20"/>
          <w:lang w:val="es-CR"/>
        </w:rPr>
        <w:t xml:space="preserve">Dada su relevancia en el </w:t>
      </w:r>
      <w:proofErr w:type="spellStart"/>
      <w:r w:rsidRPr="008B162A">
        <w:rPr>
          <w:rFonts w:ascii="Century Gothic" w:hAnsi="Century Gothic"/>
          <w:b w:val="0"/>
          <w:color w:val="auto"/>
          <w:sz w:val="20"/>
          <w:lang w:val="es-CR"/>
        </w:rPr>
        <w:t>costeo</w:t>
      </w:r>
      <w:proofErr w:type="spellEnd"/>
      <w:r w:rsidRPr="008B162A">
        <w:rPr>
          <w:rFonts w:ascii="Century Gothic" w:hAnsi="Century Gothic"/>
          <w:b w:val="0"/>
          <w:color w:val="auto"/>
          <w:sz w:val="20"/>
          <w:lang w:val="es-CR"/>
        </w:rPr>
        <w:t xml:space="preserve"> de los servicios de red, las categorías anteriores deberían ser consideradas en el modelo: </w:t>
      </w:r>
      <w:proofErr w:type="spellStart"/>
      <w:r w:rsidR="00C15825" w:rsidRPr="008B162A">
        <w:rPr>
          <w:rFonts w:ascii="Century Gothic" w:hAnsi="Century Gothic"/>
          <w:b w:val="0"/>
          <w:color w:val="auto"/>
          <w:sz w:val="20"/>
          <w:lang w:val="es-CR"/>
        </w:rPr>
        <w:t>CapEx</w:t>
      </w:r>
      <w:proofErr w:type="spellEnd"/>
      <w:r w:rsidR="00C15825" w:rsidRPr="008B162A">
        <w:rPr>
          <w:rFonts w:ascii="Century Gothic" w:hAnsi="Century Gothic"/>
          <w:b w:val="0"/>
          <w:color w:val="auto"/>
          <w:sz w:val="20"/>
          <w:lang w:val="es-CR"/>
        </w:rPr>
        <w:t xml:space="preserve"> </w:t>
      </w:r>
      <w:r w:rsidRPr="008B162A">
        <w:rPr>
          <w:rFonts w:ascii="Century Gothic" w:hAnsi="Century Gothic"/>
          <w:b w:val="0"/>
          <w:color w:val="auto"/>
          <w:sz w:val="20"/>
          <w:lang w:val="es-CR"/>
        </w:rPr>
        <w:t xml:space="preserve">de Red, </w:t>
      </w:r>
      <w:proofErr w:type="spellStart"/>
      <w:r w:rsidR="00C15825" w:rsidRPr="008B162A">
        <w:rPr>
          <w:rFonts w:ascii="Century Gothic" w:hAnsi="Century Gothic"/>
          <w:b w:val="0"/>
          <w:color w:val="auto"/>
          <w:sz w:val="20"/>
          <w:lang w:val="es-CR"/>
        </w:rPr>
        <w:t>OpEx</w:t>
      </w:r>
      <w:proofErr w:type="spellEnd"/>
      <w:r w:rsidR="00C15825" w:rsidRPr="008B162A">
        <w:rPr>
          <w:rFonts w:ascii="Century Gothic" w:hAnsi="Century Gothic"/>
          <w:b w:val="0"/>
          <w:color w:val="auto"/>
          <w:sz w:val="20"/>
          <w:lang w:val="es-CR"/>
        </w:rPr>
        <w:t xml:space="preserve"> de Red</w:t>
      </w:r>
      <w:r w:rsidRPr="008B162A">
        <w:rPr>
          <w:rFonts w:ascii="Century Gothic" w:hAnsi="Century Gothic"/>
          <w:b w:val="0"/>
          <w:color w:val="auto"/>
          <w:sz w:val="20"/>
          <w:lang w:val="es-CR"/>
        </w:rPr>
        <w:t xml:space="preserve"> y</w:t>
      </w:r>
      <w:r w:rsidR="00C15825" w:rsidRPr="008B162A">
        <w:rPr>
          <w:rFonts w:ascii="Century Gothic" w:hAnsi="Century Gothic"/>
          <w:b w:val="0"/>
          <w:color w:val="auto"/>
          <w:sz w:val="20"/>
          <w:lang w:val="es-CR"/>
        </w:rPr>
        <w:t xml:space="preserve"> costos </w:t>
      </w:r>
      <w:r w:rsidR="0008614E" w:rsidRPr="008B162A">
        <w:rPr>
          <w:rFonts w:ascii="Century Gothic" w:hAnsi="Century Gothic"/>
          <w:b w:val="0"/>
          <w:color w:val="auto"/>
          <w:sz w:val="20"/>
          <w:lang w:val="es-CR"/>
        </w:rPr>
        <w:t>G&amp;A</w:t>
      </w:r>
      <w:r w:rsidR="007B6445" w:rsidRPr="008B162A">
        <w:rPr>
          <w:rFonts w:ascii="Century Gothic" w:hAnsi="Century Gothic"/>
          <w:b w:val="0"/>
          <w:color w:val="auto"/>
          <w:sz w:val="20"/>
          <w:lang w:val="es-CR"/>
        </w:rPr>
        <w:t xml:space="preserve"> </w:t>
      </w:r>
      <w:r w:rsidR="00875B0E" w:rsidRPr="008B162A">
        <w:rPr>
          <w:rFonts w:ascii="Century Gothic" w:hAnsi="Century Gothic"/>
          <w:b w:val="0"/>
          <w:color w:val="auto"/>
          <w:sz w:val="20"/>
          <w:lang w:val="es-CR"/>
        </w:rPr>
        <w:t>– únicamente la parte porcentual correspondiente a la red</w:t>
      </w:r>
      <w:r w:rsidR="004209C7" w:rsidRPr="008B162A">
        <w:rPr>
          <w:rFonts w:ascii="Century Gothic" w:hAnsi="Century Gothic"/>
          <w:b w:val="0"/>
          <w:color w:val="auto"/>
          <w:sz w:val="20"/>
          <w:lang w:val="es-CR"/>
        </w:rPr>
        <w:t xml:space="preserve"> </w:t>
      </w:r>
      <w:r w:rsidR="00103C5F" w:rsidRPr="008B162A">
        <w:rPr>
          <w:rFonts w:ascii="Century Gothic" w:hAnsi="Century Gothic"/>
          <w:b w:val="0"/>
          <w:color w:val="auto"/>
          <w:sz w:val="20"/>
          <w:lang w:val="es-CR"/>
        </w:rPr>
        <w:t>de acceso de fibra</w:t>
      </w:r>
      <w:r w:rsidRPr="008B162A">
        <w:rPr>
          <w:rFonts w:ascii="Century Gothic" w:hAnsi="Century Gothic"/>
          <w:b w:val="0"/>
          <w:color w:val="auto"/>
          <w:sz w:val="20"/>
          <w:lang w:val="es-CR"/>
        </w:rPr>
        <w:t>.</w:t>
      </w:r>
    </w:p>
    <w:p w:rsidR="00C15825" w:rsidRPr="008B162A" w:rsidRDefault="0045032F" w:rsidP="005F7F18">
      <w:pPr>
        <w:pStyle w:val="Boxes"/>
        <w:numPr>
          <w:ilvl w:val="0"/>
          <w:numId w:val="0"/>
        </w:numPr>
        <w:ind w:left="142"/>
        <w:rPr>
          <w:rFonts w:ascii="Century Gothic" w:hAnsi="Century Gothic"/>
          <w:color w:val="auto"/>
          <w:sz w:val="20"/>
          <w:lang w:val="es-CR"/>
        </w:rPr>
      </w:pPr>
      <w:r w:rsidRPr="008B162A">
        <w:rPr>
          <w:rFonts w:ascii="Century Gothic" w:hAnsi="Century Gothic"/>
          <w:b w:val="0"/>
          <w:color w:val="auto"/>
          <w:sz w:val="20"/>
          <w:lang w:val="es-CR"/>
        </w:rPr>
        <w:t>Se hace notar que otras categorías de costos como l</w:t>
      </w:r>
      <w:r w:rsidR="005F7F18" w:rsidRPr="008B162A">
        <w:rPr>
          <w:rFonts w:ascii="Century Gothic" w:hAnsi="Century Gothic"/>
          <w:b w:val="0"/>
          <w:color w:val="auto"/>
          <w:sz w:val="20"/>
          <w:lang w:val="es-CR"/>
        </w:rPr>
        <w:t xml:space="preserve">os costos de bienes vendidos </w:t>
      </w:r>
      <w:r w:rsidRPr="008B162A">
        <w:rPr>
          <w:rFonts w:ascii="Century Gothic" w:hAnsi="Century Gothic"/>
          <w:b w:val="0"/>
          <w:color w:val="auto"/>
          <w:sz w:val="20"/>
          <w:lang w:val="es-CR"/>
        </w:rPr>
        <w:t xml:space="preserve">o los costos minoristas </w:t>
      </w:r>
      <w:r w:rsidR="000310BF" w:rsidRPr="008B162A">
        <w:rPr>
          <w:rFonts w:ascii="Century Gothic" w:hAnsi="Century Gothic"/>
          <w:b w:val="0"/>
          <w:color w:val="auto"/>
          <w:sz w:val="20"/>
          <w:lang w:val="es-CR"/>
        </w:rPr>
        <w:t xml:space="preserve">(incluyendo mercadeo, ventas y otros) </w:t>
      </w:r>
      <w:r w:rsidRPr="008B162A">
        <w:rPr>
          <w:rFonts w:ascii="Century Gothic" w:hAnsi="Century Gothic"/>
          <w:b w:val="0"/>
          <w:color w:val="auto"/>
          <w:sz w:val="20"/>
          <w:lang w:val="es-CR"/>
        </w:rPr>
        <w:t xml:space="preserve">no deben formar parte del </w:t>
      </w:r>
      <w:r w:rsidRPr="008B162A">
        <w:rPr>
          <w:rFonts w:ascii="Century Gothic" w:hAnsi="Century Gothic"/>
          <w:b w:val="0"/>
          <w:color w:val="auto"/>
          <w:sz w:val="20"/>
          <w:lang w:val="es-CR"/>
        </w:rPr>
        <w:lastRenderedPageBreak/>
        <w:t xml:space="preserve">modelo, </w:t>
      </w:r>
      <w:r w:rsidR="00C15825" w:rsidRPr="008B162A">
        <w:rPr>
          <w:rFonts w:ascii="Century Gothic" w:hAnsi="Century Gothic"/>
          <w:b w:val="0"/>
          <w:color w:val="auto"/>
          <w:sz w:val="20"/>
          <w:lang w:val="es-CR"/>
        </w:rPr>
        <w:t xml:space="preserve">toda vez que dichos costos no deben ser repartidos a los demás operadores ya que </w:t>
      </w:r>
      <w:r w:rsidR="005F7F18" w:rsidRPr="008B162A">
        <w:rPr>
          <w:rFonts w:ascii="Century Gothic" w:hAnsi="Century Gothic"/>
          <w:b w:val="0"/>
          <w:color w:val="auto"/>
          <w:sz w:val="20"/>
          <w:lang w:val="es-CR"/>
        </w:rPr>
        <w:t xml:space="preserve">no se incurre en ellos para la provisión de un servicio mayorista </w:t>
      </w:r>
      <w:r w:rsidR="00C15825" w:rsidRPr="008B162A">
        <w:rPr>
          <w:rFonts w:ascii="Century Gothic" w:hAnsi="Century Gothic"/>
          <w:b w:val="0"/>
          <w:color w:val="auto"/>
          <w:sz w:val="20"/>
          <w:lang w:val="es-CR"/>
        </w:rPr>
        <w:t xml:space="preserve">a un </w:t>
      </w:r>
      <w:r w:rsidR="00864AA7" w:rsidRPr="008B162A">
        <w:rPr>
          <w:rFonts w:ascii="Century Gothic" w:hAnsi="Century Gothic"/>
          <w:b w:val="0"/>
          <w:color w:val="auto"/>
          <w:sz w:val="20"/>
          <w:lang w:val="es-CR"/>
        </w:rPr>
        <w:t>C</w:t>
      </w:r>
      <w:r w:rsidR="005F7F18" w:rsidRPr="008B162A">
        <w:rPr>
          <w:rFonts w:ascii="Century Gothic" w:hAnsi="Century Gothic"/>
          <w:b w:val="0"/>
          <w:color w:val="auto"/>
          <w:sz w:val="20"/>
          <w:lang w:val="es-CR"/>
        </w:rPr>
        <w:t>S</w:t>
      </w:r>
      <w:r w:rsidR="005066DF" w:rsidRPr="008B162A">
        <w:rPr>
          <w:rFonts w:ascii="Century Gothic" w:hAnsi="Century Gothic"/>
          <w:b w:val="0"/>
          <w:color w:val="auto"/>
          <w:sz w:val="20"/>
          <w:lang w:val="es-CR"/>
        </w:rPr>
        <w:t>.</w:t>
      </w:r>
    </w:p>
    <w:p w:rsidR="00C15825" w:rsidRPr="008B162A" w:rsidRDefault="00C15825" w:rsidP="00C15825">
      <w:pPr>
        <w:pStyle w:val="Ttulo2"/>
        <w:rPr>
          <w:rFonts w:ascii="Century Gothic" w:hAnsi="Century Gothic"/>
          <w:color w:val="auto"/>
          <w:lang w:val="es-CR"/>
        </w:rPr>
      </w:pPr>
      <w:bookmarkStart w:id="17" w:name="_Toc461625882"/>
      <w:r w:rsidRPr="008B162A">
        <w:rPr>
          <w:rFonts w:ascii="Century Gothic" w:hAnsi="Century Gothic"/>
          <w:color w:val="auto"/>
          <w:lang w:val="es-CR"/>
        </w:rPr>
        <w:t>Costo de Capital</w:t>
      </w:r>
      <w:bookmarkEnd w:id="17"/>
    </w:p>
    <w:p w:rsidR="002A179D" w:rsidRPr="008B162A" w:rsidRDefault="002A179D" w:rsidP="002A179D">
      <w:pPr>
        <w:rPr>
          <w:rFonts w:ascii="Century Gothic" w:hAnsi="Century Gothic"/>
          <w:lang w:val="es-ES_tradnl"/>
        </w:rPr>
      </w:pPr>
      <w:r w:rsidRPr="008B162A">
        <w:rPr>
          <w:rFonts w:ascii="Century Gothic" w:hAnsi="Century Gothic"/>
          <w:lang w:val="es-ES_tradnl"/>
        </w:rPr>
        <w:t xml:space="preserve">La metodología del costo de capital promedio ponderado (CCPP o WACC, por sus siglas en inglés) considera que el retorno de los activos de la empresa debe ser igual al retorno total esperado por sus accionistas y </w:t>
      </w:r>
      <w:r w:rsidR="00305566" w:rsidRPr="008B162A">
        <w:rPr>
          <w:rFonts w:ascii="Century Gothic" w:hAnsi="Century Gothic"/>
          <w:lang w:val="es-ES_tradnl"/>
        </w:rPr>
        <w:t>acreedores</w:t>
      </w:r>
      <w:r w:rsidR="0008614E" w:rsidRPr="008B162A">
        <w:rPr>
          <w:rFonts w:ascii="Century Gothic" w:hAnsi="Century Gothic"/>
          <w:lang w:val="es-ES_tradnl"/>
        </w:rPr>
        <w:t xml:space="preserve"> </w:t>
      </w:r>
      <w:r w:rsidRPr="008B162A">
        <w:rPr>
          <w:rFonts w:ascii="Century Gothic" w:hAnsi="Century Gothic"/>
          <w:lang w:val="es-ES_tradnl"/>
        </w:rPr>
        <w:t>de deuda, ponderados por su contribución respectiva al financiamiento de la empresa.</w:t>
      </w:r>
    </w:p>
    <w:p w:rsidR="002A179D" w:rsidRPr="008B162A" w:rsidRDefault="006B7D75" w:rsidP="002A179D">
      <w:pPr>
        <w:rPr>
          <w:rFonts w:ascii="Century Gothic" w:hAnsi="Century Gothic"/>
        </w:rPr>
      </w:pPr>
      <w:r w:rsidRPr="008B162A">
        <w:rPr>
          <w:rFonts w:ascii="Century Gothic" w:hAnsi="Century Gothic"/>
        </w:rPr>
        <w:t>En el modelo de acceso de redes de fibra óptica se utiliza el valor del CCPP real antes de impuestos calculado por el IFT para estimar las tarifas de la Oferta de Referencia de Desagregación mediante los respectivos modelos de costos en Diciembre de 2015, cuyo detalle se muestra a continuación</w:t>
      </w:r>
      <w:r w:rsidR="00A25795" w:rsidRPr="008B162A">
        <w:rPr>
          <w:rFonts w:ascii="Century Gothic" w:hAnsi="Century Gothic"/>
          <w:lang w:val="es-ES_tradnl"/>
        </w:rPr>
        <w:t xml:space="preserve">: </w:t>
      </w:r>
    </w:p>
    <w:tbl>
      <w:tblPr>
        <w:tblW w:w="4815" w:type="dxa"/>
        <w:jc w:val="center"/>
        <w:tblLayout w:type="fixed"/>
        <w:tblLook w:val="04A0" w:firstRow="1" w:lastRow="0" w:firstColumn="1" w:lastColumn="0" w:noHBand="0" w:noVBand="1"/>
      </w:tblPr>
      <w:tblGrid>
        <w:gridCol w:w="3114"/>
        <w:gridCol w:w="1701"/>
      </w:tblGrid>
      <w:tr w:rsidR="008B162A" w:rsidRPr="008B162A" w:rsidTr="00E60C2A">
        <w:trPr>
          <w:trHeight w:val="521"/>
          <w:jc w:val="center"/>
        </w:trPr>
        <w:tc>
          <w:tcPr>
            <w:tcW w:w="3114" w:type="dxa"/>
            <w:tcBorders>
              <w:top w:val="nil"/>
              <w:left w:val="single" w:sz="4" w:space="0" w:color="FFFFFF"/>
              <w:right w:val="single" w:sz="4" w:space="0" w:color="FFFFFF"/>
            </w:tcBorders>
            <w:shd w:val="clear" w:color="auto" w:fill="4F629B"/>
            <w:vAlign w:val="center"/>
            <w:hideMark/>
          </w:tcPr>
          <w:p w:rsidR="002A179D" w:rsidRPr="008B162A" w:rsidRDefault="002A179D" w:rsidP="00E60C2A">
            <w:pPr>
              <w:keepNext/>
              <w:keepLines/>
              <w:spacing w:before="0" w:after="0" w:line="240" w:lineRule="auto"/>
              <w:jc w:val="center"/>
              <w:rPr>
                <w:rFonts w:ascii="Century Gothic" w:hAnsi="Century Gothic"/>
                <w:b/>
                <w:color w:val="FFFFFF" w:themeColor="background2"/>
                <w:lang w:val="es-CR"/>
              </w:rPr>
            </w:pPr>
            <w:r w:rsidRPr="008B162A">
              <w:rPr>
                <w:rFonts w:ascii="Century Gothic" w:hAnsi="Century Gothic"/>
                <w:b/>
                <w:color w:val="FFFFFF" w:themeColor="background2"/>
                <w:lang w:val="es-CR"/>
              </w:rPr>
              <w:t>Concepto</w:t>
            </w:r>
          </w:p>
        </w:tc>
        <w:tc>
          <w:tcPr>
            <w:tcW w:w="1701" w:type="dxa"/>
            <w:tcBorders>
              <w:top w:val="nil"/>
              <w:left w:val="nil"/>
              <w:right w:val="single" w:sz="4" w:space="0" w:color="FFFFFF"/>
            </w:tcBorders>
            <w:shd w:val="clear" w:color="auto" w:fill="4F629B"/>
            <w:vAlign w:val="center"/>
            <w:hideMark/>
          </w:tcPr>
          <w:p w:rsidR="002A179D" w:rsidRPr="008B162A" w:rsidRDefault="002A179D" w:rsidP="00E60C2A">
            <w:pPr>
              <w:keepNext/>
              <w:keepLines/>
              <w:spacing w:before="0" w:after="0" w:line="240" w:lineRule="auto"/>
              <w:jc w:val="center"/>
              <w:rPr>
                <w:rFonts w:ascii="Century Gothic" w:hAnsi="Century Gothic"/>
                <w:b/>
                <w:color w:val="FFFFFF" w:themeColor="background2"/>
                <w:lang w:val="es-CR"/>
              </w:rPr>
            </w:pPr>
            <w:r w:rsidRPr="008B162A">
              <w:rPr>
                <w:rFonts w:ascii="Century Gothic" w:hAnsi="Century Gothic"/>
                <w:b/>
                <w:color w:val="FFFFFF" w:themeColor="background2"/>
                <w:lang w:val="es-CR"/>
              </w:rPr>
              <w:t>Valor</w:t>
            </w:r>
          </w:p>
        </w:tc>
      </w:tr>
      <w:tr w:rsidR="008B162A" w:rsidRPr="008B162A" w:rsidTr="00E60C2A">
        <w:trPr>
          <w:trHeight w:val="297"/>
          <w:jc w:val="center"/>
        </w:trPr>
        <w:tc>
          <w:tcPr>
            <w:tcW w:w="3114" w:type="dxa"/>
            <w:tcBorders>
              <w:bottom w:val="single" w:sz="4" w:space="0" w:color="auto"/>
            </w:tcBorders>
            <w:shd w:val="clear" w:color="auto" w:fill="auto"/>
            <w:noWrap/>
            <w:vAlign w:val="center"/>
          </w:tcPr>
          <w:p w:rsidR="002A179D" w:rsidRPr="008B162A" w:rsidRDefault="002A179D" w:rsidP="00E60C2A">
            <w:pPr>
              <w:keepNext/>
              <w:keepLines/>
              <w:spacing w:before="0" w:after="0" w:line="240" w:lineRule="auto"/>
              <w:jc w:val="left"/>
              <w:rPr>
                <w:rFonts w:ascii="Century Gothic" w:hAnsi="Century Gothic"/>
                <w:sz w:val="16"/>
                <w:szCs w:val="16"/>
                <w:lang w:eastAsia="en-GB"/>
              </w:rPr>
            </w:pPr>
            <w:r w:rsidRPr="008B162A">
              <w:rPr>
                <w:rFonts w:ascii="Century Gothic" w:hAnsi="Century Gothic"/>
                <w:sz w:val="16"/>
                <w:szCs w:val="16"/>
                <w:lang w:eastAsia="en-GB"/>
              </w:rPr>
              <w:t>Tasa libre de riesgo</w:t>
            </w:r>
          </w:p>
        </w:tc>
        <w:tc>
          <w:tcPr>
            <w:tcW w:w="1701" w:type="dxa"/>
            <w:tcBorders>
              <w:bottom w:val="single" w:sz="4" w:space="0" w:color="auto"/>
            </w:tcBorders>
            <w:shd w:val="clear" w:color="auto" w:fill="auto"/>
            <w:noWrap/>
            <w:vAlign w:val="center"/>
          </w:tcPr>
          <w:p w:rsidR="002A179D" w:rsidRPr="008B162A" w:rsidRDefault="002A179D" w:rsidP="00E60C2A">
            <w:pPr>
              <w:keepNext/>
              <w:keepLines/>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4.77%</w:t>
            </w:r>
          </w:p>
        </w:tc>
      </w:tr>
      <w:tr w:rsidR="008B162A" w:rsidRPr="008B162A" w:rsidTr="00E60C2A">
        <w:trPr>
          <w:trHeight w:val="312"/>
          <w:jc w:val="center"/>
        </w:trPr>
        <w:tc>
          <w:tcPr>
            <w:tcW w:w="3114"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left"/>
              <w:rPr>
                <w:rFonts w:ascii="Century Gothic" w:hAnsi="Century Gothic"/>
                <w:sz w:val="16"/>
                <w:szCs w:val="16"/>
                <w:lang w:eastAsia="en-GB"/>
              </w:rPr>
            </w:pPr>
            <w:r w:rsidRPr="008B162A">
              <w:rPr>
                <w:rFonts w:ascii="Century Gothic" w:hAnsi="Century Gothic"/>
                <w:sz w:val="16"/>
                <w:szCs w:val="16"/>
                <w:lang w:eastAsia="en-GB"/>
              </w:rPr>
              <w:t>Beta</w:t>
            </w:r>
          </w:p>
        </w:tc>
        <w:tc>
          <w:tcPr>
            <w:tcW w:w="1701"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0.94</w:t>
            </w:r>
          </w:p>
        </w:tc>
      </w:tr>
      <w:tr w:rsidR="008B162A" w:rsidRPr="008B162A" w:rsidTr="00E60C2A">
        <w:trPr>
          <w:trHeight w:val="312"/>
          <w:jc w:val="center"/>
        </w:trPr>
        <w:tc>
          <w:tcPr>
            <w:tcW w:w="3114"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left"/>
              <w:rPr>
                <w:rFonts w:ascii="Century Gothic" w:hAnsi="Century Gothic"/>
                <w:sz w:val="16"/>
                <w:szCs w:val="16"/>
                <w:lang w:eastAsia="en-GB"/>
              </w:rPr>
            </w:pPr>
            <w:r w:rsidRPr="008B162A">
              <w:rPr>
                <w:rFonts w:ascii="Century Gothic" w:hAnsi="Century Gothic"/>
                <w:sz w:val="16"/>
                <w:szCs w:val="16"/>
                <w:lang w:eastAsia="en-GB"/>
              </w:rPr>
              <w:t>Prima de mercado</w:t>
            </w:r>
          </w:p>
        </w:tc>
        <w:tc>
          <w:tcPr>
            <w:tcW w:w="1701"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6.24%</w:t>
            </w:r>
          </w:p>
        </w:tc>
      </w:tr>
      <w:tr w:rsidR="008B162A" w:rsidRPr="008B162A" w:rsidTr="00E60C2A">
        <w:trPr>
          <w:trHeight w:val="312"/>
          <w:jc w:val="center"/>
        </w:trPr>
        <w:tc>
          <w:tcPr>
            <w:tcW w:w="3114"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left"/>
              <w:rPr>
                <w:rFonts w:ascii="Century Gothic" w:hAnsi="Century Gothic"/>
                <w:sz w:val="16"/>
                <w:szCs w:val="16"/>
                <w:lang w:eastAsia="en-GB"/>
              </w:rPr>
            </w:pPr>
            <w:r w:rsidRPr="008B162A">
              <w:rPr>
                <w:rFonts w:ascii="Century Gothic" w:hAnsi="Century Gothic"/>
                <w:sz w:val="16"/>
                <w:szCs w:val="16"/>
                <w:lang w:eastAsia="en-GB"/>
              </w:rPr>
              <w:t>Ce</w:t>
            </w:r>
          </w:p>
        </w:tc>
        <w:tc>
          <w:tcPr>
            <w:tcW w:w="1701"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15.16%</w:t>
            </w:r>
          </w:p>
        </w:tc>
      </w:tr>
      <w:tr w:rsidR="008B162A" w:rsidRPr="008B162A" w:rsidTr="00E60C2A">
        <w:trPr>
          <w:trHeight w:val="312"/>
          <w:jc w:val="center"/>
        </w:trPr>
        <w:tc>
          <w:tcPr>
            <w:tcW w:w="3114"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left"/>
              <w:rPr>
                <w:rFonts w:ascii="Century Gothic" w:hAnsi="Century Gothic"/>
                <w:sz w:val="16"/>
                <w:szCs w:val="16"/>
                <w:lang w:eastAsia="en-GB"/>
              </w:rPr>
            </w:pPr>
            <w:r w:rsidRPr="008B162A">
              <w:rPr>
                <w:rFonts w:ascii="Century Gothic" w:hAnsi="Century Gothic"/>
                <w:sz w:val="16"/>
                <w:szCs w:val="16"/>
                <w:lang w:eastAsia="en-GB"/>
              </w:rPr>
              <w:t>Cd</w:t>
            </w:r>
          </w:p>
        </w:tc>
        <w:tc>
          <w:tcPr>
            <w:tcW w:w="1701"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6.08%</w:t>
            </w:r>
          </w:p>
        </w:tc>
      </w:tr>
      <w:tr w:rsidR="008B162A" w:rsidRPr="008B162A" w:rsidTr="00E60C2A">
        <w:trPr>
          <w:trHeight w:val="312"/>
          <w:jc w:val="center"/>
        </w:trPr>
        <w:tc>
          <w:tcPr>
            <w:tcW w:w="3114"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left"/>
              <w:rPr>
                <w:rFonts w:ascii="Century Gothic" w:hAnsi="Century Gothic"/>
                <w:sz w:val="16"/>
                <w:szCs w:val="16"/>
                <w:lang w:eastAsia="en-GB"/>
              </w:rPr>
            </w:pPr>
            <w:r w:rsidRPr="008B162A">
              <w:rPr>
                <w:rFonts w:ascii="Century Gothic" w:hAnsi="Century Gothic"/>
                <w:sz w:val="16"/>
                <w:szCs w:val="16"/>
                <w:lang w:eastAsia="en-GB"/>
              </w:rPr>
              <w:t>Apalancamiento</w:t>
            </w:r>
          </w:p>
        </w:tc>
        <w:tc>
          <w:tcPr>
            <w:tcW w:w="1701"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26.81%</w:t>
            </w:r>
          </w:p>
        </w:tc>
      </w:tr>
      <w:tr w:rsidR="008B162A" w:rsidRPr="008B162A" w:rsidTr="00E60C2A">
        <w:trPr>
          <w:trHeight w:val="312"/>
          <w:jc w:val="center"/>
        </w:trPr>
        <w:tc>
          <w:tcPr>
            <w:tcW w:w="3114"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left"/>
              <w:rPr>
                <w:rFonts w:ascii="Century Gothic" w:hAnsi="Century Gothic"/>
                <w:sz w:val="16"/>
                <w:szCs w:val="16"/>
                <w:lang w:eastAsia="en-GB"/>
              </w:rPr>
            </w:pPr>
            <w:r w:rsidRPr="008B162A">
              <w:rPr>
                <w:rFonts w:ascii="Century Gothic" w:hAnsi="Century Gothic"/>
                <w:sz w:val="16"/>
                <w:szCs w:val="16"/>
                <w:lang w:eastAsia="en-GB"/>
              </w:rPr>
              <w:t>Tasa de impuestos</w:t>
            </w:r>
          </w:p>
        </w:tc>
        <w:tc>
          <w:tcPr>
            <w:tcW w:w="1701"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30.00%</w:t>
            </w:r>
          </w:p>
        </w:tc>
      </w:tr>
      <w:tr w:rsidR="008B162A" w:rsidRPr="008B162A" w:rsidTr="00E60C2A">
        <w:trPr>
          <w:trHeight w:val="312"/>
          <w:jc w:val="center"/>
        </w:trPr>
        <w:tc>
          <w:tcPr>
            <w:tcW w:w="3114"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left"/>
              <w:rPr>
                <w:rFonts w:ascii="Century Gothic" w:hAnsi="Century Gothic"/>
                <w:sz w:val="16"/>
                <w:szCs w:val="16"/>
                <w:lang w:eastAsia="en-GB"/>
              </w:rPr>
            </w:pPr>
            <w:r w:rsidRPr="008B162A">
              <w:rPr>
                <w:rFonts w:ascii="Century Gothic" w:hAnsi="Century Gothic"/>
                <w:sz w:val="16"/>
                <w:szCs w:val="16"/>
                <w:lang w:eastAsia="en-GB"/>
              </w:rPr>
              <w:t>CCPP nominal antes impuestos</w:t>
            </w:r>
          </w:p>
        </w:tc>
        <w:tc>
          <w:tcPr>
            <w:tcW w:w="1701"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12.73%</w:t>
            </w:r>
          </w:p>
        </w:tc>
      </w:tr>
      <w:tr w:rsidR="008B162A" w:rsidRPr="008B162A" w:rsidTr="00E60C2A">
        <w:trPr>
          <w:trHeight w:val="312"/>
          <w:jc w:val="center"/>
        </w:trPr>
        <w:tc>
          <w:tcPr>
            <w:tcW w:w="3114"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left"/>
              <w:rPr>
                <w:rFonts w:ascii="Century Gothic" w:hAnsi="Century Gothic"/>
                <w:sz w:val="16"/>
                <w:szCs w:val="16"/>
                <w:lang w:eastAsia="en-GB"/>
              </w:rPr>
            </w:pPr>
            <w:r w:rsidRPr="008B162A">
              <w:rPr>
                <w:rFonts w:ascii="Century Gothic" w:hAnsi="Century Gothic"/>
                <w:sz w:val="16"/>
                <w:szCs w:val="16"/>
                <w:lang w:eastAsia="en-GB"/>
              </w:rPr>
              <w:t>Tasa de inflación</w:t>
            </w:r>
          </w:p>
        </w:tc>
        <w:tc>
          <w:tcPr>
            <w:tcW w:w="1701"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4.00%</w:t>
            </w:r>
          </w:p>
        </w:tc>
      </w:tr>
      <w:tr w:rsidR="008B162A" w:rsidRPr="008B162A" w:rsidTr="00E60C2A">
        <w:trPr>
          <w:trHeight w:val="312"/>
          <w:jc w:val="center"/>
        </w:trPr>
        <w:tc>
          <w:tcPr>
            <w:tcW w:w="3114"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left"/>
              <w:rPr>
                <w:rFonts w:ascii="Century Gothic" w:hAnsi="Century Gothic"/>
                <w:sz w:val="16"/>
                <w:szCs w:val="16"/>
                <w:lang w:eastAsia="en-GB"/>
              </w:rPr>
            </w:pPr>
            <w:r w:rsidRPr="008B162A">
              <w:rPr>
                <w:rFonts w:ascii="Century Gothic" w:hAnsi="Century Gothic"/>
                <w:b/>
                <w:sz w:val="16"/>
                <w:szCs w:val="16"/>
                <w:lang w:eastAsia="en-GB"/>
              </w:rPr>
              <w:t>CCPP real antes de impuestos</w:t>
            </w:r>
          </w:p>
        </w:tc>
        <w:tc>
          <w:tcPr>
            <w:tcW w:w="1701" w:type="dxa"/>
            <w:tcBorders>
              <w:top w:val="single" w:sz="4" w:space="0" w:color="auto"/>
              <w:bottom w:val="single" w:sz="4" w:space="0" w:color="auto"/>
            </w:tcBorders>
            <w:shd w:val="clear" w:color="auto" w:fill="auto"/>
            <w:noWrap/>
            <w:vAlign w:val="center"/>
          </w:tcPr>
          <w:p w:rsidR="002A179D" w:rsidRPr="008B162A" w:rsidRDefault="002A179D" w:rsidP="00E60C2A">
            <w:pPr>
              <w:keepNext/>
              <w:keepLines/>
              <w:spacing w:before="0" w:after="0" w:line="240" w:lineRule="auto"/>
              <w:jc w:val="center"/>
              <w:rPr>
                <w:rFonts w:ascii="Century Gothic" w:hAnsi="Century Gothic"/>
                <w:sz w:val="16"/>
                <w:szCs w:val="16"/>
                <w:lang w:eastAsia="en-GB"/>
              </w:rPr>
            </w:pPr>
            <w:r w:rsidRPr="008B162A">
              <w:rPr>
                <w:rFonts w:ascii="Century Gothic" w:hAnsi="Century Gothic"/>
                <w:b/>
                <w:sz w:val="16"/>
                <w:szCs w:val="16"/>
                <w:lang w:eastAsia="en-GB"/>
              </w:rPr>
              <w:t>8.39%</w:t>
            </w:r>
          </w:p>
        </w:tc>
      </w:tr>
    </w:tbl>
    <w:p w:rsidR="002A179D" w:rsidRPr="008B162A" w:rsidRDefault="002A179D" w:rsidP="002A179D">
      <w:pPr>
        <w:pStyle w:val="Descripcin"/>
        <w:rPr>
          <w:rFonts w:ascii="Century Gothic" w:hAnsi="Century Gothic"/>
        </w:rPr>
      </w:pPr>
      <w:r w:rsidRPr="008B162A">
        <w:rPr>
          <w:rFonts w:ascii="Century Gothic" w:hAnsi="Century Gothic"/>
        </w:rPr>
        <w:t xml:space="preserve">Tabla </w:t>
      </w:r>
      <w:r w:rsidRPr="008B162A">
        <w:rPr>
          <w:rFonts w:ascii="Century Gothic" w:hAnsi="Century Gothic"/>
        </w:rPr>
        <w:fldChar w:fldCharType="begin"/>
      </w:r>
      <w:r w:rsidRPr="008B162A">
        <w:rPr>
          <w:rFonts w:ascii="Century Gothic" w:hAnsi="Century Gothic"/>
        </w:rPr>
        <w:instrText xml:space="preserve"> STYLEREF 1 \s </w:instrText>
      </w:r>
      <w:r w:rsidRPr="008B162A">
        <w:rPr>
          <w:rFonts w:ascii="Century Gothic" w:hAnsi="Century Gothic"/>
        </w:rPr>
        <w:fldChar w:fldCharType="separate"/>
      </w:r>
      <w:r w:rsidR="00431406">
        <w:rPr>
          <w:rFonts w:ascii="Century Gothic" w:hAnsi="Century Gothic"/>
          <w:noProof/>
        </w:rPr>
        <w:t>2</w:t>
      </w:r>
      <w:r w:rsidRPr="008B162A">
        <w:rPr>
          <w:rFonts w:ascii="Century Gothic" w:hAnsi="Century Gothic"/>
        </w:rPr>
        <w:fldChar w:fldCharType="end"/>
      </w:r>
      <w:r w:rsidRPr="008B162A">
        <w:rPr>
          <w:rFonts w:ascii="Century Gothic" w:hAnsi="Century Gothic"/>
        </w:rPr>
        <w:t>.</w:t>
      </w:r>
      <w:r w:rsidRPr="008B162A">
        <w:rPr>
          <w:rFonts w:ascii="Century Gothic" w:hAnsi="Century Gothic"/>
        </w:rPr>
        <w:fldChar w:fldCharType="begin"/>
      </w:r>
      <w:r w:rsidRPr="008B162A">
        <w:rPr>
          <w:rFonts w:ascii="Century Gothic" w:hAnsi="Century Gothic"/>
        </w:rPr>
        <w:instrText xml:space="preserve"> SEQ Tabla \* ARABIC \s 1 </w:instrText>
      </w:r>
      <w:r w:rsidRPr="008B162A">
        <w:rPr>
          <w:rFonts w:ascii="Century Gothic" w:hAnsi="Century Gothic"/>
        </w:rPr>
        <w:fldChar w:fldCharType="separate"/>
      </w:r>
      <w:r w:rsidR="00431406">
        <w:rPr>
          <w:rFonts w:ascii="Century Gothic" w:hAnsi="Century Gothic"/>
          <w:noProof/>
        </w:rPr>
        <w:t>2</w:t>
      </w:r>
      <w:r w:rsidRPr="008B162A">
        <w:rPr>
          <w:rFonts w:ascii="Century Gothic" w:hAnsi="Century Gothic"/>
        </w:rPr>
        <w:fldChar w:fldCharType="end"/>
      </w:r>
      <w:r w:rsidRPr="008B162A">
        <w:rPr>
          <w:rFonts w:ascii="Century Gothic" w:hAnsi="Century Gothic"/>
        </w:rPr>
        <w:t>: Valores para el cálculo del CCPP [Fuente: IFT</w:t>
      </w:r>
      <w:r w:rsidR="006B7D75" w:rsidRPr="008B162A">
        <w:rPr>
          <w:rFonts w:ascii="Century Gothic" w:hAnsi="Century Gothic"/>
        </w:rPr>
        <w:t>, 2016</w:t>
      </w:r>
      <w:r w:rsidRPr="008B162A">
        <w:rPr>
          <w:rFonts w:ascii="Century Gothic" w:hAnsi="Century Gothic"/>
        </w:rPr>
        <w:t>]</w:t>
      </w:r>
    </w:p>
    <w:p w:rsidR="002A179D" w:rsidRPr="008B162A" w:rsidRDefault="002A179D" w:rsidP="002A179D">
      <w:pPr>
        <w:pStyle w:val="Boxes"/>
        <w:keepNext/>
        <w:keepLin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color w:val="auto"/>
          <w:sz w:val="20"/>
          <w:lang w:val="es-CR"/>
        </w:rPr>
        <w:t>Enfoque Adoptado. Costo de capital</w:t>
      </w:r>
    </w:p>
    <w:p w:rsidR="002A179D" w:rsidRPr="008B162A" w:rsidRDefault="002A179D" w:rsidP="002A179D">
      <w:pPr>
        <w:pStyle w:val="Boxes"/>
        <w:keepNext/>
        <w:keepLin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b w:val="0"/>
          <w:color w:val="auto"/>
          <w:sz w:val="20"/>
          <w:lang w:val="es-CR"/>
        </w:rPr>
        <w:t>Considerar un CCPP real</w:t>
      </w:r>
      <w:r w:rsidR="005F7F18" w:rsidRPr="008B162A">
        <w:rPr>
          <w:rFonts w:ascii="Century Gothic" w:hAnsi="Century Gothic"/>
          <w:b w:val="0"/>
          <w:color w:val="auto"/>
          <w:sz w:val="20"/>
          <w:lang w:val="es-CR"/>
        </w:rPr>
        <w:t xml:space="preserve"> antes de impuestos</w:t>
      </w:r>
      <w:r w:rsidRPr="008B162A">
        <w:rPr>
          <w:rFonts w:ascii="Century Gothic" w:hAnsi="Century Gothic"/>
          <w:b w:val="0"/>
          <w:color w:val="auto"/>
          <w:sz w:val="20"/>
          <w:lang w:val="es-CR"/>
        </w:rPr>
        <w:t xml:space="preserve"> del 8.39%.</w:t>
      </w:r>
    </w:p>
    <w:p w:rsidR="00C15825" w:rsidRPr="008B162A" w:rsidRDefault="00C15825" w:rsidP="00C15825">
      <w:pPr>
        <w:pStyle w:val="Ttulo2"/>
        <w:rPr>
          <w:rFonts w:ascii="Century Gothic" w:hAnsi="Century Gothic"/>
          <w:color w:val="auto"/>
        </w:rPr>
      </w:pPr>
      <w:bookmarkStart w:id="18" w:name="_Toc461625883"/>
      <w:r w:rsidRPr="008B162A">
        <w:rPr>
          <w:rFonts w:ascii="Century Gothic" w:hAnsi="Century Gothic"/>
          <w:color w:val="auto"/>
        </w:rPr>
        <w:t xml:space="preserve">Método de </w:t>
      </w:r>
      <w:proofErr w:type="spellStart"/>
      <w:r w:rsidRPr="008B162A">
        <w:rPr>
          <w:rFonts w:ascii="Century Gothic" w:hAnsi="Century Gothic"/>
          <w:color w:val="auto"/>
        </w:rPr>
        <w:t>anualización</w:t>
      </w:r>
      <w:proofErr w:type="spellEnd"/>
      <w:r w:rsidRPr="008B162A">
        <w:rPr>
          <w:rFonts w:ascii="Century Gothic" w:hAnsi="Century Gothic"/>
          <w:color w:val="auto"/>
        </w:rPr>
        <w:t xml:space="preserve"> de costos</w:t>
      </w:r>
      <w:bookmarkEnd w:id="18"/>
    </w:p>
    <w:p w:rsidR="00BA281C" w:rsidRPr="008B162A" w:rsidRDefault="00BA281C" w:rsidP="00BA281C">
      <w:pPr>
        <w:rPr>
          <w:rFonts w:ascii="Century Gothic" w:hAnsi="Century Gothic"/>
        </w:rPr>
      </w:pPr>
      <w:r w:rsidRPr="008B162A">
        <w:rPr>
          <w:rFonts w:ascii="Century Gothic" w:hAnsi="Century Gothic"/>
        </w:rPr>
        <w:t xml:space="preserve">La elección del método de </w:t>
      </w:r>
      <w:proofErr w:type="spellStart"/>
      <w:r w:rsidRPr="008B162A">
        <w:rPr>
          <w:rFonts w:ascii="Century Gothic" w:hAnsi="Century Gothic"/>
        </w:rPr>
        <w:t>anualización</w:t>
      </w:r>
      <w:proofErr w:type="spellEnd"/>
      <w:r w:rsidRPr="008B162A">
        <w:rPr>
          <w:rFonts w:ascii="Century Gothic" w:hAnsi="Century Gothic"/>
        </w:rPr>
        <w:t xml:space="preserve"> de costos es un parámetro clave con una gran relevancia potencial en los resultados. Por lo general, todas las metodologías de reparto de costes en el tiempo empleadas en modelos </w:t>
      </w:r>
      <w:proofErr w:type="spellStart"/>
      <w:r w:rsidRPr="008B162A">
        <w:rPr>
          <w:rFonts w:ascii="Century Gothic" w:hAnsi="Century Gothic"/>
        </w:rPr>
        <w:t>Bottom</w:t>
      </w:r>
      <w:proofErr w:type="spellEnd"/>
      <w:r w:rsidRPr="008B162A">
        <w:rPr>
          <w:rFonts w:ascii="Century Gothic" w:hAnsi="Century Gothic"/>
        </w:rPr>
        <w:t xml:space="preserve">-up atienden a una filosofía de </w:t>
      </w:r>
      <w:r w:rsidRPr="008B162A">
        <w:rPr>
          <w:rFonts w:ascii="Century Gothic" w:hAnsi="Century Gothic"/>
        </w:rPr>
        <w:lastRenderedPageBreak/>
        <w:t>Mantenimiento de Capital Financiero (FCM, o ‘</w:t>
      </w:r>
      <w:proofErr w:type="spellStart"/>
      <w:r w:rsidRPr="008B162A">
        <w:rPr>
          <w:rFonts w:ascii="Century Gothic" w:hAnsi="Century Gothic"/>
        </w:rPr>
        <w:t>Financial</w:t>
      </w:r>
      <w:proofErr w:type="spellEnd"/>
      <w:r w:rsidRPr="008B162A">
        <w:rPr>
          <w:rFonts w:ascii="Century Gothic" w:hAnsi="Century Gothic"/>
        </w:rPr>
        <w:t xml:space="preserve"> Capital </w:t>
      </w:r>
      <w:proofErr w:type="spellStart"/>
      <w:r w:rsidRPr="008B162A">
        <w:rPr>
          <w:rFonts w:ascii="Century Gothic" w:hAnsi="Century Gothic"/>
        </w:rPr>
        <w:t>Maintenance</w:t>
      </w:r>
      <w:proofErr w:type="spellEnd"/>
      <w:r w:rsidRPr="008B162A">
        <w:rPr>
          <w:rFonts w:ascii="Century Gothic" w:hAnsi="Century Gothic"/>
        </w:rPr>
        <w:t>’), mediante la cual se garantiza fundamentalmente la recuperación de los costes incurridos incluyendo una tasa de rentabilidad sobre el capital.</w:t>
      </w:r>
    </w:p>
    <w:p w:rsidR="00BA281C" w:rsidRPr="00D7559E" w:rsidRDefault="00BA281C" w:rsidP="00BA281C">
      <w:pPr>
        <w:rPr>
          <w:rFonts w:ascii="Century Gothic" w:hAnsi="Century Gothic"/>
        </w:rPr>
      </w:pPr>
      <w:r w:rsidRPr="008B162A">
        <w:rPr>
          <w:rFonts w:ascii="Century Gothic" w:hAnsi="Century Gothic"/>
        </w:rPr>
        <w:t xml:space="preserve">Existen varias metodologías de </w:t>
      </w:r>
      <w:proofErr w:type="spellStart"/>
      <w:r w:rsidRPr="008B162A">
        <w:rPr>
          <w:rFonts w:ascii="Century Gothic" w:hAnsi="Century Gothic"/>
        </w:rPr>
        <w:t>anualización</w:t>
      </w:r>
      <w:proofErr w:type="spellEnd"/>
      <w:r w:rsidRPr="008B162A">
        <w:rPr>
          <w:rFonts w:ascii="Century Gothic" w:hAnsi="Century Gothic"/>
        </w:rPr>
        <w:t xml:space="preserve"> o depreciación que son compatibles con dicho </w:t>
      </w:r>
      <w:r w:rsidRPr="00D7559E">
        <w:rPr>
          <w:rFonts w:ascii="Century Gothic" w:hAnsi="Century Gothic"/>
        </w:rPr>
        <w:t>principio de mantenimiento del capital financiero, incluyendo:</w:t>
      </w:r>
    </w:p>
    <w:p w:rsidR="00C15825" w:rsidRPr="00D7559E" w:rsidRDefault="00C15825" w:rsidP="000F1DD5">
      <w:pPr>
        <w:pStyle w:val="Indentado1"/>
        <w:numPr>
          <w:ilvl w:val="0"/>
          <w:numId w:val="24"/>
        </w:numPr>
      </w:pPr>
      <w:r w:rsidRPr="00D7559E">
        <w:rPr>
          <w:b/>
        </w:rPr>
        <w:t>Depreciación lineal</w:t>
      </w:r>
      <w:r w:rsidR="00AD418D" w:rsidRPr="00D7559E">
        <w:t xml:space="preserve">: </w:t>
      </w:r>
      <w:r w:rsidRPr="00D7559E">
        <w:t xml:space="preserve">Es el método más comúnmente utilizado en cuentas financieras. En este método el costo de un activo se distribuye </w:t>
      </w:r>
      <w:proofErr w:type="spellStart"/>
      <w:r w:rsidRPr="00D7559E">
        <w:t>equi</w:t>
      </w:r>
      <w:proofErr w:type="spellEnd"/>
      <w:r w:rsidRPr="00D7559E">
        <w:t>-proporcionalmente a lo largo de la vida útil del activo. A pesar de que este método es muy popular debido a su facilidad de implementación</w:t>
      </w:r>
      <w:r w:rsidR="00AD418D" w:rsidRPr="00D7559E">
        <w:t>,</w:t>
      </w:r>
      <w:r w:rsidRPr="00D7559E">
        <w:t xml:space="preserve"> es muy criticado por no reflejar </w:t>
      </w:r>
      <w:r w:rsidR="00AD418D" w:rsidRPr="00D7559E">
        <w:t xml:space="preserve">adecuadamente </w:t>
      </w:r>
      <w:r w:rsidRPr="00D7559E">
        <w:t>la realidad económica. Así mismo, el método ignora el costo de capital, el cual debe ser calculado de forma separada.</w:t>
      </w:r>
    </w:p>
    <w:p w:rsidR="00C15825" w:rsidRPr="00D7559E" w:rsidRDefault="00C15825" w:rsidP="000F1DD5">
      <w:pPr>
        <w:pStyle w:val="Indentado1"/>
        <w:numPr>
          <w:ilvl w:val="0"/>
          <w:numId w:val="24"/>
        </w:numPr>
      </w:pPr>
      <w:r w:rsidRPr="00D7559E">
        <w:rPr>
          <w:b/>
        </w:rPr>
        <w:t>Anualidad estándar</w:t>
      </w:r>
      <w:r w:rsidR="00AD418D" w:rsidRPr="00D7559E">
        <w:t xml:space="preserve">: </w:t>
      </w:r>
      <w:r w:rsidRPr="00D7559E">
        <w:t>Este método, al igual que el anterior, divide el costo a lo largo de la vida útil del activo</w:t>
      </w:r>
      <w:r w:rsidR="00AD418D" w:rsidRPr="00D7559E">
        <w:t xml:space="preserve">. Sin embargo, en este caso sí se </w:t>
      </w:r>
      <w:r w:rsidRPr="00D7559E">
        <w:t>considera el costo de capital</w:t>
      </w:r>
      <w:r w:rsidR="00AD418D" w:rsidRPr="00D7559E">
        <w:t xml:space="preserve"> relativo al retorno esperado por la adquisición de ese activo</w:t>
      </w:r>
      <w:r w:rsidRPr="00D7559E">
        <w:t xml:space="preserve">. </w:t>
      </w:r>
      <w:r w:rsidR="00AD418D" w:rsidRPr="00D7559E">
        <w:t>E</w:t>
      </w:r>
      <w:r w:rsidRPr="00D7559E">
        <w:t xml:space="preserve">n una anualidad estándar el cargo anual se mantiene constante durante la vida útil del activo, motivo por el cual de igual </w:t>
      </w:r>
      <w:r w:rsidR="00AD418D" w:rsidRPr="00D7559E">
        <w:t>se cuestiona su idoneidad para reflejar adecuadamente la evolución del valor de mercado de un activo</w:t>
      </w:r>
      <w:r w:rsidRPr="00D7559E">
        <w:t>.</w:t>
      </w:r>
    </w:p>
    <w:p w:rsidR="00C15825" w:rsidRPr="00D7559E" w:rsidRDefault="00C15825" w:rsidP="000F1DD5">
      <w:pPr>
        <w:pStyle w:val="Indentado1"/>
        <w:numPr>
          <w:ilvl w:val="0"/>
          <w:numId w:val="24"/>
        </w:numPr>
      </w:pPr>
      <w:r w:rsidRPr="00D7559E">
        <w:rPr>
          <w:b/>
        </w:rPr>
        <w:t>Anualidad inclinada</w:t>
      </w:r>
      <w:r w:rsidR="00AD418D" w:rsidRPr="00D7559E">
        <w:t xml:space="preserve">: </w:t>
      </w:r>
      <w:r w:rsidRPr="00D7559E">
        <w:t>Refleja el supuesto de precios constantes</w:t>
      </w:r>
      <w:r w:rsidR="007B6A35" w:rsidRPr="00D7559E">
        <w:t xml:space="preserve"> (amortización variable)</w:t>
      </w:r>
      <w:r w:rsidRPr="00D7559E">
        <w:t xml:space="preserve">. En las redes de telecomunicaciones, los precios de los equipos tienden a disminuir con el tiempo, mientras que los costos de infraestructura (por ejemplo la excavación de zanjas) tienden a aumentar con el tiempo. Si, por ejemplo en la </w:t>
      </w:r>
      <w:proofErr w:type="spellStart"/>
      <w:r w:rsidRPr="00D7559E">
        <w:t>anualización</w:t>
      </w:r>
      <w:proofErr w:type="spellEnd"/>
      <w:r w:rsidRPr="00D7559E">
        <w:t xml:space="preserve"> estándar se ignora la caída de los precios, en caso de que un nuevo operador decida entrar al mercado, tendría una ventaja sobre el operador que ya se encuentra en el mercado, ya que se beneficiaría de los </w:t>
      </w:r>
      <w:r w:rsidR="002F6B51" w:rsidRPr="00D7559E">
        <w:t xml:space="preserve">menores </w:t>
      </w:r>
      <w:r w:rsidRPr="00D7559E">
        <w:t xml:space="preserve">precios de los activos y en consecuencia de </w:t>
      </w:r>
      <w:r w:rsidR="002F6B51" w:rsidRPr="00D7559E">
        <w:t xml:space="preserve">unos menores </w:t>
      </w:r>
      <w:r w:rsidRPr="00D7559E">
        <w:t xml:space="preserve">costos de depreciación. Cuando los precios disminuyen, una anualidad inclinada recupera mayor costo de capital en los primeros años (y viceversa) lo cual asegura que los operadores con una base de activos similar, pero adquirida en diferentes periodos, tengan </w:t>
      </w:r>
      <w:r w:rsidR="002F6B51" w:rsidRPr="00D7559E">
        <w:t xml:space="preserve">idénticos </w:t>
      </w:r>
      <w:r w:rsidRPr="00D7559E">
        <w:t>costos de depreciación.</w:t>
      </w:r>
    </w:p>
    <w:p w:rsidR="00C15825" w:rsidRPr="00D7559E" w:rsidRDefault="00437F9C" w:rsidP="000F1DD5">
      <w:pPr>
        <w:pStyle w:val="Indentado1"/>
        <w:numPr>
          <w:ilvl w:val="0"/>
          <w:numId w:val="24"/>
        </w:numPr>
      </w:pPr>
      <w:r w:rsidRPr="00D7559E">
        <w:rPr>
          <w:b/>
        </w:rPr>
        <w:t>Anualidad inclinada ajustada</w:t>
      </w:r>
      <w:r w:rsidR="002F6B51" w:rsidRPr="00D7559E">
        <w:t xml:space="preserve">: </w:t>
      </w:r>
      <w:r w:rsidR="003105BE" w:rsidRPr="00D7559E">
        <w:t xml:space="preserve">Refleja </w:t>
      </w:r>
      <w:r w:rsidR="00C15825" w:rsidRPr="00D7559E">
        <w:t xml:space="preserve">el cambio periodo </w:t>
      </w:r>
      <w:r w:rsidR="002F6B51" w:rsidRPr="00D7559E">
        <w:t xml:space="preserve">a </w:t>
      </w:r>
      <w:r w:rsidR="00C15825" w:rsidRPr="00D7559E">
        <w:t>periodo del valor de mercado de un activo</w:t>
      </w:r>
      <w:r w:rsidR="007B6A35" w:rsidRPr="00D7559E">
        <w:t xml:space="preserve"> (depreciación económica)</w:t>
      </w:r>
      <w:r w:rsidR="00C15825" w:rsidRPr="00D7559E">
        <w:t xml:space="preserve">. El valor de mercado de un activo es igual al valor presente de los flujos de efectivo netos que el activo se espera genere durante el resto de su vida útil. Como los flujos de efectivo netos varían con la producción, los activos son depreciados a una tasa constante con el uso, resultando en un verdadero perfil de depreciación. En la práctica, dada la dificultad de determinar objetivamente la depreciación económica, ésta es aproximada por una anualidad inclinada ajustada, en donde la inclinación en el monto de depreciación </w:t>
      </w:r>
      <w:r w:rsidR="00C15825" w:rsidRPr="00D7559E">
        <w:lastRenderedPageBreak/>
        <w:t>de cada año incorpora, además de la variación en el precio del activo, la cantidad de producción realizada por el activo.</w:t>
      </w:r>
      <w:r w:rsidR="00B240B0" w:rsidRPr="00D7559E">
        <w:t xml:space="preserve"> Esta metodología implica que los resultados históricos y actuales dependen de las proyecciones de la demanda, por lo que no es adecuada en aquellos casos para los que las proyecciones de demanda son inciertas.</w:t>
      </w:r>
    </w:p>
    <w:p w:rsidR="00CB74F4" w:rsidRPr="008B162A" w:rsidRDefault="00CB74F4" w:rsidP="00CB74F4">
      <w:pPr>
        <w:rPr>
          <w:rFonts w:ascii="Century Gothic" w:hAnsi="Century Gothic"/>
        </w:rPr>
      </w:pPr>
      <w:r w:rsidRPr="008B162A">
        <w:rPr>
          <w:rFonts w:ascii="Century Gothic" w:hAnsi="Century Gothic"/>
        </w:rPr>
        <w:t xml:space="preserve">La práctica internacional muestra que los métodos de anualidad inclinada son los más comúnmente empleados en los modelos de costos </w:t>
      </w:r>
      <w:proofErr w:type="spellStart"/>
      <w:r w:rsidRPr="008B162A">
        <w:rPr>
          <w:rFonts w:ascii="Century Gothic" w:hAnsi="Century Gothic"/>
        </w:rPr>
        <w:t>Bottom</w:t>
      </w:r>
      <w:proofErr w:type="spellEnd"/>
      <w:r w:rsidRPr="008B162A">
        <w:rPr>
          <w:rFonts w:ascii="Century Gothic" w:hAnsi="Century Gothic"/>
        </w:rPr>
        <w:t>-Up.</w:t>
      </w:r>
    </w:p>
    <w:p w:rsidR="00CB74F4" w:rsidRPr="008B162A" w:rsidRDefault="00CB74F4" w:rsidP="00CB74F4">
      <w:pPr>
        <w:rPr>
          <w:rFonts w:ascii="Century Gothic" w:hAnsi="Century Gothic"/>
        </w:rPr>
      </w:pPr>
      <w:r w:rsidRPr="008B162A">
        <w:rPr>
          <w:rFonts w:ascii="Century Gothic" w:hAnsi="Century Gothic"/>
        </w:rPr>
        <w:t xml:space="preserve">Se considerará la anualidad inclinada para la </w:t>
      </w:r>
      <w:proofErr w:type="spellStart"/>
      <w:r w:rsidRPr="008B162A">
        <w:rPr>
          <w:rFonts w:ascii="Century Gothic" w:hAnsi="Century Gothic"/>
        </w:rPr>
        <w:t>anualización</w:t>
      </w:r>
      <w:proofErr w:type="spellEnd"/>
      <w:r w:rsidRPr="008B162A">
        <w:rPr>
          <w:rFonts w:ascii="Century Gothic" w:hAnsi="Century Gothic"/>
        </w:rPr>
        <w:t xml:space="preserve"> de los costos asociados al capital en el modelo. Este método, permite la consideración de la evolución de los precios de red a la vez que evita potenciales distorsiones originadas por la incertidumbre asociada a las proyecciones de </w:t>
      </w:r>
      <w:r w:rsidR="0058127C" w:rsidRPr="008B162A">
        <w:rPr>
          <w:rFonts w:ascii="Century Gothic" w:hAnsi="Century Gothic"/>
        </w:rPr>
        <w:t>demanda</w:t>
      </w:r>
      <w:r w:rsidRPr="008B162A">
        <w:rPr>
          <w:rFonts w:ascii="Century Gothic" w:hAnsi="Century Gothic"/>
        </w:rPr>
        <w:t>.</w:t>
      </w:r>
    </w:p>
    <w:p w:rsidR="001145E1" w:rsidRPr="008B162A" w:rsidRDefault="001145E1" w:rsidP="00CB74F4">
      <w:pPr>
        <w:pStyle w:val="Boxes"/>
        <w:keepNext/>
        <w:keepLin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color w:val="auto"/>
          <w:sz w:val="20"/>
          <w:lang w:val="es-CR"/>
        </w:rPr>
        <w:t xml:space="preserve">Enfoque Adoptado. Método de </w:t>
      </w:r>
      <w:proofErr w:type="spellStart"/>
      <w:r w:rsidRPr="008B162A">
        <w:rPr>
          <w:rFonts w:ascii="Century Gothic" w:hAnsi="Century Gothic"/>
          <w:color w:val="auto"/>
          <w:sz w:val="20"/>
          <w:lang w:val="es-CR"/>
        </w:rPr>
        <w:t>Anualización</w:t>
      </w:r>
      <w:proofErr w:type="spellEnd"/>
      <w:r w:rsidRPr="008B162A">
        <w:rPr>
          <w:rFonts w:ascii="Century Gothic" w:hAnsi="Century Gothic"/>
          <w:color w:val="auto"/>
          <w:sz w:val="20"/>
          <w:lang w:val="es-CR"/>
        </w:rPr>
        <w:t xml:space="preserve"> de Costos</w:t>
      </w:r>
    </w:p>
    <w:p w:rsidR="001145E1" w:rsidRPr="008B162A" w:rsidRDefault="00CB74F4" w:rsidP="002A179D">
      <w:pPr>
        <w:pStyle w:val="Boxes"/>
        <w:keepNext/>
        <w:keepLin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b w:val="0"/>
          <w:color w:val="auto"/>
          <w:sz w:val="20"/>
          <w:lang w:val="es-CR"/>
        </w:rPr>
        <w:t xml:space="preserve">El modelo </w:t>
      </w:r>
      <w:r w:rsidR="00807581" w:rsidRPr="008B162A">
        <w:rPr>
          <w:rFonts w:ascii="Century Gothic" w:hAnsi="Century Gothic"/>
          <w:b w:val="0"/>
          <w:color w:val="auto"/>
          <w:sz w:val="20"/>
          <w:lang w:val="es-CR"/>
        </w:rPr>
        <w:t>se basará en el método de anualidad</w:t>
      </w:r>
      <w:r w:rsidR="002A179D" w:rsidRPr="008B162A">
        <w:rPr>
          <w:rFonts w:ascii="Century Gothic" w:hAnsi="Century Gothic"/>
          <w:b w:val="0"/>
          <w:color w:val="auto"/>
          <w:sz w:val="20"/>
          <w:lang w:val="es-CR"/>
        </w:rPr>
        <w:t xml:space="preserve"> inclinada</w:t>
      </w:r>
      <w:r w:rsidR="00807581" w:rsidRPr="008B162A">
        <w:rPr>
          <w:rFonts w:ascii="Century Gothic" w:hAnsi="Century Gothic"/>
          <w:b w:val="0"/>
          <w:color w:val="auto"/>
          <w:sz w:val="20"/>
          <w:lang w:val="es-CR"/>
        </w:rPr>
        <w:t xml:space="preserve"> para </w:t>
      </w:r>
      <w:r w:rsidRPr="008B162A">
        <w:rPr>
          <w:rFonts w:ascii="Century Gothic" w:hAnsi="Century Gothic"/>
          <w:b w:val="0"/>
          <w:color w:val="auto"/>
          <w:sz w:val="20"/>
          <w:lang w:val="es-CR"/>
        </w:rPr>
        <w:t xml:space="preserve">la </w:t>
      </w:r>
      <w:proofErr w:type="spellStart"/>
      <w:r w:rsidRPr="008B162A">
        <w:rPr>
          <w:rFonts w:ascii="Century Gothic" w:hAnsi="Century Gothic"/>
          <w:b w:val="0"/>
          <w:color w:val="auto"/>
          <w:sz w:val="20"/>
          <w:lang w:val="es-CR"/>
        </w:rPr>
        <w:t>anualización</w:t>
      </w:r>
      <w:proofErr w:type="spellEnd"/>
      <w:r w:rsidRPr="008B162A">
        <w:rPr>
          <w:rFonts w:ascii="Century Gothic" w:hAnsi="Century Gothic"/>
          <w:b w:val="0"/>
          <w:color w:val="auto"/>
          <w:sz w:val="20"/>
          <w:lang w:val="es-CR"/>
        </w:rPr>
        <w:t xml:space="preserve"> de los costos asociados al capital.</w:t>
      </w:r>
    </w:p>
    <w:p w:rsidR="00C15825" w:rsidRPr="008B162A" w:rsidRDefault="00C15825" w:rsidP="00C15825">
      <w:pPr>
        <w:pStyle w:val="Ttulo2"/>
        <w:rPr>
          <w:rFonts w:ascii="Century Gothic" w:hAnsi="Century Gothic"/>
          <w:color w:val="auto"/>
          <w:lang w:val="es-ES_tradnl"/>
        </w:rPr>
      </w:pPr>
      <w:bookmarkStart w:id="19" w:name="_Toc461625884"/>
      <w:r w:rsidRPr="008B162A">
        <w:rPr>
          <w:rFonts w:ascii="Century Gothic" w:hAnsi="Century Gothic"/>
          <w:color w:val="auto"/>
          <w:lang w:val="es-ES_tradnl"/>
        </w:rPr>
        <w:t>Estándar de costos</w:t>
      </w:r>
      <w:bookmarkEnd w:id="19"/>
    </w:p>
    <w:p w:rsidR="00A61BD5" w:rsidRPr="008B162A" w:rsidRDefault="00A61BD5" w:rsidP="00A61BD5">
      <w:pPr>
        <w:rPr>
          <w:rFonts w:ascii="Century Gothic" w:hAnsi="Century Gothic"/>
          <w:lang w:val="es-ES_tradnl"/>
        </w:rPr>
      </w:pPr>
      <w:r w:rsidRPr="008B162A">
        <w:rPr>
          <w:rFonts w:ascii="Century Gothic" w:hAnsi="Century Gothic"/>
          <w:lang w:val="es-ES_tradnl"/>
        </w:rPr>
        <w:t xml:space="preserve">En los últimos años, se ha generalizado la utilización de estándares de costos de la familia de los costos incrementales. En el caso específico de México, la </w:t>
      </w:r>
      <w:r w:rsidR="00C8693E" w:rsidRPr="008B162A">
        <w:rPr>
          <w:rFonts w:ascii="Century Gothic" w:hAnsi="Century Gothic"/>
          <w:lang w:val="es-ES_tradnl"/>
        </w:rPr>
        <w:t>M</w:t>
      </w:r>
      <w:r w:rsidRPr="008B162A">
        <w:rPr>
          <w:rFonts w:ascii="Century Gothic" w:hAnsi="Century Gothic"/>
          <w:lang w:val="es-ES_tradnl"/>
        </w:rPr>
        <w:t>edida TRIGÉSIMA NOVENA de las Medidas de Desagregación establece que en el caso de los servicios de desagregación las tarifas aplicables se determinarán mediante la aplicación de una metodología CIPLP.</w:t>
      </w:r>
    </w:p>
    <w:p w:rsidR="00C15825" w:rsidRPr="008B162A" w:rsidRDefault="00C8693E" w:rsidP="005066DF">
      <w:pPr>
        <w:rPr>
          <w:rFonts w:ascii="Century Gothic" w:hAnsi="Century Gothic"/>
        </w:rPr>
      </w:pPr>
      <w:r w:rsidRPr="008B162A">
        <w:rPr>
          <w:rFonts w:ascii="Century Gothic" w:hAnsi="Century Gothic"/>
          <w:lang w:val="es-ES_tradnl"/>
        </w:rPr>
        <w:t>La metodología CIPLP calcula los costos en los que un operador dejaría de incurrir si un cierto servicio, o un grupo de éstos (definido como incremento) se dejaran de prestar. Adicionalmente, esta metodología incluye la atribución de los costos comunes (no incrementales) a servicios</w:t>
      </w:r>
      <w:r w:rsidR="007D45A5" w:rsidRPr="008B162A">
        <w:rPr>
          <w:rFonts w:ascii="Century Gothic" w:hAnsi="Century Gothic"/>
        </w:rPr>
        <w:t>.</w:t>
      </w:r>
    </w:p>
    <w:p w:rsidR="001145E1" w:rsidRPr="008B162A" w:rsidRDefault="001145E1" w:rsidP="00176048">
      <w:pPr>
        <w:pStyle w:val="Boxes"/>
        <w:keepNext/>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color w:val="auto"/>
          <w:sz w:val="20"/>
          <w:lang w:val="es-CR"/>
        </w:rPr>
        <w:t>Enfoque Adoptado. Estándar de costos</w:t>
      </w:r>
    </w:p>
    <w:p w:rsidR="007D45A5" w:rsidRPr="008B162A" w:rsidRDefault="00CB74F4" w:rsidP="00C057C7">
      <w:pPr>
        <w:pStyle w:val="Boxes"/>
        <w:numPr>
          <w:ilvl w:val="0"/>
          <w:numId w:val="0"/>
        </w:numPr>
        <w:pBdr>
          <w:left w:val="double" w:sz="4" w:space="0" w:color="165194" w:themeColor="accent2"/>
        </w:pBdr>
        <w:ind w:left="142"/>
        <w:rPr>
          <w:rFonts w:ascii="Century Gothic" w:hAnsi="Century Gothic"/>
          <w:b w:val="0"/>
          <w:color w:val="auto"/>
          <w:sz w:val="20"/>
          <w:lang w:val="es-ES_tradnl"/>
        </w:rPr>
      </w:pPr>
      <w:r w:rsidRPr="008B162A">
        <w:rPr>
          <w:rFonts w:ascii="Century Gothic" w:hAnsi="Century Gothic"/>
          <w:b w:val="0"/>
          <w:color w:val="auto"/>
          <w:sz w:val="20"/>
          <w:lang w:val="es-ES_tradnl"/>
        </w:rPr>
        <w:t>S</w:t>
      </w:r>
      <w:r w:rsidR="00966507" w:rsidRPr="008B162A">
        <w:rPr>
          <w:rFonts w:ascii="Century Gothic" w:hAnsi="Century Gothic"/>
          <w:b w:val="0"/>
          <w:color w:val="auto"/>
          <w:sz w:val="20"/>
          <w:lang w:val="es-ES_tradnl"/>
        </w:rPr>
        <w:t xml:space="preserve">e concluye emplear una metodología de costos </w:t>
      </w:r>
      <w:r w:rsidR="00C057C7" w:rsidRPr="008B162A">
        <w:rPr>
          <w:rFonts w:ascii="Century Gothic" w:hAnsi="Century Gothic"/>
          <w:b w:val="0"/>
          <w:color w:val="auto"/>
          <w:sz w:val="20"/>
          <w:lang w:val="es-ES_tradnl"/>
        </w:rPr>
        <w:t xml:space="preserve">CIPLP </w:t>
      </w:r>
      <w:r w:rsidR="00966507" w:rsidRPr="008B162A">
        <w:rPr>
          <w:rFonts w:ascii="Century Gothic" w:hAnsi="Century Gothic"/>
          <w:b w:val="0"/>
          <w:color w:val="auto"/>
          <w:sz w:val="20"/>
          <w:lang w:val="es-ES_tradnl"/>
        </w:rPr>
        <w:t>para la atribución de los costos de red a servicios.</w:t>
      </w:r>
    </w:p>
    <w:p w:rsidR="00C15825" w:rsidRPr="008B162A" w:rsidRDefault="00C15825" w:rsidP="00C15825">
      <w:pPr>
        <w:pStyle w:val="Ttulo2"/>
        <w:rPr>
          <w:rFonts w:ascii="Century Gothic" w:hAnsi="Century Gothic"/>
          <w:color w:val="auto"/>
          <w:lang w:val="es-ES_tradnl"/>
        </w:rPr>
      </w:pPr>
      <w:bookmarkStart w:id="20" w:name="_Toc461625885"/>
      <w:r w:rsidRPr="008B162A">
        <w:rPr>
          <w:rFonts w:ascii="Century Gothic" w:hAnsi="Century Gothic"/>
          <w:color w:val="auto"/>
          <w:lang w:val="es-ES_tradnl"/>
        </w:rPr>
        <w:lastRenderedPageBreak/>
        <w:t>Asignación de costos comunes de red</w:t>
      </w:r>
      <w:bookmarkEnd w:id="20"/>
    </w:p>
    <w:p w:rsidR="00966507" w:rsidRPr="008B162A" w:rsidRDefault="00966507" w:rsidP="00C057C7">
      <w:pPr>
        <w:rPr>
          <w:rFonts w:ascii="Century Gothic" w:hAnsi="Century Gothic"/>
          <w:lang w:val="es-ES_tradnl"/>
        </w:rPr>
      </w:pPr>
      <w:r w:rsidRPr="008B162A">
        <w:rPr>
          <w:rFonts w:ascii="Century Gothic" w:hAnsi="Century Gothic"/>
          <w:lang w:val="es-ES_tradnl"/>
        </w:rPr>
        <w:t xml:space="preserve">Según lo indicado en el punto anterior, el estándar de costes </w:t>
      </w:r>
      <w:r w:rsidR="00C057C7" w:rsidRPr="008B162A">
        <w:rPr>
          <w:rFonts w:ascii="Century Gothic" w:hAnsi="Century Gothic"/>
          <w:lang w:val="es-ES_tradnl"/>
        </w:rPr>
        <w:t>CIPLP</w:t>
      </w:r>
      <w:r w:rsidRPr="008B162A">
        <w:rPr>
          <w:rFonts w:ascii="Century Gothic" w:hAnsi="Century Gothic"/>
          <w:lang w:val="es-ES_tradnl"/>
        </w:rPr>
        <w:t xml:space="preserve"> reconoce la atribución de costos comunes de red a servicios. Consecuentemente, es necesario definir la metodología a seguir </w:t>
      </w:r>
      <w:r w:rsidR="00CB74F4" w:rsidRPr="008B162A">
        <w:rPr>
          <w:rFonts w:ascii="Century Gothic" w:hAnsi="Century Gothic"/>
          <w:lang w:val="es-ES_tradnl"/>
        </w:rPr>
        <w:t>para la imputación de estos costos a servicios, siguiendo un principio lo más causal posible.</w:t>
      </w:r>
    </w:p>
    <w:p w:rsidR="00CB74F4" w:rsidRPr="008B162A" w:rsidRDefault="00CB74F4" w:rsidP="00C15825">
      <w:pPr>
        <w:rPr>
          <w:rFonts w:ascii="Century Gothic" w:hAnsi="Century Gothic"/>
          <w:lang w:val="es-ES_tradnl"/>
        </w:rPr>
      </w:pPr>
      <w:r w:rsidRPr="008B162A">
        <w:rPr>
          <w:rFonts w:ascii="Century Gothic" w:hAnsi="Century Gothic"/>
          <w:lang w:val="es-ES_tradnl"/>
        </w:rPr>
        <w:t>En este sentido, se definen a continuación una serie de potenciales metodologías que podrían ser empleadas para la atribución de estos costos:</w:t>
      </w:r>
    </w:p>
    <w:p w:rsidR="00C15825" w:rsidRPr="00D7559E" w:rsidRDefault="00C15825" w:rsidP="000F1DD5">
      <w:pPr>
        <w:pStyle w:val="Indentado1"/>
        <w:numPr>
          <w:ilvl w:val="0"/>
          <w:numId w:val="23"/>
        </w:numPr>
      </w:pPr>
      <w:proofErr w:type="spellStart"/>
      <w:r w:rsidRPr="00D7559E">
        <w:rPr>
          <w:b/>
        </w:rPr>
        <w:t>Equi-Proportional</w:t>
      </w:r>
      <w:proofErr w:type="spellEnd"/>
      <w:r w:rsidRPr="00D7559E">
        <w:rPr>
          <w:b/>
        </w:rPr>
        <w:t xml:space="preserve"> Mark-up (EPMU)</w:t>
      </w:r>
      <w:r w:rsidRPr="00D7559E">
        <w:t xml:space="preserve">, asigna los costos comunes a servicios </w:t>
      </w:r>
      <w:r w:rsidR="00CB74F4" w:rsidRPr="00D7559E">
        <w:t xml:space="preserve">proporcionalmente a </w:t>
      </w:r>
      <w:r w:rsidRPr="00D7559E">
        <w:t>su</w:t>
      </w:r>
      <w:r w:rsidR="00CB74F4" w:rsidRPr="00D7559E">
        <w:t>s</w:t>
      </w:r>
      <w:r w:rsidRPr="00D7559E">
        <w:t xml:space="preserve"> costo</w:t>
      </w:r>
      <w:r w:rsidR="00CB74F4" w:rsidRPr="00D7559E">
        <w:t>s</w:t>
      </w:r>
      <w:r w:rsidRPr="00D7559E">
        <w:t xml:space="preserve"> incremental</w:t>
      </w:r>
      <w:r w:rsidR="00CB74F4" w:rsidRPr="00D7559E">
        <w:t>es. Este método es ampliamente utilizado en este tipo de modelos.</w:t>
      </w:r>
    </w:p>
    <w:p w:rsidR="00C15825" w:rsidRPr="00D7559E" w:rsidRDefault="00C15825" w:rsidP="000F1DD5">
      <w:pPr>
        <w:pStyle w:val="Indentado1"/>
        <w:numPr>
          <w:ilvl w:val="0"/>
          <w:numId w:val="23"/>
        </w:numPr>
      </w:pPr>
      <w:r w:rsidRPr="00D7559E">
        <w:rPr>
          <w:b/>
        </w:rPr>
        <w:t>Capacidad requerida</w:t>
      </w:r>
      <w:r w:rsidRPr="00D7559E">
        <w:t xml:space="preserve">, </w:t>
      </w:r>
      <w:r w:rsidR="00CB74F4" w:rsidRPr="00D7559E">
        <w:t>asigna los costos comunes a servicios en función del uso que éstos hacen de los diferentes elementos de red.</w:t>
      </w:r>
    </w:p>
    <w:p w:rsidR="00C15825" w:rsidRPr="00D7559E" w:rsidRDefault="00C15825" w:rsidP="000F1DD5">
      <w:pPr>
        <w:pStyle w:val="Indentado1"/>
        <w:numPr>
          <w:ilvl w:val="0"/>
          <w:numId w:val="23"/>
        </w:numPr>
      </w:pPr>
      <w:proofErr w:type="spellStart"/>
      <w:r w:rsidRPr="00D7559E">
        <w:rPr>
          <w:b/>
        </w:rPr>
        <w:t>Shapley-Shubik</w:t>
      </w:r>
      <w:proofErr w:type="spellEnd"/>
      <w:r w:rsidRPr="00D7559E">
        <w:t xml:space="preserve">, </w:t>
      </w:r>
      <w:r w:rsidR="00CB74F4" w:rsidRPr="00D7559E">
        <w:t>que consiste en definir el monto de costos comunes asociado a un determinado servicio como el promedio de los costos incrementales del servicio tras revisar cada posible orden de llegada de los incrementos.</w:t>
      </w:r>
    </w:p>
    <w:p w:rsidR="00C15825" w:rsidRPr="00D7559E" w:rsidRDefault="00C15825" w:rsidP="000F1DD5">
      <w:pPr>
        <w:pStyle w:val="Indentado1"/>
        <w:numPr>
          <w:ilvl w:val="0"/>
          <w:numId w:val="23"/>
        </w:numPr>
      </w:pPr>
      <w:r w:rsidRPr="00D7559E">
        <w:rPr>
          <w:b/>
        </w:rPr>
        <w:t xml:space="preserve">Ramsey </w:t>
      </w:r>
      <w:proofErr w:type="spellStart"/>
      <w:r w:rsidRPr="00D7559E">
        <w:rPr>
          <w:b/>
        </w:rPr>
        <w:t>Pricing</w:t>
      </w:r>
      <w:proofErr w:type="spellEnd"/>
      <w:r w:rsidRPr="00D7559E">
        <w:t xml:space="preserve">, </w:t>
      </w:r>
      <w:r w:rsidR="00CB74F4" w:rsidRPr="00D7559E">
        <w:t xml:space="preserve">atribuye los </w:t>
      </w:r>
      <w:r w:rsidRPr="00D7559E">
        <w:t xml:space="preserve">costos comunes </w:t>
      </w:r>
      <w:r w:rsidR="00CB74F4" w:rsidRPr="00D7559E">
        <w:t>a</w:t>
      </w:r>
      <w:r w:rsidRPr="00D7559E">
        <w:t xml:space="preserve"> servicios </w:t>
      </w:r>
      <w:r w:rsidR="00CB74F4" w:rsidRPr="00D7559E">
        <w:t xml:space="preserve">con base en su costo marginal </w:t>
      </w:r>
      <w:r w:rsidRPr="00D7559E">
        <w:t>de producción y la elasticidad de</w:t>
      </w:r>
      <w:r w:rsidR="00CB74F4" w:rsidRPr="00D7559E">
        <w:t xml:space="preserve"> su</w:t>
      </w:r>
      <w:r w:rsidRPr="00D7559E">
        <w:t xml:space="preserve"> precio.</w:t>
      </w:r>
    </w:p>
    <w:p w:rsidR="00932907" w:rsidRPr="008B162A" w:rsidRDefault="00932907" w:rsidP="00932907">
      <w:pPr>
        <w:rPr>
          <w:rFonts w:ascii="Century Gothic" w:hAnsi="Century Gothic"/>
          <w:lang w:val="es-ES_tradnl"/>
        </w:rPr>
      </w:pPr>
      <w:r w:rsidRPr="008B162A">
        <w:rPr>
          <w:rFonts w:ascii="Century Gothic" w:hAnsi="Century Gothic"/>
          <w:lang w:val="es-ES_tradnl"/>
        </w:rPr>
        <w:t xml:space="preserve">El enfoque Ramsey </w:t>
      </w:r>
      <w:proofErr w:type="spellStart"/>
      <w:r w:rsidRPr="008B162A">
        <w:rPr>
          <w:rFonts w:ascii="Century Gothic" w:hAnsi="Century Gothic"/>
          <w:lang w:val="es-ES_tradnl"/>
        </w:rPr>
        <w:t>Pricing</w:t>
      </w:r>
      <w:proofErr w:type="spellEnd"/>
      <w:r w:rsidRPr="008B162A">
        <w:rPr>
          <w:rFonts w:ascii="Century Gothic" w:hAnsi="Century Gothic"/>
          <w:lang w:val="es-ES_tradnl"/>
        </w:rPr>
        <w:t xml:space="preserve"> es generalmente percibido como la alternativa más aproximada desde un punto de vista económico para la recuperación de costos comunes. No obstante, el alto nivel de complejidad y de información involucrada en su cálculo ha probado ser un punto negativo en su implementación, lo cual le ha llevado a tener un uso muy residual en el diseño de este tipo de modelos.</w:t>
      </w:r>
    </w:p>
    <w:p w:rsidR="00932907" w:rsidRPr="008B162A" w:rsidRDefault="00932907" w:rsidP="00932907">
      <w:pPr>
        <w:rPr>
          <w:rFonts w:ascii="Century Gothic" w:hAnsi="Century Gothic"/>
          <w:lang w:val="es-ES_tradnl"/>
        </w:rPr>
      </w:pPr>
      <w:r w:rsidRPr="008B162A">
        <w:rPr>
          <w:rFonts w:ascii="Century Gothic" w:hAnsi="Century Gothic"/>
          <w:lang w:val="es-ES_tradnl"/>
        </w:rPr>
        <w:t xml:space="preserve">Por otro lado, la metodología EPMU presenta un nivel de complejidad bajo al realizar una aproximación del reparto de costos de manera proporcional a los costos incrementales de los servicios modelados. </w:t>
      </w:r>
    </w:p>
    <w:p w:rsidR="00932907" w:rsidRPr="008B162A" w:rsidRDefault="00932907" w:rsidP="00932907">
      <w:pPr>
        <w:rPr>
          <w:rFonts w:ascii="Century Gothic" w:hAnsi="Century Gothic"/>
          <w:lang w:val="es-ES_tradnl"/>
        </w:rPr>
      </w:pPr>
      <w:r w:rsidRPr="008B162A">
        <w:rPr>
          <w:rFonts w:ascii="Century Gothic" w:hAnsi="Century Gothic"/>
          <w:lang w:val="es-ES_tradnl"/>
        </w:rPr>
        <w:t xml:space="preserve">La metodología de Capacidad Requerida equilibra entre complejidad de implementación y causalidad del reparto, dado que los costos comunes se atribuyen a los diferentes servicios en función del uso que éstos hacen de los diferentes elementos de red. </w:t>
      </w:r>
    </w:p>
    <w:p w:rsidR="00D2247F" w:rsidRPr="008B162A" w:rsidRDefault="00932907" w:rsidP="00932907">
      <w:pPr>
        <w:rPr>
          <w:rFonts w:ascii="Century Gothic" w:hAnsi="Century Gothic"/>
          <w:lang w:val="es-ES_tradnl"/>
        </w:rPr>
      </w:pPr>
      <w:r w:rsidRPr="008B162A">
        <w:rPr>
          <w:rFonts w:ascii="Century Gothic" w:hAnsi="Century Gothic"/>
          <w:lang w:val="es-ES_tradnl"/>
        </w:rPr>
        <w:t>En el caso de una red de acceso de nueva generación los costos comunes de red representan típicamente una parte relevante de los costos totales. Se considera por tanto que la metodología de capacidad requerida es más apropiada en este caso, al mejorar la causalidad del reparto de los costos comunes que compensa el incremento de la complejidad.</w:t>
      </w:r>
    </w:p>
    <w:p w:rsidR="001145E1" w:rsidRPr="008B162A" w:rsidRDefault="001145E1" w:rsidP="001145E1">
      <w:pPr>
        <w:pStyle w:val="Box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color w:val="auto"/>
          <w:sz w:val="20"/>
          <w:lang w:val="es-CR"/>
        </w:rPr>
        <w:lastRenderedPageBreak/>
        <w:t>Enfoque Adoptado. Asignación de costos comunes de red</w:t>
      </w:r>
    </w:p>
    <w:p w:rsidR="001145E1" w:rsidRPr="008B162A" w:rsidRDefault="006E75E5" w:rsidP="001145E1">
      <w:pPr>
        <w:pStyle w:val="Box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b w:val="0"/>
          <w:color w:val="auto"/>
          <w:sz w:val="20"/>
          <w:lang w:val="es-CR"/>
        </w:rPr>
        <w:t>S</w:t>
      </w:r>
      <w:r w:rsidR="00DD4ED5" w:rsidRPr="008B162A">
        <w:rPr>
          <w:rFonts w:ascii="Century Gothic" w:hAnsi="Century Gothic"/>
          <w:b w:val="0"/>
          <w:color w:val="auto"/>
          <w:sz w:val="20"/>
          <w:lang w:val="es-CR"/>
        </w:rPr>
        <w:t xml:space="preserve">e utilizará </w:t>
      </w:r>
      <w:r w:rsidRPr="008B162A">
        <w:rPr>
          <w:rFonts w:ascii="Century Gothic" w:hAnsi="Century Gothic"/>
          <w:b w:val="0"/>
          <w:color w:val="auto"/>
          <w:sz w:val="20"/>
          <w:lang w:val="es-CR"/>
        </w:rPr>
        <w:t>un</w:t>
      </w:r>
      <w:r w:rsidR="00DD4ED5" w:rsidRPr="008B162A">
        <w:rPr>
          <w:rFonts w:ascii="Century Gothic" w:hAnsi="Century Gothic"/>
          <w:b w:val="0"/>
          <w:color w:val="auto"/>
          <w:sz w:val="20"/>
          <w:lang w:val="es-CR"/>
        </w:rPr>
        <w:t xml:space="preserve"> enfoque </w:t>
      </w:r>
      <w:r w:rsidR="00F81D79" w:rsidRPr="008B162A">
        <w:rPr>
          <w:rFonts w:ascii="Century Gothic" w:hAnsi="Century Gothic"/>
          <w:b w:val="0"/>
          <w:color w:val="auto"/>
          <w:sz w:val="20"/>
          <w:lang w:val="es-CR"/>
        </w:rPr>
        <w:t>de Capacidad R</w:t>
      </w:r>
      <w:r w:rsidR="003D09E3" w:rsidRPr="008B162A">
        <w:rPr>
          <w:rFonts w:ascii="Century Gothic" w:hAnsi="Century Gothic"/>
          <w:b w:val="0"/>
          <w:color w:val="auto"/>
          <w:sz w:val="20"/>
          <w:lang w:val="es-CR"/>
        </w:rPr>
        <w:t xml:space="preserve">equerida </w:t>
      </w:r>
      <w:r w:rsidR="004B7FA4" w:rsidRPr="008B162A">
        <w:rPr>
          <w:rFonts w:ascii="Century Gothic" w:hAnsi="Century Gothic"/>
          <w:b w:val="0"/>
          <w:color w:val="auto"/>
          <w:sz w:val="20"/>
          <w:lang w:val="es-CR"/>
        </w:rPr>
        <w:t>para la asignación de costos comunes de red</w:t>
      </w:r>
      <w:r w:rsidR="003A4ABA" w:rsidRPr="008B162A">
        <w:rPr>
          <w:rFonts w:ascii="Century Gothic" w:hAnsi="Century Gothic"/>
          <w:b w:val="0"/>
          <w:color w:val="auto"/>
          <w:sz w:val="20"/>
          <w:lang w:val="es-CR"/>
        </w:rPr>
        <w:t>.</w:t>
      </w:r>
    </w:p>
    <w:p w:rsidR="00C15825" w:rsidRPr="008B162A" w:rsidRDefault="00C15825" w:rsidP="00C15825">
      <w:pPr>
        <w:pStyle w:val="Ttulo2"/>
        <w:rPr>
          <w:rFonts w:ascii="Century Gothic" w:hAnsi="Century Gothic"/>
          <w:color w:val="auto"/>
          <w:lang w:val="es-ES_tradnl"/>
        </w:rPr>
      </w:pPr>
      <w:bookmarkStart w:id="21" w:name="_Toc461625886"/>
      <w:r w:rsidRPr="008B162A">
        <w:rPr>
          <w:rFonts w:ascii="Century Gothic" w:hAnsi="Century Gothic"/>
          <w:color w:val="auto"/>
          <w:lang w:val="es-ES_tradnl"/>
        </w:rPr>
        <w:t xml:space="preserve">Asignación de costos comunes </w:t>
      </w:r>
      <w:r w:rsidR="00D2247F" w:rsidRPr="008B162A">
        <w:rPr>
          <w:rFonts w:ascii="Century Gothic" w:hAnsi="Century Gothic"/>
          <w:color w:val="auto"/>
          <w:lang w:val="es-ES_tradnl"/>
        </w:rPr>
        <w:t xml:space="preserve">no </w:t>
      </w:r>
      <w:r w:rsidRPr="008B162A">
        <w:rPr>
          <w:rFonts w:ascii="Century Gothic" w:hAnsi="Century Gothic"/>
          <w:color w:val="auto"/>
          <w:lang w:val="es-ES_tradnl"/>
        </w:rPr>
        <w:t>de red</w:t>
      </w:r>
      <w:bookmarkEnd w:id="21"/>
    </w:p>
    <w:p w:rsidR="006E75E5" w:rsidRPr="008B162A" w:rsidRDefault="006E75E5" w:rsidP="006E75E5">
      <w:pPr>
        <w:rPr>
          <w:rFonts w:ascii="Century Gothic" w:hAnsi="Century Gothic"/>
          <w:lang w:val="es-ES_tradnl"/>
        </w:rPr>
      </w:pPr>
      <w:r w:rsidRPr="008B162A">
        <w:rPr>
          <w:rFonts w:ascii="Century Gothic" w:hAnsi="Century Gothic"/>
          <w:lang w:val="es-ES_tradnl"/>
        </w:rPr>
        <w:t xml:space="preserve">Como se ha indicado en la anterior sección </w:t>
      </w:r>
      <w:r w:rsidRPr="008B162A">
        <w:rPr>
          <w:rFonts w:ascii="Century Gothic" w:hAnsi="Century Gothic"/>
          <w:lang w:val="en-US"/>
        </w:rPr>
        <w:fldChar w:fldCharType="begin"/>
      </w:r>
      <w:r w:rsidRPr="008B162A">
        <w:rPr>
          <w:rFonts w:ascii="Century Gothic" w:hAnsi="Century Gothic"/>
          <w:lang w:val="es-ES_tradnl"/>
        </w:rPr>
        <w:instrText xml:space="preserve"> REF _Ref459887118 \r \h </w:instrText>
      </w:r>
      <w:r w:rsidR="008B162A" w:rsidRPr="002808E1">
        <w:rPr>
          <w:rFonts w:ascii="Century Gothic" w:hAnsi="Century Gothic"/>
        </w:rPr>
        <w:instrText xml:space="preserve"> \* MERGEFORMAT </w:instrText>
      </w:r>
      <w:r w:rsidRPr="008B162A">
        <w:rPr>
          <w:rFonts w:ascii="Century Gothic" w:hAnsi="Century Gothic"/>
          <w:lang w:val="en-US"/>
        </w:rPr>
      </w:r>
      <w:r w:rsidRPr="008B162A">
        <w:rPr>
          <w:rFonts w:ascii="Century Gothic" w:hAnsi="Century Gothic"/>
          <w:lang w:val="en-US"/>
        </w:rPr>
        <w:fldChar w:fldCharType="separate"/>
      </w:r>
      <w:r w:rsidR="00431406">
        <w:rPr>
          <w:rFonts w:ascii="Century Gothic" w:hAnsi="Century Gothic"/>
          <w:lang w:val="es-ES_tradnl"/>
        </w:rPr>
        <w:t>2.1</w:t>
      </w:r>
      <w:r w:rsidRPr="008B162A">
        <w:rPr>
          <w:rFonts w:ascii="Century Gothic" w:hAnsi="Century Gothic"/>
          <w:lang w:val="en-US"/>
        </w:rPr>
        <w:fldChar w:fldCharType="end"/>
      </w:r>
      <w:r w:rsidRPr="008B162A">
        <w:rPr>
          <w:rFonts w:ascii="Century Gothic" w:hAnsi="Century Gothic"/>
          <w:lang w:val="es-ES_tradnl"/>
        </w:rPr>
        <w:t>, se incluirán en el Modelo la parte proporcional a la red de los costos de gestión y administración.</w:t>
      </w:r>
    </w:p>
    <w:p w:rsidR="006E75E5" w:rsidRPr="008B162A" w:rsidRDefault="00932907" w:rsidP="00B47D17">
      <w:pPr>
        <w:rPr>
          <w:rFonts w:ascii="Century Gothic" w:hAnsi="Century Gothic"/>
        </w:rPr>
      </w:pPr>
      <w:r w:rsidRPr="008B162A">
        <w:rPr>
          <w:rFonts w:ascii="Century Gothic" w:hAnsi="Century Gothic"/>
        </w:rPr>
        <w:t>En el caso de los costos asociados a gestión y administración no es posible definir una relación causal entre éstos y los servicios. Es por tanto que no es factible emplear criterios más complejos, siendo comúnmente aceptado el uso de un mecanismo de EPMU. Se propone por tanto, el uso de la metodología EPMU para la imputación de estos costos comunes de G&amp;A a servicios.</w:t>
      </w:r>
    </w:p>
    <w:p w:rsidR="001145E1" w:rsidRPr="008B162A" w:rsidRDefault="001145E1" w:rsidP="001145E1">
      <w:pPr>
        <w:pStyle w:val="Box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color w:val="auto"/>
          <w:sz w:val="20"/>
          <w:lang w:val="es-CR"/>
        </w:rPr>
        <w:t>Enfoque Adoptado. Asignación de costos no comunes de red</w:t>
      </w:r>
    </w:p>
    <w:p w:rsidR="006E75E5" w:rsidRPr="008B162A" w:rsidRDefault="006E75E5" w:rsidP="001145E1">
      <w:pPr>
        <w:pStyle w:val="Boxes"/>
        <w:numPr>
          <w:ilvl w:val="0"/>
          <w:numId w:val="0"/>
        </w:numPr>
        <w:pBdr>
          <w:left w:val="double" w:sz="4" w:space="0" w:color="165194" w:themeColor="accent2"/>
        </w:pBdr>
        <w:ind w:left="142"/>
        <w:rPr>
          <w:rFonts w:ascii="Century Gothic" w:hAnsi="Century Gothic"/>
          <w:b w:val="0"/>
          <w:color w:val="auto"/>
          <w:sz w:val="20"/>
          <w:lang w:val="es-CR"/>
        </w:rPr>
      </w:pPr>
      <w:r w:rsidRPr="008B162A">
        <w:rPr>
          <w:rFonts w:ascii="Century Gothic" w:hAnsi="Century Gothic"/>
          <w:b w:val="0"/>
          <w:color w:val="auto"/>
          <w:sz w:val="20"/>
          <w:lang w:val="es-CR"/>
        </w:rPr>
        <w:t>Se utilizará un enfoque EPMU para la asignación de costos comunes de G&amp;A.</w:t>
      </w:r>
    </w:p>
    <w:p w:rsidR="00C15825" w:rsidRPr="008B162A" w:rsidRDefault="00C15825" w:rsidP="00C15825">
      <w:pPr>
        <w:pStyle w:val="Ttulo2"/>
        <w:rPr>
          <w:rFonts w:ascii="Century Gothic" w:hAnsi="Century Gothic"/>
          <w:color w:val="auto"/>
          <w:lang w:val="es-ES_tradnl"/>
        </w:rPr>
      </w:pPr>
      <w:bookmarkStart w:id="22" w:name="_Toc461625887"/>
      <w:r w:rsidRPr="008B162A">
        <w:rPr>
          <w:rFonts w:ascii="Century Gothic" w:hAnsi="Century Gothic"/>
          <w:color w:val="auto"/>
          <w:lang w:val="es-ES_tradnl"/>
        </w:rPr>
        <w:t>Definición de los incrementos</w:t>
      </w:r>
      <w:bookmarkEnd w:id="22"/>
    </w:p>
    <w:p w:rsidR="00A31D91" w:rsidRPr="008B162A" w:rsidRDefault="00A31D91" w:rsidP="00C15825">
      <w:pPr>
        <w:spacing w:after="120"/>
        <w:rPr>
          <w:rFonts w:ascii="Century Gothic" w:hAnsi="Century Gothic"/>
          <w:lang w:val="es-ES_tradnl"/>
        </w:rPr>
      </w:pPr>
      <w:r w:rsidRPr="008B162A">
        <w:rPr>
          <w:rFonts w:ascii="Century Gothic" w:hAnsi="Century Gothic"/>
          <w:lang w:val="es-ES_tradnl"/>
        </w:rPr>
        <w:t xml:space="preserve">La definición de los incrementos es </w:t>
      </w:r>
      <w:r w:rsidR="006E75E5" w:rsidRPr="008B162A">
        <w:rPr>
          <w:rFonts w:ascii="Century Gothic" w:hAnsi="Century Gothic"/>
          <w:lang w:val="es-ES_tradnl"/>
        </w:rPr>
        <w:t xml:space="preserve">un aspecto fundamental </w:t>
      </w:r>
      <w:r w:rsidRPr="008B162A">
        <w:rPr>
          <w:rFonts w:ascii="Century Gothic" w:hAnsi="Century Gothic"/>
          <w:lang w:val="es-ES_tradnl"/>
        </w:rPr>
        <w:t xml:space="preserve">cuando se utiliza </w:t>
      </w:r>
      <w:r w:rsidR="006E75E5" w:rsidRPr="008B162A">
        <w:rPr>
          <w:rFonts w:ascii="Century Gothic" w:hAnsi="Century Gothic"/>
          <w:lang w:val="es-ES_tradnl"/>
        </w:rPr>
        <w:t>un estándar de costos incrementales</w:t>
      </w:r>
      <w:r w:rsidRPr="008B162A">
        <w:rPr>
          <w:rFonts w:ascii="Century Gothic" w:hAnsi="Century Gothic"/>
          <w:lang w:val="es-ES_tradnl"/>
        </w:rPr>
        <w:t xml:space="preserve">. </w:t>
      </w:r>
      <w:r w:rsidR="006E75E5" w:rsidRPr="008B162A">
        <w:rPr>
          <w:rFonts w:ascii="Century Gothic" w:hAnsi="Century Gothic"/>
          <w:lang w:val="es-ES_tradnl"/>
        </w:rPr>
        <w:t>Según lo definido ante</w:t>
      </w:r>
      <w:r w:rsidR="00B1384B" w:rsidRPr="008B162A">
        <w:rPr>
          <w:rFonts w:ascii="Century Gothic" w:hAnsi="Century Gothic"/>
          <w:lang w:val="es-ES_tradnl"/>
        </w:rPr>
        <w:t>riormente, estos incrementos representan agrupaciones de servicio con un determinado objetivo</w:t>
      </w:r>
      <w:r w:rsidRPr="008B162A">
        <w:rPr>
          <w:rFonts w:ascii="Century Gothic" w:hAnsi="Century Gothic"/>
          <w:lang w:val="es-ES_tradnl"/>
        </w:rPr>
        <w:t>.</w:t>
      </w:r>
    </w:p>
    <w:p w:rsidR="00B1384B" w:rsidRPr="008B162A" w:rsidRDefault="00B1384B" w:rsidP="00B1384B">
      <w:pPr>
        <w:spacing w:after="120"/>
        <w:rPr>
          <w:rFonts w:ascii="Century Gothic" w:hAnsi="Century Gothic"/>
          <w:lang w:val="es-ES_tradnl"/>
        </w:rPr>
      </w:pPr>
      <w:r w:rsidRPr="008B162A">
        <w:rPr>
          <w:rFonts w:ascii="Century Gothic" w:hAnsi="Century Gothic"/>
          <w:lang w:val="es-ES_tradnl"/>
        </w:rPr>
        <w:t>Se identifican dos enfoques alternativos para la definición de los incrementos:</w:t>
      </w:r>
    </w:p>
    <w:p w:rsidR="00A31D91" w:rsidRPr="008B162A" w:rsidRDefault="00A31D91" w:rsidP="000F1DD5">
      <w:pPr>
        <w:pStyle w:val="Prrafodelista"/>
        <w:numPr>
          <w:ilvl w:val="0"/>
          <w:numId w:val="17"/>
        </w:numPr>
        <w:spacing w:after="120"/>
        <w:ind w:left="426" w:hanging="426"/>
        <w:rPr>
          <w:rFonts w:ascii="Century Gothic" w:hAnsi="Century Gothic"/>
          <w:b/>
          <w:lang w:val="es-ES_tradnl"/>
        </w:rPr>
      </w:pPr>
      <w:r w:rsidRPr="008B162A">
        <w:rPr>
          <w:rFonts w:ascii="Century Gothic" w:hAnsi="Century Gothic"/>
          <w:b/>
          <w:lang w:val="es-ES_tradnl"/>
        </w:rPr>
        <w:t xml:space="preserve">Basados en tecnología: </w:t>
      </w:r>
      <w:r w:rsidRPr="008B162A">
        <w:rPr>
          <w:rFonts w:ascii="Century Gothic" w:hAnsi="Century Gothic"/>
          <w:lang w:val="es-ES_tradnl"/>
        </w:rPr>
        <w:t>los servicios s</w:t>
      </w:r>
      <w:r w:rsidR="00B1384B" w:rsidRPr="008B162A">
        <w:rPr>
          <w:rFonts w:ascii="Century Gothic" w:hAnsi="Century Gothic"/>
          <w:lang w:val="es-ES_tradnl"/>
        </w:rPr>
        <w:t>e</w:t>
      </w:r>
      <w:r w:rsidRPr="008B162A">
        <w:rPr>
          <w:rFonts w:ascii="Century Gothic" w:hAnsi="Century Gothic"/>
          <w:lang w:val="es-ES_tradnl"/>
        </w:rPr>
        <w:t xml:space="preserve"> agrupados en increme</w:t>
      </w:r>
      <w:r w:rsidR="00B1384B" w:rsidRPr="008B162A">
        <w:rPr>
          <w:rFonts w:ascii="Century Gothic" w:hAnsi="Century Gothic"/>
          <w:lang w:val="es-ES_tradnl"/>
        </w:rPr>
        <w:t>nt</w:t>
      </w:r>
      <w:r w:rsidRPr="008B162A">
        <w:rPr>
          <w:rFonts w:ascii="Century Gothic" w:hAnsi="Century Gothic"/>
          <w:lang w:val="es-ES_tradnl"/>
        </w:rPr>
        <w:t xml:space="preserve">os de acuerdo a </w:t>
      </w:r>
      <w:r w:rsidR="00B1384B" w:rsidRPr="008B162A">
        <w:rPr>
          <w:rFonts w:ascii="Century Gothic" w:hAnsi="Century Gothic"/>
          <w:lang w:val="es-ES_tradnl"/>
        </w:rPr>
        <w:t>la</w:t>
      </w:r>
      <w:r w:rsidRPr="008B162A">
        <w:rPr>
          <w:rFonts w:ascii="Century Gothic" w:hAnsi="Century Gothic"/>
          <w:lang w:val="es-ES_tradnl"/>
        </w:rPr>
        <w:t xml:space="preserve"> tecnología </w:t>
      </w:r>
      <w:r w:rsidR="00B1384B" w:rsidRPr="008B162A">
        <w:rPr>
          <w:rFonts w:ascii="Century Gothic" w:hAnsi="Century Gothic"/>
          <w:lang w:val="es-ES_tradnl"/>
        </w:rPr>
        <w:t xml:space="preserve">subyacente empleada para su prestación </w:t>
      </w:r>
      <w:r w:rsidRPr="008B162A">
        <w:rPr>
          <w:rFonts w:ascii="Century Gothic" w:hAnsi="Century Gothic"/>
          <w:lang w:val="es-ES_tradnl"/>
        </w:rPr>
        <w:t xml:space="preserve">(fibra, cobre, </w:t>
      </w:r>
      <w:r w:rsidR="00411017" w:rsidRPr="008B162A">
        <w:rPr>
          <w:rFonts w:ascii="Century Gothic" w:hAnsi="Century Gothic"/>
        </w:rPr>
        <w:t>etc.</w:t>
      </w:r>
      <w:r w:rsidRPr="008B162A">
        <w:rPr>
          <w:rFonts w:ascii="Century Gothic" w:hAnsi="Century Gothic"/>
          <w:lang w:val="es-ES_tradnl"/>
        </w:rPr>
        <w:t xml:space="preserve">). Este enfoque es </w:t>
      </w:r>
      <w:r w:rsidR="00B1384B" w:rsidRPr="008B162A">
        <w:rPr>
          <w:rFonts w:ascii="Century Gothic" w:hAnsi="Century Gothic"/>
          <w:lang w:val="es-ES_tradnl"/>
        </w:rPr>
        <w:t xml:space="preserve">habitualmente empleado </w:t>
      </w:r>
      <w:r w:rsidRPr="008B162A">
        <w:rPr>
          <w:rFonts w:ascii="Century Gothic" w:hAnsi="Century Gothic"/>
          <w:lang w:val="es-ES_tradnl"/>
        </w:rPr>
        <w:t xml:space="preserve">para </w:t>
      </w:r>
      <w:r w:rsidR="00B1384B" w:rsidRPr="008B162A">
        <w:rPr>
          <w:rFonts w:ascii="Century Gothic" w:hAnsi="Century Gothic"/>
          <w:lang w:val="es-ES_tradnl"/>
        </w:rPr>
        <w:t>el diseño de modelos</w:t>
      </w:r>
      <w:r w:rsidRPr="008B162A">
        <w:rPr>
          <w:rFonts w:ascii="Century Gothic" w:hAnsi="Century Gothic"/>
          <w:lang w:val="es-ES_tradnl"/>
        </w:rPr>
        <w:t xml:space="preserve"> de rentabilidad</w:t>
      </w:r>
      <w:r w:rsidR="00B1384B" w:rsidRPr="008B162A">
        <w:rPr>
          <w:rFonts w:ascii="Century Gothic" w:hAnsi="Century Gothic"/>
          <w:lang w:val="es-ES_tradnl"/>
        </w:rPr>
        <w:t>.</w:t>
      </w:r>
    </w:p>
    <w:p w:rsidR="00A31D91" w:rsidRPr="008B162A" w:rsidRDefault="00A31D91" w:rsidP="000F1DD5">
      <w:pPr>
        <w:pStyle w:val="Prrafodelista"/>
        <w:numPr>
          <w:ilvl w:val="0"/>
          <w:numId w:val="17"/>
        </w:numPr>
        <w:spacing w:after="120"/>
        <w:ind w:left="426" w:hanging="426"/>
        <w:rPr>
          <w:rFonts w:ascii="Century Gothic" w:hAnsi="Century Gothic"/>
          <w:b/>
          <w:lang w:val="es-ES_tradnl"/>
        </w:rPr>
      </w:pPr>
      <w:r w:rsidRPr="008B162A">
        <w:rPr>
          <w:rFonts w:ascii="Century Gothic" w:hAnsi="Century Gothic"/>
          <w:b/>
          <w:lang w:val="es-ES_tradnl"/>
        </w:rPr>
        <w:t xml:space="preserve">Basados en tipo de servicios: </w:t>
      </w:r>
      <w:r w:rsidRPr="008B162A">
        <w:rPr>
          <w:rFonts w:ascii="Century Gothic" w:hAnsi="Century Gothic"/>
          <w:lang w:val="es-ES_tradnl"/>
        </w:rPr>
        <w:t xml:space="preserve">los incrementos </w:t>
      </w:r>
      <w:r w:rsidR="00B1384B" w:rsidRPr="008B162A">
        <w:rPr>
          <w:rFonts w:ascii="Century Gothic" w:hAnsi="Century Gothic"/>
          <w:lang w:val="es-ES_tradnl"/>
        </w:rPr>
        <w:t>en función de los principales grupos de servicio (acceso, voz, datos, etc.)</w:t>
      </w:r>
      <w:r w:rsidRPr="008B162A">
        <w:rPr>
          <w:rFonts w:ascii="Century Gothic" w:hAnsi="Century Gothic"/>
          <w:lang w:val="es-ES_tradnl"/>
        </w:rPr>
        <w:t>. Esta alternativa es más común entre los reguladores de telecomunicaciones, cuya principal preocupación es identificar aquellos costos que son atribuibles directamente a cierta clase de servicios.</w:t>
      </w:r>
    </w:p>
    <w:p w:rsidR="00B1384B" w:rsidRPr="008B162A" w:rsidRDefault="00C057C7" w:rsidP="00C057C7">
      <w:pPr>
        <w:spacing w:after="120"/>
        <w:rPr>
          <w:rFonts w:ascii="Century Gothic" w:hAnsi="Century Gothic"/>
          <w:lang w:val="es-ES_tradnl"/>
        </w:rPr>
      </w:pPr>
      <w:r w:rsidRPr="008B162A">
        <w:rPr>
          <w:rFonts w:ascii="Century Gothic" w:hAnsi="Century Gothic"/>
          <w:lang w:val="es-ES_tradnl"/>
        </w:rPr>
        <w:t xml:space="preserve">En el caso de modelos de costos empleados para objetivos regulatorios, es práctica común realizar una definición de incrementos basados en tipos de servicios. En el caso de modelos </w:t>
      </w:r>
      <w:r w:rsidRPr="008B162A">
        <w:rPr>
          <w:rFonts w:ascii="Century Gothic" w:hAnsi="Century Gothic"/>
          <w:lang w:val="es-ES_tradnl"/>
        </w:rPr>
        <w:lastRenderedPageBreak/>
        <w:t>de redes fijas, se identifican típicamente dos incrementos: Acceso y Transporte. De manera consistente con esta práctica, y dado que el modelo objeto de este documento trata únicamente la red de acceso, se ha considerado oportuno definir un único incremento que englobe todos los servicios de acceso modelados.</w:t>
      </w:r>
      <w:r w:rsidRPr="008B162A" w:rsidDel="00C057C7">
        <w:rPr>
          <w:rFonts w:ascii="Century Gothic" w:hAnsi="Century Gothic"/>
          <w:lang w:val="es-ES_tradnl"/>
        </w:rPr>
        <w:t xml:space="preserve"> </w:t>
      </w:r>
    </w:p>
    <w:p w:rsidR="001145E1" w:rsidRPr="008B162A" w:rsidRDefault="001145E1" w:rsidP="001145E1">
      <w:pPr>
        <w:pStyle w:val="Box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color w:val="auto"/>
          <w:sz w:val="20"/>
          <w:lang w:val="es-CR"/>
        </w:rPr>
        <w:t>Enfoque Adoptado. Definición de los incrementos</w:t>
      </w:r>
    </w:p>
    <w:p w:rsidR="00B1384B" w:rsidRPr="008B162A" w:rsidRDefault="00B1384B" w:rsidP="00AC7B95">
      <w:pPr>
        <w:pStyle w:val="Boxes"/>
        <w:numPr>
          <w:ilvl w:val="0"/>
          <w:numId w:val="0"/>
        </w:numPr>
        <w:pBdr>
          <w:left w:val="double" w:sz="4" w:space="0" w:color="165194" w:themeColor="accent2"/>
        </w:pBdr>
        <w:ind w:left="142"/>
        <w:rPr>
          <w:rFonts w:ascii="Century Gothic" w:hAnsi="Century Gothic"/>
          <w:color w:val="auto"/>
          <w:sz w:val="20"/>
          <w:lang w:val="es-ES_tradnl"/>
        </w:rPr>
      </w:pPr>
      <w:r w:rsidRPr="008B162A">
        <w:rPr>
          <w:rFonts w:ascii="Century Gothic" w:hAnsi="Century Gothic"/>
          <w:b w:val="0"/>
          <w:color w:val="auto"/>
          <w:sz w:val="20"/>
          <w:lang w:val="es-ES_tradnl"/>
        </w:rPr>
        <w:t>Definición de un único incremento que englobe la totalidad de los servicios incluidos en el modelo.</w:t>
      </w:r>
    </w:p>
    <w:p w:rsidR="00C15825" w:rsidRPr="008B162A" w:rsidRDefault="00C15825" w:rsidP="00C15825">
      <w:pPr>
        <w:pStyle w:val="Ttulo2"/>
        <w:rPr>
          <w:rFonts w:ascii="Century Gothic" w:hAnsi="Century Gothic"/>
          <w:color w:val="auto"/>
          <w:lang w:val="es-ES_tradnl"/>
        </w:rPr>
      </w:pPr>
      <w:bookmarkStart w:id="23" w:name="_Toc461625888"/>
      <w:r w:rsidRPr="008B162A">
        <w:rPr>
          <w:rFonts w:ascii="Century Gothic" w:hAnsi="Century Gothic"/>
          <w:color w:val="auto"/>
          <w:lang w:val="es-ES_tradnl"/>
        </w:rPr>
        <w:t>Operador a modelar</w:t>
      </w:r>
      <w:bookmarkEnd w:id="23"/>
    </w:p>
    <w:p w:rsidR="00B1384B" w:rsidRPr="008B162A" w:rsidRDefault="00C93408" w:rsidP="00C15825">
      <w:pPr>
        <w:rPr>
          <w:rFonts w:ascii="Century Gothic" w:hAnsi="Century Gothic"/>
          <w:lang w:val="es-ES_tradnl"/>
        </w:rPr>
      </w:pPr>
      <w:r w:rsidRPr="008B162A">
        <w:rPr>
          <w:rFonts w:ascii="Century Gothic" w:hAnsi="Century Gothic"/>
          <w:lang w:val="es-ES_tradnl"/>
        </w:rPr>
        <w:t>Uno de los aspectos clave a considerar dentro del modelo</w:t>
      </w:r>
      <w:r w:rsidR="00C15825" w:rsidRPr="008B162A">
        <w:rPr>
          <w:rFonts w:ascii="Century Gothic" w:hAnsi="Century Gothic"/>
          <w:lang w:val="es-ES_tradnl"/>
        </w:rPr>
        <w:t xml:space="preserve"> es el operador </w:t>
      </w:r>
      <w:r w:rsidR="00B1384B" w:rsidRPr="008B162A">
        <w:rPr>
          <w:rFonts w:ascii="Century Gothic" w:hAnsi="Century Gothic"/>
          <w:lang w:val="es-ES_tradnl"/>
        </w:rPr>
        <w:t xml:space="preserve">modelado, </w:t>
      </w:r>
      <w:r w:rsidR="00C15825" w:rsidRPr="008B162A">
        <w:rPr>
          <w:rFonts w:ascii="Century Gothic" w:hAnsi="Century Gothic"/>
          <w:lang w:val="es-ES_tradnl"/>
        </w:rPr>
        <w:t xml:space="preserve">ya que </w:t>
      </w:r>
      <w:r w:rsidR="00B1384B" w:rsidRPr="008B162A">
        <w:rPr>
          <w:rFonts w:ascii="Century Gothic" w:hAnsi="Century Gothic"/>
          <w:lang w:val="es-ES_tradnl"/>
        </w:rPr>
        <w:t>las premisas adoptadas con relación a su demanda y cobertura tendrán una gran relevancia sobre el dimensionado de la red y, por consiguiente, sobre los costos unitarios de los servicios.</w:t>
      </w:r>
    </w:p>
    <w:p w:rsidR="00C15825" w:rsidRPr="008B162A" w:rsidRDefault="00B1384B" w:rsidP="00C15825">
      <w:pPr>
        <w:rPr>
          <w:rFonts w:ascii="Century Gothic" w:hAnsi="Century Gothic"/>
          <w:lang w:val="es-ES_tradnl"/>
        </w:rPr>
      </w:pPr>
      <w:r w:rsidRPr="008B162A">
        <w:rPr>
          <w:rFonts w:ascii="Century Gothic" w:hAnsi="Century Gothic"/>
          <w:lang w:val="es-ES_tradnl"/>
        </w:rPr>
        <w:t>En este sentido se identifican las siguientes alternativas:</w:t>
      </w:r>
    </w:p>
    <w:p w:rsidR="00C15825" w:rsidRPr="008B162A" w:rsidRDefault="001F3ED6" w:rsidP="00893B87">
      <w:pPr>
        <w:pStyle w:val="Indentado1"/>
      </w:pPr>
      <w:r w:rsidRPr="008B162A">
        <w:rPr>
          <w:b/>
        </w:rPr>
        <w:t xml:space="preserve">Modelado de un </w:t>
      </w:r>
      <w:r w:rsidR="00E925AC" w:rsidRPr="008B162A">
        <w:rPr>
          <w:b/>
        </w:rPr>
        <w:t>o</w:t>
      </w:r>
      <w:r w:rsidR="00C15825" w:rsidRPr="008B162A">
        <w:rPr>
          <w:b/>
        </w:rPr>
        <w:t xml:space="preserve">perador </w:t>
      </w:r>
      <w:r w:rsidR="00176048" w:rsidRPr="008B162A">
        <w:rPr>
          <w:b/>
        </w:rPr>
        <w:t xml:space="preserve">hipotético eficiente basado en </w:t>
      </w:r>
      <w:r w:rsidR="00C057C7" w:rsidRPr="008B162A">
        <w:rPr>
          <w:b/>
        </w:rPr>
        <w:t xml:space="preserve">la operación real del </w:t>
      </w:r>
      <w:r w:rsidR="00C00068" w:rsidRPr="008B162A">
        <w:rPr>
          <w:b/>
        </w:rPr>
        <w:t>histórico</w:t>
      </w:r>
      <w:r w:rsidR="00C15825" w:rsidRPr="008B162A">
        <w:t xml:space="preserve">, </w:t>
      </w:r>
      <w:r w:rsidR="00B1384B" w:rsidRPr="008B162A">
        <w:t xml:space="preserve">que permita capturar las realidades concretas en términos de cobertura, demanda y topología de red </w:t>
      </w:r>
      <w:r w:rsidR="00176048" w:rsidRPr="008B162A">
        <w:t xml:space="preserve">del operador </w:t>
      </w:r>
      <w:r w:rsidR="00C00068" w:rsidRPr="008B162A">
        <w:t>histórico</w:t>
      </w:r>
      <w:r w:rsidR="00B1384B" w:rsidRPr="008B162A">
        <w:t>.</w:t>
      </w:r>
    </w:p>
    <w:p w:rsidR="001F3ED6" w:rsidRPr="008B162A" w:rsidRDefault="001F3ED6" w:rsidP="00893B87">
      <w:pPr>
        <w:pStyle w:val="Indentado1"/>
      </w:pPr>
      <w:r w:rsidRPr="008B162A">
        <w:rPr>
          <w:b/>
        </w:rPr>
        <w:t>Modelado de un operador hipotético existente</w:t>
      </w:r>
      <w:r w:rsidRPr="008B162A">
        <w:t xml:space="preserve">, </w:t>
      </w:r>
      <w:r w:rsidR="00C93408" w:rsidRPr="008B162A">
        <w:t xml:space="preserve">con una </w:t>
      </w:r>
      <w:r w:rsidRPr="008B162A">
        <w:t xml:space="preserve">demanda y cobertura específica. Esta alternativa se emplea habitualmente cuando existe cierta similitud en términos de cobertura y cuota de mercado entre los diferentes operadores, que permiten realizar la modelización de un operador </w:t>
      </w:r>
      <w:r w:rsidRPr="008B162A">
        <w:rPr>
          <w:i/>
        </w:rPr>
        <w:t>tipo</w:t>
      </w:r>
      <w:r w:rsidRPr="008B162A">
        <w:t>.</w:t>
      </w:r>
    </w:p>
    <w:p w:rsidR="00C15825" w:rsidRPr="008B162A" w:rsidRDefault="001F3ED6" w:rsidP="00893B87">
      <w:pPr>
        <w:pStyle w:val="Indentado1"/>
      </w:pPr>
      <w:r w:rsidRPr="008B162A">
        <w:rPr>
          <w:b/>
        </w:rPr>
        <w:t xml:space="preserve">Modelado de un operador hipotético entrante, </w:t>
      </w:r>
      <w:r w:rsidRPr="008B162A">
        <w:t xml:space="preserve">el cual </w:t>
      </w:r>
      <w:r w:rsidR="00AC7B48" w:rsidRPr="008B162A">
        <w:t xml:space="preserve">se asume </w:t>
      </w:r>
      <w:r w:rsidRPr="008B162A">
        <w:t xml:space="preserve">que </w:t>
      </w:r>
      <w:r w:rsidR="00AC7B48" w:rsidRPr="008B162A">
        <w:t xml:space="preserve">iniciará </w:t>
      </w:r>
      <w:r w:rsidRPr="008B162A">
        <w:t xml:space="preserve">sus </w:t>
      </w:r>
      <w:r w:rsidR="00AC7B48" w:rsidRPr="008B162A">
        <w:t>operaciones en un determinado momento –</w:t>
      </w:r>
      <w:r w:rsidRPr="008B162A">
        <w:t xml:space="preserve"> </w:t>
      </w:r>
      <w:r w:rsidR="00AC7B48" w:rsidRPr="008B162A">
        <w:t xml:space="preserve">usualmente al inicio del periodo modelado. Esta opción se considera </w:t>
      </w:r>
      <w:r w:rsidRPr="008B162A">
        <w:t xml:space="preserve">habitualmente cuando </w:t>
      </w:r>
      <w:r w:rsidR="005B5833" w:rsidRPr="008B162A">
        <w:t xml:space="preserve">el </w:t>
      </w:r>
      <w:r w:rsidRPr="008B162A">
        <w:t xml:space="preserve">órgano </w:t>
      </w:r>
      <w:r w:rsidR="005B5833" w:rsidRPr="008B162A">
        <w:t>regulador desea establecer rangos de precio desde la perspectiva de un operador entrante eficiente.</w:t>
      </w:r>
    </w:p>
    <w:p w:rsidR="00B1384B" w:rsidRPr="008B162A" w:rsidRDefault="001F3ED6" w:rsidP="00176048">
      <w:pPr>
        <w:rPr>
          <w:rFonts w:ascii="Century Gothic" w:hAnsi="Century Gothic"/>
          <w:lang w:val="es-ES_tradnl"/>
        </w:rPr>
      </w:pPr>
      <w:r w:rsidRPr="008B162A">
        <w:rPr>
          <w:rFonts w:ascii="Century Gothic" w:hAnsi="Century Gothic"/>
          <w:lang w:val="es-ES_tradnl"/>
        </w:rPr>
        <w:t xml:space="preserve">Debido a las elevadas diferencias habitualmente observadas en los mercados fijos entre la escala y cobertura del operador </w:t>
      </w:r>
      <w:r w:rsidR="00C00068" w:rsidRPr="008B162A">
        <w:rPr>
          <w:rFonts w:ascii="Century Gothic" w:hAnsi="Century Gothic"/>
          <w:lang w:val="es-ES_tradnl"/>
        </w:rPr>
        <w:t xml:space="preserve">histórico </w:t>
      </w:r>
      <w:r w:rsidRPr="008B162A">
        <w:rPr>
          <w:rFonts w:ascii="Century Gothic" w:hAnsi="Century Gothic"/>
          <w:lang w:val="es-ES_tradnl"/>
        </w:rPr>
        <w:t>y el resto de operadores, es habitual proceder con la modelización de un operador</w:t>
      </w:r>
      <w:r w:rsidR="00176048" w:rsidRPr="008B162A">
        <w:rPr>
          <w:rFonts w:ascii="Century Gothic" w:hAnsi="Century Gothic"/>
          <w:lang w:val="es-ES_tradnl"/>
        </w:rPr>
        <w:t xml:space="preserve"> basado en el mismo</w:t>
      </w:r>
      <w:r w:rsidRPr="008B162A">
        <w:rPr>
          <w:rFonts w:ascii="Century Gothic" w:hAnsi="Century Gothic"/>
          <w:lang w:val="es-ES_tradnl"/>
        </w:rPr>
        <w:t>.</w:t>
      </w:r>
    </w:p>
    <w:p w:rsidR="00C33DCC" w:rsidRDefault="001F3ED6" w:rsidP="00C057C7">
      <w:pPr>
        <w:rPr>
          <w:rFonts w:ascii="Century Gothic" w:hAnsi="Century Gothic"/>
          <w:lang w:val="es-ES_tradnl"/>
        </w:rPr>
      </w:pPr>
      <w:r w:rsidRPr="008B162A">
        <w:rPr>
          <w:rFonts w:ascii="Century Gothic" w:hAnsi="Century Gothic"/>
          <w:lang w:val="es-ES_tradnl"/>
        </w:rPr>
        <w:t xml:space="preserve">Como se reconoce también en México, el AEP tiene una escala superior al resto de operadores presentes en el mercado. En línea con lo anterior, el IFT </w:t>
      </w:r>
      <w:r w:rsidR="00C057C7" w:rsidRPr="008B162A">
        <w:rPr>
          <w:rFonts w:ascii="Century Gothic" w:hAnsi="Century Gothic"/>
          <w:lang w:val="es-ES_tradnl"/>
        </w:rPr>
        <w:t xml:space="preserve">considera </w:t>
      </w:r>
      <w:r w:rsidRPr="008B162A">
        <w:rPr>
          <w:rFonts w:ascii="Century Gothic" w:hAnsi="Century Gothic"/>
          <w:lang w:val="es-ES_tradnl"/>
        </w:rPr>
        <w:t>oportuno adoptar el modelado de un operador</w:t>
      </w:r>
      <w:r w:rsidR="00644528" w:rsidRPr="008B162A">
        <w:rPr>
          <w:rFonts w:ascii="Century Gothic" w:hAnsi="Century Gothic"/>
          <w:lang w:val="es-ES_tradnl"/>
        </w:rPr>
        <w:t xml:space="preserve"> hipotético eficiente basado en la operación</w:t>
      </w:r>
      <w:r w:rsidRPr="008B162A">
        <w:rPr>
          <w:rFonts w:ascii="Century Gothic" w:hAnsi="Century Gothic"/>
          <w:lang w:val="es-ES_tradnl"/>
        </w:rPr>
        <w:t xml:space="preserve"> real </w:t>
      </w:r>
      <w:r w:rsidR="00644528" w:rsidRPr="008B162A">
        <w:rPr>
          <w:rFonts w:ascii="Century Gothic" w:hAnsi="Century Gothic"/>
          <w:lang w:val="es-ES_tradnl"/>
        </w:rPr>
        <w:t>d</w:t>
      </w:r>
      <w:r w:rsidRPr="008B162A">
        <w:rPr>
          <w:rFonts w:ascii="Century Gothic" w:hAnsi="Century Gothic"/>
          <w:lang w:val="es-ES_tradnl"/>
        </w:rPr>
        <w:t>el AEP.</w:t>
      </w:r>
    </w:p>
    <w:p w:rsidR="008B162A" w:rsidRDefault="008B162A" w:rsidP="00C057C7">
      <w:pPr>
        <w:rPr>
          <w:rFonts w:ascii="Century Gothic" w:hAnsi="Century Gothic"/>
          <w:lang w:val="es-ES_tradnl"/>
        </w:rPr>
      </w:pPr>
    </w:p>
    <w:p w:rsidR="008B162A" w:rsidRPr="008B162A" w:rsidRDefault="008B162A" w:rsidP="00C057C7">
      <w:pPr>
        <w:rPr>
          <w:rFonts w:ascii="Century Gothic" w:hAnsi="Century Gothic"/>
          <w:b/>
          <w:lang w:val="es-CR"/>
        </w:rPr>
      </w:pPr>
    </w:p>
    <w:p w:rsidR="001145E1" w:rsidRPr="008B162A" w:rsidRDefault="001145E1" w:rsidP="001145E1">
      <w:pPr>
        <w:pStyle w:val="Box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color w:val="auto"/>
          <w:sz w:val="20"/>
          <w:lang w:val="es-CR"/>
        </w:rPr>
        <w:t>Enfoque Adoptado. Operador a modelar</w:t>
      </w:r>
    </w:p>
    <w:p w:rsidR="001145E1" w:rsidRPr="008B162A" w:rsidRDefault="001F3ED6" w:rsidP="00C057C7">
      <w:pPr>
        <w:pStyle w:val="Box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b w:val="0"/>
          <w:color w:val="auto"/>
          <w:sz w:val="20"/>
          <w:lang w:val="es-CR"/>
        </w:rPr>
        <w:t xml:space="preserve">Se considerará un </w:t>
      </w:r>
      <w:r w:rsidR="00C33DCC" w:rsidRPr="008B162A">
        <w:rPr>
          <w:rFonts w:ascii="Century Gothic" w:hAnsi="Century Gothic"/>
          <w:b w:val="0"/>
          <w:color w:val="auto"/>
          <w:sz w:val="20"/>
          <w:lang w:val="es-CR"/>
        </w:rPr>
        <w:t>operador</w:t>
      </w:r>
      <w:r w:rsidR="00F95228" w:rsidRPr="008B162A">
        <w:rPr>
          <w:rFonts w:ascii="Century Gothic" w:hAnsi="Century Gothic"/>
          <w:b w:val="0"/>
          <w:color w:val="auto"/>
          <w:sz w:val="20"/>
          <w:lang w:val="es-CR"/>
        </w:rPr>
        <w:t xml:space="preserve"> hipotético eficiente</w:t>
      </w:r>
      <w:r w:rsidR="00C33DCC" w:rsidRPr="008B162A">
        <w:rPr>
          <w:rFonts w:ascii="Century Gothic" w:hAnsi="Century Gothic"/>
          <w:b w:val="0"/>
          <w:color w:val="auto"/>
          <w:sz w:val="20"/>
          <w:lang w:val="es-CR"/>
        </w:rPr>
        <w:t xml:space="preserve"> basado en la operación </w:t>
      </w:r>
      <w:r w:rsidR="00F95228" w:rsidRPr="008B162A">
        <w:rPr>
          <w:rFonts w:ascii="Century Gothic" w:hAnsi="Century Gothic"/>
          <w:b w:val="0"/>
          <w:color w:val="auto"/>
          <w:sz w:val="20"/>
          <w:lang w:val="es-CR"/>
        </w:rPr>
        <w:t>actual de la red</w:t>
      </w:r>
      <w:r w:rsidR="00C33DCC" w:rsidRPr="008B162A">
        <w:rPr>
          <w:rFonts w:ascii="Century Gothic" w:hAnsi="Century Gothic"/>
          <w:b w:val="0"/>
          <w:color w:val="auto"/>
          <w:sz w:val="20"/>
          <w:lang w:val="es-CR"/>
        </w:rPr>
        <w:t xml:space="preserve"> del AEP</w:t>
      </w:r>
      <w:r w:rsidR="00C057C7" w:rsidRPr="008B162A">
        <w:rPr>
          <w:rFonts w:ascii="Century Gothic" w:hAnsi="Century Gothic"/>
          <w:b w:val="0"/>
          <w:color w:val="auto"/>
          <w:sz w:val="20"/>
          <w:lang w:val="es-CR"/>
        </w:rPr>
        <w:t xml:space="preserve"> </w:t>
      </w:r>
      <w:r w:rsidR="00C33DCC" w:rsidRPr="008B162A">
        <w:rPr>
          <w:rFonts w:ascii="Century Gothic" w:hAnsi="Century Gothic"/>
          <w:b w:val="0"/>
          <w:color w:val="auto"/>
          <w:sz w:val="20"/>
          <w:lang w:val="es-CR"/>
        </w:rPr>
        <w:t>en las 80 – 100 principales ciudades del país relevantes para las</w:t>
      </w:r>
      <w:r w:rsidRPr="008B162A">
        <w:rPr>
          <w:rFonts w:ascii="Century Gothic" w:hAnsi="Century Gothic"/>
          <w:b w:val="0"/>
          <w:color w:val="auto"/>
          <w:sz w:val="20"/>
          <w:lang w:val="es-CR"/>
        </w:rPr>
        <w:t xml:space="preserve"> redes de acceso fijas sobre fibra.</w:t>
      </w:r>
    </w:p>
    <w:p w:rsidR="00C15825" w:rsidRPr="008B162A" w:rsidRDefault="00C15825" w:rsidP="00C15825">
      <w:pPr>
        <w:pStyle w:val="Ttulo2"/>
        <w:rPr>
          <w:rFonts w:ascii="Century Gothic" w:hAnsi="Century Gothic"/>
          <w:color w:val="auto"/>
          <w:lang w:val="es-ES_tradnl"/>
        </w:rPr>
      </w:pPr>
      <w:bookmarkStart w:id="24" w:name="_Toc461625889"/>
      <w:r w:rsidRPr="008B162A">
        <w:rPr>
          <w:rFonts w:ascii="Century Gothic" w:hAnsi="Century Gothic"/>
          <w:color w:val="auto"/>
          <w:lang w:val="es-ES_tradnl"/>
        </w:rPr>
        <w:t>Tecnologías de Acceso</w:t>
      </w:r>
      <w:bookmarkEnd w:id="24"/>
    </w:p>
    <w:p w:rsidR="001F3ED6" w:rsidRPr="008B162A" w:rsidRDefault="001F3ED6" w:rsidP="00C15825">
      <w:pPr>
        <w:rPr>
          <w:rFonts w:ascii="Century Gothic" w:hAnsi="Century Gothic"/>
          <w:lang w:val="es-ES_tradnl"/>
        </w:rPr>
      </w:pPr>
      <w:r w:rsidRPr="008B162A">
        <w:rPr>
          <w:rFonts w:ascii="Century Gothic" w:hAnsi="Century Gothic"/>
          <w:lang w:val="es-ES_tradnl"/>
        </w:rPr>
        <w:t xml:space="preserve">De acuerdo con el alcance del modelo de costos a desarrollar se reconoce que el mismo deberá representar adecuadamente la tecnología </w:t>
      </w:r>
      <w:r w:rsidR="00C00068" w:rsidRPr="008B162A">
        <w:rPr>
          <w:rFonts w:ascii="Century Gothic" w:hAnsi="Century Gothic"/>
          <w:lang w:val="es-ES_tradnl"/>
        </w:rPr>
        <w:t>GPON</w:t>
      </w:r>
      <w:r w:rsidRPr="008B162A">
        <w:rPr>
          <w:rFonts w:ascii="Century Gothic" w:hAnsi="Century Gothic"/>
          <w:lang w:val="es-ES_tradnl"/>
        </w:rPr>
        <w:t>. Esta tecnología se caracteriza por tener un largo alcance y permitir una elevada capacidad para la transmisión de datos.</w:t>
      </w:r>
    </w:p>
    <w:p w:rsidR="009A5410" w:rsidRPr="008B162A" w:rsidRDefault="001F3ED6" w:rsidP="001F3ED6">
      <w:pPr>
        <w:rPr>
          <w:rFonts w:ascii="Century Gothic" w:hAnsi="Century Gothic"/>
        </w:rPr>
      </w:pPr>
      <w:r w:rsidRPr="008B162A">
        <w:rPr>
          <w:rFonts w:ascii="Century Gothic" w:hAnsi="Century Gothic"/>
          <w:lang w:val="es-ES_tradnl"/>
        </w:rPr>
        <w:t>En línea con lo anterior, no se considera procedente incluir otro tipo de tecnologías de acceso como el cobre o el cable coaxial.</w:t>
      </w:r>
    </w:p>
    <w:p w:rsidR="001145E1" w:rsidRPr="008B162A" w:rsidRDefault="001145E1" w:rsidP="0025694C">
      <w:pPr>
        <w:pStyle w:val="Boxes"/>
        <w:keepNext/>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color w:val="auto"/>
          <w:sz w:val="20"/>
          <w:lang w:val="es-CR"/>
        </w:rPr>
        <w:t>Enfoque Adoptado. Tecnologías de Acceso</w:t>
      </w:r>
    </w:p>
    <w:p w:rsidR="00282020" w:rsidRPr="008B162A" w:rsidRDefault="00282020" w:rsidP="00AC7B95">
      <w:pPr>
        <w:pStyle w:val="Boxes"/>
        <w:keepNext/>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b w:val="0"/>
          <w:color w:val="auto"/>
          <w:sz w:val="20"/>
          <w:lang w:val="es-ES_tradnl"/>
        </w:rPr>
        <w:t>Dentro del modelo se consider</w:t>
      </w:r>
      <w:r w:rsidR="001F3ED6" w:rsidRPr="008B162A">
        <w:rPr>
          <w:rFonts w:ascii="Century Gothic" w:hAnsi="Century Gothic"/>
          <w:b w:val="0"/>
          <w:color w:val="auto"/>
          <w:sz w:val="20"/>
          <w:lang w:val="es-ES_tradnl"/>
        </w:rPr>
        <w:t>a</w:t>
      </w:r>
      <w:r w:rsidRPr="008B162A">
        <w:rPr>
          <w:rFonts w:ascii="Century Gothic" w:hAnsi="Century Gothic"/>
          <w:b w:val="0"/>
          <w:color w:val="auto"/>
          <w:sz w:val="20"/>
          <w:lang w:val="es-ES_tradnl"/>
        </w:rPr>
        <w:t xml:space="preserve"> </w:t>
      </w:r>
      <w:r w:rsidR="00C00068" w:rsidRPr="008B162A">
        <w:rPr>
          <w:rFonts w:ascii="Century Gothic" w:hAnsi="Century Gothic"/>
          <w:b w:val="0"/>
          <w:color w:val="auto"/>
          <w:sz w:val="20"/>
          <w:lang w:val="es-ES_tradnl"/>
        </w:rPr>
        <w:t>GPON</w:t>
      </w:r>
      <w:r w:rsidRPr="008B162A">
        <w:rPr>
          <w:rFonts w:ascii="Century Gothic" w:hAnsi="Century Gothic"/>
          <w:b w:val="0"/>
          <w:color w:val="auto"/>
          <w:sz w:val="20"/>
          <w:lang w:val="es-ES_tradnl"/>
        </w:rPr>
        <w:t xml:space="preserve"> como tecnología de acceso, toda vez que el objetivo del modelo es representar la red de fibra del AEP</w:t>
      </w:r>
      <w:r w:rsidR="00BA2F6B" w:rsidRPr="008B162A">
        <w:rPr>
          <w:rFonts w:ascii="Century Gothic" w:hAnsi="Century Gothic"/>
          <w:b w:val="0"/>
          <w:color w:val="auto"/>
          <w:sz w:val="20"/>
          <w:lang w:val="es-ES_tradnl"/>
        </w:rPr>
        <w:t xml:space="preserve">. No obstante, se toman insumos relativos a la red de cobre </w:t>
      </w:r>
      <w:r w:rsidR="001F3ED6" w:rsidRPr="008B162A">
        <w:rPr>
          <w:rFonts w:ascii="Century Gothic" w:hAnsi="Century Gothic"/>
          <w:b w:val="0"/>
          <w:color w:val="auto"/>
          <w:sz w:val="20"/>
          <w:lang w:val="es-ES_tradnl"/>
        </w:rPr>
        <w:t xml:space="preserve">para la correcta representación de los costos compartidos entre ambas redes (p.ej. </w:t>
      </w:r>
      <w:r w:rsidR="00BA2F6B" w:rsidRPr="008B162A">
        <w:rPr>
          <w:rFonts w:ascii="Century Gothic" w:hAnsi="Century Gothic"/>
          <w:b w:val="0"/>
          <w:color w:val="auto"/>
          <w:sz w:val="20"/>
          <w:lang w:val="es-ES_tradnl"/>
        </w:rPr>
        <w:t>infraestructura civil).</w:t>
      </w:r>
    </w:p>
    <w:p w:rsidR="00C15825" w:rsidRPr="008B162A" w:rsidRDefault="00C15825" w:rsidP="00C15825">
      <w:pPr>
        <w:pStyle w:val="Ttulo2"/>
        <w:rPr>
          <w:rFonts w:ascii="Century Gothic" w:hAnsi="Century Gothic"/>
          <w:color w:val="auto"/>
          <w:lang w:val="es-ES_tradnl"/>
        </w:rPr>
      </w:pPr>
      <w:bookmarkStart w:id="25" w:name="_Toc461625890"/>
      <w:r w:rsidRPr="008B162A">
        <w:rPr>
          <w:rFonts w:ascii="Century Gothic" w:hAnsi="Century Gothic"/>
          <w:color w:val="auto"/>
          <w:lang w:val="es-ES_tradnl"/>
        </w:rPr>
        <w:t>Topología de la red</w:t>
      </w:r>
      <w:bookmarkEnd w:id="25"/>
    </w:p>
    <w:p w:rsidR="00C15825" w:rsidRPr="008B162A" w:rsidRDefault="00C15825" w:rsidP="00C15825">
      <w:pPr>
        <w:spacing w:after="120"/>
        <w:rPr>
          <w:rFonts w:ascii="Century Gothic" w:hAnsi="Century Gothic"/>
          <w:lang w:val="es-ES_tradnl"/>
        </w:rPr>
      </w:pPr>
      <w:r w:rsidRPr="008B162A">
        <w:rPr>
          <w:rFonts w:ascii="Century Gothic" w:hAnsi="Century Gothic"/>
          <w:lang w:val="es-ES_tradnl"/>
        </w:rPr>
        <w:t xml:space="preserve">La topología de la red </w:t>
      </w:r>
      <w:r w:rsidR="00BA2F6B" w:rsidRPr="008B162A">
        <w:rPr>
          <w:rFonts w:ascii="Century Gothic" w:hAnsi="Century Gothic"/>
          <w:lang w:val="es-ES_tradnl"/>
        </w:rPr>
        <w:t>a diseñar viene definida principalmente por la ubicación de los nodos</w:t>
      </w:r>
      <w:r w:rsidRPr="008B162A">
        <w:rPr>
          <w:rFonts w:ascii="Century Gothic" w:hAnsi="Century Gothic"/>
          <w:lang w:val="es-ES_tradnl"/>
        </w:rPr>
        <w:t xml:space="preserve">. Dentro de los modelos </w:t>
      </w:r>
      <w:proofErr w:type="spellStart"/>
      <w:r w:rsidR="00BA2F6B" w:rsidRPr="008B162A">
        <w:rPr>
          <w:rFonts w:ascii="Century Gothic" w:hAnsi="Century Gothic"/>
          <w:lang w:val="es-ES_tradnl"/>
        </w:rPr>
        <w:t>Bottom</w:t>
      </w:r>
      <w:proofErr w:type="spellEnd"/>
      <w:r w:rsidR="00BA2F6B" w:rsidRPr="008B162A">
        <w:rPr>
          <w:rFonts w:ascii="Century Gothic" w:hAnsi="Century Gothic"/>
          <w:lang w:val="es-ES_tradnl"/>
        </w:rPr>
        <w:t>-Up</w:t>
      </w:r>
      <w:r w:rsidRPr="008B162A">
        <w:rPr>
          <w:rFonts w:ascii="Century Gothic" w:hAnsi="Century Gothic"/>
          <w:lang w:val="es-ES_tradnl"/>
        </w:rPr>
        <w:t xml:space="preserve">, existen </w:t>
      </w:r>
      <w:r w:rsidR="00BA2F6B" w:rsidRPr="008B162A">
        <w:rPr>
          <w:rFonts w:ascii="Century Gothic" w:hAnsi="Century Gothic"/>
          <w:lang w:val="es-ES_tradnl"/>
        </w:rPr>
        <w:t>dos</w:t>
      </w:r>
      <w:r w:rsidRPr="008B162A">
        <w:rPr>
          <w:rFonts w:ascii="Century Gothic" w:hAnsi="Century Gothic"/>
          <w:lang w:val="es-ES_tradnl"/>
        </w:rPr>
        <w:t xml:space="preserve"> enfoques </w:t>
      </w:r>
      <w:r w:rsidR="00BA2F6B" w:rsidRPr="008B162A">
        <w:rPr>
          <w:rFonts w:ascii="Century Gothic" w:hAnsi="Century Gothic"/>
          <w:lang w:val="es-ES_tradnl"/>
        </w:rPr>
        <w:t>aceptados para la definición de la topología a considerar</w:t>
      </w:r>
      <w:r w:rsidRPr="008B162A">
        <w:rPr>
          <w:rFonts w:ascii="Century Gothic" w:hAnsi="Century Gothic"/>
          <w:lang w:val="es-ES_tradnl"/>
        </w:rPr>
        <w:t>:</w:t>
      </w:r>
    </w:p>
    <w:p w:rsidR="00C15825" w:rsidRPr="00D7559E" w:rsidRDefault="00C15825" w:rsidP="000F1DD5">
      <w:pPr>
        <w:pStyle w:val="Indentado1"/>
        <w:numPr>
          <w:ilvl w:val="0"/>
          <w:numId w:val="26"/>
        </w:numPr>
      </w:pPr>
      <w:proofErr w:type="spellStart"/>
      <w:r w:rsidRPr="00D7559E">
        <w:rPr>
          <w:b/>
        </w:rPr>
        <w:t>Scorched</w:t>
      </w:r>
      <w:proofErr w:type="spellEnd"/>
      <w:r w:rsidRPr="00D7559E">
        <w:rPr>
          <w:b/>
        </w:rPr>
        <w:t xml:space="preserve"> </w:t>
      </w:r>
      <w:proofErr w:type="spellStart"/>
      <w:r w:rsidR="006C0492" w:rsidRPr="00D7559E">
        <w:rPr>
          <w:b/>
        </w:rPr>
        <w:t>N</w:t>
      </w:r>
      <w:r w:rsidRPr="00D7559E">
        <w:rPr>
          <w:b/>
        </w:rPr>
        <w:t>ode</w:t>
      </w:r>
      <w:proofErr w:type="spellEnd"/>
      <w:r w:rsidR="00BA2F6B" w:rsidRPr="00D7559E">
        <w:t>, que u</w:t>
      </w:r>
      <w:r w:rsidRPr="00D7559E">
        <w:t xml:space="preserve">tiliza la ubicación existente de los nodos de red. </w:t>
      </w:r>
      <w:r w:rsidR="00BA2F6B" w:rsidRPr="00D7559E">
        <w:t>Los equipos a instalar en cada nodo se calculan con base en la demanda y reconociendo un uso eficiente de la red</w:t>
      </w:r>
      <w:r w:rsidRPr="00D7559E">
        <w:t xml:space="preserve">. Esta opción es relativamente simple de implementar, </w:t>
      </w:r>
      <w:r w:rsidR="00BA2F6B" w:rsidRPr="00D7559E">
        <w:t xml:space="preserve">pero es susceptible de </w:t>
      </w:r>
      <w:r w:rsidRPr="00D7559E">
        <w:t xml:space="preserve">incluir las ineficiencias </w:t>
      </w:r>
      <w:r w:rsidR="00BA2F6B" w:rsidRPr="00D7559E">
        <w:t xml:space="preserve">existentes en la </w:t>
      </w:r>
      <w:r w:rsidRPr="00D7559E">
        <w:t>red del operador.</w:t>
      </w:r>
      <w:r w:rsidR="00BA2F6B" w:rsidRPr="00D7559E">
        <w:t xml:space="preserve"> Adicionalmente, no permite reconocer apropiadamente las estimaciones de despliegues futuros de red.</w:t>
      </w:r>
    </w:p>
    <w:p w:rsidR="00C15825" w:rsidRPr="00D7559E" w:rsidRDefault="00807581" w:rsidP="000F1DD5">
      <w:pPr>
        <w:pStyle w:val="Indentado1"/>
        <w:numPr>
          <w:ilvl w:val="0"/>
          <w:numId w:val="26"/>
        </w:numPr>
        <w:rPr>
          <w:lang w:val="es-ES"/>
        </w:rPr>
      </w:pPr>
      <w:proofErr w:type="spellStart"/>
      <w:r w:rsidRPr="00D7559E">
        <w:rPr>
          <w:b/>
        </w:rPr>
        <w:lastRenderedPageBreak/>
        <w:t>Modified</w:t>
      </w:r>
      <w:proofErr w:type="spellEnd"/>
      <w:r w:rsidRPr="00D7559E">
        <w:rPr>
          <w:b/>
        </w:rPr>
        <w:t xml:space="preserve"> </w:t>
      </w:r>
      <w:proofErr w:type="spellStart"/>
      <w:r w:rsidR="00C15825" w:rsidRPr="00D7559E">
        <w:rPr>
          <w:b/>
        </w:rPr>
        <w:t>Scorched</w:t>
      </w:r>
      <w:proofErr w:type="spellEnd"/>
      <w:r w:rsidR="00C15825" w:rsidRPr="00D7559E">
        <w:rPr>
          <w:b/>
        </w:rPr>
        <w:t xml:space="preserve"> </w:t>
      </w:r>
      <w:proofErr w:type="spellStart"/>
      <w:r w:rsidR="006C0492" w:rsidRPr="00D7559E">
        <w:rPr>
          <w:b/>
        </w:rPr>
        <w:t>N</w:t>
      </w:r>
      <w:r w:rsidRPr="00D7559E">
        <w:rPr>
          <w:b/>
        </w:rPr>
        <w:t>ode</w:t>
      </w:r>
      <w:proofErr w:type="spellEnd"/>
      <w:r w:rsidR="00BA2F6B" w:rsidRPr="00D7559E">
        <w:t>,</w:t>
      </w:r>
      <w:r w:rsidR="00BA2F6B" w:rsidRPr="00D7559E">
        <w:rPr>
          <w:b/>
        </w:rPr>
        <w:t xml:space="preserve"> </w:t>
      </w:r>
      <w:r w:rsidR="00BA2F6B" w:rsidRPr="00D7559E">
        <w:t xml:space="preserve">el cual a pesar de reconocer </w:t>
      </w:r>
      <w:r w:rsidR="00A679E4" w:rsidRPr="00D7559E">
        <w:t xml:space="preserve">la ubicación actual de los nodos de acceso del operador, permite modificar su ubicación por cuestiones de eficiencia. A su vez, este enfoque permite estimar la ubicación </w:t>
      </w:r>
      <w:r w:rsidR="00C15825" w:rsidRPr="00D7559E">
        <w:rPr>
          <w:lang w:val="es-ES"/>
        </w:rPr>
        <w:t xml:space="preserve">de una red optimizada </w:t>
      </w:r>
      <w:r w:rsidR="00A679E4" w:rsidRPr="00D7559E">
        <w:rPr>
          <w:lang w:val="es-ES"/>
        </w:rPr>
        <w:t>cuando no existe información actual sobre la red del operador.</w:t>
      </w:r>
    </w:p>
    <w:p w:rsidR="00807581" w:rsidRPr="00D7559E" w:rsidRDefault="00807581" w:rsidP="000F1DD5">
      <w:pPr>
        <w:pStyle w:val="Indentado1"/>
        <w:numPr>
          <w:ilvl w:val="0"/>
          <w:numId w:val="26"/>
        </w:numPr>
      </w:pPr>
      <w:proofErr w:type="spellStart"/>
      <w:r w:rsidRPr="00D7559E">
        <w:rPr>
          <w:b/>
        </w:rPr>
        <w:t>Scorched</w:t>
      </w:r>
      <w:proofErr w:type="spellEnd"/>
      <w:r w:rsidRPr="00D7559E">
        <w:rPr>
          <w:b/>
        </w:rPr>
        <w:t xml:space="preserve"> </w:t>
      </w:r>
      <w:proofErr w:type="spellStart"/>
      <w:r w:rsidR="006C0492" w:rsidRPr="00D7559E">
        <w:rPr>
          <w:b/>
        </w:rPr>
        <w:t>E</w:t>
      </w:r>
      <w:r w:rsidRPr="00D7559E">
        <w:rPr>
          <w:b/>
        </w:rPr>
        <w:t>arth</w:t>
      </w:r>
      <w:proofErr w:type="spellEnd"/>
      <w:r w:rsidRPr="00D7559E">
        <w:t>,</w:t>
      </w:r>
      <w:r w:rsidR="00827E5B" w:rsidRPr="00D7559E">
        <w:t xml:space="preserve"> el cual se basa en el uso de algoritmos de dimensionado para estimar el número y la ubicación de los nodos de acceso que un operador eficiente necesitaría para desplegar su red de acceso de fibra.</w:t>
      </w:r>
    </w:p>
    <w:p w:rsidR="00A679E4" w:rsidRPr="008B162A" w:rsidRDefault="00A679E4" w:rsidP="007449DB">
      <w:pPr>
        <w:rPr>
          <w:rFonts w:ascii="Century Gothic" w:hAnsi="Century Gothic"/>
        </w:rPr>
      </w:pPr>
      <w:r w:rsidRPr="008B162A">
        <w:rPr>
          <w:rFonts w:ascii="Century Gothic" w:hAnsi="Century Gothic"/>
        </w:rPr>
        <w:t xml:space="preserve">Debido a las necesidades de proyección a futuro del modelo (presentadas en el apartado siguiente), </w:t>
      </w:r>
      <w:r w:rsidR="00827E5B" w:rsidRPr="008B162A">
        <w:rPr>
          <w:rFonts w:ascii="Century Gothic" w:hAnsi="Century Gothic"/>
        </w:rPr>
        <w:t xml:space="preserve">se toma como insumo la localización actual de los nodos de acceso </w:t>
      </w:r>
      <w:r w:rsidR="00EC3390" w:rsidRPr="008B162A">
        <w:rPr>
          <w:rFonts w:ascii="Century Gothic" w:hAnsi="Century Gothic"/>
        </w:rPr>
        <w:t xml:space="preserve">que el </w:t>
      </w:r>
      <w:r w:rsidR="00827E5B" w:rsidRPr="008B162A">
        <w:rPr>
          <w:rFonts w:ascii="Century Gothic" w:hAnsi="Century Gothic"/>
        </w:rPr>
        <w:t>AEP</w:t>
      </w:r>
      <w:r w:rsidR="00EC3390" w:rsidRPr="008B162A">
        <w:rPr>
          <w:rFonts w:ascii="Century Gothic" w:hAnsi="Century Gothic"/>
        </w:rPr>
        <w:t xml:space="preserve"> emplea para su red de fibra óptica</w:t>
      </w:r>
      <w:r w:rsidR="00827E5B" w:rsidRPr="008B162A">
        <w:rPr>
          <w:rFonts w:ascii="Century Gothic" w:hAnsi="Century Gothic"/>
        </w:rPr>
        <w:t xml:space="preserve">; sin embargo una aproximación de </w:t>
      </w:r>
      <w:proofErr w:type="spellStart"/>
      <w:r w:rsidR="006C0492" w:rsidRPr="008B162A">
        <w:rPr>
          <w:rFonts w:ascii="Century Gothic" w:hAnsi="Century Gothic"/>
        </w:rPr>
        <w:t>M</w:t>
      </w:r>
      <w:r w:rsidR="00827E5B" w:rsidRPr="008B162A">
        <w:rPr>
          <w:rFonts w:ascii="Century Gothic" w:hAnsi="Century Gothic"/>
        </w:rPr>
        <w:t>odified</w:t>
      </w:r>
      <w:proofErr w:type="spellEnd"/>
      <w:r w:rsidR="00827E5B" w:rsidRPr="008B162A">
        <w:rPr>
          <w:rFonts w:ascii="Century Gothic" w:hAnsi="Century Gothic"/>
        </w:rPr>
        <w:t xml:space="preserve"> </w:t>
      </w:r>
      <w:proofErr w:type="spellStart"/>
      <w:r w:rsidR="006C0492" w:rsidRPr="008B162A">
        <w:rPr>
          <w:rFonts w:ascii="Century Gothic" w:hAnsi="Century Gothic"/>
        </w:rPr>
        <w:t>S</w:t>
      </w:r>
      <w:r w:rsidR="00827E5B" w:rsidRPr="008B162A">
        <w:rPr>
          <w:rFonts w:ascii="Century Gothic" w:hAnsi="Century Gothic"/>
        </w:rPr>
        <w:t>corched</w:t>
      </w:r>
      <w:proofErr w:type="spellEnd"/>
      <w:r w:rsidR="008B162A">
        <w:rPr>
          <w:rFonts w:ascii="Century Gothic" w:hAnsi="Century Gothic"/>
        </w:rPr>
        <w:t>-</w:t>
      </w:r>
      <w:r w:rsidR="00827E5B" w:rsidRPr="008B162A">
        <w:rPr>
          <w:rFonts w:ascii="Century Gothic" w:hAnsi="Century Gothic"/>
        </w:rPr>
        <w:t xml:space="preserve"> </w:t>
      </w:r>
      <w:proofErr w:type="spellStart"/>
      <w:r w:rsidR="006C0492" w:rsidRPr="008B162A">
        <w:rPr>
          <w:rFonts w:ascii="Century Gothic" w:hAnsi="Century Gothic"/>
        </w:rPr>
        <w:t>N</w:t>
      </w:r>
      <w:r w:rsidR="00827E5B" w:rsidRPr="008B162A">
        <w:rPr>
          <w:rFonts w:ascii="Century Gothic" w:hAnsi="Century Gothic"/>
        </w:rPr>
        <w:t>ode</w:t>
      </w:r>
      <w:proofErr w:type="spellEnd"/>
      <w:r w:rsidR="00827E5B" w:rsidRPr="008B162A">
        <w:rPr>
          <w:rFonts w:ascii="Century Gothic" w:hAnsi="Century Gothic"/>
        </w:rPr>
        <w:t>, permite utilizar estas ubicaciones a fin de estimar la cobertura a futuro del AEP.</w:t>
      </w:r>
    </w:p>
    <w:p w:rsidR="00466672" w:rsidRPr="008B162A" w:rsidRDefault="00466672" w:rsidP="0070795E">
      <w:pPr>
        <w:pStyle w:val="Boxes"/>
        <w:keepNext/>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color w:val="auto"/>
          <w:sz w:val="20"/>
          <w:lang w:val="es-CR"/>
        </w:rPr>
        <w:t>Enfoque Adoptado. Topología de red</w:t>
      </w:r>
    </w:p>
    <w:p w:rsidR="00B7245D" w:rsidRPr="008B162A" w:rsidRDefault="00A679E4" w:rsidP="0070795E">
      <w:pPr>
        <w:pStyle w:val="Boxes"/>
        <w:numPr>
          <w:ilvl w:val="0"/>
          <w:numId w:val="0"/>
        </w:numPr>
        <w:pBdr>
          <w:left w:val="double" w:sz="4" w:space="0" w:color="165194" w:themeColor="accent2"/>
        </w:pBdr>
        <w:ind w:left="142"/>
        <w:rPr>
          <w:rFonts w:ascii="Century Gothic" w:hAnsi="Century Gothic"/>
          <w:b w:val="0"/>
          <w:color w:val="auto"/>
          <w:sz w:val="20"/>
          <w:lang w:val="es-ES_tradnl"/>
        </w:rPr>
      </w:pPr>
      <w:r w:rsidRPr="008B162A">
        <w:rPr>
          <w:rFonts w:ascii="Century Gothic" w:hAnsi="Century Gothic"/>
          <w:b w:val="0"/>
          <w:color w:val="auto"/>
          <w:sz w:val="20"/>
          <w:lang w:val="es-ES_tradnl"/>
        </w:rPr>
        <w:t xml:space="preserve">Se considera el enfoque </w:t>
      </w:r>
      <w:proofErr w:type="spellStart"/>
      <w:r w:rsidR="006C0492" w:rsidRPr="008B162A">
        <w:rPr>
          <w:rFonts w:ascii="Century Gothic" w:hAnsi="Century Gothic"/>
          <w:b w:val="0"/>
          <w:color w:val="auto"/>
          <w:sz w:val="20"/>
          <w:lang w:val="es-ES_tradnl"/>
        </w:rPr>
        <w:t>M</w:t>
      </w:r>
      <w:r w:rsidR="00606684" w:rsidRPr="008B162A">
        <w:rPr>
          <w:rFonts w:ascii="Century Gothic" w:hAnsi="Century Gothic"/>
          <w:b w:val="0"/>
          <w:color w:val="auto"/>
          <w:sz w:val="20"/>
          <w:lang w:val="es-ES_tradnl"/>
        </w:rPr>
        <w:t>odified</w:t>
      </w:r>
      <w:proofErr w:type="spellEnd"/>
      <w:r w:rsidR="00606684" w:rsidRPr="008B162A">
        <w:rPr>
          <w:rFonts w:ascii="Century Gothic" w:hAnsi="Century Gothic"/>
          <w:b w:val="0"/>
          <w:color w:val="auto"/>
          <w:sz w:val="20"/>
          <w:lang w:val="es-ES_tradnl"/>
        </w:rPr>
        <w:t xml:space="preserve"> </w:t>
      </w:r>
      <w:proofErr w:type="spellStart"/>
      <w:r w:rsidR="006C0492" w:rsidRPr="008B162A">
        <w:rPr>
          <w:rFonts w:ascii="Century Gothic" w:hAnsi="Century Gothic"/>
          <w:b w:val="0"/>
          <w:color w:val="auto"/>
          <w:sz w:val="20"/>
          <w:lang w:val="es-ES_tradnl"/>
        </w:rPr>
        <w:t>S</w:t>
      </w:r>
      <w:r w:rsidR="009C4AE7" w:rsidRPr="008B162A">
        <w:rPr>
          <w:rFonts w:ascii="Century Gothic" w:hAnsi="Century Gothic"/>
          <w:b w:val="0"/>
          <w:color w:val="auto"/>
          <w:sz w:val="20"/>
          <w:lang w:val="es-ES_tradnl"/>
        </w:rPr>
        <w:t>corched</w:t>
      </w:r>
      <w:r w:rsidR="008B162A">
        <w:rPr>
          <w:rFonts w:ascii="Century Gothic" w:hAnsi="Century Gothic"/>
          <w:b w:val="0"/>
          <w:color w:val="auto"/>
          <w:sz w:val="20"/>
          <w:lang w:val="es-ES_tradnl"/>
        </w:rPr>
        <w:t>-</w:t>
      </w:r>
      <w:r w:rsidR="006C0492" w:rsidRPr="008B162A">
        <w:rPr>
          <w:rFonts w:ascii="Century Gothic" w:hAnsi="Century Gothic"/>
          <w:b w:val="0"/>
          <w:color w:val="auto"/>
          <w:sz w:val="20"/>
          <w:lang w:val="es-ES_tradnl"/>
        </w:rPr>
        <w:t>N</w:t>
      </w:r>
      <w:r w:rsidR="009C4AE7" w:rsidRPr="008B162A">
        <w:rPr>
          <w:rFonts w:ascii="Century Gothic" w:hAnsi="Century Gothic"/>
          <w:b w:val="0"/>
          <w:color w:val="auto"/>
          <w:sz w:val="20"/>
          <w:lang w:val="es-ES_tradnl"/>
        </w:rPr>
        <w:t>ode</w:t>
      </w:r>
      <w:proofErr w:type="spellEnd"/>
      <w:r w:rsidRPr="008B162A">
        <w:rPr>
          <w:rFonts w:ascii="Century Gothic" w:hAnsi="Century Gothic"/>
          <w:b w:val="0"/>
          <w:color w:val="auto"/>
          <w:sz w:val="20"/>
          <w:lang w:val="es-ES_tradnl"/>
        </w:rPr>
        <w:t xml:space="preserve"> para la definición de los algoritmos técnicos de dimensionado en el Modelo.</w:t>
      </w:r>
    </w:p>
    <w:p w:rsidR="00C15825" w:rsidRPr="008B162A" w:rsidRDefault="003D25FC" w:rsidP="00C15825">
      <w:pPr>
        <w:pStyle w:val="Ttulo2"/>
        <w:rPr>
          <w:rFonts w:ascii="Century Gothic" w:hAnsi="Century Gothic"/>
          <w:color w:val="auto"/>
          <w:lang w:val="es-ES_tradnl"/>
        </w:rPr>
      </w:pPr>
      <w:bookmarkStart w:id="26" w:name="_Toc461625891"/>
      <w:r w:rsidRPr="008B162A">
        <w:rPr>
          <w:rFonts w:ascii="Century Gothic" w:hAnsi="Century Gothic"/>
          <w:color w:val="auto"/>
          <w:lang w:val="es-ES_tradnl"/>
        </w:rPr>
        <w:t>Horizonte temporal</w:t>
      </w:r>
      <w:bookmarkEnd w:id="26"/>
    </w:p>
    <w:p w:rsidR="00C15825" w:rsidRPr="008B162A" w:rsidRDefault="00B7245D" w:rsidP="00C15825">
      <w:pPr>
        <w:rPr>
          <w:rFonts w:ascii="Century Gothic" w:hAnsi="Century Gothic"/>
          <w:lang w:val="es-ES_tradnl"/>
        </w:rPr>
      </w:pPr>
      <w:r w:rsidRPr="008B162A">
        <w:rPr>
          <w:rFonts w:ascii="Century Gothic" w:hAnsi="Century Gothic"/>
          <w:lang w:val="es-ES_tradnl"/>
        </w:rPr>
        <w:t xml:space="preserve">Dado que el costo de los servicios es calculado en función de la demanda en un </w:t>
      </w:r>
      <w:r w:rsidR="00A679E4" w:rsidRPr="008B162A">
        <w:rPr>
          <w:rFonts w:ascii="Century Gothic" w:hAnsi="Century Gothic"/>
          <w:lang w:val="es-ES_tradnl"/>
        </w:rPr>
        <w:t>momento</w:t>
      </w:r>
      <w:r w:rsidRPr="008B162A">
        <w:rPr>
          <w:rFonts w:ascii="Century Gothic" w:hAnsi="Century Gothic"/>
          <w:lang w:val="es-ES_tradnl"/>
        </w:rPr>
        <w:t xml:space="preserve"> específico en el tiempo, </w:t>
      </w:r>
      <w:r w:rsidR="00A679E4" w:rsidRPr="008B162A">
        <w:rPr>
          <w:rFonts w:ascii="Century Gothic" w:hAnsi="Century Gothic"/>
          <w:lang w:val="es-ES_tradnl"/>
        </w:rPr>
        <w:t xml:space="preserve">la definición del rango temporal modelado </w:t>
      </w:r>
      <w:r w:rsidRPr="008B162A">
        <w:rPr>
          <w:rFonts w:ascii="Century Gothic" w:hAnsi="Century Gothic"/>
          <w:lang w:val="es-ES_tradnl"/>
        </w:rPr>
        <w:t xml:space="preserve">es </w:t>
      </w:r>
      <w:r w:rsidR="00A679E4" w:rsidRPr="008B162A">
        <w:rPr>
          <w:rFonts w:ascii="Century Gothic" w:hAnsi="Century Gothic"/>
          <w:lang w:val="es-ES_tradnl"/>
        </w:rPr>
        <w:t>esencial para entender el alcance del análisis de resultados en el modelo</w:t>
      </w:r>
      <w:r w:rsidR="00C15825" w:rsidRPr="008B162A">
        <w:rPr>
          <w:rFonts w:ascii="Century Gothic" w:hAnsi="Century Gothic"/>
          <w:lang w:val="es-ES_tradnl"/>
        </w:rPr>
        <w:t xml:space="preserve">. </w:t>
      </w:r>
    </w:p>
    <w:p w:rsidR="00B7245D" w:rsidRPr="008B162A" w:rsidRDefault="00A679E4" w:rsidP="00C15825">
      <w:pPr>
        <w:rPr>
          <w:rFonts w:ascii="Century Gothic" w:hAnsi="Century Gothic"/>
          <w:lang w:val="es-ES_tradnl"/>
        </w:rPr>
      </w:pPr>
      <w:r w:rsidRPr="008B162A">
        <w:rPr>
          <w:rFonts w:ascii="Century Gothic" w:hAnsi="Century Gothic"/>
          <w:lang w:val="es-ES_tradnl"/>
        </w:rPr>
        <w:t xml:space="preserve">Se considera que </w:t>
      </w:r>
      <w:r w:rsidR="00B7245D" w:rsidRPr="008B162A">
        <w:rPr>
          <w:rFonts w:ascii="Century Gothic" w:hAnsi="Century Gothic"/>
          <w:lang w:val="es-ES_tradnl"/>
        </w:rPr>
        <w:t xml:space="preserve">un periodo de tiempo que inicie a partir de 2015 permitirá reunir la última información </w:t>
      </w:r>
      <w:r w:rsidRPr="008B162A">
        <w:rPr>
          <w:rFonts w:ascii="Century Gothic" w:hAnsi="Century Gothic"/>
          <w:lang w:val="es-ES_tradnl"/>
        </w:rPr>
        <w:t>necesaria</w:t>
      </w:r>
      <w:r w:rsidR="00B7245D" w:rsidRPr="008B162A">
        <w:rPr>
          <w:rFonts w:ascii="Century Gothic" w:hAnsi="Century Gothic"/>
          <w:lang w:val="es-ES_tradnl"/>
        </w:rPr>
        <w:t xml:space="preserve"> por parte del AEP que permita reflejar el </w:t>
      </w:r>
      <w:r w:rsidRPr="008B162A">
        <w:rPr>
          <w:rFonts w:ascii="Century Gothic" w:hAnsi="Century Gothic"/>
          <w:lang w:val="es-ES_tradnl"/>
        </w:rPr>
        <w:t>estado</w:t>
      </w:r>
      <w:r w:rsidR="00B7245D" w:rsidRPr="008B162A">
        <w:rPr>
          <w:rFonts w:ascii="Century Gothic" w:hAnsi="Century Gothic"/>
          <w:lang w:val="es-ES_tradnl"/>
        </w:rPr>
        <w:t xml:space="preserve"> actual de demanda y cobertura.</w:t>
      </w:r>
      <w:r w:rsidR="006C18AE" w:rsidRPr="008B162A">
        <w:rPr>
          <w:rFonts w:ascii="Century Gothic" w:hAnsi="Century Gothic"/>
          <w:lang w:val="es-ES_tradnl"/>
        </w:rPr>
        <w:t xml:space="preserve"> Al mismo tiempo, se estima oportuno producir resultados hasta el año 2020 con el fin de poder comprender la evolución esperada de los costos en un futuro próximo.</w:t>
      </w:r>
    </w:p>
    <w:p w:rsidR="00466672" w:rsidRPr="008B162A" w:rsidRDefault="00466672" w:rsidP="00466672">
      <w:pPr>
        <w:pStyle w:val="Box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color w:val="auto"/>
          <w:sz w:val="20"/>
          <w:lang w:val="es-CR"/>
        </w:rPr>
        <w:t xml:space="preserve">Enfoque Adoptado. </w:t>
      </w:r>
      <w:r w:rsidR="00C33DCC" w:rsidRPr="008B162A">
        <w:rPr>
          <w:rFonts w:ascii="Century Gothic" w:hAnsi="Century Gothic"/>
          <w:color w:val="auto"/>
          <w:sz w:val="20"/>
          <w:lang w:val="es-CR"/>
        </w:rPr>
        <w:t>Horizonte temporal</w:t>
      </w:r>
    </w:p>
    <w:p w:rsidR="00466672" w:rsidRPr="008B162A" w:rsidRDefault="006C18AE" w:rsidP="00AC7B95">
      <w:pPr>
        <w:pStyle w:val="Boxes"/>
        <w:numPr>
          <w:ilvl w:val="0"/>
          <w:numId w:val="0"/>
        </w:numPr>
        <w:pBdr>
          <w:left w:val="double" w:sz="4" w:space="0" w:color="165194" w:themeColor="accent2"/>
        </w:pBdr>
        <w:ind w:left="142"/>
        <w:rPr>
          <w:rFonts w:ascii="Century Gothic" w:hAnsi="Century Gothic"/>
          <w:color w:val="auto"/>
          <w:sz w:val="20"/>
          <w:lang w:val="es-CR"/>
        </w:rPr>
      </w:pPr>
      <w:r w:rsidRPr="008B162A">
        <w:rPr>
          <w:rFonts w:ascii="Century Gothic" w:hAnsi="Century Gothic"/>
          <w:b w:val="0"/>
          <w:color w:val="auto"/>
          <w:sz w:val="20"/>
          <w:lang w:val="es-ES_tradnl"/>
        </w:rPr>
        <w:t>Se define el marco temporal en el modelo como el período comprendido entre 2015 y 2020.</w:t>
      </w:r>
    </w:p>
    <w:p w:rsidR="00F9549E" w:rsidRPr="008B162A" w:rsidRDefault="00F9549E" w:rsidP="0025694C">
      <w:pPr>
        <w:pStyle w:val="Ttulo1"/>
        <w:pageBreakBefore/>
        <w:ind w:left="357" w:hanging="357"/>
        <w:rPr>
          <w:rFonts w:ascii="Century Gothic" w:hAnsi="Century Gothic"/>
          <w:color w:val="auto"/>
        </w:rPr>
      </w:pPr>
      <w:bookmarkStart w:id="27" w:name="_Servicios_modelados"/>
      <w:bookmarkStart w:id="28" w:name="_Toc459506071"/>
      <w:bookmarkStart w:id="29" w:name="_Ref459796548"/>
      <w:bookmarkStart w:id="30" w:name="_Toc461625892"/>
      <w:bookmarkStart w:id="31" w:name="_Ref327362731"/>
      <w:bookmarkEnd w:id="9"/>
      <w:bookmarkEnd w:id="13"/>
      <w:bookmarkEnd w:id="14"/>
      <w:bookmarkEnd w:id="27"/>
      <w:r w:rsidRPr="008B162A">
        <w:rPr>
          <w:rFonts w:ascii="Century Gothic" w:hAnsi="Century Gothic"/>
          <w:color w:val="auto"/>
        </w:rPr>
        <w:lastRenderedPageBreak/>
        <w:t>Servicios modelados</w:t>
      </w:r>
      <w:bookmarkEnd w:id="28"/>
      <w:bookmarkEnd w:id="29"/>
      <w:bookmarkEnd w:id="30"/>
    </w:p>
    <w:p w:rsidR="00065621" w:rsidRPr="008B162A" w:rsidRDefault="00065621" w:rsidP="00F9549E">
      <w:pPr>
        <w:rPr>
          <w:rFonts w:ascii="Century Gothic" w:hAnsi="Century Gothic"/>
        </w:rPr>
      </w:pPr>
      <w:r w:rsidRPr="008B162A">
        <w:rPr>
          <w:rFonts w:ascii="Century Gothic" w:hAnsi="Century Gothic"/>
        </w:rPr>
        <w:t xml:space="preserve">Una parte fundamental dentro de la construcción de un modelo de costos </w:t>
      </w:r>
      <w:proofErr w:type="spellStart"/>
      <w:r w:rsidRPr="008B162A">
        <w:rPr>
          <w:rFonts w:ascii="Century Gothic" w:hAnsi="Century Gothic"/>
        </w:rPr>
        <w:t>Bottom</w:t>
      </w:r>
      <w:proofErr w:type="spellEnd"/>
      <w:r w:rsidRPr="008B162A">
        <w:rPr>
          <w:rFonts w:ascii="Century Gothic" w:hAnsi="Century Gothic"/>
        </w:rPr>
        <w:t xml:space="preserve">-up consiste en la definición de los servicios que deberán ser costeados. Esto repercutirá directamente sobre los elementos de red que deberán ser </w:t>
      </w:r>
      <w:r w:rsidR="00E925AC" w:rsidRPr="008B162A">
        <w:rPr>
          <w:rFonts w:ascii="Century Gothic" w:hAnsi="Century Gothic"/>
        </w:rPr>
        <w:t>dimensionados,</w:t>
      </w:r>
      <w:r w:rsidRPr="008B162A">
        <w:rPr>
          <w:rFonts w:ascii="Century Gothic" w:hAnsi="Century Gothic"/>
        </w:rPr>
        <w:t xml:space="preserve"> así como sobre la estructuración de los algoritmos de cálculo.</w:t>
      </w:r>
    </w:p>
    <w:p w:rsidR="00742A2F" w:rsidRPr="008B162A" w:rsidRDefault="00742A2F" w:rsidP="0070795E">
      <w:pPr>
        <w:rPr>
          <w:rFonts w:ascii="Century Gothic" w:hAnsi="Century Gothic"/>
        </w:rPr>
      </w:pPr>
      <w:r w:rsidRPr="008B162A">
        <w:rPr>
          <w:rFonts w:ascii="Century Gothic" w:hAnsi="Century Gothic"/>
        </w:rPr>
        <w:t xml:space="preserve">El objeto principal del modelo es la estimación y costeo </w:t>
      </w:r>
      <w:r w:rsidR="0070795E" w:rsidRPr="008B162A">
        <w:rPr>
          <w:rFonts w:ascii="Century Gothic" w:hAnsi="Century Gothic"/>
        </w:rPr>
        <w:t>de</w:t>
      </w:r>
      <w:r w:rsidRPr="008B162A">
        <w:rPr>
          <w:rFonts w:ascii="Century Gothic" w:hAnsi="Century Gothic"/>
        </w:rPr>
        <w:t xml:space="preserve"> servicios de desagregación bajo el esquema VULA </w:t>
      </w:r>
      <w:r w:rsidR="00F66980" w:rsidRPr="008B162A">
        <w:rPr>
          <w:rFonts w:ascii="Century Gothic" w:hAnsi="Century Gothic"/>
        </w:rPr>
        <w:t>como</w:t>
      </w:r>
      <w:r w:rsidR="00D76724" w:rsidRPr="008B162A">
        <w:rPr>
          <w:rFonts w:ascii="Century Gothic" w:hAnsi="Century Gothic"/>
        </w:rPr>
        <w:t xml:space="preserve"> de desagr</w:t>
      </w:r>
      <w:r w:rsidR="00187FC4" w:rsidRPr="008B162A">
        <w:rPr>
          <w:rFonts w:ascii="Century Gothic" w:hAnsi="Century Gothic"/>
        </w:rPr>
        <w:t>eg</w:t>
      </w:r>
      <w:r w:rsidR="00D76724" w:rsidRPr="008B162A">
        <w:rPr>
          <w:rFonts w:ascii="Century Gothic" w:hAnsi="Century Gothic"/>
        </w:rPr>
        <w:t>ación de bucle</w:t>
      </w:r>
      <w:r w:rsidR="0070795E" w:rsidRPr="008B162A">
        <w:rPr>
          <w:rFonts w:ascii="Century Gothic" w:hAnsi="Century Gothic"/>
        </w:rPr>
        <w:t>s</w:t>
      </w:r>
      <w:r w:rsidR="00D76724" w:rsidRPr="008B162A">
        <w:rPr>
          <w:rFonts w:ascii="Century Gothic" w:hAnsi="Century Gothic"/>
        </w:rPr>
        <w:t xml:space="preserve"> punto a punto</w:t>
      </w:r>
      <w:r w:rsidR="00F66980" w:rsidRPr="008B162A">
        <w:rPr>
          <w:rFonts w:ascii="Century Gothic" w:hAnsi="Century Gothic"/>
        </w:rPr>
        <w:t>. Adicionalmente, para el correcto modelado de la red de acceso de fibra, se deben</w:t>
      </w:r>
      <w:r w:rsidRPr="008B162A">
        <w:rPr>
          <w:rFonts w:ascii="Century Gothic" w:hAnsi="Century Gothic"/>
        </w:rPr>
        <w:t xml:space="preserve"> de tomar en consideración otros servicios relevantes de acceso y uso de infraestructura pasiva sobre una red de fibra óptica.</w:t>
      </w:r>
    </w:p>
    <w:p w:rsidR="00F9549E" w:rsidRPr="008B162A" w:rsidRDefault="00F9549E" w:rsidP="00F9549E">
      <w:pPr>
        <w:rPr>
          <w:rFonts w:ascii="Century Gothic" w:hAnsi="Century Gothic"/>
        </w:rPr>
      </w:pPr>
      <w:r w:rsidRPr="008B162A">
        <w:rPr>
          <w:rFonts w:ascii="Century Gothic" w:hAnsi="Century Gothic"/>
        </w:rPr>
        <w:t>A continuación se describen a mayor detalle cada uno de estos servicios.</w:t>
      </w:r>
    </w:p>
    <w:p w:rsidR="00D07545" w:rsidRPr="008B162A" w:rsidRDefault="00D07545" w:rsidP="00D07545">
      <w:pPr>
        <w:pStyle w:val="Ttulo2"/>
        <w:spacing w:before="240"/>
        <w:ind w:left="0" w:firstLine="0"/>
        <w:rPr>
          <w:rFonts w:ascii="Century Gothic" w:hAnsi="Century Gothic"/>
          <w:color w:val="auto"/>
        </w:rPr>
      </w:pPr>
      <w:bookmarkStart w:id="32" w:name="_Toc456950111"/>
      <w:bookmarkStart w:id="33" w:name="_Toc459506074"/>
      <w:bookmarkStart w:id="34" w:name="_Toc461625893"/>
      <w:bookmarkStart w:id="35" w:name="_Toc456950109"/>
      <w:bookmarkStart w:id="36" w:name="_Toc459506072"/>
      <w:r w:rsidRPr="008B162A">
        <w:rPr>
          <w:rFonts w:ascii="Century Gothic" w:hAnsi="Century Gothic"/>
          <w:color w:val="auto"/>
        </w:rPr>
        <w:t>Servicio de desagregación virtual – VULA</w:t>
      </w:r>
      <w:bookmarkEnd w:id="32"/>
      <w:bookmarkEnd w:id="33"/>
      <w:bookmarkEnd w:id="34"/>
    </w:p>
    <w:p w:rsidR="00D07545" w:rsidRPr="008B162A" w:rsidRDefault="00D07545" w:rsidP="00D07545">
      <w:pPr>
        <w:rPr>
          <w:rFonts w:ascii="Century Gothic" w:hAnsi="Century Gothic"/>
        </w:rPr>
      </w:pPr>
      <w:r w:rsidRPr="008B162A">
        <w:rPr>
          <w:rFonts w:ascii="Century Gothic" w:hAnsi="Century Gothic"/>
        </w:rPr>
        <w:t>Este servicio consiste en la prestación, por parte del AEP, de una línea desagregada (virtualmente) al CS. Debido a las características de la tecnología GPON, la información de este cliente se encuentra encapsulada y multiplexada con la información de los demás clientes del AEP dentro del árbol de conexiones asociado al ODF. Por lo anterior, no se puede recurrir a una desagregación física de la línea (como sería el caso en una red de cobre), sino que se debe producir una desagregación virtual mediante la cual el AEP entrega el tráfico de este usuario al CS, una vez separado del tráfico de los demás usuarios del AEP. Esta entrega se realiza en el primer ODF posterior al OLT, como se indica en la siguiente ilustración:</w:t>
      </w:r>
    </w:p>
    <w:p w:rsidR="00D07545" w:rsidRPr="008B162A" w:rsidRDefault="00D07545" w:rsidP="00F80FD3">
      <w:pPr>
        <w:keepNext/>
        <w:rPr>
          <w:rFonts w:ascii="Century Gothic" w:hAnsi="Century Gothic"/>
        </w:rPr>
      </w:pPr>
      <w:r w:rsidRPr="008B162A">
        <w:rPr>
          <w:rFonts w:ascii="Century Gothic" w:hAnsi="Century Gothic"/>
          <w:noProof/>
          <w:lang w:eastAsia="es-MX"/>
        </w:rPr>
        <w:drawing>
          <wp:inline distT="0" distB="0" distL="0" distR="0" wp14:anchorId="3026F922" wp14:editId="62306AA3">
            <wp:extent cx="5402580" cy="2157037"/>
            <wp:effectExtent l="0" t="0" r="7620" b="0"/>
            <wp:docPr id="248" name="Picture 248" title="LI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2580" cy="2157037"/>
                    </a:xfrm>
                    <a:prstGeom prst="rect">
                      <a:avLst/>
                    </a:prstGeom>
                    <a:noFill/>
                    <a:ln>
                      <a:noFill/>
                    </a:ln>
                  </pic:spPr>
                </pic:pic>
              </a:graphicData>
            </a:graphic>
          </wp:inline>
        </w:drawing>
      </w:r>
    </w:p>
    <w:p w:rsidR="00D07545" w:rsidRPr="008B162A" w:rsidRDefault="00D07545" w:rsidP="00D07545">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3</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w:t>
      </w:r>
      <w:r w:rsidR="006F7424" w:rsidRPr="008B162A">
        <w:rPr>
          <w:rFonts w:ascii="Century Gothic" w:hAnsi="Century Gothic"/>
        </w:rPr>
        <w:fldChar w:fldCharType="end"/>
      </w:r>
      <w:r w:rsidRPr="008B162A">
        <w:rPr>
          <w:rFonts w:ascii="Century Gothic" w:hAnsi="Century Gothic"/>
        </w:rPr>
        <w:t xml:space="preserve">: Diagrama de Red del servicio de desagregación virtual – VULA [Fuente: </w:t>
      </w:r>
      <w:r w:rsidR="006B7D75" w:rsidRPr="008B162A">
        <w:rPr>
          <w:rFonts w:ascii="Century Gothic" w:hAnsi="Century Gothic"/>
        </w:rPr>
        <w:t>IFT, 2016</w:t>
      </w:r>
      <w:r w:rsidRPr="008B162A">
        <w:rPr>
          <w:rFonts w:ascii="Century Gothic" w:hAnsi="Century Gothic"/>
        </w:rPr>
        <w:t>]</w:t>
      </w:r>
    </w:p>
    <w:p w:rsidR="00D07545" w:rsidRPr="008B162A" w:rsidRDefault="00D07545" w:rsidP="00D07545">
      <w:pPr>
        <w:rPr>
          <w:rFonts w:ascii="Century Gothic" w:hAnsi="Century Gothic"/>
        </w:rPr>
      </w:pPr>
      <w:r w:rsidRPr="008B162A">
        <w:rPr>
          <w:rFonts w:ascii="Century Gothic" w:hAnsi="Century Gothic"/>
        </w:rPr>
        <w:lastRenderedPageBreak/>
        <w:t>Para poder otorgar este servicio, se requiere de los siguientes recursos de red:</w:t>
      </w:r>
    </w:p>
    <w:p w:rsidR="00D07545" w:rsidRPr="00D7559E" w:rsidRDefault="00D07545" w:rsidP="000F1DD5">
      <w:pPr>
        <w:pStyle w:val="Indentado1"/>
        <w:numPr>
          <w:ilvl w:val="0"/>
          <w:numId w:val="27"/>
        </w:numPr>
      </w:pPr>
      <w:r w:rsidRPr="00D7559E">
        <w:t>Cable de fibra óptica (acometida, red secundaria y red primaria)</w:t>
      </w:r>
    </w:p>
    <w:p w:rsidR="001A496A" w:rsidRPr="00D7559E" w:rsidRDefault="00D07545" w:rsidP="000F1DD5">
      <w:pPr>
        <w:pStyle w:val="Indentado1"/>
        <w:numPr>
          <w:ilvl w:val="0"/>
          <w:numId w:val="27"/>
        </w:numPr>
      </w:pPr>
      <w:r w:rsidRPr="00D7559E">
        <w:t>Infraestructura civil, como ductos, postes y canalizaciones (acometida, red secundaria y red primaria)</w:t>
      </w:r>
    </w:p>
    <w:p w:rsidR="00D07545" w:rsidRPr="00D7559E" w:rsidRDefault="00D07545" w:rsidP="000F1DD5">
      <w:pPr>
        <w:pStyle w:val="Indentado1"/>
        <w:numPr>
          <w:ilvl w:val="0"/>
          <w:numId w:val="27"/>
        </w:numPr>
      </w:pPr>
      <w:r w:rsidRPr="00D7559E">
        <w:t>Caja terminal</w:t>
      </w:r>
    </w:p>
    <w:p w:rsidR="00D07545" w:rsidRPr="00D7559E" w:rsidRDefault="00D07545" w:rsidP="000F1DD5">
      <w:pPr>
        <w:pStyle w:val="Indentado1"/>
        <w:numPr>
          <w:ilvl w:val="0"/>
          <w:numId w:val="27"/>
        </w:numPr>
      </w:pPr>
      <w:r w:rsidRPr="00D7559E">
        <w:t>Punto de distribución</w:t>
      </w:r>
    </w:p>
    <w:p w:rsidR="00D07545" w:rsidRPr="00D7559E" w:rsidRDefault="00D07545" w:rsidP="000F1DD5">
      <w:pPr>
        <w:pStyle w:val="Indentado1"/>
        <w:numPr>
          <w:ilvl w:val="0"/>
          <w:numId w:val="27"/>
        </w:numPr>
      </w:pPr>
      <w:r w:rsidRPr="00D7559E">
        <w:t>ODF</w:t>
      </w:r>
    </w:p>
    <w:p w:rsidR="00D07545" w:rsidRPr="00D7559E" w:rsidRDefault="00D07545" w:rsidP="000F1DD5">
      <w:pPr>
        <w:pStyle w:val="Indentado1"/>
        <w:numPr>
          <w:ilvl w:val="0"/>
          <w:numId w:val="27"/>
        </w:numPr>
      </w:pPr>
      <w:r w:rsidRPr="00D7559E">
        <w:t>OLT</w:t>
      </w:r>
    </w:p>
    <w:p w:rsidR="00393BD3" w:rsidRPr="00D7559E" w:rsidRDefault="00393BD3" w:rsidP="000F1DD5">
      <w:pPr>
        <w:pStyle w:val="Indentado1"/>
        <w:numPr>
          <w:ilvl w:val="0"/>
          <w:numId w:val="27"/>
        </w:numPr>
      </w:pPr>
      <w:r w:rsidRPr="00D7559E">
        <w:t>ONT (opcional)</w:t>
      </w:r>
    </w:p>
    <w:p w:rsidR="00D07545" w:rsidRPr="008B162A" w:rsidRDefault="001A496A" w:rsidP="00D07545">
      <w:pPr>
        <w:rPr>
          <w:rFonts w:ascii="Century Gothic" w:hAnsi="Century Gothic"/>
        </w:rPr>
      </w:pPr>
      <w:r w:rsidRPr="008B162A">
        <w:rPr>
          <w:rFonts w:ascii="Century Gothic" w:hAnsi="Century Gothic"/>
        </w:rPr>
        <w:t>En</w:t>
      </w:r>
      <w:r w:rsidR="00D07545" w:rsidRPr="008B162A">
        <w:rPr>
          <w:rFonts w:ascii="Century Gothic" w:hAnsi="Century Gothic"/>
        </w:rPr>
        <w:t xml:space="preserve"> el servicio de desagregación virtual (VULA) el tráfico del cliente del CS no circula por la red de agregación y transporte del AEP sino que se entrega al CS en la central óptica.</w:t>
      </w:r>
    </w:p>
    <w:p w:rsidR="00393BD3" w:rsidRPr="008B162A" w:rsidRDefault="00203361" w:rsidP="006C6D41">
      <w:pPr>
        <w:rPr>
          <w:rFonts w:ascii="Century Gothic" w:hAnsi="Century Gothic"/>
        </w:rPr>
      </w:pPr>
      <w:r w:rsidRPr="008B162A">
        <w:rPr>
          <w:rFonts w:ascii="Century Gothic" w:hAnsi="Century Gothic"/>
        </w:rPr>
        <w:t xml:space="preserve">Se han definido dos variantes de este servicio. La primera de ellas considera que el CS proporciona el ONT y, por lo tanto, no se incluye en el </w:t>
      </w:r>
      <w:proofErr w:type="spellStart"/>
      <w:r w:rsidRPr="008B162A">
        <w:rPr>
          <w:rFonts w:ascii="Century Gothic" w:hAnsi="Century Gothic"/>
        </w:rPr>
        <w:t>costeo</w:t>
      </w:r>
      <w:proofErr w:type="spellEnd"/>
      <w:r w:rsidRPr="008B162A">
        <w:rPr>
          <w:rFonts w:ascii="Century Gothic" w:hAnsi="Century Gothic"/>
        </w:rPr>
        <w:t xml:space="preserve"> del servicio mayorista. Bajo la segunda variante, el AEP se encargaría de facilitar el ONT y éste se cedería al CS como parte del servicio proporcionado por el AEP</w:t>
      </w:r>
      <w:r w:rsidR="00393BD3" w:rsidRPr="008B162A">
        <w:rPr>
          <w:rFonts w:ascii="Century Gothic" w:hAnsi="Century Gothic"/>
        </w:rPr>
        <w:t xml:space="preserve">. </w:t>
      </w:r>
    </w:p>
    <w:p w:rsidR="00D76724" w:rsidRPr="008B162A" w:rsidRDefault="00D76724" w:rsidP="00D76724">
      <w:pPr>
        <w:pStyle w:val="Ttulo2"/>
        <w:spacing w:before="240"/>
        <w:ind w:left="0" w:firstLine="0"/>
        <w:rPr>
          <w:rFonts w:ascii="Century Gothic" w:hAnsi="Century Gothic"/>
          <w:color w:val="auto"/>
        </w:rPr>
      </w:pPr>
      <w:bookmarkStart w:id="37" w:name="_Toc461625894"/>
      <w:r w:rsidRPr="008B162A">
        <w:rPr>
          <w:rFonts w:ascii="Century Gothic" w:hAnsi="Century Gothic"/>
          <w:color w:val="auto"/>
        </w:rPr>
        <w:t>Servicio de desagregación del bucle punto a punto</w:t>
      </w:r>
      <w:bookmarkEnd w:id="37"/>
    </w:p>
    <w:p w:rsidR="00D76724" w:rsidRPr="008B162A" w:rsidRDefault="00D76724" w:rsidP="00F80FD3">
      <w:pPr>
        <w:rPr>
          <w:rFonts w:ascii="Century Gothic" w:hAnsi="Century Gothic"/>
        </w:rPr>
      </w:pPr>
      <w:r w:rsidRPr="008B162A">
        <w:rPr>
          <w:rFonts w:ascii="Century Gothic" w:hAnsi="Century Gothic"/>
        </w:rPr>
        <w:t>Mediante este servicio el AEP brinda al CS un enlace directo entre el ONT del cliente final y el ODF de la central óptica previo al multiplexor multiservicios necesario para gestionar el servicio del enlace dedicado. En este punto, el tráfico es entregado al CS para que lo integre en su propia red de agregación y transporte.</w:t>
      </w:r>
    </w:p>
    <w:p w:rsidR="00D76724" w:rsidRPr="008B162A" w:rsidRDefault="00D76724" w:rsidP="00D76724">
      <w:pPr>
        <w:keepNext/>
        <w:spacing w:after="0"/>
        <w:rPr>
          <w:rFonts w:ascii="Century Gothic" w:hAnsi="Century Gothic"/>
        </w:rPr>
      </w:pPr>
    </w:p>
    <w:p w:rsidR="00D76724" w:rsidRPr="008B162A" w:rsidRDefault="00D76724" w:rsidP="00D76724">
      <w:pPr>
        <w:keepNext/>
        <w:spacing w:after="0"/>
        <w:rPr>
          <w:rFonts w:ascii="Century Gothic" w:hAnsi="Century Gothic"/>
        </w:rPr>
      </w:pPr>
      <w:r w:rsidRPr="008B162A">
        <w:rPr>
          <w:rFonts w:ascii="Century Gothic" w:hAnsi="Century Gothic"/>
          <w:noProof/>
          <w:lang w:eastAsia="es-MX"/>
        </w:rPr>
        <w:drawing>
          <wp:inline distT="0" distB="0" distL="0" distR="0" wp14:anchorId="7677CE85" wp14:editId="6D3AC651">
            <wp:extent cx="5731510" cy="3085795"/>
            <wp:effectExtent l="0" t="0" r="2540" b="635"/>
            <wp:docPr id="7" name="Picture 7" title="LI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085795"/>
                    </a:xfrm>
                    <a:prstGeom prst="rect">
                      <a:avLst/>
                    </a:prstGeom>
                    <a:noFill/>
                    <a:ln>
                      <a:noFill/>
                    </a:ln>
                  </pic:spPr>
                </pic:pic>
              </a:graphicData>
            </a:graphic>
          </wp:inline>
        </w:drawing>
      </w:r>
    </w:p>
    <w:p w:rsidR="00D76724" w:rsidRPr="008B162A" w:rsidRDefault="00D76724" w:rsidP="00D76724">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3</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2</w:t>
      </w:r>
      <w:r w:rsidR="006F7424" w:rsidRPr="008B162A">
        <w:rPr>
          <w:rFonts w:ascii="Century Gothic" w:hAnsi="Century Gothic"/>
        </w:rPr>
        <w:fldChar w:fldCharType="end"/>
      </w:r>
      <w:r w:rsidRPr="008B162A">
        <w:rPr>
          <w:rFonts w:ascii="Century Gothic" w:hAnsi="Century Gothic"/>
        </w:rPr>
        <w:t xml:space="preserve">: Diagrama de red del servicio de desagregación del bucle punto a punto [Fuente: </w:t>
      </w:r>
      <w:r w:rsidR="006B7D75" w:rsidRPr="008B162A">
        <w:rPr>
          <w:rFonts w:ascii="Century Gothic" w:hAnsi="Century Gothic"/>
        </w:rPr>
        <w:t>IFT, 2016</w:t>
      </w:r>
      <w:r w:rsidRPr="008B162A">
        <w:rPr>
          <w:rFonts w:ascii="Century Gothic" w:hAnsi="Century Gothic"/>
        </w:rPr>
        <w:t>]</w:t>
      </w:r>
    </w:p>
    <w:p w:rsidR="00D76724" w:rsidRPr="008B162A" w:rsidRDefault="00D76724" w:rsidP="00D76724">
      <w:pPr>
        <w:rPr>
          <w:rFonts w:ascii="Century Gothic" w:hAnsi="Century Gothic"/>
        </w:rPr>
      </w:pPr>
      <w:r w:rsidRPr="008B162A">
        <w:rPr>
          <w:rFonts w:ascii="Century Gothic" w:hAnsi="Century Gothic"/>
        </w:rPr>
        <w:t>Para poder dimensionar el servicio, se requiere de los siguientes recursos contenidos en el modelo:</w:t>
      </w:r>
    </w:p>
    <w:p w:rsidR="00D76724" w:rsidRPr="00D7559E" w:rsidRDefault="00D76724" w:rsidP="000F1DD5">
      <w:pPr>
        <w:pStyle w:val="Indentado1"/>
        <w:numPr>
          <w:ilvl w:val="0"/>
          <w:numId w:val="27"/>
        </w:numPr>
      </w:pPr>
      <w:r w:rsidRPr="00D7559E">
        <w:t>Cable de fibra óptica (acometida, red secundaria y red primaria)</w:t>
      </w:r>
    </w:p>
    <w:p w:rsidR="00D76724" w:rsidRPr="00D7559E" w:rsidRDefault="00D76724" w:rsidP="000F1DD5">
      <w:pPr>
        <w:pStyle w:val="Indentado1"/>
        <w:numPr>
          <w:ilvl w:val="0"/>
          <w:numId w:val="27"/>
        </w:numPr>
      </w:pPr>
      <w:r w:rsidRPr="00D7559E">
        <w:t>Infraestructura civil, como ductos, postes y canalizaciones (acometida, red secundaria y red primaria)</w:t>
      </w:r>
    </w:p>
    <w:p w:rsidR="00F66980" w:rsidRPr="00D7559E" w:rsidRDefault="00F66980" w:rsidP="000F1DD5">
      <w:pPr>
        <w:pStyle w:val="Indentado1"/>
        <w:numPr>
          <w:ilvl w:val="0"/>
          <w:numId w:val="27"/>
        </w:numPr>
      </w:pPr>
      <w:r w:rsidRPr="00D7559E">
        <w:t>ODF de acceso a la central</w:t>
      </w:r>
    </w:p>
    <w:p w:rsidR="00D07545" w:rsidRPr="008B162A" w:rsidRDefault="00D07545" w:rsidP="00F9549E">
      <w:pPr>
        <w:pStyle w:val="Ttulo2"/>
        <w:spacing w:before="240"/>
        <w:ind w:left="0" w:firstLine="0"/>
        <w:rPr>
          <w:rFonts w:ascii="Century Gothic" w:hAnsi="Century Gothic"/>
          <w:color w:val="auto"/>
        </w:rPr>
      </w:pPr>
      <w:bookmarkStart w:id="38" w:name="_Toc461625895"/>
      <w:r w:rsidRPr="008B162A">
        <w:rPr>
          <w:rFonts w:ascii="Century Gothic" w:hAnsi="Century Gothic"/>
          <w:color w:val="auto"/>
        </w:rPr>
        <w:t>Otros servicios</w:t>
      </w:r>
      <w:r w:rsidR="00742A2F" w:rsidRPr="008B162A">
        <w:rPr>
          <w:rFonts w:ascii="Century Gothic" w:hAnsi="Century Gothic"/>
          <w:color w:val="auto"/>
        </w:rPr>
        <w:t xml:space="preserve"> relevantes</w:t>
      </w:r>
      <w:bookmarkEnd w:id="38"/>
    </w:p>
    <w:p w:rsidR="00BD7AE8" w:rsidRPr="008B162A" w:rsidRDefault="00BD7AE8" w:rsidP="00F80FD3">
      <w:pPr>
        <w:rPr>
          <w:rFonts w:ascii="Century Gothic" w:hAnsi="Century Gothic"/>
        </w:rPr>
      </w:pPr>
      <w:r w:rsidRPr="008B162A">
        <w:rPr>
          <w:rFonts w:ascii="Century Gothic" w:hAnsi="Century Gothic"/>
        </w:rPr>
        <w:t>Adicionalmente a</w:t>
      </w:r>
      <w:r w:rsidR="00D77ACE" w:rsidRPr="008B162A">
        <w:rPr>
          <w:rFonts w:ascii="Century Gothic" w:hAnsi="Century Gothic"/>
        </w:rPr>
        <w:t xml:space="preserve"> los servicios de</w:t>
      </w:r>
      <w:r w:rsidRPr="008B162A">
        <w:rPr>
          <w:rFonts w:ascii="Century Gothic" w:hAnsi="Century Gothic"/>
        </w:rPr>
        <w:t xml:space="preserve"> desagregación virtual</w:t>
      </w:r>
      <w:r w:rsidR="00D77ACE" w:rsidRPr="008B162A">
        <w:rPr>
          <w:rFonts w:ascii="Century Gothic" w:hAnsi="Century Gothic"/>
        </w:rPr>
        <w:t xml:space="preserve"> y de desagregación del bucle punto a punto</w:t>
      </w:r>
      <w:r w:rsidRPr="008B162A">
        <w:rPr>
          <w:rFonts w:ascii="Century Gothic" w:hAnsi="Century Gothic"/>
        </w:rPr>
        <w:t xml:space="preserve">, se hace preciso incorporar en el modelo </w:t>
      </w:r>
      <w:r w:rsidR="00F80FD3" w:rsidRPr="008B162A">
        <w:rPr>
          <w:rFonts w:ascii="Century Gothic" w:hAnsi="Century Gothic"/>
        </w:rPr>
        <w:t>aquellos</w:t>
      </w:r>
      <w:r w:rsidRPr="008B162A">
        <w:rPr>
          <w:rFonts w:ascii="Century Gothic" w:hAnsi="Century Gothic"/>
        </w:rPr>
        <w:t xml:space="preserve"> servicios prestados de manera conjunta sobre la red de fibra óptica. La incorporación de estos servicios adicionales tiene el objeto principal de asegurar el correcto dimensionado y cálculo de los costos de la red, reflejando las economías de </w:t>
      </w:r>
      <w:r w:rsidR="00D77ACE" w:rsidRPr="008B162A">
        <w:rPr>
          <w:rFonts w:ascii="Century Gothic" w:hAnsi="Century Gothic"/>
        </w:rPr>
        <w:t>escala</w:t>
      </w:r>
      <w:r w:rsidRPr="008B162A">
        <w:rPr>
          <w:rFonts w:ascii="Century Gothic" w:hAnsi="Century Gothic"/>
        </w:rPr>
        <w:t xml:space="preserve"> de la provisión conjunta de varios servicios sobre una misma red, así como la asignación causal de costos al servicio de desagregación virtual.</w:t>
      </w:r>
    </w:p>
    <w:p w:rsidR="00742A2F" w:rsidRPr="008B162A" w:rsidRDefault="00742A2F" w:rsidP="00F80FD3">
      <w:pPr>
        <w:pStyle w:val="Ttulo4"/>
        <w:rPr>
          <w:rFonts w:ascii="Century Gothic" w:hAnsi="Century Gothic"/>
          <w:color w:val="auto"/>
        </w:rPr>
      </w:pPr>
      <w:bookmarkStart w:id="39" w:name="_Toc456950113"/>
      <w:bookmarkStart w:id="40" w:name="_Toc459506076"/>
      <w:r w:rsidRPr="008B162A">
        <w:rPr>
          <w:rFonts w:ascii="Century Gothic" w:hAnsi="Century Gothic"/>
          <w:color w:val="auto"/>
        </w:rPr>
        <w:t>Servicio de acceso a fibra minorista</w:t>
      </w:r>
      <w:bookmarkEnd w:id="39"/>
      <w:bookmarkEnd w:id="40"/>
    </w:p>
    <w:p w:rsidR="00742A2F" w:rsidRPr="008B162A" w:rsidRDefault="00742A2F" w:rsidP="007449DB">
      <w:pPr>
        <w:rPr>
          <w:rFonts w:ascii="Century Gothic" w:hAnsi="Century Gothic"/>
        </w:rPr>
      </w:pPr>
      <w:r w:rsidRPr="008B162A">
        <w:rPr>
          <w:rFonts w:ascii="Century Gothic" w:hAnsi="Century Gothic"/>
        </w:rPr>
        <w:t xml:space="preserve">Servicio de acceso de fibra </w:t>
      </w:r>
      <w:r w:rsidR="007449DB" w:rsidRPr="008B162A">
        <w:rPr>
          <w:rFonts w:ascii="Century Gothic" w:hAnsi="Century Gothic"/>
        </w:rPr>
        <w:t>a clientes del AEP y a aquellos cubiertos por servicios de reventa</w:t>
      </w:r>
      <w:r w:rsidRPr="008B162A">
        <w:rPr>
          <w:rFonts w:ascii="Century Gothic" w:hAnsi="Century Gothic"/>
        </w:rPr>
        <w:t xml:space="preserve">. El tráfico de estos clientes es multiplexado a través de una caja terminal y un punto de </w:t>
      </w:r>
      <w:r w:rsidRPr="008B162A">
        <w:rPr>
          <w:rFonts w:ascii="Century Gothic" w:hAnsi="Century Gothic"/>
        </w:rPr>
        <w:lastRenderedPageBreak/>
        <w:t xml:space="preserve">distribución, y posteriormente el AEP </w:t>
      </w:r>
      <w:proofErr w:type="spellStart"/>
      <w:r w:rsidRPr="008B162A">
        <w:rPr>
          <w:rFonts w:ascii="Century Gothic" w:hAnsi="Century Gothic"/>
        </w:rPr>
        <w:t>enruta</w:t>
      </w:r>
      <w:proofErr w:type="spellEnd"/>
      <w:r w:rsidRPr="008B162A">
        <w:rPr>
          <w:rFonts w:ascii="Century Gothic" w:hAnsi="Century Gothic"/>
        </w:rPr>
        <w:t xml:space="preserve"> el tráfico hacia su propia red de agregación y transporte.</w:t>
      </w:r>
    </w:p>
    <w:p w:rsidR="00742A2F" w:rsidRPr="008B162A" w:rsidRDefault="00742A2F" w:rsidP="00742A2F">
      <w:pPr>
        <w:keepNext/>
        <w:spacing w:after="0"/>
        <w:rPr>
          <w:rFonts w:ascii="Century Gothic" w:hAnsi="Century Gothic"/>
        </w:rPr>
      </w:pPr>
      <w:r w:rsidRPr="008B162A">
        <w:rPr>
          <w:rFonts w:ascii="Century Gothic" w:hAnsi="Century Gothic"/>
          <w:noProof/>
          <w:lang w:eastAsia="es-MX"/>
        </w:rPr>
        <w:drawing>
          <wp:inline distT="0" distB="0" distL="0" distR="0" wp14:anchorId="02D6F0F7" wp14:editId="0AE6D7A0">
            <wp:extent cx="5646270" cy="2343150"/>
            <wp:effectExtent l="0" t="0" r="0" b="0"/>
            <wp:docPr id="249" name="Picture 249"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1724" cy="2345414"/>
                    </a:xfrm>
                    <a:prstGeom prst="rect">
                      <a:avLst/>
                    </a:prstGeom>
                    <a:noFill/>
                    <a:ln>
                      <a:noFill/>
                    </a:ln>
                  </pic:spPr>
                </pic:pic>
              </a:graphicData>
            </a:graphic>
          </wp:inline>
        </w:drawing>
      </w:r>
    </w:p>
    <w:p w:rsidR="00742A2F" w:rsidRPr="008B162A" w:rsidRDefault="00742A2F" w:rsidP="00742A2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3</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3</w:t>
      </w:r>
      <w:r w:rsidR="006F7424" w:rsidRPr="008B162A">
        <w:rPr>
          <w:rFonts w:ascii="Century Gothic" w:hAnsi="Century Gothic"/>
        </w:rPr>
        <w:fldChar w:fldCharType="end"/>
      </w:r>
      <w:r w:rsidRPr="008B162A">
        <w:rPr>
          <w:rFonts w:ascii="Century Gothic" w:hAnsi="Century Gothic"/>
        </w:rPr>
        <w:t xml:space="preserve">: Diagrama de red del servicio de acceso a fibra minorista [Fuente: </w:t>
      </w:r>
      <w:r w:rsidR="006B7D75" w:rsidRPr="008B162A">
        <w:rPr>
          <w:rFonts w:ascii="Century Gothic" w:hAnsi="Century Gothic"/>
        </w:rPr>
        <w:t>IFT, 2016</w:t>
      </w:r>
      <w:r w:rsidRPr="008B162A">
        <w:rPr>
          <w:rFonts w:ascii="Century Gothic" w:hAnsi="Century Gothic"/>
        </w:rPr>
        <w:t>]</w:t>
      </w:r>
    </w:p>
    <w:p w:rsidR="00742A2F" w:rsidRPr="008B162A" w:rsidRDefault="00742A2F" w:rsidP="00742A2F">
      <w:pPr>
        <w:rPr>
          <w:rFonts w:ascii="Century Gothic" w:hAnsi="Century Gothic"/>
        </w:rPr>
      </w:pPr>
      <w:r w:rsidRPr="008B162A">
        <w:rPr>
          <w:rFonts w:ascii="Century Gothic" w:hAnsi="Century Gothic"/>
        </w:rPr>
        <w:t>Para poder proporcionar este servicio, el AEP hace uso de los siguientes recursos:</w:t>
      </w:r>
    </w:p>
    <w:p w:rsidR="00742A2F" w:rsidRPr="00D7559E" w:rsidRDefault="00742A2F" w:rsidP="000F1DD5">
      <w:pPr>
        <w:pStyle w:val="Indentado1"/>
        <w:numPr>
          <w:ilvl w:val="0"/>
          <w:numId w:val="27"/>
        </w:numPr>
      </w:pPr>
      <w:r w:rsidRPr="00D7559E">
        <w:t>Cable de fibra óptica (acometida, red secundaria y red primaria)</w:t>
      </w:r>
    </w:p>
    <w:p w:rsidR="00742A2F" w:rsidRPr="00D7559E" w:rsidRDefault="00742A2F" w:rsidP="000F1DD5">
      <w:pPr>
        <w:pStyle w:val="Indentado1"/>
        <w:numPr>
          <w:ilvl w:val="0"/>
          <w:numId w:val="27"/>
        </w:numPr>
      </w:pPr>
      <w:r w:rsidRPr="00D7559E">
        <w:t>Infraestructura civil, como ductos, postes y canalizaciones (acometida, red secundaria y red primaria)</w:t>
      </w:r>
    </w:p>
    <w:p w:rsidR="00742A2F" w:rsidRPr="00D7559E" w:rsidRDefault="00742A2F" w:rsidP="000F1DD5">
      <w:pPr>
        <w:pStyle w:val="Indentado1"/>
        <w:numPr>
          <w:ilvl w:val="0"/>
          <w:numId w:val="27"/>
        </w:numPr>
      </w:pPr>
      <w:r w:rsidRPr="00D7559E">
        <w:t>Caja terminal</w:t>
      </w:r>
    </w:p>
    <w:p w:rsidR="00742A2F" w:rsidRPr="00D7559E" w:rsidRDefault="00742A2F" w:rsidP="000F1DD5">
      <w:pPr>
        <w:pStyle w:val="Indentado1"/>
        <w:numPr>
          <w:ilvl w:val="0"/>
          <w:numId w:val="27"/>
        </w:numPr>
      </w:pPr>
      <w:r w:rsidRPr="00D7559E">
        <w:t>Punto de distribución</w:t>
      </w:r>
    </w:p>
    <w:p w:rsidR="00742A2F" w:rsidRPr="00D7559E" w:rsidRDefault="00742A2F" w:rsidP="000F1DD5">
      <w:pPr>
        <w:pStyle w:val="Indentado1"/>
        <w:numPr>
          <w:ilvl w:val="0"/>
          <w:numId w:val="27"/>
        </w:numPr>
      </w:pPr>
      <w:r w:rsidRPr="00D7559E">
        <w:t>ODF</w:t>
      </w:r>
    </w:p>
    <w:p w:rsidR="00742A2F" w:rsidRPr="00D7559E" w:rsidRDefault="00742A2F" w:rsidP="000F1DD5">
      <w:pPr>
        <w:pStyle w:val="Indentado1"/>
        <w:numPr>
          <w:ilvl w:val="0"/>
          <w:numId w:val="27"/>
        </w:numPr>
      </w:pPr>
      <w:r w:rsidRPr="00D7559E">
        <w:t>OLT</w:t>
      </w:r>
    </w:p>
    <w:p w:rsidR="00742A2F" w:rsidRPr="008B162A" w:rsidRDefault="00742A2F" w:rsidP="00F80FD3">
      <w:pPr>
        <w:rPr>
          <w:rFonts w:ascii="Century Gothic" w:hAnsi="Century Gothic"/>
        </w:rPr>
      </w:pPr>
      <w:r w:rsidRPr="008B162A">
        <w:rPr>
          <w:rFonts w:ascii="Century Gothic" w:hAnsi="Century Gothic"/>
        </w:rPr>
        <w:t>A diferencia de</w:t>
      </w:r>
      <w:r w:rsidR="007A3D0E" w:rsidRPr="008B162A">
        <w:rPr>
          <w:rFonts w:ascii="Century Gothic" w:hAnsi="Century Gothic"/>
        </w:rPr>
        <w:t>l servicio</w:t>
      </w:r>
      <w:r w:rsidRPr="008B162A">
        <w:rPr>
          <w:rFonts w:ascii="Century Gothic" w:hAnsi="Century Gothic"/>
        </w:rPr>
        <w:t xml:space="preserve"> de desagregación virtual, en este caso el tráfico proveniente de un cliente </w:t>
      </w:r>
      <w:r w:rsidR="00A90BF4" w:rsidRPr="008B162A">
        <w:rPr>
          <w:rFonts w:ascii="Century Gothic" w:hAnsi="Century Gothic"/>
        </w:rPr>
        <w:t>final,</w:t>
      </w:r>
      <w:r w:rsidR="00606684" w:rsidRPr="008B162A">
        <w:rPr>
          <w:rFonts w:ascii="Century Gothic" w:hAnsi="Century Gothic"/>
        </w:rPr>
        <w:t xml:space="preserve"> tanto del AEP como del CS,</w:t>
      </w:r>
      <w:r w:rsidR="00B240B0" w:rsidRPr="008B162A">
        <w:rPr>
          <w:rFonts w:ascii="Century Gothic" w:hAnsi="Century Gothic"/>
        </w:rPr>
        <w:t xml:space="preserve"> </w:t>
      </w:r>
      <w:r w:rsidRPr="008B162A">
        <w:rPr>
          <w:rFonts w:ascii="Century Gothic" w:hAnsi="Century Gothic"/>
        </w:rPr>
        <w:t xml:space="preserve">es </w:t>
      </w:r>
      <w:proofErr w:type="spellStart"/>
      <w:r w:rsidRPr="008B162A">
        <w:rPr>
          <w:rFonts w:ascii="Century Gothic" w:hAnsi="Century Gothic"/>
        </w:rPr>
        <w:t>enrutado</w:t>
      </w:r>
      <w:proofErr w:type="spellEnd"/>
      <w:r w:rsidRPr="008B162A">
        <w:rPr>
          <w:rFonts w:ascii="Century Gothic" w:hAnsi="Century Gothic"/>
        </w:rPr>
        <w:t xml:space="preserve"> hacia la red de agregación y transporte para su gestión integral por parte del AEP, sin ningún tipo de interconexión con la red del CS.</w:t>
      </w:r>
    </w:p>
    <w:bookmarkEnd w:id="35"/>
    <w:bookmarkEnd w:id="36"/>
    <w:p w:rsidR="00606684" w:rsidRPr="008B162A" w:rsidRDefault="00606684" w:rsidP="00606684">
      <w:pPr>
        <w:pStyle w:val="Ttulo4"/>
        <w:rPr>
          <w:rFonts w:ascii="Century Gothic" w:hAnsi="Century Gothic"/>
          <w:color w:val="auto"/>
        </w:rPr>
      </w:pPr>
      <w:r w:rsidRPr="008B162A">
        <w:rPr>
          <w:rFonts w:ascii="Century Gothic" w:hAnsi="Century Gothic"/>
          <w:color w:val="auto"/>
        </w:rPr>
        <w:t>Servicio de acceso Indirecto</w:t>
      </w:r>
    </w:p>
    <w:p w:rsidR="00606684" w:rsidRPr="008B162A" w:rsidRDefault="00606684" w:rsidP="00606684">
      <w:pPr>
        <w:rPr>
          <w:rFonts w:ascii="Century Gothic" w:hAnsi="Century Gothic"/>
        </w:rPr>
      </w:pPr>
      <w:r w:rsidRPr="008B162A">
        <w:rPr>
          <w:rFonts w:ascii="Century Gothic" w:hAnsi="Century Gothic"/>
        </w:rPr>
        <w:t xml:space="preserve">El servicio de acceso indirecto permite a los </w:t>
      </w:r>
      <w:r w:rsidR="00F112BC" w:rsidRPr="008B162A">
        <w:rPr>
          <w:rFonts w:ascii="Century Gothic" w:hAnsi="Century Gothic"/>
        </w:rPr>
        <w:t>CS</w:t>
      </w:r>
      <w:r w:rsidRPr="008B162A">
        <w:rPr>
          <w:rFonts w:ascii="Century Gothic" w:hAnsi="Century Gothic"/>
        </w:rPr>
        <w:t xml:space="preserve"> conectarse a la red del </w:t>
      </w:r>
      <w:r w:rsidR="00F112BC" w:rsidRPr="008B162A">
        <w:rPr>
          <w:rFonts w:ascii="Century Gothic" w:hAnsi="Century Gothic"/>
        </w:rPr>
        <w:t>AEP</w:t>
      </w:r>
      <w:r w:rsidRPr="008B162A">
        <w:rPr>
          <w:rFonts w:ascii="Century Gothic" w:hAnsi="Century Gothic"/>
        </w:rPr>
        <w:t xml:space="preserve"> en un punto de interconexión, de forma que puedan ofrecer servicios de acceso a internet a clientes finales a través de la red de acceso de fibra del AEP a nivel nacional. </w:t>
      </w:r>
      <w:r w:rsidR="00C00068" w:rsidRPr="008B162A">
        <w:rPr>
          <w:rFonts w:ascii="Century Gothic" w:hAnsi="Century Gothic"/>
        </w:rPr>
        <w:t>Mediante</w:t>
      </w:r>
      <w:r w:rsidR="00C00068" w:rsidRPr="008B162A">
        <w:rPr>
          <w:rFonts w:ascii="Century Gothic" w:hAnsi="Century Gothic"/>
          <w:spacing w:val="-22"/>
        </w:rPr>
        <w:t xml:space="preserve"> </w:t>
      </w:r>
      <w:r w:rsidR="00C00068" w:rsidRPr="008B162A">
        <w:rPr>
          <w:rFonts w:ascii="Century Gothic" w:hAnsi="Century Gothic"/>
        </w:rPr>
        <w:t>este</w:t>
      </w:r>
      <w:r w:rsidR="00C00068" w:rsidRPr="008B162A">
        <w:rPr>
          <w:rFonts w:ascii="Century Gothic" w:hAnsi="Century Gothic"/>
          <w:spacing w:val="-24"/>
        </w:rPr>
        <w:t xml:space="preserve"> </w:t>
      </w:r>
      <w:r w:rsidR="00C00068" w:rsidRPr="008B162A">
        <w:rPr>
          <w:rFonts w:ascii="Century Gothic" w:hAnsi="Century Gothic"/>
        </w:rPr>
        <w:t>servicio, el AEP pone a disposición del CS capacidad de transmisión entre el usuario final y un Punto de Interconexión del CS, de tal forma que se permita la provisión de servicios de telecomunicaciones a un usuario final que se conecta a la red pública de telecomunicaciones mediante una Acometida del AEP</w:t>
      </w:r>
      <w:r w:rsidRPr="008B162A">
        <w:rPr>
          <w:rFonts w:ascii="Century Gothic" w:hAnsi="Century Gothic"/>
        </w:rPr>
        <w:t>.</w:t>
      </w:r>
    </w:p>
    <w:p w:rsidR="00606684" w:rsidRPr="008B162A" w:rsidRDefault="00606684" w:rsidP="00606684">
      <w:pPr>
        <w:keepNext/>
        <w:spacing w:after="0"/>
        <w:ind w:left="-284"/>
        <w:rPr>
          <w:rFonts w:ascii="Century Gothic" w:hAnsi="Century Gothic"/>
        </w:rPr>
      </w:pPr>
      <w:r w:rsidRPr="008B162A">
        <w:rPr>
          <w:rFonts w:ascii="Century Gothic" w:hAnsi="Century Gothic"/>
          <w:noProof/>
          <w:lang w:eastAsia="es-MX"/>
        </w:rPr>
        <w:lastRenderedPageBreak/>
        <w:drawing>
          <wp:inline distT="0" distB="0" distL="0" distR="0" wp14:anchorId="54EAC8D4" wp14:editId="4E274439">
            <wp:extent cx="6063738" cy="2505075"/>
            <wp:effectExtent l="0" t="0" r="0" b="0"/>
            <wp:docPr id="4" name="Picture 4"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3255" cy="2509007"/>
                    </a:xfrm>
                    <a:prstGeom prst="rect">
                      <a:avLst/>
                    </a:prstGeom>
                    <a:noFill/>
                    <a:ln>
                      <a:noFill/>
                    </a:ln>
                  </pic:spPr>
                </pic:pic>
              </a:graphicData>
            </a:graphic>
          </wp:inline>
        </w:drawing>
      </w:r>
    </w:p>
    <w:p w:rsidR="00606684" w:rsidRPr="008B162A" w:rsidRDefault="00606684" w:rsidP="00606684">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3</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Pr="008B162A">
        <w:rPr>
          <w:rFonts w:ascii="Century Gothic" w:hAnsi="Century Gothic"/>
        </w:rPr>
        <w:t xml:space="preserve">: Diagrama de red del servicio de acceso indirecto [Fuente: </w:t>
      </w:r>
      <w:r w:rsidR="006B7D75" w:rsidRPr="008B162A">
        <w:rPr>
          <w:rFonts w:ascii="Century Gothic" w:hAnsi="Century Gothic"/>
        </w:rPr>
        <w:t>IFT, 2016</w:t>
      </w:r>
      <w:r w:rsidRPr="008B162A">
        <w:rPr>
          <w:rFonts w:ascii="Century Gothic" w:hAnsi="Century Gothic"/>
        </w:rPr>
        <w:t>]</w:t>
      </w:r>
    </w:p>
    <w:p w:rsidR="00606684" w:rsidRPr="008B162A" w:rsidRDefault="00606684" w:rsidP="000F1DD5">
      <w:pPr>
        <w:pStyle w:val="Indentado1"/>
        <w:numPr>
          <w:ilvl w:val="0"/>
          <w:numId w:val="27"/>
        </w:numPr>
      </w:pPr>
      <w:r w:rsidRPr="008B162A">
        <w:t>Con base en el anterior diagrama técnico, se reconoce que la prestación de este servicio requiere de los siguientes elementos de red:</w:t>
      </w:r>
    </w:p>
    <w:p w:rsidR="00606684" w:rsidRPr="00D7559E" w:rsidRDefault="00606684" w:rsidP="000F1DD5">
      <w:pPr>
        <w:pStyle w:val="Indentado1"/>
        <w:numPr>
          <w:ilvl w:val="0"/>
          <w:numId w:val="27"/>
        </w:numPr>
      </w:pPr>
      <w:r w:rsidRPr="00D7559E">
        <w:t>Cable de fibra óptica (acometida, red secundaria y red primaria)</w:t>
      </w:r>
    </w:p>
    <w:p w:rsidR="00606684" w:rsidRPr="00D7559E" w:rsidRDefault="00606684" w:rsidP="000F1DD5">
      <w:pPr>
        <w:pStyle w:val="Indentado1"/>
        <w:numPr>
          <w:ilvl w:val="0"/>
          <w:numId w:val="27"/>
        </w:numPr>
      </w:pPr>
      <w:r w:rsidRPr="00D7559E">
        <w:t>Infraestructura civil, como ductos, postes y canalizaciones (acometida, red secundaria y red primaria)</w:t>
      </w:r>
    </w:p>
    <w:p w:rsidR="00606684" w:rsidRPr="00D7559E" w:rsidRDefault="00606684" w:rsidP="000F1DD5">
      <w:pPr>
        <w:pStyle w:val="Indentado1"/>
        <w:numPr>
          <w:ilvl w:val="0"/>
          <w:numId w:val="27"/>
        </w:numPr>
      </w:pPr>
      <w:r w:rsidRPr="00D7559E">
        <w:t>Caja terminal</w:t>
      </w:r>
    </w:p>
    <w:p w:rsidR="00606684" w:rsidRPr="00D7559E" w:rsidRDefault="00606684" w:rsidP="000F1DD5">
      <w:pPr>
        <w:pStyle w:val="Indentado1"/>
        <w:numPr>
          <w:ilvl w:val="0"/>
          <w:numId w:val="27"/>
        </w:numPr>
      </w:pPr>
      <w:r w:rsidRPr="00D7559E">
        <w:t>Punto de distribución</w:t>
      </w:r>
    </w:p>
    <w:p w:rsidR="00606684" w:rsidRPr="00D7559E" w:rsidRDefault="00606684" w:rsidP="000F1DD5">
      <w:pPr>
        <w:pStyle w:val="Indentado1"/>
        <w:numPr>
          <w:ilvl w:val="0"/>
          <w:numId w:val="27"/>
        </w:numPr>
      </w:pPr>
      <w:r w:rsidRPr="00D7559E">
        <w:t>ODF</w:t>
      </w:r>
    </w:p>
    <w:p w:rsidR="00606684" w:rsidRPr="00D7559E" w:rsidRDefault="00606684" w:rsidP="000F1DD5">
      <w:pPr>
        <w:pStyle w:val="Indentado1"/>
        <w:numPr>
          <w:ilvl w:val="0"/>
          <w:numId w:val="27"/>
        </w:numPr>
      </w:pPr>
      <w:r w:rsidRPr="00D7559E">
        <w:t>OLT</w:t>
      </w:r>
    </w:p>
    <w:p w:rsidR="00606684" w:rsidRPr="008B162A" w:rsidRDefault="00606684" w:rsidP="00606684">
      <w:pPr>
        <w:rPr>
          <w:rFonts w:ascii="Century Gothic" w:hAnsi="Century Gothic"/>
        </w:rPr>
      </w:pPr>
      <w:r w:rsidRPr="008B162A">
        <w:rPr>
          <w:rFonts w:ascii="Century Gothic" w:hAnsi="Century Gothic"/>
        </w:rPr>
        <w:t>Aun cuando se menciona que, en este servicio, el CS se conecta a la red del AEP en un punto de interconexión (el cual se sitúa dentro de la red de agregación y transporte del propio AEP)</w:t>
      </w:r>
      <w:r w:rsidR="004975F8" w:rsidRPr="008B162A">
        <w:rPr>
          <w:rFonts w:ascii="Century Gothic" w:hAnsi="Century Gothic"/>
        </w:rPr>
        <w:t>,</w:t>
      </w:r>
      <w:r w:rsidRPr="008B162A">
        <w:rPr>
          <w:rFonts w:ascii="Century Gothic" w:hAnsi="Century Gothic"/>
        </w:rPr>
        <w:t xml:space="preserve"> el modelo no costea la red de agregación y transporte, toda vez que el objetivo del modelo únicamente es modelar la red de acceso, la cual se delimita en el primer ODF posterior al OLT de la central. </w:t>
      </w:r>
    </w:p>
    <w:p w:rsidR="00A90BF4" w:rsidRPr="008B162A" w:rsidRDefault="00A90BF4" w:rsidP="00A90BF4">
      <w:pPr>
        <w:pStyle w:val="Ttulo4"/>
        <w:rPr>
          <w:rFonts w:ascii="Century Gothic" w:hAnsi="Century Gothic"/>
          <w:color w:val="auto"/>
        </w:rPr>
      </w:pPr>
      <w:r w:rsidRPr="008B162A">
        <w:rPr>
          <w:rFonts w:ascii="Century Gothic" w:hAnsi="Century Gothic"/>
          <w:color w:val="auto"/>
        </w:rPr>
        <w:t>Servicio de enlaces dedicados</w:t>
      </w:r>
    </w:p>
    <w:p w:rsidR="00A90BF4" w:rsidRPr="008B162A" w:rsidRDefault="00A90BF4" w:rsidP="006222F4">
      <w:pPr>
        <w:rPr>
          <w:rFonts w:ascii="Century Gothic" w:hAnsi="Century Gothic"/>
        </w:rPr>
      </w:pPr>
      <w:r w:rsidRPr="008B162A">
        <w:rPr>
          <w:rFonts w:ascii="Century Gothic" w:hAnsi="Century Gothic"/>
        </w:rPr>
        <w:t>El servicio de enlace dedicado es una conexión permanente a través de la red del AEP, en donde se establece un canal directo entre el usuario final y la central óptica. Cabe señalar que este servicio no comparte los elementos de la infraestructura activa con el resto de servicios prestados sobre la red de acceso de fibra óptica.</w:t>
      </w:r>
    </w:p>
    <w:p w:rsidR="00A90BF4" w:rsidRPr="008B162A" w:rsidRDefault="009D5858" w:rsidP="00A90BF4">
      <w:pPr>
        <w:keepNext/>
        <w:spacing w:after="0"/>
        <w:rPr>
          <w:rFonts w:ascii="Century Gothic" w:hAnsi="Century Gothic"/>
        </w:rPr>
      </w:pPr>
      <w:r w:rsidRPr="008B162A">
        <w:rPr>
          <w:rFonts w:ascii="Century Gothic" w:hAnsi="Century Gothic"/>
          <w:noProof/>
          <w:lang w:eastAsia="es-MX"/>
        </w:rPr>
        <w:lastRenderedPageBreak/>
        <w:drawing>
          <wp:inline distT="0" distB="0" distL="0" distR="0" wp14:anchorId="537119BE" wp14:editId="34F58277">
            <wp:extent cx="5731510" cy="3109760"/>
            <wp:effectExtent l="0" t="0" r="2540" b="0"/>
            <wp:docPr id="5" name="Picture 5"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3109760"/>
                    </a:xfrm>
                    <a:prstGeom prst="rect">
                      <a:avLst/>
                    </a:prstGeom>
                    <a:noFill/>
                    <a:ln>
                      <a:noFill/>
                    </a:ln>
                  </pic:spPr>
                </pic:pic>
              </a:graphicData>
            </a:graphic>
          </wp:inline>
        </w:drawing>
      </w:r>
    </w:p>
    <w:p w:rsidR="00A90BF4" w:rsidRPr="008B162A" w:rsidRDefault="00A90BF4" w:rsidP="00A90BF4">
      <w:pPr>
        <w:pStyle w:val="Descripcin"/>
        <w:jc w:val="both"/>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3</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5</w:t>
      </w:r>
      <w:r w:rsidR="006F7424" w:rsidRPr="008B162A">
        <w:rPr>
          <w:rFonts w:ascii="Century Gothic" w:hAnsi="Century Gothic"/>
        </w:rPr>
        <w:fldChar w:fldCharType="end"/>
      </w:r>
      <w:r w:rsidRPr="008B162A">
        <w:rPr>
          <w:rFonts w:ascii="Century Gothic" w:hAnsi="Century Gothic"/>
        </w:rPr>
        <w:t xml:space="preserve">: Diagrama de red del servicio de enlaces dedicados [Fuente: </w:t>
      </w:r>
      <w:r w:rsidR="006B7D75" w:rsidRPr="008B162A">
        <w:rPr>
          <w:rFonts w:ascii="Century Gothic" w:hAnsi="Century Gothic"/>
        </w:rPr>
        <w:t>IFT, 2016</w:t>
      </w:r>
      <w:r w:rsidRPr="008B162A">
        <w:rPr>
          <w:rFonts w:ascii="Century Gothic" w:hAnsi="Century Gothic"/>
        </w:rPr>
        <w:t>]</w:t>
      </w:r>
    </w:p>
    <w:p w:rsidR="00A90BF4" w:rsidRPr="008B162A" w:rsidRDefault="006222F4" w:rsidP="00A90BF4">
      <w:pPr>
        <w:keepNext/>
        <w:rPr>
          <w:rFonts w:ascii="Century Gothic" w:hAnsi="Century Gothic"/>
        </w:rPr>
      </w:pPr>
      <w:r w:rsidRPr="008B162A">
        <w:rPr>
          <w:rFonts w:ascii="Century Gothic" w:hAnsi="Century Gothic"/>
        </w:rPr>
        <w:t>Se hace notar que el servicio de enlace dedicado incluye dos accesos (uno en cada extremo).</w:t>
      </w:r>
    </w:p>
    <w:p w:rsidR="00A90BF4" w:rsidRPr="008B162A" w:rsidRDefault="00A90BF4" w:rsidP="00A90BF4">
      <w:pPr>
        <w:rPr>
          <w:rFonts w:ascii="Century Gothic" w:hAnsi="Century Gothic"/>
        </w:rPr>
      </w:pPr>
      <w:r w:rsidRPr="008B162A">
        <w:rPr>
          <w:rFonts w:ascii="Century Gothic" w:hAnsi="Century Gothic"/>
        </w:rPr>
        <w:t>Para poder dimensionar el servicio, el modelo contempla el uso de los siguientes recursos:</w:t>
      </w:r>
    </w:p>
    <w:p w:rsidR="00A90BF4" w:rsidRPr="00D7559E" w:rsidRDefault="00A90BF4" w:rsidP="000F1DD5">
      <w:pPr>
        <w:pStyle w:val="Indentado1"/>
        <w:numPr>
          <w:ilvl w:val="0"/>
          <w:numId w:val="27"/>
        </w:numPr>
      </w:pPr>
      <w:r w:rsidRPr="00D7559E">
        <w:t>Cable de fibra óptica (acometida, red secundaria y red primaria)</w:t>
      </w:r>
    </w:p>
    <w:p w:rsidR="00A90BF4" w:rsidRPr="00D7559E" w:rsidRDefault="00A90BF4" w:rsidP="000F1DD5">
      <w:pPr>
        <w:pStyle w:val="Indentado1"/>
        <w:numPr>
          <w:ilvl w:val="0"/>
          <w:numId w:val="27"/>
        </w:numPr>
      </w:pPr>
      <w:r w:rsidRPr="00D7559E">
        <w:t>Infraestructura civil, como ductos, postes y canalizaciones (acometida, red secundaria y red primaria)</w:t>
      </w:r>
    </w:p>
    <w:p w:rsidR="00B25CEA" w:rsidRPr="00D7559E" w:rsidRDefault="00B25CEA" w:rsidP="000F1DD5">
      <w:pPr>
        <w:pStyle w:val="Indentado1"/>
        <w:numPr>
          <w:ilvl w:val="0"/>
          <w:numId w:val="27"/>
        </w:numPr>
      </w:pPr>
      <w:r w:rsidRPr="00D7559E">
        <w:t>ODF de acceso</w:t>
      </w:r>
      <w:r w:rsidR="00C26F2D" w:rsidRPr="00D7559E">
        <w:t xml:space="preserve"> a la central</w:t>
      </w:r>
    </w:p>
    <w:p w:rsidR="00A90BF4" w:rsidRPr="008B162A" w:rsidRDefault="00A90BF4" w:rsidP="006222F4">
      <w:pPr>
        <w:rPr>
          <w:rFonts w:ascii="Century Gothic" w:hAnsi="Century Gothic"/>
        </w:rPr>
      </w:pPr>
      <w:r w:rsidRPr="008B162A">
        <w:rPr>
          <w:rFonts w:ascii="Century Gothic" w:hAnsi="Century Gothic"/>
        </w:rPr>
        <w:t xml:space="preserve">A diferencia de un servicio de desagregación del bucle punto a punto, este servicio es de naturaleza minorista y está orientado a conectar dos </w:t>
      </w:r>
      <w:r w:rsidR="006222F4" w:rsidRPr="008B162A">
        <w:rPr>
          <w:rFonts w:ascii="Century Gothic" w:hAnsi="Century Gothic"/>
        </w:rPr>
        <w:t xml:space="preserve">ubicaciones de cliente entre sí, y no una ubicación </w:t>
      </w:r>
      <w:r w:rsidRPr="008B162A">
        <w:rPr>
          <w:rFonts w:ascii="Century Gothic" w:hAnsi="Century Gothic"/>
        </w:rPr>
        <w:t>con la central óptica.</w:t>
      </w:r>
    </w:p>
    <w:p w:rsidR="00F9549E" w:rsidRPr="008B162A" w:rsidRDefault="00F9549E" w:rsidP="0025694C">
      <w:pPr>
        <w:pStyle w:val="Ttulo1"/>
        <w:pageBreakBefore/>
        <w:ind w:left="357" w:hanging="357"/>
        <w:rPr>
          <w:rFonts w:ascii="Century Gothic" w:hAnsi="Century Gothic"/>
          <w:color w:val="auto"/>
        </w:rPr>
      </w:pPr>
      <w:bookmarkStart w:id="41" w:name="_Parámetros_de_entrada"/>
      <w:bookmarkStart w:id="42" w:name="_Toc459506078"/>
      <w:bookmarkStart w:id="43" w:name="_Ref459796574"/>
      <w:bookmarkStart w:id="44" w:name="_Toc461625896"/>
      <w:bookmarkEnd w:id="41"/>
      <w:r w:rsidRPr="008B162A">
        <w:rPr>
          <w:rFonts w:ascii="Century Gothic" w:hAnsi="Century Gothic"/>
          <w:color w:val="auto"/>
        </w:rPr>
        <w:lastRenderedPageBreak/>
        <w:t>Parámetros de entrada</w:t>
      </w:r>
      <w:bookmarkEnd w:id="42"/>
      <w:bookmarkEnd w:id="43"/>
      <w:bookmarkEnd w:id="44"/>
    </w:p>
    <w:p w:rsidR="00024001" w:rsidRPr="008B162A" w:rsidRDefault="00024001" w:rsidP="00F9549E">
      <w:pPr>
        <w:spacing w:line="360" w:lineRule="auto"/>
        <w:rPr>
          <w:rFonts w:ascii="Century Gothic" w:hAnsi="Century Gothic"/>
          <w:lang w:val="es-CR"/>
        </w:rPr>
      </w:pPr>
      <w:r w:rsidRPr="008B162A">
        <w:rPr>
          <w:rFonts w:ascii="Century Gothic" w:hAnsi="Century Gothic"/>
          <w:lang w:val="es-CR"/>
        </w:rPr>
        <w:t>En esta sección se presentan las consideraciones efectuadas, los ejercicios realizados y el tratamiento de la información recibida para la definición de los siguientes parámetros de entrada de acuerdo al formato requerido en el modelo de costos:</w:t>
      </w:r>
    </w:p>
    <w:p w:rsidR="00024001" w:rsidRPr="00D7559E" w:rsidRDefault="00AC7B95" w:rsidP="000F1DD5">
      <w:pPr>
        <w:pStyle w:val="Indentado1"/>
        <w:numPr>
          <w:ilvl w:val="0"/>
          <w:numId w:val="27"/>
        </w:numPr>
      </w:pPr>
      <w:r w:rsidRPr="00D7559E">
        <w:fldChar w:fldCharType="begin"/>
      </w:r>
      <w:r w:rsidRPr="00D7559E">
        <w:instrText xml:space="preserve"> REF _Ref459970193 \h </w:instrText>
      </w:r>
      <w:r w:rsidR="008B162A" w:rsidRPr="00D7559E">
        <w:instrText xml:space="preserve"> \* MERGEFORMAT </w:instrText>
      </w:r>
      <w:r w:rsidRPr="00D7559E">
        <w:fldChar w:fldCharType="separate"/>
      </w:r>
      <w:r w:rsidR="00431406" w:rsidRPr="008B162A">
        <w:t>Obtención de los insumos de Cobertura y Demanda</w:t>
      </w:r>
      <w:r w:rsidRPr="00D7559E">
        <w:fldChar w:fldCharType="end"/>
      </w:r>
    </w:p>
    <w:p w:rsidR="00024001" w:rsidRPr="00D7559E" w:rsidRDefault="00024001" w:rsidP="000F1DD5">
      <w:pPr>
        <w:pStyle w:val="Indentado1"/>
        <w:numPr>
          <w:ilvl w:val="0"/>
          <w:numId w:val="27"/>
        </w:numPr>
      </w:pPr>
      <w:r w:rsidRPr="00D7559E">
        <w:fldChar w:fldCharType="begin"/>
      </w:r>
      <w:r w:rsidRPr="00D7559E">
        <w:instrText xml:space="preserve"> REF _Ref459809416 \h </w:instrText>
      </w:r>
      <w:r w:rsidR="00887D8B" w:rsidRPr="00D7559E">
        <w:instrText xml:space="preserve"> \* MERGEFORMAT </w:instrText>
      </w:r>
      <w:r w:rsidRPr="00D7559E">
        <w:fldChar w:fldCharType="separate"/>
      </w:r>
      <w:r w:rsidR="00431406" w:rsidRPr="008B162A">
        <w:t>Análisis geográfico</w:t>
      </w:r>
      <w:r w:rsidRPr="00D7559E">
        <w:fldChar w:fldCharType="end"/>
      </w:r>
    </w:p>
    <w:p w:rsidR="00F9549E" w:rsidRPr="008B162A" w:rsidRDefault="00AC7B95" w:rsidP="00F9549E">
      <w:pPr>
        <w:pStyle w:val="Ttulo2"/>
        <w:rPr>
          <w:rFonts w:ascii="Century Gothic" w:hAnsi="Century Gothic"/>
          <w:color w:val="auto"/>
        </w:rPr>
      </w:pPr>
      <w:bookmarkStart w:id="45" w:name="_Toc459506079"/>
      <w:bookmarkStart w:id="46" w:name="_Ref459809410"/>
      <w:bookmarkStart w:id="47" w:name="_Ref459970193"/>
      <w:bookmarkStart w:id="48" w:name="_Toc461625897"/>
      <w:r w:rsidRPr="008B162A">
        <w:rPr>
          <w:rFonts w:ascii="Century Gothic" w:hAnsi="Century Gothic"/>
          <w:color w:val="auto"/>
        </w:rPr>
        <w:t xml:space="preserve">Obtención de los insumos de </w:t>
      </w:r>
      <w:r w:rsidR="00F9549E" w:rsidRPr="008B162A">
        <w:rPr>
          <w:rFonts w:ascii="Century Gothic" w:hAnsi="Century Gothic"/>
          <w:color w:val="auto"/>
        </w:rPr>
        <w:t>Cobertura</w:t>
      </w:r>
      <w:bookmarkEnd w:id="45"/>
      <w:bookmarkEnd w:id="46"/>
      <w:r w:rsidRPr="008B162A">
        <w:rPr>
          <w:rFonts w:ascii="Century Gothic" w:hAnsi="Century Gothic"/>
          <w:color w:val="auto"/>
        </w:rPr>
        <w:t xml:space="preserve"> y Demanda</w:t>
      </w:r>
      <w:bookmarkEnd w:id="47"/>
      <w:bookmarkEnd w:id="48"/>
    </w:p>
    <w:p w:rsidR="00F9549E" w:rsidRPr="008B162A" w:rsidRDefault="00F9549E" w:rsidP="007449DB">
      <w:pPr>
        <w:rPr>
          <w:rFonts w:ascii="Century Gothic" w:hAnsi="Century Gothic"/>
        </w:rPr>
      </w:pPr>
      <w:r w:rsidRPr="008B162A">
        <w:rPr>
          <w:rFonts w:ascii="Century Gothic" w:hAnsi="Century Gothic"/>
        </w:rPr>
        <w:t xml:space="preserve">Durante los trabajos de recopilación de información se solicitó a los operadores, información sobre sus proyecciones </w:t>
      </w:r>
      <w:r w:rsidR="00024001" w:rsidRPr="008B162A">
        <w:rPr>
          <w:rFonts w:ascii="Century Gothic" w:hAnsi="Century Gothic"/>
        </w:rPr>
        <w:t>de</w:t>
      </w:r>
      <w:r w:rsidRPr="008B162A">
        <w:rPr>
          <w:rFonts w:ascii="Century Gothic" w:hAnsi="Century Gothic"/>
        </w:rPr>
        <w:t xml:space="preserve"> cobertura</w:t>
      </w:r>
      <w:r w:rsidR="000E3448" w:rsidRPr="008B162A">
        <w:rPr>
          <w:rStyle w:val="Refdenotaalpie"/>
          <w:rFonts w:ascii="Century Gothic" w:hAnsi="Century Gothic"/>
        </w:rPr>
        <w:footnoteReference w:id="2"/>
      </w:r>
      <w:r w:rsidR="000E3448" w:rsidRPr="008B162A">
        <w:rPr>
          <w:rFonts w:ascii="Century Gothic" w:hAnsi="Century Gothic"/>
        </w:rPr>
        <w:t xml:space="preserve"> y demanda</w:t>
      </w:r>
      <w:r w:rsidR="00024001" w:rsidRPr="008B162A">
        <w:rPr>
          <w:rFonts w:ascii="Century Gothic" w:hAnsi="Century Gothic"/>
        </w:rPr>
        <w:t>, entre otros datos</w:t>
      </w:r>
      <w:r w:rsidRPr="008B162A">
        <w:rPr>
          <w:rFonts w:ascii="Century Gothic" w:hAnsi="Century Gothic"/>
        </w:rPr>
        <w:t xml:space="preserve">. </w:t>
      </w:r>
      <w:r w:rsidR="00024001" w:rsidRPr="008B162A">
        <w:rPr>
          <w:rFonts w:ascii="Century Gothic" w:hAnsi="Century Gothic"/>
        </w:rPr>
        <w:t xml:space="preserve">Desafortunadamente, </w:t>
      </w:r>
      <w:r w:rsidR="007449DB" w:rsidRPr="008B162A">
        <w:rPr>
          <w:rFonts w:ascii="Century Gothic" w:hAnsi="Century Gothic"/>
        </w:rPr>
        <w:t>se ha recibido información limitada</w:t>
      </w:r>
      <w:r w:rsidR="00024001" w:rsidRPr="008B162A">
        <w:rPr>
          <w:rFonts w:ascii="Century Gothic" w:hAnsi="Century Gothic"/>
        </w:rPr>
        <w:t xml:space="preserve"> a este respecto debido, según los mismos operadores, a la variabilidad del mercado de acceso FTTH. En este sentido, únicamente ha sido posible obtener información de carácter estimativo para el año 2016.</w:t>
      </w:r>
    </w:p>
    <w:p w:rsidR="00F9549E" w:rsidRPr="008B162A" w:rsidRDefault="00024001" w:rsidP="00F9549E">
      <w:pPr>
        <w:rPr>
          <w:rFonts w:ascii="Century Gothic" w:hAnsi="Century Gothic"/>
        </w:rPr>
      </w:pPr>
      <w:r w:rsidRPr="008B162A">
        <w:rPr>
          <w:rFonts w:ascii="Century Gothic" w:hAnsi="Century Gothic"/>
        </w:rPr>
        <w:t xml:space="preserve">Con base en lo anterior, ha resultado necesario </w:t>
      </w:r>
      <w:r w:rsidR="00644528" w:rsidRPr="008B162A">
        <w:rPr>
          <w:rFonts w:ascii="Century Gothic" w:hAnsi="Century Gothic"/>
        </w:rPr>
        <w:t xml:space="preserve">efectuar </w:t>
      </w:r>
      <w:r w:rsidR="00F9549E" w:rsidRPr="008B162A">
        <w:rPr>
          <w:rFonts w:ascii="Century Gothic" w:hAnsi="Century Gothic"/>
        </w:rPr>
        <w:t xml:space="preserve">un ejercicio </w:t>
      </w:r>
      <w:r w:rsidR="006A3F1C" w:rsidRPr="008B162A">
        <w:rPr>
          <w:rFonts w:ascii="Century Gothic" w:hAnsi="Century Gothic"/>
        </w:rPr>
        <w:t>estimativo que permita realizar la proyección de los niveles de cobertura para los años posteriores a 2016</w:t>
      </w:r>
      <w:r w:rsidR="00F9549E" w:rsidRPr="008B162A">
        <w:rPr>
          <w:rFonts w:ascii="Century Gothic" w:hAnsi="Century Gothic"/>
        </w:rPr>
        <w:t>.</w:t>
      </w:r>
      <w:r w:rsidR="006A3F1C" w:rsidRPr="008B162A">
        <w:rPr>
          <w:rFonts w:ascii="Century Gothic" w:hAnsi="Century Gothic"/>
        </w:rPr>
        <w:t xml:space="preserve"> Los siguientes apartados describen el procedimiento seguido para llevar a cabo este ejercicio:</w:t>
      </w:r>
    </w:p>
    <w:p w:rsidR="00F9549E" w:rsidRPr="00D7559E" w:rsidRDefault="00557823" w:rsidP="000F1DD5">
      <w:pPr>
        <w:pStyle w:val="Indentado1"/>
        <w:numPr>
          <w:ilvl w:val="0"/>
          <w:numId w:val="27"/>
        </w:numPr>
      </w:pPr>
      <w:r w:rsidRPr="00D7559E">
        <w:fldChar w:fldCharType="begin"/>
      </w:r>
      <w:r w:rsidRPr="00D7559E">
        <w:instrText xml:space="preserve"> REF _Ref459808806 \h </w:instrText>
      </w:r>
      <w:r w:rsidR="00887D8B" w:rsidRPr="00D7559E">
        <w:instrText xml:space="preserve"> \* MERGEFORMAT </w:instrText>
      </w:r>
      <w:r w:rsidRPr="00D7559E">
        <w:fldChar w:fldCharType="separate"/>
      </w:r>
      <w:r w:rsidR="00431406" w:rsidRPr="008B162A">
        <w:t>Evolución de las redes FTTH en otros países</w:t>
      </w:r>
      <w:r w:rsidRPr="00D7559E">
        <w:fldChar w:fldCharType="end"/>
      </w:r>
    </w:p>
    <w:p w:rsidR="00F9549E" w:rsidRPr="00D7559E" w:rsidRDefault="00557823" w:rsidP="000F1DD5">
      <w:pPr>
        <w:pStyle w:val="Indentado1"/>
        <w:numPr>
          <w:ilvl w:val="0"/>
          <w:numId w:val="27"/>
        </w:numPr>
      </w:pPr>
      <w:r w:rsidRPr="00D7559E">
        <w:fldChar w:fldCharType="begin"/>
      </w:r>
      <w:r w:rsidRPr="00D7559E">
        <w:instrText xml:space="preserve"> REF _Ref459808823 \h </w:instrText>
      </w:r>
      <w:r w:rsidR="00887D8B" w:rsidRPr="00D7559E">
        <w:instrText xml:space="preserve"> \* MERGEFORMAT </w:instrText>
      </w:r>
      <w:r w:rsidRPr="00D7559E">
        <w:fldChar w:fldCharType="separate"/>
      </w:r>
      <w:r w:rsidR="00431406" w:rsidRPr="008B162A">
        <w:t>Estimación de la cobertura</w:t>
      </w:r>
      <w:r w:rsidRPr="00D7559E">
        <w:fldChar w:fldCharType="end"/>
      </w:r>
    </w:p>
    <w:p w:rsidR="00AC7B95" w:rsidRPr="00D7559E" w:rsidRDefault="00AC7B95" w:rsidP="000F1DD5">
      <w:pPr>
        <w:pStyle w:val="Indentado1"/>
        <w:numPr>
          <w:ilvl w:val="0"/>
          <w:numId w:val="27"/>
        </w:numPr>
      </w:pPr>
      <w:r w:rsidRPr="00D7559E">
        <w:fldChar w:fldCharType="begin"/>
      </w:r>
      <w:r w:rsidRPr="00D7559E">
        <w:instrText xml:space="preserve"> REF _Ref459809413 \h </w:instrText>
      </w:r>
      <w:r w:rsidR="008B162A" w:rsidRPr="00D7559E">
        <w:instrText xml:space="preserve"> \* MERGEFORMAT </w:instrText>
      </w:r>
      <w:r w:rsidRPr="00D7559E">
        <w:fldChar w:fldCharType="separate"/>
      </w:r>
      <w:r w:rsidR="00431406" w:rsidRPr="008B162A">
        <w:t>Estimación de la demanda</w:t>
      </w:r>
      <w:r w:rsidRPr="00D7559E">
        <w:fldChar w:fldCharType="end"/>
      </w:r>
    </w:p>
    <w:p w:rsidR="00F9549E" w:rsidRPr="008B162A" w:rsidRDefault="00F9549E">
      <w:pPr>
        <w:pStyle w:val="Ttulo3"/>
        <w:rPr>
          <w:rFonts w:ascii="Century Gothic" w:hAnsi="Century Gothic"/>
          <w:color w:val="auto"/>
        </w:rPr>
      </w:pPr>
      <w:bookmarkStart w:id="49" w:name="_Toc459506081"/>
      <w:bookmarkStart w:id="50" w:name="_Ref459808806"/>
      <w:bookmarkStart w:id="51" w:name="_Toc461625898"/>
      <w:r w:rsidRPr="008B162A">
        <w:rPr>
          <w:rFonts w:ascii="Century Gothic" w:hAnsi="Century Gothic"/>
          <w:color w:val="auto"/>
        </w:rPr>
        <w:t>Evolución de las redes FTTH en otros países</w:t>
      </w:r>
      <w:bookmarkEnd w:id="49"/>
      <w:bookmarkEnd w:id="50"/>
      <w:bookmarkEnd w:id="51"/>
    </w:p>
    <w:p w:rsidR="00F9549E" w:rsidRPr="008B162A" w:rsidRDefault="0065327F" w:rsidP="00F9549E">
      <w:pPr>
        <w:rPr>
          <w:rFonts w:ascii="Century Gothic" w:hAnsi="Century Gothic"/>
        </w:rPr>
      </w:pPr>
      <w:r w:rsidRPr="008B162A">
        <w:rPr>
          <w:rFonts w:ascii="Century Gothic" w:hAnsi="Century Gothic"/>
        </w:rPr>
        <w:t>Debido a la incertidumbre en la evolución del mercado mexicano de acceso de fibra óptica (tanto a nivel de cobertura como de demanda), se ha considerado relevante analizar la evolución observada en otros países. Las siguientes gráficas muestran la evolución de la cobertura en diversos países europeos y americanos que han adoptado la tecnología.</w:t>
      </w:r>
    </w:p>
    <w:p w:rsidR="00F9549E" w:rsidRPr="008B162A" w:rsidRDefault="002C62A3" w:rsidP="00F9549E">
      <w:pPr>
        <w:keepNext/>
        <w:jc w:val="center"/>
        <w:rPr>
          <w:rFonts w:ascii="Century Gothic" w:hAnsi="Century Gothic"/>
        </w:rPr>
      </w:pPr>
      <w:r w:rsidRPr="008B162A">
        <w:rPr>
          <w:rFonts w:ascii="Century Gothic" w:hAnsi="Century Gothic"/>
          <w:noProof/>
          <w:lang w:eastAsia="es-MX"/>
        </w:rPr>
        <w:lastRenderedPageBreak/>
        <w:drawing>
          <wp:inline distT="0" distB="0" distL="0" distR="0" wp14:anchorId="499ACD0C" wp14:editId="52B91994">
            <wp:extent cx="5753528" cy="2758384"/>
            <wp:effectExtent l="0" t="0" r="0" b="4445"/>
            <wp:docPr id="10" name="Picture 10"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6738" cy="2769511"/>
                    </a:xfrm>
                    <a:prstGeom prst="rect">
                      <a:avLst/>
                    </a:prstGeom>
                    <a:noFill/>
                    <a:ln>
                      <a:noFill/>
                    </a:ln>
                  </pic:spPr>
                </pic:pic>
              </a:graphicData>
            </a:graphic>
          </wp:inline>
        </w:drawing>
      </w:r>
    </w:p>
    <w:p w:rsidR="00F9549E" w:rsidRPr="008B162A" w:rsidRDefault="00F9549E" w:rsidP="00F9549E">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w:t>
      </w:r>
      <w:r w:rsidR="006F7424" w:rsidRPr="008B162A">
        <w:rPr>
          <w:rFonts w:ascii="Century Gothic" w:hAnsi="Century Gothic"/>
        </w:rPr>
        <w:fldChar w:fldCharType="end"/>
      </w:r>
      <w:r w:rsidR="002F0BC5" w:rsidRPr="008B162A">
        <w:rPr>
          <w:rFonts w:ascii="Century Gothic" w:hAnsi="Century Gothic"/>
        </w:rPr>
        <w:t>:</w:t>
      </w:r>
      <w:r w:rsidRPr="008B162A">
        <w:rPr>
          <w:rFonts w:ascii="Century Gothic" w:hAnsi="Century Gothic"/>
        </w:rPr>
        <w:t xml:space="preserve"> Evolución de la cobertura de la red FTTH en países europeos a partir del año de despliegue (A0) [Fuente: </w:t>
      </w:r>
      <w:r w:rsidR="006B7D75" w:rsidRPr="008B162A">
        <w:rPr>
          <w:rFonts w:ascii="Century Gothic" w:hAnsi="Century Gothic"/>
        </w:rPr>
        <w:t>IFT, 2016</w:t>
      </w:r>
      <w:r w:rsidRPr="008B162A">
        <w:rPr>
          <w:rStyle w:val="Refdenotaalpie"/>
          <w:rFonts w:ascii="Century Gothic" w:hAnsi="Century Gothic"/>
        </w:rPr>
        <w:footnoteReference w:id="3"/>
      </w:r>
      <w:r w:rsidRPr="008B162A">
        <w:rPr>
          <w:rFonts w:ascii="Century Gothic" w:hAnsi="Century Gothic"/>
        </w:rPr>
        <w:t>]</w:t>
      </w:r>
    </w:p>
    <w:p w:rsidR="00EE09E9" w:rsidRPr="008B162A" w:rsidRDefault="002C62A3" w:rsidP="00F9549E">
      <w:pPr>
        <w:keepNext/>
        <w:rPr>
          <w:rFonts w:ascii="Century Gothic" w:hAnsi="Century Gothic"/>
        </w:rPr>
      </w:pPr>
      <w:r w:rsidRPr="008B162A">
        <w:rPr>
          <w:rFonts w:ascii="Century Gothic" w:hAnsi="Century Gothic"/>
        </w:rPr>
        <w:t xml:space="preserve"> </w:t>
      </w:r>
      <w:r w:rsidR="0050054F" w:rsidRPr="008B162A">
        <w:rPr>
          <w:rFonts w:ascii="Century Gothic" w:hAnsi="Century Gothic"/>
          <w:noProof/>
          <w:lang w:eastAsia="es-MX"/>
        </w:rPr>
        <w:drawing>
          <wp:inline distT="0" distB="0" distL="0" distR="0" wp14:anchorId="221722E7" wp14:editId="6CA2AD1D">
            <wp:extent cx="5731510" cy="2743287"/>
            <wp:effectExtent l="0" t="0" r="2540" b="0"/>
            <wp:docPr id="12" name="Picture 12"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2743287"/>
                    </a:xfrm>
                    <a:prstGeom prst="rect">
                      <a:avLst/>
                    </a:prstGeom>
                    <a:noFill/>
                    <a:ln>
                      <a:noFill/>
                    </a:ln>
                  </pic:spPr>
                </pic:pic>
              </a:graphicData>
            </a:graphic>
          </wp:inline>
        </w:drawing>
      </w:r>
    </w:p>
    <w:p w:rsidR="00F9549E" w:rsidRPr="008B162A" w:rsidRDefault="00F9549E" w:rsidP="00F9549E">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2</w:t>
      </w:r>
      <w:r w:rsidR="006F7424" w:rsidRPr="008B162A">
        <w:rPr>
          <w:rFonts w:ascii="Century Gothic" w:hAnsi="Century Gothic"/>
        </w:rPr>
        <w:fldChar w:fldCharType="end"/>
      </w:r>
      <w:r w:rsidR="002F0BC5" w:rsidRPr="008B162A">
        <w:rPr>
          <w:rFonts w:ascii="Century Gothic" w:hAnsi="Century Gothic"/>
        </w:rPr>
        <w:t>:</w:t>
      </w:r>
      <w:r w:rsidRPr="008B162A">
        <w:rPr>
          <w:rFonts w:ascii="Century Gothic" w:hAnsi="Century Gothic"/>
        </w:rPr>
        <w:t xml:space="preserve"> Evolución de la cobertura de la red FTTH en países americanos partir del año de despliegue (A0) [Fuente: </w:t>
      </w:r>
      <w:r w:rsidR="006B7D75" w:rsidRPr="008B162A">
        <w:rPr>
          <w:rFonts w:ascii="Century Gothic" w:hAnsi="Century Gothic"/>
        </w:rPr>
        <w:t>IFT, 2016</w:t>
      </w:r>
      <w:r w:rsidRPr="008B162A">
        <w:rPr>
          <w:rStyle w:val="Refdenotaalpie"/>
          <w:rFonts w:ascii="Century Gothic" w:hAnsi="Century Gothic"/>
        </w:rPr>
        <w:footnoteReference w:id="4"/>
      </w:r>
      <w:r w:rsidRPr="008B162A">
        <w:rPr>
          <w:rFonts w:ascii="Century Gothic" w:hAnsi="Century Gothic"/>
        </w:rPr>
        <w:t>]</w:t>
      </w:r>
    </w:p>
    <w:p w:rsidR="00F9549E" w:rsidRPr="008B162A" w:rsidRDefault="00F9549E" w:rsidP="005915BD">
      <w:pPr>
        <w:rPr>
          <w:rFonts w:ascii="Century Gothic" w:hAnsi="Century Gothic"/>
        </w:rPr>
      </w:pPr>
      <w:r w:rsidRPr="008B162A">
        <w:rPr>
          <w:rFonts w:ascii="Century Gothic" w:hAnsi="Century Gothic"/>
        </w:rPr>
        <w:lastRenderedPageBreak/>
        <w:t xml:space="preserve">Como se puede observar, la tendencia de despliegue de la red FTTH es muy variada según el país. Si bien en todos los casos se observa una tendencia creciente, </w:t>
      </w:r>
      <w:r w:rsidR="0065327F" w:rsidRPr="008B162A">
        <w:rPr>
          <w:rFonts w:ascii="Century Gothic" w:hAnsi="Century Gothic"/>
        </w:rPr>
        <w:t xml:space="preserve">el ritmo de crecimiento fluctúa significativamente, habiéndose alcanzado en el quinto año de despliegue niveles de cobertura desde el </w:t>
      </w:r>
      <w:r w:rsidRPr="008B162A">
        <w:rPr>
          <w:rFonts w:ascii="Century Gothic" w:hAnsi="Century Gothic"/>
        </w:rPr>
        <w:t>10% en Italia hasta el 60% en Suecia</w:t>
      </w:r>
      <w:r w:rsidR="0065327F" w:rsidRPr="008B162A">
        <w:rPr>
          <w:rFonts w:ascii="Century Gothic" w:hAnsi="Century Gothic"/>
        </w:rPr>
        <w:t>.</w:t>
      </w:r>
    </w:p>
    <w:p w:rsidR="00F9549E" w:rsidRPr="008B162A" w:rsidRDefault="00F9549E" w:rsidP="00F9549E">
      <w:pPr>
        <w:rPr>
          <w:rFonts w:ascii="Century Gothic" w:hAnsi="Century Gothic"/>
        </w:rPr>
      </w:pPr>
      <w:r w:rsidRPr="008B162A">
        <w:rPr>
          <w:rFonts w:ascii="Century Gothic" w:hAnsi="Century Gothic"/>
        </w:rPr>
        <w:t>Adicionalmente, observamos diferencias notables entre los despliegues acometidos en Europa con respecto a los de Amé</w:t>
      </w:r>
      <w:r w:rsidR="00887D8B" w:rsidRPr="008B162A">
        <w:rPr>
          <w:rFonts w:ascii="Century Gothic" w:hAnsi="Century Gothic"/>
        </w:rPr>
        <w:t>rica. En el caso de los países e</w:t>
      </w:r>
      <w:r w:rsidRPr="008B162A">
        <w:rPr>
          <w:rFonts w:ascii="Century Gothic" w:hAnsi="Century Gothic"/>
        </w:rPr>
        <w:t>uropeos, si bien hay variedad en cuanto a las curvas de despliegue, se encuentran varios ejemplos de crecimientos muy rápidos como, por ejemplo, España, Rumanía y Suecia. Por otro lado, en el caso de las Américas, el crecimiento en cobe</w:t>
      </w:r>
      <w:r w:rsidR="0065327F" w:rsidRPr="008B162A">
        <w:rPr>
          <w:rFonts w:ascii="Century Gothic" w:hAnsi="Century Gothic"/>
        </w:rPr>
        <w:t>rtura tiende a ser más pausado.</w:t>
      </w:r>
    </w:p>
    <w:p w:rsidR="007449DB" w:rsidRPr="008B162A" w:rsidRDefault="00E07A71" w:rsidP="00E07A71">
      <w:pPr>
        <w:rPr>
          <w:rFonts w:ascii="Century Gothic" w:hAnsi="Century Gothic"/>
        </w:rPr>
      </w:pPr>
      <w:r w:rsidRPr="008B162A">
        <w:rPr>
          <w:rFonts w:ascii="Century Gothic" w:hAnsi="Century Gothic"/>
        </w:rPr>
        <w:t xml:space="preserve">En cuanto a la demanda de los servicios, existe menos información disponible en comparación con los datos de cobertura. </w:t>
      </w:r>
      <w:r w:rsidR="007449DB" w:rsidRPr="008B162A">
        <w:rPr>
          <w:rFonts w:ascii="Century Gothic" w:hAnsi="Century Gothic"/>
        </w:rPr>
        <w:t>A la hora de analizar la demanda y debido a su dependencia de los niveles de cobertura, consideramos conveniente tratarla en términos de porcentaje de adopción, definido como:</w:t>
      </w:r>
    </w:p>
    <w:p w:rsidR="007449DB" w:rsidRPr="00E714F3" w:rsidRDefault="00E714F3" w:rsidP="007449DB">
      <w:pPr>
        <w:jc w:val="center"/>
        <w:rPr>
          <w:rFonts w:ascii="Century Gothic" w:hAnsi="Century Gothic"/>
          <w:i/>
        </w:rPr>
      </w:pPr>
      <m:oMathPara>
        <m:oMath>
          <m:r>
            <m:rPr>
              <m:nor/>
            </m:rPr>
            <w:rPr>
              <w:rFonts w:ascii="Century Gothic" w:hAnsi="Century Gothic"/>
            </w:rPr>
            <m:t>Porcentaje de adopción</m:t>
          </m:r>
          <m:r>
            <w:rPr>
              <w:rFonts w:ascii="Cambria Math" w:hAnsi="Cambria Math"/>
            </w:rPr>
            <m:t xml:space="preserve"> </m:t>
          </m:r>
          <m:d>
            <m:dPr>
              <m:ctrlPr>
                <w:rPr>
                  <w:rFonts w:ascii="Cambria Math" w:hAnsi="Cambria Math"/>
                  <w:i/>
                </w:rPr>
              </m:ctrlPr>
            </m:dPr>
            <m:e>
              <m:r>
                <m:rPr>
                  <m:nor/>
                </m:rPr>
                <w:rPr>
                  <w:rFonts w:ascii="Century Gothic" w:hAnsi="Century Gothic"/>
                </w:rPr>
                <m:t>%</m:t>
              </m:r>
            </m:e>
          </m:d>
          <m:r>
            <m:rPr>
              <m:nor/>
            </m:rPr>
            <w:rPr>
              <w:rFonts w:ascii="Century Gothic" w:hAnsi="Century Gothic"/>
            </w:rPr>
            <m:t>=</m:t>
          </m:r>
          <m:r>
            <w:rPr>
              <w:rFonts w:ascii="Cambria Math" w:hAnsi="Cambria Math"/>
            </w:rPr>
            <m:t xml:space="preserve"> </m:t>
          </m:r>
          <m:f>
            <m:fPr>
              <m:ctrlPr>
                <w:rPr>
                  <w:rFonts w:ascii="Cambria Math" w:hAnsi="Cambria Math"/>
                  <w:i/>
                </w:rPr>
              </m:ctrlPr>
            </m:fPr>
            <m:num>
              <m:r>
                <m:rPr>
                  <m:nor/>
                </m:rPr>
                <w:rPr>
                  <w:rFonts w:ascii="Century Gothic" w:hAnsi="Century Gothic"/>
                </w:rPr>
                <m:t>Demanda de líneas activas</m:t>
              </m:r>
            </m:num>
            <m:den>
              <m:r>
                <m:rPr>
                  <m:nor/>
                </m:rPr>
                <w:rPr>
                  <w:rFonts w:ascii="Century Gothic" w:hAnsi="Century Gothic"/>
                </w:rPr>
                <m:t>Número de viviendas pasadas</m:t>
              </m:r>
            </m:den>
          </m:f>
        </m:oMath>
      </m:oMathPara>
    </w:p>
    <w:p w:rsidR="00E07A71" w:rsidRPr="008B162A" w:rsidRDefault="00E07A71" w:rsidP="00E07A71">
      <w:pPr>
        <w:rPr>
          <w:rFonts w:ascii="Century Gothic" w:hAnsi="Century Gothic"/>
        </w:rPr>
      </w:pPr>
      <w:r w:rsidRPr="008B162A">
        <w:rPr>
          <w:rFonts w:ascii="Century Gothic" w:hAnsi="Century Gothic"/>
        </w:rPr>
        <w:t>La siguiente gráfica muestra el porcentaje de adopción de los servicios tanto en los países de la Unión Europea como en los países que forman la Comunidad de Estados Independientes</w:t>
      </w:r>
      <w:r w:rsidRPr="008B162A">
        <w:rPr>
          <w:rStyle w:val="Refdenotaalpie"/>
          <w:rFonts w:ascii="Century Gothic" w:hAnsi="Century Gothic"/>
        </w:rPr>
        <w:footnoteReference w:id="5"/>
      </w:r>
      <w:r w:rsidRPr="008B162A">
        <w:rPr>
          <w:rFonts w:ascii="Century Gothic" w:hAnsi="Century Gothic"/>
        </w:rPr>
        <w:t>.</w:t>
      </w:r>
      <w:r w:rsidRPr="008B162A">
        <w:rPr>
          <w:rStyle w:val="Refdecomentario"/>
          <w:rFonts w:ascii="Century Gothic" w:hAnsi="Century Gothic"/>
        </w:rPr>
        <w:t xml:space="preserve"> </w:t>
      </w:r>
    </w:p>
    <w:p w:rsidR="00E07A71" w:rsidRPr="008B162A" w:rsidRDefault="00E07A71" w:rsidP="00E07A71">
      <w:pPr>
        <w:keepNext/>
        <w:spacing w:after="0"/>
        <w:jc w:val="center"/>
        <w:rPr>
          <w:rFonts w:ascii="Century Gothic" w:hAnsi="Century Gothic"/>
        </w:rPr>
      </w:pPr>
      <w:r w:rsidRPr="008B162A">
        <w:rPr>
          <w:rFonts w:ascii="Century Gothic" w:hAnsi="Century Gothic"/>
          <w:noProof/>
          <w:lang w:eastAsia="es-MX"/>
        </w:rPr>
        <w:lastRenderedPageBreak/>
        <w:drawing>
          <wp:inline distT="0" distB="0" distL="0" distR="0" wp14:anchorId="37D83064" wp14:editId="7BC533BB">
            <wp:extent cx="4946904" cy="2968024"/>
            <wp:effectExtent l="0" t="0" r="6350" b="3810"/>
            <wp:docPr id="37" name="Picture 37"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6904" cy="2968024"/>
                    </a:xfrm>
                    <a:prstGeom prst="rect">
                      <a:avLst/>
                    </a:prstGeom>
                    <a:noFill/>
                    <a:ln>
                      <a:noFill/>
                    </a:ln>
                  </pic:spPr>
                </pic:pic>
              </a:graphicData>
            </a:graphic>
          </wp:inline>
        </w:drawing>
      </w:r>
    </w:p>
    <w:p w:rsidR="00E07A71" w:rsidRPr="008B162A" w:rsidRDefault="00E07A71" w:rsidP="00E07A71">
      <w:pPr>
        <w:pStyle w:val="Descripcin"/>
        <w:rPr>
          <w:rFonts w:ascii="Century Gothic" w:hAnsi="Century Gothic"/>
        </w:rPr>
      </w:pPr>
      <w:bookmarkStart w:id="52" w:name="_Ref459975355"/>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3</w:t>
      </w:r>
      <w:r w:rsidR="006F7424" w:rsidRPr="008B162A">
        <w:rPr>
          <w:rFonts w:ascii="Century Gothic" w:hAnsi="Century Gothic"/>
        </w:rPr>
        <w:fldChar w:fldCharType="end"/>
      </w:r>
      <w:bookmarkEnd w:id="52"/>
      <w:r w:rsidRPr="008B162A">
        <w:rPr>
          <w:rFonts w:ascii="Century Gothic" w:hAnsi="Century Gothic"/>
        </w:rPr>
        <w:t xml:space="preserve">: Evolución histórica del porcentaje de adopción de la tecnología FTTH [Fuente: </w:t>
      </w:r>
      <w:r w:rsidR="006B7D75" w:rsidRPr="008B162A">
        <w:rPr>
          <w:rFonts w:ascii="Century Gothic" w:hAnsi="Century Gothic"/>
        </w:rPr>
        <w:t>IFT, 2016</w:t>
      </w:r>
      <w:r w:rsidRPr="008B162A">
        <w:rPr>
          <w:rStyle w:val="Refdenotaalpie"/>
          <w:rFonts w:ascii="Century Gothic" w:hAnsi="Century Gothic"/>
        </w:rPr>
        <w:footnoteReference w:id="6"/>
      </w:r>
      <w:r w:rsidRPr="008B162A">
        <w:rPr>
          <w:rFonts w:ascii="Century Gothic" w:hAnsi="Century Gothic"/>
        </w:rPr>
        <w:t>]</w:t>
      </w:r>
    </w:p>
    <w:p w:rsidR="00E07A71" w:rsidRPr="008B162A" w:rsidRDefault="00E07A71" w:rsidP="00E07A71">
      <w:pPr>
        <w:rPr>
          <w:rFonts w:ascii="Century Gothic" w:hAnsi="Century Gothic"/>
        </w:rPr>
      </w:pPr>
      <w:r w:rsidRPr="008B162A">
        <w:rPr>
          <w:rFonts w:ascii="Century Gothic" w:hAnsi="Century Gothic"/>
        </w:rPr>
        <w:t>Como se puede observar, la adopción en los países de la zona europea y de la Comunidad de Estados Independientes ha fluctuado entre un 20% y un 29% durante los últimos 5 años.</w:t>
      </w:r>
    </w:p>
    <w:p w:rsidR="00F9549E" w:rsidRPr="008B162A" w:rsidRDefault="00417878" w:rsidP="00F9549E">
      <w:pPr>
        <w:pStyle w:val="Ttulo3"/>
        <w:rPr>
          <w:rFonts w:ascii="Century Gothic" w:hAnsi="Century Gothic"/>
          <w:color w:val="auto"/>
        </w:rPr>
      </w:pPr>
      <w:bookmarkStart w:id="53" w:name="_Toc459506082"/>
      <w:bookmarkStart w:id="54" w:name="_Ref459808823"/>
      <w:bookmarkStart w:id="55" w:name="_Ref459975563"/>
      <w:bookmarkStart w:id="56" w:name="_Toc461625899"/>
      <w:r w:rsidRPr="008B162A">
        <w:rPr>
          <w:rFonts w:ascii="Century Gothic" w:hAnsi="Century Gothic"/>
          <w:color w:val="auto"/>
        </w:rPr>
        <w:t>Estimación de la</w:t>
      </w:r>
      <w:r w:rsidR="00F9549E" w:rsidRPr="008B162A">
        <w:rPr>
          <w:rFonts w:ascii="Century Gothic" w:hAnsi="Century Gothic"/>
          <w:color w:val="auto"/>
        </w:rPr>
        <w:t xml:space="preserve"> cobertura</w:t>
      </w:r>
      <w:bookmarkEnd w:id="53"/>
      <w:bookmarkEnd w:id="54"/>
      <w:bookmarkEnd w:id="55"/>
      <w:bookmarkEnd w:id="56"/>
    </w:p>
    <w:p w:rsidR="00E07A71" w:rsidRPr="008B162A" w:rsidRDefault="00E07A71" w:rsidP="00417878">
      <w:pPr>
        <w:rPr>
          <w:rFonts w:ascii="Century Gothic" w:hAnsi="Century Gothic"/>
        </w:rPr>
      </w:pPr>
      <w:r w:rsidRPr="008B162A">
        <w:rPr>
          <w:rFonts w:ascii="Century Gothic" w:hAnsi="Century Gothic"/>
        </w:rPr>
        <w:t>Debido a la incertidumbre existente con respecto a la cobertura futura</w:t>
      </w:r>
      <w:r w:rsidR="005915BD" w:rsidRPr="008B162A">
        <w:rPr>
          <w:rFonts w:ascii="Century Gothic" w:hAnsi="Century Gothic"/>
        </w:rPr>
        <w:t xml:space="preserve"> y a la falta de información facilitada por los operadores</w:t>
      </w:r>
      <w:r w:rsidRPr="008B162A">
        <w:rPr>
          <w:rFonts w:ascii="Century Gothic" w:hAnsi="Century Gothic"/>
        </w:rPr>
        <w:t xml:space="preserve">, proponemos </w:t>
      </w:r>
      <w:r w:rsidR="00417878" w:rsidRPr="008B162A">
        <w:rPr>
          <w:rFonts w:ascii="Century Gothic" w:hAnsi="Century Gothic"/>
        </w:rPr>
        <w:t>estimar sus valores</w:t>
      </w:r>
      <w:r w:rsidR="00E941B8" w:rsidRPr="008B162A">
        <w:rPr>
          <w:rFonts w:ascii="Century Gothic" w:hAnsi="Century Gothic"/>
        </w:rPr>
        <w:t xml:space="preserve"> a partir </w:t>
      </w:r>
      <w:r w:rsidR="005915BD" w:rsidRPr="008B162A">
        <w:rPr>
          <w:rFonts w:ascii="Century Gothic" w:hAnsi="Century Gothic"/>
        </w:rPr>
        <w:t>de los ejemplos internacionales identificados</w:t>
      </w:r>
      <w:r w:rsidRPr="008B162A">
        <w:rPr>
          <w:rFonts w:ascii="Century Gothic" w:hAnsi="Century Gothic"/>
        </w:rPr>
        <w:t>.</w:t>
      </w:r>
    </w:p>
    <w:p w:rsidR="00E07A71" w:rsidRPr="008B162A" w:rsidRDefault="00E07A71" w:rsidP="00E07A71">
      <w:pPr>
        <w:rPr>
          <w:rFonts w:ascii="Century Gothic" w:hAnsi="Century Gothic"/>
        </w:rPr>
      </w:pPr>
      <w:r w:rsidRPr="008B162A">
        <w:rPr>
          <w:rFonts w:ascii="Century Gothic" w:hAnsi="Century Gothic"/>
        </w:rPr>
        <w:t xml:space="preserve">Como hemos visto anteriormente, existe una gran variabilidad entre la evolución de la cobertura FTTH de diferentes países, si bien en todos se observa una tendencia creciente. </w:t>
      </w:r>
    </w:p>
    <w:p w:rsidR="00E07A71" w:rsidRPr="008B162A" w:rsidRDefault="00E07A71" w:rsidP="00D06F02">
      <w:pPr>
        <w:rPr>
          <w:rFonts w:ascii="Century Gothic" w:hAnsi="Century Gothic"/>
        </w:rPr>
      </w:pPr>
      <w:r w:rsidRPr="008B162A">
        <w:rPr>
          <w:rFonts w:ascii="Century Gothic" w:hAnsi="Century Gothic"/>
        </w:rPr>
        <w:t>Debido a la variabilidad observada en los crecimientos año a año entre países, se ha efectuado un análisis estadístico con base en los datos relativos al conjunto de países mostrados en las ilustraciones anteriores, basado en los siguientes pasos:</w:t>
      </w:r>
    </w:p>
    <w:p w:rsidR="00E07A71" w:rsidRPr="008B162A" w:rsidRDefault="00E07A71" w:rsidP="000F1DD5">
      <w:pPr>
        <w:pStyle w:val="Prrafodelista"/>
        <w:numPr>
          <w:ilvl w:val="0"/>
          <w:numId w:val="20"/>
        </w:numPr>
        <w:rPr>
          <w:rFonts w:ascii="Century Gothic" w:hAnsi="Century Gothic"/>
        </w:rPr>
      </w:pPr>
      <w:r w:rsidRPr="008B162A">
        <w:rPr>
          <w:rFonts w:ascii="Century Gothic" w:hAnsi="Century Gothic"/>
        </w:rPr>
        <w:t>Se ha calculado la tasa de crecimiento anual compuesto (CAGR, por sus siglas en inglés) para cada uno de los países que componen la muestra y para los que se tiene información de cobertura referente a más de un año.</w:t>
      </w:r>
    </w:p>
    <w:p w:rsidR="00E07A71" w:rsidRPr="008B162A" w:rsidRDefault="00E07A71" w:rsidP="000F1DD5">
      <w:pPr>
        <w:pStyle w:val="Prrafodelista"/>
        <w:numPr>
          <w:ilvl w:val="0"/>
          <w:numId w:val="20"/>
        </w:numPr>
        <w:rPr>
          <w:rFonts w:ascii="Century Gothic" w:hAnsi="Century Gothic"/>
        </w:rPr>
      </w:pPr>
      <w:r w:rsidRPr="008B162A">
        <w:rPr>
          <w:rFonts w:ascii="Century Gothic" w:hAnsi="Century Gothic"/>
        </w:rPr>
        <w:lastRenderedPageBreak/>
        <w:t>De los datos de CAGR por país recopilados se ha</w:t>
      </w:r>
      <w:r w:rsidR="00717656" w:rsidRPr="008B162A">
        <w:rPr>
          <w:rFonts w:ascii="Century Gothic" w:hAnsi="Century Gothic"/>
        </w:rPr>
        <w:t>n</w:t>
      </w:r>
      <w:r w:rsidRPr="008B162A">
        <w:rPr>
          <w:rFonts w:ascii="Century Gothic" w:hAnsi="Century Gothic"/>
        </w:rPr>
        <w:t xml:space="preserve"> eliminado </w:t>
      </w:r>
      <w:r w:rsidR="00717656" w:rsidRPr="008B162A">
        <w:rPr>
          <w:rFonts w:ascii="Century Gothic" w:hAnsi="Century Gothic"/>
        </w:rPr>
        <w:t>los</w:t>
      </w:r>
      <w:r w:rsidRPr="008B162A">
        <w:rPr>
          <w:rFonts w:ascii="Century Gothic" w:hAnsi="Century Gothic"/>
        </w:rPr>
        <w:t xml:space="preserve"> </w:t>
      </w:r>
      <w:r w:rsidR="00717656" w:rsidRPr="008B162A">
        <w:rPr>
          <w:rFonts w:ascii="Century Gothic" w:hAnsi="Century Gothic"/>
        </w:rPr>
        <w:t>países</w:t>
      </w:r>
      <w:r w:rsidRPr="008B162A">
        <w:rPr>
          <w:rFonts w:ascii="Century Gothic" w:hAnsi="Century Gothic"/>
        </w:rPr>
        <w:t xml:space="preserve"> que mostraba</w:t>
      </w:r>
      <w:r w:rsidR="00717656" w:rsidRPr="008B162A">
        <w:rPr>
          <w:rFonts w:ascii="Century Gothic" w:hAnsi="Century Gothic"/>
        </w:rPr>
        <w:t>n</w:t>
      </w:r>
      <w:r w:rsidRPr="008B162A">
        <w:rPr>
          <w:rFonts w:ascii="Century Gothic" w:hAnsi="Century Gothic"/>
        </w:rPr>
        <w:t xml:space="preserve"> una tasa de crecimiento an</w:t>
      </w:r>
      <w:r w:rsidR="00717656" w:rsidRPr="008B162A">
        <w:rPr>
          <w:rFonts w:ascii="Century Gothic" w:hAnsi="Century Gothic"/>
        </w:rPr>
        <w:t>u</w:t>
      </w:r>
      <w:r w:rsidRPr="008B162A">
        <w:rPr>
          <w:rFonts w:ascii="Century Gothic" w:hAnsi="Century Gothic"/>
        </w:rPr>
        <w:t>al</w:t>
      </w:r>
      <w:r w:rsidR="00717656" w:rsidRPr="008B162A">
        <w:rPr>
          <w:rFonts w:ascii="Century Gothic" w:hAnsi="Century Gothic"/>
        </w:rPr>
        <w:t>i</w:t>
      </w:r>
      <w:r w:rsidRPr="008B162A">
        <w:rPr>
          <w:rFonts w:ascii="Century Gothic" w:hAnsi="Century Gothic"/>
        </w:rPr>
        <w:t>zada más elevada</w:t>
      </w:r>
      <w:r w:rsidR="00717656" w:rsidRPr="008B162A">
        <w:rPr>
          <w:rFonts w:ascii="Century Gothic" w:hAnsi="Century Gothic"/>
        </w:rPr>
        <w:t xml:space="preserve"> y más reducida </w:t>
      </w:r>
      <w:r w:rsidR="00C00068" w:rsidRPr="008B162A">
        <w:rPr>
          <w:rFonts w:ascii="Century Gothic" w:hAnsi="Century Gothic"/>
        </w:rPr>
        <w:t xml:space="preserve">(España e Italia </w:t>
      </w:r>
      <w:r w:rsidR="00717656" w:rsidRPr="008B162A">
        <w:rPr>
          <w:rFonts w:ascii="Century Gothic" w:hAnsi="Century Gothic"/>
        </w:rPr>
        <w:t>respectivamente</w:t>
      </w:r>
      <w:r w:rsidR="00C00068" w:rsidRPr="008B162A">
        <w:rPr>
          <w:rFonts w:ascii="Century Gothic" w:hAnsi="Century Gothic"/>
        </w:rPr>
        <w:t>)</w:t>
      </w:r>
      <w:r w:rsidR="00717656" w:rsidRPr="008B162A">
        <w:rPr>
          <w:rFonts w:ascii="Century Gothic" w:hAnsi="Century Gothic"/>
        </w:rPr>
        <w:t>. Lo anterior, con el fin de eliminar los potenciales valores atípicos del análisis.</w:t>
      </w:r>
    </w:p>
    <w:p w:rsidR="00717656" w:rsidRPr="008B162A" w:rsidRDefault="00717656" w:rsidP="000F1DD5">
      <w:pPr>
        <w:pStyle w:val="Prrafodelista"/>
        <w:numPr>
          <w:ilvl w:val="0"/>
          <w:numId w:val="20"/>
        </w:numPr>
        <w:rPr>
          <w:rFonts w:ascii="Century Gothic" w:hAnsi="Century Gothic"/>
        </w:rPr>
      </w:pPr>
      <w:r w:rsidRPr="008B162A">
        <w:rPr>
          <w:rFonts w:ascii="Century Gothic" w:hAnsi="Century Gothic"/>
        </w:rPr>
        <w:t xml:space="preserve">Por último, se ha </w:t>
      </w:r>
      <w:r w:rsidR="005915BD" w:rsidRPr="008B162A">
        <w:rPr>
          <w:rFonts w:ascii="Century Gothic" w:hAnsi="Century Gothic"/>
        </w:rPr>
        <w:t xml:space="preserve">considerado definir un escenario conservador basado en </w:t>
      </w:r>
      <w:r w:rsidRPr="008B162A">
        <w:rPr>
          <w:rFonts w:ascii="Century Gothic" w:hAnsi="Century Gothic"/>
        </w:rPr>
        <w:t xml:space="preserve">la tasa de crecimiento </w:t>
      </w:r>
      <w:r w:rsidR="005915BD" w:rsidRPr="008B162A">
        <w:rPr>
          <w:rFonts w:ascii="Century Gothic" w:hAnsi="Century Gothic"/>
        </w:rPr>
        <w:t>observado en el</w:t>
      </w:r>
      <w:r w:rsidRPr="008B162A">
        <w:rPr>
          <w:rFonts w:ascii="Century Gothic" w:hAnsi="Century Gothic"/>
        </w:rPr>
        <w:t xml:space="preserve"> promedio de los 5 países con un </w:t>
      </w:r>
      <w:r w:rsidR="005915BD" w:rsidRPr="008B162A">
        <w:rPr>
          <w:rFonts w:ascii="Century Gothic" w:hAnsi="Century Gothic"/>
        </w:rPr>
        <w:t>menor</w:t>
      </w:r>
      <w:r w:rsidRPr="008B162A">
        <w:rPr>
          <w:rFonts w:ascii="Century Gothic" w:hAnsi="Century Gothic"/>
        </w:rPr>
        <w:t xml:space="preserve"> crecimiento</w:t>
      </w:r>
      <w:r w:rsidR="00C00068" w:rsidRPr="008B162A">
        <w:rPr>
          <w:rFonts w:ascii="Century Gothic" w:hAnsi="Century Gothic"/>
        </w:rPr>
        <w:t xml:space="preserve"> (marcados con un círculo verde en la siguiente ilustración)</w:t>
      </w:r>
      <w:r w:rsidRPr="008B162A">
        <w:rPr>
          <w:rFonts w:ascii="Century Gothic" w:hAnsi="Century Gothic"/>
        </w:rPr>
        <w:t>.</w:t>
      </w:r>
    </w:p>
    <w:p w:rsidR="00717656" w:rsidRPr="008B162A" w:rsidRDefault="00717656" w:rsidP="00D06F02">
      <w:pPr>
        <w:rPr>
          <w:rFonts w:ascii="Century Gothic" w:hAnsi="Century Gothic"/>
        </w:rPr>
      </w:pPr>
      <w:r w:rsidRPr="008B162A">
        <w:rPr>
          <w:rFonts w:ascii="Century Gothic" w:hAnsi="Century Gothic"/>
        </w:rPr>
        <w:t>A continuación se presenta el detalle numérico sobre el procedimiento efectuado:</w:t>
      </w:r>
    </w:p>
    <w:p w:rsidR="00F20E60" w:rsidRPr="008B162A" w:rsidRDefault="00784303" w:rsidP="00F20E60">
      <w:pPr>
        <w:keepNext/>
        <w:spacing w:after="0"/>
        <w:rPr>
          <w:rFonts w:ascii="Century Gothic" w:hAnsi="Century Gothic"/>
        </w:rPr>
      </w:pPr>
      <w:r w:rsidRPr="008B162A">
        <w:rPr>
          <w:rFonts w:ascii="Century Gothic" w:hAnsi="Century Gothic"/>
          <w:noProof/>
          <w:lang w:eastAsia="es-MX"/>
        </w:rPr>
        <w:drawing>
          <wp:inline distT="0" distB="0" distL="0" distR="0" wp14:anchorId="575E911B" wp14:editId="61F1A288">
            <wp:extent cx="5731510" cy="2917860"/>
            <wp:effectExtent l="0" t="0" r="2540" b="0"/>
            <wp:docPr id="11" name="Picture 11"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2917860"/>
                    </a:xfrm>
                    <a:prstGeom prst="rect">
                      <a:avLst/>
                    </a:prstGeom>
                    <a:noFill/>
                    <a:ln>
                      <a:noFill/>
                    </a:ln>
                  </pic:spPr>
                </pic:pic>
              </a:graphicData>
            </a:graphic>
          </wp:inline>
        </w:drawing>
      </w:r>
    </w:p>
    <w:p w:rsidR="00717656" w:rsidRPr="008B162A" w:rsidRDefault="00F20E60" w:rsidP="00F20E60">
      <w:pPr>
        <w:pStyle w:val="Descripcin"/>
        <w:rPr>
          <w:rFonts w:ascii="Century Gothic" w:hAnsi="Century Gothic"/>
        </w:rPr>
      </w:pPr>
      <w:r w:rsidRPr="008B162A">
        <w:rPr>
          <w:rFonts w:ascii="Century Gothic" w:hAnsi="Century Gothic"/>
        </w:rPr>
        <w:t xml:space="preserve">Ilustración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4</w:t>
      </w:r>
      <w:r w:rsidR="00847BCF" w:rsidRPr="008B162A">
        <w:rPr>
          <w:rFonts w:ascii="Century Gothic" w:hAnsi="Century Gothic"/>
          <w:noProof/>
        </w:rPr>
        <w:fldChar w:fldCharType="end"/>
      </w:r>
      <w:r w:rsidR="006F7424"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Ilustración \* ARABIC \s 1 </w:instrText>
      </w:r>
      <w:r w:rsidR="00847BCF" w:rsidRPr="008B162A">
        <w:rPr>
          <w:rFonts w:ascii="Century Gothic" w:hAnsi="Century Gothic"/>
        </w:rPr>
        <w:fldChar w:fldCharType="separate"/>
      </w:r>
      <w:r w:rsidR="00431406">
        <w:rPr>
          <w:rFonts w:ascii="Century Gothic" w:hAnsi="Century Gothic"/>
          <w:noProof/>
        </w:rPr>
        <w:t>4</w:t>
      </w:r>
      <w:r w:rsidR="00847BCF" w:rsidRPr="008B162A">
        <w:rPr>
          <w:rFonts w:ascii="Century Gothic" w:hAnsi="Century Gothic"/>
          <w:noProof/>
        </w:rPr>
        <w:fldChar w:fldCharType="end"/>
      </w:r>
      <w:r w:rsidRPr="008B162A">
        <w:rPr>
          <w:rFonts w:ascii="Century Gothic" w:hAnsi="Century Gothic"/>
        </w:rPr>
        <w:t xml:space="preserve">: Definición de los porcentajes de crecimiento para </w:t>
      </w:r>
      <w:r w:rsidR="00784303" w:rsidRPr="008B162A">
        <w:rPr>
          <w:rFonts w:ascii="Century Gothic" w:hAnsi="Century Gothic"/>
        </w:rPr>
        <w:t>un escenario conservador</w:t>
      </w:r>
      <w:r w:rsidRPr="008B162A">
        <w:rPr>
          <w:rFonts w:ascii="Century Gothic" w:hAnsi="Century Gothic"/>
        </w:rPr>
        <w:t xml:space="preserve"> [Fuente: </w:t>
      </w:r>
      <w:r w:rsidR="006B7D75" w:rsidRPr="008B162A">
        <w:rPr>
          <w:rFonts w:ascii="Century Gothic" w:hAnsi="Century Gothic"/>
        </w:rPr>
        <w:t>IFT, 2016</w:t>
      </w:r>
      <w:r w:rsidRPr="008B162A">
        <w:rPr>
          <w:rFonts w:ascii="Century Gothic" w:hAnsi="Century Gothic"/>
        </w:rPr>
        <w:t>]</w:t>
      </w:r>
    </w:p>
    <w:p w:rsidR="00F20E60" w:rsidRPr="008B162A" w:rsidRDefault="00F20E60" w:rsidP="00581E08">
      <w:pPr>
        <w:rPr>
          <w:rFonts w:ascii="Century Gothic" w:hAnsi="Century Gothic"/>
        </w:rPr>
      </w:pPr>
      <w:r w:rsidRPr="008B162A">
        <w:rPr>
          <w:rFonts w:ascii="Century Gothic" w:hAnsi="Century Gothic"/>
        </w:rPr>
        <w:t xml:space="preserve">Aplicando </w:t>
      </w:r>
      <w:r w:rsidR="00784303" w:rsidRPr="008B162A">
        <w:rPr>
          <w:rFonts w:ascii="Century Gothic" w:hAnsi="Century Gothic"/>
        </w:rPr>
        <w:t>el</w:t>
      </w:r>
      <w:r w:rsidRPr="008B162A">
        <w:rPr>
          <w:rFonts w:ascii="Century Gothic" w:hAnsi="Century Gothic"/>
        </w:rPr>
        <w:t xml:space="preserve"> porcentaje de crecimiento anualizado sobre los niveles de cobertura históricos </w:t>
      </w:r>
      <w:r w:rsidR="007449DB" w:rsidRPr="008B162A">
        <w:rPr>
          <w:rFonts w:ascii="Century Gothic" w:hAnsi="Century Gothic"/>
        </w:rPr>
        <w:t xml:space="preserve">estimados en México </w:t>
      </w:r>
      <w:r w:rsidRPr="008B162A">
        <w:rPr>
          <w:rFonts w:ascii="Century Gothic" w:hAnsi="Century Gothic"/>
        </w:rPr>
        <w:t xml:space="preserve">ha sido posible definir </w:t>
      </w:r>
      <w:r w:rsidR="00784303" w:rsidRPr="008B162A">
        <w:rPr>
          <w:rFonts w:ascii="Century Gothic" w:hAnsi="Century Gothic"/>
        </w:rPr>
        <w:t>un escenario</w:t>
      </w:r>
      <w:r w:rsidRPr="008B162A">
        <w:rPr>
          <w:rFonts w:ascii="Century Gothic" w:hAnsi="Century Gothic"/>
        </w:rPr>
        <w:t xml:space="preserve"> </w:t>
      </w:r>
      <w:r w:rsidR="006C3ED7" w:rsidRPr="008B162A">
        <w:rPr>
          <w:rFonts w:ascii="Century Gothic" w:hAnsi="Century Gothic"/>
        </w:rPr>
        <w:t>conservador</w:t>
      </w:r>
      <w:r w:rsidRPr="008B162A">
        <w:rPr>
          <w:rFonts w:ascii="Century Gothic" w:hAnsi="Century Gothic"/>
        </w:rPr>
        <w:t xml:space="preserve"> de cobertura según se muestra en la siguiente ilustración:</w:t>
      </w:r>
    </w:p>
    <w:p w:rsidR="009D311C" w:rsidRPr="008B162A" w:rsidRDefault="00581E08" w:rsidP="00F20E60">
      <w:pPr>
        <w:keepNext/>
        <w:spacing w:after="0"/>
        <w:jc w:val="center"/>
        <w:rPr>
          <w:rFonts w:ascii="Century Gothic" w:hAnsi="Century Gothic"/>
        </w:rPr>
      </w:pPr>
      <w:r w:rsidRPr="008B162A">
        <w:rPr>
          <w:rFonts w:ascii="Century Gothic" w:hAnsi="Century Gothic"/>
          <w:noProof/>
          <w:lang w:eastAsia="es-MX"/>
        </w:rPr>
        <w:lastRenderedPageBreak/>
        <w:drawing>
          <wp:inline distT="0" distB="0" distL="0" distR="0" wp14:anchorId="0DF52090" wp14:editId="0FEEF009">
            <wp:extent cx="4563110" cy="2670175"/>
            <wp:effectExtent l="0" t="0" r="8890" b="0"/>
            <wp:docPr id="26" name="Picture 26"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63110" cy="2670175"/>
                    </a:xfrm>
                    <a:prstGeom prst="rect">
                      <a:avLst/>
                    </a:prstGeom>
                    <a:noFill/>
                    <a:ln>
                      <a:noFill/>
                    </a:ln>
                  </pic:spPr>
                </pic:pic>
              </a:graphicData>
            </a:graphic>
          </wp:inline>
        </w:drawing>
      </w:r>
    </w:p>
    <w:p w:rsidR="00F9549E" w:rsidRPr="008B162A" w:rsidRDefault="00F9549E" w:rsidP="00581E08">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5</w:t>
      </w:r>
      <w:r w:rsidR="006F7424" w:rsidRPr="008B162A">
        <w:rPr>
          <w:rFonts w:ascii="Century Gothic" w:hAnsi="Century Gothic"/>
        </w:rPr>
        <w:fldChar w:fldCharType="end"/>
      </w:r>
      <w:r w:rsidR="002F0BC5" w:rsidRPr="008B162A">
        <w:rPr>
          <w:rFonts w:ascii="Century Gothic" w:hAnsi="Century Gothic"/>
        </w:rPr>
        <w:t>:</w:t>
      </w:r>
      <w:r w:rsidRPr="008B162A">
        <w:rPr>
          <w:rFonts w:ascii="Century Gothic" w:hAnsi="Century Gothic"/>
        </w:rPr>
        <w:t xml:space="preserve"> </w:t>
      </w:r>
      <w:r w:rsidR="00581E08" w:rsidRPr="008B162A">
        <w:rPr>
          <w:rFonts w:ascii="Century Gothic" w:hAnsi="Century Gothic"/>
        </w:rPr>
        <w:t>Estimación</w:t>
      </w:r>
      <w:r w:rsidRPr="008B162A">
        <w:rPr>
          <w:rFonts w:ascii="Century Gothic" w:hAnsi="Century Gothic"/>
        </w:rPr>
        <w:t xml:space="preserve"> de cobertura [Fuente: </w:t>
      </w:r>
      <w:r w:rsidR="006B7D75" w:rsidRPr="008B162A">
        <w:rPr>
          <w:rFonts w:ascii="Century Gothic" w:hAnsi="Century Gothic"/>
        </w:rPr>
        <w:t>IFT, 2016</w:t>
      </w:r>
      <w:r w:rsidRPr="008B162A">
        <w:rPr>
          <w:rStyle w:val="Refdenotaalpie"/>
          <w:rFonts w:ascii="Century Gothic" w:hAnsi="Century Gothic"/>
        </w:rPr>
        <w:footnoteReference w:id="7"/>
      </w:r>
      <w:r w:rsidRPr="008B162A">
        <w:rPr>
          <w:rFonts w:ascii="Century Gothic" w:hAnsi="Century Gothic"/>
        </w:rPr>
        <w:t>]</w:t>
      </w:r>
    </w:p>
    <w:p w:rsidR="00F9549E" w:rsidRPr="008B162A" w:rsidRDefault="00417878" w:rsidP="00AC7B95">
      <w:pPr>
        <w:pStyle w:val="Ttulo3"/>
        <w:rPr>
          <w:rFonts w:ascii="Century Gothic" w:hAnsi="Century Gothic"/>
          <w:color w:val="auto"/>
        </w:rPr>
      </w:pPr>
      <w:bookmarkStart w:id="57" w:name="_Toc459506083"/>
      <w:bookmarkStart w:id="58" w:name="_Ref459809413"/>
      <w:bookmarkStart w:id="59" w:name="_Toc461625900"/>
      <w:r w:rsidRPr="008B162A">
        <w:rPr>
          <w:rFonts w:ascii="Century Gothic" w:hAnsi="Century Gothic"/>
          <w:color w:val="auto"/>
        </w:rPr>
        <w:t>Estimación de la</w:t>
      </w:r>
      <w:r w:rsidR="00AC7B95" w:rsidRPr="008B162A">
        <w:rPr>
          <w:rFonts w:ascii="Century Gothic" w:hAnsi="Century Gothic"/>
          <w:color w:val="auto"/>
        </w:rPr>
        <w:t xml:space="preserve"> d</w:t>
      </w:r>
      <w:r w:rsidR="00F9549E" w:rsidRPr="008B162A">
        <w:rPr>
          <w:rFonts w:ascii="Century Gothic" w:hAnsi="Century Gothic"/>
          <w:color w:val="auto"/>
        </w:rPr>
        <w:t>emanda</w:t>
      </w:r>
      <w:bookmarkEnd w:id="57"/>
      <w:bookmarkEnd w:id="58"/>
      <w:bookmarkEnd w:id="59"/>
    </w:p>
    <w:p w:rsidR="00F9549E" w:rsidRPr="008B162A" w:rsidRDefault="00F9549E" w:rsidP="00417878">
      <w:pPr>
        <w:rPr>
          <w:rFonts w:ascii="Century Gothic" w:hAnsi="Century Gothic"/>
        </w:rPr>
      </w:pPr>
      <w:r w:rsidRPr="008B162A">
        <w:rPr>
          <w:rFonts w:ascii="Century Gothic" w:hAnsi="Century Gothic"/>
        </w:rPr>
        <w:t>En est</w:t>
      </w:r>
      <w:r w:rsidR="00FE1BD6" w:rsidRPr="008B162A">
        <w:rPr>
          <w:rFonts w:ascii="Century Gothic" w:hAnsi="Century Gothic"/>
        </w:rPr>
        <w:t xml:space="preserve">e apartado </w:t>
      </w:r>
      <w:r w:rsidR="00417878" w:rsidRPr="008B162A">
        <w:rPr>
          <w:rFonts w:ascii="Century Gothic" w:hAnsi="Century Gothic"/>
        </w:rPr>
        <w:t>se estima la</w:t>
      </w:r>
      <w:r w:rsidRPr="008B162A">
        <w:rPr>
          <w:rFonts w:ascii="Century Gothic" w:hAnsi="Century Gothic"/>
        </w:rPr>
        <w:t xml:space="preserve"> demanda para todos los servicios que se contemplan en el modelo</w:t>
      </w:r>
      <w:r w:rsidR="00784303" w:rsidRPr="008B162A">
        <w:rPr>
          <w:rFonts w:ascii="Century Gothic" w:hAnsi="Century Gothic"/>
        </w:rPr>
        <w:t>, tanto los modelados como los otros servicios relevantes</w:t>
      </w:r>
      <w:r w:rsidR="00FE1BD6" w:rsidRPr="008B162A">
        <w:rPr>
          <w:rFonts w:ascii="Century Gothic" w:hAnsi="Century Gothic"/>
        </w:rPr>
        <w:t xml:space="preserve">, reconociendo debidamente las importantes diferencias entre los </w:t>
      </w:r>
      <w:r w:rsidRPr="008B162A">
        <w:rPr>
          <w:rFonts w:ascii="Century Gothic" w:hAnsi="Century Gothic"/>
        </w:rPr>
        <w:t xml:space="preserve">servicios de acceso de fibra de banda ancha </w:t>
      </w:r>
      <w:r w:rsidR="00FE1BD6" w:rsidRPr="008B162A">
        <w:rPr>
          <w:rFonts w:ascii="Century Gothic" w:hAnsi="Century Gothic"/>
        </w:rPr>
        <w:t>y</w:t>
      </w:r>
      <w:r w:rsidRPr="008B162A">
        <w:rPr>
          <w:rFonts w:ascii="Century Gothic" w:hAnsi="Century Gothic"/>
        </w:rPr>
        <w:t xml:space="preserve"> los servicios de enlaces dedicados</w:t>
      </w:r>
      <w:r w:rsidR="00FE1BD6" w:rsidRPr="008B162A">
        <w:rPr>
          <w:rFonts w:ascii="Century Gothic" w:hAnsi="Century Gothic"/>
        </w:rPr>
        <w:t>:</w:t>
      </w:r>
    </w:p>
    <w:p w:rsidR="00F9549E" w:rsidRPr="00D7559E" w:rsidRDefault="00F9549E" w:rsidP="000F1DD5">
      <w:pPr>
        <w:pStyle w:val="Indentado1"/>
        <w:numPr>
          <w:ilvl w:val="0"/>
          <w:numId w:val="27"/>
        </w:numPr>
      </w:pPr>
      <w:r w:rsidRPr="00D7559E">
        <w:t>Los servicios de acceso de fibra de banda ancha son de implementación reciente y están orientados al gran público</w:t>
      </w:r>
      <w:r w:rsidR="00644528" w:rsidRPr="00D7559E">
        <w:t>, esto es, a los clientes residenciales</w:t>
      </w:r>
      <w:r w:rsidRPr="00D7559E">
        <w:t xml:space="preserve">. Como ya se mencionó previamente, la </w:t>
      </w:r>
      <w:r w:rsidR="00C00068" w:rsidRPr="00D7559E">
        <w:t xml:space="preserve">tasa </w:t>
      </w:r>
      <w:r w:rsidRPr="00D7559E">
        <w:t xml:space="preserve">futura </w:t>
      </w:r>
      <w:r w:rsidR="00C00068" w:rsidRPr="00D7559E">
        <w:t xml:space="preserve">de crecimiento </w:t>
      </w:r>
      <w:r w:rsidRPr="00D7559E">
        <w:t>de la demanda de estos servicios es incierta.</w:t>
      </w:r>
    </w:p>
    <w:p w:rsidR="00F9549E" w:rsidRPr="00D7559E" w:rsidRDefault="00FE1BD6" w:rsidP="000F1DD5">
      <w:pPr>
        <w:pStyle w:val="Indentado1"/>
        <w:numPr>
          <w:ilvl w:val="0"/>
          <w:numId w:val="27"/>
        </w:numPr>
      </w:pPr>
      <w:r w:rsidRPr="00D7559E">
        <w:t>L</w:t>
      </w:r>
      <w:r w:rsidR="00F9549E" w:rsidRPr="00D7559E">
        <w:t xml:space="preserve">os </w:t>
      </w:r>
      <w:r w:rsidR="00417878" w:rsidRPr="00D7559E">
        <w:t>servicios de transmisión de datos para empresas a través de fibra</w:t>
      </w:r>
      <w:r w:rsidR="00F9549E" w:rsidRPr="00D7559E">
        <w:t xml:space="preserve"> </w:t>
      </w:r>
      <w:r w:rsidR="00417878" w:rsidRPr="00D7559E">
        <w:t>están</w:t>
      </w:r>
      <w:r w:rsidR="00F9549E" w:rsidRPr="00D7559E">
        <w:t xml:space="preserve"> ya implantados </w:t>
      </w:r>
      <w:r w:rsidR="00417878" w:rsidRPr="00D7559E">
        <w:t>en México y tienen</w:t>
      </w:r>
      <w:r w:rsidR="00F9549E" w:rsidRPr="00D7559E">
        <w:t xml:space="preserve"> una tendencia histórica más clara y estable, y con una escala mucho menor al estar orientados a empresas.</w:t>
      </w:r>
    </w:p>
    <w:p w:rsidR="00D552A5" w:rsidRPr="008B162A" w:rsidRDefault="00FE1BD6" w:rsidP="00D552A5">
      <w:pPr>
        <w:rPr>
          <w:rFonts w:ascii="Century Gothic" w:hAnsi="Century Gothic"/>
        </w:rPr>
      </w:pPr>
      <w:r w:rsidRPr="008B162A">
        <w:rPr>
          <w:rFonts w:ascii="Century Gothic" w:hAnsi="Century Gothic"/>
        </w:rPr>
        <w:t>A continuación se presentan los lineamientos seguidos para proyectar la demanda de estos servicios, así como los resultados obtenidos del análisis efectuado.</w:t>
      </w:r>
    </w:p>
    <w:p w:rsidR="00F9549E" w:rsidRPr="008B162A" w:rsidRDefault="00F9549E" w:rsidP="009263C5">
      <w:pPr>
        <w:pStyle w:val="Ttulo4"/>
        <w:rPr>
          <w:rFonts w:ascii="Century Gothic" w:hAnsi="Century Gothic"/>
          <w:color w:val="auto"/>
        </w:rPr>
      </w:pPr>
      <w:bookmarkStart w:id="60" w:name="_Toc458627165"/>
      <w:bookmarkStart w:id="61" w:name="_Toc459506084"/>
      <w:r w:rsidRPr="008B162A">
        <w:rPr>
          <w:rFonts w:ascii="Century Gothic" w:hAnsi="Century Gothic"/>
          <w:color w:val="auto"/>
        </w:rPr>
        <w:lastRenderedPageBreak/>
        <w:t xml:space="preserve">Servicios de </w:t>
      </w:r>
      <w:r w:rsidR="00644528" w:rsidRPr="008B162A">
        <w:rPr>
          <w:rFonts w:ascii="Century Gothic" w:hAnsi="Century Gothic"/>
          <w:color w:val="auto"/>
        </w:rPr>
        <w:t xml:space="preserve">acceso de fibra de </w:t>
      </w:r>
      <w:r w:rsidRPr="008B162A">
        <w:rPr>
          <w:rFonts w:ascii="Century Gothic" w:hAnsi="Century Gothic"/>
          <w:color w:val="auto"/>
        </w:rPr>
        <w:t>banda ancha</w:t>
      </w:r>
      <w:bookmarkEnd w:id="60"/>
      <w:bookmarkEnd w:id="61"/>
    </w:p>
    <w:p w:rsidR="00F9549E" w:rsidRPr="008B162A" w:rsidRDefault="00FE1BD6" w:rsidP="00F9549E">
      <w:pPr>
        <w:rPr>
          <w:rFonts w:ascii="Century Gothic" w:hAnsi="Century Gothic"/>
        </w:rPr>
      </w:pPr>
      <w:r w:rsidRPr="008B162A">
        <w:rPr>
          <w:rFonts w:ascii="Century Gothic" w:hAnsi="Century Gothic"/>
        </w:rPr>
        <w:t xml:space="preserve">Según lo indicado en los párrafos anteriores, la proyección de </w:t>
      </w:r>
      <w:r w:rsidR="00F9549E" w:rsidRPr="008B162A">
        <w:rPr>
          <w:rFonts w:ascii="Century Gothic" w:hAnsi="Century Gothic"/>
        </w:rPr>
        <w:t xml:space="preserve">los servicios de banda ancha </w:t>
      </w:r>
      <w:r w:rsidRPr="008B162A">
        <w:rPr>
          <w:rFonts w:ascii="Century Gothic" w:hAnsi="Century Gothic"/>
        </w:rPr>
        <w:t xml:space="preserve">presenta una elevada complejidad </w:t>
      </w:r>
      <w:r w:rsidR="00F9549E" w:rsidRPr="008B162A">
        <w:rPr>
          <w:rFonts w:ascii="Century Gothic" w:hAnsi="Century Gothic"/>
        </w:rPr>
        <w:t>debido a la incertidumbre y al poco historial que se tiene de dicha tecnología en el país. Dentro de los servicios de banda ancha considerados en el modelo se encuentran los siguientes:</w:t>
      </w:r>
    </w:p>
    <w:p w:rsidR="00F9549E" w:rsidRPr="00D7559E" w:rsidRDefault="00F9549E" w:rsidP="000F1DD5">
      <w:pPr>
        <w:pStyle w:val="Indentado1"/>
        <w:numPr>
          <w:ilvl w:val="0"/>
          <w:numId w:val="27"/>
        </w:numPr>
      </w:pPr>
      <w:r w:rsidRPr="00D7559E">
        <w:t>Servicio de acceso de fibra</w:t>
      </w:r>
      <w:r w:rsidR="00C05DF4" w:rsidRPr="00D7559E">
        <w:t xml:space="preserve"> minorista</w:t>
      </w:r>
    </w:p>
    <w:p w:rsidR="00F9549E" w:rsidRPr="00D7559E" w:rsidRDefault="00F9549E" w:rsidP="000F1DD5">
      <w:pPr>
        <w:pStyle w:val="Indentado1"/>
        <w:numPr>
          <w:ilvl w:val="0"/>
          <w:numId w:val="27"/>
        </w:numPr>
      </w:pPr>
      <w:r w:rsidRPr="00D7559E">
        <w:t>Servicio de acceso indirecto</w:t>
      </w:r>
    </w:p>
    <w:p w:rsidR="00F9549E" w:rsidRPr="00D7559E" w:rsidRDefault="00F9549E" w:rsidP="000F1DD5">
      <w:pPr>
        <w:pStyle w:val="Indentado1"/>
        <w:numPr>
          <w:ilvl w:val="0"/>
          <w:numId w:val="27"/>
        </w:numPr>
      </w:pPr>
      <w:r w:rsidRPr="00D7559E">
        <w:t>Servicio de desagregación VULA</w:t>
      </w:r>
    </w:p>
    <w:p w:rsidR="00F9549E" w:rsidRPr="008B162A" w:rsidRDefault="00F9549E" w:rsidP="00F9549E">
      <w:pPr>
        <w:rPr>
          <w:rFonts w:ascii="Century Gothic" w:hAnsi="Century Gothic"/>
        </w:rPr>
      </w:pPr>
      <w:r w:rsidRPr="008B162A">
        <w:rPr>
          <w:rFonts w:ascii="Century Gothic" w:hAnsi="Century Gothic"/>
        </w:rPr>
        <w:t xml:space="preserve">Para poder definir </w:t>
      </w:r>
      <w:r w:rsidR="00FE1BD6" w:rsidRPr="008B162A">
        <w:rPr>
          <w:rFonts w:ascii="Century Gothic" w:hAnsi="Century Gothic"/>
        </w:rPr>
        <w:t xml:space="preserve">estas </w:t>
      </w:r>
      <w:r w:rsidRPr="008B162A">
        <w:rPr>
          <w:rFonts w:ascii="Century Gothic" w:hAnsi="Century Gothic"/>
        </w:rPr>
        <w:t xml:space="preserve">proyecciones de la demanda, </w:t>
      </w:r>
      <w:r w:rsidR="00FE1BD6" w:rsidRPr="008B162A">
        <w:rPr>
          <w:rFonts w:ascii="Century Gothic" w:hAnsi="Century Gothic"/>
        </w:rPr>
        <w:t>se ha considerado oportuno realizar en primer lugar una proyección agregada de estos servicios, que permite minimizar el error asociado a cada pronóstico</w:t>
      </w:r>
      <w:r w:rsidRPr="008B162A">
        <w:rPr>
          <w:rFonts w:ascii="Century Gothic" w:hAnsi="Century Gothic"/>
        </w:rPr>
        <w:t>, y posteriormente desagrega</w:t>
      </w:r>
      <w:r w:rsidR="00FE1BD6" w:rsidRPr="008B162A">
        <w:rPr>
          <w:rFonts w:ascii="Century Gothic" w:hAnsi="Century Gothic"/>
        </w:rPr>
        <w:t xml:space="preserve">r la demanda proyectada entre </w:t>
      </w:r>
      <w:r w:rsidRPr="008B162A">
        <w:rPr>
          <w:rFonts w:ascii="Century Gothic" w:hAnsi="Century Gothic"/>
        </w:rPr>
        <w:t>los servicios antes mencionados.</w:t>
      </w:r>
    </w:p>
    <w:p w:rsidR="00F9549E" w:rsidRPr="008B162A" w:rsidRDefault="00F9549E" w:rsidP="009263C5">
      <w:pPr>
        <w:pStyle w:val="Ttulo5"/>
        <w:rPr>
          <w:rFonts w:ascii="Century Gothic" w:hAnsi="Century Gothic"/>
        </w:rPr>
      </w:pPr>
      <w:bookmarkStart w:id="62" w:name="_Toc458627166"/>
      <w:r w:rsidRPr="008B162A">
        <w:rPr>
          <w:rFonts w:ascii="Century Gothic" w:hAnsi="Century Gothic"/>
        </w:rPr>
        <w:t>Cálculo de la demanda total de servicios de fibra</w:t>
      </w:r>
      <w:bookmarkEnd w:id="62"/>
    </w:p>
    <w:p w:rsidR="009263C5" w:rsidRPr="008B162A" w:rsidRDefault="00F9549E" w:rsidP="00B43E51">
      <w:pPr>
        <w:rPr>
          <w:rFonts w:ascii="Century Gothic" w:hAnsi="Century Gothic"/>
        </w:rPr>
      </w:pPr>
      <w:r w:rsidRPr="008B162A">
        <w:rPr>
          <w:rFonts w:ascii="Century Gothic" w:hAnsi="Century Gothic"/>
        </w:rPr>
        <w:t xml:space="preserve">De acuerdo a lo mencionado previamente, el primer paso </w:t>
      </w:r>
      <w:r w:rsidR="00FE1BD6" w:rsidRPr="008B162A">
        <w:rPr>
          <w:rFonts w:ascii="Century Gothic" w:hAnsi="Century Gothic"/>
        </w:rPr>
        <w:t xml:space="preserve">del cálculo consiste en proyectar </w:t>
      </w:r>
      <w:r w:rsidRPr="008B162A">
        <w:rPr>
          <w:rFonts w:ascii="Century Gothic" w:hAnsi="Century Gothic"/>
        </w:rPr>
        <w:t xml:space="preserve">la demanda total de los servicios de </w:t>
      </w:r>
      <w:r w:rsidR="00FE1BD6" w:rsidRPr="008B162A">
        <w:rPr>
          <w:rFonts w:ascii="Century Gothic" w:hAnsi="Century Gothic"/>
        </w:rPr>
        <w:t xml:space="preserve">banda ancha </w:t>
      </w:r>
      <w:r w:rsidRPr="008B162A">
        <w:rPr>
          <w:rFonts w:ascii="Century Gothic" w:hAnsi="Century Gothic"/>
        </w:rPr>
        <w:t xml:space="preserve">de forma agregada. </w:t>
      </w:r>
      <w:r w:rsidR="00FE1BD6" w:rsidRPr="008B162A">
        <w:rPr>
          <w:rFonts w:ascii="Century Gothic" w:hAnsi="Century Gothic"/>
        </w:rPr>
        <w:t xml:space="preserve">Para ello </w:t>
      </w:r>
      <w:r w:rsidRPr="008B162A">
        <w:rPr>
          <w:rFonts w:ascii="Century Gothic" w:hAnsi="Century Gothic"/>
        </w:rPr>
        <w:t>se hace uso de la in</w:t>
      </w:r>
      <w:r w:rsidR="00B43E51" w:rsidRPr="008B162A">
        <w:rPr>
          <w:rFonts w:ascii="Century Gothic" w:hAnsi="Century Gothic"/>
        </w:rPr>
        <w:t>formación de adopción histórica</w:t>
      </w:r>
      <w:r w:rsidR="00417878" w:rsidRPr="008B162A">
        <w:rPr>
          <w:rFonts w:ascii="Century Gothic" w:hAnsi="Century Gothic"/>
        </w:rPr>
        <w:t xml:space="preserve"> en México y la cobertura estimada anteriormente</w:t>
      </w:r>
      <w:r w:rsidR="00FE1BD6" w:rsidRPr="008B162A">
        <w:rPr>
          <w:rFonts w:ascii="Century Gothic" w:hAnsi="Century Gothic"/>
        </w:rPr>
        <w:t>.</w:t>
      </w:r>
      <w:r w:rsidR="00B43E51" w:rsidRPr="008B162A">
        <w:rPr>
          <w:rFonts w:ascii="Century Gothic" w:hAnsi="Century Gothic"/>
        </w:rPr>
        <w:t xml:space="preserve"> </w:t>
      </w:r>
      <w:r w:rsidR="009263C5" w:rsidRPr="008B162A">
        <w:rPr>
          <w:rFonts w:ascii="Century Gothic" w:hAnsi="Century Gothic"/>
        </w:rPr>
        <w:t xml:space="preserve">En la siguiente ilustración se presenta </w:t>
      </w:r>
      <w:r w:rsidR="00B43E51" w:rsidRPr="008B162A">
        <w:rPr>
          <w:rFonts w:ascii="Century Gothic" w:hAnsi="Century Gothic"/>
        </w:rPr>
        <w:t>la demanda estimada:</w:t>
      </w:r>
      <w:r w:rsidR="009263C5" w:rsidRPr="008B162A">
        <w:rPr>
          <w:rFonts w:ascii="Century Gothic" w:hAnsi="Century Gothic"/>
        </w:rPr>
        <w:t xml:space="preserve"> </w:t>
      </w:r>
    </w:p>
    <w:p w:rsidR="00B37320" w:rsidRPr="008B162A" w:rsidRDefault="002C62A3" w:rsidP="00F9549E">
      <w:pPr>
        <w:keepNext/>
        <w:jc w:val="center"/>
        <w:rPr>
          <w:rFonts w:ascii="Century Gothic" w:hAnsi="Century Gothic"/>
        </w:rPr>
      </w:pPr>
      <w:r w:rsidRPr="008B162A">
        <w:rPr>
          <w:rFonts w:ascii="Century Gothic" w:hAnsi="Century Gothic"/>
        </w:rPr>
        <w:lastRenderedPageBreak/>
        <w:t xml:space="preserve"> </w:t>
      </w:r>
      <w:r w:rsidR="00BB227F" w:rsidRPr="008B162A">
        <w:rPr>
          <w:rFonts w:ascii="Century Gothic" w:hAnsi="Century Gothic"/>
          <w:noProof/>
          <w:lang w:eastAsia="es-MX"/>
        </w:rPr>
        <w:drawing>
          <wp:inline distT="0" distB="0" distL="0" distR="0" wp14:anchorId="5C7B33D4" wp14:editId="7D802C72">
            <wp:extent cx="5330825" cy="3181985"/>
            <wp:effectExtent l="0" t="0" r="3175" b="0"/>
            <wp:docPr id="25" name="Picture 25"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30825" cy="3181985"/>
                    </a:xfrm>
                    <a:prstGeom prst="rect">
                      <a:avLst/>
                    </a:prstGeom>
                    <a:noFill/>
                    <a:ln>
                      <a:noFill/>
                    </a:ln>
                  </pic:spPr>
                </pic:pic>
              </a:graphicData>
            </a:graphic>
          </wp:inline>
        </w:drawing>
      </w:r>
    </w:p>
    <w:p w:rsidR="00F9549E" w:rsidRPr="008B162A" w:rsidRDefault="00F9549E" w:rsidP="00BB227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6</w:t>
      </w:r>
      <w:r w:rsidR="006F7424" w:rsidRPr="008B162A">
        <w:rPr>
          <w:rFonts w:ascii="Century Gothic" w:hAnsi="Century Gothic"/>
        </w:rPr>
        <w:fldChar w:fldCharType="end"/>
      </w:r>
      <w:r w:rsidR="002F0BC5" w:rsidRPr="008B162A">
        <w:rPr>
          <w:rFonts w:ascii="Century Gothic" w:hAnsi="Century Gothic"/>
          <w:noProof/>
        </w:rPr>
        <w:t>:</w:t>
      </w:r>
      <w:r w:rsidRPr="008B162A">
        <w:rPr>
          <w:rFonts w:ascii="Century Gothic" w:hAnsi="Century Gothic"/>
        </w:rPr>
        <w:t xml:space="preserve"> Demanda </w:t>
      </w:r>
      <w:r w:rsidR="00581E08" w:rsidRPr="008B162A">
        <w:rPr>
          <w:rFonts w:ascii="Century Gothic" w:hAnsi="Century Gothic"/>
        </w:rPr>
        <w:t xml:space="preserve">estimada </w:t>
      </w:r>
      <w:r w:rsidRPr="008B162A">
        <w:rPr>
          <w:rFonts w:ascii="Century Gothic" w:hAnsi="Century Gothic"/>
        </w:rPr>
        <w:t xml:space="preserve">de servicios de </w:t>
      </w:r>
      <w:r w:rsidR="009263C5" w:rsidRPr="008B162A">
        <w:rPr>
          <w:rFonts w:ascii="Century Gothic" w:hAnsi="Century Gothic"/>
        </w:rPr>
        <w:t>acceso de fibra</w:t>
      </w:r>
      <w:r w:rsidR="00BB227F" w:rsidRPr="008B162A">
        <w:rPr>
          <w:rFonts w:ascii="Century Gothic" w:hAnsi="Century Gothic"/>
        </w:rPr>
        <w:t xml:space="preserve"> GPON</w:t>
      </w:r>
      <w:r w:rsidRPr="008B162A">
        <w:rPr>
          <w:rStyle w:val="Refdenotaalpie"/>
          <w:rFonts w:ascii="Century Gothic" w:hAnsi="Century Gothic"/>
        </w:rPr>
        <w:footnoteReference w:id="8"/>
      </w:r>
      <w:r w:rsidRPr="008B162A">
        <w:rPr>
          <w:rFonts w:ascii="Century Gothic" w:hAnsi="Century Gothic"/>
        </w:rPr>
        <w:t xml:space="preserve"> [Fuente: </w:t>
      </w:r>
      <w:r w:rsidR="006B7D75" w:rsidRPr="008B162A">
        <w:rPr>
          <w:rFonts w:ascii="Century Gothic" w:hAnsi="Century Gothic"/>
        </w:rPr>
        <w:t>IFT, 2016</w:t>
      </w:r>
      <w:r w:rsidRPr="008B162A">
        <w:rPr>
          <w:rFonts w:ascii="Century Gothic" w:hAnsi="Century Gothic"/>
        </w:rPr>
        <w:t>]</w:t>
      </w:r>
    </w:p>
    <w:p w:rsidR="00F9549E" w:rsidRPr="008B162A" w:rsidRDefault="00F9549E" w:rsidP="009263C5">
      <w:pPr>
        <w:pStyle w:val="Ttulo5"/>
        <w:rPr>
          <w:rFonts w:ascii="Century Gothic" w:hAnsi="Century Gothic"/>
        </w:rPr>
      </w:pPr>
      <w:bookmarkStart w:id="63" w:name="_Toc458627167"/>
      <w:r w:rsidRPr="008B162A">
        <w:rPr>
          <w:rFonts w:ascii="Century Gothic" w:hAnsi="Century Gothic"/>
        </w:rPr>
        <w:t>Cálculo de la demanda desagregada de servicios de fibra</w:t>
      </w:r>
      <w:bookmarkEnd w:id="63"/>
    </w:p>
    <w:p w:rsidR="00F9549E" w:rsidRPr="008B162A" w:rsidRDefault="00F9549E" w:rsidP="00F9549E">
      <w:pPr>
        <w:rPr>
          <w:rFonts w:ascii="Century Gothic" w:hAnsi="Century Gothic"/>
        </w:rPr>
      </w:pPr>
      <w:r w:rsidRPr="008B162A">
        <w:rPr>
          <w:rFonts w:ascii="Century Gothic" w:hAnsi="Century Gothic"/>
        </w:rPr>
        <w:t xml:space="preserve">Una vez </w:t>
      </w:r>
      <w:r w:rsidR="00475923" w:rsidRPr="008B162A">
        <w:rPr>
          <w:rFonts w:ascii="Century Gothic" w:hAnsi="Century Gothic"/>
        </w:rPr>
        <w:t xml:space="preserve">obtenida la demanda total de los servicios </w:t>
      </w:r>
      <w:r w:rsidRPr="008B162A">
        <w:rPr>
          <w:rFonts w:ascii="Century Gothic" w:hAnsi="Century Gothic"/>
        </w:rPr>
        <w:t xml:space="preserve">de </w:t>
      </w:r>
      <w:r w:rsidR="00475923" w:rsidRPr="008B162A">
        <w:rPr>
          <w:rFonts w:ascii="Century Gothic" w:hAnsi="Century Gothic"/>
        </w:rPr>
        <w:t xml:space="preserve">acceso sobre </w:t>
      </w:r>
      <w:r w:rsidRPr="008B162A">
        <w:rPr>
          <w:rFonts w:ascii="Century Gothic" w:hAnsi="Century Gothic"/>
        </w:rPr>
        <w:t xml:space="preserve">fibra de banda ancha, el siguiente paso </w:t>
      </w:r>
      <w:r w:rsidR="00475923" w:rsidRPr="008B162A">
        <w:rPr>
          <w:rFonts w:ascii="Century Gothic" w:hAnsi="Century Gothic"/>
        </w:rPr>
        <w:t>consiste en</w:t>
      </w:r>
      <w:r w:rsidRPr="008B162A">
        <w:rPr>
          <w:rFonts w:ascii="Century Gothic" w:hAnsi="Century Gothic"/>
        </w:rPr>
        <w:t xml:space="preserve"> calcular los volúmenes para cada uno de los servicios </w:t>
      </w:r>
      <w:r w:rsidR="00475923" w:rsidRPr="008B162A">
        <w:rPr>
          <w:rFonts w:ascii="Century Gothic" w:hAnsi="Century Gothic"/>
        </w:rPr>
        <w:t>individualmente</w:t>
      </w:r>
      <w:r w:rsidRPr="008B162A">
        <w:rPr>
          <w:rFonts w:ascii="Century Gothic" w:hAnsi="Century Gothic"/>
        </w:rPr>
        <w:t xml:space="preserve">. </w:t>
      </w:r>
    </w:p>
    <w:p w:rsidR="00F9549E" w:rsidRPr="008B162A" w:rsidRDefault="00F9549E" w:rsidP="00B43E51">
      <w:pPr>
        <w:rPr>
          <w:rFonts w:ascii="Century Gothic" w:hAnsi="Century Gothic"/>
        </w:rPr>
      </w:pPr>
      <w:r w:rsidRPr="008B162A">
        <w:rPr>
          <w:rFonts w:ascii="Century Gothic" w:hAnsi="Century Gothic"/>
        </w:rPr>
        <w:t xml:space="preserve">De los servicios </w:t>
      </w:r>
      <w:r w:rsidR="00C869BD" w:rsidRPr="008B162A">
        <w:rPr>
          <w:rFonts w:ascii="Century Gothic" w:hAnsi="Century Gothic"/>
        </w:rPr>
        <w:t xml:space="preserve">de banda ancha analizados, </w:t>
      </w:r>
      <w:r w:rsidRPr="008B162A">
        <w:rPr>
          <w:rFonts w:ascii="Century Gothic" w:hAnsi="Century Gothic"/>
        </w:rPr>
        <w:t xml:space="preserve">únicamente el servicio minorista de fibra </w:t>
      </w:r>
      <w:r w:rsidR="00B43E51" w:rsidRPr="008B162A">
        <w:rPr>
          <w:rFonts w:ascii="Century Gothic" w:hAnsi="Century Gothic"/>
        </w:rPr>
        <w:t>dispone de demanda actualmente</w:t>
      </w:r>
      <w:r w:rsidRPr="008B162A">
        <w:rPr>
          <w:rFonts w:ascii="Century Gothic" w:hAnsi="Century Gothic"/>
        </w:rPr>
        <w:t xml:space="preserve">. Sin embargo, se espera que como </w:t>
      </w:r>
      <w:r w:rsidR="00C869BD" w:rsidRPr="008B162A">
        <w:rPr>
          <w:rFonts w:ascii="Century Gothic" w:hAnsi="Century Gothic"/>
        </w:rPr>
        <w:t xml:space="preserve">resultado </w:t>
      </w:r>
      <w:r w:rsidRPr="008B162A">
        <w:rPr>
          <w:rFonts w:ascii="Century Gothic" w:hAnsi="Century Gothic"/>
        </w:rPr>
        <w:t xml:space="preserve">de la revisión de la Oferta de Referencia para la Desagregación del Bucle Local (OREDA) se lancen los servicios mayoristas considerados en el modelo y los CS puedan hacer uso de los mismos, para lo cual se deberá costear cada uno </w:t>
      </w:r>
      <w:r w:rsidR="00DB603B" w:rsidRPr="008B162A">
        <w:rPr>
          <w:rFonts w:ascii="Century Gothic" w:hAnsi="Century Gothic"/>
        </w:rPr>
        <w:t xml:space="preserve">de </w:t>
      </w:r>
      <w:r w:rsidR="00C869BD" w:rsidRPr="008B162A">
        <w:rPr>
          <w:rFonts w:ascii="Century Gothic" w:hAnsi="Century Gothic"/>
        </w:rPr>
        <w:t xml:space="preserve">ellos y será </w:t>
      </w:r>
      <w:r w:rsidRPr="008B162A">
        <w:rPr>
          <w:rFonts w:ascii="Century Gothic" w:hAnsi="Century Gothic"/>
        </w:rPr>
        <w:t xml:space="preserve">necesario </w:t>
      </w:r>
      <w:r w:rsidR="00C869BD" w:rsidRPr="008B162A">
        <w:rPr>
          <w:rFonts w:ascii="Century Gothic" w:hAnsi="Century Gothic"/>
        </w:rPr>
        <w:t>definir</w:t>
      </w:r>
      <w:r w:rsidRPr="008B162A">
        <w:rPr>
          <w:rFonts w:ascii="Century Gothic" w:hAnsi="Century Gothic"/>
        </w:rPr>
        <w:t xml:space="preserve"> </w:t>
      </w:r>
      <w:r w:rsidR="00C869BD" w:rsidRPr="008B162A">
        <w:rPr>
          <w:rFonts w:ascii="Century Gothic" w:hAnsi="Century Gothic"/>
        </w:rPr>
        <w:t xml:space="preserve">su </w:t>
      </w:r>
      <w:r w:rsidRPr="008B162A">
        <w:rPr>
          <w:rFonts w:ascii="Century Gothic" w:hAnsi="Century Gothic"/>
        </w:rPr>
        <w:t xml:space="preserve">demanda </w:t>
      </w:r>
      <w:r w:rsidR="00C869BD" w:rsidRPr="008B162A">
        <w:rPr>
          <w:rFonts w:ascii="Century Gothic" w:hAnsi="Century Gothic"/>
        </w:rPr>
        <w:t>esperada</w:t>
      </w:r>
      <w:r w:rsidRPr="008B162A">
        <w:rPr>
          <w:rFonts w:ascii="Century Gothic" w:hAnsi="Century Gothic"/>
        </w:rPr>
        <w:t>.</w:t>
      </w:r>
    </w:p>
    <w:p w:rsidR="00F9549E" w:rsidRPr="008B162A" w:rsidRDefault="00C869BD" w:rsidP="00F73209">
      <w:pPr>
        <w:rPr>
          <w:rFonts w:ascii="Century Gothic" w:hAnsi="Century Gothic"/>
        </w:rPr>
      </w:pPr>
      <w:r w:rsidRPr="008B162A">
        <w:rPr>
          <w:rFonts w:ascii="Century Gothic" w:hAnsi="Century Gothic"/>
        </w:rPr>
        <w:t>P</w:t>
      </w:r>
      <w:r w:rsidR="00F9549E" w:rsidRPr="008B162A">
        <w:rPr>
          <w:rFonts w:ascii="Century Gothic" w:hAnsi="Century Gothic"/>
        </w:rPr>
        <w:t xml:space="preserve">ara el cálculo de los demás servicios se consideró una proyección a partir de la cuota de mercado del AEP en servicios de </w:t>
      </w:r>
      <w:r w:rsidR="00F73209" w:rsidRPr="008B162A">
        <w:rPr>
          <w:rFonts w:ascii="Century Gothic" w:hAnsi="Century Gothic"/>
        </w:rPr>
        <w:t xml:space="preserve">banda ancha </w:t>
      </w:r>
      <w:r w:rsidR="00F9549E" w:rsidRPr="008B162A">
        <w:rPr>
          <w:rFonts w:ascii="Century Gothic" w:hAnsi="Century Gothic"/>
        </w:rPr>
        <w:t xml:space="preserve">del </w:t>
      </w:r>
      <w:r w:rsidR="00F73209" w:rsidRPr="008B162A">
        <w:rPr>
          <w:rFonts w:ascii="Century Gothic" w:hAnsi="Century Gothic"/>
        </w:rPr>
        <w:t>61</w:t>
      </w:r>
      <w:r w:rsidR="00F9549E" w:rsidRPr="008B162A">
        <w:rPr>
          <w:rFonts w:ascii="Century Gothic" w:hAnsi="Century Gothic"/>
        </w:rPr>
        <w:t>%</w:t>
      </w:r>
      <w:r w:rsidR="00F9549E" w:rsidRPr="008B162A">
        <w:rPr>
          <w:rStyle w:val="Refdenotaalpie"/>
          <w:rFonts w:ascii="Century Gothic" w:hAnsi="Century Gothic"/>
        </w:rPr>
        <w:footnoteReference w:id="9"/>
      </w:r>
      <w:r w:rsidR="00F9549E" w:rsidRPr="008B162A">
        <w:rPr>
          <w:rFonts w:ascii="Century Gothic" w:hAnsi="Century Gothic"/>
        </w:rPr>
        <w:t xml:space="preserve"> </w:t>
      </w:r>
      <w:r w:rsidRPr="008B162A">
        <w:rPr>
          <w:rFonts w:ascii="Century Gothic" w:hAnsi="Century Gothic"/>
        </w:rPr>
        <w:t>- lo cual implicaría que</w:t>
      </w:r>
      <w:r w:rsidR="00F9549E" w:rsidRPr="008B162A">
        <w:rPr>
          <w:rFonts w:ascii="Century Gothic" w:hAnsi="Century Gothic"/>
        </w:rPr>
        <w:t xml:space="preserve"> los otros operadores aspirarían a alcanzar un </w:t>
      </w:r>
      <w:r w:rsidR="00F73209" w:rsidRPr="008B162A">
        <w:rPr>
          <w:rFonts w:ascii="Century Gothic" w:hAnsi="Century Gothic"/>
        </w:rPr>
        <w:t>39% de cuota del mercado de acceso de fibra</w:t>
      </w:r>
      <w:r w:rsidR="00F9549E" w:rsidRPr="008B162A">
        <w:rPr>
          <w:rFonts w:ascii="Century Gothic" w:hAnsi="Century Gothic"/>
        </w:rPr>
        <w:t xml:space="preserve"> </w:t>
      </w:r>
      <w:r w:rsidRPr="008B162A">
        <w:rPr>
          <w:rFonts w:ascii="Century Gothic" w:hAnsi="Century Gothic"/>
        </w:rPr>
        <w:t>-</w:t>
      </w:r>
      <w:r w:rsidR="00F9549E" w:rsidRPr="008B162A">
        <w:rPr>
          <w:rFonts w:ascii="Century Gothic" w:hAnsi="Century Gothic"/>
        </w:rPr>
        <w:t xml:space="preserve">. </w:t>
      </w:r>
      <w:r w:rsidRPr="008B162A">
        <w:rPr>
          <w:rFonts w:ascii="Century Gothic" w:hAnsi="Century Gothic"/>
        </w:rPr>
        <w:t xml:space="preserve">No obstante, cabría esperar </w:t>
      </w:r>
      <w:r w:rsidR="00F9549E" w:rsidRPr="008B162A">
        <w:rPr>
          <w:rFonts w:ascii="Century Gothic" w:hAnsi="Century Gothic"/>
        </w:rPr>
        <w:t xml:space="preserve">que no todos los operadores </w:t>
      </w:r>
      <w:r w:rsidRPr="008B162A">
        <w:rPr>
          <w:rFonts w:ascii="Century Gothic" w:hAnsi="Century Gothic"/>
        </w:rPr>
        <w:t xml:space="preserve">ofertaran </w:t>
      </w:r>
      <w:r w:rsidR="00F9549E" w:rsidRPr="008B162A">
        <w:rPr>
          <w:rFonts w:ascii="Century Gothic" w:hAnsi="Century Gothic"/>
        </w:rPr>
        <w:t xml:space="preserve">sus servicios de fibra a través </w:t>
      </w:r>
      <w:r w:rsidR="00F9549E" w:rsidRPr="008B162A">
        <w:rPr>
          <w:rFonts w:ascii="Century Gothic" w:hAnsi="Century Gothic"/>
        </w:rPr>
        <w:lastRenderedPageBreak/>
        <w:t xml:space="preserve">de la infraestructura del AEP, sino </w:t>
      </w:r>
      <w:r w:rsidRPr="008B162A">
        <w:rPr>
          <w:rFonts w:ascii="Century Gothic" w:hAnsi="Century Gothic"/>
        </w:rPr>
        <w:t xml:space="preserve">que también lo hicieran mediante </w:t>
      </w:r>
      <w:r w:rsidR="00F9549E" w:rsidRPr="008B162A">
        <w:rPr>
          <w:rFonts w:ascii="Century Gothic" w:hAnsi="Century Gothic"/>
        </w:rPr>
        <w:t>infraestructura propia. Por lo tanto</w:t>
      </w:r>
      <w:r w:rsidR="00417878" w:rsidRPr="008B162A">
        <w:rPr>
          <w:rFonts w:ascii="Century Gothic" w:hAnsi="Century Gothic"/>
        </w:rPr>
        <w:t xml:space="preserve">, </w:t>
      </w:r>
      <w:r w:rsidRPr="008B162A">
        <w:rPr>
          <w:rFonts w:ascii="Century Gothic" w:hAnsi="Century Gothic"/>
        </w:rPr>
        <w:t xml:space="preserve">se </w:t>
      </w:r>
      <w:r w:rsidR="00F9549E" w:rsidRPr="008B162A">
        <w:rPr>
          <w:rFonts w:ascii="Century Gothic" w:hAnsi="Century Gothic"/>
        </w:rPr>
        <w:t>propone considerar que los operadores alternativos controlarán</w:t>
      </w:r>
      <w:r w:rsidR="008873EB" w:rsidRPr="008B162A">
        <w:rPr>
          <w:rFonts w:ascii="Century Gothic" w:hAnsi="Century Gothic"/>
        </w:rPr>
        <w:t xml:space="preserve"> la mitad de esta cuota de mercado a través de los servicios de desagregación,</w:t>
      </w:r>
      <w:r w:rsidRPr="008B162A">
        <w:rPr>
          <w:rFonts w:ascii="Century Gothic" w:hAnsi="Century Gothic"/>
        </w:rPr>
        <w:t xml:space="preserve"> de modo que se estima que </w:t>
      </w:r>
      <w:r w:rsidR="008873EB" w:rsidRPr="008B162A">
        <w:rPr>
          <w:rFonts w:ascii="Century Gothic" w:hAnsi="Century Gothic"/>
        </w:rPr>
        <w:t>en 2020 un 20% de las líneas activas se utili</w:t>
      </w:r>
      <w:r w:rsidRPr="008B162A">
        <w:rPr>
          <w:rFonts w:ascii="Century Gothic" w:hAnsi="Century Gothic"/>
        </w:rPr>
        <w:t>zarán</w:t>
      </w:r>
      <w:r w:rsidR="008873EB" w:rsidRPr="008B162A">
        <w:rPr>
          <w:rFonts w:ascii="Century Gothic" w:hAnsi="Century Gothic"/>
        </w:rPr>
        <w:t xml:space="preserve"> a través de servicios de acceso mayorista (tanto VULA como indirecto). Asimismo, y a falta de pronósticos de demanda por parte de los CS que proporcionen información sobre </w:t>
      </w:r>
      <w:r w:rsidR="00626329" w:rsidRPr="008B162A">
        <w:rPr>
          <w:rFonts w:ascii="Century Gothic" w:hAnsi="Century Gothic"/>
        </w:rPr>
        <w:t xml:space="preserve">el </w:t>
      </w:r>
      <w:r w:rsidR="008873EB" w:rsidRPr="008B162A">
        <w:rPr>
          <w:rFonts w:ascii="Century Gothic" w:hAnsi="Century Gothic"/>
        </w:rPr>
        <w:t xml:space="preserve">mix de accesos indirectos y directos que van a ser usados en el mercado mexicano, </w:t>
      </w:r>
      <w:r w:rsidR="00626329" w:rsidRPr="008B162A">
        <w:rPr>
          <w:rFonts w:ascii="Century Gothic" w:hAnsi="Century Gothic"/>
        </w:rPr>
        <w:t xml:space="preserve">se propone </w:t>
      </w:r>
      <w:r w:rsidR="008873EB" w:rsidRPr="008B162A">
        <w:rPr>
          <w:rFonts w:ascii="Century Gothic" w:hAnsi="Century Gothic"/>
        </w:rPr>
        <w:t>desagregarlos al 50%.</w:t>
      </w:r>
    </w:p>
    <w:p w:rsidR="00F9549E" w:rsidRPr="008B162A" w:rsidRDefault="00F9549E" w:rsidP="00F9549E">
      <w:pPr>
        <w:rPr>
          <w:rFonts w:ascii="Century Gothic" w:hAnsi="Century Gothic"/>
        </w:rPr>
      </w:pPr>
      <w:r w:rsidRPr="008B162A">
        <w:rPr>
          <w:rFonts w:ascii="Century Gothic" w:hAnsi="Century Gothic"/>
        </w:rPr>
        <w:t>Es importante resaltar que, si bien la proyección de la demanda y cobertura totales tiene un impacto relevante en los costos de los servicios, la desagregación entre servicios tiene un impacto mínimo sobre l</w:t>
      </w:r>
      <w:r w:rsidR="00626329" w:rsidRPr="008B162A">
        <w:rPr>
          <w:rFonts w:ascii="Century Gothic" w:hAnsi="Century Gothic"/>
        </w:rPr>
        <w:t>a base total de costos.</w:t>
      </w:r>
      <w:r w:rsidR="008873EB" w:rsidRPr="008B162A">
        <w:rPr>
          <w:rFonts w:ascii="Century Gothic" w:hAnsi="Century Gothic"/>
        </w:rPr>
        <w:t xml:space="preserve"> </w:t>
      </w:r>
      <w:r w:rsidR="00626329" w:rsidRPr="008B162A">
        <w:rPr>
          <w:rFonts w:ascii="Century Gothic" w:hAnsi="Century Gothic"/>
        </w:rPr>
        <w:t>E</w:t>
      </w:r>
      <w:r w:rsidR="008873EB" w:rsidRPr="008B162A">
        <w:rPr>
          <w:rFonts w:ascii="Century Gothic" w:hAnsi="Century Gothic"/>
        </w:rPr>
        <w:t xml:space="preserve">s decir que la mayoría de los costos provendrán del uso de </w:t>
      </w:r>
      <w:r w:rsidR="00B43E51" w:rsidRPr="008B162A">
        <w:rPr>
          <w:rFonts w:ascii="Century Gothic" w:hAnsi="Century Gothic"/>
        </w:rPr>
        <w:t xml:space="preserve">los cables de fibra y de </w:t>
      </w:r>
      <w:r w:rsidR="008873EB" w:rsidRPr="008B162A">
        <w:rPr>
          <w:rFonts w:ascii="Century Gothic" w:hAnsi="Century Gothic"/>
        </w:rPr>
        <w:t xml:space="preserve">la infraestructura pasiva, mientras que los costos de los nodos que </w:t>
      </w:r>
      <w:r w:rsidR="00626329" w:rsidRPr="008B162A">
        <w:rPr>
          <w:rFonts w:ascii="Century Gothic" w:hAnsi="Century Gothic"/>
        </w:rPr>
        <w:t>diferencian</w:t>
      </w:r>
      <w:r w:rsidR="008873EB" w:rsidRPr="008B162A">
        <w:rPr>
          <w:rFonts w:ascii="Century Gothic" w:hAnsi="Century Gothic"/>
        </w:rPr>
        <w:t xml:space="preserve"> </w:t>
      </w:r>
      <w:r w:rsidR="00626329" w:rsidRPr="008B162A">
        <w:rPr>
          <w:rFonts w:ascii="Century Gothic" w:hAnsi="Century Gothic"/>
        </w:rPr>
        <w:t>a</w:t>
      </w:r>
      <w:r w:rsidR="008873EB" w:rsidRPr="008B162A">
        <w:rPr>
          <w:rFonts w:ascii="Century Gothic" w:hAnsi="Century Gothic"/>
        </w:rPr>
        <w:t xml:space="preserve"> </w:t>
      </w:r>
      <w:r w:rsidR="00626329" w:rsidRPr="008B162A">
        <w:rPr>
          <w:rFonts w:ascii="Century Gothic" w:hAnsi="Century Gothic"/>
        </w:rPr>
        <w:t>estos</w:t>
      </w:r>
      <w:r w:rsidR="008873EB" w:rsidRPr="008B162A">
        <w:rPr>
          <w:rFonts w:ascii="Century Gothic" w:hAnsi="Century Gothic"/>
        </w:rPr>
        <w:t xml:space="preserve"> servicios representan un porcentaje menor en </w:t>
      </w:r>
      <w:r w:rsidR="00626329" w:rsidRPr="008B162A">
        <w:rPr>
          <w:rFonts w:ascii="Century Gothic" w:hAnsi="Century Gothic"/>
        </w:rPr>
        <w:t>su</w:t>
      </w:r>
      <w:r w:rsidR="008873EB" w:rsidRPr="008B162A">
        <w:rPr>
          <w:rFonts w:ascii="Century Gothic" w:hAnsi="Century Gothic"/>
        </w:rPr>
        <w:t xml:space="preserve"> provisión.</w:t>
      </w:r>
    </w:p>
    <w:p w:rsidR="00266D75" w:rsidRPr="008B162A" w:rsidRDefault="00266D75" w:rsidP="00581E08">
      <w:pPr>
        <w:rPr>
          <w:rFonts w:ascii="Century Gothic" w:hAnsi="Century Gothic"/>
        </w:rPr>
      </w:pPr>
    </w:p>
    <w:p w:rsidR="00F9549E" w:rsidRPr="008B162A" w:rsidRDefault="00F9549E" w:rsidP="00581E08">
      <w:pPr>
        <w:rPr>
          <w:rFonts w:ascii="Century Gothic" w:hAnsi="Century Gothic"/>
        </w:rPr>
      </w:pPr>
      <w:r w:rsidRPr="008B162A">
        <w:rPr>
          <w:rFonts w:ascii="Century Gothic" w:hAnsi="Century Gothic"/>
        </w:rPr>
        <w:t>Con</w:t>
      </w:r>
      <w:r w:rsidR="00626329" w:rsidRPr="008B162A">
        <w:rPr>
          <w:rFonts w:ascii="Century Gothic" w:hAnsi="Century Gothic"/>
        </w:rPr>
        <w:t xml:space="preserve"> base en lo anterior</w:t>
      </w:r>
      <w:r w:rsidR="00171FC3" w:rsidRPr="008B162A">
        <w:rPr>
          <w:rFonts w:ascii="Century Gothic" w:hAnsi="Century Gothic"/>
        </w:rPr>
        <w:t xml:space="preserve">, </w:t>
      </w:r>
      <w:r w:rsidR="00626329" w:rsidRPr="008B162A">
        <w:rPr>
          <w:rFonts w:ascii="Century Gothic" w:hAnsi="Century Gothic"/>
        </w:rPr>
        <w:t xml:space="preserve">la demanda </w:t>
      </w:r>
      <w:r w:rsidR="00581E08" w:rsidRPr="008B162A">
        <w:rPr>
          <w:rFonts w:ascii="Century Gothic" w:hAnsi="Century Gothic"/>
        </w:rPr>
        <w:t xml:space="preserve">estimada </w:t>
      </w:r>
      <w:r w:rsidR="00626329" w:rsidRPr="008B162A">
        <w:rPr>
          <w:rFonts w:ascii="Century Gothic" w:hAnsi="Century Gothic"/>
        </w:rPr>
        <w:t>a nivel de servicio quedaría del siguiente modo:</w:t>
      </w:r>
    </w:p>
    <w:p w:rsidR="003247B3" w:rsidRPr="008B162A" w:rsidRDefault="00581E08" w:rsidP="00626329">
      <w:pPr>
        <w:spacing w:after="0"/>
        <w:jc w:val="center"/>
        <w:rPr>
          <w:rFonts w:ascii="Century Gothic" w:hAnsi="Century Gothic"/>
        </w:rPr>
      </w:pPr>
      <w:r w:rsidRPr="008B162A">
        <w:rPr>
          <w:rFonts w:ascii="Century Gothic" w:hAnsi="Century Gothic"/>
          <w:noProof/>
          <w:lang w:eastAsia="es-MX"/>
        </w:rPr>
        <w:drawing>
          <wp:inline distT="0" distB="0" distL="0" distR="0" wp14:anchorId="393608DA" wp14:editId="68FE5B59">
            <wp:extent cx="5139055" cy="3383280"/>
            <wp:effectExtent l="0" t="0" r="4445" b="7620"/>
            <wp:docPr id="226" name="Picture 226"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39055" cy="3383280"/>
                    </a:xfrm>
                    <a:prstGeom prst="rect">
                      <a:avLst/>
                    </a:prstGeom>
                    <a:noFill/>
                    <a:ln>
                      <a:noFill/>
                    </a:ln>
                  </pic:spPr>
                </pic:pic>
              </a:graphicData>
            </a:graphic>
          </wp:inline>
        </w:drawing>
      </w:r>
    </w:p>
    <w:p w:rsidR="00F9549E" w:rsidRPr="008B162A" w:rsidRDefault="00F9549E" w:rsidP="00581E08">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2F0BC5" w:rsidRPr="008B162A">
        <w:rPr>
          <w:rFonts w:ascii="Century Gothic" w:hAnsi="Century Gothic"/>
          <w:noProof/>
        </w:rPr>
        <w:t>:</w:t>
      </w:r>
      <w:r w:rsidRPr="008B162A">
        <w:rPr>
          <w:rFonts w:ascii="Century Gothic" w:hAnsi="Century Gothic"/>
        </w:rPr>
        <w:t xml:space="preserve"> </w:t>
      </w:r>
      <w:r w:rsidR="00581E08" w:rsidRPr="008B162A">
        <w:rPr>
          <w:rFonts w:ascii="Century Gothic" w:hAnsi="Century Gothic"/>
        </w:rPr>
        <w:t>Estimación</w:t>
      </w:r>
      <w:r w:rsidRPr="008B162A">
        <w:rPr>
          <w:rFonts w:ascii="Century Gothic" w:hAnsi="Century Gothic"/>
        </w:rPr>
        <w:t xml:space="preserve"> </w:t>
      </w:r>
      <w:r w:rsidR="00171FC3" w:rsidRPr="008B162A">
        <w:rPr>
          <w:rFonts w:ascii="Century Gothic" w:hAnsi="Century Gothic"/>
        </w:rPr>
        <w:t xml:space="preserve">de demanda </w:t>
      </w:r>
      <w:r w:rsidRPr="008B162A">
        <w:rPr>
          <w:rFonts w:ascii="Century Gothic" w:hAnsi="Century Gothic"/>
        </w:rPr>
        <w:t xml:space="preserve">[Fuente: </w:t>
      </w:r>
      <w:r w:rsidR="006B7D75" w:rsidRPr="008B162A">
        <w:rPr>
          <w:rFonts w:ascii="Century Gothic" w:hAnsi="Century Gothic"/>
        </w:rPr>
        <w:t>IFT, 2016</w:t>
      </w:r>
      <w:r w:rsidRPr="008B162A">
        <w:rPr>
          <w:rFonts w:ascii="Century Gothic" w:hAnsi="Century Gothic"/>
        </w:rPr>
        <w:t>]</w:t>
      </w:r>
    </w:p>
    <w:p w:rsidR="00F9549E" w:rsidRPr="008B162A" w:rsidRDefault="00F9549E" w:rsidP="00417878">
      <w:pPr>
        <w:pStyle w:val="Ttulo4"/>
        <w:rPr>
          <w:rFonts w:ascii="Century Gothic" w:hAnsi="Century Gothic"/>
          <w:color w:val="auto"/>
        </w:rPr>
      </w:pPr>
      <w:bookmarkStart w:id="64" w:name="_Toc458627168"/>
      <w:bookmarkStart w:id="65" w:name="_Toc459506085"/>
      <w:r w:rsidRPr="008B162A">
        <w:rPr>
          <w:rFonts w:ascii="Century Gothic" w:hAnsi="Century Gothic"/>
          <w:color w:val="auto"/>
        </w:rPr>
        <w:lastRenderedPageBreak/>
        <w:t xml:space="preserve">Cálculo de la demanda </w:t>
      </w:r>
      <w:bookmarkEnd w:id="64"/>
      <w:bookmarkEnd w:id="65"/>
      <w:r w:rsidR="00417878" w:rsidRPr="008B162A">
        <w:rPr>
          <w:rFonts w:ascii="Century Gothic" w:hAnsi="Century Gothic"/>
          <w:color w:val="auto"/>
        </w:rPr>
        <w:t>de servicios de transmisión de datos para empresas a través de fibra</w:t>
      </w:r>
    </w:p>
    <w:p w:rsidR="00626329" w:rsidRPr="008B162A" w:rsidRDefault="00F9549E" w:rsidP="00417878">
      <w:pPr>
        <w:rPr>
          <w:rFonts w:ascii="Century Gothic" w:hAnsi="Century Gothic"/>
        </w:rPr>
      </w:pPr>
      <w:r w:rsidRPr="008B162A">
        <w:rPr>
          <w:rFonts w:ascii="Century Gothic" w:hAnsi="Century Gothic"/>
        </w:rPr>
        <w:t xml:space="preserve">Como se explicó previamente, los servicios de </w:t>
      </w:r>
      <w:r w:rsidR="00417878" w:rsidRPr="008B162A">
        <w:rPr>
          <w:rFonts w:ascii="Century Gothic" w:hAnsi="Century Gothic"/>
        </w:rPr>
        <w:t>servicios de transmisión de datos para empresas a través de fibra</w:t>
      </w:r>
      <w:r w:rsidRPr="008B162A">
        <w:rPr>
          <w:rFonts w:ascii="Century Gothic" w:hAnsi="Century Gothic"/>
        </w:rPr>
        <w:t xml:space="preserve"> no cuentan con un comportamiento similar a la demanda de los servicios de</w:t>
      </w:r>
      <w:r w:rsidR="00417878" w:rsidRPr="008B162A">
        <w:rPr>
          <w:rFonts w:ascii="Century Gothic" w:hAnsi="Century Gothic"/>
        </w:rPr>
        <w:t xml:space="preserve"> banda ancha sobre</w:t>
      </w:r>
      <w:r w:rsidRPr="008B162A">
        <w:rPr>
          <w:rFonts w:ascii="Century Gothic" w:hAnsi="Century Gothic"/>
        </w:rPr>
        <w:t xml:space="preserve"> fibra</w:t>
      </w:r>
      <w:r w:rsidR="00626329" w:rsidRPr="008B162A">
        <w:rPr>
          <w:rFonts w:ascii="Century Gothic" w:hAnsi="Century Gothic"/>
        </w:rPr>
        <w:t>, al estar los mismos orientados a clientes empresariales y al contar con una extensa trayectoria de adopción en el país</w:t>
      </w:r>
      <w:r w:rsidRPr="008B162A">
        <w:rPr>
          <w:rFonts w:ascii="Century Gothic" w:hAnsi="Century Gothic"/>
        </w:rPr>
        <w:t>.</w:t>
      </w:r>
    </w:p>
    <w:p w:rsidR="00F9549E" w:rsidRPr="008B162A" w:rsidRDefault="00F9549E" w:rsidP="00F9549E">
      <w:pPr>
        <w:rPr>
          <w:rFonts w:ascii="Century Gothic" w:hAnsi="Century Gothic"/>
        </w:rPr>
      </w:pPr>
      <w:r w:rsidRPr="008B162A">
        <w:rPr>
          <w:rFonts w:ascii="Century Gothic" w:hAnsi="Century Gothic"/>
        </w:rPr>
        <w:t>Dentro de estos servicios se incluyen:</w:t>
      </w:r>
    </w:p>
    <w:p w:rsidR="00F9549E" w:rsidRPr="008B162A" w:rsidRDefault="00F9549E" w:rsidP="000F1DD5">
      <w:pPr>
        <w:pStyle w:val="Prrafodelista"/>
        <w:numPr>
          <w:ilvl w:val="0"/>
          <w:numId w:val="15"/>
        </w:numPr>
        <w:ind w:left="284" w:hanging="284"/>
        <w:rPr>
          <w:rFonts w:ascii="Century Gothic" w:hAnsi="Century Gothic"/>
        </w:rPr>
      </w:pPr>
      <w:r w:rsidRPr="008B162A">
        <w:rPr>
          <w:rFonts w:ascii="Century Gothic" w:hAnsi="Century Gothic"/>
          <w:i/>
        </w:rPr>
        <w:t>Enlaces dedicados</w:t>
      </w:r>
      <w:r w:rsidRPr="008B162A">
        <w:rPr>
          <w:rFonts w:ascii="Century Gothic" w:hAnsi="Century Gothic"/>
        </w:rPr>
        <w:t>, son aquellos servicios en los cuales el AEP ofrece a sus clientes empresariales una conexión directa entre dos puntos a solicitud del propio cliente.</w:t>
      </w:r>
    </w:p>
    <w:p w:rsidR="00F9549E" w:rsidRPr="008B162A" w:rsidRDefault="00417878" w:rsidP="000F1DD5">
      <w:pPr>
        <w:pStyle w:val="Prrafodelista"/>
        <w:numPr>
          <w:ilvl w:val="0"/>
          <w:numId w:val="15"/>
        </w:numPr>
        <w:ind w:left="284" w:hanging="284"/>
        <w:rPr>
          <w:rFonts w:ascii="Century Gothic" w:hAnsi="Century Gothic"/>
        </w:rPr>
      </w:pPr>
      <w:r w:rsidRPr="008B162A">
        <w:rPr>
          <w:rFonts w:ascii="Century Gothic" w:hAnsi="Century Gothic"/>
          <w:i/>
        </w:rPr>
        <w:t xml:space="preserve">Servicios de desagregación de acceso de fibra </w:t>
      </w:r>
      <w:r w:rsidR="00F9549E" w:rsidRPr="008B162A">
        <w:rPr>
          <w:rFonts w:ascii="Century Gothic" w:hAnsi="Century Gothic"/>
          <w:i/>
        </w:rPr>
        <w:t>punto a punto</w:t>
      </w:r>
      <w:r w:rsidR="00F9549E" w:rsidRPr="008B162A">
        <w:rPr>
          <w:rFonts w:ascii="Century Gothic" w:hAnsi="Century Gothic"/>
        </w:rPr>
        <w:t xml:space="preserve">, son aquellos servicios mayoristas </w:t>
      </w:r>
      <w:r w:rsidR="00C76B38" w:rsidRPr="008B162A">
        <w:rPr>
          <w:rFonts w:ascii="Century Gothic" w:hAnsi="Century Gothic"/>
        </w:rPr>
        <w:t xml:space="preserve">que </w:t>
      </w:r>
      <w:r w:rsidR="00B8697A" w:rsidRPr="008B162A">
        <w:rPr>
          <w:rFonts w:ascii="Century Gothic" w:hAnsi="Century Gothic"/>
        </w:rPr>
        <w:t>emplearían</w:t>
      </w:r>
      <w:r w:rsidR="00F9549E" w:rsidRPr="008B162A">
        <w:rPr>
          <w:rFonts w:ascii="Century Gothic" w:hAnsi="Century Gothic"/>
        </w:rPr>
        <w:t xml:space="preserve"> otros operadores</w:t>
      </w:r>
      <w:r w:rsidR="00B8697A" w:rsidRPr="008B162A">
        <w:rPr>
          <w:rFonts w:ascii="Century Gothic" w:hAnsi="Century Gothic"/>
        </w:rPr>
        <w:t xml:space="preserve"> a través de la red de acceso de fibra punto a punto del AEP</w:t>
      </w:r>
      <w:r w:rsidR="00F9549E" w:rsidRPr="008B162A">
        <w:rPr>
          <w:rFonts w:ascii="Century Gothic" w:hAnsi="Century Gothic"/>
        </w:rPr>
        <w:t>, en los cuales interconecta un cliente final con una central del AEP donde el CS recoge el tráfico de su propio cliente.</w:t>
      </w:r>
    </w:p>
    <w:p w:rsidR="00F9549E" w:rsidRPr="008B162A" w:rsidRDefault="00F9549E" w:rsidP="00581E08">
      <w:pPr>
        <w:rPr>
          <w:rFonts w:ascii="Century Gothic" w:hAnsi="Century Gothic"/>
        </w:rPr>
      </w:pPr>
      <w:r w:rsidRPr="008B162A">
        <w:rPr>
          <w:rFonts w:ascii="Century Gothic" w:hAnsi="Century Gothic"/>
        </w:rPr>
        <w:t xml:space="preserve">Dicho lo anterior, </w:t>
      </w:r>
      <w:r w:rsidR="00B8697A" w:rsidRPr="008B162A">
        <w:rPr>
          <w:rFonts w:ascii="Century Gothic" w:hAnsi="Century Gothic"/>
        </w:rPr>
        <w:t>se considera</w:t>
      </w:r>
      <w:r w:rsidR="00626329" w:rsidRPr="008B162A">
        <w:rPr>
          <w:rFonts w:ascii="Century Gothic" w:hAnsi="Century Gothic"/>
        </w:rPr>
        <w:t xml:space="preserve"> una tasa de crecimiento obtenida </w:t>
      </w:r>
      <w:r w:rsidRPr="008B162A">
        <w:rPr>
          <w:rFonts w:ascii="Century Gothic" w:hAnsi="Century Gothic"/>
        </w:rPr>
        <w:t>a partir del pronóstico de crecimiento industrial proyectado por la Confederación de Cámaras Industriales (en adelante CONCAMIN) de 1.8%</w:t>
      </w:r>
      <w:r w:rsidRPr="008B162A">
        <w:rPr>
          <w:rStyle w:val="Refdenotaalpie"/>
          <w:rFonts w:ascii="Century Gothic" w:hAnsi="Century Gothic"/>
        </w:rPr>
        <w:footnoteReference w:id="10"/>
      </w:r>
      <w:r w:rsidR="00626329" w:rsidRPr="008B162A">
        <w:rPr>
          <w:rFonts w:ascii="Century Gothic" w:hAnsi="Century Gothic"/>
        </w:rPr>
        <w:t xml:space="preserve">. </w:t>
      </w:r>
      <w:r w:rsidR="00B8697A" w:rsidRPr="008B162A">
        <w:rPr>
          <w:rFonts w:ascii="Century Gothic" w:hAnsi="Century Gothic"/>
        </w:rPr>
        <w:t>Adicionalmente, se considera la demanda coexistente con la red GPON teniendo en cuenta el porcentaje de cobertura de la mis</w:t>
      </w:r>
      <w:r w:rsidR="007449DB" w:rsidRPr="008B162A">
        <w:rPr>
          <w:rFonts w:ascii="Century Gothic" w:hAnsi="Century Gothic"/>
        </w:rPr>
        <w:t>m</w:t>
      </w:r>
      <w:r w:rsidR="00B8697A" w:rsidRPr="008B162A">
        <w:rPr>
          <w:rFonts w:ascii="Century Gothic" w:hAnsi="Century Gothic"/>
        </w:rPr>
        <w:t xml:space="preserve">a y el de la red de cobre. </w:t>
      </w:r>
      <w:r w:rsidR="00626329" w:rsidRPr="008B162A">
        <w:rPr>
          <w:rFonts w:ascii="Century Gothic" w:hAnsi="Century Gothic"/>
        </w:rPr>
        <w:t xml:space="preserve">Lo anterior resulta en la </w:t>
      </w:r>
      <w:r w:rsidR="00581E08" w:rsidRPr="008B162A">
        <w:rPr>
          <w:rFonts w:ascii="Century Gothic" w:hAnsi="Century Gothic"/>
        </w:rPr>
        <w:t>demanda estimada mostrada a continuación</w:t>
      </w:r>
      <w:r w:rsidR="00626329" w:rsidRPr="008B162A">
        <w:rPr>
          <w:rFonts w:ascii="Century Gothic" w:hAnsi="Century Gothic"/>
        </w:rPr>
        <w:t>:</w:t>
      </w:r>
    </w:p>
    <w:p w:rsidR="00F9549E" w:rsidRPr="008B162A" w:rsidRDefault="00581E08" w:rsidP="00626329">
      <w:pPr>
        <w:keepNext/>
        <w:spacing w:after="0"/>
        <w:jc w:val="center"/>
        <w:rPr>
          <w:rFonts w:ascii="Century Gothic" w:hAnsi="Century Gothic"/>
        </w:rPr>
      </w:pPr>
      <w:r w:rsidRPr="008B162A">
        <w:rPr>
          <w:rFonts w:ascii="Century Gothic" w:hAnsi="Century Gothic"/>
          <w:noProof/>
          <w:lang w:eastAsia="es-MX"/>
        </w:rPr>
        <w:lastRenderedPageBreak/>
        <w:drawing>
          <wp:inline distT="0" distB="0" distL="0" distR="0" wp14:anchorId="01036277" wp14:editId="79E52FBE">
            <wp:extent cx="5513705" cy="3209290"/>
            <wp:effectExtent l="0" t="0" r="0" b="0"/>
            <wp:docPr id="228" name="Picture 228"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13705" cy="3209290"/>
                    </a:xfrm>
                    <a:prstGeom prst="rect">
                      <a:avLst/>
                    </a:prstGeom>
                    <a:noFill/>
                    <a:ln>
                      <a:noFill/>
                    </a:ln>
                  </pic:spPr>
                </pic:pic>
              </a:graphicData>
            </a:graphic>
          </wp:inline>
        </w:drawing>
      </w:r>
    </w:p>
    <w:p w:rsidR="00F9549E" w:rsidRPr="008B162A" w:rsidRDefault="00F9549E" w:rsidP="00B8697A">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8</w:t>
      </w:r>
      <w:r w:rsidR="006F7424" w:rsidRPr="008B162A">
        <w:rPr>
          <w:rFonts w:ascii="Century Gothic" w:hAnsi="Century Gothic"/>
        </w:rPr>
        <w:fldChar w:fldCharType="end"/>
      </w:r>
      <w:r w:rsidR="002F0BC5" w:rsidRPr="008B162A">
        <w:rPr>
          <w:rFonts w:ascii="Century Gothic" w:hAnsi="Century Gothic"/>
          <w:noProof/>
        </w:rPr>
        <w:t>:</w:t>
      </w:r>
      <w:r w:rsidRPr="008B162A">
        <w:rPr>
          <w:rFonts w:ascii="Century Gothic" w:hAnsi="Century Gothic"/>
        </w:rPr>
        <w:t xml:space="preserve"> Proyección de demanda de enlaces dedicados</w:t>
      </w:r>
      <w:r w:rsidR="00D33B6C" w:rsidRPr="008B162A">
        <w:rPr>
          <w:rFonts w:ascii="Century Gothic" w:hAnsi="Century Gothic"/>
        </w:rPr>
        <w:t xml:space="preserve"> </w:t>
      </w:r>
      <w:r w:rsidRPr="008B162A">
        <w:rPr>
          <w:rFonts w:ascii="Century Gothic" w:hAnsi="Century Gothic"/>
        </w:rPr>
        <w:t xml:space="preserve">[Fuente: </w:t>
      </w:r>
      <w:r w:rsidR="006B7D75" w:rsidRPr="008B162A">
        <w:rPr>
          <w:rFonts w:ascii="Century Gothic" w:hAnsi="Century Gothic"/>
        </w:rPr>
        <w:t>IFT, 2016</w:t>
      </w:r>
      <w:r w:rsidRPr="008B162A">
        <w:rPr>
          <w:rFonts w:ascii="Century Gothic" w:hAnsi="Century Gothic"/>
        </w:rPr>
        <w:t>]</w:t>
      </w:r>
    </w:p>
    <w:p w:rsidR="00F9549E" w:rsidRPr="008B162A" w:rsidRDefault="006B2C6C" w:rsidP="00F9549E">
      <w:pPr>
        <w:rPr>
          <w:rFonts w:ascii="Century Gothic" w:hAnsi="Century Gothic"/>
        </w:rPr>
      </w:pPr>
      <w:r w:rsidRPr="008B162A">
        <w:rPr>
          <w:rFonts w:ascii="Century Gothic" w:hAnsi="Century Gothic"/>
        </w:rPr>
        <w:t xml:space="preserve">Partiendo de la proyección agregada de enlaces dedicados presentada en la ilustración anterior, se procede </w:t>
      </w:r>
      <w:r w:rsidR="00F9549E" w:rsidRPr="008B162A">
        <w:rPr>
          <w:rFonts w:ascii="Century Gothic" w:hAnsi="Century Gothic"/>
        </w:rPr>
        <w:t xml:space="preserve">a realizar una desagregación por servicios </w:t>
      </w:r>
      <w:r w:rsidRPr="008B162A">
        <w:rPr>
          <w:rFonts w:ascii="Century Gothic" w:hAnsi="Century Gothic"/>
        </w:rPr>
        <w:t>siguiendo el mismo procedimiento que el descrito para los servicios de banda ancha sobre fibra</w:t>
      </w:r>
      <w:r w:rsidR="00F9549E" w:rsidRPr="008B162A">
        <w:rPr>
          <w:rFonts w:ascii="Century Gothic" w:hAnsi="Century Gothic"/>
        </w:rPr>
        <w:t>.</w:t>
      </w:r>
    </w:p>
    <w:p w:rsidR="006B2C6C" w:rsidRPr="008B162A" w:rsidRDefault="00F9549E" w:rsidP="00F9549E">
      <w:pPr>
        <w:rPr>
          <w:rFonts w:ascii="Century Gothic" w:hAnsi="Century Gothic"/>
        </w:rPr>
      </w:pPr>
      <w:r w:rsidRPr="008B162A">
        <w:rPr>
          <w:rFonts w:ascii="Century Gothic" w:hAnsi="Century Gothic"/>
        </w:rPr>
        <w:t xml:space="preserve">Para realizar dicha desagregación, se </w:t>
      </w:r>
      <w:r w:rsidR="006B2C6C" w:rsidRPr="008B162A">
        <w:rPr>
          <w:rFonts w:ascii="Century Gothic" w:hAnsi="Century Gothic"/>
        </w:rPr>
        <w:t>partió</w:t>
      </w:r>
      <w:r w:rsidRPr="008B162A">
        <w:rPr>
          <w:rFonts w:ascii="Century Gothic" w:hAnsi="Century Gothic"/>
        </w:rPr>
        <w:t xml:space="preserve"> </w:t>
      </w:r>
      <w:r w:rsidR="006B2C6C" w:rsidRPr="008B162A">
        <w:rPr>
          <w:rFonts w:ascii="Century Gothic" w:hAnsi="Century Gothic"/>
        </w:rPr>
        <w:t xml:space="preserve">de </w:t>
      </w:r>
      <w:r w:rsidRPr="008B162A">
        <w:rPr>
          <w:rFonts w:ascii="Century Gothic" w:hAnsi="Century Gothic"/>
        </w:rPr>
        <w:t xml:space="preserve">la cuota de mercado </w:t>
      </w:r>
      <w:r w:rsidR="006B2C6C" w:rsidRPr="008B162A">
        <w:rPr>
          <w:rFonts w:ascii="Century Gothic" w:hAnsi="Century Gothic"/>
        </w:rPr>
        <w:t>de enlaces dedicados para los CS</w:t>
      </w:r>
      <w:r w:rsidR="006B2C6C" w:rsidRPr="008B162A">
        <w:rPr>
          <w:rStyle w:val="Refdenotaalpie"/>
          <w:rFonts w:ascii="Century Gothic" w:hAnsi="Century Gothic"/>
        </w:rPr>
        <w:footnoteReference w:id="11"/>
      </w:r>
      <w:r w:rsidR="006B2C6C" w:rsidRPr="008B162A">
        <w:rPr>
          <w:rFonts w:ascii="Century Gothic" w:hAnsi="Century Gothic"/>
        </w:rPr>
        <w:t xml:space="preserve"> (del </w:t>
      </w:r>
      <w:r w:rsidRPr="008B162A">
        <w:rPr>
          <w:rFonts w:ascii="Century Gothic" w:hAnsi="Century Gothic"/>
        </w:rPr>
        <w:t>2.5%</w:t>
      </w:r>
      <w:r w:rsidR="006B2C6C" w:rsidRPr="008B162A">
        <w:rPr>
          <w:rFonts w:ascii="Century Gothic" w:hAnsi="Century Gothic"/>
        </w:rPr>
        <w:t xml:space="preserve">), obteniendo el </w:t>
      </w:r>
      <w:r w:rsidRPr="008B162A">
        <w:rPr>
          <w:rFonts w:ascii="Century Gothic" w:hAnsi="Century Gothic"/>
        </w:rPr>
        <w:t xml:space="preserve">número de enlaces </w:t>
      </w:r>
      <w:r w:rsidR="006B2C6C" w:rsidRPr="008B162A">
        <w:rPr>
          <w:rFonts w:ascii="Century Gothic" w:hAnsi="Century Gothic"/>
        </w:rPr>
        <w:t xml:space="preserve">dedicados </w:t>
      </w:r>
      <w:r w:rsidRPr="008B162A">
        <w:rPr>
          <w:rFonts w:ascii="Century Gothic" w:hAnsi="Century Gothic"/>
        </w:rPr>
        <w:t xml:space="preserve">punto a punto </w:t>
      </w:r>
      <w:r w:rsidR="006B2C6C" w:rsidRPr="008B162A">
        <w:rPr>
          <w:rFonts w:ascii="Century Gothic" w:hAnsi="Century Gothic"/>
        </w:rPr>
        <w:t>como el producto de este porcentaje y el total de líneas dedicadas obtenido en la ilustración anterior.</w:t>
      </w:r>
    </w:p>
    <w:p w:rsidR="00F9549E" w:rsidRPr="008B162A" w:rsidRDefault="006B2C6C" w:rsidP="00F9549E">
      <w:pPr>
        <w:rPr>
          <w:rFonts w:ascii="Century Gothic" w:hAnsi="Century Gothic"/>
        </w:rPr>
      </w:pPr>
      <w:r w:rsidRPr="008B162A">
        <w:rPr>
          <w:rFonts w:ascii="Century Gothic" w:hAnsi="Century Gothic"/>
        </w:rPr>
        <w:t>Con base en lo anterior, la desagregación de la demanda de los servicios de enlaces dedicados quedaría como sigue:</w:t>
      </w:r>
    </w:p>
    <w:p w:rsidR="007E2215" w:rsidRPr="008B162A" w:rsidRDefault="00581E08" w:rsidP="00F9549E">
      <w:pPr>
        <w:keepNext/>
        <w:jc w:val="center"/>
        <w:rPr>
          <w:rFonts w:ascii="Century Gothic" w:hAnsi="Century Gothic"/>
        </w:rPr>
      </w:pPr>
      <w:r w:rsidRPr="008B162A">
        <w:rPr>
          <w:rFonts w:ascii="Century Gothic" w:hAnsi="Century Gothic"/>
          <w:noProof/>
          <w:lang w:eastAsia="es-MX"/>
        </w:rPr>
        <w:lastRenderedPageBreak/>
        <w:drawing>
          <wp:inline distT="0" distB="0" distL="0" distR="0" wp14:anchorId="686574EC" wp14:editId="17437281">
            <wp:extent cx="4965065" cy="2651760"/>
            <wp:effectExtent l="0" t="0" r="6985" b="0"/>
            <wp:docPr id="231" name="Picture 231"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65065" cy="2651760"/>
                    </a:xfrm>
                    <a:prstGeom prst="rect">
                      <a:avLst/>
                    </a:prstGeom>
                    <a:noFill/>
                    <a:ln>
                      <a:noFill/>
                    </a:ln>
                  </pic:spPr>
                </pic:pic>
              </a:graphicData>
            </a:graphic>
          </wp:inline>
        </w:drawing>
      </w:r>
      <w:r w:rsidRPr="008B162A">
        <w:rPr>
          <w:rStyle w:val="Refdecomentario"/>
          <w:rFonts w:ascii="Century Gothic" w:hAnsi="Century Gothic"/>
          <w:sz w:val="20"/>
          <w:szCs w:val="24"/>
        </w:rPr>
        <w:t xml:space="preserve"> </w:t>
      </w:r>
    </w:p>
    <w:p w:rsidR="00F9549E" w:rsidRPr="008B162A" w:rsidRDefault="00F9549E" w:rsidP="00284A37">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9</w:t>
      </w:r>
      <w:r w:rsidR="006F7424" w:rsidRPr="008B162A">
        <w:rPr>
          <w:rFonts w:ascii="Century Gothic" w:hAnsi="Century Gothic"/>
        </w:rPr>
        <w:fldChar w:fldCharType="end"/>
      </w:r>
      <w:r w:rsidR="002F0BC5" w:rsidRPr="008B162A">
        <w:rPr>
          <w:rFonts w:ascii="Century Gothic" w:hAnsi="Century Gothic"/>
          <w:noProof/>
        </w:rPr>
        <w:t>:</w:t>
      </w:r>
      <w:r w:rsidRPr="008B162A">
        <w:rPr>
          <w:rFonts w:ascii="Century Gothic" w:hAnsi="Century Gothic"/>
        </w:rPr>
        <w:t xml:space="preserve"> </w:t>
      </w:r>
      <w:r w:rsidR="00284A37" w:rsidRPr="008B162A">
        <w:rPr>
          <w:rFonts w:ascii="Century Gothic" w:hAnsi="Century Gothic"/>
        </w:rPr>
        <w:t xml:space="preserve">Estimación </w:t>
      </w:r>
      <w:r w:rsidRPr="008B162A">
        <w:rPr>
          <w:rFonts w:ascii="Century Gothic" w:hAnsi="Century Gothic"/>
        </w:rPr>
        <w:t xml:space="preserve">de servicios punto a punto [Fuente: </w:t>
      </w:r>
      <w:r w:rsidR="006B7D75" w:rsidRPr="008B162A">
        <w:rPr>
          <w:rFonts w:ascii="Century Gothic" w:hAnsi="Century Gothic"/>
        </w:rPr>
        <w:t>IFT, 2016</w:t>
      </w:r>
      <w:r w:rsidRPr="008B162A">
        <w:rPr>
          <w:rFonts w:ascii="Century Gothic" w:hAnsi="Century Gothic"/>
        </w:rPr>
        <w:t>]</w:t>
      </w:r>
    </w:p>
    <w:p w:rsidR="00BE7889" w:rsidRPr="008B162A" w:rsidRDefault="00891B73" w:rsidP="00BE7889">
      <w:pPr>
        <w:pStyle w:val="Ttulo2"/>
        <w:rPr>
          <w:rFonts w:ascii="Century Gothic" w:hAnsi="Century Gothic"/>
          <w:color w:val="auto"/>
        </w:rPr>
      </w:pPr>
      <w:bookmarkStart w:id="66" w:name="_Toc459506086"/>
      <w:bookmarkStart w:id="67" w:name="_Ref459809416"/>
      <w:bookmarkStart w:id="68" w:name="_Ref459822114"/>
      <w:bookmarkStart w:id="69" w:name="_Toc461625901"/>
      <w:r w:rsidRPr="008B162A">
        <w:rPr>
          <w:rFonts w:ascii="Century Gothic" w:hAnsi="Century Gothic"/>
          <w:color w:val="auto"/>
        </w:rPr>
        <w:t xml:space="preserve">Análisis </w:t>
      </w:r>
      <w:r w:rsidR="00BE7889" w:rsidRPr="008B162A">
        <w:rPr>
          <w:rFonts w:ascii="Century Gothic" w:hAnsi="Century Gothic"/>
          <w:color w:val="auto"/>
        </w:rPr>
        <w:t>geográfic</w:t>
      </w:r>
      <w:r w:rsidRPr="008B162A">
        <w:rPr>
          <w:rFonts w:ascii="Century Gothic" w:hAnsi="Century Gothic"/>
          <w:color w:val="auto"/>
        </w:rPr>
        <w:t>o</w:t>
      </w:r>
      <w:bookmarkEnd w:id="66"/>
      <w:bookmarkEnd w:id="67"/>
      <w:bookmarkEnd w:id="68"/>
      <w:bookmarkEnd w:id="69"/>
    </w:p>
    <w:p w:rsidR="0059355C" w:rsidRPr="008B162A" w:rsidRDefault="00891B73" w:rsidP="00BE7889">
      <w:pPr>
        <w:rPr>
          <w:rFonts w:ascii="Century Gothic" w:hAnsi="Century Gothic"/>
        </w:rPr>
      </w:pPr>
      <w:r w:rsidRPr="008B162A">
        <w:rPr>
          <w:rFonts w:ascii="Century Gothic" w:hAnsi="Century Gothic"/>
        </w:rPr>
        <w:t>Con el fin de representar las realidades geográficas y demográficas de México en el dimensionado de la red de acceso, ha sido necesario llevar a cabo un exhaustivo estudio cartográfico del país que nos permita obtener los insumos necesarios para su caracterización en el modelo.</w:t>
      </w:r>
    </w:p>
    <w:p w:rsidR="00BE7889" w:rsidRPr="008B162A" w:rsidRDefault="00891B73" w:rsidP="007449DB">
      <w:pPr>
        <w:rPr>
          <w:rFonts w:ascii="Century Gothic" w:hAnsi="Century Gothic"/>
        </w:rPr>
      </w:pPr>
      <w:r w:rsidRPr="008B162A">
        <w:rPr>
          <w:rFonts w:ascii="Century Gothic" w:hAnsi="Century Gothic"/>
        </w:rPr>
        <w:t xml:space="preserve">Lo anterior, asegurando la consistencia con el </w:t>
      </w:r>
      <w:r w:rsidR="00BE7889" w:rsidRPr="008B162A">
        <w:rPr>
          <w:rFonts w:ascii="Century Gothic" w:hAnsi="Century Gothic"/>
        </w:rPr>
        <w:t xml:space="preserve">modelo de acceso de fijo </w:t>
      </w:r>
      <w:r w:rsidRPr="008B162A">
        <w:rPr>
          <w:rFonts w:ascii="Century Gothic" w:hAnsi="Century Gothic"/>
        </w:rPr>
        <w:t xml:space="preserve">sobre cobre desarrollado previamente por </w:t>
      </w:r>
      <w:r w:rsidR="00BE7889" w:rsidRPr="008B162A">
        <w:rPr>
          <w:rFonts w:ascii="Century Gothic" w:hAnsi="Century Gothic"/>
        </w:rPr>
        <w:t>el Instituto</w:t>
      </w:r>
      <w:r w:rsidR="007449DB" w:rsidRPr="008B162A">
        <w:rPr>
          <w:rStyle w:val="Refdenotaalpie"/>
          <w:rFonts w:ascii="Century Gothic" w:hAnsi="Century Gothic"/>
        </w:rPr>
        <w:footnoteReference w:id="12"/>
      </w:r>
      <w:r w:rsidR="0059355C" w:rsidRPr="008B162A">
        <w:rPr>
          <w:rFonts w:ascii="Century Gothic" w:hAnsi="Century Gothic"/>
        </w:rPr>
        <w:t xml:space="preserve"> en el cual se definieron 6 </w:t>
      </w:r>
      <w:proofErr w:type="spellStart"/>
      <w:r w:rsidR="0059355C" w:rsidRPr="008B162A">
        <w:rPr>
          <w:rFonts w:ascii="Century Gothic" w:hAnsi="Century Gothic"/>
        </w:rPr>
        <w:t>geotipos</w:t>
      </w:r>
      <w:proofErr w:type="spellEnd"/>
      <w:r w:rsidR="0059355C" w:rsidRPr="008B162A">
        <w:rPr>
          <w:rFonts w:ascii="Century Gothic" w:hAnsi="Century Gothic"/>
        </w:rPr>
        <w:t xml:space="preserve"> considerando la información disponible y la proporción de edificios por kilómetro de vialidad en cada localidad en la que el AEP cuenta con infraestructura fija a partir de la base de datos (INEGI)</w:t>
      </w:r>
      <w:r w:rsidR="00BE7889" w:rsidRPr="008B162A">
        <w:rPr>
          <w:rFonts w:ascii="Century Gothic" w:hAnsi="Century Gothic"/>
        </w:rPr>
        <w:t>.</w:t>
      </w:r>
    </w:p>
    <w:p w:rsidR="00891B73" w:rsidRPr="00D7559E" w:rsidRDefault="00891B73" w:rsidP="00D7559E">
      <w:pPr>
        <w:rPr>
          <w:rFonts w:ascii="Century Gothic" w:hAnsi="Century Gothic"/>
        </w:rPr>
      </w:pPr>
      <w:r w:rsidRPr="00D7559E">
        <w:rPr>
          <w:rFonts w:ascii="Century Gothic" w:hAnsi="Century Gothic"/>
        </w:rPr>
        <w:t>En los siguientes apartados se detalla la aproximación seguida para llevar a cabo este ejercicio:</w:t>
      </w:r>
    </w:p>
    <w:p w:rsidR="00891B73" w:rsidRPr="00D7559E" w:rsidRDefault="00891B73" w:rsidP="000F1DD5">
      <w:pPr>
        <w:pStyle w:val="Indentado1"/>
        <w:numPr>
          <w:ilvl w:val="0"/>
          <w:numId w:val="27"/>
        </w:numPr>
      </w:pPr>
      <w:r w:rsidRPr="00D7559E">
        <w:fldChar w:fldCharType="begin"/>
      </w:r>
      <w:r w:rsidRPr="00D7559E">
        <w:instrText xml:space="preserve"> REF _Ref459811672 \h </w:instrText>
      </w:r>
      <w:r w:rsidR="008B162A" w:rsidRPr="00D7559E">
        <w:instrText xml:space="preserve"> \* MERGEFORMAT </w:instrText>
      </w:r>
      <w:r w:rsidRPr="00D7559E">
        <w:fldChar w:fldCharType="separate"/>
      </w:r>
      <w:r w:rsidR="00431406" w:rsidRPr="008B162A">
        <w:t>Aproximación para la caracterización geográfica</w:t>
      </w:r>
      <w:r w:rsidRPr="00D7559E">
        <w:fldChar w:fldCharType="end"/>
      </w:r>
    </w:p>
    <w:p w:rsidR="00891B73" w:rsidRPr="008B162A" w:rsidRDefault="00891B73" w:rsidP="000F1DD5">
      <w:pPr>
        <w:pStyle w:val="Indentado1"/>
        <w:numPr>
          <w:ilvl w:val="0"/>
          <w:numId w:val="27"/>
        </w:numPr>
      </w:pPr>
      <w:r w:rsidRPr="00D7559E">
        <w:fldChar w:fldCharType="begin"/>
      </w:r>
      <w:r w:rsidRPr="00D7559E">
        <w:instrText xml:space="preserve"> REF _Ref459811675 \h </w:instrText>
      </w:r>
      <w:r w:rsidR="008B162A" w:rsidRPr="00D7559E">
        <w:instrText xml:space="preserve"> \* MERGEFORMAT </w:instrText>
      </w:r>
      <w:r w:rsidRPr="00D7559E">
        <w:fldChar w:fldCharType="separate"/>
      </w:r>
      <w:r w:rsidR="00431406" w:rsidRPr="008B162A">
        <w:t>Caracterización de la red de acceso para el modelo de acceso sobre redes de fibra óptica</w:t>
      </w:r>
      <w:r w:rsidRPr="00D7559E">
        <w:fldChar w:fldCharType="end"/>
      </w:r>
    </w:p>
    <w:p w:rsidR="00BE7889" w:rsidRPr="008B162A" w:rsidRDefault="00BE7889" w:rsidP="00BE7889">
      <w:pPr>
        <w:pStyle w:val="Ttulo3"/>
        <w:rPr>
          <w:rFonts w:ascii="Century Gothic" w:hAnsi="Century Gothic"/>
          <w:color w:val="auto"/>
        </w:rPr>
      </w:pPr>
      <w:bookmarkStart w:id="70" w:name="_Toc410672425"/>
      <w:bookmarkStart w:id="71" w:name="_Ref433915467"/>
      <w:bookmarkStart w:id="72" w:name="_Ref433915559"/>
      <w:bookmarkStart w:id="73" w:name="_Toc433964342"/>
      <w:bookmarkStart w:id="74" w:name="_Toc459362438"/>
      <w:bookmarkStart w:id="75" w:name="_Toc459506087"/>
      <w:bookmarkStart w:id="76" w:name="_Ref459811672"/>
      <w:bookmarkStart w:id="77" w:name="_Toc461625902"/>
      <w:r w:rsidRPr="008B162A">
        <w:rPr>
          <w:rFonts w:ascii="Century Gothic" w:hAnsi="Century Gothic"/>
          <w:color w:val="auto"/>
        </w:rPr>
        <w:lastRenderedPageBreak/>
        <w:t>Aproximación para la caracterización geográfica</w:t>
      </w:r>
      <w:bookmarkEnd w:id="70"/>
      <w:bookmarkEnd w:id="71"/>
      <w:bookmarkEnd w:id="72"/>
      <w:bookmarkEnd w:id="73"/>
      <w:bookmarkEnd w:id="74"/>
      <w:bookmarkEnd w:id="75"/>
      <w:bookmarkEnd w:id="76"/>
      <w:bookmarkEnd w:id="77"/>
    </w:p>
    <w:p w:rsidR="00BE7889" w:rsidRPr="008B162A" w:rsidRDefault="00891B73" w:rsidP="007449DB">
      <w:pPr>
        <w:rPr>
          <w:rFonts w:ascii="Century Gothic" w:hAnsi="Century Gothic"/>
        </w:rPr>
      </w:pPr>
      <w:r w:rsidRPr="008B162A">
        <w:rPr>
          <w:rFonts w:ascii="Century Gothic" w:hAnsi="Century Gothic"/>
        </w:rPr>
        <w:t xml:space="preserve">El ejercicio de caracterización geográfica del país para el </w:t>
      </w:r>
      <w:r w:rsidR="00BE7889" w:rsidRPr="008B162A">
        <w:rPr>
          <w:rFonts w:ascii="Century Gothic" w:hAnsi="Century Gothic"/>
        </w:rPr>
        <w:t xml:space="preserve">modelo de acceso de redes de fibra óptica </w:t>
      </w:r>
      <w:r w:rsidRPr="008B162A">
        <w:rPr>
          <w:rFonts w:ascii="Century Gothic" w:hAnsi="Century Gothic"/>
        </w:rPr>
        <w:t xml:space="preserve">parte del esquema de </w:t>
      </w:r>
      <w:r w:rsidR="00BE7889" w:rsidRPr="008B162A">
        <w:rPr>
          <w:rFonts w:ascii="Century Gothic" w:hAnsi="Century Gothic"/>
        </w:rPr>
        <w:t xml:space="preserve">agrupación de municipios </w:t>
      </w:r>
      <w:r w:rsidRPr="008B162A">
        <w:rPr>
          <w:rFonts w:ascii="Century Gothic" w:hAnsi="Century Gothic"/>
        </w:rPr>
        <w:t>definido</w:t>
      </w:r>
      <w:r w:rsidR="00BE7889" w:rsidRPr="008B162A">
        <w:rPr>
          <w:rFonts w:ascii="Century Gothic" w:hAnsi="Century Gothic"/>
        </w:rPr>
        <w:t xml:space="preserve"> </w:t>
      </w:r>
      <w:r w:rsidRPr="008B162A">
        <w:rPr>
          <w:rFonts w:ascii="Century Gothic" w:hAnsi="Century Gothic"/>
        </w:rPr>
        <w:t xml:space="preserve">en el marco del </w:t>
      </w:r>
      <w:r w:rsidR="00BE7889" w:rsidRPr="008B162A">
        <w:rPr>
          <w:rFonts w:ascii="Century Gothic" w:hAnsi="Century Gothic"/>
        </w:rPr>
        <w:t xml:space="preserve">desarrollo del </w:t>
      </w:r>
      <w:r w:rsidRPr="008B162A">
        <w:rPr>
          <w:rFonts w:ascii="Century Gothic" w:hAnsi="Century Gothic"/>
        </w:rPr>
        <w:t xml:space="preserve">modelo </w:t>
      </w:r>
      <w:r w:rsidR="00BE7889" w:rsidRPr="008B162A">
        <w:rPr>
          <w:rFonts w:ascii="Century Gothic" w:hAnsi="Century Gothic"/>
        </w:rPr>
        <w:t xml:space="preserve">de </w:t>
      </w:r>
      <w:r w:rsidRPr="008B162A">
        <w:rPr>
          <w:rFonts w:ascii="Century Gothic" w:hAnsi="Century Gothic"/>
        </w:rPr>
        <w:t>cobre por parte del IFT.</w:t>
      </w:r>
    </w:p>
    <w:p w:rsidR="00DB603B" w:rsidRPr="008B162A" w:rsidRDefault="00891B73" w:rsidP="00B8697A">
      <w:pPr>
        <w:rPr>
          <w:rFonts w:ascii="Century Gothic" w:hAnsi="Century Gothic"/>
        </w:rPr>
      </w:pPr>
      <w:r w:rsidRPr="008B162A">
        <w:rPr>
          <w:rFonts w:ascii="Century Gothic" w:hAnsi="Century Gothic"/>
        </w:rPr>
        <w:t xml:space="preserve">En ese contexto, se realiza una </w:t>
      </w:r>
      <w:r w:rsidR="00BE7889" w:rsidRPr="008B162A">
        <w:rPr>
          <w:rFonts w:ascii="Century Gothic" w:hAnsi="Century Gothic"/>
        </w:rPr>
        <w:t>agrupación de municipios basada en el concepto de geotipo</w:t>
      </w:r>
      <w:r w:rsidR="0059355C" w:rsidRPr="008B162A">
        <w:rPr>
          <w:rFonts w:ascii="Century Gothic" w:hAnsi="Century Gothic"/>
        </w:rPr>
        <w:t xml:space="preserve">; </w:t>
      </w:r>
      <w:r w:rsidR="008602F4" w:rsidRPr="008B162A">
        <w:rPr>
          <w:rFonts w:ascii="Century Gothic" w:hAnsi="Century Gothic"/>
        </w:rPr>
        <w:t xml:space="preserve">definido como un conjunto </w:t>
      </w:r>
      <w:r w:rsidR="00BE7889" w:rsidRPr="008B162A">
        <w:rPr>
          <w:rFonts w:ascii="Century Gothic" w:hAnsi="Century Gothic"/>
        </w:rPr>
        <w:t>de municipios que comparten unas características geográficas</w:t>
      </w:r>
      <w:r w:rsidR="008602F4" w:rsidRPr="008B162A">
        <w:rPr>
          <w:rFonts w:ascii="Century Gothic" w:hAnsi="Century Gothic"/>
        </w:rPr>
        <w:t xml:space="preserve"> determinadas</w:t>
      </w:r>
      <w:r w:rsidR="00BE7889" w:rsidRPr="008B162A">
        <w:rPr>
          <w:rFonts w:ascii="Century Gothic" w:hAnsi="Century Gothic"/>
        </w:rPr>
        <w:t>.</w:t>
      </w:r>
      <w:r w:rsidR="00B8697A" w:rsidRPr="008B162A">
        <w:rPr>
          <w:rFonts w:ascii="Century Gothic" w:hAnsi="Century Gothic"/>
        </w:rPr>
        <w:t xml:space="preserve"> </w:t>
      </w:r>
      <w:r w:rsidR="00BE7889" w:rsidRPr="008B162A">
        <w:rPr>
          <w:rFonts w:ascii="Century Gothic" w:hAnsi="Century Gothic"/>
        </w:rPr>
        <w:t xml:space="preserve">Esta </w:t>
      </w:r>
      <w:r w:rsidR="008602F4" w:rsidRPr="008B162A">
        <w:rPr>
          <w:rFonts w:ascii="Century Gothic" w:hAnsi="Century Gothic"/>
        </w:rPr>
        <w:t xml:space="preserve">agrupación </w:t>
      </w:r>
      <w:r w:rsidR="00B8697A" w:rsidRPr="008B162A">
        <w:rPr>
          <w:rFonts w:ascii="Century Gothic" w:hAnsi="Century Gothic"/>
        </w:rPr>
        <w:t>está</w:t>
      </w:r>
      <w:r w:rsidR="008602F4" w:rsidRPr="008B162A">
        <w:rPr>
          <w:rFonts w:ascii="Century Gothic" w:hAnsi="Century Gothic"/>
        </w:rPr>
        <w:t xml:space="preserve"> </w:t>
      </w:r>
      <w:r w:rsidR="00BE7889" w:rsidRPr="008B162A">
        <w:rPr>
          <w:rFonts w:ascii="Century Gothic" w:hAnsi="Century Gothic"/>
        </w:rPr>
        <w:t xml:space="preserve">basada en </w:t>
      </w:r>
      <w:r w:rsidR="008602F4" w:rsidRPr="008B162A">
        <w:rPr>
          <w:rFonts w:ascii="Century Gothic" w:hAnsi="Century Gothic"/>
        </w:rPr>
        <w:t xml:space="preserve">información publicada por el </w:t>
      </w:r>
      <w:r w:rsidR="00F112BC" w:rsidRPr="008B162A">
        <w:rPr>
          <w:rFonts w:ascii="Century Gothic" w:hAnsi="Century Gothic"/>
        </w:rPr>
        <w:t>INEGI</w:t>
      </w:r>
      <w:r w:rsidR="00BE7889" w:rsidRPr="008B162A">
        <w:rPr>
          <w:rFonts w:ascii="Century Gothic" w:hAnsi="Century Gothic"/>
        </w:rPr>
        <w:t xml:space="preserve"> </w:t>
      </w:r>
      <w:r w:rsidR="00646916" w:rsidRPr="008B162A">
        <w:rPr>
          <w:rFonts w:ascii="Century Gothic" w:hAnsi="Century Gothic"/>
        </w:rPr>
        <w:t xml:space="preserve">sobre </w:t>
      </w:r>
      <w:r w:rsidR="00BE7889" w:rsidRPr="008B162A">
        <w:rPr>
          <w:rFonts w:ascii="Century Gothic" w:hAnsi="Century Gothic"/>
        </w:rPr>
        <w:t>e</w:t>
      </w:r>
      <w:r w:rsidR="008602F4" w:rsidRPr="008B162A">
        <w:rPr>
          <w:rFonts w:ascii="Century Gothic" w:hAnsi="Century Gothic"/>
        </w:rPr>
        <w:t xml:space="preserve">l número </w:t>
      </w:r>
      <w:r w:rsidR="00882AC5" w:rsidRPr="008B162A">
        <w:rPr>
          <w:rFonts w:ascii="Century Gothic" w:hAnsi="Century Gothic"/>
        </w:rPr>
        <w:t xml:space="preserve">total </w:t>
      </w:r>
      <w:r w:rsidR="008602F4" w:rsidRPr="008B162A">
        <w:rPr>
          <w:rFonts w:ascii="Century Gothic" w:hAnsi="Century Gothic"/>
        </w:rPr>
        <w:t xml:space="preserve">de edificios y de kilómetros de carreteras </w:t>
      </w:r>
      <w:r w:rsidR="00BE7889" w:rsidRPr="008B162A">
        <w:rPr>
          <w:rFonts w:ascii="Century Gothic" w:hAnsi="Century Gothic"/>
        </w:rPr>
        <w:t xml:space="preserve">por localidad, a fin de obtener </w:t>
      </w:r>
      <w:r w:rsidR="008602F4" w:rsidRPr="008B162A">
        <w:rPr>
          <w:rFonts w:ascii="Century Gothic" w:hAnsi="Century Gothic"/>
        </w:rPr>
        <w:t xml:space="preserve">la </w:t>
      </w:r>
      <w:r w:rsidR="00C00068" w:rsidRPr="008B162A">
        <w:rPr>
          <w:rFonts w:ascii="Century Gothic" w:hAnsi="Century Gothic"/>
        </w:rPr>
        <w:t xml:space="preserve">proporción </w:t>
      </w:r>
      <w:r w:rsidR="008602F4" w:rsidRPr="008B162A">
        <w:rPr>
          <w:rFonts w:ascii="Century Gothic" w:hAnsi="Century Gothic"/>
        </w:rPr>
        <w:t xml:space="preserve">de </w:t>
      </w:r>
      <w:r w:rsidR="00BE7889" w:rsidRPr="008B162A">
        <w:rPr>
          <w:rFonts w:ascii="Century Gothic" w:hAnsi="Century Gothic"/>
        </w:rPr>
        <w:t xml:space="preserve">edificios por kilómetro de vialidad en cada </w:t>
      </w:r>
      <w:r w:rsidR="008602F4" w:rsidRPr="008B162A">
        <w:rPr>
          <w:rFonts w:ascii="Century Gothic" w:hAnsi="Century Gothic"/>
        </w:rPr>
        <w:t xml:space="preserve">municipio </w:t>
      </w:r>
      <w:r w:rsidR="00BE7889" w:rsidRPr="008B162A">
        <w:rPr>
          <w:rFonts w:ascii="Century Gothic" w:hAnsi="Century Gothic"/>
        </w:rPr>
        <w:t xml:space="preserve">en </w:t>
      </w:r>
      <w:r w:rsidR="008602F4" w:rsidRPr="008B162A">
        <w:rPr>
          <w:rFonts w:ascii="Century Gothic" w:hAnsi="Century Gothic"/>
        </w:rPr>
        <w:t xml:space="preserve">el </w:t>
      </w:r>
      <w:r w:rsidR="00BE7889" w:rsidRPr="008B162A">
        <w:rPr>
          <w:rFonts w:ascii="Century Gothic" w:hAnsi="Century Gothic"/>
        </w:rPr>
        <w:t xml:space="preserve">que el AEP </w:t>
      </w:r>
      <w:r w:rsidR="008602F4" w:rsidRPr="008B162A">
        <w:rPr>
          <w:rFonts w:ascii="Century Gothic" w:hAnsi="Century Gothic"/>
        </w:rPr>
        <w:t xml:space="preserve">contaba </w:t>
      </w:r>
      <w:r w:rsidR="00BE7889" w:rsidRPr="008B162A">
        <w:rPr>
          <w:rFonts w:ascii="Century Gothic" w:hAnsi="Century Gothic"/>
        </w:rPr>
        <w:t>con infraestructura fija</w:t>
      </w:r>
      <w:r w:rsidR="00EE7F6E" w:rsidRPr="008B162A">
        <w:rPr>
          <w:rFonts w:ascii="Century Gothic" w:hAnsi="Century Gothic"/>
        </w:rPr>
        <w:t>.</w:t>
      </w:r>
    </w:p>
    <w:p w:rsidR="00BE7889" w:rsidRPr="008B162A" w:rsidRDefault="00BE7889" w:rsidP="00BE7889">
      <w:pPr>
        <w:pStyle w:val="Ttulo3"/>
        <w:rPr>
          <w:rFonts w:ascii="Century Gothic" w:hAnsi="Century Gothic"/>
          <w:color w:val="auto"/>
        </w:rPr>
      </w:pPr>
      <w:bookmarkStart w:id="78" w:name="_Toc433964343"/>
      <w:bookmarkStart w:id="79" w:name="_Toc459362439"/>
      <w:bookmarkStart w:id="80" w:name="_Toc459506088"/>
      <w:bookmarkStart w:id="81" w:name="_Ref459811675"/>
      <w:bookmarkStart w:id="82" w:name="_Toc461625903"/>
      <w:r w:rsidRPr="008B162A">
        <w:rPr>
          <w:rFonts w:ascii="Century Gothic" w:hAnsi="Century Gothic"/>
          <w:color w:val="auto"/>
        </w:rPr>
        <w:t xml:space="preserve">Caracterización de la red de acceso para </w:t>
      </w:r>
      <w:bookmarkEnd w:id="78"/>
      <w:r w:rsidRPr="008B162A">
        <w:rPr>
          <w:rFonts w:ascii="Century Gothic" w:hAnsi="Century Gothic"/>
          <w:color w:val="auto"/>
        </w:rPr>
        <w:t>el modelo de acceso sobre redes de fibra óptica</w:t>
      </w:r>
      <w:bookmarkEnd w:id="79"/>
      <w:bookmarkEnd w:id="80"/>
      <w:bookmarkEnd w:id="81"/>
      <w:bookmarkEnd w:id="82"/>
    </w:p>
    <w:p w:rsidR="00BE7889" w:rsidRPr="008B162A" w:rsidRDefault="00BE7889" w:rsidP="00736B97">
      <w:pPr>
        <w:rPr>
          <w:rFonts w:ascii="Century Gothic" w:hAnsi="Century Gothic"/>
        </w:rPr>
      </w:pPr>
      <w:r w:rsidRPr="008B162A">
        <w:rPr>
          <w:rFonts w:ascii="Century Gothic" w:hAnsi="Century Gothic"/>
        </w:rPr>
        <w:t xml:space="preserve">El diseño de redes de acceso fijas requiere de una caracterización de </w:t>
      </w:r>
      <w:r w:rsidR="00E51178" w:rsidRPr="008B162A">
        <w:rPr>
          <w:rFonts w:ascii="Century Gothic" w:hAnsi="Century Gothic"/>
        </w:rPr>
        <w:t>las rutas</w:t>
      </w:r>
      <w:r w:rsidRPr="008B162A">
        <w:rPr>
          <w:rFonts w:ascii="Century Gothic" w:hAnsi="Century Gothic"/>
        </w:rPr>
        <w:t xml:space="preserve"> entre las centrales del operador y las viviendas que reciben el servicio, puesto que esto tendrá un impacto directo en la longitud y el número de cables que deberán ser desplegados. </w:t>
      </w:r>
      <w:r w:rsidR="00B831C3" w:rsidRPr="008B162A">
        <w:rPr>
          <w:rFonts w:ascii="Century Gothic" w:hAnsi="Century Gothic"/>
        </w:rPr>
        <w:t>Lo anterior requiere de un dimensionado teórico y eficiente (</w:t>
      </w:r>
      <w:proofErr w:type="spellStart"/>
      <w:r w:rsidR="00EE7F6E" w:rsidRPr="008B162A">
        <w:rPr>
          <w:rFonts w:ascii="Century Gothic" w:hAnsi="Century Gothic"/>
        </w:rPr>
        <w:t>modified</w:t>
      </w:r>
      <w:proofErr w:type="spellEnd"/>
      <w:r w:rsidR="00EE7F6E" w:rsidRPr="008B162A">
        <w:rPr>
          <w:rFonts w:ascii="Century Gothic" w:hAnsi="Century Gothic"/>
        </w:rPr>
        <w:t xml:space="preserve"> </w:t>
      </w:r>
      <w:proofErr w:type="spellStart"/>
      <w:r w:rsidR="00EE7F6E" w:rsidRPr="008B162A">
        <w:rPr>
          <w:rFonts w:ascii="Century Gothic" w:hAnsi="Century Gothic"/>
        </w:rPr>
        <w:t>scorched-node</w:t>
      </w:r>
      <w:proofErr w:type="spellEnd"/>
      <w:r w:rsidR="00B831C3" w:rsidRPr="008B162A">
        <w:rPr>
          <w:rFonts w:ascii="Century Gothic" w:hAnsi="Century Gothic"/>
        </w:rPr>
        <w:t>) de la red de acceso del operador modelado con base en la ubicación exacta de las viviendas de los usuarios.</w:t>
      </w:r>
    </w:p>
    <w:p w:rsidR="00BE7889" w:rsidRPr="008B162A" w:rsidRDefault="00BE7889" w:rsidP="00B831C3">
      <w:pPr>
        <w:rPr>
          <w:rFonts w:ascii="Century Gothic" w:hAnsi="Century Gothic"/>
        </w:rPr>
      </w:pPr>
      <w:r w:rsidRPr="008B162A">
        <w:rPr>
          <w:rFonts w:ascii="Century Gothic" w:hAnsi="Century Gothic"/>
        </w:rPr>
        <w:t xml:space="preserve">Esta sección describe los pasos realizados para </w:t>
      </w:r>
      <w:r w:rsidR="00B831C3" w:rsidRPr="008B162A">
        <w:rPr>
          <w:rFonts w:ascii="Century Gothic" w:hAnsi="Century Gothic"/>
        </w:rPr>
        <w:t>llevar a cabo este ejercicio, y se encuentra dividida en los siguientes apartados:</w:t>
      </w:r>
    </w:p>
    <w:p w:rsidR="00BE7889" w:rsidRPr="00D7559E" w:rsidRDefault="00BE7889" w:rsidP="000F1DD5">
      <w:pPr>
        <w:pStyle w:val="Indentado1"/>
        <w:numPr>
          <w:ilvl w:val="0"/>
          <w:numId w:val="28"/>
        </w:numPr>
      </w:pPr>
      <w:r w:rsidRPr="00D7559E">
        <w:fldChar w:fldCharType="begin"/>
      </w:r>
      <w:r w:rsidRPr="00D7559E">
        <w:instrText xml:space="preserve"> REF _Ref456002568 \h </w:instrText>
      </w:r>
      <w:r w:rsidR="00D06F02" w:rsidRPr="00D7559E">
        <w:instrText xml:space="preserve"> \* MERGEFORMAT </w:instrText>
      </w:r>
      <w:r w:rsidRPr="00D7559E">
        <w:fldChar w:fldCharType="separate"/>
      </w:r>
      <w:r w:rsidR="00431406" w:rsidRPr="008B162A">
        <w:t>Identificación de centrales de fibra óptica y áreas de cobertura</w:t>
      </w:r>
      <w:r w:rsidRPr="00D7559E">
        <w:fldChar w:fldCharType="end"/>
      </w:r>
    </w:p>
    <w:p w:rsidR="00736B97" w:rsidRPr="00D7559E" w:rsidRDefault="00736B97" w:rsidP="000F1DD5">
      <w:pPr>
        <w:pStyle w:val="Indentado1"/>
        <w:numPr>
          <w:ilvl w:val="0"/>
          <w:numId w:val="28"/>
        </w:numPr>
      </w:pPr>
      <w:r w:rsidRPr="00D7559E">
        <w:fldChar w:fldCharType="begin"/>
      </w:r>
      <w:r w:rsidRPr="00D7559E">
        <w:instrText xml:space="preserve"> REF _Ref459812768 \h </w:instrText>
      </w:r>
      <w:r w:rsidR="00D06F02" w:rsidRPr="00D7559E">
        <w:instrText xml:space="preserve"> \* MERGEFORMAT </w:instrText>
      </w:r>
      <w:r w:rsidRPr="00D7559E">
        <w:fldChar w:fldCharType="separate"/>
      </w:r>
      <w:r w:rsidR="00431406" w:rsidRPr="008B162A">
        <w:t>Identificación de edificios individuales</w:t>
      </w:r>
      <w:r w:rsidRPr="00D7559E">
        <w:fldChar w:fldCharType="end"/>
      </w:r>
    </w:p>
    <w:p w:rsidR="00BE7889" w:rsidRPr="00D7559E" w:rsidRDefault="00BE7889" w:rsidP="000F1DD5">
      <w:pPr>
        <w:pStyle w:val="Indentado1"/>
        <w:numPr>
          <w:ilvl w:val="0"/>
          <w:numId w:val="28"/>
        </w:numPr>
      </w:pPr>
      <w:r w:rsidRPr="00D7559E">
        <w:fldChar w:fldCharType="begin"/>
      </w:r>
      <w:r w:rsidRPr="00D7559E">
        <w:instrText xml:space="preserve"> REF _Ref424312098 \h  \* MERGEFORMAT </w:instrText>
      </w:r>
      <w:r w:rsidRPr="00D7559E">
        <w:fldChar w:fldCharType="separate"/>
      </w:r>
      <w:r w:rsidR="00431406" w:rsidRPr="008B162A">
        <w:t>Diseño de la red de acceso óptima</w:t>
      </w:r>
      <w:r w:rsidRPr="00D7559E">
        <w:fldChar w:fldCharType="end"/>
      </w:r>
    </w:p>
    <w:p w:rsidR="00BE7889" w:rsidRPr="00D7559E" w:rsidRDefault="00BE7889" w:rsidP="000F1DD5">
      <w:pPr>
        <w:pStyle w:val="Indentado1"/>
        <w:numPr>
          <w:ilvl w:val="0"/>
          <w:numId w:val="28"/>
        </w:numPr>
      </w:pPr>
      <w:r w:rsidRPr="00D7559E">
        <w:fldChar w:fldCharType="begin"/>
      </w:r>
      <w:r w:rsidRPr="00D7559E">
        <w:instrText xml:space="preserve"> REF _Ref424312101 \h  \* MERGEFORMAT </w:instrText>
      </w:r>
      <w:r w:rsidRPr="00D7559E">
        <w:fldChar w:fldCharType="separate"/>
      </w:r>
      <w:r w:rsidR="00431406" w:rsidRPr="008B162A">
        <w:t>Implementación de un algoritmo de árbol de distancia mínima para el cálculo de las distancias entre elementos de red</w:t>
      </w:r>
      <w:r w:rsidRPr="00D7559E">
        <w:fldChar w:fldCharType="end"/>
      </w:r>
    </w:p>
    <w:p w:rsidR="00BE7889" w:rsidRPr="00D7559E" w:rsidRDefault="00BE7889" w:rsidP="000F1DD5">
      <w:pPr>
        <w:pStyle w:val="Indentado1"/>
        <w:numPr>
          <w:ilvl w:val="0"/>
          <w:numId w:val="28"/>
        </w:numPr>
      </w:pPr>
      <w:r w:rsidRPr="00D7559E">
        <w:fldChar w:fldCharType="begin"/>
      </w:r>
      <w:r w:rsidRPr="00D7559E">
        <w:instrText xml:space="preserve"> REF _Ref424312104 \h  \* MERGEFORMAT </w:instrText>
      </w:r>
      <w:r w:rsidRPr="00D7559E">
        <w:fldChar w:fldCharType="separate"/>
      </w:r>
      <w:r w:rsidR="00431406" w:rsidRPr="008B162A">
        <w:t>Resultados de la caracterización del bucle local</w:t>
      </w:r>
      <w:r w:rsidRPr="00D7559E">
        <w:fldChar w:fldCharType="end"/>
      </w:r>
    </w:p>
    <w:p w:rsidR="00BE7889" w:rsidRPr="008B162A" w:rsidRDefault="00BE7889" w:rsidP="00D06F02">
      <w:pPr>
        <w:pStyle w:val="Ttulo4"/>
        <w:rPr>
          <w:rFonts w:ascii="Century Gothic" w:hAnsi="Century Gothic"/>
          <w:color w:val="auto"/>
        </w:rPr>
      </w:pPr>
      <w:bookmarkStart w:id="83" w:name="_Ref456002568"/>
      <w:bookmarkStart w:id="84" w:name="_Ref424312094"/>
      <w:r w:rsidRPr="008B162A">
        <w:rPr>
          <w:rFonts w:ascii="Century Gothic" w:hAnsi="Century Gothic"/>
          <w:color w:val="auto"/>
        </w:rPr>
        <w:t>Identificación de centrales de fibra óptica y áreas de cobertura</w:t>
      </w:r>
      <w:bookmarkEnd w:id="83"/>
    </w:p>
    <w:p w:rsidR="00B831C3" w:rsidRPr="008B162A" w:rsidRDefault="00B831C3" w:rsidP="00B831C3">
      <w:pPr>
        <w:rPr>
          <w:rFonts w:ascii="Century Gothic" w:hAnsi="Century Gothic"/>
        </w:rPr>
      </w:pPr>
      <w:r w:rsidRPr="008B162A">
        <w:rPr>
          <w:rFonts w:ascii="Century Gothic" w:hAnsi="Century Gothic"/>
        </w:rPr>
        <w:t xml:space="preserve">El objetivo de este apartado consiste en la identificación de centrales y áreas de cobertura que permita una caracterización completa del país, a la vez que reconozca los potenciales despliegues de red por parte del AEP en el futuro. </w:t>
      </w:r>
    </w:p>
    <w:p w:rsidR="00BE7889" w:rsidRPr="008B162A" w:rsidRDefault="00B831C3" w:rsidP="00284A37">
      <w:pPr>
        <w:rPr>
          <w:rFonts w:ascii="Century Gothic" w:hAnsi="Century Gothic"/>
        </w:rPr>
      </w:pPr>
      <w:r w:rsidRPr="008B162A">
        <w:rPr>
          <w:rFonts w:ascii="Century Gothic" w:hAnsi="Century Gothic"/>
        </w:rPr>
        <w:lastRenderedPageBreak/>
        <w:t xml:space="preserve">En la actualidad, </w:t>
      </w:r>
      <w:r w:rsidR="00284A37" w:rsidRPr="008B162A">
        <w:rPr>
          <w:rFonts w:ascii="Century Gothic" w:hAnsi="Century Gothic"/>
        </w:rPr>
        <w:t xml:space="preserve">los operadores </w:t>
      </w:r>
      <w:r w:rsidR="000E3448" w:rsidRPr="008B162A">
        <w:rPr>
          <w:rFonts w:ascii="Century Gothic" w:hAnsi="Century Gothic"/>
        </w:rPr>
        <w:t>mexicanos</w:t>
      </w:r>
      <w:r w:rsidR="00284A37" w:rsidRPr="008B162A">
        <w:rPr>
          <w:rFonts w:ascii="Century Gothic" w:hAnsi="Century Gothic"/>
        </w:rPr>
        <w:t xml:space="preserve"> han</w:t>
      </w:r>
      <w:r w:rsidRPr="008B162A">
        <w:rPr>
          <w:rFonts w:ascii="Century Gothic" w:hAnsi="Century Gothic"/>
        </w:rPr>
        <w:t xml:space="preserve"> </w:t>
      </w:r>
      <w:r w:rsidR="00284A37" w:rsidRPr="008B162A">
        <w:rPr>
          <w:rFonts w:ascii="Century Gothic" w:hAnsi="Century Gothic"/>
        </w:rPr>
        <w:t xml:space="preserve">desplegado </w:t>
      </w:r>
      <w:r w:rsidR="00BE7889" w:rsidRPr="008B162A">
        <w:rPr>
          <w:rFonts w:ascii="Century Gothic" w:hAnsi="Century Gothic"/>
        </w:rPr>
        <w:t xml:space="preserve">fibra óptica </w:t>
      </w:r>
      <w:r w:rsidRPr="008B162A">
        <w:rPr>
          <w:rFonts w:ascii="Century Gothic" w:hAnsi="Century Gothic"/>
        </w:rPr>
        <w:t>de acceso</w:t>
      </w:r>
      <w:r w:rsidR="00284A37" w:rsidRPr="008B162A">
        <w:rPr>
          <w:rFonts w:ascii="Century Gothic" w:hAnsi="Century Gothic"/>
        </w:rPr>
        <w:t xml:space="preserve"> </w:t>
      </w:r>
      <w:r w:rsidRPr="008B162A">
        <w:rPr>
          <w:rFonts w:ascii="Century Gothic" w:hAnsi="Century Gothic"/>
        </w:rPr>
        <w:t>principalmente en zonas densamente pobladas (áreas urbanas y suburbanas)</w:t>
      </w:r>
      <w:r w:rsidR="00BE7889" w:rsidRPr="008B162A">
        <w:rPr>
          <w:rFonts w:ascii="Century Gothic" w:hAnsi="Century Gothic"/>
        </w:rPr>
        <w:t xml:space="preserve">. </w:t>
      </w:r>
      <w:r w:rsidRPr="008B162A">
        <w:rPr>
          <w:rFonts w:ascii="Century Gothic" w:hAnsi="Century Gothic"/>
        </w:rPr>
        <w:t xml:space="preserve">No obstante, para garantizar la calidad de las proyecciones de costos del modelo resulta necesario </w:t>
      </w:r>
      <w:r w:rsidR="00BE7889" w:rsidRPr="008B162A">
        <w:rPr>
          <w:rFonts w:ascii="Century Gothic" w:hAnsi="Century Gothic"/>
        </w:rPr>
        <w:t xml:space="preserve">identificar la ubicación de </w:t>
      </w:r>
      <w:r w:rsidR="00742B75" w:rsidRPr="008B162A">
        <w:rPr>
          <w:rFonts w:ascii="Century Gothic" w:hAnsi="Century Gothic"/>
        </w:rPr>
        <w:t xml:space="preserve">todas </w:t>
      </w:r>
      <w:r w:rsidR="00BE7889" w:rsidRPr="008B162A">
        <w:rPr>
          <w:rFonts w:ascii="Century Gothic" w:hAnsi="Century Gothic"/>
        </w:rPr>
        <w:t xml:space="preserve">las centrales de fibra óptica, </w:t>
      </w:r>
      <w:r w:rsidR="00742B75" w:rsidRPr="008B162A">
        <w:rPr>
          <w:rFonts w:ascii="Century Gothic" w:hAnsi="Century Gothic"/>
        </w:rPr>
        <w:t xml:space="preserve">no solo en el momento actual, sino también el futuro, que permitan al AEP servir </w:t>
      </w:r>
      <w:r w:rsidR="00BE7889" w:rsidRPr="008B162A">
        <w:rPr>
          <w:rFonts w:ascii="Century Gothic" w:hAnsi="Century Gothic"/>
        </w:rPr>
        <w:t>las previsiones de demanda y, en su caso, cubrir el territorio mexicano a ser servido.</w:t>
      </w:r>
    </w:p>
    <w:p w:rsidR="00BE7889" w:rsidRPr="008B162A" w:rsidRDefault="00742B75" w:rsidP="00742B75">
      <w:pPr>
        <w:rPr>
          <w:rFonts w:ascii="Century Gothic" w:hAnsi="Century Gothic"/>
        </w:rPr>
      </w:pPr>
      <w:r w:rsidRPr="008B162A">
        <w:rPr>
          <w:rFonts w:ascii="Century Gothic" w:hAnsi="Century Gothic"/>
        </w:rPr>
        <w:t>Para evaluar el número y ubicación de las centras de fibra óptica que necesitaría el operador modelado en el futuro se ha llevado a cabo un ejercicio basado en los siguientes pasos:</w:t>
      </w:r>
    </w:p>
    <w:p w:rsidR="00BE7889" w:rsidRPr="00D7559E" w:rsidRDefault="00BE7889" w:rsidP="000F1DD5">
      <w:pPr>
        <w:pStyle w:val="Indentado1"/>
        <w:numPr>
          <w:ilvl w:val="0"/>
          <w:numId w:val="16"/>
        </w:numPr>
      </w:pPr>
      <w:r w:rsidRPr="00D7559E">
        <w:t>En primer lugar</w:t>
      </w:r>
      <w:r w:rsidR="00D06F02" w:rsidRPr="00D7559E">
        <w:t>,</w:t>
      </w:r>
      <w:r w:rsidRPr="00D7559E">
        <w:t xml:space="preserve"> se han identificado todos aquellos municipios en los cuales existe </w:t>
      </w:r>
      <w:r w:rsidR="00742B75" w:rsidRPr="00D7559E">
        <w:t xml:space="preserve">actualmente </w:t>
      </w:r>
      <w:r w:rsidRPr="00D7559E">
        <w:t xml:space="preserve">una central de fibra óptica </w:t>
      </w:r>
      <w:r w:rsidR="00742B75" w:rsidRPr="00D7559E">
        <w:t>del AEP.</w:t>
      </w:r>
    </w:p>
    <w:p w:rsidR="00BE7889" w:rsidRPr="00D7559E" w:rsidRDefault="00BE7889" w:rsidP="000F1DD5">
      <w:pPr>
        <w:pStyle w:val="Indentado1"/>
        <w:numPr>
          <w:ilvl w:val="0"/>
          <w:numId w:val="16"/>
        </w:numPr>
      </w:pPr>
      <w:r w:rsidRPr="00D7559E">
        <w:t xml:space="preserve">En segundo lugar, se han identificado todos los municipios que están cubiertos </w:t>
      </w:r>
      <w:r w:rsidR="00742B75" w:rsidRPr="00D7559E">
        <w:t xml:space="preserve">mediante </w:t>
      </w:r>
      <w:r w:rsidRPr="00D7559E">
        <w:t>las centrales existentes</w:t>
      </w:r>
      <w:r w:rsidR="00742B75" w:rsidRPr="00D7559E">
        <w:t xml:space="preserve">. Para lo anterior, se </w:t>
      </w:r>
      <w:r w:rsidRPr="00D7559E">
        <w:t xml:space="preserve">considera un </w:t>
      </w:r>
      <w:r w:rsidR="00B8697A" w:rsidRPr="00D7559E">
        <w:t xml:space="preserve">máximo alcance </w:t>
      </w:r>
      <w:r w:rsidRPr="00D7559E">
        <w:t>de hasta 10</w:t>
      </w:r>
      <w:r w:rsidR="00D16064" w:rsidRPr="00D7559E">
        <w:t xml:space="preserve"> </w:t>
      </w:r>
      <w:r w:rsidRPr="00D7559E">
        <w:t>km</w:t>
      </w:r>
      <w:r w:rsidR="00B8697A" w:rsidRPr="00D7559E">
        <w:t xml:space="preserve"> de cable</w:t>
      </w:r>
      <w:r w:rsidR="004A684A" w:rsidRPr="00D7559E">
        <w:rPr>
          <w:rStyle w:val="Refdenotaalpie"/>
        </w:rPr>
        <w:footnoteReference w:id="13"/>
      </w:r>
      <w:r w:rsidR="004A684A" w:rsidRPr="00D7559E">
        <w:t>.</w:t>
      </w:r>
    </w:p>
    <w:p w:rsidR="0053297E" w:rsidRPr="00D7559E" w:rsidRDefault="00742B75" w:rsidP="000F1DD5">
      <w:pPr>
        <w:pStyle w:val="Indentado1"/>
        <w:numPr>
          <w:ilvl w:val="0"/>
          <w:numId w:val="16"/>
        </w:numPr>
      </w:pPr>
      <w:r w:rsidRPr="00D7559E">
        <w:t>Por último</w:t>
      </w:r>
      <w:r w:rsidR="00BE7889" w:rsidRPr="00D7559E">
        <w:t xml:space="preserve">, aquellos municipios que no se encuentran cubiertos </w:t>
      </w:r>
      <w:r w:rsidRPr="00D7559E">
        <w:t xml:space="preserve">actualmente </w:t>
      </w:r>
      <w:r w:rsidR="00BE7889" w:rsidRPr="00D7559E">
        <w:t xml:space="preserve">han sido ordenados </w:t>
      </w:r>
      <w:r w:rsidRPr="00D7559E">
        <w:t>en función de su número de edificios.</w:t>
      </w:r>
      <w:r w:rsidR="00BE7889" w:rsidRPr="00D7559E">
        <w:t xml:space="preserve"> </w:t>
      </w:r>
      <w:r w:rsidRPr="00D7559E">
        <w:t xml:space="preserve">Con base en lo anterior, </w:t>
      </w:r>
      <w:r w:rsidR="00BE7889" w:rsidRPr="00D7559E">
        <w:t>se ha</w:t>
      </w:r>
      <w:r w:rsidR="0053297E" w:rsidRPr="00D7559E">
        <w:t>n efectuado los siguientes pasos iterativamente hasta asegurar que se da cobertura a la totalidad de municipios del país:</w:t>
      </w:r>
    </w:p>
    <w:p w:rsidR="00742B75" w:rsidRPr="00D7559E" w:rsidRDefault="0053297E" w:rsidP="00893B87">
      <w:pPr>
        <w:pStyle w:val="Indentado1"/>
      </w:pPr>
      <w:r w:rsidRPr="00D7559E">
        <w:t>a. Partiendo del municipio no cubierto con mayor número de edificios, se ha ubicado una central de fibra óptica en su centro geográfico para darle cobertura</w:t>
      </w:r>
      <w:r w:rsidR="00742B75" w:rsidRPr="00D7559E">
        <w:t>.</w:t>
      </w:r>
    </w:p>
    <w:p w:rsidR="0053297E" w:rsidRPr="00D7559E" w:rsidRDefault="0053297E" w:rsidP="00893B87">
      <w:pPr>
        <w:pStyle w:val="Indentado1"/>
      </w:pPr>
      <w:r w:rsidRPr="00D7559E">
        <w:t>b. Se ha calculado la cobertura adicional conseguida mediante la instalación de esta central con el fin de evaluar si ésta permitiría, a su vez, cubrir algún otro de los municipios identificados en el listado anterior.</w:t>
      </w:r>
    </w:p>
    <w:p w:rsidR="005222B2" w:rsidRPr="008B162A" w:rsidRDefault="0053297E" w:rsidP="00706B35">
      <w:pPr>
        <w:rPr>
          <w:rFonts w:ascii="Century Gothic" w:hAnsi="Century Gothic"/>
        </w:rPr>
      </w:pPr>
      <w:r w:rsidRPr="008B162A">
        <w:rPr>
          <w:rFonts w:ascii="Century Gothic" w:hAnsi="Century Gothic"/>
        </w:rPr>
        <w:t>El resultado de este ejercicio ha resultado en la distribución teórica de un total de 3,553 centrales de fibra óptica que permitieran servir a la totalidad de l</w:t>
      </w:r>
      <w:r w:rsidR="00706B35" w:rsidRPr="008B162A">
        <w:rPr>
          <w:rFonts w:ascii="Century Gothic" w:hAnsi="Century Gothic"/>
        </w:rPr>
        <w:t xml:space="preserve">os municipios </w:t>
      </w:r>
      <w:r w:rsidRPr="008B162A">
        <w:rPr>
          <w:rFonts w:ascii="Century Gothic" w:hAnsi="Century Gothic"/>
        </w:rPr>
        <w:t>del país. Concretamente, l</w:t>
      </w:r>
      <w:r w:rsidR="00BE7889" w:rsidRPr="008B162A">
        <w:rPr>
          <w:rFonts w:ascii="Century Gothic" w:hAnsi="Century Gothic"/>
        </w:rPr>
        <w:t xml:space="preserve">a siguiente ilustración muestra la posición de las centrales de fibra óptica </w:t>
      </w:r>
      <w:r w:rsidR="00706B35" w:rsidRPr="008B162A">
        <w:rPr>
          <w:rFonts w:ascii="Century Gothic" w:hAnsi="Century Gothic"/>
        </w:rPr>
        <w:t>teóricas</w:t>
      </w:r>
      <w:r w:rsidR="00BE7889" w:rsidRPr="008B162A">
        <w:rPr>
          <w:rFonts w:ascii="Century Gothic" w:hAnsi="Century Gothic"/>
        </w:rPr>
        <w:t>.</w:t>
      </w:r>
    </w:p>
    <w:p w:rsidR="00353974" w:rsidRPr="008B162A" w:rsidRDefault="00482695" w:rsidP="00D06F02">
      <w:pPr>
        <w:keepNext/>
        <w:spacing w:after="0"/>
        <w:jc w:val="center"/>
        <w:rPr>
          <w:rFonts w:ascii="Century Gothic" w:hAnsi="Century Gothic"/>
        </w:rPr>
      </w:pPr>
      <w:r w:rsidRPr="008B162A">
        <w:rPr>
          <w:rFonts w:ascii="Century Gothic" w:hAnsi="Century Gothic"/>
          <w:noProof/>
          <w:lang w:eastAsia="es-MX"/>
        </w:rPr>
        <w:lastRenderedPageBreak/>
        <w:drawing>
          <wp:inline distT="0" distB="0" distL="0" distR="0" wp14:anchorId="118C8081" wp14:editId="562A8CD5">
            <wp:extent cx="5286375" cy="4057650"/>
            <wp:effectExtent l="0" t="0" r="9525" b="0"/>
            <wp:docPr id="38" name="Picture 38"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86375" cy="4057650"/>
                    </a:xfrm>
                    <a:prstGeom prst="rect">
                      <a:avLst/>
                    </a:prstGeom>
                    <a:noFill/>
                    <a:ln>
                      <a:noFill/>
                    </a:ln>
                  </pic:spPr>
                </pic:pic>
              </a:graphicData>
            </a:graphic>
          </wp:inline>
        </w:drawing>
      </w:r>
    </w:p>
    <w:p w:rsidR="00BE7889" w:rsidRPr="008B162A" w:rsidRDefault="00BE7889" w:rsidP="00BE7889">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10</w:t>
      </w:r>
      <w:r w:rsidR="006F7424" w:rsidRPr="008B162A">
        <w:rPr>
          <w:rFonts w:ascii="Century Gothic" w:hAnsi="Century Gothic"/>
        </w:rPr>
        <w:fldChar w:fldCharType="end"/>
      </w:r>
      <w:r w:rsidRPr="008B162A">
        <w:rPr>
          <w:rFonts w:ascii="Century Gothic" w:hAnsi="Century Gothic"/>
        </w:rPr>
        <w:t xml:space="preserve">: Centrales de fibra óptica necesarias para cubrir todo el territorio mexicano [Fuente: </w:t>
      </w:r>
      <w:r w:rsidR="006B7D75" w:rsidRPr="008B162A">
        <w:rPr>
          <w:rFonts w:ascii="Century Gothic" w:hAnsi="Century Gothic"/>
        </w:rPr>
        <w:t>IFT, 2016</w:t>
      </w:r>
      <w:r w:rsidRPr="008B162A">
        <w:rPr>
          <w:rFonts w:ascii="Century Gothic" w:hAnsi="Century Gothic"/>
        </w:rPr>
        <w:t>]</w:t>
      </w:r>
    </w:p>
    <w:p w:rsidR="00BE7889" w:rsidRPr="008B162A" w:rsidRDefault="00BE7889" w:rsidP="00D06F02">
      <w:pPr>
        <w:pStyle w:val="Ttulo4"/>
        <w:rPr>
          <w:rFonts w:ascii="Century Gothic" w:hAnsi="Century Gothic"/>
          <w:color w:val="auto"/>
        </w:rPr>
      </w:pPr>
      <w:bookmarkStart w:id="85" w:name="_Ref459812768"/>
      <w:r w:rsidRPr="008B162A">
        <w:rPr>
          <w:rFonts w:ascii="Century Gothic" w:hAnsi="Century Gothic"/>
          <w:color w:val="auto"/>
        </w:rPr>
        <w:t>Identificación de edificios individuales</w:t>
      </w:r>
      <w:bookmarkEnd w:id="84"/>
      <w:bookmarkEnd w:id="85"/>
    </w:p>
    <w:p w:rsidR="00015AA8" w:rsidRPr="008B162A" w:rsidRDefault="00BE7889" w:rsidP="00706B35">
      <w:pPr>
        <w:rPr>
          <w:rFonts w:ascii="Century Gothic" w:hAnsi="Century Gothic"/>
        </w:rPr>
      </w:pPr>
      <w:r w:rsidRPr="008B162A">
        <w:rPr>
          <w:rFonts w:ascii="Century Gothic" w:hAnsi="Century Gothic"/>
        </w:rPr>
        <w:t xml:space="preserve">Para poder dimensionar la red de acceso, ha sido necesario </w:t>
      </w:r>
      <w:r w:rsidR="00D705AF" w:rsidRPr="008B162A">
        <w:rPr>
          <w:rFonts w:ascii="Century Gothic" w:hAnsi="Century Gothic"/>
        </w:rPr>
        <w:t>realizar una identificación manual de la ubicación de</w:t>
      </w:r>
      <w:r w:rsidR="0059355C" w:rsidRPr="008B162A">
        <w:rPr>
          <w:rFonts w:ascii="Century Gothic" w:hAnsi="Century Gothic"/>
        </w:rPr>
        <w:t xml:space="preserve"> una muestra de</w:t>
      </w:r>
      <w:r w:rsidR="00D705AF" w:rsidRPr="008B162A">
        <w:rPr>
          <w:rFonts w:ascii="Century Gothic" w:hAnsi="Century Gothic"/>
        </w:rPr>
        <w:t xml:space="preserve"> los edificios en el país, para los diferentes </w:t>
      </w:r>
      <w:proofErr w:type="spellStart"/>
      <w:r w:rsidR="00D705AF" w:rsidRPr="008B162A">
        <w:rPr>
          <w:rFonts w:ascii="Century Gothic" w:hAnsi="Century Gothic"/>
        </w:rPr>
        <w:t>geotipos</w:t>
      </w:r>
      <w:proofErr w:type="spellEnd"/>
      <w:r w:rsidR="00D705AF" w:rsidRPr="008B162A">
        <w:rPr>
          <w:rFonts w:ascii="Century Gothic" w:hAnsi="Century Gothic"/>
        </w:rPr>
        <w:t>.</w:t>
      </w:r>
      <w:r w:rsidR="00706B35" w:rsidRPr="008B162A">
        <w:rPr>
          <w:rFonts w:ascii="Century Gothic" w:hAnsi="Century Gothic"/>
        </w:rPr>
        <w:t xml:space="preserve"> </w:t>
      </w:r>
    </w:p>
    <w:p w:rsidR="00015AA8" w:rsidRPr="008B162A" w:rsidRDefault="00015AA8" w:rsidP="00D07716">
      <w:pPr>
        <w:rPr>
          <w:rFonts w:ascii="Century Gothic" w:hAnsi="Century Gothic"/>
        </w:rPr>
      </w:pPr>
      <w:r w:rsidRPr="008B162A">
        <w:rPr>
          <w:rFonts w:ascii="Century Gothic" w:hAnsi="Century Gothic"/>
        </w:rPr>
        <w:t xml:space="preserve">La selección de muestras sobre el total de centrales disponibles se ha realizado con el objetivo de conocer y considerar tanto las diferencias demográficas como las geográficas de los municipios incluidos en cada geotipo. Para ello se han seleccionado áreas de cobertura que presentaran diferentes niveles de población en cada geotipo, distribuidas de manera proporcional entre los distintos </w:t>
      </w:r>
      <w:proofErr w:type="spellStart"/>
      <w:r w:rsidRPr="008B162A">
        <w:rPr>
          <w:rFonts w:ascii="Century Gothic" w:hAnsi="Century Gothic"/>
        </w:rPr>
        <w:t>geotipos</w:t>
      </w:r>
      <w:proofErr w:type="spellEnd"/>
      <w:r w:rsidRPr="008B162A">
        <w:rPr>
          <w:rFonts w:ascii="Century Gothic" w:hAnsi="Century Gothic"/>
        </w:rPr>
        <w:t xml:space="preserve">, y considerando su nivel de dispersión dentro </w:t>
      </w:r>
      <w:r w:rsidR="00D07716" w:rsidRPr="008B162A">
        <w:rPr>
          <w:rFonts w:ascii="Century Gothic" w:hAnsi="Century Gothic"/>
        </w:rPr>
        <w:t>del mismo</w:t>
      </w:r>
      <w:r w:rsidRPr="008B162A">
        <w:rPr>
          <w:rFonts w:ascii="Century Gothic" w:hAnsi="Century Gothic"/>
        </w:rPr>
        <w:t xml:space="preserve">, </w:t>
      </w:r>
      <w:r w:rsidR="00F73209" w:rsidRPr="008B162A">
        <w:rPr>
          <w:rFonts w:ascii="Century Gothic" w:hAnsi="Century Gothic"/>
        </w:rPr>
        <w:t>para asegurar</w:t>
      </w:r>
      <w:r w:rsidRPr="008B162A">
        <w:rPr>
          <w:rFonts w:ascii="Century Gothic" w:hAnsi="Century Gothic"/>
        </w:rPr>
        <w:t xml:space="preserve"> que estas diferencias son consideradas en la obtención de los resultados de la caracterización del bucle de fibra óptica. </w:t>
      </w:r>
    </w:p>
    <w:p w:rsidR="00BE7889" w:rsidRPr="008B162A" w:rsidRDefault="00706B35" w:rsidP="00706B35">
      <w:pPr>
        <w:rPr>
          <w:rFonts w:ascii="Century Gothic" w:hAnsi="Century Gothic"/>
        </w:rPr>
      </w:pPr>
      <w:r w:rsidRPr="008B162A">
        <w:rPr>
          <w:rFonts w:ascii="Century Gothic" w:hAnsi="Century Gothic"/>
        </w:rPr>
        <w:t>S</w:t>
      </w:r>
      <w:r w:rsidR="00D705AF" w:rsidRPr="008B162A">
        <w:rPr>
          <w:rFonts w:ascii="Century Gothic" w:hAnsi="Century Gothic"/>
        </w:rPr>
        <w:t xml:space="preserve">e presenta a continuación el número de </w:t>
      </w:r>
      <w:r w:rsidR="00485F09" w:rsidRPr="008B162A">
        <w:rPr>
          <w:rFonts w:ascii="Century Gothic" w:hAnsi="Century Gothic"/>
        </w:rPr>
        <w:t>viviendas</w:t>
      </w:r>
      <w:r w:rsidR="00D705AF" w:rsidRPr="008B162A">
        <w:rPr>
          <w:rFonts w:ascii="Century Gothic" w:hAnsi="Century Gothic"/>
        </w:rPr>
        <w:t xml:space="preserve"> </w:t>
      </w:r>
      <w:proofErr w:type="spellStart"/>
      <w:r w:rsidRPr="008B162A">
        <w:rPr>
          <w:rFonts w:ascii="Century Gothic" w:hAnsi="Century Gothic"/>
        </w:rPr>
        <w:t>geolocalizadas</w:t>
      </w:r>
      <w:proofErr w:type="spellEnd"/>
      <w:r w:rsidR="00D705AF" w:rsidRPr="008B162A">
        <w:rPr>
          <w:rFonts w:ascii="Century Gothic" w:hAnsi="Century Gothic"/>
        </w:rPr>
        <w:t xml:space="preserve"> para cada uno de los </w:t>
      </w:r>
      <w:proofErr w:type="spellStart"/>
      <w:r w:rsidR="00D705AF" w:rsidRPr="008B162A">
        <w:rPr>
          <w:rFonts w:ascii="Century Gothic" w:hAnsi="Century Gothic"/>
        </w:rPr>
        <w:t>geotipos</w:t>
      </w:r>
      <w:proofErr w:type="spellEnd"/>
      <w:r w:rsidR="00D705AF" w:rsidRPr="008B162A">
        <w:rPr>
          <w:rFonts w:ascii="Century Gothic" w:hAnsi="Century Gothic"/>
        </w:rPr>
        <w:t>:</w:t>
      </w:r>
    </w:p>
    <w:tbl>
      <w:tblPr>
        <w:tblW w:w="8457" w:type="dxa"/>
        <w:jc w:val="center"/>
        <w:tblLook w:val="04A0" w:firstRow="1" w:lastRow="0" w:firstColumn="1" w:lastColumn="0" w:noHBand="0" w:noVBand="1"/>
      </w:tblPr>
      <w:tblGrid>
        <w:gridCol w:w="1413"/>
        <w:gridCol w:w="2348"/>
        <w:gridCol w:w="2348"/>
        <w:gridCol w:w="2348"/>
      </w:tblGrid>
      <w:tr w:rsidR="008B162A" w:rsidRPr="008B162A" w:rsidTr="00D07716">
        <w:trPr>
          <w:trHeight w:val="525"/>
          <w:jc w:val="center"/>
        </w:trPr>
        <w:tc>
          <w:tcPr>
            <w:tcW w:w="1413" w:type="dxa"/>
            <w:tcBorders>
              <w:top w:val="nil"/>
              <w:left w:val="single" w:sz="4" w:space="0" w:color="FFFFFF"/>
              <w:right w:val="single" w:sz="4" w:space="0" w:color="FFFFFF"/>
            </w:tcBorders>
            <w:shd w:val="clear" w:color="auto" w:fill="4F629B"/>
            <w:vAlign w:val="center"/>
            <w:hideMark/>
          </w:tcPr>
          <w:p w:rsidR="0031156F" w:rsidRPr="00D7559E" w:rsidRDefault="0031156F" w:rsidP="00D06F02">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lastRenderedPageBreak/>
              <w:t>Geotipo</w:t>
            </w:r>
          </w:p>
        </w:tc>
        <w:tc>
          <w:tcPr>
            <w:tcW w:w="2348" w:type="dxa"/>
            <w:tcBorders>
              <w:top w:val="nil"/>
              <w:left w:val="nil"/>
              <w:right w:val="single" w:sz="4" w:space="0" w:color="FFFFFF"/>
            </w:tcBorders>
            <w:shd w:val="clear" w:color="auto" w:fill="4F629B"/>
            <w:vAlign w:val="center"/>
            <w:hideMark/>
          </w:tcPr>
          <w:p w:rsidR="0031156F" w:rsidRPr="00D7559E" w:rsidRDefault="0031156F" w:rsidP="00D06F02">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Edificios identificados</w:t>
            </w:r>
          </w:p>
        </w:tc>
        <w:tc>
          <w:tcPr>
            <w:tcW w:w="2348" w:type="dxa"/>
            <w:tcBorders>
              <w:top w:val="nil"/>
              <w:left w:val="nil"/>
              <w:right w:val="single" w:sz="4" w:space="0" w:color="FFFFFF" w:themeColor="background1"/>
            </w:tcBorders>
            <w:shd w:val="clear" w:color="auto" w:fill="4F629B"/>
            <w:vAlign w:val="center"/>
          </w:tcPr>
          <w:p w:rsidR="0031156F" w:rsidRPr="00D7559E" w:rsidRDefault="0031156F" w:rsidP="0031156F">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Edificios totales</w:t>
            </w:r>
            <w:r w:rsidRPr="00D7559E">
              <w:rPr>
                <w:rStyle w:val="Refdenotaalpie"/>
                <w:rFonts w:ascii="Century Gothic" w:hAnsi="Century Gothic"/>
                <w:b/>
                <w:bCs/>
                <w:color w:val="FFFFFF" w:themeColor="background2"/>
                <w:sz w:val="16"/>
                <w:szCs w:val="16"/>
                <w:lang w:eastAsia="en-GB"/>
              </w:rPr>
              <w:footnoteReference w:id="14"/>
            </w:r>
          </w:p>
        </w:tc>
        <w:tc>
          <w:tcPr>
            <w:tcW w:w="2348" w:type="dxa"/>
            <w:tcBorders>
              <w:top w:val="nil"/>
              <w:left w:val="single" w:sz="4" w:space="0" w:color="FFFFFF" w:themeColor="background1"/>
              <w:right w:val="single" w:sz="4" w:space="0" w:color="FFFFFF"/>
            </w:tcBorders>
            <w:shd w:val="clear" w:color="auto" w:fill="4F629B"/>
            <w:vAlign w:val="center"/>
          </w:tcPr>
          <w:p w:rsidR="0031156F" w:rsidRPr="00D7559E" w:rsidDel="00D705AF" w:rsidRDefault="0031156F" w:rsidP="00D06F02">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 de edificios del geotipo</w:t>
            </w:r>
          </w:p>
        </w:tc>
      </w:tr>
      <w:tr w:rsidR="008B162A" w:rsidRPr="008B162A" w:rsidTr="00D07716">
        <w:trPr>
          <w:trHeight w:val="300"/>
          <w:jc w:val="center"/>
        </w:trPr>
        <w:tc>
          <w:tcPr>
            <w:tcW w:w="1413" w:type="dxa"/>
            <w:tcBorders>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1</w:t>
            </w:r>
          </w:p>
        </w:tc>
        <w:tc>
          <w:tcPr>
            <w:tcW w:w="2348" w:type="dxa"/>
            <w:tcBorders>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243,058</w:t>
            </w:r>
          </w:p>
        </w:tc>
        <w:tc>
          <w:tcPr>
            <w:tcW w:w="2348" w:type="dxa"/>
            <w:tcBorders>
              <w:bottom w:val="single" w:sz="4" w:space="0" w:color="auto"/>
            </w:tcBorders>
            <w:vAlign w:val="center"/>
          </w:tcPr>
          <w:p w:rsidR="0031156F" w:rsidRPr="008B162A" w:rsidRDefault="00492584" w:rsidP="0058127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7,199,264</w:t>
            </w:r>
          </w:p>
        </w:tc>
        <w:tc>
          <w:tcPr>
            <w:tcW w:w="2348" w:type="dxa"/>
            <w:tcBorders>
              <w:bottom w:val="single" w:sz="4" w:space="0" w:color="auto"/>
            </w:tcBorders>
            <w:shd w:val="clear" w:color="auto" w:fill="auto"/>
            <w:vAlign w:val="center"/>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3.4%</w:t>
            </w:r>
          </w:p>
        </w:tc>
      </w:tr>
      <w:tr w:rsidR="008B162A" w:rsidRPr="008B162A" w:rsidTr="00D07716">
        <w:trPr>
          <w:trHeight w:val="300"/>
          <w:jc w:val="center"/>
        </w:trPr>
        <w:tc>
          <w:tcPr>
            <w:tcW w:w="1413"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2</w:t>
            </w:r>
          </w:p>
        </w:tc>
        <w:tc>
          <w:tcPr>
            <w:tcW w:w="2348"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94,998</w:t>
            </w:r>
          </w:p>
        </w:tc>
        <w:tc>
          <w:tcPr>
            <w:tcW w:w="2348" w:type="dxa"/>
            <w:tcBorders>
              <w:top w:val="single" w:sz="4" w:space="0" w:color="auto"/>
              <w:bottom w:val="single" w:sz="4" w:space="0" w:color="auto"/>
            </w:tcBorders>
            <w:vAlign w:val="center"/>
          </w:tcPr>
          <w:p w:rsidR="0031156F" w:rsidRPr="008B162A" w:rsidRDefault="00492584" w:rsidP="0058127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917,437</w:t>
            </w:r>
          </w:p>
        </w:tc>
        <w:tc>
          <w:tcPr>
            <w:tcW w:w="2348" w:type="dxa"/>
            <w:tcBorders>
              <w:top w:val="single" w:sz="4" w:space="0" w:color="auto"/>
              <w:bottom w:val="single" w:sz="4" w:space="0" w:color="auto"/>
            </w:tcBorders>
            <w:shd w:val="clear" w:color="auto" w:fill="auto"/>
            <w:vAlign w:val="center"/>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10.4%</w:t>
            </w:r>
          </w:p>
        </w:tc>
      </w:tr>
      <w:tr w:rsidR="008B162A" w:rsidRPr="008B162A" w:rsidTr="00D07716">
        <w:trPr>
          <w:trHeight w:val="300"/>
          <w:jc w:val="center"/>
        </w:trPr>
        <w:tc>
          <w:tcPr>
            <w:tcW w:w="1413"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3</w:t>
            </w:r>
          </w:p>
        </w:tc>
        <w:tc>
          <w:tcPr>
            <w:tcW w:w="2348"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66,820</w:t>
            </w:r>
          </w:p>
        </w:tc>
        <w:tc>
          <w:tcPr>
            <w:tcW w:w="2348" w:type="dxa"/>
            <w:tcBorders>
              <w:top w:val="single" w:sz="4" w:space="0" w:color="auto"/>
              <w:bottom w:val="single" w:sz="4" w:space="0" w:color="auto"/>
            </w:tcBorders>
            <w:vAlign w:val="center"/>
          </w:tcPr>
          <w:p w:rsidR="0031156F" w:rsidRPr="008B162A" w:rsidRDefault="0058127C" w:rsidP="0058127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421,634</w:t>
            </w:r>
          </w:p>
        </w:tc>
        <w:tc>
          <w:tcPr>
            <w:tcW w:w="2348" w:type="dxa"/>
            <w:tcBorders>
              <w:top w:val="single" w:sz="4" w:space="0" w:color="auto"/>
              <w:bottom w:val="single" w:sz="4" w:space="0" w:color="auto"/>
            </w:tcBorders>
            <w:shd w:val="clear" w:color="auto" w:fill="auto"/>
            <w:vAlign w:val="center"/>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15.8%</w:t>
            </w:r>
          </w:p>
        </w:tc>
      </w:tr>
      <w:tr w:rsidR="008B162A" w:rsidRPr="008B162A" w:rsidTr="00D07716">
        <w:trPr>
          <w:trHeight w:val="300"/>
          <w:jc w:val="center"/>
        </w:trPr>
        <w:tc>
          <w:tcPr>
            <w:tcW w:w="1413"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4</w:t>
            </w:r>
          </w:p>
        </w:tc>
        <w:tc>
          <w:tcPr>
            <w:tcW w:w="2348"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20,837</w:t>
            </w:r>
          </w:p>
        </w:tc>
        <w:tc>
          <w:tcPr>
            <w:tcW w:w="2348" w:type="dxa"/>
            <w:tcBorders>
              <w:top w:val="single" w:sz="4" w:space="0" w:color="auto"/>
              <w:bottom w:val="single" w:sz="4" w:space="0" w:color="auto"/>
            </w:tcBorders>
            <w:vAlign w:val="center"/>
          </w:tcPr>
          <w:p w:rsidR="0031156F" w:rsidRPr="008B162A" w:rsidRDefault="0058127C" w:rsidP="0058127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122,895</w:t>
            </w:r>
          </w:p>
        </w:tc>
        <w:tc>
          <w:tcPr>
            <w:tcW w:w="2348" w:type="dxa"/>
            <w:tcBorders>
              <w:top w:val="single" w:sz="4" w:space="0" w:color="auto"/>
              <w:bottom w:val="single" w:sz="4" w:space="0" w:color="auto"/>
            </w:tcBorders>
            <w:shd w:val="clear" w:color="auto" w:fill="auto"/>
            <w:vAlign w:val="center"/>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17.0%</w:t>
            </w:r>
          </w:p>
        </w:tc>
      </w:tr>
      <w:tr w:rsidR="008B162A" w:rsidRPr="008B162A" w:rsidTr="00D07716">
        <w:trPr>
          <w:trHeight w:val="300"/>
          <w:jc w:val="center"/>
        </w:trPr>
        <w:tc>
          <w:tcPr>
            <w:tcW w:w="1413"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5</w:t>
            </w:r>
          </w:p>
        </w:tc>
        <w:tc>
          <w:tcPr>
            <w:tcW w:w="2348"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8,674</w:t>
            </w:r>
          </w:p>
        </w:tc>
        <w:tc>
          <w:tcPr>
            <w:tcW w:w="2348" w:type="dxa"/>
            <w:tcBorders>
              <w:top w:val="single" w:sz="4" w:space="0" w:color="auto"/>
              <w:bottom w:val="single" w:sz="4" w:space="0" w:color="auto"/>
            </w:tcBorders>
            <w:vAlign w:val="center"/>
          </w:tcPr>
          <w:p w:rsidR="0031156F" w:rsidRPr="008B162A" w:rsidRDefault="0058127C" w:rsidP="0058127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30,172</w:t>
            </w:r>
          </w:p>
        </w:tc>
        <w:tc>
          <w:tcPr>
            <w:tcW w:w="2348" w:type="dxa"/>
            <w:tcBorders>
              <w:top w:val="single" w:sz="4" w:space="0" w:color="auto"/>
              <w:bottom w:val="single" w:sz="4" w:space="0" w:color="auto"/>
            </w:tcBorders>
            <w:shd w:val="clear" w:color="auto" w:fill="auto"/>
            <w:vAlign w:val="center"/>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28.7%</w:t>
            </w:r>
          </w:p>
        </w:tc>
      </w:tr>
      <w:tr w:rsidR="008B162A" w:rsidRPr="008B162A" w:rsidTr="00D07716">
        <w:trPr>
          <w:trHeight w:val="300"/>
          <w:jc w:val="center"/>
        </w:trPr>
        <w:tc>
          <w:tcPr>
            <w:tcW w:w="1413"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6</w:t>
            </w:r>
          </w:p>
        </w:tc>
        <w:tc>
          <w:tcPr>
            <w:tcW w:w="2348"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100,360</w:t>
            </w:r>
          </w:p>
        </w:tc>
        <w:tc>
          <w:tcPr>
            <w:tcW w:w="2348" w:type="dxa"/>
            <w:tcBorders>
              <w:top w:val="single" w:sz="4" w:space="0" w:color="auto"/>
              <w:bottom w:val="single" w:sz="4" w:space="0" w:color="auto"/>
            </w:tcBorders>
            <w:vAlign w:val="center"/>
          </w:tcPr>
          <w:p w:rsidR="0031156F" w:rsidRPr="008B162A" w:rsidRDefault="0058127C" w:rsidP="0058127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487,071</w:t>
            </w:r>
          </w:p>
        </w:tc>
        <w:tc>
          <w:tcPr>
            <w:tcW w:w="2348" w:type="dxa"/>
            <w:tcBorders>
              <w:top w:val="single" w:sz="4" w:space="0" w:color="auto"/>
              <w:bottom w:val="single" w:sz="4" w:space="0" w:color="auto"/>
            </w:tcBorders>
            <w:shd w:val="clear" w:color="auto" w:fill="auto"/>
            <w:vAlign w:val="center"/>
          </w:tcPr>
          <w:p w:rsidR="0031156F" w:rsidRPr="008B162A" w:rsidRDefault="0031156F" w:rsidP="006B2C6C">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20.6%</w:t>
            </w:r>
          </w:p>
        </w:tc>
      </w:tr>
      <w:tr w:rsidR="008B162A" w:rsidRPr="008B162A" w:rsidTr="00D07716">
        <w:trPr>
          <w:trHeight w:val="315"/>
          <w:jc w:val="center"/>
        </w:trPr>
        <w:tc>
          <w:tcPr>
            <w:tcW w:w="1413"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b/>
                <w:bCs/>
                <w:sz w:val="16"/>
                <w:szCs w:val="16"/>
                <w:lang w:eastAsia="en-GB"/>
              </w:rPr>
            </w:pPr>
            <w:r w:rsidRPr="008B162A">
              <w:rPr>
                <w:rFonts w:ascii="Century Gothic" w:hAnsi="Century Gothic"/>
                <w:b/>
                <w:bCs/>
                <w:sz w:val="16"/>
                <w:szCs w:val="16"/>
                <w:lang w:eastAsia="en-GB"/>
              </w:rPr>
              <w:t>Total</w:t>
            </w:r>
          </w:p>
        </w:tc>
        <w:tc>
          <w:tcPr>
            <w:tcW w:w="2348" w:type="dxa"/>
            <w:tcBorders>
              <w:top w:val="single" w:sz="4" w:space="0" w:color="auto"/>
              <w:bottom w:val="single" w:sz="4" w:space="0" w:color="auto"/>
            </w:tcBorders>
            <w:shd w:val="clear" w:color="auto" w:fill="auto"/>
            <w:noWrap/>
            <w:vAlign w:val="center"/>
            <w:hideMark/>
          </w:tcPr>
          <w:p w:rsidR="0031156F" w:rsidRPr="008B162A" w:rsidRDefault="0031156F" w:rsidP="006B2C6C">
            <w:pPr>
              <w:keepNext/>
              <w:spacing w:before="0" w:after="0" w:line="240" w:lineRule="auto"/>
              <w:jc w:val="center"/>
              <w:rPr>
                <w:rFonts w:ascii="Century Gothic" w:hAnsi="Century Gothic"/>
                <w:b/>
                <w:bCs/>
                <w:sz w:val="16"/>
                <w:szCs w:val="16"/>
                <w:lang w:eastAsia="en-GB"/>
              </w:rPr>
            </w:pPr>
            <w:r w:rsidRPr="008B162A">
              <w:rPr>
                <w:rFonts w:ascii="Century Gothic" w:hAnsi="Century Gothic"/>
                <w:b/>
                <w:bCs/>
                <w:sz w:val="16"/>
                <w:szCs w:val="16"/>
                <w:lang w:eastAsia="en-GB"/>
              </w:rPr>
              <w:t>534,747</w:t>
            </w:r>
          </w:p>
        </w:tc>
        <w:tc>
          <w:tcPr>
            <w:tcW w:w="2348" w:type="dxa"/>
            <w:tcBorders>
              <w:top w:val="single" w:sz="4" w:space="0" w:color="auto"/>
              <w:bottom w:val="single" w:sz="4" w:space="0" w:color="auto"/>
            </w:tcBorders>
            <w:vAlign w:val="center"/>
          </w:tcPr>
          <w:p w:rsidR="0031156F" w:rsidRPr="008B162A" w:rsidRDefault="0058127C" w:rsidP="0058127C">
            <w:pPr>
              <w:keepNext/>
              <w:spacing w:before="0" w:after="0" w:line="240" w:lineRule="auto"/>
              <w:jc w:val="center"/>
              <w:rPr>
                <w:rFonts w:ascii="Century Gothic" w:hAnsi="Century Gothic"/>
                <w:b/>
                <w:bCs/>
                <w:sz w:val="16"/>
                <w:szCs w:val="16"/>
                <w:lang w:eastAsia="en-GB"/>
              </w:rPr>
            </w:pPr>
            <w:r w:rsidRPr="008B162A">
              <w:rPr>
                <w:rFonts w:ascii="Century Gothic" w:hAnsi="Century Gothic"/>
                <w:b/>
                <w:bCs/>
                <w:sz w:val="16"/>
                <w:szCs w:val="16"/>
                <w:lang w:eastAsia="en-GB"/>
              </w:rPr>
              <w:t>9,178,473</w:t>
            </w:r>
          </w:p>
        </w:tc>
        <w:tc>
          <w:tcPr>
            <w:tcW w:w="2348" w:type="dxa"/>
            <w:tcBorders>
              <w:top w:val="single" w:sz="4" w:space="0" w:color="auto"/>
              <w:bottom w:val="single" w:sz="4" w:space="0" w:color="auto"/>
            </w:tcBorders>
            <w:shd w:val="clear" w:color="auto" w:fill="auto"/>
            <w:vAlign w:val="center"/>
          </w:tcPr>
          <w:p w:rsidR="0031156F" w:rsidRPr="008B162A" w:rsidRDefault="0031156F" w:rsidP="006B2C6C">
            <w:pPr>
              <w:keepNext/>
              <w:spacing w:before="0" w:after="0" w:line="240" w:lineRule="auto"/>
              <w:jc w:val="center"/>
              <w:rPr>
                <w:rFonts w:ascii="Century Gothic" w:hAnsi="Century Gothic"/>
                <w:b/>
                <w:bCs/>
                <w:sz w:val="16"/>
                <w:szCs w:val="16"/>
                <w:lang w:eastAsia="en-GB"/>
              </w:rPr>
            </w:pPr>
            <w:r w:rsidRPr="008B162A">
              <w:rPr>
                <w:rFonts w:ascii="Century Gothic" w:hAnsi="Century Gothic"/>
                <w:b/>
                <w:bCs/>
                <w:sz w:val="16"/>
                <w:szCs w:val="16"/>
                <w:lang w:eastAsia="en-GB"/>
              </w:rPr>
              <w:t>5.9%</w:t>
            </w:r>
          </w:p>
        </w:tc>
      </w:tr>
    </w:tbl>
    <w:p w:rsidR="00BE7889" w:rsidRPr="008B162A" w:rsidRDefault="00BE7889" w:rsidP="00BE7889">
      <w:pPr>
        <w:pStyle w:val="Descripcin"/>
        <w:rPr>
          <w:rFonts w:ascii="Century Gothic" w:hAnsi="Century Gothic"/>
        </w:rPr>
      </w:pPr>
      <w:r w:rsidRPr="008B162A">
        <w:rPr>
          <w:rFonts w:ascii="Century Gothic" w:hAnsi="Century Gothic"/>
        </w:rPr>
        <w:t xml:space="preserve">Tabla </w:t>
      </w:r>
      <w:r w:rsidR="00AD65BA" w:rsidRPr="008B162A">
        <w:rPr>
          <w:rFonts w:ascii="Century Gothic" w:hAnsi="Century Gothic"/>
        </w:rPr>
        <w:fldChar w:fldCharType="begin"/>
      </w:r>
      <w:r w:rsidR="00AD65BA" w:rsidRPr="008B162A">
        <w:rPr>
          <w:rFonts w:ascii="Century Gothic" w:hAnsi="Century Gothic"/>
        </w:rPr>
        <w:instrText xml:space="preserve"> STYLEREF 1 \s </w:instrText>
      </w:r>
      <w:r w:rsidR="00AD65BA" w:rsidRPr="008B162A">
        <w:rPr>
          <w:rFonts w:ascii="Century Gothic" w:hAnsi="Century Gothic"/>
        </w:rPr>
        <w:fldChar w:fldCharType="separate"/>
      </w:r>
      <w:r w:rsidR="00431406">
        <w:rPr>
          <w:rFonts w:ascii="Century Gothic" w:hAnsi="Century Gothic"/>
          <w:noProof/>
        </w:rPr>
        <w:t>4</w:t>
      </w:r>
      <w:r w:rsidR="00AD65BA" w:rsidRPr="008B162A">
        <w:rPr>
          <w:rFonts w:ascii="Century Gothic" w:hAnsi="Century Gothic"/>
        </w:rPr>
        <w:fldChar w:fldCharType="end"/>
      </w:r>
      <w:r w:rsidR="00AD65BA" w:rsidRPr="008B162A">
        <w:rPr>
          <w:rFonts w:ascii="Century Gothic" w:hAnsi="Century Gothic"/>
        </w:rPr>
        <w:t>.</w:t>
      </w:r>
      <w:r w:rsidR="00AD65BA" w:rsidRPr="008B162A">
        <w:rPr>
          <w:rFonts w:ascii="Century Gothic" w:hAnsi="Century Gothic"/>
        </w:rPr>
        <w:fldChar w:fldCharType="begin"/>
      </w:r>
      <w:r w:rsidR="00AD65BA" w:rsidRPr="008B162A">
        <w:rPr>
          <w:rFonts w:ascii="Century Gothic" w:hAnsi="Century Gothic"/>
        </w:rPr>
        <w:instrText xml:space="preserve"> SEQ Tabla \* ARABIC \s 1 </w:instrText>
      </w:r>
      <w:r w:rsidR="00AD65BA" w:rsidRPr="008B162A">
        <w:rPr>
          <w:rFonts w:ascii="Century Gothic" w:hAnsi="Century Gothic"/>
        </w:rPr>
        <w:fldChar w:fldCharType="separate"/>
      </w:r>
      <w:r w:rsidR="00431406">
        <w:rPr>
          <w:rFonts w:ascii="Century Gothic" w:hAnsi="Century Gothic"/>
          <w:noProof/>
        </w:rPr>
        <w:t>1</w:t>
      </w:r>
      <w:r w:rsidR="00AD65BA" w:rsidRPr="008B162A">
        <w:rPr>
          <w:rFonts w:ascii="Century Gothic" w:hAnsi="Century Gothic"/>
        </w:rPr>
        <w:fldChar w:fldCharType="end"/>
      </w:r>
      <w:r w:rsidRPr="008B162A">
        <w:rPr>
          <w:rFonts w:ascii="Century Gothic" w:hAnsi="Century Gothic"/>
        </w:rPr>
        <w:t xml:space="preserve">: </w:t>
      </w:r>
      <w:r w:rsidR="00D705AF" w:rsidRPr="008B162A">
        <w:rPr>
          <w:rFonts w:ascii="Century Gothic" w:hAnsi="Century Gothic"/>
        </w:rPr>
        <w:t xml:space="preserve">Edificios identificados por geotipo en el </w:t>
      </w:r>
      <w:r w:rsidRPr="008B162A">
        <w:rPr>
          <w:rFonts w:ascii="Century Gothic" w:hAnsi="Century Gothic"/>
        </w:rPr>
        <w:t xml:space="preserve">análisis geográfico [Fuente: </w:t>
      </w:r>
      <w:r w:rsidR="006B7D75" w:rsidRPr="008B162A">
        <w:rPr>
          <w:rFonts w:ascii="Century Gothic" w:hAnsi="Century Gothic"/>
        </w:rPr>
        <w:t>IFT, 2016</w:t>
      </w:r>
      <w:r w:rsidRPr="008B162A">
        <w:rPr>
          <w:rFonts w:ascii="Century Gothic" w:hAnsi="Century Gothic"/>
        </w:rPr>
        <w:t>]</w:t>
      </w:r>
    </w:p>
    <w:p w:rsidR="00D705AF" w:rsidRPr="008B162A" w:rsidRDefault="00D705AF" w:rsidP="00BE7889">
      <w:pPr>
        <w:rPr>
          <w:rFonts w:ascii="Century Gothic" w:hAnsi="Century Gothic"/>
        </w:rPr>
      </w:pPr>
      <w:r w:rsidRPr="008B162A">
        <w:rPr>
          <w:rFonts w:ascii="Century Gothic" w:hAnsi="Century Gothic"/>
        </w:rPr>
        <w:t>Para la identificación de los edificios asociados a cada central óptica, se identifican dos potenciales escenarios de cobertura:</w:t>
      </w:r>
    </w:p>
    <w:p w:rsidR="00762AD2" w:rsidRPr="00D7559E" w:rsidRDefault="00D705AF" w:rsidP="000F1DD5">
      <w:pPr>
        <w:pStyle w:val="Indentado1"/>
        <w:numPr>
          <w:ilvl w:val="0"/>
          <w:numId w:val="29"/>
        </w:numPr>
      </w:pPr>
      <w:r w:rsidRPr="00D7559E">
        <w:rPr>
          <w:i/>
        </w:rPr>
        <w:t>Centrales ópticas actuales del AEP</w:t>
      </w:r>
      <w:r w:rsidRPr="00D7559E">
        <w:t xml:space="preserve">: Para estas centrales </w:t>
      </w:r>
      <w:r w:rsidR="00BE7889" w:rsidRPr="00D7559E">
        <w:t xml:space="preserve">se dispone de </w:t>
      </w:r>
      <w:r w:rsidRPr="00D7559E">
        <w:t xml:space="preserve">su </w:t>
      </w:r>
      <w:r w:rsidR="00BE7889" w:rsidRPr="00D7559E">
        <w:t>huella de cobertura</w:t>
      </w:r>
      <w:r w:rsidRPr="00D7559E">
        <w:t xml:space="preserve">, </w:t>
      </w:r>
      <w:r w:rsidR="00BE7889" w:rsidRPr="00D7559E">
        <w:t>estimada por el AEP</w:t>
      </w:r>
      <w:r w:rsidR="00762AD2" w:rsidRPr="00D7559E">
        <w:t>, la cual permite reconocer de manera precisa los edificios que quedan englobados dentro del radio de acción de esa central.</w:t>
      </w:r>
    </w:p>
    <w:p w:rsidR="00BE7889" w:rsidRPr="00D7559E" w:rsidRDefault="00762AD2" w:rsidP="000F1DD5">
      <w:pPr>
        <w:pStyle w:val="Indentado1"/>
        <w:numPr>
          <w:ilvl w:val="0"/>
          <w:numId w:val="29"/>
        </w:numPr>
      </w:pPr>
      <w:r w:rsidRPr="00D7559E">
        <w:rPr>
          <w:i/>
        </w:rPr>
        <w:t>Centrales ópticas proyectadas</w:t>
      </w:r>
      <w:r w:rsidR="00BE7889" w:rsidRPr="00D7559E">
        <w:t xml:space="preserve">. </w:t>
      </w:r>
      <w:r w:rsidR="00B240B0" w:rsidRPr="00D7559E">
        <w:t xml:space="preserve">En estos casos, al no disponerse de sus huellas de cobertura, se ha </w:t>
      </w:r>
      <w:r w:rsidR="00AD585F" w:rsidRPr="00D7559E">
        <w:t xml:space="preserve">estimado una cobertura teórica </w:t>
      </w:r>
      <w:r w:rsidR="00B240B0" w:rsidRPr="00D7559E">
        <w:t xml:space="preserve">considerado </w:t>
      </w:r>
      <w:r w:rsidR="00706B35" w:rsidRPr="00D7559E">
        <w:t>un alcance máximo de 10 km</w:t>
      </w:r>
      <w:r w:rsidR="00B240B0" w:rsidRPr="00D7559E">
        <w:t>, en línea con el valor empleado para la identificación de centrales realizada en el apartado anterior.</w:t>
      </w:r>
    </w:p>
    <w:p w:rsidR="00BE7889" w:rsidRPr="008B162A" w:rsidRDefault="00762AD2" w:rsidP="000E3448">
      <w:pPr>
        <w:rPr>
          <w:rFonts w:ascii="Century Gothic" w:hAnsi="Century Gothic"/>
        </w:rPr>
      </w:pPr>
      <w:r w:rsidRPr="008B162A">
        <w:rPr>
          <w:rFonts w:ascii="Century Gothic" w:hAnsi="Century Gothic"/>
        </w:rPr>
        <w:t xml:space="preserve">Mediante </w:t>
      </w:r>
      <w:r w:rsidR="00BE7889" w:rsidRPr="008B162A">
        <w:rPr>
          <w:rFonts w:ascii="Century Gothic" w:hAnsi="Century Gothic"/>
        </w:rPr>
        <w:t xml:space="preserve">mapas satelitales se ha procedido a identificar la ubicación </w:t>
      </w:r>
      <w:r w:rsidR="000E3448" w:rsidRPr="008B162A">
        <w:rPr>
          <w:rFonts w:ascii="Century Gothic" w:hAnsi="Century Gothic"/>
        </w:rPr>
        <w:t>de los edificios</w:t>
      </w:r>
      <w:r w:rsidR="00BE7889" w:rsidRPr="008B162A">
        <w:rPr>
          <w:rFonts w:ascii="Century Gothic" w:hAnsi="Century Gothic"/>
        </w:rPr>
        <w:t xml:space="preserve">. Las siguientes </w:t>
      </w:r>
      <w:r w:rsidRPr="008B162A">
        <w:rPr>
          <w:rFonts w:ascii="Century Gothic" w:hAnsi="Century Gothic"/>
        </w:rPr>
        <w:t xml:space="preserve">imágenes </w:t>
      </w:r>
      <w:r w:rsidR="00BE7889" w:rsidRPr="008B162A">
        <w:rPr>
          <w:rFonts w:ascii="Century Gothic" w:hAnsi="Century Gothic"/>
        </w:rPr>
        <w:t xml:space="preserve">muestran un ejemplo </w:t>
      </w:r>
      <w:r w:rsidRPr="008B162A">
        <w:rPr>
          <w:rFonts w:ascii="Century Gothic" w:hAnsi="Century Gothic"/>
        </w:rPr>
        <w:t xml:space="preserve">ilustrativo de la identificación de edificios asociados a unas centrales ópticas ubicadas en los </w:t>
      </w:r>
      <w:proofErr w:type="spellStart"/>
      <w:r w:rsidRPr="008B162A">
        <w:rPr>
          <w:rFonts w:ascii="Century Gothic" w:hAnsi="Century Gothic"/>
        </w:rPr>
        <w:t>geotipos</w:t>
      </w:r>
      <w:proofErr w:type="spellEnd"/>
      <w:r w:rsidRPr="008B162A">
        <w:rPr>
          <w:rFonts w:ascii="Century Gothic" w:hAnsi="Century Gothic"/>
        </w:rPr>
        <w:t xml:space="preserve"> 1 y 2 respectivamente</w:t>
      </w:r>
      <w:r w:rsidR="00BE7889" w:rsidRPr="008B162A">
        <w:rPr>
          <w:rFonts w:ascii="Century Gothic" w:hAnsi="Century Gothic"/>
        </w:rPr>
        <w:t>.</w:t>
      </w:r>
    </w:p>
    <w:p w:rsidR="00BE7889" w:rsidRPr="008B162A" w:rsidRDefault="0031156F" w:rsidP="0031156F">
      <w:pPr>
        <w:keepNext/>
        <w:spacing w:after="0" w:line="240" w:lineRule="auto"/>
        <w:jc w:val="center"/>
        <w:rPr>
          <w:rFonts w:ascii="Century Gothic" w:hAnsi="Century Gothic"/>
        </w:rPr>
      </w:pPr>
      <w:r w:rsidRPr="008B162A">
        <w:rPr>
          <w:rFonts w:ascii="Century Gothic" w:hAnsi="Century Gothic"/>
        </w:rPr>
        <w:lastRenderedPageBreak/>
        <w:t xml:space="preserve"> </w:t>
      </w:r>
      <w:r w:rsidRPr="008B162A">
        <w:rPr>
          <w:rFonts w:ascii="Century Gothic" w:hAnsi="Century Gothic"/>
          <w:noProof/>
          <w:lang w:eastAsia="es-MX"/>
        </w:rPr>
        <w:drawing>
          <wp:inline distT="0" distB="0" distL="0" distR="0" wp14:anchorId="3969BB85" wp14:editId="284BA5A0">
            <wp:extent cx="5006340" cy="4254881"/>
            <wp:effectExtent l="0" t="0" r="3810" b="0"/>
            <wp:docPr id="13" name="Picture 13"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0270" cy="4258221"/>
                    </a:xfrm>
                    <a:prstGeom prst="rect">
                      <a:avLst/>
                    </a:prstGeom>
                    <a:noFill/>
                    <a:ln>
                      <a:noFill/>
                    </a:ln>
                  </pic:spPr>
                </pic:pic>
              </a:graphicData>
            </a:graphic>
          </wp:inline>
        </w:drawing>
      </w:r>
    </w:p>
    <w:p w:rsidR="00BE7889" w:rsidRPr="008B162A" w:rsidRDefault="00BE7889" w:rsidP="00AD585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11</w:t>
      </w:r>
      <w:r w:rsidR="006F7424" w:rsidRPr="008B162A">
        <w:rPr>
          <w:rFonts w:ascii="Century Gothic" w:hAnsi="Century Gothic"/>
        </w:rPr>
        <w:fldChar w:fldCharType="end"/>
      </w:r>
      <w:r w:rsidRPr="008B162A">
        <w:rPr>
          <w:rFonts w:ascii="Century Gothic" w:hAnsi="Century Gothic"/>
        </w:rPr>
        <w:t>: Identificación de edificios en una muestra del GEOTIPO 1</w:t>
      </w:r>
      <w:r w:rsidR="00E60C2A" w:rsidRPr="008B162A">
        <w:rPr>
          <w:rStyle w:val="Refdenotaalpie"/>
          <w:rFonts w:ascii="Century Gothic" w:hAnsi="Century Gothic"/>
        </w:rPr>
        <w:footnoteReference w:id="15"/>
      </w:r>
      <w:r w:rsidRPr="008B162A">
        <w:rPr>
          <w:rFonts w:ascii="Century Gothic" w:hAnsi="Century Gothic"/>
        </w:rPr>
        <w:t xml:space="preserve"> [Fuente: </w:t>
      </w:r>
      <w:r w:rsidR="006B7D75" w:rsidRPr="008B162A">
        <w:rPr>
          <w:rFonts w:ascii="Century Gothic" w:hAnsi="Century Gothic"/>
        </w:rPr>
        <w:t>IFT, 2016</w:t>
      </w:r>
      <w:r w:rsidRPr="008B162A">
        <w:rPr>
          <w:rFonts w:ascii="Century Gothic" w:hAnsi="Century Gothic"/>
        </w:rPr>
        <w:t>]</w:t>
      </w:r>
    </w:p>
    <w:p w:rsidR="00BE7889" w:rsidRPr="008B162A" w:rsidRDefault="00BE7889" w:rsidP="00BE7889">
      <w:pPr>
        <w:keepNext/>
        <w:spacing w:after="0" w:line="240" w:lineRule="auto"/>
        <w:jc w:val="center"/>
        <w:rPr>
          <w:rFonts w:ascii="Century Gothic" w:hAnsi="Century Gothic"/>
        </w:rPr>
      </w:pPr>
      <w:r w:rsidRPr="008B162A">
        <w:rPr>
          <w:rFonts w:ascii="Century Gothic" w:hAnsi="Century Gothic"/>
          <w:noProof/>
          <w:lang w:eastAsia="es-MX"/>
        </w:rPr>
        <w:lastRenderedPageBreak/>
        <w:drawing>
          <wp:inline distT="0" distB="0" distL="0" distR="0" wp14:anchorId="791DA976" wp14:editId="01FB18DE">
            <wp:extent cx="4606045" cy="3528000"/>
            <wp:effectExtent l="0" t="0" r="4445" b="0"/>
            <wp:docPr id="77091" name="Picture 77091"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06045" cy="3528000"/>
                    </a:xfrm>
                    <a:prstGeom prst="rect">
                      <a:avLst/>
                    </a:prstGeom>
                    <a:noFill/>
                    <a:ln>
                      <a:noFill/>
                    </a:ln>
                  </pic:spPr>
                </pic:pic>
              </a:graphicData>
            </a:graphic>
          </wp:inline>
        </w:drawing>
      </w:r>
    </w:p>
    <w:p w:rsidR="00BE7889" w:rsidRPr="008B162A" w:rsidRDefault="00BE7889" w:rsidP="00AD585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12</w:t>
      </w:r>
      <w:r w:rsidR="006F7424" w:rsidRPr="008B162A">
        <w:rPr>
          <w:rFonts w:ascii="Century Gothic" w:hAnsi="Century Gothic"/>
        </w:rPr>
        <w:fldChar w:fldCharType="end"/>
      </w:r>
      <w:r w:rsidRPr="008B162A">
        <w:rPr>
          <w:rFonts w:ascii="Century Gothic" w:hAnsi="Century Gothic"/>
        </w:rPr>
        <w:t xml:space="preserve">: Identificación de edificios en una muestra del GEOTIPO 2 [Fuente: </w:t>
      </w:r>
      <w:r w:rsidR="006B7D75" w:rsidRPr="008B162A">
        <w:rPr>
          <w:rFonts w:ascii="Century Gothic" w:hAnsi="Century Gothic"/>
        </w:rPr>
        <w:t>IFT, 2016</w:t>
      </w:r>
      <w:r w:rsidRPr="008B162A">
        <w:rPr>
          <w:rFonts w:ascii="Century Gothic" w:hAnsi="Century Gothic"/>
        </w:rPr>
        <w:t>]</w:t>
      </w:r>
    </w:p>
    <w:p w:rsidR="00BE7889" w:rsidRPr="008B162A" w:rsidRDefault="00BE7889" w:rsidP="00D06F02">
      <w:pPr>
        <w:pStyle w:val="Ttulo4"/>
        <w:rPr>
          <w:rFonts w:ascii="Century Gothic" w:hAnsi="Century Gothic"/>
          <w:color w:val="auto"/>
        </w:rPr>
      </w:pPr>
      <w:bookmarkStart w:id="86" w:name="_Ref424312098"/>
      <w:r w:rsidRPr="008B162A">
        <w:rPr>
          <w:rFonts w:ascii="Century Gothic" w:hAnsi="Century Gothic"/>
          <w:color w:val="auto"/>
        </w:rPr>
        <w:t>Diseño de la red de acceso óptima</w:t>
      </w:r>
      <w:bookmarkEnd w:id="86"/>
    </w:p>
    <w:p w:rsidR="00BE7889" w:rsidRPr="008B162A" w:rsidRDefault="00762AD2" w:rsidP="00BE7889">
      <w:pPr>
        <w:rPr>
          <w:rFonts w:ascii="Century Gothic" w:hAnsi="Century Gothic"/>
        </w:rPr>
      </w:pPr>
      <w:r w:rsidRPr="008B162A">
        <w:rPr>
          <w:rFonts w:ascii="Century Gothic" w:hAnsi="Century Gothic"/>
        </w:rPr>
        <w:t xml:space="preserve">Una vez identificada la posición geográfica de los edificios, el </w:t>
      </w:r>
      <w:r w:rsidR="00BE7889" w:rsidRPr="008B162A">
        <w:rPr>
          <w:rFonts w:ascii="Century Gothic" w:hAnsi="Century Gothic"/>
        </w:rPr>
        <w:t>siguiente paso consiste en la caracterización de la red de acceso en términos de:</w:t>
      </w:r>
    </w:p>
    <w:p w:rsidR="00BE7889" w:rsidRPr="00D7559E" w:rsidRDefault="00BE7889" w:rsidP="000F1DD5">
      <w:pPr>
        <w:pStyle w:val="Prrafodelista"/>
        <w:numPr>
          <w:ilvl w:val="0"/>
          <w:numId w:val="30"/>
        </w:numPr>
        <w:rPr>
          <w:rFonts w:ascii="Century Gothic" w:hAnsi="Century Gothic"/>
        </w:rPr>
      </w:pPr>
      <w:r w:rsidRPr="00D7559E">
        <w:rPr>
          <w:rFonts w:ascii="Century Gothic" w:hAnsi="Century Gothic"/>
        </w:rPr>
        <w:t>Número de cajas terminales que deberían desplegarse para cada área poblada</w:t>
      </w:r>
    </w:p>
    <w:p w:rsidR="00BE7889" w:rsidRPr="00D7559E" w:rsidRDefault="00BE7889" w:rsidP="000F1DD5">
      <w:pPr>
        <w:pStyle w:val="Prrafodelista"/>
        <w:numPr>
          <w:ilvl w:val="0"/>
          <w:numId w:val="30"/>
        </w:numPr>
        <w:rPr>
          <w:rFonts w:ascii="Century Gothic" w:hAnsi="Century Gothic"/>
        </w:rPr>
      </w:pPr>
      <w:r w:rsidRPr="00D7559E">
        <w:rPr>
          <w:rFonts w:ascii="Century Gothic" w:hAnsi="Century Gothic"/>
        </w:rPr>
        <w:t>Ubicación (coordenadas) de las cajas terminales a desplegar</w:t>
      </w:r>
    </w:p>
    <w:p w:rsidR="00BE7889" w:rsidRPr="00D7559E" w:rsidRDefault="00BE7889" w:rsidP="000F1DD5">
      <w:pPr>
        <w:pStyle w:val="Prrafodelista"/>
        <w:numPr>
          <w:ilvl w:val="0"/>
          <w:numId w:val="30"/>
        </w:numPr>
        <w:rPr>
          <w:rFonts w:ascii="Century Gothic" w:hAnsi="Century Gothic"/>
        </w:rPr>
      </w:pPr>
      <w:r w:rsidRPr="00D7559E">
        <w:rPr>
          <w:rFonts w:ascii="Century Gothic" w:hAnsi="Century Gothic"/>
        </w:rPr>
        <w:t>Mapeo de los edificios a la caja terminal más cercana</w:t>
      </w:r>
    </w:p>
    <w:p w:rsidR="00BE7889" w:rsidRPr="00D7559E" w:rsidRDefault="00BE7889" w:rsidP="000F1DD5">
      <w:pPr>
        <w:pStyle w:val="Prrafodelista"/>
        <w:numPr>
          <w:ilvl w:val="0"/>
          <w:numId w:val="30"/>
        </w:numPr>
        <w:rPr>
          <w:rFonts w:ascii="Century Gothic" w:hAnsi="Century Gothic"/>
        </w:rPr>
      </w:pPr>
      <w:r w:rsidRPr="00D7559E">
        <w:rPr>
          <w:rFonts w:ascii="Century Gothic" w:hAnsi="Century Gothic"/>
        </w:rPr>
        <w:t>Número de puntos de distribución que deberían desplegarse</w:t>
      </w:r>
    </w:p>
    <w:p w:rsidR="00BE7889" w:rsidRPr="00D7559E" w:rsidRDefault="00BE7889" w:rsidP="000F1DD5">
      <w:pPr>
        <w:pStyle w:val="Prrafodelista"/>
        <w:numPr>
          <w:ilvl w:val="0"/>
          <w:numId w:val="30"/>
        </w:numPr>
        <w:rPr>
          <w:rFonts w:ascii="Century Gothic" w:hAnsi="Century Gothic"/>
        </w:rPr>
      </w:pPr>
      <w:r w:rsidRPr="00D7559E">
        <w:rPr>
          <w:rFonts w:ascii="Century Gothic" w:hAnsi="Century Gothic"/>
        </w:rPr>
        <w:t>Ubicación (coordenadas) de los puntos de distribución a desplegar</w:t>
      </w:r>
    </w:p>
    <w:p w:rsidR="00BE7889" w:rsidRPr="00D7559E" w:rsidRDefault="00BE7889" w:rsidP="000F1DD5">
      <w:pPr>
        <w:pStyle w:val="Prrafodelista"/>
        <w:numPr>
          <w:ilvl w:val="0"/>
          <w:numId w:val="30"/>
        </w:numPr>
        <w:rPr>
          <w:rFonts w:ascii="Century Gothic" w:hAnsi="Century Gothic"/>
        </w:rPr>
      </w:pPr>
      <w:r w:rsidRPr="00D7559E">
        <w:rPr>
          <w:rFonts w:ascii="Century Gothic" w:hAnsi="Century Gothic"/>
        </w:rPr>
        <w:t>Mapeo de las cajas terminales al punto de distribución más cercano</w:t>
      </w:r>
    </w:p>
    <w:p w:rsidR="00BE7889" w:rsidRPr="008B162A" w:rsidRDefault="00BE7889" w:rsidP="00BE7889">
      <w:pPr>
        <w:rPr>
          <w:rFonts w:ascii="Century Gothic" w:hAnsi="Century Gothic"/>
        </w:rPr>
      </w:pPr>
      <w:r w:rsidRPr="008B162A">
        <w:rPr>
          <w:rFonts w:ascii="Century Gothic" w:hAnsi="Century Gothic"/>
        </w:rPr>
        <w:t xml:space="preserve">Todos estos pasos se han realizado a través de la implementación de un </w:t>
      </w:r>
      <w:r w:rsidRPr="008B162A">
        <w:rPr>
          <w:rFonts w:ascii="Century Gothic" w:hAnsi="Century Gothic"/>
          <w:b/>
        </w:rPr>
        <w:t>algoritmo k-</w:t>
      </w:r>
      <w:proofErr w:type="spellStart"/>
      <w:r w:rsidRPr="008B162A">
        <w:rPr>
          <w:rFonts w:ascii="Century Gothic" w:hAnsi="Century Gothic"/>
          <w:b/>
        </w:rPr>
        <w:t>means</w:t>
      </w:r>
      <w:proofErr w:type="spellEnd"/>
      <w:r w:rsidRPr="008B162A">
        <w:rPr>
          <w:rFonts w:ascii="Century Gothic" w:hAnsi="Century Gothic"/>
        </w:rPr>
        <w:t xml:space="preserve">, que se aplica de manera independiente </w:t>
      </w:r>
      <w:r w:rsidR="00762AD2" w:rsidRPr="008B162A">
        <w:rPr>
          <w:rFonts w:ascii="Century Gothic" w:hAnsi="Century Gothic"/>
        </w:rPr>
        <w:t xml:space="preserve">sobre </w:t>
      </w:r>
      <w:r w:rsidRPr="008B162A">
        <w:rPr>
          <w:rFonts w:ascii="Century Gothic" w:hAnsi="Century Gothic"/>
        </w:rPr>
        <w:t xml:space="preserve">cada </w:t>
      </w:r>
      <w:r w:rsidR="00762AD2" w:rsidRPr="008B162A">
        <w:rPr>
          <w:rFonts w:ascii="Century Gothic" w:hAnsi="Century Gothic"/>
        </w:rPr>
        <w:t>muestra analizada</w:t>
      </w:r>
      <w:r w:rsidRPr="008B162A">
        <w:rPr>
          <w:rFonts w:ascii="Century Gothic" w:hAnsi="Century Gothic"/>
        </w:rPr>
        <w:t>.</w:t>
      </w:r>
    </w:p>
    <w:p w:rsidR="00C81C20" w:rsidRPr="008B162A" w:rsidRDefault="00C81C20" w:rsidP="00BE7889">
      <w:pPr>
        <w:rPr>
          <w:rFonts w:ascii="Century Gothic" w:hAnsi="Century Gothic"/>
        </w:rPr>
      </w:pPr>
      <w:r w:rsidRPr="008B162A">
        <w:rPr>
          <w:rFonts w:ascii="Century Gothic" w:hAnsi="Century Gothic"/>
        </w:rPr>
        <w:lastRenderedPageBreak/>
        <w:t xml:space="preserve">Este </w:t>
      </w:r>
      <w:r w:rsidR="00BE7889" w:rsidRPr="008B162A">
        <w:rPr>
          <w:rFonts w:ascii="Century Gothic" w:hAnsi="Century Gothic"/>
        </w:rPr>
        <w:t xml:space="preserve">algoritmo requiere una definición inicial del número de </w:t>
      </w:r>
      <w:r w:rsidR="00BE7889" w:rsidRPr="008B162A">
        <w:rPr>
          <w:rFonts w:ascii="Century Gothic" w:hAnsi="Century Gothic"/>
          <w:i/>
        </w:rPr>
        <w:t>k</w:t>
      </w:r>
      <w:r w:rsidRPr="008B162A">
        <w:rPr>
          <w:rStyle w:val="Refdenotaalpie"/>
          <w:rFonts w:ascii="Century Gothic" w:hAnsi="Century Gothic"/>
          <w:i/>
        </w:rPr>
        <w:footnoteReference w:id="16"/>
      </w:r>
      <w:r w:rsidR="00BE7889" w:rsidRPr="008B162A">
        <w:rPr>
          <w:rFonts w:ascii="Century Gothic" w:hAnsi="Century Gothic"/>
        </w:rPr>
        <w:t xml:space="preserve"> cajas terminales que se </w:t>
      </w:r>
      <w:r w:rsidRPr="008B162A">
        <w:rPr>
          <w:rFonts w:ascii="Century Gothic" w:hAnsi="Century Gothic"/>
        </w:rPr>
        <w:t xml:space="preserve">deben desplegar en el área relativa a la muestra bajo análisis. </w:t>
      </w:r>
    </w:p>
    <w:p w:rsidR="00C81C20" w:rsidRPr="008B162A" w:rsidRDefault="00C81C20" w:rsidP="00C81C20">
      <w:pPr>
        <w:rPr>
          <w:rFonts w:ascii="Century Gothic" w:hAnsi="Century Gothic"/>
        </w:rPr>
      </w:pPr>
      <w:r w:rsidRPr="008B162A">
        <w:rPr>
          <w:rFonts w:ascii="Century Gothic" w:hAnsi="Century Gothic"/>
        </w:rPr>
        <w:t xml:space="preserve">Con base en el número </w:t>
      </w:r>
      <w:r w:rsidRPr="008B162A">
        <w:rPr>
          <w:rFonts w:ascii="Century Gothic" w:hAnsi="Century Gothic"/>
          <w:i/>
        </w:rPr>
        <w:t>k</w:t>
      </w:r>
      <w:r w:rsidRPr="008B162A">
        <w:rPr>
          <w:rFonts w:ascii="Century Gothic" w:hAnsi="Century Gothic"/>
        </w:rPr>
        <w:t xml:space="preserve"> definido, el algoritmo realiza una distribución aleatoria de las cajas terminales dentro del área de la muestra analizada, </w:t>
      </w:r>
      <w:r w:rsidR="00BE7889" w:rsidRPr="008B162A">
        <w:rPr>
          <w:rFonts w:ascii="Century Gothic" w:hAnsi="Century Gothic"/>
        </w:rPr>
        <w:t>asigna</w:t>
      </w:r>
      <w:r w:rsidRPr="008B162A">
        <w:rPr>
          <w:rFonts w:ascii="Century Gothic" w:hAnsi="Century Gothic"/>
        </w:rPr>
        <w:t>ndo</w:t>
      </w:r>
      <w:r w:rsidR="00BE7889" w:rsidRPr="008B162A">
        <w:rPr>
          <w:rFonts w:ascii="Century Gothic" w:hAnsi="Century Gothic"/>
        </w:rPr>
        <w:t xml:space="preserve"> cada edificio a su caja terminal más cercana. Cuando no queda pendiente ningún edificio por asignar, se considera que el primer paso habría sido completado y la primera agrupación se habría finalizado. </w:t>
      </w:r>
    </w:p>
    <w:p w:rsidR="00C81C20" w:rsidRPr="008B162A" w:rsidRDefault="00BE7889" w:rsidP="00C81C20">
      <w:pPr>
        <w:rPr>
          <w:rFonts w:ascii="Century Gothic" w:hAnsi="Century Gothic"/>
        </w:rPr>
      </w:pPr>
      <w:r w:rsidRPr="008B162A">
        <w:rPr>
          <w:rFonts w:ascii="Century Gothic" w:hAnsi="Century Gothic"/>
        </w:rPr>
        <w:t xml:space="preserve">En este punto, las </w:t>
      </w:r>
      <w:r w:rsidR="00C81C20" w:rsidRPr="008B162A">
        <w:rPr>
          <w:rFonts w:ascii="Century Gothic" w:hAnsi="Century Gothic"/>
          <w:i/>
        </w:rPr>
        <w:t>k</w:t>
      </w:r>
      <w:r w:rsidR="00C81C20" w:rsidRPr="008B162A">
        <w:rPr>
          <w:rFonts w:ascii="Century Gothic" w:hAnsi="Century Gothic"/>
        </w:rPr>
        <w:t xml:space="preserve"> </w:t>
      </w:r>
      <w:r w:rsidRPr="008B162A">
        <w:rPr>
          <w:rFonts w:ascii="Century Gothic" w:hAnsi="Century Gothic"/>
        </w:rPr>
        <w:t xml:space="preserve">cajas terminales serían </w:t>
      </w:r>
      <w:r w:rsidR="00C81C20" w:rsidRPr="008B162A">
        <w:rPr>
          <w:rFonts w:ascii="Century Gothic" w:hAnsi="Century Gothic"/>
        </w:rPr>
        <w:t xml:space="preserve">reubicadas </w:t>
      </w:r>
      <w:r w:rsidRPr="008B162A">
        <w:rPr>
          <w:rFonts w:ascii="Century Gothic" w:hAnsi="Century Gothic"/>
        </w:rPr>
        <w:t xml:space="preserve">en los baricentros de los conjuntos de edificios resultantes del paso anterior. Con base en las nuevas </w:t>
      </w:r>
      <w:r w:rsidR="00C81C20" w:rsidRPr="008B162A">
        <w:rPr>
          <w:rFonts w:ascii="Century Gothic" w:hAnsi="Century Gothic"/>
        </w:rPr>
        <w:t xml:space="preserve">ubicaciones </w:t>
      </w:r>
      <w:r w:rsidRPr="008B162A">
        <w:rPr>
          <w:rFonts w:ascii="Century Gothic" w:hAnsi="Century Gothic"/>
        </w:rPr>
        <w:t xml:space="preserve">de las cajas terminales, se </w:t>
      </w:r>
      <w:r w:rsidR="00C81C20" w:rsidRPr="008B162A">
        <w:rPr>
          <w:rFonts w:ascii="Century Gothic" w:hAnsi="Century Gothic"/>
        </w:rPr>
        <w:t xml:space="preserve">repite el proceso de asociación de los edificios con </w:t>
      </w:r>
      <w:r w:rsidRPr="008B162A">
        <w:rPr>
          <w:rFonts w:ascii="Century Gothic" w:hAnsi="Century Gothic"/>
        </w:rPr>
        <w:t xml:space="preserve">la nueva caja terminal más cercana. </w:t>
      </w:r>
    </w:p>
    <w:p w:rsidR="00BE7889" w:rsidRPr="008B162A" w:rsidRDefault="00BE7889" w:rsidP="00C81C20">
      <w:pPr>
        <w:rPr>
          <w:rFonts w:ascii="Century Gothic" w:hAnsi="Century Gothic"/>
        </w:rPr>
      </w:pPr>
      <w:r w:rsidRPr="008B162A">
        <w:rPr>
          <w:rFonts w:ascii="Century Gothic" w:hAnsi="Century Gothic"/>
        </w:rPr>
        <w:t xml:space="preserve">Como resultado de las iteraciones, se </w:t>
      </w:r>
      <w:r w:rsidR="00C81C20" w:rsidRPr="008B162A">
        <w:rPr>
          <w:rFonts w:ascii="Century Gothic" w:hAnsi="Century Gothic"/>
        </w:rPr>
        <w:t xml:space="preserve">reubican secuencialmente </w:t>
      </w:r>
      <w:r w:rsidRPr="008B162A">
        <w:rPr>
          <w:rFonts w:ascii="Century Gothic" w:hAnsi="Century Gothic"/>
        </w:rPr>
        <w:t xml:space="preserve">las </w:t>
      </w:r>
      <w:r w:rsidR="00C81C20" w:rsidRPr="008B162A">
        <w:rPr>
          <w:rFonts w:ascii="Century Gothic" w:hAnsi="Century Gothic"/>
          <w:i/>
        </w:rPr>
        <w:t>k</w:t>
      </w:r>
      <w:r w:rsidR="00C81C20" w:rsidRPr="008B162A">
        <w:rPr>
          <w:rFonts w:ascii="Century Gothic" w:hAnsi="Century Gothic"/>
        </w:rPr>
        <w:t xml:space="preserve"> </w:t>
      </w:r>
      <w:r w:rsidRPr="008B162A">
        <w:rPr>
          <w:rFonts w:ascii="Century Gothic" w:hAnsi="Century Gothic"/>
        </w:rPr>
        <w:t>cajas terminales hasta alcanzar un equilibrio, momento en el que se alcanza la posición óptima (en términos de distancia) de las cajas terminales.</w:t>
      </w:r>
    </w:p>
    <w:p w:rsidR="00BE7889" w:rsidRPr="008B162A" w:rsidRDefault="00BE7889" w:rsidP="00BE7889">
      <w:pPr>
        <w:rPr>
          <w:rFonts w:ascii="Century Gothic" w:hAnsi="Century Gothic"/>
        </w:rPr>
      </w:pPr>
      <w:r w:rsidRPr="008B162A">
        <w:rPr>
          <w:rFonts w:ascii="Century Gothic" w:hAnsi="Century Gothic"/>
        </w:rPr>
        <w:t>El objetivo de este algoritmo es minimizar una función objetivo, en este caso una función error cuadrático:</w:t>
      </w:r>
    </w:p>
    <w:p w:rsidR="00BE7889" w:rsidRPr="008B162A" w:rsidRDefault="00BE7889" w:rsidP="00BE7889">
      <w:pPr>
        <w:rPr>
          <w:rFonts w:ascii="Century Gothic" w:hAnsi="Century Gothic"/>
        </w:rPr>
      </w:pPr>
      <m:oMathPara>
        <m:oMath>
          <m:r>
            <w:rPr>
              <w:rFonts w:ascii="Cambria Math" w:hAnsi="Cambria Math"/>
            </w:rPr>
            <m:t>J=</m:t>
          </m:r>
          <m:nary>
            <m:naryPr>
              <m:chr m:val="∑"/>
              <m:limLoc m:val="undOvr"/>
              <m:ctrlPr>
                <w:rPr>
                  <w:rFonts w:ascii="Cambria Math" w:hAnsi="Cambria Math"/>
                  <w:i/>
                </w:rPr>
              </m:ctrlPr>
            </m:naryPr>
            <m:sub>
              <m:r>
                <w:rPr>
                  <w:rFonts w:ascii="Cambria Math" w:hAnsi="Cambria Math"/>
                </w:rPr>
                <m:t>j=1</m:t>
              </m:r>
            </m:sub>
            <m:sup>
              <m:r>
                <w:rPr>
                  <w:rFonts w:ascii="Cambria Math" w:hAnsi="Cambria Math"/>
                </w:rPr>
                <m:t>k</m:t>
              </m:r>
            </m:sup>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p>
                    <m:sSupPr>
                      <m:ctrlPr>
                        <w:rPr>
                          <w:rFonts w:ascii="Cambria Math" w:hAnsi="Cambria Math"/>
                          <w:i/>
                        </w:rPr>
                      </m:ctrlPr>
                    </m:sSup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j</m:t>
                              </m:r>
                            </m:sup>
                          </m:sSubSup>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j</m:t>
                              </m:r>
                            </m:sub>
                          </m:sSub>
                        </m:e>
                      </m:d>
                    </m:e>
                    <m:sup>
                      <m:r>
                        <w:rPr>
                          <w:rFonts w:ascii="Cambria Math" w:hAnsi="Cambria Math"/>
                        </w:rPr>
                        <m:t>2</m:t>
                      </m:r>
                    </m:sup>
                  </m:sSup>
                </m:e>
              </m:nary>
            </m:e>
          </m:nary>
        </m:oMath>
      </m:oMathPara>
    </w:p>
    <w:p w:rsidR="00BE7889" w:rsidRPr="008B162A" w:rsidRDefault="00BE7889" w:rsidP="00BE7889">
      <w:pPr>
        <w:rPr>
          <w:rFonts w:ascii="Century Gothic" w:hAnsi="Century Gothic"/>
        </w:rPr>
      </w:pPr>
      <w:r w:rsidRPr="008B162A">
        <w:rPr>
          <w:rFonts w:ascii="Century Gothic" w:hAnsi="Century Gothic"/>
        </w:rPr>
        <w:t xml:space="preserve">Donde </w:t>
      </w:r>
      <m:oMath>
        <m:sSup>
          <m:sSupPr>
            <m:ctrlPr>
              <w:rPr>
                <w:rFonts w:ascii="Cambria Math" w:hAnsi="Cambria Math"/>
                <w:i/>
              </w:rPr>
            </m:ctrlPr>
          </m:sSup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j</m:t>
                    </m:r>
                  </m:sup>
                </m:sSubSup>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j</m:t>
                    </m:r>
                  </m:sub>
                </m:sSub>
              </m:e>
            </m:d>
          </m:e>
          <m:sup>
            <m:r>
              <w:rPr>
                <w:rFonts w:ascii="Cambria Math" w:hAnsi="Cambria Math"/>
              </w:rPr>
              <m:t>2</m:t>
            </m:r>
          </m:sup>
        </m:sSup>
      </m:oMath>
      <w:r w:rsidRPr="008B162A">
        <w:rPr>
          <w:rFonts w:ascii="Century Gothic" w:hAnsi="Century Gothic"/>
        </w:rPr>
        <w:t xml:space="preserve"> representa la distancia entre el edificio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j</m:t>
            </m:r>
          </m:sup>
        </m:sSubSup>
      </m:oMath>
      <w:r w:rsidRPr="008B162A">
        <w:rPr>
          <w:rFonts w:ascii="Century Gothic" w:hAnsi="Century Gothic"/>
        </w:rPr>
        <w:t xml:space="preserve"> y una caja terminal </w:t>
      </w:r>
      <m:oMath>
        <m:sSub>
          <m:sSubPr>
            <m:ctrlPr>
              <w:rPr>
                <w:rFonts w:ascii="Cambria Math" w:hAnsi="Cambria Math"/>
                <w:i/>
              </w:rPr>
            </m:ctrlPr>
          </m:sSubPr>
          <m:e>
            <m:r>
              <w:rPr>
                <w:rFonts w:ascii="Cambria Math" w:hAnsi="Cambria Math"/>
              </w:rPr>
              <m:t>c</m:t>
            </m:r>
          </m:e>
          <m:sub>
            <m:r>
              <w:rPr>
                <w:rFonts w:ascii="Cambria Math" w:hAnsi="Cambria Math"/>
              </w:rPr>
              <m:t>j</m:t>
            </m:r>
          </m:sub>
        </m:sSub>
      </m:oMath>
      <w:r w:rsidRPr="008B162A">
        <w:rPr>
          <w:rFonts w:ascii="Century Gothic" w:hAnsi="Century Gothic"/>
        </w:rPr>
        <w:t>.</w:t>
      </w:r>
    </w:p>
    <w:p w:rsidR="00BE7889" w:rsidRPr="008B162A" w:rsidRDefault="00BE7889" w:rsidP="00BE7889">
      <w:pPr>
        <w:rPr>
          <w:rFonts w:ascii="Century Gothic" w:hAnsi="Century Gothic"/>
        </w:rPr>
      </w:pPr>
      <w:r w:rsidRPr="008B162A">
        <w:rPr>
          <w:rFonts w:ascii="Century Gothic" w:hAnsi="Century Gothic"/>
        </w:rPr>
        <w:t>El proceso realizado en este algoritmo se describe en la siguiente tabla:</w:t>
      </w:r>
    </w:p>
    <w:tbl>
      <w:tblPr>
        <w:tblStyle w:val="Tablaconcuadrcula"/>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Caption w:val="imagen"/>
        <w:tblDescription w:val="imagen"/>
      </w:tblPr>
      <w:tblGrid>
        <w:gridCol w:w="4028"/>
        <w:gridCol w:w="4322"/>
      </w:tblGrid>
      <w:tr w:rsidR="008B162A" w:rsidRPr="008B162A" w:rsidTr="00F83EDC">
        <w:trPr>
          <w:tblHeader/>
          <w:jc w:val="center"/>
        </w:trPr>
        <w:tc>
          <w:tcPr>
            <w:tcW w:w="2660" w:type="dxa"/>
          </w:tcPr>
          <w:p w:rsidR="00BE7889" w:rsidRPr="008B162A" w:rsidRDefault="00BE7889" w:rsidP="00BE7889">
            <w:pPr>
              <w:spacing w:before="120" w:after="120" w:line="240" w:lineRule="auto"/>
              <w:jc w:val="center"/>
              <w:rPr>
                <w:rFonts w:ascii="Century Gothic" w:hAnsi="Century Gothic"/>
              </w:rPr>
            </w:pPr>
            <w:r w:rsidRPr="008B162A">
              <w:rPr>
                <w:rFonts w:ascii="Century Gothic" w:hAnsi="Century Gothic"/>
              </w:rPr>
              <w:lastRenderedPageBreak/>
              <w:t xml:space="preserve"> </w:t>
            </w:r>
            <w:r w:rsidRPr="008B162A">
              <w:rPr>
                <w:rFonts w:ascii="Century Gothic" w:hAnsi="Century Gothic"/>
                <w:noProof/>
                <w:lang w:eastAsia="es-MX"/>
              </w:rPr>
              <w:drawing>
                <wp:inline distT="0" distB="0" distL="0" distR="0" wp14:anchorId="18F5C003" wp14:editId="26D3F1E2">
                  <wp:extent cx="1922281" cy="1930400"/>
                  <wp:effectExtent l="0" t="0" r="0" b="0"/>
                  <wp:docPr id="77092" name="Picture 77092"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305" cy="1953521"/>
                          </a:xfrm>
                          <a:prstGeom prst="rect">
                            <a:avLst/>
                          </a:prstGeom>
                          <a:noFill/>
                          <a:ln>
                            <a:noFill/>
                          </a:ln>
                        </pic:spPr>
                      </pic:pic>
                    </a:graphicData>
                  </a:graphic>
                </wp:inline>
              </w:drawing>
            </w:r>
          </w:p>
        </w:tc>
        <w:tc>
          <w:tcPr>
            <w:tcW w:w="4322" w:type="dxa"/>
            <w:vAlign w:val="center"/>
          </w:tcPr>
          <w:p w:rsidR="00BE7889" w:rsidRPr="008B162A" w:rsidRDefault="00BE7889" w:rsidP="00C81C20">
            <w:pPr>
              <w:jc w:val="left"/>
              <w:rPr>
                <w:rFonts w:ascii="Century Gothic" w:hAnsi="Century Gothic"/>
              </w:rPr>
            </w:pPr>
            <w:r w:rsidRPr="008B162A">
              <w:rPr>
                <w:rFonts w:ascii="Century Gothic" w:hAnsi="Century Gothic"/>
                <w:b/>
              </w:rPr>
              <w:t>Paso 1.</w:t>
            </w:r>
            <w:r w:rsidRPr="008B162A">
              <w:rPr>
                <w:rFonts w:ascii="Century Gothic" w:hAnsi="Century Gothic"/>
              </w:rPr>
              <w:t xml:space="preserve"> </w:t>
            </w:r>
            <w:proofErr w:type="gramStart"/>
            <w:r w:rsidRPr="008B162A">
              <w:rPr>
                <w:rFonts w:ascii="Century Gothic" w:hAnsi="Century Gothic"/>
                <w:i/>
              </w:rPr>
              <w:t>k</w:t>
            </w:r>
            <w:proofErr w:type="gramEnd"/>
            <w:r w:rsidRPr="008B162A">
              <w:rPr>
                <w:rFonts w:ascii="Century Gothic" w:hAnsi="Century Gothic"/>
              </w:rPr>
              <w:t xml:space="preserve"> cajas terminales iniciales (en este caso </w:t>
            </w:r>
            <w:r w:rsidRPr="008B162A">
              <w:rPr>
                <w:rFonts w:ascii="Century Gothic" w:hAnsi="Century Gothic"/>
                <w:i/>
              </w:rPr>
              <w:t>k</w:t>
            </w:r>
            <w:r w:rsidRPr="008B162A">
              <w:rPr>
                <w:rFonts w:ascii="Century Gothic" w:hAnsi="Century Gothic"/>
              </w:rPr>
              <w:t xml:space="preserve">=3) son </w:t>
            </w:r>
            <w:r w:rsidR="00C81C20" w:rsidRPr="008B162A">
              <w:rPr>
                <w:rFonts w:ascii="Century Gothic" w:hAnsi="Century Gothic"/>
              </w:rPr>
              <w:t xml:space="preserve">generadas </w:t>
            </w:r>
            <w:r w:rsidRPr="008B162A">
              <w:rPr>
                <w:rFonts w:ascii="Century Gothic" w:hAnsi="Century Gothic"/>
              </w:rPr>
              <w:t>de forma aleatoria en el entorno de los edificios</w:t>
            </w:r>
            <w:r w:rsidR="00C81C20" w:rsidRPr="008B162A">
              <w:rPr>
                <w:rFonts w:ascii="Century Gothic" w:hAnsi="Century Gothic"/>
              </w:rPr>
              <w:t>.</w:t>
            </w:r>
          </w:p>
        </w:tc>
      </w:tr>
      <w:tr w:rsidR="008B162A" w:rsidRPr="008B162A" w:rsidTr="00BE7889">
        <w:trPr>
          <w:jc w:val="center"/>
        </w:trPr>
        <w:tc>
          <w:tcPr>
            <w:tcW w:w="2660" w:type="dxa"/>
          </w:tcPr>
          <w:p w:rsidR="00BE7889" w:rsidRPr="008B162A" w:rsidRDefault="00BE7889" w:rsidP="00BE7889">
            <w:pPr>
              <w:spacing w:before="120" w:after="120" w:line="240" w:lineRule="auto"/>
              <w:jc w:val="center"/>
              <w:rPr>
                <w:rFonts w:ascii="Century Gothic" w:hAnsi="Century Gothic"/>
              </w:rPr>
            </w:pPr>
            <w:r w:rsidRPr="008B162A">
              <w:rPr>
                <w:rFonts w:ascii="Century Gothic" w:hAnsi="Century Gothic"/>
              </w:rPr>
              <w:t xml:space="preserve"> </w:t>
            </w:r>
            <w:r w:rsidRPr="008B162A">
              <w:rPr>
                <w:rFonts w:ascii="Century Gothic" w:hAnsi="Century Gothic"/>
                <w:noProof/>
                <w:lang w:eastAsia="es-MX"/>
              </w:rPr>
              <w:drawing>
                <wp:inline distT="0" distB="0" distL="0" distR="0" wp14:anchorId="2BF33DD3" wp14:editId="2D978F83">
                  <wp:extent cx="2398233" cy="2218267"/>
                  <wp:effectExtent l="0" t="0" r="0" b="0"/>
                  <wp:docPr id="77093" name="Picture 77093"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26306" cy="2244233"/>
                          </a:xfrm>
                          <a:prstGeom prst="rect">
                            <a:avLst/>
                          </a:prstGeom>
                          <a:noFill/>
                          <a:ln>
                            <a:noFill/>
                          </a:ln>
                        </pic:spPr>
                      </pic:pic>
                    </a:graphicData>
                  </a:graphic>
                </wp:inline>
              </w:drawing>
            </w:r>
          </w:p>
        </w:tc>
        <w:tc>
          <w:tcPr>
            <w:tcW w:w="4322" w:type="dxa"/>
            <w:vAlign w:val="center"/>
          </w:tcPr>
          <w:p w:rsidR="00BE7889" w:rsidRPr="008B162A" w:rsidRDefault="00BE7889" w:rsidP="00BE7889">
            <w:pPr>
              <w:jc w:val="left"/>
              <w:rPr>
                <w:rFonts w:ascii="Century Gothic" w:hAnsi="Century Gothic"/>
              </w:rPr>
            </w:pPr>
            <w:r w:rsidRPr="008B162A">
              <w:rPr>
                <w:rFonts w:ascii="Century Gothic" w:hAnsi="Century Gothic"/>
                <w:b/>
              </w:rPr>
              <w:t>Paso 2.</w:t>
            </w:r>
            <w:r w:rsidRPr="008B162A">
              <w:rPr>
                <w:rFonts w:ascii="Century Gothic" w:hAnsi="Century Gothic"/>
              </w:rPr>
              <w:t xml:space="preserve"> Se crean </w:t>
            </w:r>
            <w:r w:rsidRPr="008B162A">
              <w:rPr>
                <w:rFonts w:ascii="Century Gothic" w:hAnsi="Century Gothic"/>
                <w:i/>
              </w:rPr>
              <w:t>k</w:t>
            </w:r>
            <w:r w:rsidRPr="008B162A">
              <w:rPr>
                <w:rFonts w:ascii="Century Gothic" w:hAnsi="Century Gothic"/>
              </w:rPr>
              <w:t xml:space="preserve"> agrupaciones al asociar cada edificio con su caja terminal más cercana.</w:t>
            </w:r>
          </w:p>
        </w:tc>
      </w:tr>
      <w:tr w:rsidR="008B162A" w:rsidRPr="008B162A" w:rsidTr="00BE7889">
        <w:trPr>
          <w:jc w:val="center"/>
        </w:trPr>
        <w:tc>
          <w:tcPr>
            <w:tcW w:w="2660" w:type="dxa"/>
            <w:vAlign w:val="center"/>
          </w:tcPr>
          <w:p w:rsidR="00BE7889" w:rsidRPr="008B162A" w:rsidRDefault="00BE7889" w:rsidP="00BE7889">
            <w:pPr>
              <w:spacing w:before="120" w:after="120" w:line="240" w:lineRule="auto"/>
              <w:jc w:val="center"/>
              <w:rPr>
                <w:rFonts w:ascii="Century Gothic" w:hAnsi="Century Gothic"/>
              </w:rPr>
            </w:pPr>
            <w:r w:rsidRPr="008B162A">
              <w:rPr>
                <w:rFonts w:ascii="Century Gothic" w:hAnsi="Century Gothic"/>
              </w:rPr>
              <w:t xml:space="preserve"> </w:t>
            </w:r>
            <w:r w:rsidRPr="008B162A">
              <w:rPr>
                <w:rFonts w:ascii="Century Gothic" w:hAnsi="Century Gothic"/>
                <w:noProof/>
                <w:lang w:eastAsia="es-MX"/>
              </w:rPr>
              <w:drawing>
                <wp:inline distT="0" distB="0" distL="0" distR="0" wp14:anchorId="2A694F7C" wp14:editId="251B190C">
                  <wp:extent cx="2015067" cy="2048107"/>
                  <wp:effectExtent l="0" t="0" r="0" b="0"/>
                  <wp:docPr id="77094" name="Picture 77094"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43506" cy="2077012"/>
                          </a:xfrm>
                          <a:prstGeom prst="rect">
                            <a:avLst/>
                          </a:prstGeom>
                          <a:noFill/>
                          <a:ln>
                            <a:noFill/>
                          </a:ln>
                        </pic:spPr>
                      </pic:pic>
                    </a:graphicData>
                  </a:graphic>
                </wp:inline>
              </w:drawing>
            </w:r>
          </w:p>
        </w:tc>
        <w:tc>
          <w:tcPr>
            <w:tcW w:w="4322" w:type="dxa"/>
            <w:vAlign w:val="center"/>
          </w:tcPr>
          <w:p w:rsidR="00BE7889" w:rsidRPr="008B162A" w:rsidRDefault="00BE7889" w:rsidP="00C81C20">
            <w:pPr>
              <w:jc w:val="left"/>
              <w:rPr>
                <w:rFonts w:ascii="Century Gothic" w:hAnsi="Century Gothic"/>
              </w:rPr>
            </w:pPr>
            <w:proofErr w:type="gramStart"/>
            <w:r w:rsidRPr="008B162A">
              <w:rPr>
                <w:rFonts w:ascii="Century Gothic" w:hAnsi="Century Gothic"/>
                <w:b/>
              </w:rPr>
              <w:t>Paso</w:t>
            </w:r>
            <w:proofErr w:type="gramEnd"/>
            <w:r w:rsidRPr="008B162A">
              <w:rPr>
                <w:rFonts w:ascii="Century Gothic" w:hAnsi="Century Gothic"/>
                <w:b/>
              </w:rPr>
              <w:t xml:space="preserve"> 3</w:t>
            </w:r>
            <w:r w:rsidRPr="008B162A">
              <w:rPr>
                <w:rFonts w:ascii="Century Gothic" w:hAnsi="Century Gothic"/>
              </w:rPr>
              <w:t xml:space="preserve">. Las cajas terminales se sitúan en el baricentro conformado por </w:t>
            </w:r>
            <w:r w:rsidR="00C81C20" w:rsidRPr="008B162A">
              <w:rPr>
                <w:rFonts w:ascii="Century Gothic" w:hAnsi="Century Gothic"/>
              </w:rPr>
              <w:t xml:space="preserve">el conjunto de </w:t>
            </w:r>
            <w:r w:rsidRPr="008B162A">
              <w:rPr>
                <w:rFonts w:ascii="Century Gothic" w:hAnsi="Century Gothic"/>
              </w:rPr>
              <w:t xml:space="preserve">edificios que </w:t>
            </w:r>
            <w:r w:rsidR="00C81C20" w:rsidRPr="008B162A">
              <w:rPr>
                <w:rFonts w:ascii="Century Gothic" w:hAnsi="Century Gothic"/>
              </w:rPr>
              <w:t xml:space="preserve">éstas </w:t>
            </w:r>
            <w:r w:rsidRPr="008B162A">
              <w:rPr>
                <w:rFonts w:ascii="Century Gothic" w:hAnsi="Century Gothic"/>
              </w:rPr>
              <w:t>agrupan.</w:t>
            </w:r>
          </w:p>
        </w:tc>
      </w:tr>
      <w:tr w:rsidR="008B162A" w:rsidRPr="008B162A" w:rsidTr="00BE7889">
        <w:trPr>
          <w:jc w:val="center"/>
        </w:trPr>
        <w:tc>
          <w:tcPr>
            <w:tcW w:w="2660" w:type="dxa"/>
            <w:vAlign w:val="center"/>
          </w:tcPr>
          <w:p w:rsidR="00BE7889" w:rsidRPr="008B162A" w:rsidRDefault="00BE7889" w:rsidP="00BE7889">
            <w:pPr>
              <w:spacing w:before="120" w:after="0" w:line="240" w:lineRule="auto"/>
              <w:jc w:val="center"/>
              <w:rPr>
                <w:rFonts w:ascii="Century Gothic" w:hAnsi="Century Gothic"/>
              </w:rPr>
            </w:pPr>
            <w:r w:rsidRPr="008B162A">
              <w:rPr>
                <w:rFonts w:ascii="Century Gothic" w:hAnsi="Century Gothic"/>
                <w:noProof/>
                <w:lang w:eastAsia="es-MX"/>
              </w:rPr>
              <w:lastRenderedPageBreak/>
              <w:drawing>
                <wp:inline distT="0" distB="0" distL="0" distR="0" wp14:anchorId="1B9CA266" wp14:editId="630EF001">
                  <wp:extent cx="2421162" cy="1964266"/>
                  <wp:effectExtent l="0" t="0" r="0" b="0"/>
                  <wp:docPr id="77095" name="Picture 77095"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33585" cy="1974344"/>
                          </a:xfrm>
                          <a:prstGeom prst="rect">
                            <a:avLst/>
                          </a:prstGeom>
                          <a:noFill/>
                          <a:ln>
                            <a:noFill/>
                          </a:ln>
                        </pic:spPr>
                      </pic:pic>
                    </a:graphicData>
                  </a:graphic>
                </wp:inline>
              </w:drawing>
            </w:r>
            <w:r w:rsidRPr="008B162A">
              <w:rPr>
                <w:rFonts w:ascii="Century Gothic" w:hAnsi="Century Gothic"/>
              </w:rPr>
              <w:t xml:space="preserve"> </w:t>
            </w:r>
          </w:p>
        </w:tc>
        <w:tc>
          <w:tcPr>
            <w:tcW w:w="4322" w:type="dxa"/>
            <w:vAlign w:val="center"/>
          </w:tcPr>
          <w:p w:rsidR="00BE7889" w:rsidRPr="008B162A" w:rsidRDefault="00BE7889" w:rsidP="00BE7889">
            <w:pPr>
              <w:keepNext/>
              <w:jc w:val="left"/>
              <w:rPr>
                <w:rFonts w:ascii="Century Gothic" w:hAnsi="Century Gothic"/>
              </w:rPr>
            </w:pPr>
            <w:proofErr w:type="gramStart"/>
            <w:r w:rsidRPr="008B162A">
              <w:rPr>
                <w:rFonts w:ascii="Century Gothic" w:hAnsi="Century Gothic"/>
                <w:b/>
              </w:rPr>
              <w:t>Paso</w:t>
            </w:r>
            <w:proofErr w:type="gramEnd"/>
            <w:r w:rsidRPr="008B162A">
              <w:rPr>
                <w:rFonts w:ascii="Century Gothic" w:hAnsi="Century Gothic"/>
                <w:b/>
              </w:rPr>
              <w:t xml:space="preserve"> 4</w:t>
            </w:r>
            <w:r w:rsidRPr="008B162A">
              <w:rPr>
                <w:rFonts w:ascii="Century Gothic" w:hAnsi="Century Gothic"/>
              </w:rPr>
              <w:t>. Los pasos 2 y 3 se repiten hasta alcanzar la convergencia.</w:t>
            </w:r>
          </w:p>
        </w:tc>
      </w:tr>
    </w:tbl>
    <w:p w:rsidR="00BE7889" w:rsidRPr="008B162A" w:rsidRDefault="00BE7889" w:rsidP="00BE7889">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13</w:t>
      </w:r>
      <w:r w:rsidR="006F7424" w:rsidRPr="008B162A">
        <w:rPr>
          <w:rFonts w:ascii="Century Gothic" w:hAnsi="Century Gothic"/>
        </w:rPr>
        <w:fldChar w:fldCharType="end"/>
      </w:r>
      <w:r w:rsidRPr="008B162A">
        <w:rPr>
          <w:rFonts w:ascii="Century Gothic" w:hAnsi="Century Gothic"/>
        </w:rPr>
        <w:t>: Representación gráfica del proceso seguido por el algoritmo k-</w:t>
      </w:r>
      <w:proofErr w:type="spellStart"/>
      <w:r w:rsidRPr="008B162A">
        <w:rPr>
          <w:rFonts w:ascii="Century Gothic" w:hAnsi="Century Gothic"/>
        </w:rPr>
        <w:t>means</w:t>
      </w:r>
      <w:proofErr w:type="spellEnd"/>
      <w:r w:rsidRPr="008B162A">
        <w:rPr>
          <w:rFonts w:ascii="Century Gothic" w:hAnsi="Century Gothic"/>
        </w:rPr>
        <w:t xml:space="preserve"> [Fuente: </w:t>
      </w:r>
      <w:r w:rsidR="006B7D75" w:rsidRPr="008B162A">
        <w:rPr>
          <w:rFonts w:ascii="Century Gothic" w:hAnsi="Century Gothic"/>
        </w:rPr>
        <w:t>IFT, 2016</w:t>
      </w:r>
      <w:r w:rsidRPr="008B162A">
        <w:rPr>
          <w:rFonts w:ascii="Century Gothic" w:hAnsi="Century Gothic"/>
        </w:rPr>
        <w:t>]</w:t>
      </w:r>
    </w:p>
    <w:p w:rsidR="00BE7889" w:rsidRPr="008B162A" w:rsidRDefault="00BE7889" w:rsidP="00BE7889">
      <w:pPr>
        <w:rPr>
          <w:rFonts w:ascii="Century Gothic" w:hAnsi="Century Gothic"/>
        </w:rPr>
      </w:pPr>
      <w:r w:rsidRPr="008B162A">
        <w:rPr>
          <w:rFonts w:ascii="Century Gothic" w:hAnsi="Century Gothic"/>
        </w:rPr>
        <w:t xml:space="preserve">Como resultado de este análisis, se obtiene la ubicación específica en la que se deberían situar la totalidad de las cajas terminales </w:t>
      </w:r>
      <w:r w:rsidR="00C81C20" w:rsidRPr="008B162A">
        <w:rPr>
          <w:rFonts w:ascii="Century Gothic" w:hAnsi="Century Gothic"/>
        </w:rPr>
        <w:t xml:space="preserve">en </w:t>
      </w:r>
      <w:r w:rsidRPr="008B162A">
        <w:rPr>
          <w:rFonts w:ascii="Century Gothic" w:hAnsi="Century Gothic"/>
        </w:rPr>
        <w:t>cada área analizada</w:t>
      </w:r>
      <w:r w:rsidR="00C81C20" w:rsidRPr="008B162A">
        <w:rPr>
          <w:rFonts w:ascii="Century Gothic" w:hAnsi="Century Gothic"/>
        </w:rPr>
        <w:t>. Al mismo tiempo, se obtiene la agrupación entre los edificios y su caja terminal más próxima</w:t>
      </w:r>
      <w:r w:rsidRPr="008B162A">
        <w:rPr>
          <w:rFonts w:ascii="Century Gothic" w:hAnsi="Century Gothic"/>
        </w:rPr>
        <w:t>.</w:t>
      </w:r>
    </w:p>
    <w:p w:rsidR="00BE7889" w:rsidRPr="008B162A" w:rsidRDefault="00BE7889" w:rsidP="00BE7889">
      <w:pPr>
        <w:rPr>
          <w:rFonts w:ascii="Century Gothic" w:hAnsi="Century Gothic"/>
        </w:rPr>
      </w:pPr>
      <w:r w:rsidRPr="008B162A">
        <w:rPr>
          <w:rFonts w:ascii="Century Gothic" w:hAnsi="Century Gothic"/>
        </w:rPr>
        <w:t>Este paso se realiza de la misma forma para determinar la posición óptima de los puntos de distribución, que agruparán un determinado número de cajas terminales</w:t>
      </w:r>
      <w:r w:rsidR="00C81C20" w:rsidRPr="008B162A">
        <w:rPr>
          <w:rFonts w:ascii="Century Gothic" w:hAnsi="Century Gothic"/>
        </w:rPr>
        <w:t>, y la asociación entre ambos</w:t>
      </w:r>
      <w:r w:rsidRPr="008B162A">
        <w:rPr>
          <w:rFonts w:ascii="Century Gothic" w:hAnsi="Century Gothic"/>
        </w:rPr>
        <w:t xml:space="preserve">. </w:t>
      </w:r>
    </w:p>
    <w:p w:rsidR="00BE7889" w:rsidRPr="008B162A" w:rsidRDefault="00BE7889" w:rsidP="002A20F8">
      <w:pPr>
        <w:pStyle w:val="Ttulo4"/>
        <w:rPr>
          <w:rFonts w:ascii="Century Gothic" w:hAnsi="Century Gothic"/>
          <w:color w:val="auto"/>
        </w:rPr>
      </w:pPr>
      <w:bookmarkStart w:id="87" w:name="_Ref424312101"/>
      <w:r w:rsidRPr="008B162A">
        <w:rPr>
          <w:rFonts w:ascii="Century Gothic" w:hAnsi="Century Gothic"/>
          <w:color w:val="auto"/>
        </w:rPr>
        <w:t>Implementación de un algoritmo de árbol de distancia mínima para el cálculo de las distancias entre elementos de red</w:t>
      </w:r>
      <w:bookmarkEnd w:id="87"/>
    </w:p>
    <w:p w:rsidR="00BE7889" w:rsidRPr="008B162A" w:rsidRDefault="00BE7889" w:rsidP="00BE7889">
      <w:pPr>
        <w:rPr>
          <w:rFonts w:ascii="Century Gothic" w:hAnsi="Century Gothic"/>
        </w:rPr>
      </w:pPr>
      <w:r w:rsidRPr="008B162A">
        <w:rPr>
          <w:rFonts w:ascii="Century Gothic" w:hAnsi="Century Gothic"/>
        </w:rPr>
        <w:t>Conociendo toda la información necesaria sobre la posición de los elementos de red de la red de acceso, el siguiente paso consiste en la caracterización de los enlaces que deberán existir entre ellos.</w:t>
      </w:r>
    </w:p>
    <w:p w:rsidR="00BE7889" w:rsidRPr="008B162A" w:rsidRDefault="00BE7889" w:rsidP="00BE7889">
      <w:pPr>
        <w:rPr>
          <w:rFonts w:ascii="Century Gothic" w:hAnsi="Century Gothic"/>
        </w:rPr>
      </w:pPr>
      <w:r w:rsidRPr="008B162A">
        <w:rPr>
          <w:rFonts w:ascii="Century Gothic" w:hAnsi="Century Gothic"/>
        </w:rPr>
        <w:t>Las conexiones entre los diferentes elementos de red (es decir, entre edificios, cajas terminales y puntos de distribución) ha sido diseñada utilizando como referencia una topología de árbol de distancia mínima, cuyo funcionamiento se describe a continuación:</w:t>
      </w:r>
    </w:p>
    <w:p w:rsidR="00BE7889" w:rsidRPr="008B162A" w:rsidRDefault="00BE7889" w:rsidP="000F1DD5">
      <w:pPr>
        <w:pStyle w:val="Prrafodelista"/>
        <w:numPr>
          <w:ilvl w:val="0"/>
          <w:numId w:val="14"/>
        </w:numPr>
        <w:ind w:left="426" w:hanging="426"/>
        <w:rPr>
          <w:rFonts w:ascii="Century Gothic" w:hAnsi="Century Gothic"/>
        </w:rPr>
      </w:pPr>
      <w:r w:rsidRPr="008B162A">
        <w:rPr>
          <w:rFonts w:ascii="Century Gothic" w:hAnsi="Century Gothic"/>
        </w:rPr>
        <w:lastRenderedPageBreak/>
        <w:t>El edificio de inicio “a</w:t>
      </w:r>
      <w:r w:rsidRPr="008B162A">
        <w:rPr>
          <w:rFonts w:ascii="Century Gothic" w:hAnsi="Century Gothic"/>
          <w:vertAlign w:val="subscript"/>
        </w:rPr>
        <w:t>1</w:t>
      </w:r>
      <w:r w:rsidRPr="008B162A">
        <w:rPr>
          <w:rFonts w:ascii="Century Gothic" w:hAnsi="Century Gothic"/>
        </w:rPr>
        <w:t>” es el término que minimiza la siguiente fórmula</w:t>
      </w:r>
    </w:p>
    <w:p w:rsidR="00BE7889" w:rsidRPr="008B162A" w:rsidRDefault="002808E1" w:rsidP="00C81C20">
      <w:pPr>
        <w:ind w:left="426" w:hanging="426"/>
        <w:rPr>
          <w:rFonts w:ascii="Century Gothic" w:hAnsi="Century Gothic"/>
        </w:rPr>
      </w:pPr>
      <m:oMathPara>
        <m:oMath>
          <m:nary>
            <m:naryPr>
              <m:chr m:val="∑"/>
              <m:limLoc m:val="undOvr"/>
              <m:supHide m:val="1"/>
              <m:ctrlPr>
                <w:rPr>
                  <w:rFonts w:ascii="Cambria Math" w:hAnsi="Cambria Math"/>
                  <w:i/>
                </w:rPr>
              </m:ctrlPr>
            </m:naryPr>
            <m:sub>
              <m:r>
                <w:rPr>
                  <w:rFonts w:ascii="Cambria Math" w:hAnsi="Cambria Math"/>
                </w:rPr>
                <m:t>∀b</m:t>
              </m:r>
            </m:sub>
            <m:sup/>
            <m:e>
              <m:r>
                <w:rPr>
                  <w:rFonts w:ascii="Cambria Math" w:hAnsi="Cambria Math"/>
                </w:rPr>
                <m:t>d(</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 b)</m:t>
              </m:r>
            </m:e>
          </m:nary>
        </m:oMath>
      </m:oMathPara>
    </w:p>
    <w:p w:rsidR="00BE7889" w:rsidRPr="008B162A" w:rsidRDefault="00BE7889" w:rsidP="002A20F8">
      <w:pPr>
        <w:pStyle w:val="Prrafodelista"/>
        <w:ind w:left="426"/>
        <w:contextualSpacing w:val="0"/>
        <w:rPr>
          <w:rFonts w:ascii="Century Gothic" w:hAnsi="Century Gothic"/>
        </w:rPr>
      </w:pPr>
      <w:r w:rsidRPr="008B162A">
        <w:rPr>
          <w:rFonts w:ascii="Century Gothic" w:hAnsi="Century Gothic"/>
        </w:rPr>
        <w:t>Donde d(</w:t>
      </w:r>
      <w:proofErr w:type="spellStart"/>
      <w:r w:rsidRPr="008B162A">
        <w:rPr>
          <w:rFonts w:ascii="Century Gothic" w:hAnsi="Century Gothic"/>
        </w:rPr>
        <w:t>x</w:t>
      </w:r>
      <w:proofErr w:type="gramStart"/>
      <w:r w:rsidRPr="008B162A">
        <w:rPr>
          <w:rFonts w:ascii="Century Gothic" w:hAnsi="Century Gothic"/>
        </w:rPr>
        <w:t>,y</w:t>
      </w:r>
      <w:proofErr w:type="spellEnd"/>
      <w:proofErr w:type="gramEnd"/>
      <w:r w:rsidRPr="008B162A">
        <w:rPr>
          <w:rFonts w:ascii="Century Gothic" w:hAnsi="Century Gothic"/>
        </w:rPr>
        <w:t>) representa la distancia entre el edificio a y el edificio b.</w:t>
      </w:r>
    </w:p>
    <w:p w:rsidR="00BE7889" w:rsidRPr="008B162A" w:rsidRDefault="00BE7889" w:rsidP="000F1DD5">
      <w:pPr>
        <w:pStyle w:val="Prrafodelista"/>
        <w:numPr>
          <w:ilvl w:val="0"/>
          <w:numId w:val="14"/>
        </w:numPr>
        <w:ind w:left="426" w:hanging="426"/>
        <w:rPr>
          <w:rFonts w:ascii="Century Gothic" w:hAnsi="Century Gothic"/>
        </w:rPr>
      </w:pPr>
      <w:r w:rsidRPr="008B162A">
        <w:rPr>
          <w:rFonts w:ascii="Century Gothic" w:hAnsi="Century Gothic"/>
        </w:rPr>
        <w:t>Para obtener el siguiente edificio “</w:t>
      </w:r>
      <w:proofErr w:type="spellStart"/>
      <w:r w:rsidRPr="008B162A">
        <w:rPr>
          <w:rFonts w:ascii="Century Gothic" w:hAnsi="Century Gothic"/>
        </w:rPr>
        <w:t>a</w:t>
      </w:r>
      <w:r w:rsidRPr="008B162A">
        <w:rPr>
          <w:rFonts w:ascii="Century Gothic" w:hAnsi="Century Gothic"/>
          <w:vertAlign w:val="subscript"/>
        </w:rPr>
        <w:t>i</w:t>
      </w:r>
      <w:proofErr w:type="spellEnd"/>
      <w:r w:rsidRPr="008B162A">
        <w:rPr>
          <w:rFonts w:ascii="Century Gothic" w:hAnsi="Century Gothic"/>
        </w:rPr>
        <w:t xml:space="preserve">” (donde “i” representa el índice de ejecución), se </w:t>
      </w:r>
      <w:r w:rsidR="001D3257" w:rsidRPr="008B162A">
        <w:rPr>
          <w:rFonts w:ascii="Century Gothic" w:hAnsi="Century Gothic"/>
        </w:rPr>
        <w:t xml:space="preserve">analizan </w:t>
      </w:r>
      <w:r w:rsidRPr="008B162A">
        <w:rPr>
          <w:rFonts w:ascii="Century Gothic" w:hAnsi="Century Gothic"/>
        </w:rPr>
        <w:t>las distancias entre los edificios no conectados y los conectados.</w:t>
      </w:r>
    </w:p>
    <w:p w:rsidR="00BE7889" w:rsidRPr="008B162A" w:rsidRDefault="00BE7889" w:rsidP="000F1DD5">
      <w:pPr>
        <w:pStyle w:val="Prrafodelista"/>
        <w:numPr>
          <w:ilvl w:val="0"/>
          <w:numId w:val="14"/>
        </w:numPr>
        <w:ind w:left="426" w:hanging="426"/>
        <w:rPr>
          <w:rFonts w:ascii="Century Gothic" w:hAnsi="Century Gothic"/>
        </w:rPr>
      </w:pPr>
      <w:r w:rsidRPr="008B162A">
        <w:rPr>
          <w:rFonts w:ascii="Century Gothic" w:hAnsi="Century Gothic"/>
        </w:rPr>
        <w:t xml:space="preserve">Se selecciona la distancia mínima de aquellas obtenidas en el paso 2. </w:t>
      </w:r>
      <w:r w:rsidR="001D3257" w:rsidRPr="008B162A">
        <w:rPr>
          <w:rFonts w:ascii="Century Gothic" w:hAnsi="Century Gothic"/>
        </w:rPr>
        <w:t xml:space="preserve">De este modo, se asocia un </w:t>
      </w:r>
      <w:r w:rsidRPr="008B162A">
        <w:rPr>
          <w:rFonts w:ascii="Century Gothic" w:hAnsi="Century Gothic"/>
        </w:rPr>
        <w:t xml:space="preserve">edificio ya conectado </w:t>
      </w:r>
      <w:r w:rsidR="001D3257" w:rsidRPr="008B162A">
        <w:rPr>
          <w:rFonts w:ascii="Century Gothic" w:hAnsi="Century Gothic"/>
        </w:rPr>
        <w:t xml:space="preserve">con </w:t>
      </w:r>
      <w:r w:rsidRPr="008B162A">
        <w:rPr>
          <w:rFonts w:ascii="Century Gothic" w:hAnsi="Century Gothic"/>
        </w:rPr>
        <w:t xml:space="preserve">un nuevo edificio </w:t>
      </w:r>
      <w:proofErr w:type="spellStart"/>
      <w:r w:rsidRPr="008B162A">
        <w:rPr>
          <w:rFonts w:ascii="Century Gothic" w:hAnsi="Century Gothic"/>
        </w:rPr>
        <w:t>a</w:t>
      </w:r>
      <w:r w:rsidRPr="008B162A">
        <w:rPr>
          <w:rFonts w:ascii="Century Gothic" w:hAnsi="Century Gothic"/>
          <w:vertAlign w:val="subscript"/>
        </w:rPr>
        <w:t>i</w:t>
      </w:r>
      <w:proofErr w:type="spellEnd"/>
      <w:r w:rsidRPr="008B162A">
        <w:rPr>
          <w:rFonts w:ascii="Century Gothic" w:hAnsi="Century Gothic"/>
        </w:rPr>
        <w:t>.</w:t>
      </w:r>
    </w:p>
    <w:p w:rsidR="00BE7889" w:rsidRPr="008B162A" w:rsidRDefault="00BE7889" w:rsidP="000F1DD5">
      <w:pPr>
        <w:pStyle w:val="Prrafodelista"/>
        <w:numPr>
          <w:ilvl w:val="0"/>
          <w:numId w:val="14"/>
        </w:numPr>
        <w:ind w:left="426" w:hanging="426"/>
        <w:rPr>
          <w:rFonts w:ascii="Century Gothic" w:hAnsi="Century Gothic"/>
        </w:rPr>
      </w:pPr>
      <w:r w:rsidRPr="008B162A">
        <w:rPr>
          <w:rFonts w:ascii="Century Gothic" w:hAnsi="Century Gothic"/>
        </w:rPr>
        <w:t>Mientras existan edificios no conectados, se repite el proceso desde el paso 2.</w:t>
      </w:r>
    </w:p>
    <w:p w:rsidR="00BE7889" w:rsidRPr="008B162A" w:rsidRDefault="00BE7889" w:rsidP="00BE7889">
      <w:pPr>
        <w:rPr>
          <w:rFonts w:ascii="Century Gothic" w:hAnsi="Century Gothic"/>
        </w:rPr>
      </w:pPr>
      <w:r w:rsidRPr="008B162A">
        <w:rPr>
          <w:rFonts w:ascii="Century Gothic" w:hAnsi="Century Gothic"/>
        </w:rPr>
        <w:t xml:space="preserve">Las siguientes ilustraciones proporcionan una visión de los enlaces dimensionados entre los edificios y las cajas terminales, en </w:t>
      </w:r>
      <w:r w:rsidR="001D3257" w:rsidRPr="008B162A">
        <w:rPr>
          <w:rFonts w:ascii="Century Gothic" w:hAnsi="Century Gothic"/>
        </w:rPr>
        <w:t xml:space="preserve">centrales ópticas </w:t>
      </w:r>
      <w:r w:rsidRPr="008B162A">
        <w:rPr>
          <w:rFonts w:ascii="Century Gothic" w:hAnsi="Century Gothic"/>
        </w:rPr>
        <w:t>situad</w:t>
      </w:r>
      <w:r w:rsidR="001D3257" w:rsidRPr="008B162A">
        <w:rPr>
          <w:rFonts w:ascii="Century Gothic" w:hAnsi="Century Gothic"/>
        </w:rPr>
        <w:t>a</w:t>
      </w:r>
      <w:r w:rsidRPr="008B162A">
        <w:rPr>
          <w:rFonts w:ascii="Century Gothic" w:hAnsi="Century Gothic"/>
        </w:rPr>
        <w:t xml:space="preserve">s en un geotipo </w:t>
      </w:r>
      <w:r w:rsidR="008557D2" w:rsidRPr="008B162A">
        <w:rPr>
          <w:rFonts w:ascii="Century Gothic" w:hAnsi="Century Gothic"/>
        </w:rPr>
        <w:t>1</w:t>
      </w:r>
      <w:r w:rsidRPr="008B162A">
        <w:rPr>
          <w:rFonts w:ascii="Century Gothic" w:hAnsi="Century Gothic"/>
        </w:rPr>
        <w:t xml:space="preserve"> y en un geotipo </w:t>
      </w:r>
      <w:r w:rsidR="008557D2" w:rsidRPr="008B162A">
        <w:rPr>
          <w:rFonts w:ascii="Century Gothic" w:hAnsi="Century Gothic"/>
        </w:rPr>
        <w:t>4</w:t>
      </w:r>
      <w:r w:rsidRPr="008B162A">
        <w:rPr>
          <w:rFonts w:ascii="Century Gothic" w:hAnsi="Century Gothic"/>
        </w:rPr>
        <w:t>.</w:t>
      </w:r>
    </w:p>
    <w:p w:rsidR="00DB1F26" w:rsidRPr="008B162A" w:rsidRDefault="00DB1F26" w:rsidP="00DB1F26">
      <w:pPr>
        <w:spacing w:after="0"/>
        <w:jc w:val="center"/>
        <w:rPr>
          <w:rFonts w:ascii="Century Gothic" w:hAnsi="Century Gothic"/>
        </w:rPr>
      </w:pPr>
      <w:r w:rsidRPr="008B162A">
        <w:rPr>
          <w:rFonts w:ascii="Century Gothic" w:hAnsi="Century Gothic"/>
          <w:noProof/>
          <w:lang w:eastAsia="es-MX"/>
        </w:rPr>
        <w:drawing>
          <wp:inline distT="0" distB="0" distL="0" distR="0" wp14:anchorId="4F1A451B" wp14:editId="3DDA087B">
            <wp:extent cx="4270663" cy="2537001"/>
            <wp:effectExtent l="0" t="0" r="0" b="0"/>
            <wp:docPr id="77096" name="Picture 77096"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70959" cy="2537177"/>
                    </a:xfrm>
                    <a:prstGeom prst="rect">
                      <a:avLst/>
                    </a:prstGeom>
                    <a:noFill/>
                    <a:ln>
                      <a:noFill/>
                    </a:ln>
                  </pic:spPr>
                </pic:pic>
              </a:graphicData>
            </a:graphic>
          </wp:inline>
        </w:drawing>
      </w:r>
    </w:p>
    <w:p w:rsidR="00BE7889" w:rsidRPr="008B162A" w:rsidRDefault="00BE7889" w:rsidP="00BE7889">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14</w:t>
      </w:r>
      <w:r w:rsidR="006F7424" w:rsidRPr="008B162A">
        <w:rPr>
          <w:rFonts w:ascii="Century Gothic" w:hAnsi="Century Gothic"/>
        </w:rPr>
        <w:fldChar w:fldCharType="end"/>
      </w:r>
      <w:r w:rsidRPr="008B162A">
        <w:rPr>
          <w:rFonts w:ascii="Century Gothic" w:hAnsi="Century Gothic"/>
        </w:rPr>
        <w:t xml:space="preserve">: Enlaces entre edificios y su </w:t>
      </w:r>
      <w:r w:rsidR="00DB1F26" w:rsidRPr="008B162A">
        <w:rPr>
          <w:rFonts w:ascii="Century Gothic" w:hAnsi="Century Gothic"/>
        </w:rPr>
        <w:t xml:space="preserve">caja terminal </w:t>
      </w:r>
      <w:r w:rsidRPr="008B162A">
        <w:rPr>
          <w:rFonts w:ascii="Century Gothic" w:hAnsi="Century Gothic"/>
        </w:rPr>
        <w:t>más cercan</w:t>
      </w:r>
      <w:r w:rsidR="00DB1F26" w:rsidRPr="008B162A">
        <w:rPr>
          <w:rFonts w:ascii="Century Gothic" w:hAnsi="Century Gothic"/>
        </w:rPr>
        <w:t>a</w:t>
      </w:r>
      <w:r w:rsidRPr="008B162A">
        <w:rPr>
          <w:rFonts w:ascii="Century Gothic" w:hAnsi="Century Gothic"/>
        </w:rPr>
        <w:t xml:space="preserve"> en un geotipo </w:t>
      </w:r>
      <w:r w:rsidR="008557D2" w:rsidRPr="008B162A">
        <w:rPr>
          <w:rFonts w:ascii="Century Gothic" w:hAnsi="Century Gothic"/>
        </w:rPr>
        <w:t>1</w:t>
      </w:r>
      <w:r w:rsidRPr="008B162A">
        <w:rPr>
          <w:rFonts w:ascii="Century Gothic" w:hAnsi="Century Gothic"/>
        </w:rPr>
        <w:t xml:space="preserve"> [Fuente: </w:t>
      </w:r>
      <w:r w:rsidR="006B7D75" w:rsidRPr="008B162A">
        <w:rPr>
          <w:rFonts w:ascii="Century Gothic" w:hAnsi="Century Gothic"/>
        </w:rPr>
        <w:t>IFT, 2016</w:t>
      </w:r>
      <w:r w:rsidRPr="008B162A">
        <w:rPr>
          <w:rFonts w:ascii="Century Gothic" w:hAnsi="Century Gothic"/>
        </w:rPr>
        <w:t>]</w:t>
      </w:r>
    </w:p>
    <w:p w:rsidR="00353974" w:rsidRPr="008B162A" w:rsidRDefault="00353974" w:rsidP="0025694C">
      <w:pPr>
        <w:keepNext/>
        <w:spacing w:after="0"/>
        <w:jc w:val="center"/>
        <w:rPr>
          <w:rFonts w:ascii="Century Gothic" w:hAnsi="Century Gothic"/>
        </w:rPr>
      </w:pPr>
      <w:r w:rsidRPr="008B162A">
        <w:rPr>
          <w:rFonts w:ascii="Century Gothic" w:hAnsi="Century Gothic"/>
          <w:noProof/>
          <w:lang w:eastAsia="es-MX"/>
        </w:rPr>
        <w:lastRenderedPageBreak/>
        <w:drawing>
          <wp:inline distT="0" distB="0" distL="0" distR="0" wp14:anchorId="70843132" wp14:editId="1A603531">
            <wp:extent cx="4946083" cy="2943225"/>
            <wp:effectExtent l="0" t="0" r="6985" b="0"/>
            <wp:docPr id="77097" name="Picture 77097"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51572" cy="2946491"/>
                    </a:xfrm>
                    <a:prstGeom prst="rect">
                      <a:avLst/>
                    </a:prstGeom>
                    <a:noFill/>
                    <a:ln>
                      <a:noFill/>
                    </a:ln>
                  </pic:spPr>
                </pic:pic>
              </a:graphicData>
            </a:graphic>
          </wp:inline>
        </w:drawing>
      </w:r>
    </w:p>
    <w:p w:rsidR="00BE7889" w:rsidRPr="008B162A" w:rsidRDefault="00BE7889" w:rsidP="00BE7889">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15</w:t>
      </w:r>
      <w:r w:rsidR="006F7424" w:rsidRPr="008B162A">
        <w:rPr>
          <w:rFonts w:ascii="Century Gothic" w:hAnsi="Century Gothic"/>
        </w:rPr>
        <w:fldChar w:fldCharType="end"/>
      </w:r>
      <w:r w:rsidRPr="008B162A">
        <w:rPr>
          <w:rFonts w:ascii="Century Gothic" w:hAnsi="Century Gothic"/>
        </w:rPr>
        <w:t xml:space="preserve">: Enlaces entre edificios y su punto de distribución más cercano en un geotipo </w:t>
      </w:r>
      <w:r w:rsidR="008557D2" w:rsidRPr="008B162A">
        <w:rPr>
          <w:rFonts w:ascii="Century Gothic" w:hAnsi="Century Gothic"/>
        </w:rPr>
        <w:t>4</w:t>
      </w:r>
      <w:r w:rsidRPr="008B162A">
        <w:rPr>
          <w:rFonts w:ascii="Century Gothic" w:hAnsi="Century Gothic"/>
        </w:rPr>
        <w:t xml:space="preserve"> [Fuente: </w:t>
      </w:r>
      <w:r w:rsidR="006B7D75" w:rsidRPr="008B162A">
        <w:rPr>
          <w:rFonts w:ascii="Century Gothic" w:hAnsi="Century Gothic"/>
        </w:rPr>
        <w:t>IFT, 2016</w:t>
      </w:r>
      <w:r w:rsidRPr="008B162A">
        <w:rPr>
          <w:rFonts w:ascii="Century Gothic" w:hAnsi="Century Gothic"/>
        </w:rPr>
        <w:t>]</w:t>
      </w:r>
    </w:p>
    <w:p w:rsidR="00BE7889" w:rsidRPr="008B162A" w:rsidRDefault="00BE7889" w:rsidP="00BE7889">
      <w:pPr>
        <w:rPr>
          <w:rFonts w:ascii="Century Gothic" w:hAnsi="Century Gothic"/>
        </w:rPr>
      </w:pPr>
      <w:r w:rsidRPr="008B162A">
        <w:rPr>
          <w:rFonts w:ascii="Century Gothic" w:hAnsi="Century Gothic"/>
        </w:rPr>
        <w:t>El proceso se realiza de la misma manera para los diferentes niveles de agregación de la red de acceso, es decir de forma independiente para conocer la ubicación y los enlaces de la acometida y la red secundaria.</w:t>
      </w:r>
    </w:p>
    <w:p w:rsidR="00BE7889" w:rsidRPr="008B162A" w:rsidRDefault="00AD585F" w:rsidP="00D07716">
      <w:pPr>
        <w:rPr>
          <w:rFonts w:ascii="Century Gothic" w:hAnsi="Century Gothic"/>
        </w:rPr>
      </w:pPr>
      <w:r w:rsidRPr="008B162A">
        <w:rPr>
          <w:rFonts w:ascii="Century Gothic" w:hAnsi="Century Gothic"/>
        </w:rPr>
        <w:t>Por ejemplo, e</w:t>
      </w:r>
      <w:r w:rsidR="00BE7889" w:rsidRPr="008B162A">
        <w:rPr>
          <w:rFonts w:ascii="Century Gothic" w:hAnsi="Century Gothic"/>
        </w:rPr>
        <w:t xml:space="preserve">n el caso de la red primaria, se utilizan las centrales ya calculadas previamente. Para conocer a </w:t>
      </w:r>
      <w:r w:rsidR="00D07716" w:rsidRPr="008B162A">
        <w:rPr>
          <w:rFonts w:ascii="Century Gothic" w:hAnsi="Century Gothic"/>
        </w:rPr>
        <w:t>qué</w:t>
      </w:r>
      <w:r w:rsidR="00BE7889" w:rsidRPr="008B162A">
        <w:rPr>
          <w:rFonts w:ascii="Century Gothic" w:hAnsi="Century Gothic"/>
        </w:rPr>
        <w:t xml:space="preserve"> central se conecta cada PD, se identifica cual es la central más cercana a dicho </w:t>
      </w:r>
      <w:r w:rsidR="00E51178" w:rsidRPr="008B162A">
        <w:rPr>
          <w:rFonts w:ascii="Century Gothic" w:hAnsi="Century Gothic"/>
        </w:rPr>
        <w:t>PD</w:t>
      </w:r>
      <w:r w:rsidR="00BE7889" w:rsidRPr="008B162A">
        <w:rPr>
          <w:rFonts w:ascii="Century Gothic" w:hAnsi="Century Gothic"/>
        </w:rPr>
        <w:t xml:space="preserve">. Este proceso se realizó para cada uno de los </w:t>
      </w:r>
      <w:proofErr w:type="spellStart"/>
      <w:r w:rsidR="00E51178" w:rsidRPr="008B162A">
        <w:rPr>
          <w:rFonts w:ascii="Century Gothic" w:hAnsi="Century Gothic"/>
        </w:rPr>
        <w:t>PD</w:t>
      </w:r>
      <w:r w:rsidR="00BE7889" w:rsidRPr="008B162A">
        <w:rPr>
          <w:rFonts w:ascii="Century Gothic" w:hAnsi="Century Gothic"/>
        </w:rPr>
        <w:t>s</w:t>
      </w:r>
      <w:proofErr w:type="spellEnd"/>
      <w:r w:rsidR="00BE7889" w:rsidRPr="008B162A">
        <w:rPr>
          <w:rFonts w:ascii="Century Gothic" w:hAnsi="Century Gothic"/>
        </w:rPr>
        <w:t>, ya que las centrales no pueden modificarse a su ubicación más óptima; sin embargo</w:t>
      </w:r>
      <w:r w:rsidR="002A20F8" w:rsidRPr="008B162A">
        <w:rPr>
          <w:rFonts w:ascii="Century Gothic" w:hAnsi="Century Gothic"/>
        </w:rPr>
        <w:t>,</w:t>
      </w:r>
      <w:r w:rsidR="00BE7889" w:rsidRPr="008B162A">
        <w:rPr>
          <w:rFonts w:ascii="Century Gothic" w:hAnsi="Century Gothic"/>
        </w:rPr>
        <w:t xml:space="preserve"> al conectar el </w:t>
      </w:r>
      <w:r w:rsidR="00E51178" w:rsidRPr="008B162A">
        <w:rPr>
          <w:rFonts w:ascii="Century Gothic" w:hAnsi="Century Gothic"/>
        </w:rPr>
        <w:t>PD</w:t>
      </w:r>
      <w:r w:rsidR="00BE7889" w:rsidRPr="008B162A">
        <w:rPr>
          <w:rFonts w:ascii="Century Gothic" w:hAnsi="Century Gothic"/>
        </w:rPr>
        <w:t xml:space="preserve"> a la central más cercana, se busca optimizar la distancia, es decir obtener la menor distancia en la red primaria.</w:t>
      </w:r>
    </w:p>
    <w:p w:rsidR="00BE7889" w:rsidRPr="008B162A" w:rsidRDefault="00BE7889" w:rsidP="00AD585F">
      <w:pPr>
        <w:rPr>
          <w:rFonts w:ascii="Century Gothic" w:hAnsi="Century Gothic"/>
        </w:rPr>
      </w:pPr>
      <w:r w:rsidRPr="008B162A">
        <w:rPr>
          <w:rFonts w:ascii="Century Gothic" w:hAnsi="Century Gothic"/>
        </w:rPr>
        <w:t>Una vez que se cuenta con la relación entre los puntos de distribución y las centrales de fibra óptica, se realiza el algoritmo del árbol de distancia mínima</w:t>
      </w:r>
      <w:r w:rsidR="00AD585F" w:rsidRPr="008B162A">
        <w:rPr>
          <w:rFonts w:ascii="Century Gothic" w:hAnsi="Century Gothic"/>
        </w:rPr>
        <w:t>, para cada uno de los niveles de agregación,</w:t>
      </w:r>
      <w:r w:rsidRPr="008B162A">
        <w:rPr>
          <w:rFonts w:ascii="Century Gothic" w:hAnsi="Century Gothic"/>
        </w:rPr>
        <w:t xml:space="preserve"> a fin de caracterizar los enlaces que interconectaran los diversos PD con cada una de las centrales.</w:t>
      </w:r>
    </w:p>
    <w:p w:rsidR="00BE7889" w:rsidRPr="008B162A" w:rsidRDefault="00BE7889" w:rsidP="00BE7889">
      <w:pPr>
        <w:rPr>
          <w:rFonts w:ascii="Century Gothic" w:hAnsi="Century Gothic"/>
        </w:rPr>
      </w:pPr>
      <w:r w:rsidRPr="008B162A">
        <w:rPr>
          <w:rFonts w:ascii="Century Gothic" w:hAnsi="Century Gothic"/>
        </w:rPr>
        <w:t>A continuación</w:t>
      </w:r>
      <w:r w:rsidR="00D07716" w:rsidRPr="008B162A">
        <w:rPr>
          <w:rFonts w:ascii="Century Gothic" w:hAnsi="Century Gothic"/>
        </w:rPr>
        <w:t>,</w:t>
      </w:r>
      <w:r w:rsidRPr="008B162A">
        <w:rPr>
          <w:rFonts w:ascii="Century Gothic" w:hAnsi="Century Gothic"/>
        </w:rPr>
        <w:t xml:space="preserve"> se incluyen diferentes ilustraciones que muestran las agregaciones de cajas terminales en puntos de distribución, y de éstos en centrales de fibra óptica. </w:t>
      </w:r>
    </w:p>
    <w:p w:rsidR="00BE7889" w:rsidRPr="008B162A" w:rsidRDefault="0031156F" w:rsidP="00D16064">
      <w:pPr>
        <w:keepNext/>
        <w:jc w:val="center"/>
        <w:rPr>
          <w:rFonts w:ascii="Century Gothic" w:hAnsi="Century Gothic"/>
        </w:rPr>
      </w:pPr>
      <w:r w:rsidRPr="008B162A">
        <w:rPr>
          <w:rFonts w:ascii="Century Gothic" w:hAnsi="Century Gothic"/>
        </w:rPr>
        <w:lastRenderedPageBreak/>
        <w:t xml:space="preserve"> </w:t>
      </w:r>
      <w:r w:rsidR="00D16064" w:rsidRPr="008B162A">
        <w:rPr>
          <w:rFonts w:ascii="Century Gothic" w:hAnsi="Century Gothic"/>
          <w:noProof/>
          <w:lang w:eastAsia="es-MX"/>
        </w:rPr>
        <w:drawing>
          <wp:inline distT="0" distB="0" distL="0" distR="0" wp14:anchorId="77E54D2C" wp14:editId="32CE8FEA">
            <wp:extent cx="5731510" cy="3672409"/>
            <wp:effectExtent l="0" t="0" r="2540" b="4445"/>
            <wp:docPr id="9" name="Picture 9"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731510" cy="3672409"/>
                    </a:xfrm>
                    <a:prstGeom prst="rect">
                      <a:avLst/>
                    </a:prstGeom>
                    <a:noFill/>
                    <a:ln>
                      <a:noFill/>
                    </a:ln>
                  </pic:spPr>
                </pic:pic>
              </a:graphicData>
            </a:graphic>
          </wp:inline>
        </w:drawing>
      </w:r>
    </w:p>
    <w:p w:rsidR="00BE7889" w:rsidRPr="008B162A" w:rsidRDefault="00BE7889" w:rsidP="00BE7889">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16</w:t>
      </w:r>
      <w:r w:rsidR="006F7424" w:rsidRPr="008B162A">
        <w:rPr>
          <w:rFonts w:ascii="Century Gothic" w:hAnsi="Century Gothic"/>
        </w:rPr>
        <w:fldChar w:fldCharType="end"/>
      </w:r>
      <w:r w:rsidRPr="008B162A">
        <w:rPr>
          <w:rFonts w:ascii="Century Gothic" w:hAnsi="Century Gothic"/>
        </w:rPr>
        <w:t xml:space="preserve">: Ejemplos ilustrativos de la red primaria y secundaria en un Geotipo 1 y 5 [Fuente: </w:t>
      </w:r>
      <w:r w:rsidR="006B7D75" w:rsidRPr="008B162A">
        <w:rPr>
          <w:rFonts w:ascii="Century Gothic" w:hAnsi="Century Gothic"/>
        </w:rPr>
        <w:t>IFT, 2016</w:t>
      </w:r>
      <w:r w:rsidRPr="008B162A">
        <w:rPr>
          <w:rFonts w:ascii="Century Gothic" w:hAnsi="Century Gothic"/>
        </w:rPr>
        <w:t>]</w:t>
      </w:r>
      <w:r w:rsidRPr="008B162A">
        <w:rPr>
          <w:rStyle w:val="Refdenotaalpie"/>
          <w:rFonts w:ascii="Century Gothic" w:hAnsi="Century Gothic"/>
        </w:rPr>
        <w:footnoteReference w:id="17"/>
      </w:r>
    </w:p>
    <w:p w:rsidR="00BE7889" w:rsidRPr="008B162A" w:rsidRDefault="0032395F" w:rsidP="00BE7889">
      <w:pPr>
        <w:rPr>
          <w:rFonts w:ascii="Century Gothic" w:hAnsi="Century Gothic"/>
        </w:rPr>
      </w:pPr>
      <w:r w:rsidRPr="008B162A">
        <w:rPr>
          <w:rFonts w:ascii="Century Gothic" w:hAnsi="Century Gothic"/>
        </w:rPr>
        <w:t xml:space="preserve">Por último, este análisis también permite </w:t>
      </w:r>
      <w:r w:rsidR="00BE7889" w:rsidRPr="008B162A">
        <w:rPr>
          <w:rFonts w:ascii="Century Gothic" w:hAnsi="Century Gothic"/>
        </w:rPr>
        <w:t>conocer la agregación de cables en los diferentes tramos</w:t>
      </w:r>
      <w:r w:rsidRPr="008B162A">
        <w:rPr>
          <w:rFonts w:ascii="Century Gothic" w:hAnsi="Century Gothic"/>
        </w:rPr>
        <w:t>, proporcionando una información equivalente a la mostrada en la ilustración inferior:</w:t>
      </w:r>
    </w:p>
    <w:p w:rsidR="00BE7889" w:rsidRPr="008B162A" w:rsidRDefault="00BE7889" w:rsidP="00D7559E">
      <w:pPr>
        <w:keepNext/>
        <w:jc w:val="left"/>
        <w:rPr>
          <w:rFonts w:ascii="Century Gothic" w:hAnsi="Century Gothic"/>
        </w:rPr>
      </w:pPr>
      <w:r w:rsidRPr="008B162A">
        <w:rPr>
          <w:rFonts w:ascii="Century Gothic" w:hAnsi="Century Gothic"/>
          <w:noProof/>
          <w:lang w:eastAsia="es-MX"/>
        </w:rPr>
        <w:lastRenderedPageBreak/>
        <w:drawing>
          <wp:anchor distT="0" distB="0" distL="114300" distR="114300" simplePos="0" relativeHeight="251660288" behindDoc="0" locked="0" layoutInCell="1" allowOverlap="1" wp14:anchorId="3973D275" wp14:editId="2B5DB32A">
            <wp:simplePos x="0" y="0"/>
            <wp:positionH relativeFrom="column">
              <wp:posOffset>642859</wp:posOffset>
            </wp:positionH>
            <wp:positionV relativeFrom="paragraph">
              <wp:posOffset>48</wp:posOffset>
            </wp:positionV>
            <wp:extent cx="4019550" cy="2466975"/>
            <wp:effectExtent l="0" t="0" r="0" b="9525"/>
            <wp:wrapSquare wrapText="bothSides"/>
            <wp:docPr id="77099" name="Picture 77099"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19550" cy="2466975"/>
                    </a:xfrm>
                    <a:prstGeom prst="rect">
                      <a:avLst/>
                    </a:prstGeom>
                    <a:noFill/>
                    <a:ln>
                      <a:noFill/>
                    </a:ln>
                  </pic:spPr>
                </pic:pic>
              </a:graphicData>
            </a:graphic>
          </wp:anchor>
        </w:drawing>
      </w:r>
      <w:r w:rsidR="00D7559E">
        <w:rPr>
          <w:rFonts w:ascii="Century Gothic" w:hAnsi="Century Gothic"/>
        </w:rPr>
        <w:br w:type="textWrapping" w:clear="all"/>
      </w:r>
    </w:p>
    <w:p w:rsidR="00BE7889" w:rsidRPr="008B162A" w:rsidRDefault="00BE7889" w:rsidP="00BE7889">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17</w:t>
      </w:r>
      <w:r w:rsidR="006F7424" w:rsidRPr="008B162A">
        <w:rPr>
          <w:rFonts w:ascii="Century Gothic" w:hAnsi="Century Gothic"/>
        </w:rPr>
        <w:fldChar w:fldCharType="end"/>
      </w:r>
      <w:r w:rsidRPr="008B162A">
        <w:rPr>
          <w:rFonts w:ascii="Century Gothic" w:hAnsi="Century Gothic"/>
        </w:rPr>
        <w:t xml:space="preserve">: Ejemplo ilustrativo de la agregación de cables [Fuente: </w:t>
      </w:r>
      <w:r w:rsidR="006B7D75" w:rsidRPr="008B162A">
        <w:rPr>
          <w:rFonts w:ascii="Century Gothic" w:hAnsi="Century Gothic"/>
        </w:rPr>
        <w:t>IFT, 2016</w:t>
      </w:r>
      <w:r w:rsidRPr="008B162A">
        <w:rPr>
          <w:rFonts w:ascii="Century Gothic" w:hAnsi="Century Gothic"/>
        </w:rPr>
        <w:t>]</w:t>
      </w:r>
    </w:p>
    <w:p w:rsidR="0032395F" w:rsidRPr="008B162A" w:rsidRDefault="0032395F" w:rsidP="002A20F8">
      <w:pPr>
        <w:pStyle w:val="Ttulo4"/>
        <w:rPr>
          <w:rFonts w:ascii="Century Gothic" w:hAnsi="Century Gothic"/>
          <w:color w:val="auto"/>
        </w:rPr>
      </w:pPr>
      <w:r w:rsidRPr="008B162A">
        <w:rPr>
          <w:rFonts w:ascii="Century Gothic" w:hAnsi="Century Gothic"/>
          <w:color w:val="auto"/>
        </w:rPr>
        <w:t>Cálculo del factor de distancia por carretera</w:t>
      </w:r>
    </w:p>
    <w:p w:rsidR="0032395F" w:rsidRPr="008B162A" w:rsidRDefault="0032395F" w:rsidP="0032395F">
      <w:pPr>
        <w:rPr>
          <w:rFonts w:ascii="Century Gothic" w:hAnsi="Century Gothic"/>
        </w:rPr>
      </w:pPr>
      <w:r w:rsidRPr="008B162A">
        <w:rPr>
          <w:rFonts w:ascii="Century Gothic" w:hAnsi="Century Gothic"/>
        </w:rPr>
        <w:t>Para obtener la distancia real que deberá afrontar el operador para interconectar los diferentes elementos que constituyen su red de acceso se debe reconocer que estos enlaces no serán, por lo general, en línea recta, sino que seguirán la trayectoria marcada por las calles y carreteras a</w:t>
      </w:r>
      <w:r w:rsidR="00AC094F" w:rsidRPr="008B162A">
        <w:rPr>
          <w:rFonts w:ascii="Century Gothic" w:hAnsi="Century Gothic"/>
        </w:rPr>
        <w:t>dyacentes, tal y como se ilustra a continuación:</w:t>
      </w:r>
    </w:p>
    <w:p w:rsidR="00AC094F" w:rsidRPr="008B162A" w:rsidRDefault="0025694C" w:rsidP="0025694C">
      <w:pPr>
        <w:pStyle w:val="Prrafodelista"/>
        <w:keepNext/>
        <w:spacing w:after="0"/>
        <w:jc w:val="center"/>
        <w:rPr>
          <w:rFonts w:ascii="Century Gothic" w:hAnsi="Century Gothic"/>
          <w:lang w:val="pt-PT"/>
        </w:rPr>
      </w:pPr>
      <w:r w:rsidRPr="008B162A">
        <w:rPr>
          <w:rFonts w:ascii="Century Gothic" w:hAnsi="Century Gothic"/>
          <w:noProof/>
          <w:lang w:eastAsia="es-MX"/>
        </w:rPr>
        <w:lastRenderedPageBreak/>
        <w:drawing>
          <wp:inline distT="0" distB="0" distL="0" distR="0" wp14:anchorId="44AF11DF" wp14:editId="0B4D7A05">
            <wp:extent cx="4191635" cy="3476625"/>
            <wp:effectExtent l="0" t="0" r="0" b="9525"/>
            <wp:docPr id="77100" name="Picture 77100"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91635" cy="3476625"/>
                    </a:xfrm>
                    <a:prstGeom prst="rect">
                      <a:avLst/>
                    </a:prstGeom>
                    <a:noFill/>
                    <a:ln>
                      <a:noFill/>
                    </a:ln>
                  </pic:spPr>
                </pic:pic>
              </a:graphicData>
            </a:graphic>
          </wp:inline>
        </w:drawing>
      </w:r>
    </w:p>
    <w:p w:rsidR="00AC094F" w:rsidRPr="008B162A" w:rsidRDefault="00AC094F" w:rsidP="00AC094F">
      <w:pPr>
        <w:pStyle w:val="Descripcin"/>
        <w:rPr>
          <w:rFonts w:ascii="Century Gothic" w:hAnsi="Century Gothic"/>
        </w:rPr>
      </w:pPr>
      <w:r w:rsidRPr="008B162A">
        <w:rPr>
          <w:rFonts w:ascii="Century Gothic" w:hAnsi="Century Gothic"/>
        </w:rPr>
        <w:t xml:space="preserve">Ilustración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4</w:t>
      </w:r>
      <w:r w:rsidR="00847BCF" w:rsidRPr="008B162A">
        <w:rPr>
          <w:rFonts w:ascii="Century Gothic" w:hAnsi="Century Gothic"/>
          <w:noProof/>
        </w:rPr>
        <w:fldChar w:fldCharType="end"/>
      </w:r>
      <w:r w:rsidR="006F7424"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Ilustración \* ARABIC \s 1 </w:instrText>
      </w:r>
      <w:r w:rsidR="00847BCF" w:rsidRPr="008B162A">
        <w:rPr>
          <w:rFonts w:ascii="Century Gothic" w:hAnsi="Century Gothic"/>
        </w:rPr>
        <w:fldChar w:fldCharType="separate"/>
      </w:r>
      <w:r w:rsidR="00431406">
        <w:rPr>
          <w:rFonts w:ascii="Century Gothic" w:hAnsi="Century Gothic"/>
          <w:noProof/>
        </w:rPr>
        <w:t>18</w:t>
      </w:r>
      <w:r w:rsidR="00847BCF" w:rsidRPr="008B162A">
        <w:rPr>
          <w:rFonts w:ascii="Century Gothic" w:hAnsi="Century Gothic"/>
          <w:noProof/>
        </w:rPr>
        <w:fldChar w:fldCharType="end"/>
      </w:r>
      <w:r w:rsidRPr="008B162A">
        <w:rPr>
          <w:rFonts w:ascii="Century Gothic" w:hAnsi="Century Gothic"/>
        </w:rPr>
        <w:t xml:space="preserve">: Distancia </w:t>
      </w:r>
      <w:proofErr w:type="spellStart"/>
      <w:r w:rsidRPr="008B162A">
        <w:rPr>
          <w:rFonts w:ascii="Century Gothic" w:hAnsi="Century Gothic"/>
        </w:rPr>
        <w:t>euclídea</w:t>
      </w:r>
      <w:proofErr w:type="spellEnd"/>
      <w:r w:rsidRPr="008B162A">
        <w:rPr>
          <w:rFonts w:ascii="Century Gothic" w:hAnsi="Century Gothic"/>
        </w:rPr>
        <w:t xml:space="preserve"> y distancia por carretera para la interconexión de dos puntos [Fuente: </w:t>
      </w:r>
      <w:r w:rsidR="006B7D75" w:rsidRPr="008B162A">
        <w:rPr>
          <w:rFonts w:ascii="Century Gothic" w:hAnsi="Century Gothic"/>
        </w:rPr>
        <w:t>IFT, 2016</w:t>
      </w:r>
      <w:r w:rsidRPr="008B162A">
        <w:rPr>
          <w:rFonts w:ascii="Century Gothic" w:hAnsi="Century Gothic"/>
        </w:rPr>
        <w:t>]</w:t>
      </w:r>
    </w:p>
    <w:p w:rsidR="0032395F" w:rsidRPr="008B162A" w:rsidRDefault="0032395F" w:rsidP="0032395F">
      <w:pPr>
        <w:rPr>
          <w:rFonts w:ascii="Century Gothic" w:hAnsi="Century Gothic"/>
        </w:rPr>
      </w:pPr>
      <w:r w:rsidRPr="008B162A">
        <w:rPr>
          <w:rFonts w:ascii="Century Gothic" w:hAnsi="Century Gothic"/>
        </w:rPr>
        <w:t xml:space="preserve">Por lo anterior, y con el fin de complementar los cálculos anteriores, resulta necesario determinar </w:t>
      </w:r>
      <w:r w:rsidR="00792FD2" w:rsidRPr="008B162A">
        <w:rPr>
          <w:rFonts w:ascii="Century Gothic" w:hAnsi="Century Gothic"/>
        </w:rPr>
        <w:t xml:space="preserve">la </w:t>
      </w:r>
      <w:r w:rsidR="00C00068" w:rsidRPr="008B162A">
        <w:rPr>
          <w:rFonts w:ascii="Century Gothic" w:hAnsi="Century Gothic"/>
        </w:rPr>
        <w:t xml:space="preserve">relación </w:t>
      </w:r>
      <w:r w:rsidR="00792FD2" w:rsidRPr="008B162A">
        <w:rPr>
          <w:rFonts w:ascii="Century Gothic" w:hAnsi="Century Gothic"/>
        </w:rPr>
        <w:t xml:space="preserve">existente, para cada geotipo, entre la conexión de dos puntos en línea recta (distancia </w:t>
      </w:r>
      <w:proofErr w:type="spellStart"/>
      <w:r w:rsidR="00BA1060" w:rsidRPr="008B162A">
        <w:rPr>
          <w:rFonts w:ascii="Century Gothic" w:hAnsi="Century Gothic"/>
        </w:rPr>
        <w:t>euclídea</w:t>
      </w:r>
      <w:proofErr w:type="spellEnd"/>
      <w:r w:rsidR="00792FD2" w:rsidRPr="008B162A">
        <w:rPr>
          <w:rFonts w:ascii="Century Gothic" w:hAnsi="Century Gothic"/>
        </w:rPr>
        <w:t>) y por carretera.</w:t>
      </w:r>
    </w:p>
    <w:p w:rsidR="00792FD2" w:rsidRPr="008B162A" w:rsidRDefault="00792FD2" w:rsidP="00E60C2A">
      <w:pPr>
        <w:rPr>
          <w:rFonts w:ascii="Century Gothic" w:hAnsi="Century Gothic"/>
        </w:rPr>
      </w:pPr>
      <w:r w:rsidRPr="008B162A">
        <w:rPr>
          <w:rFonts w:ascii="Century Gothic" w:hAnsi="Century Gothic"/>
        </w:rPr>
        <w:t xml:space="preserve">Para ello, se ha calculado la distancia </w:t>
      </w:r>
      <w:proofErr w:type="spellStart"/>
      <w:r w:rsidRPr="008B162A">
        <w:rPr>
          <w:rFonts w:ascii="Century Gothic" w:hAnsi="Century Gothic"/>
        </w:rPr>
        <w:t>euclídea</w:t>
      </w:r>
      <w:proofErr w:type="spellEnd"/>
      <w:r w:rsidRPr="008B162A">
        <w:rPr>
          <w:rFonts w:ascii="Century Gothic" w:hAnsi="Century Gothic"/>
        </w:rPr>
        <w:t xml:space="preserve">, </w:t>
      </w:r>
      <w:r w:rsidR="00BA1060" w:rsidRPr="008B162A">
        <w:rPr>
          <w:rFonts w:ascii="Century Gothic" w:hAnsi="Century Gothic"/>
        </w:rPr>
        <w:t>así</w:t>
      </w:r>
      <w:r w:rsidRPr="008B162A">
        <w:rPr>
          <w:rFonts w:ascii="Century Gothic" w:hAnsi="Century Gothic"/>
        </w:rPr>
        <w:t xml:space="preserve"> como la distancia por carretera entre </w:t>
      </w:r>
      <w:r w:rsidR="00E60C2A" w:rsidRPr="008B162A">
        <w:rPr>
          <w:rFonts w:ascii="Century Gothic" w:hAnsi="Century Gothic"/>
        </w:rPr>
        <w:t>diversos puntos de cada geotipo</w:t>
      </w:r>
      <w:r w:rsidRPr="008B162A">
        <w:rPr>
          <w:rFonts w:ascii="Century Gothic" w:hAnsi="Century Gothic"/>
        </w:rPr>
        <w:t>, a partir de sistemas geográficos:</w:t>
      </w:r>
    </w:p>
    <w:p w:rsidR="00792FD2" w:rsidRPr="00D7559E" w:rsidRDefault="00792FD2" w:rsidP="00893B87">
      <w:pPr>
        <w:pStyle w:val="Indentado1"/>
        <w:numPr>
          <w:ilvl w:val="0"/>
          <w:numId w:val="0"/>
        </w:numPr>
        <w:ind w:left="720"/>
      </w:pPr>
      <w:r w:rsidRPr="00D7559E">
        <w:t xml:space="preserve">Distancia </w:t>
      </w:r>
      <w:proofErr w:type="spellStart"/>
      <w:r w:rsidR="00BA1060" w:rsidRPr="00D7559E">
        <w:t>euclídea</w:t>
      </w:r>
      <w:proofErr w:type="spellEnd"/>
      <w:r w:rsidRPr="00D7559E">
        <w:t xml:space="preserve"> </w:t>
      </w:r>
      <w:r w:rsidR="00D7559E">
        <w:t>l</w:t>
      </w:r>
      <w:r w:rsidRPr="00D7559E">
        <w:t>a cual se obtiene mediante la siguiente fórmula:</w:t>
      </w:r>
    </w:p>
    <w:p w:rsidR="00D7559E" w:rsidRPr="00D7559E" w:rsidRDefault="00D7559E" w:rsidP="00B240B0">
      <w:pPr>
        <w:rPr>
          <w:rFonts w:ascii="Cambria Math" w:hAnsi="Century Gothic"/>
        </w:rPr>
      </w:pPr>
      <m:oMathPara>
        <m:oMath>
          <m:r>
            <m:rPr>
              <m:nor/>
            </m:rPr>
            <w:rPr>
              <w:rFonts w:ascii="Century Gothic" w:hAnsi="Century Gothic"/>
            </w:rPr>
            <m:t xml:space="preserve">Distancia </m:t>
          </m:r>
          <w:proofErr w:type="spellStart"/>
          <m:r>
            <m:rPr>
              <m:nor/>
            </m:rPr>
            <w:rPr>
              <w:rFonts w:ascii="Century Gothic" w:hAnsi="Century Gothic"/>
            </w:rPr>
            <m:t>euclídea</m:t>
          </m:r>
          <w:proofErr w:type="spellEnd"/>
          <m:r>
            <m:rPr>
              <m:nor/>
            </m:rPr>
            <w:rPr>
              <w:rFonts w:ascii="Century Gothic" w:hAnsi="Century Gothic"/>
            </w:rPr>
            <m:t xml:space="preserve"> AB =</m:t>
          </m:r>
          <w:proofErr w:type="spellStart"/>
          <m:r>
            <m:rPr>
              <m:nor/>
            </m:rPr>
            <w:rPr>
              <w:rFonts w:ascii="Century Gothic" w:hAnsi="Century Gothic"/>
            </w:rPr>
            <m:t>Arccos</m:t>
          </m:r>
          <w:proofErr w:type="spellEnd"/>
          <m:r>
            <m:rPr>
              <m:nor/>
            </m:rPr>
            <w:rPr>
              <w:rFonts w:ascii="Century Gothic" w:hAnsi="Century Gothic"/>
            </w:rPr>
            <m:t>(</m:t>
          </m:r>
          <w:proofErr w:type="spellStart"/>
          <m:r>
            <m:rPr>
              <m:nor/>
            </m:rPr>
            <w:rPr>
              <w:rFonts w:ascii="Century Gothic" w:hAnsi="Century Gothic"/>
            </w:rPr>
            <m:t>sen</m:t>
          </m:r>
          <w:proofErr w:type="spellEnd"/>
          <m:d>
            <m:dPr>
              <m:shp m:val="match"/>
              <m:ctrlPr>
                <w:rPr>
                  <w:rFonts w:ascii="Cambria Math" w:hAnsi="Cambria Math"/>
                  <w:i/>
                </w:rPr>
              </m:ctrlPr>
            </m:dPr>
            <m:e>
              <w:proofErr w:type="spellStart"/>
              <m:r>
                <m:rPr>
                  <m:nor/>
                </m:rPr>
                <w:rPr>
                  <w:rFonts w:ascii="Century Gothic" w:hAnsi="Century Gothic"/>
                </w:rPr>
                <m:t>lat</m:t>
              </m:r>
              <w:proofErr w:type="spellEnd"/>
              <m:r>
                <m:rPr>
                  <m:nor/>
                </m:rPr>
                <w:rPr>
                  <w:rFonts w:ascii="Century Gothic" w:hAnsi="Century Gothic"/>
                </w:rPr>
                <m:t xml:space="preserve"> A</m:t>
              </m:r>
            </m:e>
          </m:d>
          <m:r>
            <m:rPr>
              <m:nor/>
            </m:rPr>
            <w:rPr>
              <w:rFonts w:ascii="Century Gothic" w:hAnsi="Century Gothic"/>
            </w:rPr>
            <m:t xml:space="preserve"> x </m:t>
          </m:r>
          <w:proofErr w:type="spellStart"/>
          <m:r>
            <m:rPr>
              <m:nor/>
            </m:rPr>
            <w:rPr>
              <w:rFonts w:ascii="Century Gothic" w:hAnsi="Century Gothic"/>
            </w:rPr>
            <m:t>sen</m:t>
          </m:r>
          <w:proofErr w:type="spellEnd"/>
          <m:r>
            <w:rPr>
              <w:rFonts w:ascii="Cambria Math" w:hAnsi="Cambria Math"/>
            </w:rPr>
            <m:t xml:space="preserve"> </m:t>
          </m:r>
          <m:d>
            <m:dPr>
              <m:ctrlPr>
                <w:rPr>
                  <w:rFonts w:ascii="Cambria Math" w:hAnsi="Cambria Math"/>
                  <w:i/>
                </w:rPr>
              </m:ctrlPr>
            </m:dPr>
            <m:e>
              <w:proofErr w:type="spellStart"/>
              <m:r>
                <m:rPr>
                  <m:nor/>
                </m:rPr>
                <w:rPr>
                  <w:rFonts w:ascii="Century Gothic" w:hAnsi="Century Gothic"/>
                </w:rPr>
                <m:t>lat</m:t>
              </m:r>
              <w:proofErr w:type="spellEnd"/>
              <m:r>
                <m:rPr>
                  <m:nor/>
                </m:rPr>
                <w:rPr>
                  <w:rFonts w:ascii="Century Gothic" w:hAnsi="Century Gothic"/>
                </w:rPr>
                <m:t xml:space="preserve"> B</m:t>
              </m:r>
            </m:e>
          </m:d>
          <m:r>
            <m:rPr>
              <m:nor/>
            </m:rPr>
            <w:rPr>
              <w:rFonts w:ascii="Century Gothic" w:hAnsi="Century Gothic"/>
            </w:rPr>
            <m:t xml:space="preserve"> +</m:t>
          </m:r>
        </m:oMath>
      </m:oMathPara>
    </w:p>
    <w:p w:rsidR="00792FD2" w:rsidRPr="00D7559E" w:rsidRDefault="00D7559E" w:rsidP="00B240B0">
      <w:pPr>
        <w:rPr>
          <w:rFonts w:ascii="Century Gothic" w:hAnsi="Century Gothic"/>
        </w:rPr>
      </w:pPr>
      <w:proofErr w:type="spellStart"/>
      <m:oMathPara>
        <m:oMath>
          <m:r>
            <m:rPr>
              <m:nor/>
            </m:rPr>
            <w:rPr>
              <w:rFonts w:ascii="Century Gothic" w:hAnsi="Century Gothic"/>
            </w:rPr>
            <m:t>cos</m:t>
          </m:r>
          <w:proofErr w:type="spellEnd"/>
          <m:r>
            <w:rPr>
              <w:rFonts w:ascii="Cambria Math" w:hAnsi="Cambria Math"/>
            </w:rPr>
            <m:t xml:space="preserve"> </m:t>
          </m:r>
          <m:d>
            <m:dPr>
              <m:shp m:val="match"/>
              <m:ctrlPr>
                <w:rPr>
                  <w:rFonts w:ascii="Cambria Math" w:hAnsi="Cambria Math"/>
                  <w:i/>
                </w:rPr>
              </m:ctrlPr>
            </m:dPr>
            <m:e>
              <w:proofErr w:type="spellStart"/>
              <m:r>
                <m:rPr>
                  <m:nor/>
                </m:rPr>
                <w:rPr>
                  <w:rFonts w:ascii="Century Gothic" w:hAnsi="Century Gothic"/>
                </w:rPr>
                <m:t>lat</m:t>
              </m:r>
              <w:proofErr w:type="spellEnd"/>
              <m:r>
                <m:rPr>
                  <m:nor/>
                </m:rPr>
                <w:rPr>
                  <w:rFonts w:ascii="Century Gothic" w:hAnsi="Century Gothic"/>
                </w:rPr>
                <m:t xml:space="preserve"> A</m:t>
              </m:r>
            </m:e>
          </m:d>
          <m:r>
            <m:rPr>
              <m:nor/>
            </m:rPr>
            <w:rPr>
              <w:rFonts w:ascii="Century Gothic" w:hAnsi="Century Gothic"/>
            </w:rPr>
            <m:t xml:space="preserve"> x</m:t>
          </m:r>
          <m:func>
            <m:funcPr>
              <m:ctrlPr>
                <w:rPr>
                  <w:rFonts w:ascii="Cambria Math" w:hAnsi="Cambria Math"/>
                  <w:i/>
                </w:rPr>
              </m:ctrlPr>
            </m:funcPr>
            <m:fName>
              <m:r>
                <m:rPr>
                  <m:nor/>
                </m:rPr>
                <w:rPr>
                  <w:rFonts w:ascii="Century Gothic" w:hAnsi="Century Gothic"/>
                </w:rPr>
                <m:t>cos</m:t>
              </m:r>
            </m:fName>
            <m:e>
              <m:d>
                <m:dPr>
                  <m:ctrlPr>
                    <w:rPr>
                      <w:rFonts w:ascii="Cambria Math" w:hAnsi="Cambria Math"/>
                      <w:i/>
                    </w:rPr>
                  </m:ctrlPr>
                </m:dPr>
                <m:e>
                  <m:r>
                    <m:rPr>
                      <m:nor/>
                    </m:rPr>
                    <w:rPr>
                      <w:rFonts w:ascii="Century Gothic" w:hAnsi="Century Gothic"/>
                    </w:rPr>
                    <m:t>lat B</m:t>
                  </m:r>
                </m:e>
              </m:d>
              <m:r>
                <m:rPr>
                  <m:nor/>
                </m:rPr>
                <w:rPr>
                  <w:rFonts w:ascii="Century Gothic" w:hAnsi="Century Gothic"/>
                </w:rPr>
                <m:t xml:space="preserve"> x</m:t>
              </m:r>
              <m:r>
                <w:rPr>
                  <w:rFonts w:ascii="Cambria Math" w:hAnsi="Cambria Math"/>
                </w:rPr>
                <m:t xml:space="preserve"> </m:t>
              </m:r>
              <m:func>
                <m:funcPr>
                  <m:ctrlPr>
                    <w:rPr>
                      <w:rFonts w:ascii="Cambria Math" w:hAnsi="Cambria Math"/>
                      <w:i/>
                    </w:rPr>
                  </m:ctrlPr>
                </m:funcPr>
                <m:fName>
                  <m:r>
                    <m:rPr>
                      <m:nor/>
                    </m:rPr>
                    <w:rPr>
                      <w:rFonts w:ascii="Century Gothic" w:hAnsi="Century Gothic"/>
                    </w:rPr>
                    <m:t>cos</m:t>
                  </m:r>
                </m:fName>
                <m:e>
                  <m:r>
                    <m:rPr>
                      <m:nor/>
                    </m:rPr>
                    <w:rPr>
                      <w:rFonts w:ascii="Century Gothic" w:hAnsi="Century Gothic"/>
                    </w:rPr>
                    <m:t>(long A-long B))x RadioTierra</m:t>
                  </m:r>
                </m:e>
              </m:func>
            </m:e>
          </m:func>
          <m:r>
            <m:rPr>
              <m:nor/>
            </m:rPr>
            <w:rPr>
              <w:rFonts w:ascii="Century Gothic" w:hAnsi="Century Gothic"/>
            </w:rPr>
            <m:t xml:space="preserve"> </m:t>
          </m:r>
        </m:oMath>
      </m:oMathPara>
    </w:p>
    <w:p w:rsidR="00792FD2" w:rsidRPr="008B162A" w:rsidRDefault="00792FD2" w:rsidP="00E60C2A">
      <w:pPr>
        <w:ind w:left="426"/>
        <w:rPr>
          <w:rFonts w:ascii="Century Gothic" w:hAnsi="Century Gothic"/>
          <w:sz w:val="18"/>
        </w:rPr>
      </w:pPr>
      <w:r w:rsidRPr="008B162A">
        <w:rPr>
          <w:rFonts w:ascii="Century Gothic" w:hAnsi="Century Gothic"/>
          <w:sz w:val="18"/>
        </w:rPr>
        <w:t>Donde:</w:t>
      </w:r>
    </w:p>
    <w:p w:rsidR="00792FD2" w:rsidRPr="008B162A" w:rsidRDefault="00792FD2" w:rsidP="00893B87">
      <w:pPr>
        <w:pStyle w:val="Indentado1"/>
      </w:pPr>
      <w:proofErr w:type="spellStart"/>
      <w:r w:rsidRPr="008B162A">
        <w:t>Lat</w:t>
      </w:r>
      <w:proofErr w:type="spellEnd"/>
      <w:r w:rsidRPr="008B162A">
        <w:t xml:space="preserve"> A, corresponde a la latitud del punto A (en radianes)</w:t>
      </w:r>
    </w:p>
    <w:p w:rsidR="00792FD2" w:rsidRPr="008B162A" w:rsidRDefault="00792FD2" w:rsidP="00893B87">
      <w:pPr>
        <w:pStyle w:val="Indentado1"/>
      </w:pPr>
      <w:proofErr w:type="spellStart"/>
      <w:r w:rsidRPr="008B162A">
        <w:t>Lat</w:t>
      </w:r>
      <w:proofErr w:type="spellEnd"/>
      <w:r w:rsidRPr="008B162A">
        <w:t xml:space="preserve"> B, corresponde a la latitud del punto B (en radianes)</w:t>
      </w:r>
    </w:p>
    <w:p w:rsidR="00792FD2" w:rsidRPr="008B162A" w:rsidRDefault="00792FD2" w:rsidP="00893B87">
      <w:pPr>
        <w:pStyle w:val="Indentado1"/>
      </w:pPr>
      <w:r w:rsidRPr="008B162A">
        <w:t>Long A, corresponde a la longitud del punto A (en radianes)</w:t>
      </w:r>
    </w:p>
    <w:p w:rsidR="00792FD2" w:rsidRPr="008B162A" w:rsidRDefault="00792FD2" w:rsidP="00893B87">
      <w:pPr>
        <w:pStyle w:val="Indentado1"/>
      </w:pPr>
      <w:r w:rsidRPr="008B162A">
        <w:t>Long B, corresponde a la longitud del punto B (en radianes)</w:t>
      </w:r>
    </w:p>
    <w:p w:rsidR="00792FD2" w:rsidRPr="008B162A" w:rsidRDefault="00792FD2" w:rsidP="00893B87">
      <w:pPr>
        <w:pStyle w:val="Indentado1"/>
      </w:pPr>
      <w:proofErr w:type="spellStart"/>
      <w:r w:rsidRPr="008B162A">
        <w:t>RadioTierra</w:t>
      </w:r>
      <w:proofErr w:type="spellEnd"/>
      <w:r w:rsidRPr="008B162A">
        <w:t>, corresponde al radio de la tierra, en metros (6,371,000 metros)</w:t>
      </w:r>
    </w:p>
    <w:p w:rsidR="00792FD2" w:rsidRPr="008B162A" w:rsidRDefault="00792FD2" w:rsidP="00893B87">
      <w:pPr>
        <w:pStyle w:val="Indentado1"/>
      </w:pPr>
      <w:r w:rsidRPr="008B162A">
        <w:rPr>
          <w:i/>
        </w:rPr>
        <w:lastRenderedPageBreak/>
        <w:t>Distancia por carretera</w:t>
      </w:r>
      <w:r w:rsidRPr="008B162A">
        <w:t xml:space="preserve">: La cual se obtiene a partir de </w:t>
      </w:r>
      <w:r w:rsidR="00E60C2A" w:rsidRPr="008B162A">
        <w:t>sistemas GIS</w:t>
      </w:r>
      <w:r w:rsidRPr="008B162A">
        <w:t>, ejecuta</w:t>
      </w:r>
      <w:r w:rsidR="00E60C2A" w:rsidRPr="008B162A">
        <w:t xml:space="preserve">ndo la distancia por carretera </w:t>
      </w:r>
      <w:r w:rsidRPr="008B162A">
        <w:t>entre cada par de puntos.</w:t>
      </w:r>
    </w:p>
    <w:p w:rsidR="00792FD2" w:rsidRPr="008B162A" w:rsidRDefault="00AC094F" w:rsidP="00792FD2">
      <w:pPr>
        <w:rPr>
          <w:rFonts w:ascii="Century Gothic" w:hAnsi="Century Gothic"/>
        </w:rPr>
      </w:pPr>
      <w:r w:rsidRPr="008B162A">
        <w:rPr>
          <w:rFonts w:ascii="Century Gothic" w:hAnsi="Century Gothic"/>
        </w:rPr>
        <w:t>Una vez obtenida la dista</w:t>
      </w:r>
      <w:r w:rsidR="006F6D78" w:rsidRPr="008B162A">
        <w:rPr>
          <w:rFonts w:ascii="Century Gothic" w:hAnsi="Century Gothic"/>
        </w:rPr>
        <w:t>n</w:t>
      </w:r>
      <w:r w:rsidRPr="008B162A">
        <w:rPr>
          <w:rFonts w:ascii="Century Gothic" w:hAnsi="Century Gothic"/>
        </w:rPr>
        <w:t xml:space="preserve">cia </w:t>
      </w:r>
      <w:proofErr w:type="spellStart"/>
      <w:r w:rsidRPr="008B162A">
        <w:rPr>
          <w:rFonts w:ascii="Century Gothic" w:hAnsi="Century Gothic"/>
        </w:rPr>
        <w:t>eucl</w:t>
      </w:r>
      <w:r w:rsidR="00882FD3" w:rsidRPr="008B162A">
        <w:rPr>
          <w:rFonts w:ascii="Century Gothic" w:hAnsi="Century Gothic"/>
        </w:rPr>
        <w:t>í</w:t>
      </w:r>
      <w:r w:rsidRPr="008B162A">
        <w:rPr>
          <w:rFonts w:ascii="Century Gothic" w:hAnsi="Century Gothic"/>
        </w:rPr>
        <w:t>dea</w:t>
      </w:r>
      <w:proofErr w:type="spellEnd"/>
      <w:r w:rsidRPr="008B162A">
        <w:rPr>
          <w:rFonts w:ascii="Century Gothic" w:hAnsi="Century Gothic"/>
        </w:rPr>
        <w:t xml:space="preserve"> y la distancia por carretera entre cada conjunto de puntos, se ha calculado la </w:t>
      </w:r>
      <w:r w:rsidR="00C00068" w:rsidRPr="008B162A">
        <w:rPr>
          <w:rFonts w:ascii="Century Gothic" w:hAnsi="Century Gothic"/>
        </w:rPr>
        <w:t xml:space="preserve">relación </w:t>
      </w:r>
      <w:r w:rsidRPr="008B162A">
        <w:rPr>
          <w:rFonts w:ascii="Century Gothic" w:hAnsi="Century Gothic"/>
        </w:rPr>
        <w:t>existente entre ambas del siguiente modo</w:t>
      </w:r>
      <w:r w:rsidR="00792FD2" w:rsidRPr="008B162A">
        <w:rPr>
          <w:rFonts w:ascii="Century Gothic" w:hAnsi="Century Gothic"/>
        </w:rPr>
        <w:t>:</w:t>
      </w:r>
    </w:p>
    <w:p w:rsidR="00792FD2" w:rsidRPr="00D7559E" w:rsidRDefault="00D7559E" w:rsidP="00792FD2">
      <w:pPr>
        <w:rPr>
          <w:rFonts w:ascii="Century Gothic" w:hAnsi="Century Gothic"/>
        </w:rPr>
      </w:pPr>
      <m:oMathPara>
        <m:oMath>
          <m:r>
            <m:rPr>
              <m:nor/>
            </m:rPr>
            <w:rPr>
              <w:rFonts w:ascii="Century Gothic" w:hAnsi="Century Gothic"/>
            </w:rPr>
            <m:t>Factor de carretera=</m:t>
          </m:r>
          <m:f>
            <m:fPr>
              <m:ctrlPr>
                <w:rPr>
                  <w:rFonts w:ascii="Cambria Math" w:hAnsi="Cambria Math"/>
                  <w:i/>
                </w:rPr>
              </m:ctrlPr>
            </m:fPr>
            <m:num>
              <m:r>
                <m:rPr>
                  <m:nor/>
                </m:rPr>
                <w:rPr>
                  <w:rFonts w:ascii="Century Gothic" w:hAnsi="Century Gothic"/>
                </w:rPr>
                <m:t>Distancia carretera</m:t>
              </m:r>
            </m:num>
            <m:den>
              <m:r>
                <m:rPr>
                  <m:nor/>
                </m:rPr>
                <w:rPr>
                  <w:rFonts w:ascii="Century Gothic" w:hAnsi="Century Gothic"/>
                </w:rPr>
                <m:t>Distancia euclídea</m:t>
              </m:r>
            </m:den>
          </m:f>
        </m:oMath>
      </m:oMathPara>
    </w:p>
    <w:p w:rsidR="00792FD2" w:rsidRPr="008B162A" w:rsidRDefault="00AC094F" w:rsidP="00792FD2">
      <w:pPr>
        <w:rPr>
          <w:rFonts w:ascii="Century Gothic" w:hAnsi="Century Gothic"/>
        </w:rPr>
      </w:pPr>
      <w:r w:rsidRPr="008B162A">
        <w:rPr>
          <w:rFonts w:ascii="Century Gothic" w:hAnsi="Century Gothic"/>
        </w:rPr>
        <w:t xml:space="preserve">Como resultado de este ejercicio, se presentan a continuación </w:t>
      </w:r>
      <w:r w:rsidR="00C00068" w:rsidRPr="008B162A">
        <w:rPr>
          <w:rFonts w:ascii="Century Gothic" w:hAnsi="Century Gothic"/>
        </w:rPr>
        <w:t>los valores</w:t>
      </w:r>
      <w:r w:rsidRPr="008B162A">
        <w:rPr>
          <w:rFonts w:ascii="Century Gothic" w:hAnsi="Century Gothic"/>
        </w:rPr>
        <w:t xml:space="preserve"> para este factor de carretera obtenidas para los diferentes </w:t>
      </w:r>
      <w:proofErr w:type="spellStart"/>
      <w:r w:rsidRPr="008B162A">
        <w:rPr>
          <w:rFonts w:ascii="Century Gothic" w:hAnsi="Century Gothic"/>
        </w:rPr>
        <w:t>geotipos</w:t>
      </w:r>
      <w:proofErr w:type="spellEnd"/>
      <w:r w:rsidRPr="008B162A">
        <w:rPr>
          <w:rFonts w:ascii="Century Gothic" w:hAnsi="Century Gothic"/>
        </w:rPr>
        <w:t xml:space="preserve"> analizados</w:t>
      </w:r>
      <w:r w:rsidR="00792FD2" w:rsidRPr="008B162A">
        <w:rPr>
          <w:rFonts w:ascii="Century Gothic" w:hAnsi="Century Gothic"/>
        </w:rPr>
        <w:t>:</w:t>
      </w:r>
    </w:p>
    <w:tbl>
      <w:tblPr>
        <w:tblW w:w="2980" w:type="dxa"/>
        <w:jc w:val="center"/>
        <w:tblLook w:val="04A0" w:firstRow="1" w:lastRow="0" w:firstColumn="1" w:lastColumn="0" w:noHBand="0" w:noVBand="1"/>
      </w:tblPr>
      <w:tblGrid>
        <w:gridCol w:w="1700"/>
        <w:gridCol w:w="1280"/>
      </w:tblGrid>
      <w:tr w:rsidR="008B162A" w:rsidRPr="008B162A" w:rsidTr="001904AF">
        <w:trPr>
          <w:trHeight w:val="525"/>
          <w:jc w:val="center"/>
        </w:trPr>
        <w:tc>
          <w:tcPr>
            <w:tcW w:w="1700" w:type="dxa"/>
            <w:tcBorders>
              <w:top w:val="nil"/>
              <w:left w:val="single" w:sz="4" w:space="0" w:color="FFFFFF"/>
              <w:bottom w:val="nil"/>
              <w:right w:val="single" w:sz="4" w:space="0" w:color="FFFFFF"/>
            </w:tcBorders>
            <w:shd w:val="clear" w:color="auto" w:fill="4F629B"/>
            <w:vAlign w:val="center"/>
            <w:hideMark/>
          </w:tcPr>
          <w:p w:rsidR="00792FD2" w:rsidRPr="00D7559E" w:rsidRDefault="00792FD2" w:rsidP="00AC094F">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Geotipo</w:t>
            </w:r>
          </w:p>
        </w:tc>
        <w:tc>
          <w:tcPr>
            <w:tcW w:w="1280" w:type="dxa"/>
            <w:tcBorders>
              <w:top w:val="nil"/>
              <w:left w:val="nil"/>
              <w:bottom w:val="nil"/>
              <w:right w:val="single" w:sz="4" w:space="0" w:color="FFFFFF"/>
            </w:tcBorders>
            <w:shd w:val="clear" w:color="auto" w:fill="4F629B"/>
            <w:vAlign w:val="center"/>
            <w:hideMark/>
          </w:tcPr>
          <w:p w:rsidR="00792FD2" w:rsidRPr="00D7559E" w:rsidRDefault="00792FD2" w:rsidP="00AC094F">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Factor de carretera</w:t>
            </w:r>
          </w:p>
        </w:tc>
      </w:tr>
      <w:tr w:rsidR="008B162A" w:rsidRPr="008B162A" w:rsidTr="00AC094F">
        <w:trPr>
          <w:trHeight w:val="300"/>
          <w:jc w:val="center"/>
        </w:trPr>
        <w:tc>
          <w:tcPr>
            <w:tcW w:w="1700" w:type="dxa"/>
            <w:tcBorders>
              <w:top w:val="single" w:sz="8" w:space="0" w:color="113F80"/>
              <w:left w:val="single" w:sz="8" w:space="0" w:color="113F80"/>
              <w:bottom w:val="single" w:sz="4" w:space="0" w:color="113F80"/>
              <w:right w:val="nil"/>
            </w:tcBorders>
            <w:shd w:val="clear" w:color="auto" w:fill="auto"/>
            <w:noWrap/>
            <w:vAlign w:val="center"/>
            <w:hideMark/>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1</w:t>
            </w:r>
          </w:p>
        </w:tc>
        <w:tc>
          <w:tcPr>
            <w:tcW w:w="1280" w:type="dxa"/>
            <w:tcBorders>
              <w:top w:val="single" w:sz="8" w:space="0" w:color="0C2749"/>
              <w:left w:val="single" w:sz="8" w:space="0" w:color="0C2749"/>
              <w:bottom w:val="single" w:sz="4" w:space="0" w:color="0C2749"/>
              <w:right w:val="single" w:sz="4" w:space="0" w:color="0C2749"/>
            </w:tcBorders>
            <w:shd w:val="clear" w:color="auto" w:fill="auto"/>
            <w:noWrap/>
            <w:vAlign w:val="center"/>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1.32</w:t>
            </w:r>
          </w:p>
        </w:tc>
      </w:tr>
      <w:tr w:rsidR="008B162A" w:rsidRPr="008B162A" w:rsidTr="00AC094F">
        <w:trPr>
          <w:trHeight w:val="300"/>
          <w:jc w:val="center"/>
        </w:trPr>
        <w:tc>
          <w:tcPr>
            <w:tcW w:w="1700" w:type="dxa"/>
            <w:tcBorders>
              <w:top w:val="nil"/>
              <w:left w:val="single" w:sz="8" w:space="0" w:color="113F80"/>
              <w:bottom w:val="single" w:sz="4" w:space="0" w:color="113F80"/>
              <w:right w:val="nil"/>
            </w:tcBorders>
            <w:shd w:val="clear" w:color="auto" w:fill="auto"/>
            <w:noWrap/>
            <w:vAlign w:val="center"/>
            <w:hideMark/>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2</w:t>
            </w:r>
          </w:p>
        </w:tc>
        <w:tc>
          <w:tcPr>
            <w:tcW w:w="1280" w:type="dxa"/>
            <w:tcBorders>
              <w:top w:val="nil"/>
              <w:left w:val="single" w:sz="8" w:space="0" w:color="0C2749"/>
              <w:bottom w:val="single" w:sz="4" w:space="0" w:color="0C2749"/>
              <w:right w:val="single" w:sz="4" w:space="0" w:color="0C2749"/>
            </w:tcBorders>
            <w:shd w:val="clear" w:color="auto" w:fill="auto"/>
            <w:noWrap/>
            <w:vAlign w:val="center"/>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1.33</w:t>
            </w:r>
          </w:p>
        </w:tc>
      </w:tr>
      <w:tr w:rsidR="008B162A" w:rsidRPr="008B162A" w:rsidTr="00AC094F">
        <w:trPr>
          <w:trHeight w:val="300"/>
          <w:jc w:val="center"/>
        </w:trPr>
        <w:tc>
          <w:tcPr>
            <w:tcW w:w="1700" w:type="dxa"/>
            <w:tcBorders>
              <w:top w:val="nil"/>
              <w:left w:val="single" w:sz="8" w:space="0" w:color="113F80"/>
              <w:bottom w:val="single" w:sz="4" w:space="0" w:color="113F80"/>
              <w:right w:val="nil"/>
            </w:tcBorders>
            <w:shd w:val="clear" w:color="auto" w:fill="auto"/>
            <w:noWrap/>
            <w:vAlign w:val="center"/>
            <w:hideMark/>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3</w:t>
            </w:r>
          </w:p>
        </w:tc>
        <w:tc>
          <w:tcPr>
            <w:tcW w:w="1280" w:type="dxa"/>
            <w:tcBorders>
              <w:top w:val="nil"/>
              <w:left w:val="single" w:sz="8" w:space="0" w:color="0C2749"/>
              <w:bottom w:val="single" w:sz="4" w:space="0" w:color="0C2749"/>
              <w:right w:val="single" w:sz="4" w:space="0" w:color="0C2749"/>
            </w:tcBorders>
            <w:shd w:val="clear" w:color="auto" w:fill="auto"/>
            <w:noWrap/>
            <w:vAlign w:val="center"/>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1.49</w:t>
            </w:r>
          </w:p>
        </w:tc>
      </w:tr>
      <w:tr w:rsidR="008B162A" w:rsidRPr="008B162A" w:rsidTr="00AC094F">
        <w:trPr>
          <w:trHeight w:val="300"/>
          <w:jc w:val="center"/>
        </w:trPr>
        <w:tc>
          <w:tcPr>
            <w:tcW w:w="1700" w:type="dxa"/>
            <w:tcBorders>
              <w:top w:val="nil"/>
              <w:left w:val="single" w:sz="8" w:space="0" w:color="113F80"/>
              <w:bottom w:val="single" w:sz="4" w:space="0" w:color="113F80"/>
              <w:right w:val="nil"/>
            </w:tcBorders>
            <w:shd w:val="clear" w:color="auto" w:fill="auto"/>
            <w:noWrap/>
            <w:vAlign w:val="center"/>
            <w:hideMark/>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4</w:t>
            </w:r>
          </w:p>
        </w:tc>
        <w:tc>
          <w:tcPr>
            <w:tcW w:w="1280" w:type="dxa"/>
            <w:tcBorders>
              <w:top w:val="nil"/>
              <w:left w:val="single" w:sz="8" w:space="0" w:color="0C2749"/>
              <w:bottom w:val="single" w:sz="4" w:space="0" w:color="0C2749"/>
              <w:right w:val="single" w:sz="4" w:space="0" w:color="0C2749"/>
            </w:tcBorders>
            <w:shd w:val="clear" w:color="auto" w:fill="auto"/>
            <w:noWrap/>
            <w:vAlign w:val="center"/>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1.34</w:t>
            </w:r>
          </w:p>
        </w:tc>
      </w:tr>
      <w:tr w:rsidR="008B162A" w:rsidRPr="008B162A" w:rsidTr="00AC094F">
        <w:trPr>
          <w:trHeight w:val="300"/>
          <w:jc w:val="center"/>
        </w:trPr>
        <w:tc>
          <w:tcPr>
            <w:tcW w:w="1700" w:type="dxa"/>
            <w:tcBorders>
              <w:top w:val="nil"/>
              <w:left w:val="single" w:sz="8" w:space="0" w:color="113F80"/>
              <w:bottom w:val="single" w:sz="4" w:space="0" w:color="113F80"/>
              <w:right w:val="nil"/>
            </w:tcBorders>
            <w:shd w:val="clear" w:color="auto" w:fill="auto"/>
            <w:noWrap/>
            <w:vAlign w:val="center"/>
            <w:hideMark/>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5</w:t>
            </w:r>
          </w:p>
        </w:tc>
        <w:tc>
          <w:tcPr>
            <w:tcW w:w="1280" w:type="dxa"/>
            <w:tcBorders>
              <w:top w:val="nil"/>
              <w:left w:val="single" w:sz="8" w:space="0" w:color="0C2749"/>
              <w:bottom w:val="single" w:sz="4" w:space="0" w:color="0C2749"/>
              <w:right w:val="single" w:sz="4" w:space="0" w:color="0C2749"/>
            </w:tcBorders>
            <w:shd w:val="clear" w:color="auto" w:fill="auto"/>
            <w:noWrap/>
            <w:vAlign w:val="center"/>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1.29</w:t>
            </w:r>
          </w:p>
        </w:tc>
      </w:tr>
      <w:tr w:rsidR="008B162A" w:rsidRPr="008B162A" w:rsidTr="00AC094F">
        <w:trPr>
          <w:trHeight w:val="315"/>
          <w:jc w:val="center"/>
        </w:trPr>
        <w:tc>
          <w:tcPr>
            <w:tcW w:w="1700" w:type="dxa"/>
            <w:tcBorders>
              <w:top w:val="nil"/>
              <w:left w:val="single" w:sz="8" w:space="0" w:color="113F80"/>
              <w:bottom w:val="single" w:sz="8" w:space="0" w:color="113F80"/>
              <w:right w:val="nil"/>
            </w:tcBorders>
            <w:shd w:val="clear" w:color="auto" w:fill="auto"/>
            <w:noWrap/>
            <w:vAlign w:val="center"/>
            <w:hideMark/>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Geotipo 6</w:t>
            </w:r>
          </w:p>
        </w:tc>
        <w:tc>
          <w:tcPr>
            <w:tcW w:w="1280" w:type="dxa"/>
            <w:tcBorders>
              <w:top w:val="nil"/>
              <w:left w:val="single" w:sz="8" w:space="0" w:color="0C2749"/>
              <w:bottom w:val="single" w:sz="8" w:space="0" w:color="0C2749"/>
              <w:right w:val="single" w:sz="4" w:space="0" w:color="0C2749"/>
            </w:tcBorders>
            <w:shd w:val="clear" w:color="auto" w:fill="auto"/>
            <w:noWrap/>
            <w:vAlign w:val="center"/>
          </w:tcPr>
          <w:p w:rsidR="00792FD2" w:rsidRPr="008B162A" w:rsidRDefault="00792FD2" w:rsidP="00AC094F">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lang w:eastAsia="en-GB"/>
              </w:rPr>
              <w:t>1.37</w:t>
            </w:r>
          </w:p>
        </w:tc>
      </w:tr>
    </w:tbl>
    <w:p w:rsidR="00792FD2" w:rsidRPr="008B162A" w:rsidRDefault="00792FD2" w:rsidP="00792FD2">
      <w:pPr>
        <w:pStyle w:val="Descripcin"/>
        <w:rPr>
          <w:rFonts w:ascii="Century Gothic" w:hAnsi="Century Gothic"/>
        </w:rPr>
      </w:pPr>
      <w:r w:rsidRPr="008B162A">
        <w:rPr>
          <w:rFonts w:ascii="Century Gothic" w:hAnsi="Century Gothic"/>
        </w:rPr>
        <w:t xml:space="preserve">Tabla </w:t>
      </w:r>
      <w:r w:rsidR="00AD65BA" w:rsidRPr="008B162A">
        <w:rPr>
          <w:rFonts w:ascii="Century Gothic" w:hAnsi="Century Gothic"/>
        </w:rPr>
        <w:fldChar w:fldCharType="begin"/>
      </w:r>
      <w:r w:rsidR="00AD65BA" w:rsidRPr="008B162A">
        <w:rPr>
          <w:rFonts w:ascii="Century Gothic" w:hAnsi="Century Gothic"/>
        </w:rPr>
        <w:instrText xml:space="preserve"> STYLEREF 1 \s </w:instrText>
      </w:r>
      <w:r w:rsidR="00AD65BA" w:rsidRPr="008B162A">
        <w:rPr>
          <w:rFonts w:ascii="Century Gothic" w:hAnsi="Century Gothic"/>
        </w:rPr>
        <w:fldChar w:fldCharType="separate"/>
      </w:r>
      <w:r w:rsidR="00431406">
        <w:rPr>
          <w:rFonts w:ascii="Century Gothic" w:hAnsi="Century Gothic"/>
          <w:noProof/>
        </w:rPr>
        <w:t>4</w:t>
      </w:r>
      <w:r w:rsidR="00AD65BA" w:rsidRPr="008B162A">
        <w:rPr>
          <w:rFonts w:ascii="Century Gothic" w:hAnsi="Century Gothic"/>
        </w:rPr>
        <w:fldChar w:fldCharType="end"/>
      </w:r>
      <w:r w:rsidR="00AD65BA" w:rsidRPr="008B162A">
        <w:rPr>
          <w:rFonts w:ascii="Century Gothic" w:hAnsi="Century Gothic"/>
        </w:rPr>
        <w:t>.</w:t>
      </w:r>
      <w:r w:rsidR="00AD65BA" w:rsidRPr="008B162A">
        <w:rPr>
          <w:rFonts w:ascii="Century Gothic" w:hAnsi="Century Gothic"/>
        </w:rPr>
        <w:fldChar w:fldCharType="begin"/>
      </w:r>
      <w:r w:rsidR="00AD65BA" w:rsidRPr="008B162A">
        <w:rPr>
          <w:rFonts w:ascii="Century Gothic" w:hAnsi="Century Gothic"/>
        </w:rPr>
        <w:instrText xml:space="preserve"> SEQ Tabla \* ARABIC \s 1 </w:instrText>
      </w:r>
      <w:r w:rsidR="00AD65BA" w:rsidRPr="008B162A">
        <w:rPr>
          <w:rFonts w:ascii="Century Gothic" w:hAnsi="Century Gothic"/>
        </w:rPr>
        <w:fldChar w:fldCharType="separate"/>
      </w:r>
      <w:r w:rsidR="00431406">
        <w:rPr>
          <w:rFonts w:ascii="Century Gothic" w:hAnsi="Century Gothic"/>
          <w:noProof/>
        </w:rPr>
        <w:t>2</w:t>
      </w:r>
      <w:r w:rsidR="00AD65BA" w:rsidRPr="008B162A">
        <w:rPr>
          <w:rFonts w:ascii="Century Gothic" w:hAnsi="Century Gothic"/>
        </w:rPr>
        <w:fldChar w:fldCharType="end"/>
      </w:r>
      <w:r w:rsidRPr="008B162A">
        <w:rPr>
          <w:rFonts w:ascii="Century Gothic" w:hAnsi="Century Gothic"/>
        </w:rPr>
        <w:t xml:space="preserve">: </w:t>
      </w:r>
      <w:r w:rsidR="00C00068" w:rsidRPr="008B162A">
        <w:rPr>
          <w:rFonts w:ascii="Century Gothic" w:hAnsi="Century Gothic"/>
        </w:rPr>
        <w:t>Factores</w:t>
      </w:r>
      <w:r w:rsidRPr="008B162A">
        <w:rPr>
          <w:rFonts w:ascii="Century Gothic" w:hAnsi="Century Gothic"/>
        </w:rPr>
        <w:t xml:space="preserve"> de carretera </w:t>
      </w:r>
      <w:r w:rsidR="00AC094F" w:rsidRPr="008B162A">
        <w:rPr>
          <w:rFonts w:ascii="Century Gothic" w:hAnsi="Century Gothic"/>
        </w:rPr>
        <w:t xml:space="preserve">obtenidos para cada </w:t>
      </w:r>
      <w:r w:rsidRPr="008B162A">
        <w:rPr>
          <w:rFonts w:ascii="Century Gothic" w:hAnsi="Century Gothic"/>
        </w:rPr>
        <w:t xml:space="preserve">geotipo [Fuente: </w:t>
      </w:r>
      <w:r w:rsidR="006B7D75" w:rsidRPr="008B162A">
        <w:rPr>
          <w:rFonts w:ascii="Century Gothic" w:hAnsi="Century Gothic"/>
        </w:rPr>
        <w:t>IFT, 2016</w:t>
      </w:r>
      <w:r w:rsidRPr="008B162A">
        <w:rPr>
          <w:rFonts w:ascii="Century Gothic" w:hAnsi="Century Gothic"/>
        </w:rPr>
        <w:t>]</w:t>
      </w:r>
    </w:p>
    <w:p w:rsidR="00BE7889" w:rsidRPr="008B162A" w:rsidRDefault="00BE7889" w:rsidP="002A20F8">
      <w:pPr>
        <w:pStyle w:val="Ttulo4"/>
        <w:rPr>
          <w:rFonts w:ascii="Century Gothic" w:hAnsi="Century Gothic"/>
          <w:color w:val="auto"/>
        </w:rPr>
      </w:pPr>
      <w:bookmarkStart w:id="88" w:name="_Ref424312104"/>
      <w:r w:rsidRPr="008B162A">
        <w:rPr>
          <w:rFonts w:ascii="Century Gothic" w:hAnsi="Century Gothic"/>
          <w:color w:val="auto"/>
        </w:rPr>
        <w:t>Resultados de la caracterización del bucle local</w:t>
      </w:r>
      <w:bookmarkEnd w:id="88"/>
    </w:p>
    <w:p w:rsidR="00B240B0" w:rsidRPr="008B162A" w:rsidRDefault="00B240B0" w:rsidP="00B240B0">
      <w:pPr>
        <w:rPr>
          <w:rFonts w:ascii="Century Gothic" w:hAnsi="Century Gothic"/>
        </w:rPr>
      </w:pPr>
      <w:r w:rsidRPr="008B162A">
        <w:rPr>
          <w:rFonts w:ascii="Century Gothic" w:hAnsi="Century Gothic"/>
        </w:rPr>
        <w:t xml:space="preserve">Tras efectuar los pasos descritos en los apartados anteriores para cada uno de los </w:t>
      </w:r>
      <w:proofErr w:type="spellStart"/>
      <w:r w:rsidRPr="008B162A">
        <w:rPr>
          <w:rFonts w:ascii="Century Gothic" w:hAnsi="Century Gothic"/>
        </w:rPr>
        <w:t>geotipos</w:t>
      </w:r>
      <w:proofErr w:type="spellEnd"/>
      <w:r w:rsidRPr="008B162A">
        <w:rPr>
          <w:rFonts w:ascii="Century Gothic" w:hAnsi="Century Gothic"/>
        </w:rPr>
        <w:t xml:space="preserve"> y las secciones de red, se han obtenido las siguientes distancias promedio, que caracterizarían el dimensionado de la red de acceso en el país:</w:t>
      </w:r>
    </w:p>
    <w:tbl>
      <w:tblPr>
        <w:tblW w:w="9209" w:type="dxa"/>
        <w:jc w:val="center"/>
        <w:tblLook w:val="04A0" w:firstRow="1" w:lastRow="0" w:firstColumn="1" w:lastColumn="0" w:noHBand="0" w:noVBand="1"/>
      </w:tblPr>
      <w:tblGrid>
        <w:gridCol w:w="2422"/>
        <w:gridCol w:w="1696"/>
        <w:gridCol w:w="1697"/>
        <w:gridCol w:w="1697"/>
        <w:gridCol w:w="1697"/>
      </w:tblGrid>
      <w:tr w:rsidR="008B162A" w:rsidRPr="008B162A" w:rsidTr="001904AF">
        <w:trPr>
          <w:trHeight w:val="567"/>
          <w:jc w:val="center"/>
        </w:trPr>
        <w:tc>
          <w:tcPr>
            <w:tcW w:w="2422" w:type="dxa"/>
            <w:tcBorders>
              <w:top w:val="nil"/>
              <w:left w:val="single" w:sz="4" w:space="0" w:color="FFFFFF"/>
              <w:bottom w:val="nil"/>
              <w:right w:val="single" w:sz="4" w:space="0" w:color="FFFFFF"/>
            </w:tcBorders>
            <w:shd w:val="clear" w:color="auto" w:fill="4F629B"/>
            <w:vAlign w:val="center"/>
            <w:hideMark/>
          </w:tcPr>
          <w:p w:rsidR="00BE7889" w:rsidRPr="00D7559E" w:rsidRDefault="00BE7889" w:rsidP="00BE7889">
            <w:pPr>
              <w:keepNext/>
              <w:spacing w:before="0" w:after="0" w:line="240" w:lineRule="auto"/>
              <w:jc w:val="left"/>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Longitud promedio del bucle por geotipo (m)</w:t>
            </w:r>
          </w:p>
        </w:tc>
        <w:tc>
          <w:tcPr>
            <w:tcW w:w="1696" w:type="dxa"/>
            <w:tcBorders>
              <w:top w:val="nil"/>
              <w:left w:val="nil"/>
              <w:bottom w:val="single" w:sz="4" w:space="0" w:color="FFFFFF"/>
              <w:right w:val="single" w:sz="4" w:space="0" w:color="FFFFFF"/>
            </w:tcBorders>
            <w:shd w:val="clear" w:color="auto" w:fill="4F629B"/>
            <w:vAlign w:val="center"/>
            <w:hideMark/>
          </w:tcPr>
          <w:p w:rsidR="00BE7889" w:rsidRPr="00D7559E" w:rsidRDefault="00BE7889" w:rsidP="00BE7889">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 xml:space="preserve">Acometida </w:t>
            </w:r>
          </w:p>
          <w:p w:rsidR="00BE7889" w:rsidRPr="00D7559E" w:rsidRDefault="00BE7889" w:rsidP="00BE7889">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(m)</w:t>
            </w:r>
          </w:p>
        </w:tc>
        <w:tc>
          <w:tcPr>
            <w:tcW w:w="1697" w:type="dxa"/>
            <w:tcBorders>
              <w:top w:val="nil"/>
              <w:left w:val="nil"/>
              <w:bottom w:val="single" w:sz="4" w:space="0" w:color="FFFFFF"/>
              <w:right w:val="single" w:sz="4" w:space="0" w:color="FFFFFF"/>
            </w:tcBorders>
            <w:shd w:val="clear" w:color="auto" w:fill="4F629B"/>
            <w:vAlign w:val="center"/>
            <w:hideMark/>
          </w:tcPr>
          <w:p w:rsidR="00BE7889" w:rsidRPr="00D7559E" w:rsidRDefault="00BE7889" w:rsidP="00BE7889">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Red Secundaria (m)</w:t>
            </w:r>
          </w:p>
        </w:tc>
        <w:tc>
          <w:tcPr>
            <w:tcW w:w="1697" w:type="dxa"/>
            <w:tcBorders>
              <w:top w:val="nil"/>
              <w:left w:val="nil"/>
              <w:bottom w:val="single" w:sz="4" w:space="0" w:color="FFFFFF"/>
              <w:right w:val="single" w:sz="4" w:space="0" w:color="FFFFFF"/>
            </w:tcBorders>
            <w:shd w:val="clear" w:color="auto" w:fill="4F629B"/>
            <w:vAlign w:val="center"/>
            <w:hideMark/>
          </w:tcPr>
          <w:p w:rsidR="00BE7889" w:rsidRPr="00D7559E" w:rsidRDefault="00BE7889" w:rsidP="00BE7889">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Red Primaria (m)</w:t>
            </w:r>
          </w:p>
        </w:tc>
        <w:tc>
          <w:tcPr>
            <w:tcW w:w="1697" w:type="dxa"/>
            <w:tcBorders>
              <w:top w:val="nil"/>
              <w:left w:val="nil"/>
              <w:bottom w:val="single" w:sz="4" w:space="0" w:color="FFFFFF"/>
              <w:right w:val="single" w:sz="4" w:space="0" w:color="FFFFFF"/>
            </w:tcBorders>
            <w:shd w:val="clear" w:color="auto" w:fill="4F629B"/>
            <w:vAlign w:val="center"/>
            <w:hideMark/>
          </w:tcPr>
          <w:p w:rsidR="00BE7889" w:rsidRPr="00D7559E" w:rsidRDefault="00BE7889" w:rsidP="00BE7889">
            <w:pPr>
              <w:keepNext/>
              <w:spacing w:before="0" w:after="0" w:line="240" w:lineRule="auto"/>
              <w:jc w:val="center"/>
              <w:rPr>
                <w:rFonts w:ascii="Century Gothic" w:hAnsi="Century Gothic"/>
                <w:b/>
                <w:bCs/>
                <w:color w:val="FFFFFF" w:themeColor="background2"/>
                <w:sz w:val="16"/>
                <w:szCs w:val="16"/>
                <w:lang w:eastAsia="en-GB"/>
              </w:rPr>
            </w:pPr>
            <w:r w:rsidRPr="00D7559E">
              <w:rPr>
                <w:rFonts w:ascii="Century Gothic" w:hAnsi="Century Gothic"/>
                <w:b/>
                <w:bCs/>
                <w:color w:val="FFFFFF" w:themeColor="background2"/>
                <w:sz w:val="16"/>
                <w:szCs w:val="16"/>
                <w:lang w:eastAsia="en-GB"/>
              </w:rPr>
              <w:t>Distancia total del bucle (m)</w:t>
            </w:r>
          </w:p>
        </w:tc>
      </w:tr>
      <w:tr w:rsidR="008B162A" w:rsidRPr="008B162A" w:rsidTr="00BE7889">
        <w:trPr>
          <w:trHeight w:val="340"/>
          <w:jc w:val="center"/>
        </w:trPr>
        <w:tc>
          <w:tcPr>
            <w:tcW w:w="2422" w:type="dxa"/>
            <w:tcBorders>
              <w:top w:val="single" w:sz="8" w:space="0" w:color="0C2749"/>
              <w:left w:val="single" w:sz="8" w:space="0" w:color="0C2749"/>
              <w:bottom w:val="single" w:sz="4" w:space="0" w:color="0C2749"/>
              <w:right w:val="single" w:sz="4" w:space="0" w:color="0C2749"/>
            </w:tcBorders>
            <w:shd w:val="clear" w:color="auto" w:fill="auto"/>
            <w:vAlign w:val="center"/>
            <w:hideMark/>
          </w:tcPr>
          <w:p w:rsidR="00AC094F" w:rsidRPr="008B162A" w:rsidRDefault="00AC094F" w:rsidP="00BE7889">
            <w:pPr>
              <w:keepNext/>
              <w:spacing w:before="0" w:after="0" w:line="240" w:lineRule="auto"/>
              <w:rPr>
                <w:rFonts w:ascii="Century Gothic" w:hAnsi="Century Gothic"/>
                <w:sz w:val="16"/>
                <w:szCs w:val="16"/>
                <w:lang w:eastAsia="en-GB"/>
              </w:rPr>
            </w:pPr>
            <w:r w:rsidRPr="008B162A">
              <w:rPr>
                <w:rFonts w:ascii="Century Gothic" w:hAnsi="Century Gothic"/>
                <w:sz w:val="16"/>
                <w:szCs w:val="16"/>
                <w:lang w:eastAsia="en-GB"/>
              </w:rPr>
              <w:t>GEOTIPO 1</w:t>
            </w:r>
          </w:p>
        </w:tc>
        <w:tc>
          <w:tcPr>
            <w:tcW w:w="1696" w:type="dxa"/>
            <w:tcBorders>
              <w:top w:val="single" w:sz="8" w:space="0" w:color="0C2749"/>
              <w:left w:val="single" w:sz="8" w:space="0" w:color="0C2749"/>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60.8</w:t>
            </w:r>
          </w:p>
        </w:tc>
        <w:tc>
          <w:tcPr>
            <w:tcW w:w="1697" w:type="dxa"/>
            <w:tcBorders>
              <w:top w:val="single" w:sz="8" w:space="0" w:color="0C2749"/>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258.9</w:t>
            </w:r>
          </w:p>
        </w:tc>
        <w:tc>
          <w:tcPr>
            <w:tcW w:w="1697" w:type="dxa"/>
            <w:tcBorders>
              <w:top w:val="single" w:sz="8" w:space="0" w:color="0C2749"/>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4,815.8</w:t>
            </w:r>
          </w:p>
        </w:tc>
        <w:tc>
          <w:tcPr>
            <w:tcW w:w="1697" w:type="dxa"/>
            <w:tcBorders>
              <w:top w:val="single" w:sz="8" w:space="0" w:color="0C2749"/>
              <w:left w:val="nil"/>
              <w:bottom w:val="single" w:sz="4" w:space="0" w:color="0C2749"/>
              <w:right w:val="single" w:sz="8"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5,135.6</w:t>
            </w:r>
          </w:p>
        </w:tc>
      </w:tr>
      <w:tr w:rsidR="008B162A" w:rsidRPr="008B162A" w:rsidTr="00BE7889">
        <w:trPr>
          <w:trHeight w:val="340"/>
          <w:jc w:val="center"/>
        </w:trPr>
        <w:tc>
          <w:tcPr>
            <w:tcW w:w="2422" w:type="dxa"/>
            <w:tcBorders>
              <w:top w:val="nil"/>
              <w:left w:val="single" w:sz="8" w:space="0" w:color="0C2749"/>
              <w:bottom w:val="single" w:sz="4" w:space="0" w:color="0C2749"/>
              <w:right w:val="single" w:sz="4" w:space="0" w:color="0C2749"/>
            </w:tcBorders>
            <w:shd w:val="clear" w:color="auto" w:fill="auto"/>
            <w:vAlign w:val="center"/>
            <w:hideMark/>
          </w:tcPr>
          <w:p w:rsidR="00AC094F" w:rsidRPr="008B162A" w:rsidRDefault="00AC094F" w:rsidP="00BE7889">
            <w:pPr>
              <w:keepNext/>
              <w:spacing w:before="0" w:after="0" w:line="240" w:lineRule="auto"/>
              <w:rPr>
                <w:rFonts w:ascii="Century Gothic" w:hAnsi="Century Gothic"/>
                <w:sz w:val="16"/>
                <w:szCs w:val="16"/>
                <w:lang w:eastAsia="en-GB"/>
              </w:rPr>
            </w:pPr>
            <w:r w:rsidRPr="008B162A">
              <w:rPr>
                <w:rFonts w:ascii="Century Gothic" w:hAnsi="Century Gothic"/>
                <w:sz w:val="16"/>
                <w:szCs w:val="16"/>
                <w:lang w:eastAsia="en-GB"/>
              </w:rPr>
              <w:t>GEOTIPO 2</w:t>
            </w:r>
          </w:p>
        </w:tc>
        <w:tc>
          <w:tcPr>
            <w:tcW w:w="1696" w:type="dxa"/>
            <w:tcBorders>
              <w:top w:val="nil"/>
              <w:left w:val="single" w:sz="8" w:space="0" w:color="0C2749"/>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68.9</w:t>
            </w:r>
          </w:p>
        </w:tc>
        <w:tc>
          <w:tcPr>
            <w:tcW w:w="1697" w:type="dxa"/>
            <w:tcBorders>
              <w:top w:val="nil"/>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238.7</w:t>
            </w:r>
          </w:p>
        </w:tc>
        <w:tc>
          <w:tcPr>
            <w:tcW w:w="1697" w:type="dxa"/>
            <w:tcBorders>
              <w:top w:val="nil"/>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3,692.3</w:t>
            </w:r>
          </w:p>
        </w:tc>
        <w:tc>
          <w:tcPr>
            <w:tcW w:w="1697" w:type="dxa"/>
            <w:tcBorders>
              <w:top w:val="nil"/>
              <w:left w:val="nil"/>
              <w:bottom w:val="single" w:sz="4" w:space="0" w:color="0C2749"/>
              <w:right w:val="single" w:sz="8"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3,999.9</w:t>
            </w:r>
          </w:p>
        </w:tc>
      </w:tr>
      <w:tr w:rsidR="008B162A" w:rsidRPr="008B162A" w:rsidTr="00BE7889">
        <w:trPr>
          <w:trHeight w:val="340"/>
          <w:jc w:val="center"/>
        </w:trPr>
        <w:tc>
          <w:tcPr>
            <w:tcW w:w="2422" w:type="dxa"/>
            <w:tcBorders>
              <w:top w:val="nil"/>
              <w:left w:val="single" w:sz="8" w:space="0" w:color="0C2749"/>
              <w:bottom w:val="single" w:sz="4" w:space="0" w:color="0C2749"/>
              <w:right w:val="single" w:sz="4" w:space="0" w:color="0C2749"/>
            </w:tcBorders>
            <w:shd w:val="clear" w:color="auto" w:fill="auto"/>
            <w:vAlign w:val="center"/>
            <w:hideMark/>
          </w:tcPr>
          <w:p w:rsidR="00AC094F" w:rsidRPr="008B162A" w:rsidRDefault="00AC094F" w:rsidP="00BE7889">
            <w:pPr>
              <w:keepNext/>
              <w:spacing w:before="0" w:after="0" w:line="240" w:lineRule="auto"/>
              <w:rPr>
                <w:rFonts w:ascii="Century Gothic" w:hAnsi="Century Gothic"/>
                <w:sz w:val="16"/>
                <w:szCs w:val="16"/>
                <w:lang w:eastAsia="en-GB"/>
              </w:rPr>
            </w:pPr>
            <w:r w:rsidRPr="008B162A">
              <w:rPr>
                <w:rFonts w:ascii="Century Gothic" w:hAnsi="Century Gothic"/>
                <w:sz w:val="16"/>
                <w:szCs w:val="16"/>
                <w:lang w:eastAsia="en-GB"/>
              </w:rPr>
              <w:t>GEOTIPO 3</w:t>
            </w:r>
          </w:p>
        </w:tc>
        <w:tc>
          <w:tcPr>
            <w:tcW w:w="1696" w:type="dxa"/>
            <w:tcBorders>
              <w:top w:val="nil"/>
              <w:left w:val="single" w:sz="8" w:space="0" w:color="0C2749"/>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78.8</w:t>
            </w:r>
          </w:p>
        </w:tc>
        <w:tc>
          <w:tcPr>
            <w:tcW w:w="1697" w:type="dxa"/>
            <w:tcBorders>
              <w:top w:val="nil"/>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328.1</w:t>
            </w:r>
          </w:p>
        </w:tc>
        <w:tc>
          <w:tcPr>
            <w:tcW w:w="1697" w:type="dxa"/>
            <w:tcBorders>
              <w:top w:val="nil"/>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3,926.2</w:t>
            </w:r>
          </w:p>
        </w:tc>
        <w:tc>
          <w:tcPr>
            <w:tcW w:w="1697" w:type="dxa"/>
            <w:tcBorders>
              <w:top w:val="nil"/>
              <w:left w:val="nil"/>
              <w:bottom w:val="single" w:sz="4" w:space="0" w:color="0C2749"/>
              <w:right w:val="single" w:sz="8"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4,333.1</w:t>
            </w:r>
          </w:p>
        </w:tc>
      </w:tr>
      <w:tr w:rsidR="008B162A" w:rsidRPr="008B162A" w:rsidTr="00BE7889">
        <w:trPr>
          <w:trHeight w:val="340"/>
          <w:jc w:val="center"/>
        </w:trPr>
        <w:tc>
          <w:tcPr>
            <w:tcW w:w="2422" w:type="dxa"/>
            <w:tcBorders>
              <w:top w:val="nil"/>
              <w:left w:val="single" w:sz="8" w:space="0" w:color="0C2749"/>
              <w:bottom w:val="single" w:sz="4" w:space="0" w:color="0C2749"/>
              <w:right w:val="single" w:sz="4" w:space="0" w:color="0C2749"/>
            </w:tcBorders>
            <w:shd w:val="clear" w:color="auto" w:fill="auto"/>
            <w:vAlign w:val="center"/>
            <w:hideMark/>
          </w:tcPr>
          <w:p w:rsidR="00AC094F" w:rsidRPr="008B162A" w:rsidRDefault="00AC094F" w:rsidP="00BE7889">
            <w:pPr>
              <w:keepNext/>
              <w:spacing w:before="0" w:after="0" w:line="240" w:lineRule="auto"/>
              <w:rPr>
                <w:rFonts w:ascii="Century Gothic" w:hAnsi="Century Gothic"/>
                <w:sz w:val="16"/>
                <w:szCs w:val="16"/>
                <w:lang w:eastAsia="en-GB"/>
              </w:rPr>
            </w:pPr>
            <w:r w:rsidRPr="008B162A">
              <w:rPr>
                <w:rFonts w:ascii="Century Gothic" w:hAnsi="Century Gothic"/>
                <w:sz w:val="16"/>
                <w:szCs w:val="16"/>
                <w:lang w:eastAsia="en-GB"/>
              </w:rPr>
              <w:t>GEOTIPO 4</w:t>
            </w:r>
          </w:p>
        </w:tc>
        <w:tc>
          <w:tcPr>
            <w:tcW w:w="1696" w:type="dxa"/>
            <w:tcBorders>
              <w:top w:val="nil"/>
              <w:left w:val="single" w:sz="8" w:space="0" w:color="0C2749"/>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287.1</w:t>
            </w:r>
          </w:p>
        </w:tc>
        <w:tc>
          <w:tcPr>
            <w:tcW w:w="1697" w:type="dxa"/>
            <w:tcBorders>
              <w:top w:val="nil"/>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341.6</w:t>
            </w:r>
          </w:p>
        </w:tc>
        <w:tc>
          <w:tcPr>
            <w:tcW w:w="1697" w:type="dxa"/>
            <w:tcBorders>
              <w:top w:val="nil"/>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3,396.6</w:t>
            </w:r>
          </w:p>
        </w:tc>
        <w:tc>
          <w:tcPr>
            <w:tcW w:w="1697" w:type="dxa"/>
            <w:tcBorders>
              <w:top w:val="nil"/>
              <w:left w:val="nil"/>
              <w:bottom w:val="single" w:sz="4" w:space="0" w:color="0C2749"/>
              <w:right w:val="single" w:sz="8"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4,025.3</w:t>
            </w:r>
          </w:p>
        </w:tc>
      </w:tr>
      <w:tr w:rsidR="008B162A" w:rsidRPr="008B162A" w:rsidTr="00BE7889">
        <w:trPr>
          <w:trHeight w:val="340"/>
          <w:jc w:val="center"/>
        </w:trPr>
        <w:tc>
          <w:tcPr>
            <w:tcW w:w="2422" w:type="dxa"/>
            <w:tcBorders>
              <w:top w:val="nil"/>
              <w:left w:val="single" w:sz="8" w:space="0" w:color="0C2749"/>
              <w:bottom w:val="single" w:sz="4" w:space="0" w:color="0C2749"/>
              <w:right w:val="single" w:sz="4" w:space="0" w:color="0C2749"/>
            </w:tcBorders>
            <w:shd w:val="clear" w:color="auto" w:fill="auto"/>
            <w:vAlign w:val="center"/>
            <w:hideMark/>
          </w:tcPr>
          <w:p w:rsidR="00AC094F" w:rsidRPr="008B162A" w:rsidRDefault="00AC094F" w:rsidP="00BE7889">
            <w:pPr>
              <w:keepNext/>
              <w:spacing w:before="0" w:after="0" w:line="240" w:lineRule="auto"/>
              <w:rPr>
                <w:rFonts w:ascii="Century Gothic" w:hAnsi="Century Gothic"/>
                <w:sz w:val="16"/>
                <w:szCs w:val="16"/>
                <w:lang w:eastAsia="en-GB"/>
              </w:rPr>
            </w:pPr>
            <w:r w:rsidRPr="008B162A">
              <w:rPr>
                <w:rFonts w:ascii="Century Gothic" w:hAnsi="Century Gothic"/>
                <w:sz w:val="16"/>
                <w:szCs w:val="16"/>
                <w:lang w:eastAsia="en-GB"/>
              </w:rPr>
              <w:t>GEOTIPO 5</w:t>
            </w:r>
          </w:p>
        </w:tc>
        <w:tc>
          <w:tcPr>
            <w:tcW w:w="1696" w:type="dxa"/>
            <w:tcBorders>
              <w:top w:val="nil"/>
              <w:left w:val="single" w:sz="8" w:space="0" w:color="0C2749"/>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88.9</w:t>
            </w:r>
          </w:p>
        </w:tc>
        <w:tc>
          <w:tcPr>
            <w:tcW w:w="1697" w:type="dxa"/>
            <w:tcBorders>
              <w:top w:val="nil"/>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237.7</w:t>
            </w:r>
          </w:p>
        </w:tc>
        <w:tc>
          <w:tcPr>
            <w:tcW w:w="1697" w:type="dxa"/>
            <w:tcBorders>
              <w:top w:val="nil"/>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3,818.5</w:t>
            </w:r>
          </w:p>
        </w:tc>
        <w:tc>
          <w:tcPr>
            <w:tcW w:w="1697" w:type="dxa"/>
            <w:tcBorders>
              <w:top w:val="nil"/>
              <w:left w:val="nil"/>
              <w:bottom w:val="single" w:sz="4" w:space="0" w:color="0C2749"/>
              <w:right w:val="single" w:sz="8"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4,145.1</w:t>
            </w:r>
          </w:p>
        </w:tc>
      </w:tr>
      <w:tr w:rsidR="008B162A" w:rsidRPr="008B162A" w:rsidTr="00BE7889">
        <w:trPr>
          <w:trHeight w:val="340"/>
          <w:jc w:val="center"/>
        </w:trPr>
        <w:tc>
          <w:tcPr>
            <w:tcW w:w="2422" w:type="dxa"/>
            <w:tcBorders>
              <w:top w:val="nil"/>
              <w:left w:val="single" w:sz="8" w:space="0" w:color="0C2749"/>
              <w:bottom w:val="single" w:sz="4" w:space="0" w:color="0C2749"/>
              <w:right w:val="single" w:sz="4" w:space="0" w:color="0C2749"/>
            </w:tcBorders>
            <w:shd w:val="clear" w:color="auto" w:fill="auto"/>
            <w:vAlign w:val="center"/>
            <w:hideMark/>
          </w:tcPr>
          <w:p w:rsidR="00AC094F" w:rsidRPr="008B162A" w:rsidRDefault="00AC094F" w:rsidP="00BE7889">
            <w:pPr>
              <w:keepNext/>
              <w:spacing w:before="0" w:after="0" w:line="240" w:lineRule="auto"/>
              <w:rPr>
                <w:rFonts w:ascii="Century Gothic" w:hAnsi="Century Gothic"/>
                <w:sz w:val="16"/>
                <w:szCs w:val="16"/>
                <w:lang w:eastAsia="en-GB"/>
              </w:rPr>
            </w:pPr>
            <w:r w:rsidRPr="008B162A">
              <w:rPr>
                <w:rFonts w:ascii="Century Gothic" w:hAnsi="Century Gothic"/>
                <w:sz w:val="16"/>
                <w:szCs w:val="16"/>
                <w:lang w:eastAsia="en-GB"/>
              </w:rPr>
              <w:t>GEOTIPO 6</w:t>
            </w:r>
          </w:p>
        </w:tc>
        <w:tc>
          <w:tcPr>
            <w:tcW w:w="1696" w:type="dxa"/>
            <w:tcBorders>
              <w:top w:val="nil"/>
              <w:left w:val="single" w:sz="8" w:space="0" w:color="0C2749"/>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67.9</w:t>
            </w:r>
          </w:p>
        </w:tc>
        <w:tc>
          <w:tcPr>
            <w:tcW w:w="1697" w:type="dxa"/>
            <w:tcBorders>
              <w:top w:val="nil"/>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172.7</w:t>
            </w:r>
          </w:p>
        </w:tc>
        <w:tc>
          <w:tcPr>
            <w:tcW w:w="1697" w:type="dxa"/>
            <w:tcBorders>
              <w:top w:val="nil"/>
              <w:left w:val="nil"/>
              <w:bottom w:val="single" w:sz="4"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4,382.7</w:t>
            </w:r>
          </w:p>
        </w:tc>
        <w:tc>
          <w:tcPr>
            <w:tcW w:w="1697" w:type="dxa"/>
            <w:tcBorders>
              <w:top w:val="nil"/>
              <w:left w:val="nil"/>
              <w:bottom w:val="single" w:sz="4" w:space="0" w:color="0C2749"/>
              <w:right w:val="single" w:sz="8"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4,623.3</w:t>
            </w:r>
          </w:p>
        </w:tc>
      </w:tr>
      <w:tr w:rsidR="008B162A" w:rsidRPr="008B162A" w:rsidTr="00BE7889">
        <w:trPr>
          <w:trHeight w:val="340"/>
          <w:jc w:val="center"/>
        </w:trPr>
        <w:tc>
          <w:tcPr>
            <w:tcW w:w="2422" w:type="dxa"/>
            <w:tcBorders>
              <w:top w:val="nil"/>
              <w:left w:val="single" w:sz="8" w:space="0" w:color="0C2749"/>
              <w:bottom w:val="single" w:sz="8" w:space="0" w:color="0C2749"/>
              <w:right w:val="single" w:sz="4" w:space="0" w:color="0C2749"/>
            </w:tcBorders>
            <w:shd w:val="clear" w:color="auto" w:fill="auto"/>
            <w:vAlign w:val="center"/>
            <w:hideMark/>
          </w:tcPr>
          <w:p w:rsidR="00AC094F" w:rsidRPr="008B162A" w:rsidRDefault="00AC094F" w:rsidP="00BE7889">
            <w:pPr>
              <w:keepNext/>
              <w:spacing w:before="0" w:after="0" w:line="240" w:lineRule="auto"/>
              <w:rPr>
                <w:rFonts w:ascii="Century Gothic" w:hAnsi="Century Gothic"/>
                <w:b/>
                <w:bCs/>
                <w:sz w:val="16"/>
                <w:szCs w:val="16"/>
                <w:lang w:eastAsia="en-GB"/>
              </w:rPr>
            </w:pPr>
            <w:r w:rsidRPr="008B162A">
              <w:rPr>
                <w:rFonts w:ascii="Century Gothic" w:hAnsi="Century Gothic"/>
                <w:b/>
                <w:bCs/>
                <w:sz w:val="16"/>
                <w:szCs w:val="16"/>
                <w:lang w:eastAsia="en-GB"/>
              </w:rPr>
              <w:t>PROMEDIO NACIONAL</w:t>
            </w:r>
          </w:p>
        </w:tc>
        <w:tc>
          <w:tcPr>
            <w:tcW w:w="1696" w:type="dxa"/>
            <w:tcBorders>
              <w:top w:val="nil"/>
              <w:left w:val="single" w:sz="8" w:space="0" w:color="0C2749"/>
              <w:bottom w:val="single" w:sz="8"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75.1</w:t>
            </w:r>
          </w:p>
        </w:tc>
        <w:tc>
          <w:tcPr>
            <w:tcW w:w="1697" w:type="dxa"/>
            <w:tcBorders>
              <w:top w:val="nil"/>
              <w:left w:val="nil"/>
              <w:bottom w:val="single" w:sz="8"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250.7</w:t>
            </w:r>
          </w:p>
        </w:tc>
        <w:tc>
          <w:tcPr>
            <w:tcW w:w="1697" w:type="dxa"/>
            <w:tcBorders>
              <w:top w:val="nil"/>
              <w:left w:val="nil"/>
              <w:bottom w:val="single" w:sz="8" w:space="0" w:color="0C2749"/>
              <w:right w:val="single" w:sz="4"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4,352.3</w:t>
            </w:r>
          </w:p>
        </w:tc>
        <w:tc>
          <w:tcPr>
            <w:tcW w:w="1697" w:type="dxa"/>
            <w:tcBorders>
              <w:top w:val="nil"/>
              <w:left w:val="nil"/>
              <w:bottom w:val="single" w:sz="8" w:space="0" w:color="0C2749"/>
              <w:right w:val="single" w:sz="8" w:space="0" w:color="0C2749"/>
            </w:tcBorders>
            <w:shd w:val="clear" w:color="auto" w:fill="auto"/>
            <w:vAlign w:val="center"/>
          </w:tcPr>
          <w:p w:rsidR="00AC094F" w:rsidRPr="008B162A" w:rsidRDefault="00AC094F" w:rsidP="00BE7889">
            <w:pPr>
              <w:keepNext/>
              <w:spacing w:before="0" w:after="0" w:line="240" w:lineRule="auto"/>
              <w:jc w:val="center"/>
              <w:rPr>
                <w:rFonts w:ascii="Century Gothic" w:hAnsi="Century Gothic"/>
                <w:sz w:val="16"/>
                <w:szCs w:val="16"/>
                <w:lang w:eastAsia="en-GB"/>
              </w:rPr>
            </w:pPr>
            <w:r w:rsidRPr="008B162A">
              <w:rPr>
                <w:rFonts w:ascii="Century Gothic" w:hAnsi="Century Gothic"/>
                <w:sz w:val="16"/>
                <w:szCs w:val="16"/>
              </w:rPr>
              <w:t>4,678.1</w:t>
            </w:r>
          </w:p>
        </w:tc>
      </w:tr>
    </w:tbl>
    <w:p w:rsidR="00482695" w:rsidRPr="008B162A" w:rsidRDefault="00BE7889" w:rsidP="00AD585F">
      <w:pPr>
        <w:pStyle w:val="Descripcin"/>
        <w:rPr>
          <w:rFonts w:ascii="Century Gothic" w:hAnsi="Century Gothic"/>
        </w:rPr>
      </w:pPr>
      <w:r w:rsidRPr="008B162A">
        <w:rPr>
          <w:rFonts w:ascii="Century Gothic" w:hAnsi="Century Gothic"/>
        </w:rPr>
        <w:t xml:space="preserve">Tabla </w:t>
      </w:r>
      <w:r w:rsidRPr="008B162A">
        <w:rPr>
          <w:rFonts w:ascii="Century Gothic" w:hAnsi="Century Gothic"/>
        </w:rPr>
        <w:fldChar w:fldCharType="begin"/>
      </w:r>
      <w:r w:rsidRPr="008B162A">
        <w:rPr>
          <w:rFonts w:ascii="Century Gothic" w:hAnsi="Century Gothic"/>
        </w:rPr>
        <w:instrText xml:space="preserve"> STYLEREF 1 \s </w:instrText>
      </w:r>
      <w:r w:rsidRPr="008B162A">
        <w:rPr>
          <w:rFonts w:ascii="Century Gothic" w:hAnsi="Century Gothic"/>
        </w:rPr>
        <w:fldChar w:fldCharType="separate"/>
      </w:r>
      <w:r w:rsidR="00431406">
        <w:rPr>
          <w:rFonts w:ascii="Century Gothic" w:hAnsi="Century Gothic"/>
          <w:noProof/>
        </w:rPr>
        <w:t>4</w:t>
      </w:r>
      <w:r w:rsidRPr="008B162A">
        <w:rPr>
          <w:rFonts w:ascii="Century Gothic" w:hAnsi="Century Gothic"/>
        </w:rPr>
        <w:fldChar w:fldCharType="end"/>
      </w:r>
      <w:r w:rsidRPr="008B162A">
        <w:rPr>
          <w:rFonts w:ascii="Century Gothic" w:hAnsi="Century Gothic"/>
        </w:rPr>
        <w:t>.</w:t>
      </w:r>
      <w:r w:rsidRPr="008B162A">
        <w:rPr>
          <w:rFonts w:ascii="Century Gothic" w:hAnsi="Century Gothic"/>
        </w:rPr>
        <w:fldChar w:fldCharType="begin"/>
      </w:r>
      <w:r w:rsidRPr="008B162A">
        <w:rPr>
          <w:rFonts w:ascii="Century Gothic" w:hAnsi="Century Gothic"/>
        </w:rPr>
        <w:instrText xml:space="preserve"> SEQ Table \* ARABIC \s 1 </w:instrText>
      </w:r>
      <w:r w:rsidRPr="008B162A">
        <w:rPr>
          <w:rFonts w:ascii="Century Gothic" w:hAnsi="Century Gothic"/>
        </w:rPr>
        <w:fldChar w:fldCharType="separate"/>
      </w:r>
      <w:r w:rsidR="00431406">
        <w:rPr>
          <w:rFonts w:ascii="Century Gothic" w:hAnsi="Century Gothic"/>
          <w:noProof/>
        </w:rPr>
        <w:t>1</w:t>
      </w:r>
      <w:r w:rsidRPr="008B162A">
        <w:rPr>
          <w:rFonts w:ascii="Century Gothic" w:hAnsi="Century Gothic"/>
        </w:rPr>
        <w:fldChar w:fldCharType="end"/>
      </w:r>
      <w:r w:rsidRPr="008B162A">
        <w:rPr>
          <w:rFonts w:ascii="Century Gothic" w:hAnsi="Century Gothic"/>
        </w:rPr>
        <w:t xml:space="preserve">: Longitud </w:t>
      </w:r>
      <w:r w:rsidR="00AD585F" w:rsidRPr="008B162A">
        <w:rPr>
          <w:rFonts w:ascii="Century Gothic" w:hAnsi="Century Gothic"/>
        </w:rPr>
        <w:t xml:space="preserve">por carretera </w:t>
      </w:r>
      <w:r w:rsidRPr="008B162A">
        <w:rPr>
          <w:rFonts w:ascii="Century Gothic" w:hAnsi="Century Gothic"/>
        </w:rPr>
        <w:t>promedio</w:t>
      </w:r>
      <w:r w:rsidR="00AD585F" w:rsidRPr="008B162A">
        <w:rPr>
          <w:rFonts w:ascii="Century Gothic" w:hAnsi="Century Gothic"/>
        </w:rPr>
        <w:t xml:space="preserve"> </w:t>
      </w:r>
      <w:r w:rsidRPr="008B162A">
        <w:rPr>
          <w:rFonts w:ascii="Century Gothic" w:hAnsi="Century Gothic"/>
        </w:rPr>
        <w:t xml:space="preserve">del bucle local de fibra en acometida, red secundaria y la red primaria [Fuente: </w:t>
      </w:r>
      <w:r w:rsidR="006B7D75" w:rsidRPr="008B162A">
        <w:rPr>
          <w:rFonts w:ascii="Century Gothic" w:hAnsi="Century Gothic"/>
        </w:rPr>
        <w:t>IFT, 2016</w:t>
      </w:r>
      <w:r w:rsidRPr="008B162A">
        <w:rPr>
          <w:rFonts w:ascii="Century Gothic" w:hAnsi="Century Gothic"/>
        </w:rPr>
        <w:t>]</w:t>
      </w:r>
      <w:bookmarkStart w:id="89" w:name="_Ref459799104"/>
      <w:bookmarkStart w:id="90" w:name="_Ref327362732"/>
      <w:bookmarkStart w:id="91" w:name="_Ref410656074"/>
      <w:bookmarkStart w:id="92" w:name="_Toc431900683"/>
    </w:p>
    <w:p w:rsidR="007B6445" w:rsidRPr="008B162A" w:rsidRDefault="00482695" w:rsidP="00482695">
      <w:pPr>
        <w:pStyle w:val="Ttulo1"/>
        <w:rPr>
          <w:rFonts w:ascii="Century Gothic" w:hAnsi="Century Gothic"/>
          <w:color w:val="auto"/>
          <w:lang w:val="es-CR"/>
        </w:rPr>
      </w:pPr>
      <w:r w:rsidRPr="008B162A">
        <w:rPr>
          <w:rFonts w:ascii="Century Gothic" w:hAnsi="Century Gothic"/>
          <w:color w:val="auto"/>
          <w:lang w:val="es-CR"/>
        </w:rPr>
        <w:lastRenderedPageBreak/>
        <w:t xml:space="preserve"> </w:t>
      </w:r>
      <w:bookmarkStart w:id="93" w:name="_Toc461625904"/>
      <w:r w:rsidR="007B6445" w:rsidRPr="008B162A">
        <w:rPr>
          <w:rFonts w:ascii="Century Gothic" w:hAnsi="Century Gothic"/>
          <w:color w:val="auto"/>
          <w:lang w:val="es-CR"/>
        </w:rPr>
        <w:t>Arquitectura del modelo</w:t>
      </w:r>
      <w:bookmarkEnd w:id="89"/>
      <w:bookmarkEnd w:id="93"/>
    </w:p>
    <w:p w:rsidR="00022367" w:rsidRPr="008B162A" w:rsidRDefault="007B6445" w:rsidP="00022367">
      <w:pPr>
        <w:spacing w:line="360" w:lineRule="auto"/>
        <w:rPr>
          <w:rFonts w:ascii="Century Gothic" w:hAnsi="Century Gothic"/>
          <w:lang w:val="es-CR"/>
        </w:rPr>
      </w:pPr>
      <w:r w:rsidRPr="008B162A">
        <w:rPr>
          <w:rFonts w:ascii="Century Gothic" w:hAnsi="Century Gothic"/>
          <w:lang w:val="es-CR"/>
        </w:rPr>
        <w:t xml:space="preserve">Este capítulo </w:t>
      </w:r>
      <w:r w:rsidR="00022367" w:rsidRPr="008B162A">
        <w:rPr>
          <w:rFonts w:ascii="Century Gothic" w:hAnsi="Century Gothic"/>
          <w:lang w:val="es-CR"/>
        </w:rPr>
        <w:t xml:space="preserve">presenta la estructura </w:t>
      </w:r>
      <w:r w:rsidRPr="008B162A">
        <w:rPr>
          <w:rFonts w:ascii="Century Gothic" w:hAnsi="Century Gothic"/>
          <w:lang w:val="es-CR"/>
        </w:rPr>
        <w:t>general del modelo</w:t>
      </w:r>
      <w:r w:rsidR="00022367" w:rsidRPr="008B162A">
        <w:rPr>
          <w:rFonts w:ascii="Century Gothic" w:hAnsi="Century Gothic"/>
          <w:lang w:val="es-CR"/>
        </w:rPr>
        <w:t>, detallando sus bloques y flujo de cálculo</w:t>
      </w:r>
      <w:r w:rsidRPr="008B162A">
        <w:rPr>
          <w:rFonts w:ascii="Century Gothic" w:hAnsi="Century Gothic"/>
          <w:lang w:val="es-CR"/>
        </w:rPr>
        <w:t xml:space="preserve">. </w:t>
      </w:r>
    </w:p>
    <w:p w:rsidR="00022367" w:rsidRPr="008B162A" w:rsidRDefault="007B6445" w:rsidP="00022367">
      <w:pPr>
        <w:spacing w:line="360" w:lineRule="auto"/>
        <w:rPr>
          <w:rFonts w:ascii="Century Gothic" w:hAnsi="Century Gothic"/>
          <w:lang w:val="es-CR"/>
        </w:rPr>
      </w:pPr>
      <w:r w:rsidRPr="008B162A">
        <w:rPr>
          <w:rFonts w:ascii="Century Gothic" w:hAnsi="Century Gothic"/>
          <w:lang w:val="es-CR"/>
        </w:rPr>
        <w:t xml:space="preserve">La </w:t>
      </w:r>
      <w:r w:rsidR="00022367" w:rsidRPr="008B162A">
        <w:rPr>
          <w:rFonts w:ascii="Century Gothic" w:hAnsi="Century Gothic"/>
          <w:lang w:val="es-CR"/>
        </w:rPr>
        <w:t xml:space="preserve">siguiente </w:t>
      </w:r>
      <w:r w:rsidRPr="008B162A">
        <w:rPr>
          <w:rFonts w:ascii="Century Gothic" w:hAnsi="Century Gothic"/>
          <w:lang w:val="es-CR"/>
        </w:rPr>
        <w:t xml:space="preserve">ilustración </w:t>
      </w:r>
      <w:r w:rsidR="00022367" w:rsidRPr="008B162A">
        <w:rPr>
          <w:rFonts w:ascii="Century Gothic" w:hAnsi="Century Gothic"/>
          <w:lang w:val="es-CR"/>
        </w:rPr>
        <w:t xml:space="preserve">presenta una visión a alto nivel de los diferentes </w:t>
      </w:r>
      <w:r w:rsidRPr="008B162A">
        <w:rPr>
          <w:rFonts w:ascii="Century Gothic" w:hAnsi="Century Gothic"/>
          <w:lang w:val="es-CR"/>
        </w:rPr>
        <w:t xml:space="preserve">bloques funcionales </w:t>
      </w:r>
      <w:r w:rsidR="00022367" w:rsidRPr="008B162A">
        <w:rPr>
          <w:rFonts w:ascii="Century Gothic" w:hAnsi="Century Gothic"/>
          <w:lang w:val="es-CR"/>
        </w:rPr>
        <w:t>que componen el modelo:</w:t>
      </w:r>
    </w:p>
    <w:p w:rsidR="003F5652" w:rsidRPr="008B162A" w:rsidRDefault="003F5652" w:rsidP="00DB1F26">
      <w:pPr>
        <w:spacing w:after="0" w:line="360" w:lineRule="auto"/>
        <w:jc w:val="center"/>
        <w:rPr>
          <w:rFonts w:ascii="Century Gothic" w:hAnsi="Century Gothic"/>
        </w:rPr>
      </w:pPr>
    </w:p>
    <w:p w:rsidR="00882FD3" w:rsidRPr="008B162A" w:rsidRDefault="00492584" w:rsidP="00853D6E">
      <w:pPr>
        <w:spacing w:after="0" w:line="360" w:lineRule="auto"/>
        <w:jc w:val="center"/>
        <w:rPr>
          <w:rFonts w:ascii="Century Gothic" w:hAnsi="Century Gothic"/>
        </w:rPr>
      </w:pPr>
      <w:r w:rsidRPr="008B162A">
        <w:rPr>
          <w:rFonts w:ascii="Century Gothic" w:hAnsi="Century Gothic"/>
        </w:rPr>
        <w:t xml:space="preserve"> </w:t>
      </w:r>
      <w:r w:rsidR="00853D6E" w:rsidRPr="008B162A">
        <w:rPr>
          <w:rFonts w:ascii="Century Gothic" w:hAnsi="Century Gothic"/>
        </w:rPr>
        <w:t xml:space="preserve"> </w:t>
      </w:r>
      <w:r w:rsidR="00853D6E" w:rsidRPr="008B162A">
        <w:rPr>
          <w:rFonts w:ascii="Century Gothic" w:hAnsi="Century Gothic"/>
          <w:noProof/>
          <w:lang w:eastAsia="es-MX"/>
        </w:rPr>
        <w:drawing>
          <wp:inline distT="0" distB="0" distL="0" distR="0" wp14:anchorId="364EDBC6" wp14:editId="0A51F920">
            <wp:extent cx="4845133" cy="3310688"/>
            <wp:effectExtent l="0" t="0" r="0" b="4445"/>
            <wp:docPr id="15" name="Picture 15"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54653" cy="3317193"/>
                    </a:xfrm>
                    <a:prstGeom prst="rect">
                      <a:avLst/>
                    </a:prstGeom>
                    <a:noFill/>
                    <a:ln>
                      <a:noFill/>
                    </a:ln>
                  </pic:spPr>
                </pic:pic>
              </a:graphicData>
            </a:graphic>
          </wp:inline>
        </w:drawing>
      </w:r>
    </w:p>
    <w:p w:rsidR="007B6445" w:rsidRPr="008B162A" w:rsidRDefault="007B6445" w:rsidP="007B6445">
      <w:pPr>
        <w:pStyle w:val="Descripcin"/>
        <w:rPr>
          <w:rFonts w:ascii="Century Gothic" w:hAnsi="Century Gothic"/>
          <w:lang w:val="es-CR"/>
        </w:rPr>
      </w:pPr>
      <w:r w:rsidRPr="008B162A">
        <w:rPr>
          <w:rFonts w:ascii="Century Gothic" w:hAnsi="Century Gothic"/>
          <w:lang w:val="es-CR"/>
        </w:rPr>
        <w:t xml:space="preserve">Ilustración </w:t>
      </w:r>
      <w:r w:rsidR="006F7424" w:rsidRPr="008B162A">
        <w:rPr>
          <w:rFonts w:ascii="Century Gothic" w:hAnsi="Century Gothic"/>
          <w:lang w:val="es-CR"/>
        </w:rPr>
        <w:fldChar w:fldCharType="begin"/>
      </w:r>
      <w:r w:rsidR="006F7424" w:rsidRPr="008B162A">
        <w:rPr>
          <w:rFonts w:ascii="Century Gothic" w:hAnsi="Century Gothic"/>
          <w:lang w:val="es-CR"/>
        </w:rPr>
        <w:instrText xml:space="preserve"> STYLEREF 1 \s </w:instrText>
      </w:r>
      <w:r w:rsidR="006F7424" w:rsidRPr="008B162A">
        <w:rPr>
          <w:rFonts w:ascii="Century Gothic" w:hAnsi="Century Gothic"/>
          <w:lang w:val="es-CR"/>
        </w:rPr>
        <w:fldChar w:fldCharType="separate"/>
      </w:r>
      <w:r w:rsidR="00431406">
        <w:rPr>
          <w:rFonts w:ascii="Century Gothic" w:hAnsi="Century Gothic"/>
          <w:noProof/>
          <w:lang w:val="es-CR"/>
        </w:rPr>
        <w:t>5</w:t>
      </w:r>
      <w:r w:rsidR="006F7424" w:rsidRPr="008B162A">
        <w:rPr>
          <w:rFonts w:ascii="Century Gothic" w:hAnsi="Century Gothic"/>
          <w:lang w:val="es-CR"/>
        </w:rPr>
        <w:fldChar w:fldCharType="end"/>
      </w:r>
      <w:r w:rsidR="006F7424" w:rsidRPr="008B162A">
        <w:rPr>
          <w:rFonts w:ascii="Century Gothic" w:hAnsi="Century Gothic"/>
          <w:lang w:val="es-CR"/>
        </w:rPr>
        <w:t>.</w:t>
      </w:r>
      <w:r w:rsidR="006F7424" w:rsidRPr="008B162A">
        <w:rPr>
          <w:rFonts w:ascii="Century Gothic" w:hAnsi="Century Gothic"/>
          <w:lang w:val="es-CR"/>
        </w:rPr>
        <w:fldChar w:fldCharType="begin"/>
      </w:r>
      <w:r w:rsidR="006F7424" w:rsidRPr="008B162A">
        <w:rPr>
          <w:rFonts w:ascii="Century Gothic" w:hAnsi="Century Gothic"/>
          <w:lang w:val="es-CR"/>
        </w:rPr>
        <w:instrText xml:space="preserve"> SEQ Ilustración \* ARABIC \s 1 </w:instrText>
      </w:r>
      <w:r w:rsidR="006F7424" w:rsidRPr="008B162A">
        <w:rPr>
          <w:rFonts w:ascii="Century Gothic" w:hAnsi="Century Gothic"/>
          <w:lang w:val="es-CR"/>
        </w:rPr>
        <w:fldChar w:fldCharType="separate"/>
      </w:r>
      <w:r w:rsidR="00431406">
        <w:rPr>
          <w:rFonts w:ascii="Century Gothic" w:hAnsi="Century Gothic"/>
          <w:noProof/>
          <w:lang w:val="es-CR"/>
        </w:rPr>
        <w:t>1</w:t>
      </w:r>
      <w:r w:rsidR="006F7424" w:rsidRPr="008B162A">
        <w:rPr>
          <w:rFonts w:ascii="Century Gothic" w:hAnsi="Century Gothic"/>
          <w:lang w:val="es-CR"/>
        </w:rPr>
        <w:fldChar w:fldCharType="end"/>
      </w:r>
      <w:r w:rsidRPr="008B162A">
        <w:rPr>
          <w:rFonts w:ascii="Century Gothic" w:hAnsi="Century Gothic"/>
          <w:lang w:val="es-CR"/>
        </w:rPr>
        <w:t xml:space="preserve">: Estructura del Modelo </w:t>
      </w:r>
      <w:r w:rsidR="00CD2A5B" w:rsidRPr="008B162A">
        <w:rPr>
          <w:rFonts w:ascii="Century Gothic" w:hAnsi="Century Gothic"/>
          <w:lang w:val="es-CR"/>
        </w:rPr>
        <w:t xml:space="preserve">CIPLP </w:t>
      </w:r>
      <w:r w:rsidRPr="008B162A">
        <w:rPr>
          <w:rFonts w:ascii="Century Gothic" w:hAnsi="Century Gothic"/>
          <w:lang w:val="es-CR"/>
        </w:rPr>
        <w:t xml:space="preserve">[Fuente: </w:t>
      </w:r>
      <w:r w:rsidR="006B7D75" w:rsidRPr="008B162A">
        <w:rPr>
          <w:rFonts w:ascii="Century Gothic" w:hAnsi="Century Gothic"/>
          <w:lang w:val="es-CR"/>
        </w:rPr>
        <w:t>IFT, 2016</w:t>
      </w:r>
      <w:r w:rsidRPr="008B162A">
        <w:rPr>
          <w:rFonts w:ascii="Century Gothic" w:hAnsi="Century Gothic"/>
          <w:lang w:val="es-CR"/>
        </w:rPr>
        <w:t>]</w:t>
      </w:r>
    </w:p>
    <w:p w:rsidR="007B6445" w:rsidRPr="008B162A" w:rsidRDefault="00022367" w:rsidP="007B6445">
      <w:pPr>
        <w:spacing w:line="360" w:lineRule="auto"/>
        <w:rPr>
          <w:rFonts w:ascii="Century Gothic" w:hAnsi="Century Gothic"/>
          <w:lang w:val="es-CR"/>
        </w:rPr>
      </w:pPr>
      <w:r w:rsidRPr="008B162A">
        <w:rPr>
          <w:rFonts w:ascii="Century Gothic" w:hAnsi="Century Gothic"/>
          <w:lang w:val="es-CR"/>
        </w:rPr>
        <w:t>A continuación se describen los anteriores bloques funcionales del modelo:</w:t>
      </w:r>
    </w:p>
    <w:p w:rsidR="007B6445" w:rsidRPr="008B162A" w:rsidRDefault="00853D6E" w:rsidP="00893B87">
      <w:pPr>
        <w:pStyle w:val="Indentado1"/>
      </w:pPr>
      <w:r w:rsidRPr="008B162A">
        <w:rPr>
          <w:b/>
        </w:rPr>
        <w:t xml:space="preserve">Conductores </w:t>
      </w:r>
      <w:r w:rsidR="007B6445" w:rsidRPr="008B162A">
        <w:rPr>
          <w:b/>
        </w:rPr>
        <w:t>de dimensionamiento</w:t>
      </w:r>
      <w:r w:rsidR="007B6445" w:rsidRPr="008B162A">
        <w:t xml:space="preserve">: expresa el </w:t>
      </w:r>
      <w:r w:rsidR="00BB4F48" w:rsidRPr="008B162A">
        <w:t xml:space="preserve">volumen de demanda </w:t>
      </w:r>
      <w:r w:rsidR="007B6445" w:rsidRPr="008B162A">
        <w:t>en función de variables de dimensionamiento (</w:t>
      </w:r>
      <w:r w:rsidRPr="008B162A">
        <w:t>conductores</w:t>
      </w:r>
      <w:r w:rsidR="007B6445" w:rsidRPr="008B162A">
        <w:t>) que facilitan el posterior dimensionado de los recursos de red</w:t>
      </w:r>
    </w:p>
    <w:p w:rsidR="007B6445" w:rsidRPr="008B162A" w:rsidRDefault="007B6445" w:rsidP="00893B87">
      <w:pPr>
        <w:pStyle w:val="Indentado1"/>
      </w:pPr>
      <w:r w:rsidRPr="008B162A">
        <w:rPr>
          <w:b/>
        </w:rPr>
        <w:t>Módulo de dimensionamiento</w:t>
      </w:r>
      <w:r w:rsidRPr="008B162A">
        <w:t xml:space="preserve">: </w:t>
      </w:r>
      <w:r w:rsidR="00022367" w:rsidRPr="008B162A">
        <w:t xml:space="preserve">es el responsable de construir la red e identificar el número de elementos de red necesarios </w:t>
      </w:r>
      <w:r w:rsidRPr="008B162A">
        <w:t>para suministrar los principales servicios provistos por el operador. Se distinguen módulos de acceso a la red de fibra, infraestructura de acceso y dimensionamiento de los sitios de acceso.</w:t>
      </w:r>
    </w:p>
    <w:p w:rsidR="00716C31" w:rsidRPr="008B162A" w:rsidRDefault="00022367" w:rsidP="00893B87">
      <w:pPr>
        <w:pStyle w:val="Indentado1"/>
        <w:numPr>
          <w:ilvl w:val="0"/>
          <w:numId w:val="0"/>
        </w:numPr>
        <w:ind w:left="720"/>
      </w:pPr>
      <w:r w:rsidRPr="008B162A">
        <w:lastRenderedPageBreak/>
        <w:t xml:space="preserve">Este módulo recoge la información de demanda de los </w:t>
      </w:r>
      <w:r w:rsidR="006C0492" w:rsidRPr="008B162A">
        <w:t>servicios,</w:t>
      </w:r>
      <w:r w:rsidRPr="008B162A">
        <w:t xml:space="preserve"> así como los datos geográficos para </w:t>
      </w:r>
      <w:r w:rsidR="00716C31" w:rsidRPr="008B162A">
        <w:t>la correcta implementación de los algoritmos técnicos de dimensionado.</w:t>
      </w:r>
    </w:p>
    <w:p w:rsidR="007B6445" w:rsidRPr="008B162A" w:rsidRDefault="007B6445" w:rsidP="00893B87">
      <w:pPr>
        <w:pStyle w:val="Indentado1"/>
      </w:pPr>
      <w:r w:rsidRPr="008B162A">
        <w:rPr>
          <w:b/>
        </w:rPr>
        <w:t xml:space="preserve">Cálculo de costos </w:t>
      </w:r>
      <w:proofErr w:type="spellStart"/>
      <w:r w:rsidRPr="008B162A">
        <w:rPr>
          <w:b/>
        </w:rPr>
        <w:t>C</w:t>
      </w:r>
      <w:r w:rsidR="00716C31" w:rsidRPr="008B162A">
        <w:rPr>
          <w:b/>
        </w:rPr>
        <w:t>ap</w:t>
      </w:r>
      <w:r w:rsidRPr="008B162A">
        <w:rPr>
          <w:b/>
        </w:rPr>
        <w:t>E</w:t>
      </w:r>
      <w:r w:rsidR="00716C31" w:rsidRPr="008B162A">
        <w:rPr>
          <w:b/>
        </w:rPr>
        <w:t>x</w:t>
      </w:r>
      <w:proofErr w:type="spellEnd"/>
      <w:r w:rsidRPr="008B162A">
        <w:rPr>
          <w:b/>
        </w:rPr>
        <w:t xml:space="preserve"> y </w:t>
      </w:r>
      <w:proofErr w:type="spellStart"/>
      <w:r w:rsidRPr="008B162A">
        <w:rPr>
          <w:b/>
        </w:rPr>
        <w:t>O</w:t>
      </w:r>
      <w:r w:rsidR="00716C31" w:rsidRPr="008B162A">
        <w:rPr>
          <w:b/>
        </w:rPr>
        <w:t>p</w:t>
      </w:r>
      <w:r w:rsidRPr="008B162A">
        <w:rPr>
          <w:b/>
        </w:rPr>
        <w:t>E</w:t>
      </w:r>
      <w:r w:rsidR="00716C31" w:rsidRPr="008B162A">
        <w:rPr>
          <w:b/>
        </w:rPr>
        <w:t>x</w:t>
      </w:r>
      <w:proofErr w:type="spellEnd"/>
      <w:r w:rsidRPr="008B162A">
        <w:t xml:space="preserve">: calcula el costo asociado a los recursos obtenidos en el punto anterior, en términos de </w:t>
      </w:r>
      <w:proofErr w:type="spellStart"/>
      <w:r w:rsidRPr="008B162A">
        <w:t>OpEx</w:t>
      </w:r>
      <w:proofErr w:type="spellEnd"/>
      <w:r w:rsidRPr="008B162A">
        <w:t xml:space="preserve"> y </w:t>
      </w:r>
      <w:proofErr w:type="spellStart"/>
      <w:r w:rsidRPr="008B162A">
        <w:t>CapEx</w:t>
      </w:r>
      <w:proofErr w:type="spellEnd"/>
      <w:r w:rsidRPr="008B162A">
        <w:t>.</w:t>
      </w:r>
    </w:p>
    <w:p w:rsidR="007B6445" w:rsidRPr="008B162A" w:rsidRDefault="007B6445" w:rsidP="00893B87">
      <w:pPr>
        <w:pStyle w:val="Indentado1"/>
      </w:pPr>
      <w:r w:rsidRPr="008B162A">
        <w:rPr>
          <w:b/>
        </w:rPr>
        <w:t xml:space="preserve">Módulo de </w:t>
      </w:r>
      <w:proofErr w:type="spellStart"/>
      <w:r w:rsidRPr="008B162A">
        <w:rPr>
          <w:b/>
        </w:rPr>
        <w:t>Anualización</w:t>
      </w:r>
      <w:proofErr w:type="spellEnd"/>
      <w:r w:rsidRPr="008B162A">
        <w:t>: distribuye los costos asociados al capital de los recursos a lo largo del tiempo siguiendo el método de amortización variable.</w:t>
      </w:r>
    </w:p>
    <w:p w:rsidR="007B6445" w:rsidRPr="008B162A" w:rsidRDefault="007B6445" w:rsidP="00893B87">
      <w:pPr>
        <w:pStyle w:val="Indentado1"/>
      </w:pPr>
      <w:r w:rsidRPr="008B162A">
        <w:rPr>
          <w:b/>
        </w:rPr>
        <w:t>Módulo de Imputación de Costos a servicios</w:t>
      </w:r>
      <w:r w:rsidRPr="008B162A">
        <w:t>: calcula el costo de los servicios mediante una imputación desde los recursos de acuerdo a una lógica de costos totalmente distribuidos (CTD)</w:t>
      </w:r>
      <w:r w:rsidR="00716C31" w:rsidRPr="008B162A">
        <w:t xml:space="preserve"> en primer lugar, y mediante una visión de costos incrementales (</w:t>
      </w:r>
      <w:r w:rsidR="00AD585F" w:rsidRPr="008B162A">
        <w:t>CIPLP</w:t>
      </w:r>
      <w:r w:rsidR="00716C31" w:rsidRPr="008B162A">
        <w:t>) posteriormente.</w:t>
      </w:r>
    </w:p>
    <w:p w:rsidR="00C242EB" w:rsidRPr="008B162A" w:rsidRDefault="00C242EB" w:rsidP="0025694C">
      <w:pPr>
        <w:rPr>
          <w:rFonts w:ascii="Century Gothic" w:hAnsi="Century Gothic"/>
          <w:lang w:val="es-CR"/>
        </w:rPr>
      </w:pPr>
      <w:r w:rsidRPr="008B162A">
        <w:rPr>
          <w:rFonts w:ascii="Century Gothic" w:hAnsi="Century Gothic"/>
          <w:lang w:val="es-CR"/>
        </w:rPr>
        <w:t>Cada uno de estos bloques funcionales se encuentra descrito en detalle en las siguientes secciones de este documento.</w:t>
      </w:r>
    </w:p>
    <w:p w:rsidR="003D0C2D" w:rsidRPr="008B162A" w:rsidRDefault="00C242EB" w:rsidP="0025694C">
      <w:pPr>
        <w:rPr>
          <w:rFonts w:ascii="Century Gothic" w:hAnsi="Century Gothic"/>
          <w:lang w:val="es-CR"/>
        </w:rPr>
      </w:pPr>
      <w:r w:rsidRPr="008B162A">
        <w:rPr>
          <w:rFonts w:ascii="Century Gothic" w:hAnsi="Century Gothic"/>
          <w:lang w:val="es-CR"/>
        </w:rPr>
        <w:t>Por otro lado, se representa en l</w:t>
      </w:r>
      <w:r w:rsidR="003D0C2D" w:rsidRPr="008B162A">
        <w:rPr>
          <w:rFonts w:ascii="Century Gothic" w:hAnsi="Century Gothic"/>
          <w:lang w:val="es-CR"/>
        </w:rPr>
        <w:t xml:space="preserve">a siguiente ilustración un esquema simplificado del flujo de cálculo </w:t>
      </w:r>
      <w:r w:rsidR="00716C31" w:rsidRPr="008B162A">
        <w:rPr>
          <w:rFonts w:ascii="Century Gothic" w:hAnsi="Century Gothic"/>
          <w:lang w:val="es-CR"/>
        </w:rPr>
        <w:t>del modelo:</w:t>
      </w:r>
    </w:p>
    <w:p w:rsidR="00AE633B" w:rsidRPr="008B162A" w:rsidRDefault="00446A1E" w:rsidP="00CD2A5B">
      <w:pPr>
        <w:keepNext/>
        <w:spacing w:after="0" w:line="240" w:lineRule="auto"/>
        <w:jc w:val="center"/>
        <w:rPr>
          <w:rFonts w:ascii="Century Gothic" w:hAnsi="Century Gothic"/>
          <w:lang w:val="es-CR"/>
        </w:rPr>
      </w:pPr>
      <w:r w:rsidRPr="008B162A">
        <w:rPr>
          <w:rFonts w:ascii="Century Gothic" w:hAnsi="Century Gothic"/>
          <w:noProof/>
          <w:lang w:eastAsia="es-MX"/>
        </w:rPr>
        <w:lastRenderedPageBreak/>
        <w:drawing>
          <wp:inline distT="0" distB="0" distL="0" distR="0" wp14:anchorId="05CEEAF7" wp14:editId="6E18AAE4">
            <wp:extent cx="2662082" cy="7858125"/>
            <wp:effectExtent l="0" t="0" r="5080" b="0"/>
            <wp:docPr id="21" name="Picture 21"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75295" cy="7897128"/>
                    </a:xfrm>
                    <a:prstGeom prst="rect">
                      <a:avLst/>
                    </a:prstGeom>
                    <a:noFill/>
                    <a:ln>
                      <a:noFill/>
                    </a:ln>
                  </pic:spPr>
                </pic:pic>
              </a:graphicData>
            </a:graphic>
          </wp:inline>
        </w:drawing>
      </w:r>
    </w:p>
    <w:p w:rsidR="003D0C2D" w:rsidRPr="008B162A" w:rsidRDefault="003D0C2D" w:rsidP="003D0C2D">
      <w:pPr>
        <w:pStyle w:val="Descripcin"/>
        <w:rPr>
          <w:rFonts w:ascii="Century Gothic" w:hAnsi="Century Gothic"/>
          <w:lang w:val="es-CR"/>
        </w:rPr>
      </w:pPr>
      <w:r w:rsidRPr="008B162A">
        <w:rPr>
          <w:rFonts w:ascii="Century Gothic" w:hAnsi="Century Gothic"/>
          <w:lang w:val="es-CR"/>
        </w:rPr>
        <w:t xml:space="preserve">Ilustración </w:t>
      </w:r>
      <w:r w:rsidR="006F7424" w:rsidRPr="008B162A">
        <w:rPr>
          <w:rFonts w:ascii="Century Gothic" w:hAnsi="Century Gothic"/>
          <w:lang w:val="es-CR"/>
        </w:rPr>
        <w:fldChar w:fldCharType="begin"/>
      </w:r>
      <w:r w:rsidR="006F7424" w:rsidRPr="008B162A">
        <w:rPr>
          <w:rFonts w:ascii="Century Gothic" w:hAnsi="Century Gothic"/>
          <w:lang w:val="es-CR"/>
        </w:rPr>
        <w:instrText xml:space="preserve"> STYLEREF 1 \s </w:instrText>
      </w:r>
      <w:r w:rsidR="006F7424" w:rsidRPr="008B162A">
        <w:rPr>
          <w:rFonts w:ascii="Century Gothic" w:hAnsi="Century Gothic"/>
          <w:lang w:val="es-CR"/>
        </w:rPr>
        <w:fldChar w:fldCharType="separate"/>
      </w:r>
      <w:r w:rsidR="00431406">
        <w:rPr>
          <w:rFonts w:ascii="Century Gothic" w:hAnsi="Century Gothic"/>
          <w:noProof/>
          <w:lang w:val="es-CR"/>
        </w:rPr>
        <w:t>5</w:t>
      </w:r>
      <w:r w:rsidR="006F7424" w:rsidRPr="008B162A">
        <w:rPr>
          <w:rFonts w:ascii="Century Gothic" w:hAnsi="Century Gothic"/>
          <w:lang w:val="es-CR"/>
        </w:rPr>
        <w:fldChar w:fldCharType="end"/>
      </w:r>
      <w:r w:rsidR="006F7424" w:rsidRPr="008B162A">
        <w:rPr>
          <w:rFonts w:ascii="Century Gothic" w:hAnsi="Century Gothic"/>
          <w:lang w:val="es-CR"/>
        </w:rPr>
        <w:t>.</w:t>
      </w:r>
      <w:r w:rsidR="006F7424" w:rsidRPr="008B162A">
        <w:rPr>
          <w:rFonts w:ascii="Century Gothic" w:hAnsi="Century Gothic"/>
          <w:lang w:val="es-CR"/>
        </w:rPr>
        <w:fldChar w:fldCharType="begin"/>
      </w:r>
      <w:r w:rsidR="006F7424" w:rsidRPr="008B162A">
        <w:rPr>
          <w:rFonts w:ascii="Century Gothic" w:hAnsi="Century Gothic"/>
          <w:lang w:val="es-CR"/>
        </w:rPr>
        <w:instrText xml:space="preserve"> SEQ Ilustración \* ARABIC \s 1 </w:instrText>
      </w:r>
      <w:r w:rsidR="006F7424" w:rsidRPr="008B162A">
        <w:rPr>
          <w:rFonts w:ascii="Century Gothic" w:hAnsi="Century Gothic"/>
          <w:lang w:val="es-CR"/>
        </w:rPr>
        <w:fldChar w:fldCharType="separate"/>
      </w:r>
      <w:r w:rsidR="00431406">
        <w:rPr>
          <w:rFonts w:ascii="Century Gothic" w:hAnsi="Century Gothic"/>
          <w:noProof/>
          <w:lang w:val="es-CR"/>
        </w:rPr>
        <w:t>2</w:t>
      </w:r>
      <w:r w:rsidR="006F7424" w:rsidRPr="008B162A">
        <w:rPr>
          <w:rFonts w:ascii="Century Gothic" w:hAnsi="Century Gothic"/>
          <w:lang w:val="es-CR"/>
        </w:rPr>
        <w:fldChar w:fldCharType="end"/>
      </w:r>
      <w:r w:rsidRPr="008B162A">
        <w:rPr>
          <w:rFonts w:ascii="Century Gothic" w:hAnsi="Century Gothic"/>
          <w:lang w:val="es-CR"/>
        </w:rPr>
        <w:t xml:space="preserve">: Esquema Simplificado del flujo de cálculo de todos los incrementos [Fuente: </w:t>
      </w:r>
      <w:r w:rsidR="006B7D75" w:rsidRPr="008B162A">
        <w:rPr>
          <w:rFonts w:ascii="Century Gothic" w:hAnsi="Century Gothic"/>
          <w:lang w:val="es-CR"/>
        </w:rPr>
        <w:t>IFT, 2016</w:t>
      </w:r>
      <w:r w:rsidRPr="008B162A">
        <w:rPr>
          <w:rFonts w:ascii="Century Gothic" w:hAnsi="Century Gothic"/>
          <w:lang w:val="es-CR"/>
        </w:rPr>
        <w:t>]</w:t>
      </w:r>
    </w:p>
    <w:p w:rsidR="00716C31" w:rsidRPr="008B162A" w:rsidRDefault="00716C31" w:rsidP="007B6445">
      <w:pPr>
        <w:spacing w:line="360" w:lineRule="auto"/>
        <w:rPr>
          <w:rFonts w:ascii="Century Gothic" w:hAnsi="Century Gothic"/>
          <w:bCs/>
          <w:lang w:val="es-CR"/>
        </w:rPr>
      </w:pPr>
      <w:r w:rsidRPr="008B162A">
        <w:rPr>
          <w:rFonts w:ascii="Century Gothic" w:hAnsi="Century Gothic"/>
          <w:bCs/>
          <w:lang w:val="es-CR"/>
        </w:rPr>
        <w:lastRenderedPageBreak/>
        <w:t>A continuación</w:t>
      </w:r>
      <w:r w:rsidR="00D07716" w:rsidRPr="008B162A">
        <w:rPr>
          <w:rFonts w:ascii="Century Gothic" w:hAnsi="Century Gothic"/>
          <w:bCs/>
          <w:lang w:val="es-CR"/>
        </w:rPr>
        <w:t>,</w:t>
      </w:r>
      <w:r w:rsidRPr="008B162A">
        <w:rPr>
          <w:rFonts w:ascii="Century Gothic" w:hAnsi="Century Gothic"/>
          <w:bCs/>
          <w:lang w:val="es-CR"/>
        </w:rPr>
        <w:t xml:space="preserve"> se describe en mayor detalle los pasos de cálculo </w:t>
      </w:r>
      <w:r w:rsidR="00C242EB" w:rsidRPr="008B162A">
        <w:rPr>
          <w:rFonts w:ascii="Century Gothic" w:hAnsi="Century Gothic"/>
          <w:bCs/>
          <w:lang w:val="es-CR"/>
        </w:rPr>
        <w:t xml:space="preserve">llevados a cabo en </w:t>
      </w:r>
      <w:r w:rsidRPr="008B162A">
        <w:rPr>
          <w:rFonts w:ascii="Century Gothic" w:hAnsi="Century Gothic"/>
          <w:bCs/>
          <w:lang w:val="es-CR"/>
        </w:rPr>
        <w:t>el modelo:</w:t>
      </w:r>
    </w:p>
    <w:p w:rsidR="00C242EB" w:rsidRPr="008B162A" w:rsidRDefault="00C242EB" w:rsidP="000F1DD5">
      <w:pPr>
        <w:pStyle w:val="Prrafodelista"/>
        <w:numPr>
          <w:ilvl w:val="0"/>
          <w:numId w:val="19"/>
        </w:numPr>
        <w:spacing w:line="360" w:lineRule="auto"/>
        <w:rPr>
          <w:rFonts w:ascii="Century Gothic" w:hAnsi="Century Gothic"/>
          <w:bCs/>
          <w:lang w:val="es-CR"/>
        </w:rPr>
      </w:pPr>
      <w:r w:rsidRPr="008B162A">
        <w:rPr>
          <w:rFonts w:ascii="Century Gothic" w:hAnsi="Century Gothic"/>
          <w:bCs/>
          <w:lang w:val="es-CR"/>
        </w:rPr>
        <w:t xml:space="preserve">Se realiza </w:t>
      </w:r>
      <w:r w:rsidR="00716C31" w:rsidRPr="008B162A">
        <w:rPr>
          <w:rFonts w:ascii="Century Gothic" w:hAnsi="Century Gothic"/>
          <w:bCs/>
          <w:lang w:val="es-CR"/>
        </w:rPr>
        <w:t xml:space="preserve">el dimensionado de la red de acceso para cada uno de los </w:t>
      </w:r>
      <w:proofErr w:type="spellStart"/>
      <w:r w:rsidR="00716C31" w:rsidRPr="008B162A">
        <w:rPr>
          <w:rFonts w:ascii="Century Gothic" w:hAnsi="Century Gothic"/>
          <w:bCs/>
          <w:lang w:val="es-CR"/>
        </w:rPr>
        <w:t>geotipos</w:t>
      </w:r>
      <w:proofErr w:type="spellEnd"/>
      <w:r w:rsidR="00716C31" w:rsidRPr="008B162A">
        <w:rPr>
          <w:rFonts w:ascii="Century Gothic" w:hAnsi="Century Gothic"/>
          <w:bCs/>
          <w:lang w:val="es-CR"/>
        </w:rPr>
        <w:t xml:space="preserve"> definidos, considerando la totalidad de la demanda.</w:t>
      </w:r>
    </w:p>
    <w:p w:rsidR="00716C31" w:rsidRPr="008B162A" w:rsidRDefault="00C242EB" w:rsidP="000F1DD5">
      <w:pPr>
        <w:pStyle w:val="Prrafodelista"/>
        <w:numPr>
          <w:ilvl w:val="0"/>
          <w:numId w:val="19"/>
        </w:numPr>
        <w:spacing w:line="360" w:lineRule="auto"/>
        <w:rPr>
          <w:rFonts w:ascii="Century Gothic" w:hAnsi="Century Gothic"/>
          <w:bCs/>
          <w:lang w:val="es-CR"/>
        </w:rPr>
      </w:pPr>
      <w:r w:rsidRPr="008B162A">
        <w:rPr>
          <w:rFonts w:ascii="Century Gothic" w:hAnsi="Century Gothic"/>
          <w:bCs/>
          <w:lang w:val="es-CR"/>
        </w:rPr>
        <w:t xml:space="preserve">Se obtiene la base de </w:t>
      </w:r>
      <w:r w:rsidR="00716C31" w:rsidRPr="008B162A">
        <w:rPr>
          <w:rFonts w:ascii="Century Gothic" w:hAnsi="Century Gothic"/>
          <w:bCs/>
          <w:lang w:val="es-CR"/>
        </w:rPr>
        <w:t>costos asociada a los elementos de red dimensionados (</w:t>
      </w:r>
      <w:r w:rsidR="00462C9F" w:rsidRPr="008B162A">
        <w:rPr>
          <w:rFonts w:ascii="Century Gothic" w:hAnsi="Century Gothic"/>
          <w:bCs/>
          <w:lang w:val="es-CR"/>
        </w:rPr>
        <w:t>para la totalidad de la demanda</w:t>
      </w:r>
      <w:r w:rsidR="00716C31" w:rsidRPr="008B162A">
        <w:rPr>
          <w:rFonts w:ascii="Century Gothic" w:hAnsi="Century Gothic"/>
          <w:bCs/>
          <w:lang w:val="es-CR"/>
        </w:rPr>
        <w:t>).</w:t>
      </w:r>
    </w:p>
    <w:p w:rsidR="00C242EB" w:rsidRPr="008B162A" w:rsidRDefault="00C242EB" w:rsidP="000F1DD5">
      <w:pPr>
        <w:pStyle w:val="Prrafodelista"/>
        <w:numPr>
          <w:ilvl w:val="0"/>
          <w:numId w:val="19"/>
        </w:numPr>
        <w:spacing w:line="360" w:lineRule="auto"/>
        <w:rPr>
          <w:rFonts w:ascii="Century Gothic" w:hAnsi="Century Gothic"/>
          <w:bCs/>
          <w:lang w:val="es-CR"/>
        </w:rPr>
      </w:pPr>
      <w:r w:rsidRPr="008B162A">
        <w:rPr>
          <w:rFonts w:ascii="Century Gothic" w:hAnsi="Century Gothic"/>
          <w:bCs/>
          <w:lang w:val="es-CR"/>
        </w:rPr>
        <w:t xml:space="preserve">Se </w:t>
      </w:r>
      <w:r w:rsidR="00716C31" w:rsidRPr="008B162A">
        <w:rPr>
          <w:rFonts w:ascii="Century Gothic" w:hAnsi="Century Gothic"/>
          <w:bCs/>
          <w:lang w:val="es-CR"/>
        </w:rPr>
        <w:t>realiza de nuevo el dimensionado de la red de acceso</w:t>
      </w:r>
      <w:r w:rsidRPr="008B162A">
        <w:rPr>
          <w:rFonts w:ascii="Century Gothic" w:hAnsi="Century Gothic"/>
          <w:bCs/>
          <w:lang w:val="es-CR"/>
        </w:rPr>
        <w:t xml:space="preserve"> para cada uno de los </w:t>
      </w:r>
      <w:proofErr w:type="spellStart"/>
      <w:r w:rsidRPr="008B162A">
        <w:rPr>
          <w:rFonts w:ascii="Century Gothic" w:hAnsi="Century Gothic"/>
          <w:bCs/>
          <w:lang w:val="es-CR"/>
        </w:rPr>
        <w:t>geotipos</w:t>
      </w:r>
      <w:proofErr w:type="spellEnd"/>
      <w:r w:rsidRPr="008B162A">
        <w:rPr>
          <w:rFonts w:ascii="Century Gothic" w:hAnsi="Century Gothic"/>
          <w:bCs/>
          <w:lang w:val="es-CR"/>
        </w:rPr>
        <w:t xml:space="preserve">, </w:t>
      </w:r>
      <w:r w:rsidR="00716C31" w:rsidRPr="008B162A">
        <w:rPr>
          <w:rFonts w:ascii="Century Gothic" w:hAnsi="Century Gothic"/>
          <w:bCs/>
          <w:lang w:val="es-CR"/>
        </w:rPr>
        <w:t>pero ahora sin demanda de servicios (visión incremental), obteniendo el número de elementos de red necesario por cuestiones de cobertura.</w:t>
      </w:r>
    </w:p>
    <w:p w:rsidR="00716C31" w:rsidRPr="008B162A" w:rsidRDefault="00C242EB" w:rsidP="000F1DD5">
      <w:pPr>
        <w:pStyle w:val="Prrafodelista"/>
        <w:numPr>
          <w:ilvl w:val="0"/>
          <w:numId w:val="19"/>
        </w:numPr>
        <w:spacing w:line="360" w:lineRule="auto"/>
        <w:rPr>
          <w:rFonts w:ascii="Century Gothic" w:hAnsi="Century Gothic"/>
          <w:bCs/>
          <w:lang w:val="es-CR"/>
        </w:rPr>
      </w:pPr>
      <w:r w:rsidRPr="008B162A">
        <w:rPr>
          <w:rFonts w:ascii="Century Gothic" w:hAnsi="Century Gothic"/>
          <w:bCs/>
          <w:lang w:val="es-CR"/>
        </w:rPr>
        <w:t>S</w:t>
      </w:r>
      <w:r w:rsidR="00716C31" w:rsidRPr="008B162A">
        <w:rPr>
          <w:rFonts w:ascii="Century Gothic" w:hAnsi="Century Gothic"/>
          <w:bCs/>
          <w:lang w:val="es-CR"/>
        </w:rPr>
        <w:t xml:space="preserve">e calcula la base de costos asociada a los elementos de red dimensionados en </w:t>
      </w:r>
      <w:r w:rsidRPr="008B162A">
        <w:rPr>
          <w:rFonts w:ascii="Century Gothic" w:hAnsi="Century Gothic"/>
          <w:bCs/>
          <w:lang w:val="es-CR"/>
        </w:rPr>
        <w:t>el tercer paso</w:t>
      </w:r>
      <w:r w:rsidR="00716C31" w:rsidRPr="008B162A">
        <w:rPr>
          <w:rFonts w:ascii="Century Gothic" w:hAnsi="Century Gothic"/>
          <w:bCs/>
          <w:lang w:val="es-CR"/>
        </w:rPr>
        <w:t>.</w:t>
      </w:r>
    </w:p>
    <w:p w:rsidR="00C242EB" w:rsidRPr="008B162A" w:rsidRDefault="00C242EB" w:rsidP="000F1DD5">
      <w:pPr>
        <w:pStyle w:val="Prrafodelista"/>
        <w:numPr>
          <w:ilvl w:val="0"/>
          <w:numId w:val="19"/>
        </w:numPr>
        <w:spacing w:line="360" w:lineRule="auto"/>
        <w:rPr>
          <w:rFonts w:ascii="Century Gothic" w:hAnsi="Century Gothic"/>
          <w:bCs/>
          <w:lang w:val="es-CR"/>
        </w:rPr>
      </w:pPr>
      <w:r w:rsidRPr="008B162A">
        <w:rPr>
          <w:rFonts w:ascii="Century Gothic" w:hAnsi="Century Gothic"/>
          <w:bCs/>
          <w:lang w:val="es-CR"/>
        </w:rPr>
        <w:t>Se obtiene la base de costos incrementales puros de red como la diferencia entre las bases de costos obtenidas en el punto 2 y el punto 4. Asimismo, se obtiene la base de costos comunes de red como la base de costos obtenida en el punto 4.</w:t>
      </w:r>
    </w:p>
    <w:p w:rsidR="00C242EB" w:rsidRPr="008B162A" w:rsidRDefault="00C242EB" w:rsidP="00C242EB">
      <w:pPr>
        <w:pStyle w:val="Prrafodelista"/>
        <w:spacing w:line="360" w:lineRule="auto"/>
        <w:rPr>
          <w:rFonts w:ascii="Century Gothic" w:hAnsi="Century Gothic"/>
          <w:bCs/>
          <w:lang w:val="es-CR"/>
        </w:rPr>
      </w:pPr>
      <w:r w:rsidRPr="008B162A">
        <w:rPr>
          <w:rFonts w:ascii="Century Gothic" w:hAnsi="Century Gothic"/>
          <w:bCs/>
          <w:lang w:val="es-CR"/>
        </w:rPr>
        <w:t>Se hace notar que la suma de los costos incrementales puros de red y los costos comunes de red resulta igual a la base total de costos del operador modelado calculado en el punto 2.</w:t>
      </w:r>
    </w:p>
    <w:p w:rsidR="00C242EB" w:rsidRPr="008B162A" w:rsidRDefault="00C242EB" w:rsidP="000F1DD5">
      <w:pPr>
        <w:pStyle w:val="Prrafodelista"/>
        <w:numPr>
          <w:ilvl w:val="0"/>
          <w:numId w:val="19"/>
        </w:numPr>
        <w:spacing w:line="360" w:lineRule="auto"/>
        <w:rPr>
          <w:rFonts w:ascii="Century Gothic" w:hAnsi="Century Gothic"/>
          <w:bCs/>
          <w:lang w:val="es-CR"/>
        </w:rPr>
      </w:pPr>
      <w:r w:rsidRPr="008B162A">
        <w:rPr>
          <w:rFonts w:ascii="Century Gothic" w:hAnsi="Century Gothic"/>
          <w:bCs/>
          <w:lang w:val="es-CR"/>
        </w:rPr>
        <w:t>Por último</w:t>
      </w:r>
      <w:r w:rsidR="00D07716" w:rsidRPr="008B162A">
        <w:rPr>
          <w:rFonts w:ascii="Century Gothic" w:hAnsi="Century Gothic"/>
          <w:bCs/>
          <w:lang w:val="es-CR"/>
        </w:rPr>
        <w:t>,</w:t>
      </w:r>
      <w:r w:rsidRPr="008B162A">
        <w:rPr>
          <w:rFonts w:ascii="Century Gothic" w:hAnsi="Century Gothic"/>
          <w:bCs/>
          <w:lang w:val="es-CR"/>
        </w:rPr>
        <w:t xml:space="preserve"> se realiza la atribución de la base de costos</w:t>
      </w:r>
      <w:r w:rsidR="00AD585F" w:rsidRPr="008B162A">
        <w:rPr>
          <w:rFonts w:ascii="Century Gothic" w:hAnsi="Century Gothic"/>
          <w:bCs/>
          <w:lang w:val="es-CR"/>
        </w:rPr>
        <w:t xml:space="preserve"> según la metodología CIPLP</w:t>
      </w:r>
      <w:r w:rsidRPr="008B162A">
        <w:rPr>
          <w:rFonts w:ascii="Century Gothic" w:hAnsi="Century Gothic"/>
          <w:bCs/>
          <w:lang w:val="es-CR"/>
        </w:rPr>
        <w:t xml:space="preserve"> (incluyendo costos incrementales puros de red, costos comunes de red y costos de G&amp;A) a servicios.</w:t>
      </w:r>
    </w:p>
    <w:p w:rsidR="0025694C" w:rsidRPr="008B162A" w:rsidRDefault="00853D6E" w:rsidP="0025694C">
      <w:pPr>
        <w:pStyle w:val="Ttulo1"/>
        <w:pageBreakBefore/>
        <w:spacing w:line="360" w:lineRule="auto"/>
        <w:rPr>
          <w:rFonts w:ascii="Century Gothic" w:hAnsi="Century Gothic"/>
          <w:color w:val="auto"/>
          <w:lang w:val="es-CR"/>
        </w:rPr>
      </w:pPr>
      <w:bookmarkStart w:id="94" w:name="_Ref459978653"/>
      <w:bookmarkStart w:id="95" w:name="_Toc461625905"/>
      <w:bookmarkStart w:id="96" w:name="_Ref305571758"/>
      <w:bookmarkStart w:id="97" w:name="_Toc305574028"/>
      <w:bookmarkStart w:id="98" w:name="_Ref360610402"/>
      <w:bookmarkStart w:id="99" w:name="_Ref408581137"/>
      <w:bookmarkStart w:id="100" w:name="_Toc431900687"/>
      <w:r w:rsidRPr="008B162A">
        <w:rPr>
          <w:rFonts w:ascii="Century Gothic" w:hAnsi="Century Gothic"/>
          <w:color w:val="auto"/>
          <w:lang w:val="es-CR"/>
        </w:rPr>
        <w:lastRenderedPageBreak/>
        <w:t>Conductores</w:t>
      </w:r>
      <w:r w:rsidR="0025694C" w:rsidRPr="008B162A">
        <w:rPr>
          <w:rFonts w:ascii="Century Gothic" w:hAnsi="Century Gothic"/>
          <w:color w:val="auto"/>
          <w:lang w:val="es-CR"/>
        </w:rPr>
        <w:t xml:space="preserve"> de Dimensionamiento</w:t>
      </w:r>
      <w:bookmarkEnd w:id="94"/>
      <w:bookmarkEnd w:id="95"/>
    </w:p>
    <w:p w:rsidR="0025694C" w:rsidRPr="008B162A" w:rsidRDefault="0025694C" w:rsidP="0025694C">
      <w:pPr>
        <w:spacing w:before="120" w:line="360" w:lineRule="auto"/>
        <w:rPr>
          <w:rFonts w:ascii="Century Gothic" w:hAnsi="Century Gothic"/>
          <w:lang w:val="es-CR"/>
        </w:rPr>
      </w:pPr>
      <w:r w:rsidRPr="008B162A">
        <w:rPr>
          <w:rFonts w:ascii="Century Gothic" w:hAnsi="Century Gothic"/>
          <w:lang w:val="es-CR"/>
        </w:rPr>
        <w:t xml:space="preserve">La lógica detrás de los </w:t>
      </w:r>
      <w:r w:rsidR="00853D6E" w:rsidRPr="008B162A">
        <w:rPr>
          <w:rFonts w:ascii="Century Gothic" w:hAnsi="Century Gothic"/>
          <w:lang w:val="es-CR"/>
        </w:rPr>
        <w:t xml:space="preserve">conductores </w:t>
      </w:r>
      <w:r w:rsidRPr="008B162A">
        <w:rPr>
          <w:rFonts w:ascii="Century Gothic" w:hAnsi="Century Gothic"/>
          <w:lang w:val="es-CR"/>
        </w:rPr>
        <w:t xml:space="preserve">de dimensionamiento consiste en convertir las unidades de </w:t>
      </w:r>
      <w:r w:rsidR="00CD2A5B" w:rsidRPr="008B162A">
        <w:rPr>
          <w:rFonts w:ascii="Century Gothic" w:hAnsi="Century Gothic"/>
          <w:lang w:val="es-CR"/>
        </w:rPr>
        <w:t xml:space="preserve">demanda </w:t>
      </w:r>
      <w:r w:rsidRPr="008B162A">
        <w:rPr>
          <w:rFonts w:ascii="Century Gothic" w:hAnsi="Century Gothic"/>
          <w:lang w:val="es-CR"/>
        </w:rPr>
        <w:t xml:space="preserve">expresadas habitualmente desde un punto de vista de usuario (p.ej. líneas, </w:t>
      </w:r>
      <w:r w:rsidR="00CD2A5B" w:rsidRPr="008B162A">
        <w:rPr>
          <w:rFonts w:ascii="Century Gothic" w:hAnsi="Century Gothic"/>
          <w:lang w:val="es-CR"/>
        </w:rPr>
        <w:t>enlaces</w:t>
      </w:r>
      <w:r w:rsidRPr="008B162A">
        <w:rPr>
          <w:rFonts w:ascii="Century Gothic" w:hAnsi="Century Gothic"/>
          <w:lang w:val="es-CR"/>
        </w:rPr>
        <w:t xml:space="preserve">) a una visión de red (p.ej. </w:t>
      </w:r>
      <w:r w:rsidR="00CD2A5B" w:rsidRPr="008B162A">
        <w:rPr>
          <w:rFonts w:ascii="Century Gothic" w:hAnsi="Century Gothic"/>
          <w:lang w:val="es-CR"/>
        </w:rPr>
        <w:t>líneas equivalentes GPON, enlaces punto a punto</w:t>
      </w:r>
      <w:r w:rsidRPr="008B162A">
        <w:rPr>
          <w:rFonts w:ascii="Century Gothic" w:hAnsi="Century Gothic"/>
          <w:lang w:val="es-CR"/>
        </w:rPr>
        <w:t>).</w:t>
      </w:r>
    </w:p>
    <w:p w:rsidR="0025694C" w:rsidRPr="008B162A" w:rsidRDefault="0025694C" w:rsidP="0025694C">
      <w:pPr>
        <w:spacing w:before="120" w:line="360" w:lineRule="auto"/>
        <w:rPr>
          <w:rFonts w:ascii="Century Gothic" w:hAnsi="Century Gothic"/>
          <w:lang w:val="es-CR"/>
        </w:rPr>
      </w:pPr>
      <w:r w:rsidRPr="008B162A">
        <w:rPr>
          <w:rFonts w:ascii="Century Gothic" w:hAnsi="Century Gothic"/>
          <w:lang w:val="es-CR"/>
        </w:rPr>
        <w:t>Esta sección se ha estructurado del siguiente modo:</w:t>
      </w:r>
    </w:p>
    <w:p w:rsidR="0025694C" w:rsidRPr="008B162A" w:rsidRDefault="00DB1F26" w:rsidP="00893B87">
      <w:pPr>
        <w:pStyle w:val="Indentado1"/>
      </w:pPr>
      <w:r w:rsidRPr="008B162A">
        <w:fldChar w:fldCharType="begin"/>
      </w:r>
      <w:r w:rsidRPr="008B162A">
        <w:instrText xml:space="preserve"> REF _Ref459978884 \h </w:instrText>
      </w:r>
      <w:r w:rsidR="008B162A" w:rsidRPr="008B162A">
        <w:instrText xml:space="preserve"> \* MERGEFORMAT </w:instrText>
      </w:r>
      <w:r w:rsidRPr="008B162A">
        <w:fldChar w:fldCharType="separate"/>
      </w:r>
      <w:r w:rsidR="00431406" w:rsidRPr="008B162A">
        <w:t>Concepto de los conductores de dimensionamiento</w:t>
      </w:r>
      <w:r w:rsidRPr="008B162A">
        <w:fldChar w:fldCharType="end"/>
      </w:r>
    </w:p>
    <w:p w:rsidR="0025694C" w:rsidRPr="008B162A" w:rsidRDefault="0025694C" w:rsidP="00893B87">
      <w:pPr>
        <w:pStyle w:val="Indentado1"/>
      </w:pPr>
      <w:r w:rsidRPr="008B162A">
        <w:fldChar w:fldCharType="begin"/>
      </w:r>
      <w:r w:rsidRPr="008B162A">
        <w:instrText xml:space="preserve"> REF _Ref286598528 \h  \* MERGEFORMAT </w:instrText>
      </w:r>
      <w:r w:rsidRPr="008B162A">
        <w:fldChar w:fldCharType="separate"/>
      </w:r>
      <w:r w:rsidR="00431406" w:rsidRPr="008B162A">
        <w:t xml:space="preserve">Mapeo de servicios a conductores </w:t>
      </w:r>
      <w:r w:rsidRPr="008B162A">
        <w:fldChar w:fldCharType="end"/>
      </w:r>
    </w:p>
    <w:p w:rsidR="0025694C" w:rsidRPr="008B162A" w:rsidRDefault="0025694C" w:rsidP="00893B87">
      <w:pPr>
        <w:pStyle w:val="Indentado1"/>
        <w:rPr>
          <w:szCs w:val="28"/>
        </w:rPr>
      </w:pPr>
      <w:r w:rsidRPr="008B162A">
        <w:rPr>
          <w:rStyle w:val="Indentado1Char1"/>
        </w:rPr>
        <w:fldChar w:fldCharType="begin"/>
      </w:r>
      <w:r w:rsidRPr="008B162A">
        <w:rPr>
          <w:rStyle w:val="Indentado1Char1"/>
          <w:lang w:val="es-ES"/>
        </w:rPr>
        <w:instrText xml:space="preserve"> REF _Ref410382009 \h </w:instrText>
      </w:r>
      <w:r w:rsidRPr="008B162A">
        <w:rPr>
          <w:rStyle w:val="Indentado1Char1"/>
        </w:rPr>
        <w:instrText xml:space="preserve"> \* MERGEFORMAT </w:instrText>
      </w:r>
      <w:r w:rsidRPr="008B162A">
        <w:rPr>
          <w:rStyle w:val="Indentado1Char1"/>
        </w:rPr>
      </w:r>
      <w:r w:rsidRPr="008B162A">
        <w:rPr>
          <w:rStyle w:val="Indentado1Char1"/>
        </w:rPr>
        <w:fldChar w:fldCharType="separate"/>
      </w:r>
      <w:r w:rsidR="00431406" w:rsidRPr="00431406">
        <w:rPr>
          <w:rStyle w:val="Indentado1Char1"/>
          <w:lang w:val="es-ES"/>
        </w:rPr>
        <w:t>Factores de uso</w:t>
      </w:r>
      <w:r w:rsidRPr="008B162A">
        <w:rPr>
          <w:rStyle w:val="Indentado1Char1"/>
        </w:rPr>
        <w:fldChar w:fldCharType="end"/>
      </w:r>
      <w:bookmarkStart w:id="101" w:name="_Ref305162214"/>
      <w:bookmarkStart w:id="102" w:name="_Toc305574025"/>
      <w:bookmarkStart w:id="103" w:name="_Toc431900684"/>
    </w:p>
    <w:p w:rsidR="0025694C" w:rsidRPr="008B162A" w:rsidRDefault="0025694C" w:rsidP="00DB1F26">
      <w:pPr>
        <w:pStyle w:val="Ttulo2"/>
        <w:rPr>
          <w:rFonts w:ascii="Century Gothic" w:hAnsi="Century Gothic"/>
          <w:color w:val="auto"/>
        </w:rPr>
      </w:pPr>
      <w:bookmarkStart w:id="104" w:name="_Ref459978884"/>
      <w:bookmarkStart w:id="105" w:name="_Toc461625906"/>
      <w:r w:rsidRPr="008B162A">
        <w:rPr>
          <w:rFonts w:ascii="Century Gothic" w:hAnsi="Century Gothic"/>
          <w:color w:val="auto"/>
        </w:rPr>
        <w:t xml:space="preserve">Concepto de los </w:t>
      </w:r>
      <w:r w:rsidR="00853D6E" w:rsidRPr="008B162A">
        <w:rPr>
          <w:rFonts w:ascii="Century Gothic" w:hAnsi="Century Gothic"/>
          <w:color w:val="auto"/>
        </w:rPr>
        <w:t xml:space="preserve">conductores </w:t>
      </w:r>
      <w:r w:rsidRPr="008B162A">
        <w:rPr>
          <w:rFonts w:ascii="Century Gothic" w:hAnsi="Century Gothic"/>
          <w:color w:val="auto"/>
        </w:rPr>
        <w:t>de dimensionamiento</w:t>
      </w:r>
      <w:bookmarkEnd w:id="101"/>
      <w:bookmarkEnd w:id="102"/>
      <w:bookmarkEnd w:id="103"/>
      <w:bookmarkEnd w:id="104"/>
      <w:bookmarkEnd w:id="105"/>
    </w:p>
    <w:p w:rsidR="0025694C" w:rsidRPr="008B162A" w:rsidRDefault="0025694C" w:rsidP="0025694C">
      <w:pPr>
        <w:spacing w:line="360" w:lineRule="auto"/>
        <w:rPr>
          <w:rFonts w:ascii="Century Gothic" w:hAnsi="Century Gothic"/>
          <w:lang w:val="es-CR"/>
        </w:rPr>
      </w:pPr>
      <w:r w:rsidRPr="008B162A">
        <w:rPr>
          <w:rFonts w:ascii="Century Gothic" w:hAnsi="Century Gothic"/>
          <w:lang w:val="es-CR"/>
        </w:rPr>
        <w:t xml:space="preserve">El reconocimiento explícito de los </w:t>
      </w:r>
      <w:r w:rsidR="00853D6E" w:rsidRPr="008B162A">
        <w:rPr>
          <w:rFonts w:ascii="Century Gothic" w:hAnsi="Century Gothic"/>
          <w:lang w:val="es-CR"/>
        </w:rPr>
        <w:t xml:space="preserve">conductores </w:t>
      </w:r>
      <w:r w:rsidRPr="008B162A">
        <w:rPr>
          <w:rFonts w:ascii="Century Gothic" w:hAnsi="Century Gothic"/>
          <w:lang w:val="es-CR"/>
        </w:rPr>
        <w:t xml:space="preserve">en el modelo pretender simplificar y hacer más transparente el proceso de dimensionamiento de red. </w:t>
      </w:r>
    </w:p>
    <w:p w:rsidR="0025694C" w:rsidRPr="008B162A" w:rsidRDefault="0025694C" w:rsidP="003D1AC1">
      <w:pPr>
        <w:spacing w:line="360" w:lineRule="auto"/>
        <w:rPr>
          <w:rFonts w:ascii="Century Gothic" w:hAnsi="Century Gothic"/>
          <w:lang w:val="es-CR"/>
        </w:rPr>
      </w:pPr>
      <w:r w:rsidRPr="008B162A">
        <w:rPr>
          <w:rFonts w:ascii="Century Gothic" w:hAnsi="Century Gothic"/>
          <w:lang w:val="es-CR"/>
        </w:rPr>
        <w:t xml:space="preserve">Los </w:t>
      </w:r>
      <w:r w:rsidR="00853D6E" w:rsidRPr="008B162A">
        <w:rPr>
          <w:rFonts w:ascii="Century Gothic" w:hAnsi="Century Gothic"/>
          <w:lang w:val="es-CR"/>
        </w:rPr>
        <w:t xml:space="preserve">conductores </w:t>
      </w:r>
      <w:r w:rsidRPr="008B162A">
        <w:rPr>
          <w:rFonts w:ascii="Century Gothic" w:hAnsi="Century Gothic"/>
          <w:lang w:val="es-CR"/>
        </w:rPr>
        <w:t xml:space="preserve">de dimensionado representan las diferentes posibilidades que puede tener una conexión de FTTH, formando parte de una red </w:t>
      </w:r>
      <w:r w:rsidR="00482695" w:rsidRPr="008B162A">
        <w:rPr>
          <w:rFonts w:ascii="Century Gothic" w:hAnsi="Century Gothic"/>
          <w:lang w:val="es-CR"/>
        </w:rPr>
        <w:t>punto a punto o</w:t>
      </w:r>
      <w:r w:rsidRPr="008B162A">
        <w:rPr>
          <w:rFonts w:ascii="Century Gothic" w:hAnsi="Century Gothic"/>
          <w:lang w:val="es-CR"/>
        </w:rPr>
        <w:t xml:space="preserve"> una red GPON.</w:t>
      </w:r>
    </w:p>
    <w:tbl>
      <w:tblPr>
        <w:tblW w:w="7220" w:type="dxa"/>
        <w:jc w:val="center"/>
        <w:tblLook w:val="04A0" w:firstRow="1" w:lastRow="0" w:firstColumn="1" w:lastColumn="0" w:noHBand="0" w:noVBand="1"/>
      </w:tblPr>
      <w:tblGrid>
        <w:gridCol w:w="7220"/>
      </w:tblGrid>
      <w:tr w:rsidR="008B162A" w:rsidRPr="008B162A" w:rsidTr="001904AF">
        <w:trPr>
          <w:trHeight w:val="494"/>
          <w:tblHeader/>
          <w:jc w:val="center"/>
        </w:trPr>
        <w:tc>
          <w:tcPr>
            <w:tcW w:w="7220" w:type="dxa"/>
            <w:tcBorders>
              <w:top w:val="nil"/>
              <w:left w:val="single" w:sz="4" w:space="0" w:color="FFFFFF"/>
              <w:bottom w:val="single" w:sz="4" w:space="0" w:color="auto"/>
              <w:right w:val="single" w:sz="4" w:space="0" w:color="FFFFFF"/>
            </w:tcBorders>
            <w:shd w:val="clear" w:color="000000" w:fill="0C2749"/>
            <w:vAlign w:val="center"/>
            <w:hideMark/>
          </w:tcPr>
          <w:p w:rsidR="0025694C" w:rsidRPr="008B162A" w:rsidRDefault="0025694C" w:rsidP="001904AF">
            <w:pPr>
              <w:keepNext/>
              <w:spacing w:before="0" w:after="0" w:line="240" w:lineRule="auto"/>
              <w:jc w:val="center"/>
              <w:rPr>
                <w:rFonts w:ascii="Century Gothic" w:hAnsi="Century Gothic"/>
                <w:b/>
                <w:sz w:val="16"/>
                <w:lang w:val="es-CR"/>
              </w:rPr>
            </w:pPr>
            <w:bookmarkStart w:id="106" w:name="_Toc374371692"/>
            <w:bookmarkStart w:id="107" w:name="_Toc304384536"/>
            <w:r w:rsidRPr="008B162A">
              <w:rPr>
                <w:rFonts w:ascii="Century Gothic" w:hAnsi="Century Gothic"/>
                <w:b/>
                <w:sz w:val="16"/>
                <w:lang w:val="es-CR"/>
              </w:rPr>
              <w:t>VARIABLE</w:t>
            </w:r>
          </w:p>
        </w:tc>
      </w:tr>
      <w:tr w:rsidR="008B162A" w:rsidRPr="008B162A" w:rsidTr="0081629B">
        <w:trPr>
          <w:trHeight w:val="283"/>
          <w:jc w:val="center"/>
        </w:trPr>
        <w:tc>
          <w:tcPr>
            <w:tcW w:w="7220" w:type="dxa"/>
            <w:tcBorders>
              <w:top w:val="single" w:sz="4" w:space="0" w:color="auto"/>
              <w:left w:val="single" w:sz="4" w:space="0" w:color="auto"/>
              <w:bottom w:val="single" w:sz="4" w:space="0" w:color="auto"/>
              <w:right w:val="single" w:sz="4" w:space="0" w:color="auto"/>
            </w:tcBorders>
            <w:shd w:val="clear" w:color="auto" w:fill="auto"/>
            <w:vAlign w:val="center"/>
          </w:tcPr>
          <w:p w:rsidR="00482695" w:rsidRPr="008B162A" w:rsidRDefault="00482695" w:rsidP="00853D6E">
            <w:pPr>
              <w:keepNext/>
              <w:spacing w:before="0" w:after="0" w:line="240" w:lineRule="auto"/>
              <w:jc w:val="left"/>
              <w:rPr>
                <w:rFonts w:ascii="Century Gothic" w:hAnsi="Century Gothic"/>
                <w:sz w:val="16"/>
                <w:lang w:val="es-CR"/>
              </w:rPr>
            </w:pPr>
            <w:proofErr w:type="spellStart"/>
            <w:r w:rsidRPr="008B162A">
              <w:rPr>
                <w:rFonts w:ascii="Century Gothic" w:hAnsi="Century Gothic"/>
                <w:sz w:val="16"/>
                <w:lang w:val="es-CR"/>
              </w:rPr>
              <w:t>DRIV.Fibra.Accesos.Número</w:t>
            </w:r>
            <w:proofErr w:type="spellEnd"/>
            <w:r w:rsidRPr="008B162A">
              <w:rPr>
                <w:rFonts w:ascii="Century Gothic" w:hAnsi="Century Gothic"/>
                <w:sz w:val="16"/>
                <w:lang w:val="es-CR"/>
              </w:rPr>
              <w:t xml:space="preserve"> de accesos GPON</w:t>
            </w:r>
          </w:p>
        </w:tc>
      </w:tr>
      <w:tr w:rsidR="008B162A" w:rsidRPr="008B162A" w:rsidTr="0081629B">
        <w:trPr>
          <w:trHeight w:val="283"/>
          <w:jc w:val="center"/>
        </w:trPr>
        <w:tc>
          <w:tcPr>
            <w:tcW w:w="7220" w:type="dxa"/>
            <w:tcBorders>
              <w:top w:val="single" w:sz="4" w:space="0" w:color="auto"/>
              <w:left w:val="single" w:sz="4" w:space="0" w:color="auto"/>
              <w:bottom w:val="single" w:sz="4" w:space="0" w:color="auto"/>
              <w:right w:val="single" w:sz="4" w:space="0" w:color="auto"/>
            </w:tcBorders>
            <w:shd w:val="clear" w:color="auto" w:fill="auto"/>
            <w:vAlign w:val="center"/>
          </w:tcPr>
          <w:p w:rsidR="00853D6E" w:rsidRPr="008B162A" w:rsidRDefault="00853D6E" w:rsidP="00853D6E">
            <w:pPr>
              <w:keepNext/>
              <w:spacing w:before="0" w:after="0" w:line="240" w:lineRule="auto"/>
              <w:jc w:val="left"/>
              <w:rPr>
                <w:rFonts w:ascii="Century Gothic" w:hAnsi="Century Gothic"/>
                <w:sz w:val="16"/>
                <w:lang w:val="es-CR"/>
              </w:rPr>
            </w:pPr>
            <w:proofErr w:type="spellStart"/>
            <w:r w:rsidRPr="008B162A">
              <w:rPr>
                <w:rFonts w:ascii="Century Gothic" w:hAnsi="Century Gothic"/>
                <w:sz w:val="16"/>
                <w:lang w:val="es-CR"/>
              </w:rPr>
              <w:t>DRIV.Fibra.Accesos.Número</w:t>
            </w:r>
            <w:proofErr w:type="spellEnd"/>
            <w:r w:rsidRPr="008B162A">
              <w:rPr>
                <w:rFonts w:ascii="Century Gothic" w:hAnsi="Century Gothic"/>
                <w:sz w:val="16"/>
                <w:lang w:val="es-CR"/>
              </w:rPr>
              <w:t xml:space="preserve"> de accesos GPON con ONT</w:t>
            </w:r>
          </w:p>
        </w:tc>
      </w:tr>
      <w:tr w:rsidR="008B162A" w:rsidRPr="008B162A" w:rsidTr="0081629B">
        <w:trPr>
          <w:trHeight w:val="283"/>
          <w:jc w:val="center"/>
        </w:trPr>
        <w:tc>
          <w:tcPr>
            <w:tcW w:w="7220" w:type="dxa"/>
            <w:tcBorders>
              <w:top w:val="single" w:sz="4" w:space="0" w:color="auto"/>
              <w:left w:val="single" w:sz="4" w:space="0" w:color="auto"/>
              <w:bottom w:val="single" w:sz="4" w:space="0" w:color="auto"/>
              <w:right w:val="single" w:sz="4" w:space="0" w:color="auto"/>
            </w:tcBorders>
            <w:shd w:val="clear" w:color="auto" w:fill="auto"/>
            <w:vAlign w:val="center"/>
          </w:tcPr>
          <w:p w:rsidR="00482695" w:rsidRPr="008B162A" w:rsidRDefault="00482695" w:rsidP="00853D6E">
            <w:pPr>
              <w:keepNext/>
              <w:spacing w:before="0" w:after="0" w:line="240" w:lineRule="auto"/>
              <w:jc w:val="left"/>
              <w:rPr>
                <w:rFonts w:ascii="Century Gothic" w:hAnsi="Century Gothic"/>
                <w:sz w:val="16"/>
                <w:lang w:val="es-CR"/>
              </w:rPr>
            </w:pPr>
            <w:proofErr w:type="spellStart"/>
            <w:r w:rsidRPr="008B162A">
              <w:rPr>
                <w:rFonts w:ascii="Century Gothic" w:hAnsi="Century Gothic"/>
                <w:sz w:val="16"/>
                <w:lang w:val="es-CR"/>
              </w:rPr>
              <w:t>DRIV.Fibra.Accesos.Número</w:t>
            </w:r>
            <w:proofErr w:type="spellEnd"/>
            <w:r w:rsidRPr="008B162A">
              <w:rPr>
                <w:rFonts w:ascii="Century Gothic" w:hAnsi="Century Gothic"/>
                <w:sz w:val="16"/>
                <w:lang w:val="es-CR"/>
              </w:rPr>
              <w:t xml:space="preserve"> de accesos punto a punto</w:t>
            </w:r>
          </w:p>
        </w:tc>
      </w:tr>
    </w:tbl>
    <w:p w:rsidR="0025694C" w:rsidRPr="008B162A" w:rsidRDefault="0025694C" w:rsidP="0025694C">
      <w:pPr>
        <w:pStyle w:val="Descripcin"/>
        <w:rPr>
          <w:rFonts w:ascii="Century Gothic" w:hAnsi="Century Gothic"/>
          <w:lang w:val="es-CR"/>
        </w:rPr>
      </w:pPr>
      <w:r w:rsidRPr="008B162A">
        <w:rPr>
          <w:rFonts w:ascii="Century Gothic" w:hAnsi="Century Gothic"/>
          <w:lang w:val="es-CR"/>
        </w:rPr>
        <w:t xml:space="preserve">Tabla </w:t>
      </w:r>
      <w:r w:rsidR="00AD65BA" w:rsidRPr="008B162A">
        <w:rPr>
          <w:rFonts w:ascii="Century Gothic" w:hAnsi="Century Gothic"/>
          <w:lang w:val="es-CR"/>
        </w:rPr>
        <w:fldChar w:fldCharType="begin"/>
      </w:r>
      <w:r w:rsidR="00AD65BA" w:rsidRPr="008B162A">
        <w:rPr>
          <w:rFonts w:ascii="Century Gothic" w:hAnsi="Century Gothic"/>
          <w:lang w:val="es-CR"/>
        </w:rPr>
        <w:instrText xml:space="preserve"> STYLEREF 1 \s </w:instrText>
      </w:r>
      <w:r w:rsidR="00AD65BA" w:rsidRPr="008B162A">
        <w:rPr>
          <w:rFonts w:ascii="Century Gothic" w:hAnsi="Century Gothic"/>
          <w:lang w:val="es-CR"/>
        </w:rPr>
        <w:fldChar w:fldCharType="separate"/>
      </w:r>
      <w:r w:rsidR="00431406">
        <w:rPr>
          <w:rFonts w:ascii="Century Gothic" w:hAnsi="Century Gothic"/>
          <w:noProof/>
          <w:lang w:val="es-CR"/>
        </w:rPr>
        <w:t>6</w:t>
      </w:r>
      <w:r w:rsidR="00AD65BA" w:rsidRPr="008B162A">
        <w:rPr>
          <w:rFonts w:ascii="Century Gothic" w:hAnsi="Century Gothic"/>
          <w:lang w:val="es-CR"/>
        </w:rPr>
        <w:fldChar w:fldCharType="end"/>
      </w:r>
      <w:r w:rsidR="00AD65BA" w:rsidRPr="008B162A">
        <w:rPr>
          <w:rFonts w:ascii="Century Gothic" w:hAnsi="Century Gothic"/>
          <w:lang w:val="es-CR"/>
        </w:rPr>
        <w:t>.</w:t>
      </w:r>
      <w:r w:rsidR="00AD65BA" w:rsidRPr="008B162A">
        <w:rPr>
          <w:rFonts w:ascii="Century Gothic" w:hAnsi="Century Gothic"/>
          <w:lang w:val="es-CR"/>
        </w:rPr>
        <w:fldChar w:fldCharType="begin"/>
      </w:r>
      <w:r w:rsidR="00AD65BA" w:rsidRPr="008B162A">
        <w:rPr>
          <w:rFonts w:ascii="Century Gothic" w:hAnsi="Century Gothic"/>
          <w:lang w:val="es-CR"/>
        </w:rPr>
        <w:instrText xml:space="preserve"> SEQ Tabla \* ARABIC \s 1 </w:instrText>
      </w:r>
      <w:r w:rsidR="00AD65BA" w:rsidRPr="008B162A">
        <w:rPr>
          <w:rFonts w:ascii="Century Gothic" w:hAnsi="Century Gothic"/>
          <w:lang w:val="es-CR"/>
        </w:rPr>
        <w:fldChar w:fldCharType="separate"/>
      </w:r>
      <w:r w:rsidR="00431406">
        <w:rPr>
          <w:rFonts w:ascii="Century Gothic" w:hAnsi="Century Gothic"/>
          <w:noProof/>
          <w:lang w:val="es-CR"/>
        </w:rPr>
        <w:t>1</w:t>
      </w:r>
      <w:r w:rsidR="00AD65BA" w:rsidRPr="008B162A">
        <w:rPr>
          <w:rFonts w:ascii="Century Gothic" w:hAnsi="Century Gothic"/>
          <w:lang w:val="es-CR"/>
        </w:rPr>
        <w:fldChar w:fldCharType="end"/>
      </w:r>
      <w:r w:rsidRPr="008B162A">
        <w:rPr>
          <w:rFonts w:ascii="Century Gothic" w:hAnsi="Century Gothic"/>
          <w:lang w:val="es-CR"/>
        </w:rPr>
        <w:t xml:space="preserve">: Lista de </w:t>
      </w:r>
      <w:r w:rsidR="00853D6E" w:rsidRPr="008B162A">
        <w:rPr>
          <w:rFonts w:ascii="Century Gothic" w:hAnsi="Century Gothic"/>
          <w:lang w:val="es-CR"/>
        </w:rPr>
        <w:t xml:space="preserve">Conductores </w:t>
      </w:r>
      <w:r w:rsidRPr="008B162A">
        <w:rPr>
          <w:rFonts w:ascii="Century Gothic" w:hAnsi="Century Gothic"/>
          <w:lang w:val="es-CR"/>
        </w:rPr>
        <w:t xml:space="preserve">usados en el modelo (Hoja ‘0D PAR DRIVERS’) [Fuente: </w:t>
      </w:r>
      <w:r w:rsidR="006B7D75" w:rsidRPr="008B162A">
        <w:rPr>
          <w:rFonts w:ascii="Century Gothic" w:hAnsi="Century Gothic"/>
          <w:lang w:val="es-CR"/>
        </w:rPr>
        <w:t>IFT, 2016</w:t>
      </w:r>
      <w:r w:rsidRPr="008B162A">
        <w:rPr>
          <w:rFonts w:ascii="Century Gothic" w:hAnsi="Century Gothic"/>
          <w:lang w:val="es-CR"/>
        </w:rPr>
        <w:t>]</w:t>
      </w:r>
      <w:bookmarkEnd w:id="106"/>
    </w:p>
    <w:bookmarkEnd w:id="107"/>
    <w:p w:rsidR="0025694C" w:rsidRPr="008B162A" w:rsidRDefault="0025694C" w:rsidP="0025694C">
      <w:pPr>
        <w:spacing w:line="240" w:lineRule="auto"/>
        <w:rPr>
          <w:rFonts w:ascii="Century Gothic" w:hAnsi="Century Gothic"/>
          <w:lang w:val="es-CR"/>
        </w:rPr>
      </w:pPr>
      <w:r w:rsidRPr="008B162A">
        <w:rPr>
          <w:rFonts w:ascii="Century Gothic" w:hAnsi="Century Gothic"/>
          <w:lang w:val="es-CR"/>
        </w:rPr>
        <w:t xml:space="preserve">Para el cálculo de los </w:t>
      </w:r>
      <w:r w:rsidR="00853D6E" w:rsidRPr="008B162A">
        <w:rPr>
          <w:rFonts w:ascii="Century Gothic" w:hAnsi="Century Gothic"/>
          <w:lang w:val="es-CR"/>
        </w:rPr>
        <w:t xml:space="preserve">conductores </w:t>
      </w:r>
      <w:r w:rsidRPr="008B162A">
        <w:rPr>
          <w:rFonts w:ascii="Century Gothic" w:hAnsi="Century Gothic"/>
          <w:lang w:val="es-CR"/>
        </w:rPr>
        <w:t xml:space="preserve">se necesitan </w:t>
      </w:r>
      <w:r w:rsidR="003D1AC1" w:rsidRPr="008B162A">
        <w:rPr>
          <w:rFonts w:ascii="Century Gothic" w:hAnsi="Century Gothic"/>
          <w:lang w:val="es-CR"/>
        </w:rPr>
        <w:t>llevar a cabo</w:t>
      </w:r>
      <w:r w:rsidRPr="008B162A">
        <w:rPr>
          <w:rFonts w:ascii="Century Gothic" w:hAnsi="Century Gothic"/>
          <w:lang w:val="es-CR"/>
        </w:rPr>
        <w:t xml:space="preserve"> los siguientes dos pasos:</w:t>
      </w:r>
    </w:p>
    <w:p w:rsidR="0025694C" w:rsidRPr="008B162A" w:rsidRDefault="0025694C" w:rsidP="000F1DD5">
      <w:pPr>
        <w:pStyle w:val="Prrafodelista"/>
        <w:numPr>
          <w:ilvl w:val="0"/>
          <w:numId w:val="13"/>
        </w:numPr>
        <w:spacing w:after="120" w:line="240" w:lineRule="auto"/>
        <w:ind w:left="426" w:hanging="426"/>
        <w:contextualSpacing w:val="0"/>
        <w:rPr>
          <w:rFonts w:ascii="Century Gothic" w:hAnsi="Century Gothic"/>
          <w:lang w:val="es-CR"/>
        </w:rPr>
      </w:pPr>
      <w:r w:rsidRPr="008B162A">
        <w:rPr>
          <w:rFonts w:ascii="Century Gothic" w:hAnsi="Century Gothic"/>
          <w:lang w:val="es-CR"/>
        </w:rPr>
        <w:t xml:space="preserve">Mapeo de servicios a </w:t>
      </w:r>
      <w:r w:rsidR="00853D6E" w:rsidRPr="008B162A">
        <w:rPr>
          <w:rFonts w:ascii="Century Gothic" w:hAnsi="Century Gothic"/>
          <w:lang w:val="es-CR"/>
        </w:rPr>
        <w:t>conductores</w:t>
      </w:r>
    </w:p>
    <w:p w:rsidR="0025694C" w:rsidRPr="008B162A" w:rsidRDefault="003D1AC1" w:rsidP="000F1DD5">
      <w:pPr>
        <w:pStyle w:val="Prrafodelista"/>
        <w:numPr>
          <w:ilvl w:val="0"/>
          <w:numId w:val="13"/>
        </w:numPr>
        <w:spacing w:after="120" w:line="240" w:lineRule="auto"/>
        <w:ind w:left="426" w:hanging="426"/>
        <w:contextualSpacing w:val="0"/>
        <w:rPr>
          <w:rFonts w:ascii="Century Gothic" w:hAnsi="Century Gothic"/>
          <w:lang w:val="es-CR"/>
        </w:rPr>
      </w:pPr>
      <w:r w:rsidRPr="008B162A">
        <w:rPr>
          <w:rFonts w:ascii="Century Gothic" w:hAnsi="Century Gothic"/>
          <w:lang w:val="es-CR"/>
        </w:rPr>
        <w:t xml:space="preserve">Factores de uso de los </w:t>
      </w:r>
      <w:r w:rsidR="00853D6E" w:rsidRPr="008B162A">
        <w:rPr>
          <w:rFonts w:ascii="Century Gothic" w:hAnsi="Century Gothic"/>
          <w:lang w:val="es-CR"/>
        </w:rPr>
        <w:t>conductores</w:t>
      </w:r>
    </w:p>
    <w:p w:rsidR="0025694C" w:rsidRPr="008B162A" w:rsidRDefault="0025694C" w:rsidP="0025694C">
      <w:pPr>
        <w:rPr>
          <w:rFonts w:ascii="Century Gothic" w:hAnsi="Century Gothic"/>
          <w:lang w:val="es-CR"/>
        </w:rPr>
      </w:pPr>
      <w:r w:rsidRPr="008B162A">
        <w:rPr>
          <w:rFonts w:ascii="Century Gothic" w:hAnsi="Century Gothic"/>
          <w:lang w:val="es-CR"/>
        </w:rPr>
        <w:t>Estos dos pasos se presentan en mayor detalle a continuación.</w:t>
      </w:r>
    </w:p>
    <w:p w:rsidR="0025694C" w:rsidRPr="008B162A" w:rsidRDefault="0025694C" w:rsidP="0025694C">
      <w:pPr>
        <w:pStyle w:val="Ttulo2"/>
        <w:spacing w:line="360" w:lineRule="auto"/>
        <w:ind w:left="426" w:hanging="426"/>
        <w:rPr>
          <w:rFonts w:ascii="Century Gothic" w:hAnsi="Century Gothic"/>
          <w:color w:val="auto"/>
          <w:lang w:val="es-CR"/>
        </w:rPr>
      </w:pPr>
      <w:bookmarkStart w:id="108" w:name="_Toc461625907"/>
      <w:bookmarkStart w:id="109" w:name="_Ref286598528"/>
      <w:bookmarkStart w:id="110" w:name="_Toc301959982"/>
      <w:bookmarkStart w:id="111" w:name="_Toc305574026"/>
      <w:bookmarkStart w:id="112" w:name="_Toc431900685"/>
      <w:r w:rsidRPr="008B162A">
        <w:rPr>
          <w:rFonts w:ascii="Century Gothic" w:hAnsi="Century Gothic"/>
          <w:color w:val="auto"/>
          <w:lang w:val="es-CR"/>
        </w:rPr>
        <w:lastRenderedPageBreak/>
        <w:t>Mapeo de servicios a</w:t>
      </w:r>
      <w:r w:rsidR="00853D6E" w:rsidRPr="008B162A">
        <w:rPr>
          <w:rFonts w:ascii="Century Gothic" w:hAnsi="Century Gothic"/>
          <w:color w:val="auto"/>
          <w:lang w:val="es-CR"/>
        </w:rPr>
        <w:t xml:space="preserve"> conductores</w:t>
      </w:r>
      <w:bookmarkEnd w:id="108"/>
      <w:r w:rsidRPr="008B162A">
        <w:rPr>
          <w:rFonts w:ascii="Century Gothic" w:hAnsi="Century Gothic"/>
          <w:color w:val="auto"/>
          <w:lang w:val="es-CR"/>
        </w:rPr>
        <w:t xml:space="preserve"> </w:t>
      </w:r>
      <w:bookmarkEnd w:id="109"/>
      <w:bookmarkEnd w:id="110"/>
      <w:bookmarkEnd w:id="111"/>
      <w:bookmarkEnd w:id="112"/>
    </w:p>
    <w:p w:rsidR="0025694C" w:rsidRPr="008B162A" w:rsidRDefault="0025694C" w:rsidP="0025694C">
      <w:pPr>
        <w:rPr>
          <w:rFonts w:ascii="Century Gothic" w:hAnsi="Century Gothic"/>
          <w:lang w:val="es-CR"/>
        </w:rPr>
      </w:pPr>
      <w:r w:rsidRPr="008B162A">
        <w:rPr>
          <w:rFonts w:ascii="Century Gothic" w:hAnsi="Century Gothic"/>
          <w:lang w:val="es-CR"/>
        </w:rPr>
        <w:t xml:space="preserve">Para la obtención de los </w:t>
      </w:r>
      <w:r w:rsidR="00853D6E" w:rsidRPr="008B162A">
        <w:rPr>
          <w:rFonts w:ascii="Century Gothic" w:hAnsi="Century Gothic"/>
          <w:lang w:val="es-CR"/>
        </w:rPr>
        <w:t xml:space="preserve">conductores </w:t>
      </w:r>
      <w:r w:rsidRPr="008B162A">
        <w:rPr>
          <w:rFonts w:ascii="Century Gothic" w:hAnsi="Century Gothic"/>
          <w:lang w:val="es-CR"/>
        </w:rPr>
        <w:t xml:space="preserve">es necesario indicar la relación existente entre éstos y los servicios. </w:t>
      </w:r>
      <w:r w:rsidR="003D1AC1" w:rsidRPr="008B162A">
        <w:rPr>
          <w:rFonts w:ascii="Century Gothic" w:hAnsi="Century Gothic"/>
          <w:lang w:val="es-CR"/>
        </w:rPr>
        <w:t>U</w:t>
      </w:r>
      <w:r w:rsidRPr="008B162A">
        <w:rPr>
          <w:rFonts w:ascii="Century Gothic" w:hAnsi="Century Gothic"/>
          <w:lang w:val="es-CR"/>
        </w:rPr>
        <w:t xml:space="preserve">n servicio </w:t>
      </w:r>
      <w:r w:rsidR="003D1AC1" w:rsidRPr="008B162A">
        <w:rPr>
          <w:rFonts w:ascii="Century Gothic" w:hAnsi="Century Gothic"/>
          <w:lang w:val="es-CR"/>
        </w:rPr>
        <w:t xml:space="preserve">puede </w:t>
      </w:r>
      <w:r w:rsidRPr="008B162A">
        <w:rPr>
          <w:rFonts w:ascii="Century Gothic" w:hAnsi="Century Gothic"/>
          <w:lang w:val="es-CR"/>
        </w:rPr>
        <w:t>asignar</w:t>
      </w:r>
      <w:r w:rsidR="003D1AC1" w:rsidRPr="008B162A">
        <w:rPr>
          <w:rFonts w:ascii="Century Gothic" w:hAnsi="Century Gothic"/>
          <w:lang w:val="es-CR"/>
        </w:rPr>
        <w:t>se</w:t>
      </w:r>
      <w:r w:rsidRPr="008B162A">
        <w:rPr>
          <w:rFonts w:ascii="Century Gothic" w:hAnsi="Century Gothic"/>
          <w:lang w:val="es-CR"/>
        </w:rPr>
        <w:t xml:space="preserve"> en general a más de un </w:t>
      </w:r>
      <w:r w:rsidR="00853D6E" w:rsidRPr="008B162A">
        <w:rPr>
          <w:rFonts w:ascii="Century Gothic" w:hAnsi="Century Gothic"/>
          <w:lang w:val="es-CR"/>
        </w:rPr>
        <w:t>conductor</w:t>
      </w:r>
      <w:r w:rsidRPr="008B162A">
        <w:rPr>
          <w:rFonts w:ascii="Century Gothic" w:hAnsi="Century Gothic"/>
          <w:lang w:val="es-CR"/>
        </w:rPr>
        <w:t xml:space="preserve">, ya que los </w:t>
      </w:r>
      <w:r w:rsidR="00853D6E" w:rsidRPr="008B162A">
        <w:rPr>
          <w:rFonts w:ascii="Century Gothic" w:hAnsi="Century Gothic"/>
          <w:lang w:val="es-CR"/>
        </w:rPr>
        <w:t xml:space="preserve">conductores </w:t>
      </w:r>
      <w:r w:rsidRPr="008B162A">
        <w:rPr>
          <w:rFonts w:ascii="Century Gothic" w:hAnsi="Century Gothic"/>
          <w:lang w:val="es-CR"/>
        </w:rPr>
        <w:t xml:space="preserve">representan </w:t>
      </w:r>
      <w:r w:rsidR="0058127C" w:rsidRPr="008B162A">
        <w:rPr>
          <w:rFonts w:ascii="Century Gothic" w:hAnsi="Century Gothic"/>
          <w:lang w:val="es-CR"/>
        </w:rPr>
        <w:t>la demanda</w:t>
      </w:r>
      <w:r w:rsidRPr="008B162A">
        <w:rPr>
          <w:rFonts w:ascii="Century Gothic" w:hAnsi="Century Gothic"/>
          <w:lang w:val="es-CR"/>
        </w:rPr>
        <w:t xml:space="preserve"> en un punto concreto de la red.</w:t>
      </w:r>
    </w:p>
    <w:p w:rsidR="0025694C" w:rsidRPr="008B162A" w:rsidRDefault="0025694C" w:rsidP="0025694C">
      <w:pPr>
        <w:spacing w:line="360" w:lineRule="auto"/>
        <w:rPr>
          <w:rFonts w:ascii="Century Gothic" w:hAnsi="Century Gothic"/>
          <w:lang w:val="es-CR"/>
        </w:rPr>
      </w:pPr>
      <w:r w:rsidRPr="008B162A">
        <w:rPr>
          <w:rFonts w:ascii="Century Gothic" w:hAnsi="Century Gothic"/>
          <w:lang w:val="es-CR"/>
        </w:rPr>
        <w:t xml:space="preserve">En la siguiente tabla se muestra un extracto del mapeo de servicios a </w:t>
      </w:r>
      <w:r w:rsidR="00853D6E" w:rsidRPr="008B162A">
        <w:rPr>
          <w:rFonts w:ascii="Century Gothic" w:hAnsi="Century Gothic"/>
          <w:lang w:val="es-CR"/>
        </w:rPr>
        <w:t>conductores</w:t>
      </w:r>
      <w:r w:rsidRPr="008B162A">
        <w:rPr>
          <w:rFonts w:ascii="Century Gothic" w:hAnsi="Century Gothic"/>
          <w:lang w:val="es-CR"/>
        </w:rPr>
        <w:t>:</w:t>
      </w:r>
    </w:p>
    <w:tbl>
      <w:tblPr>
        <w:tblW w:w="10057" w:type="dxa"/>
        <w:tblInd w:w="-572" w:type="dxa"/>
        <w:tblLook w:val="04A0" w:firstRow="1" w:lastRow="0" w:firstColumn="1" w:lastColumn="0" w:noHBand="0" w:noVBand="1"/>
      </w:tblPr>
      <w:tblGrid>
        <w:gridCol w:w="5387"/>
        <w:gridCol w:w="4670"/>
      </w:tblGrid>
      <w:tr w:rsidR="008B162A" w:rsidRPr="008B162A" w:rsidTr="001904AF">
        <w:trPr>
          <w:trHeight w:val="567"/>
        </w:trPr>
        <w:tc>
          <w:tcPr>
            <w:tcW w:w="10057" w:type="dxa"/>
            <w:gridSpan w:val="2"/>
            <w:tcBorders>
              <w:top w:val="nil"/>
              <w:left w:val="single" w:sz="4" w:space="0" w:color="FFFFFF"/>
              <w:bottom w:val="single" w:sz="4" w:space="0" w:color="FFFFFF"/>
              <w:right w:val="single" w:sz="4" w:space="0" w:color="FFFFFF"/>
            </w:tcBorders>
            <w:shd w:val="clear" w:color="000000" w:fill="0C2749"/>
            <w:vAlign w:val="center"/>
            <w:hideMark/>
          </w:tcPr>
          <w:p w:rsidR="0025694C" w:rsidRPr="008B162A" w:rsidRDefault="0025694C" w:rsidP="001904AF">
            <w:pPr>
              <w:spacing w:before="0" w:after="0" w:line="240" w:lineRule="auto"/>
              <w:jc w:val="center"/>
              <w:rPr>
                <w:rFonts w:ascii="Century Gothic" w:hAnsi="Century Gothic"/>
                <w:b/>
                <w:sz w:val="16"/>
              </w:rPr>
            </w:pPr>
            <w:r w:rsidRPr="008B162A">
              <w:rPr>
                <w:rFonts w:ascii="Century Gothic" w:hAnsi="Century Gothic"/>
                <w:b/>
                <w:sz w:val="16"/>
              </w:rPr>
              <w:t>Lista de relaciones</w:t>
            </w:r>
          </w:p>
        </w:tc>
      </w:tr>
      <w:tr w:rsidR="008B162A" w:rsidRPr="008B162A" w:rsidTr="001904AF">
        <w:trPr>
          <w:trHeight w:val="567"/>
        </w:trPr>
        <w:tc>
          <w:tcPr>
            <w:tcW w:w="5387" w:type="dxa"/>
            <w:tcBorders>
              <w:top w:val="nil"/>
              <w:left w:val="single" w:sz="4" w:space="0" w:color="FFFFFF"/>
              <w:bottom w:val="nil"/>
              <w:right w:val="single" w:sz="4" w:space="0" w:color="FFFFFF"/>
            </w:tcBorders>
            <w:shd w:val="clear" w:color="000000" w:fill="0C2749"/>
            <w:vAlign w:val="center"/>
            <w:hideMark/>
          </w:tcPr>
          <w:p w:rsidR="0025694C" w:rsidRPr="008B162A" w:rsidRDefault="0025694C" w:rsidP="001904AF">
            <w:pPr>
              <w:spacing w:before="0" w:after="0" w:line="240" w:lineRule="auto"/>
              <w:jc w:val="center"/>
              <w:rPr>
                <w:rFonts w:ascii="Century Gothic" w:hAnsi="Century Gothic"/>
                <w:b/>
                <w:sz w:val="16"/>
              </w:rPr>
            </w:pPr>
            <w:r w:rsidRPr="008B162A">
              <w:rPr>
                <w:rFonts w:ascii="Century Gothic" w:hAnsi="Century Gothic"/>
                <w:b/>
                <w:sz w:val="16"/>
              </w:rPr>
              <w:t>SERVICIO (Nombre de la Variable)</w:t>
            </w:r>
          </w:p>
        </w:tc>
        <w:tc>
          <w:tcPr>
            <w:tcW w:w="4670" w:type="dxa"/>
            <w:tcBorders>
              <w:top w:val="nil"/>
              <w:left w:val="nil"/>
              <w:bottom w:val="nil"/>
              <w:right w:val="single" w:sz="4" w:space="0" w:color="FFFFFF"/>
            </w:tcBorders>
            <w:shd w:val="clear" w:color="000000" w:fill="0C2749"/>
            <w:vAlign w:val="center"/>
            <w:hideMark/>
          </w:tcPr>
          <w:p w:rsidR="0025694C" w:rsidRPr="008B162A" w:rsidRDefault="00853D6E" w:rsidP="001904AF">
            <w:pPr>
              <w:spacing w:before="0" w:after="0" w:line="240" w:lineRule="auto"/>
              <w:jc w:val="center"/>
              <w:rPr>
                <w:rFonts w:ascii="Century Gothic" w:hAnsi="Century Gothic"/>
                <w:b/>
                <w:sz w:val="16"/>
              </w:rPr>
            </w:pPr>
            <w:r w:rsidRPr="008B162A">
              <w:rPr>
                <w:rFonts w:ascii="Century Gothic" w:hAnsi="Century Gothic"/>
                <w:b/>
                <w:sz w:val="16"/>
              </w:rPr>
              <w:t xml:space="preserve">CONDUCTOR </w:t>
            </w:r>
            <w:r w:rsidR="0025694C" w:rsidRPr="008B162A">
              <w:rPr>
                <w:rFonts w:ascii="Century Gothic" w:hAnsi="Century Gothic"/>
                <w:b/>
                <w:sz w:val="16"/>
              </w:rPr>
              <w:t>(Nombre de la Variable)</w:t>
            </w:r>
          </w:p>
        </w:tc>
      </w:tr>
      <w:tr w:rsidR="008B162A" w:rsidRPr="008B162A" w:rsidTr="00482695">
        <w:trPr>
          <w:trHeight w:val="333"/>
        </w:trPr>
        <w:tc>
          <w:tcPr>
            <w:tcW w:w="5387" w:type="dxa"/>
            <w:tcBorders>
              <w:top w:val="single" w:sz="4" w:space="0" w:color="113F80"/>
              <w:left w:val="single" w:sz="8" w:space="0" w:color="113F80"/>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Acceso.Fibra.mayorista.Acceso</w:t>
            </w:r>
            <w:proofErr w:type="spellEnd"/>
            <w:r w:rsidRPr="008B162A">
              <w:rPr>
                <w:rFonts w:ascii="Century Gothic" w:hAnsi="Century Gothic"/>
                <w:sz w:val="16"/>
              </w:rPr>
              <w:t xml:space="preserve"> indirecto</w:t>
            </w:r>
          </w:p>
        </w:tc>
        <w:tc>
          <w:tcPr>
            <w:tcW w:w="4670" w:type="dxa"/>
            <w:tcBorders>
              <w:top w:val="single" w:sz="4" w:space="0" w:color="113F80"/>
              <w:left w:val="nil"/>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GPON</w:t>
            </w:r>
          </w:p>
        </w:tc>
      </w:tr>
      <w:tr w:rsidR="008B162A" w:rsidRPr="008B162A" w:rsidTr="0081629B">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Acceso.Fibra.mayorista.Desagregación</w:t>
            </w:r>
            <w:proofErr w:type="spellEnd"/>
            <w:r w:rsidRPr="008B162A">
              <w:rPr>
                <w:rFonts w:ascii="Century Gothic" w:hAnsi="Century Gothic"/>
                <w:sz w:val="16"/>
              </w:rPr>
              <w:t xml:space="preserve"> virtual – VULA sin ONT</w:t>
            </w:r>
          </w:p>
        </w:tc>
        <w:tc>
          <w:tcPr>
            <w:tcW w:w="4670" w:type="dxa"/>
            <w:tcBorders>
              <w:top w:val="nil"/>
              <w:left w:val="nil"/>
              <w:bottom w:val="single" w:sz="4" w:space="0" w:color="113F80"/>
              <w:right w:val="single" w:sz="4" w:space="0" w:color="113F80"/>
            </w:tcBorders>
            <w:shd w:val="clear" w:color="auto" w:fill="auto"/>
            <w:noWrap/>
            <w:vAlign w:val="center"/>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GPON</w:t>
            </w:r>
          </w:p>
        </w:tc>
      </w:tr>
      <w:tr w:rsidR="008B162A" w:rsidRPr="008B162A" w:rsidTr="0081629B">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Acceso.Fibra.mayorista.Desagregación</w:t>
            </w:r>
            <w:proofErr w:type="spellEnd"/>
            <w:r w:rsidRPr="008B162A">
              <w:rPr>
                <w:rFonts w:ascii="Century Gothic" w:hAnsi="Century Gothic"/>
                <w:sz w:val="16"/>
              </w:rPr>
              <w:t xml:space="preserve"> virtual – VULA con ONT</w:t>
            </w:r>
          </w:p>
        </w:tc>
        <w:tc>
          <w:tcPr>
            <w:tcW w:w="4670" w:type="dxa"/>
            <w:tcBorders>
              <w:top w:val="nil"/>
              <w:left w:val="nil"/>
              <w:bottom w:val="single" w:sz="4" w:space="0" w:color="113F80"/>
              <w:right w:val="single" w:sz="4" w:space="0" w:color="113F80"/>
            </w:tcBorders>
            <w:shd w:val="clear" w:color="auto" w:fill="auto"/>
            <w:noWrap/>
            <w:vAlign w:val="center"/>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GPON</w:t>
            </w:r>
          </w:p>
        </w:tc>
      </w:tr>
      <w:tr w:rsidR="008B162A" w:rsidRPr="008B162A" w:rsidTr="001904AF">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Acceso.Fibra.mayorista.Desagregación</w:t>
            </w:r>
            <w:proofErr w:type="spellEnd"/>
            <w:r w:rsidRPr="008B162A">
              <w:rPr>
                <w:rFonts w:ascii="Century Gothic" w:hAnsi="Century Gothic"/>
                <w:sz w:val="16"/>
              </w:rPr>
              <w:t xml:space="preserve"> bucle punto a punto</w:t>
            </w:r>
          </w:p>
        </w:tc>
        <w:tc>
          <w:tcPr>
            <w:tcW w:w="4670" w:type="dxa"/>
            <w:tcBorders>
              <w:top w:val="nil"/>
              <w:left w:val="nil"/>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GPON</w:t>
            </w:r>
          </w:p>
        </w:tc>
      </w:tr>
      <w:tr w:rsidR="008B162A" w:rsidRPr="008B162A" w:rsidTr="001904AF">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Acceso.Fibra.minorista.Acceso</w:t>
            </w:r>
            <w:proofErr w:type="spellEnd"/>
            <w:r w:rsidRPr="008B162A">
              <w:rPr>
                <w:rFonts w:ascii="Century Gothic" w:hAnsi="Century Gothic"/>
                <w:sz w:val="16"/>
              </w:rPr>
              <w:t xml:space="preserve"> fibra minorista</w:t>
            </w:r>
          </w:p>
        </w:tc>
        <w:tc>
          <w:tcPr>
            <w:tcW w:w="4670" w:type="dxa"/>
            <w:tcBorders>
              <w:top w:val="nil"/>
              <w:left w:val="nil"/>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GPON</w:t>
            </w:r>
          </w:p>
        </w:tc>
      </w:tr>
      <w:tr w:rsidR="008B162A" w:rsidRPr="008B162A" w:rsidTr="001904AF">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Acceso.Fibra.minorista.Enlace</w:t>
            </w:r>
            <w:proofErr w:type="spellEnd"/>
            <w:r w:rsidRPr="008B162A">
              <w:rPr>
                <w:rFonts w:ascii="Century Gothic" w:hAnsi="Century Gothic"/>
                <w:sz w:val="16"/>
              </w:rPr>
              <w:t xml:space="preserve"> dedicado</w:t>
            </w:r>
          </w:p>
        </w:tc>
        <w:tc>
          <w:tcPr>
            <w:tcW w:w="4670" w:type="dxa"/>
            <w:tcBorders>
              <w:top w:val="nil"/>
              <w:left w:val="nil"/>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GPON</w:t>
            </w:r>
          </w:p>
        </w:tc>
      </w:tr>
      <w:tr w:rsidR="008B162A" w:rsidRPr="008B162A" w:rsidTr="001904AF">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r w:rsidRPr="008B162A">
              <w:rPr>
                <w:rFonts w:ascii="Century Gothic" w:hAnsi="Century Gothic"/>
                <w:sz w:val="16"/>
              </w:rPr>
              <w:t> </w:t>
            </w:r>
          </w:p>
        </w:tc>
        <w:tc>
          <w:tcPr>
            <w:tcW w:w="4670" w:type="dxa"/>
            <w:tcBorders>
              <w:top w:val="nil"/>
              <w:left w:val="nil"/>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r w:rsidRPr="008B162A">
              <w:rPr>
                <w:rFonts w:ascii="Century Gothic" w:hAnsi="Century Gothic"/>
                <w:sz w:val="16"/>
              </w:rPr>
              <w:t> </w:t>
            </w:r>
          </w:p>
        </w:tc>
      </w:tr>
      <w:tr w:rsidR="008B162A" w:rsidRPr="008B162A" w:rsidTr="001904AF">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Acceso.Fibra.mayorista.Acceso</w:t>
            </w:r>
            <w:proofErr w:type="spellEnd"/>
            <w:r w:rsidRPr="008B162A">
              <w:rPr>
                <w:rFonts w:ascii="Century Gothic" w:hAnsi="Century Gothic"/>
                <w:sz w:val="16"/>
              </w:rPr>
              <w:t xml:space="preserve"> indirecto</w:t>
            </w:r>
          </w:p>
        </w:tc>
        <w:tc>
          <w:tcPr>
            <w:tcW w:w="4670" w:type="dxa"/>
            <w:tcBorders>
              <w:top w:val="nil"/>
              <w:left w:val="nil"/>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punto a punto</w:t>
            </w:r>
          </w:p>
        </w:tc>
      </w:tr>
      <w:tr w:rsidR="008B162A" w:rsidRPr="008B162A" w:rsidTr="001904AF">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Acceso.Fibra.mayorista.Desagregación</w:t>
            </w:r>
            <w:proofErr w:type="spellEnd"/>
            <w:r w:rsidRPr="008B162A">
              <w:rPr>
                <w:rFonts w:ascii="Century Gothic" w:hAnsi="Century Gothic"/>
                <w:sz w:val="16"/>
              </w:rPr>
              <w:t xml:space="preserve"> virtual </w:t>
            </w:r>
            <w:r w:rsidR="00853D6E" w:rsidRPr="008B162A">
              <w:rPr>
                <w:rFonts w:ascii="Century Gothic" w:hAnsi="Century Gothic"/>
                <w:sz w:val="16"/>
              </w:rPr>
              <w:t>–</w:t>
            </w:r>
            <w:r w:rsidRPr="008B162A">
              <w:rPr>
                <w:rFonts w:ascii="Century Gothic" w:hAnsi="Century Gothic"/>
                <w:sz w:val="16"/>
              </w:rPr>
              <w:t xml:space="preserve"> VULA</w:t>
            </w:r>
            <w:r w:rsidR="00853D6E" w:rsidRPr="008B162A">
              <w:rPr>
                <w:rFonts w:ascii="Century Gothic" w:hAnsi="Century Gothic"/>
                <w:sz w:val="16"/>
              </w:rPr>
              <w:t xml:space="preserve"> sin ONT</w:t>
            </w:r>
          </w:p>
        </w:tc>
        <w:tc>
          <w:tcPr>
            <w:tcW w:w="4670" w:type="dxa"/>
            <w:tcBorders>
              <w:top w:val="nil"/>
              <w:left w:val="nil"/>
              <w:bottom w:val="single" w:sz="4" w:space="0" w:color="113F80"/>
              <w:right w:val="single" w:sz="4" w:space="0" w:color="113F80"/>
            </w:tcBorders>
            <w:shd w:val="clear" w:color="auto" w:fill="auto"/>
            <w:noWrap/>
            <w:vAlign w:val="center"/>
            <w:hideMark/>
          </w:tcPr>
          <w:p w:rsidR="00482695" w:rsidRPr="008B162A" w:rsidRDefault="00482695" w:rsidP="00482695">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punto a punto</w:t>
            </w:r>
          </w:p>
        </w:tc>
      </w:tr>
      <w:tr w:rsidR="008B162A" w:rsidRPr="008B162A" w:rsidTr="001904AF">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Acceso.Fibra.mayorista.Desagregación</w:t>
            </w:r>
            <w:proofErr w:type="spellEnd"/>
            <w:r w:rsidRPr="008B162A">
              <w:rPr>
                <w:rFonts w:ascii="Century Gothic" w:hAnsi="Century Gothic"/>
                <w:sz w:val="16"/>
              </w:rPr>
              <w:t xml:space="preserve"> virtual – VULA con ONT</w:t>
            </w:r>
          </w:p>
        </w:tc>
        <w:tc>
          <w:tcPr>
            <w:tcW w:w="4670" w:type="dxa"/>
            <w:tcBorders>
              <w:top w:val="nil"/>
              <w:left w:val="nil"/>
              <w:bottom w:val="single" w:sz="4" w:space="0" w:color="113F80"/>
              <w:right w:val="single" w:sz="4" w:space="0" w:color="113F80"/>
            </w:tcBorders>
            <w:shd w:val="clear" w:color="auto" w:fill="auto"/>
            <w:noWrap/>
            <w:vAlign w:val="center"/>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punto a punto</w:t>
            </w:r>
          </w:p>
        </w:tc>
      </w:tr>
      <w:tr w:rsidR="008B162A" w:rsidRPr="008B162A" w:rsidTr="001904AF">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hideMark/>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Acceso.Fibra.mayorista.Desagregación</w:t>
            </w:r>
            <w:proofErr w:type="spellEnd"/>
            <w:r w:rsidRPr="008B162A">
              <w:rPr>
                <w:rFonts w:ascii="Century Gothic" w:hAnsi="Century Gothic"/>
                <w:sz w:val="16"/>
              </w:rPr>
              <w:t xml:space="preserve"> bucle punto a punto</w:t>
            </w:r>
          </w:p>
        </w:tc>
        <w:tc>
          <w:tcPr>
            <w:tcW w:w="4670" w:type="dxa"/>
            <w:tcBorders>
              <w:top w:val="nil"/>
              <w:left w:val="nil"/>
              <w:bottom w:val="single" w:sz="4" w:space="0" w:color="113F80"/>
              <w:right w:val="single" w:sz="4" w:space="0" w:color="113F80"/>
            </w:tcBorders>
            <w:shd w:val="clear" w:color="auto" w:fill="auto"/>
            <w:noWrap/>
            <w:vAlign w:val="center"/>
            <w:hideMark/>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punto a punto</w:t>
            </w:r>
          </w:p>
        </w:tc>
      </w:tr>
      <w:tr w:rsidR="008B162A" w:rsidRPr="008B162A" w:rsidTr="001904AF">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hideMark/>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Acceso.Fibra.minorista.Acceso</w:t>
            </w:r>
            <w:proofErr w:type="spellEnd"/>
            <w:r w:rsidRPr="008B162A">
              <w:rPr>
                <w:rFonts w:ascii="Century Gothic" w:hAnsi="Century Gothic"/>
                <w:sz w:val="16"/>
              </w:rPr>
              <w:t xml:space="preserve"> fibra minorista</w:t>
            </w:r>
          </w:p>
        </w:tc>
        <w:tc>
          <w:tcPr>
            <w:tcW w:w="4670" w:type="dxa"/>
            <w:tcBorders>
              <w:top w:val="nil"/>
              <w:left w:val="nil"/>
              <w:bottom w:val="single" w:sz="4" w:space="0" w:color="113F80"/>
              <w:right w:val="single" w:sz="4" w:space="0" w:color="113F80"/>
            </w:tcBorders>
            <w:shd w:val="clear" w:color="auto" w:fill="auto"/>
            <w:noWrap/>
            <w:vAlign w:val="center"/>
            <w:hideMark/>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punto a punto</w:t>
            </w:r>
          </w:p>
        </w:tc>
      </w:tr>
      <w:tr w:rsidR="008B162A" w:rsidRPr="008B162A" w:rsidTr="001904AF">
        <w:trPr>
          <w:trHeight w:val="340"/>
        </w:trPr>
        <w:tc>
          <w:tcPr>
            <w:tcW w:w="5387" w:type="dxa"/>
            <w:tcBorders>
              <w:top w:val="nil"/>
              <w:left w:val="single" w:sz="8" w:space="0" w:color="113F80"/>
              <w:bottom w:val="single" w:sz="4" w:space="0" w:color="113F80"/>
              <w:right w:val="single" w:sz="4" w:space="0" w:color="113F80"/>
            </w:tcBorders>
            <w:shd w:val="clear" w:color="auto" w:fill="auto"/>
            <w:noWrap/>
            <w:vAlign w:val="center"/>
            <w:hideMark/>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Acceso.Fibra.minorista.Enlace</w:t>
            </w:r>
            <w:proofErr w:type="spellEnd"/>
            <w:r w:rsidRPr="008B162A">
              <w:rPr>
                <w:rFonts w:ascii="Century Gothic" w:hAnsi="Century Gothic"/>
                <w:sz w:val="16"/>
              </w:rPr>
              <w:t xml:space="preserve"> dedicado</w:t>
            </w:r>
          </w:p>
        </w:tc>
        <w:tc>
          <w:tcPr>
            <w:tcW w:w="4670" w:type="dxa"/>
            <w:tcBorders>
              <w:top w:val="nil"/>
              <w:left w:val="nil"/>
              <w:bottom w:val="single" w:sz="4" w:space="0" w:color="113F80"/>
              <w:right w:val="single" w:sz="4" w:space="0" w:color="113F80"/>
            </w:tcBorders>
            <w:shd w:val="clear" w:color="auto" w:fill="auto"/>
            <w:noWrap/>
            <w:vAlign w:val="center"/>
            <w:hideMark/>
          </w:tcPr>
          <w:p w:rsidR="00853D6E" w:rsidRPr="008B162A" w:rsidRDefault="00853D6E" w:rsidP="00853D6E">
            <w:pPr>
              <w:spacing w:before="0" w:after="0" w:line="240" w:lineRule="auto"/>
              <w:jc w:val="left"/>
              <w:rPr>
                <w:rFonts w:ascii="Century Gothic" w:hAnsi="Century Gothic"/>
                <w:sz w:val="16"/>
              </w:rPr>
            </w:pPr>
            <w:proofErr w:type="spellStart"/>
            <w:r w:rsidRPr="008B162A">
              <w:rPr>
                <w:rFonts w:ascii="Century Gothic" w:hAnsi="Century Gothic"/>
                <w:sz w:val="16"/>
              </w:rPr>
              <w:t>DRIV.Fibra.Accesos.Número</w:t>
            </w:r>
            <w:proofErr w:type="spellEnd"/>
            <w:r w:rsidRPr="008B162A">
              <w:rPr>
                <w:rFonts w:ascii="Century Gothic" w:hAnsi="Century Gothic"/>
                <w:sz w:val="16"/>
              </w:rPr>
              <w:t xml:space="preserve"> de accesos punto a punto</w:t>
            </w:r>
          </w:p>
        </w:tc>
      </w:tr>
    </w:tbl>
    <w:p w:rsidR="0025694C" w:rsidRPr="008B162A" w:rsidRDefault="0025694C" w:rsidP="0025694C">
      <w:pPr>
        <w:pStyle w:val="Descripcin"/>
        <w:rPr>
          <w:rFonts w:ascii="Century Gothic" w:hAnsi="Century Gothic"/>
          <w:lang w:val="es-CR"/>
        </w:rPr>
      </w:pPr>
      <w:bookmarkStart w:id="113" w:name="_Toc374371693"/>
      <w:bookmarkStart w:id="114" w:name="_Toc304384537"/>
      <w:r w:rsidRPr="008B162A">
        <w:rPr>
          <w:rFonts w:ascii="Century Gothic" w:hAnsi="Century Gothic"/>
          <w:lang w:val="es-CR"/>
        </w:rPr>
        <w:t xml:space="preserve">Tabla </w:t>
      </w:r>
      <w:r w:rsidR="00AD65BA" w:rsidRPr="008B162A">
        <w:rPr>
          <w:rFonts w:ascii="Century Gothic" w:hAnsi="Century Gothic"/>
          <w:lang w:val="es-CR"/>
        </w:rPr>
        <w:fldChar w:fldCharType="begin"/>
      </w:r>
      <w:r w:rsidR="00AD65BA" w:rsidRPr="008B162A">
        <w:rPr>
          <w:rFonts w:ascii="Century Gothic" w:hAnsi="Century Gothic"/>
          <w:lang w:val="es-CR"/>
        </w:rPr>
        <w:instrText xml:space="preserve"> STYLEREF 1 \s </w:instrText>
      </w:r>
      <w:r w:rsidR="00AD65BA" w:rsidRPr="008B162A">
        <w:rPr>
          <w:rFonts w:ascii="Century Gothic" w:hAnsi="Century Gothic"/>
          <w:lang w:val="es-CR"/>
        </w:rPr>
        <w:fldChar w:fldCharType="separate"/>
      </w:r>
      <w:r w:rsidR="00431406">
        <w:rPr>
          <w:rFonts w:ascii="Century Gothic" w:hAnsi="Century Gothic"/>
          <w:noProof/>
          <w:lang w:val="es-CR"/>
        </w:rPr>
        <w:t>6</w:t>
      </w:r>
      <w:r w:rsidR="00AD65BA" w:rsidRPr="008B162A">
        <w:rPr>
          <w:rFonts w:ascii="Century Gothic" w:hAnsi="Century Gothic"/>
          <w:lang w:val="es-CR"/>
        </w:rPr>
        <w:fldChar w:fldCharType="end"/>
      </w:r>
      <w:r w:rsidR="00AD65BA" w:rsidRPr="008B162A">
        <w:rPr>
          <w:rFonts w:ascii="Century Gothic" w:hAnsi="Century Gothic"/>
          <w:lang w:val="es-CR"/>
        </w:rPr>
        <w:t>.</w:t>
      </w:r>
      <w:r w:rsidR="00AD65BA" w:rsidRPr="008B162A">
        <w:rPr>
          <w:rFonts w:ascii="Century Gothic" w:hAnsi="Century Gothic"/>
          <w:lang w:val="es-CR"/>
        </w:rPr>
        <w:fldChar w:fldCharType="begin"/>
      </w:r>
      <w:r w:rsidR="00AD65BA" w:rsidRPr="008B162A">
        <w:rPr>
          <w:rFonts w:ascii="Century Gothic" w:hAnsi="Century Gothic"/>
          <w:lang w:val="es-CR"/>
        </w:rPr>
        <w:instrText xml:space="preserve"> SEQ Tabla \* ARABIC \s 1 </w:instrText>
      </w:r>
      <w:r w:rsidR="00AD65BA" w:rsidRPr="008B162A">
        <w:rPr>
          <w:rFonts w:ascii="Century Gothic" w:hAnsi="Century Gothic"/>
          <w:lang w:val="es-CR"/>
        </w:rPr>
        <w:fldChar w:fldCharType="separate"/>
      </w:r>
      <w:r w:rsidR="00431406">
        <w:rPr>
          <w:rFonts w:ascii="Century Gothic" w:hAnsi="Century Gothic"/>
          <w:noProof/>
          <w:lang w:val="es-CR"/>
        </w:rPr>
        <w:t>2</w:t>
      </w:r>
      <w:r w:rsidR="00AD65BA" w:rsidRPr="008B162A">
        <w:rPr>
          <w:rFonts w:ascii="Century Gothic" w:hAnsi="Century Gothic"/>
          <w:lang w:val="es-CR"/>
        </w:rPr>
        <w:fldChar w:fldCharType="end"/>
      </w:r>
      <w:r w:rsidRPr="008B162A">
        <w:rPr>
          <w:rFonts w:ascii="Century Gothic" w:hAnsi="Century Gothic"/>
          <w:lang w:val="es-CR"/>
        </w:rPr>
        <w:t xml:space="preserve">: Extracto del mapeo de Servicios a </w:t>
      </w:r>
      <w:r w:rsidR="00853D6E" w:rsidRPr="008B162A">
        <w:rPr>
          <w:rFonts w:ascii="Century Gothic" w:hAnsi="Century Gothic"/>
          <w:lang w:val="es-CR"/>
        </w:rPr>
        <w:t xml:space="preserve">Conductor </w:t>
      </w:r>
      <w:r w:rsidRPr="008B162A">
        <w:rPr>
          <w:rFonts w:ascii="Century Gothic" w:hAnsi="Century Gothic"/>
          <w:lang w:val="es-CR"/>
        </w:rPr>
        <w:t xml:space="preserve">(Hoja ‘3D MAP SERV2DRIV’) [Fuente: </w:t>
      </w:r>
      <w:r w:rsidR="006B7D75" w:rsidRPr="008B162A">
        <w:rPr>
          <w:rFonts w:ascii="Century Gothic" w:hAnsi="Century Gothic"/>
          <w:lang w:val="es-CR"/>
        </w:rPr>
        <w:t>IFT, 2016</w:t>
      </w:r>
      <w:r w:rsidRPr="008B162A">
        <w:rPr>
          <w:rFonts w:ascii="Century Gothic" w:hAnsi="Century Gothic"/>
          <w:lang w:val="es-CR"/>
        </w:rPr>
        <w:t>]</w:t>
      </w:r>
      <w:bookmarkEnd w:id="113"/>
    </w:p>
    <w:p w:rsidR="0025694C" w:rsidRPr="008B162A" w:rsidRDefault="0025694C" w:rsidP="0025694C">
      <w:pPr>
        <w:pStyle w:val="Ttulo2"/>
        <w:rPr>
          <w:rFonts w:ascii="Century Gothic" w:hAnsi="Century Gothic"/>
          <w:color w:val="auto"/>
          <w:lang w:val="es-CR"/>
        </w:rPr>
      </w:pPr>
      <w:bookmarkStart w:id="115" w:name="_Ref410382009"/>
      <w:bookmarkStart w:id="116" w:name="_Toc431900686"/>
      <w:bookmarkStart w:id="117" w:name="_Toc461625908"/>
      <w:bookmarkStart w:id="118" w:name="_Toc301959983"/>
      <w:bookmarkStart w:id="119" w:name="_Toc305574027"/>
      <w:bookmarkEnd w:id="114"/>
      <w:r w:rsidRPr="008B162A">
        <w:rPr>
          <w:rFonts w:ascii="Century Gothic" w:hAnsi="Century Gothic"/>
          <w:color w:val="auto"/>
          <w:lang w:val="es-CR"/>
        </w:rPr>
        <w:t xml:space="preserve">Factores de </w:t>
      </w:r>
      <w:r w:rsidR="003D1AC1" w:rsidRPr="008B162A">
        <w:rPr>
          <w:rFonts w:ascii="Century Gothic" w:hAnsi="Century Gothic"/>
          <w:color w:val="auto"/>
          <w:lang w:val="es-CR"/>
        </w:rPr>
        <w:t>uso</w:t>
      </w:r>
      <w:bookmarkEnd w:id="115"/>
      <w:bookmarkEnd w:id="116"/>
      <w:bookmarkEnd w:id="117"/>
    </w:p>
    <w:p w:rsidR="0025694C" w:rsidRPr="008B162A" w:rsidRDefault="0025694C" w:rsidP="003D1AC1">
      <w:pPr>
        <w:rPr>
          <w:rFonts w:ascii="Century Gothic" w:hAnsi="Century Gothic"/>
          <w:lang w:val="es-CR"/>
        </w:rPr>
      </w:pPr>
      <w:r w:rsidRPr="008B162A">
        <w:rPr>
          <w:rFonts w:ascii="Century Gothic" w:hAnsi="Century Gothic"/>
          <w:lang w:val="es-CR"/>
        </w:rPr>
        <w:t xml:space="preserve">Una vez </w:t>
      </w:r>
      <w:r w:rsidR="003D1AC1" w:rsidRPr="008B162A">
        <w:rPr>
          <w:rFonts w:ascii="Century Gothic" w:hAnsi="Century Gothic"/>
          <w:lang w:val="es-CR"/>
        </w:rPr>
        <w:t xml:space="preserve">realizado el mapeo entre los servicios y los </w:t>
      </w:r>
      <w:r w:rsidR="00853D6E" w:rsidRPr="008B162A">
        <w:rPr>
          <w:rFonts w:ascii="Century Gothic" w:hAnsi="Century Gothic"/>
          <w:lang w:val="es-CR"/>
        </w:rPr>
        <w:t>conductores</w:t>
      </w:r>
      <w:r w:rsidR="003D1AC1" w:rsidRPr="008B162A">
        <w:rPr>
          <w:rFonts w:ascii="Century Gothic" w:hAnsi="Century Gothic"/>
          <w:lang w:val="es-CR"/>
        </w:rPr>
        <w:t>, es necesario definir el número de veces que un servicio hace uso de un</w:t>
      </w:r>
      <w:r w:rsidR="002C2062" w:rsidRPr="008B162A">
        <w:rPr>
          <w:rFonts w:ascii="Century Gothic" w:hAnsi="Century Gothic"/>
          <w:lang w:val="es-CR"/>
        </w:rPr>
        <w:t xml:space="preserve"> </w:t>
      </w:r>
      <w:r w:rsidR="00853D6E" w:rsidRPr="008B162A">
        <w:rPr>
          <w:rFonts w:ascii="Century Gothic" w:hAnsi="Century Gothic"/>
          <w:lang w:val="es-CR"/>
        </w:rPr>
        <w:t>conductor</w:t>
      </w:r>
      <w:r w:rsidR="003D1AC1" w:rsidRPr="008B162A">
        <w:rPr>
          <w:rFonts w:ascii="Century Gothic" w:hAnsi="Century Gothic"/>
          <w:lang w:val="es-CR"/>
        </w:rPr>
        <w:t xml:space="preserve"> en particular.</w:t>
      </w:r>
    </w:p>
    <w:p w:rsidR="0025694C" w:rsidRPr="008B162A" w:rsidRDefault="003D1AC1" w:rsidP="0025694C">
      <w:pPr>
        <w:spacing w:line="360" w:lineRule="auto"/>
        <w:rPr>
          <w:rFonts w:ascii="Century Gothic" w:hAnsi="Century Gothic"/>
          <w:lang w:val="es-CR"/>
        </w:rPr>
      </w:pPr>
      <w:r w:rsidRPr="008B162A">
        <w:rPr>
          <w:rFonts w:ascii="Century Gothic" w:hAnsi="Century Gothic"/>
          <w:lang w:val="es-CR"/>
        </w:rPr>
        <w:t xml:space="preserve">Para ello se define en el modelo un </w:t>
      </w:r>
      <w:r w:rsidR="0025694C" w:rsidRPr="008B162A">
        <w:rPr>
          <w:rFonts w:ascii="Century Gothic" w:hAnsi="Century Gothic"/>
          <w:lang w:val="es-CR"/>
        </w:rPr>
        <w:t>factor de uso (FU)</w:t>
      </w:r>
      <w:r w:rsidRPr="008B162A">
        <w:rPr>
          <w:rFonts w:ascii="Century Gothic" w:hAnsi="Century Gothic"/>
          <w:lang w:val="es-CR"/>
        </w:rPr>
        <w:t xml:space="preserve">, el cual </w:t>
      </w:r>
      <w:r w:rsidR="0025694C" w:rsidRPr="008B162A">
        <w:rPr>
          <w:rFonts w:ascii="Century Gothic" w:hAnsi="Century Gothic"/>
          <w:lang w:val="es-CR"/>
        </w:rPr>
        <w:t xml:space="preserve">representa el número de veces que un servicio va a hacer uso de un determinado </w:t>
      </w:r>
      <w:r w:rsidR="00853D6E" w:rsidRPr="008B162A">
        <w:rPr>
          <w:rFonts w:ascii="Century Gothic" w:hAnsi="Century Gothic"/>
          <w:lang w:val="es-CR"/>
        </w:rPr>
        <w:t>conductor</w:t>
      </w:r>
      <w:r w:rsidR="0025694C" w:rsidRPr="008B162A">
        <w:rPr>
          <w:rFonts w:ascii="Century Gothic" w:hAnsi="Century Gothic"/>
          <w:lang w:val="es-CR"/>
        </w:rPr>
        <w:t xml:space="preserve">. Por ejemplo, a la hora de obtener los </w:t>
      </w:r>
      <w:r w:rsidR="00853D6E" w:rsidRPr="008B162A">
        <w:rPr>
          <w:rFonts w:ascii="Century Gothic" w:hAnsi="Century Gothic"/>
          <w:lang w:val="es-CR"/>
        </w:rPr>
        <w:t xml:space="preserve">conductores </w:t>
      </w:r>
      <w:r w:rsidR="0025694C" w:rsidRPr="008B162A">
        <w:rPr>
          <w:rFonts w:ascii="Century Gothic" w:hAnsi="Century Gothic"/>
          <w:lang w:val="es-CR"/>
        </w:rPr>
        <w:t xml:space="preserve">utilizados para el dimensionado de la red de acceso, es necesario indicar que los servicios de enlaces dedicados </w:t>
      </w:r>
      <w:r w:rsidRPr="008B162A">
        <w:rPr>
          <w:rFonts w:ascii="Century Gothic" w:hAnsi="Century Gothic"/>
          <w:lang w:val="es-CR"/>
        </w:rPr>
        <w:t xml:space="preserve">incluirían dos enlaces de acceso (una para cada edificio conectado mediante la línea dedicada) </w:t>
      </w:r>
      <w:r w:rsidR="0025694C" w:rsidRPr="008B162A">
        <w:rPr>
          <w:rFonts w:ascii="Century Gothic" w:hAnsi="Century Gothic"/>
          <w:lang w:val="es-CR"/>
        </w:rPr>
        <w:t xml:space="preserve">mientras que </w:t>
      </w:r>
      <w:r w:rsidRPr="008B162A">
        <w:rPr>
          <w:rFonts w:ascii="Century Gothic" w:hAnsi="Century Gothic"/>
          <w:lang w:val="es-CR"/>
        </w:rPr>
        <w:t>el resto de servicios únicamente tendría una conexión</w:t>
      </w:r>
      <w:r w:rsidR="0025694C" w:rsidRPr="008B162A">
        <w:rPr>
          <w:rFonts w:ascii="Century Gothic" w:hAnsi="Century Gothic"/>
          <w:lang w:val="es-CR"/>
        </w:rPr>
        <w:t>.</w:t>
      </w:r>
    </w:p>
    <w:p w:rsidR="002B22DF" w:rsidRPr="008B162A" w:rsidRDefault="002B22DF" w:rsidP="002B22DF">
      <w:pPr>
        <w:pStyle w:val="Ttulo1"/>
        <w:pageBreakBefore/>
        <w:ind w:left="357" w:hanging="357"/>
        <w:rPr>
          <w:rFonts w:ascii="Century Gothic" w:hAnsi="Century Gothic"/>
          <w:color w:val="auto"/>
          <w:lang w:val="es-CR"/>
        </w:rPr>
      </w:pPr>
      <w:bookmarkStart w:id="120" w:name="_Ref459978654"/>
      <w:bookmarkStart w:id="121" w:name="_Toc461625909"/>
      <w:bookmarkEnd w:id="118"/>
      <w:bookmarkEnd w:id="119"/>
      <w:r w:rsidRPr="008B162A">
        <w:rPr>
          <w:rFonts w:ascii="Century Gothic" w:hAnsi="Century Gothic"/>
          <w:color w:val="auto"/>
          <w:lang w:val="es-CR"/>
        </w:rPr>
        <w:lastRenderedPageBreak/>
        <w:t>Módulo de Dimensionado</w:t>
      </w:r>
      <w:bookmarkEnd w:id="96"/>
      <w:bookmarkEnd w:id="97"/>
      <w:bookmarkEnd w:id="98"/>
      <w:bookmarkEnd w:id="99"/>
      <w:bookmarkEnd w:id="100"/>
      <w:bookmarkEnd w:id="120"/>
      <w:bookmarkEnd w:id="121"/>
    </w:p>
    <w:p w:rsidR="002B22DF" w:rsidRPr="008B162A" w:rsidRDefault="002B22DF" w:rsidP="002B22DF">
      <w:pPr>
        <w:spacing w:before="120" w:line="360" w:lineRule="auto"/>
        <w:rPr>
          <w:rFonts w:ascii="Century Gothic" w:hAnsi="Century Gothic"/>
          <w:lang w:val="es-CR"/>
        </w:rPr>
      </w:pPr>
      <w:r w:rsidRPr="008B162A">
        <w:rPr>
          <w:rFonts w:ascii="Century Gothic" w:hAnsi="Century Gothic"/>
          <w:lang w:val="es-CR"/>
        </w:rPr>
        <w:t xml:space="preserve">Esta sección tiene como objetivo describir la red que está siendo </w:t>
      </w:r>
      <w:r w:rsidR="00432477" w:rsidRPr="008B162A">
        <w:rPr>
          <w:rFonts w:ascii="Century Gothic" w:hAnsi="Century Gothic"/>
          <w:lang w:val="es-CR"/>
        </w:rPr>
        <w:t>diseñada,</w:t>
      </w:r>
      <w:r w:rsidRPr="008B162A">
        <w:rPr>
          <w:rFonts w:ascii="Century Gothic" w:hAnsi="Century Gothic"/>
          <w:lang w:val="es-CR"/>
        </w:rPr>
        <w:t xml:space="preserve"> así como detallar los algoritmos técnicos empleados en el modelo de costos </w:t>
      </w:r>
      <w:r w:rsidR="002B2C22" w:rsidRPr="008B162A">
        <w:rPr>
          <w:rFonts w:ascii="Century Gothic" w:hAnsi="Century Gothic"/>
          <w:lang w:val="es-CR"/>
        </w:rPr>
        <w:t>para el dimensionado de la red.</w:t>
      </w:r>
    </w:p>
    <w:p w:rsidR="002B22DF" w:rsidRPr="008B162A" w:rsidRDefault="002B22DF" w:rsidP="002B22DF">
      <w:pPr>
        <w:rPr>
          <w:rFonts w:ascii="Century Gothic" w:hAnsi="Century Gothic"/>
          <w:lang w:val="es-CR"/>
        </w:rPr>
      </w:pPr>
      <w:r w:rsidRPr="008B162A">
        <w:rPr>
          <w:rFonts w:ascii="Century Gothic" w:hAnsi="Century Gothic"/>
          <w:lang w:val="es-CR"/>
        </w:rPr>
        <w:t>Con el fin de facilitar la comprensión de los algoritmos de dimensionado que se presentan en esta sección, es fundamental establecer las bases del esquema de red considerado. Para ello se presenta en la siguiente ilustración la arquitectura de la red de acceso considerada, así como los diferentes elementos de red que la componen:</w:t>
      </w:r>
    </w:p>
    <w:p w:rsidR="002B22DF" w:rsidRPr="008B162A" w:rsidRDefault="002B22DF" w:rsidP="002B22DF">
      <w:pPr>
        <w:spacing w:after="0"/>
        <w:rPr>
          <w:rFonts w:ascii="Century Gothic" w:hAnsi="Century Gothic"/>
        </w:rPr>
      </w:pPr>
      <w:r w:rsidRPr="008B162A">
        <w:rPr>
          <w:rFonts w:ascii="Century Gothic" w:hAnsi="Century Gothic"/>
          <w:noProof/>
          <w:lang w:eastAsia="es-MX"/>
        </w:rPr>
        <w:drawing>
          <wp:inline distT="0" distB="0" distL="0" distR="0" wp14:anchorId="4360F0A1" wp14:editId="78FC1771">
            <wp:extent cx="5901070" cy="2370278"/>
            <wp:effectExtent l="0" t="0" r="4445" b="0"/>
            <wp:docPr id="77104" name="Picture 77104"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11725" cy="2374558"/>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w:t>
      </w:r>
      <w:r w:rsidR="006F7424" w:rsidRPr="008B162A">
        <w:rPr>
          <w:rFonts w:ascii="Century Gothic" w:hAnsi="Century Gothic"/>
        </w:rPr>
        <w:fldChar w:fldCharType="end"/>
      </w:r>
      <w:r w:rsidRPr="008B162A">
        <w:rPr>
          <w:rFonts w:ascii="Century Gothic" w:hAnsi="Century Gothic"/>
        </w:rPr>
        <w:t xml:space="preserve">: Arquitectura de la red de acceso de fibra óptica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rPr>
          <w:rFonts w:ascii="Century Gothic" w:hAnsi="Century Gothic"/>
          <w:lang w:val="es-CR"/>
        </w:rPr>
      </w:pPr>
      <w:r w:rsidRPr="008B162A">
        <w:rPr>
          <w:rFonts w:ascii="Century Gothic" w:hAnsi="Century Gothic"/>
          <w:lang w:val="es-CR"/>
        </w:rPr>
        <w:t>La red de acceso comprende los elementos de red desde las viviendas de los usuarios hasta el ODF. La parte restante de la red – relativa a la agregación y transporte de la señal hacia niveles superiores – no quedaría incluida dentro de la red de acceso y, por consiguiente, no forma parte del Modelo.</w:t>
      </w:r>
    </w:p>
    <w:p w:rsidR="002B22DF" w:rsidRPr="008B162A" w:rsidRDefault="002B22DF" w:rsidP="002B22DF">
      <w:pPr>
        <w:rPr>
          <w:rFonts w:ascii="Century Gothic" w:hAnsi="Century Gothic"/>
          <w:lang w:val="es-CR"/>
        </w:rPr>
      </w:pPr>
      <w:r w:rsidRPr="008B162A">
        <w:rPr>
          <w:rFonts w:ascii="Century Gothic" w:hAnsi="Century Gothic"/>
          <w:lang w:val="es-CR"/>
        </w:rPr>
        <w:t>La red de acceso está comprendida por los siguientes elementos de red:</w:t>
      </w:r>
    </w:p>
    <w:p w:rsidR="002B22DF" w:rsidRPr="00D7559E" w:rsidRDefault="002B22DF" w:rsidP="00893B87">
      <w:pPr>
        <w:pStyle w:val="Indentado1"/>
      </w:pPr>
      <w:r w:rsidRPr="00D7559E">
        <w:rPr>
          <w:b/>
        </w:rPr>
        <w:t>Punto de terminación de red (</w:t>
      </w:r>
      <w:proofErr w:type="spellStart"/>
      <w:r w:rsidRPr="00D7559E">
        <w:rPr>
          <w:b/>
        </w:rPr>
        <w:t>Optical</w:t>
      </w:r>
      <w:proofErr w:type="spellEnd"/>
      <w:r w:rsidRPr="00D7559E">
        <w:rPr>
          <w:b/>
        </w:rPr>
        <w:t xml:space="preserve"> Network Terminal, ONT):</w:t>
      </w:r>
      <w:r w:rsidRPr="00D7559E">
        <w:t xml:space="preserve"> Representa el punto físico en el que se le suministra al abonado un acceso a la red de fibra óptica.</w:t>
      </w:r>
    </w:p>
    <w:p w:rsidR="002B22DF" w:rsidRPr="00D7559E" w:rsidRDefault="002B22DF" w:rsidP="00893B87">
      <w:pPr>
        <w:pStyle w:val="Indentado1"/>
      </w:pPr>
      <w:r w:rsidRPr="00D7559E">
        <w:rPr>
          <w:b/>
        </w:rPr>
        <w:t>Caja terminal (o CT)</w:t>
      </w:r>
      <w:r w:rsidRPr="00D7559E">
        <w:t xml:space="preserve">: Constituye un punto de </w:t>
      </w:r>
      <w:r w:rsidR="00F9549E" w:rsidRPr="00D7559E">
        <w:t xml:space="preserve">agregación </w:t>
      </w:r>
      <w:r w:rsidRPr="00D7559E">
        <w:t xml:space="preserve">donde se unen un máximo de 8 fibras provenientes de diferentes </w:t>
      </w:r>
      <w:proofErr w:type="spellStart"/>
      <w:r w:rsidRPr="00D7559E">
        <w:t>ONTs</w:t>
      </w:r>
      <w:proofErr w:type="spellEnd"/>
      <w:r w:rsidR="004B29F9" w:rsidRPr="00D7559E">
        <w:t>. Estas fibras son agregadas con una relación 8:1 en un único hilo</w:t>
      </w:r>
      <w:r w:rsidRPr="00D7559E">
        <w:t>. Este punto separa la red de acometida de la red secundaria.</w:t>
      </w:r>
    </w:p>
    <w:p w:rsidR="002B22DF" w:rsidRPr="00D7559E" w:rsidRDefault="002B22DF" w:rsidP="00893B87">
      <w:pPr>
        <w:pStyle w:val="Indentado1"/>
      </w:pPr>
      <w:r w:rsidRPr="00D7559E">
        <w:rPr>
          <w:b/>
        </w:rPr>
        <w:lastRenderedPageBreak/>
        <w:t>Punto de distribución (o PD)</w:t>
      </w:r>
      <w:r w:rsidRPr="00D7559E">
        <w:t xml:space="preserve">: Representa un segundo punto de </w:t>
      </w:r>
      <w:r w:rsidR="00F9549E" w:rsidRPr="00D7559E">
        <w:t>agregación</w:t>
      </w:r>
      <w:r w:rsidRPr="00D7559E">
        <w:t xml:space="preserve">, donde </w:t>
      </w:r>
      <w:r w:rsidR="00F9549E" w:rsidRPr="00D7559E">
        <w:t>se unen un máximo de 8</w:t>
      </w:r>
      <w:r w:rsidRPr="00D7559E">
        <w:t xml:space="preserve"> fibras provenientes de </w:t>
      </w:r>
      <w:r w:rsidR="00F9549E" w:rsidRPr="00D7559E">
        <w:t xml:space="preserve">diversas </w:t>
      </w:r>
      <w:proofErr w:type="spellStart"/>
      <w:r w:rsidR="00F9549E" w:rsidRPr="00D7559E">
        <w:t>CTs</w:t>
      </w:r>
      <w:proofErr w:type="spellEnd"/>
      <w:r w:rsidR="00F9549E" w:rsidRPr="00D7559E">
        <w:t xml:space="preserve"> </w:t>
      </w:r>
      <w:r w:rsidR="002B2C22" w:rsidRPr="00D7559E">
        <w:t>(factor de agregación 8:1)</w:t>
      </w:r>
      <w:r w:rsidR="004B29F9" w:rsidRPr="00D7559E">
        <w:t xml:space="preserve">. Además, representa el </w:t>
      </w:r>
      <w:r w:rsidRPr="00D7559E">
        <w:t xml:space="preserve">punto </w:t>
      </w:r>
      <w:r w:rsidR="004B29F9" w:rsidRPr="00D7559E">
        <w:t>de separación entre</w:t>
      </w:r>
      <w:r w:rsidRPr="00D7559E">
        <w:t xml:space="preserve"> la red secundaria </w:t>
      </w:r>
      <w:r w:rsidR="004B29F9" w:rsidRPr="00D7559E">
        <w:t>y</w:t>
      </w:r>
      <w:r w:rsidRPr="00D7559E">
        <w:t xml:space="preserve"> la red primaria</w:t>
      </w:r>
    </w:p>
    <w:p w:rsidR="002B22DF" w:rsidRPr="00D7559E" w:rsidRDefault="002B22DF" w:rsidP="00893B87">
      <w:pPr>
        <w:pStyle w:val="Indentado1"/>
      </w:pPr>
      <w:r w:rsidRPr="00D7559E">
        <w:rPr>
          <w:b/>
        </w:rPr>
        <w:t xml:space="preserve">Repartidor Central Óptico (u </w:t>
      </w:r>
      <w:proofErr w:type="spellStart"/>
      <w:r w:rsidRPr="00D7559E">
        <w:rPr>
          <w:b/>
        </w:rPr>
        <w:t>Optical</w:t>
      </w:r>
      <w:proofErr w:type="spellEnd"/>
      <w:r w:rsidRPr="00D7559E">
        <w:rPr>
          <w:b/>
        </w:rPr>
        <w:t xml:space="preserve"> </w:t>
      </w:r>
      <w:proofErr w:type="spellStart"/>
      <w:r w:rsidRPr="00D7559E">
        <w:rPr>
          <w:b/>
        </w:rPr>
        <w:t>Distribution</w:t>
      </w:r>
      <w:proofErr w:type="spellEnd"/>
      <w:r w:rsidRPr="00D7559E">
        <w:rPr>
          <w:b/>
        </w:rPr>
        <w:t xml:space="preserve"> </w:t>
      </w:r>
      <w:proofErr w:type="spellStart"/>
      <w:r w:rsidRPr="00D7559E">
        <w:rPr>
          <w:b/>
        </w:rPr>
        <w:t>Frame</w:t>
      </w:r>
      <w:proofErr w:type="spellEnd"/>
      <w:r w:rsidRPr="00D7559E">
        <w:rPr>
          <w:b/>
        </w:rPr>
        <w:t>, ODF)</w:t>
      </w:r>
      <w:r w:rsidRPr="00D7559E">
        <w:t>: Constituye un armario de cables usado para interconectar y gestionar el cableado de telecomunicaciones ópticas.</w:t>
      </w:r>
    </w:p>
    <w:p w:rsidR="002B22DF" w:rsidRPr="00D7559E" w:rsidRDefault="002B22DF" w:rsidP="00893B87">
      <w:pPr>
        <w:pStyle w:val="Indentado1"/>
      </w:pPr>
      <w:r w:rsidRPr="00D7559E">
        <w:rPr>
          <w:b/>
        </w:rPr>
        <w:t xml:space="preserve">Terminal de línea óptico (u </w:t>
      </w:r>
      <w:proofErr w:type="spellStart"/>
      <w:r w:rsidRPr="00D7559E">
        <w:rPr>
          <w:b/>
        </w:rPr>
        <w:t>Optical</w:t>
      </w:r>
      <w:proofErr w:type="spellEnd"/>
      <w:r w:rsidRPr="00D7559E">
        <w:rPr>
          <w:b/>
        </w:rPr>
        <w:t xml:space="preserve"> Line Terminal, OLT)</w:t>
      </w:r>
      <w:r w:rsidRPr="00D7559E">
        <w:t xml:space="preserve">: Representa el punto de unión entre la red de acceso y la red de transmisión. Este dispositivo es el encargado de gestionar el multiplexado de señales entre la central y los diferentes </w:t>
      </w:r>
      <w:proofErr w:type="spellStart"/>
      <w:r w:rsidRPr="00D7559E">
        <w:t>ONTs</w:t>
      </w:r>
      <w:proofErr w:type="spellEnd"/>
      <w:r w:rsidRPr="00D7559E">
        <w:t>.</w:t>
      </w:r>
    </w:p>
    <w:p w:rsidR="002B2C22" w:rsidRPr="008B162A" w:rsidRDefault="002B2C22" w:rsidP="00893B87">
      <w:pPr>
        <w:pStyle w:val="Indentado1"/>
      </w:pPr>
      <w:r w:rsidRPr="00D7559E">
        <w:rPr>
          <w:b/>
        </w:rPr>
        <w:t>Infraestructura civil</w:t>
      </w:r>
      <w:r w:rsidRPr="00D7559E">
        <w:t xml:space="preserve">: Constituye los ductos, zanjas, pozos, etc. que permite soportar el </w:t>
      </w:r>
      <w:r w:rsidR="00CD2A5B" w:rsidRPr="00D7559E">
        <w:t xml:space="preserve">despliegue </w:t>
      </w:r>
      <w:r w:rsidRPr="00D7559E">
        <w:t>de cable entre dos puntos determinados de la red.</w:t>
      </w:r>
    </w:p>
    <w:p w:rsidR="002B22DF" w:rsidRPr="008B162A" w:rsidRDefault="002B22DF" w:rsidP="002B2C22">
      <w:pPr>
        <w:rPr>
          <w:rFonts w:ascii="Century Gothic" w:hAnsi="Century Gothic"/>
        </w:rPr>
      </w:pPr>
      <w:r w:rsidRPr="008B162A">
        <w:rPr>
          <w:rFonts w:ascii="Century Gothic" w:hAnsi="Century Gothic"/>
        </w:rPr>
        <w:t xml:space="preserve">De acuerdo con esta descripción de la arquitectura de la red, la señal circula desde el OLT hasta los </w:t>
      </w:r>
      <w:proofErr w:type="spellStart"/>
      <w:r w:rsidRPr="008B162A">
        <w:rPr>
          <w:rFonts w:ascii="Century Gothic" w:hAnsi="Century Gothic"/>
        </w:rPr>
        <w:t>ONTs</w:t>
      </w:r>
      <w:proofErr w:type="spellEnd"/>
      <w:r w:rsidRPr="008B162A">
        <w:rPr>
          <w:rFonts w:ascii="Century Gothic" w:hAnsi="Century Gothic"/>
        </w:rPr>
        <w:t xml:space="preserve"> a través de los diferentes niveles de agregación en las </w:t>
      </w:r>
      <w:proofErr w:type="spellStart"/>
      <w:r w:rsidRPr="008B162A">
        <w:rPr>
          <w:rFonts w:ascii="Century Gothic" w:hAnsi="Century Gothic"/>
        </w:rPr>
        <w:t>CTs</w:t>
      </w:r>
      <w:proofErr w:type="spellEnd"/>
      <w:r w:rsidRPr="008B162A">
        <w:rPr>
          <w:rFonts w:ascii="Century Gothic" w:hAnsi="Century Gothic"/>
        </w:rPr>
        <w:t xml:space="preserve"> y los </w:t>
      </w:r>
      <w:proofErr w:type="spellStart"/>
      <w:r w:rsidRPr="008B162A">
        <w:rPr>
          <w:rFonts w:ascii="Century Gothic" w:hAnsi="Century Gothic"/>
        </w:rPr>
        <w:t>PDs</w:t>
      </w:r>
      <w:proofErr w:type="spellEnd"/>
      <w:r w:rsidRPr="008B162A">
        <w:rPr>
          <w:rFonts w:ascii="Century Gothic" w:hAnsi="Century Gothic"/>
        </w:rPr>
        <w:t>.</w:t>
      </w:r>
    </w:p>
    <w:p w:rsidR="002B22DF" w:rsidRPr="008B162A" w:rsidRDefault="002B22DF" w:rsidP="002B22DF">
      <w:pPr>
        <w:rPr>
          <w:rFonts w:ascii="Century Gothic" w:hAnsi="Century Gothic"/>
          <w:lang w:val="es-CR"/>
        </w:rPr>
      </w:pPr>
      <w:r w:rsidRPr="008B162A">
        <w:rPr>
          <w:rFonts w:ascii="Century Gothic" w:hAnsi="Century Gothic"/>
          <w:lang w:val="es-CR"/>
        </w:rPr>
        <w:t xml:space="preserve">El dimensionado de la red de acceso se realiza de manera separada para cada uno de los </w:t>
      </w:r>
      <w:proofErr w:type="spellStart"/>
      <w:r w:rsidRPr="008B162A">
        <w:rPr>
          <w:rFonts w:ascii="Century Gothic" w:hAnsi="Century Gothic"/>
          <w:lang w:val="es-CR"/>
        </w:rPr>
        <w:t>geotipos</w:t>
      </w:r>
      <w:proofErr w:type="spellEnd"/>
      <w:r w:rsidRPr="008B162A">
        <w:rPr>
          <w:rFonts w:ascii="Century Gothic" w:hAnsi="Century Gothic"/>
          <w:lang w:val="es-CR"/>
        </w:rPr>
        <w:t xml:space="preserve"> considerados con el fin de reflejar adecuadamente el impacto de las características geográficas del territorio en el despliegue de los elementos de la red de acceso. </w:t>
      </w:r>
    </w:p>
    <w:p w:rsidR="002B22DF" w:rsidRPr="008B162A" w:rsidRDefault="002B22DF" w:rsidP="002B22DF">
      <w:pPr>
        <w:rPr>
          <w:rFonts w:ascii="Century Gothic" w:hAnsi="Century Gothic"/>
          <w:lang w:val="es-CR"/>
        </w:rPr>
      </w:pPr>
      <w:r w:rsidRPr="008B162A">
        <w:rPr>
          <w:rFonts w:ascii="Century Gothic" w:hAnsi="Century Gothic"/>
          <w:lang w:val="es-CR"/>
        </w:rPr>
        <w:t>Los siguientes apartados describen detalladamente los algoritmos empleados para el dimensionado de la red y se han dividido del siguiente modo:</w:t>
      </w:r>
    </w:p>
    <w:p w:rsidR="002B22DF" w:rsidRPr="008B162A" w:rsidRDefault="002B22DF" w:rsidP="00893B87">
      <w:pPr>
        <w:pStyle w:val="Indentado1"/>
      </w:pPr>
      <w:r w:rsidRPr="008B162A">
        <w:fldChar w:fldCharType="begin"/>
      </w:r>
      <w:r w:rsidRPr="008B162A">
        <w:instrText xml:space="preserve"> REF _Ref403552838 \h </w:instrText>
      </w:r>
      <w:r w:rsidR="00FD2765" w:rsidRPr="008B162A">
        <w:instrText xml:space="preserve"> \* MERGEFORMAT </w:instrText>
      </w:r>
      <w:r w:rsidRPr="008B162A">
        <w:fldChar w:fldCharType="separate"/>
      </w:r>
      <w:r w:rsidR="00431406" w:rsidRPr="008B162A">
        <w:t>Dimensionado de la red de acceso de fibra</w:t>
      </w:r>
      <w:r w:rsidRPr="008B162A">
        <w:fldChar w:fldCharType="end"/>
      </w:r>
    </w:p>
    <w:p w:rsidR="002B22DF" w:rsidRPr="008B162A" w:rsidRDefault="002B22DF" w:rsidP="00893B87">
      <w:pPr>
        <w:pStyle w:val="Indentado1"/>
      </w:pPr>
      <w:r w:rsidRPr="008B162A">
        <w:fldChar w:fldCharType="begin"/>
      </w:r>
      <w:r w:rsidRPr="008B162A">
        <w:instrText xml:space="preserve"> REF _Ref403552841 \h </w:instrText>
      </w:r>
      <w:r w:rsidR="00FD2765" w:rsidRPr="008B162A">
        <w:instrText xml:space="preserve"> \* MERGEFORMAT </w:instrText>
      </w:r>
      <w:r w:rsidRPr="008B162A">
        <w:fldChar w:fldCharType="separate"/>
      </w:r>
      <w:r w:rsidR="00431406" w:rsidRPr="008B162A">
        <w:t xml:space="preserve">Dimensionado de la infraestructura civil de acceso </w:t>
      </w:r>
      <w:r w:rsidRPr="008B162A">
        <w:fldChar w:fldCharType="end"/>
      </w:r>
    </w:p>
    <w:p w:rsidR="002B22DF" w:rsidRPr="008B162A" w:rsidRDefault="00C21F37" w:rsidP="00893B87">
      <w:pPr>
        <w:pStyle w:val="Indentado1"/>
      </w:pPr>
      <w:r w:rsidRPr="008B162A">
        <w:fldChar w:fldCharType="begin"/>
      </w:r>
      <w:r w:rsidRPr="008B162A">
        <w:instrText xml:space="preserve"> REF _Ref459891047 \h </w:instrText>
      </w:r>
      <w:r w:rsidR="008B162A" w:rsidRPr="008B162A">
        <w:instrText xml:space="preserve"> \* MERGEFORMAT </w:instrText>
      </w:r>
      <w:r w:rsidRPr="008B162A">
        <w:fldChar w:fldCharType="separate"/>
      </w:r>
      <w:r w:rsidR="00431406" w:rsidRPr="008B162A">
        <w:t>Equipamiento de las centrales ópticas</w:t>
      </w:r>
      <w:r w:rsidRPr="008B162A">
        <w:fldChar w:fldCharType="end"/>
      </w:r>
    </w:p>
    <w:p w:rsidR="002B22DF" w:rsidRPr="008B162A" w:rsidRDefault="002B22DF" w:rsidP="002B22DF">
      <w:pPr>
        <w:pStyle w:val="Ttulo3"/>
        <w:rPr>
          <w:rFonts w:ascii="Century Gothic" w:hAnsi="Century Gothic"/>
          <w:color w:val="auto"/>
          <w:lang w:val="es-CR"/>
        </w:rPr>
      </w:pPr>
      <w:bookmarkStart w:id="122" w:name="_Paso_1._Caracterización"/>
      <w:bookmarkStart w:id="123" w:name="_Paso_2._Cálculo"/>
      <w:bookmarkStart w:id="124" w:name="_Ref403552838"/>
      <w:bookmarkStart w:id="125" w:name="_Toc431900690"/>
      <w:bookmarkStart w:id="126" w:name="_Toc461625910"/>
      <w:bookmarkEnd w:id="122"/>
      <w:bookmarkEnd w:id="123"/>
      <w:r w:rsidRPr="008B162A">
        <w:rPr>
          <w:rFonts w:ascii="Century Gothic" w:hAnsi="Century Gothic"/>
          <w:color w:val="auto"/>
          <w:lang w:val="es-CR"/>
        </w:rPr>
        <w:t>Dimensionado de la red de acceso de fibra</w:t>
      </w:r>
      <w:bookmarkEnd w:id="124"/>
      <w:bookmarkEnd w:id="125"/>
      <w:bookmarkEnd w:id="126"/>
    </w:p>
    <w:p w:rsidR="002B22DF" w:rsidRPr="008B162A" w:rsidRDefault="002B22DF" w:rsidP="004B29F9">
      <w:pPr>
        <w:rPr>
          <w:rFonts w:ascii="Century Gothic" w:hAnsi="Century Gothic"/>
          <w:lang w:val="es-CR"/>
        </w:rPr>
      </w:pPr>
      <w:r w:rsidRPr="008B162A">
        <w:rPr>
          <w:rFonts w:ascii="Century Gothic" w:hAnsi="Century Gothic"/>
          <w:lang w:val="es-CR"/>
        </w:rPr>
        <w:t>La descripción del dimensionado de la red de acceso de fibra se divide entre los diferentes segmentos de la red (acometida, red secundaria y red prim</w:t>
      </w:r>
      <w:r w:rsidR="004B29F9" w:rsidRPr="008B162A">
        <w:rPr>
          <w:rFonts w:ascii="Century Gothic" w:hAnsi="Century Gothic"/>
          <w:lang w:val="es-CR"/>
        </w:rPr>
        <w:t>aria</w:t>
      </w:r>
      <w:r w:rsidRPr="008B162A">
        <w:rPr>
          <w:rFonts w:ascii="Century Gothic" w:hAnsi="Century Gothic"/>
          <w:lang w:val="es-CR"/>
        </w:rPr>
        <w:t>), a fin de facilitar su explicación y comprensión. En los siguientes apartados se introducen detalladamente los algoritmos empleados para su dimensionado.</w:t>
      </w:r>
    </w:p>
    <w:p w:rsidR="002B22DF" w:rsidRPr="008B162A" w:rsidRDefault="002B22DF" w:rsidP="002B22DF">
      <w:pPr>
        <w:pStyle w:val="Ttulo4"/>
        <w:rPr>
          <w:rFonts w:ascii="Century Gothic" w:hAnsi="Century Gothic"/>
          <w:color w:val="auto"/>
          <w:lang w:val="es-CR"/>
        </w:rPr>
      </w:pPr>
      <w:r w:rsidRPr="008B162A">
        <w:rPr>
          <w:rFonts w:ascii="Century Gothic" w:hAnsi="Century Gothic"/>
          <w:color w:val="auto"/>
          <w:lang w:val="es-CR"/>
        </w:rPr>
        <w:t>Dimensionado de la acometida</w:t>
      </w:r>
    </w:p>
    <w:p w:rsidR="002B22DF" w:rsidRPr="008B162A" w:rsidRDefault="002B22DF" w:rsidP="002B22DF">
      <w:pPr>
        <w:rPr>
          <w:rFonts w:ascii="Century Gothic" w:hAnsi="Century Gothic"/>
          <w:lang w:val="es-CR"/>
        </w:rPr>
      </w:pPr>
      <w:r w:rsidRPr="008B162A">
        <w:rPr>
          <w:rFonts w:ascii="Century Gothic" w:hAnsi="Century Gothic"/>
          <w:lang w:val="es-CR"/>
        </w:rPr>
        <w:t>Para el dimensionado de la red de acometida se han seguido los siguientes pasos:</w:t>
      </w:r>
    </w:p>
    <w:p w:rsidR="002B22DF" w:rsidRPr="008B162A" w:rsidRDefault="003265B1" w:rsidP="002B22DF">
      <w:pPr>
        <w:keepNext/>
        <w:spacing w:after="0"/>
        <w:jc w:val="center"/>
        <w:rPr>
          <w:rFonts w:ascii="Century Gothic" w:hAnsi="Century Gothic"/>
        </w:rPr>
      </w:pPr>
      <w:r w:rsidRPr="008B162A">
        <w:rPr>
          <w:rFonts w:ascii="Century Gothic" w:hAnsi="Century Gothic"/>
          <w:noProof/>
          <w:lang w:eastAsia="es-MX"/>
        </w:rPr>
        <w:lastRenderedPageBreak/>
        <w:drawing>
          <wp:inline distT="0" distB="0" distL="0" distR="0" wp14:anchorId="7A1C4AC6" wp14:editId="2A6D9088">
            <wp:extent cx="2933700" cy="2144177"/>
            <wp:effectExtent l="0" t="0" r="0" b="8890"/>
            <wp:docPr id="19" name="Picture 19"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42852" cy="2150866"/>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2</w:t>
      </w:r>
      <w:r w:rsidR="006F7424" w:rsidRPr="008B162A">
        <w:rPr>
          <w:rFonts w:ascii="Century Gothic" w:hAnsi="Century Gothic"/>
        </w:rPr>
        <w:fldChar w:fldCharType="end"/>
      </w:r>
      <w:r w:rsidRPr="008B162A">
        <w:rPr>
          <w:rFonts w:ascii="Century Gothic" w:hAnsi="Century Gothic"/>
        </w:rPr>
        <w:t xml:space="preserve">: Pasos para el dimensionado de la acometida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rPr>
          <w:rFonts w:ascii="Century Gothic" w:hAnsi="Century Gothic"/>
        </w:rPr>
      </w:pPr>
      <w:r w:rsidRPr="008B162A">
        <w:rPr>
          <w:rFonts w:ascii="Century Gothic" w:hAnsi="Century Gothic"/>
        </w:rPr>
        <w:t>Este algoritmo se encuentra implementado en la hoja ‘6A CALC DIM FIBRA – ACOMET’ del Modelo.</w:t>
      </w:r>
    </w:p>
    <w:p w:rsidR="002B22DF" w:rsidRPr="008B162A" w:rsidRDefault="002B22DF" w:rsidP="002B22DF">
      <w:pPr>
        <w:rPr>
          <w:rFonts w:ascii="Century Gothic" w:hAnsi="Century Gothic"/>
        </w:rPr>
      </w:pPr>
      <w:r w:rsidRPr="008B162A">
        <w:rPr>
          <w:rFonts w:ascii="Century Gothic" w:hAnsi="Century Gothic"/>
        </w:rPr>
        <w:t>Las siguientes subsecciones detallan los cálculos realizados en cada paso particular.</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0. Cálculo del número de conexiones</w:t>
      </w:r>
    </w:p>
    <w:p w:rsidR="002B22DF" w:rsidRPr="008B162A" w:rsidRDefault="002B22DF" w:rsidP="004B29F9">
      <w:pPr>
        <w:rPr>
          <w:rFonts w:ascii="Century Gothic" w:hAnsi="Century Gothic"/>
        </w:rPr>
      </w:pPr>
      <w:r w:rsidRPr="008B162A">
        <w:rPr>
          <w:rFonts w:ascii="Century Gothic" w:hAnsi="Century Gothic"/>
        </w:rPr>
        <w:t xml:space="preserve">Para el cálculo del número de conexiones se toma como insumo el </w:t>
      </w:r>
      <w:r w:rsidR="00853D6E" w:rsidRPr="008B162A">
        <w:rPr>
          <w:rFonts w:ascii="Century Gothic" w:hAnsi="Century Gothic"/>
        </w:rPr>
        <w:t xml:space="preserve">conductor </w:t>
      </w:r>
      <w:r w:rsidRPr="008B162A">
        <w:rPr>
          <w:rFonts w:ascii="Century Gothic" w:hAnsi="Century Gothic"/>
        </w:rPr>
        <w:t xml:space="preserve">de conexiones, así como el horizonte de </w:t>
      </w:r>
      <w:r w:rsidR="002B2C22" w:rsidRPr="008B162A">
        <w:rPr>
          <w:rFonts w:ascii="Century Gothic" w:hAnsi="Century Gothic"/>
        </w:rPr>
        <w:t>planificación</w:t>
      </w:r>
      <w:r w:rsidRPr="008B162A">
        <w:rPr>
          <w:rFonts w:ascii="Century Gothic" w:hAnsi="Century Gothic"/>
        </w:rPr>
        <w:t xml:space="preserve"> y </w:t>
      </w:r>
      <w:r w:rsidR="002B2C22" w:rsidRPr="008B162A">
        <w:rPr>
          <w:rFonts w:ascii="Century Gothic" w:hAnsi="Century Gothic"/>
        </w:rPr>
        <w:t>margen</w:t>
      </w:r>
      <w:r w:rsidRPr="008B162A">
        <w:rPr>
          <w:rFonts w:ascii="Century Gothic" w:hAnsi="Century Gothic"/>
        </w:rPr>
        <w:t xml:space="preserve"> de capacidad. Estos dos conceptos se definen del siguiente modo:</w:t>
      </w:r>
    </w:p>
    <w:p w:rsidR="002B22DF" w:rsidRPr="00D7559E" w:rsidRDefault="002B22DF" w:rsidP="00893B87">
      <w:pPr>
        <w:pStyle w:val="Indentado1"/>
      </w:pPr>
      <w:r w:rsidRPr="00D7559E">
        <w:rPr>
          <w:b/>
        </w:rPr>
        <w:t xml:space="preserve">Horizonte de </w:t>
      </w:r>
      <w:r w:rsidR="00CD31FB" w:rsidRPr="00D7559E">
        <w:rPr>
          <w:b/>
        </w:rPr>
        <w:t>planificación</w:t>
      </w:r>
      <w:r w:rsidRPr="00D7559E">
        <w:t>, que hace referencia al tiempo (en años) que transcurre entre la compra de un activo hasta que éste está funcionando de manera efectiva en la red del operador.</w:t>
      </w:r>
    </w:p>
    <w:p w:rsidR="002B22DF" w:rsidRPr="00D7559E" w:rsidRDefault="00CD31FB" w:rsidP="00893B87">
      <w:pPr>
        <w:pStyle w:val="Indentado1"/>
      </w:pPr>
      <w:r w:rsidRPr="00D7559E">
        <w:rPr>
          <w:b/>
        </w:rPr>
        <w:t>Margen</w:t>
      </w:r>
      <w:r w:rsidR="002B22DF" w:rsidRPr="00D7559E">
        <w:rPr>
          <w:b/>
        </w:rPr>
        <w:t xml:space="preserve"> de capacidad</w:t>
      </w:r>
      <w:r w:rsidR="002B22DF" w:rsidRPr="00D7559E">
        <w:t>, que representa el margen vacante que gestiona un operador para evaluar la necesidad de adquirir un nuevo elemento (p.ej. si la cap</w:t>
      </w:r>
      <w:r w:rsidR="004B29F9" w:rsidRPr="00D7559E">
        <w:t>acidad de un equipo es de 500 lí</w:t>
      </w:r>
      <w:r w:rsidR="002B22DF" w:rsidRPr="00D7559E">
        <w:t>neas, es habitual que un operador proceda a la compra de un equipo adicional cuando se estén usando unas 400-450 líneas de ese primer equipo).</w:t>
      </w:r>
    </w:p>
    <w:p w:rsidR="002B22DF" w:rsidRPr="008B162A" w:rsidRDefault="002B22DF" w:rsidP="004B29F9">
      <w:pPr>
        <w:rPr>
          <w:rFonts w:ascii="Century Gothic" w:hAnsi="Century Gothic"/>
        </w:rPr>
      </w:pPr>
      <w:r w:rsidRPr="008B162A">
        <w:rPr>
          <w:rFonts w:ascii="Century Gothic" w:hAnsi="Century Gothic"/>
        </w:rPr>
        <w:t>Para llevar a cabo este cálculo, el Modelo toma el valor máximo del número de conexiones en el periodo comprendi</w:t>
      </w:r>
      <w:r w:rsidR="004B29F9" w:rsidRPr="008B162A">
        <w:rPr>
          <w:rFonts w:ascii="Century Gothic" w:hAnsi="Century Gothic"/>
        </w:rPr>
        <w:t xml:space="preserve">do dentro del horizonte de </w:t>
      </w:r>
      <w:r w:rsidR="00FF3AB3" w:rsidRPr="008B162A">
        <w:rPr>
          <w:rFonts w:ascii="Century Gothic" w:hAnsi="Century Gothic"/>
        </w:rPr>
        <w:t>planificación</w:t>
      </w:r>
      <w:r w:rsidRPr="008B162A">
        <w:rPr>
          <w:rFonts w:ascii="Century Gothic" w:hAnsi="Century Gothic"/>
        </w:rPr>
        <w:t xml:space="preserve"> y se multiplica por (1 + </w:t>
      </w:r>
      <w:r w:rsidR="00FF3AB3" w:rsidRPr="008B162A">
        <w:rPr>
          <w:rFonts w:ascii="Century Gothic" w:hAnsi="Century Gothic"/>
        </w:rPr>
        <w:t>margen</w:t>
      </w:r>
      <w:r w:rsidRPr="008B162A">
        <w:rPr>
          <w:rFonts w:ascii="Century Gothic" w:hAnsi="Century Gothic"/>
        </w:rPr>
        <w:t xml:space="preserve"> de capacidad).</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lastRenderedPageBreak/>
        <w:t>Paso 1. Cálculo del total de kilómetros de fibra subterránea</w:t>
      </w:r>
    </w:p>
    <w:p w:rsidR="002B22DF" w:rsidRPr="008B162A" w:rsidRDefault="002B22DF" w:rsidP="002B22DF">
      <w:pPr>
        <w:rPr>
          <w:rFonts w:ascii="Century Gothic" w:hAnsi="Century Gothic"/>
        </w:rPr>
      </w:pPr>
      <w:r w:rsidRPr="008B162A">
        <w:rPr>
          <w:rFonts w:ascii="Century Gothic" w:hAnsi="Century Gothic"/>
        </w:rPr>
        <w:t>El cálculo del total de kilómetros de fibra subterránea se realiza para cada geotipo de manera independiente y cada nivel de agregación de enlaces. La siguiente ilustración representa el algoritmo técnico empleado para ello:</w:t>
      </w:r>
    </w:p>
    <w:p w:rsidR="000749A0" w:rsidRPr="008B162A" w:rsidRDefault="006C0492" w:rsidP="006C0492">
      <w:pPr>
        <w:keepNext/>
        <w:jc w:val="center"/>
        <w:rPr>
          <w:rFonts w:ascii="Century Gothic" w:hAnsi="Century Gothic"/>
        </w:rPr>
      </w:pPr>
      <w:r w:rsidRPr="008B162A">
        <w:rPr>
          <w:rFonts w:ascii="Century Gothic" w:hAnsi="Century Gothic"/>
          <w:noProof/>
          <w:lang w:eastAsia="es-MX"/>
        </w:rPr>
        <w:drawing>
          <wp:inline distT="0" distB="0" distL="0" distR="0" wp14:anchorId="484E7BF6" wp14:editId="05F65BF2">
            <wp:extent cx="5486400" cy="4268811"/>
            <wp:effectExtent l="0" t="0" r="0" b="0"/>
            <wp:docPr id="1" name="Picture 1"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93165" cy="4274074"/>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3</w:t>
      </w:r>
      <w:r w:rsidR="006F7424" w:rsidRPr="008B162A">
        <w:rPr>
          <w:rFonts w:ascii="Century Gothic" w:hAnsi="Century Gothic"/>
        </w:rPr>
        <w:fldChar w:fldCharType="end"/>
      </w:r>
      <w:r w:rsidRPr="008B162A">
        <w:rPr>
          <w:rFonts w:ascii="Century Gothic" w:hAnsi="Century Gothic"/>
        </w:rPr>
        <w:t xml:space="preserve"> Algoritmo empleado para la caracterización la red subterránea de la acometida de la red de fibra [Fue</w:t>
      </w:r>
      <w:r w:rsidR="006C0492" w:rsidRPr="008B162A">
        <w:rPr>
          <w:rFonts w:ascii="Century Gothic" w:hAnsi="Century Gothic"/>
        </w:rPr>
        <w:t>n</w:t>
      </w:r>
      <w:r w:rsidRPr="008B162A">
        <w:rPr>
          <w:rFonts w:ascii="Century Gothic" w:hAnsi="Century Gothic"/>
        </w:rPr>
        <w:t xml:space="preserve">te: </w:t>
      </w:r>
      <w:r w:rsidR="006B7D75" w:rsidRPr="008B162A">
        <w:rPr>
          <w:rFonts w:ascii="Century Gothic" w:hAnsi="Century Gothic"/>
        </w:rPr>
        <w:t>IFT, 2016</w:t>
      </w:r>
      <w:r w:rsidRPr="008B162A">
        <w:rPr>
          <w:rFonts w:ascii="Century Gothic" w:hAnsi="Century Gothic"/>
        </w:rPr>
        <w:t>]</w:t>
      </w:r>
    </w:p>
    <w:p w:rsidR="0022430C" w:rsidRPr="008B162A" w:rsidRDefault="0022430C" w:rsidP="0022430C">
      <w:pPr>
        <w:rPr>
          <w:rFonts w:ascii="Century Gothic" w:hAnsi="Century Gothic"/>
        </w:rPr>
      </w:pPr>
      <w:r w:rsidRPr="008B162A">
        <w:rPr>
          <w:rFonts w:ascii="Century Gothic" w:hAnsi="Century Gothic"/>
        </w:rPr>
        <w:t>Para el cálculo del total de kilómetros de fibra subterránea en la acometida, se toma como insumo la distancia media por ONT obtenida del análisis geográfico para cada uno de los distintos niveles de agregación de enlaces, así como el número de hilos de fibra que se utilizan en cada uno de estos niveles</w:t>
      </w:r>
      <w:r w:rsidR="000749A0" w:rsidRPr="008B162A">
        <w:rPr>
          <w:rFonts w:ascii="Century Gothic" w:hAnsi="Century Gothic"/>
        </w:rPr>
        <w:t xml:space="preserve"> y el porcentaje calculado en enlaces punto a punto sobre el total de accesos GPON</w:t>
      </w:r>
      <w:r w:rsidRPr="008B162A">
        <w:rPr>
          <w:rFonts w:ascii="Century Gothic" w:hAnsi="Century Gothic"/>
        </w:rPr>
        <w:t xml:space="preserve">. </w:t>
      </w:r>
    </w:p>
    <w:p w:rsidR="0022430C" w:rsidRPr="008B162A" w:rsidRDefault="0022430C" w:rsidP="00462C9F">
      <w:pPr>
        <w:rPr>
          <w:rFonts w:ascii="Century Gothic" w:hAnsi="Century Gothic"/>
        </w:rPr>
      </w:pPr>
      <w:r w:rsidRPr="008B162A">
        <w:rPr>
          <w:rFonts w:ascii="Century Gothic" w:hAnsi="Century Gothic"/>
        </w:rPr>
        <w:t xml:space="preserve">Partiendo de estos insumos, se identifica el número de hilos que deberá contener el cable de fibra, con base en el catálogo de cables proporcionado por el AEP. Es decir, se identifica cual </w:t>
      </w:r>
      <w:r w:rsidRPr="008B162A">
        <w:rPr>
          <w:rFonts w:ascii="Century Gothic" w:hAnsi="Century Gothic"/>
        </w:rPr>
        <w:lastRenderedPageBreak/>
        <w:t>es la configuración de hilos más pequeña que contiene al menos tantos hilos como sea necesario para dar servicio a un enlace determinado.</w:t>
      </w:r>
    </w:p>
    <w:p w:rsidR="0022430C" w:rsidRPr="008B162A" w:rsidRDefault="0022430C" w:rsidP="0022430C">
      <w:pPr>
        <w:rPr>
          <w:rFonts w:ascii="Century Gothic" w:hAnsi="Century Gothic"/>
        </w:rPr>
      </w:pPr>
      <w:r w:rsidRPr="008B162A">
        <w:rPr>
          <w:rFonts w:ascii="Century Gothic" w:hAnsi="Century Gothic"/>
        </w:rPr>
        <w:t>Una vez determinado el número de hilos que deberá tener el cable de fibra se evalúa si desde el ONT se pueden agregar los diferentes cables de fibra que le llegan en uno solo de mayor capacidad. Es decir, en el caso en que lleguen dos cables de fibra con 8 hilos en un ONT, se evalúa si es posible juntarlos en uno solo de 16 hilos, o si se deben seguir manteniendo los 2 cables de 8 hilos existentes.</w:t>
      </w:r>
    </w:p>
    <w:p w:rsidR="0022430C" w:rsidRPr="008B162A" w:rsidRDefault="0022430C" w:rsidP="0022430C">
      <w:pPr>
        <w:rPr>
          <w:rFonts w:ascii="Century Gothic" w:hAnsi="Century Gothic"/>
        </w:rPr>
      </w:pPr>
      <w:r w:rsidRPr="008B162A">
        <w:rPr>
          <w:rFonts w:ascii="Century Gothic" w:hAnsi="Century Gothic"/>
        </w:rPr>
        <w:t>Con base en lo anterior, se obtiene la distancia promedio resultante como el producto del insumo de la distancia promedio entre un ONT y una CT y el número de cables necesarios en dicho tramo.</w:t>
      </w:r>
    </w:p>
    <w:p w:rsidR="0022430C" w:rsidRPr="008B162A" w:rsidRDefault="0022430C" w:rsidP="0022430C">
      <w:pPr>
        <w:rPr>
          <w:rFonts w:ascii="Century Gothic" w:hAnsi="Century Gothic"/>
        </w:rPr>
      </w:pPr>
      <w:r w:rsidRPr="008B162A">
        <w:rPr>
          <w:rFonts w:ascii="Century Gothic" w:hAnsi="Century Gothic"/>
        </w:rPr>
        <w:t>Por último, se multiplica la distancia promedio en el punto anterior por el número de líneas activas para obtener el número de kilómetros de la red de acceso. Al valor anterior se le descuenta el porcentaje de fibra área, obteniendo finalmente el total de kilómetros de fibra subterránea.</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2. Cálculo del total de kilómetros de fibra aérea</w:t>
      </w:r>
    </w:p>
    <w:p w:rsidR="002B22DF" w:rsidRPr="008B162A" w:rsidRDefault="002B22DF" w:rsidP="004B29F9">
      <w:pPr>
        <w:rPr>
          <w:rFonts w:ascii="Century Gothic" w:hAnsi="Century Gothic"/>
        </w:rPr>
      </w:pPr>
      <w:r w:rsidRPr="008B162A">
        <w:rPr>
          <w:rFonts w:ascii="Century Gothic" w:hAnsi="Century Gothic"/>
        </w:rPr>
        <w:t xml:space="preserve">El procedimiento seguido para la obtención de los kilómetros de fibra aérea es </w:t>
      </w:r>
      <w:r w:rsidR="004B29F9" w:rsidRPr="008B162A">
        <w:rPr>
          <w:rFonts w:ascii="Century Gothic" w:hAnsi="Century Gothic"/>
        </w:rPr>
        <w:t>similar</w:t>
      </w:r>
      <w:r w:rsidRPr="008B162A">
        <w:rPr>
          <w:rFonts w:ascii="Century Gothic" w:hAnsi="Century Gothic"/>
        </w:rPr>
        <w:t xml:space="preserve"> al seguido en el punto anterior para la red subterránea, tal y como se ilustra a continuación:</w:t>
      </w:r>
    </w:p>
    <w:p w:rsidR="000749A0" w:rsidRPr="008B162A" w:rsidRDefault="00AA3580" w:rsidP="00AA3580">
      <w:pPr>
        <w:keepNext/>
        <w:rPr>
          <w:rFonts w:ascii="Century Gothic" w:hAnsi="Century Gothic"/>
        </w:rPr>
      </w:pPr>
      <w:r w:rsidRPr="008B162A">
        <w:rPr>
          <w:rFonts w:ascii="Century Gothic" w:hAnsi="Century Gothic"/>
          <w:noProof/>
          <w:lang w:eastAsia="es-MX"/>
        </w:rPr>
        <w:lastRenderedPageBreak/>
        <w:drawing>
          <wp:inline distT="0" distB="0" distL="0" distR="0" wp14:anchorId="573202A4" wp14:editId="349C4278">
            <wp:extent cx="5731510" cy="4459524"/>
            <wp:effectExtent l="0" t="0" r="2540" b="0"/>
            <wp:docPr id="2" name="Picture 2"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4459524"/>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4</w:t>
      </w:r>
      <w:r w:rsidR="006F7424" w:rsidRPr="008B162A">
        <w:rPr>
          <w:rFonts w:ascii="Century Gothic" w:hAnsi="Century Gothic"/>
        </w:rPr>
        <w:fldChar w:fldCharType="end"/>
      </w:r>
      <w:r w:rsidR="004D1A06" w:rsidRPr="008B162A">
        <w:rPr>
          <w:rFonts w:ascii="Century Gothic" w:hAnsi="Century Gothic"/>
        </w:rPr>
        <w:t>:</w:t>
      </w:r>
      <w:r w:rsidRPr="008B162A">
        <w:rPr>
          <w:rFonts w:ascii="Century Gothic" w:hAnsi="Century Gothic"/>
        </w:rPr>
        <w:t xml:space="preserve"> Ilustración 6.3 Algoritmo empleado para la caracterización la red aérea de la acometida de la red de fibra [Fue</w:t>
      </w:r>
      <w:r w:rsidR="006C0492" w:rsidRPr="008B162A">
        <w:rPr>
          <w:rFonts w:ascii="Century Gothic" w:hAnsi="Century Gothic"/>
        </w:rPr>
        <w:t>n</w:t>
      </w:r>
      <w:r w:rsidRPr="008B162A">
        <w:rPr>
          <w:rFonts w:ascii="Century Gothic" w:hAnsi="Century Gothic"/>
        </w:rPr>
        <w:t xml:space="preserve">te: </w:t>
      </w:r>
      <w:r w:rsidR="006B7D75" w:rsidRPr="008B162A">
        <w:rPr>
          <w:rFonts w:ascii="Century Gothic" w:hAnsi="Century Gothic"/>
        </w:rPr>
        <w:t>IFT, 2016</w:t>
      </w:r>
      <w:r w:rsidRPr="008B162A">
        <w:rPr>
          <w:rFonts w:ascii="Century Gothic" w:hAnsi="Century Gothic"/>
        </w:rPr>
        <w:t>]</w:t>
      </w:r>
    </w:p>
    <w:p w:rsidR="007C6618" w:rsidRPr="008B162A" w:rsidRDefault="007C6618" w:rsidP="002B22DF">
      <w:pPr>
        <w:rPr>
          <w:rFonts w:ascii="Century Gothic" w:hAnsi="Century Gothic"/>
        </w:rPr>
      </w:pPr>
      <w:r w:rsidRPr="008B162A">
        <w:rPr>
          <w:rFonts w:ascii="Century Gothic" w:hAnsi="Century Gothic"/>
        </w:rPr>
        <w:t>Como se desprende de la ilustración superior, el cálculo de la acometida aérea es equivalente al de la acometida subterránea, salvo por los siguientes puntos:</w:t>
      </w:r>
    </w:p>
    <w:p w:rsidR="007C6618" w:rsidRPr="00D7559E" w:rsidRDefault="007C6618" w:rsidP="00D7559E">
      <w:pPr>
        <w:rPr>
          <w:rFonts w:ascii="Century Gothic" w:hAnsi="Century Gothic"/>
        </w:rPr>
      </w:pPr>
      <w:r w:rsidRPr="00D7559E">
        <w:rPr>
          <w:rFonts w:ascii="Century Gothic" w:hAnsi="Century Gothic"/>
        </w:rPr>
        <w:t xml:space="preserve">En esta ocasión se debe considerar el porcentaje de acometida que es </w:t>
      </w:r>
      <w:r w:rsidR="002A1758" w:rsidRPr="00D7559E">
        <w:rPr>
          <w:rFonts w:ascii="Century Gothic" w:hAnsi="Century Gothic"/>
        </w:rPr>
        <w:t>aé</w:t>
      </w:r>
      <w:r w:rsidRPr="00D7559E">
        <w:rPr>
          <w:rFonts w:ascii="Century Gothic" w:hAnsi="Century Gothic"/>
        </w:rPr>
        <w:t>rea, en lugar del porcentaje de acometida que es subterránea.</w:t>
      </w:r>
    </w:p>
    <w:p w:rsidR="007C6618" w:rsidRPr="00D7559E" w:rsidRDefault="007C6618" w:rsidP="00D7559E">
      <w:pPr>
        <w:rPr>
          <w:rFonts w:ascii="Century Gothic" w:hAnsi="Century Gothic"/>
        </w:rPr>
      </w:pPr>
      <w:r w:rsidRPr="00D7559E">
        <w:rPr>
          <w:rFonts w:ascii="Century Gothic" w:hAnsi="Century Gothic"/>
        </w:rPr>
        <w:t>Se debe reconocer el cableado adicional como consecuencia de la caída de cableado existente entre los postes</w:t>
      </w:r>
      <w:r w:rsidR="00383AE2" w:rsidRPr="00D7559E">
        <w:rPr>
          <w:rFonts w:ascii="Century Gothic" w:hAnsi="Century Gothic"/>
        </w:rPr>
        <w:t xml:space="preserve"> (hacen una forma de ‘U’). Este factor se obtiene como </w:t>
      </w:r>
      <w:r w:rsidR="00C00068" w:rsidRPr="00D7559E">
        <w:rPr>
          <w:rFonts w:ascii="Century Gothic" w:hAnsi="Century Gothic"/>
        </w:rPr>
        <w:t>la razón</w:t>
      </w:r>
      <w:r w:rsidR="00850360" w:rsidRPr="00D7559E">
        <w:rPr>
          <w:rFonts w:ascii="Century Gothic" w:hAnsi="Century Gothic"/>
        </w:rPr>
        <w:t xml:space="preserve"> del valor de la longitud de la catenaria que describe la caída del cable entre la distancia que existe entre los postes. de la siguiente forma:</w:t>
      </w:r>
    </w:p>
    <w:p w:rsidR="003C2D78" w:rsidRPr="00D7559E" w:rsidRDefault="00D7559E" w:rsidP="00893B87">
      <w:pPr>
        <w:pStyle w:val="Indentado1"/>
        <w:numPr>
          <w:ilvl w:val="0"/>
          <w:numId w:val="0"/>
        </w:numPr>
        <w:ind w:left="360"/>
        <w:rPr>
          <w:sz w:val="28"/>
        </w:rPr>
      </w:pPr>
      <m:oMathPara>
        <m:oMath>
          <m:r>
            <m:rPr>
              <m:nor/>
            </m:rPr>
            <m:t>% Cableado adicional=</m:t>
          </m:r>
          <m:f>
            <m:fPr>
              <m:ctrlPr>
                <w:rPr>
                  <w:rFonts w:ascii="Cambria Math" w:hAnsi="Cambria Math"/>
                </w:rPr>
              </m:ctrlPr>
            </m:fPr>
            <m:num>
              <m:r>
                <m:rPr>
                  <m:nor/>
                </m:rPr>
                <m:t>2 [</m:t>
              </m:r>
              <m:d>
                <m:dPr>
                  <m:ctrlPr>
                    <w:rPr>
                      <w:rFonts w:ascii="Cambria Math" w:hAnsi="Cambria Math"/>
                    </w:rPr>
                  </m:ctrlPr>
                </m:dPr>
                <m:e>
                  <m:f>
                    <m:fPr>
                      <m:ctrlPr>
                        <w:rPr>
                          <w:rFonts w:ascii="Cambria Math" w:hAnsi="Cambria Math"/>
                        </w:rPr>
                      </m:ctrlPr>
                    </m:fPr>
                    <m:num>
                      <m:func>
                        <m:funcPr>
                          <m:ctrlPr>
                            <w:rPr>
                              <w:rFonts w:ascii="Cambria Math" w:hAnsi="Cambria Math"/>
                            </w:rPr>
                          </m:ctrlPr>
                        </m:funcPr>
                        <m:fName>
                          <m:r>
                            <m:rPr>
                              <m:nor/>
                            </m:rPr>
                            <m:t>sin</m:t>
                          </m:r>
                        </m:fName>
                        <m:e>
                          <m:d>
                            <m:dPr>
                              <m:ctrlPr>
                                <w:rPr>
                                  <w:rFonts w:ascii="Cambria Math" w:hAnsi="Cambria Math"/>
                                </w:rPr>
                              </m:ctrlPr>
                            </m:dPr>
                            <m:e>
                              <m:r>
                                <m:rPr>
                                  <m:nor/>
                                </m:rPr>
                                <m:t>2*</m:t>
                              </m:r>
                              <m:f>
                                <m:fPr>
                                  <m:ctrlPr>
                                    <w:rPr>
                                      <w:rFonts w:ascii="Cambria Math" w:hAnsi="Cambria Math"/>
                                    </w:rPr>
                                  </m:ctrlPr>
                                </m:fPr>
                                <m:num>
                                  <m:func>
                                    <m:funcPr>
                                      <m:ctrlPr>
                                        <w:rPr>
                                          <w:rFonts w:ascii="Cambria Math" w:hAnsi="Cambria Math"/>
                                        </w:rPr>
                                      </m:ctrlPr>
                                    </m:funcPr>
                                    <m:fName>
                                      <m:r>
                                        <m:rPr>
                                          <m:nor/>
                                        </m:rPr>
                                        <m:t>arcsnh</m:t>
                                      </m:r>
                                    </m:fName>
                                    <m:e>
                                      <m:d>
                                        <m:dPr>
                                          <m:ctrlPr>
                                            <w:rPr>
                                              <w:rFonts w:ascii="Cambria Math" w:hAnsi="Cambria Math"/>
                                            </w:rPr>
                                          </m:ctrlPr>
                                        </m:dPr>
                                        <m:e>
                                          <m:r>
                                            <m:rPr>
                                              <m:nor/>
                                            </m:rPr>
                                            <m:t>dist*4*caída</m:t>
                                          </m:r>
                                        </m:e>
                                      </m:d>
                                    </m:e>
                                  </m:func>
                                </m:num>
                                <m:den>
                                  <m:sSup>
                                    <m:sSupPr>
                                      <m:ctrlPr>
                                        <w:rPr>
                                          <w:rFonts w:ascii="Cambria Math" w:hAnsi="Cambria Math"/>
                                        </w:rPr>
                                      </m:ctrlPr>
                                    </m:sSupPr>
                                    <m:e>
                                      <m:r>
                                        <m:rPr>
                                          <m:nor/>
                                        </m:rPr>
                                        <m:t>dist</m:t>
                                      </m:r>
                                    </m:e>
                                    <m:sup>
                                      <m:r>
                                        <m:rPr>
                                          <m:nor/>
                                        </m:rPr>
                                        <m:t>2</m:t>
                                      </m:r>
                                    </m:sup>
                                  </m:sSup>
                                </m:den>
                              </m:f>
                            </m:e>
                          </m:d>
                        </m:e>
                      </m:func>
                    </m:num>
                    <m:den>
                      <m:r>
                        <m:rPr>
                          <m:nor/>
                        </m:rPr>
                        <m:t>8*</m:t>
                      </m:r>
                      <m:f>
                        <m:fPr>
                          <m:ctrlPr>
                            <w:rPr>
                              <w:rFonts w:ascii="Cambria Math" w:hAnsi="Cambria Math"/>
                            </w:rPr>
                          </m:ctrlPr>
                        </m:fPr>
                        <m:num>
                          <m:r>
                            <m:rPr>
                              <m:nor/>
                            </m:rPr>
                            <m:t>4* caída</m:t>
                          </m:r>
                        </m:num>
                        <m:den>
                          <m:sSup>
                            <m:sSupPr>
                              <m:ctrlPr>
                                <w:rPr>
                                  <w:rFonts w:ascii="Cambria Math" w:hAnsi="Cambria Math"/>
                                </w:rPr>
                              </m:ctrlPr>
                            </m:sSupPr>
                            <m:e>
                              <m:r>
                                <m:rPr>
                                  <m:nor/>
                                </m:rPr>
                                <m:t>dist</m:t>
                              </m:r>
                            </m:e>
                            <m:sup>
                              <m:r>
                                <m:rPr>
                                  <m:nor/>
                                </m:rPr>
                                <m:t>2</m:t>
                              </m:r>
                            </m:sup>
                          </m:sSup>
                        </m:den>
                      </m:f>
                    </m:den>
                  </m:f>
                </m:e>
              </m:d>
              <m:r>
                <m:rPr>
                  <m:nor/>
                </m:rPr>
                <m:t>+</m:t>
              </m:r>
              <m:d>
                <m:dPr>
                  <m:ctrlPr>
                    <w:rPr>
                      <w:rFonts w:ascii="Cambria Math" w:hAnsi="Cambria Math"/>
                    </w:rPr>
                  </m:ctrlPr>
                </m:dPr>
                <m:e>
                  <m:f>
                    <m:fPr>
                      <m:ctrlPr>
                        <w:rPr>
                          <w:rFonts w:ascii="Cambria Math" w:hAnsi="Cambria Math"/>
                        </w:rPr>
                      </m:ctrlPr>
                    </m:fPr>
                    <m:num>
                      <m:f>
                        <m:fPr>
                          <m:ctrlPr>
                            <w:rPr>
                              <w:rFonts w:ascii="Cambria Math" w:hAnsi="Cambria Math"/>
                            </w:rPr>
                          </m:ctrlPr>
                        </m:fPr>
                        <m:num>
                          <m:r>
                            <m:rPr>
                              <m:nor/>
                            </m:rPr>
                            <m:t>arcsinh</m:t>
                          </m:r>
                          <m:d>
                            <m:dPr>
                              <m:ctrlPr>
                                <w:rPr>
                                  <w:rFonts w:ascii="Cambria Math" w:hAnsi="Cambria Math"/>
                                </w:rPr>
                              </m:ctrlPr>
                            </m:dPr>
                            <m:e>
                              <m:r>
                                <m:rPr>
                                  <m:nor/>
                                </m:rPr>
                                <m:t>dist*4*caída</m:t>
                              </m:r>
                            </m:e>
                          </m:d>
                        </m:num>
                        <m:den>
                          <m:sSup>
                            <m:sSupPr>
                              <m:ctrlPr>
                                <w:rPr>
                                  <w:rFonts w:ascii="Cambria Math" w:hAnsi="Cambria Math"/>
                                </w:rPr>
                              </m:ctrlPr>
                            </m:sSupPr>
                            <m:e>
                              <m:r>
                                <m:rPr>
                                  <m:nor/>
                                </m:rPr>
                                <m:t>dist</m:t>
                              </m:r>
                            </m:e>
                            <m:sup>
                              <m:r>
                                <m:rPr>
                                  <m:nor/>
                                </m:rPr>
                                <m:t>2</m:t>
                              </m:r>
                            </m:sup>
                          </m:sSup>
                        </m:den>
                      </m:f>
                    </m:num>
                    <m:den>
                      <m:r>
                        <m:rPr>
                          <m:nor/>
                        </m:rPr>
                        <m:t>4*</m:t>
                      </m:r>
                      <m:f>
                        <m:fPr>
                          <m:ctrlPr>
                            <w:rPr>
                              <w:rFonts w:ascii="Cambria Math" w:hAnsi="Cambria Math"/>
                            </w:rPr>
                          </m:ctrlPr>
                        </m:fPr>
                        <m:num>
                          <m:r>
                            <m:rPr>
                              <m:nor/>
                            </m:rPr>
                            <m:t>4*caída</m:t>
                          </m:r>
                        </m:num>
                        <m:den>
                          <m:sSup>
                            <m:sSupPr>
                              <m:ctrlPr>
                                <w:rPr>
                                  <w:rFonts w:ascii="Cambria Math" w:hAnsi="Cambria Math"/>
                                </w:rPr>
                              </m:ctrlPr>
                            </m:sSupPr>
                            <m:e>
                              <m:r>
                                <m:rPr>
                                  <m:nor/>
                                </m:rPr>
                                <m:t>dist</m:t>
                              </m:r>
                            </m:e>
                            <m:sup>
                              <m:r>
                                <m:rPr>
                                  <m:nor/>
                                </m:rPr>
                                <m:t>2</m:t>
                              </m:r>
                            </m:sup>
                          </m:sSup>
                        </m:den>
                      </m:f>
                    </m:den>
                  </m:f>
                </m:e>
              </m:d>
              <m:r>
                <m:rPr>
                  <m:nor/>
                </m:rPr>
                <m:t>]</m:t>
              </m:r>
            </m:num>
            <m:den>
              <m:r>
                <m:rPr>
                  <m:nor/>
                </m:rPr>
                <m:t>dist</m:t>
              </m:r>
            </m:den>
          </m:f>
          <m:r>
            <m:rPr>
              <m:nor/>
            </m:rPr>
            <m:t>-1</m:t>
          </m:r>
        </m:oMath>
      </m:oMathPara>
    </w:p>
    <w:p w:rsidR="003C2D78" w:rsidRPr="008B162A" w:rsidRDefault="003C2D78" w:rsidP="003C2D78">
      <w:pPr>
        <w:rPr>
          <w:rFonts w:ascii="Century Gothic" w:hAnsi="Century Gothic"/>
          <w:sz w:val="18"/>
        </w:rPr>
      </w:pPr>
      <w:r w:rsidRPr="008B162A">
        <w:rPr>
          <w:rFonts w:ascii="Century Gothic" w:hAnsi="Century Gothic"/>
          <w:sz w:val="18"/>
        </w:rPr>
        <w:lastRenderedPageBreak/>
        <w:t>Donde:</w:t>
      </w:r>
    </w:p>
    <w:p w:rsidR="003C2D78" w:rsidRPr="00893B87" w:rsidRDefault="003C2D78" w:rsidP="000F1DD5">
      <w:pPr>
        <w:pStyle w:val="Prrafodelista"/>
        <w:numPr>
          <w:ilvl w:val="0"/>
          <w:numId w:val="33"/>
        </w:numPr>
        <w:spacing w:before="120" w:after="120"/>
        <w:rPr>
          <w:rFonts w:ascii="Century Gothic" w:hAnsi="Century Gothic"/>
          <w:i/>
          <w:sz w:val="18"/>
        </w:rPr>
      </w:pPr>
      <w:proofErr w:type="spellStart"/>
      <w:r w:rsidRPr="00893B87">
        <w:rPr>
          <w:rFonts w:ascii="Century Gothic" w:hAnsi="Century Gothic"/>
          <w:i/>
          <w:sz w:val="18"/>
        </w:rPr>
        <w:t>Dist</w:t>
      </w:r>
      <w:proofErr w:type="spellEnd"/>
      <w:r w:rsidRPr="00893B87">
        <w:rPr>
          <w:rFonts w:ascii="Century Gothic" w:hAnsi="Century Gothic"/>
          <w:i/>
          <w:sz w:val="18"/>
        </w:rPr>
        <w:t>, corresponde con la distancia media entre postes en metros</w:t>
      </w:r>
    </w:p>
    <w:p w:rsidR="003C2D78" w:rsidRPr="00893B87" w:rsidRDefault="003C2D78" w:rsidP="000F1DD5">
      <w:pPr>
        <w:pStyle w:val="Prrafodelista"/>
        <w:numPr>
          <w:ilvl w:val="0"/>
          <w:numId w:val="33"/>
        </w:numPr>
        <w:spacing w:before="120" w:after="120"/>
        <w:rPr>
          <w:rFonts w:ascii="Century Gothic" w:hAnsi="Century Gothic"/>
          <w:i/>
          <w:sz w:val="18"/>
        </w:rPr>
      </w:pPr>
      <w:r w:rsidRPr="00893B87">
        <w:rPr>
          <w:rFonts w:ascii="Century Gothic" w:hAnsi="Century Gothic"/>
          <w:i/>
          <w:sz w:val="18"/>
        </w:rPr>
        <w:t>Caída, corresponde con la caída máxima de cable entre los dos postes en metros</w:t>
      </w:r>
    </w:p>
    <w:p w:rsidR="00121D18" w:rsidRPr="008B162A" w:rsidRDefault="00121D18" w:rsidP="00121D18">
      <w:pPr>
        <w:pStyle w:val="Ttulo6"/>
        <w:rPr>
          <w:rFonts w:ascii="Century Gothic" w:hAnsi="Century Gothic"/>
          <w:color w:val="auto"/>
        </w:rPr>
      </w:pPr>
      <w:r w:rsidRPr="008B162A">
        <w:rPr>
          <w:rFonts w:ascii="Century Gothic" w:hAnsi="Century Gothic"/>
          <w:color w:val="auto"/>
        </w:rPr>
        <w:t xml:space="preserve">Paso 3. Cálculo del número de </w:t>
      </w:r>
      <w:proofErr w:type="spellStart"/>
      <w:r w:rsidRPr="008B162A">
        <w:rPr>
          <w:rFonts w:ascii="Century Gothic" w:hAnsi="Century Gothic"/>
          <w:color w:val="auto"/>
        </w:rPr>
        <w:t>ONTs</w:t>
      </w:r>
      <w:proofErr w:type="spellEnd"/>
    </w:p>
    <w:p w:rsidR="00121D18" w:rsidRPr="008B162A" w:rsidRDefault="00121D18" w:rsidP="00121D18">
      <w:pPr>
        <w:rPr>
          <w:rFonts w:ascii="Century Gothic" w:hAnsi="Century Gothic"/>
        </w:rPr>
      </w:pPr>
      <w:r w:rsidRPr="008B162A">
        <w:rPr>
          <w:rFonts w:ascii="Century Gothic" w:hAnsi="Century Gothic"/>
        </w:rPr>
        <w:t xml:space="preserve">De forma adicional al equipo considerado previamente, dentro de esta sección se calculan los </w:t>
      </w:r>
      <w:proofErr w:type="spellStart"/>
      <w:r w:rsidRPr="008B162A">
        <w:rPr>
          <w:rFonts w:ascii="Century Gothic" w:hAnsi="Century Gothic"/>
        </w:rPr>
        <w:t>ONTs</w:t>
      </w:r>
      <w:proofErr w:type="spellEnd"/>
      <w:r w:rsidRPr="008B162A">
        <w:rPr>
          <w:rFonts w:ascii="Century Gothic" w:hAnsi="Century Gothic"/>
        </w:rPr>
        <w:t xml:space="preserve"> necesarios para dar servicio a aquellos clientes de los </w:t>
      </w:r>
      <w:proofErr w:type="spellStart"/>
      <w:r w:rsidRPr="008B162A">
        <w:rPr>
          <w:rFonts w:ascii="Century Gothic" w:hAnsi="Century Gothic"/>
        </w:rPr>
        <w:t>CSs</w:t>
      </w:r>
      <w:proofErr w:type="spellEnd"/>
      <w:r w:rsidRPr="008B162A">
        <w:rPr>
          <w:rFonts w:ascii="Century Gothic" w:hAnsi="Century Gothic"/>
        </w:rPr>
        <w:t xml:space="preserve"> que requieran este equipamiento. Para ello se considera 1 ONT por cada unidad de demanda</w:t>
      </w:r>
      <w:r w:rsidR="006C6D41" w:rsidRPr="008B162A">
        <w:rPr>
          <w:rFonts w:ascii="Century Gothic" w:hAnsi="Century Gothic"/>
        </w:rPr>
        <w:t xml:space="preserve"> (líneas activas)</w:t>
      </w:r>
      <w:r w:rsidRPr="008B162A">
        <w:rPr>
          <w:rFonts w:ascii="Century Gothic" w:hAnsi="Century Gothic"/>
        </w:rPr>
        <w:t xml:space="preserve"> del servicio VULA con ONT incluida en el módulo de demanda.</w:t>
      </w:r>
    </w:p>
    <w:p w:rsidR="00886DB5" w:rsidRPr="008B162A" w:rsidRDefault="00886DB5" w:rsidP="00886DB5">
      <w:pPr>
        <w:pStyle w:val="Ttulo6"/>
        <w:rPr>
          <w:rFonts w:ascii="Century Gothic" w:hAnsi="Century Gothic"/>
          <w:color w:val="auto"/>
        </w:rPr>
      </w:pPr>
      <w:r w:rsidRPr="008B162A">
        <w:rPr>
          <w:rFonts w:ascii="Century Gothic" w:hAnsi="Century Gothic"/>
          <w:color w:val="auto"/>
        </w:rPr>
        <w:t xml:space="preserve">Paso </w:t>
      </w:r>
      <w:r w:rsidR="00121D18" w:rsidRPr="008B162A">
        <w:rPr>
          <w:rFonts w:ascii="Century Gothic" w:hAnsi="Century Gothic"/>
          <w:color w:val="auto"/>
        </w:rPr>
        <w:t>4</w:t>
      </w:r>
      <w:r w:rsidRPr="008B162A">
        <w:rPr>
          <w:rFonts w:ascii="Century Gothic" w:hAnsi="Century Gothic"/>
          <w:color w:val="auto"/>
        </w:rPr>
        <w:t>. Cálculo del número de fusiones necesarias</w:t>
      </w:r>
    </w:p>
    <w:p w:rsidR="00121D18" w:rsidRPr="008B162A" w:rsidRDefault="00886DB5" w:rsidP="0081629B">
      <w:pPr>
        <w:rPr>
          <w:rFonts w:ascii="Century Gothic" w:hAnsi="Century Gothic"/>
        </w:rPr>
      </w:pPr>
      <w:r w:rsidRPr="008B162A">
        <w:rPr>
          <w:rFonts w:ascii="Century Gothic" w:hAnsi="Century Gothic"/>
        </w:rPr>
        <w:t xml:space="preserve">Una vez dimensionada la red de fibra correspondiente a la acometida, es necesario conocer el número de fusiones necesarias para establecer las conexiones en dicho tramo de la red. </w:t>
      </w:r>
      <w:r w:rsidR="00121D18" w:rsidRPr="008B162A">
        <w:rPr>
          <w:rFonts w:ascii="Century Gothic" w:hAnsi="Century Gothic"/>
        </w:rPr>
        <w:t xml:space="preserve">Las fusiones de los hilos de fibra se realizan cada vez que existe una agregación de cables, o que un hilo se conecta a un equipo (ya sea caja terminal o punto de conexión terminal). Para cada tramo e hilo, se consideran 2 fusiones. </w:t>
      </w:r>
    </w:p>
    <w:p w:rsidR="00886DB5" w:rsidRPr="008B162A" w:rsidRDefault="00886DB5" w:rsidP="0081629B">
      <w:pPr>
        <w:rPr>
          <w:rFonts w:ascii="Century Gothic" w:hAnsi="Century Gothic"/>
        </w:rPr>
      </w:pPr>
      <w:r w:rsidRPr="008B162A">
        <w:rPr>
          <w:rFonts w:ascii="Century Gothic" w:hAnsi="Century Gothic"/>
        </w:rPr>
        <w:t>Para ello se utiliza el siguiente algoritmo:</w:t>
      </w:r>
    </w:p>
    <w:p w:rsidR="006F7424" w:rsidRPr="008B162A" w:rsidRDefault="006F7424" w:rsidP="0081629B">
      <w:pPr>
        <w:keepNext/>
        <w:jc w:val="center"/>
        <w:rPr>
          <w:rFonts w:ascii="Century Gothic" w:hAnsi="Century Gothic"/>
        </w:rPr>
      </w:pPr>
      <w:r w:rsidRPr="008B162A">
        <w:rPr>
          <w:rFonts w:ascii="Century Gothic" w:hAnsi="Century Gothic"/>
          <w:noProof/>
          <w:lang w:eastAsia="es-MX"/>
        </w:rPr>
        <w:lastRenderedPageBreak/>
        <w:drawing>
          <wp:inline distT="0" distB="0" distL="0" distR="0" wp14:anchorId="69AEB6DB" wp14:editId="6EA9D16A">
            <wp:extent cx="4149306" cy="4637237"/>
            <wp:effectExtent l="0" t="0" r="0" b="0"/>
            <wp:docPr id="14" name="Picture 14"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54213" cy="4642721"/>
                    </a:xfrm>
                    <a:prstGeom prst="rect">
                      <a:avLst/>
                    </a:prstGeom>
                    <a:noFill/>
                    <a:ln>
                      <a:noFill/>
                    </a:ln>
                  </pic:spPr>
                </pic:pic>
              </a:graphicData>
            </a:graphic>
          </wp:inline>
        </w:drawing>
      </w:r>
    </w:p>
    <w:p w:rsidR="006F7424" w:rsidRPr="008B162A" w:rsidRDefault="006F7424" w:rsidP="0081629B">
      <w:pPr>
        <w:pStyle w:val="Descripcin"/>
        <w:rPr>
          <w:rFonts w:ascii="Century Gothic" w:hAnsi="Century Gothic"/>
        </w:rPr>
      </w:pPr>
      <w:r w:rsidRPr="008B162A">
        <w:rPr>
          <w:rFonts w:ascii="Century Gothic" w:hAnsi="Century Gothic"/>
        </w:rPr>
        <w:t xml:space="preserve">Ilustración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7</w:t>
      </w:r>
      <w:r w:rsidR="00847BCF" w:rsidRPr="008B162A">
        <w:rPr>
          <w:rFonts w:ascii="Century Gothic" w:hAnsi="Century Gothic"/>
          <w:noProof/>
        </w:rPr>
        <w:fldChar w:fldCharType="end"/>
      </w:r>
      <w:r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Ilustración \* ARABIC \s 1 </w:instrText>
      </w:r>
      <w:r w:rsidR="00847BCF" w:rsidRPr="008B162A">
        <w:rPr>
          <w:rFonts w:ascii="Century Gothic" w:hAnsi="Century Gothic"/>
        </w:rPr>
        <w:fldChar w:fldCharType="separate"/>
      </w:r>
      <w:r w:rsidR="00431406">
        <w:rPr>
          <w:rFonts w:ascii="Century Gothic" w:hAnsi="Century Gothic"/>
          <w:noProof/>
        </w:rPr>
        <w:t>5</w:t>
      </w:r>
      <w:r w:rsidR="00847BCF" w:rsidRPr="008B162A">
        <w:rPr>
          <w:rFonts w:ascii="Century Gothic" w:hAnsi="Century Gothic"/>
          <w:noProof/>
        </w:rPr>
        <w:fldChar w:fldCharType="end"/>
      </w:r>
      <w:r w:rsidRPr="008B162A">
        <w:rPr>
          <w:rFonts w:ascii="Century Gothic" w:hAnsi="Century Gothic"/>
        </w:rPr>
        <w:t xml:space="preserve">: Algoritmo empleado para el dimensionamiento de las fusiones necesarias en la acometida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4"/>
        <w:rPr>
          <w:rFonts w:ascii="Century Gothic" w:hAnsi="Century Gothic"/>
          <w:color w:val="auto"/>
          <w:lang w:val="es-CR"/>
        </w:rPr>
      </w:pPr>
      <w:r w:rsidRPr="008B162A">
        <w:rPr>
          <w:rFonts w:ascii="Century Gothic" w:hAnsi="Century Gothic"/>
          <w:color w:val="auto"/>
          <w:lang w:val="es-CR"/>
        </w:rPr>
        <w:t>Dimensionado de la red secundaria</w:t>
      </w:r>
    </w:p>
    <w:p w:rsidR="002B22DF" w:rsidRPr="008B162A" w:rsidRDefault="002B22DF" w:rsidP="002B22DF">
      <w:pPr>
        <w:rPr>
          <w:rFonts w:ascii="Century Gothic" w:hAnsi="Century Gothic"/>
          <w:lang w:val="es-CR"/>
        </w:rPr>
      </w:pPr>
      <w:r w:rsidRPr="008B162A">
        <w:rPr>
          <w:rFonts w:ascii="Century Gothic" w:hAnsi="Century Gothic"/>
          <w:lang w:val="es-CR"/>
        </w:rPr>
        <w:t>Para el dimensionado de la red secundaria se han seguido los siguientes pasos:</w:t>
      </w:r>
    </w:p>
    <w:p w:rsidR="002B22DF" w:rsidRPr="008B162A" w:rsidRDefault="00446A1E" w:rsidP="002B22DF">
      <w:pPr>
        <w:keepNext/>
        <w:jc w:val="center"/>
        <w:rPr>
          <w:rFonts w:ascii="Century Gothic" w:hAnsi="Century Gothic"/>
        </w:rPr>
      </w:pPr>
      <w:r w:rsidRPr="008B162A">
        <w:rPr>
          <w:rFonts w:ascii="Century Gothic" w:hAnsi="Century Gothic"/>
          <w:noProof/>
          <w:lang w:eastAsia="es-MX"/>
        </w:rPr>
        <w:lastRenderedPageBreak/>
        <w:drawing>
          <wp:inline distT="0" distB="0" distL="0" distR="0" wp14:anchorId="03D3B1E5" wp14:editId="6B5C3E55">
            <wp:extent cx="3352800" cy="1952625"/>
            <wp:effectExtent l="0" t="0" r="0" b="9525"/>
            <wp:docPr id="225" name="Picture 225"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52800" cy="1952625"/>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6</w:t>
      </w:r>
      <w:r w:rsidR="006F7424" w:rsidRPr="008B162A">
        <w:rPr>
          <w:rFonts w:ascii="Century Gothic" w:hAnsi="Century Gothic"/>
        </w:rPr>
        <w:fldChar w:fldCharType="end"/>
      </w:r>
      <w:r w:rsidRPr="008B162A">
        <w:rPr>
          <w:rFonts w:ascii="Century Gothic" w:hAnsi="Century Gothic"/>
        </w:rPr>
        <w:t xml:space="preserve">: Pasos para el dimensionado de la red secundaria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rPr>
          <w:rFonts w:ascii="Century Gothic" w:hAnsi="Century Gothic"/>
        </w:rPr>
      </w:pPr>
      <w:r w:rsidRPr="008B162A">
        <w:rPr>
          <w:rFonts w:ascii="Century Gothic" w:hAnsi="Century Gothic"/>
        </w:rPr>
        <w:t>El algoritmo de dimensionamiento de la red secundaria de la red de acceso de fibra se ejecuta en la hoja ‘6B CALC DIM FIBRA – SECUND’. Las siguientes subsecciones detallan cada paso en concreto.</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0. Cálculo del número de casas pasadas</w:t>
      </w:r>
    </w:p>
    <w:p w:rsidR="002B22DF" w:rsidRPr="008B162A" w:rsidRDefault="00383AE2" w:rsidP="004B29F9">
      <w:pPr>
        <w:rPr>
          <w:rFonts w:ascii="Century Gothic" w:hAnsi="Century Gothic"/>
        </w:rPr>
      </w:pPr>
      <w:r w:rsidRPr="008B162A">
        <w:rPr>
          <w:rFonts w:ascii="Century Gothic" w:hAnsi="Century Gothic"/>
        </w:rPr>
        <w:t>El número de casas pasadas se obtiene directamente del insumo de cobertura para el año modelado, considerando el horizonte de planificación y el margen de capacidad.</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1. Cálculo del número total de kilómetros de fibra subterránea</w:t>
      </w:r>
    </w:p>
    <w:p w:rsidR="002B22DF" w:rsidRPr="008B162A" w:rsidRDefault="002B22DF" w:rsidP="002B22DF">
      <w:pPr>
        <w:rPr>
          <w:rFonts w:ascii="Century Gothic" w:hAnsi="Century Gothic"/>
        </w:rPr>
      </w:pPr>
      <w:r w:rsidRPr="008B162A">
        <w:rPr>
          <w:rFonts w:ascii="Century Gothic" w:hAnsi="Century Gothic"/>
        </w:rPr>
        <w:t xml:space="preserve">Para el cálculo de la fibra subterránea del segmento de red secundaria, se utiliza </w:t>
      </w:r>
      <w:r w:rsidR="002A1758" w:rsidRPr="008B162A">
        <w:rPr>
          <w:rFonts w:ascii="Century Gothic" w:hAnsi="Century Gothic"/>
        </w:rPr>
        <w:t>un</w:t>
      </w:r>
      <w:r w:rsidRPr="008B162A">
        <w:rPr>
          <w:rFonts w:ascii="Century Gothic" w:hAnsi="Century Gothic"/>
        </w:rPr>
        <w:t xml:space="preserve"> algoritmo </w:t>
      </w:r>
      <w:r w:rsidR="002A1758" w:rsidRPr="008B162A">
        <w:rPr>
          <w:rFonts w:ascii="Century Gothic" w:hAnsi="Century Gothic"/>
        </w:rPr>
        <w:t xml:space="preserve">similar al </w:t>
      </w:r>
      <w:r w:rsidRPr="008B162A">
        <w:rPr>
          <w:rFonts w:ascii="Century Gothic" w:hAnsi="Century Gothic"/>
        </w:rPr>
        <w:t>utilizado en la acometida, con la salvedad que, en lugar de utilizar el total de servicios utilizados, se considera como parámetro el total de casas pasadas, suponiendo que el AEP despliega la red primaria y secundaria cuando se cubre una determinada zona geográfica, como se visualiza en la siguiente ilustración</w:t>
      </w:r>
      <w:r w:rsidR="0047213D" w:rsidRPr="008B162A">
        <w:rPr>
          <w:rFonts w:ascii="Century Gothic" w:hAnsi="Century Gothic"/>
        </w:rPr>
        <w:t>.</w:t>
      </w:r>
    </w:p>
    <w:p w:rsidR="00FD4FFC" w:rsidRPr="008B162A" w:rsidRDefault="00FD4FFC" w:rsidP="0022430C">
      <w:pPr>
        <w:keepNext/>
        <w:rPr>
          <w:rFonts w:ascii="Century Gothic" w:hAnsi="Century Gothic"/>
        </w:rPr>
      </w:pPr>
    </w:p>
    <w:p w:rsidR="006062BF" w:rsidRPr="008B162A" w:rsidRDefault="00AA3580" w:rsidP="00AA3580">
      <w:pPr>
        <w:keepNext/>
        <w:rPr>
          <w:rFonts w:ascii="Century Gothic" w:hAnsi="Century Gothic"/>
        </w:rPr>
      </w:pPr>
      <w:r w:rsidRPr="008B162A">
        <w:rPr>
          <w:rFonts w:ascii="Century Gothic" w:hAnsi="Century Gothic"/>
          <w:noProof/>
          <w:lang w:eastAsia="es-MX"/>
        </w:rPr>
        <w:drawing>
          <wp:inline distT="0" distB="0" distL="0" distR="0" wp14:anchorId="4CD04029" wp14:editId="6C3A3358">
            <wp:extent cx="5731510" cy="3922705"/>
            <wp:effectExtent l="0" t="0" r="2540" b="1905"/>
            <wp:docPr id="18" name="Picture 18"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3922705"/>
                    </a:xfrm>
                    <a:prstGeom prst="rect">
                      <a:avLst/>
                    </a:prstGeom>
                    <a:noFill/>
                    <a:ln>
                      <a:noFill/>
                    </a:ln>
                  </pic:spPr>
                </pic:pic>
              </a:graphicData>
            </a:graphic>
          </wp:inline>
        </w:drawing>
      </w:r>
    </w:p>
    <w:p w:rsidR="000F1C3B" w:rsidRPr="008B162A" w:rsidRDefault="00FD4FFC" w:rsidP="0022430C">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Pr="008B162A">
        <w:rPr>
          <w:rFonts w:ascii="Century Gothic" w:hAnsi="Century Gothic"/>
        </w:rPr>
        <w:t xml:space="preserve">: Algoritmo empleado para la caracterización la red subterránea de la red secundaria [Fuete: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2. Cálculo del número total de kilómetros de fibra aérea</w:t>
      </w:r>
    </w:p>
    <w:p w:rsidR="002B22DF" w:rsidRPr="008B162A" w:rsidRDefault="002B22DF" w:rsidP="002B22DF">
      <w:pPr>
        <w:rPr>
          <w:rFonts w:ascii="Century Gothic" w:hAnsi="Century Gothic"/>
        </w:rPr>
      </w:pPr>
      <w:r w:rsidRPr="008B162A">
        <w:rPr>
          <w:rFonts w:ascii="Century Gothic" w:hAnsi="Century Gothic"/>
        </w:rPr>
        <w:t xml:space="preserve">En este paso, al igual que en el paso 1, se utiliza </w:t>
      </w:r>
      <w:r w:rsidR="002A1758" w:rsidRPr="008B162A">
        <w:rPr>
          <w:rFonts w:ascii="Century Gothic" w:hAnsi="Century Gothic"/>
        </w:rPr>
        <w:t>un</w:t>
      </w:r>
      <w:r w:rsidRPr="008B162A">
        <w:rPr>
          <w:rFonts w:ascii="Century Gothic" w:hAnsi="Century Gothic"/>
        </w:rPr>
        <w:t xml:space="preserve"> algoritmo </w:t>
      </w:r>
      <w:r w:rsidR="002A1758" w:rsidRPr="008B162A">
        <w:rPr>
          <w:rFonts w:ascii="Century Gothic" w:hAnsi="Century Gothic"/>
        </w:rPr>
        <w:t xml:space="preserve">similar </w:t>
      </w:r>
      <w:r w:rsidRPr="008B162A">
        <w:rPr>
          <w:rFonts w:ascii="Century Gothic" w:hAnsi="Century Gothic"/>
        </w:rPr>
        <w:t>que en la acometida con la misma salvedad en la utilización del insumo de casas pasadas mencionado en el paso anterior</w:t>
      </w:r>
      <w:r w:rsidR="002A1758" w:rsidRPr="008B162A">
        <w:rPr>
          <w:rFonts w:ascii="Century Gothic" w:hAnsi="Century Gothic"/>
        </w:rPr>
        <w:t>, como se describe en la siguiente imagen</w:t>
      </w:r>
      <w:r w:rsidRPr="008B162A">
        <w:rPr>
          <w:rFonts w:ascii="Century Gothic" w:hAnsi="Century Gothic"/>
        </w:rPr>
        <w:t>.</w:t>
      </w:r>
    </w:p>
    <w:p w:rsidR="00FD4FFC" w:rsidRPr="008B162A" w:rsidRDefault="00FD4FFC" w:rsidP="0022430C">
      <w:pPr>
        <w:keepNext/>
        <w:rPr>
          <w:rFonts w:ascii="Century Gothic" w:hAnsi="Century Gothic"/>
        </w:rPr>
      </w:pPr>
    </w:p>
    <w:p w:rsidR="006062BF" w:rsidRPr="008B162A" w:rsidRDefault="00AA3580" w:rsidP="00AA3580">
      <w:pPr>
        <w:keepNext/>
        <w:rPr>
          <w:rFonts w:ascii="Century Gothic" w:hAnsi="Century Gothic"/>
        </w:rPr>
      </w:pPr>
      <w:r w:rsidRPr="008B162A">
        <w:rPr>
          <w:rFonts w:ascii="Century Gothic" w:hAnsi="Century Gothic"/>
          <w:noProof/>
          <w:lang w:eastAsia="es-MX"/>
        </w:rPr>
        <w:drawing>
          <wp:inline distT="0" distB="0" distL="0" distR="0" wp14:anchorId="0FD097A1" wp14:editId="5055BB40">
            <wp:extent cx="5731510" cy="4057538"/>
            <wp:effectExtent l="0" t="0" r="2540" b="635"/>
            <wp:docPr id="20" name="Picture 20"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4057538"/>
                    </a:xfrm>
                    <a:prstGeom prst="rect">
                      <a:avLst/>
                    </a:prstGeom>
                    <a:noFill/>
                    <a:ln>
                      <a:noFill/>
                    </a:ln>
                  </pic:spPr>
                </pic:pic>
              </a:graphicData>
            </a:graphic>
          </wp:inline>
        </w:drawing>
      </w:r>
    </w:p>
    <w:p w:rsidR="0047213D" w:rsidRPr="008B162A" w:rsidRDefault="00FD4FFC" w:rsidP="0022430C">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8</w:t>
      </w:r>
      <w:r w:rsidR="006F7424" w:rsidRPr="008B162A">
        <w:rPr>
          <w:rFonts w:ascii="Century Gothic" w:hAnsi="Century Gothic"/>
        </w:rPr>
        <w:fldChar w:fldCharType="end"/>
      </w:r>
      <w:r w:rsidRPr="008B162A">
        <w:rPr>
          <w:rFonts w:ascii="Century Gothic" w:hAnsi="Century Gothic"/>
        </w:rPr>
        <w:t xml:space="preserve">: Algoritmo empleado para la caracterización la red aérea de la red secundaria de fibra [Fuete: </w:t>
      </w:r>
      <w:r w:rsidR="006B7D75" w:rsidRPr="008B162A">
        <w:rPr>
          <w:rFonts w:ascii="Century Gothic" w:hAnsi="Century Gothic"/>
        </w:rPr>
        <w:t>IFT, 2016</w:t>
      </w:r>
      <w:r w:rsidRPr="008B162A">
        <w:rPr>
          <w:rFonts w:ascii="Century Gothic" w:hAnsi="Century Gothic"/>
        </w:rPr>
        <w:t>]</w:t>
      </w:r>
    </w:p>
    <w:p w:rsidR="006F7424" w:rsidRPr="008B162A" w:rsidRDefault="006F7424" w:rsidP="006F7424">
      <w:pPr>
        <w:pStyle w:val="Ttulo6"/>
        <w:rPr>
          <w:rFonts w:ascii="Century Gothic" w:hAnsi="Century Gothic"/>
          <w:color w:val="auto"/>
        </w:rPr>
      </w:pPr>
      <w:r w:rsidRPr="008B162A">
        <w:rPr>
          <w:rFonts w:ascii="Century Gothic" w:hAnsi="Century Gothic"/>
          <w:color w:val="auto"/>
        </w:rPr>
        <w:t>Paso 3. Cálculo del número de fusiones necesarias</w:t>
      </w:r>
    </w:p>
    <w:p w:rsidR="006F7424" w:rsidRPr="008B162A" w:rsidRDefault="006F7424" w:rsidP="006F7424">
      <w:pPr>
        <w:rPr>
          <w:rFonts w:ascii="Century Gothic" w:hAnsi="Century Gothic"/>
        </w:rPr>
      </w:pPr>
      <w:r w:rsidRPr="008B162A">
        <w:rPr>
          <w:rFonts w:ascii="Century Gothic" w:hAnsi="Century Gothic"/>
        </w:rPr>
        <w:t xml:space="preserve">Una vez dimensionada la red de fibra correspondiente a la acometida, es necesario conocer el número de fusiones necesarias para establecer las conexiones en dicho tramo de la red. Las fusiones de los hilos de fibra se realizan cada vez que existe una agregación de cables, o que un hilo se conecta a un equipo (ya sea caja terminal o punto de distribución). Para cada tramo e hilo, se consideran 2 fusiones. </w:t>
      </w:r>
    </w:p>
    <w:p w:rsidR="006F7424" w:rsidRPr="008B162A" w:rsidRDefault="006F7424" w:rsidP="006F7424">
      <w:pPr>
        <w:rPr>
          <w:rFonts w:ascii="Century Gothic" w:hAnsi="Century Gothic"/>
        </w:rPr>
      </w:pPr>
      <w:r w:rsidRPr="008B162A">
        <w:rPr>
          <w:rFonts w:ascii="Century Gothic" w:hAnsi="Century Gothic"/>
        </w:rPr>
        <w:t>Para ello se utiliza el siguiente algoritmo:</w:t>
      </w:r>
    </w:p>
    <w:p w:rsidR="006F7424" w:rsidRPr="008B162A" w:rsidRDefault="006F7424" w:rsidP="006F7424">
      <w:pPr>
        <w:keepNext/>
        <w:jc w:val="center"/>
        <w:rPr>
          <w:rFonts w:ascii="Century Gothic" w:hAnsi="Century Gothic"/>
        </w:rPr>
      </w:pPr>
      <w:r w:rsidRPr="008B162A">
        <w:rPr>
          <w:rFonts w:ascii="Century Gothic" w:hAnsi="Century Gothic"/>
          <w:noProof/>
          <w:lang w:eastAsia="es-MX"/>
        </w:rPr>
        <w:lastRenderedPageBreak/>
        <w:drawing>
          <wp:inline distT="0" distB="0" distL="0" distR="0" wp14:anchorId="03FD7632" wp14:editId="2DAC1DE1">
            <wp:extent cx="4447907" cy="5320145"/>
            <wp:effectExtent l="0" t="0" r="0" b="0"/>
            <wp:docPr id="22" name="Picture 22"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50519" cy="5323269"/>
                    </a:xfrm>
                    <a:prstGeom prst="rect">
                      <a:avLst/>
                    </a:prstGeom>
                    <a:noFill/>
                    <a:ln>
                      <a:noFill/>
                    </a:ln>
                  </pic:spPr>
                </pic:pic>
              </a:graphicData>
            </a:graphic>
          </wp:inline>
        </w:drawing>
      </w:r>
    </w:p>
    <w:p w:rsidR="006F7424" w:rsidRPr="008B162A" w:rsidRDefault="006F7424" w:rsidP="006F7424">
      <w:pPr>
        <w:pStyle w:val="Descripcin"/>
        <w:rPr>
          <w:rFonts w:ascii="Century Gothic" w:hAnsi="Century Gothic"/>
        </w:rPr>
      </w:pPr>
      <w:r w:rsidRPr="008B162A">
        <w:rPr>
          <w:rFonts w:ascii="Century Gothic" w:hAnsi="Century Gothic"/>
        </w:rPr>
        <w:t xml:space="preserve">Ilustración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7</w:t>
      </w:r>
      <w:r w:rsidR="00847BCF" w:rsidRPr="008B162A">
        <w:rPr>
          <w:rFonts w:ascii="Century Gothic" w:hAnsi="Century Gothic"/>
          <w:noProof/>
        </w:rPr>
        <w:fldChar w:fldCharType="end"/>
      </w:r>
      <w:r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Ilustración \* ARABIC \s 1 </w:instrText>
      </w:r>
      <w:r w:rsidR="00847BCF" w:rsidRPr="008B162A">
        <w:rPr>
          <w:rFonts w:ascii="Century Gothic" w:hAnsi="Century Gothic"/>
        </w:rPr>
        <w:fldChar w:fldCharType="separate"/>
      </w:r>
      <w:r w:rsidR="00431406">
        <w:rPr>
          <w:rFonts w:ascii="Century Gothic" w:hAnsi="Century Gothic"/>
          <w:noProof/>
        </w:rPr>
        <w:t>9</w:t>
      </w:r>
      <w:r w:rsidR="00847BCF" w:rsidRPr="008B162A">
        <w:rPr>
          <w:rFonts w:ascii="Century Gothic" w:hAnsi="Century Gothic"/>
          <w:noProof/>
        </w:rPr>
        <w:fldChar w:fldCharType="end"/>
      </w:r>
      <w:r w:rsidRPr="008B162A">
        <w:rPr>
          <w:rFonts w:ascii="Century Gothic" w:hAnsi="Century Gothic"/>
        </w:rPr>
        <w:t xml:space="preserve">: Algoritmo empleado para el dimensionamiento de las fusiones necesarias en la red secundaria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4"/>
        <w:rPr>
          <w:rFonts w:ascii="Century Gothic" w:hAnsi="Century Gothic"/>
          <w:color w:val="auto"/>
          <w:lang w:val="es-CR"/>
        </w:rPr>
      </w:pPr>
      <w:r w:rsidRPr="008B162A">
        <w:rPr>
          <w:rFonts w:ascii="Century Gothic" w:hAnsi="Century Gothic"/>
          <w:color w:val="auto"/>
          <w:lang w:val="es-CR"/>
        </w:rPr>
        <w:t>Dimensionado de la red primaria</w:t>
      </w:r>
    </w:p>
    <w:p w:rsidR="002B22DF" w:rsidRPr="008B162A" w:rsidRDefault="002B22DF" w:rsidP="002B22DF">
      <w:pPr>
        <w:rPr>
          <w:rFonts w:ascii="Century Gothic" w:hAnsi="Century Gothic"/>
          <w:lang w:val="es-CR"/>
        </w:rPr>
      </w:pPr>
      <w:r w:rsidRPr="008B162A">
        <w:rPr>
          <w:rFonts w:ascii="Century Gothic" w:hAnsi="Century Gothic"/>
          <w:lang w:val="es-CR"/>
        </w:rPr>
        <w:t>Para el dimensionado de la red primaria se han seguido los siguientes pasos:</w:t>
      </w:r>
    </w:p>
    <w:p w:rsidR="002B22DF" w:rsidRPr="008B162A" w:rsidRDefault="00625F79" w:rsidP="002B22DF">
      <w:pPr>
        <w:keepNext/>
        <w:jc w:val="center"/>
        <w:rPr>
          <w:rFonts w:ascii="Century Gothic" w:hAnsi="Century Gothic"/>
        </w:rPr>
      </w:pPr>
      <w:r w:rsidRPr="008B162A">
        <w:rPr>
          <w:rFonts w:ascii="Century Gothic" w:hAnsi="Century Gothic"/>
          <w:noProof/>
          <w:lang w:eastAsia="es-MX"/>
        </w:rPr>
        <w:lastRenderedPageBreak/>
        <w:drawing>
          <wp:inline distT="0" distB="0" distL="0" distR="0" wp14:anchorId="3F02FFAE" wp14:editId="71177FDD">
            <wp:extent cx="3352800" cy="1952625"/>
            <wp:effectExtent l="0" t="0" r="0" b="9525"/>
            <wp:docPr id="227" name="Picture 227"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52800" cy="1952625"/>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10</w:t>
      </w:r>
      <w:r w:rsidR="006F7424" w:rsidRPr="008B162A">
        <w:rPr>
          <w:rFonts w:ascii="Century Gothic" w:hAnsi="Century Gothic"/>
        </w:rPr>
        <w:fldChar w:fldCharType="end"/>
      </w:r>
      <w:r w:rsidRPr="008B162A">
        <w:rPr>
          <w:rFonts w:ascii="Century Gothic" w:hAnsi="Century Gothic"/>
        </w:rPr>
        <w:t>: Pasos para el dimensionado de la red primaria</w:t>
      </w:r>
      <w:r w:rsidRPr="008B162A" w:rsidDel="00CA32A0">
        <w:rPr>
          <w:rFonts w:ascii="Century Gothic" w:hAnsi="Century Gothic"/>
        </w:rPr>
        <w:t xml:space="preserve"> </w:t>
      </w:r>
      <w:r w:rsidRPr="008B162A">
        <w:rPr>
          <w:rFonts w:ascii="Century Gothic" w:hAnsi="Century Gothic"/>
        </w:rPr>
        <w:t xml:space="preserve">[Fuente: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rPr>
          <w:rFonts w:ascii="Century Gothic" w:hAnsi="Century Gothic"/>
        </w:rPr>
      </w:pPr>
      <w:r w:rsidRPr="008B162A">
        <w:rPr>
          <w:rFonts w:ascii="Century Gothic" w:hAnsi="Century Gothic"/>
        </w:rPr>
        <w:t>El algoritmo de dimensionamiento de la acometida de la red de acceso de fibra se ejecuta en la hoja ‘6C CALC DIM FIBRA – PRIMARIA’. Las siguientes subsecciones detallan cada paso en concreto.</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0. Cálculo del número de casas pasadas</w:t>
      </w:r>
    </w:p>
    <w:p w:rsidR="00383AE2" w:rsidRPr="008B162A" w:rsidRDefault="00383AE2" w:rsidP="00383AE2">
      <w:pPr>
        <w:rPr>
          <w:rFonts w:ascii="Century Gothic" w:hAnsi="Century Gothic"/>
        </w:rPr>
      </w:pPr>
      <w:r w:rsidRPr="008B162A">
        <w:rPr>
          <w:rFonts w:ascii="Century Gothic" w:hAnsi="Century Gothic"/>
        </w:rPr>
        <w:t>El número de casas pasadas se obtiene directamente del insumo de cobertura para el año modelado, considerando el horizonte de planificación y el margen de capacidad.</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1. Cálculo del número total de kilómetros de fibra subterránea</w:t>
      </w:r>
    </w:p>
    <w:p w:rsidR="002B22DF" w:rsidRPr="008B162A" w:rsidRDefault="002B22DF" w:rsidP="002B22DF">
      <w:pPr>
        <w:rPr>
          <w:rFonts w:ascii="Century Gothic" w:hAnsi="Century Gothic"/>
        </w:rPr>
      </w:pPr>
      <w:r w:rsidRPr="008B162A">
        <w:rPr>
          <w:rFonts w:ascii="Century Gothic" w:hAnsi="Century Gothic"/>
        </w:rPr>
        <w:t>En este paso, se considera el mismo algoritmo que se mencionó en el dimensionamiento subterráneo de la red secundaria, utilizando de igual forma el total de casas pasadas en lugar del total de líneas activas.</w:t>
      </w:r>
      <w:r w:rsidR="002A1758" w:rsidRPr="008B162A">
        <w:rPr>
          <w:rFonts w:ascii="Century Gothic" w:hAnsi="Century Gothic"/>
        </w:rPr>
        <w:t xml:space="preserve"> Adicionalmente, el número de cables de fibra proviene de la división del número promedio de cajas terminales servidas por los puntos de distribución del geotipo entre el factor de agregación del </w:t>
      </w:r>
      <w:proofErr w:type="spellStart"/>
      <w:r w:rsidR="002A1758" w:rsidRPr="008B162A">
        <w:rPr>
          <w:rFonts w:ascii="Century Gothic" w:hAnsi="Century Gothic"/>
        </w:rPr>
        <w:t>splitter</w:t>
      </w:r>
      <w:proofErr w:type="spellEnd"/>
      <w:r w:rsidR="002A1758" w:rsidRPr="008B162A">
        <w:rPr>
          <w:rFonts w:ascii="Century Gothic" w:hAnsi="Century Gothic"/>
        </w:rPr>
        <w:t xml:space="preserve"> situado en el PD (8).</w:t>
      </w:r>
    </w:p>
    <w:p w:rsidR="00FD4FFC" w:rsidRPr="008B162A" w:rsidRDefault="00FD4FFC" w:rsidP="0022430C">
      <w:pPr>
        <w:keepNext/>
        <w:rPr>
          <w:rFonts w:ascii="Century Gothic" w:hAnsi="Century Gothic"/>
        </w:rPr>
      </w:pPr>
    </w:p>
    <w:p w:rsidR="009063B6" w:rsidRPr="008B162A" w:rsidRDefault="00AA3580" w:rsidP="00AA3580">
      <w:pPr>
        <w:keepNext/>
        <w:rPr>
          <w:rFonts w:ascii="Century Gothic" w:hAnsi="Century Gothic"/>
        </w:rPr>
      </w:pPr>
      <w:r w:rsidRPr="008B162A">
        <w:rPr>
          <w:rFonts w:ascii="Century Gothic" w:hAnsi="Century Gothic"/>
          <w:noProof/>
          <w:lang w:eastAsia="es-MX"/>
        </w:rPr>
        <w:drawing>
          <wp:inline distT="0" distB="0" distL="0" distR="0" wp14:anchorId="2D913055" wp14:editId="35F7E7D9">
            <wp:extent cx="5731510" cy="3978420"/>
            <wp:effectExtent l="0" t="0" r="2540" b="3175"/>
            <wp:docPr id="29" name="Picture 29"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3978420"/>
                    </a:xfrm>
                    <a:prstGeom prst="rect">
                      <a:avLst/>
                    </a:prstGeom>
                    <a:noFill/>
                    <a:ln>
                      <a:noFill/>
                    </a:ln>
                  </pic:spPr>
                </pic:pic>
              </a:graphicData>
            </a:graphic>
          </wp:inline>
        </w:drawing>
      </w:r>
    </w:p>
    <w:p w:rsidR="0047213D" w:rsidRPr="008B162A" w:rsidRDefault="00FD4FFC" w:rsidP="0022430C">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11</w:t>
      </w:r>
      <w:r w:rsidR="006F7424" w:rsidRPr="008B162A">
        <w:rPr>
          <w:rFonts w:ascii="Century Gothic" w:hAnsi="Century Gothic"/>
        </w:rPr>
        <w:fldChar w:fldCharType="end"/>
      </w:r>
      <w:r w:rsidRPr="008B162A">
        <w:rPr>
          <w:rFonts w:ascii="Century Gothic" w:hAnsi="Century Gothic"/>
        </w:rPr>
        <w:t xml:space="preserve">: Algoritmo empleado para la caracterización la red subterránea de la red primaria de fibra [Fuete: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2. Cálculo del número total de kilómetros de fibra aérea</w:t>
      </w:r>
    </w:p>
    <w:p w:rsidR="002B22DF" w:rsidRPr="008B162A" w:rsidRDefault="002B22DF" w:rsidP="002B22DF">
      <w:pPr>
        <w:rPr>
          <w:rFonts w:ascii="Century Gothic" w:hAnsi="Century Gothic"/>
        </w:rPr>
      </w:pPr>
      <w:r w:rsidRPr="008B162A">
        <w:rPr>
          <w:rFonts w:ascii="Century Gothic" w:hAnsi="Century Gothic"/>
        </w:rPr>
        <w:t>En este paso, se considera el mismo algoritmo que se mencionó en el dimensionamiento aéreo de la red secundaria</w:t>
      </w:r>
      <w:r w:rsidR="002A1758" w:rsidRPr="008B162A">
        <w:rPr>
          <w:rFonts w:ascii="Century Gothic" w:hAnsi="Century Gothic"/>
        </w:rPr>
        <w:t xml:space="preserve">, con la salvedad de considerar como parámetro de entrada en el número de cables de fibra el resultado de la división del número promedio de cajas terminales servidas por los puntos de distribución del geotipo entre el factor de agregación del </w:t>
      </w:r>
      <w:proofErr w:type="spellStart"/>
      <w:r w:rsidR="002A1758" w:rsidRPr="008B162A">
        <w:rPr>
          <w:rFonts w:ascii="Century Gothic" w:hAnsi="Century Gothic"/>
        </w:rPr>
        <w:t>splitter</w:t>
      </w:r>
      <w:proofErr w:type="spellEnd"/>
      <w:r w:rsidR="002A1758" w:rsidRPr="008B162A">
        <w:rPr>
          <w:rFonts w:ascii="Century Gothic" w:hAnsi="Century Gothic"/>
        </w:rPr>
        <w:t xml:space="preserve"> situado en el PD (8).</w:t>
      </w:r>
    </w:p>
    <w:p w:rsidR="00501433" w:rsidRPr="008B162A" w:rsidRDefault="00501433" w:rsidP="0022430C">
      <w:pPr>
        <w:keepNext/>
        <w:rPr>
          <w:rFonts w:ascii="Century Gothic" w:hAnsi="Century Gothic"/>
        </w:rPr>
      </w:pPr>
    </w:p>
    <w:p w:rsidR="009063B6" w:rsidRPr="008B162A" w:rsidRDefault="00AA3580" w:rsidP="00AA3580">
      <w:pPr>
        <w:keepNext/>
        <w:rPr>
          <w:rFonts w:ascii="Century Gothic" w:hAnsi="Century Gothic"/>
        </w:rPr>
      </w:pPr>
      <w:r w:rsidRPr="008B162A">
        <w:rPr>
          <w:rFonts w:ascii="Century Gothic" w:hAnsi="Century Gothic"/>
          <w:noProof/>
          <w:lang w:eastAsia="es-MX"/>
        </w:rPr>
        <w:drawing>
          <wp:inline distT="0" distB="0" distL="0" distR="0" wp14:anchorId="028647CD" wp14:editId="747D4063">
            <wp:extent cx="5731510" cy="3978420"/>
            <wp:effectExtent l="0" t="0" r="2540" b="3175"/>
            <wp:docPr id="224" name="Picture 224"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3978420"/>
                    </a:xfrm>
                    <a:prstGeom prst="rect">
                      <a:avLst/>
                    </a:prstGeom>
                    <a:noFill/>
                    <a:ln>
                      <a:noFill/>
                    </a:ln>
                  </pic:spPr>
                </pic:pic>
              </a:graphicData>
            </a:graphic>
          </wp:inline>
        </w:drawing>
      </w:r>
    </w:p>
    <w:p w:rsidR="0047213D" w:rsidRPr="008B162A" w:rsidRDefault="00501433" w:rsidP="0022430C">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12</w:t>
      </w:r>
      <w:r w:rsidR="006F7424" w:rsidRPr="008B162A">
        <w:rPr>
          <w:rFonts w:ascii="Century Gothic" w:hAnsi="Century Gothic"/>
        </w:rPr>
        <w:fldChar w:fldCharType="end"/>
      </w:r>
      <w:r w:rsidRPr="008B162A">
        <w:rPr>
          <w:rFonts w:ascii="Century Gothic" w:hAnsi="Century Gothic"/>
        </w:rPr>
        <w:t xml:space="preserve">: Algoritmo empleado para la caracterización la red aérea de la red primaria de fibra [Fuete: </w:t>
      </w:r>
      <w:r w:rsidR="006B7D75" w:rsidRPr="008B162A">
        <w:rPr>
          <w:rFonts w:ascii="Century Gothic" w:hAnsi="Century Gothic"/>
        </w:rPr>
        <w:t>IFT, 2016</w:t>
      </w:r>
      <w:r w:rsidRPr="008B162A">
        <w:rPr>
          <w:rFonts w:ascii="Century Gothic" w:hAnsi="Century Gothic"/>
        </w:rPr>
        <w:t>]</w:t>
      </w:r>
    </w:p>
    <w:p w:rsidR="006F7424" w:rsidRPr="008B162A" w:rsidRDefault="006F7424" w:rsidP="006F7424">
      <w:pPr>
        <w:pStyle w:val="Ttulo6"/>
        <w:rPr>
          <w:rFonts w:ascii="Century Gothic" w:hAnsi="Century Gothic"/>
          <w:color w:val="auto"/>
        </w:rPr>
      </w:pPr>
      <w:r w:rsidRPr="008B162A">
        <w:rPr>
          <w:rFonts w:ascii="Century Gothic" w:hAnsi="Century Gothic"/>
          <w:color w:val="auto"/>
        </w:rPr>
        <w:t xml:space="preserve">Paso </w:t>
      </w:r>
      <w:r w:rsidR="00446A1E" w:rsidRPr="008B162A">
        <w:rPr>
          <w:rFonts w:ascii="Century Gothic" w:hAnsi="Century Gothic"/>
          <w:color w:val="auto"/>
        </w:rPr>
        <w:t>3</w:t>
      </w:r>
      <w:r w:rsidRPr="008B162A">
        <w:rPr>
          <w:rFonts w:ascii="Century Gothic" w:hAnsi="Century Gothic"/>
          <w:color w:val="auto"/>
        </w:rPr>
        <w:t>. Cálculo del número de fusiones necesarias</w:t>
      </w:r>
    </w:p>
    <w:p w:rsidR="006F7424" w:rsidRPr="008B162A" w:rsidRDefault="006F7424" w:rsidP="006F7424">
      <w:pPr>
        <w:rPr>
          <w:rFonts w:ascii="Century Gothic" w:hAnsi="Century Gothic"/>
        </w:rPr>
      </w:pPr>
      <w:r w:rsidRPr="008B162A">
        <w:rPr>
          <w:rFonts w:ascii="Century Gothic" w:hAnsi="Century Gothic"/>
        </w:rPr>
        <w:t xml:space="preserve">Una vez dimensionada la red de fibra correspondiente a la acometida, es necesario conocer el número de fusiones necesarias para establecer las conexiones en dicho tramo de la red. Las fusiones de los hilos de fibra se realizan cada vez que existe una agregación de cables, o que un hilo se conecta a un equipo (ya sea punto de distribución </w:t>
      </w:r>
      <w:r w:rsidR="002C2062" w:rsidRPr="008B162A">
        <w:rPr>
          <w:rFonts w:ascii="Century Gothic" w:hAnsi="Century Gothic"/>
        </w:rPr>
        <w:t>u</w:t>
      </w:r>
      <w:r w:rsidRPr="008B162A">
        <w:rPr>
          <w:rFonts w:ascii="Century Gothic" w:hAnsi="Century Gothic"/>
        </w:rPr>
        <w:t xml:space="preserve"> ODF). Para cada tramo e hilo, se consideran 2 fusiones. </w:t>
      </w:r>
    </w:p>
    <w:p w:rsidR="006F7424" w:rsidRPr="008B162A" w:rsidRDefault="006F7424" w:rsidP="006F7424">
      <w:pPr>
        <w:rPr>
          <w:rFonts w:ascii="Century Gothic" w:hAnsi="Century Gothic"/>
        </w:rPr>
      </w:pPr>
      <w:r w:rsidRPr="008B162A">
        <w:rPr>
          <w:rFonts w:ascii="Century Gothic" w:hAnsi="Century Gothic"/>
        </w:rPr>
        <w:t>Para ello se utiliza el siguiente algoritmo:</w:t>
      </w:r>
    </w:p>
    <w:p w:rsidR="006F7424" w:rsidRPr="008B162A" w:rsidRDefault="006F7424" w:rsidP="006F7424">
      <w:pPr>
        <w:keepNext/>
        <w:jc w:val="center"/>
        <w:rPr>
          <w:rFonts w:ascii="Century Gothic" w:hAnsi="Century Gothic"/>
        </w:rPr>
      </w:pPr>
      <w:r w:rsidRPr="008B162A">
        <w:rPr>
          <w:rFonts w:ascii="Century Gothic" w:hAnsi="Century Gothic"/>
          <w:noProof/>
          <w:lang w:eastAsia="es-MX"/>
        </w:rPr>
        <w:lastRenderedPageBreak/>
        <w:drawing>
          <wp:inline distT="0" distB="0" distL="0" distR="0" wp14:anchorId="041C09A9" wp14:editId="42AB4DF8">
            <wp:extent cx="4785756" cy="5724247"/>
            <wp:effectExtent l="0" t="0" r="0" b="0"/>
            <wp:docPr id="24" name="Picture 24"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89783" cy="5729064"/>
                    </a:xfrm>
                    <a:prstGeom prst="rect">
                      <a:avLst/>
                    </a:prstGeom>
                    <a:noFill/>
                    <a:ln>
                      <a:noFill/>
                    </a:ln>
                  </pic:spPr>
                </pic:pic>
              </a:graphicData>
            </a:graphic>
          </wp:inline>
        </w:drawing>
      </w:r>
    </w:p>
    <w:p w:rsidR="006F7424" w:rsidRPr="008B162A" w:rsidRDefault="006F7424" w:rsidP="006F7424">
      <w:pPr>
        <w:pStyle w:val="Descripcin"/>
        <w:rPr>
          <w:rFonts w:ascii="Century Gothic" w:hAnsi="Century Gothic"/>
        </w:rPr>
      </w:pPr>
      <w:r w:rsidRPr="008B162A">
        <w:rPr>
          <w:rFonts w:ascii="Century Gothic" w:hAnsi="Century Gothic"/>
        </w:rPr>
        <w:t xml:space="preserve">Ilustración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7</w:t>
      </w:r>
      <w:r w:rsidR="00847BCF" w:rsidRPr="008B162A">
        <w:rPr>
          <w:rFonts w:ascii="Century Gothic" w:hAnsi="Century Gothic"/>
          <w:noProof/>
        </w:rPr>
        <w:fldChar w:fldCharType="end"/>
      </w:r>
      <w:r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Ilustración \* ARABIC \s 1 </w:instrText>
      </w:r>
      <w:r w:rsidR="00847BCF" w:rsidRPr="008B162A">
        <w:rPr>
          <w:rFonts w:ascii="Century Gothic" w:hAnsi="Century Gothic"/>
        </w:rPr>
        <w:fldChar w:fldCharType="separate"/>
      </w:r>
      <w:r w:rsidR="00431406">
        <w:rPr>
          <w:rFonts w:ascii="Century Gothic" w:hAnsi="Century Gothic"/>
          <w:noProof/>
        </w:rPr>
        <w:t>13</w:t>
      </w:r>
      <w:r w:rsidR="00847BCF" w:rsidRPr="008B162A">
        <w:rPr>
          <w:rFonts w:ascii="Century Gothic" w:hAnsi="Century Gothic"/>
          <w:noProof/>
        </w:rPr>
        <w:fldChar w:fldCharType="end"/>
      </w:r>
      <w:r w:rsidRPr="008B162A">
        <w:rPr>
          <w:rFonts w:ascii="Century Gothic" w:hAnsi="Century Gothic"/>
        </w:rPr>
        <w:t xml:space="preserve">: Algoritmo empleado para el dimensionamiento de las fusiones necesarias en la red primaria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3"/>
        <w:rPr>
          <w:rFonts w:ascii="Century Gothic" w:hAnsi="Century Gothic"/>
          <w:color w:val="auto"/>
          <w:lang w:val="es-CR"/>
        </w:rPr>
      </w:pPr>
      <w:bookmarkStart w:id="127" w:name="_Toc431900691"/>
      <w:bookmarkStart w:id="128" w:name="_Toc461625911"/>
      <w:bookmarkStart w:id="129" w:name="_Ref403552841"/>
      <w:r w:rsidRPr="008B162A">
        <w:rPr>
          <w:rFonts w:ascii="Century Gothic" w:hAnsi="Century Gothic"/>
          <w:color w:val="auto"/>
          <w:lang w:val="es-CR"/>
        </w:rPr>
        <w:t>Dimensionado de la infraestructura civil de acceso</w:t>
      </w:r>
      <w:bookmarkEnd w:id="127"/>
      <w:bookmarkEnd w:id="128"/>
      <w:r w:rsidRPr="008B162A">
        <w:rPr>
          <w:rFonts w:ascii="Century Gothic" w:hAnsi="Century Gothic"/>
          <w:color w:val="auto"/>
          <w:lang w:val="es-CR"/>
        </w:rPr>
        <w:t xml:space="preserve"> </w:t>
      </w:r>
      <w:bookmarkEnd w:id="129"/>
    </w:p>
    <w:p w:rsidR="002B22DF" w:rsidRPr="008B162A" w:rsidRDefault="002B22DF" w:rsidP="002B22DF">
      <w:pPr>
        <w:rPr>
          <w:rFonts w:ascii="Century Gothic" w:hAnsi="Century Gothic"/>
          <w:lang w:val="es-CR"/>
        </w:rPr>
      </w:pPr>
      <w:r w:rsidRPr="008B162A">
        <w:rPr>
          <w:rFonts w:ascii="Century Gothic" w:hAnsi="Century Gothic"/>
          <w:lang w:val="es-CR"/>
        </w:rPr>
        <w:t>Para el dimensionado de la infraestructura civil de acceso se han seguido los siguientes pasos:</w:t>
      </w:r>
    </w:p>
    <w:p w:rsidR="002B22DF" w:rsidRPr="008B162A" w:rsidRDefault="002B22DF" w:rsidP="002B22DF">
      <w:pPr>
        <w:keepNext/>
        <w:jc w:val="center"/>
        <w:rPr>
          <w:rFonts w:ascii="Century Gothic" w:hAnsi="Century Gothic"/>
        </w:rPr>
      </w:pPr>
      <w:r w:rsidRPr="008B162A">
        <w:rPr>
          <w:rFonts w:ascii="Century Gothic" w:hAnsi="Century Gothic"/>
        </w:rPr>
        <w:lastRenderedPageBreak/>
        <w:t xml:space="preserve"> </w:t>
      </w:r>
      <w:r w:rsidR="00625F79" w:rsidRPr="008B162A">
        <w:rPr>
          <w:rFonts w:ascii="Century Gothic" w:hAnsi="Century Gothic"/>
          <w:noProof/>
          <w:lang w:eastAsia="es-MX"/>
        </w:rPr>
        <w:drawing>
          <wp:inline distT="0" distB="0" distL="0" distR="0" wp14:anchorId="40DAF810" wp14:editId="2B6B56E7">
            <wp:extent cx="2879615" cy="1647825"/>
            <wp:effectExtent l="0" t="0" r="0" b="0"/>
            <wp:docPr id="229" name="Picture 229"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89920" cy="1653722"/>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14</w:t>
      </w:r>
      <w:r w:rsidR="006F7424" w:rsidRPr="008B162A">
        <w:rPr>
          <w:rFonts w:ascii="Century Gothic" w:hAnsi="Century Gothic"/>
        </w:rPr>
        <w:fldChar w:fldCharType="end"/>
      </w:r>
      <w:r w:rsidRPr="008B162A">
        <w:rPr>
          <w:rFonts w:ascii="Century Gothic" w:hAnsi="Century Gothic"/>
        </w:rPr>
        <w:t xml:space="preserve">: Esquema de los pasos para el dimensionamiento de la infraestructura civil de la red de fibra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rPr>
          <w:rFonts w:ascii="Century Gothic" w:hAnsi="Century Gothic"/>
        </w:rPr>
      </w:pPr>
      <w:r w:rsidRPr="008B162A">
        <w:rPr>
          <w:rFonts w:ascii="Century Gothic" w:hAnsi="Century Gothic"/>
        </w:rPr>
        <w:t>Este algoritmo se encuentra implementado en la hoja ‘6D CALC DIM INFRAES CIVIL’ del Modelo.</w:t>
      </w:r>
    </w:p>
    <w:p w:rsidR="002B22DF" w:rsidRPr="008B162A" w:rsidRDefault="002B22DF" w:rsidP="002B22DF">
      <w:pPr>
        <w:rPr>
          <w:rFonts w:ascii="Century Gothic" w:hAnsi="Century Gothic"/>
        </w:rPr>
      </w:pPr>
      <w:r w:rsidRPr="008B162A">
        <w:rPr>
          <w:rFonts w:ascii="Century Gothic" w:hAnsi="Century Gothic"/>
        </w:rPr>
        <w:t>Los siguientes apartados detallan los cálculos realizados en cada paso particular.</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0. Cálculo del número de conexiones</w:t>
      </w:r>
    </w:p>
    <w:p w:rsidR="002B22DF" w:rsidRPr="008B162A" w:rsidRDefault="002B22DF" w:rsidP="004B29F9">
      <w:pPr>
        <w:rPr>
          <w:rFonts w:ascii="Century Gothic" w:hAnsi="Century Gothic"/>
        </w:rPr>
      </w:pPr>
      <w:r w:rsidRPr="008B162A">
        <w:rPr>
          <w:rFonts w:ascii="Century Gothic" w:hAnsi="Century Gothic"/>
        </w:rPr>
        <w:t xml:space="preserve">Para el cálculo del número de conexiones se toma como insumo el </w:t>
      </w:r>
      <w:r w:rsidR="00853D6E" w:rsidRPr="008B162A">
        <w:rPr>
          <w:rFonts w:ascii="Century Gothic" w:hAnsi="Century Gothic"/>
        </w:rPr>
        <w:t xml:space="preserve">conductor </w:t>
      </w:r>
      <w:r w:rsidRPr="008B162A">
        <w:rPr>
          <w:rFonts w:ascii="Century Gothic" w:hAnsi="Century Gothic"/>
        </w:rPr>
        <w:t>de conexiones</w:t>
      </w:r>
      <w:r w:rsidR="00383AE2" w:rsidRPr="008B162A">
        <w:rPr>
          <w:rFonts w:ascii="Century Gothic" w:hAnsi="Century Gothic"/>
        </w:rPr>
        <w:t xml:space="preserve"> definido</w:t>
      </w:r>
      <w:r w:rsidRPr="008B162A">
        <w:rPr>
          <w:rFonts w:ascii="Century Gothic" w:hAnsi="Century Gothic"/>
        </w:rPr>
        <w:t xml:space="preserve">, </w:t>
      </w:r>
      <w:r w:rsidR="00383AE2" w:rsidRPr="008B162A">
        <w:rPr>
          <w:rFonts w:ascii="Century Gothic" w:hAnsi="Century Gothic"/>
        </w:rPr>
        <w:t xml:space="preserve">complementado con el </w:t>
      </w:r>
      <w:r w:rsidRPr="008B162A">
        <w:rPr>
          <w:rFonts w:ascii="Century Gothic" w:hAnsi="Century Gothic"/>
        </w:rPr>
        <w:t xml:space="preserve">horizonte de </w:t>
      </w:r>
      <w:r w:rsidR="00383AE2" w:rsidRPr="008B162A">
        <w:rPr>
          <w:rFonts w:ascii="Century Gothic" w:hAnsi="Century Gothic"/>
        </w:rPr>
        <w:t>planificación</w:t>
      </w:r>
      <w:r w:rsidRPr="008B162A">
        <w:rPr>
          <w:rFonts w:ascii="Century Gothic" w:hAnsi="Century Gothic"/>
        </w:rPr>
        <w:t xml:space="preserve"> y </w:t>
      </w:r>
      <w:r w:rsidR="00383AE2" w:rsidRPr="008B162A">
        <w:rPr>
          <w:rFonts w:ascii="Century Gothic" w:hAnsi="Century Gothic"/>
        </w:rPr>
        <w:t xml:space="preserve">el margen </w:t>
      </w:r>
      <w:r w:rsidRPr="008B162A">
        <w:rPr>
          <w:rFonts w:ascii="Century Gothic" w:hAnsi="Century Gothic"/>
        </w:rPr>
        <w:t>de capacidad.</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1. Cálculo del número total de postes</w:t>
      </w:r>
    </w:p>
    <w:p w:rsidR="002B22DF" w:rsidRPr="008B162A" w:rsidRDefault="002B22DF" w:rsidP="002B22DF">
      <w:pPr>
        <w:rPr>
          <w:rFonts w:ascii="Century Gothic" w:hAnsi="Century Gothic"/>
        </w:rPr>
      </w:pPr>
      <w:r w:rsidRPr="008B162A">
        <w:rPr>
          <w:rFonts w:ascii="Century Gothic" w:hAnsi="Century Gothic"/>
        </w:rPr>
        <w:t xml:space="preserve">Para el cálculo del número total de postes se ha tomado como insumo el número total de kilómetros de cableado de fibra aérea obtenidos en el apartado anterior para </w:t>
      </w:r>
      <w:r w:rsidR="0050262B" w:rsidRPr="008B162A">
        <w:rPr>
          <w:rFonts w:ascii="Century Gothic" w:hAnsi="Century Gothic"/>
        </w:rPr>
        <w:t>los segmentos de la</w:t>
      </w:r>
      <w:r w:rsidRPr="008B162A">
        <w:rPr>
          <w:rFonts w:ascii="Century Gothic" w:hAnsi="Century Gothic"/>
        </w:rPr>
        <w:t xml:space="preserve"> red secundaria y red primaria</w:t>
      </w:r>
      <w:r w:rsidR="0050262B" w:rsidRPr="008B162A">
        <w:rPr>
          <w:rFonts w:ascii="Century Gothic" w:hAnsi="Century Gothic"/>
        </w:rPr>
        <w:t>, asumiendo que la acometida utilizaría los mismos postes dimensionados para la red secundaria</w:t>
      </w:r>
      <w:r w:rsidRPr="008B162A">
        <w:rPr>
          <w:rFonts w:ascii="Century Gothic" w:hAnsi="Century Gothic"/>
        </w:rPr>
        <w:t>.</w:t>
      </w:r>
    </w:p>
    <w:p w:rsidR="002B22DF" w:rsidRPr="008B162A" w:rsidRDefault="0050262B" w:rsidP="002B22DF">
      <w:pPr>
        <w:rPr>
          <w:rFonts w:ascii="Century Gothic" w:hAnsi="Century Gothic"/>
        </w:rPr>
      </w:pPr>
      <w:r w:rsidRPr="008B162A">
        <w:rPr>
          <w:rFonts w:ascii="Century Gothic" w:hAnsi="Century Gothic"/>
        </w:rPr>
        <w:t>P</w:t>
      </w:r>
      <w:r w:rsidR="00577C84" w:rsidRPr="008B162A">
        <w:rPr>
          <w:rFonts w:ascii="Century Gothic" w:hAnsi="Century Gothic"/>
        </w:rPr>
        <w:t xml:space="preserve">ara obtener </w:t>
      </w:r>
      <w:r w:rsidR="002B22DF" w:rsidRPr="008B162A">
        <w:rPr>
          <w:rFonts w:ascii="Century Gothic" w:hAnsi="Century Gothic"/>
        </w:rPr>
        <w:t xml:space="preserve">el total de kilómetros de red aérea que </w:t>
      </w:r>
      <w:r w:rsidR="00577C84" w:rsidRPr="008B162A">
        <w:rPr>
          <w:rFonts w:ascii="Century Gothic" w:hAnsi="Century Gothic"/>
        </w:rPr>
        <w:t xml:space="preserve">precisarán de la instalación de </w:t>
      </w:r>
      <w:r w:rsidR="002B22DF" w:rsidRPr="008B162A">
        <w:rPr>
          <w:rFonts w:ascii="Century Gothic" w:hAnsi="Century Gothic"/>
        </w:rPr>
        <w:t>postes</w:t>
      </w:r>
      <w:r w:rsidRPr="008B162A">
        <w:rPr>
          <w:rFonts w:ascii="Century Gothic" w:hAnsi="Century Gothic"/>
        </w:rPr>
        <w:t>, se suman el total de kilómetros de fibra de la red aérea secundaria y la red aérea primaria</w:t>
      </w:r>
      <w:r w:rsidR="002B22DF" w:rsidRPr="008B162A">
        <w:rPr>
          <w:rFonts w:ascii="Century Gothic" w:hAnsi="Century Gothic"/>
        </w:rPr>
        <w:t>.</w:t>
      </w:r>
    </w:p>
    <w:p w:rsidR="0050262B" w:rsidRPr="008B162A" w:rsidRDefault="009C5E9B" w:rsidP="009C5E9B">
      <w:pPr>
        <w:keepNext/>
        <w:jc w:val="center"/>
        <w:rPr>
          <w:rFonts w:ascii="Century Gothic" w:hAnsi="Century Gothic"/>
        </w:rPr>
      </w:pPr>
      <w:r w:rsidRPr="008B162A">
        <w:rPr>
          <w:rFonts w:ascii="Century Gothic" w:hAnsi="Century Gothic"/>
        </w:rPr>
        <w:lastRenderedPageBreak/>
        <w:t xml:space="preserve"> </w:t>
      </w:r>
      <w:r w:rsidRPr="008B162A">
        <w:rPr>
          <w:rFonts w:ascii="Century Gothic" w:hAnsi="Century Gothic"/>
          <w:noProof/>
          <w:lang w:eastAsia="es-MX"/>
        </w:rPr>
        <w:drawing>
          <wp:inline distT="0" distB="0" distL="0" distR="0" wp14:anchorId="4FF1B4A2" wp14:editId="06AB8718">
            <wp:extent cx="4003745" cy="2722651"/>
            <wp:effectExtent l="0" t="0" r="0" b="1905"/>
            <wp:docPr id="8" name="Picture 8"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15508" cy="2730650"/>
                    </a:xfrm>
                    <a:prstGeom prst="rect">
                      <a:avLst/>
                    </a:prstGeom>
                    <a:noFill/>
                    <a:ln>
                      <a:noFill/>
                    </a:ln>
                  </pic:spPr>
                </pic:pic>
              </a:graphicData>
            </a:graphic>
          </wp:inline>
        </w:drawing>
      </w:r>
    </w:p>
    <w:p w:rsidR="00DF12E9" w:rsidRPr="008B162A" w:rsidRDefault="00DF12E9" w:rsidP="007E2C97">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15</w:t>
      </w:r>
      <w:r w:rsidR="006F7424" w:rsidRPr="008B162A">
        <w:rPr>
          <w:rFonts w:ascii="Century Gothic" w:hAnsi="Century Gothic"/>
        </w:rPr>
        <w:fldChar w:fldCharType="end"/>
      </w:r>
      <w:r w:rsidR="004D1A06" w:rsidRPr="008B162A">
        <w:rPr>
          <w:rFonts w:ascii="Century Gothic" w:hAnsi="Century Gothic"/>
        </w:rPr>
        <w:t>:</w:t>
      </w:r>
      <w:r w:rsidRPr="008B162A">
        <w:rPr>
          <w:rFonts w:ascii="Century Gothic" w:hAnsi="Century Gothic"/>
        </w:rPr>
        <w:t xml:space="preserve"> Esquema del dimensionamiento de los postes para la red aérea de fibra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2. Cálculo del número total de canalizaciones</w:t>
      </w:r>
    </w:p>
    <w:p w:rsidR="007E2C97" w:rsidRPr="008B162A" w:rsidRDefault="002B22DF" w:rsidP="002B22DF">
      <w:pPr>
        <w:rPr>
          <w:rFonts w:ascii="Century Gothic" w:hAnsi="Century Gothic"/>
        </w:rPr>
      </w:pPr>
      <w:r w:rsidRPr="008B162A">
        <w:rPr>
          <w:rFonts w:ascii="Century Gothic" w:hAnsi="Century Gothic"/>
        </w:rPr>
        <w:t xml:space="preserve">Para realizar el </w:t>
      </w:r>
      <w:r w:rsidR="00805E79" w:rsidRPr="008B162A">
        <w:rPr>
          <w:rFonts w:ascii="Century Gothic" w:hAnsi="Century Gothic"/>
        </w:rPr>
        <w:t>dimensionado</w:t>
      </w:r>
      <w:r w:rsidRPr="008B162A">
        <w:rPr>
          <w:rFonts w:ascii="Century Gothic" w:hAnsi="Century Gothic"/>
        </w:rPr>
        <w:t xml:space="preserve"> de las canalizaciones, en primer lugar</w:t>
      </w:r>
      <w:r w:rsidR="00D07716" w:rsidRPr="008B162A">
        <w:rPr>
          <w:rFonts w:ascii="Century Gothic" w:hAnsi="Century Gothic"/>
        </w:rPr>
        <w:t>,</w:t>
      </w:r>
      <w:r w:rsidRPr="008B162A">
        <w:rPr>
          <w:rFonts w:ascii="Century Gothic" w:hAnsi="Century Gothic"/>
        </w:rPr>
        <w:t xml:space="preserve"> es necesario conocer la combinación de cables de cobre y fibra que existe en cada tramo de la red</w:t>
      </w:r>
      <w:r w:rsidR="007E2C97" w:rsidRPr="008B162A">
        <w:rPr>
          <w:rFonts w:ascii="Century Gothic" w:hAnsi="Century Gothic"/>
        </w:rPr>
        <w:t xml:space="preserve"> (es decir, cuantos cables de cobre hay </w:t>
      </w:r>
      <w:r w:rsidR="00805E79" w:rsidRPr="008B162A">
        <w:rPr>
          <w:rFonts w:ascii="Century Gothic" w:hAnsi="Century Gothic"/>
        </w:rPr>
        <w:t xml:space="preserve">por cada </w:t>
      </w:r>
      <w:r w:rsidR="007E2C97" w:rsidRPr="008B162A">
        <w:rPr>
          <w:rFonts w:ascii="Century Gothic" w:hAnsi="Century Gothic"/>
        </w:rPr>
        <w:t xml:space="preserve">cable de fibra en </w:t>
      </w:r>
      <w:r w:rsidR="00805E79" w:rsidRPr="008B162A">
        <w:rPr>
          <w:rFonts w:ascii="Century Gothic" w:hAnsi="Century Gothic"/>
        </w:rPr>
        <w:t>un tramo determinado).</w:t>
      </w:r>
    </w:p>
    <w:p w:rsidR="002B22DF" w:rsidRPr="008B162A" w:rsidRDefault="002B22DF" w:rsidP="002B22DF">
      <w:pPr>
        <w:rPr>
          <w:rFonts w:ascii="Century Gothic" w:hAnsi="Century Gothic"/>
        </w:rPr>
      </w:pPr>
      <w:r w:rsidRPr="008B162A">
        <w:rPr>
          <w:rFonts w:ascii="Century Gothic" w:hAnsi="Century Gothic"/>
        </w:rPr>
        <w:t xml:space="preserve">Para ello, se </w:t>
      </w:r>
      <w:r w:rsidR="00805E79" w:rsidRPr="008B162A">
        <w:rPr>
          <w:rFonts w:ascii="Century Gothic" w:hAnsi="Century Gothic"/>
        </w:rPr>
        <w:t>ha partido</w:t>
      </w:r>
      <w:r w:rsidRPr="008B162A">
        <w:rPr>
          <w:rFonts w:ascii="Century Gothic" w:hAnsi="Century Gothic"/>
        </w:rPr>
        <w:t xml:space="preserve"> de </w:t>
      </w:r>
      <w:r w:rsidR="00B06D8D" w:rsidRPr="008B162A">
        <w:rPr>
          <w:rFonts w:ascii="Century Gothic" w:hAnsi="Century Gothic"/>
        </w:rPr>
        <w:t xml:space="preserve">la información estimada por el Instituto en relación al </w:t>
      </w:r>
      <w:r w:rsidR="00805E79" w:rsidRPr="008B162A">
        <w:rPr>
          <w:rFonts w:ascii="Century Gothic" w:hAnsi="Century Gothic"/>
        </w:rPr>
        <w:t xml:space="preserve">número de </w:t>
      </w:r>
      <w:r w:rsidRPr="008B162A">
        <w:rPr>
          <w:rFonts w:ascii="Century Gothic" w:hAnsi="Century Gothic"/>
        </w:rPr>
        <w:t xml:space="preserve">kilómetros de cable de cobre </w:t>
      </w:r>
      <w:r w:rsidR="00805E79" w:rsidRPr="008B162A">
        <w:rPr>
          <w:rFonts w:ascii="Century Gothic" w:hAnsi="Century Gothic"/>
        </w:rPr>
        <w:t xml:space="preserve">requerido </w:t>
      </w:r>
      <w:r w:rsidRPr="008B162A">
        <w:rPr>
          <w:rFonts w:ascii="Century Gothic" w:hAnsi="Century Gothic"/>
        </w:rPr>
        <w:t>para las redes primaria y secundaria.</w:t>
      </w:r>
    </w:p>
    <w:p w:rsidR="00A305BE" w:rsidRPr="008B162A" w:rsidRDefault="002B22DF" w:rsidP="00D07716">
      <w:pPr>
        <w:rPr>
          <w:rFonts w:ascii="Century Gothic" w:hAnsi="Century Gothic"/>
        </w:rPr>
      </w:pPr>
      <w:r w:rsidRPr="008B162A">
        <w:rPr>
          <w:rFonts w:ascii="Century Gothic" w:hAnsi="Century Gothic"/>
        </w:rPr>
        <w:t>Para obtener la combinación, se obtienen las distancias promedio de los diferentes niveles de agregación de la red de fibra</w:t>
      </w:r>
      <w:r w:rsidR="00A305BE" w:rsidRPr="008B162A">
        <w:rPr>
          <w:rFonts w:ascii="Century Gothic" w:hAnsi="Century Gothic"/>
        </w:rPr>
        <w:t xml:space="preserve">, multiplicando el total de </w:t>
      </w:r>
      <w:proofErr w:type="spellStart"/>
      <w:r w:rsidR="00A305BE" w:rsidRPr="008B162A">
        <w:rPr>
          <w:rFonts w:ascii="Century Gothic" w:hAnsi="Century Gothic"/>
        </w:rPr>
        <w:t>kms</w:t>
      </w:r>
      <w:proofErr w:type="spellEnd"/>
      <w:r w:rsidR="00A305BE" w:rsidRPr="008B162A">
        <w:rPr>
          <w:rFonts w:ascii="Century Gothic" w:hAnsi="Century Gothic"/>
        </w:rPr>
        <w:t xml:space="preserve"> de fibra por el porcentaje de cables en cada nivel de agregación (nº de </w:t>
      </w:r>
      <w:r w:rsidR="00474E49" w:rsidRPr="008B162A">
        <w:rPr>
          <w:rFonts w:ascii="Century Gothic" w:hAnsi="Century Gothic"/>
        </w:rPr>
        <w:t>hilos</w:t>
      </w:r>
      <w:r w:rsidR="00A305BE" w:rsidRPr="008B162A">
        <w:rPr>
          <w:rFonts w:ascii="Century Gothic" w:hAnsi="Century Gothic"/>
        </w:rPr>
        <w:t>).</w:t>
      </w:r>
    </w:p>
    <w:p w:rsidR="002B22DF" w:rsidRPr="008B162A" w:rsidRDefault="00A305BE" w:rsidP="00AD585F">
      <w:pPr>
        <w:rPr>
          <w:rFonts w:ascii="Century Gothic" w:hAnsi="Century Gothic"/>
        </w:rPr>
      </w:pPr>
      <w:r w:rsidRPr="008B162A">
        <w:rPr>
          <w:rFonts w:ascii="Century Gothic" w:hAnsi="Century Gothic"/>
        </w:rPr>
        <w:t>Cada nivel de agregación</w:t>
      </w:r>
      <w:r w:rsidR="002B22DF" w:rsidRPr="008B162A">
        <w:rPr>
          <w:rFonts w:ascii="Century Gothic" w:hAnsi="Century Gothic"/>
        </w:rPr>
        <w:t xml:space="preserve"> </w:t>
      </w:r>
      <w:r w:rsidR="00AD585F" w:rsidRPr="008B162A">
        <w:rPr>
          <w:rFonts w:ascii="Century Gothic" w:hAnsi="Century Gothic"/>
        </w:rPr>
        <w:t xml:space="preserve">(acometida, red secundaria o red primaria) </w:t>
      </w:r>
      <w:r w:rsidRPr="008B162A">
        <w:rPr>
          <w:rFonts w:ascii="Century Gothic" w:hAnsi="Century Gothic"/>
        </w:rPr>
        <w:t xml:space="preserve">puede </w:t>
      </w:r>
      <w:r w:rsidR="002B22DF" w:rsidRPr="008B162A">
        <w:rPr>
          <w:rFonts w:ascii="Century Gothic" w:hAnsi="Century Gothic"/>
        </w:rPr>
        <w:t>estar servid</w:t>
      </w:r>
      <w:r w:rsidR="00B06D8D" w:rsidRPr="008B162A">
        <w:rPr>
          <w:rFonts w:ascii="Century Gothic" w:hAnsi="Century Gothic"/>
        </w:rPr>
        <w:t>o</w:t>
      </w:r>
      <w:r w:rsidR="002B22DF" w:rsidRPr="008B162A">
        <w:rPr>
          <w:rFonts w:ascii="Century Gothic" w:hAnsi="Century Gothic"/>
        </w:rPr>
        <w:t xml:space="preserve"> con un único cable con un mayor número de hilos</w:t>
      </w:r>
      <w:r w:rsidR="00B06D8D" w:rsidRPr="008B162A">
        <w:rPr>
          <w:rFonts w:ascii="Century Gothic" w:hAnsi="Century Gothic"/>
        </w:rPr>
        <w:t xml:space="preserve"> (es decir, un único cable de 6 hilos)</w:t>
      </w:r>
      <w:r w:rsidR="002B22DF" w:rsidRPr="008B162A">
        <w:rPr>
          <w:rFonts w:ascii="Century Gothic" w:hAnsi="Century Gothic"/>
        </w:rPr>
        <w:t>, o con diferentes cables</w:t>
      </w:r>
      <w:r w:rsidR="00B06D8D" w:rsidRPr="008B162A">
        <w:rPr>
          <w:rFonts w:ascii="Century Gothic" w:hAnsi="Century Gothic"/>
        </w:rPr>
        <w:t xml:space="preserve"> (esto es, 6 cables de 1 único hilo)</w:t>
      </w:r>
      <w:r w:rsidR="002B22DF" w:rsidRPr="008B162A">
        <w:rPr>
          <w:rFonts w:ascii="Century Gothic" w:hAnsi="Century Gothic"/>
        </w:rPr>
        <w:t>, en función de lo que se haya determinado en el dimensionamiento de la red de acceso de fibra.</w:t>
      </w:r>
      <w:r w:rsidRPr="008B162A">
        <w:rPr>
          <w:rFonts w:ascii="Century Gothic" w:hAnsi="Century Gothic"/>
        </w:rPr>
        <w:t xml:space="preserve"> </w:t>
      </w:r>
    </w:p>
    <w:p w:rsidR="00A305BE" w:rsidRPr="008B162A" w:rsidRDefault="00474E49" w:rsidP="00A305BE">
      <w:pPr>
        <w:rPr>
          <w:rFonts w:ascii="Century Gothic" w:hAnsi="Century Gothic"/>
        </w:rPr>
      </w:pPr>
      <w:r w:rsidRPr="008B162A">
        <w:rPr>
          <w:rFonts w:ascii="Century Gothic" w:hAnsi="Century Gothic"/>
        </w:rPr>
        <w:t xml:space="preserve">Por esta razón, se determina la distancia por número de cables, considerando el número de hilos presente en cada cable y sumando las distancias correspondientes. Esto es, si se permite la agregación de cables en la red secundaria, y un nivel de agregación de 5 hilos está servido con un cable de 6 hilos, la distancia del nivel de agregación de 5 hilos correspondería a la distancia de 1 cable de fibra. </w:t>
      </w:r>
    </w:p>
    <w:p w:rsidR="00474E49" w:rsidRPr="008B162A" w:rsidRDefault="00474E49" w:rsidP="00A305BE">
      <w:pPr>
        <w:rPr>
          <w:rFonts w:ascii="Century Gothic" w:hAnsi="Century Gothic"/>
        </w:rPr>
      </w:pPr>
      <w:r w:rsidRPr="008B162A">
        <w:rPr>
          <w:rFonts w:ascii="Century Gothic" w:hAnsi="Century Gothic"/>
        </w:rPr>
        <w:lastRenderedPageBreak/>
        <w:t>Finalmente se procede a calcular la distancia cubierta por el conjunto de cables de fibra (considerando todos los posibles valores). Es decir, se suma la distancia cubierta por los tramos de 1 cable de fibra, 2 cables de fibra, etc.</w:t>
      </w:r>
    </w:p>
    <w:p w:rsidR="00474E49" w:rsidRPr="008B162A" w:rsidRDefault="00474E49" w:rsidP="00A305BE">
      <w:pPr>
        <w:rPr>
          <w:rFonts w:ascii="Century Gothic" w:hAnsi="Century Gothic"/>
        </w:rPr>
      </w:pPr>
      <w:r w:rsidRPr="008B162A">
        <w:rPr>
          <w:rFonts w:ascii="Century Gothic" w:hAnsi="Century Gothic"/>
        </w:rPr>
        <w:t xml:space="preserve">Estos valores nos permiten conocer el número de cables de cobre que existen por cada cable de fibra. Para ello se divide la distancia total de cables de cobre entre la distancia cubierta por la red completa de fibra, y se redondea a la baja. Este valor permite </w:t>
      </w:r>
      <w:r w:rsidR="00334674" w:rsidRPr="008B162A">
        <w:rPr>
          <w:rFonts w:ascii="Century Gothic" w:hAnsi="Century Gothic"/>
        </w:rPr>
        <w:t xml:space="preserve">también </w:t>
      </w:r>
      <w:r w:rsidRPr="008B162A">
        <w:rPr>
          <w:rFonts w:ascii="Century Gothic" w:hAnsi="Century Gothic"/>
        </w:rPr>
        <w:t xml:space="preserve">calcular la distancia de cables de cobre que quedaría por cubrir con cables de fibra, y que caracterizará la combinación de cables de cobre y fibra. </w:t>
      </w:r>
    </w:p>
    <w:p w:rsidR="002B22DF" w:rsidRPr="008B162A" w:rsidRDefault="002B22DF" w:rsidP="002B22DF">
      <w:pPr>
        <w:rPr>
          <w:rFonts w:ascii="Century Gothic" w:hAnsi="Century Gothic"/>
        </w:rPr>
      </w:pPr>
      <w:r w:rsidRPr="008B162A">
        <w:rPr>
          <w:rFonts w:ascii="Century Gothic" w:hAnsi="Century Gothic"/>
        </w:rPr>
        <w:t xml:space="preserve">Con base en el último tramo (la distancia restante que no es cubierta totalmente por </w:t>
      </w:r>
      <w:r w:rsidR="00334674" w:rsidRPr="008B162A">
        <w:rPr>
          <w:rFonts w:ascii="Century Gothic" w:hAnsi="Century Gothic"/>
        </w:rPr>
        <w:t>tramos completos</w:t>
      </w:r>
      <w:r w:rsidRPr="008B162A">
        <w:rPr>
          <w:rFonts w:ascii="Century Gothic" w:hAnsi="Century Gothic"/>
        </w:rPr>
        <w:t xml:space="preserve"> de fibra) se determina la característica, en términos de </w:t>
      </w:r>
      <w:r w:rsidR="00334674" w:rsidRPr="008B162A">
        <w:rPr>
          <w:rFonts w:ascii="Century Gothic" w:hAnsi="Century Gothic"/>
        </w:rPr>
        <w:t xml:space="preserve">la combinación de </w:t>
      </w:r>
      <w:r w:rsidRPr="008B162A">
        <w:rPr>
          <w:rFonts w:ascii="Century Gothic" w:hAnsi="Century Gothic"/>
        </w:rPr>
        <w:t xml:space="preserve">cables de fibra y cobre, del tramo de la red estudiado. </w:t>
      </w:r>
    </w:p>
    <w:p w:rsidR="00474E49" w:rsidRPr="008B162A" w:rsidRDefault="00474E49" w:rsidP="002B22DF">
      <w:pPr>
        <w:rPr>
          <w:rFonts w:ascii="Century Gothic" w:hAnsi="Century Gothic"/>
        </w:rPr>
      </w:pPr>
      <w:r w:rsidRPr="008B162A">
        <w:rPr>
          <w:rFonts w:ascii="Century Gothic" w:hAnsi="Century Gothic"/>
        </w:rPr>
        <w:t>El algoritmo correspondiente a esta primera parte se encuentra en la siguiente ilustración.</w:t>
      </w:r>
    </w:p>
    <w:p w:rsidR="002B22DF" w:rsidRPr="008B162A" w:rsidRDefault="002B22DF" w:rsidP="002B22DF">
      <w:pPr>
        <w:keepNext/>
        <w:jc w:val="center"/>
        <w:rPr>
          <w:rFonts w:ascii="Century Gothic" w:hAnsi="Century Gothic"/>
        </w:rPr>
      </w:pPr>
    </w:p>
    <w:p w:rsidR="005F06E4" w:rsidRPr="008B162A" w:rsidRDefault="00A305BE" w:rsidP="00474E49">
      <w:pPr>
        <w:keepNext/>
        <w:jc w:val="center"/>
        <w:rPr>
          <w:rFonts w:ascii="Century Gothic" w:hAnsi="Century Gothic"/>
        </w:rPr>
      </w:pPr>
      <w:r w:rsidRPr="008B162A">
        <w:rPr>
          <w:rFonts w:ascii="Century Gothic" w:hAnsi="Century Gothic"/>
        </w:rPr>
        <w:t xml:space="preserve"> </w:t>
      </w:r>
      <w:r w:rsidR="00474E49" w:rsidRPr="008B162A">
        <w:rPr>
          <w:rFonts w:ascii="Century Gothic" w:hAnsi="Century Gothic"/>
          <w:noProof/>
          <w:lang w:eastAsia="es-MX"/>
        </w:rPr>
        <w:drawing>
          <wp:inline distT="0" distB="0" distL="0" distR="0" wp14:anchorId="7D6A47D5" wp14:editId="7152A558">
            <wp:extent cx="5402580" cy="4526932"/>
            <wp:effectExtent l="0" t="0" r="7620" b="6985"/>
            <wp:docPr id="77116" name="Picture 77116"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2580" cy="4526932"/>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7</w:t>
      </w:r>
      <w:r w:rsidR="00847BCF" w:rsidRPr="008B162A">
        <w:rPr>
          <w:rFonts w:ascii="Century Gothic" w:hAnsi="Century Gothic"/>
          <w:noProof/>
        </w:rPr>
        <w:fldChar w:fldCharType="end"/>
      </w:r>
      <w:r w:rsidR="006F7424"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Ilustración \* ARABIC \s 1 </w:instrText>
      </w:r>
      <w:r w:rsidR="00847BCF" w:rsidRPr="008B162A">
        <w:rPr>
          <w:rFonts w:ascii="Century Gothic" w:hAnsi="Century Gothic"/>
        </w:rPr>
        <w:fldChar w:fldCharType="separate"/>
      </w:r>
      <w:r w:rsidR="00431406">
        <w:rPr>
          <w:rFonts w:ascii="Century Gothic" w:hAnsi="Century Gothic"/>
          <w:noProof/>
        </w:rPr>
        <w:t>16</w:t>
      </w:r>
      <w:r w:rsidR="00847BCF" w:rsidRPr="008B162A">
        <w:rPr>
          <w:rFonts w:ascii="Century Gothic" w:hAnsi="Century Gothic"/>
          <w:noProof/>
        </w:rPr>
        <w:fldChar w:fldCharType="end"/>
      </w:r>
      <w:r w:rsidRPr="008B162A">
        <w:rPr>
          <w:rFonts w:ascii="Century Gothic" w:hAnsi="Century Gothic"/>
        </w:rPr>
        <w:t xml:space="preserve">: Descripción del algoritmo de cálculo de la relación entre cables de cobre y cables de fibra en la red subterránea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rPr>
          <w:rFonts w:ascii="Century Gothic" w:hAnsi="Century Gothic"/>
        </w:rPr>
      </w:pPr>
      <w:r w:rsidRPr="008B162A">
        <w:rPr>
          <w:rFonts w:ascii="Century Gothic" w:hAnsi="Century Gothic"/>
        </w:rPr>
        <w:t>Conocida la combinación de cables de fibra y cobre se procede a seleccionar la canalización que permite dar acomodo a</w:t>
      </w:r>
      <w:r w:rsidR="00805E79" w:rsidRPr="008B162A">
        <w:rPr>
          <w:rFonts w:ascii="Century Gothic" w:hAnsi="Century Gothic"/>
        </w:rPr>
        <w:t>l cableado necesario</w:t>
      </w:r>
      <w:r w:rsidRPr="008B162A">
        <w:rPr>
          <w:rFonts w:ascii="Century Gothic" w:hAnsi="Century Gothic"/>
        </w:rPr>
        <w:t xml:space="preserve"> con base en una matriz de selección de canalizaciones. </w:t>
      </w:r>
      <w:r w:rsidR="00805E79" w:rsidRPr="008B162A">
        <w:rPr>
          <w:rFonts w:ascii="Century Gothic" w:hAnsi="Century Gothic"/>
        </w:rPr>
        <w:t>Esta matriz considera la necesidad de dejar libre un ducto por diámetro para mantenimiento</w:t>
      </w:r>
      <w:r w:rsidR="00050736" w:rsidRPr="008B162A">
        <w:rPr>
          <w:rFonts w:ascii="Century Gothic" w:hAnsi="Century Gothic"/>
        </w:rPr>
        <w:t xml:space="preserve"> (es decir, si una canalización posee varios ductos de 45 mm y de 60 mm, se deberán dejar libres para mantenimiento por lo menos un ducto de 45 mm y otro ducto de 60 mm)</w:t>
      </w:r>
      <w:r w:rsidR="00805E79" w:rsidRPr="008B162A">
        <w:rPr>
          <w:rFonts w:ascii="Century Gothic" w:hAnsi="Century Gothic"/>
        </w:rPr>
        <w:t>.</w:t>
      </w:r>
      <w:r w:rsidR="00050736" w:rsidRPr="008B162A">
        <w:rPr>
          <w:rFonts w:ascii="Century Gothic" w:hAnsi="Century Gothic"/>
        </w:rPr>
        <w:t xml:space="preserve"> </w:t>
      </w:r>
    </w:p>
    <w:p w:rsidR="002B22DF" w:rsidRPr="008B162A" w:rsidRDefault="002B22DF" w:rsidP="002B22DF">
      <w:pPr>
        <w:rPr>
          <w:rFonts w:ascii="Century Gothic" w:hAnsi="Century Gothic"/>
        </w:rPr>
      </w:pPr>
      <w:r w:rsidRPr="008B162A">
        <w:rPr>
          <w:rFonts w:ascii="Century Gothic" w:hAnsi="Century Gothic"/>
        </w:rPr>
        <w:t xml:space="preserve">En algunos casos, </w:t>
      </w:r>
      <w:r w:rsidR="0049356D" w:rsidRPr="008B162A">
        <w:rPr>
          <w:rFonts w:ascii="Century Gothic" w:hAnsi="Century Gothic"/>
        </w:rPr>
        <w:t>las canalizaciones presentes en la matriz no permiten</w:t>
      </w:r>
      <w:r w:rsidRPr="008B162A">
        <w:rPr>
          <w:rFonts w:ascii="Century Gothic" w:hAnsi="Century Gothic"/>
        </w:rPr>
        <w:t xml:space="preserve"> dar cabida a todos los cables que existen. En estos casos, </w:t>
      </w:r>
      <w:r w:rsidR="0049356D" w:rsidRPr="008B162A">
        <w:rPr>
          <w:rFonts w:ascii="Century Gothic" w:hAnsi="Century Gothic"/>
        </w:rPr>
        <w:t xml:space="preserve">se selecciona la canalización que permite cubrir un mayor número de cables, y </w:t>
      </w:r>
      <w:r w:rsidRPr="008B162A">
        <w:rPr>
          <w:rFonts w:ascii="Century Gothic" w:hAnsi="Century Gothic"/>
        </w:rPr>
        <w:t>se calculan los cables de cobre que no han sido incluidos en la canalización</w:t>
      </w:r>
      <w:r w:rsidR="0049356D" w:rsidRPr="008B162A">
        <w:rPr>
          <w:rFonts w:ascii="Century Gothic" w:hAnsi="Century Gothic"/>
        </w:rPr>
        <w:t xml:space="preserve"> seleccionada</w:t>
      </w:r>
      <w:r w:rsidRPr="008B162A">
        <w:rPr>
          <w:rFonts w:ascii="Century Gothic" w:hAnsi="Century Gothic"/>
        </w:rPr>
        <w:t xml:space="preserve">. Estos cables restantes de cobre son evaluados y asignados a una </w:t>
      </w:r>
      <w:r w:rsidRPr="008B162A">
        <w:rPr>
          <w:rFonts w:ascii="Century Gothic" w:hAnsi="Century Gothic"/>
        </w:rPr>
        <w:lastRenderedPageBreak/>
        <w:t>nueva canalización. Este ejercicio se repite también para los cables de fibra restantes, asignándoles asimismo una nueva canalización.</w:t>
      </w:r>
    </w:p>
    <w:p w:rsidR="002B22DF" w:rsidRPr="008B162A" w:rsidRDefault="002B22DF" w:rsidP="002B22DF">
      <w:pPr>
        <w:rPr>
          <w:rFonts w:ascii="Century Gothic" w:hAnsi="Century Gothic"/>
        </w:rPr>
      </w:pPr>
      <w:r w:rsidRPr="008B162A">
        <w:rPr>
          <w:rFonts w:ascii="Century Gothic" w:hAnsi="Century Gothic"/>
        </w:rPr>
        <w:t>Por último</w:t>
      </w:r>
      <w:r w:rsidR="0049356D" w:rsidRPr="008B162A">
        <w:rPr>
          <w:rFonts w:ascii="Century Gothic" w:hAnsi="Century Gothic"/>
        </w:rPr>
        <w:t>,</w:t>
      </w:r>
      <w:r w:rsidRPr="008B162A">
        <w:rPr>
          <w:rFonts w:ascii="Century Gothic" w:hAnsi="Century Gothic"/>
        </w:rPr>
        <w:t xml:space="preserve"> se realiza un recuento de la totalidad de canalizaciones (en kilómetros) que han sido necesarias para dar cabida a los cables mencionados previamente. </w:t>
      </w:r>
    </w:p>
    <w:p w:rsidR="0049356D" w:rsidRPr="008B162A" w:rsidRDefault="0049356D" w:rsidP="002B22DF">
      <w:pPr>
        <w:rPr>
          <w:rFonts w:ascii="Century Gothic" w:hAnsi="Century Gothic"/>
        </w:rPr>
      </w:pPr>
      <w:r w:rsidRPr="008B162A">
        <w:rPr>
          <w:rFonts w:ascii="Century Gothic" w:hAnsi="Century Gothic"/>
        </w:rPr>
        <w:t xml:space="preserve">El algoritmo correspondiente a la selección de canalizaciones se encuentra en la siguiente ilustración. </w:t>
      </w:r>
    </w:p>
    <w:p w:rsidR="002B22DF" w:rsidRPr="008B162A" w:rsidRDefault="002B22DF" w:rsidP="002B22DF">
      <w:pPr>
        <w:keepNext/>
        <w:jc w:val="center"/>
        <w:rPr>
          <w:rFonts w:ascii="Century Gothic" w:hAnsi="Century Gothic"/>
        </w:rPr>
      </w:pPr>
    </w:p>
    <w:p w:rsidR="00EA63B9" w:rsidRPr="008B162A" w:rsidRDefault="007C7279" w:rsidP="007C7279">
      <w:pPr>
        <w:keepNext/>
        <w:jc w:val="center"/>
        <w:rPr>
          <w:rFonts w:ascii="Century Gothic" w:hAnsi="Century Gothic"/>
        </w:rPr>
      </w:pPr>
      <w:r w:rsidRPr="008B162A">
        <w:rPr>
          <w:rFonts w:ascii="Century Gothic" w:hAnsi="Century Gothic"/>
        </w:rPr>
        <w:t xml:space="preserve"> </w:t>
      </w:r>
      <w:r w:rsidRPr="008B162A">
        <w:rPr>
          <w:rFonts w:ascii="Century Gothic" w:hAnsi="Century Gothic"/>
          <w:noProof/>
          <w:lang w:eastAsia="es-MX"/>
        </w:rPr>
        <w:drawing>
          <wp:inline distT="0" distB="0" distL="0" distR="0" wp14:anchorId="0A9E21A0" wp14:editId="6F7CA5F4">
            <wp:extent cx="4882039" cy="4594860"/>
            <wp:effectExtent l="0" t="0" r="0" b="0"/>
            <wp:docPr id="77117" name="Picture 77117"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84828" cy="4597485"/>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7</w:t>
      </w:r>
      <w:r w:rsidR="00847BCF" w:rsidRPr="008B162A">
        <w:rPr>
          <w:rFonts w:ascii="Century Gothic" w:hAnsi="Century Gothic"/>
          <w:noProof/>
        </w:rPr>
        <w:fldChar w:fldCharType="end"/>
      </w:r>
      <w:r w:rsidR="006F7424"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Ilustración \* ARABIC \s 1 </w:instrText>
      </w:r>
      <w:r w:rsidR="00847BCF" w:rsidRPr="008B162A">
        <w:rPr>
          <w:rFonts w:ascii="Century Gothic" w:hAnsi="Century Gothic"/>
        </w:rPr>
        <w:fldChar w:fldCharType="separate"/>
      </w:r>
      <w:r w:rsidR="00431406">
        <w:rPr>
          <w:rFonts w:ascii="Century Gothic" w:hAnsi="Century Gothic"/>
          <w:noProof/>
        </w:rPr>
        <w:t>17</w:t>
      </w:r>
      <w:r w:rsidR="00847BCF" w:rsidRPr="008B162A">
        <w:rPr>
          <w:rFonts w:ascii="Century Gothic" w:hAnsi="Century Gothic"/>
          <w:noProof/>
        </w:rPr>
        <w:fldChar w:fldCharType="end"/>
      </w:r>
      <w:r w:rsidRPr="008B162A">
        <w:rPr>
          <w:rFonts w:ascii="Century Gothic" w:hAnsi="Century Gothic"/>
        </w:rPr>
        <w:t xml:space="preserve">: Descripción del algoritmo de cálculo de los kilómetros de canalización por tipo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 xml:space="preserve">Paso 3. Cálculo del número total de </w:t>
      </w:r>
      <w:proofErr w:type="spellStart"/>
      <w:r w:rsidRPr="008B162A">
        <w:rPr>
          <w:rFonts w:ascii="Century Gothic" w:hAnsi="Century Gothic"/>
          <w:color w:val="auto"/>
        </w:rPr>
        <w:t>subductos</w:t>
      </w:r>
      <w:proofErr w:type="spellEnd"/>
    </w:p>
    <w:p w:rsidR="009C3E5C" w:rsidRPr="008B162A" w:rsidRDefault="009C3E5C" w:rsidP="002B22DF">
      <w:pPr>
        <w:rPr>
          <w:rFonts w:ascii="Century Gothic" w:hAnsi="Century Gothic"/>
        </w:rPr>
      </w:pPr>
      <w:r w:rsidRPr="008B162A">
        <w:rPr>
          <w:rFonts w:ascii="Century Gothic" w:hAnsi="Century Gothic"/>
        </w:rPr>
        <w:t xml:space="preserve">El cálculo del número total de </w:t>
      </w:r>
      <w:proofErr w:type="spellStart"/>
      <w:r w:rsidRPr="008B162A">
        <w:rPr>
          <w:rFonts w:ascii="Century Gothic" w:hAnsi="Century Gothic"/>
        </w:rPr>
        <w:t>subductos</w:t>
      </w:r>
      <w:proofErr w:type="spellEnd"/>
      <w:r w:rsidRPr="008B162A">
        <w:rPr>
          <w:rFonts w:ascii="Century Gothic" w:hAnsi="Century Gothic"/>
        </w:rPr>
        <w:t xml:space="preserve"> está relacionado con el dimensionamiento de las canalizaciones realizado en el paso anterior. Para ello se dispone de una tabla gemela a la </w:t>
      </w:r>
      <w:r w:rsidRPr="008B162A">
        <w:rPr>
          <w:rFonts w:ascii="Century Gothic" w:hAnsi="Century Gothic"/>
        </w:rPr>
        <w:lastRenderedPageBreak/>
        <w:t xml:space="preserve">tabla de selección de canalizaciones que especifica el número de </w:t>
      </w:r>
      <w:proofErr w:type="spellStart"/>
      <w:r w:rsidRPr="008B162A">
        <w:rPr>
          <w:rFonts w:ascii="Century Gothic" w:hAnsi="Century Gothic"/>
        </w:rPr>
        <w:t>subductos</w:t>
      </w:r>
      <w:proofErr w:type="spellEnd"/>
      <w:r w:rsidRPr="008B162A">
        <w:rPr>
          <w:rFonts w:ascii="Century Gothic" w:hAnsi="Century Gothic"/>
        </w:rPr>
        <w:t xml:space="preserve"> instaladas en la canalización para cada combinación de cables de cobre y fibra. </w:t>
      </w:r>
    </w:p>
    <w:p w:rsidR="009C3E5C" w:rsidRPr="008B162A" w:rsidRDefault="009C3E5C" w:rsidP="002B22DF">
      <w:pPr>
        <w:rPr>
          <w:rFonts w:ascii="Century Gothic" w:hAnsi="Century Gothic"/>
        </w:rPr>
      </w:pPr>
      <w:r w:rsidRPr="008B162A">
        <w:rPr>
          <w:rFonts w:ascii="Century Gothic" w:hAnsi="Century Gothic"/>
        </w:rPr>
        <w:t xml:space="preserve">Una vez conocido el número de </w:t>
      </w:r>
      <w:proofErr w:type="spellStart"/>
      <w:r w:rsidRPr="008B162A">
        <w:rPr>
          <w:rFonts w:ascii="Century Gothic" w:hAnsi="Century Gothic"/>
        </w:rPr>
        <w:t>subductos</w:t>
      </w:r>
      <w:proofErr w:type="spellEnd"/>
      <w:r w:rsidRPr="008B162A">
        <w:rPr>
          <w:rFonts w:ascii="Century Gothic" w:hAnsi="Century Gothic"/>
        </w:rPr>
        <w:t xml:space="preserve"> instalado en cada tramo de la red, se multiplica este valor por la distancia promedio de cada tramo, para obtener el total de kilómetros de </w:t>
      </w:r>
      <w:proofErr w:type="spellStart"/>
      <w:r w:rsidRPr="008B162A">
        <w:rPr>
          <w:rFonts w:ascii="Century Gothic" w:hAnsi="Century Gothic"/>
        </w:rPr>
        <w:t>subductos</w:t>
      </w:r>
      <w:proofErr w:type="spellEnd"/>
      <w:r w:rsidRPr="008B162A">
        <w:rPr>
          <w:rFonts w:ascii="Century Gothic" w:hAnsi="Century Gothic"/>
        </w:rPr>
        <w:t xml:space="preserve"> presentes en la red de infraestructura civil. </w:t>
      </w:r>
    </w:p>
    <w:p w:rsidR="000E689B" w:rsidRPr="008B162A" w:rsidRDefault="00050736" w:rsidP="009C3E5C">
      <w:pPr>
        <w:keepNext/>
        <w:jc w:val="center"/>
        <w:rPr>
          <w:rFonts w:ascii="Century Gothic" w:hAnsi="Century Gothic"/>
        </w:rPr>
      </w:pPr>
      <w:r w:rsidRPr="008B162A">
        <w:rPr>
          <w:rFonts w:ascii="Century Gothic" w:hAnsi="Century Gothic"/>
        </w:rPr>
        <w:t xml:space="preserve"> </w:t>
      </w:r>
      <w:r w:rsidR="009C3E5C" w:rsidRPr="008B162A">
        <w:rPr>
          <w:rFonts w:ascii="Century Gothic" w:hAnsi="Century Gothic"/>
          <w:noProof/>
          <w:lang w:eastAsia="es-MX"/>
        </w:rPr>
        <w:drawing>
          <wp:inline distT="0" distB="0" distL="0" distR="0" wp14:anchorId="1BF76FA3" wp14:editId="7E828C90">
            <wp:extent cx="3390472" cy="4144593"/>
            <wp:effectExtent l="0" t="0" r="0" b="8890"/>
            <wp:docPr id="23" name="Picture 23"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93746" cy="4148596"/>
                    </a:xfrm>
                    <a:prstGeom prst="rect">
                      <a:avLst/>
                    </a:prstGeom>
                    <a:noFill/>
                    <a:ln>
                      <a:noFill/>
                    </a:ln>
                  </pic:spPr>
                </pic:pic>
              </a:graphicData>
            </a:graphic>
          </wp:inline>
        </w:drawing>
      </w:r>
    </w:p>
    <w:p w:rsidR="002B22DF" w:rsidRPr="008B162A" w:rsidRDefault="00DF12E9" w:rsidP="00307C11">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18</w:t>
      </w:r>
      <w:r w:rsidR="006F7424" w:rsidRPr="008B162A">
        <w:rPr>
          <w:rFonts w:ascii="Century Gothic" w:hAnsi="Century Gothic"/>
        </w:rPr>
        <w:fldChar w:fldCharType="end"/>
      </w:r>
      <w:r w:rsidRPr="008B162A">
        <w:rPr>
          <w:rFonts w:ascii="Century Gothic" w:hAnsi="Century Gothic"/>
        </w:rPr>
        <w:t xml:space="preserve">: Descripción del algoritmo de cálculo de los kilómetros de </w:t>
      </w:r>
      <w:proofErr w:type="spellStart"/>
      <w:r w:rsidRPr="008B162A">
        <w:rPr>
          <w:rFonts w:ascii="Century Gothic" w:hAnsi="Century Gothic"/>
        </w:rPr>
        <w:t>subductos</w:t>
      </w:r>
      <w:proofErr w:type="spellEnd"/>
      <w:r w:rsidRPr="008B162A">
        <w:rPr>
          <w:rFonts w:ascii="Century Gothic" w:hAnsi="Century Gothic"/>
        </w:rPr>
        <w:t xml:space="preserve">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4. Cálculo del número total de pozos</w:t>
      </w:r>
    </w:p>
    <w:p w:rsidR="002B22DF" w:rsidRPr="008B162A" w:rsidRDefault="002B22DF" w:rsidP="002B22DF">
      <w:pPr>
        <w:rPr>
          <w:rFonts w:ascii="Century Gothic" w:hAnsi="Century Gothic"/>
        </w:rPr>
      </w:pPr>
      <w:r w:rsidRPr="008B162A">
        <w:rPr>
          <w:rFonts w:ascii="Century Gothic" w:hAnsi="Century Gothic"/>
        </w:rPr>
        <w:t>Para el cálculo del número total de pozos se considera el tipo de pozo asociado a cada canalización y una vez que se cuenta con el tipo de pozo, se divide el total de kilómetros de canalización entre el parámetro de entrada que representa la de la distancia promedio entre dos pozos, cuyo resultado es el número total pozos por cada tipo como se muestra en la siguiente ilustración.</w:t>
      </w:r>
    </w:p>
    <w:p w:rsidR="002B22DF" w:rsidRPr="008B162A" w:rsidRDefault="002B22DF" w:rsidP="002B22DF">
      <w:pPr>
        <w:keepNext/>
        <w:jc w:val="center"/>
        <w:rPr>
          <w:rFonts w:ascii="Century Gothic" w:hAnsi="Century Gothic"/>
        </w:rPr>
      </w:pPr>
      <w:r w:rsidRPr="008B162A">
        <w:rPr>
          <w:rFonts w:ascii="Century Gothic" w:hAnsi="Century Gothic"/>
        </w:rPr>
        <w:lastRenderedPageBreak/>
        <w:t xml:space="preserve"> </w:t>
      </w:r>
    </w:p>
    <w:p w:rsidR="00C23C4B" w:rsidRPr="008B162A" w:rsidRDefault="00C23C4B" w:rsidP="002B22DF">
      <w:pPr>
        <w:keepNext/>
        <w:jc w:val="center"/>
        <w:rPr>
          <w:rFonts w:ascii="Century Gothic" w:hAnsi="Century Gothic"/>
        </w:rPr>
      </w:pPr>
      <w:r w:rsidRPr="008B162A">
        <w:rPr>
          <w:rFonts w:ascii="Century Gothic" w:hAnsi="Century Gothic"/>
          <w:noProof/>
          <w:lang w:eastAsia="es-MX"/>
        </w:rPr>
        <w:drawing>
          <wp:inline distT="0" distB="0" distL="0" distR="0" wp14:anchorId="71577409" wp14:editId="430B63B2">
            <wp:extent cx="3008970" cy="2728046"/>
            <wp:effectExtent l="0" t="0" r="0" b="0"/>
            <wp:docPr id="77119" name="Picture 77119"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12330" cy="2731093"/>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7</w:t>
      </w:r>
      <w:r w:rsidR="00847BCF" w:rsidRPr="008B162A">
        <w:rPr>
          <w:rFonts w:ascii="Century Gothic" w:hAnsi="Century Gothic"/>
          <w:noProof/>
        </w:rPr>
        <w:fldChar w:fldCharType="end"/>
      </w:r>
      <w:r w:rsidR="006F7424"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Ilustración \* ARABIC \s 1 </w:instrText>
      </w:r>
      <w:r w:rsidR="00847BCF" w:rsidRPr="008B162A">
        <w:rPr>
          <w:rFonts w:ascii="Century Gothic" w:hAnsi="Century Gothic"/>
        </w:rPr>
        <w:fldChar w:fldCharType="separate"/>
      </w:r>
      <w:r w:rsidR="00431406">
        <w:rPr>
          <w:rFonts w:ascii="Century Gothic" w:hAnsi="Century Gothic"/>
          <w:noProof/>
        </w:rPr>
        <w:t>19</w:t>
      </w:r>
      <w:r w:rsidR="00847BCF" w:rsidRPr="008B162A">
        <w:rPr>
          <w:rFonts w:ascii="Century Gothic" w:hAnsi="Century Gothic"/>
          <w:noProof/>
        </w:rPr>
        <w:fldChar w:fldCharType="end"/>
      </w:r>
      <w:r w:rsidRPr="008B162A">
        <w:rPr>
          <w:rFonts w:ascii="Century Gothic" w:hAnsi="Century Gothic"/>
        </w:rPr>
        <w:t xml:space="preserve">: Dimensionamiento de los pozos de registro de la red de acceso de fibra óptica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4B29F9">
      <w:pPr>
        <w:pStyle w:val="Ttulo3"/>
        <w:rPr>
          <w:rFonts w:ascii="Century Gothic" w:hAnsi="Century Gothic"/>
          <w:color w:val="auto"/>
          <w:lang w:val="es-CR"/>
        </w:rPr>
      </w:pPr>
      <w:bookmarkStart w:id="130" w:name="_Ref403552844"/>
      <w:bookmarkStart w:id="131" w:name="_Toc431900692"/>
      <w:bookmarkStart w:id="132" w:name="_Ref459891047"/>
      <w:bookmarkStart w:id="133" w:name="_Toc461625912"/>
      <w:r w:rsidRPr="008B162A">
        <w:rPr>
          <w:rFonts w:ascii="Century Gothic" w:hAnsi="Century Gothic"/>
          <w:color w:val="auto"/>
          <w:lang w:val="es-CR"/>
        </w:rPr>
        <w:t>Equipamiento</w:t>
      </w:r>
      <w:r w:rsidR="004B29F9" w:rsidRPr="008B162A">
        <w:rPr>
          <w:rFonts w:ascii="Century Gothic" w:hAnsi="Century Gothic"/>
          <w:color w:val="auto"/>
          <w:lang w:val="es-CR"/>
        </w:rPr>
        <w:t xml:space="preserve"> de </w:t>
      </w:r>
      <w:bookmarkEnd w:id="130"/>
      <w:bookmarkEnd w:id="131"/>
      <w:r w:rsidR="00C21F37" w:rsidRPr="008B162A">
        <w:rPr>
          <w:rFonts w:ascii="Century Gothic" w:hAnsi="Century Gothic"/>
          <w:color w:val="auto"/>
          <w:lang w:val="es-CR"/>
        </w:rPr>
        <w:t>las centrales ópticas</w:t>
      </w:r>
      <w:bookmarkEnd w:id="132"/>
      <w:bookmarkEnd w:id="133"/>
    </w:p>
    <w:p w:rsidR="002B22DF" w:rsidRPr="008B162A" w:rsidRDefault="002B22DF" w:rsidP="004B29F9">
      <w:pPr>
        <w:rPr>
          <w:rFonts w:ascii="Century Gothic" w:hAnsi="Century Gothic"/>
          <w:lang w:val="es-CR"/>
        </w:rPr>
      </w:pPr>
      <w:r w:rsidRPr="008B162A">
        <w:rPr>
          <w:rFonts w:ascii="Century Gothic" w:hAnsi="Century Gothic"/>
          <w:lang w:val="es-CR"/>
        </w:rPr>
        <w:t xml:space="preserve">Para el dimensionado de </w:t>
      </w:r>
      <w:r w:rsidR="004B29F9" w:rsidRPr="008B162A">
        <w:rPr>
          <w:rFonts w:ascii="Century Gothic" w:hAnsi="Century Gothic"/>
          <w:lang w:val="es-CR"/>
        </w:rPr>
        <w:t>los nodos de acceso</w:t>
      </w:r>
      <w:r w:rsidRPr="008B162A">
        <w:rPr>
          <w:rFonts w:ascii="Century Gothic" w:hAnsi="Century Gothic"/>
          <w:lang w:val="es-CR"/>
        </w:rPr>
        <w:t xml:space="preserve"> se han seguido los siguientes pasos:</w:t>
      </w:r>
    </w:p>
    <w:p w:rsidR="002B22DF" w:rsidRPr="008B162A" w:rsidRDefault="005E02DA" w:rsidP="002B22DF">
      <w:pPr>
        <w:jc w:val="center"/>
        <w:rPr>
          <w:rFonts w:ascii="Century Gothic" w:hAnsi="Century Gothic"/>
        </w:rPr>
      </w:pPr>
      <w:r w:rsidRPr="008B162A">
        <w:rPr>
          <w:rFonts w:ascii="Century Gothic" w:hAnsi="Century Gothic"/>
          <w:noProof/>
          <w:lang w:eastAsia="es-MX"/>
        </w:rPr>
        <w:drawing>
          <wp:inline distT="0" distB="0" distL="0" distR="0" wp14:anchorId="26FC8932" wp14:editId="4127FB5C">
            <wp:extent cx="3362325" cy="1933575"/>
            <wp:effectExtent l="0" t="0" r="9525" b="9525"/>
            <wp:docPr id="234" name="Picture 234"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62325" cy="1933575"/>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20</w:t>
      </w:r>
      <w:r w:rsidR="006F7424" w:rsidRPr="008B162A">
        <w:rPr>
          <w:rFonts w:ascii="Century Gothic" w:hAnsi="Century Gothic"/>
        </w:rPr>
        <w:fldChar w:fldCharType="end"/>
      </w:r>
      <w:r w:rsidRPr="008B162A">
        <w:rPr>
          <w:rFonts w:ascii="Century Gothic" w:hAnsi="Century Gothic"/>
        </w:rPr>
        <w:t xml:space="preserve">: Esquema de los pasos para el dimensionamiento de los equipos de los nodos de acceso de la red de fibra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rPr>
          <w:rFonts w:ascii="Century Gothic" w:hAnsi="Century Gothic"/>
        </w:rPr>
      </w:pPr>
      <w:r w:rsidRPr="008B162A">
        <w:rPr>
          <w:rFonts w:ascii="Century Gothic" w:hAnsi="Century Gothic"/>
        </w:rPr>
        <w:t>Este algoritmo se encuentra implementado en la hoja ‘6E CALC DIM EQUIP SOPORT’ del Modelo.</w:t>
      </w:r>
    </w:p>
    <w:p w:rsidR="002B22DF" w:rsidRPr="008B162A" w:rsidRDefault="002B22DF" w:rsidP="002B22DF">
      <w:pPr>
        <w:rPr>
          <w:rFonts w:ascii="Century Gothic" w:hAnsi="Century Gothic"/>
        </w:rPr>
      </w:pPr>
      <w:r w:rsidRPr="008B162A">
        <w:rPr>
          <w:rFonts w:ascii="Century Gothic" w:hAnsi="Century Gothic"/>
        </w:rPr>
        <w:t>Los siguientes apartados detallan los cálculos realizados en cada paso particular.</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lastRenderedPageBreak/>
        <w:t>Paso 0. Cálculo del número de conexiones</w:t>
      </w:r>
    </w:p>
    <w:p w:rsidR="002B22DF" w:rsidRPr="008B162A" w:rsidRDefault="002B22DF" w:rsidP="002B22DF">
      <w:pPr>
        <w:rPr>
          <w:rFonts w:ascii="Century Gothic" w:hAnsi="Century Gothic"/>
        </w:rPr>
      </w:pPr>
      <w:r w:rsidRPr="008B162A">
        <w:rPr>
          <w:rFonts w:ascii="Century Gothic" w:hAnsi="Century Gothic"/>
        </w:rPr>
        <w:t xml:space="preserve">Para el cálculo del número de conexiones se toma como insumo el </w:t>
      </w:r>
      <w:r w:rsidR="00853D6E" w:rsidRPr="008B162A">
        <w:rPr>
          <w:rFonts w:ascii="Century Gothic" w:hAnsi="Century Gothic"/>
        </w:rPr>
        <w:t xml:space="preserve">conductor </w:t>
      </w:r>
      <w:r w:rsidRPr="008B162A">
        <w:rPr>
          <w:rFonts w:ascii="Century Gothic" w:hAnsi="Century Gothic"/>
        </w:rPr>
        <w:t>de conexiones, así como el horizonte de planificación y margen de capacidad.</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 xml:space="preserve">Paso 1. Cálculo del número total de puertos </w:t>
      </w:r>
      <w:r w:rsidR="00FE117F" w:rsidRPr="008B162A">
        <w:rPr>
          <w:rFonts w:ascii="Century Gothic" w:hAnsi="Century Gothic"/>
          <w:color w:val="auto"/>
        </w:rPr>
        <w:t xml:space="preserve">GPON </w:t>
      </w:r>
      <w:r w:rsidRPr="008B162A">
        <w:rPr>
          <w:rFonts w:ascii="Century Gothic" w:hAnsi="Century Gothic"/>
          <w:color w:val="auto"/>
        </w:rPr>
        <w:t>OLT</w:t>
      </w:r>
    </w:p>
    <w:p w:rsidR="002B22DF" w:rsidRPr="008B162A" w:rsidRDefault="002B22DF" w:rsidP="002B22DF">
      <w:pPr>
        <w:rPr>
          <w:rFonts w:ascii="Century Gothic" w:hAnsi="Century Gothic"/>
        </w:rPr>
      </w:pPr>
      <w:r w:rsidRPr="008B162A">
        <w:rPr>
          <w:rFonts w:ascii="Century Gothic" w:hAnsi="Century Gothic"/>
        </w:rPr>
        <w:t xml:space="preserve">En este paso para calcular el número total de puertos OLT, se toma como insumo el número de viviendas cubiertas, y se divide tanto entre el número de fibras agregadas en el primer </w:t>
      </w:r>
      <w:proofErr w:type="spellStart"/>
      <w:r w:rsidRPr="008B162A">
        <w:rPr>
          <w:rFonts w:ascii="Century Gothic" w:hAnsi="Century Gothic"/>
        </w:rPr>
        <w:t>splitter</w:t>
      </w:r>
      <w:proofErr w:type="spellEnd"/>
      <w:r w:rsidRPr="008B162A">
        <w:rPr>
          <w:rFonts w:ascii="Century Gothic" w:hAnsi="Century Gothic"/>
        </w:rPr>
        <w:t xml:space="preserve"> como entre el número de fibras agregadas en el segundo </w:t>
      </w:r>
      <w:proofErr w:type="spellStart"/>
      <w:r w:rsidRPr="008B162A">
        <w:rPr>
          <w:rFonts w:ascii="Century Gothic" w:hAnsi="Century Gothic"/>
        </w:rPr>
        <w:t>splitter</w:t>
      </w:r>
      <w:proofErr w:type="spellEnd"/>
      <w:r w:rsidRPr="008B162A">
        <w:rPr>
          <w:rFonts w:ascii="Century Gothic" w:hAnsi="Century Gothic"/>
        </w:rPr>
        <w:t>, cuyo resultado se redondea positivamente, asumiendo que el AEP despliega los árboles completos de fibra GPON cuando cubre una determinada zona geográfica.</w:t>
      </w:r>
      <w:r w:rsidR="00FE117F" w:rsidRPr="008B162A">
        <w:rPr>
          <w:rFonts w:ascii="Century Gothic" w:hAnsi="Century Gothic"/>
        </w:rPr>
        <w:t xml:space="preserve"> Adicionalmente, una vez que se cuenta con el número total de puertos GPON OLT, éste se multiplica por el número máximo de centrales por geotipo y por la cobertura del geotipo, a fin de obtener el número de puertos OLT por Central. Finalmente, tomando este resultado como insumo multiplicado por el total de centrales en el geotipo (cobertura por el número máximo de centrales por geotipo), se obtiene el total de </w:t>
      </w:r>
      <w:proofErr w:type="spellStart"/>
      <w:r w:rsidR="00FE117F" w:rsidRPr="008B162A">
        <w:rPr>
          <w:rFonts w:ascii="Century Gothic" w:hAnsi="Century Gothic"/>
        </w:rPr>
        <w:t>OLTs</w:t>
      </w:r>
      <w:proofErr w:type="spellEnd"/>
      <w:r w:rsidR="00FE117F" w:rsidRPr="008B162A">
        <w:rPr>
          <w:rFonts w:ascii="Century Gothic" w:hAnsi="Century Gothic"/>
        </w:rPr>
        <w:t xml:space="preserve"> que serán necesarios, que se utilizará en el dimensionamiento de los gabinetes.</w:t>
      </w:r>
    </w:p>
    <w:p w:rsidR="002B22DF" w:rsidRPr="008B162A" w:rsidRDefault="002B22DF" w:rsidP="002B22DF">
      <w:pPr>
        <w:keepNext/>
        <w:jc w:val="center"/>
        <w:rPr>
          <w:rFonts w:ascii="Century Gothic" w:hAnsi="Century Gothic"/>
        </w:rPr>
      </w:pPr>
      <w:r w:rsidRPr="008B162A">
        <w:rPr>
          <w:rFonts w:ascii="Century Gothic" w:hAnsi="Century Gothic"/>
        </w:rPr>
        <w:t xml:space="preserve"> </w:t>
      </w:r>
    </w:p>
    <w:p w:rsidR="00067ADF" w:rsidRPr="008B162A" w:rsidRDefault="00FE117F" w:rsidP="002B22DF">
      <w:pPr>
        <w:keepNext/>
        <w:jc w:val="center"/>
        <w:rPr>
          <w:rFonts w:ascii="Century Gothic" w:hAnsi="Century Gothic"/>
        </w:rPr>
      </w:pPr>
      <w:r w:rsidRPr="008B162A">
        <w:rPr>
          <w:rFonts w:ascii="Century Gothic" w:hAnsi="Century Gothic"/>
          <w:noProof/>
          <w:lang w:eastAsia="es-MX"/>
        </w:rPr>
        <w:drawing>
          <wp:inline distT="0" distB="0" distL="0" distR="0" wp14:anchorId="35E2DB1A" wp14:editId="5AFC56C0">
            <wp:extent cx="5731510" cy="2649017"/>
            <wp:effectExtent l="0" t="0" r="2540" b="0"/>
            <wp:docPr id="27" name="Picture 27"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2649017"/>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21</w:t>
      </w:r>
      <w:r w:rsidR="006F7424" w:rsidRPr="008B162A">
        <w:rPr>
          <w:rFonts w:ascii="Century Gothic" w:hAnsi="Century Gothic"/>
        </w:rPr>
        <w:fldChar w:fldCharType="end"/>
      </w:r>
      <w:r w:rsidRPr="008B162A">
        <w:rPr>
          <w:rFonts w:ascii="Century Gothic" w:hAnsi="Century Gothic"/>
        </w:rPr>
        <w:t xml:space="preserve">: Algoritmo empleado para la caracterización del total de puertos OLT en la red de fibra [Fuete: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lastRenderedPageBreak/>
        <w:t xml:space="preserve">Paso 2. Cálculo del número total de </w:t>
      </w:r>
      <w:proofErr w:type="spellStart"/>
      <w:r w:rsidRPr="008B162A">
        <w:rPr>
          <w:rFonts w:ascii="Century Gothic" w:hAnsi="Century Gothic"/>
          <w:color w:val="auto"/>
        </w:rPr>
        <w:t>ODFs</w:t>
      </w:r>
      <w:proofErr w:type="spellEnd"/>
    </w:p>
    <w:p w:rsidR="00050736" w:rsidRPr="008B162A" w:rsidRDefault="00050736" w:rsidP="00050736">
      <w:pPr>
        <w:rPr>
          <w:rFonts w:ascii="Century Gothic" w:hAnsi="Century Gothic"/>
        </w:rPr>
      </w:pPr>
      <w:r w:rsidRPr="008B162A">
        <w:rPr>
          <w:rFonts w:ascii="Century Gothic" w:hAnsi="Century Gothic"/>
        </w:rPr>
        <w:t xml:space="preserve">Para el cálculo del número de </w:t>
      </w:r>
      <w:proofErr w:type="spellStart"/>
      <w:r w:rsidRPr="008B162A">
        <w:rPr>
          <w:rFonts w:ascii="Century Gothic" w:hAnsi="Century Gothic"/>
        </w:rPr>
        <w:t>ODFs</w:t>
      </w:r>
      <w:proofErr w:type="spellEnd"/>
      <w:r w:rsidRPr="008B162A">
        <w:rPr>
          <w:rFonts w:ascii="Century Gothic" w:hAnsi="Century Gothic"/>
        </w:rPr>
        <w:t>, primero se debe calcular el total de centrales que existen, para lo cual se toma como insumo la cobertura multiplicada por el total viviendas teóricas con el que se cubriría el total de país.</w:t>
      </w:r>
    </w:p>
    <w:p w:rsidR="00050736" w:rsidRPr="008B162A" w:rsidRDefault="00050736" w:rsidP="00050736">
      <w:pPr>
        <w:rPr>
          <w:rFonts w:ascii="Century Gothic" w:hAnsi="Century Gothic"/>
        </w:rPr>
      </w:pPr>
      <w:r w:rsidRPr="008B162A">
        <w:rPr>
          <w:rFonts w:ascii="Century Gothic" w:hAnsi="Century Gothic"/>
        </w:rPr>
        <w:t xml:space="preserve">El cálculo del número de ODF está dividido en 3 secciones, de acuerdo a las 3 tipologías de ODF consideradas por el AEP. </w:t>
      </w:r>
    </w:p>
    <w:p w:rsidR="00050736" w:rsidRPr="008B162A" w:rsidRDefault="00050736" w:rsidP="002B22DF">
      <w:pPr>
        <w:rPr>
          <w:rFonts w:ascii="Century Gothic" w:hAnsi="Century Gothic"/>
        </w:rPr>
      </w:pPr>
      <w:r w:rsidRPr="008B162A">
        <w:rPr>
          <w:rFonts w:ascii="Century Gothic" w:hAnsi="Century Gothic"/>
        </w:rPr>
        <w:t>En primer lugar se calculan los ODF de acceso de entrada a la central. En estos ODF se conectan los hilos de las fibras que provienen de los puntos de distribución.</w:t>
      </w:r>
      <w:r w:rsidR="002C3A09" w:rsidRPr="008B162A">
        <w:rPr>
          <w:rFonts w:ascii="Century Gothic" w:hAnsi="Century Gothic"/>
        </w:rPr>
        <w:t xml:space="preserve"> Para ello se parte del número de hilos entrantes a la central con base en la información del análisis geográfico, ajustando dicho valor a las modularidades disponibles en el catálogo de cables del AEP. Conocido el número de cables, se divide dicho valor entre el número de puertos por ODF (96), y se redondea al alza para conocer el número de </w:t>
      </w:r>
      <w:proofErr w:type="spellStart"/>
      <w:r w:rsidR="002C3A09" w:rsidRPr="008B162A">
        <w:rPr>
          <w:rFonts w:ascii="Century Gothic" w:hAnsi="Century Gothic"/>
        </w:rPr>
        <w:t>ODFs</w:t>
      </w:r>
      <w:proofErr w:type="spellEnd"/>
      <w:r w:rsidR="002C3A09" w:rsidRPr="008B162A">
        <w:rPr>
          <w:rFonts w:ascii="Century Gothic" w:hAnsi="Century Gothic"/>
        </w:rPr>
        <w:t xml:space="preserve"> de acceso de entrada por central. </w:t>
      </w:r>
    </w:p>
    <w:p w:rsidR="002C3A09" w:rsidRPr="008B162A" w:rsidRDefault="00E4644E" w:rsidP="002B22DF">
      <w:pPr>
        <w:rPr>
          <w:rFonts w:ascii="Century Gothic" w:hAnsi="Century Gothic"/>
        </w:rPr>
      </w:pPr>
      <w:r w:rsidRPr="008B162A">
        <w:rPr>
          <w:rFonts w:ascii="Century Gothic" w:hAnsi="Century Gothic"/>
        </w:rPr>
        <w:t>Por último</w:t>
      </w:r>
      <w:r w:rsidR="002C3A09" w:rsidRPr="008B162A">
        <w:rPr>
          <w:rFonts w:ascii="Century Gothic" w:hAnsi="Century Gothic"/>
        </w:rPr>
        <w:t xml:space="preserve">, se multiplica dicho valor por el número de centrales calculado. </w:t>
      </w:r>
    </w:p>
    <w:p w:rsidR="002C3A09" w:rsidRPr="008B162A" w:rsidRDefault="002C3A09" w:rsidP="002B22DF">
      <w:pPr>
        <w:rPr>
          <w:rFonts w:ascii="Century Gothic" w:hAnsi="Century Gothic"/>
        </w:rPr>
      </w:pPr>
      <w:r w:rsidRPr="008B162A">
        <w:rPr>
          <w:rFonts w:ascii="Century Gothic" w:hAnsi="Century Gothic"/>
        </w:rPr>
        <w:t xml:space="preserve">En segundo lugar se calculan los ODF de acceso de conexión al OLT. En estos ODF se conectan los cables salientes del OLT por el lado de acceso (puertos GPON). Para ello se parte del número de puertos GPON calculado en el paso 1, dividiéndolos entre el número de centrales para conocer el número de puertos GPON por central. Este valor se divide a su vez por el número de puertos por ODF (96) y se redondea al alza para conocer el número de </w:t>
      </w:r>
      <w:proofErr w:type="spellStart"/>
      <w:r w:rsidRPr="008B162A">
        <w:rPr>
          <w:rFonts w:ascii="Century Gothic" w:hAnsi="Century Gothic"/>
        </w:rPr>
        <w:t>ODFs</w:t>
      </w:r>
      <w:proofErr w:type="spellEnd"/>
      <w:r w:rsidRPr="008B162A">
        <w:rPr>
          <w:rFonts w:ascii="Century Gothic" w:hAnsi="Century Gothic"/>
        </w:rPr>
        <w:t xml:space="preserve"> de acceso de conexión al OLT por central. </w:t>
      </w:r>
    </w:p>
    <w:p w:rsidR="002C3A09" w:rsidRPr="008B162A" w:rsidRDefault="00E4644E" w:rsidP="002B22DF">
      <w:pPr>
        <w:rPr>
          <w:rFonts w:ascii="Century Gothic" w:hAnsi="Century Gothic"/>
        </w:rPr>
      </w:pPr>
      <w:r w:rsidRPr="008B162A">
        <w:rPr>
          <w:rFonts w:ascii="Century Gothic" w:hAnsi="Century Gothic"/>
        </w:rPr>
        <w:t>Posteriormente</w:t>
      </w:r>
      <w:r w:rsidR="002C3A09" w:rsidRPr="008B162A">
        <w:rPr>
          <w:rFonts w:ascii="Century Gothic" w:hAnsi="Century Gothic"/>
        </w:rPr>
        <w:t xml:space="preserve"> se multiplica dicho valor por el número de centrales calculado.</w:t>
      </w:r>
    </w:p>
    <w:p w:rsidR="002C3A09" w:rsidRPr="008B162A" w:rsidRDefault="002C3A09" w:rsidP="002B22DF">
      <w:pPr>
        <w:rPr>
          <w:rFonts w:ascii="Century Gothic" w:hAnsi="Century Gothic"/>
        </w:rPr>
      </w:pPr>
      <w:r w:rsidRPr="008B162A">
        <w:rPr>
          <w:rFonts w:ascii="Century Gothic" w:hAnsi="Century Gothic"/>
        </w:rPr>
        <w:t xml:space="preserve">Por último se calculan los ODF de transporte. En estos ODF se conectan los puertos Ethernet del OLT, que permiten la conexión con jerarquías superiores de la red. Para ello, a partir del número de puertos GPON por central, y considerando la </w:t>
      </w:r>
      <w:r w:rsidR="00C00068" w:rsidRPr="008B162A">
        <w:rPr>
          <w:rFonts w:ascii="Century Gothic" w:hAnsi="Century Gothic"/>
        </w:rPr>
        <w:t xml:space="preserve">razón </w:t>
      </w:r>
      <w:r w:rsidRPr="008B162A">
        <w:rPr>
          <w:rFonts w:ascii="Century Gothic" w:hAnsi="Century Gothic"/>
        </w:rPr>
        <w:t xml:space="preserve">entre puertos GPON y puertos Ethernet extraída de la información proporcionada por el AEP, se obtiene el número de puertos Ethernet por central. Dicho valor se divide entre el número de puertos por ODF (96) y se redondea al alza para conocer el número de ODF de transporte por central. Finalmente se multiplica dicho valor por el número de centrales calculado. </w:t>
      </w:r>
    </w:p>
    <w:p w:rsidR="00FD4FFC" w:rsidRPr="008B162A" w:rsidRDefault="00050736" w:rsidP="002C3A09">
      <w:pPr>
        <w:keepNext/>
        <w:rPr>
          <w:rFonts w:ascii="Century Gothic" w:hAnsi="Century Gothic"/>
        </w:rPr>
      </w:pPr>
      <w:r w:rsidRPr="008B162A">
        <w:rPr>
          <w:rFonts w:ascii="Century Gothic" w:hAnsi="Century Gothic"/>
        </w:rPr>
        <w:lastRenderedPageBreak/>
        <w:t xml:space="preserve"> </w:t>
      </w:r>
      <w:r w:rsidR="002C3A09" w:rsidRPr="008B162A">
        <w:rPr>
          <w:rFonts w:ascii="Century Gothic" w:hAnsi="Century Gothic"/>
          <w:noProof/>
          <w:lang w:eastAsia="es-MX"/>
        </w:rPr>
        <w:drawing>
          <wp:inline distT="0" distB="0" distL="0" distR="0" wp14:anchorId="1D98E994" wp14:editId="0E45A6D7">
            <wp:extent cx="5402580" cy="4900162"/>
            <wp:effectExtent l="0" t="0" r="7620" b="0"/>
            <wp:docPr id="484" name="Picture 484"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2580" cy="4900162"/>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22</w:t>
      </w:r>
      <w:r w:rsidR="006F7424" w:rsidRPr="008B162A">
        <w:rPr>
          <w:rFonts w:ascii="Century Gothic" w:hAnsi="Century Gothic"/>
        </w:rPr>
        <w:fldChar w:fldCharType="end"/>
      </w:r>
      <w:r w:rsidRPr="008B162A">
        <w:rPr>
          <w:rFonts w:ascii="Century Gothic" w:hAnsi="Century Gothic"/>
        </w:rPr>
        <w:t xml:space="preserve">: Algoritmo empleado para la caracterización del total de </w:t>
      </w:r>
      <w:proofErr w:type="spellStart"/>
      <w:r w:rsidRPr="008B162A">
        <w:rPr>
          <w:rFonts w:ascii="Century Gothic" w:hAnsi="Century Gothic"/>
        </w:rPr>
        <w:t>ODFs</w:t>
      </w:r>
      <w:proofErr w:type="spellEnd"/>
      <w:r w:rsidRPr="008B162A">
        <w:rPr>
          <w:rFonts w:ascii="Century Gothic" w:hAnsi="Century Gothic"/>
        </w:rPr>
        <w:t xml:space="preserve"> en la red de fibra [Fuete: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6"/>
        <w:rPr>
          <w:rFonts w:ascii="Century Gothic" w:hAnsi="Century Gothic"/>
          <w:color w:val="auto"/>
        </w:rPr>
      </w:pPr>
      <w:r w:rsidRPr="008B162A">
        <w:rPr>
          <w:rFonts w:ascii="Century Gothic" w:hAnsi="Century Gothic"/>
          <w:color w:val="auto"/>
        </w:rPr>
        <w:t>Paso 3. Configuración del sitio</w:t>
      </w:r>
    </w:p>
    <w:p w:rsidR="002B22DF" w:rsidRPr="008B162A" w:rsidRDefault="002B22DF" w:rsidP="002B22DF">
      <w:pPr>
        <w:rPr>
          <w:rFonts w:ascii="Century Gothic" w:hAnsi="Century Gothic"/>
        </w:rPr>
      </w:pPr>
      <w:r w:rsidRPr="008B162A">
        <w:rPr>
          <w:rFonts w:ascii="Century Gothic" w:hAnsi="Century Gothic"/>
        </w:rPr>
        <w:t xml:space="preserve">Para el cálculo del total de metros de espacio en sitios, se toma como insumo el total de ODF calculados en el paso 2 y se multiplica por el espacio utilizado por cada uno de los </w:t>
      </w:r>
      <w:proofErr w:type="spellStart"/>
      <w:r w:rsidRPr="008B162A">
        <w:rPr>
          <w:rFonts w:ascii="Century Gothic" w:hAnsi="Century Gothic"/>
        </w:rPr>
        <w:t>ODFs</w:t>
      </w:r>
      <w:proofErr w:type="spellEnd"/>
      <w:r w:rsidRPr="008B162A">
        <w:rPr>
          <w:rFonts w:ascii="Century Gothic" w:hAnsi="Century Gothic"/>
        </w:rPr>
        <w:t xml:space="preserve">, así como por </w:t>
      </w:r>
      <w:r w:rsidR="002C3A09" w:rsidRPr="008B162A">
        <w:rPr>
          <w:rFonts w:ascii="Century Gothic" w:hAnsi="Century Gothic"/>
        </w:rPr>
        <w:t xml:space="preserve">un porcentaje de </w:t>
      </w:r>
      <w:r w:rsidRPr="008B162A">
        <w:rPr>
          <w:rFonts w:ascii="Century Gothic" w:hAnsi="Century Gothic"/>
        </w:rPr>
        <w:t>espacio adicional.</w:t>
      </w:r>
    </w:p>
    <w:p w:rsidR="002B22DF" w:rsidRPr="008B162A" w:rsidRDefault="002B22DF" w:rsidP="002B22DF">
      <w:pPr>
        <w:rPr>
          <w:rFonts w:ascii="Century Gothic" w:hAnsi="Century Gothic"/>
        </w:rPr>
      </w:pPr>
      <w:r w:rsidRPr="008B162A">
        <w:rPr>
          <w:rFonts w:ascii="Century Gothic" w:hAnsi="Century Gothic"/>
        </w:rPr>
        <w:t xml:space="preserve">En cuanto al consumo de electricidad, se utiliza como insumo el número de puertos </w:t>
      </w:r>
      <w:proofErr w:type="spellStart"/>
      <w:r w:rsidRPr="008B162A">
        <w:rPr>
          <w:rFonts w:ascii="Century Gothic" w:hAnsi="Century Gothic"/>
        </w:rPr>
        <w:t>OLTs</w:t>
      </w:r>
      <w:proofErr w:type="spellEnd"/>
      <w:r w:rsidRPr="008B162A">
        <w:rPr>
          <w:rFonts w:ascii="Century Gothic" w:hAnsi="Century Gothic"/>
        </w:rPr>
        <w:t xml:space="preserve"> calculado en el paso 1, así como el consumo de electricidad de cada uno de los mismos, los cuales se multiplican para obtener el consumo total de electricidad entre todos los puertos.</w:t>
      </w:r>
    </w:p>
    <w:p w:rsidR="00067ADF" w:rsidRPr="008B162A" w:rsidRDefault="00FF018B" w:rsidP="002B22DF">
      <w:pPr>
        <w:keepNext/>
        <w:jc w:val="center"/>
        <w:rPr>
          <w:rFonts w:ascii="Century Gothic" w:hAnsi="Century Gothic"/>
        </w:rPr>
      </w:pPr>
      <w:r w:rsidRPr="008B162A">
        <w:rPr>
          <w:rFonts w:ascii="Century Gothic" w:hAnsi="Century Gothic"/>
          <w:noProof/>
          <w:lang w:eastAsia="es-MX"/>
        </w:rPr>
        <w:lastRenderedPageBreak/>
        <w:drawing>
          <wp:inline distT="0" distB="0" distL="0" distR="0" wp14:anchorId="211E31F1" wp14:editId="1E6EA7FF">
            <wp:extent cx="5135245" cy="3370580"/>
            <wp:effectExtent l="0" t="0" r="8255" b="0"/>
            <wp:docPr id="485" name="Picture 485"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35245" cy="3370580"/>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rPr>
      </w:pPr>
      <w:r w:rsidRPr="008B162A">
        <w:rPr>
          <w:rFonts w:ascii="Century Gothic" w:hAnsi="Century Gothic"/>
        </w:rPr>
        <w:t xml:space="preserve">Ilustración </w:t>
      </w:r>
      <w:r w:rsidR="006F7424" w:rsidRPr="008B162A">
        <w:rPr>
          <w:rFonts w:ascii="Century Gothic" w:hAnsi="Century Gothic"/>
        </w:rPr>
        <w:fldChar w:fldCharType="begin"/>
      </w:r>
      <w:r w:rsidR="006F7424" w:rsidRPr="008B162A">
        <w:rPr>
          <w:rFonts w:ascii="Century Gothic" w:hAnsi="Century Gothic"/>
        </w:rPr>
        <w:instrText xml:space="preserve"> STYLEREF 1 \s </w:instrText>
      </w:r>
      <w:r w:rsidR="006F7424" w:rsidRPr="008B162A">
        <w:rPr>
          <w:rFonts w:ascii="Century Gothic" w:hAnsi="Century Gothic"/>
        </w:rPr>
        <w:fldChar w:fldCharType="separate"/>
      </w:r>
      <w:r w:rsidR="00431406">
        <w:rPr>
          <w:rFonts w:ascii="Century Gothic" w:hAnsi="Century Gothic"/>
          <w:noProof/>
        </w:rPr>
        <w:t>7</w:t>
      </w:r>
      <w:r w:rsidR="006F7424" w:rsidRPr="008B162A">
        <w:rPr>
          <w:rFonts w:ascii="Century Gothic" w:hAnsi="Century Gothic"/>
        </w:rPr>
        <w:fldChar w:fldCharType="end"/>
      </w:r>
      <w:r w:rsidR="006F7424" w:rsidRPr="008B162A">
        <w:rPr>
          <w:rFonts w:ascii="Century Gothic" w:hAnsi="Century Gothic"/>
        </w:rPr>
        <w:t>.</w:t>
      </w:r>
      <w:r w:rsidR="006F7424" w:rsidRPr="008B162A">
        <w:rPr>
          <w:rFonts w:ascii="Century Gothic" w:hAnsi="Century Gothic"/>
        </w:rPr>
        <w:fldChar w:fldCharType="begin"/>
      </w:r>
      <w:r w:rsidR="006F7424" w:rsidRPr="008B162A">
        <w:rPr>
          <w:rFonts w:ascii="Century Gothic" w:hAnsi="Century Gothic"/>
        </w:rPr>
        <w:instrText xml:space="preserve"> SEQ Ilustración \* ARABIC \s 1 </w:instrText>
      </w:r>
      <w:r w:rsidR="006F7424" w:rsidRPr="008B162A">
        <w:rPr>
          <w:rFonts w:ascii="Century Gothic" w:hAnsi="Century Gothic"/>
        </w:rPr>
        <w:fldChar w:fldCharType="separate"/>
      </w:r>
      <w:r w:rsidR="00431406">
        <w:rPr>
          <w:rFonts w:ascii="Century Gothic" w:hAnsi="Century Gothic"/>
          <w:noProof/>
        </w:rPr>
        <w:t>23</w:t>
      </w:r>
      <w:r w:rsidR="006F7424" w:rsidRPr="008B162A">
        <w:rPr>
          <w:rFonts w:ascii="Century Gothic" w:hAnsi="Century Gothic"/>
        </w:rPr>
        <w:fldChar w:fldCharType="end"/>
      </w:r>
      <w:r w:rsidRPr="008B162A">
        <w:rPr>
          <w:rFonts w:ascii="Century Gothic" w:hAnsi="Century Gothic"/>
        </w:rPr>
        <w:t xml:space="preserve">: Algoritmo empleado para la caracterización del consumo eléctrico en la red de fibra [Fuete: </w:t>
      </w:r>
      <w:r w:rsidR="006B7D75" w:rsidRPr="008B162A">
        <w:rPr>
          <w:rFonts w:ascii="Century Gothic" w:hAnsi="Century Gothic"/>
        </w:rPr>
        <w:t>IFT, 2016</w:t>
      </w:r>
      <w:r w:rsidRPr="008B162A">
        <w:rPr>
          <w:rFonts w:ascii="Century Gothic" w:hAnsi="Century Gothic"/>
        </w:rPr>
        <w:t>]</w:t>
      </w:r>
    </w:p>
    <w:p w:rsidR="002B22DF" w:rsidRPr="008B162A" w:rsidRDefault="00DE1042" w:rsidP="002B22DF">
      <w:pPr>
        <w:rPr>
          <w:rFonts w:ascii="Century Gothic" w:hAnsi="Century Gothic"/>
        </w:rPr>
      </w:pPr>
      <w:r w:rsidRPr="008B162A">
        <w:rPr>
          <w:rFonts w:ascii="Century Gothic" w:hAnsi="Century Gothic"/>
        </w:rPr>
        <w:t>P</w:t>
      </w:r>
      <w:r w:rsidR="002B22DF" w:rsidRPr="008B162A">
        <w:rPr>
          <w:rFonts w:ascii="Century Gothic" w:hAnsi="Century Gothic"/>
        </w:rPr>
        <w:t xml:space="preserve">ara el cálculo de la cantidad de gabinetes, </w:t>
      </w:r>
      <w:r w:rsidRPr="008B162A">
        <w:rPr>
          <w:rFonts w:ascii="Century Gothic" w:hAnsi="Century Gothic"/>
        </w:rPr>
        <w:t xml:space="preserve">se contemplan tanto los gabinetes para equipos ODF como los gabinetes para equipos OLT. Para el cálculo de los gabinetes para equipos ODF se toma como insumo el número total de </w:t>
      </w:r>
      <w:proofErr w:type="spellStart"/>
      <w:r w:rsidRPr="008B162A">
        <w:rPr>
          <w:rFonts w:ascii="Century Gothic" w:hAnsi="Century Gothic"/>
        </w:rPr>
        <w:t>ODFs</w:t>
      </w:r>
      <w:proofErr w:type="spellEnd"/>
      <w:r w:rsidRPr="008B162A">
        <w:rPr>
          <w:rFonts w:ascii="Century Gothic" w:hAnsi="Century Gothic"/>
        </w:rPr>
        <w:t xml:space="preserve"> y se divide entre el número de </w:t>
      </w:r>
      <w:proofErr w:type="spellStart"/>
      <w:r w:rsidRPr="008B162A">
        <w:rPr>
          <w:rFonts w:ascii="Century Gothic" w:hAnsi="Century Gothic"/>
        </w:rPr>
        <w:t>ODFs</w:t>
      </w:r>
      <w:proofErr w:type="spellEnd"/>
      <w:r w:rsidRPr="008B162A">
        <w:rPr>
          <w:rFonts w:ascii="Century Gothic" w:hAnsi="Century Gothic"/>
        </w:rPr>
        <w:t xml:space="preserve"> que pueden ser contenidos por un gabinete. Este proceso es el mismo para el cálculo del número de gabinetes para equipos OLT y la suma de ambos es el número total de gabinetes.</w:t>
      </w:r>
    </w:p>
    <w:p w:rsidR="00DE1042" w:rsidRPr="008B162A" w:rsidRDefault="00DE1042" w:rsidP="002B22DF">
      <w:pPr>
        <w:rPr>
          <w:rFonts w:ascii="Century Gothic" w:hAnsi="Century Gothic"/>
        </w:rPr>
      </w:pPr>
      <w:r w:rsidRPr="008B162A">
        <w:rPr>
          <w:rFonts w:ascii="Century Gothic" w:hAnsi="Century Gothic"/>
        </w:rPr>
        <w:t>Finalmente, para el dimensionamiento del espacio en sitio requerido, se suma el espacio requerido por los gabinetes de ODF y el de los gabinetes de OLT, para lo cual se toma en cuenta el número de gabinetes de cada tipo por el espacio en metros cuadrados que utilizan cada uno de los dos tipos de gabinetes y se suma el área total utilizada por ambos tipos de gabinetes como se muestra en la siguiente ilustración.</w:t>
      </w:r>
    </w:p>
    <w:p w:rsidR="00DE1042" w:rsidRPr="008B162A" w:rsidRDefault="00DE1042" w:rsidP="003D34F5">
      <w:pPr>
        <w:keepNext/>
        <w:jc w:val="center"/>
        <w:rPr>
          <w:rFonts w:ascii="Century Gothic" w:hAnsi="Century Gothic"/>
        </w:rPr>
      </w:pPr>
      <w:r w:rsidRPr="008B162A">
        <w:rPr>
          <w:rFonts w:ascii="Century Gothic" w:hAnsi="Century Gothic"/>
          <w:noProof/>
          <w:lang w:eastAsia="es-MX"/>
        </w:rPr>
        <w:lastRenderedPageBreak/>
        <w:drawing>
          <wp:inline distT="0" distB="0" distL="0" distR="0" wp14:anchorId="162F9304" wp14:editId="3A27CED4">
            <wp:extent cx="5731510" cy="4357518"/>
            <wp:effectExtent l="0" t="0" r="2540" b="0"/>
            <wp:docPr id="28" name="Picture 28"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4357518"/>
                    </a:xfrm>
                    <a:prstGeom prst="rect">
                      <a:avLst/>
                    </a:prstGeom>
                    <a:noFill/>
                    <a:ln>
                      <a:noFill/>
                    </a:ln>
                  </pic:spPr>
                </pic:pic>
              </a:graphicData>
            </a:graphic>
          </wp:inline>
        </w:drawing>
      </w:r>
    </w:p>
    <w:p w:rsidR="00DE1042" w:rsidRPr="008B162A" w:rsidRDefault="00DE1042" w:rsidP="003D34F5">
      <w:pPr>
        <w:pStyle w:val="Descripcin"/>
        <w:rPr>
          <w:rFonts w:ascii="Century Gothic" w:hAnsi="Century Gothic"/>
        </w:rPr>
      </w:pPr>
      <w:r w:rsidRPr="008B162A">
        <w:rPr>
          <w:rFonts w:ascii="Century Gothic" w:hAnsi="Century Gothic"/>
        </w:rPr>
        <w:t xml:space="preserve">Ilustración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7</w:t>
      </w:r>
      <w:r w:rsidR="00847BCF" w:rsidRPr="008B162A">
        <w:rPr>
          <w:rFonts w:ascii="Century Gothic" w:hAnsi="Century Gothic"/>
          <w:noProof/>
        </w:rPr>
        <w:fldChar w:fldCharType="end"/>
      </w:r>
      <w:r w:rsidR="006F7424"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Ilustración \* ARABIC \s 1 </w:instrText>
      </w:r>
      <w:r w:rsidR="00847BCF" w:rsidRPr="008B162A">
        <w:rPr>
          <w:rFonts w:ascii="Century Gothic" w:hAnsi="Century Gothic"/>
        </w:rPr>
        <w:fldChar w:fldCharType="separate"/>
      </w:r>
      <w:r w:rsidR="00431406">
        <w:rPr>
          <w:rFonts w:ascii="Century Gothic" w:hAnsi="Century Gothic"/>
          <w:noProof/>
        </w:rPr>
        <w:t>24</w:t>
      </w:r>
      <w:r w:rsidR="00847BCF" w:rsidRPr="008B162A">
        <w:rPr>
          <w:rFonts w:ascii="Century Gothic" w:hAnsi="Century Gothic"/>
          <w:noProof/>
        </w:rPr>
        <w:fldChar w:fldCharType="end"/>
      </w:r>
      <w:r w:rsidRPr="008B162A">
        <w:rPr>
          <w:rFonts w:ascii="Century Gothic" w:hAnsi="Century Gothic"/>
        </w:rPr>
        <w:t xml:space="preserve">: Algoritmo empleado para la caracterización del espacio para gabinetes en la red de fibra [Fuete: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1"/>
        <w:pageBreakBefore/>
        <w:spacing w:line="360" w:lineRule="auto"/>
        <w:rPr>
          <w:rFonts w:ascii="Century Gothic" w:hAnsi="Century Gothic"/>
          <w:color w:val="auto"/>
          <w:lang w:val="es-CR"/>
        </w:rPr>
      </w:pPr>
      <w:bookmarkStart w:id="134" w:name="_Toc405272449"/>
      <w:bookmarkStart w:id="135" w:name="_Toc405272450"/>
      <w:bookmarkStart w:id="136" w:name="_Toc405272451"/>
      <w:bookmarkStart w:id="137" w:name="_Toc405272452"/>
      <w:bookmarkStart w:id="138" w:name="_Toc405272453"/>
      <w:bookmarkStart w:id="139" w:name="_Toc405272454"/>
      <w:bookmarkStart w:id="140" w:name="_Toc405272455"/>
      <w:bookmarkStart w:id="141" w:name="_Toc405272456"/>
      <w:bookmarkStart w:id="142" w:name="_Toc405272457"/>
      <w:bookmarkStart w:id="143" w:name="_Toc405272458"/>
      <w:bookmarkStart w:id="144" w:name="_Toc405272459"/>
      <w:bookmarkStart w:id="145" w:name="_Toc405272462"/>
      <w:bookmarkStart w:id="146" w:name="_Toc405272463"/>
      <w:bookmarkStart w:id="147" w:name="_Toc405272464"/>
      <w:bookmarkStart w:id="148" w:name="_Toc405272465"/>
      <w:bookmarkStart w:id="149" w:name="_Toc405272466"/>
      <w:bookmarkStart w:id="150" w:name="_Toc405272467"/>
      <w:bookmarkStart w:id="151" w:name="_Toc405272468"/>
      <w:bookmarkStart w:id="152" w:name="_Toc405272469"/>
      <w:bookmarkStart w:id="153" w:name="_Toc289330411"/>
      <w:bookmarkStart w:id="154" w:name="_Toc289330415"/>
      <w:bookmarkStart w:id="155" w:name="_Toc289330490"/>
      <w:bookmarkStart w:id="156" w:name="_Toc289330491"/>
      <w:bookmarkStart w:id="157" w:name="_Toc289330494"/>
      <w:bookmarkStart w:id="158" w:name="_Toc289330547"/>
      <w:bookmarkStart w:id="159" w:name="_Toc289330549"/>
      <w:bookmarkStart w:id="160" w:name="_Toc289330563"/>
      <w:bookmarkStart w:id="161" w:name="_Toc289330564"/>
      <w:bookmarkStart w:id="162" w:name="_Toc289330565"/>
      <w:bookmarkStart w:id="163" w:name="_Toc289330571"/>
      <w:bookmarkStart w:id="164" w:name="_Toc289330575"/>
      <w:bookmarkStart w:id="165" w:name="_Toc405272476"/>
      <w:bookmarkStart w:id="166" w:name="_Toc405272477"/>
      <w:bookmarkStart w:id="167" w:name="_Toc405272478"/>
      <w:bookmarkStart w:id="168" w:name="_Toc405272479"/>
      <w:bookmarkStart w:id="169" w:name="_Toc405272480"/>
      <w:bookmarkStart w:id="170" w:name="_Toc405272481"/>
      <w:bookmarkStart w:id="171" w:name="_Toc405272482"/>
      <w:bookmarkStart w:id="172" w:name="_Toc405272483"/>
      <w:bookmarkStart w:id="173" w:name="_Toc405272484"/>
      <w:bookmarkStart w:id="174" w:name="_Toc405272485"/>
      <w:bookmarkStart w:id="175" w:name="_Toc405272486"/>
      <w:bookmarkStart w:id="176" w:name="_Toc405272487"/>
      <w:bookmarkStart w:id="177" w:name="_Toc405272488"/>
      <w:bookmarkStart w:id="178" w:name="_Toc405272489"/>
      <w:bookmarkStart w:id="179" w:name="_Toc405272490"/>
      <w:bookmarkStart w:id="180" w:name="_Toc405272491"/>
      <w:bookmarkStart w:id="181" w:name="_Toc405272492"/>
      <w:bookmarkStart w:id="182" w:name="_Toc405272493"/>
      <w:bookmarkStart w:id="183" w:name="_Toc405272494"/>
      <w:bookmarkStart w:id="184" w:name="_Toc405272495"/>
      <w:bookmarkStart w:id="185" w:name="_Toc405272496"/>
      <w:bookmarkStart w:id="186" w:name="_Toc405272497"/>
      <w:bookmarkStart w:id="187" w:name="_Toc405272498"/>
      <w:bookmarkStart w:id="188" w:name="_Toc405272499"/>
      <w:bookmarkStart w:id="189" w:name="_Toc405272500"/>
      <w:bookmarkStart w:id="190" w:name="_Toc405272501"/>
      <w:bookmarkStart w:id="191" w:name="_Toc405272502"/>
      <w:bookmarkStart w:id="192" w:name="_Toc405272503"/>
      <w:bookmarkStart w:id="193" w:name="_Toc405272504"/>
      <w:bookmarkStart w:id="194" w:name="_Toc405272505"/>
      <w:bookmarkStart w:id="195" w:name="_Toc405272506"/>
      <w:bookmarkStart w:id="196" w:name="_Toc405272507"/>
      <w:bookmarkStart w:id="197" w:name="_Toc405272508"/>
      <w:bookmarkStart w:id="198" w:name="_Toc405272509"/>
      <w:bookmarkStart w:id="199" w:name="_Toc305085724"/>
      <w:bookmarkStart w:id="200" w:name="_Toc305086285"/>
      <w:bookmarkStart w:id="201" w:name="_Toc305173671"/>
      <w:bookmarkStart w:id="202" w:name="_Toc305174753"/>
      <w:bookmarkStart w:id="203" w:name="_Toc305085725"/>
      <w:bookmarkStart w:id="204" w:name="_Toc305086286"/>
      <w:bookmarkStart w:id="205" w:name="_Toc305173672"/>
      <w:bookmarkStart w:id="206" w:name="_Toc305174754"/>
      <w:bookmarkStart w:id="207" w:name="_Toc305085726"/>
      <w:bookmarkStart w:id="208" w:name="_Toc305086287"/>
      <w:bookmarkStart w:id="209" w:name="_Toc305173673"/>
      <w:bookmarkStart w:id="210" w:name="_Toc305174755"/>
      <w:bookmarkStart w:id="211" w:name="_Toc305085727"/>
      <w:bookmarkStart w:id="212" w:name="_Toc305086288"/>
      <w:bookmarkStart w:id="213" w:name="_Toc305173674"/>
      <w:bookmarkStart w:id="214" w:name="_Toc305174756"/>
      <w:bookmarkStart w:id="215" w:name="_Toc305085728"/>
      <w:bookmarkStart w:id="216" w:name="_Toc305086289"/>
      <w:bookmarkStart w:id="217" w:name="_Toc305173675"/>
      <w:bookmarkStart w:id="218" w:name="_Toc305174757"/>
      <w:bookmarkStart w:id="219" w:name="_Toc305085729"/>
      <w:bookmarkStart w:id="220" w:name="_Toc305086290"/>
      <w:bookmarkStart w:id="221" w:name="_Toc305173676"/>
      <w:bookmarkStart w:id="222" w:name="_Toc305174758"/>
      <w:bookmarkStart w:id="223" w:name="_Toc305085730"/>
      <w:bookmarkStart w:id="224" w:name="_Toc305086291"/>
      <w:bookmarkStart w:id="225" w:name="_Toc305173677"/>
      <w:bookmarkStart w:id="226" w:name="_Toc305174759"/>
      <w:bookmarkStart w:id="227" w:name="_Toc305085731"/>
      <w:bookmarkStart w:id="228" w:name="_Toc305086292"/>
      <w:bookmarkStart w:id="229" w:name="_Toc305173678"/>
      <w:bookmarkStart w:id="230" w:name="_Toc305174760"/>
      <w:bookmarkStart w:id="231" w:name="_Toc305085732"/>
      <w:bookmarkStart w:id="232" w:name="_Toc305086293"/>
      <w:bookmarkStart w:id="233" w:name="_Toc305173679"/>
      <w:bookmarkStart w:id="234" w:name="_Toc305174761"/>
      <w:bookmarkStart w:id="235" w:name="_Toc305085733"/>
      <w:bookmarkStart w:id="236" w:name="_Toc305086294"/>
      <w:bookmarkStart w:id="237" w:name="_Toc305173680"/>
      <w:bookmarkStart w:id="238" w:name="_Toc305174762"/>
      <w:bookmarkStart w:id="239" w:name="_Toc305085734"/>
      <w:bookmarkStart w:id="240" w:name="_Toc305086295"/>
      <w:bookmarkStart w:id="241" w:name="_Toc305173681"/>
      <w:bookmarkStart w:id="242" w:name="_Toc305174763"/>
      <w:bookmarkStart w:id="243" w:name="_Toc305085735"/>
      <w:bookmarkStart w:id="244" w:name="_Toc305086296"/>
      <w:bookmarkStart w:id="245" w:name="_Toc305173682"/>
      <w:bookmarkStart w:id="246" w:name="_Toc305174764"/>
      <w:bookmarkStart w:id="247" w:name="_Toc305085736"/>
      <w:bookmarkStart w:id="248" w:name="_Toc305086297"/>
      <w:bookmarkStart w:id="249" w:name="_Toc305173683"/>
      <w:bookmarkStart w:id="250" w:name="_Toc305174765"/>
      <w:bookmarkStart w:id="251" w:name="_Toc305085737"/>
      <w:bookmarkStart w:id="252" w:name="_Toc305086298"/>
      <w:bookmarkStart w:id="253" w:name="_Toc305173684"/>
      <w:bookmarkStart w:id="254" w:name="_Toc305174766"/>
      <w:bookmarkStart w:id="255" w:name="_Toc305085738"/>
      <w:bookmarkStart w:id="256" w:name="_Toc305086299"/>
      <w:bookmarkStart w:id="257" w:name="_Toc305173685"/>
      <w:bookmarkStart w:id="258" w:name="_Toc305174767"/>
      <w:bookmarkStart w:id="259" w:name="_Toc305085739"/>
      <w:bookmarkStart w:id="260" w:name="_Toc305086300"/>
      <w:bookmarkStart w:id="261" w:name="_Toc305173686"/>
      <w:bookmarkStart w:id="262" w:name="_Toc305174768"/>
      <w:bookmarkStart w:id="263" w:name="_Toc305085740"/>
      <w:bookmarkStart w:id="264" w:name="_Toc305086301"/>
      <w:bookmarkStart w:id="265" w:name="_Toc305173687"/>
      <w:bookmarkStart w:id="266" w:name="_Toc305174769"/>
      <w:bookmarkStart w:id="267" w:name="_Toc405272510"/>
      <w:bookmarkStart w:id="268" w:name="_Toc405272511"/>
      <w:bookmarkStart w:id="269" w:name="_Toc405272512"/>
      <w:bookmarkStart w:id="270" w:name="_Toc405272513"/>
      <w:bookmarkStart w:id="271" w:name="_Toc405272514"/>
      <w:bookmarkStart w:id="272" w:name="_Toc405272515"/>
      <w:bookmarkStart w:id="273" w:name="_Toc405272516"/>
      <w:bookmarkStart w:id="274" w:name="_Toc405272517"/>
      <w:bookmarkStart w:id="275" w:name="_Toc405272518"/>
      <w:bookmarkStart w:id="276" w:name="_Toc405272519"/>
      <w:bookmarkStart w:id="277" w:name="_Toc405272520"/>
      <w:bookmarkStart w:id="278" w:name="_Toc405272521"/>
      <w:bookmarkStart w:id="279" w:name="_Toc405272522"/>
      <w:bookmarkStart w:id="280" w:name="_Toc405272523"/>
      <w:bookmarkStart w:id="281" w:name="_Toc405272524"/>
      <w:bookmarkStart w:id="282" w:name="_Toc405272525"/>
      <w:bookmarkStart w:id="283" w:name="_Toc405272526"/>
      <w:bookmarkStart w:id="284" w:name="_Toc405272527"/>
      <w:bookmarkStart w:id="285" w:name="_Toc405272528"/>
      <w:bookmarkStart w:id="286" w:name="_Toc405272529"/>
      <w:bookmarkStart w:id="287" w:name="_Toc405272530"/>
      <w:bookmarkStart w:id="288" w:name="_Toc405272531"/>
      <w:bookmarkStart w:id="289" w:name="_Toc405272532"/>
      <w:bookmarkStart w:id="290" w:name="_Toc405272533"/>
      <w:bookmarkStart w:id="291" w:name="_Toc405272534"/>
      <w:bookmarkStart w:id="292" w:name="_Toc405272535"/>
      <w:bookmarkStart w:id="293" w:name="_Toc405272536"/>
      <w:bookmarkStart w:id="294" w:name="_Toc405272537"/>
      <w:bookmarkStart w:id="295" w:name="_Toc405272538"/>
      <w:bookmarkStart w:id="296" w:name="_Toc405272539"/>
      <w:bookmarkStart w:id="297" w:name="_Toc305085747"/>
      <w:bookmarkStart w:id="298" w:name="_Toc305086308"/>
      <w:bookmarkStart w:id="299" w:name="_Toc305173694"/>
      <w:bookmarkStart w:id="300" w:name="_Toc305174776"/>
      <w:bookmarkStart w:id="301" w:name="_Toc405272540"/>
      <w:bookmarkStart w:id="302" w:name="_Toc405272541"/>
      <w:bookmarkStart w:id="303" w:name="_Toc405272542"/>
      <w:bookmarkStart w:id="304" w:name="_Toc405272543"/>
      <w:bookmarkStart w:id="305" w:name="_Toc405272544"/>
      <w:bookmarkStart w:id="306" w:name="_Toc405272545"/>
      <w:bookmarkStart w:id="307" w:name="_Toc405272546"/>
      <w:bookmarkStart w:id="308" w:name="_Toc405272547"/>
      <w:bookmarkStart w:id="309" w:name="_Toc405272548"/>
      <w:bookmarkStart w:id="310" w:name="_Toc405272549"/>
      <w:bookmarkStart w:id="311" w:name="_Toc405272550"/>
      <w:bookmarkStart w:id="312" w:name="_Toc405272551"/>
      <w:bookmarkStart w:id="313" w:name="_Toc405272552"/>
      <w:bookmarkStart w:id="314" w:name="_Toc405272553"/>
      <w:bookmarkStart w:id="315" w:name="_Toc405272554"/>
      <w:bookmarkStart w:id="316" w:name="_Toc405272555"/>
      <w:bookmarkStart w:id="317" w:name="_Toc405272556"/>
      <w:bookmarkStart w:id="318" w:name="_Toc405272557"/>
      <w:bookmarkStart w:id="319" w:name="_Toc405272558"/>
      <w:bookmarkStart w:id="320" w:name="_Toc405272559"/>
      <w:bookmarkStart w:id="321" w:name="_Toc405272560"/>
      <w:bookmarkStart w:id="322" w:name="_Toc405272561"/>
      <w:bookmarkStart w:id="323" w:name="_Toc405272562"/>
      <w:bookmarkStart w:id="324" w:name="_Toc405272563"/>
      <w:bookmarkStart w:id="325" w:name="_Toc405272564"/>
      <w:bookmarkStart w:id="326" w:name="_Toc405272565"/>
      <w:bookmarkStart w:id="327" w:name="_Toc405272566"/>
      <w:bookmarkStart w:id="328" w:name="_Toc405272567"/>
      <w:bookmarkStart w:id="329" w:name="_Toc405272568"/>
      <w:bookmarkStart w:id="330" w:name="_Toc405272569"/>
      <w:bookmarkStart w:id="331" w:name="_Toc405272570"/>
      <w:bookmarkStart w:id="332" w:name="_Toc405272571"/>
      <w:bookmarkStart w:id="333" w:name="_Toc405272572"/>
      <w:bookmarkStart w:id="334" w:name="_Toc305085751"/>
      <w:bookmarkStart w:id="335" w:name="_Toc305086312"/>
      <w:bookmarkStart w:id="336" w:name="_Toc305173698"/>
      <w:bookmarkStart w:id="337" w:name="_Toc305174780"/>
      <w:bookmarkStart w:id="338" w:name="_Toc405272573"/>
      <w:bookmarkStart w:id="339" w:name="_Toc405272574"/>
      <w:bookmarkStart w:id="340" w:name="_Toc405272575"/>
      <w:bookmarkStart w:id="341" w:name="_Toc405272576"/>
      <w:bookmarkStart w:id="342" w:name="_Toc405272577"/>
      <w:bookmarkStart w:id="343" w:name="_Toc405272578"/>
      <w:bookmarkStart w:id="344" w:name="_Toc405272579"/>
      <w:bookmarkStart w:id="345" w:name="_Toc405272580"/>
      <w:bookmarkStart w:id="346" w:name="_Toc405272581"/>
      <w:bookmarkStart w:id="347" w:name="_Toc405272582"/>
      <w:bookmarkStart w:id="348" w:name="_Toc405272583"/>
      <w:bookmarkStart w:id="349" w:name="_Toc405272584"/>
      <w:bookmarkStart w:id="350" w:name="_Toc405272585"/>
      <w:bookmarkStart w:id="351" w:name="_Toc405272586"/>
      <w:bookmarkStart w:id="352" w:name="_Toc405272587"/>
      <w:bookmarkStart w:id="353" w:name="_Toc405272588"/>
      <w:bookmarkStart w:id="354" w:name="_Toc305085754"/>
      <w:bookmarkStart w:id="355" w:name="_Toc305086315"/>
      <w:bookmarkStart w:id="356" w:name="_Toc305173701"/>
      <w:bookmarkStart w:id="357" w:name="_Toc305174783"/>
      <w:bookmarkStart w:id="358" w:name="_Toc405272589"/>
      <w:bookmarkStart w:id="359" w:name="_Toc405272590"/>
      <w:bookmarkStart w:id="360" w:name="_Toc405272591"/>
      <w:bookmarkStart w:id="361" w:name="_Toc405272592"/>
      <w:bookmarkStart w:id="362" w:name="_Toc405272593"/>
      <w:bookmarkStart w:id="363" w:name="_Toc405272594"/>
      <w:bookmarkStart w:id="364" w:name="_Toc405272595"/>
      <w:bookmarkStart w:id="365" w:name="_Toc405272596"/>
      <w:bookmarkStart w:id="366" w:name="_Toc405272597"/>
      <w:bookmarkStart w:id="367" w:name="_Toc405272598"/>
      <w:bookmarkStart w:id="368" w:name="_Toc405272599"/>
      <w:bookmarkStart w:id="369" w:name="_Toc405272600"/>
      <w:bookmarkStart w:id="370" w:name="_Toc405272601"/>
      <w:bookmarkStart w:id="371" w:name="_Toc405272602"/>
      <w:bookmarkStart w:id="372" w:name="_Toc405272603"/>
      <w:bookmarkStart w:id="373" w:name="_Toc405272604"/>
      <w:bookmarkStart w:id="374" w:name="_Toc405272605"/>
      <w:bookmarkStart w:id="375" w:name="_Toc405272606"/>
      <w:bookmarkStart w:id="376" w:name="_Toc405272607"/>
      <w:bookmarkStart w:id="377" w:name="_Toc405272608"/>
      <w:bookmarkStart w:id="378" w:name="_Toc405272609"/>
      <w:bookmarkStart w:id="379" w:name="_Toc405272610"/>
      <w:bookmarkStart w:id="380" w:name="_Toc405272611"/>
      <w:bookmarkStart w:id="381" w:name="_Toc405272612"/>
      <w:bookmarkStart w:id="382" w:name="_Toc405272613"/>
      <w:bookmarkStart w:id="383" w:name="_Toc405272614"/>
      <w:bookmarkStart w:id="384" w:name="_Toc405272615"/>
      <w:bookmarkStart w:id="385" w:name="_Toc405272616"/>
      <w:bookmarkStart w:id="386" w:name="_Toc405272617"/>
      <w:bookmarkStart w:id="387" w:name="_Toc405272618"/>
      <w:bookmarkStart w:id="388" w:name="_Toc305085759"/>
      <w:bookmarkStart w:id="389" w:name="_Toc305086320"/>
      <w:bookmarkStart w:id="390" w:name="_Toc305173706"/>
      <w:bookmarkStart w:id="391" w:name="_Toc305174788"/>
      <w:bookmarkStart w:id="392" w:name="_Toc305085760"/>
      <w:bookmarkStart w:id="393" w:name="_Toc305086321"/>
      <w:bookmarkStart w:id="394" w:name="_Toc305173707"/>
      <w:bookmarkStart w:id="395" w:name="_Toc305174789"/>
      <w:bookmarkStart w:id="396" w:name="_Toc305085761"/>
      <w:bookmarkStart w:id="397" w:name="_Toc305086322"/>
      <w:bookmarkStart w:id="398" w:name="_Toc305173708"/>
      <w:bookmarkStart w:id="399" w:name="_Toc305174790"/>
      <w:bookmarkStart w:id="400" w:name="_Toc305085762"/>
      <w:bookmarkStart w:id="401" w:name="_Toc305086323"/>
      <w:bookmarkStart w:id="402" w:name="_Toc305173709"/>
      <w:bookmarkStart w:id="403" w:name="_Toc305174791"/>
      <w:bookmarkStart w:id="404" w:name="_Toc305085763"/>
      <w:bookmarkStart w:id="405" w:name="_Toc305086324"/>
      <w:bookmarkStart w:id="406" w:name="_Toc305173710"/>
      <w:bookmarkStart w:id="407" w:name="_Toc305174792"/>
      <w:bookmarkStart w:id="408" w:name="_Toc305085764"/>
      <w:bookmarkStart w:id="409" w:name="_Toc305086325"/>
      <w:bookmarkStart w:id="410" w:name="_Toc305173711"/>
      <w:bookmarkStart w:id="411" w:name="_Toc305174793"/>
      <w:bookmarkStart w:id="412" w:name="_Toc305085765"/>
      <w:bookmarkStart w:id="413" w:name="_Toc305086326"/>
      <w:bookmarkStart w:id="414" w:name="_Toc305173712"/>
      <w:bookmarkStart w:id="415" w:name="_Toc305174794"/>
      <w:bookmarkStart w:id="416" w:name="_Toc305085766"/>
      <w:bookmarkStart w:id="417" w:name="_Toc305086327"/>
      <w:bookmarkStart w:id="418" w:name="_Toc305173713"/>
      <w:bookmarkStart w:id="419" w:name="_Toc305174795"/>
      <w:bookmarkStart w:id="420" w:name="_Toc405272619"/>
      <w:bookmarkStart w:id="421" w:name="_Toc405272620"/>
      <w:bookmarkStart w:id="422" w:name="_Toc405272621"/>
      <w:bookmarkStart w:id="423" w:name="_Toc305085773"/>
      <w:bookmarkStart w:id="424" w:name="_Toc305086334"/>
      <w:bookmarkStart w:id="425" w:name="_Toc305173720"/>
      <w:bookmarkStart w:id="426" w:name="_Toc305174802"/>
      <w:bookmarkStart w:id="427" w:name="_Toc305085774"/>
      <w:bookmarkStart w:id="428" w:name="_Toc305086335"/>
      <w:bookmarkStart w:id="429" w:name="_Toc305173721"/>
      <w:bookmarkStart w:id="430" w:name="_Toc305174803"/>
      <w:bookmarkStart w:id="431" w:name="_Toc405272622"/>
      <w:bookmarkStart w:id="432" w:name="_Toc405272623"/>
      <w:bookmarkStart w:id="433" w:name="_Toc405272624"/>
      <w:bookmarkStart w:id="434" w:name="_Toc405272625"/>
      <w:bookmarkStart w:id="435" w:name="_Toc405272626"/>
      <w:bookmarkStart w:id="436" w:name="_Toc405272627"/>
      <w:bookmarkStart w:id="437" w:name="_Toc405272628"/>
      <w:bookmarkStart w:id="438" w:name="_Toc405272629"/>
      <w:bookmarkStart w:id="439" w:name="_Toc405272630"/>
      <w:bookmarkStart w:id="440" w:name="_Toc405272631"/>
      <w:bookmarkStart w:id="441" w:name="_Toc405272632"/>
      <w:bookmarkStart w:id="442" w:name="_Toc405272633"/>
      <w:bookmarkStart w:id="443" w:name="_Toc405272634"/>
      <w:bookmarkStart w:id="444" w:name="_Toc405272635"/>
      <w:bookmarkStart w:id="445" w:name="_Toc405272636"/>
      <w:bookmarkStart w:id="446" w:name="_Toc405272637"/>
      <w:bookmarkStart w:id="447" w:name="_Toc405272638"/>
      <w:bookmarkStart w:id="448" w:name="_Toc405272639"/>
      <w:bookmarkStart w:id="449" w:name="_Toc405272640"/>
      <w:bookmarkStart w:id="450" w:name="_Toc405272641"/>
      <w:bookmarkStart w:id="451" w:name="_Toc405272642"/>
      <w:bookmarkStart w:id="452" w:name="_Toc405272643"/>
      <w:bookmarkStart w:id="453" w:name="_Toc405272644"/>
      <w:bookmarkStart w:id="454" w:name="_Toc405272645"/>
      <w:bookmarkStart w:id="455" w:name="_Toc405272646"/>
      <w:bookmarkStart w:id="456" w:name="_Toc405272647"/>
      <w:bookmarkStart w:id="457" w:name="_Toc405272648"/>
      <w:bookmarkStart w:id="458" w:name="_Toc405272649"/>
      <w:bookmarkStart w:id="459" w:name="_Toc405272650"/>
      <w:bookmarkStart w:id="460" w:name="_Toc405272651"/>
      <w:bookmarkStart w:id="461" w:name="_Toc405272652"/>
      <w:bookmarkStart w:id="462" w:name="_Toc405272653"/>
      <w:bookmarkStart w:id="463" w:name="_Toc405272654"/>
      <w:bookmarkStart w:id="464" w:name="_Toc405272655"/>
      <w:bookmarkStart w:id="465" w:name="_Toc405272656"/>
      <w:bookmarkStart w:id="466" w:name="_Toc405272657"/>
      <w:bookmarkStart w:id="467" w:name="_Toc405272658"/>
      <w:bookmarkStart w:id="468" w:name="_Toc405272659"/>
      <w:bookmarkStart w:id="469" w:name="_Toc405272660"/>
      <w:bookmarkStart w:id="470" w:name="_Toc405272661"/>
      <w:bookmarkStart w:id="471" w:name="_Toc405272662"/>
      <w:bookmarkStart w:id="472" w:name="_Toc405272663"/>
      <w:bookmarkStart w:id="473" w:name="_Toc405272664"/>
      <w:bookmarkStart w:id="474" w:name="_Toc405272665"/>
      <w:bookmarkStart w:id="475" w:name="_Toc405272666"/>
      <w:bookmarkStart w:id="476" w:name="_Toc405272667"/>
      <w:bookmarkStart w:id="477" w:name="_Toc405272668"/>
      <w:bookmarkStart w:id="478" w:name="_Toc405272669"/>
      <w:bookmarkStart w:id="479" w:name="_Toc405272670"/>
      <w:bookmarkStart w:id="480" w:name="_Toc405272671"/>
      <w:bookmarkStart w:id="481" w:name="_Toc405272672"/>
      <w:bookmarkStart w:id="482" w:name="_Toc405272673"/>
      <w:bookmarkStart w:id="483" w:name="_Toc405272674"/>
      <w:bookmarkStart w:id="484" w:name="_Toc405272675"/>
      <w:bookmarkStart w:id="485" w:name="_Toc405272676"/>
      <w:bookmarkStart w:id="486" w:name="_Toc405272677"/>
      <w:bookmarkStart w:id="487" w:name="_Toc405272678"/>
      <w:bookmarkStart w:id="488" w:name="_Toc405272679"/>
      <w:bookmarkStart w:id="489" w:name="_Toc405272680"/>
      <w:bookmarkStart w:id="490" w:name="_Toc405272681"/>
      <w:bookmarkStart w:id="491" w:name="_Toc405272682"/>
      <w:bookmarkStart w:id="492" w:name="_Toc405272683"/>
      <w:bookmarkStart w:id="493" w:name="_Toc405272684"/>
      <w:bookmarkStart w:id="494" w:name="_Toc405272685"/>
      <w:bookmarkStart w:id="495" w:name="_Toc405272686"/>
      <w:bookmarkStart w:id="496" w:name="_Toc405272687"/>
      <w:bookmarkStart w:id="497" w:name="_Toc405272688"/>
      <w:bookmarkStart w:id="498" w:name="_Toc405272689"/>
      <w:bookmarkStart w:id="499" w:name="_Toc405272690"/>
      <w:bookmarkStart w:id="500" w:name="_Toc405272691"/>
      <w:bookmarkStart w:id="501" w:name="_Toc405272692"/>
      <w:bookmarkStart w:id="502" w:name="_Toc405272693"/>
      <w:bookmarkStart w:id="503" w:name="_Toc405272694"/>
      <w:bookmarkStart w:id="504" w:name="_Toc405272695"/>
      <w:bookmarkStart w:id="505" w:name="_Toc405272696"/>
      <w:bookmarkStart w:id="506" w:name="_Toc405272697"/>
      <w:bookmarkStart w:id="507" w:name="_Toc405272698"/>
      <w:bookmarkStart w:id="508" w:name="_Toc405272699"/>
      <w:bookmarkStart w:id="509" w:name="_Toc405272700"/>
      <w:bookmarkStart w:id="510" w:name="_Toc405272701"/>
      <w:bookmarkStart w:id="511" w:name="_Toc405272702"/>
      <w:bookmarkStart w:id="512" w:name="_Toc405272703"/>
      <w:bookmarkStart w:id="513" w:name="_Toc405272704"/>
      <w:bookmarkStart w:id="514" w:name="_Toc405272705"/>
      <w:bookmarkStart w:id="515" w:name="_Toc405272706"/>
      <w:bookmarkStart w:id="516" w:name="_Toc405272707"/>
      <w:bookmarkStart w:id="517" w:name="_Toc405272708"/>
      <w:bookmarkStart w:id="518" w:name="_Toc405272709"/>
      <w:bookmarkStart w:id="519" w:name="_Toc405272710"/>
      <w:bookmarkStart w:id="520" w:name="_Toc405272711"/>
      <w:bookmarkStart w:id="521" w:name="_Toc405272712"/>
      <w:bookmarkStart w:id="522" w:name="_Toc405272713"/>
      <w:bookmarkStart w:id="523" w:name="_Toc405272714"/>
      <w:bookmarkStart w:id="524" w:name="_Toc405272715"/>
      <w:bookmarkStart w:id="525" w:name="_Toc405272716"/>
      <w:bookmarkStart w:id="526" w:name="_Toc405272717"/>
      <w:bookmarkStart w:id="527" w:name="_Toc405272718"/>
      <w:bookmarkStart w:id="528" w:name="_Toc405272719"/>
      <w:bookmarkStart w:id="529" w:name="_Toc405272720"/>
      <w:bookmarkStart w:id="530" w:name="_Toc405272721"/>
      <w:bookmarkStart w:id="531" w:name="_Toc405272722"/>
      <w:bookmarkStart w:id="532" w:name="_Toc405272723"/>
      <w:bookmarkStart w:id="533" w:name="_Toc289330605"/>
      <w:bookmarkStart w:id="534" w:name="_Toc289330606"/>
      <w:bookmarkStart w:id="535" w:name="_Toc405272724"/>
      <w:bookmarkStart w:id="536" w:name="_Toc405272725"/>
      <w:bookmarkStart w:id="537" w:name="_Toc405272726"/>
      <w:bookmarkStart w:id="538" w:name="_Toc405272727"/>
      <w:bookmarkStart w:id="539" w:name="_Toc405272728"/>
      <w:bookmarkStart w:id="540" w:name="_Toc405272729"/>
      <w:bookmarkStart w:id="541" w:name="_Toc405272730"/>
      <w:bookmarkStart w:id="542" w:name="_Toc405272731"/>
      <w:bookmarkStart w:id="543" w:name="_Toc405272732"/>
      <w:bookmarkStart w:id="544" w:name="_Toc405272733"/>
      <w:bookmarkStart w:id="545" w:name="_Toc405272734"/>
      <w:bookmarkStart w:id="546" w:name="_Toc405272735"/>
      <w:bookmarkStart w:id="547" w:name="_Toc405272736"/>
      <w:bookmarkStart w:id="548" w:name="_Toc405272737"/>
      <w:bookmarkStart w:id="549" w:name="_Toc405272738"/>
      <w:bookmarkStart w:id="550" w:name="_Toc405272739"/>
      <w:bookmarkStart w:id="551" w:name="_Toc405272740"/>
      <w:bookmarkStart w:id="552" w:name="_Toc405272741"/>
      <w:bookmarkStart w:id="553" w:name="_Toc405272742"/>
      <w:bookmarkStart w:id="554" w:name="_Toc405272743"/>
      <w:bookmarkStart w:id="555" w:name="_Toc405272744"/>
      <w:bookmarkStart w:id="556" w:name="_Toc405272745"/>
      <w:bookmarkStart w:id="557" w:name="_Toc405272746"/>
      <w:bookmarkStart w:id="558" w:name="_Toc405272747"/>
      <w:bookmarkStart w:id="559" w:name="_Toc405272748"/>
      <w:bookmarkStart w:id="560" w:name="_Toc405272749"/>
      <w:bookmarkStart w:id="561" w:name="_Toc405272750"/>
      <w:bookmarkStart w:id="562" w:name="_Toc405272751"/>
      <w:bookmarkStart w:id="563" w:name="_Toc405272752"/>
      <w:bookmarkStart w:id="564" w:name="_Toc305085782"/>
      <w:bookmarkStart w:id="565" w:name="_Toc305086343"/>
      <w:bookmarkStart w:id="566" w:name="_Toc305173729"/>
      <w:bookmarkStart w:id="567" w:name="_Toc305174811"/>
      <w:bookmarkStart w:id="568" w:name="_Toc405272753"/>
      <w:bookmarkStart w:id="569" w:name="_Toc405272754"/>
      <w:bookmarkStart w:id="570" w:name="_Toc405272755"/>
      <w:bookmarkStart w:id="571" w:name="_Toc405272756"/>
      <w:bookmarkStart w:id="572" w:name="_Toc405272757"/>
      <w:bookmarkStart w:id="573" w:name="_Toc405272758"/>
      <w:bookmarkStart w:id="574" w:name="_Toc405272759"/>
      <w:bookmarkStart w:id="575" w:name="_Toc405272760"/>
      <w:bookmarkStart w:id="576" w:name="_Toc405272761"/>
      <w:bookmarkStart w:id="577" w:name="_Toc289347714"/>
      <w:bookmarkStart w:id="578" w:name="_Toc405272762"/>
      <w:bookmarkStart w:id="579" w:name="_Toc405272763"/>
      <w:bookmarkStart w:id="580" w:name="_Toc405272764"/>
      <w:bookmarkStart w:id="581" w:name="_Toc405272765"/>
      <w:bookmarkStart w:id="582" w:name="_Toc405272766"/>
      <w:bookmarkStart w:id="583" w:name="_Toc405272767"/>
      <w:bookmarkStart w:id="584" w:name="_Toc405272768"/>
      <w:bookmarkStart w:id="585" w:name="_Toc405272769"/>
      <w:bookmarkStart w:id="586" w:name="_Toc405272770"/>
      <w:bookmarkStart w:id="587" w:name="_Toc405272771"/>
      <w:bookmarkStart w:id="588" w:name="_Toc405272772"/>
      <w:bookmarkStart w:id="589" w:name="_Toc405272773"/>
      <w:bookmarkStart w:id="590" w:name="_Toc405272774"/>
      <w:bookmarkStart w:id="591" w:name="_Toc405272775"/>
      <w:bookmarkStart w:id="592" w:name="_Toc405272776"/>
      <w:bookmarkStart w:id="593" w:name="_Toc405272777"/>
      <w:bookmarkStart w:id="594" w:name="_Toc405272778"/>
      <w:bookmarkStart w:id="595" w:name="_Toc405272779"/>
      <w:bookmarkStart w:id="596" w:name="_Toc405272780"/>
      <w:bookmarkStart w:id="597" w:name="_Toc405272781"/>
      <w:bookmarkStart w:id="598" w:name="_Toc405272782"/>
      <w:bookmarkStart w:id="599" w:name="_Toc405272783"/>
      <w:bookmarkStart w:id="600" w:name="_Toc405272784"/>
      <w:bookmarkStart w:id="601" w:name="_Toc405272785"/>
      <w:bookmarkStart w:id="602" w:name="_Toc405272786"/>
      <w:bookmarkStart w:id="603" w:name="_Toc405272787"/>
      <w:bookmarkStart w:id="604" w:name="_Toc405272788"/>
      <w:bookmarkStart w:id="605" w:name="_Toc405272789"/>
      <w:bookmarkStart w:id="606" w:name="_Toc405272790"/>
      <w:bookmarkStart w:id="607" w:name="_Toc405272791"/>
      <w:bookmarkStart w:id="608" w:name="_Toc405272792"/>
      <w:bookmarkStart w:id="609" w:name="_Toc405272793"/>
      <w:bookmarkStart w:id="610" w:name="_Toc405272794"/>
      <w:bookmarkStart w:id="611" w:name="_Toc405272795"/>
      <w:bookmarkStart w:id="612" w:name="_Toc405272796"/>
      <w:bookmarkStart w:id="613" w:name="_Toc405272797"/>
      <w:bookmarkStart w:id="614" w:name="_Toc405272798"/>
      <w:bookmarkStart w:id="615" w:name="_Toc405272799"/>
      <w:bookmarkStart w:id="616" w:name="_Toc305085789"/>
      <w:bookmarkStart w:id="617" w:name="_Toc305086350"/>
      <w:bookmarkStart w:id="618" w:name="_Toc305173736"/>
      <w:bookmarkStart w:id="619" w:name="_Toc305174818"/>
      <w:bookmarkStart w:id="620" w:name="_Toc405272800"/>
      <w:bookmarkStart w:id="621" w:name="_Toc405272801"/>
      <w:bookmarkStart w:id="622" w:name="_Toc405272802"/>
      <w:bookmarkStart w:id="623" w:name="_Toc405272803"/>
      <w:bookmarkStart w:id="624" w:name="_Toc405272804"/>
      <w:bookmarkStart w:id="625" w:name="_Toc405272805"/>
      <w:bookmarkStart w:id="626" w:name="_Toc405272806"/>
      <w:bookmarkStart w:id="627" w:name="_Toc405272807"/>
      <w:bookmarkStart w:id="628" w:name="_Toc405272808"/>
      <w:bookmarkStart w:id="629" w:name="_Toc405272809"/>
      <w:bookmarkStart w:id="630" w:name="_Toc405272810"/>
      <w:bookmarkStart w:id="631" w:name="_Toc405272811"/>
      <w:bookmarkStart w:id="632" w:name="_Toc305085792"/>
      <w:bookmarkStart w:id="633" w:name="_Toc305086353"/>
      <w:bookmarkStart w:id="634" w:name="_Toc305173739"/>
      <w:bookmarkStart w:id="635" w:name="_Toc305174821"/>
      <w:bookmarkStart w:id="636" w:name="_Toc305085793"/>
      <w:bookmarkStart w:id="637" w:name="_Toc305086354"/>
      <w:bookmarkStart w:id="638" w:name="_Toc305173740"/>
      <w:bookmarkStart w:id="639" w:name="_Toc305174822"/>
      <w:bookmarkStart w:id="640" w:name="_Toc289330621"/>
      <w:bookmarkStart w:id="641" w:name="_Toc405272812"/>
      <w:bookmarkStart w:id="642" w:name="_Toc405272813"/>
      <w:bookmarkStart w:id="643" w:name="_Toc405272814"/>
      <w:bookmarkStart w:id="644" w:name="_Toc405272815"/>
      <w:bookmarkStart w:id="645" w:name="_Toc405272816"/>
      <w:bookmarkStart w:id="646" w:name="_Toc405272817"/>
      <w:bookmarkStart w:id="647" w:name="_Toc405272818"/>
      <w:bookmarkStart w:id="648" w:name="_Toc405272819"/>
      <w:bookmarkStart w:id="649" w:name="_Toc405272820"/>
      <w:bookmarkStart w:id="650" w:name="_Toc405272821"/>
      <w:bookmarkStart w:id="651" w:name="_Toc405272822"/>
      <w:bookmarkStart w:id="652" w:name="_Toc405272823"/>
      <w:bookmarkStart w:id="653" w:name="_Toc405272824"/>
      <w:bookmarkStart w:id="654" w:name="_Toc405272825"/>
      <w:bookmarkStart w:id="655" w:name="_Toc405272826"/>
      <w:bookmarkStart w:id="656" w:name="_Toc405272827"/>
      <w:bookmarkStart w:id="657" w:name="_Toc405272828"/>
      <w:bookmarkStart w:id="658" w:name="_Toc405272829"/>
      <w:bookmarkStart w:id="659" w:name="_Toc405272830"/>
      <w:bookmarkStart w:id="660" w:name="_Toc405272831"/>
      <w:bookmarkStart w:id="661" w:name="_Toc405272832"/>
      <w:bookmarkStart w:id="662" w:name="_Toc405272833"/>
      <w:bookmarkStart w:id="663" w:name="_Toc405272834"/>
      <w:bookmarkStart w:id="664" w:name="_Toc405272835"/>
      <w:bookmarkStart w:id="665" w:name="_Toc405272836"/>
      <w:bookmarkStart w:id="666" w:name="_Toc405272837"/>
      <w:bookmarkStart w:id="667" w:name="_Toc405272838"/>
      <w:bookmarkStart w:id="668" w:name="_Toc405272839"/>
      <w:bookmarkStart w:id="669" w:name="_Toc405272840"/>
      <w:bookmarkStart w:id="670" w:name="_Toc405272841"/>
      <w:bookmarkStart w:id="671" w:name="_Toc405272842"/>
      <w:bookmarkStart w:id="672" w:name="_Toc405272843"/>
      <w:bookmarkStart w:id="673" w:name="_Toc405272844"/>
      <w:bookmarkStart w:id="674" w:name="_Toc405272845"/>
      <w:bookmarkStart w:id="675" w:name="_Toc405272846"/>
      <w:bookmarkStart w:id="676" w:name="_Toc405272847"/>
      <w:bookmarkStart w:id="677" w:name="_Toc405272848"/>
      <w:bookmarkStart w:id="678" w:name="_Toc405272849"/>
      <w:bookmarkStart w:id="679" w:name="_Toc405272850"/>
      <w:bookmarkStart w:id="680" w:name="_Toc405272851"/>
      <w:bookmarkStart w:id="681" w:name="_Toc405272852"/>
      <w:bookmarkStart w:id="682" w:name="_Toc405272853"/>
      <w:bookmarkStart w:id="683" w:name="_Toc405272854"/>
      <w:bookmarkStart w:id="684" w:name="_Toc405272855"/>
      <w:bookmarkStart w:id="685" w:name="_Toc405272856"/>
      <w:bookmarkStart w:id="686" w:name="_Toc405272857"/>
      <w:bookmarkStart w:id="687" w:name="_Toc286341502"/>
      <w:bookmarkStart w:id="688" w:name="_Toc286484521"/>
      <w:bookmarkStart w:id="689" w:name="_Toc405272858"/>
      <w:bookmarkStart w:id="690" w:name="_Toc405272859"/>
      <w:bookmarkStart w:id="691" w:name="_Toc405272860"/>
      <w:bookmarkStart w:id="692" w:name="_Toc405272861"/>
      <w:bookmarkStart w:id="693" w:name="_Toc405272862"/>
      <w:bookmarkStart w:id="694" w:name="_Toc405272863"/>
      <w:bookmarkStart w:id="695" w:name="_Toc405272864"/>
      <w:bookmarkStart w:id="696" w:name="_Toc405272865"/>
      <w:bookmarkStart w:id="697" w:name="_Toc405272866"/>
      <w:bookmarkStart w:id="698" w:name="_Toc405272867"/>
      <w:bookmarkStart w:id="699" w:name="_Toc405272868"/>
      <w:bookmarkStart w:id="700" w:name="_Toc405272869"/>
      <w:bookmarkStart w:id="701" w:name="_Toc405272870"/>
      <w:bookmarkStart w:id="702" w:name="_Toc405272871"/>
      <w:bookmarkStart w:id="703" w:name="_Toc405272872"/>
      <w:bookmarkStart w:id="704" w:name="_Toc405272873"/>
      <w:bookmarkStart w:id="705" w:name="_Toc405272874"/>
      <w:bookmarkStart w:id="706" w:name="_Toc405272875"/>
      <w:bookmarkStart w:id="707" w:name="_Toc405272876"/>
      <w:bookmarkStart w:id="708" w:name="_Toc405272877"/>
      <w:bookmarkStart w:id="709" w:name="_Toc405272878"/>
      <w:bookmarkStart w:id="710" w:name="_Toc405272879"/>
      <w:bookmarkStart w:id="711" w:name="_Toc405272880"/>
      <w:bookmarkStart w:id="712" w:name="_Toc405272881"/>
      <w:bookmarkStart w:id="713" w:name="_Toc405272882"/>
      <w:bookmarkStart w:id="714" w:name="_Toc405272883"/>
      <w:bookmarkStart w:id="715" w:name="_Toc405272884"/>
      <w:bookmarkStart w:id="716" w:name="_Toc405272885"/>
      <w:bookmarkStart w:id="717" w:name="_Toc405272886"/>
      <w:bookmarkStart w:id="718" w:name="_Toc305173747"/>
      <w:bookmarkStart w:id="719" w:name="_Toc305174829"/>
      <w:bookmarkStart w:id="720" w:name="_Toc305085799"/>
      <w:bookmarkStart w:id="721" w:name="_Toc305086360"/>
      <w:bookmarkStart w:id="722" w:name="_Toc305173748"/>
      <w:bookmarkStart w:id="723" w:name="_Toc305174830"/>
      <w:bookmarkStart w:id="724" w:name="_Toc405272887"/>
      <w:bookmarkStart w:id="725" w:name="_Toc405272888"/>
      <w:bookmarkStart w:id="726" w:name="_Toc405272889"/>
      <w:bookmarkStart w:id="727" w:name="_Toc405272890"/>
      <w:bookmarkStart w:id="728" w:name="_Toc405272891"/>
      <w:bookmarkStart w:id="729" w:name="_Toc405272892"/>
      <w:bookmarkStart w:id="730" w:name="_Toc405272893"/>
      <w:bookmarkStart w:id="731" w:name="_Toc405272894"/>
      <w:bookmarkStart w:id="732" w:name="_Toc405272895"/>
      <w:bookmarkStart w:id="733" w:name="_Toc405272896"/>
      <w:bookmarkStart w:id="734" w:name="_Toc405272897"/>
      <w:bookmarkStart w:id="735" w:name="_Toc405272898"/>
      <w:bookmarkStart w:id="736" w:name="_Toc405272899"/>
      <w:bookmarkStart w:id="737" w:name="_Toc405272900"/>
      <w:bookmarkStart w:id="738" w:name="_Toc405272901"/>
      <w:bookmarkStart w:id="739" w:name="_Toc405272902"/>
      <w:bookmarkStart w:id="740" w:name="_Toc405272903"/>
      <w:bookmarkStart w:id="741" w:name="_Toc405272904"/>
      <w:bookmarkStart w:id="742" w:name="_Toc405272905"/>
      <w:bookmarkStart w:id="743" w:name="_Toc405272906"/>
      <w:bookmarkStart w:id="744" w:name="_Toc405272907"/>
      <w:bookmarkStart w:id="745" w:name="_Toc405272908"/>
      <w:bookmarkStart w:id="746" w:name="_Toc405272909"/>
      <w:bookmarkStart w:id="747" w:name="_Toc405272910"/>
      <w:bookmarkStart w:id="748" w:name="_Toc405272911"/>
      <w:bookmarkStart w:id="749" w:name="_Toc405272912"/>
      <w:bookmarkStart w:id="750" w:name="_Toc405272913"/>
      <w:bookmarkStart w:id="751" w:name="_Toc405272914"/>
      <w:bookmarkStart w:id="752" w:name="_Toc405272915"/>
      <w:bookmarkStart w:id="753" w:name="_Toc405272916"/>
      <w:bookmarkStart w:id="754" w:name="_Toc405272917"/>
      <w:bookmarkStart w:id="755" w:name="_Toc405272918"/>
      <w:bookmarkStart w:id="756" w:name="_Toc405272919"/>
      <w:bookmarkStart w:id="757" w:name="_Toc405272920"/>
      <w:bookmarkStart w:id="758" w:name="_Toc405272921"/>
      <w:bookmarkStart w:id="759" w:name="_Toc405272922"/>
      <w:bookmarkStart w:id="760" w:name="_Toc405272923"/>
      <w:bookmarkStart w:id="761" w:name="_Toc405272924"/>
      <w:bookmarkStart w:id="762" w:name="_Toc405272925"/>
      <w:bookmarkStart w:id="763" w:name="_Toc405272926"/>
      <w:bookmarkStart w:id="764" w:name="_Toc405272927"/>
      <w:bookmarkStart w:id="765" w:name="_Toc405272928"/>
      <w:bookmarkStart w:id="766" w:name="_Toc405272929"/>
      <w:bookmarkStart w:id="767" w:name="_Toc405272930"/>
      <w:bookmarkStart w:id="768" w:name="_Toc405272931"/>
      <w:bookmarkStart w:id="769" w:name="_Toc405272932"/>
      <w:bookmarkStart w:id="770" w:name="_Toc405272933"/>
      <w:bookmarkStart w:id="771" w:name="_Toc405272934"/>
      <w:bookmarkStart w:id="772" w:name="_Toc405272935"/>
      <w:bookmarkStart w:id="773" w:name="_Toc405272936"/>
      <w:bookmarkStart w:id="774" w:name="_Toc405272937"/>
      <w:bookmarkStart w:id="775" w:name="_Toc405272938"/>
      <w:bookmarkStart w:id="776" w:name="_Toc405272939"/>
      <w:bookmarkStart w:id="777" w:name="_Toc405272940"/>
      <w:bookmarkStart w:id="778" w:name="_Toc405272941"/>
      <w:bookmarkStart w:id="779" w:name="_Toc405272942"/>
      <w:bookmarkStart w:id="780" w:name="_Toc405272943"/>
      <w:bookmarkStart w:id="781" w:name="_Toc305085801"/>
      <w:bookmarkStart w:id="782" w:name="_Toc305086362"/>
      <w:bookmarkStart w:id="783" w:name="_Toc305173750"/>
      <w:bookmarkStart w:id="784" w:name="_Toc305174832"/>
      <w:bookmarkStart w:id="785" w:name="_Toc405272944"/>
      <w:bookmarkStart w:id="786" w:name="_Toc405272945"/>
      <w:bookmarkStart w:id="787" w:name="_Toc405272946"/>
      <w:bookmarkStart w:id="788" w:name="_Toc405272947"/>
      <w:bookmarkStart w:id="789" w:name="_Toc405272948"/>
      <w:bookmarkStart w:id="790" w:name="_Toc405272949"/>
      <w:bookmarkStart w:id="791" w:name="_Toc405272950"/>
      <w:bookmarkStart w:id="792" w:name="_Toc405272951"/>
      <w:bookmarkStart w:id="793" w:name="_Toc405272952"/>
      <w:bookmarkStart w:id="794" w:name="_Toc405272953"/>
      <w:bookmarkStart w:id="795" w:name="_Toc305085804"/>
      <w:bookmarkStart w:id="796" w:name="_Toc305086365"/>
      <w:bookmarkStart w:id="797" w:name="_Toc305173753"/>
      <w:bookmarkStart w:id="798" w:name="_Toc305174835"/>
      <w:bookmarkStart w:id="799" w:name="_Toc305085805"/>
      <w:bookmarkStart w:id="800" w:name="_Toc305086366"/>
      <w:bookmarkStart w:id="801" w:name="_Toc305173754"/>
      <w:bookmarkStart w:id="802" w:name="_Toc305174836"/>
      <w:bookmarkStart w:id="803" w:name="_Toc305085806"/>
      <w:bookmarkStart w:id="804" w:name="_Toc305086367"/>
      <w:bookmarkStart w:id="805" w:name="_Toc305173755"/>
      <w:bookmarkStart w:id="806" w:name="_Toc305174837"/>
      <w:bookmarkStart w:id="807" w:name="_Toc305085807"/>
      <w:bookmarkStart w:id="808" w:name="_Toc305086368"/>
      <w:bookmarkStart w:id="809" w:name="_Toc305173756"/>
      <w:bookmarkStart w:id="810" w:name="_Toc305174838"/>
      <w:bookmarkStart w:id="811" w:name="_Toc305085808"/>
      <w:bookmarkStart w:id="812" w:name="_Toc305086369"/>
      <w:bookmarkStart w:id="813" w:name="_Toc305173757"/>
      <w:bookmarkStart w:id="814" w:name="_Toc305174839"/>
      <w:bookmarkStart w:id="815" w:name="_Toc305085809"/>
      <w:bookmarkStart w:id="816" w:name="_Toc305086370"/>
      <w:bookmarkStart w:id="817" w:name="_Toc305173758"/>
      <w:bookmarkStart w:id="818" w:name="_Toc305174840"/>
      <w:bookmarkStart w:id="819" w:name="_Toc305085810"/>
      <w:bookmarkStart w:id="820" w:name="_Toc305086371"/>
      <w:bookmarkStart w:id="821" w:name="_Toc305173759"/>
      <w:bookmarkStart w:id="822" w:name="_Toc305174841"/>
      <w:bookmarkStart w:id="823" w:name="_Toc305085811"/>
      <w:bookmarkStart w:id="824" w:name="_Toc305086372"/>
      <w:bookmarkStart w:id="825" w:name="_Toc305173760"/>
      <w:bookmarkStart w:id="826" w:name="_Toc305174842"/>
      <w:bookmarkStart w:id="827" w:name="_Toc305085812"/>
      <w:bookmarkStart w:id="828" w:name="_Toc305086373"/>
      <w:bookmarkStart w:id="829" w:name="_Toc305173761"/>
      <w:bookmarkStart w:id="830" w:name="_Toc305174843"/>
      <w:bookmarkStart w:id="831" w:name="_Toc305085813"/>
      <w:bookmarkStart w:id="832" w:name="_Toc305086374"/>
      <w:bookmarkStart w:id="833" w:name="_Toc305173762"/>
      <w:bookmarkStart w:id="834" w:name="_Toc305174844"/>
      <w:bookmarkStart w:id="835" w:name="_Toc305085814"/>
      <w:bookmarkStart w:id="836" w:name="_Toc305086375"/>
      <w:bookmarkStart w:id="837" w:name="_Toc305173763"/>
      <w:bookmarkStart w:id="838" w:name="_Toc305174845"/>
      <w:bookmarkStart w:id="839" w:name="_Toc305085815"/>
      <w:bookmarkStart w:id="840" w:name="_Toc305086376"/>
      <w:bookmarkStart w:id="841" w:name="_Toc305173764"/>
      <w:bookmarkStart w:id="842" w:name="_Toc305174846"/>
      <w:bookmarkStart w:id="843" w:name="_Toc305085816"/>
      <w:bookmarkStart w:id="844" w:name="_Toc305086377"/>
      <w:bookmarkStart w:id="845" w:name="_Toc305173765"/>
      <w:bookmarkStart w:id="846" w:name="_Toc305174847"/>
      <w:bookmarkStart w:id="847" w:name="_Toc305085817"/>
      <w:bookmarkStart w:id="848" w:name="_Toc305086378"/>
      <w:bookmarkStart w:id="849" w:name="_Toc305173766"/>
      <w:bookmarkStart w:id="850" w:name="_Toc305174848"/>
      <w:bookmarkStart w:id="851" w:name="_Toc305085818"/>
      <w:bookmarkStart w:id="852" w:name="_Toc305086379"/>
      <w:bookmarkStart w:id="853" w:name="_Toc305173767"/>
      <w:bookmarkStart w:id="854" w:name="_Toc305174849"/>
      <w:bookmarkStart w:id="855" w:name="_Toc305085819"/>
      <w:bookmarkStart w:id="856" w:name="_Toc305086380"/>
      <w:bookmarkStart w:id="857" w:name="_Toc305173768"/>
      <w:bookmarkStart w:id="858" w:name="_Toc305174850"/>
      <w:bookmarkStart w:id="859" w:name="_Toc305085820"/>
      <w:bookmarkStart w:id="860" w:name="_Toc305086381"/>
      <w:bookmarkStart w:id="861" w:name="_Toc305173769"/>
      <w:bookmarkStart w:id="862" w:name="_Toc305174851"/>
      <w:bookmarkStart w:id="863" w:name="_Toc305085821"/>
      <w:bookmarkStart w:id="864" w:name="_Toc305086382"/>
      <w:bookmarkStart w:id="865" w:name="_Toc305173770"/>
      <w:bookmarkStart w:id="866" w:name="_Toc305174852"/>
      <w:bookmarkStart w:id="867" w:name="_Toc305085822"/>
      <w:bookmarkStart w:id="868" w:name="_Toc305086383"/>
      <w:bookmarkStart w:id="869" w:name="_Toc305173771"/>
      <w:bookmarkStart w:id="870" w:name="_Toc305174853"/>
      <w:bookmarkStart w:id="871" w:name="_Toc305085823"/>
      <w:bookmarkStart w:id="872" w:name="_Toc305086384"/>
      <w:bookmarkStart w:id="873" w:name="_Toc305173772"/>
      <w:bookmarkStart w:id="874" w:name="_Toc305174854"/>
      <w:bookmarkStart w:id="875" w:name="_Toc305085824"/>
      <w:bookmarkStart w:id="876" w:name="_Toc305086385"/>
      <w:bookmarkStart w:id="877" w:name="_Toc305173773"/>
      <w:bookmarkStart w:id="878" w:name="_Toc305174855"/>
      <w:bookmarkStart w:id="879" w:name="_Ref305572211"/>
      <w:bookmarkStart w:id="880" w:name="_Toc305574073"/>
      <w:bookmarkStart w:id="881" w:name="_Toc431900702"/>
      <w:bookmarkStart w:id="882" w:name="_Toc46162591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r w:rsidRPr="008B162A">
        <w:rPr>
          <w:rFonts w:ascii="Century Gothic" w:hAnsi="Century Gothic"/>
          <w:color w:val="auto"/>
          <w:lang w:val="es-CR"/>
        </w:rPr>
        <w:lastRenderedPageBreak/>
        <w:t xml:space="preserve">Módulo de Costos </w:t>
      </w:r>
      <w:proofErr w:type="spellStart"/>
      <w:r w:rsidRPr="008B162A">
        <w:rPr>
          <w:rFonts w:ascii="Century Gothic" w:hAnsi="Century Gothic"/>
          <w:color w:val="auto"/>
          <w:lang w:val="es-CR"/>
        </w:rPr>
        <w:t>CapEx</w:t>
      </w:r>
      <w:proofErr w:type="spellEnd"/>
      <w:r w:rsidRPr="008B162A">
        <w:rPr>
          <w:rFonts w:ascii="Century Gothic" w:hAnsi="Century Gothic"/>
          <w:color w:val="auto"/>
          <w:lang w:val="es-CR"/>
        </w:rPr>
        <w:t xml:space="preserve"> y </w:t>
      </w:r>
      <w:proofErr w:type="spellStart"/>
      <w:r w:rsidRPr="008B162A">
        <w:rPr>
          <w:rFonts w:ascii="Century Gothic" w:hAnsi="Century Gothic"/>
          <w:color w:val="auto"/>
          <w:lang w:val="es-CR"/>
        </w:rPr>
        <w:t>OpEx</w:t>
      </w:r>
      <w:bookmarkEnd w:id="879"/>
      <w:bookmarkEnd w:id="880"/>
      <w:bookmarkEnd w:id="881"/>
      <w:bookmarkEnd w:id="882"/>
      <w:proofErr w:type="spellEnd"/>
    </w:p>
    <w:p w:rsidR="002B22DF" w:rsidRPr="008B162A" w:rsidRDefault="002B22DF" w:rsidP="002B22DF">
      <w:pPr>
        <w:spacing w:before="120" w:line="360" w:lineRule="auto"/>
        <w:rPr>
          <w:rFonts w:ascii="Century Gothic" w:hAnsi="Century Gothic"/>
          <w:lang w:val="es-CR"/>
        </w:rPr>
      </w:pPr>
      <w:r w:rsidRPr="008B162A">
        <w:rPr>
          <w:rFonts w:ascii="Century Gothic" w:hAnsi="Century Gothic"/>
          <w:lang w:val="es-CR"/>
        </w:rPr>
        <w:t xml:space="preserve">Esté módulo es el responsable del cálculo de la base de costos operativos y de los costos asociados al capital – no anualizados – </w:t>
      </w:r>
      <w:r w:rsidR="000C7E0B" w:rsidRPr="008B162A">
        <w:rPr>
          <w:rFonts w:ascii="Century Gothic" w:hAnsi="Century Gothic"/>
          <w:lang w:val="es-CR"/>
        </w:rPr>
        <w:t xml:space="preserve">ligados </w:t>
      </w:r>
      <w:r w:rsidRPr="008B162A">
        <w:rPr>
          <w:rFonts w:ascii="Century Gothic" w:hAnsi="Century Gothic"/>
          <w:lang w:val="es-CR"/>
        </w:rPr>
        <w:t xml:space="preserve">a los diferentes elementos de red del Modelo. </w:t>
      </w:r>
    </w:p>
    <w:p w:rsidR="002B22DF" w:rsidRPr="008B162A" w:rsidRDefault="002B22DF" w:rsidP="002B22DF">
      <w:pPr>
        <w:spacing w:before="120" w:line="360" w:lineRule="auto"/>
        <w:rPr>
          <w:rFonts w:ascii="Century Gothic" w:hAnsi="Century Gothic"/>
          <w:lang w:val="es-CR"/>
        </w:rPr>
      </w:pPr>
      <w:r w:rsidRPr="008B162A">
        <w:rPr>
          <w:rFonts w:ascii="Century Gothic" w:hAnsi="Century Gothic"/>
          <w:lang w:val="es-CR"/>
        </w:rPr>
        <w:t>Los pasos para llevar a cabo los cálculos necesarios se presentan en detalle a continuación:</w:t>
      </w:r>
    </w:p>
    <w:p w:rsidR="002B22DF" w:rsidRPr="008B162A" w:rsidRDefault="002B22DF" w:rsidP="00893B87">
      <w:pPr>
        <w:pStyle w:val="Indentado1"/>
      </w:pPr>
      <w:r w:rsidRPr="008B162A">
        <w:fldChar w:fldCharType="begin"/>
      </w:r>
      <w:r w:rsidRPr="008B162A">
        <w:instrText xml:space="preserve"> REF _Ref459829090 \h </w:instrText>
      </w:r>
      <w:r w:rsidR="008B162A" w:rsidRPr="008B162A">
        <w:instrText xml:space="preserve"> \* MERGEFORMAT </w:instrText>
      </w:r>
      <w:r w:rsidRPr="008B162A">
        <w:fldChar w:fldCharType="separate"/>
      </w:r>
      <w:r w:rsidR="00431406" w:rsidRPr="008B162A">
        <w:t>Paso 1. Determinación de los costos unitarios</w:t>
      </w:r>
      <w:r w:rsidRPr="008B162A">
        <w:fldChar w:fldCharType="end"/>
      </w:r>
    </w:p>
    <w:p w:rsidR="002B22DF" w:rsidRPr="008B162A" w:rsidRDefault="002B22DF" w:rsidP="00893B87">
      <w:pPr>
        <w:pStyle w:val="Indentado1"/>
      </w:pPr>
      <w:r w:rsidRPr="008B162A">
        <w:fldChar w:fldCharType="begin"/>
      </w:r>
      <w:r w:rsidRPr="008B162A">
        <w:instrText xml:space="preserve"> REF _Ref459829093 \h </w:instrText>
      </w:r>
      <w:r w:rsidR="008B162A" w:rsidRPr="008B162A">
        <w:instrText xml:space="preserve"> \* MERGEFORMAT </w:instrText>
      </w:r>
      <w:r w:rsidRPr="008B162A">
        <w:fldChar w:fldCharType="separate"/>
      </w:r>
      <w:r w:rsidR="00431406" w:rsidRPr="008B162A">
        <w:t>Paso 2. Cálculo de Adquisiciones de Recursos</w:t>
      </w:r>
      <w:r w:rsidRPr="008B162A">
        <w:fldChar w:fldCharType="end"/>
      </w:r>
    </w:p>
    <w:p w:rsidR="002B22DF" w:rsidRPr="008B162A" w:rsidRDefault="002B22DF" w:rsidP="00893B87">
      <w:pPr>
        <w:pStyle w:val="Indentado1"/>
      </w:pPr>
      <w:r w:rsidRPr="008B162A">
        <w:fldChar w:fldCharType="begin"/>
      </w:r>
      <w:r w:rsidRPr="008B162A">
        <w:instrText xml:space="preserve"> REF _Ref459829096 \h </w:instrText>
      </w:r>
      <w:r w:rsidR="008B162A" w:rsidRPr="008B162A">
        <w:instrText xml:space="preserve"> \* MERGEFORMAT </w:instrText>
      </w:r>
      <w:r w:rsidRPr="008B162A">
        <w:fldChar w:fldCharType="separate"/>
      </w:r>
      <w:r w:rsidR="00431406" w:rsidRPr="008B162A">
        <w:t xml:space="preserve">Paso 3. Cálculo de costos </w:t>
      </w:r>
      <w:proofErr w:type="spellStart"/>
      <w:r w:rsidR="00431406" w:rsidRPr="008B162A">
        <w:t>CapEx</w:t>
      </w:r>
      <w:proofErr w:type="spellEnd"/>
      <w:r w:rsidR="00431406" w:rsidRPr="008B162A">
        <w:t xml:space="preserve"> y </w:t>
      </w:r>
      <w:proofErr w:type="spellStart"/>
      <w:r w:rsidR="00431406" w:rsidRPr="008B162A">
        <w:t>OpEx</w:t>
      </w:r>
      <w:proofErr w:type="spellEnd"/>
      <w:r w:rsidR="00431406" w:rsidRPr="008B162A">
        <w:t xml:space="preserve"> </w:t>
      </w:r>
      <w:r w:rsidRPr="008B162A">
        <w:fldChar w:fldCharType="end"/>
      </w:r>
    </w:p>
    <w:p w:rsidR="002B22DF" w:rsidRPr="008B162A" w:rsidRDefault="002B22DF" w:rsidP="002B22DF">
      <w:pPr>
        <w:pStyle w:val="Ttulo2"/>
        <w:spacing w:line="360" w:lineRule="auto"/>
        <w:ind w:left="426" w:hanging="426"/>
        <w:rPr>
          <w:rFonts w:ascii="Century Gothic" w:hAnsi="Century Gothic"/>
          <w:color w:val="auto"/>
          <w:lang w:val="es-CR"/>
        </w:rPr>
      </w:pPr>
      <w:bookmarkStart w:id="883" w:name="_Toc305574074"/>
      <w:bookmarkStart w:id="884" w:name="_Toc431900703"/>
      <w:bookmarkStart w:id="885" w:name="_Ref459829090"/>
      <w:bookmarkStart w:id="886" w:name="_Toc461625914"/>
      <w:bookmarkStart w:id="887" w:name="_Toc286167074"/>
      <w:r w:rsidRPr="008B162A">
        <w:rPr>
          <w:rFonts w:ascii="Century Gothic" w:hAnsi="Century Gothic"/>
          <w:color w:val="auto"/>
          <w:lang w:val="es-CR"/>
        </w:rPr>
        <w:t>Paso 1. Determinación de los costos unitarios</w:t>
      </w:r>
      <w:bookmarkEnd w:id="883"/>
      <w:bookmarkEnd w:id="884"/>
      <w:bookmarkEnd w:id="885"/>
      <w:bookmarkEnd w:id="886"/>
      <w:r w:rsidRPr="008B162A">
        <w:rPr>
          <w:rFonts w:ascii="Century Gothic" w:hAnsi="Century Gothic"/>
          <w:color w:val="auto"/>
          <w:lang w:val="es-CR"/>
        </w:rPr>
        <w:t xml:space="preserve"> </w:t>
      </w:r>
    </w:p>
    <w:p w:rsidR="002B22DF" w:rsidRPr="008B162A" w:rsidRDefault="002B22DF" w:rsidP="002B22DF">
      <w:pPr>
        <w:spacing w:before="120" w:line="360" w:lineRule="auto"/>
        <w:rPr>
          <w:rFonts w:ascii="Century Gothic" w:hAnsi="Century Gothic"/>
          <w:lang w:val="es-CR"/>
        </w:rPr>
      </w:pPr>
      <w:r w:rsidRPr="008B162A">
        <w:rPr>
          <w:rFonts w:ascii="Century Gothic" w:hAnsi="Century Gothic"/>
          <w:lang w:val="es-CR"/>
        </w:rPr>
        <w:t>Para la definición de los costos unitarios de los recursos considerados en el modelo se necesitan dos parámetros de entrada:</w:t>
      </w:r>
    </w:p>
    <w:p w:rsidR="002B22DF" w:rsidRPr="008B162A" w:rsidRDefault="002B22DF" w:rsidP="00893B87">
      <w:pPr>
        <w:pStyle w:val="Indentado1"/>
      </w:pPr>
      <w:r w:rsidRPr="008B162A">
        <w:rPr>
          <w:b/>
        </w:rPr>
        <w:t>Costos unitarios históricos</w:t>
      </w:r>
      <w:r w:rsidRPr="008B162A">
        <w:t xml:space="preserve">: Separados entre </w:t>
      </w:r>
      <w:proofErr w:type="spellStart"/>
      <w:r w:rsidRPr="008B162A">
        <w:t>CapEx</w:t>
      </w:r>
      <w:proofErr w:type="spellEnd"/>
      <w:r w:rsidRPr="008B162A">
        <w:t xml:space="preserve"> y </w:t>
      </w:r>
      <w:proofErr w:type="spellStart"/>
      <w:r w:rsidRPr="008B162A">
        <w:t>OpEx</w:t>
      </w:r>
      <w:proofErr w:type="spellEnd"/>
      <w:r w:rsidRPr="008B162A">
        <w:t xml:space="preserve"> (para aquellos recursos donde aplique). Los costos unitarios deberán ser introducidos en cualquiera de las monedas aceptadas en el modelo (Euros, Dólares Estadounidenses o Pesos Mexicanos)</w:t>
      </w:r>
    </w:p>
    <w:p w:rsidR="002B22DF" w:rsidRPr="008B162A" w:rsidRDefault="002B22DF" w:rsidP="00893B87">
      <w:pPr>
        <w:pStyle w:val="Indentado1"/>
      </w:pPr>
      <w:r w:rsidRPr="008B162A">
        <w:rPr>
          <w:b/>
        </w:rPr>
        <w:t>Tendencias de Costo</w:t>
      </w:r>
      <w:r w:rsidRPr="008B162A">
        <w:t>: Para cada recurso se deben introducir las tendencias esperadas en su costo de adquisición (</w:t>
      </w:r>
      <w:proofErr w:type="spellStart"/>
      <w:r w:rsidRPr="008B162A">
        <w:t>CapEx</w:t>
      </w:r>
      <w:proofErr w:type="spellEnd"/>
      <w:r w:rsidRPr="008B162A">
        <w:t>), así como en su mantenimiento (</w:t>
      </w:r>
      <w:proofErr w:type="spellStart"/>
      <w:r w:rsidRPr="008B162A">
        <w:t>OpEx</w:t>
      </w:r>
      <w:proofErr w:type="spellEnd"/>
      <w:r w:rsidRPr="008B162A">
        <w:t>) a corto/medio plazo.</w:t>
      </w:r>
      <w:r w:rsidR="00492584" w:rsidRPr="008B162A">
        <w:t xml:space="preserve"> </w:t>
      </w:r>
      <w:r w:rsidR="00D07716" w:rsidRPr="008B162A">
        <w:t>Por ejemplo, e</w:t>
      </w:r>
      <w:r w:rsidR="00492584" w:rsidRPr="008B162A">
        <w:t xml:space="preserve">n recursos cuyo costo de adquisición e instalación está compuesto principalmente de mano de obra, como aquellos asociados a la infraestructura civil, se ha utilizado como tendencia de costo la variación del INPC extraída de la encuesta </w:t>
      </w:r>
      <w:r w:rsidR="00E4644E" w:rsidRPr="008B162A">
        <w:t>sobre las</w:t>
      </w:r>
      <w:r w:rsidR="00492584" w:rsidRPr="008B162A">
        <w:t xml:space="preserve"> expectativas </w:t>
      </w:r>
      <w:r w:rsidR="00E4644E" w:rsidRPr="008B162A">
        <w:t>de los especialistas en economía del sector privado</w:t>
      </w:r>
      <w:r w:rsidR="00492584" w:rsidRPr="008B162A">
        <w:t xml:space="preserve"> </w:t>
      </w:r>
      <w:r w:rsidR="00E4644E" w:rsidRPr="008B162A">
        <w:t xml:space="preserve">que publica </w:t>
      </w:r>
      <w:r w:rsidR="00492584" w:rsidRPr="008B162A">
        <w:t>el Banco de México</w:t>
      </w:r>
      <w:r w:rsidR="00492584" w:rsidRPr="008B162A">
        <w:rPr>
          <w:rStyle w:val="Refdenotaalpie"/>
        </w:rPr>
        <w:footnoteReference w:id="18"/>
      </w:r>
      <w:r w:rsidR="00492584" w:rsidRPr="008B162A">
        <w:t xml:space="preserve"> </w:t>
      </w:r>
    </w:p>
    <w:p w:rsidR="002B22DF" w:rsidRPr="008B162A" w:rsidRDefault="002B22DF" w:rsidP="002B22DF">
      <w:pPr>
        <w:rPr>
          <w:rFonts w:ascii="Century Gothic" w:hAnsi="Century Gothic"/>
          <w:lang w:val="es-CR"/>
        </w:rPr>
      </w:pPr>
      <w:r w:rsidRPr="008B162A">
        <w:rPr>
          <w:rFonts w:ascii="Century Gothic" w:hAnsi="Century Gothic"/>
          <w:lang w:val="es-CR"/>
        </w:rPr>
        <w:t xml:space="preserve">Una vez que los costos unitarios históricos y las tendencias de costo han sido definidos el modelo aplica estas tendencias para obtener los </w:t>
      </w:r>
      <w:proofErr w:type="spellStart"/>
      <w:r w:rsidRPr="008B162A">
        <w:rPr>
          <w:rFonts w:ascii="Century Gothic" w:hAnsi="Century Gothic"/>
          <w:lang w:val="es-CR"/>
        </w:rPr>
        <w:t>CapEx</w:t>
      </w:r>
      <w:proofErr w:type="spellEnd"/>
      <w:r w:rsidRPr="008B162A">
        <w:rPr>
          <w:rFonts w:ascii="Century Gothic" w:hAnsi="Century Gothic"/>
          <w:lang w:val="es-CR"/>
        </w:rPr>
        <w:t xml:space="preserve"> y </w:t>
      </w:r>
      <w:proofErr w:type="spellStart"/>
      <w:r w:rsidRPr="008B162A">
        <w:rPr>
          <w:rFonts w:ascii="Century Gothic" w:hAnsi="Century Gothic"/>
          <w:lang w:val="es-CR"/>
        </w:rPr>
        <w:t>OpEx</w:t>
      </w:r>
      <w:proofErr w:type="spellEnd"/>
      <w:r w:rsidRPr="008B162A">
        <w:rPr>
          <w:rFonts w:ascii="Century Gothic" w:hAnsi="Century Gothic"/>
          <w:lang w:val="es-CR"/>
        </w:rPr>
        <w:t xml:space="preserve"> unitarios para los años futuros con base en la siguiente formulación:</w:t>
      </w:r>
    </w:p>
    <w:p w:rsidR="002B22DF" w:rsidRPr="00D7559E" w:rsidRDefault="00D7559E" w:rsidP="002B22DF">
      <w:pPr>
        <w:spacing w:before="120" w:line="360" w:lineRule="auto"/>
        <w:ind w:left="380"/>
        <w:rPr>
          <w:rFonts w:ascii="Century Gothic" w:hAnsi="Century Gothic"/>
          <w:lang w:val="es-CR"/>
        </w:rPr>
      </w:pPr>
      <m:oMathPara>
        <m:oMath>
          <m:r>
            <m:rPr>
              <m:nor/>
            </m:rPr>
            <w:rPr>
              <w:rFonts w:ascii="Century Gothic" w:hAnsi="Century Gothic"/>
              <w:lang w:val="es-CR"/>
            </w:rPr>
            <w:lastRenderedPageBreak/>
            <m:t>Costo Unitario</m:t>
          </m:r>
          <m:d>
            <m:dPr>
              <m:ctrlPr>
                <w:rPr>
                  <w:rFonts w:ascii="Cambria Math" w:hAnsi="Cambria Math"/>
                  <w:i/>
                  <w:lang w:val="es-CR"/>
                </w:rPr>
              </m:ctrlPr>
            </m:dPr>
            <m:e>
              <m:r>
                <m:rPr>
                  <m:nor/>
                </m:rPr>
                <w:rPr>
                  <w:rFonts w:ascii="Century Gothic" w:hAnsi="Century Gothic"/>
                  <w:lang w:val="es-CR"/>
                </w:rPr>
                <m:t xml:space="preserve"> i</m:t>
              </m:r>
            </m:e>
          </m:d>
          <m:r>
            <m:rPr>
              <m:nor/>
            </m:rPr>
            <w:rPr>
              <w:rFonts w:ascii="Century Gothic" w:hAnsi="Century Gothic"/>
              <w:lang w:val="es-CR"/>
            </w:rPr>
            <m:t>=Costo Unitario</m:t>
          </m:r>
          <m:r>
            <w:rPr>
              <w:rFonts w:ascii="Cambria Math" w:hAnsi="Cambria Math"/>
              <w:lang w:val="es-CR"/>
            </w:rPr>
            <m:t xml:space="preserve"> </m:t>
          </m:r>
          <m:d>
            <m:dPr>
              <m:ctrlPr>
                <w:rPr>
                  <w:rFonts w:ascii="Cambria Math" w:hAnsi="Cambria Math"/>
                  <w:i/>
                  <w:lang w:val="es-CR"/>
                </w:rPr>
              </m:ctrlPr>
            </m:dPr>
            <m:e>
              <m:r>
                <m:rPr>
                  <m:nor/>
                </m:rPr>
                <w:rPr>
                  <w:rFonts w:ascii="Century Gothic" w:hAnsi="Century Gothic"/>
                  <w:lang w:val="es-CR"/>
                </w:rPr>
                <m:t>i-1</m:t>
              </m:r>
            </m:e>
          </m:d>
          <m:r>
            <m:rPr>
              <m:nor/>
            </m:rPr>
            <w:rPr>
              <w:rFonts w:ascii="Century Gothic" w:hAnsi="Century Gothic"/>
              <w:lang w:val="es-CR"/>
            </w:rPr>
            <m:t>*</m:t>
          </m:r>
          <m:d>
            <m:dPr>
              <m:ctrlPr>
                <w:rPr>
                  <w:rFonts w:ascii="Cambria Math" w:hAnsi="Cambria Math"/>
                  <w:i/>
                  <w:lang w:val="es-CR"/>
                </w:rPr>
              </m:ctrlPr>
            </m:dPr>
            <m:e>
              <m:r>
                <m:rPr>
                  <m:nor/>
                </m:rPr>
                <w:rPr>
                  <w:rFonts w:ascii="Century Gothic" w:hAnsi="Century Gothic"/>
                  <w:lang w:val="es-CR"/>
                </w:rPr>
                <m:t>1+Tendencia Costo</m:t>
              </m:r>
              <m:d>
                <m:dPr>
                  <m:ctrlPr>
                    <w:rPr>
                      <w:rFonts w:ascii="Cambria Math" w:hAnsi="Cambria Math"/>
                      <w:i/>
                      <w:lang w:val="es-CR"/>
                    </w:rPr>
                  </m:ctrlPr>
                </m:dPr>
                <m:e>
                  <m:r>
                    <m:rPr>
                      <m:nor/>
                    </m:rPr>
                    <w:rPr>
                      <w:rFonts w:ascii="Century Gothic" w:hAnsi="Century Gothic"/>
                      <w:lang w:val="es-CR"/>
                    </w:rPr>
                    <m:t xml:space="preserve"> i</m:t>
                  </m:r>
                </m:e>
              </m:d>
            </m:e>
          </m:d>
        </m:oMath>
      </m:oMathPara>
    </w:p>
    <w:p w:rsidR="0087367E" w:rsidRPr="008B162A" w:rsidRDefault="0087367E" w:rsidP="00D07716">
      <w:pPr>
        <w:spacing w:before="120" w:line="360" w:lineRule="auto"/>
        <w:rPr>
          <w:rFonts w:ascii="Century Gothic" w:hAnsi="Century Gothic"/>
          <w:lang w:val="es-CR"/>
        </w:rPr>
      </w:pPr>
      <w:r w:rsidRPr="008B162A">
        <w:rPr>
          <w:rFonts w:ascii="Century Gothic" w:hAnsi="Century Gothic"/>
          <w:lang w:val="es-CR"/>
        </w:rPr>
        <w:t>Donde:</w:t>
      </w:r>
    </w:p>
    <w:p w:rsidR="0087367E" w:rsidRPr="00893B87" w:rsidRDefault="0087367E" w:rsidP="000F1DD5">
      <w:pPr>
        <w:pStyle w:val="Indentation1"/>
        <w:numPr>
          <w:ilvl w:val="0"/>
          <w:numId w:val="32"/>
        </w:numPr>
        <w:rPr>
          <w:lang w:val="es-CR"/>
        </w:rPr>
      </w:pPr>
      <w:r w:rsidRPr="00893B87">
        <w:rPr>
          <w:lang w:val="es-CR"/>
        </w:rPr>
        <w:t>Costo Unitario (i) representa el costo unitario del elemento para el año i</w:t>
      </w:r>
    </w:p>
    <w:p w:rsidR="0087367E" w:rsidRPr="00893B87" w:rsidRDefault="0087367E" w:rsidP="000F1DD5">
      <w:pPr>
        <w:pStyle w:val="Indentation1"/>
        <w:numPr>
          <w:ilvl w:val="0"/>
          <w:numId w:val="32"/>
        </w:numPr>
        <w:rPr>
          <w:lang w:val="es-CR"/>
        </w:rPr>
      </w:pPr>
      <w:r w:rsidRPr="00893B87">
        <w:rPr>
          <w:lang w:val="es-CR"/>
        </w:rPr>
        <w:t>Tendencia Costo (i) representa la tendencia de costo del elemento calculada como el costo del elemento en el año i entre el costo del elemento en el año i-1</w:t>
      </w:r>
    </w:p>
    <w:p w:rsidR="002B22DF" w:rsidRPr="008B162A" w:rsidRDefault="002B22DF" w:rsidP="002B22DF">
      <w:pPr>
        <w:pStyle w:val="Ttulo2"/>
        <w:spacing w:after="120" w:line="240" w:lineRule="auto"/>
        <w:rPr>
          <w:rFonts w:ascii="Century Gothic" w:hAnsi="Century Gothic"/>
          <w:color w:val="auto"/>
        </w:rPr>
      </w:pPr>
      <w:bookmarkStart w:id="888" w:name="_Toc305574076"/>
      <w:bookmarkStart w:id="889" w:name="_Toc431900704"/>
      <w:bookmarkStart w:id="890" w:name="_Ref459829093"/>
      <w:bookmarkStart w:id="891" w:name="_Toc461625915"/>
      <w:r w:rsidRPr="008B162A">
        <w:rPr>
          <w:rFonts w:ascii="Century Gothic" w:hAnsi="Century Gothic"/>
          <w:color w:val="auto"/>
        </w:rPr>
        <w:t xml:space="preserve">Paso 2. </w:t>
      </w:r>
      <w:bookmarkStart w:id="892" w:name="_Toc299730109"/>
      <w:bookmarkStart w:id="893" w:name="_Toc327864235"/>
      <w:r w:rsidRPr="008B162A">
        <w:rPr>
          <w:rFonts w:ascii="Century Gothic" w:hAnsi="Century Gothic"/>
          <w:color w:val="auto"/>
        </w:rPr>
        <w:t>Cálculo de Adquisiciones de Recursos</w:t>
      </w:r>
      <w:bookmarkEnd w:id="888"/>
      <w:bookmarkEnd w:id="889"/>
      <w:bookmarkEnd w:id="890"/>
      <w:bookmarkEnd w:id="891"/>
      <w:bookmarkEnd w:id="892"/>
      <w:bookmarkEnd w:id="893"/>
      <w:r w:rsidRPr="008B162A">
        <w:rPr>
          <w:rFonts w:ascii="Century Gothic" w:hAnsi="Century Gothic"/>
          <w:color w:val="auto"/>
        </w:rPr>
        <w:t xml:space="preserve"> </w:t>
      </w:r>
    </w:p>
    <w:p w:rsidR="002B22DF" w:rsidRPr="008B162A" w:rsidRDefault="002B22DF" w:rsidP="002B22DF">
      <w:pPr>
        <w:rPr>
          <w:rFonts w:ascii="Century Gothic" w:hAnsi="Century Gothic"/>
          <w:lang w:val="es-CR"/>
        </w:rPr>
      </w:pPr>
      <w:r w:rsidRPr="008B162A">
        <w:rPr>
          <w:rFonts w:ascii="Century Gothic" w:hAnsi="Century Gothic"/>
          <w:lang w:val="es-CR"/>
        </w:rPr>
        <w:t>En este paso se calculan los activos adquiridos anualmente con base en el algoritmo presentado a continuación:</w:t>
      </w:r>
    </w:p>
    <w:p w:rsidR="000F1C3B" w:rsidRPr="008B162A" w:rsidRDefault="000F1C3B" w:rsidP="002B22DF">
      <w:pPr>
        <w:keepNext/>
        <w:spacing w:after="0" w:line="240" w:lineRule="auto"/>
        <w:jc w:val="center"/>
        <w:rPr>
          <w:rFonts w:ascii="Century Gothic" w:hAnsi="Century Gothic"/>
          <w:lang w:val="es-CR"/>
        </w:rPr>
      </w:pPr>
      <w:r w:rsidRPr="008B162A">
        <w:rPr>
          <w:rFonts w:ascii="Century Gothic" w:hAnsi="Century Gothic"/>
          <w:noProof/>
          <w:lang w:eastAsia="es-MX"/>
        </w:rPr>
        <w:drawing>
          <wp:inline distT="0" distB="0" distL="0" distR="0" wp14:anchorId="243674B5" wp14:editId="5828077D">
            <wp:extent cx="3428376" cy="2447925"/>
            <wp:effectExtent l="0" t="0" r="0" b="0"/>
            <wp:docPr id="486" name="Picture 486"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41226" cy="2457100"/>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lang w:val="es-CR"/>
        </w:rPr>
      </w:pPr>
      <w:r w:rsidRPr="008B162A">
        <w:rPr>
          <w:rFonts w:ascii="Century Gothic" w:hAnsi="Century Gothic"/>
          <w:lang w:val="es-CR"/>
        </w:rPr>
        <w:t xml:space="preserve">Ilustración </w:t>
      </w:r>
      <w:r w:rsidR="006F7424" w:rsidRPr="008B162A">
        <w:rPr>
          <w:rFonts w:ascii="Century Gothic" w:hAnsi="Century Gothic"/>
          <w:lang w:val="es-CR"/>
        </w:rPr>
        <w:fldChar w:fldCharType="begin"/>
      </w:r>
      <w:r w:rsidR="006F7424" w:rsidRPr="008B162A">
        <w:rPr>
          <w:rFonts w:ascii="Century Gothic" w:hAnsi="Century Gothic"/>
          <w:lang w:val="es-CR"/>
        </w:rPr>
        <w:instrText xml:space="preserve"> STYLEREF 1 \s </w:instrText>
      </w:r>
      <w:r w:rsidR="006F7424" w:rsidRPr="008B162A">
        <w:rPr>
          <w:rFonts w:ascii="Century Gothic" w:hAnsi="Century Gothic"/>
          <w:lang w:val="es-CR"/>
        </w:rPr>
        <w:fldChar w:fldCharType="separate"/>
      </w:r>
      <w:r w:rsidR="00431406">
        <w:rPr>
          <w:rFonts w:ascii="Century Gothic" w:hAnsi="Century Gothic"/>
          <w:noProof/>
          <w:lang w:val="es-CR"/>
        </w:rPr>
        <w:t>8</w:t>
      </w:r>
      <w:r w:rsidR="006F7424" w:rsidRPr="008B162A">
        <w:rPr>
          <w:rFonts w:ascii="Century Gothic" w:hAnsi="Century Gothic"/>
          <w:lang w:val="es-CR"/>
        </w:rPr>
        <w:fldChar w:fldCharType="end"/>
      </w:r>
      <w:r w:rsidR="006F7424" w:rsidRPr="008B162A">
        <w:rPr>
          <w:rFonts w:ascii="Century Gothic" w:hAnsi="Century Gothic"/>
          <w:lang w:val="es-CR"/>
        </w:rPr>
        <w:t>.</w:t>
      </w:r>
      <w:r w:rsidR="006F7424" w:rsidRPr="008B162A">
        <w:rPr>
          <w:rFonts w:ascii="Century Gothic" w:hAnsi="Century Gothic"/>
          <w:lang w:val="es-CR"/>
        </w:rPr>
        <w:fldChar w:fldCharType="begin"/>
      </w:r>
      <w:r w:rsidR="006F7424" w:rsidRPr="008B162A">
        <w:rPr>
          <w:rFonts w:ascii="Century Gothic" w:hAnsi="Century Gothic"/>
          <w:lang w:val="es-CR"/>
        </w:rPr>
        <w:instrText xml:space="preserve"> SEQ Ilustración \* ARABIC \s 1 </w:instrText>
      </w:r>
      <w:r w:rsidR="006F7424" w:rsidRPr="008B162A">
        <w:rPr>
          <w:rFonts w:ascii="Century Gothic" w:hAnsi="Century Gothic"/>
          <w:lang w:val="es-CR"/>
        </w:rPr>
        <w:fldChar w:fldCharType="separate"/>
      </w:r>
      <w:r w:rsidR="00431406">
        <w:rPr>
          <w:rFonts w:ascii="Century Gothic" w:hAnsi="Century Gothic"/>
          <w:noProof/>
          <w:lang w:val="es-CR"/>
        </w:rPr>
        <w:t>1</w:t>
      </w:r>
      <w:r w:rsidR="006F7424" w:rsidRPr="008B162A">
        <w:rPr>
          <w:rFonts w:ascii="Century Gothic" w:hAnsi="Century Gothic"/>
          <w:lang w:val="es-CR"/>
        </w:rPr>
        <w:fldChar w:fldCharType="end"/>
      </w:r>
      <w:r w:rsidRPr="008B162A">
        <w:rPr>
          <w:rFonts w:ascii="Century Gothic" w:hAnsi="Century Gothic"/>
          <w:lang w:val="es-CR"/>
        </w:rPr>
        <w:t xml:space="preserve">: Algoritmo empleado para el cálculo de las nuevas adquisiciones de recursos [Fuente: </w:t>
      </w:r>
      <w:r w:rsidR="006B7D75" w:rsidRPr="008B162A">
        <w:rPr>
          <w:rFonts w:ascii="Century Gothic" w:hAnsi="Century Gothic"/>
          <w:lang w:val="es-CR"/>
        </w:rPr>
        <w:t>IFT, 2016</w:t>
      </w:r>
      <w:r w:rsidRPr="008B162A">
        <w:rPr>
          <w:rFonts w:ascii="Century Gothic" w:hAnsi="Century Gothic"/>
          <w:lang w:val="es-CR"/>
        </w:rPr>
        <w:t>]</w:t>
      </w:r>
    </w:p>
    <w:p w:rsidR="002B22DF" w:rsidRPr="008B162A" w:rsidRDefault="002B22DF" w:rsidP="002B22DF">
      <w:pPr>
        <w:rPr>
          <w:rFonts w:ascii="Century Gothic" w:hAnsi="Century Gothic"/>
          <w:lang w:val="es-CR"/>
        </w:rPr>
      </w:pPr>
      <w:bookmarkStart w:id="894" w:name="_Toc305085832"/>
      <w:bookmarkStart w:id="895" w:name="_Toc305086393"/>
      <w:bookmarkStart w:id="896" w:name="_Toc305173781"/>
      <w:bookmarkStart w:id="897" w:name="_Toc305174863"/>
      <w:bookmarkStart w:id="898" w:name="_Toc305085833"/>
      <w:bookmarkStart w:id="899" w:name="_Toc305086394"/>
      <w:bookmarkStart w:id="900" w:name="_Toc305173782"/>
      <w:bookmarkStart w:id="901" w:name="_Toc305174864"/>
      <w:bookmarkStart w:id="902" w:name="_Toc305574077"/>
      <w:bookmarkEnd w:id="894"/>
      <w:bookmarkEnd w:id="895"/>
      <w:bookmarkEnd w:id="896"/>
      <w:bookmarkEnd w:id="897"/>
      <w:bookmarkEnd w:id="898"/>
      <w:bookmarkEnd w:id="899"/>
      <w:bookmarkEnd w:id="900"/>
      <w:bookmarkEnd w:id="901"/>
      <w:r w:rsidRPr="008B162A">
        <w:rPr>
          <w:rFonts w:ascii="Century Gothic" w:hAnsi="Century Gothic"/>
          <w:lang w:val="es-CR"/>
        </w:rPr>
        <w:t>Como se puede observar, para el cálculo de nuevas adquisiciones necesarias se tienen en cuenta dos factores relevantes:</w:t>
      </w:r>
    </w:p>
    <w:p w:rsidR="002B22DF" w:rsidRPr="008B162A" w:rsidRDefault="002B22DF" w:rsidP="00893B87">
      <w:pPr>
        <w:pStyle w:val="Indentado1"/>
      </w:pPr>
      <w:r w:rsidRPr="008B162A">
        <w:rPr>
          <w:b/>
        </w:rPr>
        <w:t>Despliegue de red</w:t>
      </w:r>
      <w:r w:rsidRPr="008B162A">
        <w:t>: El despliegue de nuevas tecnologías, o la adquisición de nuevos elementos para aumentar la capacidad, vendrá determinado por el número de elementos adicionales requeridos para hacer frente a la demanda.</w:t>
      </w:r>
    </w:p>
    <w:p w:rsidR="002B22DF" w:rsidRPr="008B162A" w:rsidRDefault="0087367E" w:rsidP="00893B87">
      <w:pPr>
        <w:pStyle w:val="Indentado1"/>
      </w:pPr>
      <w:r w:rsidRPr="008B162A">
        <w:rPr>
          <w:b/>
        </w:rPr>
        <w:t xml:space="preserve">Reemplazo </w:t>
      </w:r>
      <w:r w:rsidR="002B22DF" w:rsidRPr="008B162A">
        <w:rPr>
          <w:b/>
        </w:rPr>
        <w:t>de equipos</w:t>
      </w:r>
      <w:r w:rsidR="002B22DF" w:rsidRPr="008B162A">
        <w:t>: Una vez expira la vida útil del equipo, y cuando dicho recurso es todavía necesario debido a los requerimientos de la red, dicho recurso es reemplazado. En determinados casos, cuando el equipo ya no resulta necesario, éste es desmantelado y no se instala ningún otro equipo en su lugar.</w:t>
      </w:r>
    </w:p>
    <w:p w:rsidR="002B22DF" w:rsidRPr="008B162A" w:rsidRDefault="002B22DF" w:rsidP="002B22DF">
      <w:pPr>
        <w:pStyle w:val="Ttulo2"/>
        <w:spacing w:after="120" w:line="240" w:lineRule="auto"/>
        <w:rPr>
          <w:rFonts w:ascii="Century Gothic" w:hAnsi="Century Gothic"/>
          <w:color w:val="auto"/>
          <w:lang w:val="es-CR"/>
        </w:rPr>
      </w:pPr>
      <w:bookmarkStart w:id="903" w:name="_Toc431900705"/>
      <w:bookmarkStart w:id="904" w:name="_Toc461625916"/>
      <w:bookmarkStart w:id="905" w:name="_Ref459829096"/>
      <w:r w:rsidRPr="008B162A">
        <w:rPr>
          <w:rFonts w:ascii="Century Gothic" w:hAnsi="Century Gothic"/>
          <w:color w:val="auto"/>
          <w:lang w:val="es-CR"/>
        </w:rPr>
        <w:lastRenderedPageBreak/>
        <w:t xml:space="preserve">Paso 3. </w:t>
      </w:r>
      <w:bookmarkStart w:id="906" w:name="_Toc299730110"/>
      <w:bookmarkStart w:id="907" w:name="_Toc327864236"/>
      <w:r w:rsidRPr="008B162A">
        <w:rPr>
          <w:rFonts w:ascii="Century Gothic" w:hAnsi="Century Gothic"/>
          <w:color w:val="auto"/>
          <w:lang w:val="es-CR"/>
        </w:rPr>
        <w:t xml:space="preserve">Cálculo de costos </w:t>
      </w:r>
      <w:proofErr w:type="spellStart"/>
      <w:r w:rsidRPr="008B162A">
        <w:rPr>
          <w:rFonts w:ascii="Century Gothic" w:hAnsi="Century Gothic"/>
          <w:color w:val="auto"/>
          <w:lang w:val="es-CR"/>
        </w:rPr>
        <w:t>CapEx</w:t>
      </w:r>
      <w:proofErr w:type="spellEnd"/>
      <w:r w:rsidRPr="008B162A">
        <w:rPr>
          <w:rFonts w:ascii="Century Gothic" w:hAnsi="Century Gothic"/>
          <w:color w:val="auto"/>
          <w:lang w:val="es-CR"/>
        </w:rPr>
        <w:t xml:space="preserve"> y </w:t>
      </w:r>
      <w:proofErr w:type="spellStart"/>
      <w:r w:rsidRPr="008B162A">
        <w:rPr>
          <w:rFonts w:ascii="Century Gothic" w:hAnsi="Century Gothic"/>
          <w:color w:val="auto"/>
          <w:lang w:val="es-CR"/>
        </w:rPr>
        <w:t>OpE</w:t>
      </w:r>
      <w:bookmarkEnd w:id="906"/>
      <w:bookmarkEnd w:id="907"/>
      <w:r w:rsidRPr="008B162A">
        <w:rPr>
          <w:rFonts w:ascii="Century Gothic" w:hAnsi="Century Gothic"/>
          <w:color w:val="auto"/>
          <w:lang w:val="es-CR"/>
        </w:rPr>
        <w:t>x</w:t>
      </w:r>
      <w:bookmarkEnd w:id="903"/>
      <w:bookmarkEnd w:id="904"/>
      <w:proofErr w:type="spellEnd"/>
      <w:r w:rsidRPr="008B162A">
        <w:rPr>
          <w:rFonts w:ascii="Century Gothic" w:hAnsi="Century Gothic"/>
          <w:color w:val="auto"/>
          <w:lang w:val="es-CR"/>
        </w:rPr>
        <w:t xml:space="preserve"> </w:t>
      </w:r>
      <w:bookmarkEnd w:id="902"/>
      <w:bookmarkEnd w:id="905"/>
    </w:p>
    <w:p w:rsidR="002B22DF" w:rsidRPr="008B162A" w:rsidRDefault="002B22DF" w:rsidP="002B22DF">
      <w:pPr>
        <w:spacing w:line="360" w:lineRule="auto"/>
        <w:rPr>
          <w:rFonts w:ascii="Century Gothic" w:hAnsi="Century Gothic"/>
          <w:lang w:val="es-CR"/>
        </w:rPr>
      </w:pPr>
      <w:r w:rsidRPr="008B162A">
        <w:rPr>
          <w:rFonts w:ascii="Century Gothic" w:hAnsi="Century Gothic"/>
          <w:lang w:val="es-CR"/>
        </w:rPr>
        <w:t xml:space="preserve">Por último, una vez se dispone del costo unitario y del número de nuevas adquisiciones necesarias de cada recurso y año, se emplea una formulación </w:t>
      </w:r>
      <w:proofErr w:type="spellStart"/>
      <w:r w:rsidRPr="008B162A">
        <w:rPr>
          <w:rFonts w:ascii="Century Gothic" w:hAnsi="Century Gothic"/>
          <w:lang w:val="es-CR"/>
        </w:rPr>
        <w:t>PxQ</w:t>
      </w:r>
      <w:proofErr w:type="spellEnd"/>
      <w:r w:rsidR="00B06D8D" w:rsidRPr="008B162A">
        <w:rPr>
          <w:rFonts w:ascii="Century Gothic" w:hAnsi="Century Gothic"/>
          <w:lang w:val="es-CR"/>
        </w:rPr>
        <w:t xml:space="preserve"> </w:t>
      </w:r>
      <w:r w:rsidRPr="008B162A">
        <w:rPr>
          <w:rFonts w:ascii="Century Gothic" w:hAnsi="Century Gothic"/>
          <w:lang w:val="es-CR"/>
        </w:rPr>
        <w:t>para obtener los gastos asociados a éstos</w:t>
      </w:r>
      <w:r w:rsidR="00B06D8D" w:rsidRPr="008B162A">
        <w:rPr>
          <w:rFonts w:ascii="Century Gothic" w:hAnsi="Century Gothic"/>
          <w:lang w:val="es-CR"/>
        </w:rPr>
        <w:t>. Esto es, multiplicando el costo unitario (P) por la cantidad de equipos instalados o adquiridos (Q)</w:t>
      </w:r>
      <w:r w:rsidRPr="008B162A">
        <w:rPr>
          <w:rFonts w:ascii="Century Gothic" w:hAnsi="Century Gothic"/>
          <w:lang w:val="es-CR"/>
        </w:rPr>
        <w:t xml:space="preserve">. El cálculo del </w:t>
      </w:r>
      <w:proofErr w:type="spellStart"/>
      <w:r w:rsidRPr="008B162A">
        <w:rPr>
          <w:rFonts w:ascii="Century Gothic" w:hAnsi="Century Gothic"/>
          <w:lang w:val="es-CR"/>
        </w:rPr>
        <w:t>CapEx</w:t>
      </w:r>
      <w:proofErr w:type="spellEnd"/>
      <w:r w:rsidRPr="008B162A">
        <w:rPr>
          <w:rFonts w:ascii="Century Gothic" w:hAnsi="Century Gothic"/>
          <w:lang w:val="es-CR"/>
        </w:rPr>
        <w:t xml:space="preserve"> – sin anualizar - y el </w:t>
      </w:r>
      <w:proofErr w:type="spellStart"/>
      <w:r w:rsidRPr="008B162A">
        <w:rPr>
          <w:rFonts w:ascii="Century Gothic" w:hAnsi="Century Gothic"/>
          <w:lang w:val="es-CR"/>
        </w:rPr>
        <w:t>OpEx</w:t>
      </w:r>
      <w:proofErr w:type="spellEnd"/>
      <w:r w:rsidRPr="008B162A">
        <w:rPr>
          <w:rFonts w:ascii="Century Gothic" w:hAnsi="Century Gothic"/>
          <w:lang w:val="es-CR"/>
        </w:rPr>
        <w:t xml:space="preserve"> se </w:t>
      </w:r>
      <w:r w:rsidR="002C2062" w:rsidRPr="008B162A">
        <w:rPr>
          <w:rFonts w:ascii="Century Gothic" w:hAnsi="Century Gothic"/>
          <w:lang w:val="es-CR"/>
        </w:rPr>
        <w:t>realizan</w:t>
      </w:r>
      <w:r w:rsidRPr="008B162A">
        <w:rPr>
          <w:rFonts w:ascii="Century Gothic" w:hAnsi="Century Gothic"/>
          <w:lang w:val="es-CR"/>
        </w:rPr>
        <w:t xml:space="preserve"> mediante el siguiente algoritmo:</w:t>
      </w:r>
    </w:p>
    <w:p w:rsidR="002B22DF" w:rsidRPr="008B162A" w:rsidRDefault="000F1C3B" w:rsidP="007E2C97">
      <w:pPr>
        <w:keepNext/>
        <w:spacing w:after="0" w:line="240" w:lineRule="auto"/>
        <w:jc w:val="center"/>
        <w:rPr>
          <w:rFonts w:ascii="Century Gothic" w:hAnsi="Century Gothic"/>
          <w:lang w:val="es-CR"/>
        </w:rPr>
      </w:pPr>
      <w:r w:rsidRPr="008B162A">
        <w:rPr>
          <w:rFonts w:ascii="Century Gothic" w:hAnsi="Century Gothic"/>
          <w:noProof/>
          <w:lang w:eastAsia="es-MX"/>
        </w:rPr>
        <w:drawing>
          <wp:inline distT="0" distB="0" distL="0" distR="0" wp14:anchorId="12B4280B" wp14:editId="2470FB79">
            <wp:extent cx="4544341" cy="2816960"/>
            <wp:effectExtent l="0" t="0" r="8890" b="0"/>
            <wp:docPr id="487" name="Picture 487"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66136" cy="2830471"/>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lang w:val="es-CR"/>
        </w:rPr>
      </w:pPr>
      <w:r w:rsidRPr="008B162A">
        <w:rPr>
          <w:rFonts w:ascii="Century Gothic" w:hAnsi="Century Gothic"/>
          <w:lang w:val="es-CR"/>
        </w:rPr>
        <w:t xml:space="preserve">Ilustración </w:t>
      </w:r>
      <w:r w:rsidR="006F7424" w:rsidRPr="008B162A">
        <w:rPr>
          <w:rFonts w:ascii="Century Gothic" w:hAnsi="Century Gothic"/>
          <w:lang w:val="es-CR"/>
        </w:rPr>
        <w:fldChar w:fldCharType="begin"/>
      </w:r>
      <w:r w:rsidR="006F7424" w:rsidRPr="008B162A">
        <w:rPr>
          <w:rFonts w:ascii="Century Gothic" w:hAnsi="Century Gothic"/>
          <w:lang w:val="es-CR"/>
        </w:rPr>
        <w:instrText xml:space="preserve"> STYLEREF 1 \s </w:instrText>
      </w:r>
      <w:r w:rsidR="006F7424" w:rsidRPr="008B162A">
        <w:rPr>
          <w:rFonts w:ascii="Century Gothic" w:hAnsi="Century Gothic"/>
          <w:lang w:val="es-CR"/>
        </w:rPr>
        <w:fldChar w:fldCharType="separate"/>
      </w:r>
      <w:r w:rsidR="00431406">
        <w:rPr>
          <w:rFonts w:ascii="Century Gothic" w:hAnsi="Century Gothic"/>
          <w:noProof/>
          <w:lang w:val="es-CR"/>
        </w:rPr>
        <w:t>8</w:t>
      </w:r>
      <w:r w:rsidR="006F7424" w:rsidRPr="008B162A">
        <w:rPr>
          <w:rFonts w:ascii="Century Gothic" w:hAnsi="Century Gothic"/>
          <w:lang w:val="es-CR"/>
        </w:rPr>
        <w:fldChar w:fldCharType="end"/>
      </w:r>
      <w:r w:rsidR="006F7424" w:rsidRPr="008B162A">
        <w:rPr>
          <w:rFonts w:ascii="Century Gothic" w:hAnsi="Century Gothic"/>
          <w:lang w:val="es-CR"/>
        </w:rPr>
        <w:t>.</w:t>
      </w:r>
      <w:r w:rsidR="006F7424" w:rsidRPr="008B162A">
        <w:rPr>
          <w:rFonts w:ascii="Century Gothic" w:hAnsi="Century Gothic"/>
          <w:lang w:val="es-CR"/>
        </w:rPr>
        <w:fldChar w:fldCharType="begin"/>
      </w:r>
      <w:r w:rsidR="006F7424" w:rsidRPr="008B162A">
        <w:rPr>
          <w:rFonts w:ascii="Century Gothic" w:hAnsi="Century Gothic"/>
          <w:lang w:val="es-CR"/>
        </w:rPr>
        <w:instrText xml:space="preserve"> SEQ Ilustración \* ARABIC \s 1 </w:instrText>
      </w:r>
      <w:r w:rsidR="006F7424" w:rsidRPr="008B162A">
        <w:rPr>
          <w:rFonts w:ascii="Century Gothic" w:hAnsi="Century Gothic"/>
          <w:lang w:val="es-CR"/>
        </w:rPr>
        <w:fldChar w:fldCharType="separate"/>
      </w:r>
      <w:r w:rsidR="00431406">
        <w:rPr>
          <w:rFonts w:ascii="Century Gothic" w:hAnsi="Century Gothic"/>
          <w:noProof/>
          <w:lang w:val="es-CR"/>
        </w:rPr>
        <w:t>2</w:t>
      </w:r>
      <w:r w:rsidR="006F7424" w:rsidRPr="008B162A">
        <w:rPr>
          <w:rFonts w:ascii="Century Gothic" w:hAnsi="Century Gothic"/>
          <w:lang w:val="es-CR"/>
        </w:rPr>
        <w:fldChar w:fldCharType="end"/>
      </w:r>
      <w:r w:rsidRPr="008B162A">
        <w:rPr>
          <w:rFonts w:ascii="Century Gothic" w:hAnsi="Century Gothic"/>
          <w:lang w:val="es-CR"/>
        </w:rPr>
        <w:t xml:space="preserve">: Algoritmo empleado para el cálculo del </w:t>
      </w:r>
      <w:proofErr w:type="spellStart"/>
      <w:r w:rsidRPr="008B162A">
        <w:rPr>
          <w:rFonts w:ascii="Century Gothic" w:hAnsi="Century Gothic"/>
          <w:lang w:val="es-CR"/>
        </w:rPr>
        <w:t>OpEx</w:t>
      </w:r>
      <w:proofErr w:type="spellEnd"/>
      <w:r w:rsidRPr="008B162A">
        <w:rPr>
          <w:rFonts w:ascii="Century Gothic" w:hAnsi="Century Gothic"/>
          <w:lang w:val="es-CR"/>
        </w:rPr>
        <w:t xml:space="preserve"> y el </w:t>
      </w:r>
      <w:proofErr w:type="spellStart"/>
      <w:r w:rsidRPr="008B162A">
        <w:rPr>
          <w:rFonts w:ascii="Century Gothic" w:hAnsi="Century Gothic"/>
          <w:lang w:val="es-CR"/>
        </w:rPr>
        <w:t>CapEx</w:t>
      </w:r>
      <w:proofErr w:type="spellEnd"/>
      <w:r w:rsidRPr="008B162A">
        <w:rPr>
          <w:rFonts w:ascii="Century Gothic" w:hAnsi="Century Gothic"/>
          <w:lang w:val="es-CR"/>
        </w:rPr>
        <w:t xml:space="preserve"> [Fuente: </w:t>
      </w:r>
      <w:r w:rsidR="006B7D75" w:rsidRPr="008B162A">
        <w:rPr>
          <w:rFonts w:ascii="Century Gothic" w:hAnsi="Century Gothic"/>
          <w:lang w:val="es-CR"/>
        </w:rPr>
        <w:t>IFT, 2016</w:t>
      </w:r>
      <w:r w:rsidRPr="008B162A">
        <w:rPr>
          <w:rFonts w:ascii="Century Gothic" w:hAnsi="Century Gothic"/>
          <w:lang w:val="es-CR"/>
        </w:rPr>
        <w:t>]</w:t>
      </w:r>
    </w:p>
    <w:p w:rsidR="002B22DF" w:rsidRPr="008B162A" w:rsidRDefault="002B22DF" w:rsidP="002B22DF">
      <w:pPr>
        <w:pStyle w:val="Ttulo1"/>
        <w:pageBreakBefore/>
        <w:spacing w:line="360" w:lineRule="auto"/>
        <w:rPr>
          <w:rFonts w:ascii="Century Gothic" w:hAnsi="Century Gothic"/>
          <w:color w:val="auto"/>
          <w:lang w:val="es-CR"/>
        </w:rPr>
      </w:pPr>
      <w:bookmarkStart w:id="908" w:name="_Ref305572229"/>
      <w:bookmarkStart w:id="909" w:name="_Toc305574078"/>
      <w:bookmarkStart w:id="910" w:name="_Toc431900706"/>
      <w:bookmarkStart w:id="911" w:name="_Toc461625917"/>
      <w:bookmarkEnd w:id="887"/>
      <w:r w:rsidRPr="008B162A">
        <w:rPr>
          <w:rFonts w:ascii="Century Gothic" w:hAnsi="Century Gothic"/>
          <w:color w:val="auto"/>
          <w:lang w:val="es-CR"/>
        </w:rPr>
        <w:lastRenderedPageBreak/>
        <w:t>Módulo de Depreciación</w:t>
      </w:r>
      <w:bookmarkEnd w:id="908"/>
      <w:bookmarkEnd w:id="909"/>
      <w:bookmarkEnd w:id="910"/>
      <w:bookmarkEnd w:id="911"/>
      <w:r w:rsidRPr="008B162A">
        <w:rPr>
          <w:rFonts w:ascii="Century Gothic" w:hAnsi="Century Gothic"/>
          <w:color w:val="auto"/>
          <w:lang w:val="es-CR"/>
        </w:rPr>
        <w:t xml:space="preserve"> </w:t>
      </w:r>
    </w:p>
    <w:p w:rsidR="002B22DF" w:rsidRPr="008B162A" w:rsidRDefault="002B22DF" w:rsidP="003D34F5">
      <w:pPr>
        <w:spacing w:before="120" w:line="360" w:lineRule="auto"/>
        <w:rPr>
          <w:rFonts w:ascii="Century Gothic" w:hAnsi="Century Gothic"/>
          <w:lang w:val="es-CR"/>
        </w:rPr>
      </w:pPr>
      <w:bookmarkStart w:id="912" w:name="_Toc305574079"/>
      <w:r w:rsidRPr="008B162A">
        <w:rPr>
          <w:rFonts w:ascii="Century Gothic" w:hAnsi="Century Gothic"/>
        </w:rPr>
        <w:t xml:space="preserve">El módulo de depreciación tiene como objetivo realizar la </w:t>
      </w:r>
      <w:proofErr w:type="spellStart"/>
      <w:r w:rsidRPr="008B162A">
        <w:rPr>
          <w:rFonts w:ascii="Century Gothic" w:hAnsi="Century Gothic"/>
        </w:rPr>
        <w:t>anualización</w:t>
      </w:r>
      <w:proofErr w:type="spellEnd"/>
      <w:r w:rsidRPr="008B162A">
        <w:rPr>
          <w:rFonts w:ascii="Century Gothic" w:hAnsi="Century Gothic"/>
        </w:rPr>
        <w:t xml:space="preserve"> del costo de los recursos bajo </w:t>
      </w:r>
      <w:r w:rsidR="006E300D" w:rsidRPr="008B162A">
        <w:rPr>
          <w:rFonts w:ascii="Century Gothic" w:hAnsi="Century Gothic"/>
        </w:rPr>
        <w:t>el esquema de anualidad inclinada.</w:t>
      </w:r>
    </w:p>
    <w:p w:rsidR="002B22DF" w:rsidRPr="008B162A" w:rsidRDefault="002B22DF" w:rsidP="002B22DF">
      <w:pPr>
        <w:rPr>
          <w:rFonts w:ascii="Century Gothic" w:hAnsi="Century Gothic"/>
          <w:lang w:val="es-CR"/>
        </w:rPr>
      </w:pPr>
      <w:r w:rsidRPr="008B162A">
        <w:rPr>
          <w:rFonts w:ascii="Century Gothic" w:hAnsi="Century Gothic"/>
          <w:lang w:val="es-CR"/>
        </w:rPr>
        <w:t xml:space="preserve">La </w:t>
      </w:r>
      <w:r w:rsidR="007B6A35" w:rsidRPr="008B162A">
        <w:rPr>
          <w:rFonts w:ascii="Century Gothic" w:hAnsi="Century Gothic"/>
          <w:lang w:val="es-CR"/>
        </w:rPr>
        <w:t>anualidad inclinada</w:t>
      </w:r>
      <w:r w:rsidR="00F14C14" w:rsidRPr="008B162A">
        <w:rPr>
          <w:rFonts w:ascii="Century Gothic" w:hAnsi="Century Gothic"/>
          <w:lang w:val="es-CR"/>
        </w:rPr>
        <w:t xml:space="preserve"> o amortización variable</w:t>
      </w:r>
      <w:r w:rsidRPr="008B162A">
        <w:rPr>
          <w:rFonts w:ascii="Century Gothic" w:hAnsi="Century Gothic"/>
          <w:lang w:val="es-CR"/>
        </w:rPr>
        <w:t xml:space="preserve"> </w:t>
      </w:r>
      <w:r w:rsidRPr="008B162A">
        <w:rPr>
          <w:rFonts w:ascii="Century Gothic" w:hAnsi="Century Gothic"/>
          <w:bCs/>
          <w:lang w:val="es-CR"/>
        </w:rPr>
        <w:t>adapta el perfil de recuperación de los costos a fin de reconocer las variaciones en los precios de los activos.</w:t>
      </w:r>
      <w:r w:rsidRPr="008B162A">
        <w:rPr>
          <w:rFonts w:ascii="Century Gothic" w:hAnsi="Century Gothic"/>
          <w:lang w:val="es-CR"/>
        </w:rPr>
        <w:t xml:space="preserve"> Así, por ejemplo, en el caso de que los precios de los activos bajen, un nuevo entrante en el mercado puede tener una ventaja sobre los operadores ya existentes al beneficiarse de menores precios y por tanto de menores costos de depreciación. Con el método de la amortización variable, en caso de que los precios disminuyan se recupera una proporción mayor del activo en los ejercicios iniciales por lo que se les reconocería el mismo costo a dos operadores, independientemente del momento en el que éstos entraran en el mercado.</w:t>
      </w:r>
    </w:p>
    <w:p w:rsidR="002B22DF" w:rsidRPr="008B162A" w:rsidRDefault="002B22DF" w:rsidP="002B22DF">
      <w:pPr>
        <w:rPr>
          <w:rFonts w:ascii="Century Gothic" w:hAnsi="Century Gothic"/>
          <w:lang w:val="es-CR"/>
        </w:rPr>
      </w:pPr>
      <w:r w:rsidRPr="008B162A">
        <w:rPr>
          <w:rFonts w:ascii="Century Gothic" w:hAnsi="Century Gothic"/>
          <w:lang w:val="es-CR"/>
        </w:rPr>
        <w:t>Para ello, en el modelo se obtiene el valor de amortización anual usando la siguiente fórmula:</w:t>
      </w:r>
    </w:p>
    <w:p w:rsidR="002B22DF" w:rsidRPr="002808E1" w:rsidRDefault="002808E1" w:rsidP="002B22DF">
      <w:pPr>
        <w:rPr>
          <w:rFonts w:ascii="Century Gothic" w:hAnsi="Century Gothic"/>
          <w:lang w:val="en-US"/>
        </w:rPr>
      </w:pPr>
      <m:oMathPara>
        <m:oMath>
          <m:sSub>
            <m:sSubPr>
              <m:ctrlPr>
                <w:rPr>
                  <w:rFonts w:ascii="Cambria Math" w:hAnsi="Cambria Math"/>
                  <w:i/>
                  <w:sz w:val="28"/>
                  <w:szCs w:val="28"/>
                  <w:lang w:val="es-CR"/>
                </w:rPr>
              </m:ctrlPr>
            </m:sSubPr>
            <m:e>
              <m:r>
                <m:rPr>
                  <m:nor/>
                </m:rPr>
                <w:rPr>
                  <w:rFonts w:ascii="Century Gothic" w:hAnsi="Century Gothic"/>
                  <w:sz w:val="28"/>
                  <w:lang w:val="en-US"/>
                </w:rPr>
                <m:t>d</m:t>
              </m:r>
            </m:e>
            <m:sub>
              <w:proofErr w:type="spellStart"/>
              <m:r>
                <m:rPr>
                  <m:nor/>
                </m:rPr>
                <w:rPr>
                  <w:rFonts w:ascii="Century Gothic" w:hAnsi="Century Gothic"/>
                  <w:sz w:val="28"/>
                  <w:lang w:val="en-US"/>
                </w:rPr>
                <m:t>i</m:t>
              </m:r>
              <w:proofErr w:type="spellEnd"/>
            </m:sub>
          </m:sSub>
          <m:r>
            <m:rPr>
              <m:nor/>
            </m:rPr>
            <w:rPr>
              <w:rFonts w:ascii="Century Gothic" w:hAnsi="Century Gothic"/>
              <w:sz w:val="28"/>
              <w:lang w:val="en-US"/>
            </w:rPr>
            <m:t>=I·</m:t>
          </m:r>
          <m:f>
            <m:fPr>
              <m:ctrlPr>
                <w:rPr>
                  <w:rFonts w:ascii="Cambria Math" w:hAnsi="Cambria Math"/>
                  <w:i/>
                  <w:sz w:val="28"/>
                  <w:szCs w:val="28"/>
                  <w:lang w:val="es-CR"/>
                </w:rPr>
              </m:ctrlPr>
            </m:fPr>
            <m:num>
              <m:sSub>
                <m:sSubPr>
                  <m:ctrlPr>
                    <w:rPr>
                      <w:rFonts w:ascii="Cambria Math" w:hAnsi="Cambria Math"/>
                      <w:i/>
                      <w:sz w:val="28"/>
                      <w:szCs w:val="28"/>
                      <w:lang w:val="es-CR"/>
                    </w:rPr>
                  </m:ctrlPr>
                </m:sSubPr>
                <m:e>
                  <m:r>
                    <m:rPr>
                      <m:nor/>
                    </m:rPr>
                    <w:rPr>
                      <w:rFonts w:ascii="Century Gothic" w:hAnsi="Century Gothic"/>
                      <w:sz w:val="28"/>
                      <w:lang w:val="en-US"/>
                    </w:rPr>
                    <m:t>p</m:t>
                  </m:r>
                </m:e>
                <m:sub>
                  <w:proofErr w:type="spellStart"/>
                  <m:r>
                    <m:rPr>
                      <m:nor/>
                    </m:rPr>
                    <w:rPr>
                      <w:rFonts w:ascii="Century Gothic" w:hAnsi="Century Gothic"/>
                      <w:sz w:val="28"/>
                      <w:lang w:val="en-US"/>
                    </w:rPr>
                    <m:t>i</m:t>
                  </m:r>
                  <w:proofErr w:type="spellEnd"/>
                </m:sub>
              </m:sSub>
            </m:num>
            <m:den>
              <m:nary>
                <m:naryPr>
                  <m:chr m:val="∑"/>
                  <m:limLoc m:val="undOvr"/>
                  <m:ctrlPr>
                    <w:rPr>
                      <w:rFonts w:ascii="Cambria Math" w:hAnsi="Cambria Math"/>
                      <w:i/>
                      <w:sz w:val="28"/>
                      <w:szCs w:val="28"/>
                      <w:lang w:val="es-CR"/>
                    </w:rPr>
                  </m:ctrlPr>
                </m:naryPr>
                <m:sub>
                  <m:r>
                    <m:rPr>
                      <m:nor/>
                    </m:rPr>
                    <w:rPr>
                      <w:rFonts w:ascii="Century Gothic" w:hAnsi="Century Gothic"/>
                      <w:sz w:val="28"/>
                      <w:lang w:val="en-US"/>
                    </w:rPr>
                    <m:t>n=</m:t>
                  </m:r>
                  <m:sSub>
                    <m:sSubPr>
                      <m:ctrlPr>
                        <w:rPr>
                          <w:rFonts w:ascii="Cambria Math" w:hAnsi="Cambria Math"/>
                          <w:i/>
                          <w:sz w:val="28"/>
                          <w:szCs w:val="28"/>
                          <w:lang w:val="es-CR"/>
                        </w:rPr>
                      </m:ctrlPr>
                    </m:sSubPr>
                    <m:e>
                      <w:proofErr w:type="spellStart"/>
                      <m:r>
                        <m:rPr>
                          <m:nor/>
                        </m:rPr>
                        <w:rPr>
                          <w:rFonts w:ascii="Century Gothic" w:hAnsi="Century Gothic"/>
                          <w:sz w:val="28"/>
                          <w:lang w:val="en-US"/>
                        </w:rPr>
                        <m:t>i</m:t>
                      </m:r>
                      <w:proofErr w:type="spellEnd"/>
                    </m:e>
                    <m:sub>
                      <m:r>
                        <m:rPr>
                          <m:nor/>
                        </m:rPr>
                        <w:rPr>
                          <w:rFonts w:ascii="Century Gothic" w:hAnsi="Century Gothic"/>
                          <w:sz w:val="28"/>
                          <w:lang w:val="en-US"/>
                        </w:rPr>
                        <m:t>0</m:t>
                      </m:r>
                    </m:sub>
                  </m:sSub>
                </m:sub>
                <m:sup>
                  <m:sSub>
                    <m:sSubPr>
                      <m:ctrlPr>
                        <w:rPr>
                          <w:rFonts w:ascii="Cambria Math" w:hAnsi="Cambria Math"/>
                          <w:i/>
                          <w:sz w:val="28"/>
                          <w:szCs w:val="28"/>
                          <w:lang w:val="es-CR"/>
                        </w:rPr>
                      </m:ctrlPr>
                    </m:sSubPr>
                    <m:e>
                      <w:proofErr w:type="spellStart"/>
                      <m:r>
                        <m:rPr>
                          <m:nor/>
                        </m:rPr>
                        <w:rPr>
                          <w:rFonts w:ascii="Century Gothic" w:hAnsi="Century Gothic"/>
                          <w:sz w:val="28"/>
                          <w:lang w:val="en-US"/>
                        </w:rPr>
                        <m:t>i</m:t>
                      </m:r>
                      <w:proofErr w:type="spellEnd"/>
                    </m:e>
                    <m:sub>
                      <m:r>
                        <m:rPr>
                          <m:nor/>
                        </m:rPr>
                        <w:rPr>
                          <w:rFonts w:ascii="Century Gothic" w:hAnsi="Century Gothic"/>
                          <w:sz w:val="28"/>
                          <w:lang w:val="en-US"/>
                        </w:rPr>
                        <m:t>0</m:t>
                      </m:r>
                    </m:sub>
                  </m:sSub>
                  <m:r>
                    <m:rPr>
                      <m:nor/>
                    </m:rPr>
                    <w:rPr>
                      <w:rFonts w:ascii="Century Gothic" w:hAnsi="Century Gothic"/>
                      <w:sz w:val="28"/>
                      <w:lang w:val="en-US"/>
                    </w:rPr>
                    <m:t>+VU-1</m:t>
                  </m:r>
                </m:sup>
                <m:e>
                  <m:d>
                    <m:dPr>
                      <m:ctrlPr>
                        <w:rPr>
                          <w:rFonts w:ascii="Cambria Math" w:hAnsi="Cambria Math"/>
                          <w:i/>
                          <w:sz w:val="28"/>
                          <w:szCs w:val="28"/>
                          <w:lang w:val="es-CR"/>
                        </w:rPr>
                      </m:ctrlPr>
                    </m:dPr>
                    <m:e>
                      <m:sSub>
                        <m:sSubPr>
                          <m:ctrlPr>
                            <w:rPr>
                              <w:rFonts w:ascii="Cambria Math" w:hAnsi="Cambria Math"/>
                              <w:i/>
                              <w:sz w:val="28"/>
                              <w:szCs w:val="28"/>
                              <w:lang w:val="es-CR"/>
                            </w:rPr>
                          </m:ctrlPr>
                        </m:sSubPr>
                        <m:e>
                          <m:r>
                            <m:rPr>
                              <m:nor/>
                            </m:rPr>
                            <w:rPr>
                              <w:rFonts w:ascii="Century Gothic" w:hAnsi="Century Gothic"/>
                              <w:sz w:val="28"/>
                              <w:lang w:val="en-US"/>
                            </w:rPr>
                            <m:t>p</m:t>
                          </m:r>
                        </m:e>
                        <m:sub>
                          <m:r>
                            <m:rPr>
                              <m:nor/>
                            </m:rPr>
                            <w:rPr>
                              <w:rFonts w:ascii="Century Gothic" w:hAnsi="Century Gothic"/>
                              <w:sz w:val="28"/>
                              <w:lang w:val="en-US"/>
                            </w:rPr>
                            <m:t>n</m:t>
                          </m:r>
                        </m:sub>
                      </m:sSub>
                      <m:r>
                        <m:rPr>
                          <m:nor/>
                        </m:rPr>
                        <w:rPr>
                          <w:rFonts w:ascii="Century Gothic" w:hAnsi="Century Gothic"/>
                          <w:sz w:val="28"/>
                          <w:lang w:val="en-US"/>
                        </w:rPr>
                        <m:t>·</m:t>
                      </m:r>
                      <m:sSub>
                        <m:sSubPr>
                          <m:ctrlPr>
                            <w:rPr>
                              <w:rFonts w:ascii="Cambria Math" w:hAnsi="Cambria Math"/>
                              <w:i/>
                              <w:sz w:val="28"/>
                              <w:szCs w:val="28"/>
                              <w:lang w:val="es-CR"/>
                            </w:rPr>
                          </m:ctrlPr>
                        </m:sSubPr>
                        <m:e>
                          <m:r>
                            <m:rPr>
                              <m:nor/>
                            </m:rPr>
                            <w:rPr>
                              <w:rFonts w:ascii="Century Gothic" w:hAnsi="Century Gothic"/>
                              <w:sz w:val="28"/>
                              <w:lang w:val="es-CR"/>
                            </w:rPr>
                            <m:t>α</m:t>
                          </m:r>
                        </m:e>
                        <m:sub>
                          <m:r>
                            <m:rPr>
                              <m:nor/>
                            </m:rPr>
                            <w:rPr>
                              <w:rFonts w:ascii="Century Gothic" w:hAnsi="Century Gothic"/>
                              <w:sz w:val="28"/>
                              <w:lang w:val="en-US"/>
                            </w:rPr>
                            <m:t>n</m:t>
                          </m:r>
                        </m:sub>
                      </m:sSub>
                    </m:e>
                  </m:d>
                </m:e>
              </m:nary>
            </m:den>
          </m:f>
        </m:oMath>
      </m:oMathPara>
    </w:p>
    <w:p w:rsidR="002B22DF" w:rsidRPr="008B162A" w:rsidRDefault="002B22DF" w:rsidP="002B22DF">
      <w:pPr>
        <w:rPr>
          <w:rFonts w:ascii="Century Gothic" w:hAnsi="Century Gothic"/>
          <w:lang w:val="es-CR"/>
        </w:rPr>
      </w:pPr>
      <w:r w:rsidRPr="008B162A">
        <w:rPr>
          <w:rFonts w:ascii="Century Gothic" w:hAnsi="Century Gothic"/>
          <w:lang w:val="es-CR"/>
        </w:rPr>
        <w:t>Dónde:</w:t>
      </w:r>
    </w:p>
    <w:p w:rsidR="002B22DF" w:rsidRPr="008B162A" w:rsidRDefault="002B22DF" w:rsidP="00893B87">
      <w:pPr>
        <w:pStyle w:val="Indentado1"/>
      </w:pPr>
      <w:r w:rsidRPr="008B162A">
        <w:rPr>
          <w:i/>
        </w:rPr>
        <w:t>I</w:t>
      </w:r>
      <w:r w:rsidRPr="008B162A">
        <w:t xml:space="preserve"> es la inversión asociada al activo</w:t>
      </w:r>
    </w:p>
    <w:p w:rsidR="002B22DF" w:rsidRPr="008B162A" w:rsidRDefault="002B22DF" w:rsidP="00893B87">
      <w:pPr>
        <w:pStyle w:val="Indentado1"/>
      </w:pPr>
      <w:r w:rsidRPr="008B162A">
        <w:rPr>
          <w:i/>
        </w:rPr>
        <w:t>d</w:t>
      </w:r>
      <w:r w:rsidRPr="008B162A">
        <w:rPr>
          <w:i/>
          <w:vertAlign w:val="subscript"/>
        </w:rPr>
        <w:t>i</w:t>
      </w:r>
      <w:r w:rsidRPr="008B162A">
        <w:t xml:space="preserve"> representa los costos asociados en el año i (dentro de la vida útil)</w:t>
      </w:r>
    </w:p>
    <w:p w:rsidR="002B22DF" w:rsidRPr="008B162A" w:rsidRDefault="002B22DF" w:rsidP="00893B87">
      <w:pPr>
        <w:pStyle w:val="Indentado1"/>
      </w:pPr>
      <w:r w:rsidRPr="008B162A">
        <w:rPr>
          <w:i/>
        </w:rPr>
        <w:t>p</w:t>
      </w:r>
      <w:r w:rsidRPr="008B162A">
        <w:rPr>
          <w:i/>
          <w:vertAlign w:val="subscript"/>
        </w:rPr>
        <w:t>i</w:t>
      </w:r>
      <w:r w:rsidRPr="008B162A">
        <w:t xml:space="preserve"> es el precio de referencia del active para el año i</w:t>
      </w:r>
    </w:p>
    <w:p w:rsidR="002B22DF" w:rsidRPr="008B162A" w:rsidRDefault="002B22DF" w:rsidP="00893B87">
      <w:pPr>
        <w:pStyle w:val="Indentado1"/>
      </w:pPr>
      <w:r w:rsidRPr="008B162A">
        <w:rPr>
          <w:i/>
        </w:rPr>
        <w:t>VU</w:t>
      </w:r>
      <w:r w:rsidRPr="008B162A">
        <w:t xml:space="preserve"> es la vida útil de los activos</w:t>
      </w:r>
    </w:p>
    <w:p w:rsidR="002B22DF" w:rsidRPr="008B162A" w:rsidRDefault="002B22DF" w:rsidP="00893B87">
      <w:pPr>
        <w:pStyle w:val="Indentado1"/>
      </w:pPr>
      <w:r w:rsidRPr="008B162A">
        <w:rPr>
          <w:i/>
        </w:rPr>
        <w:t>i</w:t>
      </w:r>
      <w:r w:rsidRPr="008B162A">
        <w:rPr>
          <w:i/>
          <w:vertAlign w:val="subscript"/>
        </w:rPr>
        <w:t>0</w:t>
      </w:r>
      <w:r w:rsidRPr="008B162A">
        <w:t xml:space="preserve"> representa el año en el que el activo fue adquirido</w:t>
      </w:r>
    </w:p>
    <w:p w:rsidR="002B22DF" w:rsidRPr="008B162A" w:rsidRDefault="002808E1" w:rsidP="00893B87">
      <w:pPr>
        <w:pStyle w:val="Indentado1"/>
      </w:pPr>
      <m:oMath>
        <m:sSub>
          <m:sSubPr>
            <m:ctrlPr>
              <w:rPr>
                <w:rFonts w:ascii="Cambria Math" w:hAnsi="Cambria Math"/>
                <w:i/>
              </w:rPr>
            </m:ctrlPr>
          </m:sSubPr>
          <m:e>
            <m:r>
              <m:rPr>
                <m:sty m:val="bi"/>
              </m:rPr>
              <w:rPr>
                <w:rFonts w:ascii="Cambria Math" w:hAnsi="Cambria Math"/>
              </w:rPr>
              <m:t>α</m:t>
            </m:r>
          </m:e>
          <m:sub>
            <m:r>
              <m:rPr>
                <m:sty m:val="bi"/>
              </m:rPr>
              <w:rPr>
                <w:rFonts w:ascii="Cambria Math" w:hAnsi="Cambria Math"/>
              </w:rPr>
              <m:t>i</m:t>
            </m:r>
          </m:sub>
        </m:sSub>
        <m:r>
          <w:rPr>
            <w:rFonts w:ascii="Cambria Math" w:hAnsi="Cambria Math"/>
          </w:rPr>
          <m:t xml:space="preserve"> </m:t>
        </m:r>
      </m:oMath>
      <w:r w:rsidR="002B22DF" w:rsidRPr="008B162A">
        <w:t>representa el factor de costo de capital y responde a la siguiente fórmula:</w:t>
      </w:r>
    </w:p>
    <w:p w:rsidR="002B22DF" w:rsidRPr="008B162A" w:rsidRDefault="002808E1" w:rsidP="002B22DF">
      <w:pPr>
        <w:rPr>
          <w:rFonts w:ascii="Century Gothic" w:hAnsi="Century Gothic"/>
          <w:lang w:val="es-CR"/>
        </w:rPr>
      </w:pPr>
      <m:oMathPara>
        <m:oMath>
          <m:sSub>
            <m:sSubPr>
              <m:ctrlPr>
                <w:rPr>
                  <w:rFonts w:ascii="Cambria Math" w:hAnsi="Cambria Math"/>
                  <w:i/>
                  <w:lang w:val="es-CR"/>
                </w:rPr>
              </m:ctrlPr>
            </m:sSubPr>
            <m:e>
              <m:r>
                <w:rPr>
                  <w:rFonts w:ascii="Cambria Math" w:hAnsi="Cambria Math"/>
                  <w:lang w:val="es-CR"/>
                </w:rPr>
                <m:t>α</m:t>
              </m:r>
            </m:e>
            <m:sub>
              <m:r>
                <w:rPr>
                  <w:rFonts w:ascii="Cambria Math" w:hAnsi="Cambria Math"/>
                  <w:lang w:val="es-CR"/>
                </w:rPr>
                <m:t>i</m:t>
              </m:r>
            </m:sub>
          </m:sSub>
          <m:r>
            <w:rPr>
              <w:rFonts w:ascii="Cambria Math" w:hAnsi="Cambria Math"/>
              <w:lang w:val="es-CR"/>
            </w:rPr>
            <m:t>=</m:t>
          </m:r>
          <m:sSup>
            <m:sSupPr>
              <m:ctrlPr>
                <w:rPr>
                  <w:rFonts w:ascii="Cambria Math" w:hAnsi="Cambria Math"/>
                  <w:i/>
                  <w:lang w:val="es-CR"/>
                </w:rPr>
              </m:ctrlPr>
            </m:sSupPr>
            <m:e>
              <m:d>
                <m:dPr>
                  <m:ctrlPr>
                    <w:rPr>
                      <w:rFonts w:ascii="Cambria Math" w:hAnsi="Cambria Math"/>
                      <w:i/>
                      <w:lang w:val="es-CR"/>
                    </w:rPr>
                  </m:ctrlPr>
                </m:dPr>
                <m:e>
                  <m:r>
                    <w:rPr>
                      <w:rFonts w:ascii="Cambria Math" w:hAnsi="Cambria Math"/>
                      <w:lang w:val="es-CR"/>
                    </w:rPr>
                    <m:t>1+WACC</m:t>
                  </m:r>
                </m:e>
              </m:d>
            </m:e>
            <m:sup>
              <m:r>
                <w:rPr>
                  <w:rFonts w:ascii="Cambria Math" w:hAnsi="Cambria Math"/>
                  <w:lang w:val="es-CR"/>
                </w:rPr>
                <m:t>-</m:t>
              </m:r>
              <m:d>
                <m:dPr>
                  <m:ctrlPr>
                    <w:rPr>
                      <w:rFonts w:ascii="Cambria Math" w:hAnsi="Cambria Math"/>
                      <w:i/>
                      <w:lang w:val="es-CR"/>
                    </w:rPr>
                  </m:ctrlPr>
                </m:dPr>
                <m:e>
                  <m:r>
                    <w:rPr>
                      <w:rFonts w:ascii="Cambria Math" w:hAnsi="Cambria Math"/>
                      <w:lang w:val="es-CR"/>
                    </w:rPr>
                    <m:t>i-</m:t>
                  </m:r>
                  <m:sSub>
                    <m:sSubPr>
                      <m:ctrlPr>
                        <w:rPr>
                          <w:rFonts w:ascii="Cambria Math" w:hAnsi="Cambria Math"/>
                          <w:i/>
                          <w:lang w:val="es-CR"/>
                        </w:rPr>
                      </m:ctrlPr>
                    </m:sSubPr>
                    <m:e>
                      <m:r>
                        <w:rPr>
                          <w:rFonts w:ascii="Cambria Math" w:hAnsi="Cambria Math"/>
                          <w:lang w:val="es-CR"/>
                        </w:rPr>
                        <m:t>i</m:t>
                      </m:r>
                    </m:e>
                    <m:sub>
                      <m:r>
                        <w:rPr>
                          <w:rFonts w:ascii="Cambria Math" w:hAnsi="Cambria Math"/>
                          <w:lang w:val="es-CR"/>
                        </w:rPr>
                        <m:t>0</m:t>
                      </m:r>
                    </m:sub>
                  </m:sSub>
                  <m:r>
                    <w:rPr>
                      <w:rFonts w:ascii="Cambria Math" w:hAnsi="Cambria Math"/>
                      <w:lang w:val="es-CR"/>
                    </w:rPr>
                    <m:t>+1</m:t>
                  </m:r>
                </m:e>
              </m:d>
            </m:sup>
          </m:sSup>
        </m:oMath>
      </m:oMathPara>
    </w:p>
    <w:p w:rsidR="00C62CC1" w:rsidRPr="008B162A" w:rsidRDefault="003D34F5" w:rsidP="00D07716">
      <w:pPr>
        <w:pStyle w:val="Ttulo1"/>
        <w:rPr>
          <w:rFonts w:ascii="Century Gothic" w:hAnsi="Century Gothic"/>
          <w:color w:val="auto"/>
          <w:lang w:val="es-CR"/>
        </w:rPr>
      </w:pPr>
      <w:bookmarkStart w:id="913" w:name="_Toc380768629"/>
      <w:bookmarkStart w:id="914" w:name="_Toc380769120"/>
      <w:bookmarkStart w:id="915" w:name="_Toc380769994"/>
      <w:bookmarkStart w:id="916" w:name="_Toc380768633"/>
      <w:bookmarkStart w:id="917" w:name="_Toc380769124"/>
      <w:bookmarkStart w:id="918" w:name="_Toc380769998"/>
      <w:bookmarkStart w:id="919" w:name="_Toc380768636"/>
      <w:bookmarkStart w:id="920" w:name="_Toc380769127"/>
      <w:bookmarkStart w:id="921" w:name="_Toc380770001"/>
      <w:bookmarkStart w:id="922" w:name="_Toc380768637"/>
      <w:bookmarkStart w:id="923" w:name="_Toc380769128"/>
      <w:bookmarkStart w:id="924" w:name="_Toc380770002"/>
      <w:bookmarkStart w:id="925" w:name="_Toc380768639"/>
      <w:bookmarkStart w:id="926" w:name="_Toc380769130"/>
      <w:bookmarkStart w:id="927" w:name="_Toc380770004"/>
      <w:bookmarkStart w:id="928" w:name="_Toc380768640"/>
      <w:bookmarkStart w:id="929" w:name="_Toc380769131"/>
      <w:bookmarkStart w:id="930" w:name="_Toc380770005"/>
      <w:bookmarkStart w:id="931" w:name="_Toc380768641"/>
      <w:bookmarkStart w:id="932" w:name="_Toc380769132"/>
      <w:bookmarkStart w:id="933" w:name="_Toc380770006"/>
      <w:bookmarkStart w:id="934" w:name="_Toc380768643"/>
      <w:bookmarkStart w:id="935" w:name="_Toc380769134"/>
      <w:bookmarkStart w:id="936" w:name="_Toc380770008"/>
      <w:bookmarkStart w:id="937" w:name="_Toc380768644"/>
      <w:bookmarkStart w:id="938" w:name="_Toc380769135"/>
      <w:bookmarkStart w:id="939" w:name="_Toc380770009"/>
      <w:bookmarkStart w:id="940" w:name="_Toc380768645"/>
      <w:bookmarkStart w:id="941" w:name="_Toc380769136"/>
      <w:bookmarkStart w:id="942" w:name="_Toc380770010"/>
      <w:bookmarkStart w:id="943" w:name="_Toc380768683"/>
      <w:bookmarkStart w:id="944" w:name="_Toc380769174"/>
      <w:bookmarkStart w:id="945" w:name="_Toc380770048"/>
      <w:bookmarkStart w:id="946" w:name="_Toc380768686"/>
      <w:bookmarkStart w:id="947" w:name="_Toc380769177"/>
      <w:bookmarkStart w:id="948" w:name="_Toc380770051"/>
      <w:bookmarkStart w:id="949" w:name="_Toc380768692"/>
      <w:bookmarkStart w:id="950" w:name="_Toc380769183"/>
      <w:bookmarkStart w:id="951" w:name="_Toc380770057"/>
      <w:bookmarkStart w:id="952" w:name="_Toc380768694"/>
      <w:bookmarkStart w:id="953" w:name="_Toc380769185"/>
      <w:bookmarkStart w:id="954" w:name="_Toc380770059"/>
      <w:bookmarkStart w:id="955" w:name="_Toc380768695"/>
      <w:bookmarkStart w:id="956" w:name="_Toc380769186"/>
      <w:bookmarkStart w:id="957" w:name="_Toc380770060"/>
      <w:bookmarkStart w:id="958" w:name="_Toc380768697"/>
      <w:bookmarkStart w:id="959" w:name="_Toc380769188"/>
      <w:bookmarkStart w:id="960" w:name="_Toc380770062"/>
      <w:bookmarkStart w:id="961" w:name="_Toc380768699"/>
      <w:bookmarkStart w:id="962" w:name="_Toc380769190"/>
      <w:bookmarkStart w:id="963" w:name="_Toc380770064"/>
      <w:bookmarkStart w:id="964" w:name="_Toc305085840"/>
      <w:bookmarkStart w:id="965" w:name="_Toc305086401"/>
      <w:bookmarkStart w:id="966" w:name="_Toc305085841"/>
      <w:bookmarkStart w:id="967" w:name="_Toc305086402"/>
      <w:bookmarkStart w:id="968" w:name="_Toc305085842"/>
      <w:bookmarkStart w:id="969" w:name="_Toc305086403"/>
      <w:bookmarkStart w:id="970" w:name="_Toc305085843"/>
      <w:bookmarkStart w:id="971" w:name="_Toc305086404"/>
      <w:bookmarkStart w:id="972" w:name="_Toc305085844"/>
      <w:bookmarkStart w:id="973" w:name="_Toc305086405"/>
      <w:bookmarkStart w:id="974" w:name="_Toc305085845"/>
      <w:bookmarkStart w:id="975" w:name="_Toc305086406"/>
      <w:bookmarkStart w:id="976" w:name="_Toc305085846"/>
      <w:bookmarkStart w:id="977" w:name="_Toc305086407"/>
      <w:bookmarkStart w:id="978" w:name="_Toc305085847"/>
      <w:bookmarkStart w:id="979" w:name="_Toc305086408"/>
      <w:bookmarkStart w:id="980" w:name="_Toc305085848"/>
      <w:bookmarkStart w:id="981" w:name="_Toc305086409"/>
      <w:bookmarkStart w:id="982" w:name="_Toc305085849"/>
      <w:bookmarkStart w:id="983" w:name="_Toc305086410"/>
      <w:bookmarkStart w:id="984" w:name="_Toc305085850"/>
      <w:bookmarkStart w:id="985" w:name="_Toc305086411"/>
      <w:bookmarkStart w:id="986" w:name="_Toc305085851"/>
      <w:bookmarkStart w:id="987" w:name="_Toc305086412"/>
      <w:bookmarkStart w:id="988" w:name="_Toc305085852"/>
      <w:bookmarkStart w:id="989" w:name="_Toc305086413"/>
      <w:bookmarkStart w:id="990" w:name="_Toc305085853"/>
      <w:bookmarkStart w:id="991" w:name="_Toc305086414"/>
      <w:bookmarkStart w:id="992" w:name="_Toc380768700"/>
      <w:bookmarkStart w:id="993" w:name="_Toc380769191"/>
      <w:bookmarkStart w:id="994" w:name="_Toc380770065"/>
      <w:bookmarkStart w:id="995" w:name="_Toc380768702"/>
      <w:bookmarkStart w:id="996" w:name="_Toc380769193"/>
      <w:bookmarkStart w:id="997" w:name="_Toc380770067"/>
      <w:bookmarkStart w:id="998" w:name="_Toc380768706"/>
      <w:bookmarkStart w:id="999" w:name="_Toc380769197"/>
      <w:bookmarkStart w:id="1000" w:name="_Toc380770071"/>
      <w:bookmarkStart w:id="1001" w:name="_Toc380768707"/>
      <w:bookmarkStart w:id="1002" w:name="_Toc380769198"/>
      <w:bookmarkStart w:id="1003" w:name="_Toc380770072"/>
      <w:bookmarkStart w:id="1004" w:name="_Toc380768715"/>
      <w:bookmarkStart w:id="1005" w:name="_Toc380769206"/>
      <w:bookmarkStart w:id="1006" w:name="_Toc380770080"/>
      <w:bookmarkStart w:id="1007" w:name="_Toc380768976"/>
      <w:bookmarkStart w:id="1008" w:name="_Toc380769467"/>
      <w:bookmarkStart w:id="1009" w:name="_Toc380770341"/>
      <w:bookmarkStart w:id="1010" w:name="_Toc380768977"/>
      <w:bookmarkStart w:id="1011" w:name="_Toc380769468"/>
      <w:bookmarkStart w:id="1012" w:name="_Toc380770342"/>
      <w:bookmarkStart w:id="1013" w:name="_Toc380768979"/>
      <w:bookmarkStart w:id="1014" w:name="_Toc380769470"/>
      <w:bookmarkStart w:id="1015" w:name="_Toc380770344"/>
      <w:bookmarkStart w:id="1016" w:name="_Toc380769028"/>
      <w:bookmarkStart w:id="1017" w:name="_Toc380769519"/>
      <w:bookmarkStart w:id="1018" w:name="_Toc380770393"/>
      <w:bookmarkStart w:id="1019" w:name="_Toc380769032"/>
      <w:bookmarkStart w:id="1020" w:name="_Toc380769523"/>
      <w:bookmarkStart w:id="1021" w:name="_Toc380770397"/>
      <w:bookmarkStart w:id="1022" w:name="_Toc380769034"/>
      <w:bookmarkStart w:id="1023" w:name="_Toc380769525"/>
      <w:bookmarkStart w:id="1024" w:name="_Toc380770399"/>
      <w:bookmarkStart w:id="1025" w:name="_Toc380769037"/>
      <w:bookmarkStart w:id="1026" w:name="_Toc380769528"/>
      <w:bookmarkStart w:id="1027" w:name="_Toc380770402"/>
      <w:bookmarkStart w:id="1028" w:name="_Ref460845536"/>
      <w:bookmarkStart w:id="1029" w:name="_Toc461625918"/>
      <w:bookmarkStart w:id="1030" w:name="_Toc305574089"/>
      <w:bookmarkStart w:id="1031" w:name="_Ref327362733"/>
      <w:bookmarkStart w:id="1032" w:name="_Ref403584140"/>
      <w:bookmarkStart w:id="1033" w:name="_Toc431900708"/>
      <w:bookmarkStart w:id="1034" w:name="_Ref459978655"/>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r w:rsidRPr="008B162A">
        <w:rPr>
          <w:rFonts w:ascii="Century Gothic" w:hAnsi="Century Gothic"/>
          <w:color w:val="auto"/>
          <w:lang w:val="es-CR"/>
        </w:rPr>
        <w:lastRenderedPageBreak/>
        <w:t>Tratamiento de la compartición de infraestructura entre las redes de fibra y cobre</w:t>
      </w:r>
      <w:bookmarkEnd w:id="1028"/>
      <w:bookmarkEnd w:id="1029"/>
    </w:p>
    <w:p w:rsidR="00C62CC1" w:rsidRPr="008B162A" w:rsidRDefault="00C62CC1" w:rsidP="0008614E">
      <w:pPr>
        <w:rPr>
          <w:rFonts w:ascii="Century Gothic" w:hAnsi="Century Gothic"/>
          <w:lang w:val="es-CR"/>
        </w:rPr>
      </w:pPr>
      <w:r w:rsidRPr="008B162A">
        <w:rPr>
          <w:rFonts w:ascii="Century Gothic" w:hAnsi="Century Gothic"/>
          <w:lang w:val="es-CR"/>
        </w:rPr>
        <w:t xml:space="preserve">El módulo de dimensionamiento considera la coexistencia de las redes de acceso sobre fibra óptica y sobre pares de cobre. Con base en esta información, el módulo dimensiona aquellos recursos (relacionados con la infraestructura civil) que son utilizados simultáneamente por ambas redes de acceso. </w:t>
      </w:r>
    </w:p>
    <w:p w:rsidR="00C62CC1" w:rsidRPr="008B162A" w:rsidRDefault="00C62CC1" w:rsidP="0008614E">
      <w:pPr>
        <w:rPr>
          <w:rFonts w:ascii="Century Gothic" w:hAnsi="Century Gothic"/>
          <w:lang w:val="es-CR"/>
        </w:rPr>
      </w:pPr>
      <w:r w:rsidRPr="008B162A">
        <w:rPr>
          <w:rFonts w:ascii="Century Gothic" w:hAnsi="Century Gothic"/>
          <w:lang w:val="es-CR"/>
        </w:rPr>
        <w:t>Una vez obtenido el resultado de este dimensionamiento, y del costeo de dichos recursos, según lo explicado en secciones anteriores, es necesario calcular que porcentaje de los costos deberá ser atribuido a cada tecnología.</w:t>
      </w:r>
    </w:p>
    <w:p w:rsidR="00C62CC1" w:rsidRPr="008B162A" w:rsidRDefault="00C62CC1" w:rsidP="0008614E">
      <w:pPr>
        <w:rPr>
          <w:rFonts w:ascii="Century Gothic" w:hAnsi="Century Gothic"/>
          <w:lang w:val="es-CR"/>
        </w:rPr>
      </w:pPr>
      <w:r w:rsidRPr="008B162A">
        <w:rPr>
          <w:rFonts w:ascii="Century Gothic" w:hAnsi="Century Gothic"/>
          <w:lang w:val="es-CR"/>
        </w:rPr>
        <w:t xml:space="preserve">Para ello, el modelo incluye un módulo que realiza el cálculo del porcentaje de costos de cada recurso que puede ser atribuido a la red de acceso sobre fibra óptica, </w:t>
      </w:r>
      <w:r w:rsidR="003D34F5" w:rsidRPr="008B162A">
        <w:rPr>
          <w:rFonts w:ascii="Century Gothic" w:hAnsi="Century Gothic"/>
          <w:lang w:val="es-CR"/>
        </w:rPr>
        <w:t>en función de los kilómetros de cable de cada tecnología que coexisten en la infraestructura</w:t>
      </w:r>
      <w:r w:rsidRPr="008B162A">
        <w:rPr>
          <w:rFonts w:ascii="Century Gothic" w:hAnsi="Century Gothic"/>
          <w:lang w:val="es-CR"/>
        </w:rPr>
        <w:t xml:space="preserve">. </w:t>
      </w:r>
    </w:p>
    <w:p w:rsidR="00F135AC" w:rsidRPr="008B162A" w:rsidRDefault="00C62CC1" w:rsidP="0008614E">
      <w:pPr>
        <w:rPr>
          <w:rFonts w:ascii="Century Gothic" w:hAnsi="Century Gothic"/>
          <w:lang w:val="es-CR"/>
        </w:rPr>
      </w:pPr>
      <w:r w:rsidRPr="008B162A">
        <w:rPr>
          <w:rFonts w:ascii="Century Gothic" w:hAnsi="Century Gothic"/>
          <w:lang w:val="es-CR"/>
        </w:rPr>
        <w:t xml:space="preserve">Para aquellos recursos que </w:t>
      </w:r>
      <w:r w:rsidR="003D34F5" w:rsidRPr="008B162A">
        <w:rPr>
          <w:rFonts w:ascii="Century Gothic" w:hAnsi="Century Gothic"/>
          <w:lang w:val="es-CR"/>
        </w:rPr>
        <w:t>son compartidos entre ambas redes</w:t>
      </w:r>
      <w:r w:rsidRPr="008B162A">
        <w:rPr>
          <w:rFonts w:ascii="Century Gothic" w:hAnsi="Century Gothic"/>
          <w:lang w:val="es-CR"/>
        </w:rPr>
        <w:t>, se calcula el porcentaje de atribuci</w:t>
      </w:r>
      <w:r w:rsidR="00F135AC" w:rsidRPr="008B162A">
        <w:rPr>
          <w:rFonts w:ascii="Century Gothic" w:hAnsi="Century Gothic"/>
          <w:lang w:val="es-CR"/>
        </w:rPr>
        <w:t xml:space="preserve">ón de costos a la red de fibra, que posteriormente se aplica al coste anual de cada uno de los recursos mencionados. El proceso de cálculo es el siguiente: </w:t>
      </w:r>
    </w:p>
    <w:p w:rsidR="00F135AC" w:rsidRPr="008B162A" w:rsidRDefault="009C5E9B" w:rsidP="00C00068">
      <w:pPr>
        <w:keepNext/>
        <w:jc w:val="center"/>
        <w:rPr>
          <w:rFonts w:ascii="Century Gothic" w:hAnsi="Century Gothic"/>
        </w:rPr>
      </w:pPr>
      <w:r w:rsidRPr="008B162A">
        <w:rPr>
          <w:rFonts w:ascii="Century Gothic" w:hAnsi="Century Gothic"/>
        </w:rPr>
        <w:lastRenderedPageBreak/>
        <w:t xml:space="preserve"> </w:t>
      </w:r>
      <w:r w:rsidR="00C00068" w:rsidRPr="008B162A">
        <w:rPr>
          <w:rFonts w:ascii="Century Gothic" w:hAnsi="Century Gothic"/>
        </w:rPr>
        <w:t xml:space="preserve"> </w:t>
      </w:r>
      <w:r w:rsidR="00C00068" w:rsidRPr="008B162A">
        <w:rPr>
          <w:rFonts w:ascii="Century Gothic" w:hAnsi="Century Gothic"/>
          <w:noProof/>
          <w:lang w:eastAsia="es-MX"/>
        </w:rPr>
        <w:drawing>
          <wp:inline distT="0" distB="0" distL="0" distR="0" wp14:anchorId="1D6C23C1" wp14:editId="58A471F0">
            <wp:extent cx="3124640" cy="3062378"/>
            <wp:effectExtent l="0" t="0" r="0" b="0"/>
            <wp:docPr id="3" name="Picture 3"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33706" cy="3071264"/>
                    </a:xfrm>
                    <a:prstGeom prst="rect">
                      <a:avLst/>
                    </a:prstGeom>
                    <a:noFill/>
                    <a:ln>
                      <a:noFill/>
                    </a:ln>
                  </pic:spPr>
                </pic:pic>
              </a:graphicData>
            </a:graphic>
          </wp:inline>
        </w:drawing>
      </w:r>
    </w:p>
    <w:p w:rsidR="00F135AC" w:rsidRPr="008B162A" w:rsidRDefault="00F135AC" w:rsidP="003D34F5">
      <w:pPr>
        <w:pStyle w:val="Descripcin"/>
        <w:rPr>
          <w:rFonts w:ascii="Century Gothic" w:hAnsi="Century Gothic"/>
        </w:rPr>
      </w:pPr>
      <w:r w:rsidRPr="008B162A">
        <w:rPr>
          <w:rFonts w:ascii="Century Gothic" w:hAnsi="Century Gothic"/>
        </w:rPr>
        <w:t xml:space="preserve">Ilustración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10</w:t>
      </w:r>
      <w:r w:rsidR="00847BCF" w:rsidRPr="008B162A">
        <w:rPr>
          <w:rFonts w:ascii="Century Gothic" w:hAnsi="Century Gothic"/>
          <w:noProof/>
        </w:rPr>
        <w:fldChar w:fldCharType="end"/>
      </w:r>
      <w:r w:rsidR="006F7424"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Ilustración \* ARABIC \s 1 </w:instrText>
      </w:r>
      <w:r w:rsidR="00847BCF" w:rsidRPr="008B162A">
        <w:rPr>
          <w:rFonts w:ascii="Century Gothic" w:hAnsi="Century Gothic"/>
        </w:rPr>
        <w:fldChar w:fldCharType="separate"/>
      </w:r>
      <w:r w:rsidR="00431406">
        <w:rPr>
          <w:rFonts w:ascii="Century Gothic" w:hAnsi="Century Gothic"/>
          <w:noProof/>
        </w:rPr>
        <w:t>1</w:t>
      </w:r>
      <w:r w:rsidR="00847BCF" w:rsidRPr="008B162A">
        <w:rPr>
          <w:rFonts w:ascii="Century Gothic" w:hAnsi="Century Gothic"/>
          <w:noProof/>
        </w:rPr>
        <w:fldChar w:fldCharType="end"/>
      </w:r>
      <w:r w:rsidRPr="008B162A">
        <w:rPr>
          <w:rFonts w:ascii="Century Gothic" w:hAnsi="Century Gothic"/>
        </w:rPr>
        <w:t xml:space="preserve">: Proceso de cálculo para la obtención de la </w:t>
      </w:r>
      <w:r w:rsidR="00C00068" w:rsidRPr="008B162A">
        <w:rPr>
          <w:rFonts w:ascii="Century Gothic" w:hAnsi="Century Gothic"/>
        </w:rPr>
        <w:t xml:space="preserve">proporción </w:t>
      </w:r>
      <w:r w:rsidRPr="008B162A">
        <w:rPr>
          <w:rFonts w:ascii="Century Gothic" w:hAnsi="Century Gothic"/>
        </w:rPr>
        <w:t xml:space="preserve">de costos de la red de acceso atribuibles a la fibra óptica [Fuente: </w:t>
      </w:r>
      <w:r w:rsidR="006B7D75" w:rsidRPr="008B162A">
        <w:rPr>
          <w:rFonts w:ascii="Century Gothic" w:hAnsi="Century Gothic"/>
        </w:rPr>
        <w:t>IFT, 2016</w:t>
      </w:r>
      <w:r w:rsidRPr="008B162A">
        <w:rPr>
          <w:rFonts w:ascii="Century Gothic" w:hAnsi="Century Gothic"/>
        </w:rPr>
        <w:t>]</w:t>
      </w:r>
    </w:p>
    <w:p w:rsidR="002B22DF" w:rsidRPr="008B162A" w:rsidRDefault="002B22DF" w:rsidP="002B22DF">
      <w:pPr>
        <w:pStyle w:val="Ttulo1"/>
        <w:pageBreakBefore/>
        <w:spacing w:line="360" w:lineRule="auto"/>
        <w:ind w:left="357" w:hanging="357"/>
        <w:rPr>
          <w:rFonts w:ascii="Century Gothic" w:hAnsi="Century Gothic"/>
          <w:color w:val="auto"/>
          <w:lang w:val="es-CR"/>
        </w:rPr>
      </w:pPr>
      <w:bookmarkStart w:id="1035" w:name="_Toc461625919"/>
      <w:r w:rsidRPr="008B162A">
        <w:rPr>
          <w:rFonts w:ascii="Century Gothic" w:hAnsi="Century Gothic"/>
          <w:color w:val="auto"/>
          <w:lang w:val="es-CR"/>
        </w:rPr>
        <w:lastRenderedPageBreak/>
        <w:t>Imputación de Costos a Servicios</w:t>
      </w:r>
      <w:bookmarkEnd w:id="1030"/>
      <w:bookmarkEnd w:id="1031"/>
      <w:bookmarkEnd w:id="1032"/>
      <w:bookmarkEnd w:id="1033"/>
      <w:bookmarkEnd w:id="1034"/>
      <w:bookmarkEnd w:id="1035"/>
    </w:p>
    <w:p w:rsidR="002B22DF" w:rsidRPr="008B162A" w:rsidRDefault="002B22DF" w:rsidP="002B22DF">
      <w:pPr>
        <w:spacing w:line="360" w:lineRule="auto"/>
        <w:rPr>
          <w:rFonts w:ascii="Century Gothic" w:hAnsi="Century Gothic"/>
          <w:lang w:val="es-CR"/>
        </w:rPr>
      </w:pPr>
      <w:r w:rsidRPr="008B162A">
        <w:rPr>
          <w:rFonts w:ascii="Century Gothic" w:hAnsi="Century Gothic"/>
          <w:lang w:val="es-CR"/>
        </w:rPr>
        <w:t>La imputación de costos a servicios descrita en esta sección corresponde al enfoque de asignación por medio de Factores de Enrutamiento (RF por sus siglas en inglés). Estos Factores de Enrutamiento permiten reflejar la medida en que un recurso es empleado por un servicio para su prestación.</w:t>
      </w:r>
    </w:p>
    <w:p w:rsidR="002B22DF" w:rsidRPr="008B162A" w:rsidRDefault="002B22DF" w:rsidP="002B22DF">
      <w:pPr>
        <w:spacing w:line="360" w:lineRule="auto"/>
        <w:rPr>
          <w:rFonts w:ascii="Century Gothic" w:hAnsi="Century Gothic"/>
          <w:lang w:val="es-CR"/>
        </w:rPr>
      </w:pPr>
      <w:r w:rsidRPr="008B162A">
        <w:rPr>
          <w:rFonts w:ascii="Century Gothic" w:hAnsi="Century Gothic"/>
          <w:lang w:val="es-CR"/>
        </w:rPr>
        <w:t xml:space="preserve">Con base en lo anterior, el proceso de imputación de costos se realiza en los siguientes </w:t>
      </w:r>
      <w:r w:rsidR="003D1AC1" w:rsidRPr="008B162A">
        <w:rPr>
          <w:rFonts w:ascii="Century Gothic" w:hAnsi="Century Gothic"/>
          <w:lang w:val="es-CR"/>
        </w:rPr>
        <w:t>dos</w:t>
      </w:r>
      <w:r w:rsidRPr="008B162A">
        <w:rPr>
          <w:rFonts w:ascii="Century Gothic" w:hAnsi="Century Gothic"/>
          <w:lang w:val="es-CR"/>
        </w:rPr>
        <w:t xml:space="preserve"> pasos:</w:t>
      </w:r>
    </w:p>
    <w:p w:rsidR="002B22DF" w:rsidRPr="008B162A" w:rsidRDefault="0022430C" w:rsidP="00893B87">
      <w:pPr>
        <w:pStyle w:val="Indentado1"/>
      </w:pPr>
      <w:r w:rsidRPr="008B162A">
        <w:fldChar w:fldCharType="begin"/>
      </w:r>
      <w:r w:rsidRPr="008B162A">
        <w:instrText xml:space="preserve"> REF _Ref459979473 \h </w:instrText>
      </w:r>
      <w:r w:rsidR="008B162A" w:rsidRPr="008B162A">
        <w:instrText xml:space="preserve"> \* MERGEFORMAT </w:instrText>
      </w:r>
      <w:r w:rsidRPr="008B162A">
        <w:fldChar w:fldCharType="separate"/>
      </w:r>
      <w:r w:rsidR="00431406" w:rsidRPr="008B162A">
        <w:t>Paso 1: Combinación de Factores de Enrutamiento y Demanda</w:t>
      </w:r>
      <w:r w:rsidRPr="008B162A">
        <w:fldChar w:fldCharType="end"/>
      </w:r>
    </w:p>
    <w:p w:rsidR="002B22DF" w:rsidRPr="008B162A" w:rsidRDefault="002B22DF" w:rsidP="00893B87">
      <w:pPr>
        <w:pStyle w:val="Indentado1"/>
      </w:pPr>
      <w:r w:rsidRPr="008B162A">
        <w:fldChar w:fldCharType="begin"/>
      </w:r>
      <w:r w:rsidRPr="008B162A">
        <w:instrText xml:space="preserve"> REF _Ref459825648 \h </w:instrText>
      </w:r>
      <w:r w:rsidR="008B162A" w:rsidRPr="008B162A">
        <w:instrText xml:space="preserve"> \* MERGEFORMAT </w:instrText>
      </w:r>
      <w:r w:rsidRPr="008B162A">
        <w:fldChar w:fldCharType="separate"/>
      </w:r>
      <w:r w:rsidR="00431406" w:rsidRPr="008B162A">
        <w:t>Paso 2: Asignación de Costos a Servicios</w:t>
      </w:r>
      <w:r w:rsidRPr="008B162A">
        <w:fldChar w:fldCharType="end"/>
      </w:r>
    </w:p>
    <w:p w:rsidR="002B22DF" w:rsidRPr="008B162A" w:rsidRDefault="007E2C97" w:rsidP="007E2C97">
      <w:pPr>
        <w:keepNext/>
        <w:spacing w:after="0" w:line="240" w:lineRule="auto"/>
        <w:ind w:left="-284"/>
        <w:jc w:val="center"/>
        <w:rPr>
          <w:rFonts w:ascii="Century Gothic" w:hAnsi="Century Gothic"/>
        </w:rPr>
      </w:pPr>
      <w:r w:rsidRPr="008B162A">
        <w:rPr>
          <w:rFonts w:ascii="Century Gothic" w:hAnsi="Century Gothic"/>
          <w:noProof/>
          <w:lang w:eastAsia="es-MX"/>
        </w:rPr>
        <w:drawing>
          <wp:inline distT="0" distB="0" distL="0" distR="0" wp14:anchorId="37B3E153" wp14:editId="0AD7FE87">
            <wp:extent cx="4019739" cy="1609622"/>
            <wp:effectExtent l="0" t="0" r="0" b="0"/>
            <wp:docPr id="488" name="Picture 488" title="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33341" cy="1615069"/>
                    </a:xfrm>
                    <a:prstGeom prst="rect">
                      <a:avLst/>
                    </a:prstGeom>
                    <a:noFill/>
                    <a:ln>
                      <a:noFill/>
                    </a:ln>
                  </pic:spPr>
                </pic:pic>
              </a:graphicData>
            </a:graphic>
          </wp:inline>
        </w:drawing>
      </w:r>
    </w:p>
    <w:p w:rsidR="002B22DF" w:rsidRPr="008B162A" w:rsidRDefault="002B22DF" w:rsidP="002B22DF">
      <w:pPr>
        <w:pStyle w:val="Descripcin"/>
        <w:rPr>
          <w:rFonts w:ascii="Century Gothic" w:hAnsi="Century Gothic"/>
          <w:lang w:val="es-CR"/>
        </w:rPr>
      </w:pPr>
      <w:r w:rsidRPr="008B162A">
        <w:rPr>
          <w:rFonts w:ascii="Century Gothic" w:hAnsi="Century Gothic"/>
          <w:lang w:val="es-CR"/>
        </w:rPr>
        <w:t xml:space="preserve">Ilustración </w:t>
      </w:r>
      <w:r w:rsidR="006F7424" w:rsidRPr="008B162A">
        <w:rPr>
          <w:rFonts w:ascii="Century Gothic" w:hAnsi="Century Gothic"/>
          <w:lang w:val="es-CR"/>
        </w:rPr>
        <w:fldChar w:fldCharType="begin"/>
      </w:r>
      <w:r w:rsidR="006F7424" w:rsidRPr="008B162A">
        <w:rPr>
          <w:rFonts w:ascii="Century Gothic" w:hAnsi="Century Gothic"/>
          <w:lang w:val="es-CR"/>
        </w:rPr>
        <w:instrText xml:space="preserve"> STYLEREF 1 \s </w:instrText>
      </w:r>
      <w:r w:rsidR="006F7424" w:rsidRPr="008B162A">
        <w:rPr>
          <w:rFonts w:ascii="Century Gothic" w:hAnsi="Century Gothic"/>
          <w:lang w:val="es-CR"/>
        </w:rPr>
        <w:fldChar w:fldCharType="separate"/>
      </w:r>
      <w:r w:rsidR="00431406">
        <w:rPr>
          <w:rFonts w:ascii="Century Gothic" w:hAnsi="Century Gothic"/>
          <w:noProof/>
          <w:lang w:val="es-CR"/>
        </w:rPr>
        <w:t>11</w:t>
      </w:r>
      <w:r w:rsidR="006F7424" w:rsidRPr="008B162A">
        <w:rPr>
          <w:rFonts w:ascii="Century Gothic" w:hAnsi="Century Gothic"/>
          <w:lang w:val="es-CR"/>
        </w:rPr>
        <w:fldChar w:fldCharType="end"/>
      </w:r>
      <w:r w:rsidR="006F7424" w:rsidRPr="008B162A">
        <w:rPr>
          <w:rFonts w:ascii="Century Gothic" w:hAnsi="Century Gothic"/>
          <w:lang w:val="es-CR"/>
        </w:rPr>
        <w:t>.</w:t>
      </w:r>
      <w:r w:rsidR="006F7424" w:rsidRPr="008B162A">
        <w:rPr>
          <w:rFonts w:ascii="Century Gothic" w:hAnsi="Century Gothic"/>
          <w:lang w:val="es-CR"/>
        </w:rPr>
        <w:fldChar w:fldCharType="begin"/>
      </w:r>
      <w:r w:rsidR="006F7424" w:rsidRPr="008B162A">
        <w:rPr>
          <w:rFonts w:ascii="Century Gothic" w:hAnsi="Century Gothic"/>
          <w:lang w:val="es-CR"/>
        </w:rPr>
        <w:instrText xml:space="preserve"> SEQ Ilustración \* ARABIC \s 1 </w:instrText>
      </w:r>
      <w:r w:rsidR="006F7424" w:rsidRPr="008B162A">
        <w:rPr>
          <w:rFonts w:ascii="Century Gothic" w:hAnsi="Century Gothic"/>
          <w:lang w:val="es-CR"/>
        </w:rPr>
        <w:fldChar w:fldCharType="separate"/>
      </w:r>
      <w:r w:rsidR="00431406">
        <w:rPr>
          <w:rFonts w:ascii="Century Gothic" w:hAnsi="Century Gothic"/>
          <w:noProof/>
          <w:lang w:val="es-CR"/>
        </w:rPr>
        <w:t>1</w:t>
      </w:r>
      <w:r w:rsidR="006F7424" w:rsidRPr="008B162A">
        <w:rPr>
          <w:rFonts w:ascii="Century Gothic" w:hAnsi="Century Gothic"/>
          <w:lang w:val="es-CR"/>
        </w:rPr>
        <w:fldChar w:fldCharType="end"/>
      </w:r>
      <w:r w:rsidRPr="008B162A">
        <w:rPr>
          <w:rFonts w:ascii="Century Gothic" w:hAnsi="Century Gothic"/>
          <w:lang w:val="es-CR"/>
        </w:rPr>
        <w:t xml:space="preserve">: Proceso de imputación de costos usando Factores de Enrutamiento [Fuente: </w:t>
      </w:r>
      <w:r w:rsidR="006B7D75" w:rsidRPr="008B162A">
        <w:rPr>
          <w:rFonts w:ascii="Century Gothic" w:hAnsi="Century Gothic"/>
          <w:lang w:val="es-CR"/>
        </w:rPr>
        <w:t>IFT, 2016</w:t>
      </w:r>
      <w:r w:rsidRPr="008B162A">
        <w:rPr>
          <w:rFonts w:ascii="Century Gothic" w:hAnsi="Century Gothic"/>
          <w:lang w:val="es-CR"/>
        </w:rPr>
        <w:t>]</w:t>
      </w:r>
    </w:p>
    <w:p w:rsidR="002B22DF" w:rsidRPr="008B162A" w:rsidRDefault="002B22DF" w:rsidP="002B22DF">
      <w:pPr>
        <w:pStyle w:val="Ttulo2"/>
        <w:spacing w:line="360" w:lineRule="auto"/>
        <w:ind w:left="426" w:hanging="426"/>
        <w:rPr>
          <w:rFonts w:ascii="Century Gothic" w:hAnsi="Century Gothic"/>
          <w:color w:val="auto"/>
          <w:lang w:val="es-CR"/>
        </w:rPr>
      </w:pPr>
      <w:bookmarkStart w:id="1036" w:name="_Toc305085861"/>
      <w:bookmarkStart w:id="1037" w:name="_Toc305086422"/>
      <w:bookmarkStart w:id="1038" w:name="_Toc305173796"/>
      <w:bookmarkStart w:id="1039" w:name="_Toc305174878"/>
      <w:bookmarkStart w:id="1040" w:name="_Toc431900710"/>
      <w:bookmarkStart w:id="1041" w:name="_Ref459825625"/>
      <w:bookmarkStart w:id="1042" w:name="_Ref459979473"/>
      <w:bookmarkStart w:id="1043" w:name="_Toc461625920"/>
      <w:bookmarkEnd w:id="1036"/>
      <w:bookmarkEnd w:id="1037"/>
      <w:bookmarkEnd w:id="1038"/>
      <w:bookmarkEnd w:id="1039"/>
      <w:r w:rsidRPr="008B162A">
        <w:rPr>
          <w:rFonts w:ascii="Century Gothic" w:hAnsi="Century Gothic"/>
          <w:color w:val="auto"/>
          <w:lang w:val="es-CR"/>
        </w:rPr>
        <w:t xml:space="preserve">Paso </w:t>
      </w:r>
      <w:r w:rsidR="007E2C97" w:rsidRPr="008B162A">
        <w:rPr>
          <w:rFonts w:ascii="Century Gothic" w:hAnsi="Century Gothic"/>
          <w:color w:val="auto"/>
          <w:lang w:val="es-CR"/>
        </w:rPr>
        <w:t>1</w:t>
      </w:r>
      <w:r w:rsidRPr="008B162A">
        <w:rPr>
          <w:rFonts w:ascii="Century Gothic" w:hAnsi="Century Gothic"/>
          <w:color w:val="auto"/>
          <w:lang w:val="es-CR"/>
        </w:rPr>
        <w:t>: Combinación de Factores de Enrutamiento</w:t>
      </w:r>
      <w:bookmarkEnd w:id="1040"/>
      <w:bookmarkEnd w:id="1041"/>
      <w:r w:rsidR="00DB18EB" w:rsidRPr="008B162A">
        <w:rPr>
          <w:rFonts w:ascii="Century Gothic" w:hAnsi="Century Gothic"/>
          <w:color w:val="auto"/>
          <w:lang w:val="es-CR"/>
        </w:rPr>
        <w:t xml:space="preserve"> y Demanda</w:t>
      </w:r>
      <w:bookmarkEnd w:id="1042"/>
      <w:bookmarkEnd w:id="1043"/>
    </w:p>
    <w:p w:rsidR="002B22DF" w:rsidRPr="008B162A" w:rsidRDefault="002B22DF" w:rsidP="002B22DF">
      <w:pPr>
        <w:rPr>
          <w:rFonts w:ascii="Century Gothic" w:hAnsi="Century Gothic"/>
          <w:lang w:val="es-CR"/>
        </w:rPr>
      </w:pPr>
      <w:r w:rsidRPr="008B162A">
        <w:rPr>
          <w:rFonts w:ascii="Century Gothic" w:hAnsi="Century Gothic"/>
          <w:lang w:val="es-CR"/>
        </w:rPr>
        <w:t xml:space="preserve">Como se mencionó previamente, la metodología usada está basada en unos factores de uso que se aplican sobre </w:t>
      </w:r>
      <w:r w:rsidR="00DB18EB" w:rsidRPr="008B162A">
        <w:rPr>
          <w:rFonts w:ascii="Century Gothic" w:hAnsi="Century Gothic"/>
          <w:lang w:val="es-CR"/>
        </w:rPr>
        <w:t>la demanda de los servicios</w:t>
      </w:r>
      <w:r w:rsidRPr="008B162A">
        <w:rPr>
          <w:rFonts w:ascii="Century Gothic" w:hAnsi="Century Gothic"/>
          <w:lang w:val="es-CR"/>
        </w:rPr>
        <w:t xml:space="preserve">. Por lo anterior, cuanto </w:t>
      </w:r>
      <w:r w:rsidR="00DB18EB" w:rsidRPr="008B162A">
        <w:rPr>
          <w:rFonts w:ascii="Century Gothic" w:hAnsi="Century Gothic"/>
          <w:lang w:val="es-CR"/>
        </w:rPr>
        <w:t>mayor demanda tiene</w:t>
      </w:r>
      <w:r w:rsidRPr="008B162A">
        <w:rPr>
          <w:rFonts w:ascii="Century Gothic" w:hAnsi="Century Gothic"/>
          <w:lang w:val="es-CR"/>
        </w:rPr>
        <w:t xml:space="preserve"> un servicio, más alto es el costo que será cargado desde el activo considerado; y cuanta más alta la utilización del activo, más alto el costo </w:t>
      </w:r>
      <w:r w:rsidR="0022430C" w:rsidRPr="008B162A">
        <w:rPr>
          <w:rFonts w:ascii="Century Gothic" w:hAnsi="Century Gothic"/>
          <w:lang w:val="es-CR"/>
        </w:rPr>
        <w:t>repercutido</w:t>
      </w:r>
      <w:r w:rsidRPr="008B162A">
        <w:rPr>
          <w:rFonts w:ascii="Century Gothic" w:hAnsi="Century Gothic"/>
          <w:lang w:val="es-CR"/>
        </w:rPr>
        <w:t>.</w:t>
      </w:r>
    </w:p>
    <w:p w:rsidR="002B22DF" w:rsidRPr="008B162A" w:rsidRDefault="002B22DF" w:rsidP="002B22DF">
      <w:pPr>
        <w:rPr>
          <w:rFonts w:ascii="Century Gothic" w:hAnsi="Century Gothic" w:cs="Arial"/>
          <w:sz w:val="16"/>
          <w:szCs w:val="16"/>
          <w:lang w:val="es-CR"/>
        </w:rPr>
      </w:pPr>
      <w:r w:rsidRPr="008B162A">
        <w:rPr>
          <w:rFonts w:ascii="Century Gothic" w:hAnsi="Century Gothic"/>
          <w:lang w:val="es-CR"/>
        </w:rPr>
        <w:t xml:space="preserve">En la </w:t>
      </w:r>
      <w:r w:rsidR="0022430C" w:rsidRPr="008B162A">
        <w:rPr>
          <w:rFonts w:ascii="Century Gothic" w:hAnsi="Century Gothic"/>
          <w:lang w:val="es-CR"/>
        </w:rPr>
        <w:t xml:space="preserve">siguiente </w:t>
      </w:r>
      <w:r w:rsidRPr="008B162A">
        <w:rPr>
          <w:rFonts w:ascii="Century Gothic" w:hAnsi="Century Gothic"/>
          <w:lang w:val="es-CR"/>
        </w:rPr>
        <w:t xml:space="preserve">tabla se pueden observar algunos ejemplos de Factores de Enrutamiento </w:t>
      </w:r>
      <w:r w:rsidR="0022430C" w:rsidRPr="008B162A">
        <w:rPr>
          <w:rFonts w:ascii="Century Gothic" w:hAnsi="Century Gothic"/>
          <w:lang w:val="es-CR"/>
        </w:rPr>
        <w:t xml:space="preserve">aplicables </w:t>
      </w:r>
      <w:r w:rsidRPr="008B162A">
        <w:rPr>
          <w:rFonts w:ascii="Century Gothic" w:hAnsi="Century Gothic"/>
          <w:lang w:val="es-CR"/>
        </w:rPr>
        <w:t xml:space="preserve">entre </w:t>
      </w:r>
      <w:r w:rsidR="0022430C" w:rsidRPr="008B162A">
        <w:rPr>
          <w:rFonts w:ascii="Century Gothic" w:hAnsi="Century Gothic"/>
          <w:lang w:val="es-CR"/>
        </w:rPr>
        <w:t>s</w:t>
      </w:r>
      <w:r w:rsidRPr="008B162A">
        <w:rPr>
          <w:rFonts w:ascii="Century Gothic" w:hAnsi="Century Gothic"/>
          <w:lang w:val="es-CR"/>
        </w:rPr>
        <w:t xml:space="preserve">ervicios y </w:t>
      </w:r>
      <w:r w:rsidR="0022430C" w:rsidRPr="008B162A">
        <w:rPr>
          <w:rFonts w:ascii="Century Gothic" w:hAnsi="Century Gothic"/>
          <w:lang w:val="es-CR"/>
        </w:rPr>
        <w:t>r</w:t>
      </w:r>
      <w:r w:rsidRPr="008B162A">
        <w:rPr>
          <w:rFonts w:ascii="Century Gothic" w:hAnsi="Century Gothic"/>
          <w:lang w:val="es-CR"/>
        </w:rPr>
        <w:t>ecursos.</w:t>
      </w:r>
    </w:p>
    <w:tbl>
      <w:tblPr>
        <w:tblW w:w="10342" w:type="dxa"/>
        <w:jc w:val="center"/>
        <w:tblLayout w:type="fixed"/>
        <w:tblLook w:val="04A0" w:firstRow="1" w:lastRow="0" w:firstColumn="1" w:lastColumn="0" w:noHBand="0" w:noVBand="1"/>
      </w:tblPr>
      <w:tblGrid>
        <w:gridCol w:w="1814"/>
        <w:gridCol w:w="1361"/>
        <w:gridCol w:w="1757"/>
        <w:gridCol w:w="1304"/>
        <w:gridCol w:w="3345"/>
        <w:gridCol w:w="761"/>
      </w:tblGrid>
      <w:tr w:rsidR="008B162A" w:rsidRPr="008B162A" w:rsidTr="0022430C">
        <w:trPr>
          <w:trHeight w:val="624"/>
          <w:jc w:val="center"/>
        </w:trPr>
        <w:tc>
          <w:tcPr>
            <w:tcW w:w="1814" w:type="dxa"/>
            <w:tcBorders>
              <w:top w:val="nil"/>
              <w:left w:val="single" w:sz="4" w:space="0" w:color="FFFFFF"/>
              <w:bottom w:val="nil"/>
              <w:right w:val="single" w:sz="4" w:space="0" w:color="FFFFFF"/>
            </w:tcBorders>
            <w:shd w:val="clear" w:color="auto" w:fill="4F629B"/>
            <w:vAlign w:val="center"/>
            <w:hideMark/>
          </w:tcPr>
          <w:p w:rsidR="002B22DF" w:rsidRPr="00D7559E" w:rsidRDefault="002B22DF" w:rsidP="00507A64">
            <w:pPr>
              <w:keepNext/>
              <w:keepLines/>
              <w:spacing w:before="0" w:after="0" w:line="240" w:lineRule="auto"/>
              <w:jc w:val="center"/>
              <w:rPr>
                <w:rFonts w:ascii="Century Gothic" w:hAnsi="Century Gothic"/>
                <w:b/>
                <w:color w:val="FFFFFF" w:themeColor="background2"/>
                <w:sz w:val="16"/>
              </w:rPr>
            </w:pPr>
            <w:r w:rsidRPr="00D7559E">
              <w:rPr>
                <w:rFonts w:ascii="Century Gothic" w:hAnsi="Century Gothic"/>
                <w:b/>
                <w:color w:val="FFFFFF" w:themeColor="background2"/>
                <w:sz w:val="16"/>
              </w:rPr>
              <w:lastRenderedPageBreak/>
              <w:t>EQUIPO</w:t>
            </w:r>
          </w:p>
        </w:tc>
        <w:tc>
          <w:tcPr>
            <w:tcW w:w="1361" w:type="dxa"/>
            <w:tcBorders>
              <w:top w:val="nil"/>
              <w:left w:val="nil"/>
              <w:bottom w:val="nil"/>
              <w:right w:val="single" w:sz="4" w:space="0" w:color="FFFFFF"/>
            </w:tcBorders>
            <w:shd w:val="clear" w:color="auto" w:fill="4F629B"/>
            <w:vAlign w:val="center"/>
            <w:hideMark/>
          </w:tcPr>
          <w:p w:rsidR="002B22DF" w:rsidRPr="00D7559E" w:rsidRDefault="002B22DF" w:rsidP="00507A64">
            <w:pPr>
              <w:keepNext/>
              <w:keepLines/>
              <w:spacing w:before="0" w:after="0" w:line="240" w:lineRule="auto"/>
              <w:jc w:val="center"/>
              <w:rPr>
                <w:rFonts w:ascii="Century Gothic" w:hAnsi="Century Gothic"/>
                <w:b/>
                <w:color w:val="FFFFFF" w:themeColor="background2"/>
                <w:sz w:val="16"/>
              </w:rPr>
            </w:pPr>
            <w:r w:rsidRPr="00D7559E">
              <w:rPr>
                <w:rFonts w:ascii="Century Gothic" w:hAnsi="Century Gothic"/>
                <w:b/>
                <w:color w:val="FFFFFF" w:themeColor="background2"/>
                <w:sz w:val="16"/>
              </w:rPr>
              <w:t>CATEGORÍA</w:t>
            </w:r>
          </w:p>
        </w:tc>
        <w:tc>
          <w:tcPr>
            <w:tcW w:w="1757" w:type="dxa"/>
            <w:tcBorders>
              <w:top w:val="nil"/>
              <w:left w:val="nil"/>
              <w:bottom w:val="nil"/>
              <w:right w:val="single" w:sz="4" w:space="0" w:color="FFFFFF"/>
            </w:tcBorders>
            <w:shd w:val="clear" w:color="auto" w:fill="4F629B"/>
            <w:vAlign w:val="center"/>
            <w:hideMark/>
          </w:tcPr>
          <w:p w:rsidR="002B22DF" w:rsidRPr="00D7559E" w:rsidRDefault="002B22DF" w:rsidP="00507A64">
            <w:pPr>
              <w:keepNext/>
              <w:keepLines/>
              <w:spacing w:before="0" w:after="0" w:line="240" w:lineRule="auto"/>
              <w:jc w:val="center"/>
              <w:rPr>
                <w:rFonts w:ascii="Century Gothic" w:hAnsi="Century Gothic"/>
                <w:b/>
                <w:color w:val="FFFFFF" w:themeColor="background2"/>
                <w:sz w:val="16"/>
              </w:rPr>
            </w:pPr>
            <w:r w:rsidRPr="00D7559E">
              <w:rPr>
                <w:rFonts w:ascii="Century Gothic" w:hAnsi="Century Gothic"/>
                <w:b/>
                <w:color w:val="FFFFFF" w:themeColor="background2"/>
                <w:sz w:val="16"/>
              </w:rPr>
              <w:t>SUBCATEGORÍA</w:t>
            </w:r>
          </w:p>
        </w:tc>
        <w:tc>
          <w:tcPr>
            <w:tcW w:w="1304" w:type="dxa"/>
            <w:tcBorders>
              <w:top w:val="nil"/>
              <w:left w:val="nil"/>
              <w:bottom w:val="nil"/>
              <w:right w:val="single" w:sz="4" w:space="0" w:color="FFFFFF"/>
            </w:tcBorders>
            <w:shd w:val="clear" w:color="auto" w:fill="4F629B"/>
            <w:vAlign w:val="center"/>
            <w:hideMark/>
          </w:tcPr>
          <w:p w:rsidR="002B22DF" w:rsidRPr="00D7559E" w:rsidRDefault="002B22DF" w:rsidP="00507A64">
            <w:pPr>
              <w:keepNext/>
              <w:keepLines/>
              <w:spacing w:before="0" w:after="0" w:line="240" w:lineRule="auto"/>
              <w:jc w:val="center"/>
              <w:rPr>
                <w:rFonts w:ascii="Century Gothic" w:hAnsi="Century Gothic"/>
                <w:b/>
                <w:color w:val="FFFFFF" w:themeColor="background2"/>
                <w:sz w:val="16"/>
              </w:rPr>
            </w:pPr>
            <w:r w:rsidRPr="00D7559E">
              <w:rPr>
                <w:rFonts w:ascii="Century Gothic" w:hAnsi="Century Gothic"/>
                <w:b/>
                <w:color w:val="FFFFFF" w:themeColor="background2"/>
                <w:sz w:val="16"/>
              </w:rPr>
              <w:t>SEGMENTO</w:t>
            </w:r>
          </w:p>
        </w:tc>
        <w:tc>
          <w:tcPr>
            <w:tcW w:w="3345" w:type="dxa"/>
            <w:tcBorders>
              <w:top w:val="nil"/>
              <w:left w:val="nil"/>
              <w:bottom w:val="single" w:sz="4" w:space="0" w:color="113F80"/>
              <w:right w:val="single" w:sz="4" w:space="0" w:color="FFFFFF"/>
            </w:tcBorders>
            <w:shd w:val="clear" w:color="auto" w:fill="4F629B"/>
            <w:vAlign w:val="center"/>
            <w:hideMark/>
          </w:tcPr>
          <w:p w:rsidR="002B22DF" w:rsidRPr="00D7559E" w:rsidRDefault="002B22DF" w:rsidP="00507A64">
            <w:pPr>
              <w:keepNext/>
              <w:keepLines/>
              <w:spacing w:before="0" w:after="0" w:line="240" w:lineRule="auto"/>
              <w:jc w:val="center"/>
              <w:rPr>
                <w:rFonts w:ascii="Century Gothic" w:hAnsi="Century Gothic"/>
                <w:b/>
                <w:color w:val="FFFFFF" w:themeColor="background2"/>
                <w:sz w:val="16"/>
              </w:rPr>
            </w:pPr>
            <w:r w:rsidRPr="00D7559E">
              <w:rPr>
                <w:rFonts w:ascii="Century Gothic" w:hAnsi="Century Gothic"/>
                <w:b/>
                <w:color w:val="FFFFFF" w:themeColor="background2"/>
                <w:sz w:val="16"/>
              </w:rPr>
              <w:t>DESCRIPCIÓN</w:t>
            </w:r>
          </w:p>
        </w:tc>
        <w:tc>
          <w:tcPr>
            <w:tcW w:w="761" w:type="dxa"/>
            <w:tcBorders>
              <w:top w:val="nil"/>
              <w:left w:val="nil"/>
              <w:bottom w:val="single" w:sz="4" w:space="0" w:color="113F80"/>
              <w:right w:val="single" w:sz="4" w:space="0" w:color="FFFFFF"/>
            </w:tcBorders>
            <w:shd w:val="clear" w:color="auto" w:fill="4F629B"/>
            <w:vAlign w:val="center"/>
            <w:hideMark/>
          </w:tcPr>
          <w:p w:rsidR="002B22DF" w:rsidRPr="00D7559E" w:rsidRDefault="002B22DF" w:rsidP="00507A64">
            <w:pPr>
              <w:keepNext/>
              <w:keepLines/>
              <w:spacing w:before="0" w:after="0" w:line="240" w:lineRule="auto"/>
              <w:jc w:val="center"/>
              <w:rPr>
                <w:rFonts w:ascii="Century Gothic" w:hAnsi="Century Gothic"/>
                <w:b/>
                <w:color w:val="FFFFFF" w:themeColor="background2"/>
                <w:sz w:val="16"/>
                <w:lang w:val="es-CR"/>
              </w:rPr>
            </w:pPr>
            <w:r w:rsidRPr="00D7559E">
              <w:rPr>
                <w:rFonts w:ascii="Century Gothic" w:hAnsi="Century Gothic"/>
                <w:b/>
                <w:color w:val="FFFFFF" w:themeColor="background2"/>
                <w:sz w:val="16"/>
                <w:lang w:val="es-CR"/>
              </w:rPr>
              <w:t>RF</w:t>
            </w:r>
          </w:p>
        </w:tc>
      </w:tr>
      <w:tr w:rsidR="008B162A" w:rsidRPr="008B162A" w:rsidTr="009C5E9B">
        <w:trPr>
          <w:trHeight w:val="340"/>
          <w:jc w:val="center"/>
        </w:trPr>
        <w:tc>
          <w:tcPr>
            <w:tcW w:w="1814" w:type="dxa"/>
            <w:tcBorders>
              <w:top w:val="single" w:sz="4" w:space="0" w:color="113F80"/>
              <w:left w:val="single" w:sz="8" w:space="0" w:color="113F80"/>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Cableado de Fibra</w:t>
            </w:r>
          </w:p>
        </w:tc>
        <w:tc>
          <w:tcPr>
            <w:tcW w:w="1361" w:type="dxa"/>
            <w:tcBorders>
              <w:top w:val="single" w:sz="4" w:space="0" w:color="113F80"/>
              <w:left w:val="nil"/>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Acceso</w:t>
            </w:r>
          </w:p>
        </w:tc>
        <w:tc>
          <w:tcPr>
            <w:tcW w:w="1757" w:type="dxa"/>
            <w:tcBorders>
              <w:top w:val="single" w:sz="4" w:space="0" w:color="113F80"/>
              <w:left w:val="nil"/>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Fibra</w:t>
            </w:r>
          </w:p>
        </w:tc>
        <w:tc>
          <w:tcPr>
            <w:tcW w:w="1304" w:type="dxa"/>
            <w:tcBorders>
              <w:top w:val="single" w:sz="4" w:space="0" w:color="113F80"/>
              <w:left w:val="nil"/>
              <w:bottom w:val="single" w:sz="4" w:space="0" w:color="113F80"/>
              <w:right w:val="nil"/>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mayorista</w:t>
            </w:r>
          </w:p>
        </w:tc>
        <w:tc>
          <w:tcPr>
            <w:tcW w:w="3345" w:type="dxa"/>
            <w:tcBorders>
              <w:top w:val="single" w:sz="4" w:space="0" w:color="113F80"/>
              <w:left w:val="single" w:sz="4" w:space="0" w:color="113F80"/>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Acceso indirecto</w:t>
            </w:r>
          </w:p>
        </w:tc>
        <w:tc>
          <w:tcPr>
            <w:tcW w:w="761" w:type="dxa"/>
            <w:tcBorders>
              <w:top w:val="single" w:sz="4" w:space="0" w:color="113F80"/>
              <w:left w:val="single" w:sz="4" w:space="0" w:color="113F80"/>
              <w:bottom w:val="single" w:sz="4" w:space="0" w:color="113F80"/>
              <w:right w:val="single" w:sz="8"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0.04</w:t>
            </w:r>
          </w:p>
        </w:tc>
      </w:tr>
      <w:tr w:rsidR="008B162A" w:rsidRPr="008B162A" w:rsidTr="009C5E9B">
        <w:trPr>
          <w:trHeight w:val="340"/>
          <w:jc w:val="center"/>
        </w:trPr>
        <w:tc>
          <w:tcPr>
            <w:tcW w:w="1814" w:type="dxa"/>
            <w:tcBorders>
              <w:top w:val="nil"/>
              <w:left w:val="single" w:sz="8" w:space="0" w:color="113F80"/>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Cableado de Fibra</w:t>
            </w:r>
          </w:p>
        </w:tc>
        <w:tc>
          <w:tcPr>
            <w:tcW w:w="1361" w:type="dxa"/>
            <w:tcBorders>
              <w:top w:val="nil"/>
              <w:left w:val="nil"/>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Acceso</w:t>
            </w:r>
          </w:p>
        </w:tc>
        <w:tc>
          <w:tcPr>
            <w:tcW w:w="1757" w:type="dxa"/>
            <w:tcBorders>
              <w:top w:val="nil"/>
              <w:left w:val="nil"/>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Fibra</w:t>
            </w:r>
          </w:p>
        </w:tc>
        <w:tc>
          <w:tcPr>
            <w:tcW w:w="1304" w:type="dxa"/>
            <w:tcBorders>
              <w:top w:val="nil"/>
              <w:left w:val="nil"/>
              <w:bottom w:val="single" w:sz="4" w:space="0" w:color="113F80"/>
              <w:right w:val="nil"/>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mayorista</w:t>
            </w:r>
          </w:p>
        </w:tc>
        <w:tc>
          <w:tcPr>
            <w:tcW w:w="3345" w:type="dxa"/>
            <w:tcBorders>
              <w:top w:val="single" w:sz="4" w:space="0" w:color="113F80"/>
              <w:left w:val="single" w:sz="4" w:space="0" w:color="113F80"/>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Desagregación virtual - VULA</w:t>
            </w:r>
          </w:p>
        </w:tc>
        <w:tc>
          <w:tcPr>
            <w:tcW w:w="761" w:type="dxa"/>
            <w:tcBorders>
              <w:top w:val="single" w:sz="4" w:space="0" w:color="113F80"/>
              <w:left w:val="single" w:sz="4" w:space="0" w:color="113F80"/>
              <w:bottom w:val="single" w:sz="4" w:space="0" w:color="113F80"/>
              <w:right w:val="single" w:sz="8"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0.04</w:t>
            </w:r>
          </w:p>
        </w:tc>
      </w:tr>
      <w:tr w:rsidR="008B162A" w:rsidRPr="008B162A" w:rsidTr="009C5E9B">
        <w:trPr>
          <w:trHeight w:val="340"/>
          <w:jc w:val="center"/>
        </w:trPr>
        <w:tc>
          <w:tcPr>
            <w:tcW w:w="1814" w:type="dxa"/>
            <w:tcBorders>
              <w:top w:val="nil"/>
              <w:left w:val="single" w:sz="8" w:space="0" w:color="113F80"/>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Cableado de Fibra</w:t>
            </w:r>
          </w:p>
        </w:tc>
        <w:tc>
          <w:tcPr>
            <w:tcW w:w="1361" w:type="dxa"/>
            <w:tcBorders>
              <w:top w:val="nil"/>
              <w:left w:val="nil"/>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Acceso</w:t>
            </w:r>
          </w:p>
        </w:tc>
        <w:tc>
          <w:tcPr>
            <w:tcW w:w="1757" w:type="dxa"/>
            <w:tcBorders>
              <w:top w:val="nil"/>
              <w:left w:val="nil"/>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Fibra</w:t>
            </w:r>
          </w:p>
        </w:tc>
        <w:tc>
          <w:tcPr>
            <w:tcW w:w="1304" w:type="dxa"/>
            <w:tcBorders>
              <w:top w:val="nil"/>
              <w:left w:val="nil"/>
              <w:bottom w:val="single" w:sz="4" w:space="0" w:color="113F80"/>
              <w:right w:val="nil"/>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mayorista</w:t>
            </w:r>
          </w:p>
        </w:tc>
        <w:tc>
          <w:tcPr>
            <w:tcW w:w="3345" w:type="dxa"/>
            <w:tcBorders>
              <w:top w:val="single" w:sz="4" w:space="0" w:color="113F80"/>
              <w:left w:val="single" w:sz="4" w:space="0" w:color="113F80"/>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Desagregación bucle punto a punto</w:t>
            </w:r>
          </w:p>
        </w:tc>
        <w:tc>
          <w:tcPr>
            <w:tcW w:w="761" w:type="dxa"/>
            <w:tcBorders>
              <w:top w:val="single" w:sz="4" w:space="0" w:color="113F80"/>
              <w:left w:val="single" w:sz="4" w:space="0" w:color="113F80"/>
              <w:bottom w:val="single" w:sz="4" w:space="0" w:color="113F80"/>
              <w:right w:val="single" w:sz="8"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1.00</w:t>
            </w:r>
          </w:p>
        </w:tc>
      </w:tr>
      <w:tr w:rsidR="008B162A" w:rsidRPr="008B162A" w:rsidTr="009C5E9B">
        <w:trPr>
          <w:trHeight w:val="340"/>
          <w:jc w:val="center"/>
        </w:trPr>
        <w:tc>
          <w:tcPr>
            <w:tcW w:w="1814" w:type="dxa"/>
            <w:tcBorders>
              <w:top w:val="nil"/>
              <w:left w:val="single" w:sz="8" w:space="0" w:color="113F80"/>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Cableado de Fibra</w:t>
            </w:r>
          </w:p>
        </w:tc>
        <w:tc>
          <w:tcPr>
            <w:tcW w:w="1361" w:type="dxa"/>
            <w:tcBorders>
              <w:top w:val="nil"/>
              <w:left w:val="nil"/>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Acceso</w:t>
            </w:r>
          </w:p>
        </w:tc>
        <w:tc>
          <w:tcPr>
            <w:tcW w:w="1757" w:type="dxa"/>
            <w:tcBorders>
              <w:top w:val="nil"/>
              <w:left w:val="nil"/>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Fibra</w:t>
            </w:r>
          </w:p>
        </w:tc>
        <w:tc>
          <w:tcPr>
            <w:tcW w:w="1304" w:type="dxa"/>
            <w:tcBorders>
              <w:top w:val="nil"/>
              <w:left w:val="nil"/>
              <w:bottom w:val="single" w:sz="4" w:space="0" w:color="113F80"/>
              <w:right w:val="nil"/>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minorista</w:t>
            </w:r>
          </w:p>
        </w:tc>
        <w:tc>
          <w:tcPr>
            <w:tcW w:w="3345" w:type="dxa"/>
            <w:tcBorders>
              <w:top w:val="single" w:sz="4" w:space="0" w:color="113F80"/>
              <w:left w:val="single" w:sz="4" w:space="0" w:color="113F80"/>
              <w:bottom w:val="single" w:sz="4" w:space="0" w:color="113F80"/>
              <w:right w:val="single" w:sz="4"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Acceso fibra minorista</w:t>
            </w:r>
          </w:p>
        </w:tc>
        <w:tc>
          <w:tcPr>
            <w:tcW w:w="761" w:type="dxa"/>
            <w:tcBorders>
              <w:top w:val="single" w:sz="4" w:space="0" w:color="113F80"/>
              <w:left w:val="single" w:sz="4" w:space="0" w:color="113F80"/>
              <w:bottom w:val="single" w:sz="4" w:space="0" w:color="113F80"/>
              <w:right w:val="single" w:sz="8" w:space="0" w:color="113F80"/>
            </w:tcBorders>
            <w:shd w:val="clear" w:color="auto" w:fill="auto"/>
            <w:noWrap/>
            <w:vAlign w:val="center"/>
          </w:tcPr>
          <w:p w:rsidR="009C5E9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0.04</w:t>
            </w:r>
          </w:p>
        </w:tc>
      </w:tr>
      <w:tr w:rsidR="008B162A" w:rsidRPr="008B162A" w:rsidTr="009C5E9B">
        <w:trPr>
          <w:trHeight w:val="340"/>
          <w:jc w:val="center"/>
        </w:trPr>
        <w:tc>
          <w:tcPr>
            <w:tcW w:w="1814" w:type="dxa"/>
            <w:tcBorders>
              <w:top w:val="nil"/>
              <w:left w:val="single" w:sz="8" w:space="0" w:color="113F80"/>
              <w:bottom w:val="single" w:sz="4" w:space="0" w:color="113F80"/>
              <w:right w:val="single" w:sz="4" w:space="0" w:color="113F80"/>
            </w:tcBorders>
            <w:shd w:val="clear" w:color="auto" w:fill="auto"/>
            <w:noWrap/>
            <w:vAlign w:val="center"/>
          </w:tcPr>
          <w:p w:rsidR="00DB18EB" w:rsidRPr="008B162A" w:rsidRDefault="009C5E9B" w:rsidP="009C5E9B">
            <w:pPr>
              <w:keepNext/>
              <w:keepLines/>
              <w:spacing w:before="0" w:after="0" w:line="240" w:lineRule="auto"/>
              <w:jc w:val="left"/>
              <w:rPr>
                <w:rFonts w:ascii="Century Gothic" w:hAnsi="Century Gothic"/>
                <w:sz w:val="16"/>
                <w:lang w:val="es-CR"/>
              </w:rPr>
            </w:pPr>
            <w:r w:rsidRPr="008B162A">
              <w:rPr>
                <w:rFonts w:ascii="Century Gothic" w:hAnsi="Century Gothic"/>
                <w:sz w:val="16"/>
                <w:lang w:val="es-CR"/>
              </w:rPr>
              <w:t>Cableado de Fibra</w:t>
            </w:r>
          </w:p>
        </w:tc>
        <w:tc>
          <w:tcPr>
            <w:tcW w:w="1361" w:type="dxa"/>
            <w:tcBorders>
              <w:top w:val="nil"/>
              <w:left w:val="nil"/>
              <w:bottom w:val="single" w:sz="4" w:space="0" w:color="113F80"/>
              <w:right w:val="single" w:sz="4" w:space="0" w:color="113F80"/>
            </w:tcBorders>
            <w:shd w:val="clear" w:color="auto" w:fill="auto"/>
            <w:noWrap/>
            <w:vAlign w:val="center"/>
          </w:tcPr>
          <w:p w:rsidR="00DB18EB" w:rsidRPr="008B162A" w:rsidRDefault="00DB18EB" w:rsidP="009C5E9B">
            <w:pPr>
              <w:keepNext/>
              <w:keepLines/>
              <w:spacing w:before="0" w:after="0" w:line="240" w:lineRule="auto"/>
              <w:jc w:val="left"/>
              <w:rPr>
                <w:rFonts w:ascii="Century Gothic" w:hAnsi="Century Gothic"/>
                <w:sz w:val="16"/>
              </w:rPr>
            </w:pPr>
            <w:r w:rsidRPr="008B162A">
              <w:rPr>
                <w:rFonts w:ascii="Century Gothic" w:hAnsi="Century Gothic"/>
                <w:sz w:val="16"/>
              </w:rPr>
              <w:t>Acceso</w:t>
            </w:r>
          </w:p>
        </w:tc>
        <w:tc>
          <w:tcPr>
            <w:tcW w:w="1757" w:type="dxa"/>
            <w:tcBorders>
              <w:top w:val="nil"/>
              <w:left w:val="nil"/>
              <w:bottom w:val="single" w:sz="4" w:space="0" w:color="113F80"/>
              <w:right w:val="single" w:sz="4" w:space="0" w:color="113F80"/>
            </w:tcBorders>
            <w:shd w:val="clear" w:color="auto" w:fill="auto"/>
            <w:noWrap/>
            <w:vAlign w:val="center"/>
          </w:tcPr>
          <w:p w:rsidR="00DB18EB" w:rsidRPr="008B162A" w:rsidRDefault="00DB18EB" w:rsidP="009C5E9B">
            <w:pPr>
              <w:keepNext/>
              <w:keepLines/>
              <w:spacing w:before="0" w:after="0" w:line="240" w:lineRule="auto"/>
              <w:jc w:val="left"/>
              <w:rPr>
                <w:rFonts w:ascii="Century Gothic" w:hAnsi="Century Gothic"/>
                <w:sz w:val="16"/>
              </w:rPr>
            </w:pPr>
            <w:r w:rsidRPr="008B162A">
              <w:rPr>
                <w:rFonts w:ascii="Century Gothic" w:hAnsi="Century Gothic"/>
                <w:sz w:val="16"/>
              </w:rPr>
              <w:t>Fibra</w:t>
            </w:r>
          </w:p>
        </w:tc>
        <w:tc>
          <w:tcPr>
            <w:tcW w:w="1304" w:type="dxa"/>
            <w:tcBorders>
              <w:top w:val="nil"/>
              <w:left w:val="nil"/>
              <w:bottom w:val="single" w:sz="4" w:space="0" w:color="113F80"/>
              <w:right w:val="nil"/>
            </w:tcBorders>
            <w:shd w:val="clear" w:color="auto" w:fill="auto"/>
            <w:noWrap/>
            <w:vAlign w:val="center"/>
          </w:tcPr>
          <w:p w:rsidR="00DB18EB" w:rsidRPr="008B162A" w:rsidRDefault="00DB18EB" w:rsidP="009C5E9B">
            <w:pPr>
              <w:keepNext/>
              <w:keepLines/>
              <w:spacing w:before="0" w:after="0" w:line="240" w:lineRule="auto"/>
              <w:jc w:val="left"/>
              <w:rPr>
                <w:rFonts w:ascii="Century Gothic" w:hAnsi="Century Gothic"/>
                <w:sz w:val="16"/>
              </w:rPr>
            </w:pPr>
            <w:r w:rsidRPr="008B162A">
              <w:rPr>
                <w:rFonts w:ascii="Century Gothic" w:hAnsi="Century Gothic"/>
                <w:sz w:val="16"/>
              </w:rPr>
              <w:t>Minorista</w:t>
            </w:r>
          </w:p>
        </w:tc>
        <w:tc>
          <w:tcPr>
            <w:tcW w:w="3345" w:type="dxa"/>
            <w:tcBorders>
              <w:top w:val="single" w:sz="4" w:space="0" w:color="113F80"/>
              <w:left w:val="single" w:sz="4" w:space="0" w:color="113F80"/>
              <w:bottom w:val="single" w:sz="4" w:space="0" w:color="113F80"/>
              <w:right w:val="single" w:sz="4" w:space="0" w:color="113F80"/>
            </w:tcBorders>
            <w:shd w:val="clear" w:color="auto" w:fill="auto"/>
            <w:noWrap/>
            <w:vAlign w:val="center"/>
          </w:tcPr>
          <w:p w:rsidR="00DB18EB" w:rsidRPr="008B162A" w:rsidRDefault="00DB18EB" w:rsidP="009C5E9B">
            <w:pPr>
              <w:keepNext/>
              <w:keepLines/>
              <w:spacing w:before="0" w:after="0" w:line="240" w:lineRule="auto"/>
              <w:jc w:val="left"/>
              <w:rPr>
                <w:rFonts w:ascii="Century Gothic" w:hAnsi="Century Gothic"/>
                <w:sz w:val="16"/>
              </w:rPr>
            </w:pPr>
            <w:r w:rsidRPr="008B162A">
              <w:rPr>
                <w:rFonts w:ascii="Century Gothic" w:hAnsi="Century Gothic"/>
                <w:sz w:val="16"/>
              </w:rPr>
              <w:t>Enlace dedicado</w:t>
            </w:r>
          </w:p>
        </w:tc>
        <w:tc>
          <w:tcPr>
            <w:tcW w:w="761" w:type="dxa"/>
            <w:tcBorders>
              <w:top w:val="single" w:sz="4" w:space="0" w:color="113F80"/>
              <w:left w:val="single" w:sz="4" w:space="0" w:color="113F80"/>
              <w:bottom w:val="single" w:sz="4" w:space="0" w:color="113F80"/>
              <w:right w:val="single" w:sz="8" w:space="0" w:color="113F80"/>
            </w:tcBorders>
            <w:shd w:val="clear" w:color="auto" w:fill="auto"/>
            <w:noWrap/>
            <w:vAlign w:val="center"/>
          </w:tcPr>
          <w:p w:rsidR="00DB18EB" w:rsidRPr="008B162A" w:rsidRDefault="006E300D" w:rsidP="009C5E9B">
            <w:pPr>
              <w:keepNext/>
              <w:keepLines/>
              <w:spacing w:before="0" w:after="0" w:line="240" w:lineRule="auto"/>
              <w:jc w:val="left"/>
              <w:rPr>
                <w:rFonts w:ascii="Century Gothic" w:hAnsi="Century Gothic"/>
                <w:sz w:val="16"/>
              </w:rPr>
            </w:pPr>
            <w:r w:rsidRPr="008B162A">
              <w:rPr>
                <w:rFonts w:ascii="Century Gothic" w:hAnsi="Century Gothic"/>
                <w:sz w:val="16"/>
              </w:rPr>
              <w:t>2.0</w:t>
            </w:r>
            <w:r w:rsidR="009C5E9B" w:rsidRPr="008B162A">
              <w:rPr>
                <w:rFonts w:ascii="Century Gothic" w:hAnsi="Century Gothic"/>
                <w:sz w:val="16"/>
              </w:rPr>
              <w:t>0</w:t>
            </w:r>
          </w:p>
        </w:tc>
      </w:tr>
    </w:tbl>
    <w:p w:rsidR="002B22DF" w:rsidRPr="008B162A" w:rsidRDefault="002B22DF" w:rsidP="002B22DF">
      <w:pPr>
        <w:pStyle w:val="Descripcin"/>
        <w:keepNext/>
        <w:keepLines/>
        <w:rPr>
          <w:rFonts w:ascii="Century Gothic" w:hAnsi="Century Gothic"/>
          <w:lang w:val="es-CR"/>
        </w:rPr>
      </w:pPr>
      <w:bookmarkStart w:id="1044" w:name="_Toc374371755"/>
      <w:bookmarkStart w:id="1045" w:name="_Toc304384553"/>
      <w:r w:rsidRPr="008B162A">
        <w:rPr>
          <w:rFonts w:ascii="Century Gothic" w:hAnsi="Century Gothic"/>
          <w:lang w:val="es-CR"/>
        </w:rPr>
        <w:t xml:space="preserve">Tabla </w:t>
      </w:r>
      <w:r w:rsidR="00AD65BA" w:rsidRPr="008B162A">
        <w:rPr>
          <w:rFonts w:ascii="Century Gothic" w:hAnsi="Century Gothic"/>
          <w:lang w:val="es-CR"/>
        </w:rPr>
        <w:fldChar w:fldCharType="begin"/>
      </w:r>
      <w:r w:rsidR="00AD65BA" w:rsidRPr="008B162A">
        <w:rPr>
          <w:rFonts w:ascii="Century Gothic" w:hAnsi="Century Gothic"/>
          <w:lang w:val="es-CR"/>
        </w:rPr>
        <w:instrText xml:space="preserve"> STYLEREF 1 \s </w:instrText>
      </w:r>
      <w:r w:rsidR="00AD65BA" w:rsidRPr="008B162A">
        <w:rPr>
          <w:rFonts w:ascii="Century Gothic" w:hAnsi="Century Gothic"/>
          <w:lang w:val="es-CR"/>
        </w:rPr>
        <w:fldChar w:fldCharType="separate"/>
      </w:r>
      <w:r w:rsidR="00431406">
        <w:rPr>
          <w:rFonts w:ascii="Century Gothic" w:hAnsi="Century Gothic"/>
          <w:noProof/>
          <w:lang w:val="es-CR"/>
        </w:rPr>
        <w:t>11</w:t>
      </w:r>
      <w:r w:rsidR="00AD65BA" w:rsidRPr="008B162A">
        <w:rPr>
          <w:rFonts w:ascii="Century Gothic" w:hAnsi="Century Gothic"/>
          <w:lang w:val="es-CR"/>
        </w:rPr>
        <w:fldChar w:fldCharType="end"/>
      </w:r>
      <w:r w:rsidR="00AD65BA" w:rsidRPr="008B162A">
        <w:rPr>
          <w:rFonts w:ascii="Century Gothic" w:hAnsi="Century Gothic"/>
          <w:lang w:val="es-CR"/>
        </w:rPr>
        <w:t>.</w:t>
      </w:r>
      <w:r w:rsidR="00AD65BA" w:rsidRPr="008B162A">
        <w:rPr>
          <w:rFonts w:ascii="Century Gothic" w:hAnsi="Century Gothic"/>
          <w:lang w:val="es-CR"/>
        </w:rPr>
        <w:fldChar w:fldCharType="begin"/>
      </w:r>
      <w:r w:rsidR="00AD65BA" w:rsidRPr="008B162A">
        <w:rPr>
          <w:rFonts w:ascii="Century Gothic" w:hAnsi="Century Gothic"/>
          <w:lang w:val="es-CR"/>
        </w:rPr>
        <w:instrText xml:space="preserve"> SEQ Tabla \* ARABIC \s 1 </w:instrText>
      </w:r>
      <w:r w:rsidR="00AD65BA" w:rsidRPr="008B162A">
        <w:rPr>
          <w:rFonts w:ascii="Century Gothic" w:hAnsi="Century Gothic"/>
          <w:lang w:val="es-CR"/>
        </w:rPr>
        <w:fldChar w:fldCharType="separate"/>
      </w:r>
      <w:r w:rsidR="00431406">
        <w:rPr>
          <w:rFonts w:ascii="Century Gothic" w:hAnsi="Century Gothic"/>
          <w:noProof/>
          <w:lang w:val="es-CR"/>
        </w:rPr>
        <w:t>1</w:t>
      </w:r>
      <w:r w:rsidR="00AD65BA" w:rsidRPr="008B162A">
        <w:rPr>
          <w:rFonts w:ascii="Century Gothic" w:hAnsi="Century Gothic"/>
          <w:lang w:val="es-CR"/>
        </w:rPr>
        <w:fldChar w:fldCharType="end"/>
      </w:r>
      <w:r w:rsidRPr="008B162A">
        <w:rPr>
          <w:rFonts w:ascii="Century Gothic" w:hAnsi="Century Gothic"/>
          <w:lang w:val="es-CR"/>
        </w:rPr>
        <w:t>: Extracto ilustrativo de la correlación entre Factores de Enrutamiento con servicios y recursos (Hoja ‘3B MAP FACTORES RUTEO</w:t>
      </w:r>
      <w:r w:rsidR="0022430C" w:rsidRPr="008B162A">
        <w:rPr>
          <w:rFonts w:ascii="Century Gothic" w:hAnsi="Century Gothic"/>
          <w:lang w:val="es-CR"/>
        </w:rPr>
        <w:t>’</w:t>
      </w:r>
      <w:r w:rsidRPr="008B162A">
        <w:rPr>
          <w:rFonts w:ascii="Century Gothic" w:hAnsi="Century Gothic"/>
          <w:lang w:val="es-CR"/>
        </w:rPr>
        <w:t xml:space="preserve">) [Fuente: </w:t>
      </w:r>
      <w:r w:rsidR="006B7D75" w:rsidRPr="008B162A">
        <w:rPr>
          <w:rFonts w:ascii="Century Gothic" w:hAnsi="Century Gothic"/>
          <w:lang w:val="es-CR"/>
        </w:rPr>
        <w:t>IFT, 2016</w:t>
      </w:r>
      <w:r w:rsidRPr="008B162A">
        <w:rPr>
          <w:rFonts w:ascii="Century Gothic" w:hAnsi="Century Gothic"/>
          <w:lang w:val="es-CR"/>
        </w:rPr>
        <w:t>]</w:t>
      </w:r>
      <w:bookmarkEnd w:id="1044"/>
    </w:p>
    <w:p w:rsidR="007E2C97" w:rsidRPr="008B162A" w:rsidRDefault="007E2C97" w:rsidP="007E2C97">
      <w:pPr>
        <w:rPr>
          <w:rFonts w:ascii="Century Gothic" w:hAnsi="Century Gothic"/>
          <w:lang w:val="es-CR"/>
        </w:rPr>
      </w:pPr>
      <w:r w:rsidRPr="008B162A">
        <w:rPr>
          <w:rFonts w:ascii="Century Gothic" w:hAnsi="Century Gothic"/>
          <w:lang w:val="es-CR"/>
        </w:rPr>
        <w:t xml:space="preserve">La multiplicación de los factores de enrutamiento por la demanda de los servicios nos permite conocer el grado de uso que hacen los servicios de cada uno de los recursos modelados. Con base en este valor es posible realizar el reparto de costos de cada uno de los recursos a los servicios que lo utilizan. </w:t>
      </w:r>
    </w:p>
    <w:p w:rsidR="002B22DF" w:rsidRPr="008B162A" w:rsidRDefault="002B22DF" w:rsidP="002B22DF">
      <w:pPr>
        <w:pStyle w:val="Ttulo2"/>
        <w:spacing w:line="360" w:lineRule="auto"/>
        <w:ind w:left="426" w:hanging="426"/>
        <w:rPr>
          <w:rFonts w:ascii="Century Gothic" w:hAnsi="Century Gothic"/>
          <w:color w:val="auto"/>
          <w:lang w:val="es-CR"/>
        </w:rPr>
      </w:pPr>
      <w:bookmarkStart w:id="1046" w:name="_Toc305574091"/>
      <w:bookmarkStart w:id="1047" w:name="_Toc431900711"/>
      <w:bookmarkStart w:id="1048" w:name="_Ref459825648"/>
      <w:bookmarkStart w:id="1049" w:name="_Toc461625921"/>
      <w:bookmarkEnd w:id="1045"/>
      <w:r w:rsidRPr="008B162A">
        <w:rPr>
          <w:rFonts w:ascii="Century Gothic" w:hAnsi="Century Gothic"/>
          <w:color w:val="auto"/>
          <w:lang w:val="es-CR"/>
        </w:rPr>
        <w:t xml:space="preserve">Paso </w:t>
      </w:r>
      <w:r w:rsidR="007E2C97" w:rsidRPr="008B162A">
        <w:rPr>
          <w:rFonts w:ascii="Century Gothic" w:hAnsi="Century Gothic"/>
          <w:color w:val="auto"/>
          <w:lang w:val="es-CR"/>
        </w:rPr>
        <w:t>2</w:t>
      </w:r>
      <w:r w:rsidRPr="008B162A">
        <w:rPr>
          <w:rFonts w:ascii="Century Gothic" w:hAnsi="Century Gothic"/>
          <w:color w:val="auto"/>
          <w:lang w:val="es-CR"/>
        </w:rPr>
        <w:t>: Asignación de Costos a Servicios</w:t>
      </w:r>
      <w:bookmarkEnd w:id="1046"/>
      <w:bookmarkEnd w:id="1047"/>
      <w:bookmarkEnd w:id="1048"/>
      <w:bookmarkEnd w:id="1049"/>
      <w:r w:rsidRPr="008B162A">
        <w:rPr>
          <w:rFonts w:ascii="Century Gothic" w:hAnsi="Century Gothic"/>
          <w:color w:val="auto"/>
          <w:lang w:val="es-CR"/>
        </w:rPr>
        <w:t xml:space="preserve"> </w:t>
      </w:r>
    </w:p>
    <w:p w:rsidR="002B22DF" w:rsidRPr="008B162A" w:rsidRDefault="002B22DF" w:rsidP="002B22DF">
      <w:pPr>
        <w:spacing w:line="360" w:lineRule="auto"/>
        <w:rPr>
          <w:rFonts w:ascii="Century Gothic" w:hAnsi="Century Gothic"/>
          <w:lang w:val="es-CR"/>
        </w:rPr>
      </w:pPr>
      <w:r w:rsidRPr="008B162A">
        <w:rPr>
          <w:rFonts w:ascii="Century Gothic" w:hAnsi="Century Gothic"/>
          <w:lang w:val="es-CR"/>
        </w:rPr>
        <w:t>Una vez se ha establecido el peso de un servicio en relación con los diferentes activos, es posible distribuir todos los costos a todos los servicios.</w:t>
      </w:r>
    </w:p>
    <w:p w:rsidR="002B22DF" w:rsidRPr="008B162A" w:rsidRDefault="002B22DF" w:rsidP="002B22DF">
      <w:pPr>
        <w:spacing w:line="360" w:lineRule="auto"/>
        <w:rPr>
          <w:rFonts w:ascii="Century Gothic" w:hAnsi="Century Gothic"/>
          <w:lang w:val="es-CR"/>
        </w:rPr>
      </w:pPr>
      <w:r w:rsidRPr="008B162A">
        <w:rPr>
          <w:rFonts w:ascii="Century Gothic" w:hAnsi="Century Gothic"/>
          <w:lang w:val="es-CR"/>
        </w:rPr>
        <w:t>La relación básica es la siguiente:</w:t>
      </w:r>
    </w:p>
    <w:p w:rsidR="002B22DF" w:rsidRPr="00D7559E" w:rsidRDefault="00D7559E" w:rsidP="002B22DF">
      <w:pPr>
        <w:spacing w:line="360" w:lineRule="auto"/>
        <w:rPr>
          <w:rFonts w:ascii="Century Gothic" w:hAnsi="Century Gothic"/>
          <w:lang w:val="es-CR"/>
        </w:rPr>
      </w:pPr>
      <w:proofErr w:type="spellStart"/>
      <m:oMathPara>
        <m:oMath>
          <m:r>
            <m:rPr>
              <m:nor/>
            </m:rPr>
            <w:rPr>
              <w:rFonts w:ascii="Century Gothic" w:hAnsi="Century Gothic"/>
              <w:lang w:val="es-CR"/>
            </w:rPr>
            <m:t>CostoServicio</m:t>
          </m:r>
          <w:proofErr w:type="spellEnd"/>
          <m:r>
            <m:rPr>
              <m:nor/>
            </m:rPr>
            <w:rPr>
              <w:rFonts w:ascii="Century Gothic" w:hAnsi="Century Gothic"/>
              <w:lang w:val="es-CR"/>
            </w:rPr>
            <m:t>(</m:t>
          </m:r>
          <w:proofErr w:type="spellStart"/>
          <m:r>
            <m:rPr>
              <m:nor/>
            </m:rPr>
            <w:rPr>
              <w:rFonts w:ascii="Century Gothic" w:hAnsi="Century Gothic"/>
              <w:lang w:val="es-CR"/>
            </w:rPr>
            <m:t>i,año</m:t>
          </m:r>
          <w:proofErr w:type="spellEnd"/>
          <m:r>
            <m:rPr>
              <m:nor/>
            </m:rPr>
            <w:rPr>
              <w:rFonts w:ascii="Century Gothic" w:hAnsi="Century Gothic"/>
              <w:lang w:val="es-CR"/>
            </w:rPr>
            <m:t>) =</m:t>
          </m:r>
          <m:nary>
            <m:naryPr>
              <m:chr m:val="∑"/>
              <m:limLoc m:val="subSup"/>
              <m:supHide m:val="1"/>
              <m:ctrlPr>
                <w:rPr>
                  <w:rFonts w:ascii="Cambria Math" w:hAnsi="Cambria Math"/>
                  <w:i/>
                  <w:lang w:val="es-CR"/>
                </w:rPr>
              </m:ctrlPr>
            </m:naryPr>
            <m:sub>
              <m:r>
                <m:rPr>
                  <m:nor/>
                </m:rPr>
                <w:rPr>
                  <w:rFonts w:ascii="Century Gothic" w:hAnsi="Century Gothic"/>
                  <w:lang w:val="es-CR"/>
                </w:rPr>
                <m:t>n</m:t>
              </m:r>
            </m:sub>
            <m:sup/>
            <m:e>
              <m:f>
                <m:fPr>
                  <m:ctrlPr>
                    <w:rPr>
                      <w:rFonts w:ascii="Cambria Math" w:hAnsi="Cambria Math"/>
                      <w:i/>
                      <w:lang w:val="es-CR"/>
                    </w:rPr>
                  </m:ctrlPr>
                </m:fPr>
                <m:num>
                  <m:r>
                    <m:rPr>
                      <m:nor/>
                    </m:rPr>
                    <w:rPr>
                      <w:rFonts w:ascii="Century Gothic" w:hAnsi="Century Gothic"/>
                      <w:lang w:val="es-CR"/>
                    </w:rPr>
                    <m:t>Activo</m:t>
                  </m:r>
                  <m:d>
                    <m:dPr>
                      <m:ctrlPr>
                        <w:rPr>
                          <w:rFonts w:ascii="Cambria Math" w:hAnsi="Cambria Math"/>
                          <w:i/>
                          <w:lang w:val="es-CR"/>
                        </w:rPr>
                      </m:ctrlPr>
                    </m:dPr>
                    <m:e>
                      <m:r>
                        <m:rPr>
                          <m:nor/>
                        </m:rPr>
                        <w:rPr>
                          <w:rFonts w:ascii="Century Gothic" w:hAnsi="Century Gothic"/>
                          <w:lang w:val="es-CR"/>
                        </w:rPr>
                        <m:t>n,año</m:t>
                      </m:r>
                    </m:e>
                  </m:d>
                  <m:r>
                    <m:rPr>
                      <m:nor/>
                    </m:rPr>
                    <w:rPr>
                      <w:rFonts w:ascii="Century Gothic" w:hAnsi="Century Gothic"/>
                      <w:lang w:val="es-CR"/>
                    </w:rPr>
                    <m:t>·Demanda</m:t>
                  </m:r>
                  <m:d>
                    <m:dPr>
                      <m:ctrlPr>
                        <w:rPr>
                          <w:rFonts w:ascii="Cambria Math" w:hAnsi="Cambria Math"/>
                          <w:i/>
                          <w:lang w:val="es-CR"/>
                        </w:rPr>
                      </m:ctrlPr>
                    </m:dPr>
                    <m:e>
                      <m:r>
                        <m:rPr>
                          <m:nor/>
                        </m:rPr>
                        <w:rPr>
                          <w:rFonts w:ascii="Century Gothic" w:hAnsi="Century Gothic"/>
                          <w:lang w:val="es-CR"/>
                        </w:rPr>
                        <m:t>i,año</m:t>
                      </m:r>
                    </m:e>
                  </m:d>
                  <m:r>
                    <m:rPr>
                      <m:nor/>
                    </m:rPr>
                    <w:rPr>
                      <w:rFonts w:ascii="Century Gothic" w:hAnsi="Century Gothic"/>
                      <w:lang w:val="es-CR"/>
                    </w:rPr>
                    <m:t>·FR(i,n)</m:t>
                  </m:r>
                </m:num>
                <m:den>
                  <m:nary>
                    <m:naryPr>
                      <m:chr m:val="∑"/>
                      <m:limLoc m:val="subSup"/>
                      <m:supHide m:val="1"/>
                      <m:ctrlPr>
                        <w:rPr>
                          <w:rFonts w:ascii="Cambria Math" w:hAnsi="Cambria Math"/>
                          <w:i/>
                          <w:lang w:val="es-CR"/>
                        </w:rPr>
                      </m:ctrlPr>
                    </m:naryPr>
                    <m:sub>
                      <m:r>
                        <m:rPr>
                          <m:nor/>
                        </m:rPr>
                        <w:rPr>
                          <w:rFonts w:ascii="Century Gothic" w:hAnsi="Century Gothic"/>
                          <w:lang w:val="es-CR"/>
                        </w:rPr>
                        <m:t>i</m:t>
                      </m:r>
                    </m:sub>
                    <m:sup/>
                    <m:e>
                      <m:r>
                        <m:rPr>
                          <m:nor/>
                        </m:rPr>
                        <w:rPr>
                          <w:rFonts w:ascii="Century Gothic" w:hAnsi="Century Gothic"/>
                          <w:lang w:val="es-CR"/>
                        </w:rPr>
                        <m:t>Demanda</m:t>
                      </m:r>
                      <m:d>
                        <m:dPr>
                          <m:ctrlPr>
                            <w:rPr>
                              <w:rFonts w:ascii="Cambria Math" w:hAnsi="Cambria Math"/>
                              <w:i/>
                              <w:lang w:val="es-CR"/>
                            </w:rPr>
                          </m:ctrlPr>
                        </m:dPr>
                        <m:e>
                          <m:r>
                            <m:rPr>
                              <m:nor/>
                            </m:rPr>
                            <w:rPr>
                              <w:rFonts w:ascii="Century Gothic" w:hAnsi="Century Gothic"/>
                              <w:lang w:val="es-CR"/>
                            </w:rPr>
                            <m:t>i,año</m:t>
                          </m:r>
                        </m:e>
                      </m:d>
                      <m:r>
                        <m:rPr>
                          <m:nor/>
                        </m:rPr>
                        <w:rPr>
                          <w:rFonts w:ascii="Century Gothic" w:hAnsi="Century Gothic"/>
                          <w:lang w:val="es-CR"/>
                        </w:rPr>
                        <m:t>·FR(i,n)</m:t>
                      </m:r>
                    </m:e>
                  </m:nary>
                </m:den>
              </m:f>
            </m:e>
          </m:nary>
        </m:oMath>
      </m:oMathPara>
    </w:p>
    <w:p w:rsidR="002B22DF" w:rsidRPr="008B162A" w:rsidRDefault="002B22DF" w:rsidP="002B22DF">
      <w:pPr>
        <w:spacing w:line="360" w:lineRule="auto"/>
        <w:rPr>
          <w:rFonts w:ascii="Century Gothic" w:hAnsi="Century Gothic"/>
          <w:lang w:val="es-CR"/>
        </w:rPr>
      </w:pPr>
      <w:r w:rsidRPr="008B162A">
        <w:rPr>
          <w:rFonts w:ascii="Century Gothic" w:hAnsi="Century Gothic"/>
          <w:lang w:val="es-CR"/>
        </w:rPr>
        <w:t>Donde:</w:t>
      </w:r>
    </w:p>
    <w:p w:rsidR="002B22DF" w:rsidRPr="008B162A" w:rsidRDefault="002B22DF" w:rsidP="00893B87">
      <w:pPr>
        <w:pStyle w:val="Indentado1"/>
      </w:pPr>
      <w:r w:rsidRPr="008B162A">
        <w:t>Costo Servicio (i, año) es el costo del servicio I en un año determinado</w:t>
      </w:r>
    </w:p>
    <w:p w:rsidR="002B22DF" w:rsidRPr="008B162A" w:rsidRDefault="002B22DF" w:rsidP="00893B87">
      <w:pPr>
        <w:pStyle w:val="Indentado1"/>
      </w:pPr>
      <w:r w:rsidRPr="008B162A">
        <w:t>Activo (n,</w:t>
      </w:r>
      <w:r w:rsidR="00B06D8D" w:rsidRPr="008B162A">
        <w:t xml:space="preserve"> </w:t>
      </w:r>
      <w:r w:rsidRPr="008B162A">
        <w:t>año) es el costo del recurso n en ese año</w:t>
      </w:r>
    </w:p>
    <w:p w:rsidR="002B22DF" w:rsidRPr="008B162A" w:rsidRDefault="00B06D8D" w:rsidP="00893B87">
      <w:pPr>
        <w:pStyle w:val="Indentado1"/>
      </w:pPr>
      <w:r w:rsidRPr="008B162A">
        <w:t xml:space="preserve">Demanda </w:t>
      </w:r>
      <w:r w:rsidR="002B22DF" w:rsidRPr="008B162A">
        <w:t xml:space="preserve">(i, año) es </w:t>
      </w:r>
      <w:r w:rsidR="0087367E" w:rsidRPr="008B162A">
        <w:t xml:space="preserve">la demanda </w:t>
      </w:r>
      <w:r w:rsidR="002B22DF" w:rsidRPr="008B162A">
        <w:t>del servicio i en un año concreto</w:t>
      </w:r>
    </w:p>
    <w:p w:rsidR="002B22DF" w:rsidRPr="008B162A" w:rsidRDefault="002B22DF" w:rsidP="00893B87">
      <w:pPr>
        <w:pStyle w:val="Indentado1"/>
      </w:pPr>
      <w:r w:rsidRPr="008B162A">
        <w:t>FR (</w:t>
      </w:r>
      <w:proofErr w:type="spellStart"/>
      <w:r w:rsidRPr="008B162A">
        <w:t>i,n</w:t>
      </w:r>
      <w:proofErr w:type="spellEnd"/>
      <w:r w:rsidRPr="008B162A">
        <w:t>) es el Factor de Enrutamiento que relaciona el recurso n con el servicio i</w:t>
      </w:r>
    </w:p>
    <w:p w:rsidR="002B22DF" w:rsidRPr="008B162A" w:rsidRDefault="002B22DF" w:rsidP="002B22DF">
      <w:pPr>
        <w:pStyle w:val="Anexo1"/>
        <w:rPr>
          <w:rFonts w:ascii="Century Gothic" w:hAnsi="Century Gothic"/>
          <w:color w:val="auto"/>
          <w:lang w:val="es-MX"/>
        </w:rPr>
      </w:pPr>
      <w:bookmarkStart w:id="1050" w:name="_Toc405272437"/>
      <w:bookmarkStart w:id="1051" w:name="_Toc459636212"/>
      <w:bookmarkStart w:id="1052" w:name="_Toc461625922"/>
      <w:bookmarkEnd w:id="1050"/>
      <w:r w:rsidRPr="008B162A">
        <w:rPr>
          <w:rFonts w:ascii="Century Gothic" w:hAnsi="Century Gothic"/>
          <w:color w:val="auto"/>
          <w:lang w:val="es-MX"/>
        </w:rPr>
        <w:lastRenderedPageBreak/>
        <w:t>Referencias internacionales</w:t>
      </w:r>
      <w:bookmarkEnd w:id="1051"/>
      <w:bookmarkEnd w:id="1052"/>
    </w:p>
    <w:p w:rsidR="002B22DF" w:rsidRPr="008B162A" w:rsidRDefault="002B22DF" w:rsidP="002B22DF">
      <w:pPr>
        <w:rPr>
          <w:rFonts w:ascii="Century Gothic" w:hAnsi="Century Gothic"/>
        </w:rPr>
      </w:pPr>
      <w:r w:rsidRPr="008B162A">
        <w:rPr>
          <w:rFonts w:ascii="Century Gothic" w:hAnsi="Century Gothic"/>
        </w:rPr>
        <w:t xml:space="preserve">En el presente anexo se presenta la información de referencias internacionales utilizada en la sección de </w:t>
      </w:r>
      <w:r w:rsidR="00A118DB" w:rsidRPr="008B162A">
        <w:rPr>
          <w:rFonts w:ascii="Century Gothic" w:hAnsi="Century Gothic"/>
        </w:rPr>
        <w:t>e</w:t>
      </w:r>
      <w:r w:rsidRPr="008B162A">
        <w:rPr>
          <w:rFonts w:ascii="Century Gothic" w:hAnsi="Century Gothic"/>
        </w:rPr>
        <w:t>volución de las redes FTTH del presente documento.</w:t>
      </w:r>
    </w:p>
    <w:tbl>
      <w:tblPr>
        <w:tblW w:w="8499" w:type="dxa"/>
        <w:tblInd w:w="-5" w:type="dxa"/>
        <w:tblLayout w:type="fixed"/>
        <w:tblLook w:val="04A0" w:firstRow="1" w:lastRow="0" w:firstColumn="1" w:lastColumn="0" w:noHBand="0" w:noVBand="1"/>
      </w:tblPr>
      <w:tblGrid>
        <w:gridCol w:w="1418"/>
        <w:gridCol w:w="7081"/>
      </w:tblGrid>
      <w:tr w:rsidR="008B162A" w:rsidRPr="008B162A" w:rsidTr="00307C11">
        <w:trPr>
          <w:trHeight w:val="570"/>
        </w:trPr>
        <w:tc>
          <w:tcPr>
            <w:tcW w:w="1418" w:type="dxa"/>
            <w:tcBorders>
              <w:top w:val="nil"/>
              <w:left w:val="single" w:sz="4" w:space="0" w:color="FFFFFF"/>
              <w:bottom w:val="single" w:sz="8" w:space="0" w:color="0C2749"/>
              <w:right w:val="single" w:sz="4" w:space="0" w:color="FFFFFF"/>
            </w:tcBorders>
            <w:shd w:val="clear" w:color="auto" w:fill="4F629B"/>
            <w:vAlign w:val="center"/>
            <w:hideMark/>
          </w:tcPr>
          <w:p w:rsidR="002B22DF" w:rsidRPr="00893B87" w:rsidRDefault="002B22DF" w:rsidP="00507A64">
            <w:pPr>
              <w:keepNext/>
              <w:spacing w:before="0" w:after="0" w:line="240" w:lineRule="auto"/>
              <w:jc w:val="center"/>
              <w:rPr>
                <w:rFonts w:ascii="Century Gothic" w:hAnsi="Century Gothic"/>
                <w:b/>
                <w:bCs/>
                <w:color w:val="FFFFFF" w:themeColor="background2"/>
                <w:sz w:val="18"/>
                <w:szCs w:val="18"/>
                <w:lang w:eastAsia="en-GB"/>
              </w:rPr>
            </w:pPr>
            <w:r w:rsidRPr="00893B87">
              <w:rPr>
                <w:rFonts w:ascii="Century Gothic" w:hAnsi="Century Gothic"/>
                <w:b/>
                <w:bCs/>
                <w:color w:val="FFFFFF" w:themeColor="background2"/>
                <w:sz w:val="18"/>
                <w:szCs w:val="18"/>
                <w:lang w:eastAsia="en-GB"/>
              </w:rPr>
              <w:t>País</w:t>
            </w:r>
          </w:p>
        </w:tc>
        <w:tc>
          <w:tcPr>
            <w:tcW w:w="7081" w:type="dxa"/>
            <w:tcBorders>
              <w:top w:val="nil"/>
              <w:left w:val="nil"/>
              <w:bottom w:val="single" w:sz="8" w:space="0" w:color="0C2749"/>
              <w:right w:val="single" w:sz="4" w:space="0" w:color="FFFFFF"/>
            </w:tcBorders>
            <w:shd w:val="clear" w:color="auto" w:fill="4F629B"/>
            <w:vAlign w:val="center"/>
            <w:hideMark/>
          </w:tcPr>
          <w:p w:rsidR="002B22DF" w:rsidRPr="00893B87" w:rsidRDefault="002B22DF" w:rsidP="00507A64">
            <w:pPr>
              <w:keepNext/>
              <w:spacing w:before="0" w:after="0" w:line="240" w:lineRule="auto"/>
              <w:jc w:val="center"/>
              <w:rPr>
                <w:rFonts w:ascii="Century Gothic" w:hAnsi="Century Gothic"/>
                <w:b/>
                <w:bCs/>
                <w:color w:val="FFFFFF" w:themeColor="background2"/>
                <w:sz w:val="18"/>
                <w:szCs w:val="18"/>
                <w:lang w:eastAsia="en-GB"/>
              </w:rPr>
            </w:pPr>
            <w:r w:rsidRPr="00893B87">
              <w:rPr>
                <w:rFonts w:ascii="Century Gothic" w:hAnsi="Century Gothic"/>
                <w:b/>
                <w:bCs/>
                <w:color w:val="FFFFFF" w:themeColor="background2"/>
                <w:sz w:val="18"/>
                <w:szCs w:val="18"/>
                <w:lang w:eastAsia="en-GB"/>
              </w:rPr>
              <w:t>Pronósticos de demanda</w:t>
            </w:r>
          </w:p>
        </w:tc>
      </w:tr>
      <w:tr w:rsidR="008B162A" w:rsidRPr="008B162A" w:rsidTr="00507A64">
        <w:trPr>
          <w:trHeight w:val="510"/>
        </w:trPr>
        <w:tc>
          <w:tcPr>
            <w:tcW w:w="1418" w:type="dxa"/>
            <w:tcBorders>
              <w:top w:val="single" w:sz="8"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Alemania</w:t>
            </w:r>
          </w:p>
        </w:tc>
        <w:tc>
          <w:tcPr>
            <w:tcW w:w="7081" w:type="dxa"/>
            <w:tcBorders>
              <w:top w:val="single" w:sz="8"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Bulgaria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España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Francia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Holanda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Italia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Kazajistán</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Portugal</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Rumanía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Rusia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Suecia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Turquía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Ucrania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http://www.ftthcouncil.eu/documents/Reports/2015/IDATE-European_FTTH_B_panorama_2015_public.pdf</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Argentina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 xml:space="preserve">http://www.ftthcouncil.org/d/do/1824 </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Brasil</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 xml:space="preserve">http://www.ftthcouncil.org/d/do/1824 </w:t>
            </w:r>
          </w:p>
        </w:tc>
      </w:tr>
      <w:tr w:rsidR="008B162A" w:rsidRPr="008B162A" w:rsidTr="00507A64">
        <w:trPr>
          <w:trHeight w:val="510"/>
        </w:trPr>
        <w:tc>
          <w:tcPr>
            <w:tcW w:w="1418" w:type="dxa"/>
            <w:tcBorders>
              <w:top w:val="single" w:sz="4" w:space="0" w:color="0C2749"/>
              <w:left w:val="single" w:sz="8" w:space="0" w:color="0C2749"/>
              <w:bottom w:val="single" w:sz="4"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Colombia</w:t>
            </w:r>
          </w:p>
        </w:tc>
        <w:tc>
          <w:tcPr>
            <w:tcW w:w="7081" w:type="dxa"/>
            <w:tcBorders>
              <w:top w:val="single" w:sz="4" w:space="0" w:color="0C2749"/>
              <w:left w:val="nil"/>
              <w:bottom w:val="single" w:sz="4"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http://etb.com.co/inversionistas/16/T/1T_2016_V4.pdf</w:t>
            </w:r>
            <w:r w:rsidRPr="008B162A">
              <w:rPr>
                <w:rFonts w:ascii="Century Gothic" w:hAnsi="Century Gothic"/>
                <w:sz w:val="18"/>
                <w:szCs w:val="18"/>
                <w:lang w:eastAsia="en-GB"/>
              </w:rPr>
              <w:br/>
              <w:t>http://www.etb.com.co/normatividad/Informe_de%20Gestion_Sostenibilidad_2015_4.pdf</w:t>
            </w:r>
            <w:r w:rsidRPr="008B162A">
              <w:rPr>
                <w:rFonts w:ascii="Century Gothic" w:hAnsi="Century Gothic"/>
                <w:sz w:val="18"/>
                <w:szCs w:val="18"/>
                <w:lang w:eastAsia="en-GB"/>
              </w:rPr>
              <w:br/>
              <w:t>http://www.ftthcouncil.org/d/do/1824</w:t>
            </w:r>
          </w:p>
        </w:tc>
      </w:tr>
      <w:tr w:rsidR="008B162A" w:rsidRPr="002808E1" w:rsidTr="00507A64">
        <w:trPr>
          <w:trHeight w:val="510"/>
        </w:trPr>
        <w:tc>
          <w:tcPr>
            <w:tcW w:w="1418" w:type="dxa"/>
            <w:tcBorders>
              <w:top w:val="single" w:sz="4" w:space="0" w:color="0C2749"/>
              <w:left w:val="single" w:sz="8" w:space="0" w:color="0C2749"/>
              <w:bottom w:val="single" w:sz="8" w:space="0" w:color="0C2749"/>
              <w:right w:val="single" w:sz="4"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Estados Unidos de América</w:t>
            </w:r>
          </w:p>
        </w:tc>
        <w:tc>
          <w:tcPr>
            <w:tcW w:w="7081" w:type="dxa"/>
            <w:tcBorders>
              <w:top w:val="single" w:sz="4" w:space="0" w:color="0C2749"/>
              <w:left w:val="nil"/>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val="en-US" w:eastAsia="en-GB"/>
              </w:rPr>
            </w:pPr>
            <w:r w:rsidRPr="008B162A">
              <w:rPr>
                <w:rFonts w:ascii="Century Gothic" w:hAnsi="Century Gothic"/>
                <w:sz w:val="18"/>
                <w:szCs w:val="18"/>
                <w:lang w:val="en-US" w:eastAsia="en-GB"/>
              </w:rPr>
              <w:t>FTTH Council for Americas / RVA Consulting</w:t>
            </w:r>
          </w:p>
        </w:tc>
      </w:tr>
    </w:tbl>
    <w:p w:rsidR="002B22DF" w:rsidRPr="008B162A" w:rsidRDefault="002B22DF" w:rsidP="002B22DF">
      <w:pPr>
        <w:pStyle w:val="Descripcin"/>
        <w:rPr>
          <w:rFonts w:ascii="Century Gothic" w:hAnsi="Century Gothic"/>
        </w:rPr>
      </w:pPr>
      <w:r w:rsidRPr="008B162A">
        <w:rPr>
          <w:rFonts w:ascii="Century Gothic" w:hAnsi="Century Gothic"/>
        </w:rPr>
        <w:t xml:space="preserve">Tabla </w:t>
      </w:r>
      <w:r w:rsidR="00AD65BA" w:rsidRPr="008B162A">
        <w:rPr>
          <w:rFonts w:ascii="Century Gothic" w:hAnsi="Century Gothic"/>
        </w:rPr>
        <w:fldChar w:fldCharType="begin"/>
      </w:r>
      <w:r w:rsidR="00AD65BA" w:rsidRPr="008B162A">
        <w:rPr>
          <w:rFonts w:ascii="Century Gothic" w:hAnsi="Century Gothic"/>
        </w:rPr>
        <w:instrText xml:space="preserve"> STYLEREF 1 \s </w:instrText>
      </w:r>
      <w:r w:rsidR="00AD65BA" w:rsidRPr="008B162A">
        <w:rPr>
          <w:rFonts w:ascii="Century Gothic" w:hAnsi="Century Gothic"/>
        </w:rPr>
        <w:fldChar w:fldCharType="separate"/>
      </w:r>
      <w:r w:rsidR="00431406">
        <w:rPr>
          <w:rFonts w:ascii="Century Gothic" w:hAnsi="Century Gothic"/>
          <w:noProof/>
        </w:rPr>
        <w:t>11</w:t>
      </w:r>
      <w:r w:rsidR="00AD65BA" w:rsidRPr="008B162A">
        <w:rPr>
          <w:rFonts w:ascii="Century Gothic" w:hAnsi="Century Gothic"/>
        </w:rPr>
        <w:fldChar w:fldCharType="end"/>
      </w:r>
      <w:r w:rsidR="00AD65BA" w:rsidRPr="008B162A">
        <w:rPr>
          <w:rFonts w:ascii="Century Gothic" w:hAnsi="Century Gothic"/>
        </w:rPr>
        <w:t>.</w:t>
      </w:r>
      <w:r w:rsidR="00AD65BA" w:rsidRPr="008B162A">
        <w:rPr>
          <w:rFonts w:ascii="Century Gothic" w:hAnsi="Century Gothic"/>
        </w:rPr>
        <w:fldChar w:fldCharType="begin"/>
      </w:r>
      <w:r w:rsidR="00AD65BA" w:rsidRPr="008B162A">
        <w:rPr>
          <w:rFonts w:ascii="Century Gothic" w:hAnsi="Century Gothic"/>
        </w:rPr>
        <w:instrText xml:space="preserve"> SEQ Tabla \* ARABIC \s 1 </w:instrText>
      </w:r>
      <w:r w:rsidR="00AD65BA" w:rsidRPr="008B162A">
        <w:rPr>
          <w:rFonts w:ascii="Century Gothic" w:hAnsi="Century Gothic"/>
        </w:rPr>
        <w:fldChar w:fldCharType="separate"/>
      </w:r>
      <w:r w:rsidR="00431406">
        <w:rPr>
          <w:rFonts w:ascii="Century Gothic" w:hAnsi="Century Gothic"/>
          <w:noProof/>
        </w:rPr>
        <w:t>2</w:t>
      </w:r>
      <w:r w:rsidR="00AD65BA" w:rsidRPr="008B162A">
        <w:rPr>
          <w:rFonts w:ascii="Century Gothic" w:hAnsi="Century Gothic"/>
        </w:rPr>
        <w:fldChar w:fldCharType="end"/>
      </w:r>
      <w:r w:rsidR="00A118DB" w:rsidRPr="008B162A">
        <w:rPr>
          <w:rFonts w:ascii="Century Gothic" w:hAnsi="Century Gothic"/>
        </w:rPr>
        <w:t>:</w:t>
      </w:r>
      <w:r w:rsidRPr="008B162A">
        <w:rPr>
          <w:rFonts w:ascii="Century Gothic" w:hAnsi="Century Gothic"/>
        </w:rPr>
        <w:t xml:space="preserve"> Fuentes utilizadas para l</w:t>
      </w:r>
      <w:r w:rsidR="00A118DB" w:rsidRPr="008B162A">
        <w:rPr>
          <w:rFonts w:ascii="Century Gothic" w:hAnsi="Century Gothic"/>
        </w:rPr>
        <w:t xml:space="preserve">as proyecciones de demanda de servicios de acceso de fibra </w:t>
      </w:r>
      <w:r w:rsidRPr="008B162A">
        <w:rPr>
          <w:rFonts w:ascii="Century Gothic" w:hAnsi="Century Gothic"/>
        </w:rPr>
        <w:t>óptica</w:t>
      </w:r>
    </w:p>
    <w:tbl>
      <w:tblPr>
        <w:tblW w:w="8499" w:type="dxa"/>
        <w:tblInd w:w="-5" w:type="dxa"/>
        <w:tblLayout w:type="fixed"/>
        <w:tblLook w:val="04A0" w:firstRow="1" w:lastRow="0" w:firstColumn="1" w:lastColumn="0" w:noHBand="0" w:noVBand="1"/>
      </w:tblPr>
      <w:tblGrid>
        <w:gridCol w:w="1418"/>
        <w:gridCol w:w="7081"/>
      </w:tblGrid>
      <w:tr w:rsidR="008B162A" w:rsidRPr="008B162A" w:rsidTr="00307C11">
        <w:trPr>
          <w:trHeight w:val="567"/>
        </w:trPr>
        <w:tc>
          <w:tcPr>
            <w:tcW w:w="1418" w:type="dxa"/>
            <w:tcBorders>
              <w:top w:val="nil"/>
              <w:left w:val="single" w:sz="4" w:space="0" w:color="FFFFFF"/>
              <w:bottom w:val="single" w:sz="8" w:space="0" w:color="0C2749"/>
              <w:right w:val="single" w:sz="4" w:space="0" w:color="FFFFFF"/>
            </w:tcBorders>
            <w:shd w:val="clear" w:color="auto" w:fill="4F629B"/>
            <w:vAlign w:val="center"/>
            <w:hideMark/>
          </w:tcPr>
          <w:p w:rsidR="002B22DF" w:rsidRPr="00893B87" w:rsidRDefault="002B22DF" w:rsidP="00507A64">
            <w:pPr>
              <w:keepNext/>
              <w:spacing w:before="0" w:after="0" w:line="240" w:lineRule="auto"/>
              <w:jc w:val="center"/>
              <w:rPr>
                <w:rFonts w:ascii="Century Gothic" w:hAnsi="Century Gothic"/>
                <w:b/>
                <w:bCs/>
                <w:color w:val="FFFFFF" w:themeColor="background2"/>
                <w:sz w:val="18"/>
                <w:szCs w:val="18"/>
                <w:lang w:eastAsia="en-GB"/>
              </w:rPr>
            </w:pPr>
            <w:r w:rsidRPr="00893B87">
              <w:rPr>
                <w:rFonts w:ascii="Century Gothic" w:hAnsi="Century Gothic"/>
                <w:b/>
                <w:bCs/>
                <w:color w:val="FFFFFF" w:themeColor="background2"/>
                <w:sz w:val="18"/>
                <w:szCs w:val="18"/>
                <w:lang w:eastAsia="en-GB"/>
              </w:rPr>
              <w:lastRenderedPageBreak/>
              <w:t>País</w:t>
            </w:r>
          </w:p>
        </w:tc>
        <w:tc>
          <w:tcPr>
            <w:tcW w:w="7081" w:type="dxa"/>
            <w:tcBorders>
              <w:top w:val="nil"/>
              <w:left w:val="nil"/>
              <w:bottom w:val="single" w:sz="8" w:space="0" w:color="0C2749"/>
              <w:right w:val="single" w:sz="4" w:space="0" w:color="FFFFFF"/>
            </w:tcBorders>
            <w:shd w:val="clear" w:color="auto" w:fill="4F629B"/>
            <w:vAlign w:val="center"/>
            <w:hideMark/>
          </w:tcPr>
          <w:p w:rsidR="002B22DF" w:rsidRPr="00893B87" w:rsidRDefault="002B22DF" w:rsidP="00507A64">
            <w:pPr>
              <w:keepNext/>
              <w:spacing w:before="0" w:after="0" w:line="240" w:lineRule="auto"/>
              <w:jc w:val="center"/>
              <w:rPr>
                <w:rFonts w:ascii="Century Gothic" w:hAnsi="Century Gothic"/>
                <w:b/>
                <w:bCs/>
                <w:color w:val="FFFFFF" w:themeColor="background2"/>
                <w:sz w:val="18"/>
                <w:szCs w:val="18"/>
                <w:lang w:eastAsia="en-GB"/>
              </w:rPr>
            </w:pPr>
            <w:r w:rsidRPr="00893B87">
              <w:rPr>
                <w:rFonts w:ascii="Century Gothic" w:hAnsi="Century Gothic"/>
                <w:b/>
                <w:bCs/>
                <w:color w:val="FFFFFF" w:themeColor="background2"/>
                <w:sz w:val="18"/>
                <w:szCs w:val="18"/>
                <w:lang w:eastAsia="en-GB"/>
              </w:rPr>
              <w:t>Año de inicio de despliegue</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Alemania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https://www.telegeography.com/products/commsupdate/articles/2009/04/06/arcor-pilots-ftth-in-hanau/</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Bulgaria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https://www.telegeography.com/products/commsupdate/articles/2011/07/06/evo-upgrades-to-ftth/</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España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https://blog.cnmc.es/2008/11/13/luz-verde-al-ftth-de-telefonica/</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Francia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https://www.telegeography.com/products/commsupdate/articles/2007/02/16/ft-to-kick-off-ftth-deployment-on-1-march/</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Holanda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https://www.telegeography.com/products/commsupdate/articles/2008/09/10/dutch-isps-test-1gbps-internet-via-ftth/</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Italia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https://www.telegeography.com/products/commsupdate/articles/2008/11/25/telecom-italia-trialling-ftth/</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Kazajistán</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https://www.telegeography.com/products/commsupdate/articles/2011/08/05/kar-tel-launches-fttb-in-ust-kamenogorsk/</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Portugal</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http://ec.europa.eu/information_society/newsroom/cf/dae/document.cfm?doc_id=5026</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Rumanía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https://en.wikipedia.org/wiki/Fiber_to_the_premises_by_country#Romania</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Rusia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http://www.ftthcouncil.eu/documents/CaseStudies/ER_TELECOM.pdf</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Suecia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http://www.ftthcouncil.eu/documents/CaseStudies/SKANOVA.pdf</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Turquía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http://www.strategyand.pwc.com/reports/accelerating-high-speed-broadband-in-turkey</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Ucrania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https://www.telegeography.com/products/commsupdate/articles/2008/11/14/comstar-completes-ukrainian-network/</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Argentina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https://www.telegeography.com/products/commsupdate/articles/2011/09/23/claro-introduces-50mbps-ftth-network/</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Brasil</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http://www.ftthcouncil.eu/documents/Webinars/2012/Webinar_20November2012.pdf</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Colombia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https://www.telegeography.com/products/commsupdate/articles/2013/12/18/etb-ftth-rollout-to-pass-200000-by-year-end/</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Estados Unidos de América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http://www.ftthcouncil.org/d/do/1136</w:t>
            </w:r>
          </w:p>
        </w:tc>
      </w:tr>
    </w:tbl>
    <w:p w:rsidR="002B22DF" w:rsidRPr="008B162A" w:rsidRDefault="002B22DF" w:rsidP="002B22DF">
      <w:pPr>
        <w:pStyle w:val="Descripcin"/>
        <w:rPr>
          <w:rFonts w:ascii="Century Gothic" w:hAnsi="Century Gothic"/>
        </w:rPr>
      </w:pPr>
      <w:r w:rsidRPr="008B162A">
        <w:rPr>
          <w:rFonts w:ascii="Century Gothic" w:hAnsi="Century Gothic"/>
        </w:rPr>
        <w:t xml:space="preserve">Tabla </w:t>
      </w:r>
      <w:r w:rsidR="00AD65BA" w:rsidRPr="008B162A">
        <w:rPr>
          <w:rFonts w:ascii="Century Gothic" w:hAnsi="Century Gothic"/>
        </w:rPr>
        <w:fldChar w:fldCharType="begin"/>
      </w:r>
      <w:r w:rsidR="00AD65BA" w:rsidRPr="008B162A">
        <w:rPr>
          <w:rFonts w:ascii="Century Gothic" w:hAnsi="Century Gothic"/>
        </w:rPr>
        <w:instrText xml:space="preserve"> STYLEREF 1 \s </w:instrText>
      </w:r>
      <w:r w:rsidR="00AD65BA" w:rsidRPr="008B162A">
        <w:rPr>
          <w:rFonts w:ascii="Century Gothic" w:hAnsi="Century Gothic"/>
        </w:rPr>
        <w:fldChar w:fldCharType="separate"/>
      </w:r>
      <w:r w:rsidR="00431406">
        <w:rPr>
          <w:rFonts w:ascii="Century Gothic" w:hAnsi="Century Gothic"/>
          <w:noProof/>
        </w:rPr>
        <w:t>11</w:t>
      </w:r>
      <w:r w:rsidR="00AD65BA" w:rsidRPr="008B162A">
        <w:rPr>
          <w:rFonts w:ascii="Century Gothic" w:hAnsi="Century Gothic"/>
        </w:rPr>
        <w:fldChar w:fldCharType="end"/>
      </w:r>
      <w:r w:rsidR="00AD65BA" w:rsidRPr="008B162A">
        <w:rPr>
          <w:rFonts w:ascii="Century Gothic" w:hAnsi="Century Gothic"/>
        </w:rPr>
        <w:t>.</w:t>
      </w:r>
      <w:r w:rsidR="00AD65BA" w:rsidRPr="008B162A">
        <w:rPr>
          <w:rFonts w:ascii="Century Gothic" w:hAnsi="Century Gothic"/>
        </w:rPr>
        <w:fldChar w:fldCharType="begin"/>
      </w:r>
      <w:r w:rsidR="00AD65BA" w:rsidRPr="008B162A">
        <w:rPr>
          <w:rFonts w:ascii="Century Gothic" w:hAnsi="Century Gothic"/>
        </w:rPr>
        <w:instrText xml:space="preserve"> SEQ Tabla \* ARABIC \s 1 </w:instrText>
      </w:r>
      <w:r w:rsidR="00AD65BA" w:rsidRPr="008B162A">
        <w:rPr>
          <w:rFonts w:ascii="Century Gothic" w:hAnsi="Century Gothic"/>
        </w:rPr>
        <w:fldChar w:fldCharType="separate"/>
      </w:r>
      <w:r w:rsidR="00431406">
        <w:rPr>
          <w:rFonts w:ascii="Century Gothic" w:hAnsi="Century Gothic"/>
          <w:noProof/>
        </w:rPr>
        <w:t>3</w:t>
      </w:r>
      <w:r w:rsidR="00AD65BA" w:rsidRPr="008B162A">
        <w:rPr>
          <w:rFonts w:ascii="Century Gothic" w:hAnsi="Century Gothic"/>
        </w:rPr>
        <w:fldChar w:fldCharType="end"/>
      </w:r>
      <w:r w:rsidR="00A118DB" w:rsidRPr="008B162A">
        <w:rPr>
          <w:rFonts w:ascii="Century Gothic" w:hAnsi="Century Gothic"/>
        </w:rPr>
        <w:t>:</w:t>
      </w:r>
      <w:r w:rsidRPr="008B162A">
        <w:rPr>
          <w:rFonts w:ascii="Century Gothic" w:hAnsi="Century Gothic"/>
        </w:rPr>
        <w:t xml:space="preserve"> </w:t>
      </w:r>
      <w:r w:rsidR="00A118DB" w:rsidRPr="008B162A">
        <w:rPr>
          <w:rFonts w:ascii="Century Gothic" w:hAnsi="Century Gothic"/>
        </w:rPr>
        <w:t>Fuentes utilizadas para la obtención del año de despliegue de redes de acceso de fibra óptica</w:t>
      </w:r>
    </w:p>
    <w:tbl>
      <w:tblPr>
        <w:tblW w:w="8499" w:type="dxa"/>
        <w:tblInd w:w="-5" w:type="dxa"/>
        <w:tblLayout w:type="fixed"/>
        <w:tblLook w:val="04A0" w:firstRow="1" w:lastRow="0" w:firstColumn="1" w:lastColumn="0" w:noHBand="0" w:noVBand="1"/>
      </w:tblPr>
      <w:tblGrid>
        <w:gridCol w:w="1418"/>
        <w:gridCol w:w="7081"/>
      </w:tblGrid>
      <w:tr w:rsidR="008B162A" w:rsidRPr="008B162A" w:rsidTr="00307C11">
        <w:trPr>
          <w:trHeight w:val="567"/>
        </w:trPr>
        <w:tc>
          <w:tcPr>
            <w:tcW w:w="1418" w:type="dxa"/>
            <w:tcBorders>
              <w:top w:val="nil"/>
              <w:left w:val="single" w:sz="4" w:space="0" w:color="FFFFFF"/>
              <w:bottom w:val="single" w:sz="8" w:space="0" w:color="0C2749"/>
              <w:right w:val="single" w:sz="4" w:space="0" w:color="FFFFFF"/>
            </w:tcBorders>
            <w:shd w:val="clear" w:color="auto" w:fill="4F629B"/>
            <w:vAlign w:val="center"/>
            <w:hideMark/>
          </w:tcPr>
          <w:p w:rsidR="002B22DF" w:rsidRPr="00893B87" w:rsidRDefault="002B22DF" w:rsidP="00507A64">
            <w:pPr>
              <w:keepNext/>
              <w:spacing w:before="0" w:after="0" w:line="240" w:lineRule="auto"/>
              <w:jc w:val="center"/>
              <w:rPr>
                <w:rFonts w:ascii="Century Gothic" w:hAnsi="Century Gothic"/>
                <w:b/>
                <w:bCs/>
                <w:color w:val="FFFFFF" w:themeColor="background2"/>
                <w:sz w:val="18"/>
                <w:szCs w:val="18"/>
                <w:lang w:eastAsia="en-GB"/>
              </w:rPr>
            </w:pPr>
            <w:r w:rsidRPr="00893B87">
              <w:rPr>
                <w:rFonts w:ascii="Century Gothic" w:hAnsi="Century Gothic"/>
                <w:b/>
                <w:bCs/>
                <w:color w:val="FFFFFF" w:themeColor="background2"/>
                <w:sz w:val="18"/>
                <w:szCs w:val="18"/>
                <w:lang w:eastAsia="en-GB"/>
              </w:rPr>
              <w:lastRenderedPageBreak/>
              <w:t>País</w:t>
            </w:r>
          </w:p>
        </w:tc>
        <w:tc>
          <w:tcPr>
            <w:tcW w:w="7081" w:type="dxa"/>
            <w:tcBorders>
              <w:top w:val="nil"/>
              <w:left w:val="nil"/>
              <w:bottom w:val="single" w:sz="8" w:space="0" w:color="0C2749"/>
              <w:right w:val="single" w:sz="4" w:space="0" w:color="FFFFFF"/>
            </w:tcBorders>
            <w:shd w:val="clear" w:color="auto" w:fill="4F629B"/>
            <w:vAlign w:val="center"/>
            <w:hideMark/>
          </w:tcPr>
          <w:p w:rsidR="002B22DF" w:rsidRPr="00893B87" w:rsidRDefault="002B22DF" w:rsidP="00507A64">
            <w:pPr>
              <w:keepNext/>
              <w:spacing w:before="0" w:after="0" w:line="240" w:lineRule="auto"/>
              <w:jc w:val="center"/>
              <w:rPr>
                <w:rFonts w:ascii="Century Gothic" w:hAnsi="Century Gothic"/>
                <w:b/>
                <w:bCs/>
                <w:color w:val="FFFFFF" w:themeColor="background2"/>
                <w:sz w:val="18"/>
                <w:szCs w:val="18"/>
                <w:lang w:eastAsia="en-GB"/>
              </w:rPr>
            </w:pPr>
            <w:r w:rsidRPr="00893B87">
              <w:rPr>
                <w:rFonts w:ascii="Century Gothic" w:hAnsi="Century Gothic"/>
                <w:b/>
                <w:bCs/>
                <w:color w:val="FFFFFF" w:themeColor="background2"/>
                <w:sz w:val="18"/>
                <w:szCs w:val="18"/>
                <w:lang w:eastAsia="en-GB"/>
              </w:rPr>
              <w:t>Viviendas</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Alemania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http://appsso.eurostat.ec.europa.eu/nui/show.do?dataset=lfst_hhnhtych&amp;lang=en</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Bulgaria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http://appsso.eurostat.ec.europa.eu/nui/show.do?dataset=lfst_hhnhtych&amp;lang=en</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España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http://appsso.eurostat.ec.europa.eu/nui/show.do?dataset=lfst_hhnhtych&amp;lang=en - 2011 a 2015</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Francia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http://appsso.eurostat.ec.europa.eu/nui/show.do?dataset=lfst_hhnhtych&amp;lang=en - 2011 a 2015</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Holanda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http://appsso.eurostat.ec.europa.eu/nui/show.do?dataset=lfst_hhnhtych&amp;lang=en</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Italia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http://appsso.eurostat.ec.europa.eu/nui/show.do?dataset=lfst_hhnhtych&amp;lang=en</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Kazajistán</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https://www.liportal.de/fileadmin/user_upload/oeffentlich/Kasachstan/40_gesellschaft/Kaz2009_Analytical_report.pdf</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Portugal</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http://appsso.eurostat.ec.europa.eu/nui/show.do?dataset=lfst_hhnhtych&amp;lang=en - 2011 a 2015</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Rumanía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http://appsso.eurostat.ec.europa.eu/nui/show.do?dataset=lfst_hhnhtych&amp;lang=en</w:t>
            </w:r>
          </w:p>
        </w:tc>
      </w:tr>
      <w:tr w:rsidR="008B162A" w:rsidRPr="002808E1"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Rusia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val="en-US" w:eastAsia="en-GB"/>
              </w:rPr>
            </w:pPr>
            <w:r w:rsidRPr="008B162A">
              <w:rPr>
                <w:rFonts w:ascii="Century Gothic" w:hAnsi="Century Gothic"/>
                <w:sz w:val="18"/>
                <w:szCs w:val="18"/>
                <w:lang w:val="en-US" w:eastAsia="en-GB"/>
              </w:rPr>
              <w:t>catalog.ihsn.org/</w:t>
            </w:r>
            <w:proofErr w:type="spellStart"/>
            <w:r w:rsidRPr="008B162A">
              <w:rPr>
                <w:rFonts w:ascii="Century Gothic" w:hAnsi="Century Gothic"/>
                <w:sz w:val="18"/>
                <w:szCs w:val="18"/>
                <w:lang w:val="en-US" w:eastAsia="en-GB"/>
              </w:rPr>
              <w:t>index.php</w:t>
            </w:r>
            <w:proofErr w:type="spellEnd"/>
            <w:r w:rsidRPr="008B162A">
              <w:rPr>
                <w:rFonts w:ascii="Century Gothic" w:hAnsi="Century Gothic"/>
                <w:sz w:val="18"/>
                <w:szCs w:val="18"/>
                <w:lang w:val="en-US" w:eastAsia="en-GB"/>
              </w:rPr>
              <w:t>/catalog/4215/download/55702</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Suecia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http://appsso.eurostat.ec.europa.eu/nui/show.do?dataset=lfst_hhnhtych&amp;lang=en - 2011 a 2015</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Turquía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http://appsso.eurostat.ec.europa.eu/nui/show.do?dataset=lfst_hhnhtych&amp;lang=en</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Ucrania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https://ukrstat.org/en/operativ/operativ2007/zf/zf_e/2006_e.htm</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Argentina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http://www.indec.gov.ar/censos_total_pais.asp?id_tema_1=2&amp;id_tema_2=41&amp;id_tema_3=135&amp;t=2&amp;s=0&amp;c=2010</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Brasil</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http://www.sidra.ibge.gov.br/bda/tabela/listabl.asp?c=1134&amp;z=cd&amp;o=5</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Colombia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http://www.dane.gov.co/index.php/poblacion-y-demografia/proyecciones-de-poblacion</w:t>
            </w:r>
          </w:p>
        </w:tc>
      </w:tr>
      <w:tr w:rsidR="008B162A" w:rsidRPr="008B162A" w:rsidTr="00507A64">
        <w:trPr>
          <w:trHeight w:val="510"/>
        </w:trPr>
        <w:tc>
          <w:tcPr>
            <w:tcW w:w="1418"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507A64">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Estados Unidos de América</w:t>
            </w:r>
          </w:p>
        </w:tc>
        <w:tc>
          <w:tcPr>
            <w:tcW w:w="7081" w:type="dxa"/>
            <w:tcBorders>
              <w:top w:val="single" w:sz="8" w:space="0" w:color="0C2749"/>
              <w:left w:val="single" w:sz="8" w:space="0" w:color="0C2749"/>
              <w:bottom w:val="single" w:sz="8" w:space="0" w:color="0C2749"/>
              <w:right w:val="single" w:sz="8" w:space="0" w:color="0C2749"/>
            </w:tcBorders>
            <w:shd w:val="clear" w:color="auto" w:fill="auto"/>
            <w:vAlign w:val="center"/>
            <w:hideMark/>
          </w:tcPr>
          <w:p w:rsidR="002B22DF" w:rsidRPr="008B162A" w:rsidRDefault="002B22DF" w:rsidP="00A118DB">
            <w:pPr>
              <w:keepNext/>
              <w:spacing w:before="0" w:after="0" w:line="240" w:lineRule="auto"/>
              <w:jc w:val="left"/>
              <w:rPr>
                <w:rFonts w:ascii="Century Gothic" w:hAnsi="Century Gothic"/>
                <w:sz w:val="18"/>
                <w:szCs w:val="18"/>
                <w:lang w:eastAsia="en-GB"/>
              </w:rPr>
            </w:pPr>
            <w:r w:rsidRPr="008B162A">
              <w:rPr>
                <w:rFonts w:ascii="Century Gothic" w:hAnsi="Century Gothic"/>
                <w:sz w:val="18"/>
                <w:szCs w:val="18"/>
                <w:lang w:eastAsia="en-GB"/>
              </w:rPr>
              <w:t>https://www.census.gov/quickfacts/table/PST045215/00</w:t>
            </w:r>
          </w:p>
        </w:tc>
      </w:tr>
    </w:tbl>
    <w:p w:rsidR="002B22DF" w:rsidRPr="008B162A" w:rsidRDefault="00A118DB" w:rsidP="00A118DB">
      <w:pPr>
        <w:pStyle w:val="Descripcin"/>
        <w:rPr>
          <w:rFonts w:ascii="Century Gothic" w:hAnsi="Century Gothic"/>
        </w:rPr>
      </w:pPr>
      <w:r w:rsidRPr="008B162A">
        <w:rPr>
          <w:rFonts w:ascii="Century Gothic" w:hAnsi="Century Gothic"/>
        </w:rPr>
        <w:t xml:space="preserve">Tabla </w:t>
      </w:r>
      <w:r w:rsidR="00847BCF" w:rsidRPr="008B162A">
        <w:rPr>
          <w:rFonts w:ascii="Century Gothic" w:hAnsi="Century Gothic"/>
        </w:rPr>
        <w:fldChar w:fldCharType="begin"/>
      </w:r>
      <w:r w:rsidR="00847BCF" w:rsidRPr="008B162A">
        <w:rPr>
          <w:rFonts w:ascii="Century Gothic" w:hAnsi="Century Gothic"/>
        </w:rPr>
        <w:instrText xml:space="preserve"> STYLEREF 1 \s </w:instrText>
      </w:r>
      <w:r w:rsidR="00847BCF" w:rsidRPr="008B162A">
        <w:rPr>
          <w:rFonts w:ascii="Century Gothic" w:hAnsi="Century Gothic"/>
        </w:rPr>
        <w:fldChar w:fldCharType="separate"/>
      </w:r>
      <w:r w:rsidR="00431406">
        <w:rPr>
          <w:rFonts w:ascii="Century Gothic" w:hAnsi="Century Gothic"/>
          <w:noProof/>
        </w:rPr>
        <w:t>11</w:t>
      </w:r>
      <w:r w:rsidR="00847BCF" w:rsidRPr="008B162A">
        <w:rPr>
          <w:rFonts w:ascii="Century Gothic" w:hAnsi="Century Gothic"/>
          <w:noProof/>
        </w:rPr>
        <w:fldChar w:fldCharType="end"/>
      </w:r>
      <w:r w:rsidR="00AD65BA" w:rsidRPr="008B162A">
        <w:rPr>
          <w:rFonts w:ascii="Century Gothic" w:hAnsi="Century Gothic"/>
        </w:rPr>
        <w:t>.</w:t>
      </w:r>
      <w:r w:rsidR="00847BCF" w:rsidRPr="008B162A">
        <w:rPr>
          <w:rFonts w:ascii="Century Gothic" w:hAnsi="Century Gothic"/>
        </w:rPr>
        <w:fldChar w:fldCharType="begin"/>
      </w:r>
      <w:r w:rsidR="00847BCF" w:rsidRPr="008B162A">
        <w:rPr>
          <w:rFonts w:ascii="Century Gothic" w:hAnsi="Century Gothic"/>
        </w:rPr>
        <w:instrText xml:space="preserve"> SEQ Tabla \* ARABIC \s 1 </w:instrText>
      </w:r>
      <w:r w:rsidR="00847BCF" w:rsidRPr="008B162A">
        <w:rPr>
          <w:rFonts w:ascii="Century Gothic" w:hAnsi="Century Gothic"/>
        </w:rPr>
        <w:fldChar w:fldCharType="separate"/>
      </w:r>
      <w:r w:rsidR="00431406">
        <w:rPr>
          <w:rFonts w:ascii="Century Gothic" w:hAnsi="Century Gothic"/>
          <w:noProof/>
        </w:rPr>
        <w:t>4</w:t>
      </w:r>
      <w:r w:rsidR="00847BCF" w:rsidRPr="008B162A">
        <w:rPr>
          <w:rFonts w:ascii="Century Gothic" w:hAnsi="Century Gothic"/>
          <w:noProof/>
        </w:rPr>
        <w:fldChar w:fldCharType="end"/>
      </w:r>
      <w:r w:rsidRPr="008B162A">
        <w:rPr>
          <w:rFonts w:ascii="Century Gothic" w:hAnsi="Century Gothic"/>
        </w:rPr>
        <w:t>: Fuentes utilizadas para la obtención del número de viviendas por país</w:t>
      </w:r>
    </w:p>
    <w:bookmarkEnd w:id="31"/>
    <w:bookmarkEnd w:id="90"/>
    <w:bookmarkEnd w:id="91"/>
    <w:bookmarkEnd w:id="92"/>
    <w:p w:rsidR="00AB477E" w:rsidRPr="008B162A" w:rsidRDefault="00AB477E" w:rsidP="00893B87">
      <w:pPr>
        <w:pStyle w:val="Indentado1"/>
        <w:numPr>
          <w:ilvl w:val="0"/>
          <w:numId w:val="0"/>
        </w:numPr>
        <w:ind w:left="720"/>
      </w:pPr>
    </w:p>
    <w:sectPr w:rsidR="00AB477E" w:rsidRPr="008B162A" w:rsidSect="00D469DB">
      <w:headerReference w:type="default" r:id="rId68"/>
      <w:footerReference w:type="default" r:id="rId69"/>
      <w:pgSz w:w="11906" w:h="16838" w:code="9"/>
      <w:pgMar w:top="2160" w:right="1440" w:bottom="1440" w:left="1440" w:header="288" w:footer="28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5610" w:rsidRDefault="00F15610" w:rsidP="001B5628">
      <w:r>
        <w:separator/>
      </w:r>
    </w:p>
  </w:endnote>
  <w:endnote w:type="continuationSeparator" w:id="0">
    <w:p w:rsidR="00F15610" w:rsidRDefault="00F15610" w:rsidP="001B5628">
      <w:r>
        <w:continuationSeparator/>
      </w:r>
    </w:p>
  </w:endnote>
  <w:endnote w:type="continuationNotice" w:id="1">
    <w:p w:rsidR="00F15610" w:rsidRDefault="00F1561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Book Antiqua">
    <w:panose1 w:val="02040602050305030304"/>
    <w:charset w:val="00"/>
    <w:family w:val="roman"/>
    <w:pitch w:val="variable"/>
    <w:sig w:usb0="00000287" w:usb1="00000000" w:usb2="00000000" w:usb3="00000000" w:csb0="0000009F" w:csb1="00000000"/>
  </w:font>
  <w:font w:name="Optima">
    <w:panose1 w:val="00000000000000000000"/>
    <w:charset w:val="00"/>
    <w:family w:val="auto"/>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ITC Avant Garde">
    <w:panose1 w:val="020B0402020203020304"/>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3663938"/>
      <w:docPartObj>
        <w:docPartGallery w:val="Page Numbers (Bottom of Page)"/>
        <w:docPartUnique/>
      </w:docPartObj>
    </w:sdtPr>
    <w:sdtEndPr/>
    <w:sdtContent>
      <w:sdt>
        <w:sdtPr>
          <w:id w:val="-1705238520"/>
          <w:docPartObj>
            <w:docPartGallery w:val="Page Numbers (Top of Page)"/>
            <w:docPartUnique/>
          </w:docPartObj>
        </w:sdtPr>
        <w:sdtEndPr/>
        <w:sdtContent>
          <w:p w:rsidR="00E714F3" w:rsidRDefault="00E714F3" w:rsidP="00E714F3">
            <w:pPr>
              <w:pStyle w:val="Piedepgina"/>
              <w:jc w:val="right"/>
            </w:pPr>
            <w:r w:rsidRPr="00E714F3">
              <w:rPr>
                <w:rFonts w:ascii="ITC Avant Garde" w:hAnsi="ITC Avant Garde"/>
                <w:color w:val="98A5AC" w:themeColor="text2" w:themeTint="99"/>
                <w:spacing w:val="60"/>
                <w:lang w:val="es-ES"/>
              </w:rPr>
              <w:t>Página</w:t>
            </w:r>
            <w:r w:rsidRPr="00E714F3">
              <w:rPr>
                <w:rFonts w:ascii="Century Gothic" w:hAnsi="Century Gothic"/>
                <w:lang w:val="es-ES"/>
              </w:rPr>
              <w:t xml:space="preserve"> </w:t>
            </w:r>
            <w:r w:rsidRPr="00E714F3">
              <w:rPr>
                <w:rFonts w:ascii="Century Gothic" w:hAnsi="Century Gothic"/>
                <w:bCs/>
                <w:sz w:val="24"/>
              </w:rPr>
              <w:fldChar w:fldCharType="begin"/>
            </w:r>
            <w:r w:rsidRPr="00E714F3">
              <w:rPr>
                <w:rFonts w:ascii="Century Gothic" w:hAnsi="Century Gothic"/>
                <w:bCs/>
              </w:rPr>
              <w:instrText>PAGE</w:instrText>
            </w:r>
            <w:r w:rsidRPr="00E714F3">
              <w:rPr>
                <w:rFonts w:ascii="Century Gothic" w:hAnsi="Century Gothic"/>
                <w:bCs/>
                <w:sz w:val="24"/>
              </w:rPr>
              <w:fldChar w:fldCharType="separate"/>
            </w:r>
            <w:r w:rsidR="002808E1">
              <w:rPr>
                <w:rFonts w:ascii="Century Gothic" w:hAnsi="Century Gothic"/>
                <w:bCs/>
                <w:noProof/>
              </w:rPr>
              <w:t>21</w:t>
            </w:r>
            <w:r w:rsidRPr="00E714F3">
              <w:rPr>
                <w:rFonts w:ascii="Century Gothic" w:hAnsi="Century Gothic"/>
                <w:bCs/>
                <w:sz w:val="24"/>
              </w:rPr>
              <w:fldChar w:fldCharType="end"/>
            </w:r>
            <w:r w:rsidRPr="00E714F3">
              <w:rPr>
                <w:rFonts w:ascii="Century Gothic" w:hAnsi="Century Gothic"/>
                <w:lang w:val="es-ES"/>
              </w:rPr>
              <w:t xml:space="preserve"> | </w:t>
            </w:r>
            <w:r w:rsidRPr="00E714F3">
              <w:rPr>
                <w:rFonts w:ascii="Century Gothic" w:hAnsi="Century Gothic"/>
                <w:bCs/>
                <w:sz w:val="24"/>
              </w:rPr>
              <w:fldChar w:fldCharType="begin"/>
            </w:r>
            <w:r w:rsidRPr="00E714F3">
              <w:rPr>
                <w:rFonts w:ascii="Century Gothic" w:hAnsi="Century Gothic"/>
                <w:bCs/>
              </w:rPr>
              <w:instrText>NUMPAGES</w:instrText>
            </w:r>
            <w:r w:rsidRPr="00E714F3">
              <w:rPr>
                <w:rFonts w:ascii="Century Gothic" w:hAnsi="Century Gothic"/>
                <w:bCs/>
                <w:sz w:val="24"/>
              </w:rPr>
              <w:fldChar w:fldCharType="separate"/>
            </w:r>
            <w:r w:rsidR="002808E1">
              <w:rPr>
                <w:rFonts w:ascii="Century Gothic" w:hAnsi="Century Gothic"/>
                <w:bCs/>
                <w:noProof/>
              </w:rPr>
              <w:t>93</w:t>
            </w:r>
            <w:r w:rsidRPr="00E714F3">
              <w:rPr>
                <w:rFonts w:ascii="Century Gothic" w:hAnsi="Century Gothic"/>
                <w:bCs/>
                <w:sz w:val="24"/>
              </w:rPr>
              <w:fldChar w:fldCharType="end"/>
            </w:r>
          </w:p>
        </w:sdtContent>
      </w:sdt>
    </w:sdtContent>
  </w:sdt>
  <w:p w:rsidR="00E714F3" w:rsidRPr="00ED7D97" w:rsidRDefault="00E714F3" w:rsidP="00FB2CE7">
    <w:pPr>
      <w:pStyle w:val="Piedepgina"/>
      <w:jc w:val="center"/>
      <w:rPr>
        <w:color w:val="0C2749"/>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5610" w:rsidRDefault="00F15610" w:rsidP="001B5628">
      <w:r>
        <w:separator/>
      </w:r>
    </w:p>
  </w:footnote>
  <w:footnote w:type="continuationSeparator" w:id="0">
    <w:p w:rsidR="00F15610" w:rsidRDefault="00F15610" w:rsidP="001B5628">
      <w:r>
        <w:continuationSeparator/>
      </w:r>
    </w:p>
  </w:footnote>
  <w:footnote w:type="continuationNotice" w:id="1">
    <w:p w:rsidR="00F15610" w:rsidRDefault="00F15610">
      <w:pPr>
        <w:spacing w:before="0" w:after="0" w:line="240" w:lineRule="auto"/>
      </w:pPr>
    </w:p>
  </w:footnote>
  <w:footnote w:id="2">
    <w:p w:rsidR="00E714F3" w:rsidRPr="00D07716" w:rsidRDefault="00E714F3" w:rsidP="000E3448">
      <w:pPr>
        <w:pStyle w:val="Textonotapie"/>
      </w:pPr>
      <w:r w:rsidRPr="00D07716">
        <w:rPr>
          <w:rStyle w:val="Refdenotaalpie"/>
        </w:rPr>
        <w:footnoteRef/>
      </w:r>
      <w:r w:rsidRPr="00D07716">
        <w:t xml:space="preserve"> La cobertura se define como el número de viviendas y locales comerciales para los que la activación del servicio de acceso de fibra requiera, como mucho, la instalación de la acometida (</w:t>
      </w:r>
      <w:r w:rsidRPr="000E3448">
        <w:t>conexión</w:t>
      </w:r>
      <w:r w:rsidRPr="00D07716">
        <w:t xml:space="preserve"> entre la caja terminal y la vivienda).</w:t>
      </w:r>
    </w:p>
  </w:footnote>
  <w:footnote w:id="3">
    <w:p w:rsidR="00E714F3" w:rsidRPr="006A3F1C" w:rsidRDefault="00E714F3" w:rsidP="00F9549E">
      <w:pPr>
        <w:pStyle w:val="Textonotapie"/>
        <w:rPr>
          <w:szCs w:val="16"/>
        </w:rPr>
      </w:pPr>
      <w:r w:rsidRPr="006A3F1C">
        <w:rPr>
          <w:rStyle w:val="Refdenotaalpie"/>
          <w:szCs w:val="16"/>
        </w:rPr>
        <w:footnoteRef/>
      </w:r>
      <w:r w:rsidRPr="006A3F1C">
        <w:rPr>
          <w:szCs w:val="16"/>
        </w:rPr>
        <w:t xml:space="preserve"> El detalle de las fuentes empleadas se lista en el anexo B.</w:t>
      </w:r>
    </w:p>
  </w:footnote>
  <w:footnote w:id="4">
    <w:p w:rsidR="00E714F3" w:rsidRPr="00257FEE" w:rsidRDefault="00E714F3" w:rsidP="00F9549E">
      <w:pPr>
        <w:pStyle w:val="Textonotapie"/>
      </w:pPr>
      <w:r w:rsidRPr="006A3F1C">
        <w:rPr>
          <w:rStyle w:val="Refdenotaalpie"/>
          <w:szCs w:val="16"/>
        </w:rPr>
        <w:footnoteRef/>
      </w:r>
      <w:r w:rsidRPr="006A3F1C">
        <w:rPr>
          <w:szCs w:val="16"/>
        </w:rPr>
        <w:t xml:space="preserve"> El detalle de las fuentes empleadas se lista en el anexo B.</w:t>
      </w:r>
    </w:p>
  </w:footnote>
  <w:footnote w:id="5">
    <w:p w:rsidR="00E714F3" w:rsidRPr="00E714F3" w:rsidRDefault="00E714F3" w:rsidP="00E07A71">
      <w:pPr>
        <w:pStyle w:val="Textonotapie"/>
        <w:rPr>
          <w:rFonts w:ascii="Century Gothic" w:hAnsi="Century Gothic"/>
          <w:szCs w:val="16"/>
        </w:rPr>
      </w:pPr>
      <w:r w:rsidRPr="00E714F3">
        <w:rPr>
          <w:rStyle w:val="Refdenotaalpie"/>
          <w:rFonts w:ascii="Century Gothic" w:hAnsi="Century Gothic"/>
          <w:szCs w:val="16"/>
        </w:rPr>
        <w:footnoteRef/>
      </w:r>
      <w:r w:rsidRPr="00E714F3">
        <w:rPr>
          <w:rFonts w:ascii="Century Gothic" w:hAnsi="Century Gothic"/>
          <w:szCs w:val="16"/>
        </w:rPr>
        <w:t xml:space="preserve"> Organización intergubernamental de países, compuesta por los estados de Rusia, Bielorrusia, Kazajistán, Azerbaiyán, Tayikistán, Armenia, Kirguistán, Uzbekistán, Moldavia, Ucrania y Turkmenistán</w:t>
      </w:r>
    </w:p>
  </w:footnote>
  <w:footnote w:id="6">
    <w:p w:rsidR="00E714F3" w:rsidRPr="006A3F1C" w:rsidRDefault="00E714F3" w:rsidP="00E07A71">
      <w:pPr>
        <w:pStyle w:val="Textonotapie"/>
        <w:rPr>
          <w:szCs w:val="16"/>
        </w:rPr>
      </w:pPr>
      <w:r w:rsidRPr="006A3F1C">
        <w:rPr>
          <w:rStyle w:val="Refdenotaalpie"/>
          <w:szCs w:val="16"/>
        </w:rPr>
        <w:footnoteRef/>
      </w:r>
      <w:r w:rsidRPr="006A3F1C">
        <w:rPr>
          <w:szCs w:val="16"/>
        </w:rPr>
        <w:t xml:space="preserve"> </w:t>
      </w:r>
      <w:r w:rsidRPr="00E714F3">
        <w:rPr>
          <w:rFonts w:ascii="Century Gothic" w:hAnsi="Century Gothic"/>
          <w:szCs w:val="16"/>
        </w:rPr>
        <w:t xml:space="preserve">FTTH/B Panorama </w:t>
      </w:r>
      <w:proofErr w:type="spellStart"/>
      <w:r w:rsidRPr="00E714F3">
        <w:rPr>
          <w:rFonts w:ascii="Century Gothic" w:hAnsi="Century Gothic"/>
          <w:szCs w:val="16"/>
        </w:rPr>
        <w:t>Europe</w:t>
      </w:r>
      <w:proofErr w:type="spellEnd"/>
      <w:r w:rsidRPr="00E714F3">
        <w:rPr>
          <w:rFonts w:ascii="Century Gothic" w:hAnsi="Century Gothic"/>
          <w:szCs w:val="16"/>
        </w:rPr>
        <w:t xml:space="preserve"> (EU39). </w:t>
      </w:r>
      <w:proofErr w:type="spellStart"/>
      <w:r w:rsidRPr="00E714F3">
        <w:rPr>
          <w:rFonts w:ascii="Century Gothic" w:hAnsi="Century Gothic"/>
          <w:szCs w:val="16"/>
        </w:rPr>
        <w:t>Digiworld</w:t>
      </w:r>
      <w:proofErr w:type="spellEnd"/>
      <w:r w:rsidRPr="00E714F3">
        <w:rPr>
          <w:rFonts w:ascii="Century Gothic" w:hAnsi="Century Gothic"/>
          <w:szCs w:val="16"/>
        </w:rPr>
        <w:t xml:space="preserve"> </w:t>
      </w:r>
      <w:proofErr w:type="spellStart"/>
      <w:r w:rsidRPr="00E714F3">
        <w:rPr>
          <w:rFonts w:ascii="Century Gothic" w:hAnsi="Century Gothic"/>
          <w:szCs w:val="16"/>
        </w:rPr>
        <w:t>by</w:t>
      </w:r>
      <w:proofErr w:type="spellEnd"/>
      <w:r w:rsidRPr="00E714F3">
        <w:rPr>
          <w:rFonts w:ascii="Century Gothic" w:hAnsi="Century Gothic"/>
          <w:szCs w:val="16"/>
        </w:rPr>
        <w:t xml:space="preserve"> </w:t>
      </w:r>
      <w:proofErr w:type="spellStart"/>
      <w:r w:rsidRPr="00E714F3">
        <w:rPr>
          <w:rFonts w:ascii="Century Gothic" w:hAnsi="Century Gothic"/>
          <w:szCs w:val="16"/>
        </w:rPr>
        <w:t>iDATE</w:t>
      </w:r>
      <w:proofErr w:type="spellEnd"/>
      <w:r w:rsidRPr="00E714F3">
        <w:rPr>
          <w:rFonts w:ascii="Century Gothic" w:hAnsi="Century Gothic"/>
          <w:szCs w:val="16"/>
        </w:rPr>
        <w:t>. 2016.</w:t>
      </w:r>
    </w:p>
  </w:footnote>
  <w:footnote w:id="7">
    <w:p w:rsidR="00E714F3" w:rsidRPr="006A3F1C" w:rsidRDefault="00E714F3" w:rsidP="00F9549E">
      <w:pPr>
        <w:pStyle w:val="Textonotapie"/>
        <w:rPr>
          <w:szCs w:val="16"/>
        </w:rPr>
      </w:pPr>
      <w:r w:rsidRPr="006A3F1C">
        <w:rPr>
          <w:rStyle w:val="Refdenotaalpie"/>
          <w:szCs w:val="16"/>
        </w:rPr>
        <w:footnoteRef/>
      </w:r>
      <w:r w:rsidRPr="006A3F1C">
        <w:rPr>
          <w:szCs w:val="16"/>
        </w:rPr>
        <w:t xml:space="preserve"> </w:t>
      </w:r>
      <w:r w:rsidRPr="00E714F3">
        <w:rPr>
          <w:rFonts w:ascii="Century Gothic" w:hAnsi="Century Gothic"/>
          <w:szCs w:val="16"/>
        </w:rPr>
        <w:t>Valores promedio anuales considerando los valores a inicio y final del año</w:t>
      </w:r>
    </w:p>
  </w:footnote>
  <w:footnote w:id="8">
    <w:p w:rsidR="00E714F3" w:rsidRPr="00035E60" w:rsidRDefault="00E714F3" w:rsidP="00F9549E">
      <w:pPr>
        <w:pStyle w:val="Textonotapie"/>
      </w:pPr>
      <w:r>
        <w:rPr>
          <w:rStyle w:val="Refdenotaalpie"/>
        </w:rPr>
        <w:footnoteRef/>
      </w:r>
      <w:r w:rsidRPr="00035E60">
        <w:t xml:space="preserve"> </w:t>
      </w:r>
      <w:r w:rsidRPr="00E714F3">
        <w:rPr>
          <w:rFonts w:ascii="Century Gothic" w:hAnsi="Century Gothic"/>
          <w:szCs w:val="16"/>
        </w:rPr>
        <w:t>Valores promedio anuales, considerando la demanda a inicio y final del año.</w:t>
      </w:r>
    </w:p>
  </w:footnote>
  <w:footnote w:id="9">
    <w:p w:rsidR="00E714F3" w:rsidRPr="00035E60" w:rsidRDefault="00E714F3" w:rsidP="00F73209">
      <w:pPr>
        <w:pStyle w:val="Textonotapie"/>
      </w:pPr>
      <w:r w:rsidRPr="00C869BD">
        <w:rPr>
          <w:rStyle w:val="Refdenotaalpie"/>
        </w:rPr>
        <w:footnoteRef/>
      </w:r>
      <w:r w:rsidRPr="00C869BD">
        <w:t xml:space="preserve"> </w:t>
      </w:r>
      <w:r w:rsidRPr="00E714F3">
        <w:rPr>
          <w:rFonts w:ascii="Century Gothic" w:hAnsi="Century Gothic"/>
          <w:szCs w:val="16"/>
        </w:rPr>
        <w:t xml:space="preserve">Del Cuarto Informe Trimestral Estadístico 2015 del IFT, página 56. </w:t>
      </w:r>
      <w:hyperlink r:id="rId1" w:history="1">
        <w:r w:rsidRPr="005A5E66">
          <w:rPr>
            <w:rStyle w:val="Hipervnculo"/>
            <w:rFonts w:ascii="Century Gothic" w:hAnsi="Century Gothic"/>
            <w:szCs w:val="16"/>
          </w:rPr>
          <w:t>http://www.ift.org.mx/sites/default/files/informe_trimestral_4q_2015_version_habilitada_para_lector_de_pantalla_v3.pdf</w:t>
        </w:r>
      </w:hyperlink>
      <w:r>
        <w:rPr>
          <w:rFonts w:ascii="Century Gothic" w:hAnsi="Century Gothic"/>
          <w:szCs w:val="16"/>
        </w:rPr>
        <w:t xml:space="preserve"> </w:t>
      </w:r>
    </w:p>
  </w:footnote>
  <w:footnote w:id="10">
    <w:p w:rsidR="00E714F3" w:rsidRPr="00E714F3" w:rsidRDefault="00E714F3" w:rsidP="00F9549E">
      <w:pPr>
        <w:pStyle w:val="Textonotapie"/>
        <w:rPr>
          <w:rFonts w:ascii="Century Gothic" w:hAnsi="Century Gothic"/>
          <w:szCs w:val="16"/>
        </w:rPr>
      </w:pPr>
      <w:r w:rsidRPr="00E714F3">
        <w:rPr>
          <w:rStyle w:val="Refdenotaalpie"/>
        </w:rPr>
        <w:footnoteRef/>
      </w:r>
      <w:r w:rsidRPr="00E714F3">
        <w:rPr>
          <w:rFonts w:ascii="Century Gothic" w:hAnsi="Century Gothic"/>
          <w:szCs w:val="16"/>
        </w:rPr>
        <w:t xml:space="preserve"> Crecimiento proyecto por la CONCAMIN en nota de prensa. http://www.elfinanciero.com.mx/economia/moderado-crecimiento-del-sector-industrial-de-mexico-en-2015-y-2016-concamin.html</w:t>
      </w:r>
    </w:p>
  </w:footnote>
  <w:footnote w:id="11">
    <w:p w:rsidR="00E714F3" w:rsidRPr="002C2AE3" w:rsidRDefault="00E714F3" w:rsidP="00B8697A">
      <w:pPr>
        <w:pStyle w:val="Textonotapie"/>
      </w:pPr>
      <w:r w:rsidRPr="00E714F3">
        <w:rPr>
          <w:rStyle w:val="Refdenotaalpie"/>
        </w:rPr>
        <w:footnoteRef/>
      </w:r>
      <w:r w:rsidRPr="00E714F3">
        <w:rPr>
          <w:rFonts w:ascii="Century Gothic" w:hAnsi="Century Gothic"/>
          <w:szCs w:val="16"/>
        </w:rPr>
        <w:t xml:space="preserve"> Información con base en lo reportado por los operadores de telecomunicaciones al Instituto para el año 2015.</w:t>
      </w:r>
    </w:p>
  </w:footnote>
  <w:footnote w:id="12">
    <w:p w:rsidR="00E714F3" w:rsidRPr="00D06F02" w:rsidRDefault="00E714F3" w:rsidP="007449DB">
      <w:pPr>
        <w:pStyle w:val="Textonotapie"/>
        <w:jc w:val="left"/>
        <w:rPr>
          <w:szCs w:val="16"/>
        </w:rPr>
      </w:pPr>
      <w:r w:rsidRPr="00D06F02">
        <w:rPr>
          <w:rStyle w:val="Refdenotaalpie"/>
          <w:szCs w:val="16"/>
        </w:rPr>
        <w:footnoteRef/>
      </w:r>
      <w:r w:rsidRPr="00D06F02">
        <w:rPr>
          <w:szCs w:val="16"/>
        </w:rPr>
        <w:t xml:space="preserve"> </w:t>
      </w:r>
      <w:r w:rsidRPr="00E714F3">
        <w:rPr>
          <w:rFonts w:ascii="Century Gothic" w:hAnsi="Century Gothic"/>
          <w:szCs w:val="16"/>
        </w:rPr>
        <w:t>Fuente: http://www.ift.org.mx/sites/default/files/industria/temasrelevantes/5300/documentos/formatomodeloreddeaccesofijoaccesible.docx</w:t>
      </w:r>
    </w:p>
  </w:footnote>
  <w:footnote w:id="13">
    <w:p w:rsidR="00E714F3" w:rsidRPr="00D06F02" w:rsidRDefault="00E714F3" w:rsidP="00706B35">
      <w:pPr>
        <w:pStyle w:val="Textonotapie"/>
      </w:pPr>
      <w:r w:rsidRPr="00D06F02">
        <w:rPr>
          <w:rStyle w:val="Refdenotaalpie"/>
        </w:rPr>
        <w:footnoteRef/>
      </w:r>
      <w:r w:rsidRPr="00D06F02">
        <w:t xml:space="preserve"> </w:t>
      </w:r>
      <w:r w:rsidRPr="00E714F3">
        <w:rPr>
          <w:rFonts w:ascii="Century Gothic" w:hAnsi="Century Gothic"/>
          <w:szCs w:val="16"/>
        </w:rPr>
        <w:t xml:space="preserve">Distancia máxima del bucle determinada a partir de la información proporcionada por el AEP sobre sus elementos de red y la existencia de un doble </w:t>
      </w:r>
      <w:proofErr w:type="spellStart"/>
      <w:r w:rsidRPr="00E714F3">
        <w:rPr>
          <w:rFonts w:ascii="Century Gothic" w:hAnsi="Century Gothic"/>
          <w:szCs w:val="16"/>
        </w:rPr>
        <w:t>split</w:t>
      </w:r>
      <w:proofErr w:type="spellEnd"/>
      <w:r w:rsidRPr="00E714F3">
        <w:rPr>
          <w:rFonts w:ascii="Century Gothic" w:hAnsi="Century Gothic"/>
          <w:szCs w:val="16"/>
        </w:rPr>
        <w:t xml:space="preserve"> con relación 1:64 total. Para dicho alcance se consideran distancias por carretera (no en línea recta).</w:t>
      </w:r>
    </w:p>
  </w:footnote>
  <w:footnote w:id="14">
    <w:p w:rsidR="00E714F3" w:rsidRDefault="00E714F3">
      <w:pPr>
        <w:pStyle w:val="Textonotapie"/>
      </w:pPr>
      <w:r>
        <w:rPr>
          <w:rStyle w:val="Refdenotaalpie"/>
        </w:rPr>
        <w:footnoteRef/>
      </w:r>
      <w:r>
        <w:t xml:space="preserve"> </w:t>
      </w:r>
      <w:r w:rsidRPr="00E714F3">
        <w:rPr>
          <w:rFonts w:ascii="Century Gothic" w:hAnsi="Century Gothic"/>
          <w:szCs w:val="16"/>
        </w:rPr>
        <w:t>Fuente: Estimaciones realizadas por el IFT</w:t>
      </w:r>
    </w:p>
  </w:footnote>
  <w:footnote w:id="15">
    <w:p w:rsidR="00E714F3" w:rsidRPr="00E60C2A" w:rsidRDefault="00E714F3">
      <w:pPr>
        <w:pStyle w:val="Textonotapie"/>
      </w:pPr>
      <w:r>
        <w:rPr>
          <w:rStyle w:val="Refdenotaalpie"/>
        </w:rPr>
        <w:footnoteRef/>
      </w:r>
      <w:r>
        <w:t xml:space="preserve"> </w:t>
      </w:r>
      <w:r w:rsidRPr="00E714F3">
        <w:rPr>
          <w:rFonts w:ascii="Century Gothic" w:hAnsi="Century Gothic"/>
          <w:szCs w:val="16"/>
        </w:rPr>
        <w:t>La huella ha sido alterada por motivos de confidencialidad.</w:t>
      </w:r>
    </w:p>
  </w:footnote>
  <w:footnote w:id="16">
    <w:p w:rsidR="00E714F3" w:rsidRPr="002A20F8" w:rsidRDefault="00E714F3">
      <w:pPr>
        <w:pStyle w:val="Textonotapie"/>
      </w:pPr>
      <w:r>
        <w:rPr>
          <w:rStyle w:val="Refdenotaalpie"/>
        </w:rPr>
        <w:footnoteRef/>
      </w:r>
      <w:r w:rsidRPr="002A20F8">
        <w:t xml:space="preserve"> </w:t>
      </w:r>
      <w:r w:rsidRPr="00E714F3">
        <w:rPr>
          <w:rFonts w:ascii="Century Gothic" w:hAnsi="Century Gothic"/>
          <w:szCs w:val="16"/>
        </w:rPr>
        <w:t>Obtenido como la proporción entre el número de edificios de cada área poblada y la capacidad máxima de la caja terminal, que en este modelo es de 8 edificios por caja en concordancia con la infraestructura del AEP.</w:t>
      </w:r>
    </w:p>
  </w:footnote>
  <w:footnote w:id="17">
    <w:p w:rsidR="00E714F3" w:rsidRPr="00626329" w:rsidRDefault="00E714F3" w:rsidP="00E73066">
      <w:pPr>
        <w:pStyle w:val="Textonotapie"/>
      </w:pPr>
      <w:r w:rsidRPr="00443CF9">
        <w:rPr>
          <w:rStyle w:val="Refdenotaalpie"/>
          <w:sz w:val="18"/>
        </w:rPr>
        <w:footnoteRef/>
      </w:r>
      <w:r w:rsidRPr="00443CF9">
        <w:rPr>
          <w:sz w:val="18"/>
        </w:rPr>
        <w:t xml:space="preserve"> </w:t>
      </w:r>
      <w:r w:rsidRPr="00E714F3">
        <w:rPr>
          <w:rFonts w:ascii="Century Gothic" w:hAnsi="Century Gothic"/>
          <w:szCs w:val="16"/>
        </w:rPr>
        <w:t>Las redes primaria y secundaria se representan como líneas rectas por simplicidad; sin embargo, el modelo tiene en cuenta rutas por carretera.</w:t>
      </w:r>
    </w:p>
  </w:footnote>
  <w:footnote w:id="18">
    <w:p w:rsidR="00E714F3" w:rsidRDefault="00E714F3" w:rsidP="00D07716">
      <w:r w:rsidRPr="00492584">
        <w:rPr>
          <w:rStyle w:val="Refdenotaalpie"/>
          <w:sz w:val="16"/>
          <w:szCs w:val="20"/>
        </w:rPr>
        <w:footnoteRef/>
      </w:r>
      <w:r w:rsidR="00D7559E">
        <w:rPr>
          <w:sz w:val="16"/>
          <w:szCs w:val="20"/>
        </w:rPr>
        <w:t xml:space="preserve"> </w:t>
      </w:r>
      <w:r w:rsidRPr="00E714F3">
        <w:rPr>
          <w:rFonts w:ascii="Century Gothic" w:hAnsi="Century Gothic"/>
          <w:sz w:val="16"/>
          <w:szCs w:val="16"/>
        </w:rPr>
        <w:t>http://www.banxico.org.mx/dyn/informacion-para-la-prensa/comunicados/resultados-de-encuestas/expectativas-de-los-especialistas/index.html.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14F3" w:rsidRDefault="00E714F3" w:rsidP="00CE4638">
    <w:pPr>
      <w:pStyle w:val="Encbezado"/>
      <w:spacing w:before="0" w:after="0" w:line="240" w:lineRule="auto"/>
      <w:jc w:val="right"/>
      <w:rPr>
        <w:i/>
        <w:sz w:val="18"/>
        <w:szCs w:val="18"/>
        <w:lang w:val="es-ES_tradnl"/>
      </w:rPr>
    </w:pPr>
  </w:p>
  <w:p w:rsidR="00E714F3" w:rsidRDefault="00E714F3" w:rsidP="00B47D17">
    <w:pPr>
      <w:pStyle w:val="Encbezado"/>
      <w:spacing w:before="0" w:after="0" w:line="240" w:lineRule="auto"/>
      <w:jc w:val="right"/>
      <w:rPr>
        <w:rFonts w:ascii="Century Gothic" w:hAnsi="Century Gothic"/>
        <w:i/>
        <w:color w:val="auto"/>
        <w:sz w:val="18"/>
        <w:szCs w:val="18"/>
      </w:rPr>
    </w:pPr>
  </w:p>
  <w:p w:rsidR="00E714F3" w:rsidRDefault="00E714F3" w:rsidP="00B47D17">
    <w:pPr>
      <w:pStyle w:val="Encbezado"/>
      <w:spacing w:before="0" w:after="0" w:line="240" w:lineRule="auto"/>
      <w:jc w:val="right"/>
      <w:rPr>
        <w:rFonts w:ascii="Century Gothic" w:hAnsi="Century Gothic"/>
        <w:i/>
        <w:color w:val="auto"/>
        <w:sz w:val="18"/>
        <w:szCs w:val="18"/>
      </w:rPr>
    </w:pPr>
  </w:p>
  <w:p w:rsidR="00E714F3" w:rsidRPr="008B162A" w:rsidRDefault="00E714F3" w:rsidP="00B47D17">
    <w:pPr>
      <w:pStyle w:val="Encbezado"/>
      <w:spacing w:before="0" w:after="0" w:line="240" w:lineRule="auto"/>
      <w:jc w:val="right"/>
      <w:rPr>
        <w:rFonts w:ascii="Century Gothic" w:hAnsi="Century Gothic"/>
        <w:i/>
        <w:color w:val="auto"/>
        <w:sz w:val="18"/>
        <w:szCs w:val="18"/>
        <w:lang w:val="es-ES_tradnl"/>
      </w:rPr>
    </w:pPr>
    <w:r w:rsidRPr="008B162A">
      <w:rPr>
        <w:rFonts w:ascii="Century Gothic" w:hAnsi="Century Gothic"/>
        <w:i/>
        <w:color w:val="auto"/>
        <w:sz w:val="18"/>
        <w:szCs w:val="18"/>
      </w:rPr>
      <w:t>Modelo de costos para la determinación de las tarifas de acceso a la red de fibra óptica del AEP</w:t>
    </w:r>
    <w:r w:rsidRPr="008B162A">
      <w:rPr>
        <w:rFonts w:ascii="Century Gothic" w:hAnsi="Century Gothic"/>
        <w:i/>
        <w:color w:val="auto"/>
        <w:sz w:val="18"/>
        <w:szCs w:val="18"/>
      </w:rPr>
      <w:br/>
      <w:t>Documento Metodológico</w:t>
    </w:r>
  </w:p>
  <w:p w:rsidR="00E714F3" w:rsidRPr="002808E1" w:rsidRDefault="00E714F3" w:rsidP="00CE4638">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18pt;height:34.5pt" o:bullet="t">
        <v:imagedata r:id="rId1" o:title="flecha"/>
      </v:shape>
    </w:pict>
  </w:numPicBullet>
  <w:abstractNum w:abstractNumId="0" w15:restartNumberingAfterBreak="0">
    <w:nsid w:val="00962E8D"/>
    <w:multiLevelType w:val="hybridMultilevel"/>
    <w:tmpl w:val="3FE6E50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4BD7627"/>
    <w:multiLevelType w:val="multilevel"/>
    <w:tmpl w:val="6DBAEEF2"/>
    <w:lvl w:ilvl="0">
      <w:start w:val="1"/>
      <w:numFmt w:val="bullet"/>
      <w:pStyle w:val="BulletPoints"/>
      <w:lvlText w:val="►"/>
      <w:lvlJc w:val="left"/>
      <w:pPr>
        <w:tabs>
          <w:tab w:val="num" w:pos="717"/>
        </w:tabs>
        <w:ind w:left="717" w:hanging="360"/>
      </w:pPr>
      <w:rPr>
        <w:rFonts w:ascii="Arial" w:hAnsi="Arial" w:cs="Times New Roman" w:hint="default"/>
        <w:color w:val="B46566"/>
      </w:rPr>
    </w:lvl>
    <w:lvl w:ilvl="1">
      <w:start w:val="1"/>
      <w:numFmt w:val="bullet"/>
      <w:lvlText w:val=""/>
      <w:lvlJc w:val="left"/>
      <w:pPr>
        <w:tabs>
          <w:tab w:val="num" w:pos="1437"/>
        </w:tabs>
        <w:ind w:left="1437" w:hanging="360"/>
      </w:pPr>
      <w:rPr>
        <w:rFonts w:ascii="Symbol" w:hAnsi="Symbol" w:hint="default"/>
        <w:color w:val="B46566"/>
      </w:rPr>
    </w:lvl>
    <w:lvl w:ilvl="2">
      <w:start w:val="1"/>
      <w:numFmt w:val="bullet"/>
      <w:lvlText w:val="‒"/>
      <w:lvlJc w:val="left"/>
      <w:pPr>
        <w:tabs>
          <w:tab w:val="num" w:pos="2157"/>
        </w:tabs>
        <w:ind w:left="2157" w:hanging="360"/>
      </w:pPr>
      <w:rPr>
        <w:rFonts w:ascii="Verdana" w:hAnsi="Verdana" w:hint="default"/>
        <w:color w:val="B46566"/>
      </w:rPr>
    </w:lvl>
    <w:lvl w:ilvl="3">
      <w:start w:val="1"/>
      <w:numFmt w:val="bullet"/>
      <w:lvlText w:val="‒"/>
      <w:lvlJc w:val="left"/>
      <w:pPr>
        <w:tabs>
          <w:tab w:val="num" w:pos="2877"/>
        </w:tabs>
        <w:ind w:left="2877" w:hanging="360"/>
      </w:pPr>
      <w:rPr>
        <w:rFonts w:ascii="Verdana" w:hAnsi="Verdana" w:hint="default"/>
        <w:color w:val="B46566"/>
      </w:rPr>
    </w:lvl>
    <w:lvl w:ilvl="4">
      <w:start w:val="1"/>
      <w:numFmt w:val="bullet"/>
      <w:lvlText w:val="o"/>
      <w:lvlJc w:val="left"/>
      <w:pPr>
        <w:tabs>
          <w:tab w:val="num" w:pos="3597"/>
        </w:tabs>
        <w:ind w:left="3597" w:hanging="360"/>
      </w:pPr>
      <w:rPr>
        <w:rFonts w:ascii="Courier New" w:hAnsi="Courier New" w:cs="Courier New" w:hint="default"/>
      </w:rPr>
    </w:lvl>
    <w:lvl w:ilvl="5">
      <w:start w:val="1"/>
      <w:numFmt w:val="bullet"/>
      <w:lvlText w:val=""/>
      <w:lvlJc w:val="left"/>
      <w:pPr>
        <w:tabs>
          <w:tab w:val="num" w:pos="4317"/>
        </w:tabs>
        <w:ind w:left="4317" w:hanging="360"/>
      </w:pPr>
      <w:rPr>
        <w:rFonts w:ascii="Wingdings" w:hAnsi="Wingdings" w:hint="default"/>
      </w:rPr>
    </w:lvl>
    <w:lvl w:ilvl="6">
      <w:start w:val="1"/>
      <w:numFmt w:val="bullet"/>
      <w:lvlText w:val=""/>
      <w:lvlJc w:val="left"/>
      <w:pPr>
        <w:tabs>
          <w:tab w:val="num" w:pos="5037"/>
        </w:tabs>
        <w:ind w:left="5037" w:hanging="360"/>
      </w:pPr>
      <w:rPr>
        <w:rFonts w:ascii="Symbol" w:hAnsi="Symbol" w:hint="default"/>
      </w:rPr>
    </w:lvl>
    <w:lvl w:ilvl="7">
      <w:start w:val="1"/>
      <w:numFmt w:val="bullet"/>
      <w:lvlText w:val="o"/>
      <w:lvlJc w:val="left"/>
      <w:pPr>
        <w:tabs>
          <w:tab w:val="num" w:pos="5757"/>
        </w:tabs>
        <w:ind w:left="5757" w:hanging="360"/>
      </w:pPr>
      <w:rPr>
        <w:rFonts w:ascii="Courier New" w:hAnsi="Courier New" w:cs="Courier New" w:hint="default"/>
      </w:rPr>
    </w:lvl>
    <w:lvl w:ilvl="8">
      <w:start w:val="1"/>
      <w:numFmt w:val="bullet"/>
      <w:lvlText w:val=""/>
      <w:lvlJc w:val="left"/>
      <w:pPr>
        <w:tabs>
          <w:tab w:val="num" w:pos="6477"/>
        </w:tabs>
        <w:ind w:left="6477" w:hanging="360"/>
      </w:pPr>
      <w:rPr>
        <w:rFonts w:ascii="Wingdings" w:hAnsi="Wingdings" w:hint="default"/>
      </w:rPr>
    </w:lvl>
  </w:abstractNum>
  <w:abstractNum w:abstractNumId="2" w15:restartNumberingAfterBreak="0">
    <w:nsid w:val="06051B55"/>
    <w:multiLevelType w:val="hybridMultilevel"/>
    <w:tmpl w:val="979E18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D35934"/>
    <w:multiLevelType w:val="hybridMultilevel"/>
    <w:tmpl w:val="AF0256FA"/>
    <w:lvl w:ilvl="0" w:tplc="A2949A1E">
      <w:start w:val="1"/>
      <w:numFmt w:val="bullet"/>
      <w:lvlText w:val="u"/>
      <w:lvlJc w:val="left"/>
      <w:pPr>
        <w:ind w:left="1444" w:hanging="360"/>
      </w:pPr>
      <w:rPr>
        <w:rFonts w:ascii="Wingdings 3" w:hAnsi="Wingdings 3" w:hint="default"/>
      </w:rPr>
    </w:lvl>
    <w:lvl w:ilvl="1" w:tplc="080A0003" w:tentative="1">
      <w:start w:val="1"/>
      <w:numFmt w:val="bullet"/>
      <w:lvlText w:val="o"/>
      <w:lvlJc w:val="left"/>
      <w:pPr>
        <w:ind w:left="2164" w:hanging="360"/>
      </w:pPr>
      <w:rPr>
        <w:rFonts w:ascii="Courier New" w:hAnsi="Courier New" w:cs="Courier New" w:hint="default"/>
      </w:rPr>
    </w:lvl>
    <w:lvl w:ilvl="2" w:tplc="080A0005" w:tentative="1">
      <w:start w:val="1"/>
      <w:numFmt w:val="bullet"/>
      <w:lvlText w:val=""/>
      <w:lvlJc w:val="left"/>
      <w:pPr>
        <w:ind w:left="2884" w:hanging="360"/>
      </w:pPr>
      <w:rPr>
        <w:rFonts w:ascii="Wingdings" w:hAnsi="Wingdings" w:hint="default"/>
      </w:rPr>
    </w:lvl>
    <w:lvl w:ilvl="3" w:tplc="080A0001" w:tentative="1">
      <w:start w:val="1"/>
      <w:numFmt w:val="bullet"/>
      <w:lvlText w:val=""/>
      <w:lvlJc w:val="left"/>
      <w:pPr>
        <w:ind w:left="3604" w:hanging="360"/>
      </w:pPr>
      <w:rPr>
        <w:rFonts w:ascii="Symbol" w:hAnsi="Symbol" w:hint="default"/>
      </w:rPr>
    </w:lvl>
    <w:lvl w:ilvl="4" w:tplc="080A0003" w:tentative="1">
      <w:start w:val="1"/>
      <w:numFmt w:val="bullet"/>
      <w:lvlText w:val="o"/>
      <w:lvlJc w:val="left"/>
      <w:pPr>
        <w:ind w:left="4324" w:hanging="360"/>
      </w:pPr>
      <w:rPr>
        <w:rFonts w:ascii="Courier New" w:hAnsi="Courier New" w:cs="Courier New" w:hint="default"/>
      </w:rPr>
    </w:lvl>
    <w:lvl w:ilvl="5" w:tplc="080A0005" w:tentative="1">
      <w:start w:val="1"/>
      <w:numFmt w:val="bullet"/>
      <w:lvlText w:val=""/>
      <w:lvlJc w:val="left"/>
      <w:pPr>
        <w:ind w:left="5044" w:hanging="360"/>
      </w:pPr>
      <w:rPr>
        <w:rFonts w:ascii="Wingdings" w:hAnsi="Wingdings" w:hint="default"/>
      </w:rPr>
    </w:lvl>
    <w:lvl w:ilvl="6" w:tplc="080A0001" w:tentative="1">
      <w:start w:val="1"/>
      <w:numFmt w:val="bullet"/>
      <w:lvlText w:val=""/>
      <w:lvlJc w:val="left"/>
      <w:pPr>
        <w:ind w:left="5764" w:hanging="360"/>
      </w:pPr>
      <w:rPr>
        <w:rFonts w:ascii="Symbol" w:hAnsi="Symbol" w:hint="default"/>
      </w:rPr>
    </w:lvl>
    <w:lvl w:ilvl="7" w:tplc="080A0003" w:tentative="1">
      <w:start w:val="1"/>
      <w:numFmt w:val="bullet"/>
      <w:lvlText w:val="o"/>
      <w:lvlJc w:val="left"/>
      <w:pPr>
        <w:ind w:left="6484" w:hanging="360"/>
      </w:pPr>
      <w:rPr>
        <w:rFonts w:ascii="Courier New" w:hAnsi="Courier New" w:cs="Courier New" w:hint="default"/>
      </w:rPr>
    </w:lvl>
    <w:lvl w:ilvl="8" w:tplc="080A0005" w:tentative="1">
      <w:start w:val="1"/>
      <w:numFmt w:val="bullet"/>
      <w:lvlText w:val=""/>
      <w:lvlJc w:val="left"/>
      <w:pPr>
        <w:ind w:left="7204" w:hanging="360"/>
      </w:pPr>
      <w:rPr>
        <w:rFonts w:ascii="Wingdings" w:hAnsi="Wingdings" w:hint="default"/>
      </w:rPr>
    </w:lvl>
  </w:abstractNum>
  <w:abstractNum w:abstractNumId="4" w15:restartNumberingAfterBreak="0">
    <w:nsid w:val="0ADA0747"/>
    <w:multiLevelType w:val="hybridMultilevel"/>
    <w:tmpl w:val="C1985F3C"/>
    <w:lvl w:ilvl="0" w:tplc="A2949A1E">
      <w:start w:val="1"/>
      <w:numFmt w:val="bullet"/>
      <w:lvlText w:val="u"/>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4B64470"/>
    <w:multiLevelType w:val="hybridMultilevel"/>
    <w:tmpl w:val="6BCE605A"/>
    <w:lvl w:ilvl="0" w:tplc="A2949A1E">
      <w:start w:val="1"/>
      <w:numFmt w:val="bullet"/>
      <w:lvlText w:val="u"/>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BD0333A"/>
    <w:multiLevelType w:val="multilevel"/>
    <w:tmpl w:val="3CB8E8BC"/>
    <w:lvl w:ilvl="0">
      <w:start w:val="1"/>
      <w:numFmt w:val="bullet"/>
      <w:pStyle w:val="I1"/>
      <w:lvlText w:val="►"/>
      <w:lvlJc w:val="left"/>
      <w:pPr>
        <w:tabs>
          <w:tab w:val="num" w:pos="717"/>
        </w:tabs>
        <w:ind w:left="717" w:hanging="360"/>
      </w:pPr>
      <w:rPr>
        <w:rFonts w:ascii="Arial" w:hAnsi="Arial" w:hint="default"/>
        <w:color w:val="B46566"/>
      </w:rPr>
    </w:lvl>
    <w:lvl w:ilvl="1">
      <w:start w:val="1"/>
      <w:numFmt w:val="bullet"/>
      <w:lvlText w:val=""/>
      <w:lvlJc w:val="left"/>
      <w:pPr>
        <w:tabs>
          <w:tab w:val="num" w:pos="1437"/>
        </w:tabs>
        <w:ind w:left="1437" w:hanging="360"/>
      </w:pPr>
      <w:rPr>
        <w:rFonts w:ascii="Symbol" w:hAnsi="Symbol" w:hint="default"/>
        <w:color w:val="B46566"/>
      </w:rPr>
    </w:lvl>
    <w:lvl w:ilvl="2">
      <w:start w:val="1"/>
      <w:numFmt w:val="bullet"/>
      <w:lvlText w:val="‒"/>
      <w:lvlJc w:val="left"/>
      <w:pPr>
        <w:tabs>
          <w:tab w:val="num" w:pos="2157"/>
        </w:tabs>
        <w:ind w:left="2157" w:hanging="360"/>
      </w:pPr>
      <w:rPr>
        <w:rFonts w:ascii="Verdana" w:hAnsi="Verdana" w:hint="default"/>
        <w:color w:val="B46566"/>
      </w:rPr>
    </w:lvl>
    <w:lvl w:ilvl="3">
      <w:start w:val="1"/>
      <w:numFmt w:val="bullet"/>
      <w:lvlText w:val="‒"/>
      <w:lvlJc w:val="left"/>
      <w:pPr>
        <w:tabs>
          <w:tab w:val="num" w:pos="2877"/>
        </w:tabs>
        <w:ind w:left="2877" w:hanging="360"/>
      </w:pPr>
      <w:rPr>
        <w:rFonts w:ascii="Verdana" w:hAnsi="Verdana" w:hint="default"/>
        <w:color w:val="B46566"/>
      </w:rPr>
    </w:lvl>
    <w:lvl w:ilvl="4">
      <w:start w:val="1"/>
      <w:numFmt w:val="bullet"/>
      <w:lvlText w:val="o"/>
      <w:lvlJc w:val="left"/>
      <w:pPr>
        <w:tabs>
          <w:tab w:val="num" w:pos="3597"/>
        </w:tabs>
        <w:ind w:left="3597" w:hanging="360"/>
      </w:pPr>
      <w:rPr>
        <w:rFonts w:ascii="Courier New" w:hAnsi="Courier New" w:cs="Courier New" w:hint="default"/>
      </w:rPr>
    </w:lvl>
    <w:lvl w:ilvl="5">
      <w:start w:val="1"/>
      <w:numFmt w:val="bullet"/>
      <w:lvlText w:val=""/>
      <w:lvlJc w:val="left"/>
      <w:pPr>
        <w:tabs>
          <w:tab w:val="num" w:pos="4317"/>
        </w:tabs>
        <w:ind w:left="4317" w:hanging="360"/>
      </w:pPr>
      <w:rPr>
        <w:rFonts w:ascii="Wingdings" w:hAnsi="Wingdings" w:hint="default"/>
      </w:rPr>
    </w:lvl>
    <w:lvl w:ilvl="6">
      <w:start w:val="1"/>
      <w:numFmt w:val="bullet"/>
      <w:lvlText w:val=""/>
      <w:lvlJc w:val="left"/>
      <w:pPr>
        <w:tabs>
          <w:tab w:val="num" w:pos="5037"/>
        </w:tabs>
        <w:ind w:left="5037" w:hanging="360"/>
      </w:pPr>
      <w:rPr>
        <w:rFonts w:ascii="Symbol" w:hAnsi="Symbol" w:hint="default"/>
      </w:rPr>
    </w:lvl>
    <w:lvl w:ilvl="7">
      <w:start w:val="1"/>
      <w:numFmt w:val="bullet"/>
      <w:lvlText w:val="o"/>
      <w:lvlJc w:val="left"/>
      <w:pPr>
        <w:tabs>
          <w:tab w:val="num" w:pos="5757"/>
        </w:tabs>
        <w:ind w:left="5757" w:hanging="360"/>
      </w:pPr>
      <w:rPr>
        <w:rFonts w:ascii="Courier New" w:hAnsi="Courier New" w:cs="Courier New" w:hint="default"/>
      </w:rPr>
    </w:lvl>
    <w:lvl w:ilvl="8">
      <w:start w:val="1"/>
      <w:numFmt w:val="bullet"/>
      <w:lvlText w:val=""/>
      <w:lvlJc w:val="left"/>
      <w:pPr>
        <w:tabs>
          <w:tab w:val="num" w:pos="6477"/>
        </w:tabs>
        <w:ind w:left="6477" w:hanging="360"/>
      </w:pPr>
      <w:rPr>
        <w:rFonts w:ascii="Wingdings" w:hAnsi="Wingdings" w:hint="default"/>
      </w:rPr>
    </w:lvl>
  </w:abstractNum>
  <w:abstractNum w:abstractNumId="7" w15:restartNumberingAfterBreak="0">
    <w:nsid w:val="1D6F5F5E"/>
    <w:multiLevelType w:val="multilevel"/>
    <w:tmpl w:val="27821B82"/>
    <w:lvl w:ilvl="0">
      <w:start w:val="1"/>
      <w:numFmt w:val="upperLetter"/>
      <w:pStyle w:val="Anexo1"/>
      <w:lvlText w:val="Anexo %1."/>
      <w:lvlJc w:val="left"/>
      <w:pPr>
        <w:ind w:left="360" w:hanging="360"/>
      </w:pPr>
      <w:rPr>
        <w:rFonts w:hint="default"/>
        <w:b/>
        <w:bCs w:val="0"/>
        <w:i w:val="0"/>
        <w:iCs w:val="0"/>
        <w:caps w:val="0"/>
        <w:smallCaps w:val="0"/>
        <w:strike w:val="0"/>
        <w:dstrike w:val="0"/>
        <w:noProof w:val="0"/>
        <w:vanish w:val="0"/>
        <w:webHidden w:val="0"/>
        <w:color w:val="0C2749" w:themeColor="text1"/>
        <w:spacing w:val="0"/>
        <w:kern w:val="0"/>
        <w:position w:val="0"/>
        <w:u w:val="none"/>
        <w:effect w:val="none"/>
        <w:vertAlign w:val="baseline"/>
        <w:em w:val="none"/>
        <w:specVanish w:val="0"/>
      </w:rPr>
    </w:lvl>
    <w:lvl w:ilvl="1">
      <w:start w:val="1"/>
      <w:numFmt w:val="decimal"/>
      <w:pStyle w:val="Annexlv2"/>
      <w:suff w:val="space"/>
      <w:lvlText w:val="%1.%2."/>
      <w:lvlJc w:val="left"/>
      <w:pPr>
        <w:ind w:left="357" w:hanging="357"/>
      </w:pPr>
      <w:rPr>
        <w:b/>
        <w:bCs w:val="0"/>
        <w:i w:val="0"/>
        <w:iCs w:val="0"/>
        <w:caps w:val="0"/>
        <w:smallCaps w:val="0"/>
        <w:strike w:val="0"/>
        <w:dstrike w:val="0"/>
        <w:noProof w:val="0"/>
        <w:vanish w:val="0"/>
        <w:webHidden w:val="0"/>
        <w:spacing w:val="0"/>
        <w:kern w:val="0"/>
        <w:position w:val="0"/>
        <w:u w:val="none"/>
        <w:effect w:val="none"/>
        <w:vertAlign w:val="baseline"/>
        <w:em w:val="none"/>
        <w:specVanish w:val="0"/>
      </w:rPr>
    </w:lvl>
    <w:lvl w:ilvl="2">
      <w:start w:val="1"/>
      <w:numFmt w:val="decimal"/>
      <w:pStyle w:val="AnnexLvl3"/>
      <w:suff w:val="space"/>
      <w:lvlText w:val="%1.%2.%3."/>
      <w:lvlJc w:val="left"/>
      <w:pPr>
        <w:ind w:left="1067" w:hanging="357"/>
      </w:pPr>
      <w:rPr>
        <w:b/>
        <w:bCs w:val="0"/>
        <w:i w:val="0"/>
        <w:iCs w:val="0"/>
        <w:caps w:val="0"/>
        <w:smallCaps w:val="0"/>
        <w:strike w:val="0"/>
        <w:dstrike w:val="0"/>
        <w:noProof w:val="0"/>
        <w:vanish w:val="0"/>
        <w:webHidden w:val="0"/>
        <w:color w:val="0C2749" w:themeColor="accent1"/>
        <w:spacing w:val="0"/>
        <w:kern w:val="0"/>
        <w:position w:val="0"/>
        <w:u w:val="none"/>
        <w:effect w:val="none"/>
        <w:vertAlign w:val="baseline"/>
        <w:em w:val="none"/>
        <w:specVanish w:val="0"/>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1DF03125"/>
    <w:multiLevelType w:val="hybridMultilevel"/>
    <w:tmpl w:val="4CB04A74"/>
    <w:lvl w:ilvl="0" w:tplc="A2949A1E">
      <w:start w:val="1"/>
      <w:numFmt w:val="bullet"/>
      <w:lvlText w:val="u"/>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05171E8"/>
    <w:multiLevelType w:val="multilevel"/>
    <w:tmpl w:val="400A3368"/>
    <w:numStyleLink w:val="Annexheadings"/>
  </w:abstractNum>
  <w:abstractNum w:abstractNumId="10" w15:restartNumberingAfterBreak="0">
    <w:nsid w:val="2053373F"/>
    <w:multiLevelType w:val="hybridMultilevel"/>
    <w:tmpl w:val="D472C09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22234800"/>
    <w:multiLevelType w:val="multilevel"/>
    <w:tmpl w:val="400A3368"/>
    <w:styleLink w:val="Annexheadings"/>
    <w:lvl w:ilvl="0">
      <w:start w:val="1"/>
      <w:numFmt w:val="upperLetter"/>
      <w:lvlText w:val="Annex %1."/>
      <w:lvlJc w:val="left"/>
      <w:pPr>
        <w:ind w:left="4188" w:hanging="360"/>
      </w:pPr>
      <w:rPr>
        <w:rFonts w:hint="default"/>
        <w:b/>
        <w:i w:val="0"/>
        <w:color w:val="9DBB59"/>
        <w:sz w:val="40"/>
        <w:szCs w:val="40"/>
      </w:rPr>
    </w:lvl>
    <w:lvl w:ilvl="1">
      <w:start w:val="1"/>
      <w:numFmt w:val="decimal"/>
      <w:pStyle w:val="Annexlevel2"/>
      <w:suff w:val="space"/>
      <w:lvlText w:val="%1.%2."/>
      <w:lvlJc w:val="left"/>
      <w:pPr>
        <w:ind w:left="8013" w:hanging="357"/>
      </w:pPr>
      <w:rPr>
        <w:rFonts w:hint="default"/>
        <w:b/>
        <w:bCs w:val="0"/>
        <w:i w:val="0"/>
        <w:iCs w:val="0"/>
        <w:caps w:val="0"/>
        <w:smallCaps w:val="0"/>
        <w:strike w:val="0"/>
        <w:dstrike w:val="0"/>
        <w:vanish w:val="0"/>
        <w:color w:val="9DBB59"/>
        <w:spacing w:val="0"/>
        <w:kern w:val="0"/>
        <w:position w:val="0"/>
        <w:u w:val="none"/>
        <w:vertAlign w:val="baseline"/>
        <w:em w:val="none"/>
      </w:rPr>
    </w:lvl>
    <w:lvl w:ilvl="2">
      <w:start w:val="1"/>
      <w:numFmt w:val="decimal"/>
      <w:pStyle w:val="Annexlevel3"/>
      <w:suff w:val="space"/>
      <w:lvlText w:val="%1.%2.%3."/>
      <w:lvlJc w:val="left"/>
      <w:pPr>
        <w:ind w:left="641" w:hanging="357"/>
      </w:pPr>
      <w:rPr>
        <w:rFonts w:hint="default"/>
        <w:b/>
        <w:bCs w:val="0"/>
        <w:i w:val="0"/>
        <w:iCs w:val="0"/>
        <w:caps w:val="0"/>
        <w:smallCaps w:val="0"/>
        <w:strike w:val="0"/>
        <w:dstrike w:val="0"/>
        <w:noProof w:val="0"/>
        <w:vanish w:val="0"/>
        <w:color w:val="9DBB59"/>
        <w:spacing w:val="0"/>
        <w:kern w:val="0"/>
        <w:position w:val="0"/>
        <w:u w:val="none"/>
        <w:vertAlign w:val="baseline"/>
        <w:em w:val="none"/>
      </w:rPr>
    </w:lvl>
    <w:lvl w:ilvl="3">
      <w:start w:val="1"/>
      <w:numFmt w:val="decimal"/>
      <w:lvlText w:val="(%4)"/>
      <w:lvlJc w:val="left"/>
      <w:pPr>
        <w:tabs>
          <w:tab w:val="num" w:pos="5268"/>
        </w:tabs>
        <w:ind w:left="5268" w:hanging="360"/>
      </w:pPr>
      <w:rPr>
        <w:rFonts w:hint="default"/>
      </w:rPr>
    </w:lvl>
    <w:lvl w:ilvl="4">
      <w:start w:val="1"/>
      <w:numFmt w:val="lowerLetter"/>
      <w:lvlText w:val="(%5)"/>
      <w:lvlJc w:val="left"/>
      <w:pPr>
        <w:tabs>
          <w:tab w:val="num" w:pos="5628"/>
        </w:tabs>
        <w:ind w:left="5628" w:hanging="360"/>
      </w:pPr>
      <w:rPr>
        <w:rFonts w:hint="default"/>
      </w:rPr>
    </w:lvl>
    <w:lvl w:ilvl="5">
      <w:start w:val="1"/>
      <w:numFmt w:val="lowerRoman"/>
      <w:lvlText w:val="(%6)"/>
      <w:lvlJc w:val="left"/>
      <w:pPr>
        <w:tabs>
          <w:tab w:val="num" w:pos="5988"/>
        </w:tabs>
        <w:ind w:left="5988" w:hanging="360"/>
      </w:pPr>
      <w:rPr>
        <w:rFonts w:hint="default"/>
      </w:rPr>
    </w:lvl>
    <w:lvl w:ilvl="6">
      <w:start w:val="1"/>
      <w:numFmt w:val="decimal"/>
      <w:lvlText w:val="%7."/>
      <w:lvlJc w:val="left"/>
      <w:pPr>
        <w:tabs>
          <w:tab w:val="num" w:pos="6348"/>
        </w:tabs>
        <w:ind w:left="6348" w:hanging="360"/>
      </w:pPr>
      <w:rPr>
        <w:rFonts w:hint="default"/>
      </w:rPr>
    </w:lvl>
    <w:lvl w:ilvl="7">
      <w:start w:val="1"/>
      <w:numFmt w:val="lowerLetter"/>
      <w:lvlText w:val="%8."/>
      <w:lvlJc w:val="left"/>
      <w:pPr>
        <w:tabs>
          <w:tab w:val="num" w:pos="6708"/>
        </w:tabs>
        <w:ind w:left="6708" w:hanging="360"/>
      </w:pPr>
      <w:rPr>
        <w:rFonts w:hint="default"/>
      </w:rPr>
    </w:lvl>
    <w:lvl w:ilvl="8">
      <w:start w:val="1"/>
      <w:numFmt w:val="lowerRoman"/>
      <w:lvlText w:val="%9."/>
      <w:lvlJc w:val="left"/>
      <w:pPr>
        <w:tabs>
          <w:tab w:val="num" w:pos="7068"/>
        </w:tabs>
        <w:ind w:left="7068" w:hanging="360"/>
      </w:pPr>
      <w:rPr>
        <w:rFonts w:hint="default"/>
      </w:rPr>
    </w:lvl>
  </w:abstractNum>
  <w:abstractNum w:abstractNumId="12" w15:restartNumberingAfterBreak="0">
    <w:nsid w:val="22611F51"/>
    <w:multiLevelType w:val="hybridMultilevel"/>
    <w:tmpl w:val="492462CE"/>
    <w:lvl w:ilvl="0" w:tplc="A2949A1E">
      <w:start w:val="1"/>
      <w:numFmt w:val="bullet"/>
      <w:lvlText w:val="u"/>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67768CF"/>
    <w:multiLevelType w:val="hybridMultilevel"/>
    <w:tmpl w:val="4F4EB43A"/>
    <w:lvl w:ilvl="0" w:tplc="A2949A1E">
      <w:start w:val="1"/>
      <w:numFmt w:val="bullet"/>
      <w:lvlText w:val="u"/>
      <w:lvlJc w:val="left"/>
      <w:pPr>
        <w:ind w:left="1428" w:hanging="360"/>
      </w:pPr>
      <w:rPr>
        <w:rFonts w:ascii="Wingdings 3" w:hAnsi="Wingdings 3"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4" w15:restartNumberingAfterBreak="0">
    <w:nsid w:val="27AD58E5"/>
    <w:multiLevelType w:val="hybridMultilevel"/>
    <w:tmpl w:val="3D58E3A6"/>
    <w:lvl w:ilvl="0" w:tplc="A2949A1E">
      <w:start w:val="1"/>
      <w:numFmt w:val="bullet"/>
      <w:lvlText w:val="u"/>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B994203"/>
    <w:multiLevelType w:val="hybridMultilevel"/>
    <w:tmpl w:val="7C94DA08"/>
    <w:lvl w:ilvl="0" w:tplc="F3EA0F90">
      <w:start w:val="1"/>
      <w:numFmt w:val="decimal"/>
      <w:lvlText w:val="%1."/>
      <w:lvlJc w:val="left"/>
      <w:pPr>
        <w:ind w:left="720" w:hanging="360"/>
      </w:pPr>
      <w:rPr>
        <w:rFonts w:ascii="Verdana" w:hAnsi="Verdana" w:hint="default"/>
        <w:b w:val="0"/>
        <w:i w:val="0"/>
        <w:color w:val="0C2749"/>
        <w:sz w:val="20"/>
        <w:u w:color="FFFFFF"/>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 w15:restartNumberingAfterBreak="0">
    <w:nsid w:val="2BF05BEA"/>
    <w:multiLevelType w:val="hybridMultilevel"/>
    <w:tmpl w:val="C7B02F62"/>
    <w:lvl w:ilvl="0" w:tplc="20A26492">
      <w:start w:val="1"/>
      <w:numFmt w:val="bullet"/>
      <w:pStyle w:val="Indentado2"/>
      <w:lvlText w:val="v"/>
      <w:lvlJc w:val="left"/>
      <w:pPr>
        <w:ind w:left="1176" w:hanging="360"/>
      </w:pPr>
      <w:rPr>
        <w:rFonts w:ascii="Wingdings" w:hAnsi="Wingdings" w:hint="default"/>
        <w:color w:val="0C2749" w:themeColor="accent1"/>
      </w:rPr>
    </w:lvl>
    <w:lvl w:ilvl="1" w:tplc="040A0003" w:tentative="1">
      <w:start w:val="1"/>
      <w:numFmt w:val="bullet"/>
      <w:lvlText w:val="o"/>
      <w:lvlJc w:val="left"/>
      <w:pPr>
        <w:ind w:left="2214" w:hanging="360"/>
      </w:pPr>
      <w:rPr>
        <w:rFonts w:ascii="Courier New" w:hAnsi="Courier New" w:cs="Courier New" w:hint="default"/>
      </w:rPr>
    </w:lvl>
    <w:lvl w:ilvl="2" w:tplc="040A0005" w:tentative="1">
      <w:start w:val="1"/>
      <w:numFmt w:val="bullet"/>
      <w:lvlText w:val=""/>
      <w:lvlJc w:val="left"/>
      <w:pPr>
        <w:ind w:left="2934" w:hanging="360"/>
      </w:pPr>
      <w:rPr>
        <w:rFonts w:ascii="Wingdings" w:hAnsi="Wingdings" w:hint="default"/>
      </w:rPr>
    </w:lvl>
    <w:lvl w:ilvl="3" w:tplc="040A0001" w:tentative="1">
      <w:start w:val="1"/>
      <w:numFmt w:val="bullet"/>
      <w:lvlText w:val=""/>
      <w:lvlJc w:val="left"/>
      <w:pPr>
        <w:ind w:left="3654" w:hanging="360"/>
      </w:pPr>
      <w:rPr>
        <w:rFonts w:ascii="Symbol" w:hAnsi="Symbol" w:hint="default"/>
      </w:rPr>
    </w:lvl>
    <w:lvl w:ilvl="4" w:tplc="040A0003" w:tentative="1">
      <w:start w:val="1"/>
      <w:numFmt w:val="bullet"/>
      <w:lvlText w:val="o"/>
      <w:lvlJc w:val="left"/>
      <w:pPr>
        <w:ind w:left="4374" w:hanging="360"/>
      </w:pPr>
      <w:rPr>
        <w:rFonts w:ascii="Courier New" w:hAnsi="Courier New" w:cs="Courier New" w:hint="default"/>
      </w:rPr>
    </w:lvl>
    <w:lvl w:ilvl="5" w:tplc="040A0005" w:tentative="1">
      <w:start w:val="1"/>
      <w:numFmt w:val="bullet"/>
      <w:lvlText w:val=""/>
      <w:lvlJc w:val="left"/>
      <w:pPr>
        <w:ind w:left="5094" w:hanging="360"/>
      </w:pPr>
      <w:rPr>
        <w:rFonts w:ascii="Wingdings" w:hAnsi="Wingdings" w:hint="default"/>
      </w:rPr>
    </w:lvl>
    <w:lvl w:ilvl="6" w:tplc="040A0001" w:tentative="1">
      <w:start w:val="1"/>
      <w:numFmt w:val="bullet"/>
      <w:lvlText w:val=""/>
      <w:lvlJc w:val="left"/>
      <w:pPr>
        <w:ind w:left="5814" w:hanging="360"/>
      </w:pPr>
      <w:rPr>
        <w:rFonts w:ascii="Symbol" w:hAnsi="Symbol" w:hint="default"/>
      </w:rPr>
    </w:lvl>
    <w:lvl w:ilvl="7" w:tplc="040A0003" w:tentative="1">
      <w:start w:val="1"/>
      <w:numFmt w:val="bullet"/>
      <w:lvlText w:val="o"/>
      <w:lvlJc w:val="left"/>
      <w:pPr>
        <w:ind w:left="6534" w:hanging="360"/>
      </w:pPr>
      <w:rPr>
        <w:rFonts w:ascii="Courier New" w:hAnsi="Courier New" w:cs="Courier New" w:hint="default"/>
      </w:rPr>
    </w:lvl>
    <w:lvl w:ilvl="8" w:tplc="040A0005" w:tentative="1">
      <w:start w:val="1"/>
      <w:numFmt w:val="bullet"/>
      <w:lvlText w:val=""/>
      <w:lvlJc w:val="left"/>
      <w:pPr>
        <w:ind w:left="7254" w:hanging="360"/>
      </w:pPr>
      <w:rPr>
        <w:rFonts w:ascii="Wingdings" w:hAnsi="Wingdings" w:hint="default"/>
      </w:rPr>
    </w:lvl>
  </w:abstractNum>
  <w:abstractNum w:abstractNumId="17" w15:restartNumberingAfterBreak="0">
    <w:nsid w:val="36CB3D1E"/>
    <w:multiLevelType w:val="hybridMultilevel"/>
    <w:tmpl w:val="E7B0D6A8"/>
    <w:lvl w:ilvl="0" w:tplc="A2949A1E">
      <w:start w:val="1"/>
      <w:numFmt w:val="bullet"/>
      <w:lvlText w:val="u"/>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79C0E16"/>
    <w:multiLevelType w:val="hybridMultilevel"/>
    <w:tmpl w:val="17D0F76E"/>
    <w:lvl w:ilvl="0" w:tplc="A2949A1E">
      <w:start w:val="1"/>
      <w:numFmt w:val="bullet"/>
      <w:lvlText w:val="u"/>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94A09F0"/>
    <w:multiLevelType w:val="multilevel"/>
    <w:tmpl w:val="1436D260"/>
    <w:lvl w:ilvl="0">
      <w:start w:val="1"/>
      <w:numFmt w:val="upperLetter"/>
      <w:pStyle w:val="Annex1"/>
      <w:suff w:val="space"/>
      <w:lvlText w:val="Annex %1."/>
      <w:lvlJc w:val="left"/>
      <w:pPr>
        <w:ind w:left="0" w:hanging="357"/>
      </w:pPr>
      <w:rPr>
        <w:rFonts w:ascii="Verdana" w:hAnsi="Verdana" w:hint="default"/>
        <w:b/>
        <w:i w:val="0"/>
        <w:color w:val="0C2749" w:themeColor="accent1"/>
        <w:sz w:val="40"/>
        <w:szCs w:val="40"/>
      </w:rPr>
    </w:lvl>
    <w:lvl w:ilvl="1">
      <w:start w:val="1"/>
      <w:numFmt w:val="decimal"/>
      <w:suff w:val="space"/>
      <w:lvlText w:val="%1.%2."/>
      <w:lvlJc w:val="left"/>
      <w:pPr>
        <w:ind w:left="0" w:hanging="357"/>
      </w:pPr>
      <w:rPr>
        <w:rFonts w:ascii="Verdana" w:hAnsi="Verdana" w:hint="default"/>
        <w:b/>
        <w:i w:val="0"/>
        <w:color w:val="B76172"/>
        <w:sz w:val="28"/>
        <w:szCs w:val="28"/>
      </w:rPr>
    </w:lvl>
    <w:lvl w:ilvl="2">
      <w:start w:val="1"/>
      <w:numFmt w:val="decimal"/>
      <w:suff w:val="space"/>
      <w:lvlText w:val="%1.%2.%3."/>
      <w:lvlJc w:val="left"/>
      <w:pPr>
        <w:ind w:left="0" w:hanging="357"/>
      </w:pPr>
      <w:rPr>
        <w:rFonts w:ascii="Verdana" w:hAnsi="Verdana" w:hint="default"/>
        <w:b/>
        <w:i w:val="0"/>
        <w:color w:val="B76172"/>
        <w:sz w:val="24"/>
        <w:szCs w:val="24"/>
      </w:rPr>
    </w:lvl>
    <w:lvl w:ilvl="3">
      <w:start w:val="1"/>
      <w:numFmt w:val="decimal"/>
      <w:lvlText w:val="(%4)"/>
      <w:lvlJc w:val="left"/>
      <w:pPr>
        <w:tabs>
          <w:tab w:val="num" w:pos="1083"/>
        </w:tabs>
        <w:ind w:left="1083" w:hanging="360"/>
      </w:pPr>
      <w:rPr>
        <w:rFonts w:hint="default"/>
      </w:rPr>
    </w:lvl>
    <w:lvl w:ilvl="4">
      <w:start w:val="1"/>
      <w:numFmt w:val="lowerLetter"/>
      <w:lvlText w:val="(%5)"/>
      <w:lvlJc w:val="left"/>
      <w:pPr>
        <w:tabs>
          <w:tab w:val="num" w:pos="1443"/>
        </w:tabs>
        <w:ind w:left="1443" w:hanging="360"/>
      </w:pPr>
      <w:rPr>
        <w:rFonts w:hint="default"/>
      </w:rPr>
    </w:lvl>
    <w:lvl w:ilvl="5">
      <w:start w:val="1"/>
      <w:numFmt w:val="lowerRoman"/>
      <w:lvlText w:val="(%6)"/>
      <w:lvlJc w:val="left"/>
      <w:pPr>
        <w:tabs>
          <w:tab w:val="num" w:pos="1803"/>
        </w:tabs>
        <w:ind w:left="1803" w:hanging="360"/>
      </w:pPr>
      <w:rPr>
        <w:rFonts w:hint="default"/>
      </w:rPr>
    </w:lvl>
    <w:lvl w:ilvl="6">
      <w:start w:val="1"/>
      <w:numFmt w:val="decimal"/>
      <w:lvlText w:val="%7."/>
      <w:lvlJc w:val="left"/>
      <w:pPr>
        <w:tabs>
          <w:tab w:val="num" w:pos="2163"/>
        </w:tabs>
        <w:ind w:left="2163" w:hanging="360"/>
      </w:pPr>
      <w:rPr>
        <w:rFonts w:hint="default"/>
      </w:rPr>
    </w:lvl>
    <w:lvl w:ilvl="7">
      <w:start w:val="1"/>
      <w:numFmt w:val="lowerLetter"/>
      <w:lvlText w:val="%8."/>
      <w:lvlJc w:val="left"/>
      <w:pPr>
        <w:tabs>
          <w:tab w:val="num" w:pos="2523"/>
        </w:tabs>
        <w:ind w:left="2523" w:hanging="360"/>
      </w:pPr>
      <w:rPr>
        <w:rFonts w:hint="default"/>
      </w:rPr>
    </w:lvl>
    <w:lvl w:ilvl="8">
      <w:start w:val="1"/>
      <w:numFmt w:val="lowerRoman"/>
      <w:lvlText w:val="%9."/>
      <w:lvlJc w:val="left"/>
      <w:pPr>
        <w:tabs>
          <w:tab w:val="num" w:pos="2883"/>
        </w:tabs>
        <w:ind w:left="2883" w:hanging="360"/>
      </w:pPr>
      <w:rPr>
        <w:rFonts w:hint="default"/>
      </w:rPr>
    </w:lvl>
  </w:abstractNum>
  <w:abstractNum w:abstractNumId="20" w15:restartNumberingAfterBreak="0">
    <w:nsid w:val="397A48DA"/>
    <w:multiLevelType w:val="hybridMultilevel"/>
    <w:tmpl w:val="42B4751A"/>
    <w:lvl w:ilvl="0" w:tplc="0C0A000F">
      <w:start w:val="1"/>
      <w:numFmt w:val="decimal"/>
      <w:lvlText w:val="%1."/>
      <w:lvlJc w:val="left"/>
      <w:pPr>
        <w:ind w:left="378" w:hanging="360"/>
      </w:pPr>
      <w:rPr>
        <w:rFonts w:hint="default"/>
        <w:b w:val="0"/>
        <w:bCs w:val="0"/>
        <w:i w:val="0"/>
        <w:iCs w:val="0"/>
        <w:caps w:val="0"/>
        <w:smallCaps w:val="0"/>
        <w:strike w:val="0"/>
        <w:dstrike w:val="0"/>
        <w:noProof w:val="0"/>
        <w:vanish w:val="0"/>
        <w:color w:val="0C2749"/>
        <w:spacing w:val="0"/>
        <w:kern w:val="0"/>
        <w:position w:val="0"/>
        <w:u w:val="none"/>
        <w:effect w:val="none"/>
        <w:vertAlign w:val="baseline"/>
        <w:em w:val="none"/>
        <w:lang w:val="es-CR"/>
        <w:specVanish w:val="0"/>
        <w14:shadow w14:blurRad="0" w14:dist="0" w14:dir="0" w14:sx="0" w14:sy="0" w14:kx="0" w14:ky="0" w14:algn="none">
          <w14:srgbClr w14:val="000000"/>
        </w14:shadow>
        <w14:textOutline w14:w="0" w14:cap="rnd" w14:cmpd="sng" w14:algn="ctr">
          <w14:noFill/>
          <w14:prstDash w14:val="solid"/>
          <w14:bevel/>
        </w14:textOutline>
      </w:rPr>
    </w:lvl>
    <w:lvl w:ilvl="1" w:tplc="0C0A000F">
      <w:start w:val="1"/>
      <w:numFmt w:val="decimal"/>
      <w:lvlText w:val="%2."/>
      <w:lvlJc w:val="left"/>
      <w:pPr>
        <w:ind w:left="1444" w:hanging="360"/>
      </w:pPr>
      <w:rPr>
        <w:rFonts w:hint="default"/>
      </w:rPr>
    </w:lvl>
    <w:lvl w:ilvl="2" w:tplc="0C0A0005" w:tentative="1">
      <w:start w:val="1"/>
      <w:numFmt w:val="bullet"/>
      <w:lvlText w:val=""/>
      <w:lvlJc w:val="left"/>
      <w:pPr>
        <w:ind w:left="2164" w:hanging="360"/>
      </w:pPr>
      <w:rPr>
        <w:rFonts w:ascii="Wingdings" w:hAnsi="Wingdings" w:hint="default"/>
      </w:rPr>
    </w:lvl>
    <w:lvl w:ilvl="3" w:tplc="0C0A0001" w:tentative="1">
      <w:start w:val="1"/>
      <w:numFmt w:val="bullet"/>
      <w:lvlText w:val=""/>
      <w:lvlJc w:val="left"/>
      <w:pPr>
        <w:ind w:left="2884" w:hanging="360"/>
      </w:pPr>
      <w:rPr>
        <w:rFonts w:ascii="Symbol" w:hAnsi="Symbol" w:hint="default"/>
      </w:rPr>
    </w:lvl>
    <w:lvl w:ilvl="4" w:tplc="0C0A0003" w:tentative="1">
      <w:start w:val="1"/>
      <w:numFmt w:val="bullet"/>
      <w:lvlText w:val="o"/>
      <w:lvlJc w:val="left"/>
      <w:pPr>
        <w:ind w:left="3604" w:hanging="360"/>
      </w:pPr>
      <w:rPr>
        <w:rFonts w:ascii="Courier New" w:hAnsi="Courier New" w:cs="Courier New" w:hint="default"/>
      </w:rPr>
    </w:lvl>
    <w:lvl w:ilvl="5" w:tplc="0C0A0005" w:tentative="1">
      <w:start w:val="1"/>
      <w:numFmt w:val="bullet"/>
      <w:lvlText w:val=""/>
      <w:lvlJc w:val="left"/>
      <w:pPr>
        <w:ind w:left="4324" w:hanging="360"/>
      </w:pPr>
      <w:rPr>
        <w:rFonts w:ascii="Wingdings" w:hAnsi="Wingdings" w:hint="default"/>
      </w:rPr>
    </w:lvl>
    <w:lvl w:ilvl="6" w:tplc="0C0A0001" w:tentative="1">
      <w:start w:val="1"/>
      <w:numFmt w:val="bullet"/>
      <w:lvlText w:val=""/>
      <w:lvlJc w:val="left"/>
      <w:pPr>
        <w:ind w:left="5044" w:hanging="360"/>
      </w:pPr>
      <w:rPr>
        <w:rFonts w:ascii="Symbol" w:hAnsi="Symbol" w:hint="default"/>
      </w:rPr>
    </w:lvl>
    <w:lvl w:ilvl="7" w:tplc="0C0A0003" w:tentative="1">
      <w:start w:val="1"/>
      <w:numFmt w:val="bullet"/>
      <w:lvlText w:val="o"/>
      <w:lvlJc w:val="left"/>
      <w:pPr>
        <w:ind w:left="5764" w:hanging="360"/>
      </w:pPr>
      <w:rPr>
        <w:rFonts w:ascii="Courier New" w:hAnsi="Courier New" w:cs="Courier New" w:hint="default"/>
      </w:rPr>
    </w:lvl>
    <w:lvl w:ilvl="8" w:tplc="0C0A0005" w:tentative="1">
      <w:start w:val="1"/>
      <w:numFmt w:val="bullet"/>
      <w:lvlText w:val=""/>
      <w:lvlJc w:val="left"/>
      <w:pPr>
        <w:ind w:left="6484" w:hanging="360"/>
      </w:pPr>
      <w:rPr>
        <w:rFonts w:ascii="Wingdings" w:hAnsi="Wingdings" w:hint="default"/>
      </w:rPr>
    </w:lvl>
  </w:abstractNum>
  <w:abstractNum w:abstractNumId="21" w15:restartNumberingAfterBreak="0">
    <w:nsid w:val="3B6E1C95"/>
    <w:multiLevelType w:val="multilevel"/>
    <w:tmpl w:val="E98400D8"/>
    <w:lvl w:ilvl="0">
      <w:start w:val="1"/>
      <w:numFmt w:val="bullet"/>
      <w:pStyle w:val="I2"/>
      <w:lvlText w:val=""/>
      <w:lvlJc w:val="left"/>
      <w:pPr>
        <w:tabs>
          <w:tab w:val="num" w:pos="720"/>
        </w:tabs>
        <w:ind w:left="720" w:hanging="360"/>
      </w:pPr>
      <w:rPr>
        <w:rFonts w:ascii="Symbol" w:hAnsi="Symbol" w:hint="default"/>
      </w:rPr>
    </w:lvl>
    <w:lvl w:ilvl="1">
      <w:start w:val="1"/>
      <w:numFmt w:val="none"/>
      <w:lvlText w:val="- "/>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2C7009D"/>
    <w:multiLevelType w:val="hybridMultilevel"/>
    <w:tmpl w:val="74661190"/>
    <w:lvl w:ilvl="0" w:tplc="A2949A1E">
      <w:start w:val="1"/>
      <w:numFmt w:val="bullet"/>
      <w:lvlText w:val="u"/>
      <w:lvlJc w:val="left"/>
      <w:pPr>
        <w:ind w:left="720" w:hanging="360"/>
      </w:pPr>
      <w:rPr>
        <w:rFonts w:ascii="Wingdings 3" w:hAnsi="Wingdings 3"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78C7A7D"/>
    <w:multiLevelType w:val="multilevel"/>
    <w:tmpl w:val="1A8E34BC"/>
    <w:lvl w:ilvl="0">
      <w:start w:val="1"/>
      <w:numFmt w:val="decimal"/>
      <w:pStyle w:val="Ttulo1"/>
      <w:lvlText w:val="%1."/>
      <w:lvlJc w:val="left"/>
      <w:pPr>
        <w:ind w:left="360" w:hanging="360"/>
      </w:pPr>
      <w:rPr>
        <w:rFonts w:hint="default"/>
        <w:b/>
        <w:i w:val="0"/>
        <w:color w:val="auto"/>
        <w:sz w:val="40"/>
        <w:szCs w:val="40"/>
      </w:rPr>
    </w:lvl>
    <w:lvl w:ilvl="1">
      <w:start w:val="1"/>
      <w:numFmt w:val="decimal"/>
      <w:pStyle w:val="Ttulo2"/>
      <w:suff w:val="space"/>
      <w:lvlText w:val="%1.%2."/>
      <w:lvlJc w:val="left"/>
      <w:pPr>
        <w:ind w:left="357" w:hanging="357"/>
      </w:pPr>
      <w:rPr>
        <w:b w:val="0"/>
        <w:bCs w:val="0"/>
        <w:i w:val="0"/>
        <w:iCs w:val="0"/>
        <w:caps w:val="0"/>
        <w:smallCaps w:val="0"/>
        <w:strike w:val="0"/>
        <w:dstrike w:val="0"/>
        <w:noProof w:val="0"/>
        <w:vanish w:val="0"/>
        <w:spacing w:val="0"/>
        <w:kern w:val="0"/>
        <w:position w:val="0"/>
        <w:u w:val="none"/>
        <w:vertAlign w:val="baseline"/>
        <w:em w:val="none"/>
      </w:rPr>
    </w:lvl>
    <w:lvl w:ilvl="2">
      <w:start w:val="1"/>
      <w:numFmt w:val="decimal"/>
      <w:pStyle w:val="Ttulo3"/>
      <w:suff w:val="space"/>
      <w:lvlText w:val="%1.%2.%3."/>
      <w:lvlJc w:val="left"/>
      <w:pPr>
        <w:ind w:left="357" w:hanging="357"/>
      </w:pPr>
      <w:rPr>
        <w:b w:val="0"/>
        <w:bCs w:val="0"/>
        <w:i w:val="0"/>
        <w:iCs w:val="0"/>
        <w:caps w:val="0"/>
        <w:smallCaps w:val="0"/>
        <w:strike w:val="0"/>
        <w:dstrike w:val="0"/>
        <w:noProof w:val="0"/>
        <w:vanish w:val="0"/>
        <w:color w:val="0C2749" w:themeColor="accent1"/>
        <w:spacing w:val="0"/>
        <w:kern w:val="0"/>
        <w:position w:val="0"/>
        <w:u w:val="none"/>
        <w:vertAlign w:val="baseline"/>
        <w:em w:val="none"/>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4C117B93"/>
    <w:multiLevelType w:val="hybridMultilevel"/>
    <w:tmpl w:val="05921140"/>
    <w:lvl w:ilvl="0" w:tplc="9500B696">
      <w:start w:val="1"/>
      <w:numFmt w:val="bullet"/>
      <w:lvlText w:val=""/>
      <w:lvlJc w:val="left"/>
      <w:pPr>
        <w:ind w:left="720" w:hanging="360"/>
      </w:pPr>
      <w:rPr>
        <w:rFonts w:ascii="Wingdings 3" w:hAnsi="Wingdings 3" w:cs="Wingdings 3" w:hint="default"/>
        <w:color w:val="0C274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0E40A4"/>
    <w:multiLevelType w:val="hybridMultilevel"/>
    <w:tmpl w:val="9BD6D76C"/>
    <w:lvl w:ilvl="0" w:tplc="CF00AD72">
      <w:start w:val="1"/>
      <w:numFmt w:val="bullet"/>
      <w:pStyle w:val="Indentado1"/>
      <w:lvlText w:val="u"/>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278089D"/>
    <w:multiLevelType w:val="hybridMultilevel"/>
    <w:tmpl w:val="3A8C5568"/>
    <w:lvl w:ilvl="0" w:tplc="A2949A1E">
      <w:start w:val="1"/>
      <w:numFmt w:val="bullet"/>
      <w:lvlText w:val="u"/>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3A70166"/>
    <w:multiLevelType w:val="hybridMultilevel"/>
    <w:tmpl w:val="47BA3B2A"/>
    <w:lvl w:ilvl="0" w:tplc="029A2E5A">
      <w:start w:val="1"/>
      <w:numFmt w:val="bullet"/>
      <w:pStyle w:val="Highlight"/>
      <w:lvlText w:val=""/>
      <w:lvlPicBulletId w:val="0"/>
      <w:lvlJc w:val="left"/>
      <w:pPr>
        <w:tabs>
          <w:tab w:val="num" w:pos="1134"/>
        </w:tabs>
        <w:ind w:left="890" w:firstLine="17"/>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5A554DB"/>
    <w:multiLevelType w:val="hybridMultilevel"/>
    <w:tmpl w:val="58D8F2D0"/>
    <w:lvl w:ilvl="0" w:tplc="A2949A1E">
      <w:start w:val="1"/>
      <w:numFmt w:val="bullet"/>
      <w:lvlText w:val="u"/>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8DC360D"/>
    <w:multiLevelType w:val="multilevel"/>
    <w:tmpl w:val="E86E893E"/>
    <w:lvl w:ilvl="0">
      <w:start w:val="1"/>
      <w:numFmt w:val="decimal"/>
      <w:pStyle w:val="Box"/>
      <w:suff w:val="space"/>
      <w:lvlText w:val="Box %1."/>
      <w:lvlJc w:val="left"/>
      <w:pPr>
        <w:ind w:left="502" w:hanging="360"/>
      </w:pPr>
      <w:rPr>
        <w:rFonts w:ascii="Verdana" w:hAnsi="Verdana" w:hint="default"/>
        <w:b/>
        <w:i w:val="0"/>
        <w:color w:val="165194" w:themeColor="accent2"/>
        <w:sz w:val="16"/>
        <w:szCs w:val="16"/>
      </w:rPr>
    </w:lvl>
    <w:lvl w:ilvl="1">
      <w:start w:val="1"/>
      <w:numFmt w:val="decimal"/>
      <w:lvlText w:val="%1.%2."/>
      <w:lvlJc w:val="left"/>
      <w:pPr>
        <w:tabs>
          <w:tab w:val="num" w:pos="934"/>
        </w:tabs>
        <w:ind w:left="934" w:hanging="432"/>
      </w:pPr>
      <w:rPr>
        <w:rFonts w:hint="default"/>
      </w:rPr>
    </w:lvl>
    <w:lvl w:ilvl="2">
      <w:start w:val="1"/>
      <w:numFmt w:val="decimal"/>
      <w:lvlText w:val="%1.%2.%3."/>
      <w:lvlJc w:val="left"/>
      <w:pPr>
        <w:tabs>
          <w:tab w:val="num" w:pos="1366"/>
        </w:tabs>
        <w:ind w:left="1366" w:hanging="504"/>
      </w:pPr>
      <w:rPr>
        <w:rFonts w:hint="default"/>
      </w:rPr>
    </w:lvl>
    <w:lvl w:ilvl="3">
      <w:start w:val="1"/>
      <w:numFmt w:val="decimal"/>
      <w:lvlText w:val="%1.%2.%3.%4."/>
      <w:lvlJc w:val="left"/>
      <w:pPr>
        <w:tabs>
          <w:tab w:val="num" w:pos="1942"/>
        </w:tabs>
        <w:ind w:left="1870" w:hanging="648"/>
      </w:pPr>
      <w:rPr>
        <w:rFonts w:hint="default"/>
      </w:rPr>
    </w:lvl>
    <w:lvl w:ilvl="4">
      <w:start w:val="1"/>
      <w:numFmt w:val="decimal"/>
      <w:lvlText w:val="%1.%2.%3.%4.%5."/>
      <w:lvlJc w:val="left"/>
      <w:pPr>
        <w:tabs>
          <w:tab w:val="num" w:pos="2662"/>
        </w:tabs>
        <w:ind w:left="2374" w:hanging="792"/>
      </w:pPr>
      <w:rPr>
        <w:rFonts w:hint="default"/>
      </w:rPr>
    </w:lvl>
    <w:lvl w:ilvl="5">
      <w:start w:val="1"/>
      <w:numFmt w:val="decimal"/>
      <w:lvlText w:val="%1.%2.%3.%4.%5.%6."/>
      <w:lvlJc w:val="left"/>
      <w:pPr>
        <w:tabs>
          <w:tab w:val="num" w:pos="3022"/>
        </w:tabs>
        <w:ind w:left="2878" w:hanging="936"/>
      </w:pPr>
      <w:rPr>
        <w:rFonts w:hint="default"/>
      </w:rPr>
    </w:lvl>
    <w:lvl w:ilvl="6">
      <w:start w:val="1"/>
      <w:numFmt w:val="decimal"/>
      <w:lvlText w:val="%1.%2.%3.%4.%5.%6.%7."/>
      <w:lvlJc w:val="left"/>
      <w:pPr>
        <w:tabs>
          <w:tab w:val="num" w:pos="3742"/>
        </w:tabs>
        <w:ind w:left="3382" w:hanging="1080"/>
      </w:pPr>
      <w:rPr>
        <w:rFonts w:hint="default"/>
      </w:rPr>
    </w:lvl>
    <w:lvl w:ilvl="7">
      <w:start w:val="1"/>
      <w:numFmt w:val="decimal"/>
      <w:lvlText w:val="%1.%2.%3.%4.%5.%6.%7.%8."/>
      <w:lvlJc w:val="left"/>
      <w:pPr>
        <w:tabs>
          <w:tab w:val="num" w:pos="4102"/>
        </w:tabs>
        <w:ind w:left="3886" w:hanging="1224"/>
      </w:pPr>
      <w:rPr>
        <w:rFonts w:hint="default"/>
      </w:rPr>
    </w:lvl>
    <w:lvl w:ilvl="8">
      <w:start w:val="1"/>
      <w:numFmt w:val="decimal"/>
      <w:lvlText w:val="%1.%2.%3.%4.%5.%6.%7.%8.%9."/>
      <w:lvlJc w:val="left"/>
      <w:pPr>
        <w:tabs>
          <w:tab w:val="num" w:pos="4822"/>
        </w:tabs>
        <w:ind w:left="4462" w:hanging="1440"/>
      </w:pPr>
      <w:rPr>
        <w:rFonts w:hint="default"/>
      </w:rPr>
    </w:lvl>
  </w:abstractNum>
  <w:abstractNum w:abstractNumId="30" w15:restartNumberingAfterBreak="0">
    <w:nsid w:val="6D3558A6"/>
    <w:multiLevelType w:val="hybridMultilevel"/>
    <w:tmpl w:val="0E1E1BBC"/>
    <w:lvl w:ilvl="0" w:tplc="029A2E5A">
      <w:start w:val="1"/>
      <w:numFmt w:val="bullet"/>
      <w:pStyle w:val="Indentado4"/>
      <w:lvlText w:val="–"/>
      <w:lvlJc w:val="left"/>
      <w:pPr>
        <w:ind w:left="2422" w:hanging="360"/>
      </w:pPr>
      <w:rPr>
        <w:rFonts w:ascii="Verdana" w:hAnsi="Verdana" w:hint="default"/>
        <w:color w:val="0C2749" w:themeColor="accent1"/>
      </w:rPr>
    </w:lvl>
    <w:lvl w:ilvl="1" w:tplc="04090003" w:tentative="1">
      <w:start w:val="1"/>
      <w:numFmt w:val="bullet"/>
      <w:lvlText w:val="o"/>
      <w:lvlJc w:val="left"/>
      <w:pPr>
        <w:ind w:left="3142" w:hanging="360"/>
      </w:pPr>
      <w:rPr>
        <w:rFonts w:ascii="Courier New" w:hAnsi="Courier New" w:cs="Courier New" w:hint="default"/>
      </w:rPr>
    </w:lvl>
    <w:lvl w:ilvl="2" w:tplc="04090005" w:tentative="1">
      <w:start w:val="1"/>
      <w:numFmt w:val="bullet"/>
      <w:lvlText w:val=""/>
      <w:lvlJc w:val="left"/>
      <w:pPr>
        <w:ind w:left="3862" w:hanging="360"/>
      </w:pPr>
      <w:rPr>
        <w:rFonts w:ascii="Wingdings" w:hAnsi="Wingdings" w:hint="default"/>
      </w:rPr>
    </w:lvl>
    <w:lvl w:ilvl="3" w:tplc="04090001" w:tentative="1">
      <w:start w:val="1"/>
      <w:numFmt w:val="bullet"/>
      <w:lvlText w:val=""/>
      <w:lvlJc w:val="left"/>
      <w:pPr>
        <w:ind w:left="4582" w:hanging="360"/>
      </w:pPr>
      <w:rPr>
        <w:rFonts w:ascii="Symbol" w:hAnsi="Symbol" w:hint="default"/>
      </w:rPr>
    </w:lvl>
    <w:lvl w:ilvl="4" w:tplc="04090003" w:tentative="1">
      <w:start w:val="1"/>
      <w:numFmt w:val="bullet"/>
      <w:lvlText w:val="o"/>
      <w:lvlJc w:val="left"/>
      <w:pPr>
        <w:ind w:left="5302" w:hanging="360"/>
      </w:pPr>
      <w:rPr>
        <w:rFonts w:ascii="Courier New" w:hAnsi="Courier New" w:cs="Courier New" w:hint="default"/>
      </w:rPr>
    </w:lvl>
    <w:lvl w:ilvl="5" w:tplc="04090005" w:tentative="1">
      <w:start w:val="1"/>
      <w:numFmt w:val="bullet"/>
      <w:lvlText w:val=""/>
      <w:lvlJc w:val="left"/>
      <w:pPr>
        <w:ind w:left="6022" w:hanging="360"/>
      </w:pPr>
      <w:rPr>
        <w:rFonts w:ascii="Wingdings" w:hAnsi="Wingdings" w:hint="default"/>
      </w:rPr>
    </w:lvl>
    <w:lvl w:ilvl="6" w:tplc="04090001" w:tentative="1">
      <w:start w:val="1"/>
      <w:numFmt w:val="bullet"/>
      <w:lvlText w:val=""/>
      <w:lvlJc w:val="left"/>
      <w:pPr>
        <w:ind w:left="6742" w:hanging="360"/>
      </w:pPr>
      <w:rPr>
        <w:rFonts w:ascii="Symbol" w:hAnsi="Symbol" w:hint="default"/>
      </w:rPr>
    </w:lvl>
    <w:lvl w:ilvl="7" w:tplc="04090003" w:tentative="1">
      <w:start w:val="1"/>
      <w:numFmt w:val="bullet"/>
      <w:lvlText w:val="o"/>
      <w:lvlJc w:val="left"/>
      <w:pPr>
        <w:ind w:left="7462" w:hanging="360"/>
      </w:pPr>
      <w:rPr>
        <w:rFonts w:ascii="Courier New" w:hAnsi="Courier New" w:cs="Courier New" w:hint="default"/>
      </w:rPr>
    </w:lvl>
    <w:lvl w:ilvl="8" w:tplc="04090005" w:tentative="1">
      <w:start w:val="1"/>
      <w:numFmt w:val="bullet"/>
      <w:lvlText w:val=""/>
      <w:lvlJc w:val="left"/>
      <w:pPr>
        <w:ind w:left="8182" w:hanging="360"/>
      </w:pPr>
      <w:rPr>
        <w:rFonts w:ascii="Wingdings" w:hAnsi="Wingdings" w:hint="default"/>
      </w:rPr>
    </w:lvl>
  </w:abstractNum>
  <w:abstractNum w:abstractNumId="31" w15:restartNumberingAfterBreak="0">
    <w:nsid w:val="6E882AB9"/>
    <w:multiLevelType w:val="hybridMultilevel"/>
    <w:tmpl w:val="844CE61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71951FCF"/>
    <w:multiLevelType w:val="hybridMultilevel"/>
    <w:tmpl w:val="0680C9E2"/>
    <w:lvl w:ilvl="0" w:tplc="644639FE">
      <w:start w:val="1"/>
      <w:numFmt w:val="bullet"/>
      <w:pStyle w:val="Indentado3"/>
      <w:lvlText w:val="•"/>
      <w:lvlJc w:val="left"/>
      <w:pPr>
        <w:ind w:left="2345" w:hanging="360"/>
      </w:pPr>
      <w:rPr>
        <w:rFonts w:ascii="Arial" w:hAnsi="Arial" w:hint="default"/>
        <w:color w:val="0C2749" w:themeColor="accent1"/>
      </w:rPr>
    </w:lvl>
    <w:lvl w:ilvl="1" w:tplc="040A0003" w:tentative="1">
      <w:start w:val="1"/>
      <w:numFmt w:val="bullet"/>
      <w:lvlText w:val="o"/>
      <w:lvlJc w:val="left"/>
      <w:pPr>
        <w:ind w:left="3065" w:hanging="360"/>
      </w:pPr>
      <w:rPr>
        <w:rFonts w:ascii="Courier New" w:hAnsi="Courier New" w:cs="Courier New" w:hint="default"/>
      </w:rPr>
    </w:lvl>
    <w:lvl w:ilvl="2" w:tplc="040A0005" w:tentative="1">
      <w:start w:val="1"/>
      <w:numFmt w:val="bullet"/>
      <w:lvlText w:val=""/>
      <w:lvlJc w:val="left"/>
      <w:pPr>
        <w:ind w:left="3785" w:hanging="360"/>
      </w:pPr>
      <w:rPr>
        <w:rFonts w:ascii="Wingdings" w:hAnsi="Wingdings" w:hint="default"/>
      </w:rPr>
    </w:lvl>
    <w:lvl w:ilvl="3" w:tplc="040A0001" w:tentative="1">
      <w:start w:val="1"/>
      <w:numFmt w:val="bullet"/>
      <w:lvlText w:val=""/>
      <w:lvlJc w:val="left"/>
      <w:pPr>
        <w:ind w:left="4505" w:hanging="360"/>
      </w:pPr>
      <w:rPr>
        <w:rFonts w:ascii="Symbol" w:hAnsi="Symbol" w:hint="default"/>
      </w:rPr>
    </w:lvl>
    <w:lvl w:ilvl="4" w:tplc="040A0003" w:tentative="1">
      <w:start w:val="1"/>
      <w:numFmt w:val="bullet"/>
      <w:lvlText w:val="o"/>
      <w:lvlJc w:val="left"/>
      <w:pPr>
        <w:ind w:left="5225" w:hanging="360"/>
      </w:pPr>
      <w:rPr>
        <w:rFonts w:ascii="Courier New" w:hAnsi="Courier New" w:cs="Courier New" w:hint="default"/>
      </w:rPr>
    </w:lvl>
    <w:lvl w:ilvl="5" w:tplc="040A0005" w:tentative="1">
      <w:start w:val="1"/>
      <w:numFmt w:val="bullet"/>
      <w:lvlText w:val=""/>
      <w:lvlJc w:val="left"/>
      <w:pPr>
        <w:ind w:left="5945" w:hanging="360"/>
      </w:pPr>
      <w:rPr>
        <w:rFonts w:ascii="Wingdings" w:hAnsi="Wingdings" w:hint="default"/>
      </w:rPr>
    </w:lvl>
    <w:lvl w:ilvl="6" w:tplc="040A0001" w:tentative="1">
      <w:start w:val="1"/>
      <w:numFmt w:val="bullet"/>
      <w:lvlText w:val=""/>
      <w:lvlJc w:val="left"/>
      <w:pPr>
        <w:ind w:left="6665" w:hanging="360"/>
      </w:pPr>
      <w:rPr>
        <w:rFonts w:ascii="Symbol" w:hAnsi="Symbol" w:hint="default"/>
      </w:rPr>
    </w:lvl>
    <w:lvl w:ilvl="7" w:tplc="040A0003" w:tentative="1">
      <w:start w:val="1"/>
      <w:numFmt w:val="bullet"/>
      <w:lvlText w:val="o"/>
      <w:lvlJc w:val="left"/>
      <w:pPr>
        <w:ind w:left="7385" w:hanging="360"/>
      </w:pPr>
      <w:rPr>
        <w:rFonts w:ascii="Courier New" w:hAnsi="Courier New" w:cs="Courier New" w:hint="default"/>
      </w:rPr>
    </w:lvl>
    <w:lvl w:ilvl="8" w:tplc="040A0005" w:tentative="1">
      <w:start w:val="1"/>
      <w:numFmt w:val="bullet"/>
      <w:lvlText w:val=""/>
      <w:lvlJc w:val="left"/>
      <w:pPr>
        <w:ind w:left="8105" w:hanging="360"/>
      </w:pPr>
      <w:rPr>
        <w:rFonts w:ascii="Wingdings" w:hAnsi="Wingdings" w:hint="default"/>
      </w:rPr>
    </w:lvl>
  </w:abstractNum>
  <w:num w:numId="1">
    <w:abstractNumId w:val="19"/>
  </w:num>
  <w:num w:numId="2">
    <w:abstractNumId w:val="23"/>
  </w:num>
  <w:num w:numId="3">
    <w:abstractNumId w:val="21"/>
  </w:num>
  <w:num w:numId="4">
    <w:abstractNumId w:val="29"/>
  </w:num>
  <w:num w:numId="5">
    <w:abstractNumId w:val="27"/>
  </w:num>
  <w:num w:numId="6">
    <w:abstractNumId w:val="6"/>
  </w:num>
  <w:num w:numId="7">
    <w:abstractNumId w:val="16"/>
  </w:num>
  <w:num w:numId="8">
    <w:abstractNumId w:val="32"/>
  </w:num>
  <w:num w:numId="9">
    <w:abstractNumId w:val="30"/>
  </w:num>
  <w:num w:numId="10">
    <w:abstractNumId w:val="1"/>
  </w:num>
  <w:num w:numId="11">
    <w:abstractNumId w:val="11"/>
  </w:num>
  <w:num w:numId="12">
    <w:abstractNumId w:val="9"/>
    <w:lvlOverride w:ilvl="0">
      <w:lvl w:ilvl="0">
        <w:numFmt w:val="decimal"/>
        <w:lvlText w:val=""/>
        <w:lvlJc w:val="left"/>
      </w:lvl>
    </w:lvlOverride>
    <w:lvlOverride w:ilvl="1">
      <w:lvl w:ilvl="1">
        <w:start w:val="1"/>
        <w:numFmt w:val="decimal"/>
        <w:pStyle w:val="Annexlevel2"/>
        <w:suff w:val="space"/>
        <w:lvlText w:val="%1.%2."/>
        <w:lvlJc w:val="left"/>
        <w:pPr>
          <w:ind w:left="8013" w:hanging="35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2">
      <w:lvl w:ilvl="2">
        <w:start w:val="1"/>
        <w:numFmt w:val="decimal"/>
        <w:pStyle w:val="Annexlevel3"/>
        <w:suff w:val="space"/>
        <w:lvlText w:val="%1.%2.%3."/>
        <w:lvlJc w:val="left"/>
        <w:pPr>
          <w:ind w:left="641" w:hanging="35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24"/>
  </w:num>
  <w:num w:numId="16">
    <w:abstractNumId w:val="20"/>
  </w:num>
  <w:num w:numId="17">
    <w:abstractNumId w:val="22"/>
  </w:num>
  <w:num w:numId="18">
    <w:abstractNumId w:val="7"/>
  </w:num>
  <w:num w:numId="19">
    <w:abstractNumId w:val="0"/>
  </w:num>
  <w:num w:numId="20">
    <w:abstractNumId w:val="31"/>
  </w:num>
  <w:num w:numId="21">
    <w:abstractNumId w:val="2"/>
  </w:num>
  <w:num w:numId="22">
    <w:abstractNumId w:val="4"/>
  </w:num>
  <w:num w:numId="23">
    <w:abstractNumId w:val="28"/>
  </w:num>
  <w:num w:numId="24">
    <w:abstractNumId w:val="18"/>
  </w:num>
  <w:num w:numId="25">
    <w:abstractNumId w:val="14"/>
  </w:num>
  <w:num w:numId="26">
    <w:abstractNumId w:val="8"/>
  </w:num>
  <w:num w:numId="27">
    <w:abstractNumId w:val="26"/>
  </w:num>
  <w:num w:numId="28">
    <w:abstractNumId w:val="17"/>
  </w:num>
  <w:num w:numId="29">
    <w:abstractNumId w:val="5"/>
  </w:num>
  <w:num w:numId="30">
    <w:abstractNumId w:val="12"/>
  </w:num>
  <w:num w:numId="31">
    <w:abstractNumId w:val="25"/>
  </w:num>
  <w:num w:numId="32">
    <w:abstractNumId w:val="3"/>
  </w:num>
  <w:num w:numId="33">
    <w:abstractNumId w:val="1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activeWritingStyle w:appName="MSWord" w:lang="it-IT" w:vendorID="64" w:dllVersion="131078" w:nlCheck="1" w:checkStyle="0"/>
  <w:activeWritingStyle w:appName="MSWord" w:lang="en-GB" w:vendorID="64" w:dllVersion="131078" w:nlCheck="1" w:checkStyle="0"/>
  <w:activeWritingStyle w:appName="MSWord" w:lang="es-CR"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s-ES_tradnl" w:vendorID="64" w:dllVersion="131078" w:nlCheck="1" w:checkStyle="0"/>
  <w:activeWritingStyle w:appName="MSWord" w:lang="es-AR" w:vendorID="64" w:dllVersion="131078" w:nlCheck="1" w:checkStyle="0"/>
  <w:activeWritingStyle w:appName="MSWord" w:lang="es-MX" w:vendorID="64" w:dllVersion="131078"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characterSpacingControl w:val="doNotCompress"/>
  <w:hdrShapeDefaults>
    <o:shapedefaults v:ext="edit" spidmax="2049">
      <o:colormru v:ext="edit" colors="#0c2749"/>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3A55"/>
    <w:rsid w:val="00000C97"/>
    <w:rsid w:val="000010CE"/>
    <w:rsid w:val="000128D0"/>
    <w:rsid w:val="00015AA8"/>
    <w:rsid w:val="00016088"/>
    <w:rsid w:val="00016806"/>
    <w:rsid w:val="00022367"/>
    <w:rsid w:val="000235A0"/>
    <w:rsid w:val="00023CDC"/>
    <w:rsid w:val="00024001"/>
    <w:rsid w:val="00025CE0"/>
    <w:rsid w:val="00026A26"/>
    <w:rsid w:val="000310BF"/>
    <w:rsid w:val="00031D3F"/>
    <w:rsid w:val="0003328C"/>
    <w:rsid w:val="00037A21"/>
    <w:rsid w:val="0004034D"/>
    <w:rsid w:val="00041986"/>
    <w:rsid w:val="00042BBE"/>
    <w:rsid w:val="00042F54"/>
    <w:rsid w:val="00043BF0"/>
    <w:rsid w:val="0004443C"/>
    <w:rsid w:val="00044457"/>
    <w:rsid w:val="00044824"/>
    <w:rsid w:val="00044C18"/>
    <w:rsid w:val="00050736"/>
    <w:rsid w:val="00050F98"/>
    <w:rsid w:val="00051482"/>
    <w:rsid w:val="00051AB0"/>
    <w:rsid w:val="000532A5"/>
    <w:rsid w:val="00056038"/>
    <w:rsid w:val="00056356"/>
    <w:rsid w:val="0005752A"/>
    <w:rsid w:val="00060428"/>
    <w:rsid w:val="0006139F"/>
    <w:rsid w:val="000617F4"/>
    <w:rsid w:val="0006230C"/>
    <w:rsid w:val="00063A56"/>
    <w:rsid w:val="00063C11"/>
    <w:rsid w:val="0006536B"/>
    <w:rsid w:val="00065621"/>
    <w:rsid w:val="00065D28"/>
    <w:rsid w:val="0006759A"/>
    <w:rsid w:val="0006782C"/>
    <w:rsid w:val="000678E6"/>
    <w:rsid w:val="00067A08"/>
    <w:rsid w:val="00067ADF"/>
    <w:rsid w:val="00067FBD"/>
    <w:rsid w:val="00070A05"/>
    <w:rsid w:val="00071622"/>
    <w:rsid w:val="000717C4"/>
    <w:rsid w:val="00071AB6"/>
    <w:rsid w:val="000749A0"/>
    <w:rsid w:val="00076965"/>
    <w:rsid w:val="00076CB2"/>
    <w:rsid w:val="00076EF2"/>
    <w:rsid w:val="00081EEF"/>
    <w:rsid w:val="0008237D"/>
    <w:rsid w:val="000846F4"/>
    <w:rsid w:val="0008614E"/>
    <w:rsid w:val="00087059"/>
    <w:rsid w:val="00087712"/>
    <w:rsid w:val="000908A8"/>
    <w:rsid w:val="0009230B"/>
    <w:rsid w:val="00092CCB"/>
    <w:rsid w:val="00092F88"/>
    <w:rsid w:val="000934A2"/>
    <w:rsid w:val="000954DB"/>
    <w:rsid w:val="0009661B"/>
    <w:rsid w:val="00096CDD"/>
    <w:rsid w:val="00096F93"/>
    <w:rsid w:val="00096FF4"/>
    <w:rsid w:val="000A1FC9"/>
    <w:rsid w:val="000A271E"/>
    <w:rsid w:val="000A2E14"/>
    <w:rsid w:val="000A33FF"/>
    <w:rsid w:val="000A6494"/>
    <w:rsid w:val="000A649A"/>
    <w:rsid w:val="000A7275"/>
    <w:rsid w:val="000A7440"/>
    <w:rsid w:val="000A7898"/>
    <w:rsid w:val="000A7CEF"/>
    <w:rsid w:val="000B1510"/>
    <w:rsid w:val="000B1FF8"/>
    <w:rsid w:val="000B22E1"/>
    <w:rsid w:val="000B5AC7"/>
    <w:rsid w:val="000B6630"/>
    <w:rsid w:val="000C0E26"/>
    <w:rsid w:val="000C0FC2"/>
    <w:rsid w:val="000C1C96"/>
    <w:rsid w:val="000C23AD"/>
    <w:rsid w:val="000C67E6"/>
    <w:rsid w:val="000C7E0B"/>
    <w:rsid w:val="000D0111"/>
    <w:rsid w:val="000D725F"/>
    <w:rsid w:val="000D79DD"/>
    <w:rsid w:val="000E0CAC"/>
    <w:rsid w:val="000E0F60"/>
    <w:rsid w:val="000E18BD"/>
    <w:rsid w:val="000E1DE8"/>
    <w:rsid w:val="000E3448"/>
    <w:rsid w:val="000E689B"/>
    <w:rsid w:val="000E6B4E"/>
    <w:rsid w:val="000E6E27"/>
    <w:rsid w:val="000F06AE"/>
    <w:rsid w:val="000F1137"/>
    <w:rsid w:val="000F171E"/>
    <w:rsid w:val="000F1C3B"/>
    <w:rsid w:val="000F1DD5"/>
    <w:rsid w:val="000F2F89"/>
    <w:rsid w:val="000F30C9"/>
    <w:rsid w:val="000F38AD"/>
    <w:rsid w:val="000F4682"/>
    <w:rsid w:val="001016AA"/>
    <w:rsid w:val="00101812"/>
    <w:rsid w:val="00102A68"/>
    <w:rsid w:val="00103C5F"/>
    <w:rsid w:val="0010449A"/>
    <w:rsid w:val="001045CB"/>
    <w:rsid w:val="00105022"/>
    <w:rsid w:val="0010612C"/>
    <w:rsid w:val="00106230"/>
    <w:rsid w:val="00107534"/>
    <w:rsid w:val="001077A3"/>
    <w:rsid w:val="001078D2"/>
    <w:rsid w:val="00107D55"/>
    <w:rsid w:val="001134CB"/>
    <w:rsid w:val="001145E1"/>
    <w:rsid w:val="00117B3C"/>
    <w:rsid w:val="00120565"/>
    <w:rsid w:val="00121D18"/>
    <w:rsid w:val="00121D50"/>
    <w:rsid w:val="0012249C"/>
    <w:rsid w:val="00123849"/>
    <w:rsid w:val="00123D59"/>
    <w:rsid w:val="00123F01"/>
    <w:rsid w:val="0012456C"/>
    <w:rsid w:val="00124A35"/>
    <w:rsid w:val="001255FC"/>
    <w:rsid w:val="001270D8"/>
    <w:rsid w:val="001271B0"/>
    <w:rsid w:val="001276F0"/>
    <w:rsid w:val="00132C48"/>
    <w:rsid w:val="00135132"/>
    <w:rsid w:val="001370BD"/>
    <w:rsid w:val="001419DF"/>
    <w:rsid w:val="00146A4E"/>
    <w:rsid w:val="00147A88"/>
    <w:rsid w:val="00147F7C"/>
    <w:rsid w:val="00150813"/>
    <w:rsid w:val="00150B3B"/>
    <w:rsid w:val="00152986"/>
    <w:rsid w:val="00152EE3"/>
    <w:rsid w:val="00155D54"/>
    <w:rsid w:val="00157542"/>
    <w:rsid w:val="0015755F"/>
    <w:rsid w:val="00160417"/>
    <w:rsid w:val="0016143D"/>
    <w:rsid w:val="00161561"/>
    <w:rsid w:val="0016166F"/>
    <w:rsid w:val="00161D16"/>
    <w:rsid w:val="00161E7D"/>
    <w:rsid w:val="00162170"/>
    <w:rsid w:val="0016264C"/>
    <w:rsid w:val="0016390E"/>
    <w:rsid w:val="0017020B"/>
    <w:rsid w:val="00170F48"/>
    <w:rsid w:val="00171378"/>
    <w:rsid w:val="00171FC3"/>
    <w:rsid w:val="00172E95"/>
    <w:rsid w:val="001737BF"/>
    <w:rsid w:val="00174649"/>
    <w:rsid w:val="00176048"/>
    <w:rsid w:val="00176FFF"/>
    <w:rsid w:val="001770F6"/>
    <w:rsid w:val="00177A73"/>
    <w:rsid w:val="00180DBA"/>
    <w:rsid w:val="001823C0"/>
    <w:rsid w:val="00184F96"/>
    <w:rsid w:val="00185134"/>
    <w:rsid w:val="001864F0"/>
    <w:rsid w:val="00187FC4"/>
    <w:rsid w:val="001904AF"/>
    <w:rsid w:val="001909BC"/>
    <w:rsid w:val="001917A9"/>
    <w:rsid w:val="00191AA0"/>
    <w:rsid w:val="001964E8"/>
    <w:rsid w:val="00196B36"/>
    <w:rsid w:val="001A01B7"/>
    <w:rsid w:val="001A0E42"/>
    <w:rsid w:val="001A1188"/>
    <w:rsid w:val="001A2CC6"/>
    <w:rsid w:val="001A496A"/>
    <w:rsid w:val="001A6D82"/>
    <w:rsid w:val="001A7064"/>
    <w:rsid w:val="001A7789"/>
    <w:rsid w:val="001B0834"/>
    <w:rsid w:val="001B0A76"/>
    <w:rsid w:val="001B10C5"/>
    <w:rsid w:val="001B3954"/>
    <w:rsid w:val="001B5628"/>
    <w:rsid w:val="001B5E19"/>
    <w:rsid w:val="001B741E"/>
    <w:rsid w:val="001B7429"/>
    <w:rsid w:val="001B7976"/>
    <w:rsid w:val="001C03BF"/>
    <w:rsid w:val="001C047A"/>
    <w:rsid w:val="001C1585"/>
    <w:rsid w:val="001C1B64"/>
    <w:rsid w:val="001C2066"/>
    <w:rsid w:val="001C233B"/>
    <w:rsid w:val="001C26AA"/>
    <w:rsid w:val="001C34B7"/>
    <w:rsid w:val="001C4DB5"/>
    <w:rsid w:val="001D1046"/>
    <w:rsid w:val="001D3257"/>
    <w:rsid w:val="001D41CA"/>
    <w:rsid w:val="001D56EB"/>
    <w:rsid w:val="001D70E2"/>
    <w:rsid w:val="001D7516"/>
    <w:rsid w:val="001E106C"/>
    <w:rsid w:val="001E1937"/>
    <w:rsid w:val="001F009A"/>
    <w:rsid w:val="001F0B20"/>
    <w:rsid w:val="001F0F7D"/>
    <w:rsid w:val="001F1FD4"/>
    <w:rsid w:val="001F2A24"/>
    <w:rsid w:val="001F31CB"/>
    <w:rsid w:val="001F34DF"/>
    <w:rsid w:val="001F3ED6"/>
    <w:rsid w:val="001F524D"/>
    <w:rsid w:val="001F6A40"/>
    <w:rsid w:val="00203361"/>
    <w:rsid w:val="00203377"/>
    <w:rsid w:val="00205D31"/>
    <w:rsid w:val="00206C4A"/>
    <w:rsid w:val="0020707C"/>
    <w:rsid w:val="002118A9"/>
    <w:rsid w:val="00212F0E"/>
    <w:rsid w:val="0021505B"/>
    <w:rsid w:val="002164AB"/>
    <w:rsid w:val="002219E7"/>
    <w:rsid w:val="00222D08"/>
    <w:rsid w:val="0022430C"/>
    <w:rsid w:val="00224C1F"/>
    <w:rsid w:val="00230B71"/>
    <w:rsid w:val="00232A07"/>
    <w:rsid w:val="00232D4E"/>
    <w:rsid w:val="00233B1B"/>
    <w:rsid w:val="002368BF"/>
    <w:rsid w:val="00236C17"/>
    <w:rsid w:val="0023709E"/>
    <w:rsid w:val="002407F1"/>
    <w:rsid w:val="002425CB"/>
    <w:rsid w:val="00242D56"/>
    <w:rsid w:val="00244CDB"/>
    <w:rsid w:val="00245642"/>
    <w:rsid w:val="00245D4E"/>
    <w:rsid w:val="00247A2A"/>
    <w:rsid w:val="00247E63"/>
    <w:rsid w:val="002502C5"/>
    <w:rsid w:val="00250AEC"/>
    <w:rsid w:val="002515A4"/>
    <w:rsid w:val="00253DB5"/>
    <w:rsid w:val="0025460B"/>
    <w:rsid w:val="002555A1"/>
    <w:rsid w:val="0025625C"/>
    <w:rsid w:val="0025694C"/>
    <w:rsid w:val="00256B44"/>
    <w:rsid w:val="00257FB5"/>
    <w:rsid w:val="0026147F"/>
    <w:rsid w:val="00262C4C"/>
    <w:rsid w:val="00265B16"/>
    <w:rsid w:val="00266D75"/>
    <w:rsid w:val="00266F26"/>
    <w:rsid w:val="00270A16"/>
    <w:rsid w:val="00272A41"/>
    <w:rsid w:val="0027392E"/>
    <w:rsid w:val="00273B5F"/>
    <w:rsid w:val="002801E6"/>
    <w:rsid w:val="002808E1"/>
    <w:rsid w:val="00282020"/>
    <w:rsid w:val="00282EFB"/>
    <w:rsid w:val="00284A37"/>
    <w:rsid w:val="0028512F"/>
    <w:rsid w:val="0028606F"/>
    <w:rsid w:val="00286372"/>
    <w:rsid w:val="0028640C"/>
    <w:rsid w:val="002864B4"/>
    <w:rsid w:val="00286613"/>
    <w:rsid w:val="00290DED"/>
    <w:rsid w:val="00292CE9"/>
    <w:rsid w:val="00293903"/>
    <w:rsid w:val="00297742"/>
    <w:rsid w:val="00297E8D"/>
    <w:rsid w:val="002A06D1"/>
    <w:rsid w:val="002A13B6"/>
    <w:rsid w:val="002A1758"/>
    <w:rsid w:val="002A179D"/>
    <w:rsid w:val="002A20F8"/>
    <w:rsid w:val="002A45D2"/>
    <w:rsid w:val="002A472E"/>
    <w:rsid w:val="002A49F9"/>
    <w:rsid w:val="002A56C6"/>
    <w:rsid w:val="002A6D50"/>
    <w:rsid w:val="002A6EDB"/>
    <w:rsid w:val="002B01B7"/>
    <w:rsid w:val="002B22DF"/>
    <w:rsid w:val="002B2307"/>
    <w:rsid w:val="002B2C22"/>
    <w:rsid w:val="002B3F47"/>
    <w:rsid w:val="002B4346"/>
    <w:rsid w:val="002B61AC"/>
    <w:rsid w:val="002B641C"/>
    <w:rsid w:val="002B7020"/>
    <w:rsid w:val="002C2062"/>
    <w:rsid w:val="002C3A09"/>
    <w:rsid w:val="002C3F58"/>
    <w:rsid w:val="002C62A3"/>
    <w:rsid w:val="002D0714"/>
    <w:rsid w:val="002D0741"/>
    <w:rsid w:val="002D31B6"/>
    <w:rsid w:val="002D4D99"/>
    <w:rsid w:val="002D61CA"/>
    <w:rsid w:val="002D6E31"/>
    <w:rsid w:val="002E1DF2"/>
    <w:rsid w:val="002E1EB2"/>
    <w:rsid w:val="002E31C7"/>
    <w:rsid w:val="002E430C"/>
    <w:rsid w:val="002E435A"/>
    <w:rsid w:val="002E57D5"/>
    <w:rsid w:val="002E6EEF"/>
    <w:rsid w:val="002E6FC5"/>
    <w:rsid w:val="002E7262"/>
    <w:rsid w:val="002E72ED"/>
    <w:rsid w:val="002F01BF"/>
    <w:rsid w:val="002F0BC5"/>
    <w:rsid w:val="002F1C5E"/>
    <w:rsid w:val="002F2864"/>
    <w:rsid w:val="002F387B"/>
    <w:rsid w:val="002F39A0"/>
    <w:rsid w:val="002F3C04"/>
    <w:rsid w:val="002F4097"/>
    <w:rsid w:val="002F45F6"/>
    <w:rsid w:val="002F5D66"/>
    <w:rsid w:val="002F65D6"/>
    <w:rsid w:val="002F6B51"/>
    <w:rsid w:val="002F6E1C"/>
    <w:rsid w:val="002F7C55"/>
    <w:rsid w:val="00300979"/>
    <w:rsid w:val="00303E5E"/>
    <w:rsid w:val="00305566"/>
    <w:rsid w:val="00307C11"/>
    <w:rsid w:val="003105BE"/>
    <w:rsid w:val="0031156F"/>
    <w:rsid w:val="003138B1"/>
    <w:rsid w:val="00315893"/>
    <w:rsid w:val="003225AB"/>
    <w:rsid w:val="0032395F"/>
    <w:rsid w:val="00324479"/>
    <w:rsid w:val="003247B3"/>
    <w:rsid w:val="00324BB6"/>
    <w:rsid w:val="0032648B"/>
    <w:rsid w:val="003265B1"/>
    <w:rsid w:val="003269C3"/>
    <w:rsid w:val="00330344"/>
    <w:rsid w:val="0033372B"/>
    <w:rsid w:val="00333AB4"/>
    <w:rsid w:val="00334674"/>
    <w:rsid w:val="00334837"/>
    <w:rsid w:val="0033670B"/>
    <w:rsid w:val="003425D1"/>
    <w:rsid w:val="00344D9B"/>
    <w:rsid w:val="00345305"/>
    <w:rsid w:val="00346945"/>
    <w:rsid w:val="003510C0"/>
    <w:rsid w:val="00351850"/>
    <w:rsid w:val="00351FD0"/>
    <w:rsid w:val="003526B2"/>
    <w:rsid w:val="00353974"/>
    <w:rsid w:val="00354014"/>
    <w:rsid w:val="0035410D"/>
    <w:rsid w:val="0035605E"/>
    <w:rsid w:val="00357D20"/>
    <w:rsid w:val="00361185"/>
    <w:rsid w:val="00363509"/>
    <w:rsid w:val="0036437E"/>
    <w:rsid w:val="003644B5"/>
    <w:rsid w:val="0037459B"/>
    <w:rsid w:val="003777CF"/>
    <w:rsid w:val="003804B7"/>
    <w:rsid w:val="003806A1"/>
    <w:rsid w:val="003809F3"/>
    <w:rsid w:val="0038107F"/>
    <w:rsid w:val="00383030"/>
    <w:rsid w:val="00383354"/>
    <w:rsid w:val="00383A70"/>
    <w:rsid w:val="00383AE2"/>
    <w:rsid w:val="0038544A"/>
    <w:rsid w:val="00385782"/>
    <w:rsid w:val="003858DE"/>
    <w:rsid w:val="003859BA"/>
    <w:rsid w:val="00386DEC"/>
    <w:rsid w:val="00386E70"/>
    <w:rsid w:val="00390C96"/>
    <w:rsid w:val="003925D1"/>
    <w:rsid w:val="003933DC"/>
    <w:rsid w:val="00393A99"/>
    <w:rsid w:val="00393BD3"/>
    <w:rsid w:val="003945EB"/>
    <w:rsid w:val="0039509B"/>
    <w:rsid w:val="00396534"/>
    <w:rsid w:val="003977C2"/>
    <w:rsid w:val="003A2A95"/>
    <w:rsid w:val="003A2BFD"/>
    <w:rsid w:val="003A3862"/>
    <w:rsid w:val="003A3FC8"/>
    <w:rsid w:val="003A4ABA"/>
    <w:rsid w:val="003A56AC"/>
    <w:rsid w:val="003A7F53"/>
    <w:rsid w:val="003B26D8"/>
    <w:rsid w:val="003B646D"/>
    <w:rsid w:val="003C1523"/>
    <w:rsid w:val="003C2D78"/>
    <w:rsid w:val="003C49D1"/>
    <w:rsid w:val="003D09E3"/>
    <w:rsid w:val="003D0BFF"/>
    <w:rsid w:val="003D0C2D"/>
    <w:rsid w:val="003D1872"/>
    <w:rsid w:val="003D1AC1"/>
    <w:rsid w:val="003D25FC"/>
    <w:rsid w:val="003D2677"/>
    <w:rsid w:val="003D34F5"/>
    <w:rsid w:val="003D58A4"/>
    <w:rsid w:val="003D5BC6"/>
    <w:rsid w:val="003D5FBD"/>
    <w:rsid w:val="003D6B43"/>
    <w:rsid w:val="003E18C1"/>
    <w:rsid w:val="003E22C5"/>
    <w:rsid w:val="003E40CB"/>
    <w:rsid w:val="003E5CB7"/>
    <w:rsid w:val="003F0357"/>
    <w:rsid w:val="003F5652"/>
    <w:rsid w:val="003F5AE4"/>
    <w:rsid w:val="003F5CA5"/>
    <w:rsid w:val="003F608F"/>
    <w:rsid w:val="003F6919"/>
    <w:rsid w:val="00402467"/>
    <w:rsid w:val="004036A2"/>
    <w:rsid w:val="004047E5"/>
    <w:rsid w:val="00406ECB"/>
    <w:rsid w:val="00407180"/>
    <w:rsid w:val="00407A82"/>
    <w:rsid w:val="00411017"/>
    <w:rsid w:val="004117A3"/>
    <w:rsid w:val="00411933"/>
    <w:rsid w:val="00411A12"/>
    <w:rsid w:val="00411B32"/>
    <w:rsid w:val="00412D87"/>
    <w:rsid w:val="00412FEA"/>
    <w:rsid w:val="004134A1"/>
    <w:rsid w:val="00414CED"/>
    <w:rsid w:val="00416839"/>
    <w:rsid w:val="00416E8C"/>
    <w:rsid w:val="00417494"/>
    <w:rsid w:val="00417878"/>
    <w:rsid w:val="00417CDA"/>
    <w:rsid w:val="004209C7"/>
    <w:rsid w:val="0042144F"/>
    <w:rsid w:val="004241C3"/>
    <w:rsid w:val="004248BE"/>
    <w:rsid w:val="00425474"/>
    <w:rsid w:val="00426AC0"/>
    <w:rsid w:val="004308ED"/>
    <w:rsid w:val="00431406"/>
    <w:rsid w:val="00431EE5"/>
    <w:rsid w:val="00432477"/>
    <w:rsid w:val="00432978"/>
    <w:rsid w:val="00432E6A"/>
    <w:rsid w:val="00432EAD"/>
    <w:rsid w:val="004349D8"/>
    <w:rsid w:val="00436022"/>
    <w:rsid w:val="0043607B"/>
    <w:rsid w:val="004370D9"/>
    <w:rsid w:val="00437487"/>
    <w:rsid w:val="00437F9C"/>
    <w:rsid w:val="004442A1"/>
    <w:rsid w:val="0044509C"/>
    <w:rsid w:val="004453CC"/>
    <w:rsid w:val="00446A1E"/>
    <w:rsid w:val="00446E4F"/>
    <w:rsid w:val="00446F3B"/>
    <w:rsid w:val="0045032F"/>
    <w:rsid w:val="00450829"/>
    <w:rsid w:val="004517E9"/>
    <w:rsid w:val="00452605"/>
    <w:rsid w:val="004560A2"/>
    <w:rsid w:val="00456F48"/>
    <w:rsid w:val="00457758"/>
    <w:rsid w:val="00457D67"/>
    <w:rsid w:val="00462503"/>
    <w:rsid w:val="00462C9F"/>
    <w:rsid w:val="00462CC5"/>
    <w:rsid w:val="004633F7"/>
    <w:rsid w:val="00464728"/>
    <w:rsid w:val="0046495A"/>
    <w:rsid w:val="00464FF4"/>
    <w:rsid w:val="00465AA9"/>
    <w:rsid w:val="00466672"/>
    <w:rsid w:val="00467220"/>
    <w:rsid w:val="00470BF2"/>
    <w:rsid w:val="004714B7"/>
    <w:rsid w:val="0047175E"/>
    <w:rsid w:val="0047213D"/>
    <w:rsid w:val="00474E49"/>
    <w:rsid w:val="00475923"/>
    <w:rsid w:val="0047603F"/>
    <w:rsid w:val="004778C6"/>
    <w:rsid w:val="004800CE"/>
    <w:rsid w:val="0048096C"/>
    <w:rsid w:val="00480ADC"/>
    <w:rsid w:val="00480E84"/>
    <w:rsid w:val="00482695"/>
    <w:rsid w:val="0048275F"/>
    <w:rsid w:val="004831A2"/>
    <w:rsid w:val="00483CA1"/>
    <w:rsid w:val="00485F09"/>
    <w:rsid w:val="00492584"/>
    <w:rsid w:val="00492CD4"/>
    <w:rsid w:val="0049356D"/>
    <w:rsid w:val="00493BCA"/>
    <w:rsid w:val="00495EBF"/>
    <w:rsid w:val="00496E5A"/>
    <w:rsid w:val="00497093"/>
    <w:rsid w:val="004975F8"/>
    <w:rsid w:val="00497D63"/>
    <w:rsid w:val="004A0C20"/>
    <w:rsid w:val="004A1D63"/>
    <w:rsid w:val="004A1FCF"/>
    <w:rsid w:val="004A3C85"/>
    <w:rsid w:val="004A3EC2"/>
    <w:rsid w:val="004A409A"/>
    <w:rsid w:val="004A503F"/>
    <w:rsid w:val="004A684A"/>
    <w:rsid w:val="004A7ACE"/>
    <w:rsid w:val="004A7D25"/>
    <w:rsid w:val="004B03CC"/>
    <w:rsid w:val="004B128A"/>
    <w:rsid w:val="004B29F9"/>
    <w:rsid w:val="004B2D19"/>
    <w:rsid w:val="004B3A0F"/>
    <w:rsid w:val="004B3B64"/>
    <w:rsid w:val="004B410D"/>
    <w:rsid w:val="004B679B"/>
    <w:rsid w:val="004B7FA4"/>
    <w:rsid w:val="004C4CB8"/>
    <w:rsid w:val="004C5692"/>
    <w:rsid w:val="004C6052"/>
    <w:rsid w:val="004D1A06"/>
    <w:rsid w:val="004D1DF7"/>
    <w:rsid w:val="004D4481"/>
    <w:rsid w:val="004D622C"/>
    <w:rsid w:val="004D6832"/>
    <w:rsid w:val="004D6B13"/>
    <w:rsid w:val="004D7094"/>
    <w:rsid w:val="004E0D33"/>
    <w:rsid w:val="004E13F5"/>
    <w:rsid w:val="004E1511"/>
    <w:rsid w:val="004E2A9C"/>
    <w:rsid w:val="004E2AAD"/>
    <w:rsid w:val="004E45BE"/>
    <w:rsid w:val="004E59B6"/>
    <w:rsid w:val="004E7769"/>
    <w:rsid w:val="004F07B4"/>
    <w:rsid w:val="004F147D"/>
    <w:rsid w:val="004F14D3"/>
    <w:rsid w:val="004F3689"/>
    <w:rsid w:val="004F63FC"/>
    <w:rsid w:val="004F64A6"/>
    <w:rsid w:val="004F66F3"/>
    <w:rsid w:val="004F72FC"/>
    <w:rsid w:val="004F77FC"/>
    <w:rsid w:val="0050054F"/>
    <w:rsid w:val="005011EE"/>
    <w:rsid w:val="00501433"/>
    <w:rsid w:val="0050262B"/>
    <w:rsid w:val="0050272D"/>
    <w:rsid w:val="00503972"/>
    <w:rsid w:val="00503C89"/>
    <w:rsid w:val="00503FF8"/>
    <w:rsid w:val="005055D2"/>
    <w:rsid w:val="005066DF"/>
    <w:rsid w:val="00506CFC"/>
    <w:rsid w:val="00506F58"/>
    <w:rsid w:val="00507A64"/>
    <w:rsid w:val="00510929"/>
    <w:rsid w:val="0051128F"/>
    <w:rsid w:val="00513055"/>
    <w:rsid w:val="00513AD9"/>
    <w:rsid w:val="00515BBC"/>
    <w:rsid w:val="005222B2"/>
    <w:rsid w:val="0052275F"/>
    <w:rsid w:val="005264A5"/>
    <w:rsid w:val="005271E3"/>
    <w:rsid w:val="0053297E"/>
    <w:rsid w:val="00532AE2"/>
    <w:rsid w:val="005344F2"/>
    <w:rsid w:val="00534AF6"/>
    <w:rsid w:val="00535C3A"/>
    <w:rsid w:val="00536769"/>
    <w:rsid w:val="00536DA2"/>
    <w:rsid w:val="00546B3E"/>
    <w:rsid w:val="00550C6E"/>
    <w:rsid w:val="005515A2"/>
    <w:rsid w:val="00553DE3"/>
    <w:rsid w:val="00556CD9"/>
    <w:rsid w:val="00557823"/>
    <w:rsid w:val="005611DB"/>
    <w:rsid w:val="0056189A"/>
    <w:rsid w:val="00562734"/>
    <w:rsid w:val="00564E6D"/>
    <w:rsid w:val="00565852"/>
    <w:rsid w:val="00565A7F"/>
    <w:rsid w:val="00566663"/>
    <w:rsid w:val="005675A3"/>
    <w:rsid w:val="005702D6"/>
    <w:rsid w:val="0057202A"/>
    <w:rsid w:val="00573E68"/>
    <w:rsid w:val="005759D4"/>
    <w:rsid w:val="00575B66"/>
    <w:rsid w:val="00577B4C"/>
    <w:rsid w:val="00577C84"/>
    <w:rsid w:val="0058127C"/>
    <w:rsid w:val="005814CC"/>
    <w:rsid w:val="00581E08"/>
    <w:rsid w:val="00581F5D"/>
    <w:rsid w:val="00583F2C"/>
    <w:rsid w:val="005851EE"/>
    <w:rsid w:val="00585D52"/>
    <w:rsid w:val="00586D54"/>
    <w:rsid w:val="005900CC"/>
    <w:rsid w:val="005902B2"/>
    <w:rsid w:val="00590E40"/>
    <w:rsid w:val="005915BD"/>
    <w:rsid w:val="0059261F"/>
    <w:rsid w:val="00592A92"/>
    <w:rsid w:val="00592D53"/>
    <w:rsid w:val="0059355C"/>
    <w:rsid w:val="005946D5"/>
    <w:rsid w:val="0059500B"/>
    <w:rsid w:val="00595DD7"/>
    <w:rsid w:val="005A02EA"/>
    <w:rsid w:val="005A127B"/>
    <w:rsid w:val="005A18FC"/>
    <w:rsid w:val="005A1D11"/>
    <w:rsid w:val="005A3184"/>
    <w:rsid w:val="005A3336"/>
    <w:rsid w:val="005A5F1D"/>
    <w:rsid w:val="005B24B3"/>
    <w:rsid w:val="005B3516"/>
    <w:rsid w:val="005B3DAB"/>
    <w:rsid w:val="005B5833"/>
    <w:rsid w:val="005C3978"/>
    <w:rsid w:val="005C469E"/>
    <w:rsid w:val="005C604E"/>
    <w:rsid w:val="005D04AE"/>
    <w:rsid w:val="005D19E7"/>
    <w:rsid w:val="005D1EF0"/>
    <w:rsid w:val="005D1F0A"/>
    <w:rsid w:val="005D21EB"/>
    <w:rsid w:val="005D2A68"/>
    <w:rsid w:val="005D3D3D"/>
    <w:rsid w:val="005D53D5"/>
    <w:rsid w:val="005D69FF"/>
    <w:rsid w:val="005E02DA"/>
    <w:rsid w:val="005E7FCA"/>
    <w:rsid w:val="005F06E4"/>
    <w:rsid w:val="005F131D"/>
    <w:rsid w:val="005F244C"/>
    <w:rsid w:val="005F2781"/>
    <w:rsid w:val="005F27E4"/>
    <w:rsid w:val="005F31D2"/>
    <w:rsid w:val="005F4170"/>
    <w:rsid w:val="005F44C1"/>
    <w:rsid w:val="005F63E7"/>
    <w:rsid w:val="005F6BAB"/>
    <w:rsid w:val="005F7F18"/>
    <w:rsid w:val="00600899"/>
    <w:rsid w:val="00601098"/>
    <w:rsid w:val="00604E80"/>
    <w:rsid w:val="00605EDD"/>
    <w:rsid w:val="006062BF"/>
    <w:rsid w:val="00606507"/>
    <w:rsid w:val="00606684"/>
    <w:rsid w:val="00612A63"/>
    <w:rsid w:val="00613C5B"/>
    <w:rsid w:val="00613E9C"/>
    <w:rsid w:val="00617F37"/>
    <w:rsid w:val="00620842"/>
    <w:rsid w:val="00620A70"/>
    <w:rsid w:val="0062150F"/>
    <w:rsid w:val="006222F4"/>
    <w:rsid w:val="006231FC"/>
    <w:rsid w:val="0062489D"/>
    <w:rsid w:val="00625678"/>
    <w:rsid w:val="00625EFD"/>
    <w:rsid w:val="00625F79"/>
    <w:rsid w:val="00626329"/>
    <w:rsid w:val="006264B3"/>
    <w:rsid w:val="00626C5B"/>
    <w:rsid w:val="00627FFD"/>
    <w:rsid w:val="00630C4C"/>
    <w:rsid w:val="00631BF7"/>
    <w:rsid w:val="00631F75"/>
    <w:rsid w:val="006325D3"/>
    <w:rsid w:val="00632790"/>
    <w:rsid w:val="00633394"/>
    <w:rsid w:val="006369B9"/>
    <w:rsid w:val="00636A52"/>
    <w:rsid w:val="00637537"/>
    <w:rsid w:val="006405F1"/>
    <w:rsid w:val="00642DB1"/>
    <w:rsid w:val="00643A53"/>
    <w:rsid w:val="00643C21"/>
    <w:rsid w:val="00644528"/>
    <w:rsid w:val="00645474"/>
    <w:rsid w:val="00645AB2"/>
    <w:rsid w:val="00646916"/>
    <w:rsid w:val="0065327F"/>
    <w:rsid w:val="00653C6E"/>
    <w:rsid w:val="006553D2"/>
    <w:rsid w:val="00662239"/>
    <w:rsid w:val="00664E2F"/>
    <w:rsid w:val="00673282"/>
    <w:rsid w:val="00674E82"/>
    <w:rsid w:val="00675CF9"/>
    <w:rsid w:val="006824AA"/>
    <w:rsid w:val="00684A1B"/>
    <w:rsid w:val="006918A0"/>
    <w:rsid w:val="0069202A"/>
    <w:rsid w:val="00692291"/>
    <w:rsid w:val="006925B0"/>
    <w:rsid w:val="00694C3C"/>
    <w:rsid w:val="00694D2B"/>
    <w:rsid w:val="00696DFC"/>
    <w:rsid w:val="00697856"/>
    <w:rsid w:val="00697D2C"/>
    <w:rsid w:val="006A0D7E"/>
    <w:rsid w:val="006A353D"/>
    <w:rsid w:val="006A3A5C"/>
    <w:rsid w:val="006A3F1C"/>
    <w:rsid w:val="006A50EA"/>
    <w:rsid w:val="006A5EAA"/>
    <w:rsid w:val="006A6220"/>
    <w:rsid w:val="006A637B"/>
    <w:rsid w:val="006A6495"/>
    <w:rsid w:val="006A6B41"/>
    <w:rsid w:val="006B07B2"/>
    <w:rsid w:val="006B2C6C"/>
    <w:rsid w:val="006B30EB"/>
    <w:rsid w:val="006B484C"/>
    <w:rsid w:val="006B4915"/>
    <w:rsid w:val="006B7D75"/>
    <w:rsid w:val="006C0492"/>
    <w:rsid w:val="006C18AE"/>
    <w:rsid w:val="006C1A4D"/>
    <w:rsid w:val="006C2404"/>
    <w:rsid w:val="006C25A4"/>
    <w:rsid w:val="006C3ED7"/>
    <w:rsid w:val="006C4251"/>
    <w:rsid w:val="006C47D2"/>
    <w:rsid w:val="006C589D"/>
    <w:rsid w:val="006C658A"/>
    <w:rsid w:val="006C6999"/>
    <w:rsid w:val="006C6D41"/>
    <w:rsid w:val="006C73F1"/>
    <w:rsid w:val="006C7DD8"/>
    <w:rsid w:val="006D20E8"/>
    <w:rsid w:val="006D31F4"/>
    <w:rsid w:val="006D3585"/>
    <w:rsid w:val="006D40C6"/>
    <w:rsid w:val="006D4668"/>
    <w:rsid w:val="006D4AFF"/>
    <w:rsid w:val="006D4BB9"/>
    <w:rsid w:val="006D60B4"/>
    <w:rsid w:val="006D6843"/>
    <w:rsid w:val="006D7C55"/>
    <w:rsid w:val="006E07DD"/>
    <w:rsid w:val="006E22D1"/>
    <w:rsid w:val="006E300D"/>
    <w:rsid w:val="006E3D9F"/>
    <w:rsid w:val="006E525A"/>
    <w:rsid w:val="006E6254"/>
    <w:rsid w:val="006E75E5"/>
    <w:rsid w:val="006F0525"/>
    <w:rsid w:val="006F118A"/>
    <w:rsid w:val="006F1319"/>
    <w:rsid w:val="006F1BC2"/>
    <w:rsid w:val="006F45AE"/>
    <w:rsid w:val="006F4964"/>
    <w:rsid w:val="006F50F1"/>
    <w:rsid w:val="006F5EA1"/>
    <w:rsid w:val="006F6D78"/>
    <w:rsid w:val="006F7424"/>
    <w:rsid w:val="00700AEC"/>
    <w:rsid w:val="0070246B"/>
    <w:rsid w:val="00702E81"/>
    <w:rsid w:val="00703A53"/>
    <w:rsid w:val="00704360"/>
    <w:rsid w:val="0070465C"/>
    <w:rsid w:val="00705E0F"/>
    <w:rsid w:val="00706B35"/>
    <w:rsid w:val="00707351"/>
    <w:rsid w:val="0070795E"/>
    <w:rsid w:val="00707AF9"/>
    <w:rsid w:val="00707DE5"/>
    <w:rsid w:val="00710CDD"/>
    <w:rsid w:val="007124F9"/>
    <w:rsid w:val="00713AD3"/>
    <w:rsid w:val="00713EF1"/>
    <w:rsid w:val="0071434B"/>
    <w:rsid w:val="00716C31"/>
    <w:rsid w:val="00717656"/>
    <w:rsid w:val="00721206"/>
    <w:rsid w:val="0072396F"/>
    <w:rsid w:val="0072415B"/>
    <w:rsid w:val="00725A90"/>
    <w:rsid w:val="0073191D"/>
    <w:rsid w:val="00732465"/>
    <w:rsid w:val="00733C9C"/>
    <w:rsid w:val="00734360"/>
    <w:rsid w:val="00734C1F"/>
    <w:rsid w:val="00735EFB"/>
    <w:rsid w:val="00736965"/>
    <w:rsid w:val="00736B97"/>
    <w:rsid w:val="00737221"/>
    <w:rsid w:val="00740062"/>
    <w:rsid w:val="00740B7B"/>
    <w:rsid w:val="00741078"/>
    <w:rsid w:val="00741F44"/>
    <w:rsid w:val="00742A2F"/>
    <w:rsid w:val="00742B75"/>
    <w:rsid w:val="007449DB"/>
    <w:rsid w:val="007470E5"/>
    <w:rsid w:val="007479D6"/>
    <w:rsid w:val="00750A3D"/>
    <w:rsid w:val="00751F94"/>
    <w:rsid w:val="007548A6"/>
    <w:rsid w:val="00754F40"/>
    <w:rsid w:val="0075520E"/>
    <w:rsid w:val="007554C9"/>
    <w:rsid w:val="007555E0"/>
    <w:rsid w:val="007565FD"/>
    <w:rsid w:val="00756B20"/>
    <w:rsid w:val="0075748F"/>
    <w:rsid w:val="0075762A"/>
    <w:rsid w:val="00762921"/>
    <w:rsid w:val="00762AD2"/>
    <w:rsid w:val="007632CE"/>
    <w:rsid w:val="0076332B"/>
    <w:rsid w:val="00763C0C"/>
    <w:rsid w:val="00764424"/>
    <w:rsid w:val="0076531C"/>
    <w:rsid w:val="0076566C"/>
    <w:rsid w:val="00765829"/>
    <w:rsid w:val="00767F97"/>
    <w:rsid w:val="00770428"/>
    <w:rsid w:val="00774C3B"/>
    <w:rsid w:val="00775463"/>
    <w:rsid w:val="007764B5"/>
    <w:rsid w:val="0077658D"/>
    <w:rsid w:val="00776E23"/>
    <w:rsid w:val="0077752D"/>
    <w:rsid w:val="00777BCA"/>
    <w:rsid w:val="007806F3"/>
    <w:rsid w:val="007820C9"/>
    <w:rsid w:val="007829B7"/>
    <w:rsid w:val="0078347B"/>
    <w:rsid w:val="00783DBB"/>
    <w:rsid w:val="00784303"/>
    <w:rsid w:val="00784B71"/>
    <w:rsid w:val="00786846"/>
    <w:rsid w:val="00787118"/>
    <w:rsid w:val="0079046E"/>
    <w:rsid w:val="00790939"/>
    <w:rsid w:val="00790E66"/>
    <w:rsid w:val="00791AF5"/>
    <w:rsid w:val="0079237C"/>
    <w:rsid w:val="00792B55"/>
    <w:rsid w:val="00792FD2"/>
    <w:rsid w:val="0079370D"/>
    <w:rsid w:val="00796E37"/>
    <w:rsid w:val="007973F0"/>
    <w:rsid w:val="007A2A04"/>
    <w:rsid w:val="007A2AB5"/>
    <w:rsid w:val="007A3D0E"/>
    <w:rsid w:val="007A4BE2"/>
    <w:rsid w:val="007A6D05"/>
    <w:rsid w:val="007A7E8C"/>
    <w:rsid w:val="007B1828"/>
    <w:rsid w:val="007B236D"/>
    <w:rsid w:val="007B33A1"/>
    <w:rsid w:val="007B403A"/>
    <w:rsid w:val="007B443E"/>
    <w:rsid w:val="007B46F6"/>
    <w:rsid w:val="007B51C6"/>
    <w:rsid w:val="007B61D9"/>
    <w:rsid w:val="007B6445"/>
    <w:rsid w:val="007B6A35"/>
    <w:rsid w:val="007C02F2"/>
    <w:rsid w:val="007C350F"/>
    <w:rsid w:val="007C3B12"/>
    <w:rsid w:val="007C4055"/>
    <w:rsid w:val="007C5FD3"/>
    <w:rsid w:val="007C6618"/>
    <w:rsid w:val="007C71CF"/>
    <w:rsid w:val="007C7279"/>
    <w:rsid w:val="007D3FE3"/>
    <w:rsid w:val="007D45A5"/>
    <w:rsid w:val="007D614E"/>
    <w:rsid w:val="007D68DA"/>
    <w:rsid w:val="007D7530"/>
    <w:rsid w:val="007D79C1"/>
    <w:rsid w:val="007E0BB6"/>
    <w:rsid w:val="007E1D19"/>
    <w:rsid w:val="007E2215"/>
    <w:rsid w:val="007E2C97"/>
    <w:rsid w:val="007E31C5"/>
    <w:rsid w:val="007E3EF3"/>
    <w:rsid w:val="007E74C8"/>
    <w:rsid w:val="007E794B"/>
    <w:rsid w:val="007F0646"/>
    <w:rsid w:val="007F068D"/>
    <w:rsid w:val="007F1188"/>
    <w:rsid w:val="007F1965"/>
    <w:rsid w:val="007F28D6"/>
    <w:rsid w:val="007F3002"/>
    <w:rsid w:val="007F44F9"/>
    <w:rsid w:val="007F4BB4"/>
    <w:rsid w:val="007F58FE"/>
    <w:rsid w:val="007F5A07"/>
    <w:rsid w:val="007F6E81"/>
    <w:rsid w:val="007F7C74"/>
    <w:rsid w:val="00800897"/>
    <w:rsid w:val="00805E79"/>
    <w:rsid w:val="00806858"/>
    <w:rsid w:val="008068F5"/>
    <w:rsid w:val="00806DE9"/>
    <w:rsid w:val="00807119"/>
    <w:rsid w:val="00807581"/>
    <w:rsid w:val="0081083B"/>
    <w:rsid w:val="00810B10"/>
    <w:rsid w:val="00810DD8"/>
    <w:rsid w:val="0081257C"/>
    <w:rsid w:val="00814394"/>
    <w:rsid w:val="008153DB"/>
    <w:rsid w:val="00815B7A"/>
    <w:rsid w:val="00816116"/>
    <w:rsid w:val="0081629B"/>
    <w:rsid w:val="00817706"/>
    <w:rsid w:val="00820929"/>
    <w:rsid w:val="00821042"/>
    <w:rsid w:val="008221AA"/>
    <w:rsid w:val="00822586"/>
    <w:rsid w:val="00822807"/>
    <w:rsid w:val="00822DC8"/>
    <w:rsid w:val="008242A6"/>
    <w:rsid w:val="00826351"/>
    <w:rsid w:val="008263AA"/>
    <w:rsid w:val="0082788E"/>
    <w:rsid w:val="00827E5B"/>
    <w:rsid w:val="00827E6B"/>
    <w:rsid w:val="00827E95"/>
    <w:rsid w:val="00830430"/>
    <w:rsid w:val="0083448C"/>
    <w:rsid w:val="008365E0"/>
    <w:rsid w:val="00837ED0"/>
    <w:rsid w:val="00837F18"/>
    <w:rsid w:val="008410ED"/>
    <w:rsid w:val="00841693"/>
    <w:rsid w:val="0084356F"/>
    <w:rsid w:val="00845198"/>
    <w:rsid w:val="00847BCF"/>
    <w:rsid w:val="00847D0F"/>
    <w:rsid w:val="00850360"/>
    <w:rsid w:val="00850C43"/>
    <w:rsid w:val="00852410"/>
    <w:rsid w:val="00853D21"/>
    <w:rsid w:val="00853D6E"/>
    <w:rsid w:val="00854220"/>
    <w:rsid w:val="00854E26"/>
    <w:rsid w:val="00855197"/>
    <w:rsid w:val="008557D2"/>
    <w:rsid w:val="008602F4"/>
    <w:rsid w:val="00861199"/>
    <w:rsid w:val="00863695"/>
    <w:rsid w:val="00864764"/>
    <w:rsid w:val="00864AA7"/>
    <w:rsid w:val="00865196"/>
    <w:rsid w:val="00866890"/>
    <w:rsid w:val="00870FAB"/>
    <w:rsid w:val="0087191C"/>
    <w:rsid w:val="00871D98"/>
    <w:rsid w:val="00872689"/>
    <w:rsid w:val="008734AB"/>
    <w:rsid w:val="0087367E"/>
    <w:rsid w:val="008744F1"/>
    <w:rsid w:val="008759D8"/>
    <w:rsid w:val="00875B0E"/>
    <w:rsid w:val="00876809"/>
    <w:rsid w:val="00876E2A"/>
    <w:rsid w:val="00876E96"/>
    <w:rsid w:val="00876F09"/>
    <w:rsid w:val="00876F94"/>
    <w:rsid w:val="00881232"/>
    <w:rsid w:val="00882AC5"/>
    <w:rsid w:val="00882FD3"/>
    <w:rsid w:val="00883050"/>
    <w:rsid w:val="008831A5"/>
    <w:rsid w:val="00883560"/>
    <w:rsid w:val="00883B0F"/>
    <w:rsid w:val="00884BD0"/>
    <w:rsid w:val="0088571C"/>
    <w:rsid w:val="0088613B"/>
    <w:rsid w:val="008863E1"/>
    <w:rsid w:val="00886DB5"/>
    <w:rsid w:val="00886E98"/>
    <w:rsid w:val="008873EB"/>
    <w:rsid w:val="00887D8B"/>
    <w:rsid w:val="00890F3C"/>
    <w:rsid w:val="00891B73"/>
    <w:rsid w:val="0089284B"/>
    <w:rsid w:val="00893B87"/>
    <w:rsid w:val="0089557D"/>
    <w:rsid w:val="008A042F"/>
    <w:rsid w:val="008A07CA"/>
    <w:rsid w:val="008A13A0"/>
    <w:rsid w:val="008A383F"/>
    <w:rsid w:val="008A4152"/>
    <w:rsid w:val="008A4BC5"/>
    <w:rsid w:val="008A5BFE"/>
    <w:rsid w:val="008A71F0"/>
    <w:rsid w:val="008A7E03"/>
    <w:rsid w:val="008B162A"/>
    <w:rsid w:val="008B5186"/>
    <w:rsid w:val="008B5C36"/>
    <w:rsid w:val="008C354F"/>
    <w:rsid w:val="008C56AA"/>
    <w:rsid w:val="008C64F2"/>
    <w:rsid w:val="008D052F"/>
    <w:rsid w:val="008D131F"/>
    <w:rsid w:val="008D23F2"/>
    <w:rsid w:val="008D2EED"/>
    <w:rsid w:val="008D3810"/>
    <w:rsid w:val="008D3BBD"/>
    <w:rsid w:val="008D7B85"/>
    <w:rsid w:val="008E1541"/>
    <w:rsid w:val="008E34BF"/>
    <w:rsid w:val="008E5BC1"/>
    <w:rsid w:val="008F074B"/>
    <w:rsid w:val="008F0CA9"/>
    <w:rsid w:val="008F1810"/>
    <w:rsid w:val="008F3A55"/>
    <w:rsid w:val="008F51EB"/>
    <w:rsid w:val="008F53FB"/>
    <w:rsid w:val="008F5449"/>
    <w:rsid w:val="008F7652"/>
    <w:rsid w:val="008F789A"/>
    <w:rsid w:val="00900924"/>
    <w:rsid w:val="00900B6E"/>
    <w:rsid w:val="009010B8"/>
    <w:rsid w:val="0090501E"/>
    <w:rsid w:val="00905EC5"/>
    <w:rsid w:val="009063B6"/>
    <w:rsid w:val="00907082"/>
    <w:rsid w:val="00910A44"/>
    <w:rsid w:val="00915214"/>
    <w:rsid w:val="009152A9"/>
    <w:rsid w:val="00916A46"/>
    <w:rsid w:val="00921409"/>
    <w:rsid w:val="00922369"/>
    <w:rsid w:val="00922DFF"/>
    <w:rsid w:val="0092511F"/>
    <w:rsid w:val="009252E3"/>
    <w:rsid w:val="009258E2"/>
    <w:rsid w:val="009263C5"/>
    <w:rsid w:val="009305C8"/>
    <w:rsid w:val="00931281"/>
    <w:rsid w:val="0093192B"/>
    <w:rsid w:val="00932101"/>
    <w:rsid w:val="00932907"/>
    <w:rsid w:val="009352B9"/>
    <w:rsid w:val="00935CE5"/>
    <w:rsid w:val="0093676D"/>
    <w:rsid w:val="0094056B"/>
    <w:rsid w:val="00941452"/>
    <w:rsid w:val="00942581"/>
    <w:rsid w:val="00942803"/>
    <w:rsid w:val="00943BF8"/>
    <w:rsid w:val="00943C67"/>
    <w:rsid w:val="00943F64"/>
    <w:rsid w:val="009446D4"/>
    <w:rsid w:val="00946226"/>
    <w:rsid w:val="009479A0"/>
    <w:rsid w:val="009500DB"/>
    <w:rsid w:val="00950620"/>
    <w:rsid w:val="009543F4"/>
    <w:rsid w:val="00954648"/>
    <w:rsid w:val="00955D79"/>
    <w:rsid w:val="00957702"/>
    <w:rsid w:val="0096086D"/>
    <w:rsid w:val="009613C7"/>
    <w:rsid w:val="0096203A"/>
    <w:rsid w:val="009620C0"/>
    <w:rsid w:val="00962E82"/>
    <w:rsid w:val="009632F1"/>
    <w:rsid w:val="00963B8F"/>
    <w:rsid w:val="00964F71"/>
    <w:rsid w:val="009653B0"/>
    <w:rsid w:val="0096596C"/>
    <w:rsid w:val="00966507"/>
    <w:rsid w:val="00966FB0"/>
    <w:rsid w:val="00966FE5"/>
    <w:rsid w:val="009700B3"/>
    <w:rsid w:val="00971CF1"/>
    <w:rsid w:val="0097483C"/>
    <w:rsid w:val="0097525B"/>
    <w:rsid w:val="00976480"/>
    <w:rsid w:val="00980555"/>
    <w:rsid w:val="00980FDA"/>
    <w:rsid w:val="00981C71"/>
    <w:rsid w:val="009833C8"/>
    <w:rsid w:val="0098376D"/>
    <w:rsid w:val="0098518E"/>
    <w:rsid w:val="00987380"/>
    <w:rsid w:val="009877D7"/>
    <w:rsid w:val="009916B2"/>
    <w:rsid w:val="00991BA3"/>
    <w:rsid w:val="009937A1"/>
    <w:rsid w:val="00994A2E"/>
    <w:rsid w:val="009966EF"/>
    <w:rsid w:val="009975AA"/>
    <w:rsid w:val="00997BE2"/>
    <w:rsid w:val="009A0733"/>
    <w:rsid w:val="009A37F3"/>
    <w:rsid w:val="009A4474"/>
    <w:rsid w:val="009A4D1D"/>
    <w:rsid w:val="009A5410"/>
    <w:rsid w:val="009A5FF2"/>
    <w:rsid w:val="009A6A8A"/>
    <w:rsid w:val="009A6D7D"/>
    <w:rsid w:val="009A6F9F"/>
    <w:rsid w:val="009B01F3"/>
    <w:rsid w:val="009B0528"/>
    <w:rsid w:val="009B0985"/>
    <w:rsid w:val="009B0B3B"/>
    <w:rsid w:val="009B2E8C"/>
    <w:rsid w:val="009B43B3"/>
    <w:rsid w:val="009B5191"/>
    <w:rsid w:val="009B54BF"/>
    <w:rsid w:val="009B6A96"/>
    <w:rsid w:val="009B70A3"/>
    <w:rsid w:val="009B7E30"/>
    <w:rsid w:val="009C069F"/>
    <w:rsid w:val="009C2C38"/>
    <w:rsid w:val="009C3E5C"/>
    <w:rsid w:val="009C4AE7"/>
    <w:rsid w:val="009C5E9B"/>
    <w:rsid w:val="009C6283"/>
    <w:rsid w:val="009C79E3"/>
    <w:rsid w:val="009C7A7E"/>
    <w:rsid w:val="009D0BE3"/>
    <w:rsid w:val="009D311C"/>
    <w:rsid w:val="009D46AE"/>
    <w:rsid w:val="009D4C55"/>
    <w:rsid w:val="009D5858"/>
    <w:rsid w:val="009D7DE6"/>
    <w:rsid w:val="009E103D"/>
    <w:rsid w:val="009E49BD"/>
    <w:rsid w:val="009E5ABF"/>
    <w:rsid w:val="009E653A"/>
    <w:rsid w:val="009E7B78"/>
    <w:rsid w:val="009E7CDC"/>
    <w:rsid w:val="009E7D5B"/>
    <w:rsid w:val="009F0932"/>
    <w:rsid w:val="009F35E6"/>
    <w:rsid w:val="009F4421"/>
    <w:rsid w:val="009F4FCB"/>
    <w:rsid w:val="009F6632"/>
    <w:rsid w:val="00A00A80"/>
    <w:rsid w:val="00A01384"/>
    <w:rsid w:val="00A03E28"/>
    <w:rsid w:val="00A047DD"/>
    <w:rsid w:val="00A04E26"/>
    <w:rsid w:val="00A0773A"/>
    <w:rsid w:val="00A118DB"/>
    <w:rsid w:val="00A1211F"/>
    <w:rsid w:val="00A142FB"/>
    <w:rsid w:val="00A15E47"/>
    <w:rsid w:val="00A22A79"/>
    <w:rsid w:val="00A23F81"/>
    <w:rsid w:val="00A24041"/>
    <w:rsid w:val="00A25795"/>
    <w:rsid w:val="00A277B2"/>
    <w:rsid w:val="00A305BE"/>
    <w:rsid w:val="00A31D91"/>
    <w:rsid w:val="00A32C8D"/>
    <w:rsid w:val="00A339FE"/>
    <w:rsid w:val="00A348CE"/>
    <w:rsid w:val="00A35AF2"/>
    <w:rsid w:val="00A35B97"/>
    <w:rsid w:val="00A36A47"/>
    <w:rsid w:val="00A422A2"/>
    <w:rsid w:val="00A426D2"/>
    <w:rsid w:val="00A448BB"/>
    <w:rsid w:val="00A45EE6"/>
    <w:rsid w:val="00A5171A"/>
    <w:rsid w:val="00A52EEA"/>
    <w:rsid w:val="00A5356D"/>
    <w:rsid w:val="00A54C01"/>
    <w:rsid w:val="00A54F1B"/>
    <w:rsid w:val="00A579D5"/>
    <w:rsid w:val="00A6031C"/>
    <w:rsid w:val="00A61BD5"/>
    <w:rsid w:val="00A6220F"/>
    <w:rsid w:val="00A6266E"/>
    <w:rsid w:val="00A626A3"/>
    <w:rsid w:val="00A63C77"/>
    <w:rsid w:val="00A64BDB"/>
    <w:rsid w:val="00A65D75"/>
    <w:rsid w:val="00A660EF"/>
    <w:rsid w:val="00A679E4"/>
    <w:rsid w:val="00A721A0"/>
    <w:rsid w:val="00A73789"/>
    <w:rsid w:val="00A74EA3"/>
    <w:rsid w:val="00A754E1"/>
    <w:rsid w:val="00A7742F"/>
    <w:rsid w:val="00A807B5"/>
    <w:rsid w:val="00A81756"/>
    <w:rsid w:val="00A82314"/>
    <w:rsid w:val="00A8259E"/>
    <w:rsid w:val="00A8448A"/>
    <w:rsid w:val="00A849BF"/>
    <w:rsid w:val="00A86E84"/>
    <w:rsid w:val="00A90BF4"/>
    <w:rsid w:val="00A90D82"/>
    <w:rsid w:val="00A94268"/>
    <w:rsid w:val="00A94E7A"/>
    <w:rsid w:val="00A9795C"/>
    <w:rsid w:val="00AA3397"/>
    <w:rsid w:val="00AA3580"/>
    <w:rsid w:val="00AA3967"/>
    <w:rsid w:val="00AA4EDB"/>
    <w:rsid w:val="00AA5774"/>
    <w:rsid w:val="00AA6732"/>
    <w:rsid w:val="00AA7052"/>
    <w:rsid w:val="00AB28F6"/>
    <w:rsid w:val="00AB41F6"/>
    <w:rsid w:val="00AB477E"/>
    <w:rsid w:val="00AB565B"/>
    <w:rsid w:val="00AB6D00"/>
    <w:rsid w:val="00AB7B85"/>
    <w:rsid w:val="00AC0779"/>
    <w:rsid w:val="00AC094F"/>
    <w:rsid w:val="00AC2425"/>
    <w:rsid w:val="00AC466E"/>
    <w:rsid w:val="00AC4736"/>
    <w:rsid w:val="00AC58DF"/>
    <w:rsid w:val="00AC7B48"/>
    <w:rsid w:val="00AC7B95"/>
    <w:rsid w:val="00AD2512"/>
    <w:rsid w:val="00AD2766"/>
    <w:rsid w:val="00AD29CD"/>
    <w:rsid w:val="00AD361A"/>
    <w:rsid w:val="00AD418D"/>
    <w:rsid w:val="00AD440C"/>
    <w:rsid w:val="00AD585F"/>
    <w:rsid w:val="00AD65BA"/>
    <w:rsid w:val="00AD68A8"/>
    <w:rsid w:val="00AE03E8"/>
    <w:rsid w:val="00AE2116"/>
    <w:rsid w:val="00AE633B"/>
    <w:rsid w:val="00AE790D"/>
    <w:rsid w:val="00AF33E4"/>
    <w:rsid w:val="00AF369D"/>
    <w:rsid w:val="00AF4966"/>
    <w:rsid w:val="00AF4AA4"/>
    <w:rsid w:val="00AF6FC4"/>
    <w:rsid w:val="00B06328"/>
    <w:rsid w:val="00B06C09"/>
    <w:rsid w:val="00B06D8D"/>
    <w:rsid w:val="00B07AC3"/>
    <w:rsid w:val="00B10DFF"/>
    <w:rsid w:val="00B1384B"/>
    <w:rsid w:val="00B13CD6"/>
    <w:rsid w:val="00B15DC8"/>
    <w:rsid w:val="00B17308"/>
    <w:rsid w:val="00B2035C"/>
    <w:rsid w:val="00B215E5"/>
    <w:rsid w:val="00B22ED0"/>
    <w:rsid w:val="00B240B0"/>
    <w:rsid w:val="00B243DC"/>
    <w:rsid w:val="00B25A2F"/>
    <w:rsid w:val="00B25CEA"/>
    <w:rsid w:val="00B27169"/>
    <w:rsid w:val="00B27607"/>
    <w:rsid w:val="00B30992"/>
    <w:rsid w:val="00B32296"/>
    <w:rsid w:val="00B37320"/>
    <w:rsid w:val="00B41D3A"/>
    <w:rsid w:val="00B41F51"/>
    <w:rsid w:val="00B436D2"/>
    <w:rsid w:val="00B43E51"/>
    <w:rsid w:val="00B461F9"/>
    <w:rsid w:val="00B46343"/>
    <w:rsid w:val="00B475AE"/>
    <w:rsid w:val="00B47D17"/>
    <w:rsid w:val="00B50AD6"/>
    <w:rsid w:val="00B51C6D"/>
    <w:rsid w:val="00B53A14"/>
    <w:rsid w:val="00B53BB5"/>
    <w:rsid w:val="00B55DF5"/>
    <w:rsid w:val="00B566D1"/>
    <w:rsid w:val="00B60378"/>
    <w:rsid w:val="00B61D7C"/>
    <w:rsid w:val="00B625F3"/>
    <w:rsid w:val="00B62E5E"/>
    <w:rsid w:val="00B64448"/>
    <w:rsid w:val="00B64EAE"/>
    <w:rsid w:val="00B64EDA"/>
    <w:rsid w:val="00B658EB"/>
    <w:rsid w:val="00B66687"/>
    <w:rsid w:val="00B66EF2"/>
    <w:rsid w:val="00B670A1"/>
    <w:rsid w:val="00B700F2"/>
    <w:rsid w:val="00B7245D"/>
    <w:rsid w:val="00B724C0"/>
    <w:rsid w:val="00B75690"/>
    <w:rsid w:val="00B771A5"/>
    <w:rsid w:val="00B805A0"/>
    <w:rsid w:val="00B80A9F"/>
    <w:rsid w:val="00B813E7"/>
    <w:rsid w:val="00B81417"/>
    <w:rsid w:val="00B831C3"/>
    <w:rsid w:val="00B8697A"/>
    <w:rsid w:val="00B86F1D"/>
    <w:rsid w:val="00B933C2"/>
    <w:rsid w:val="00B949E0"/>
    <w:rsid w:val="00B96BE2"/>
    <w:rsid w:val="00B976F3"/>
    <w:rsid w:val="00B97A89"/>
    <w:rsid w:val="00B97AEC"/>
    <w:rsid w:val="00B97DC3"/>
    <w:rsid w:val="00BA04E7"/>
    <w:rsid w:val="00BA1060"/>
    <w:rsid w:val="00BA15F2"/>
    <w:rsid w:val="00BA22F8"/>
    <w:rsid w:val="00BA27F9"/>
    <w:rsid w:val="00BA281C"/>
    <w:rsid w:val="00BA2960"/>
    <w:rsid w:val="00BA2CBF"/>
    <w:rsid w:val="00BA2D64"/>
    <w:rsid w:val="00BA2F6B"/>
    <w:rsid w:val="00BA41FE"/>
    <w:rsid w:val="00BB054E"/>
    <w:rsid w:val="00BB18B5"/>
    <w:rsid w:val="00BB227F"/>
    <w:rsid w:val="00BB244B"/>
    <w:rsid w:val="00BB2723"/>
    <w:rsid w:val="00BB2AED"/>
    <w:rsid w:val="00BB2F0A"/>
    <w:rsid w:val="00BB4F48"/>
    <w:rsid w:val="00BB5F64"/>
    <w:rsid w:val="00BB60D7"/>
    <w:rsid w:val="00BB7662"/>
    <w:rsid w:val="00BB76FB"/>
    <w:rsid w:val="00BB7C5F"/>
    <w:rsid w:val="00BB7DA1"/>
    <w:rsid w:val="00BC055F"/>
    <w:rsid w:val="00BC0688"/>
    <w:rsid w:val="00BC20DB"/>
    <w:rsid w:val="00BC23F8"/>
    <w:rsid w:val="00BC2CA9"/>
    <w:rsid w:val="00BC770F"/>
    <w:rsid w:val="00BD09CF"/>
    <w:rsid w:val="00BD279B"/>
    <w:rsid w:val="00BD35B2"/>
    <w:rsid w:val="00BD3A1C"/>
    <w:rsid w:val="00BD45AA"/>
    <w:rsid w:val="00BD4BB6"/>
    <w:rsid w:val="00BD4C72"/>
    <w:rsid w:val="00BD4E40"/>
    <w:rsid w:val="00BD6AA3"/>
    <w:rsid w:val="00BD6EDE"/>
    <w:rsid w:val="00BD7AE8"/>
    <w:rsid w:val="00BE1930"/>
    <w:rsid w:val="00BE2314"/>
    <w:rsid w:val="00BE3ACB"/>
    <w:rsid w:val="00BE3BF1"/>
    <w:rsid w:val="00BE6F9A"/>
    <w:rsid w:val="00BE7889"/>
    <w:rsid w:val="00BE79D3"/>
    <w:rsid w:val="00BF0841"/>
    <w:rsid w:val="00BF19C7"/>
    <w:rsid w:val="00BF4B28"/>
    <w:rsid w:val="00C00068"/>
    <w:rsid w:val="00C03148"/>
    <w:rsid w:val="00C03AA4"/>
    <w:rsid w:val="00C040D3"/>
    <w:rsid w:val="00C057C7"/>
    <w:rsid w:val="00C05DB4"/>
    <w:rsid w:val="00C05DF4"/>
    <w:rsid w:val="00C10014"/>
    <w:rsid w:val="00C11386"/>
    <w:rsid w:val="00C11506"/>
    <w:rsid w:val="00C121BF"/>
    <w:rsid w:val="00C1311C"/>
    <w:rsid w:val="00C1323C"/>
    <w:rsid w:val="00C15825"/>
    <w:rsid w:val="00C16C93"/>
    <w:rsid w:val="00C16DD7"/>
    <w:rsid w:val="00C20C4A"/>
    <w:rsid w:val="00C218AC"/>
    <w:rsid w:val="00C21F37"/>
    <w:rsid w:val="00C23755"/>
    <w:rsid w:val="00C23B92"/>
    <w:rsid w:val="00C23C4B"/>
    <w:rsid w:val="00C242EB"/>
    <w:rsid w:val="00C2534D"/>
    <w:rsid w:val="00C26D63"/>
    <w:rsid w:val="00C26F2D"/>
    <w:rsid w:val="00C33B37"/>
    <w:rsid w:val="00C33DCC"/>
    <w:rsid w:val="00C3514A"/>
    <w:rsid w:val="00C35487"/>
    <w:rsid w:val="00C42598"/>
    <w:rsid w:val="00C42A58"/>
    <w:rsid w:val="00C45CCD"/>
    <w:rsid w:val="00C46CEF"/>
    <w:rsid w:val="00C500C3"/>
    <w:rsid w:val="00C5055D"/>
    <w:rsid w:val="00C50E3F"/>
    <w:rsid w:val="00C51541"/>
    <w:rsid w:val="00C52344"/>
    <w:rsid w:val="00C534AB"/>
    <w:rsid w:val="00C57C51"/>
    <w:rsid w:val="00C607F1"/>
    <w:rsid w:val="00C61126"/>
    <w:rsid w:val="00C61650"/>
    <w:rsid w:val="00C61E67"/>
    <w:rsid w:val="00C624A5"/>
    <w:rsid w:val="00C62CC1"/>
    <w:rsid w:val="00C64373"/>
    <w:rsid w:val="00C64F0F"/>
    <w:rsid w:val="00C70256"/>
    <w:rsid w:val="00C70ADF"/>
    <w:rsid w:val="00C72440"/>
    <w:rsid w:val="00C72D05"/>
    <w:rsid w:val="00C7345B"/>
    <w:rsid w:val="00C7506D"/>
    <w:rsid w:val="00C76B38"/>
    <w:rsid w:val="00C80393"/>
    <w:rsid w:val="00C804DB"/>
    <w:rsid w:val="00C81C20"/>
    <w:rsid w:val="00C82142"/>
    <w:rsid w:val="00C82C59"/>
    <w:rsid w:val="00C84C7A"/>
    <w:rsid w:val="00C862A5"/>
    <w:rsid w:val="00C867CA"/>
    <w:rsid w:val="00C8693E"/>
    <w:rsid w:val="00C869BD"/>
    <w:rsid w:val="00C86DF0"/>
    <w:rsid w:val="00C9028B"/>
    <w:rsid w:val="00C91926"/>
    <w:rsid w:val="00C92B9E"/>
    <w:rsid w:val="00C93408"/>
    <w:rsid w:val="00C93D92"/>
    <w:rsid w:val="00C955E3"/>
    <w:rsid w:val="00C96BCB"/>
    <w:rsid w:val="00C97610"/>
    <w:rsid w:val="00C976BD"/>
    <w:rsid w:val="00CA0260"/>
    <w:rsid w:val="00CA1F8C"/>
    <w:rsid w:val="00CA32A0"/>
    <w:rsid w:val="00CA3A06"/>
    <w:rsid w:val="00CA6693"/>
    <w:rsid w:val="00CA6A18"/>
    <w:rsid w:val="00CA6BB2"/>
    <w:rsid w:val="00CA6CAD"/>
    <w:rsid w:val="00CB5C48"/>
    <w:rsid w:val="00CB718E"/>
    <w:rsid w:val="00CB74F4"/>
    <w:rsid w:val="00CB7879"/>
    <w:rsid w:val="00CC008E"/>
    <w:rsid w:val="00CC165B"/>
    <w:rsid w:val="00CC3BAE"/>
    <w:rsid w:val="00CC4B75"/>
    <w:rsid w:val="00CC5A66"/>
    <w:rsid w:val="00CC5EBA"/>
    <w:rsid w:val="00CC602B"/>
    <w:rsid w:val="00CC631A"/>
    <w:rsid w:val="00CC7AAF"/>
    <w:rsid w:val="00CC7D5C"/>
    <w:rsid w:val="00CC7F1C"/>
    <w:rsid w:val="00CD0BD3"/>
    <w:rsid w:val="00CD17A4"/>
    <w:rsid w:val="00CD2A5B"/>
    <w:rsid w:val="00CD31FB"/>
    <w:rsid w:val="00CD327A"/>
    <w:rsid w:val="00CD36E2"/>
    <w:rsid w:val="00CD3853"/>
    <w:rsid w:val="00CD3996"/>
    <w:rsid w:val="00CD3E17"/>
    <w:rsid w:val="00CD5A1A"/>
    <w:rsid w:val="00CD5BC0"/>
    <w:rsid w:val="00CD688C"/>
    <w:rsid w:val="00CE4638"/>
    <w:rsid w:val="00CE4A52"/>
    <w:rsid w:val="00CE75AB"/>
    <w:rsid w:val="00CF08BA"/>
    <w:rsid w:val="00CF1825"/>
    <w:rsid w:val="00CF1AB5"/>
    <w:rsid w:val="00CF1FBC"/>
    <w:rsid w:val="00CF4E75"/>
    <w:rsid w:val="00CF6853"/>
    <w:rsid w:val="00CF70C1"/>
    <w:rsid w:val="00D0025A"/>
    <w:rsid w:val="00D00E96"/>
    <w:rsid w:val="00D01406"/>
    <w:rsid w:val="00D037AC"/>
    <w:rsid w:val="00D045F6"/>
    <w:rsid w:val="00D04ED8"/>
    <w:rsid w:val="00D052FC"/>
    <w:rsid w:val="00D05A2D"/>
    <w:rsid w:val="00D068C8"/>
    <w:rsid w:val="00D068F4"/>
    <w:rsid w:val="00D06F02"/>
    <w:rsid w:val="00D07237"/>
    <w:rsid w:val="00D07545"/>
    <w:rsid w:val="00D07716"/>
    <w:rsid w:val="00D13DAC"/>
    <w:rsid w:val="00D15974"/>
    <w:rsid w:val="00D16064"/>
    <w:rsid w:val="00D214FB"/>
    <w:rsid w:val="00D2247F"/>
    <w:rsid w:val="00D24564"/>
    <w:rsid w:val="00D3050C"/>
    <w:rsid w:val="00D31414"/>
    <w:rsid w:val="00D321E6"/>
    <w:rsid w:val="00D33B6C"/>
    <w:rsid w:val="00D36361"/>
    <w:rsid w:val="00D37560"/>
    <w:rsid w:val="00D422EC"/>
    <w:rsid w:val="00D43610"/>
    <w:rsid w:val="00D43C5F"/>
    <w:rsid w:val="00D45639"/>
    <w:rsid w:val="00D45E36"/>
    <w:rsid w:val="00D46744"/>
    <w:rsid w:val="00D469DB"/>
    <w:rsid w:val="00D47396"/>
    <w:rsid w:val="00D508A0"/>
    <w:rsid w:val="00D512D9"/>
    <w:rsid w:val="00D5246F"/>
    <w:rsid w:val="00D53835"/>
    <w:rsid w:val="00D552A5"/>
    <w:rsid w:val="00D608B1"/>
    <w:rsid w:val="00D6164A"/>
    <w:rsid w:val="00D617DF"/>
    <w:rsid w:val="00D6242A"/>
    <w:rsid w:val="00D63E90"/>
    <w:rsid w:val="00D64CB7"/>
    <w:rsid w:val="00D653D6"/>
    <w:rsid w:val="00D65685"/>
    <w:rsid w:val="00D656EC"/>
    <w:rsid w:val="00D659B5"/>
    <w:rsid w:val="00D66D24"/>
    <w:rsid w:val="00D67B0A"/>
    <w:rsid w:val="00D67ED5"/>
    <w:rsid w:val="00D705AF"/>
    <w:rsid w:val="00D7559E"/>
    <w:rsid w:val="00D756D9"/>
    <w:rsid w:val="00D757E3"/>
    <w:rsid w:val="00D75E20"/>
    <w:rsid w:val="00D75EBD"/>
    <w:rsid w:val="00D76724"/>
    <w:rsid w:val="00D77ACE"/>
    <w:rsid w:val="00D80FA2"/>
    <w:rsid w:val="00D81954"/>
    <w:rsid w:val="00D82C54"/>
    <w:rsid w:val="00D830F4"/>
    <w:rsid w:val="00D8420D"/>
    <w:rsid w:val="00D848C9"/>
    <w:rsid w:val="00D86498"/>
    <w:rsid w:val="00D922A0"/>
    <w:rsid w:val="00D924FE"/>
    <w:rsid w:val="00D969CC"/>
    <w:rsid w:val="00DA0822"/>
    <w:rsid w:val="00DA14B1"/>
    <w:rsid w:val="00DA2749"/>
    <w:rsid w:val="00DA2864"/>
    <w:rsid w:val="00DA4158"/>
    <w:rsid w:val="00DA4664"/>
    <w:rsid w:val="00DA489D"/>
    <w:rsid w:val="00DA6823"/>
    <w:rsid w:val="00DB1621"/>
    <w:rsid w:val="00DB18EB"/>
    <w:rsid w:val="00DB1F26"/>
    <w:rsid w:val="00DB25B6"/>
    <w:rsid w:val="00DB2B1E"/>
    <w:rsid w:val="00DB3B98"/>
    <w:rsid w:val="00DB535B"/>
    <w:rsid w:val="00DB603B"/>
    <w:rsid w:val="00DB7E1B"/>
    <w:rsid w:val="00DC0518"/>
    <w:rsid w:val="00DC1263"/>
    <w:rsid w:val="00DC13B2"/>
    <w:rsid w:val="00DC2521"/>
    <w:rsid w:val="00DC6281"/>
    <w:rsid w:val="00DD01F7"/>
    <w:rsid w:val="00DD0718"/>
    <w:rsid w:val="00DD13C8"/>
    <w:rsid w:val="00DD28B9"/>
    <w:rsid w:val="00DD499D"/>
    <w:rsid w:val="00DD4ED5"/>
    <w:rsid w:val="00DD5464"/>
    <w:rsid w:val="00DD5DF0"/>
    <w:rsid w:val="00DD705B"/>
    <w:rsid w:val="00DE1042"/>
    <w:rsid w:val="00DE17B9"/>
    <w:rsid w:val="00DE1F7F"/>
    <w:rsid w:val="00DE2573"/>
    <w:rsid w:val="00DE3545"/>
    <w:rsid w:val="00DE3DDF"/>
    <w:rsid w:val="00DE3EEE"/>
    <w:rsid w:val="00DE4081"/>
    <w:rsid w:val="00DE6930"/>
    <w:rsid w:val="00DE77F7"/>
    <w:rsid w:val="00DF03E9"/>
    <w:rsid w:val="00DF0EB9"/>
    <w:rsid w:val="00DF12E9"/>
    <w:rsid w:val="00DF221D"/>
    <w:rsid w:val="00DF3A99"/>
    <w:rsid w:val="00DF4604"/>
    <w:rsid w:val="00DF4BBD"/>
    <w:rsid w:val="00DF4BD8"/>
    <w:rsid w:val="00DF5292"/>
    <w:rsid w:val="00DF5C6F"/>
    <w:rsid w:val="00DF758A"/>
    <w:rsid w:val="00E01226"/>
    <w:rsid w:val="00E032F9"/>
    <w:rsid w:val="00E03BC2"/>
    <w:rsid w:val="00E0436A"/>
    <w:rsid w:val="00E077E0"/>
    <w:rsid w:val="00E07A71"/>
    <w:rsid w:val="00E10B4D"/>
    <w:rsid w:val="00E21D24"/>
    <w:rsid w:val="00E23003"/>
    <w:rsid w:val="00E230D3"/>
    <w:rsid w:val="00E231D9"/>
    <w:rsid w:val="00E2534D"/>
    <w:rsid w:val="00E25389"/>
    <w:rsid w:val="00E253F1"/>
    <w:rsid w:val="00E26D9A"/>
    <w:rsid w:val="00E303B0"/>
    <w:rsid w:val="00E30E56"/>
    <w:rsid w:val="00E325ED"/>
    <w:rsid w:val="00E37A71"/>
    <w:rsid w:val="00E43FEC"/>
    <w:rsid w:val="00E4644E"/>
    <w:rsid w:val="00E46BE4"/>
    <w:rsid w:val="00E46C2D"/>
    <w:rsid w:val="00E47072"/>
    <w:rsid w:val="00E51178"/>
    <w:rsid w:val="00E5208D"/>
    <w:rsid w:val="00E5397B"/>
    <w:rsid w:val="00E53AF3"/>
    <w:rsid w:val="00E54097"/>
    <w:rsid w:val="00E543DA"/>
    <w:rsid w:val="00E55026"/>
    <w:rsid w:val="00E55BAC"/>
    <w:rsid w:val="00E55EA9"/>
    <w:rsid w:val="00E565E8"/>
    <w:rsid w:val="00E60C2A"/>
    <w:rsid w:val="00E61716"/>
    <w:rsid w:val="00E618CA"/>
    <w:rsid w:val="00E61909"/>
    <w:rsid w:val="00E62727"/>
    <w:rsid w:val="00E62D5C"/>
    <w:rsid w:val="00E63415"/>
    <w:rsid w:val="00E63A19"/>
    <w:rsid w:val="00E63B8C"/>
    <w:rsid w:val="00E6785E"/>
    <w:rsid w:val="00E714F3"/>
    <w:rsid w:val="00E7197E"/>
    <w:rsid w:val="00E72031"/>
    <w:rsid w:val="00E72599"/>
    <w:rsid w:val="00E72FFD"/>
    <w:rsid w:val="00E73066"/>
    <w:rsid w:val="00E76570"/>
    <w:rsid w:val="00E76BA3"/>
    <w:rsid w:val="00E80B73"/>
    <w:rsid w:val="00E80B77"/>
    <w:rsid w:val="00E82634"/>
    <w:rsid w:val="00E84CB0"/>
    <w:rsid w:val="00E8626D"/>
    <w:rsid w:val="00E87491"/>
    <w:rsid w:val="00E90458"/>
    <w:rsid w:val="00E9140D"/>
    <w:rsid w:val="00E91755"/>
    <w:rsid w:val="00E925AC"/>
    <w:rsid w:val="00E9367F"/>
    <w:rsid w:val="00E941B8"/>
    <w:rsid w:val="00E94D61"/>
    <w:rsid w:val="00E96EDE"/>
    <w:rsid w:val="00EA0136"/>
    <w:rsid w:val="00EA0434"/>
    <w:rsid w:val="00EA09C0"/>
    <w:rsid w:val="00EA0DC0"/>
    <w:rsid w:val="00EA2830"/>
    <w:rsid w:val="00EA3D8C"/>
    <w:rsid w:val="00EA63B9"/>
    <w:rsid w:val="00EA71C9"/>
    <w:rsid w:val="00EA7CB5"/>
    <w:rsid w:val="00EB0804"/>
    <w:rsid w:val="00EB08B4"/>
    <w:rsid w:val="00EB0FCA"/>
    <w:rsid w:val="00EB20F7"/>
    <w:rsid w:val="00EB4F44"/>
    <w:rsid w:val="00EC1110"/>
    <w:rsid w:val="00EC29FE"/>
    <w:rsid w:val="00EC32D7"/>
    <w:rsid w:val="00EC3390"/>
    <w:rsid w:val="00EC62C5"/>
    <w:rsid w:val="00EC727D"/>
    <w:rsid w:val="00ED006F"/>
    <w:rsid w:val="00ED1BC2"/>
    <w:rsid w:val="00ED2700"/>
    <w:rsid w:val="00ED3D51"/>
    <w:rsid w:val="00ED58B7"/>
    <w:rsid w:val="00ED5F00"/>
    <w:rsid w:val="00ED626C"/>
    <w:rsid w:val="00ED7066"/>
    <w:rsid w:val="00ED7D97"/>
    <w:rsid w:val="00EE09E9"/>
    <w:rsid w:val="00EE1DC9"/>
    <w:rsid w:val="00EE3B21"/>
    <w:rsid w:val="00EE427E"/>
    <w:rsid w:val="00EE4B8D"/>
    <w:rsid w:val="00EE5049"/>
    <w:rsid w:val="00EE6027"/>
    <w:rsid w:val="00EE70E9"/>
    <w:rsid w:val="00EE7F6E"/>
    <w:rsid w:val="00EF0ADB"/>
    <w:rsid w:val="00EF3919"/>
    <w:rsid w:val="00EF3DFB"/>
    <w:rsid w:val="00EF42C6"/>
    <w:rsid w:val="00EF5046"/>
    <w:rsid w:val="00EF713A"/>
    <w:rsid w:val="00EF7B1F"/>
    <w:rsid w:val="00F000A1"/>
    <w:rsid w:val="00F00C90"/>
    <w:rsid w:val="00F023B4"/>
    <w:rsid w:val="00F0344C"/>
    <w:rsid w:val="00F03885"/>
    <w:rsid w:val="00F03A06"/>
    <w:rsid w:val="00F054D8"/>
    <w:rsid w:val="00F06891"/>
    <w:rsid w:val="00F06F41"/>
    <w:rsid w:val="00F071BB"/>
    <w:rsid w:val="00F07344"/>
    <w:rsid w:val="00F07C26"/>
    <w:rsid w:val="00F07E00"/>
    <w:rsid w:val="00F112BC"/>
    <w:rsid w:val="00F11D47"/>
    <w:rsid w:val="00F120EB"/>
    <w:rsid w:val="00F125EC"/>
    <w:rsid w:val="00F12D78"/>
    <w:rsid w:val="00F135AC"/>
    <w:rsid w:val="00F13BCB"/>
    <w:rsid w:val="00F13D60"/>
    <w:rsid w:val="00F14C14"/>
    <w:rsid w:val="00F15610"/>
    <w:rsid w:val="00F15CAD"/>
    <w:rsid w:val="00F20E60"/>
    <w:rsid w:val="00F2126F"/>
    <w:rsid w:val="00F218E9"/>
    <w:rsid w:val="00F21D7E"/>
    <w:rsid w:val="00F22221"/>
    <w:rsid w:val="00F230BA"/>
    <w:rsid w:val="00F24EBF"/>
    <w:rsid w:val="00F26A24"/>
    <w:rsid w:val="00F26F2B"/>
    <w:rsid w:val="00F30019"/>
    <w:rsid w:val="00F30D09"/>
    <w:rsid w:val="00F31B2C"/>
    <w:rsid w:val="00F32112"/>
    <w:rsid w:val="00F329EE"/>
    <w:rsid w:val="00F32DFB"/>
    <w:rsid w:val="00F34268"/>
    <w:rsid w:val="00F34470"/>
    <w:rsid w:val="00F35BCD"/>
    <w:rsid w:val="00F402C4"/>
    <w:rsid w:val="00F40684"/>
    <w:rsid w:val="00F408B4"/>
    <w:rsid w:val="00F43A1B"/>
    <w:rsid w:val="00F526B1"/>
    <w:rsid w:val="00F5370C"/>
    <w:rsid w:val="00F560BA"/>
    <w:rsid w:val="00F56220"/>
    <w:rsid w:val="00F568A5"/>
    <w:rsid w:val="00F6028F"/>
    <w:rsid w:val="00F604C6"/>
    <w:rsid w:val="00F61175"/>
    <w:rsid w:val="00F6141E"/>
    <w:rsid w:val="00F62CB6"/>
    <w:rsid w:val="00F660DE"/>
    <w:rsid w:val="00F66980"/>
    <w:rsid w:val="00F70B28"/>
    <w:rsid w:val="00F73209"/>
    <w:rsid w:val="00F73743"/>
    <w:rsid w:val="00F7657B"/>
    <w:rsid w:val="00F77011"/>
    <w:rsid w:val="00F80FD3"/>
    <w:rsid w:val="00F8127B"/>
    <w:rsid w:val="00F81311"/>
    <w:rsid w:val="00F81D79"/>
    <w:rsid w:val="00F83EDC"/>
    <w:rsid w:val="00F8782F"/>
    <w:rsid w:val="00F87938"/>
    <w:rsid w:val="00F91342"/>
    <w:rsid w:val="00F91AFC"/>
    <w:rsid w:val="00F92A2F"/>
    <w:rsid w:val="00F92BBB"/>
    <w:rsid w:val="00F932BA"/>
    <w:rsid w:val="00F934AD"/>
    <w:rsid w:val="00F94E06"/>
    <w:rsid w:val="00F95228"/>
    <w:rsid w:val="00F9549E"/>
    <w:rsid w:val="00F963DE"/>
    <w:rsid w:val="00F968A9"/>
    <w:rsid w:val="00FA09A7"/>
    <w:rsid w:val="00FA25C8"/>
    <w:rsid w:val="00FA3BA0"/>
    <w:rsid w:val="00FA3FA0"/>
    <w:rsid w:val="00FA4F8A"/>
    <w:rsid w:val="00FB1518"/>
    <w:rsid w:val="00FB198C"/>
    <w:rsid w:val="00FB2CE7"/>
    <w:rsid w:val="00FB3936"/>
    <w:rsid w:val="00FB56AC"/>
    <w:rsid w:val="00FB7ED5"/>
    <w:rsid w:val="00FC02C3"/>
    <w:rsid w:val="00FC3E5C"/>
    <w:rsid w:val="00FC41CD"/>
    <w:rsid w:val="00FC4C33"/>
    <w:rsid w:val="00FC6D25"/>
    <w:rsid w:val="00FC6EEB"/>
    <w:rsid w:val="00FC7D5D"/>
    <w:rsid w:val="00FD1751"/>
    <w:rsid w:val="00FD2765"/>
    <w:rsid w:val="00FD2E88"/>
    <w:rsid w:val="00FD4FFC"/>
    <w:rsid w:val="00FD5BCD"/>
    <w:rsid w:val="00FD62FF"/>
    <w:rsid w:val="00FE02C5"/>
    <w:rsid w:val="00FE0C2E"/>
    <w:rsid w:val="00FE117F"/>
    <w:rsid w:val="00FE1BD6"/>
    <w:rsid w:val="00FE3A8E"/>
    <w:rsid w:val="00FE440C"/>
    <w:rsid w:val="00FE4CFE"/>
    <w:rsid w:val="00FE500D"/>
    <w:rsid w:val="00FE5467"/>
    <w:rsid w:val="00FE6057"/>
    <w:rsid w:val="00FE60FF"/>
    <w:rsid w:val="00FF018B"/>
    <w:rsid w:val="00FF3AB3"/>
    <w:rsid w:val="00FF3DC9"/>
    <w:rsid w:val="00FF48DD"/>
    <w:rsid w:val="00FF6DCA"/>
    <w:rsid w:val="00FF7E22"/>
  </w:rsids>
  <m:mathPr>
    <m:mathFont m:val="Cambria Math"/>
    <m:brkBin m:val="before"/>
    <m:brkBinSub m:val="--"/>
    <m:smallFrac/>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0c2749"/>
    </o:shapedefaults>
    <o:shapelayout v:ext="edit">
      <o:idmap v:ext="edit" data="1"/>
    </o:shapelayout>
  </w:shapeDefaults>
  <w:decimalSymbol w:val="."/>
  <w:listSeparator w:val=","/>
  <w15:docId w15:val="{E53965AF-598F-4EC0-A5E1-E40D037BBC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iPriority="9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iPriority="99"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99"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5628"/>
    <w:pPr>
      <w:spacing w:before="240" w:after="240" w:line="336" w:lineRule="auto"/>
      <w:jc w:val="both"/>
    </w:pPr>
    <w:rPr>
      <w:rFonts w:ascii="Verdana" w:hAnsi="Verdana"/>
      <w:szCs w:val="24"/>
      <w:lang w:val="es-MX"/>
    </w:rPr>
  </w:style>
  <w:style w:type="paragraph" w:styleId="Ttulo1">
    <w:name w:val="heading 1"/>
    <w:aliases w:val="Título1,1,H1,l1,level 1 heading"/>
    <w:basedOn w:val="Ttulo2"/>
    <w:next w:val="Normal"/>
    <w:link w:val="Ttulo1Car"/>
    <w:qFormat/>
    <w:rsid w:val="00943F64"/>
    <w:pPr>
      <w:numPr>
        <w:ilvl w:val="0"/>
      </w:numPr>
      <w:outlineLvl w:val="0"/>
    </w:pPr>
    <w:rPr>
      <w:sz w:val="40"/>
    </w:rPr>
  </w:style>
  <w:style w:type="paragraph" w:styleId="Ttulo2">
    <w:name w:val="heading 2"/>
    <w:aliases w:val="Titulo 2,KJL:1st Level,2,l2,level 2 heading"/>
    <w:basedOn w:val="Normal"/>
    <w:next w:val="Normal"/>
    <w:link w:val="Ttulo2Car"/>
    <w:qFormat/>
    <w:rsid w:val="00943F64"/>
    <w:pPr>
      <w:keepNext/>
      <w:numPr>
        <w:ilvl w:val="1"/>
        <w:numId w:val="2"/>
      </w:numPr>
      <w:spacing w:before="480"/>
      <w:outlineLvl w:val="1"/>
    </w:pPr>
    <w:rPr>
      <w:rFonts w:cs="Arial"/>
      <w:b/>
      <w:bCs/>
      <w:iCs/>
      <w:color w:val="0C2749" w:themeColor="accent1"/>
      <w:sz w:val="28"/>
      <w:szCs w:val="28"/>
    </w:rPr>
  </w:style>
  <w:style w:type="paragraph" w:styleId="Ttulo3">
    <w:name w:val="heading 3"/>
    <w:basedOn w:val="Normal"/>
    <w:next w:val="Normal"/>
    <w:link w:val="Ttulo3Car"/>
    <w:qFormat/>
    <w:rsid w:val="001B5628"/>
    <w:pPr>
      <w:keepNext/>
      <w:numPr>
        <w:ilvl w:val="2"/>
        <w:numId w:val="2"/>
      </w:numPr>
      <w:spacing w:before="360" w:after="120"/>
      <w:outlineLvl w:val="2"/>
    </w:pPr>
    <w:rPr>
      <w:rFonts w:cs="Arial"/>
      <w:b/>
      <w:bCs/>
      <w:color w:val="0C2749" w:themeColor="accent1"/>
      <w:sz w:val="24"/>
    </w:rPr>
  </w:style>
  <w:style w:type="paragraph" w:styleId="Ttulo4">
    <w:name w:val="heading 4"/>
    <w:basedOn w:val="Normal"/>
    <w:next w:val="Normal"/>
    <w:link w:val="Ttulo4Car"/>
    <w:qFormat/>
    <w:rsid w:val="005702D6"/>
    <w:pPr>
      <w:keepNext/>
      <w:spacing w:before="120" w:after="60"/>
      <w:outlineLvl w:val="3"/>
    </w:pPr>
    <w:rPr>
      <w:b/>
      <w:bCs/>
      <w:i/>
      <w:color w:val="0C2749" w:themeColor="accent1"/>
    </w:rPr>
  </w:style>
  <w:style w:type="paragraph" w:styleId="Ttulo5">
    <w:name w:val="heading 5"/>
    <w:basedOn w:val="Normal"/>
    <w:next w:val="Normal"/>
    <w:link w:val="Ttulo5Car"/>
    <w:uiPriority w:val="99"/>
    <w:qFormat/>
    <w:rsid w:val="00786846"/>
    <w:pPr>
      <w:keepNext/>
      <w:spacing w:after="60"/>
      <w:outlineLvl w:val="4"/>
    </w:pPr>
    <w:rPr>
      <w:bCs/>
      <w:iCs/>
      <w:szCs w:val="26"/>
      <w:u w:val="single"/>
    </w:rPr>
  </w:style>
  <w:style w:type="paragraph" w:styleId="Ttulo6">
    <w:name w:val="heading 6"/>
    <w:basedOn w:val="Normal"/>
    <w:next w:val="Normal"/>
    <w:link w:val="Ttulo6Car"/>
    <w:qFormat/>
    <w:rsid w:val="00786846"/>
    <w:pPr>
      <w:keepNext/>
      <w:keepLines/>
      <w:spacing w:before="200" w:after="0" w:line="360" w:lineRule="auto"/>
      <w:outlineLvl w:val="5"/>
    </w:pPr>
    <w:rPr>
      <w:rFonts w:ascii="Cambria" w:hAnsi="Cambria"/>
      <w:i/>
      <w:iCs/>
      <w:color w:val="243F60"/>
      <w:sz w:val="24"/>
    </w:rPr>
  </w:style>
  <w:style w:type="paragraph" w:styleId="Ttulo7">
    <w:name w:val="heading 7"/>
    <w:basedOn w:val="Normal"/>
    <w:next w:val="Normal"/>
    <w:link w:val="Ttulo7Car"/>
    <w:qFormat/>
    <w:rsid w:val="00786846"/>
    <w:pPr>
      <w:keepNext/>
      <w:keepLines/>
      <w:spacing w:before="200" w:after="0" w:line="360" w:lineRule="auto"/>
      <w:outlineLvl w:val="6"/>
    </w:pPr>
    <w:rPr>
      <w:rFonts w:ascii="Cambria" w:hAnsi="Cambria"/>
      <w:i/>
      <w:iCs/>
      <w:color w:val="404040"/>
      <w:sz w:val="24"/>
    </w:rPr>
  </w:style>
  <w:style w:type="paragraph" w:styleId="Ttulo8">
    <w:name w:val="heading 8"/>
    <w:basedOn w:val="Normal"/>
    <w:next w:val="Normal"/>
    <w:link w:val="Ttulo8Car"/>
    <w:qFormat/>
    <w:rsid w:val="00786846"/>
    <w:pPr>
      <w:keepNext/>
      <w:keepLines/>
      <w:spacing w:before="200" w:after="0" w:line="360" w:lineRule="auto"/>
      <w:outlineLvl w:val="7"/>
    </w:pPr>
    <w:rPr>
      <w:rFonts w:ascii="Cambria" w:hAnsi="Cambria"/>
      <w:color w:val="40404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1"/>
    <w:uiPriority w:val="99"/>
    <w:rsid w:val="00971CF1"/>
    <w:pPr>
      <w:tabs>
        <w:tab w:val="center" w:pos="4252"/>
        <w:tab w:val="right" w:pos="8504"/>
      </w:tabs>
      <w:spacing w:before="120" w:after="120" w:line="240" w:lineRule="auto"/>
    </w:pPr>
    <w:rPr>
      <w:sz w:val="16"/>
    </w:rPr>
  </w:style>
  <w:style w:type="paragraph" w:styleId="Piedepgina">
    <w:name w:val="footer"/>
    <w:basedOn w:val="Normal"/>
    <w:link w:val="PiedepginaCar"/>
    <w:uiPriority w:val="99"/>
    <w:rsid w:val="004134A1"/>
    <w:pPr>
      <w:tabs>
        <w:tab w:val="center" w:pos="4252"/>
        <w:tab w:val="right" w:pos="8504"/>
      </w:tabs>
    </w:pPr>
    <w:rPr>
      <w:sz w:val="16"/>
    </w:rPr>
  </w:style>
  <w:style w:type="character" w:styleId="Nmerodepgina">
    <w:name w:val="page number"/>
    <w:basedOn w:val="Fuentedeprrafopredeter"/>
    <w:rsid w:val="004134A1"/>
    <w:rPr>
      <w:rFonts w:ascii="Verdana" w:hAnsi="Verdana"/>
      <w:sz w:val="16"/>
    </w:rPr>
  </w:style>
  <w:style w:type="character" w:styleId="Hipervnculo">
    <w:name w:val="Hyperlink"/>
    <w:basedOn w:val="Fuentedeprrafopredeter"/>
    <w:uiPriority w:val="99"/>
    <w:rsid w:val="00950620"/>
    <w:rPr>
      <w:color w:val="B76172"/>
      <w:u w:val="single"/>
    </w:rPr>
  </w:style>
  <w:style w:type="paragraph" w:customStyle="1" w:styleId="Index">
    <w:name w:val="Index"/>
    <w:basedOn w:val="Normal"/>
    <w:link w:val="IndexCar"/>
    <w:rsid w:val="00E618CA"/>
    <w:pPr>
      <w:pageBreakBefore/>
      <w:widowControl w:val="0"/>
      <w:spacing w:before="840" w:after="480" w:line="240" w:lineRule="auto"/>
    </w:pPr>
    <w:rPr>
      <w:b/>
      <w:color w:val="B76172"/>
      <w:sz w:val="40"/>
      <w:szCs w:val="32"/>
    </w:rPr>
  </w:style>
  <w:style w:type="paragraph" w:customStyle="1" w:styleId="Annex1">
    <w:name w:val="Annex1"/>
    <w:basedOn w:val="Ttulo1"/>
    <w:link w:val="Annex1Char"/>
    <w:rsid w:val="00A23F81"/>
    <w:pPr>
      <w:numPr>
        <w:numId w:val="1"/>
      </w:numPr>
    </w:pPr>
  </w:style>
  <w:style w:type="paragraph" w:styleId="TDC1">
    <w:name w:val="toc 1"/>
    <w:basedOn w:val="Normal"/>
    <w:next w:val="Normal"/>
    <w:autoRedefine/>
    <w:uiPriority w:val="39"/>
    <w:rsid w:val="00361185"/>
    <w:pPr>
      <w:tabs>
        <w:tab w:val="right" w:leader="dot" w:pos="8505"/>
      </w:tabs>
      <w:spacing w:after="120"/>
      <w:ind w:right="425"/>
    </w:pPr>
    <w:rPr>
      <w:sz w:val="24"/>
    </w:rPr>
  </w:style>
  <w:style w:type="paragraph" w:styleId="TDC2">
    <w:name w:val="toc 2"/>
    <w:basedOn w:val="Normal"/>
    <w:next w:val="Normal"/>
    <w:autoRedefine/>
    <w:uiPriority w:val="39"/>
    <w:rsid w:val="00361185"/>
    <w:pPr>
      <w:tabs>
        <w:tab w:val="right" w:leader="dot" w:pos="8505"/>
      </w:tabs>
      <w:spacing w:before="120" w:after="60"/>
      <w:ind w:right="425"/>
    </w:pPr>
  </w:style>
  <w:style w:type="paragraph" w:styleId="TDC3">
    <w:name w:val="toc 3"/>
    <w:basedOn w:val="Normal"/>
    <w:next w:val="Normal"/>
    <w:autoRedefine/>
    <w:uiPriority w:val="39"/>
    <w:rsid w:val="00E26D9A"/>
    <w:pPr>
      <w:tabs>
        <w:tab w:val="right" w:leader="dot" w:pos="8505"/>
      </w:tabs>
      <w:spacing w:before="0" w:after="0"/>
      <w:ind w:right="425"/>
    </w:pPr>
  </w:style>
  <w:style w:type="paragraph" w:styleId="Descripcin">
    <w:name w:val="caption"/>
    <w:basedOn w:val="Normal"/>
    <w:next w:val="Normal"/>
    <w:link w:val="DescripcinCar"/>
    <w:uiPriority w:val="99"/>
    <w:qFormat/>
    <w:rsid w:val="00F32112"/>
    <w:pPr>
      <w:spacing w:before="60" w:after="360"/>
      <w:jc w:val="center"/>
    </w:pPr>
    <w:rPr>
      <w:b/>
      <w:bCs/>
      <w:sz w:val="16"/>
      <w:szCs w:val="20"/>
    </w:rPr>
  </w:style>
  <w:style w:type="paragraph" w:customStyle="1" w:styleId="Glossary">
    <w:name w:val="Glossary"/>
    <w:basedOn w:val="Normal"/>
    <w:rsid w:val="004800CE"/>
    <w:pPr>
      <w:spacing w:before="60" w:after="60"/>
    </w:pPr>
  </w:style>
  <w:style w:type="paragraph" w:styleId="Tabladeilustraciones">
    <w:name w:val="table of figures"/>
    <w:basedOn w:val="Normal"/>
    <w:next w:val="Normal"/>
    <w:link w:val="TabladeilustracionesCar"/>
    <w:uiPriority w:val="99"/>
    <w:rsid w:val="00D45639"/>
    <w:pPr>
      <w:spacing w:before="0" w:after="0"/>
    </w:pPr>
  </w:style>
  <w:style w:type="character" w:customStyle="1" w:styleId="DescripcinCar">
    <w:name w:val="Descripción Car"/>
    <w:basedOn w:val="Fuentedeprrafopredeter"/>
    <w:link w:val="Descripcin"/>
    <w:uiPriority w:val="99"/>
    <w:rsid w:val="00F32112"/>
    <w:rPr>
      <w:rFonts w:ascii="Verdana" w:hAnsi="Verdana"/>
      <w:b/>
      <w:bCs/>
      <w:sz w:val="16"/>
      <w:lang w:val="en-GB"/>
    </w:rPr>
  </w:style>
  <w:style w:type="paragraph" w:customStyle="1" w:styleId="Tablelinename">
    <w:name w:val="Table: line name"/>
    <w:basedOn w:val="Tableheading"/>
    <w:rsid w:val="00D65685"/>
    <w:pPr>
      <w:ind w:left="227"/>
      <w:jc w:val="left"/>
    </w:pPr>
    <w:rPr>
      <w:b w:val="0"/>
      <w:sz w:val="16"/>
    </w:rPr>
  </w:style>
  <w:style w:type="character" w:customStyle="1" w:styleId="PiedepginaCar">
    <w:name w:val="Pie de página Car"/>
    <w:basedOn w:val="Fuentedeprrafopredeter"/>
    <w:link w:val="Piedepgina"/>
    <w:uiPriority w:val="99"/>
    <w:rsid w:val="003D5BC6"/>
    <w:rPr>
      <w:rFonts w:ascii="Verdana" w:hAnsi="Verdana"/>
      <w:sz w:val="16"/>
      <w:szCs w:val="24"/>
      <w:lang w:val="es-ES" w:eastAsia="es-ES" w:bidi="ar-SA"/>
    </w:rPr>
  </w:style>
  <w:style w:type="paragraph" w:customStyle="1" w:styleId="Exhibitpaste">
    <w:name w:val="Exhibit paste"/>
    <w:basedOn w:val="Normal"/>
    <w:next w:val="Normal"/>
    <w:rsid w:val="00B53A14"/>
    <w:pPr>
      <w:keepNext/>
      <w:spacing w:after="0"/>
    </w:pPr>
  </w:style>
  <w:style w:type="paragraph" w:customStyle="1" w:styleId="Tableheading">
    <w:name w:val="Table: heading"/>
    <w:basedOn w:val="Normal"/>
    <w:uiPriority w:val="99"/>
    <w:rsid w:val="00D65685"/>
    <w:pPr>
      <w:spacing w:before="60" w:after="60" w:line="240" w:lineRule="auto"/>
      <w:jc w:val="center"/>
    </w:pPr>
    <w:rPr>
      <w:b/>
      <w:color w:val="7B8A35"/>
    </w:rPr>
  </w:style>
  <w:style w:type="paragraph" w:customStyle="1" w:styleId="Tabledata">
    <w:name w:val="Table: data"/>
    <w:basedOn w:val="Tablelinename"/>
    <w:uiPriority w:val="99"/>
    <w:rsid w:val="00664E2F"/>
    <w:pPr>
      <w:ind w:left="0" w:right="284"/>
      <w:jc w:val="right"/>
    </w:pPr>
    <w:rPr>
      <w:color w:val="auto"/>
    </w:rPr>
  </w:style>
  <w:style w:type="paragraph" w:customStyle="1" w:styleId="Tablelabeltotal">
    <w:name w:val="Table label: total"/>
    <w:basedOn w:val="Tablelinename"/>
    <w:rsid w:val="00950620"/>
    <w:pPr>
      <w:jc w:val="right"/>
    </w:pPr>
    <w:rPr>
      <w:b/>
      <w:szCs w:val="16"/>
    </w:rPr>
  </w:style>
  <w:style w:type="paragraph" w:customStyle="1" w:styleId="Tabletotaldata">
    <w:name w:val="Table: total data"/>
    <w:basedOn w:val="Tabledata"/>
    <w:rsid w:val="00950620"/>
    <w:rPr>
      <w:b/>
    </w:rPr>
  </w:style>
  <w:style w:type="paragraph" w:styleId="Textodeglobo">
    <w:name w:val="Balloon Text"/>
    <w:basedOn w:val="Normal"/>
    <w:link w:val="TextodegloboCar"/>
    <w:rsid w:val="00F7657B"/>
    <w:pPr>
      <w:spacing w:before="0" w:after="0" w:line="240" w:lineRule="auto"/>
    </w:pPr>
    <w:rPr>
      <w:rFonts w:ascii="Tahoma" w:hAnsi="Tahoma" w:cs="Tahoma"/>
      <w:sz w:val="16"/>
      <w:szCs w:val="16"/>
    </w:rPr>
  </w:style>
  <w:style w:type="paragraph" w:customStyle="1" w:styleId="Highlight">
    <w:name w:val="Highlight"/>
    <w:basedOn w:val="Normal"/>
    <w:link w:val="HighlightCar"/>
    <w:rsid w:val="00F402C4"/>
    <w:pPr>
      <w:numPr>
        <w:numId w:val="5"/>
      </w:numPr>
      <w:pBdr>
        <w:top w:val="thickThinLargeGap" w:sz="24" w:space="1" w:color="C4D188"/>
        <w:bottom w:val="thickThinLargeGap" w:sz="24" w:space="1" w:color="C4D188"/>
      </w:pBdr>
      <w:shd w:val="clear" w:color="auto" w:fill="FFFFFF"/>
      <w:ind w:right="567"/>
    </w:pPr>
    <w:rPr>
      <w:szCs w:val="20"/>
    </w:rPr>
  </w:style>
  <w:style w:type="paragraph" w:customStyle="1" w:styleId="EstiloHighlightNegrita">
    <w:name w:val="Estilo Highlight + Negrita"/>
    <w:basedOn w:val="Highlight"/>
    <w:link w:val="EstiloHighlightNegritaCar"/>
    <w:rsid w:val="00774C3B"/>
    <w:rPr>
      <w:b/>
      <w:bCs/>
    </w:rPr>
  </w:style>
  <w:style w:type="paragraph" w:customStyle="1" w:styleId="Box">
    <w:name w:val="Box"/>
    <w:basedOn w:val="Normal"/>
    <w:next w:val="Boxtext"/>
    <w:link w:val="BoxCar"/>
    <w:rsid w:val="00BF19C7"/>
    <w:pPr>
      <w:numPr>
        <w:numId w:val="4"/>
      </w:numPr>
      <w:pBdr>
        <w:top w:val="double" w:sz="4" w:space="1" w:color="auto"/>
        <w:left w:val="double" w:sz="4" w:space="4" w:color="auto"/>
        <w:right w:val="double" w:sz="4" w:space="4" w:color="auto"/>
      </w:pBdr>
      <w:ind w:left="142" w:right="142" w:firstLine="0"/>
    </w:pPr>
    <w:rPr>
      <w:b/>
      <w:sz w:val="16"/>
    </w:rPr>
  </w:style>
  <w:style w:type="paragraph" w:customStyle="1" w:styleId="Boxtext">
    <w:name w:val="Box:text"/>
    <w:basedOn w:val="Box"/>
    <w:next w:val="Normal"/>
    <w:rsid w:val="00BF19C7"/>
    <w:pPr>
      <w:numPr>
        <w:numId w:val="0"/>
      </w:numPr>
      <w:pBdr>
        <w:top w:val="none" w:sz="0" w:space="0" w:color="auto"/>
        <w:bottom w:val="double" w:sz="4" w:space="1" w:color="auto"/>
      </w:pBdr>
      <w:ind w:left="142"/>
    </w:pPr>
    <w:rPr>
      <w:b w:val="0"/>
    </w:rPr>
  </w:style>
  <w:style w:type="paragraph" w:customStyle="1" w:styleId="I1">
    <w:name w:val="I1"/>
    <w:basedOn w:val="Normal"/>
    <w:link w:val="I1Car"/>
    <w:rsid w:val="00016806"/>
    <w:pPr>
      <w:numPr>
        <w:numId w:val="6"/>
      </w:numPr>
      <w:spacing w:before="0" w:after="0"/>
    </w:pPr>
  </w:style>
  <w:style w:type="paragraph" w:customStyle="1" w:styleId="I2">
    <w:name w:val="I2"/>
    <w:basedOn w:val="Normal"/>
    <w:rsid w:val="00016806"/>
    <w:pPr>
      <w:numPr>
        <w:numId w:val="3"/>
      </w:numPr>
    </w:pPr>
  </w:style>
  <w:style w:type="character" w:customStyle="1" w:styleId="TextodegloboCar">
    <w:name w:val="Texto de globo Car"/>
    <w:basedOn w:val="Fuentedeprrafopredeter"/>
    <w:link w:val="Textodeglobo"/>
    <w:rsid w:val="00F7657B"/>
    <w:rPr>
      <w:rFonts w:ascii="Tahoma" w:hAnsi="Tahoma" w:cs="Tahoma"/>
      <w:sz w:val="16"/>
      <w:szCs w:val="16"/>
    </w:rPr>
  </w:style>
  <w:style w:type="character" w:styleId="Referenciasutil">
    <w:name w:val="Subtle Reference"/>
    <w:basedOn w:val="Fuentedeprrafopredeter"/>
    <w:uiPriority w:val="31"/>
    <w:qFormat/>
    <w:rsid w:val="00943F64"/>
    <w:rPr>
      <w:smallCaps/>
      <w:color w:val="0C2749" w:themeColor="accent1"/>
      <w:u w:val="single"/>
    </w:rPr>
  </w:style>
  <w:style w:type="character" w:styleId="Referenciaintensa">
    <w:name w:val="Intense Reference"/>
    <w:basedOn w:val="Fuentedeprrafopredeter"/>
    <w:uiPriority w:val="32"/>
    <w:qFormat/>
    <w:rsid w:val="00943F64"/>
    <w:rPr>
      <w:b/>
      <w:bCs/>
      <w:smallCaps/>
      <w:color w:val="0C2749" w:themeColor="accent1"/>
      <w:spacing w:val="5"/>
      <w:u w:val="single"/>
    </w:rPr>
  </w:style>
  <w:style w:type="paragraph" w:styleId="Textonotapie">
    <w:name w:val="footnote text"/>
    <w:aliases w:val="Footnote,Fußnote,Texto nota pie Car2,Texto nota pie Car1 Car,Texto nota pie Car Car Car,Texto nota pie Car Car1,Texto nota pie Car2 Car Car1,Texto nota pie Car1 Car Car Car1,Texto nota pie Car Car Car Car Car1"/>
    <w:basedOn w:val="Normal"/>
    <w:link w:val="TextonotapieCar"/>
    <w:uiPriority w:val="99"/>
    <w:rsid w:val="004209C7"/>
    <w:pPr>
      <w:spacing w:before="0" w:after="0" w:line="240" w:lineRule="auto"/>
    </w:pPr>
    <w:rPr>
      <w:sz w:val="16"/>
      <w:szCs w:val="20"/>
    </w:rPr>
  </w:style>
  <w:style w:type="character" w:customStyle="1" w:styleId="TextonotapieCar">
    <w:name w:val="Texto nota pie Car"/>
    <w:aliases w:val="Footnote Car,Fußnote Car,Texto nota pie Car2 Car,Texto nota pie Car1 Car Car,Texto nota pie Car Car Car Car,Texto nota pie Car Car1 Car,Texto nota pie Car2 Car Car1 Car,Texto nota pie Car1 Car Car Car1 Car"/>
    <w:basedOn w:val="Fuentedeprrafopredeter"/>
    <w:link w:val="Textonotapie"/>
    <w:uiPriority w:val="99"/>
    <w:rsid w:val="004209C7"/>
    <w:rPr>
      <w:rFonts w:ascii="Verdana" w:hAnsi="Verdana"/>
      <w:sz w:val="16"/>
    </w:rPr>
  </w:style>
  <w:style w:type="character" w:styleId="Refdenotaalpie">
    <w:name w:val="footnote reference"/>
    <w:aliases w:val="Footnote Reference Superscript,fr,o,Style 6"/>
    <w:basedOn w:val="Fuentedeprrafopredeter"/>
    <w:uiPriority w:val="99"/>
    <w:rsid w:val="00581F5D"/>
    <w:rPr>
      <w:vertAlign w:val="superscript"/>
    </w:rPr>
  </w:style>
  <w:style w:type="paragraph" w:customStyle="1" w:styleId="Encbezado">
    <w:name w:val="Encbezado"/>
    <w:basedOn w:val="Normal"/>
    <w:link w:val="EncbezadoCar"/>
    <w:qFormat/>
    <w:rsid w:val="00157542"/>
    <w:rPr>
      <w:color w:val="0C2749" w:themeColor="accent1"/>
    </w:rPr>
  </w:style>
  <w:style w:type="paragraph" w:customStyle="1" w:styleId="Ttulodeldocumento">
    <w:name w:val="Título del documento"/>
    <w:basedOn w:val="Normal"/>
    <w:link w:val="TtulodeldocumentoCar"/>
    <w:qFormat/>
    <w:rsid w:val="00157542"/>
    <w:pPr>
      <w:spacing w:after="0" w:line="240" w:lineRule="auto"/>
      <w:jc w:val="right"/>
    </w:pPr>
    <w:rPr>
      <w:b/>
      <w:sz w:val="40"/>
      <w:szCs w:val="40"/>
    </w:rPr>
  </w:style>
  <w:style w:type="character" w:customStyle="1" w:styleId="EncbezadoCar">
    <w:name w:val="Encbezado Car"/>
    <w:basedOn w:val="Fuentedeprrafopredeter"/>
    <w:link w:val="Encbezado"/>
    <w:rsid w:val="00157542"/>
    <w:rPr>
      <w:rFonts w:ascii="Verdana" w:hAnsi="Verdana"/>
      <w:color w:val="0C2749" w:themeColor="accent1"/>
      <w:szCs w:val="24"/>
    </w:rPr>
  </w:style>
  <w:style w:type="paragraph" w:customStyle="1" w:styleId="Subttulodeldocumento">
    <w:name w:val="Subtítulo del documento"/>
    <w:basedOn w:val="Normal"/>
    <w:link w:val="SubttulodeldocumentoCar"/>
    <w:qFormat/>
    <w:rsid w:val="00D24564"/>
    <w:pPr>
      <w:spacing w:after="0" w:line="240" w:lineRule="auto"/>
      <w:jc w:val="right"/>
    </w:pPr>
    <w:rPr>
      <w:i/>
      <w:color w:val="165194" w:themeColor="accent2"/>
      <w:sz w:val="36"/>
      <w:szCs w:val="36"/>
    </w:rPr>
  </w:style>
  <w:style w:type="character" w:customStyle="1" w:styleId="TtulodeldocumentoCar">
    <w:name w:val="Título del documento Car"/>
    <w:basedOn w:val="Fuentedeprrafopredeter"/>
    <w:link w:val="Ttulodeldocumento"/>
    <w:rsid w:val="00157542"/>
    <w:rPr>
      <w:rFonts w:ascii="Verdana" w:hAnsi="Verdana"/>
      <w:b/>
      <w:sz w:val="40"/>
      <w:szCs w:val="40"/>
    </w:rPr>
  </w:style>
  <w:style w:type="paragraph" w:customStyle="1" w:styleId="FechadePresentacin">
    <w:name w:val="Fecha de Presentación"/>
    <w:basedOn w:val="Normal"/>
    <w:link w:val="FechadePresentacinCar"/>
    <w:qFormat/>
    <w:rsid w:val="00D24564"/>
    <w:pPr>
      <w:spacing w:after="0" w:line="240" w:lineRule="auto"/>
      <w:jc w:val="right"/>
    </w:pPr>
    <w:rPr>
      <w:color w:val="4D68A3" w:themeColor="accent6"/>
    </w:rPr>
  </w:style>
  <w:style w:type="character" w:customStyle="1" w:styleId="SubttulodeldocumentoCar">
    <w:name w:val="Subtítulo del documento Car"/>
    <w:basedOn w:val="Fuentedeprrafopredeter"/>
    <w:link w:val="Subttulodeldocumento"/>
    <w:rsid w:val="00D24564"/>
    <w:rPr>
      <w:rFonts w:ascii="Verdana" w:hAnsi="Verdana"/>
      <w:i/>
      <w:color w:val="165194" w:themeColor="accent2"/>
      <w:sz w:val="36"/>
      <w:szCs w:val="36"/>
    </w:rPr>
  </w:style>
  <w:style w:type="paragraph" w:customStyle="1" w:styleId="Figures">
    <w:name w:val="Figures"/>
    <w:basedOn w:val="Tabladeilustraciones"/>
    <w:link w:val="FiguresCar"/>
    <w:qFormat/>
    <w:rsid w:val="00876F94"/>
    <w:pPr>
      <w:tabs>
        <w:tab w:val="right" w:leader="dot" w:pos="8495"/>
      </w:tabs>
    </w:pPr>
  </w:style>
  <w:style w:type="character" w:customStyle="1" w:styleId="FechadePresentacinCar">
    <w:name w:val="Fecha de Presentación Car"/>
    <w:basedOn w:val="Fuentedeprrafopredeter"/>
    <w:link w:val="FechadePresentacin"/>
    <w:rsid w:val="00D24564"/>
    <w:rPr>
      <w:rFonts w:ascii="Verdana" w:hAnsi="Verdana"/>
      <w:color w:val="4D68A3" w:themeColor="accent6"/>
      <w:szCs w:val="24"/>
    </w:rPr>
  </w:style>
  <w:style w:type="paragraph" w:customStyle="1" w:styleId="TtulodelDocAnexos">
    <w:name w:val="Título del Doc_Anexos"/>
    <w:basedOn w:val="Ttulodeldocumento"/>
    <w:link w:val="TtulodelDocAnexosCar"/>
    <w:qFormat/>
    <w:rsid w:val="00C61126"/>
    <w:rPr>
      <w:b w:val="0"/>
      <w:color w:val="0C2749" w:themeColor="accent1"/>
    </w:rPr>
  </w:style>
  <w:style w:type="character" w:customStyle="1" w:styleId="TabladeilustracionesCar">
    <w:name w:val="Tabla de ilustraciones Car"/>
    <w:basedOn w:val="Fuentedeprrafopredeter"/>
    <w:link w:val="Tabladeilustraciones"/>
    <w:uiPriority w:val="99"/>
    <w:rsid w:val="00876F94"/>
    <w:rPr>
      <w:rFonts w:ascii="Verdana" w:hAnsi="Verdana"/>
      <w:szCs w:val="24"/>
      <w:lang w:val="en-GB"/>
    </w:rPr>
  </w:style>
  <w:style w:type="character" w:customStyle="1" w:styleId="FiguresCar">
    <w:name w:val="Figures Car"/>
    <w:basedOn w:val="TabladeilustracionesCar"/>
    <w:link w:val="Figures"/>
    <w:rsid w:val="00876F94"/>
    <w:rPr>
      <w:rFonts w:ascii="Verdana" w:hAnsi="Verdana"/>
      <w:szCs w:val="24"/>
      <w:lang w:val="en-GB"/>
    </w:rPr>
  </w:style>
  <w:style w:type="paragraph" w:customStyle="1" w:styleId="SubttulodelDocAnexos">
    <w:name w:val="Subtítulo del Doc_Anexos"/>
    <w:basedOn w:val="Subttulodeldocumento"/>
    <w:link w:val="SubttulodelDocAnexosCar"/>
    <w:qFormat/>
    <w:rsid w:val="00C61126"/>
    <w:rPr>
      <w:b/>
    </w:rPr>
  </w:style>
  <w:style w:type="character" w:customStyle="1" w:styleId="TtulodelDocAnexosCar">
    <w:name w:val="Título del Doc_Anexos Car"/>
    <w:basedOn w:val="TtulodeldocumentoCar"/>
    <w:link w:val="TtulodelDocAnexos"/>
    <w:rsid w:val="00C61126"/>
    <w:rPr>
      <w:rFonts w:ascii="Verdana" w:hAnsi="Verdana"/>
      <w:b/>
      <w:color w:val="0C2749" w:themeColor="accent1"/>
      <w:sz w:val="40"/>
      <w:szCs w:val="40"/>
    </w:rPr>
  </w:style>
  <w:style w:type="paragraph" w:styleId="Prrafodelista">
    <w:name w:val="List Paragraph"/>
    <w:basedOn w:val="Normal"/>
    <w:link w:val="PrrafodelistaCar"/>
    <w:uiPriority w:val="34"/>
    <w:qFormat/>
    <w:rsid w:val="00092CCB"/>
    <w:pPr>
      <w:ind w:left="720"/>
      <w:contextualSpacing/>
    </w:pPr>
  </w:style>
  <w:style w:type="character" w:customStyle="1" w:styleId="SubttulodelDocAnexosCar">
    <w:name w:val="Subtítulo del Doc_Anexos Car"/>
    <w:basedOn w:val="SubttulodeldocumentoCar"/>
    <w:link w:val="SubttulodelDocAnexos"/>
    <w:rsid w:val="00C61126"/>
    <w:rPr>
      <w:rFonts w:ascii="Verdana" w:hAnsi="Verdana"/>
      <w:b/>
      <w:i/>
      <w:color w:val="165194" w:themeColor="accent2"/>
      <w:sz w:val="36"/>
      <w:szCs w:val="36"/>
    </w:rPr>
  </w:style>
  <w:style w:type="paragraph" w:customStyle="1" w:styleId="Indentado2">
    <w:name w:val="Indentado 2"/>
    <w:basedOn w:val="I1"/>
    <w:link w:val="Indentado1Car"/>
    <w:qFormat/>
    <w:rsid w:val="00B41D3A"/>
    <w:pPr>
      <w:numPr>
        <w:numId w:val="7"/>
      </w:numPr>
    </w:pPr>
  </w:style>
  <w:style w:type="paragraph" w:customStyle="1" w:styleId="Indentado3">
    <w:name w:val="Indentado 3"/>
    <w:basedOn w:val="I1"/>
    <w:link w:val="Indentado3Car"/>
    <w:qFormat/>
    <w:rsid w:val="00B41D3A"/>
    <w:pPr>
      <w:numPr>
        <w:numId w:val="8"/>
      </w:numPr>
      <w:ind w:left="1985" w:hanging="283"/>
    </w:pPr>
  </w:style>
  <w:style w:type="character" w:customStyle="1" w:styleId="I1Car">
    <w:name w:val="I1 Car"/>
    <w:basedOn w:val="Fuentedeprrafopredeter"/>
    <w:link w:val="I1"/>
    <w:rsid w:val="00B933C2"/>
    <w:rPr>
      <w:rFonts w:ascii="Verdana" w:hAnsi="Verdana"/>
      <w:szCs w:val="24"/>
      <w:lang w:val="es-MX"/>
    </w:rPr>
  </w:style>
  <w:style w:type="character" w:customStyle="1" w:styleId="Indentado1Car">
    <w:name w:val="Indentado_1 Car"/>
    <w:basedOn w:val="I1Car"/>
    <w:link w:val="Indentado2"/>
    <w:rsid w:val="00B933C2"/>
    <w:rPr>
      <w:rFonts w:ascii="Verdana" w:hAnsi="Verdana"/>
      <w:szCs w:val="24"/>
      <w:lang w:val="es-MX"/>
    </w:rPr>
  </w:style>
  <w:style w:type="paragraph" w:customStyle="1" w:styleId="Indentado1">
    <w:name w:val="Indentado 1"/>
    <w:basedOn w:val="I1"/>
    <w:link w:val="Indentado1Char1"/>
    <w:autoRedefine/>
    <w:uiPriority w:val="99"/>
    <w:qFormat/>
    <w:rsid w:val="00893B87"/>
    <w:pPr>
      <w:numPr>
        <w:numId w:val="31"/>
      </w:numPr>
      <w:spacing w:before="120" w:after="120"/>
      <w:contextualSpacing/>
    </w:pPr>
    <w:rPr>
      <w:rFonts w:ascii="Century Gothic" w:hAnsi="Century Gothic"/>
      <w:bCs/>
      <w:lang w:val="es-CR"/>
    </w:rPr>
  </w:style>
  <w:style w:type="character" w:customStyle="1" w:styleId="Indentado3Car">
    <w:name w:val="Indentado 3 Car"/>
    <w:basedOn w:val="I1Car"/>
    <w:link w:val="Indentado3"/>
    <w:rsid w:val="00B41D3A"/>
    <w:rPr>
      <w:rFonts w:ascii="Verdana" w:hAnsi="Verdana"/>
      <w:szCs w:val="24"/>
      <w:lang w:val="es-MX"/>
    </w:rPr>
  </w:style>
  <w:style w:type="paragraph" w:customStyle="1" w:styleId="Indentado4">
    <w:name w:val="Indentado 4"/>
    <w:basedOn w:val="Indentado3"/>
    <w:link w:val="Indentado4Car"/>
    <w:qFormat/>
    <w:rsid w:val="00B41D3A"/>
    <w:pPr>
      <w:numPr>
        <w:numId w:val="9"/>
      </w:numPr>
      <w:ind w:left="2977"/>
    </w:pPr>
  </w:style>
  <w:style w:type="character" w:customStyle="1" w:styleId="Indentado1Char1">
    <w:name w:val="Indentado 1 Char1"/>
    <w:basedOn w:val="I1Car"/>
    <w:link w:val="Indentado1"/>
    <w:uiPriority w:val="99"/>
    <w:rsid w:val="00893B87"/>
    <w:rPr>
      <w:rFonts w:ascii="Century Gothic" w:hAnsi="Century Gothic"/>
      <w:bCs/>
      <w:szCs w:val="24"/>
      <w:lang w:val="es-CR"/>
    </w:rPr>
  </w:style>
  <w:style w:type="paragraph" w:customStyle="1" w:styleId="Highlights">
    <w:name w:val="Highlights"/>
    <w:basedOn w:val="EstiloHighlightNegrita"/>
    <w:link w:val="HighlightsCar"/>
    <w:qFormat/>
    <w:rsid w:val="00601098"/>
    <w:pPr>
      <w:numPr>
        <w:numId w:val="0"/>
      </w:numPr>
      <w:pBdr>
        <w:top w:val="thickThinLargeGap" w:sz="24" w:space="1" w:color="EF4136" w:themeColor="accent5"/>
        <w:bottom w:val="thickThinLargeGap" w:sz="24" w:space="1" w:color="EF4136" w:themeColor="accent5"/>
      </w:pBdr>
      <w:ind w:left="602"/>
    </w:pPr>
    <w:rPr>
      <w:color w:val="434D53" w:themeColor="accent4" w:themeShade="BF"/>
    </w:rPr>
  </w:style>
  <w:style w:type="character" w:customStyle="1" w:styleId="Indentado4Car">
    <w:name w:val="Indentado 4 Car"/>
    <w:basedOn w:val="Indentado3Car"/>
    <w:link w:val="Indentado4"/>
    <w:rsid w:val="00B41D3A"/>
    <w:rPr>
      <w:rFonts w:ascii="Verdana" w:hAnsi="Verdana"/>
      <w:szCs w:val="24"/>
      <w:lang w:val="es-MX"/>
    </w:rPr>
  </w:style>
  <w:style w:type="paragraph" w:customStyle="1" w:styleId="ContentsFiguresGlossary">
    <w:name w:val="Contents_Figures_ Glossary"/>
    <w:basedOn w:val="Index"/>
    <w:link w:val="ContentsFiguresGlossaryCar"/>
    <w:qFormat/>
    <w:rsid w:val="00EE70E9"/>
    <w:rPr>
      <w:color w:val="0C2749" w:themeColor="accent1"/>
    </w:rPr>
  </w:style>
  <w:style w:type="character" w:customStyle="1" w:styleId="HighlightCar">
    <w:name w:val="Highlight Car"/>
    <w:basedOn w:val="Fuentedeprrafopredeter"/>
    <w:link w:val="Highlight"/>
    <w:rsid w:val="00C72440"/>
    <w:rPr>
      <w:rFonts w:ascii="Verdana" w:hAnsi="Verdana"/>
      <w:shd w:val="clear" w:color="auto" w:fill="FFFFFF"/>
      <w:lang w:val="es-MX"/>
    </w:rPr>
  </w:style>
  <w:style w:type="character" w:customStyle="1" w:styleId="EstiloHighlightNegritaCar">
    <w:name w:val="Estilo Highlight + Negrita Car"/>
    <w:basedOn w:val="HighlightCar"/>
    <w:link w:val="EstiloHighlightNegrita"/>
    <w:rsid w:val="00C72440"/>
    <w:rPr>
      <w:rFonts w:ascii="Verdana" w:hAnsi="Verdana"/>
      <w:b/>
      <w:bCs/>
      <w:shd w:val="clear" w:color="auto" w:fill="FFFFFF"/>
      <w:lang w:val="es-MX"/>
    </w:rPr>
  </w:style>
  <w:style w:type="character" w:customStyle="1" w:styleId="HighlightsCar">
    <w:name w:val="Highlights Car"/>
    <w:basedOn w:val="EstiloHighlightNegritaCar"/>
    <w:link w:val="Highlights"/>
    <w:rsid w:val="00C72440"/>
    <w:rPr>
      <w:rFonts w:ascii="Verdana" w:hAnsi="Verdana"/>
      <w:b/>
      <w:bCs/>
      <w:shd w:val="clear" w:color="auto" w:fill="FFFFFF"/>
      <w:lang w:val="en-GB"/>
    </w:rPr>
  </w:style>
  <w:style w:type="paragraph" w:customStyle="1" w:styleId="Boxes">
    <w:name w:val="Boxes"/>
    <w:basedOn w:val="Box"/>
    <w:link w:val="BoxesCar"/>
    <w:qFormat/>
    <w:rsid w:val="00EE70E9"/>
    <w:pPr>
      <w:pBdr>
        <w:top w:val="double" w:sz="4" w:space="1" w:color="165194" w:themeColor="accent2"/>
        <w:left w:val="double" w:sz="4" w:space="4" w:color="165194" w:themeColor="accent2"/>
        <w:bottom w:val="double" w:sz="4" w:space="1" w:color="165194" w:themeColor="accent2"/>
        <w:right w:val="double" w:sz="4" w:space="4" w:color="165194" w:themeColor="accent2"/>
      </w:pBdr>
    </w:pPr>
    <w:rPr>
      <w:color w:val="165194" w:themeColor="accent2"/>
    </w:rPr>
  </w:style>
  <w:style w:type="character" w:customStyle="1" w:styleId="IndexCar">
    <w:name w:val="Index Car"/>
    <w:basedOn w:val="Fuentedeprrafopredeter"/>
    <w:link w:val="Index"/>
    <w:rsid w:val="00EE70E9"/>
    <w:rPr>
      <w:rFonts w:ascii="Verdana" w:hAnsi="Verdana"/>
      <w:b/>
      <w:color w:val="B76172"/>
      <w:sz w:val="40"/>
      <w:szCs w:val="32"/>
      <w:lang w:val="en-GB"/>
    </w:rPr>
  </w:style>
  <w:style w:type="character" w:customStyle="1" w:styleId="ContentsFiguresGlossaryCar">
    <w:name w:val="Contents_Figures_ Glossary Car"/>
    <w:basedOn w:val="IndexCar"/>
    <w:link w:val="ContentsFiguresGlossary"/>
    <w:rsid w:val="00EE70E9"/>
    <w:rPr>
      <w:rFonts w:ascii="Verdana" w:hAnsi="Verdana"/>
      <w:b/>
      <w:color w:val="0C2749" w:themeColor="accent1"/>
      <w:sz w:val="40"/>
      <w:szCs w:val="32"/>
      <w:lang w:val="en-GB"/>
    </w:rPr>
  </w:style>
  <w:style w:type="paragraph" w:customStyle="1" w:styleId="Contents">
    <w:name w:val="Contents"/>
    <w:aliases w:val="Figures y Glossary"/>
    <w:basedOn w:val="Index"/>
    <w:rsid w:val="00601098"/>
    <w:rPr>
      <w:color w:val="0C2749" w:themeColor="accent1"/>
    </w:rPr>
  </w:style>
  <w:style w:type="character" w:customStyle="1" w:styleId="BoxCar">
    <w:name w:val="Box Car"/>
    <w:basedOn w:val="Fuentedeprrafopredeter"/>
    <w:link w:val="Box"/>
    <w:rsid w:val="00EE70E9"/>
    <w:rPr>
      <w:rFonts w:ascii="Verdana" w:hAnsi="Verdana"/>
      <w:b/>
      <w:sz w:val="16"/>
      <w:szCs w:val="24"/>
      <w:lang w:val="es-MX"/>
    </w:rPr>
  </w:style>
  <w:style w:type="character" w:customStyle="1" w:styleId="BoxesCar">
    <w:name w:val="Boxes Car"/>
    <w:basedOn w:val="BoxCar"/>
    <w:link w:val="Boxes"/>
    <w:rsid w:val="00EE70E9"/>
    <w:rPr>
      <w:rFonts w:ascii="Verdana" w:hAnsi="Verdana"/>
      <w:b/>
      <w:color w:val="165194" w:themeColor="accent2"/>
      <w:sz w:val="16"/>
      <w:szCs w:val="24"/>
      <w:lang w:val="es-MX"/>
    </w:rPr>
  </w:style>
  <w:style w:type="character" w:customStyle="1" w:styleId="Ttulo4Car">
    <w:name w:val="Título 4 Car"/>
    <w:basedOn w:val="Fuentedeprrafopredeter"/>
    <w:link w:val="Ttulo4"/>
    <w:rsid w:val="00051AB0"/>
    <w:rPr>
      <w:rFonts w:ascii="Verdana" w:hAnsi="Verdana"/>
      <w:b/>
      <w:bCs/>
      <w:i/>
      <w:color w:val="0C2749" w:themeColor="accent1"/>
      <w:szCs w:val="24"/>
      <w:lang w:val="en-GB"/>
    </w:rPr>
  </w:style>
  <w:style w:type="paragraph" w:styleId="NormalWeb">
    <w:name w:val="Normal (Web)"/>
    <w:basedOn w:val="Normal"/>
    <w:uiPriority w:val="99"/>
    <w:unhideWhenUsed/>
    <w:rsid w:val="00CB718E"/>
    <w:pPr>
      <w:spacing w:before="100" w:beforeAutospacing="1" w:after="100" w:afterAutospacing="1" w:line="240" w:lineRule="auto"/>
      <w:jc w:val="left"/>
    </w:pPr>
    <w:rPr>
      <w:rFonts w:ascii="Times" w:eastAsiaTheme="minorEastAsia" w:hAnsi="Times"/>
      <w:szCs w:val="20"/>
      <w:lang w:val="es-ES_tradnl" w:eastAsia="en-US"/>
    </w:rPr>
  </w:style>
  <w:style w:type="character" w:styleId="Refdecomentario">
    <w:name w:val="annotation reference"/>
    <w:basedOn w:val="Fuentedeprrafopredeter"/>
    <w:uiPriority w:val="99"/>
    <w:rsid w:val="00955D79"/>
    <w:rPr>
      <w:sz w:val="16"/>
      <w:szCs w:val="16"/>
    </w:rPr>
  </w:style>
  <w:style w:type="paragraph" w:styleId="Textocomentario">
    <w:name w:val="annotation text"/>
    <w:basedOn w:val="Normal"/>
    <w:link w:val="TextocomentarioCar"/>
    <w:uiPriority w:val="99"/>
    <w:rsid w:val="00955D79"/>
    <w:pPr>
      <w:spacing w:line="240" w:lineRule="auto"/>
    </w:pPr>
    <w:rPr>
      <w:szCs w:val="20"/>
    </w:rPr>
  </w:style>
  <w:style w:type="character" w:customStyle="1" w:styleId="TextocomentarioCar">
    <w:name w:val="Texto comentario Car"/>
    <w:basedOn w:val="Fuentedeprrafopredeter"/>
    <w:link w:val="Textocomentario"/>
    <w:uiPriority w:val="99"/>
    <w:rsid w:val="00955D79"/>
    <w:rPr>
      <w:rFonts w:ascii="Verdana" w:hAnsi="Verdana"/>
      <w:lang w:val="en-GB"/>
    </w:rPr>
  </w:style>
  <w:style w:type="paragraph" w:styleId="Asuntodelcomentario">
    <w:name w:val="annotation subject"/>
    <w:basedOn w:val="Textocomentario"/>
    <w:next w:val="Textocomentario"/>
    <w:link w:val="AsuntodelcomentarioCar"/>
    <w:rsid w:val="00955D79"/>
    <w:rPr>
      <w:b/>
      <w:bCs/>
    </w:rPr>
  </w:style>
  <w:style w:type="character" w:customStyle="1" w:styleId="AsuntodelcomentarioCar">
    <w:name w:val="Asunto del comentario Car"/>
    <w:basedOn w:val="TextocomentarioCar"/>
    <w:link w:val="Asuntodelcomentario"/>
    <w:rsid w:val="00955D79"/>
    <w:rPr>
      <w:rFonts w:ascii="Verdana" w:hAnsi="Verdana"/>
      <w:b/>
      <w:bCs/>
      <w:lang w:val="en-GB"/>
    </w:rPr>
  </w:style>
  <w:style w:type="table" w:styleId="Tablaconcuadrcula">
    <w:name w:val="Table Grid"/>
    <w:basedOn w:val="Tablanormal"/>
    <w:rsid w:val="009653B0"/>
    <w:tblPr>
      <w:tblBorders>
        <w:top w:val="single" w:sz="4" w:space="0" w:color="0C2749" w:themeColor="text1"/>
        <w:left w:val="single" w:sz="4" w:space="0" w:color="0C2749" w:themeColor="text1"/>
        <w:bottom w:val="single" w:sz="4" w:space="0" w:color="0C2749" w:themeColor="text1"/>
        <w:right w:val="single" w:sz="4" w:space="0" w:color="0C2749" w:themeColor="text1"/>
        <w:insideH w:val="single" w:sz="4" w:space="0" w:color="0C2749" w:themeColor="text1"/>
        <w:insideV w:val="single" w:sz="4" w:space="0" w:color="0C2749" w:themeColor="text1"/>
      </w:tblBorders>
    </w:tblPr>
  </w:style>
  <w:style w:type="paragraph" w:styleId="Revisin">
    <w:name w:val="Revision"/>
    <w:hidden/>
    <w:uiPriority w:val="99"/>
    <w:semiHidden/>
    <w:rsid w:val="00816116"/>
    <w:rPr>
      <w:rFonts w:ascii="Verdana" w:hAnsi="Verdana"/>
      <w:szCs w:val="24"/>
      <w:lang w:val="en-GB"/>
    </w:rPr>
  </w:style>
  <w:style w:type="character" w:styleId="Textoennegrita">
    <w:name w:val="Strong"/>
    <w:basedOn w:val="Fuentedeprrafopredeter"/>
    <w:qFormat/>
    <w:rsid w:val="00CD327A"/>
    <w:rPr>
      <w:b/>
      <w:bCs/>
    </w:rPr>
  </w:style>
  <w:style w:type="character" w:customStyle="1" w:styleId="Ttulo5Car">
    <w:name w:val="Título 5 Car"/>
    <w:basedOn w:val="Fuentedeprrafopredeter"/>
    <w:link w:val="Ttulo5"/>
    <w:uiPriority w:val="99"/>
    <w:rsid w:val="00786846"/>
    <w:rPr>
      <w:rFonts w:ascii="Verdana" w:hAnsi="Verdana"/>
      <w:bCs/>
      <w:iCs/>
      <w:szCs w:val="26"/>
      <w:u w:val="single"/>
      <w:lang w:val="en-GB"/>
    </w:rPr>
  </w:style>
  <w:style w:type="character" w:customStyle="1" w:styleId="Ttulo6Car">
    <w:name w:val="Título 6 Car"/>
    <w:basedOn w:val="Fuentedeprrafopredeter"/>
    <w:link w:val="Ttulo6"/>
    <w:rsid w:val="00786846"/>
    <w:rPr>
      <w:rFonts w:ascii="Cambria" w:hAnsi="Cambria"/>
      <w:i/>
      <w:iCs/>
      <w:color w:val="243F60"/>
      <w:sz w:val="24"/>
      <w:szCs w:val="24"/>
      <w:lang w:val="en-GB"/>
    </w:rPr>
  </w:style>
  <w:style w:type="character" w:customStyle="1" w:styleId="Ttulo7Car">
    <w:name w:val="Título 7 Car"/>
    <w:basedOn w:val="Fuentedeprrafopredeter"/>
    <w:link w:val="Ttulo7"/>
    <w:rsid w:val="00786846"/>
    <w:rPr>
      <w:rFonts w:ascii="Cambria" w:hAnsi="Cambria"/>
      <w:i/>
      <w:iCs/>
      <w:color w:val="404040"/>
      <w:sz w:val="24"/>
      <w:szCs w:val="24"/>
      <w:lang w:val="en-GB"/>
    </w:rPr>
  </w:style>
  <w:style w:type="character" w:customStyle="1" w:styleId="Ttulo8Car">
    <w:name w:val="Título 8 Car"/>
    <w:basedOn w:val="Fuentedeprrafopredeter"/>
    <w:link w:val="Ttulo8"/>
    <w:rsid w:val="00786846"/>
    <w:rPr>
      <w:rFonts w:ascii="Cambria" w:hAnsi="Cambria"/>
      <w:color w:val="404040"/>
      <w:lang w:val="en-GB"/>
    </w:rPr>
  </w:style>
  <w:style w:type="character" w:styleId="nfasisintenso">
    <w:name w:val="Intense Emphasis"/>
    <w:basedOn w:val="Fuentedeprrafopredeter"/>
    <w:uiPriority w:val="21"/>
    <w:qFormat/>
    <w:rsid w:val="00786846"/>
    <w:rPr>
      <w:b/>
      <w:bCs/>
      <w:i/>
      <w:iCs/>
      <w:color w:val="9BBB59"/>
    </w:rPr>
  </w:style>
  <w:style w:type="paragraph" w:styleId="Citadestacada">
    <w:name w:val="Intense Quote"/>
    <w:basedOn w:val="Normal"/>
    <w:next w:val="Normal"/>
    <w:link w:val="CitadestacadaCar"/>
    <w:uiPriority w:val="30"/>
    <w:qFormat/>
    <w:rsid w:val="00786846"/>
    <w:pPr>
      <w:pBdr>
        <w:bottom w:val="single" w:sz="4" w:space="4" w:color="0C2749" w:themeColor="accent1"/>
      </w:pBdr>
      <w:spacing w:before="200" w:after="280"/>
      <w:ind w:left="936" w:right="936"/>
    </w:pPr>
    <w:rPr>
      <w:b/>
      <w:bCs/>
      <w:i/>
      <w:iCs/>
      <w:color w:val="9BBB59"/>
    </w:rPr>
  </w:style>
  <w:style w:type="character" w:customStyle="1" w:styleId="CitadestacadaCar">
    <w:name w:val="Cita destacada Car"/>
    <w:basedOn w:val="Fuentedeprrafopredeter"/>
    <w:link w:val="Citadestacada"/>
    <w:uiPriority w:val="30"/>
    <w:rsid w:val="00786846"/>
    <w:rPr>
      <w:rFonts w:ascii="Verdana" w:hAnsi="Verdana"/>
      <w:b/>
      <w:bCs/>
      <w:i/>
      <w:iCs/>
      <w:color w:val="9BBB59"/>
      <w:szCs w:val="24"/>
      <w:lang w:val="en-GB"/>
    </w:rPr>
  </w:style>
  <w:style w:type="paragraph" w:styleId="Subttulo">
    <w:name w:val="Subtitle"/>
    <w:basedOn w:val="Normal"/>
    <w:next w:val="Normal"/>
    <w:link w:val="SubttuloCar"/>
    <w:qFormat/>
    <w:rsid w:val="00786846"/>
    <w:pPr>
      <w:numPr>
        <w:ilvl w:val="1"/>
      </w:numPr>
    </w:pPr>
    <w:rPr>
      <w:rFonts w:asciiTheme="majorHAnsi" w:eastAsiaTheme="majorEastAsia" w:hAnsiTheme="majorHAnsi" w:cstheme="majorBidi"/>
      <w:i/>
      <w:iCs/>
      <w:color w:val="9BBB59"/>
      <w:spacing w:val="15"/>
      <w:sz w:val="24"/>
    </w:rPr>
  </w:style>
  <w:style w:type="character" w:customStyle="1" w:styleId="SubttuloCar">
    <w:name w:val="Subtítulo Car"/>
    <w:basedOn w:val="Fuentedeprrafopredeter"/>
    <w:link w:val="Subttulo"/>
    <w:rsid w:val="00786846"/>
    <w:rPr>
      <w:rFonts w:asciiTheme="majorHAnsi" w:eastAsiaTheme="majorEastAsia" w:hAnsiTheme="majorHAnsi" w:cstheme="majorBidi"/>
      <w:i/>
      <w:iCs/>
      <w:color w:val="9BBB59"/>
      <w:spacing w:val="15"/>
      <w:sz w:val="24"/>
      <w:szCs w:val="24"/>
      <w:lang w:val="en-GB"/>
    </w:rPr>
  </w:style>
  <w:style w:type="paragraph" w:customStyle="1" w:styleId="Annextitle">
    <w:name w:val="Annex title"/>
    <w:basedOn w:val="Annex1"/>
    <w:link w:val="AnnextitleChar"/>
    <w:qFormat/>
    <w:rsid w:val="00786846"/>
  </w:style>
  <w:style w:type="character" w:customStyle="1" w:styleId="Ttulo2Car">
    <w:name w:val="Título 2 Car"/>
    <w:aliases w:val="Titulo 2 Car,KJL:1st Level Car,2 Car,l2 Car,level 2 heading Car"/>
    <w:basedOn w:val="Fuentedeprrafopredeter"/>
    <w:link w:val="Ttulo2"/>
    <w:rsid w:val="00786846"/>
    <w:rPr>
      <w:rFonts w:ascii="Verdana" w:hAnsi="Verdana" w:cs="Arial"/>
      <w:b/>
      <w:bCs/>
      <w:iCs/>
      <w:color w:val="0C2749" w:themeColor="accent1"/>
      <w:sz w:val="28"/>
      <w:szCs w:val="28"/>
      <w:lang w:val="es-MX"/>
    </w:rPr>
  </w:style>
  <w:style w:type="character" w:customStyle="1" w:styleId="Ttulo1Car">
    <w:name w:val="Título 1 Car"/>
    <w:aliases w:val="Título1 Car,1 Car,H1 Car,l1 Car,level 1 heading Car"/>
    <w:basedOn w:val="Ttulo2Car"/>
    <w:link w:val="Ttulo1"/>
    <w:rsid w:val="00786846"/>
    <w:rPr>
      <w:rFonts w:ascii="Verdana" w:hAnsi="Verdana" w:cs="Arial"/>
      <w:b/>
      <w:bCs/>
      <w:iCs/>
      <w:color w:val="0C2749" w:themeColor="accent1"/>
      <w:sz w:val="40"/>
      <w:szCs w:val="28"/>
      <w:lang w:val="es-MX"/>
    </w:rPr>
  </w:style>
  <w:style w:type="character" w:customStyle="1" w:styleId="Annex1Char">
    <w:name w:val="Annex1 Char"/>
    <w:basedOn w:val="Ttulo1Car"/>
    <w:link w:val="Annex1"/>
    <w:rsid w:val="00786846"/>
    <w:rPr>
      <w:rFonts w:ascii="Verdana" w:hAnsi="Verdana" w:cs="Arial"/>
      <w:b/>
      <w:bCs/>
      <w:iCs/>
      <w:color w:val="0C2749" w:themeColor="accent1"/>
      <w:sz w:val="40"/>
      <w:szCs w:val="28"/>
      <w:lang w:val="es-MX"/>
    </w:rPr>
  </w:style>
  <w:style w:type="character" w:customStyle="1" w:styleId="AnnextitleChar">
    <w:name w:val="Annex title Char"/>
    <w:basedOn w:val="Annex1Char"/>
    <w:link w:val="Annextitle"/>
    <w:rsid w:val="00786846"/>
    <w:rPr>
      <w:rFonts w:ascii="Verdana" w:hAnsi="Verdana" w:cs="Arial"/>
      <w:b/>
      <w:bCs/>
      <w:iCs/>
      <w:color w:val="0C2749" w:themeColor="accent1"/>
      <w:sz w:val="40"/>
      <w:szCs w:val="28"/>
      <w:lang w:val="es-MX"/>
    </w:rPr>
  </w:style>
  <w:style w:type="character" w:customStyle="1" w:styleId="CaptionChar1">
    <w:name w:val="Caption Char1"/>
    <w:basedOn w:val="Fuentedeprrafopredeter"/>
    <w:rsid w:val="00786846"/>
    <w:rPr>
      <w:rFonts w:ascii="Verdana" w:hAnsi="Verdana"/>
      <w:b/>
      <w:bCs/>
      <w:sz w:val="16"/>
      <w:lang w:val="en-GB"/>
    </w:rPr>
  </w:style>
  <w:style w:type="character" w:customStyle="1" w:styleId="FooterChar1">
    <w:name w:val="Footer Char1"/>
    <w:basedOn w:val="Fuentedeprrafopredeter"/>
    <w:uiPriority w:val="99"/>
    <w:rsid w:val="00786846"/>
    <w:rPr>
      <w:rFonts w:ascii="Verdana" w:hAnsi="Verdana"/>
      <w:sz w:val="16"/>
      <w:szCs w:val="24"/>
      <w:lang w:val="es-ES" w:eastAsia="es-ES" w:bidi="ar-SA"/>
    </w:rPr>
  </w:style>
  <w:style w:type="character" w:customStyle="1" w:styleId="PrrafodelistaCar">
    <w:name w:val="Párrafo de lista Car"/>
    <w:link w:val="Prrafodelista"/>
    <w:uiPriority w:val="34"/>
    <w:locked/>
    <w:rsid w:val="00786846"/>
    <w:rPr>
      <w:rFonts w:ascii="Verdana" w:hAnsi="Verdana"/>
      <w:szCs w:val="24"/>
      <w:lang w:val="en-GB"/>
    </w:rPr>
  </w:style>
  <w:style w:type="paragraph" w:styleId="Mapadeldocumento">
    <w:name w:val="Document Map"/>
    <w:basedOn w:val="Normal"/>
    <w:link w:val="MapadeldocumentoCar"/>
    <w:rsid w:val="00786846"/>
    <w:pPr>
      <w:spacing w:before="0"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rsid w:val="00786846"/>
    <w:rPr>
      <w:rFonts w:ascii="Tahoma" w:hAnsi="Tahoma" w:cs="Tahoma"/>
      <w:sz w:val="16"/>
      <w:szCs w:val="16"/>
      <w:lang w:val="en-GB"/>
    </w:rPr>
  </w:style>
  <w:style w:type="character" w:customStyle="1" w:styleId="hps">
    <w:name w:val="hps"/>
    <w:basedOn w:val="Fuentedeprrafopredeter"/>
    <w:rsid w:val="00786846"/>
  </w:style>
  <w:style w:type="character" w:customStyle="1" w:styleId="shorttext">
    <w:name w:val="short_text"/>
    <w:basedOn w:val="Fuentedeprrafopredeter"/>
    <w:rsid w:val="00786846"/>
  </w:style>
  <w:style w:type="character" w:customStyle="1" w:styleId="Ttulo3Car">
    <w:name w:val="Título 3 Car"/>
    <w:link w:val="Ttulo3"/>
    <w:rsid w:val="00786846"/>
    <w:rPr>
      <w:rFonts w:ascii="Verdana" w:hAnsi="Verdana" w:cs="Arial"/>
      <w:b/>
      <w:bCs/>
      <w:color w:val="0C2749" w:themeColor="accent1"/>
      <w:sz w:val="24"/>
      <w:szCs w:val="24"/>
      <w:lang w:val="es-MX"/>
    </w:rPr>
  </w:style>
  <w:style w:type="character" w:customStyle="1" w:styleId="CarCar1">
    <w:name w:val="Car Car1"/>
    <w:uiPriority w:val="99"/>
    <w:rsid w:val="00786846"/>
    <w:rPr>
      <w:rFonts w:ascii="Verdana" w:hAnsi="Verdana"/>
      <w:b/>
      <w:bCs/>
      <w:sz w:val="16"/>
      <w:lang w:val="es-ES" w:eastAsia="es-ES" w:bidi="ar-SA"/>
    </w:rPr>
  </w:style>
  <w:style w:type="character" w:customStyle="1" w:styleId="CarCar2">
    <w:name w:val="Car Car2"/>
    <w:rsid w:val="00786846"/>
    <w:rPr>
      <w:rFonts w:ascii="Verdana" w:hAnsi="Verdana"/>
      <w:sz w:val="16"/>
      <w:szCs w:val="24"/>
      <w:lang w:val="es-ES" w:eastAsia="es-ES" w:bidi="ar-SA"/>
    </w:rPr>
  </w:style>
  <w:style w:type="character" w:customStyle="1" w:styleId="CarCar">
    <w:name w:val="Car Car"/>
    <w:rsid w:val="00786846"/>
    <w:rPr>
      <w:rFonts w:ascii="Tahoma" w:hAnsi="Tahoma" w:cs="Tahoma"/>
      <w:sz w:val="16"/>
      <w:szCs w:val="16"/>
    </w:rPr>
  </w:style>
  <w:style w:type="paragraph" w:customStyle="1" w:styleId="EstiloEncabezadoNegrita">
    <w:name w:val="Estilo Encabezado + Negrita"/>
    <w:basedOn w:val="Encabezado"/>
    <w:rsid w:val="00786846"/>
    <w:pPr>
      <w:keepLines/>
      <w:spacing w:before="0" w:after="480"/>
    </w:pPr>
    <w:rPr>
      <w:b/>
      <w:bCs/>
    </w:rPr>
  </w:style>
  <w:style w:type="paragraph" w:customStyle="1" w:styleId="EstiloEncabezado7pt">
    <w:name w:val="Estilo Encabezado + 7 pt"/>
    <w:basedOn w:val="Encabezado"/>
    <w:rsid w:val="00786846"/>
    <w:pPr>
      <w:keepLines/>
      <w:spacing w:after="0"/>
    </w:pPr>
    <w:rPr>
      <w:sz w:val="14"/>
    </w:rPr>
  </w:style>
  <w:style w:type="character" w:customStyle="1" w:styleId="EncabezadoCar">
    <w:name w:val="Encabezado Car"/>
    <w:uiPriority w:val="99"/>
    <w:rsid w:val="00786846"/>
    <w:rPr>
      <w:rFonts w:ascii="Verdana" w:hAnsi="Verdana"/>
      <w:sz w:val="16"/>
      <w:szCs w:val="24"/>
      <w:lang w:val="es-ES" w:eastAsia="es-ES" w:bidi="ar-SA"/>
    </w:rPr>
  </w:style>
  <w:style w:type="character" w:customStyle="1" w:styleId="EstiloEncabezado7ptCar">
    <w:name w:val="Estilo Encabezado + 7 pt Car"/>
    <w:rsid w:val="00786846"/>
    <w:rPr>
      <w:rFonts w:ascii="Verdana" w:hAnsi="Verdana"/>
      <w:sz w:val="14"/>
      <w:szCs w:val="24"/>
      <w:lang w:val="es-ES" w:eastAsia="es-ES" w:bidi="ar-SA"/>
    </w:rPr>
  </w:style>
  <w:style w:type="paragraph" w:styleId="Listaconnmeros">
    <w:name w:val="List Number"/>
    <w:basedOn w:val="Normal"/>
    <w:rsid w:val="00786846"/>
    <w:pPr>
      <w:tabs>
        <w:tab w:val="num" w:pos="360"/>
      </w:tabs>
      <w:spacing w:after="120" w:line="360" w:lineRule="auto"/>
      <w:ind w:left="360" w:hanging="360"/>
    </w:pPr>
  </w:style>
  <w:style w:type="paragraph" w:styleId="Listaconnmeros2">
    <w:name w:val="List Number 2"/>
    <w:basedOn w:val="Normal"/>
    <w:rsid w:val="00786846"/>
    <w:pPr>
      <w:tabs>
        <w:tab w:val="num" w:pos="643"/>
      </w:tabs>
      <w:spacing w:after="120" w:line="360" w:lineRule="auto"/>
      <w:ind w:left="643" w:hanging="360"/>
    </w:pPr>
  </w:style>
  <w:style w:type="paragraph" w:styleId="Listaconnmeros3">
    <w:name w:val="List Number 3"/>
    <w:basedOn w:val="Normal"/>
    <w:rsid w:val="00786846"/>
    <w:pPr>
      <w:tabs>
        <w:tab w:val="num" w:pos="926"/>
      </w:tabs>
      <w:spacing w:after="120" w:line="360" w:lineRule="auto"/>
      <w:ind w:left="926" w:hanging="360"/>
    </w:pPr>
  </w:style>
  <w:style w:type="paragraph" w:styleId="Listaconvietas4">
    <w:name w:val="List Bullet 4"/>
    <w:basedOn w:val="Normal"/>
    <w:rsid w:val="00786846"/>
    <w:pPr>
      <w:tabs>
        <w:tab w:val="num" w:pos="1209"/>
      </w:tabs>
      <w:spacing w:after="120" w:line="360" w:lineRule="auto"/>
      <w:ind w:left="1209" w:hanging="360"/>
    </w:pPr>
  </w:style>
  <w:style w:type="paragraph" w:styleId="Listaconvietas3">
    <w:name w:val="List Bullet 3"/>
    <w:basedOn w:val="Normal"/>
    <w:rsid w:val="00786846"/>
    <w:pPr>
      <w:tabs>
        <w:tab w:val="num" w:pos="926"/>
      </w:tabs>
      <w:spacing w:after="120" w:line="360" w:lineRule="auto"/>
      <w:ind w:left="926" w:hanging="360"/>
    </w:pPr>
  </w:style>
  <w:style w:type="paragraph" w:styleId="Listaconvietas2">
    <w:name w:val="List Bullet 2"/>
    <w:basedOn w:val="Normal"/>
    <w:rsid w:val="00786846"/>
    <w:pPr>
      <w:tabs>
        <w:tab w:val="num" w:pos="643"/>
      </w:tabs>
      <w:spacing w:after="120" w:line="360" w:lineRule="auto"/>
      <w:ind w:left="643" w:hanging="360"/>
    </w:pPr>
  </w:style>
  <w:style w:type="paragraph" w:styleId="Listaconvietas5">
    <w:name w:val="List Bullet 5"/>
    <w:basedOn w:val="Normal"/>
    <w:rsid w:val="00786846"/>
    <w:pPr>
      <w:tabs>
        <w:tab w:val="num" w:pos="1492"/>
      </w:tabs>
      <w:spacing w:after="120" w:line="360" w:lineRule="auto"/>
      <w:ind w:left="1492" w:hanging="360"/>
    </w:pPr>
  </w:style>
  <w:style w:type="character" w:styleId="Nmerodelnea">
    <w:name w:val="line number"/>
    <w:basedOn w:val="Fuentedeprrafopredeter"/>
    <w:rsid w:val="00786846"/>
  </w:style>
  <w:style w:type="paragraph" w:customStyle="1" w:styleId="Usualtext">
    <w:name w:val="Usual text"/>
    <w:basedOn w:val="Normal"/>
    <w:uiPriority w:val="99"/>
    <w:rsid w:val="00786846"/>
    <w:pPr>
      <w:spacing w:before="120" w:after="120" w:line="360" w:lineRule="auto"/>
    </w:pPr>
    <w:rPr>
      <w:szCs w:val="20"/>
    </w:rPr>
  </w:style>
  <w:style w:type="character" w:customStyle="1" w:styleId="CarCar3">
    <w:name w:val="Car Car3"/>
    <w:uiPriority w:val="99"/>
    <w:rsid w:val="00786846"/>
    <w:rPr>
      <w:rFonts w:ascii="Verdana" w:hAnsi="Verdana"/>
      <w:b/>
      <w:bCs/>
      <w:sz w:val="18"/>
    </w:rPr>
  </w:style>
  <w:style w:type="character" w:customStyle="1" w:styleId="CarCar4">
    <w:name w:val="Car Car4"/>
    <w:uiPriority w:val="99"/>
    <w:rsid w:val="00786846"/>
    <w:rPr>
      <w:rFonts w:ascii="Verdana" w:hAnsi="Verdana"/>
      <w:sz w:val="16"/>
      <w:szCs w:val="24"/>
      <w:lang w:val="es-ES" w:eastAsia="es-ES" w:bidi="ar-SA"/>
    </w:rPr>
  </w:style>
  <w:style w:type="character" w:customStyle="1" w:styleId="CarCar5">
    <w:name w:val="Car Car5"/>
    <w:rsid w:val="00786846"/>
    <w:rPr>
      <w:rFonts w:ascii="Verdana" w:hAnsi="Verdana"/>
      <w:sz w:val="16"/>
      <w:szCs w:val="24"/>
      <w:lang w:val="es-ES" w:eastAsia="es-ES" w:bidi="ar-SA"/>
    </w:rPr>
  </w:style>
  <w:style w:type="paragraph" w:styleId="Puesto">
    <w:name w:val="Title"/>
    <w:basedOn w:val="Normal"/>
    <w:next w:val="Normal"/>
    <w:link w:val="PuestoCar"/>
    <w:uiPriority w:val="10"/>
    <w:qFormat/>
    <w:rsid w:val="00786846"/>
    <w:pPr>
      <w:spacing w:after="60" w:line="360" w:lineRule="auto"/>
      <w:ind w:left="851"/>
      <w:jc w:val="center"/>
      <w:outlineLvl w:val="0"/>
    </w:pPr>
    <w:rPr>
      <w:rFonts w:ascii="Cambria" w:hAnsi="Cambria"/>
      <w:b/>
      <w:bCs/>
      <w:kern w:val="28"/>
      <w:sz w:val="32"/>
      <w:szCs w:val="32"/>
    </w:rPr>
  </w:style>
  <w:style w:type="character" w:customStyle="1" w:styleId="PuestoCar">
    <w:name w:val="Puesto Car"/>
    <w:basedOn w:val="Fuentedeprrafopredeter"/>
    <w:link w:val="Puesto"/>
    <w:uiPriority w:val="10"/>
    <w:rsid w:val="00786846"/>
    <w:rPr>
      <w:rFonts w:ascii="Cambria" w:hAnsi="Cambria"/>
      <w:b/>
      <w:bCs/>
      <w:kern w:val="28"/>
      <w:sz w:val="32"/>
      <w:szCs w:val="32"/>
      <w:lang w:val="en-GB"/>
    </w:rPr>
  </w:style>
  <w:style w:type="character" w:customStyle="1" w:styleId="Ttulo3CarCar">
    <w:name w:val="Título 3 Car Car"/>
    <w:rsid w:val="00786846"/>
    <w:rPr>
      <w:rFonts w:ascii="Verdana" w:hAnsi="Verdana" w:cs="Arial"/>
      <w:b/>
      <w:bCs/>
      <w:color w:val="B76172"/>
      <w:sz w:val="18"/>
      <w:szCs w:val="24"/>
      <w:lang w:val="es-ES" w:eastAsia="es-ES" w:bidi="ar-SA"/>
    </w:rPr>
  </w:style>
  <w:style w:type="paragraph" w:customStyle="1" w:styleId="EstiloEpgrafeSinNegrita">
    <w:name w:val="Estilo Epígrafe + Sin Negrita"/>
    <w:basedOn w:val="Descripcin"/>
    <w:rsid w:val="00786846"/>
    <w:pPr>
      <w:spacing w:before="120" w:line="360" w:lineRule="auto"/>
    </w:pPr>
    <w:rPr>
      <w:bCs w:val="0"/>
    </w:rPr>
  </w:style>
  <w:style w:type="character" w:customStyle="1" w:styleId="EstiloEpgrafeSinNegritaCar">
    <w:name w:val="Estilo Epígrafe + Sin Negrita Car"/>
    <w:rsid w:val="00786846"/>
    <w:rPr>
      <w:rFonts w:ascii="Verdana" w:hAnsi="Verdana"/>
      <w:b/>
      <w:bCs/>
      <w:sz w:val="16"/>
      <w:lang w:val="es-ES" w:eastAsia="es-ES" w:bidi="ar-SA"/>
    </w:rPr>
  </w:style>
  <w:style w:type="paragraph" w:styleId="Textonotaalfinal">
    <w:name w:val="endnote text"/>
    <w:basedOn w:val="Normal"/>
    <w:link w:val="TextonotaalfinalCar"/>
    <w:uiPriority w:val="99"/>
    <w:rsid w:val="00786846"/>
    <w:pPr>
      <w:spacing w:after="120" w:line="360" w:lineRule="auto"/>
    </w:pPr>
    <w:rPr>
      <w:szCs w:val="20"/>
    </w:rPr>
  </w:style>
  <w:style w:type="character" w:customStyle="1" w:styleId="TextonotaalfinalCar">
    <w:name w:val="Texto nota al final Car"/>
    <w:basedOn w:val="Fuentedeprrafopredeter"/>
    <w:link w:val="Textonotaalfinal"/>
    <w:uiPriority w:val="99"/>
    <w:rsid w:val="00786846"/>
    <w:rPr>
      <w:rFonts w:ascii="Verdana" w:hAnsi="Verdana"/>
      <w:lang w:val="en-GB"/>
    </w:rPr>
  </w:style>
  <w:style w:type="character" w:styleId="Refdenotaalfinal">
    <w:name w:val="endnote reference"/>
    <w:uiPriority w:val="99"/>
    <w:rsid w:val="00786846"/>
    <w:rPr>
      <w:vertAlign w:val="superscript"/>
    </w:rPr>
  </w:style>
  <w:style w:type="paragraph" w:customStyle="1" w:styleId="Tablecells">
    <w:name w:val="Table: cells"/>
    <w:basedOn w:val="Normal"/>
    <w:uiPriority w:val="99"/>
    <w:rsid w:val="00786846"/>
    <w:pPr>
      <w:keepNext/>
      <w:tabs>
        <w:tab w:val="right" w:pos="8505"/>
      </w:tabs>
      <w:spacing w:before="40" w:after="40" w:line="240" w:lineRule="exact"/>
      <w:ind w:right="113"/>
      <w:jc w:val="left"/>
    </w:pPr>
    <w:rPr>
      <w:rFonts w:ascii="Arial" w:hAnsi="Arial"/>
      <w:szCs w:val="20"/>
      <w:lang w:eastAsia="en-US"/>
    </w:rPr>
  </w:style>
  <w:style w:type="character" w:styleId="Hipervnculovisitado">
    <w:name w:val="FollowedHyperlink"/>
    <w:rsid w:val="00786846"/>
    <w:rPr>
      <w:color w:val="800080"/>
      <w:u w:val="single"/>
    </w:rPr>
  </w:style>
  <w:style w:type="paragraph" w:customStyle="1" w:styleId="xl71">
    <w:name w:val="xl71"/>
    <w:basedOn w:val="Normal"/>
    <w:rsid w:val="00786846"/>
    <w:pPr>
      <w:pBdr>
        <w:top w:val="single" w:sz="4" w:space="0" w:color="FAFBF6"/>
        <w:bottom w:val="single" w:sz="4" w:space="0" w:color="7F7F7F"/>
      </w:pBdr>
      <w:spacing w:before="100" w:beforeAutospacing="1" w:after="100" w:afterAutospacing="1" w:line="240" w:lineRule="auto"/>
      <w:jc w:val="left"/>
    </w:pPr>
    <w:rPr>
      <w:sz w:val="16"/>
      <w:szCs w:val="16"/>
    </w:rPr>
  </w:style>
  <w:style w:type="paragraph" w:customStyle="1" w:styleId="xl72">
    <w:name w:val="xl72"/>
    <w:basedOn w:val="Normal"/>
    <w:rsid w:val="00786846"/>
    <w:pPr>
      <w:pBdr>
        <w:top w:val="single" w:sz="4" w:space="0" w:color="FAFBF6"/>
        <w:bottom w:val="single" w:sz="4" w:space="0" w:color="7F7F7F"/>
      </w:pBdr>
      <w:spacing w:before="100" w:beforeAutospacing="1" w:after="100" w:afterAutospacing="1" w:line="240" w:lineRule="auto"/>
      <w:jc w:val="left"/>
    </w:pPr>
    <w:rPr>
      <w:sz w:val="16"/>
      <w:szCs w:val="16"/>
    </w:rPr>
  </w:style>
  <w:style w:type="paragraph" w:customStyle="1" w:styleId="xl73">
    <w:name w:val="xl73"/>
    <w:basedOn w:val="Normal"/>
    <w:rsid w:val="00786846"/>
    <w:pPr>
      <w:pBdr>
        <w:top w:val="single" w:sz="4" w:space="0" w:color="FAFBF6"/>
        <w:bottom w:val="single" w:sz="4" w:space="0" w:color="7F7F7F"/>
      </w:pBdr>
      <w:spacing w:before="100" w:beforeAutospacing="1" w:after="100" w:afterAutospacing="1" w:line="240" w:lineRule="auto"/>
      <w:jc w:val="left"/>
    </w:pPr>
    <w:rPr>
      <w:sz w:val="16"/>
      <w:szCs w:val="16"/>
    </w:rPr>
  </w:style>
  <w:style w:type="paragraph" w:customStyle="1" w:styleId="xl74">
    <w:name w:val="xl74"/>
    <w:basedOn w:val="Normal"/>
    <w:rsid w:val="00786846"/>
    <w:pPr>
      <w:pBdr>
        <w:top w:val="single" w:sz="4" w:space="0" w:color="FAFBF6"/>
        <w:left w:val="single" w:sz="4" w:space="0" w:color="FAFBF6"/>
        <w:bottom w:val="single" w:sz="4" w:space="0" w:color="FAFBF6"/>
      </w:pBdr>
      <w:shd w:val="clear" w:color="000000" w:fill="C4D188"/>
      <w:spacing w:before="100" w:beforeAutospacing="1" w:after="100" w:afterAutospacing="1" w:line="240" w:lineRule="auto"/>
      <w:jc w:val="left"/>
      <w:textAlignment w:val="center"/>
    </w:pPr>
    <w:rPr>
      <w:b/>
      <w:bCs/>
      <w:color w:val="7B8A35"/>
      <w:sz w:val="16"/>
      <w:szCs w:val="16"/>
    </w:rPr>
  </w:style>
  <w:style w:type="paragraph" w:customStyle="1" w:styleId="xl75">
    <w:name w:val="xl75"/>
    <w:basedOn w:val="Normal"/>
    <w:rsid w:val="00786846"/>
    <w:pPr>
      <w:pBdr>
        <w:top w:val="single" w:sz="4" w:space="0" w:color="FAFBF6"/>
        <w:left w:val="single" w:sz="4" w:space="0" w:color="FAFBF6"/>
        <w:bottom w:val="single" w:sz="4" w:space="0" w:color="FAFBF6"/>
        <w:right w:val="single" w:sz="4" w:space="0" w:color="FAFBF6"/>
      </w:pBdr>
      <w:shd w:val="clear" w:color="000000" w:fill="C4D188"/>
      <w:spacing w:before="100" w:beforeAutospacing="1" w:after="100" w:afterAutospacing="1" w:line="240" w:lineRule="auto"/>
      <w:jc w:val="left"/>
      <w:textAlignment w:val="center"/>
    </w:pPr>
    <w:rPr>
      <w:b/>
      <w:bCs/>
      <w:color w:val="7B8A35"/>
      <w:sz w:val="16"/>
      <w:szCs w:val="16"/>
    </w:rPr>
  </w:style>
  <w:style w:type="paragraph" w:customStyle="1" w:styleId="xl76">
    <w:name w:val="xl76"/>
    <w:basedOn w:val="Normal"/>
    <w:rsid w:val="00786846"/>
    <w:pPr>
      <w:pBdr>
        <w:top w:val="single" w:sz="4" w:space="0" w:color="FAFBF6"/>
        <w:bottom w:val="single" w:sz="4" w:space="0" w:color="7F7F7F"/>
      </w:pBdr>
      <w:spacing w:before="100" w:beforeAutospacing="1" w:after="100" w:afterAutospacing="1" w:line="240" w:lineRule="auto"/>
      <w:jc w:val="left"/>
    </w:pPr>
    <w:rPr>
      <w:sz w:val="16"/>
      <w:szCs w:val="16"/>
    </w:rPr>
  </w:style>
  <w:style w:type="paragraph" w:customStyle="1" w:styleId="xl77">
    <w:name w:val="xl77"/>
    <w:basedOn w:val="Normal"/>
    <w:rsid w:val="00786846"/>
    <w:pPr>
      <w:pBdr>
        <w:top w:val="single" w:sz="4" w:space="0" w:color="FAFBF6"/>
        <w:left w:val="single" w:sz="4" w:space="0" w:color="FAFBF6"/>
        <w:bottom w:val="single" w:sz="4" w:space="0" w:color="FAFBF6"/>
      </w:pBdr>
      <w:shd w:val="clear" w:color="000000" w:fill="C4D188"/>
      <w:spacing w:before="100" w:beforeAutospacing="1" w:after="100" w:afterAutospacing="1" w:line="240" w:lineRule="auto"/>
      <w:jc w:val="center"/>
      <w:textAlignment w:val="center"/>
    </w:pPr>
    <w:rPr>
      <w:b/>
      <w:bCs/>
      <w:color w:val="7B8A35"/>
      <w:sz w:val="16"/>
      <w:szCs w:val="16"/>
    </w:rPr>
  </w:style>
  <w:style w:type="paragraph" w:customStyle="1" w:styleId="xl78">
    <w:name w:val="xl78"/>
    <w:basedOn w:val="Normal"/>
    <w:rsid w:val="00786846"/>
    <w:pPr>
      <w:pBdr>
        <w:top w:val="single" w:sz="4" w:space="0" w:color="FAFBF6"/>
        <w:bottom w:val="single" w:sz="4" w:space="0" w:color="FAFBF6"/>
        <w:right w:val="single" w:sz="4" w:space="0" w:color="FAFBF6"/>
      </w:pBdr>
      <w:shd w:val="clear" w:color="000000" w:fill="C4D188"/>
      <w:spacing w:before="100" w:beforeAutospacing="1" w:after="100" w:afterAutospacing="1" w:line="240" w:lineRule="auto"/>
      <w:jc w:val="center"/>
      <w:textAlignment w:val="center"/>
    </w:pPr>
    <w:rPr>
      <w:b/>
      <w:bCs/>
      <w:color w:val="7B8A35"/>
      <w:sz w:val="16"/>
      <w:szCs w:val="16"/>
    </w:rPr>
  </w:style>
  <w:style w:type="paragraph" w:customStyle="1" w:styleId="xl79">
    <w:name w:val="xl79"/>
    <w:basedOn w:val="Normal"/>
    <w:rsid w:val="00786846"/>
    <w:pPr>
      <w:pBdr>
        <w:left w:val="single" w:sz="4" w:space="0" w:color="FAFBF6"/>
        <w:bottom w:val="single" w:sz="4" w:space="0" w:color="FAFBF6"/>
      </w:pBdr>
      <w:shd w:val="clear" w:color="000000" w:fill="C4D188"/>
      <w:spacing w:before="100" w:beforeAutospacing="1" w:after="100" w:afterAutospacing="1" w:line="240" w:lineRule="auto"/>
      <w:jc w:val="center"/>
      <w:textAlignment w:val="center"/>
    </w:pPr>
    <w:rPr>
      <w:b/>
      <w:bCs/>
      <w:color w:val="7B8A35"/>
      <w:sz w:val="16"/>
      <w:szCs w:val="16"/>
    </w:rPr>
  </w:style>
  <w:style w:type="paragraph" w:customStyle="1" w:styleId="xl80">
    <w:name w:val="xl80"/>
    <w:basedOn w:val="Normal"/>
    <w:rsid w:val="00786846"/>
    <w:pPr>
      <w:pBdr>
        <w:bottom w:val="single" w:sz="4" w:space="0" w:color="FAFBF6"/>
      </w:pBdr>
      <w:shd w:val="clear" w:color="000000" w:fill="C4D188"/>
      <w:spacing w:before="100" w:beforeAutospacing="1" w:after="100" w:afterAutospacing="1" w:line="240" w:lineRule="auto"/>
      <w:jc w:val="center"/>
      <w:textAlignment w:val="center"/>
    </w:pPr>
    <w:rPr>
      <w:b/>
      <w:bCs/>
      <w:color w:val="7B8A35"/>
      <w:sz w:val="16"/>
      <w:szCs w:val="16"/>
    </w:rPr>
  </w:style>
  <w:style w:type="paragraph" w:styleId="Listaconvietas">
    <w:name w:val="List Bullet"/>
    <w:aliases w:val="List Bullet Char Char Char Char,List Bullet Char Char Char Char Char Char Char Char,List Bullet Char Char Char Char Char Char Char,List Bullet Char Char Char Char Char Char,List Bullet Char1 Char"/>
    <w:basedOn w:val="Normal"/>
    <w:rsid w:val="00786846"/>
    <w:pPr>
      <w:tabs>
        <w:tab w:val="num" w:pos="360"/>
      </w:tabs>
      <w:spacing w:after="120" w:line="360" w:lineRule="auto"/>
      <w:ind w:left="360" w:hanging="360"/>
      <w:contextualSpacing/>
    </w:pPr>
  </w:style>
  <w:style w:type="paragraph" w:styleId="TDC4">
    <w:name w:val="toc 4"/>
    <w:basedOn w:val="Normal"/>
    <w:next w:val="Normal"/>
    <w:autoRedefine/>
    <w:uiPriority w:val="39"/>
    <w:rsid w:val="00786846"/>
    <w:pPr>
      <w:spacing w:after="120" w:line="360" w:lineRule="auto"/>
      <w:ind w:left="540"/>
    </w:pPr>
  </w:style>
  <w:style w:type="paragraph" w:styleId="TDC5">
    <w:name w:val="toc 5"/>
    <w:basedOn w:val="Normal"/>
    <w:next w:val="Normal"/>
    <w:autoRedefine/>
    <w:uiPriority w:val="39"/>
    <w:unhideWhenUsed/>
    <w:rsid w:val="00786846"/>
    <w:pPr>
      <w:spacing w:before="0" w:after="100" w:line="276" w:lineRule="auto"/>
      <w:ind w:left="880"/>
      <w:jc w:val="left"/>
    </w:pPr>
    <w:rPr>
      <w:rFonts w:ascii="Calibri" w:hAnsi="Calibri"/>
      <w:sz w:val="22"/>
      <w:szCs w:val="22"/>
    </w:rPr>
  </w:style>
  <w:style w:type="paragraph" w:styleId="TDC6">
    <w:name w:val="toc 6"/>
    <w:basedOn w:val="Normal"/>
    <w:next w:val="Normal"/>
    <w:autoRedefine/>
    <w:uiPriority w:val="39"/>
    <w:unhideWhenUsed/>
    <w:rsid w:val="00786846"/>
    <w:pPr>
      <w:spacing w:before="0" w:after="100" w:line="276" w:lineRule="auto"/>
      <w:ind w:left="1100"/>
      <w:jc w:val="left"/>
    </w:pPr>
    <w:rPr>
      <w:rFonts w:ascii="Calibri" w:hAnsi="Calibri"/>
      <w:sz w:val="22"/>
      <w:szCs w:val="22"/>
    </w:rPr>
  </w:style>
  <w:style w:type="paragraph" w:styleId="TDC7">
    <w:name w:val="toc 7"/>
    <w:basedOn w:val="Normal"/>
    <w:next w:val="Normal"/>
    <w:autoRedefine/>
    <w:uiPriority w:val="39"/>
    <w:unhideWhenUsed/>
    <w:rsid w:val="00786846"/>
    <w:pPr>
      <w:spacing w:before="0" w:after="100" w:line="276" w:lineRule="auto"/>
      <w:ind w:left="1320"/>
      <w:jc w:val="left"/>
    </w:pPr>
    <w:rPr>
      <w:rFonts w:ascii="Calibri" w:hAnsi="Calibri"/>
      <w:sz w:val="22"/>
      <w:szCs w:val="22"/>
    </w:rPr>
  </w:style>
  <w:style w:type="paragraph" w:styleId="TDC8">
    <w:name w:val="toc 8"/>
    <w:basedOn w:val="Normal"/>
    <w:next w:val="Normal"/>
    <w:autoRedefine/>
    <w:uiPriority w:val="39"/>
    <w:unhideWhenUsed/>
    <w:rsid w:val="00786846"/>
    <w:pPr>
      <w:spacing w:before="0" w:after="100" w:line="276" w:lineRule="auto"/>
      <w:ind w:left="1540"/>
      <w:jc w:val="left"/>
    </w:pPr>
    <w:rPr>
      <w:rFonts w:ascii="Calibri" w:hAnsi="Calibri"/>
      <w:sz w:val="22"/>
      <w:szCs w:val="22"/>
    </w:rPr>
  </w:style>
  <w:style w:type="paragraph" w:styleId="TDC9">
    <w:name w:val="toc 9"/>
    <w:basedOn w:val="Normal"/>
    <w:next w:val="Normal"/>
    <w:autoRedefine/>
    <w:uiPriority w:val="39"/>
    <w:unhideWhenUsed/>
    <w:rsid w:val="00786846"/>
    <w:pPr>
      <w:spacing w:before="0" w:after="100" w:line="276" w:lineRule="auto"/>
      <w:ind w:left="1760"/>
      <w:jc w:val="left"/>
    </w:pPr>
    <w:rPr>
      <w:rFonts w:ascii="Calibri" w:hAnsi="Calibri"/>
      <w:sz w:val="22"/>
      <w:szCs w:val="22"/>
    </w:rPr>
  </w:style>
  <w:style w:type="paragraph" w:customStyle="1" w:styleId="Ttulo20">
    <w:name w:val="Título2"/>
    <w:basedOn w:val="Ttulo2"/>
    <w:link w:val="Ttulo2Car0"/>
    <w:rsid w:val="00786846"/>
    <w:pPr>
      <w:numPr>
        <w:ilvl w:val="0"/>
        <w:numId w:val="0"/>
      </w:numPr>
      <w:spacing w:line="360" w:lineRule="auto"/>
      <w:ind w:left="357" w:hanging="357"/>
    </w:pPr>
    <w:rPr>
      <w:rFonts w:cs="Times New Roman"/>
      <w:color w:val="B76172"/>
      <w:sz w:val="22"/>
    </w:rPr>
  </w:style>
  <w:style w:type="character" w:customStyle="1" w:styleId="Ttulo2Car0">
    <w:name w:val="Título2 Car"/>
    <w:link w:val="Ttulo20"/>
    <w:locked/>
    <w:rsid w:val="00786846"/>
    <w:rPr>
      <w:rFonts w:ascii="Verdana" w:hAnsi="Verdana"/>
      <w:b/>
      <w:bCs/>
      <w:iCs/>
      <w:color w:val="B76172"/>
      <w:sz w:val="22"/>
      <w:szCs w:val="28"/>
      <w:lang w:val="en-GB"/>
    </w:rPr>
  </w:style>
  <w:style w:type="paragraph" w:customStyle="1" w:styleId="Ttulo40">
    <w:name w:val="Título4"/>
    <w:basedOn w:val="Normal"/>
    <w:link w:val="Ttulo4Car0"/>
    <w:rsid w:val="00786846"/>
    <w:pPr>
      <w:keepNext/>
      <w:spacing w:after="120" w:line="360" w:lineRule="auto"/>
      <w:outlineLvl w:val="3"/>
    </w:pPr>
    <w:rPr>
      <w:b/>
      <w:bCs/>
    </w:rPr>
  </w:style>
  <w:style w:type="character" w:customStyle="1" w:styleId="Ttulo4Car0">
    <w:name w:val="Título4 Car"/>
    <w:link w:val="Ttulo40"/>
    <w:locked/>
    <w:rsid w:val="00786846"/>
    <w:rPr>
      <w:rFonts w:ascii="Verdana" w:hAnsi="Verdana"/>
      <w:b/>
      <w:bCs/>
      <w:szCs w:val="24"/>
      <w:lang w:val="en-GB"/>
    </w:rPr>
  </w:style>
  <w:style w:type="paragraph" w:customStyle="1" w:styleId="Ttulo30">
    <w:name w:val="Título3"/>
    <w:basedOn w:val="Ttulo20"/>
    <w:link w:val="Ttulo3Car0"/>
    <w:uiPriority w:val="99"/>
    <w:rsid w:val="00786846"/>
    <w:pPr>
      <w:ind w:left="709" w:hanging="709"/>
      <w:outlineLvl w:val="2"/>
    </w:pPr>
  </w:style>
  <w:style w:type="character" w:customStyle="1" w:styleId="Ttulo3Car0">
    <w:name w:val="Título3 Car"/>
    <w:link w:val="Ttulo30"/>
    <w:uiPriority w:val="99"/>
    <w:locked/>
    <w:rsid w:val="00786846"/>
    <w:rPr>
      <w:rFonts w:ascii="Verdana" w:hAnsi="Verdana"/>
      <w:b/>
      <w:bCs/>
      <w:iCs/>
      <w:color w:val="B76172"/>
      <w:sz w:val="22"/>
      <w:szCs w:val="28"/>
      <w:lang w:val="en-GB"/>
    </w:rPr>
  </w:style>
  <w:style w:type="paragraph" w:customStyle="1" w:styleId="Titulo4">
    <w:name w:val="Titulo 4"/>
    <w:basedOn w:val="Normal"/>
    <w:link w:val="Titulo4Car"/>
    <w:uiPriority w:val="99"/>
    <w:rsid w:val="00786846"/>
    <w:pPr>
      <w:spacing w:line="360" w:lineRule="auto"/>
    </w:pPr>
    <w:rPr>
      <w:b/>
      <w:i/>
    </w:rPr>
  </w:style>
  <w:style w:type="character" w:customStyle="1" w:styleId="Titulo4Car">
    <w:name w:val="Titulo 4 Car"/>
    <w:link w:val="Titulo4"/>
    <w:uiPriority w:val="99"/>
    <w:locked/>
    <w:rsid w:val="00786846"/>
    <w:rPr>
      <w:rFonts w:ascii="Verdana" w:hAnsi="Verdana"/>
      <w:b/>
      <w:i/>
      <w:szCs w:val="24"/>
      <w:lang w:val="en-GB"/>
    </w:rPr>
  </w:style>
  <w:style w:type="paragraph" w:customStyle="1" w:styleId="Requisite">
    <w:name w:val="Requisite"/>
    <w:basedOn w:val="Normal"/>
    <w:uiPriority w:val="99"/>
    <w:rsid w:val="00786846"/>
    <w:pPr>
      <w:pBdr>
        <w:top w:val="single" w:sz="4" w:space="1" w:color="auto"/>
        <w:left w:val="single" w:sz="4" w:space="4" w:color="auto"/>
        <w:bottom w:val="single" w:sz="4" w:space="1" w:color="auto"/>
        <w:right w:val="single" w:sz="4" w:space="4" w:color="auto"/>
      </w:pBdr>
      <w:spacing w:after="120" w:line="360" w:lineRule="auto"/>
    </w:pPr>
  </w:style>
  <w:style w:type="paragraph" w:customStyle="1" w:styleId="Bordersmall">
    <w:name w:val="Border: small"/>
    <w:basedOn w:val="Normal"/>
    <w:next w:val="Normal"/>
    <w:uiPriority w:val="99"/>
    <w:rsid w:val="00786846"/>
    <w:pPr>
      <w:keepNext/>
      <w:tabs>
        <w:tab w:val="right" w:pos="8505"/>
      </w:tabs>
      <w:spacing w:after="120" w:line="320" w:lineRule="atLeast"/>
      <w:jc w:val="center"/>
    </w:pPr>
    <w:rPr>
      <w:sz w:val="22"/>
      <w:szCs w:val="20"/>
      <w:lang w:eastAsia="en-US"/>
    </w:rPr>
  </w:style>
  <w:style w:type="table" w:customStyle="1" w:styleId="Tablaconcuadrcula1">
    <w:name w:val="Tabla con cuadrícula1"/>
    <w:uiPriority w:val="99"/>
    <w:rsid w:val="00786846"/>
    <w:pPr>
      <w:tabs>
        <w:tab w:val="right" w:pos="8505"/>
      </w:tabs>
      <w:spacing w:after="360" w:line="360" w:lineRule="atLeast"/>
      <w:jc w:val="both"/>
    </w:pPr>
    <w:rPr>
      <w:rFonts w:ascii="Verdana" w:hAnsi="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1">
    <w:name w:val="L1"/>
    <w:basedOn w:val="Normal"/>
    <w:uiPriority w:val="99"/>
    <w:rsid w:val="00786846"/>
    <w:pPr>
      <w:spacing w:before="0" w:after="0" w:line="360" w:lineRule="atLeast"/>
      <w:ind w:left="360" w:hanging="360"/>
    </w:pPr>
    <w:rPr>
      <w:sz w:val="22"/>
      <w:szCs w:val="20"/>
      <w:lang w:eastAsia="en-US"/>
    </w:rPr>
  </w:style>
  <w:style w:type="paragraph" w:customStyle="1" w:styleId="Tablenote">
    <w:name w:val="Table: note"/>
    <w:basedOn w:val="Textonotapie"/>
    <w:uiPriority w:val="99"/>
    <w:rsid w:val="00786846"/>
    <w:pPr>
      <w:keepLines/>
      <w:tabs>
        <w:tab w:val="left" w:pos="357"/>
        <w:tab w:val="num" w:pos="1069"/>
      </w:tabs>
      <w:spacing w:before="100" w:after="120" w:line="220" w:lineRule="exact"/>
      <w:ind w:left="1069" w:hanging="360"/>
    </w:pPr>
    <w:rPr>
      <w:sz w:val="18"/>
      <w:lang w:eastAsia="en-US"/>
    </w:rPr>
  </w:style>
  <w:style w:type="table" w:customStyle="1" w:styleId="Tablaconcuadrcula2">
    <w:name w:val="Tabla con cuadrícula2"/>
    <w:uiPriority w:val="99"/>
    <w:rsid w:val="00786846"/>
    <w:pPr>
      <w:jc w:val="center"/>
    </w:pPr>
    <w:rPr>
      <w:rFonts w:ascii="Verdana" w:hAnsi="Verdana"/>
      <w:sz w:val="16"/>
    </w:rPr>
    <w:tblPr>
      <w:tblStyleRowBandSize w:val="1"/>
      <w:tblCellMar>
        <w:top w:w="0" w:type="dxa"/>
        <w:left w:w="108" w:type="dxa"/>
        <w:bottom w:w="0" w:type="dxa"/>
        <w:right w:w="108" w:type="dxa"/>
      </w:tblCellMar>
    </w:tblPr>
  </w:style>
  <w:style w:type="table" w:customStyle="1" w:styleId="CMTtabla">
    <w:name w:val="CMT tabla"/>
    <w:basedOn w:val="Tablabsica1"/>
    <w:uiPriority w:val="99"/>
    <w:rsid w:val="00786846"/>
    <w:pPr>
      <w:spacing w:before="0" w:after="0"/>
      <w:ind w:left="170"/>
      <w:jc w:val="center"/>
    </w:pPr>
    <w:rPr>
      <w:rFonts w:ascii="Arial" w:hAnsi="Arial"/>
      <w:sz w:val="18"/>
      <w:lang w:val="en-GB" w:eastAsia="en-GB"/>
    </w:rPr>
    <w:tblPr>
      <w:tblBorders>
        <w:top w:val="none" w:sz="0" w:space="0" w:color="auto"/>
        <w:bottom w:val="none" w:sz="0" w:space="0" w:color="auto"/>
        <w:insideH w:val="dotted" w:sz="4" w:space="0" w:color="auto"/>
        <w:insideV w:val="single" w:sz="4" w:space="0" w:color="FFFFFF"/>
      </w:tblBorders>
    </w:tblPr>
    <w:tcPr>
      <w:shd w:val="clear" w:color="auto" w:fill="FFFFFF"/>
    </w:tcPr>
    <w:tblStylePr w:type="firstRow">
      <w:rPr>
        <w:rFonts w:cs="Times New Roman"/>
        <w:b/>
        <w:color w:val="FFFFFF"/>
      </w:rPr>
      <w:tblPr/>
      <w:tcPr>
        <w:tcBorders>
          <w:bottom w:val="single" w:sz="6" w:space="0" w:color="008000"/>
          <w:tl2br w:val="none" w:sz="0" w:space="0" w:color="auto"/>
          <w:tr2bl w:val="none" w:sz="0" w:space="0" w:color="auto"/>
        </w:tcBorders>
        <w:shd w:val="clear" w:color="auto" w:fill="606060"/>
      </w:tcPr>
    </w:tblStylePr>
    <w:tblStylePr w:type="lastRow">
      <w:rPr>
        <w:rFonts w:ascii="Arial" w:hAnsi="Arial" w:cs="Times New Roman"/>
        <w:b w:val="0"/>
        <w:sz w:val="18"/>
      </w:rPr>
      <w:tblPr/>
      <w:tcPr>
        <w:tcBorders>
          <w:top w:val="single" w:sz="4" w:space="0" w:color="auto"/>
          <w:insideH w:val="single" w:sz="4" w:space="0" w:color="auto"/>
          <w:tl2br w:val="none" w:sz="0" w:space="0" w:color="auto"/>
          <w:tr2bl w:val="none" w:sz="0" w:space="0" w:color="auto"/>
        </w:tcBorders>
        <w:shd w:val="clear" w:color="auto" w:fill="E6E6E6"/>
      </w:tcPr>
    </w:tblStylePr>
  </w:style>
  <w:style w:type="table" w:styleId="Tablabsica1">
    <w:name w:val="Table Simple 1"/>
    <w:basedOn w:val="Tablanormal"/>
    <w:uiPriority w:val="99"/>
    <w:rsid w:val="00786846"/>
    <w:pPr>
      <w:spacing w:before="240" w:after="240"/>
      <w:jc w:val="both"/>
    </w:pPr>
    <w:rPr>
      <w:rFonts w:ascii="Verdana" w:hAnsi="Verdana"/>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CMTfuentedetabla">
    <w:name w:val="CMT fuente de tabla"/>
    <w:basedOn w:val="Normal"/>
    <w:uiPriority w:val="99"/>
    <w:rsid w:val="00786846"/>
    <w:pPr>
      <w:spacing w:after="120" w:line="360" w:lineRule="auto"/>
    </w:pPr>
    <w:rPr>
      <w:rFonts w:ascii="Arial" w:hAnsi="Arial" w:cs="Arial"/>
      <w:sz w:val="16"/>
      <w:szCs w:val="16"/>
      <w:lang w:eastAsia="ca-ES"/>
    </w:rPr>
  </w:style>
  <w:style w:type="character" w:customStyle="1" w:styleId="EpgrafeCar1">
    <w:name w:val="Epígrafe Car1"/>
    <w:locked/>
    <w:rsid w:val="00786846"/>
    <w:rPr>
      <w:rFonts w:ascii="Verdana" w:hAnsi="Verdana"/>
      <w:b/>
      <w:sz w:val="16"/>
      <w:lang w:val="es-ES" w:eastAsia="es-ES"/>
    </w:rPr>
  </w:style>
  <w:style w:type="paragraph" w:styleId="Textoindependiente">
    <w:name w:val="Body Text"/>
    <w:basedOn w:val="Normal"/>
    <w:link w:val="TextoindependienteCar"/>
    <w:rsid w:val="00786846"/>
    <w:pPr>
      <w:spacing w:before="0" w:after="200" w:line="288" w:lineRule="auto"/>
      <w:ind w:left="624"/>
    </w:pPr>
    <w:rPr>
      <w:sz w:val="22"/>
      <w:szCs w:val="22"/>
      <w:lang w:eastAsia="en-GB"/>
    </w:rPr>
  </w:style>
  <w:style w:type="character" w:customStyle="1" w:styleId="TextoindependienteCar">
    <w:name w:val="Texto independiente Car"/>
    <w:basedOn w:val="Fuentedeprrafopredeter"/>
    <w:link w:val="Textoindependiente"/>
    <w:rsid w:val="00786846"/>
    <w:rPr>
      <w:rFonts w:ascii="Verdana" w:hAnsi="Verdana"/>
      <w:sz w:val="22"/>
      <w:szCs w:val="22"/>
      <w:lang w:val="en-GB" w:eastAsia="en-GB"/>
    </w:rPr>
  </w:style>
  <w:style w:type="paragraph" w:customStyle="1" w:styleId="HeaderAddress">
    <w:name w:val="HeaderAddress"/>
    <w:basedOn w:val="Normal"/>
    <w:next w:val="Normal"/>
    <w:uiPriority w:val="99"/>
    <w:rsid w:val="00786846"/>
    <w:pPr>
      <w:spacing w:before="0" w:after="120" w:line="360" w:lineRule="auto"/>
      <w:jc w:val="left"/>
    </w:pPr>
    <w:rPr>
      <w:rFonts w:ascii="Arial" w:hAnsi="Arial"/>
      <w:noProof/>
      <w:spacing w:val="12"/>
      <w:sz w:val="13"/>
      <w:szCs w:val="22"/>
      <w:lang w:eastAsia="en-GB"/>
    </w:rPr>
  </w:style>
  <w:style w:type="paragraph" w:customStyle="1" w:styleId="Default">
    <w:name w:val="Default"/>
    <w:rsid w:val="00786846"/>
    <w:pPr>
      <w:autoSpaceDE w:val="0"/>
      <w:autoSpaceDN w:val="0"/>
      <w:adjustRightInd w:val="0"/>
    </w:pPr>
    <w:rPr>
      <w:rFonts w:ascii="Bookman Old Style" w:hAnsi="Bookman Old Style" w:cs="Bookman Old Style"/>
      <w:color w:val="000000"/>
      <w:sz w:val="24"/>
      <w:szCs w:val="24"/>
    </w:rPr>
  </w:style>
  <w:style w:type="paragraph" w:customStyle="1" w:styleId="DTReportBodyRep">
    <w:name w:val="DT Report Body Rep"/>
    <w:basedOn w:val="Normal"/>
    <w:link w:val="DTReportBodyRepChar"/>
    <w:uiPriority w:val="99"/>
    <w:rsid w:val="00786846"/>
    <w:pPr>
      <w:spacing w:before="0" w:line="288" w:lineRule="auto"/>
    </w:pPr>
    <w:rPr>
      <w:rFonts w:ascii="Arial" w:eastAsia="Batang" w:hAnsi="Arial"/>
      <w:szCs w:val="20"/>
      <w:lang w:eastAsia="en-GB"/>
    </w:rPr>
  </w:style>
  <w:style w:type="character" w:customStyle="1" w:styleId="DTReportBodyRepChar">
    <w:name w:val="DT Report Body Rep Char"/>
    <w:link w:val="DTReportBodyRep"/>
    <w:uiPriority w:val="99"/>
    <w:locked/>
    <w:rsid w:val="00786846"/>
    <w:rPr>
      <w:rFonts w:ascii="Arial" w:eastAsia="Batang" w:hAnsi="Arial"/>
      <w:lang w:val="en-GB" w:eastAsia="en-GB"/>
    </w:rPr>
  </w:style>
  <w:style w:type="paragraph" w:customStyle="1" w:styleId="DTSignOffLet">
    <w:name w:val="DT SignOff Let"/>
    <w:basedOn w:val="Normal"/>
    <w:uiPriority w:val="99"/>
    <w:rsid w:val="00786846"/>
    <w:pPr>
      <w:spacing w:before="0" w:after="600" w:line="240" w:lineRule="auto"/>
      <w:jc w:val="left"/>
    </w:pPr>
    <w:rPr>
      <w:sz w:val="22"/>
      <w:lang w:eastAsia="en-GB"/>
    </w:rPr>
  </w:style>
  <w:style w:type="paragraph" w:customStyle="1" w:styleId="Prrafodelista1">
    <w:name w:val="Párrafo de lista1"/>
    <w:basedOn w:val="Normal"/>
    <w:uiPriority w:val="99"/>
    <w:rsid w:val="00786846"/>
    <w:pPr>
      <w:spacing w:after="120" w:line="480" w:lineRule="auto"/>
      <w:ind w:left="720"/>
    </w:pPr>
    <w:rPr>
      <w:lang w:eastAsia="en-GB"/>
    </w:rPr>
  </w:style>
  <w:style w:type="paragraph" w:customStyle="1" w:styleId="DTHeading1Rep">
    <w:name w:val="DT Heading 1 Rep"/>
    <w:basedOn w:val="Normal"/>
    <w:next w:val="DTReportBodyRep"/>
    <w:uiPriority w:val="99"/>
    <w:rsid w:val="00786846"/>
    <w:pPr>
      <w:keepNext/>
      <w:pageBreakBefore/>
      <w:tabs>
        <w:tab w:val="num" w:pos="851"/>
      </w:tabs>
      <w:spacing w:before="0" w:line="440" w:lineRule="exact"/>
      <w:ind w:left="851" w:hanging="851"/>
      <w:outlineLvl w:val="0"/>
    </w:pPr>
    <w:rPr>
      <w:rFonts w:ascii="Arial" w:eastAsia="Batang" w:hAnsi="Arial" w:cs="Arial"/>
      <w:b/>
      <w:color w:val="000080"/>
      <w:sz w:val="36"/>
      <w:szCs w:val="36"/>
      <w:lang w:eastAsia="en-GB"/>
    </w:rPr>
  </w:style>
  <w:style w:type="paragraph" w:customStyle="1" w:styleId="DTHeading2Rep">
    <w:name w:val="DT Heading 2 Rep"/>
    <w:basedOn w:val="Normal"/>
    <w:next w:val="DTReportBodyRep"/>
    <w:link w:val="DTHeading2RepChar"/>
    <w:uiPriority w:val="99"/>
    <w:rsid w:val="00786846"/>
    <w:pPr>
      <w:keepNext/>
      <w:tabs>
        <w:tab w:val="num" w:pos="851"/>
      </w:tabs>
      <w:spacing w:before="0" w:line="340" w:lineRule="exact"/>
      <w:ind w:left="851" w:hanging="851"/>
      <w:outlineLvl w:val="1"/>
    </w:pPr>
    <w:rPr>
      <w:rFonts w:ascii="Arial" w:eastAsia="Batang" w:hAnsi="Arial"/>
      <w:b/>
      <w:color w:val="000080"/>
      <w:szCs w:val="20"/>
      <w:lang w:eastAsia="en-GB"/>
    </w:rPr>
  </w:style>
  <w:style w:type="character" w:customStyle="1" w:styleId="DTHeading2RepChar">
    <w:name w:val="DT Heading 2 Rep Char"/>
    <w:link w:val="DTHeading2Rep"/>
    <w:uiPriority w:val="99"/>
    <w:locked/>
    <w:rsid w:val="00786846"/>
    <w:rPr>
      <w:rFonts w:ascii="Arial" w:eastAsia="Batang" w:hAnsi="Arial"/>
      <w:b/>
      <w:color w:val="000080"/>
      <w:lang w:val="en-GB" w:eastAsia="en-GB"/>
    </w:rPr>
  </w:style>
  <w:style w:type="paragraph" w:customStyle="1" w:styleId="DTHeading3Rep">
    <w:name w:val="DT Heading 3 Rep"/>
    <w:basedOn w:val="Normal"/>
    <w:next w:val="DTReportBodyRep"/>
    <w:uiPriority w:val="99"/>
    <w:rsid w:val="00786846"/>
    <w:pPr>
      <w:keepNext/>
      <w:tabs>
        <w:tab w:val="num" w:pos="851"/>
      </w:tabs>
      <w:spacing w:before="0" w:line="340" w:lineRule="exact"/>
      <w:ind w:left="851" w:hanging="851"/>
      <w:outlineLvl w:val="2"/>
    </w:pPr>
    <w:rPr>
      <w:rFonts w:ascii="Arial" w:eastAsia="Batang" w:hAnsi="Arial" w:cs="Arial"/>
      <w:b/>
      <w:color w:val="000080"/>
      <w:sz w:val="24"/>
      <w:szCs w:val="26"/>
      <w:lang w:eastAsia="en-GB"/>
    </w:rPr>
  </w:style>
  <w:style w:type="paragraph" w:customStyle="1" w:styleId="DTHeading4Rep">
    <w:name w:val="DT Heading 4 Rep"/>
    <w:basedOn w:val="DTHeading3Rep"/>
    <w:uiPriority w:val="99"/>
    <w:rsid w:val="00786846"/>
    <w:pPr>
      <w:numPr>
        <w:ilvl w:val="3"/>
      </w:numPr>
      <w:tabs>
        <w:tab w:val="num" w:pos="864"/>
        <w:tab w:val="num" w:pos="3456"/>
      </w:tabs>
      <w:ind w:left="864" w:hanging="864"/>
    </w:pPr>
    <w:rPr>
      <w:szCs w:val="20"/>
    </w:rPr>
  </w:style>
  <w:style w:type="paragraph" w:customStyle="1" w:styleId="Prrafodelista11">
    <w:name w:val="Párrafo de lista11"/>
    <w:basedOn w:val="Normal"/>
    <w:uiPriority w:val="99"/>
    <w:rsid w:val="00786846"/>
    <w:pPr>
      <w:spacing w:before="0" w:after="0" w:line="240" w:lineRule="auto"/>
      <w:ind w:left="720"/>
      <w:jc w:val="left"/>
    </w:pPr>
    <w:rPr>
      <w:rFonts w:ascii="Calibri" w:hAnsi="Calibri"/>
      <w:sz w:val="22"/>
      <w:szCs w:val="22"/>
      <w:lang w:eastAsia="en-GB"/>
    </w:rPr>
  </w:style>
  <w:style w:type="paragraph" w:customStyle="1" w:styleId="BvDNormal11">
    <w:name w:val="BvD_Normal11"/>
    <w:basedOn w:val="Normal"/>
    <w:link w:val="BvDNormal11Char5"/>
    <w:uiPriority w:val="99"/>
    <w:rsid w:val="00786846"/>
    <w:pPr>
      <w:spacing w:before="0" w:after="0" w:line="240" w:lineRule="auto"/>
    </w:pPr>
    <w:rPr>
      <w:rFonts w:ascii="Book Antiqua" w:hAnsi="Book Antiqua"/>
      <w:sz w:val="22"/>
      <w:szCs w:val="20"/>
      <w:lang w:val="en-US" w:eastAsia="en-US"/>
    </w:rPr>
  </w:style>
  <w:style w:type="character" w:customStyle="1" w:styleId="BvDNormal11Char5">
    <w:name w:val="BvD_Normal11 Char5"/>
    <w:link w:val="BvDNormal11"/>
    <w:uiPriority w:val="99"/>
    <w:locked/>
    <w:rsid w:val="00786846"/>
    <w:rPr>
      <w:rFonts w:ascii="Book Antiqua" w:hAnsi="Book Antiqua"/>
      <w:sz w:val="22"/>
      <w:lang w:val="en-US" w:eastAsia="en-US"/>
    </w:rPr>
  </w:style>
  <w:style w:type="table" w:customStyle="1" w:styleId="MediumShading1-Accent31">
    <w:name w:val="Medium Shading 1 - Accent 31"/>
    <w:uiPriority w:val="99"/>
    <w:rsid w:val="00786846"/>
    <w:rPr>
      <w:rFonts w:ascii="Verdana" w:hAnsi="Verdana"/>
      <w:lang w:val="fr-BE" w:eastAsia="zh-C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LightList-Accent31">
    <w:name w:val="Light List - Accent 31"/>
    <w:uiPriority w:val="99"/>
    <w:rsid w:val="00786846"/>
    <w:rPr>
      <w:rFonts w:ascii="Verdana" w:hAnsi="Verdana"/>
      <w:lang w:val="fr-BE" w:eastAsia="zh-CN"/>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customStyle="1" w:styleId="apple-style-span">
    <w:name w:val="apple-style-span"/>
    <w:rsid w:val="00786846"/>
  </w:style>
  <w:style w:type="paragraph" w:customStyle="1" w:styleId="normaltableau">
    <w:name w:val="normal_tableau"/>
    <w:basedOn w:val="Normal"/>
    <w:rsid w:val="00786846"/>
    <w:pPr>
      <w:spacing w:after="120" w:line="240" w:lineRule="auto"/>
    </w:pPr>
    <w:rPr>
      <w:rFonts w:ascii="Optima" w:hAnsi="Optima"/>
      <w:sz w:val="22"/>
      <w:szCs w:val="20"/>
      <w:lang w:eastAsia="en-GB"/>
    </w:rPr>
  </w:style>
  <w:style w:type="character" w:customStyle="1" w:styleId="CarCar7">
    <w:name w:val="Car Car7"/>
    <w:uiPriority w:val="99"/>
    <w:rsid w:val="00786846"/>
    <w:rPr>
      <w:rFonts w:ascii="Verdana" w:hAnsi="Verdana"/>
      <w:b/>
      <w:i/>
      <w:sz w:val="24"/>
      <w:lang w:val="es-ES" w:eastAsia="es-ES"/>
    </w:rPr>
  </w:style>
  <w:style w:type="table" w:styleId="Tablavistosa2">
    <w:name w:val="Table Colorful 2"/>
    <w:basedOn w:val="Tablanormal"/>
    <w:uiPriority w:val="99"/>
    <w:rsid w:val="00786846"/>
    <w:pPr>
      <w:spacing w:before="240" w:after="240" w:line="336" w:lineRule="auto"/>
      <w:jc w:val="both"/>
    </w:pPr>
    <w:rPr>
      <w:rFonts w:ascii="Verdana" w:hAnsi="Verdana"/>
    </w:rPr>
    <w:tblPr>
      <w:tblStyleRowBandSize w:val="1"/>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lastRow">
      <w:rPr>
        <w:rFonts w:cs="Times New Roman"/>
      </w:rPr>
      <w:tblPr/>
      <w:tcPr>
        <w:shd w:val="clear" w:color="auto"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op w:val="nil"/>
          <w:left w:val="nil"/>
          <w:bottom w:val="nil"/>
          <w:right w:val="nil"/>
          <w:insideH w:val="nil"/>
          <w:insideV w:val="nil"/>
          <w:tl2br w:val="nil"/>
          <w:tr2bl w:val="nil"/>
        </w:tcBorders>
        <w:shd w:val="clear" w:color="auto" w:fill="FFFFFF"/>
      </w:tcPr>
    </w:tblStylePr>
    <w:tblStylePr w:type="band1Horz">
      <w:rPr>
        <w:rFonts w:cs="Times New Roman"/>
      </w:rPr>
      <w:tblPr/>
      <w:tcPr>
        <w:shd w:val="clear" w:color="auto" w:fill="FFFFFF"/>
      </w:tcPr>
    </w:tblStylePr>
    <w:tblStylePr w:type="band2Horz">
      <w:rPr>
        <w:rFonts w:cs="Times New Roman"/>
      </w:rPr>
      <w:tblPr/>
      <w:tcPr>
        <w:shd w:val="clear" w:color="auto" w:fill="FFFFFF"/>
      </w:tcPr>
    </w:tblStylePr>
    <w:tblStylePr w:type="swCell">
      <w:rPr>
        <w:rFonts w:cs="Times New Roman"/>
        <w:b/>
        <w:bCs/>
        <w:i w:val="0"/>
        <w:iCs w:val="0"/>
      </w:rPr>
      <w:tblPr/>
      <w:tcPr>
        <w:tcBorders>
          <w:tl2br w:val="none" w:sz="0" w:space="0" w:color="auto"/>
          <w:tr2bl w:val="none" w:sz="0" w:space="0" w:color="auto"/>
        </w:tcBorders>
      </w:tcPr>
    </w:tblStylePr>
  </w:style>
  <w:style w:type="character" w:customStyle="1" w:styleId="Textodelmarcadordeposicin1">
    <w:name w:val="Texto del marcador de posición1"/>
    <w:uiPriority w:val="99"/>
    <w:semiHidden/>
    <w:rsid w:val="00786846"/>
    <w:rPr>
      <w:color w:val="808080"/>
    </w:rPr>
  </w:style>
  <w:style w:type="paragraph" w:customStyle="1" w:styleId="Cita1">
    <w:name w:val="Cita1"/>
    <w:basedOn w:val="Normal"/>
    <w:next w:val="Normal"/>
    <w:link w:val="QuoteChar"/>
    <w:uiPriority w:val="99"/>
    <w:rsid w:val="00786846"/>
    <w:pPr>
      <w:spacing w:after="120" w:line="360" w:lineRule="auto"/>
    </w:pPr>
    <w:rPr>
      <w:i/>
      <w:iCs/>
      <w:color w:val="000000"/>
      <w:sz w:val="24"/>
    </w:rPr>
  </w:style>
  <w:style w:type="character" w:customStyle="1" w:styleId="QuoteChar">
    <w:name w:val="Quote Char"/>
    <w:link w:val="Cita1"/>
    <w:uiPriority w:val="29"/>
    <w:locked/>
    <w:rsid w:val="00786846"/>
    <w:rPr>
      <w:rFonts w:ascii="Verdana" w:hAnsi="Verdana"/>
      <w:i/>
      <w:iCs/>
      <w:color w:val="000000"/>
      <w:sz w:val="24"/>
      <w:szCs w:val="24"/>
      <w:lang w:val="en-GB"/>
    </w:rPr>
  </w:style>
  <w:style w:type="table" w:styleId="Listaclara-nfasis3">
    <w:name w:val="Light List Accent 3"/>
    <w:basedOn w:val="Tablanormal"/>
    <w:uiPriority w:val="99"/>
    <w:rsid w:val="00786846"/>
    <w:rPr>
      <w:rFonts w:ascii="Verdana" w:hAnsi="Verdana"/>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character" w:styleId="Textodelmarcadordeposicin">
    <w:name w:val="Placeholder Text"/>
    <w:uiPriority w:val="99"/>
    <w:semiHidden/>
    <w:rsid w:val="00786846"/>
    <w:rPr>
      <w:color w:val="808080"/>
    </w:rPr>
  </w:style>
  <w:style w:type="paragraph" w:customStyle="1" w:styleId="Justificaciones">
    <w:name w:val="Justificacionesç"/>
    <w:basedOn w:val="Normal"/>
    <w:link w:val="JustificacionesCar"/>
    <w:qFormat/>
    <w:rsid w:val="00786846"/>
    <w:pPr>
      <w:spacing w:after="120" w:line="360" w:lineRule="auto"/>
    </w:pPr>
    <w:rPr>
      <w:b/>
      <w:bCs/>
    </w:rPr>
  </w:style>
  <w:style w:type="character" w:customStyle="1" w:styleId="JustificacionesCar">
    <w:name w:val="Justificacionesç Car"/>
    <w:link w:val="Justificaciones"/>
    <w:rsid w:val="00786846"/>
    <w:rPr>
      <w:rFonts w:ascii="Verdana" w:hAnsi="Verdana"/>
      <w:b/>
      <w:bCs/>
      <w:szCs w:val="24"/>
      <w:lang w:val="en-GB"/>
    </w:rPr>
  </w:style>
  <w:style w:type="character" w:customStyle="1" w:styleId="atn">
    <w:name w:val="atn"/>
    <w:basedOn w:val="Fuentedeprrafopredeter"/>
    <w:rsid w:val="00786846"/>
  </w:style>
  <w:style w:type="character" w:customStyle="1" w:styleId="apple-converted-space">
    <w:name w:val="apple-converted-space"/>
    <w:basedOn w:val="Fuentedeprrafopredeter"/>
    <w:rsid w:val="00786846"/>
  </w:style>
  <w:style w:type="paragraph" w:styleId="Sinespaciado">
    <w:name w:val="No Spacing"/>
    <w:uiPriority w:val="1"/>
    <w:qFormat/>
    <w:rsid w:val="00786846"/>
    <w:pPr>
      <w:jc w:val="both"/>
    </w:pPr>
    <w:rPr>
      <w:rFonts w:ascii="Verdana" w:hAnsi="Verdana"/>
      <w:szCs w:val="24"/>
      <w:lang w:val="en-GB"/>
    </w:rPr>
  </w:style>
  <w:style w:type="paragraph" w:styleId="Remitedesobre">
    <w:name w:val="envelope return"/>
    <w:basedOn w:val="Normal"/>
    <w:rsid w:val="00786846"/>
    <w:pPr>
      <w:spacing w:before="0" w:after="0" w:line="240" w:lineRule="auto"/>
    </w:pPr>
    <w:rPr>
      <w:rFonts w:asciiTheme="majorHAnsi" w:eastAsiaTheme="majorEastAsia" w:hAnsiTheme="majorHAnsi" w:cstheme="majorBidi"/>
      <w:szCs w:val="20"/>
    </w:rPr>
  </w:style>
  <w:style w:type="character" w:customStyle="1" w:styleId="BulletPointsCar">
    <w:name w:val="Bullet Points Car"/>
    <w:basedOn w:val="Fuentedeprrafopredeter"/>
    <w:link w:val="BulletPoints"/>
    <w:uiPriority w:val="99"/>
    <w:locked/>
    <w:rsid w:val="00786846"/>
    <w:rPr>
      <w:rFonts w:ascii="Verdana" w:hAnsi="Verdana"/>
      <w:szCs w:val="24"/>
      <w:lang w:val="es-MX"/>
    </w:rPr>
  </w:style>
  <w:style w:type="paragraph" w:customStyle="1" w:styleId="BulletPoints">
    <w:name w:val="Bullet Points"/>
    <w:basedOn w:val="Normal"/>
    <w:link w:val="BulletPointsCar"/>
    <w:uiPriority w:val="99"/>
    <w:qFormat/>
    <w:rsid w:val="00786846"/>
    <w:pPr>
      <w:numPr>
        <w:numId w:val="10"/>
      </w:numPr>
    </w:pPr>
  </w:style>
  <w:style w:type="table" w:customStyle="1" w:styleId="Tablaconcuadrcula3">
    <w:name w:val="Tabla con cuadrícula3"/>
    <w:basedOn w:val="Tablanormal"/>
    <w:rsid w:val="007868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1">
    <w:name w:val="Encabezado Car1"/>
    <w:basedOn w:val="Fuentedeprrafopredeter"/>
    <w:link w:val="Encabezado"/>
    <w:uiPriority w:val="99"/>
    <w:rsid w:val="00674E82"/>
    <w:rPr>
      <w:rFonts w:ascii="Verdana" w:hAnsi="Verdana"/>
      <w:sz w:val="16"/>
      <w:szCs w:val="24"/>
      <w:lang w:val="en-GB"/>
    </w:rPr>
  </w:style>
  <w:style w:type="character" w:customStyle="1" w:styleId="FooterChar">
    <w:name w:val="Footer Char"/>
    <w:basedOn w:val="Fuentedeprrafopredeter"/>
    <w:uiPriority w:val="99"/>
    <w:rsid w:val="00674E82"/>
    <w:rPr>
      <w:rFonts w:ascii="Verdana" w:eastAsia="Times New Roman" w:hAnsi="Verdana" w:cs="Times New Roman"/>
      <w:sz w:val="20"/>
      <w:szCs w:val="24"/>
      <w:lang w:val="en-GB" w:eastAsia="es-ES"/>
    </w:rPr>
  </w:style>
  <w:style w:type="character" w:customStyle="1" w:styleId="Indentado3Char">
    <w:name w:val="Indentado 3 Char"/>
    <w:basedOn w:val="I1Car"/>
    <w:rsid w:val="00674E82"/>
    <w:rPr>
      <w:rFonts w:ascii="Verdana" w:eastAsia="Times New Roman" w:hAnsi="Verdana" w:cs="Times New Roman"/>
      <w:sz w:val="20"/>
      <w:szCs w:val="24"/>
      <w:lang w:val="en-GB" w:eastAsia="es-ES"/>
    </w:rPr>
  </w:style>
  <w:style w:type="character" w:customStyle="1" w:styleId="Indentado1Char">
    <w:name w:val="Indentado 1 Char"/>
    <w:basedOn w:val="I1Car"/>
    <w:rsid w:val="00674E82"/>
    <w:rPr>
      <w:rFonts w:ascii="Verdana" w:eastAsia="Times New Roman" w:hAnsi="Verdana" w:cs="Times New Roman"/>
      <w:sz w:val="20"/>
      <w:szCs w:val="24"/>
      <w:lang w:val="en-GB" w:eastAsia="es-ES"/>
    </w:rPr>
  </w:style>
  <w:style w:type="character" w:customStyle="1" w:styleId="CaptionChar">
    <w:name w:val="Caption Char"/>
    <w:locked/>
    <w:rsid w:val="00674E82"/>
    <w:rPr>
      <w:rFonts w:ascii="Verdana" w:hAnsi="Verdana"/>
      <w:b/>
      <w:sz w:val="16"/>
    </w:rPr>
  </w:style>
  <w:style w:type="paragraph" w:styleId="TtulodeTDC">
    <w:name w:val="TOC Heading"/>
    <w:basedOn w:val="Ttulo1"/>
    <w:next w:val="Normal"/>
    <w:uiPriority w:val="39"/>
    <w:semiHidden/>
    <w:unhideWhenUsed/>
    <w:qFormat/>
    <w:rsid w:val="00674E82"/>
    <w:pPr>
      <w:keepLines/>
      <w:numPr>
        <w:numId w:val="0"/>
      </w:numPr>
      <w:spacing w:after="0" w:line="276" w:lineRule="auto"/>
      <w:jc w:val="left"/>
      <w:outlineLvl w:val="9"/>
    </w:pPr>
    <w:rPr>
      <w:rFonts w:asciiTheme="majorHAnsi" w:eastAsiaTheme="majorEastAsia" w:hAnsiTheme="majorHAnsi" w:cstheme="majorBidi"/>
      <w:iCs w:val="0"/>
      <w:color w:val="091D36" w:themeColor="accent1" w:themeShade="BF"/>
      <w:sz w:val="28"/>
      <w:lang w:val="en-US" w:eastAsia="ja-JP"/>
    </w:rPr>
  </w:style>
  <w:style w:type="numbering" w:customStyle="1" w:styleId="Annexheadings">
    <w:name w:val="Annex headings"/>
    <w:uiPriority w:val="99"/>
    <w:rsid w:val="00674E82"/>
    <w:pPr>
      <w:numPr>
        <w:numId w:val="11"/>
      </w:numPr>
    </w:pPr>
  </w:style>
  <w:style w:type="paragraph" w:customStyle="1" w:styleId="Annexlevel2">
    <w:name w:val="Annex level 2"/>
    <w:basedOn w:val="Ttulo2"/>
    <w:link w:val="Annexlevel2Char"/>
    <w:qFormat/>
    <w:rsid w:val="00754F40"/>
    <w:pPr>
      <w:numPr>
        <w:numId w:val="12"/>
      </w:numPr>
      <w:ind w:left="709" w:hanging="709"/>
    </w:pPr>
    <w:rPr>
      <w:color w:val="0C2749"/>
      <w:lang w:val="en-US"/>
    </w:rPr>
  </w:style>
  <w:style w:type="paragraph" w:customStyle="1" w:styleId="Annexlevel3">
    <w:name w:val="Annex level 3"/>
    <w:basedOn w:val="Annexlevel2"/>
    <w:link w:val="Annexlevel3Char"/>
    <w:qFormat/>
    <w:rsid w:val="00674E82"/>
    <w:pPr>
      <w:numPr>
        <w:ilvl w:val="2"/>
      </w:numPr>
      <w:ind w:left="992" w:hanging="992"/>
      <w:outlineLvl w:val="2"/>
    </w:pPr>
    <w:rPr>
      <w:sz w:val="24"/>
    </w:rPr>
  </w:style>
  <w:style w:type="character" w:customStyle="1" w:styleId="Annexlevel2Char">
    <w:name w:val="Annex level 2 Char"/>
    <w:basedOn w:val="Ttulo2Car"/>
    <w:link w:val="Annexlevel2"/>
    <w:rsid w:val="00754F40"/>
    <w:rPr>
      <w:rFonts w:ascii="Verdana" w:hAnsi="Verdana" w:cs="Arial"/>
      <w:b/>
      <w:bCs/>
      <w:iCs/>
      <w:color w:val="0C2749"/>
      <w:sz w:val="28"/>
      <w:szCs w:val="28"/>
      <w:lang w:val="en-US"/>
    </w:rPr>
  </w:style>
  <w:style w:type="character" w:customStyle="1" w:styleId="Annexlevel3Char">
    <w:name w:val="Annex level 3 Char"/>
    <w:basedOn w:val="Annexlevel2Char"/>
    <w:link w:val="Annexlevel3"/>
    <w:rsid w:val="00674E82"/>
    <w:rPr>
      <w:rFonts w:ascii="Verdana" w:hAnsi="Verdana" w:cs="Arial"/>
      <w:b/>
      <w:bCs/>
      <w:iCs/>
      <w:color w:val="0C2749"/>
      <w:sz w:val="24"/>
      <w:szCs w:val="28"/>
      <w:lang w:val="en-US"/>
    </w:rPr>
  </w:style>
  <w:style w:type="character" w:customStyle="1" w:styleId="Indentado1Car0">
    <w:name w:val="Indentado 1 Car"/>
    <w:basedOn w:val="Fuentedeprrafopredeter"/>
    <w:uiPriority w:val="99"/>
    <w:locked/>
    <w:rsid w:val="008F1810"/>
    <w:rPr>
      <w:rFonts w:ascii="Verdana" w:hAnsi="Verdana"/>
      <w:szCs w:val="24"/>
      <w:lang w:val="en-GB"/>
    </w:rPr>
  </w:style>
  <w:style w:type="paragraph" w:customStyle="1" w:styleId="Questions">
    <w:name w:val="Questions"/>
    <w:basedOn w:val="Boxes"/>
    <w:link w:val="QuestionsChar"/>
    <w:qFormat/>
    <w:rsid w:val="002B61AC"/>
    <w:pPr>
      <w:numPr>
        <w:numId w:val="0"/>
      </w:numPr>
      <w:ind w:left="142"/>
    </w:pPr>
  </w:style>
  <w:style w:type="character" w:customStyle="1" w:styleId="QuestionsChar">
    <w:name w:val="Questions Char"/>
    <w:basedOn w:val="BoxesCar"/>
    <w:link w:val="Questions"/>
    <w:rsid w:val="002B61AC"/>
    <w:rPr>
      <w:rFonts w:ascii="Verdana" w:hAnsi="Verdana"/>
      <w:b/>
      <w:color w:val="165194" w:themeColor="accent2"/>
      <w:sz w:val="16"/>
      <w:szCs w:val="24"/>
      <w:lang w:val="en-GB"/>
    </w:rPr>
  </w:style>
  <w:style w:type="table" w:styleId="Cuadrculavistosa-nfasis4">
    <w:name w:val="Colorful Grid Accent 4"/>
    <w:basedOn w:val="Tablanormal"/>
    <w:uiPriority w:val="73"/>
    <w:rsid w:val="00921409"/>
    <w:rPr>
      <w:color w:val="0C2749" w:themeColor="text1"/>
    </w:rPr>
    <w:tblPr>
      <w:tblStyleRowBandSize w:val="1"/>
      <w:tblStyleColBandSize w:val="1"/>
      <w:tblBorders>
        <w:insideH w:val="single" w:sz="4" w:space="0" w:color="FFFFFF" w:themeColor="background1"/>
      </w:tblBorders>
    </w:tblPr>
    <w:tcPr>
      <w:shd w:val="clear" w:color="auto" w:fill="DCE1E3" w:themeFill="accent4" w:themeFillTint="33"/>
    </w:tcPr>
    <w:tblStylePr w:type="firstRow">
      <w:rPr>
        <w:b/>
        <w:bCs/>
      </w:rPr>
      <w:tblPr/>
      <w:tcPr>
        <w:shd w:val="clear" w:color="auto" w:fill="BAC3C8" w:themeFill="accent4" w:themeFillTint="66"/>
      </w:tcPr>
    </w:tblStylePr>
    <w:tblStylePr w:type="lastRow">
      <w:rPr>
        <w:b/>
        <w:bCs/>
        <w:color w:val="0C2749" w:themeColor="text1"/>
      </w:rPr>
      <w:tblPr/>
      <w:tcPr>
        <w:shd w:val="clear" w:color="auto" w:fill="BAC3C8" w:themeFill="accent4" w:themeFillTint="66"/>
      </w:tcPr>
    </w:tblStylePr>
    <w:tblStylePr w:type="firstCol">
      <w:rPr>
        <w:color w:val="FFFFFF" w:themeColor="background1"/>
      </w:rPr>
      <w:tblPr/>
      <w:tcPr>
        <w:shd w:val="clear" w:color="auto" w:fill="434D53" w:themeFill="accent4" w:themeFillShade="BF"/>
      </w:tcPr>
    </w:tblStylePr>
    <w:tblStylePr w:type="lastCol">
      <w:rPr>
        <w:color w:val="FFFFFF" w:themeColor="background1"/>
      </w:rPr>
      <w:tblPr/>
      <w:tcPr>
        <w:shd w:val="clear" w:color="auto" w:fill="434D53" w:themeFill="accent4" w:themeFillShade="BF"/>
      </w:tcPr>
    </w:tblStylePr>
    <w:tblStylePr w:type="band1Vert">
      <w:tblPr/>
      <w:tcPr>
        <w:shd w:val="clear" w:color="auto" w:fill="A9B4BA" w:themeFill="accent4" w:themeFillTint="7F"/>
      </w:tcPr>
    </w:tblStylePr>
    <w:tblStylePr w:type="band1Horz">
      <w:tblPr/>
      <w:tcPr>
        <w:shd w:val="clear" w:color="auto" w:fill="A9B4BA" w:themeFill="accent4" w:themeFillTint="7F"/>
      </w:tcPr>
    </w:tblStylePr>
  </w:style>
  <w:style w:type="table" w:styleId="Sombreadomedio2-nfasis5">
    <w:name w:val="Medium Shading 2 Accent 5"/>
    <w:basedOn w:val="Tablanormal"/>
    <w:uiPriority w:val="64"/>
    <w:rsid w:val="0092140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F413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F4136" w:themeFill="accent5"/>
      </w:tcPr>
    </w:tblStylePr>
    <w:tblStylePr w:type="lastCol">
      <w:rPr>
        <w:b/>
        <w:bCs/>
        <w:color w:val="FFFFFF" w:themeColor="background1"/>
      </w:rPr>
      <w:tblPr/>
      <w:tcPr>
        <w:tcBorders>
          <w:left w:val="nil"/>
          <w:right w:val="nil"/>
          <w:insideH w:val="nil"/>
          <w:insideV w:val="nil"/>
        </w:tcBorders>
        <w:shd w:val="clear" w:color="auto" w:fill="EF413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ListParagraph1">
    <w:name w:val="List Paragraph1"/>
    <w:basedOn w:val="Normal"/>
    <w:rsid w:val="00921409"/>
    <w:pPr>
      <w:spacing w:before="0" w:after="0" w:line="240" w:lineRule="auto"/>
      <w:ind w:left="720"/>
      <w:jc w:val="left"/>
    </w:pPr>
    <w:rPr>
      <w:rFonts w:ascii="Calibri" w:hAnsi="Calibri"/>
      <w:sz w:val="22"/>
      <w:szCs w:val="22"/>
      <w:lang w:eastAsia="en-GB"/>
    </w:rPr>
  </w:style>
  <w:style w:type="paragraph" w:styleId="Sangra3detindependiente">
    <w:name w:val="Body Text Indent 3"/>
    <w:basedOn w:val="Normal"/>
    <w:link w:val="Sangra3detindependienteCar"/>
    <w:uiPriority w:val="99"/>
    <w:rsid w:val="00921409"/>
    <w:pPr>
      <w:spacing w:before="0" w:after="0" w:line="240" w:lineRule="auto"/>
      <w:ind w:left="4242"/>
      <w:jc w:val="center"/>
    </w:pPr>
    <w:rPr>
      <w:rFonts w:ascii="Times New Roman" w:hAnsi="Times New Roman"/>
      <w:sz w:val="28"/>
      <w:lang w:val="hu-HU" w:eastAsia="hu-HU"/>
    </w:rPr>
  </w:style>
  <w:style w:type="character" w:customStyle="1" w:styleId="Sangra3detindependienteCar">
    <w:name w:val="Sangría 3 de t. independiente Car"/>
    <w:basedOn w:val="Fuentedeprrafopredeter"/>
    <w:link w:val="Sangra3detindependiente"/>
    <w:uiPriority w:val="99"/>
    <w:rsid w:val="00921409"/>
    <w:rPr>
      <w:sz w:val="28"/>
      <w:szCs w:val="24"/>
      <w:lang w:val="hu-HU" w:eastAsia="hu-HU"/>
    </w:rPr>
  </w:style>
  <w:style w:type="paragraph" w:customStyle="1" w:styleId="almenstyle27style29style30">
    <w:name w:val="almen style27 style29 style30"/>
    <w:basedOn w:val="Normal"/>
    <w:rsid w:val="00921409"/>
    <w:pPr>
      <w:spacing w:before="0" w:after="0" w:line="240" w:lineRule="auto"/>
      <w:jc w:val="left"/>
    </w:pPr>
    <w:rPr>
      <w:rFonts w:ascii="Times New Roman" w:hAnsi="Times New Roman"/>
      <w:sz w:val="24"/>
      <w:lang w:val="hu-HU" w:eastAsia="hu-HU"/>
    </w:rPr>
  </w:style>
  <w:style w:type="table" w:styleId="Listavistosa-nfasis3">
    <w:name w:val="Colorful List Accent 3"/>
    <w:basedOn w:val="Tablanormal"/>
    <w:uiPriority w:val="72"/>
    <w:rsid w:val="00921409"/>
    <w:rPr>
      <w:color w:val="0C2749" w:themeColor="text1"/>
    </w:rPr>
    <w:tblPr>
      <w:tblStyleRowBandSize w:val="1"/>
      <w:tblStyleColBandSize w:val="1"/>
    </w:tblPr>
    <w:tcPr>
      <w:shd w:val="clear" w:color="auto" w:fill="FDECEB" w:themeFill="accent3" w:themeFillTint="19"/>
    </w:tcPr>
    <w:tblStylePr w:type="firstRow">
      <w:rPr>
        <w:b/>
        <w:bCs/>
        <w:color w:val="FFFFFF" w:themeColor="background1"/>
      </w:rPr>
      <w:tblPr/>
      <w:tcPr>
        <w:tcBorders>
          <w:bottom w:val="single" w:sz="12" w:space="0" w:color="FFFFFF" w:themeColor="background1"/>
        </w:tcBorders>
        <w:shd w:val="clear" w:color="auto" w:fill="485359" w:themeFill="accent4" w:themeFillShade="CC"/>
      </w:tcPr>
    </w:tblStylePr>
    <w:tblStylePr w:type="lastRow">
      <w:rPr>
        <w:b/>
        <w:bCs/>
        <w:color w:val="485359" w:themeColor="accent4" w:themeShade="CC"/>
      </w:rPr>
      <w:tblPr/>
      <w:tcPr>
        <w:tcBorders>
          <w:top w:val="single" w:sz="12" w:space="0" w:color="0C274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CFCD" w:themeFill="accent3" w:themeFillTint="3F"/>
      </w:tcPr>
    </w:tblStylePr>
    <w:tblStylePr w:type="band1Horz">
      <w:tblPr/>
      <w:tcPr>
        <w:shd w:val="clear" w:color="auto" w:fill="FBD8D6" w:themeFill="accent3" w:themeFillTint="33"/>
      </w:tcPr>
    </w:tblStylePr>
  </w:style>
  <w:style w:type="paragraph" w:styleId="Lista">
    <w:name w:val="List"/>
    <w:basedOn w:val="Normal"/>
    <w:rsid w:val="00921409"/>
    <w:pPr>
      <w:ind w:left="283" w:hanging="283"/>
      <w:contextualSpacing/>
    </w:pPr>
  </w:style>
  <w:style w:type="paragraph" w:customStyle="1" w:styleId="Logro">
    <w:name w:val="Logro"/>
    <w:basedOn w:val="Textoindependiente"/>
    <w:autoRedefine/>
    <w:rsid w:val="00921409"/>
    <w:pPr>
      <w:spacing w:after="60" w:line="220" w:lineRule="atLeast"/>
      <w:ind w:left="0" w:right="34"/>
    </w:pPr>
    <w:rPr>
      <w:rFonts w:ascii="Times New Roman" w:hAnsi="Times New Roman"/>
      <w:sz w:val="20"/>
      <w:szCs w:val="20"/>
      <w:lang w:eastAsia="es-ES"/>
    </w:rPr>
  </w:style>
  <w:style w:type="paragraph" w:customStyle="1" w:styleId="Organizacin">
    <w:name w:val="Organización"/>
    <w:basedOn w:val="Normal"/>
    <w:next w:val="Normal"/>
    <w:autoRedefine/>
    <w:rsid w:val="00921409"/>
    <w:pPr>
      <w:tabs>
        <w:tab w:val="left" w:pos="2160"/>
        <w:tab w:val="right" w:pos="6480"/>
      </w:tabs>
      <w:spacing w:before="220" w:after="40" w:line="220" w:lineRule="atLeast"/>
      <w:ind w:right="-360"/>
      <w:jc w:val="left"/>
    </w:pPr>
    <w:rPr>
      <w:rFonts w:ascii="Times New Roman" w:hAnsi="Times New Roman"/>
      <w:szCs w:val="20"/>
    </w:rPr>
  </w:style>
  <w:style w:type="paragraph" w:customStyle="1" w:styleId="Organizacinuno">
    <w:name w:val="Organización uno"/>
    <w:basedOn w:val="Organizacin"/>
    <w:next w:val="Normal"/>
    <w:rsid w:val="00921409"/>
  </w:style>
  <w:style w:type="paragraph" w:customStyle="1" w:styleId="Puesto1">
    <w:name w:val="Puesto1"/>
    <w:next w:val="Logro"/>
    <w:rsid w:val="00921409"/>
    <w:pPr>
      <w:spacing w:after="40" w:line="220" w:lineRule="atLeast"/>
    </w:pPr>
    <w:rPr>
      <w:rFonts w:ascii="Arial" w:hAnsi="Arial"/>
      <w:b/>
      <w:spacing w:val="-10"/>
      <w:lang w:val="en-US"/>
    </w:rPr>
  </w:style>
  <w:style w:type="numbering" w:customStyle="1" w:styleId="NoList1">
    <w:name w:val="No List1"/>
    <w:next w:val="Sinlista"/>
    <w:uiPriority w:val="99"/>
    <w:semiHidden/>
    <w:unhideWhenUsed/>
    <w:rsid w:val="00921409"/>
  </w:style>
  <w:style w:type="table" w:customStyle="1" w:styleId="TableNormal1">
    <w:name w:val="Table Normal1"/>
    <w:uiPriority w:val="99"/>
    <w:semiHidden/>
    <w:rsid w:val="00921409"/>
    <w:tblPr>
      <w:tblCellMar>
        <w:top w:w="0" w:type="dxa"/>
        <w:left w:w="108" w:type="dxa"/>
        <w:bottom w:w="0" w:type="dxa"/>
        <w:right w:w="108" w:type="dxa"/>
      </w:tblCellMar>
    </w:tblPr>
  </w:style>
  <w:style w:type="character" w:styleId="nfasissutil">
    <w:name w:val="Subtle Emphasis"/>
    <w:basedOn w:val="Fuentedeprrafopredeter"/>
    <w:uiPriority w:val="19"/>
    <w:qFormat/>
    <w:rsid w:val="00921409"/>
    <w:rPr>
      <w:i/>
      <w:iCs/>
      <w:color w:val="498BE1" w:themeColor="text1" w:themeTint="7F"/>
    </w:rPr>
  </w:style>
  <w:style w:type="paragraph" w:styleId="Cita">
    <w:name w:val="Quote"/>
    <w:basedOn w:val="Normal"/>
    <w:next w:val="Normal"/>
    <w:uiPriority w:val="29"/>
    <w:qFormat/>
    <w:rsid w:val="00921409"/>
    <w:rPr>
      <w:i/>
      <w:iCs/>
      <w:color w:val="0C2749" w:themeColor="text1"/>
    </w:rPr>
  </w:style>
  <w:style w:type="character" w:customStyle="1" w:styleId="QuoteChar1">
    <w:name w:val="Quote Char1"/>
    <w:basedOn w:val="Fuentedeprrafopredeter"/>
    <w:uiPriority w:val="29"/>
    <w:rsid w:val="00921409"/>
    <w:rPr>
      <w:rFonts w:ascii="Verdana" w:hAnsi="Verdana"/>
      <w:i/>
      <w:iCs/>
      <w:color w:val="0C2749" w:themeColor="text1"/>
      <w:szCs w:val="24"/>
      <w:lang w:val="en-GB"/>
    </w:rPr>
  </w:style>
  <w:style w:type="paragraph" w:customStyle="1" w:styleId="Indentation1">
    <w:name w:val="Indentation 1"/>
    <w:basedOn w:val="Indentado1"/>
    <w:link w:val="Indentation1Char"/>
    <w:qFormat/>
    <w:rsid w:val="001904AF"/>
    <w:pPr>
      <w:spacing w:before="240" w:after="0"/>
      <w:ind w:left="724"/>
    </w:pPr>
    <w:rPr>
      <w:lang w:val="en-GB"/>
    </w:rPr>
  </w:style>
  <w:style w:type="character" w:customStyle="1" w:styleId="Indentation1Char">
    <w:name w:val="Indentation 1 Char"/>
    <w:basedOn w:val="Indentado1Car0"/>
    <w:link w:val="Indentation1"/>
    <w:rsid w:val="00921409"/>
    <w:rPr>
      <w:rFonts w:ascii="Century Gothic" w:hAnsi="Century Gothic"/>
      <w:bCs/>
      <w:szCs w:val="24"/>
      <w:lang w:val="en-GB"/>
    </w:rPr>
  </w:style>
  <w:style w:type="paragraph" w:customStyle="1" w:styleId="ConclusionBox">
    <w:name w:val="Conclusion Box"/>
    <w:basedOn w:val="Normal"/>
    <w:link w:val="ConclusionBoxCar"/>
    <w:qFormat/>
    <w:rsid w:val="00921409"/>
    <w:pPr>
      <w:pBdr>
        <w:top w:val="double" w:sz="4" w:space="5" w:color="113F80"/>
        <w:left w:val="double" w:sz="4" w:space="4" w:color="113F80"/>
        <w:bottom w:val="double" w:sz="4" w:space="5" w:color="113F80"/>
        <w:right w:val="double" w:sz="4" w:space="4" w:color="113F80"/>
      </w:pBdr>
      <w:spacing w:before="120" w:after="120" w:line="384" w:lineRule="auto"/>
      <w:ind w:right="425"/>
    </w:pPr>
    <w:rPr>
      <w:b/>
      <w:color w:val="113F80"/>
      <w:sz w:val="18"/>
      <w:lang w:val="pt-PT"/>
    </w:rPr>
  </w:style>
  <w:style w:type="character" w:customStyle="1" w:styleId="ConclusionBoxCar">
    <w:name w:val="Conclusion Box Car"/>
    <w:basedOn w:val="Fuentedeprrafopredeter"/>
    <w:link w:val="ConclusionBox"/>
    <w:rsid w:val="00921409"/>
    <w:rPr>
      <w:rFonts w:ascii="Verdana" w:hAnsi="Verdana"/>
      <w:b/>
      <w:color w:val="113F80"/>
      <w:sz w:val="18"/>
      <w:szCs w:val="24"/>
      <w:lang w:val="pt-PT"/>
    </w:rPr>
  </w:style>
  <w:style w:type="paragraph" w:styleId="Lista2">
    <w:name w:val="List 2"/>
    <w:basedOn w:val="Normal"/>
    <w:rsid w:val="00921409"/>
    <w:pPr>
      <w:ind w:left="720" w:hanging="360"/>
      <w:contextualSpacing/>
    </w:pPr>
  </w:style>
  <w:style w:type="character" w:customStyle="1" w:styleId="BulletPointsChar">
    <w:name w:val="Bullet Points Char"/>
    <w:basedOn w:val="Fuentedeprrafopredeter"/>
    <w:locked/>
    <w:rsid w:val="00921409"/>
    <w:rPr>
      <w:rFonts w:ascii="Verdana" w:hAnsi="Verdana"/>
      <w:szCs w:val="24"/>
      <w:lang w:val="en-GB"/>
    </w:rPr>
  </w:style>
  <w:style w:type="character" w:styleId="nfasis">
    <w:name w:val="Emphasis"/>
    <w:basedOn w:val="Fuentedeprrafopredeter"/>
    <w:qFormat/>
    <w:rsid w:val="009252E3"/>
    <w:rPr>
      <w:i/>
      <w:iCs/>
    </w:rPr>
  </w:style>
  <w:style w:type="character" w:customStyle="1" w:styleId="Anexo1Char">
    <w:name w:val="Anexo 1 Char"/>
    <w:basedOn w:val="Fuentedeprrafopredeter"/>
    <w:link w:val="Anexo1"/>
    <w:uiPriority w:val="99"/>
    <w:locked/>
    <w:rsid w:val="00BA1060"/>
    <w:rPr>
      <w:rFonts w:ascii="Verdana" w:hAnsi="Verdana"/>
      <w:b/>
      <w:bCs/>
      <w:color w:val="0C2749" w:themeColor="text1"/>
      <w:sz w:val="40"/>
      <w:szCs w:val="28"/>
      <w:lang w:val="es-CR"/>
    </w:rPr>
  </w:style>
  <w:style w:type="paragraph" w:customStyle="1" w:styleId="Anexo1">
    <w:name w:val="Anexo 1"/>
    <w:basedOn w:val="Ttulo1"/>
    <w:next w:val="Normal"/>
    <w:link w:val="Anexo1Char"/>
    <w:uiPriority w:val="99"/>
    <w:qFormat/>
    <w:rsid w:val="00BA1060"/>
    <w:pPr>
      <w:pageBreakBefore/>
      <w:numPr>
        <w:numId w:val="18"/>
      </w:numPr>
      <w:spacing w:before="240"/>
    </w:pPr>
    <w:rPr>
      <w:rFonts w:cs="Times New Roman"/>
      <w:iCs w:val="0"/>
      <w:color w:val="0C2749" w:themeColor="text1"/>
      <w:lang w:val="es-CR"/>
    </w:rPr>
  </w:style>
  <w:style w:type="paragraph" w:customStyle="1" w:styleId="Annexlv2">
    <w:name w:val="Annex lv 2"/>
    <w:basedOn w:val="Anexo1"/>
    <w:next w:val="Normal"/>
    <w:uiPriority w:val="99"/>
    <w:qFormat/>
    <w:rsid w:val="00BA1060"/>
    <w:pPr>
      <w:numPr>
        <w:ilvl w:val="1"/>
      </w:numPr>
      <w:tabs>
        <w:tab w:val="num" w:pos="360"/>
        <w:tab w:val="num" w:pos="1437"/>
      </w:tabs>
      <w:ind w:left="709" w:hanging="709"/>
      <w:outlineLvl w:val="1"/>
    </w:pPr>
    <w:rPr>
      <w:sz w:val="28"/>
    </w:rPr>
  </w:style>
  <w:style w:type="paragraph" w:customStyle="1" w:styleId="AnnexLvl3">
    <w:name w:val="Annex Lvl 3"/>
    <w:basedOn w:val="Annexlv2"/>
    <w:next w:val="Normal"/>
    <w:uiPriority w:val="99"/>
    <w:qFormat/>
    <w:rsid w:val="00BA1060"/>
    <w:pPr>
      <w:pageBreakBefore w:val="0"/>
      <w:numPr>
        <w:ilvl w:val="2"/>
      </w:numPr>
      <w:tabs>
        <w:tab w:val="num" w:pos="360"/>
        <w:tab w:val="num" w:pos="1437"/>
        <w:tab w:val="num" w:pos="2157"/>
      </w:tabs>
      <w:ind w:left="425" w:hanging="360"/>
      <w:outlineLvl w:val="2"/>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613962">
      <w:bodyDiv w:val="1"/>
      <w:marLeft w:val="0"/>
      <w:marRight w:val="0"/>
      <w:marTop w:val="0"/>
      <w:marBottom w:val="0"/>
      <w:divBdr>
        <w:top w:val="none" w:sz="0" w:space="0" w:color="auto"/>
        <w:left w:val="none" w:sz="0" w:space="0" w:color="auto"/>
        <w:bottom w:val="none" w:sz="0" w:space="0" w:color="auto"/>
        <w:right w:val="none" w:sz="0" w:space="0" w:color="auto"/>
      </w:divBdr>
    </w:div>
    <w:div w:id="56784202">
      <w:bodyDiv w:val="1"/>
      <w:marLeft w:val="0"/>
      <w:marRight w:val="0"/>
      <w:marTop w:val="0"/>
      <w:marBottom w:val="0"/>
      <w:divBdr>
        <w:top w:val="none" w:sz="0" w:space="0" w:color="auto"/>
        <w:left w:val="none" w:sz="0" w:space="0" w:color="auto"/>
        <w:bottom w:val="none" w:sz="0" w:space="0" w:color="auto"/>
        <w:right w:val="none" w:sz="0" w:space="0" w:color="auto"/>
      </w:divBdr>
    </w:div>
    <w:div w:id="74014077">
      <w:bodyDiv w:val="1"/>
      <w:marLeft w:val="0"/>
      <w:marRight w:val="0"/>
      <w:marTop w:val="0"/>
      <w:marBottom w:val="0"/>
      <w:divBdr>
        <w:top w:val="none" w:sz="0" w:space="0" w:color="auto"/>
        <w:left w:val="none" w:sz="0" w:space="0" w:color="auto"/>
        <w:bottom w:val="none" w:sz="0" w:space="0" w:color="auto"/>
        <w:right w:val="none" w:sz="0" w:space="0" w:color="auto"/>
      </w:divBdr>
    </w:div>
    <w:div w:id="120155907">
      <w:bodyDiv w:val="1"/>
      <w:marLeft w:val="0"/>
      <w:marRight w:val="0"/>
      <w:marTop w:val="0"/>
      <w:marBottom w:val="0"/>
      <w:divBdr>
        <w:top w:val="none" w:sz="0" w:space="0" w:color="auto"/>
        <w:left w:val="none" w:sz="0" w:space="0" w:color="auto"/>
        <w:bottom w:val="none" w:sz="0" w:space="0" w:color="auto"/>
        <w:right w:val="none" w:sz="0" w:space="0" w:color="auto"/>
      </w:divBdr>
    </w:div>
    <w:div w:id="128524082">
      <w:bodyDiv w:val="1"/>
      <w:marLeft w:val="0"/>
      <w:marRight w:val="0"/>
      <w:marTop w:val="0"/>
      <w:marBottom w:val="0"/>
      <w:divBdr>
        <w:top w:val="none" w:sz="0" w:space="0" w:color="auto"/>
        <w:left w:val="none" w:sz="0" w:space="0" w:color="auto"/>
        <w:bottom w:val="none" w:sz="0" w:space="0" w:color="auto"/>
        <w:right w:val="none" w:sz="0" w:space="0" w:color="auto"/>
      </w:divBdr>
    </w:div>
    <w:div w:id="174930630">
      <w:bodyDiv w:val="1"/>
      <w:marLeft w:val="0"/>
      <w:marRight w:val="0"/>
      <w:marTop w:val="0"/>
      <w:marBottom w:val="0"/>
      <w:divBdr>
        <w:top w:val="none" w:sz="0" w:space="0" w:color="auto"/>
        <w:left w:val="none" w:sz="0" w:space="0" w:color="auto"/>
        <w:bottom w:val="none" w:sz="0" w:space="0" w:color="auto"/>
        <w:right w:val="none" w:sz="0" w:space="0" w:color="auto"/>
      </w:divBdr>
    </w:div>
    <w:div w:id="207038737">
      <w:bodyDiv w:val="1"/>
      <w:marLeft w:val="0"/>
      <w:marRight w:val="0"/>
      <w:marTop w:val="0"/>
      <w:marBottom w:val="0"/>
      <w:divBdr>
        <w:top w:val="none" w:sz="0" w:space="0" w:color="auto"/>
        <w:left w:val="none" w:sz="0" w:space="0" w:color="auto"/>
        <w:bottom w:val="none" w:sz="0" w:space="0" w:color="auto"/>
        <w:right w:val="none" w:sz="0" w:space="0" w:color="auto"/>
      </w:divBdr>
    </w:div>
    <w:div w:id="208958129">
      <w:bodyDiv w:val="1"/>
      <w:marLeft w:val="0"/>
      <w:marRight w:val="0"/>
      <w:marTop w:val="0"/>
      <w:marBottom w:val="0"/>
      <w:divBdr>
        <w:top w:val="none" w:sz="0" w:space="0" w:color="auto"/>
        <w:left w:val="none" w:sz="0" w:space="0" w:color="auto"/>
        <w:bottom w:val="none" w:sz="0" w:space="0" w:color="auto"/>
        <w:right w:val="none" w:sz="0" w:space="0" w:color="auto"/>
      </w:divBdr>
    </w:div>
    <w:div w:id="216597665">
      <w:bodyDiv w:val="1"/>
      <w:marLeft w:val="0"/>
      <w:marRight w:val="0"/>
      <w:marTop w:val="0"/>
      <w:marBottom w:val="0"/>
      <w:divBdr>
        <w:top w:val="none" w:sz="0" w:space="0" w:color="auto"/>
        <w:left w:val="none" w:sz="0" w:space="0" w:color="auto"/>
        <w:bottom w:val="none" w:sz="0" w:space="0" w:color="auto"/>
        <w:right w:val="none" w:sz="0" w:space="0" w:color="auto"/>
      </w:divBdr>
    </w:div>
    <w:div w:id="244799923">
      <w:bodyDiv w:val="1"/>
      <w:marLeft w:val="0"/>
      <w:marRight w:val="0"/>
      <w:marTop w:val="0"/>
      <w:marBottom w:val="0"/>
      <w:divBdr>
        <w:top w:val="none" w:sz="0" w:space="0" w:color="auto"/>
        <w:left w:val="none" w:sz="0" w:space="0" w:color="auto"/>
        <w:bottom w:val="none" w:sz="0" w:space="0" w:color="auto"/>
        <w:right w:val="none" w:sz="0" w:space="0" w:color="auto"/>
      </w:divBdr>
      <w:divsChild>
        <w:div w:id="329138905">
          <w:marLeft w:val="274"/>
          <w:marRight w:val="0"/>
          <w:marTop w:val="0"/>
          <w:marBottom w:val="0"/>
          <w:divBdr>
            <w:top w:val="none" w:sz="0" w:space="0" w:color="auto"/>
            <w:left w:val="none" w:sz="0" w:space="0" w:color="auto"/>
            <w:bottom w:val="none" w:sz="0" w:space="0" w:color="auto"/>
            <w:right w:val="none" w:sz="0" w:space="0" w:color="auto"/>
          </w:divBdr>
        </w:div>
        <w:div w:id="472018566">
          <w:marLeft w:val="274"/>
          <w:marRight w:val="0"/>
          <w:marTop w:val="0"/>
          <w:marBottom w:val="0"/>
          <w:divBdr>
            <w:top w:val="none" w:sz="0" w:space="0" w:color="auto"/>
            <w:left w:val="none" w:sz="0" w:space="0" w:color="auto"/>
            <w:bottom w:val="none" w:sz="0" w:space="0" w:color="auto"/>
            <w:right w:val="none" w:sz="0" w:space="0" w:color="auto"/>
          </w:divBdr>
        </w:div>
        <w:div w:id="1246644541">
          <w:marLeft w:val="274"/>
          <w:marRight w:val="0"/>
          <w:marTop w:val="0"/>
          <w:marBottom w:val="0"/>
          <w:divBdr>
            <w:top w:val="none" w:sz="0" w:space="0" w:color="auto"/>
            <w:left w:val="none" w:sz="0" w:space="0" w:color="auto"/>
            <w:bottom w:val="none" w:sz="0" w:space="0" w:color="auto"/>
            <w:right w:val="none" w:sz="0" w:space="0" w:color="auto"/>
          </w:divBdr>
        </w:div>
        <w:div w:id="2078162192">
          <w:marLeft w:val="274"/>
          <w:marRight w:val="0"/>
          <w:marTop w:val="0"/>
          <w:marBottom w:val="0"/>
          <w:divBdr>
            <w:top w:val="none" w:sz="0" w:space="0" w:color="auto"/>
            <w:left w:val="none" w:sz="0" w:space="0" w:color="auto"/>
            <w:bottom w:val="none" w:sz="0" w:space="0" w:color="auto"/>
            <w:right w:val="none" w:sz="0" w:space="0" w:color="auto"/>
          </w:divBdr>
        </w:div>
      </w:divsChild>
    </w:div>
    <w:div w:id="286089460">
      <w:bodyDiv w:val="1"/>
      <w:marLeft w:val="0"/>
      <w:marRight w:val="0"/>
      <w:marTop w:val="0"/>
      <w:marBottom w:val="0"/>
      <w:divBdr>
        <w:top w:val="none" w:sz="0" w:space="0" w:color="auto"/>
        <w:left w:val="none" w:sz="0" w:space="0" w:color="auto"/>
        <w:bottom w:val="none" w:sz="0" w:space="0" w:color="auto"/>
        <w:right w:val="none" w:sz="0" w:space="0" w:color="auto"/>
      </w:divBdr>
    </w:div>
    <w:div w:id="299311782">
      <w:bodyDiv w:val="1"/>
      <w:marLeft w:val="0"/>
      <w:marRight w:val="0"/>
      <w:marTop w:val="0"/>
      <w:marBottom w:val="0"/>
      <w:divBdr>
        <w:top w:val="none" w:sz="0" w:space="0" w:color="auto"/>
        <w:left w:val="none" w:sz="0" w:space="0" w:color="auto"/>
        <w:bottom w:val="none" w:sz="0" w:space="0" w:color="auto"/>
        <w:right w:val="none" w:sz="0" w:space="0" w:color="auto"/>
      </w:divBdr>
    </w:div>
    <w:div w:id="323820997">
      <w:bodyDiv w:val="1"/>
      <w:marLeft w:val="0"/>
      <w:marRight w:val="0"/>
      <w:marTop w:val="0"/>
      <w:marBottom w:val="0"/>
      <w:divBdr>
        <w:top w:val="none" w:sz="0" w:space="0" w:color="auto"/>
        <w:left w:val="none" w:sz="0" w:space="0" w:color="auto"/>
        <w:bottom w:val="none" w:sz="0" w:space="0" w:color="auto"/>
        <w:right w:val="none" w:sz="0" w:space="0" w:color="auto"/>
      </w:divBdr>
    </w:div>
    <w:div w:id="335957726">
      <w:bodyDiv w:val="1"/>
      <w:marLeft w:val="0"/>
      <w:marRight w:val="0"/>
      <w:marTop w:val="0"/>
      <w:marBottom w:val="0"/>
      <w:divBdr>
        <w:top w:val="none" w:sz="0" w:space="0" w:color="auto"/>
        <w:left w:val="none" w:sz="0" w:space="0" w:color="auto"/>
        <w:bottom w:val="none" w:sz="0" w:space="0" w:color="auto"/>
        <w:right w:val="none" w:sz="0" w:space="0" w:color="auto"/>
      </w:divBdr>
    </w:div>
    <w:div w:id="351608658">
      <w:bodyDiv w:val="1"/>
      <w:marLeft w:val="0"/>
      <w:marRight w:val="0"/>
      <w:marTop w:val="0"/>
      <w:marBottom w:val="0"/>
      <w:divBdr>
        <w:top w:val="none" w:sz="0" w:space="0" w:color="auto"/>
        <w:left w:val="none" w:sz="0" w:space="0" w:color="auto"/>
        <w:bottom w:val="none" w:sz="0" w:space="0" w:color="auto"/>
        <w:right w:val="none" w:sz="0" w:space="0" w:color="auto"/>
      </w:divBdr>
    </w:div>
    <w:div w:id="375854115">
      <w:bodyDiv w:val="1"/>
      <w:marLeft w:val="0"/>
      <w:marRight w:val="0"/>
      <w:marTop w:val="0"/>
      <w:marBottom w:val="0"/>
      <w:divBdr>
        <w:top w:val="none" w:sz="0" w:space="0" w:color="auto"/>
        <w:left w:val="none" w:sz="0" w:space="0" w:color="auto"/>
        <w:bottom w:val="none" w:sz="0" w:space="0" w:color="auto"/>
        <w:right w:val="none" w:sz="0" w:space="0" w:color="auto"/>
      </w:divBdr>
    </w:div>
    <w:div w:id="402683466">
      <w:bodyDiv w:val="1"/>
      <w:marLeft w:val="0"/>
      <w:marRight w:val="0"/>
      <w:marTop w:val="0"/>
      <w:marBottom w:val="0"/>
      <w:divBdr>
        <w:top w:val="none" w:sz="0" w:space="0" w:color="auto"/>
        <w:left w:val="none" w:sz="0" w:space="0" w:color="auto"/>
        <w:bottom w:val="none" w:sz="0" w:space="0" w:color="auto"/>
        <w:right w:val="none" w:sz="0" w:space="0" w:color="auto"/>
      </w:divBdr>
    </w:div>
    <w:div w:id="485362469">
      <w:bodyDiv w:val="1"/>
      <w:marLeft w:val="0"/>
      <w:marRight w:val="0"/>
      <w:marTop w:val="0"/>
      <w:marBottom w:val="0"/>
      <w:divBdr>
        <w:top w:val="none" w:sz="0" w:space="0" w:color="auto"/>
        <w:left w:val="none" w:sz="0" w:space="0" w:color="auto"/>
        <w:bottom w:val="none" w:sz="0" w:space="0" w:color="auto"/>
        <w:right w:val="none" w:sz="0" w:space="0" w:color="auto"/>
      </w:divBdr>
    </w:div>
    <w:div w:id="504366931">
      <w:bodyDiv w:val="1"/>
      <w:marLeft w:val="0"/>
      <w:marRight w:val="0"/>
      <w:marTop w:val="0"/>
      <w:marBottom w:val="0"/>
      <w:divBdr>
        <w:top w:val="none" w:sz="0" w:space="0" w:color="auto"/>
        <w:left w:val="none" w:sz="0" w:space="0" w:color="auto"/>
        <w:bottom w:val="none" w:sz="0" w:space="0" w:color="auto"/>
        <w:right w:val="none" w:sz="0" w:space="0" w:color="auto"/>
      </w:divBdr>
    </w:div>
    <w:div w:id="531503350">
      <w:bodyDiv w:val="1"/>
      <w:marLeft w:val="0"/>
      <w:marRight w:val="0"/>
      <w:marTop w:val="0"/>
      <w:marBottom w:val="0"/>
      <w:divBdr>
        <w:top w:val="none" w:sz="0" w:space="0" w:color="auto"/>
        <w:left w:val="none" w:sz="0" w:space="0" w:color="auto"/>
        <w:bottom w:val="none" w:sz="0" w:space="0" w:color="auto"/>
        <w:right w:val="none" w:sz="0" w:space="0" w:color="auto"/>
      </w:divBdr>
    </w:div>
    <w:div w:id="541941152">
      <w:bodyDiv w:val="1"/>
      <w:marLeft w:val="0"/>
      <w:marRight w:val="0"/>
      <w:marTop w:val="0"/>
      <w:marBottom w:val="0"/>
      <w:divBdr>
        <w:top w:val="none" w:sz="0" w:space="0" w:color="auto"/>
        <w:left w:val="none" w:sz="0" w:space="0" w:color="auto"/>
        <w:bottom w:val="none" w:sz="0" w:space="0" w:color="auto"/>
        <w:right w:val="none" w:sz="0" w:space="0" w:color="auto"/>
      </w:divBdr>
    </w:div>
    <w:div w:id="545335647">
      <w:bodyDiv w:val="1"/>
      <w:marLeft w:val="0"/>
      <w:marRight w:val="0"/>
      <w:marTop w:val="0"/>
      <w:marBottom w:val="0"/>
      <w:divBdr>
        <w:top w:val="none" w:sz="0" w:space="0" w:color="auto"/>
        <w:left w:val="none" w:sz="0" w:space="0" w:color="auto"/>
        <w:bottom w:val="none" w:sz="0" w:space="0" w:color="auto"/>
        <w:right w:val="none" w:sz="0" w:space="0" w:color="auto"/>
      </w:divBdr>
    </w:div>
    <w:div w:id="548150679">
      <w:bodyDiv w:val="1"/>
      <w:marLeft w:val="0"/>
      <w:marRight w:val="0"/>
      <w:marTop w:val="0"/>
      <w:marBottom w:val="0"/>
      <w:divBdr>
        <w:top w:val="none" w:sz="0" w:space="0" w:color="auto"/>
        <w:left w:val="none" w:sz="0" w:space="0" w:color="auto"/>
        <w:bottom w:val="none" w:sz="0" w:space="0" w:color="auto"/>
        <w:right w:val="none" w:sz="0" w:space="0" w:color="auto"/>
      </w:divBdr>
    </w:div>
    <w:div w:id="552425793">
      <w:bodyDiv w:val="1"/>
      <w:marLeft w:val="0"/>
      <w:marRight w:val="0"/>
      <w:marTop w:val="0"/>
      <w:marBottom w:val="0"/>
      <w:divBdr>
        <w:top w:val="none" w:sz="0" w:space="0" w:color="auto"/>
        <w:left w:val="none" w:sz="0" w:space="0" w:color="auto"/>
        <w:bottom w:val="none" w:sz="0" w:space="0" w:color="auto"/>
        <w:right w:val="none" w:sz="0" w:space="0" w:color="auto"/>
      </w:divBdr>
    </w:div>
    <w:div w:id="582180476">
      <w:bodyDiv w:val="1"/>
      <w:marLeft w:val="0"/>
      <w:marRight w:val="0"/>
      <w:marTop w:val="0"/>
      <w:marBottom w:val="0"/>
      <w:divBdr>
        <w:top w:val="none" w:sz="0" w:space="0" w:color="auto"/>
        <w:left w:val="none" w:sz="0" w:space="0" w:color="auto"/>
        <w:bottom w:val="none" w:sz="0" w:space="0" w:color="auto"/>
        <w:right w:val="none" w:sz="0" w:space="0" w:color="auto"/>
      </w:divBdr>
    </w:div>
    <w:div w:id="596258501">
      <w:bodyDiv w:val="1"/>
      <w:marLeft w:val="0"/>
      <w:marRight w:val="0"/>
      <w:marTop w:val="0"/>
      <w:marBottom w:val="0"/>
      <w:divBdr>
        <w:top w:val="none" w:sz="0" w:space="0" w:color="auto"/>
        <w:left w:val="none" w:sz="0" w:space="0" w:color="auto"/>
        <w:bottom w:val="none" w:sz="0" w:space="0" w:color="auto"/>
        <w:right w:val="none" w:sz="0" w:space="0" w:color="auto"/>
      </w:divBdr>
    </w:div>
    <w:div w:id="596642603">
      <w:bodyDiv w:val="1"/>
      <w:marLeft w:val="0"/>
      <w:marRight w:val="0"/>
      <w:marTop w:val="0"/>
      <w:marBottom w:val="0"/>
      <w:divBdr>
        <w:top w:val="none" w:sz="0" w:space="0" w:color="auto"/>
        <w:left w:val="none" w:sz="0" w:space="0" w:color="auto"/>
        <w:bottom w:val="none" w:sz="0" w:space="0" w:color="auto"/>
        <w:right w:val="none" w:sz="0" w:space="0" w:color="auto"/>
      </w:divBdr>
    </w:div>
    <w:div w:id="647514696">
      <w:bodyDiv w:val="1"/>
      <w:marLeft w:val="0"/>
      <w:marRight w:val="0"/>
      <w:marTop w:val="0"/>
      <w:marBottom w:val="0"/>
      <w:divBdr>
        <w:top w:val="none" w:sz="0" w:space="0" w:color="auto"/>
        <w:left w:val="none" w:sz="0" w:space="0" w:color="auto"/>
        <w:bottom w:val="none" w:sz="0" w:space="0" w:color="auto"/>
        <w:right w:val="none" w:sz="0" w:space="0" w:color="auto"/>
      </w:divBdr>
    </w:div>
    <w:div w:id="652562037">
      <w:bodyDiv w:val="1"/>
      <w:marLeft w:val="0"/>
      <w:marRight w:val="0"/>
      <w:marTop w:val="0"/>
      <w:marBottom w:val="0"/>
      <w:divBdr>
        <w:top w:val="none" w:sz="0" w:space="0" w:color="auto"/>
        <w:left w:val="none" w:sz="0" w:space="0" w:color="auto"/>
        <w:bottom w:val="none" w:sz="0" w:space="0" w:color="auto"/>
        <w:right w:val="none" w:sz="0" w:space="0" w:color="auto"/>
      </w:divBdr>
    </w:div>
    <w:div w:id="656420423">
      <w:bodyDiv w:val="1"/>
      <w:marLeft w:val="0"/>
      <w:marRight w:val="0"/>
      <w:marTop w:val="0"/>
      <w:marBottom w:val="0"/>
      <w:divBdr>
        <w:top w:val="none" w:sz="0" w:space="0" w:color="auto"/>
        <w:left w:val="none" w:sz="0" w:space="0" w:color="auto"/>
        <w:bottom w:val="none" w:sz="0" w:space="0" w:color="auto"/>
        <w:right w:val="none" w:sz="0" w:space="0" w:color="auto"/>
      </w:divBdr>
    </w:div>
    <w:div w:id="657001627">
      <w:bodyDiv w:val="1"/>
      <w:marLeft w:val="0"/>
      <w:marRight w:val="0"/>
      <w:marTop w:val="0"/>
      <w:marBottom w:val="0"/>
      <w:divBdr>
        <w:top w:val="none" w:sz="0" w:space="0" w:color="auto"/>
        <w:left w:val="none" w:sz="0" w:space="0" w:color="auto"/>
        <w:bottom w:val="none" w:sz="0" w:space="0" w:color="auto"/>
        <w:right w:val="none" w:sz="0" w:space="0" w:color="auto"/>
      </w:divBdr>
    </w:div>
    <w:div w:id="674724763">
      <w:bodyDiv w:val="1"/>
      <w:marLeft w:val="0"/>
      <w:marRight w:val="0"/>
      <w:marTop w:val="0"/>
      <w:marBottom w:val="0"/>
      <w:divBdr>
        <w:top w:val="none" w:sz="0" w:space="0" w:color="auto"/>
        <w:left w:val="none" w:sz="0" w:space="0" w:color="auto"/>
        <w:bottom w:val="none" w:sz="0" w:space="0" w:color="auto"/>
        <w:right w:val="none" w:sz="0" w:space="0" w:color="auto"/>
      </w:divBdr>
    </w:div>
    <w:div w:id="712341522">
      <w:bodyDiv w:val="1"/>
      <w:marLeft w:val="0"/>
      <w:marRight w:val="0"/>
      <w:marTop w:val="0"/>
      <w:marBottom w:val="0"/>
      <w:divBdr>
        <w:top w:val="none" w:sz="0" w:space="0" w:color="auto"/>
        <w:left w:val="none" w:sz="0" w:space="0" w:color="auto"/>
        <w:bottom w:val="none" w:sz="0" w:space="0" w:color="auto"/>
        <w:right w:val="none" w:sz="0" w:space="0" w:color="auto"/>
      </w:divBdr>
    </w:div>
    <w:div w:id="724718273">
      <w:bodyDiv w:val="1"/>
      <w:marLeft w:val="0"/>
      <w:marRight w:val="0"/>
      <w:marTop w:val="0"/>
      <w:marBottom w:val="0"/>
      <w:divBdr>
        <w:top w:val="none" w:sz="0" w:space="0" w:color="auto"/>
        <w:left w:val="none" w:sz="0" w:space="0" w:color="auto"/>
        <w:bottom w:val="none" w:sz="0" w:space="0" w:color="auto"/>
        <w:right w:val="none" w:sz="0" w:space="0" w:color="auto"/>
      </w:divBdr>
    </w:div>
    <w:div w:id="750079380">
      <w:bodyDiv w:val="1"/>
      <w:marLeft w:val="0"/>
      <w:marRight w:val="0"/>
      <w:marTop w:val="0"/>
      <w:marBottom w:val="0"/>
      <w:divBdr>
        <w:top w:val="none" w:sz="0" w:space="0" w:color="auto"/>
        <w:left w:val="none" w:sz="0" w:space="0" w:color="auto"/>
        <w:bottom w:val="none" w:sz="0" w:space="0" w:color="auto"/>
        <w:right w:val="none" w:sz="0" w:space="0" w:color="auto"/>
      </w:divBdr>
    </w:div>
    <w:div w:id="758603768">
      <w:bodyDiv w:val="1"/>
      <w:marLeft w:val="0"/>
      <w:marRight w:val="0"/>
      <w:marTop w:val="0"/>
      <w:marBottom w:val="0"/>
      <w:divBdr>
        <w:top w:val="none" w:sz="0" w:space="0" w:color="auto"/>
        <w:left w:val="none" w:sz="0" w:space="0" w:color="auto"/>
        <w:bottom w:val="none" w:sz="0" w:space="0" w:color="auto"/>
        <w:right w:val="none" w:sz="0" w:space="0" w:color="auto"/>
      </w:divBdr>
    </w:div>
    <w:div w:id="777986562">
      <w:bodyDiv w:val="1"/>
      <w:marLeft w:val="0"/>
      <w:marRight w:val="0"/>
      <w:marTop w:val="0"/>
      <w:marBottom w:val="0"/>
      <w:divBdr>
        <w:top w:val="none" w:sz="0" w:space="0" w:color="auto"/>
        <w:left w:val="none" w:sz="0" w:space="0" w:color="auto"/>
        <w:bottom w:val="none" w:sz="0" w:space="0" w:color="auto"/>
        <w:right w:val="none" w:sz="0" w:space="0" w:color="auto"/>
      </w:divBdr>
    </w:div>
    <w:div w:id="784664769">
      <w:bodyDiv w:val="1"/>
      <w:marLeft w:val="0"/>
      <w:marRight w:val="0"/>
      <w:marTop w:val="0"/>
      <w:marBottom w:val="0"/>
      <w:divBdr>
        <w:top w:val="none" w:sz="0" w:space="0" w:color="auto"/>
        <w:left w:val="none" w:sz="0" w:space="0" w:color="auto"/>
        <w:bottom w:val="none" w:sz="0" w:space="0" w:color="auto"/>
        <w:right w:val="none" w:sz="0" w:space="0" w:color="auto"/>
      </w:divBdr>
    </w:div>
    <w:div w:id="785004505">
      <w:bodyDiv w:val="1"/>
      <w:marLeft w:val="0"/>
      <w:marRight w:val="0"/>
      <w:marTop w:val="0"/>
      <w:marBottom w:val="0"/>
      <w:divBdr>
        <w:top w:val="none" w:sz="0" w:space="0" w:color="auto"/>
        <w:left w:val="none" w:sz="0" w:space="0" w:color="auto"/>
        <w:bottom w:val="none" w:sz="0" w:space="0" w:color="auto"/>
        <w:right w:val="none" w:sz="0" w:space="0" w:color="auto"/>
      </w:divBdr>
    </w:div>
    <w:div w:id="809983556">
      <w:bodyDiv w:val="1"/>
      <w:marLeft w:val="0"/>
      <w:marRight w:val="0"/>
      <w:marTop w:val="0"/>
      <w:marBottom w:val="0"/>
      <w:divBdr>
        <w:top w:val="none" w:sz="0" w:space="0" w:color="auto"/>
        <w:left w:val="none" w:sz="0" w:space="0" w:color="auto"/>
        <w:bottom w:val="none" w:sz="0" w:space="0" w:color="auto"/>
        <w:right w:val="none" w:sz="0" w:space="0" w:color="auto"/>
      </w:divBdr>
    </w:div>
    <w:div w:id="850221017">
      <w:bodyDiv w:val="1"/>
      <w:marLeft w:val="0"/>
      <w:marRight w:val="0"/>
      <w:marTop w:val="0"/>
      <w:marBottom w:val="0"/>
      <w:divBdr>
        <w:top w:val="none" w:sz="0" w:space="0" w:color="auto"/>
        <w:left w:val="none" w:sz="0" w:space="0" w:color="auto"/>
        <w:bottom w:val="none" w:sz="0" w:space="0" w:color="auto"/>
        <w:right w:val="none" w:sz="0" w:space="0" w:color="auto"/>
      </w:divBdr>
    </w:div>
    <w:div w:id="852572953">
      <w:bodyDiv w:val="1"/>
      <w:marLeft w:val="0"/>
      <w:marRight w:val="0"/>
      <w:marTop w:val="0"/>
      <w:marBottom w:val="0"/>
      <w:divBdr>
        <w:top w:val="none" w:sz="0" w:space="0" w:color="auto"/>
        <w:left w:val="none" w:sz="0" w:space="0" w:color="auto"/>
        <w:bottom w:val="none" w:sz="0" w:space="0" w:color="auto"/>
        <w:right w:val="none" w:sz="0" w:space="0" w:color="auto"/>
      </w:divBdr>
    </w:div>
    <w:div w:id="854273723">
      <w:bodyDiv w:val="1"/>
      <w:marLeft w:val="0"/>
      <w:marRight w:val="0"/>
      <w:marTop w:val="0"/>
      <w:marBottom w:val="0"/>
      <w:divBdr>
        <w:top w:val="none" w:sz="0" w:space="0" w:color="auto"/>
        <w:left w:val="none" w:sz="0" w:space="0" w:color="auto"/>
        <w:bottom w:val="none" w:sz="0" w:space="0" w:color="auto"/>
        <w:right w:val="none" w:sz="0" w:space="0" w:color="auto"/>
      </w:divBdr>
    </w:div>
    <w:div w:id="864753830">
      <w:bodyDiv w:val="1"/>
      <w:marLeft w:val="0"/>
      <w:marRight w:val="0"/>
      <w:marTop w:val="0"/>
      <w:marBottom w:val="0"/>
      <w:divBdr>
        <w:top w:val="none" w:sz="0" w:space="0" w:color="auto"/>
        <w:left w:val="none" w:sz="0" w:space="0" w:color="auto"/>
        <w:bottom w:val="none" w:sz="0" w:space="0" w:color="auto"/>
        <w:right w:val="none" w:sz="0" w:space="0" w:color="auto"/>
      </w:divBdr>
    </w:div>
    <w:div w:id="877618664">
      <w:bodyDiv w:val="1"/>
      <w:marLeft w:val="0"/>
      <w:marRight w:val="0"/>
      <w:marTop w:val="0"/>
      <w:marBottom w:val="0"/>
      <w:divBdr>
        <w:top w:val="none" w:sz="0" w:space="0" w:color="auto"/>
        <w:left w:val="none" w:sz="0" w:space="0" w:color="auto"/>
        <w:bottom w:val="none" w:sz="0" w:space="0" w:color="auto"/>
        <w:right w:val="none" w:sz="0" w:space="0" w:color="auto"/>
      </w:divBdr>
    </w:div>
    <w:div w:id="892276262">
      <w:bodyDiv w:val="1"/>
      <w:marLeft w:val="0"/>
      <w:marRight w:val="0"/>
      <w:marTop w:val="0"/>
      <w:marBottom w:val="0"/>
      <w:divBdr>
        <w:top w:val="none" w:sz="0" w:space="0" w:color="auto"/>
        <w:left w:val="none" w:sz="0" w:space="0" w:color="auto"/>
        <w:bottom w:val="none" w:sz="0" w:space="0" w:color="auto"/>
        <w:right w:val="none" w:sz="0" w:space="0" w:color="auto"/>
      </w:divBdr>
    </w:div>
    <w:div w:id="935408206">
      <w:bodyDiv w:val="1"/>
      <w:marLeft w:val="0"/>
      <w:marRight w:val="0"/>
      <w:marTop w:val="0"/>
      <w:marBottom w:val="0"/>
      <w:divBdr>
        <w:top w:val="none" w:sz="0" w:space="0" w:color="auto"/>
        <w:left w:val="none" w:sz="0" w:space="0" w:color="auto"/>
        <w:bottom w:val="none" w:sz="0" w:space="0" w:color="auto"/>
        <w:right w:val="none" w:sz="0" w:space="0" w:color="auto"/>
      </w:divBdr>
    </w:div>
    <w:div w:id="957105620">
      <w:bodyDiv w:val="1"/>
      <w:marLeft w:val="0"/>
      <w:marRight w:val="0"/>
      <w:marTop w:val="0"/>
      <w:marBottom w:val="0"/>
      <w:divBdr>
        <w:top w:val="none" w:sz="0" w:space="0" w:color="auto"/>
        <w:left w:val="none" w:sz="0" w:space="0" w:color="auto"/>
        <w:bottom w:val="none" w:sz="0" w:space="0" w:color="auto"/>
        <w:right w:val="none" w:sz="0" w:space="0" w:color="auto"/>
      </w:divBdr>
    </w:div>
    <w:div w:id="979766471">
      <w:bodyDiv w:val="1"/>
      <w:marLeft w:val="0"/>
      <w:marRight w:val="0"/>
      <w:marTop w:val="0"/>
      <w:marBottom w:val="0"/>
      <w:divBdr>
        <w:top w:val="none" w:sz="0" w:space="0" w:color="auto"/>
        <w:left w:val="none" w:sz="0" w:space="0" w:color="auto"/>
        <w:bottom w:val="none" w:sz="0" w:space="0" w:color="auto"/>
        <w:right w:val="none" w:sz="0" w:space="0" w:color="auto"/>
      </w:divBdr>
    </w:div>
    <w:div w:id="1136295858">
      <w:bodyDiv w:val="1"/>
      <w:marLeft w:val="0"/>
      <w:marRight w:val="0"/>
      <w:marTop w:val="0"/>
      <w:marBottom w:val="0"/>
      <w:divBdr>
        <w:top w:val="none" w:sz="0" w:space="0" w:color="auto"/>
        <w:left w:val="none" w:sz="0" w:space="0" w:color="auto"/>
        <w:bottom w:val="none" w:sz="0" w:space="0" w:color="auto"/>
        <w:right w:val="none" w:sz="0" w:space="0" w:color="auto"/>
      </w:divBdr>
    </w:div>
    <w:div w:id="1139303072">
      <w:bodyDiv w:val="1"/>
      <w:marLeft w:val="0"/>
      <w:marRight w:val="0"/>
      <w:marTop w:val="0"/>
      <w:marBottom w:val="0"/>
      <w:divBdr>
        <w:top w:val="none" w:sz="0" w:space="0" w:color="auto"/>
        <w:left w:val="none" w:sz="0" w:space="0" w:color="auto"/>
        <w:bottom w:val="none" w:sz="0" w:space="0" w:color="auto"/>
        <w:right w:val="none" w:sz="0" w:space="0" w:color="auto"/>
      </w:divBdr>
    </w:div>
    <w:div w:id="1140879512">
      <w:bodyDiv w:val="1"/>
      <w:marLeft w:val="0"/>
      <w:marRight w:val="0"/>
      <w:marTop w:val="0"/>
      <w:marBottom w:val="0"/>
      <w:divBdr>
        <w:top w:val="none" w:sz="0" w:space="0" w:color="auto"/>
        <w:left w:val="none" w:sz="0" w:space="0" w:color="auto"/>
        <w:bottom w:val="none" w:sz="0" w:space="0" w:color="auto"/>
        <w:right w:val="none" w:sz="0" w:space="0" w:color="auto"/>
      </w:divBdr>
    </w:div>
    <w:div w:id="1162624894">
      <w:bodyDiv w:val="1"/>
      <w:marLeft w:val="0"/>
      <w:marRight w:val="0"/>
      <w:marTop w:val="0"/>
      <w:marBottom w:val="0"/>
      <w:divBdr>
        <w:top w:val="none" w:sz="0" w:space="0" w:color="auto"/>
        <w:left w:val="none" w:sz="0" w:space="0" w:color="auto"/>
        <w:bottom w:val="none" w:sz="0" w:space="0" w:color="auto"/>
        <w:right w:val="none" w:sz="0" w:space="0" w:color="auto"/>
      </w:divBdr>
    </w:div>
    <w:div w:id="1200241165">
      <w:bodyDiv w:val="1"/>
      <w:marLeft w:val="0"/>
      <w:marRight w:val="0"/>
      <w:marTop w:val="0"/>
      <w:marBottom w:val="0"/>
      <w:divBdr>
        <w:top w:val="none" w:sz="0" w:space="0" w:color="auto"/>
        <w:left w:val="none" w:sz="0" w:space="0" w:color="auto"/>
        <w:bottom w:val="none" w:sz="0" w:space="0" w:color="auto"/>
        <w:right w:val="none" w:sz="0" w:space="0" w:color="auto"/>
      </w:divBdr>
    </w:div>
    <w:div w:id="1254437267">
      <w:bodyDiv w:val="1"/>
      <w:marLeft w:val="0"/>
      <w:marRight w:val="0"/>
      <w:marTop w:val="0"/>
      <w:marBottom w:val="0"/>
      <w:divBdr>
        <w:top w:val="none" w:sz="0" w:space="0" w:color="auto"/>
        <w:left w:val="none" w:sz="0" w:space="0" w:color="auto"/>
        <w:bottom w:val="none" w:sz="0" w:space="0" w:color="auto"/>
        <w:right w:val="none" w:sz="0" w:space="0" w:color="auto"/>
      </w:divBdr>
    </w:div>
    <w:div w:id="1289900372">
      <w:bodyDiv w:val="1"/>
      <w:marLeft w:val="0"/>
      <w:marRight w:val="0"/>
      <w:marTop w:val="0"/>
      <w:marBottom w:val="0"/>
      <w:divBdr>
        <w:top w:val="none" w:sz="0" w:space="0" w:color="auto"/>
        <w:left w:val="none" w:sz="0" w:space="0" w:color="auto"/>
        <w:bottom w:val="none" w:sz="0" w:space="0" w:color="auto"/>
        <w:right w:val="none" w:sz="0" w:space="0" w:color="auto"/>
      </w:divBdr>
    </w:div>
    <w:div w:id="1312909009">
      <w:bodyDiv w:val="1"/>
      <w:marLeft w:val="0"/>
      <w:marRight w:val="0"/>
      <w:marTop w:val="0"/>
      <w:marBottom w:val="0"/>
      <w:divBdr>
        <w:top w:val="none" w:sz="0" w:space="0" w:color="auto"/>
        <w:left w:val="none" w:sz="0" w:space="0" w:color="auto"/>
        <w:bottom w:val="none" w:sz="0" w:space="0" w:color="auto"/>
        <w:right w:val="none" w:sz="0" w:space="0" w:color="auto"/>
      </w:divBdr>
    </w:div>
    <w:div w:id="1347095497">
      <w:bodyDiv w:val="1"/>
      <w:marLeft w:val="0"/>
      <w:marRight w:val="0"/>
      <w:marTop w:val="0"/>
      <w:marBottom w:val="0"/>
      <w:divBdr>
        <w:top w:val="none" w:sz="0" w:space="0" w:color="auto"/>
        <w:left w:val="none" w:sz="0" w:space="0" w:color="auto"/>
        <w:bottom w:val="none" w:sz="0" w:space="0" w:color="auto"/>
        <w:right w:val="none" w:sz="0" w:space="0" w:color="auto"/>
      </w:divBdr>
    </w:div>
    <w:div w:id="1351101842">
      <w:bodyDiv w:val="1"/>
      <w:marLeft w:val="0"/>
      <w:marRight w:val="0"/>
      <w:marTop w:val="0"/>
      <w:marBottom w:val="0"/>
      <w:divBdr>
        <w:top w:val="none" w:sz="0" w:space="0" w:color="auto"/>
        <w:left w:val="none" w:sz="0" w:space="0" w:color="auto"/>
        <w:bottom w:val="none" w:sz="0" w:space="0" w:color="auto"/>
        <w:right w:val="none" w:sz="0" w:space="0" w:color="auto"/>
      </w:divBdr>
    </w:div>
    <w:div w:id="1414005960">
      <w:bodyDiv w:val="1"/>
      <w:marLeft w:val="0"/>
      <w:marRight w:val="0"/>
      <w:marTop w:val="0"/>
      <w:marBottom w:val="0"/>
      <w:divBdr>
        <w:top w:val="none" w:sz="0" w:space="0" w:color="auto"/>
        <w:left w:val="none" w:sz="0" w:space="0" w:color="auto"/>
        <w:bottom w:val="none" w:sz="0" w:space="0" w:color="auto"/>
        <w:right w:val="none" w:sz="0" w:space="0" w:color="auto"/>
      </w:divBdr>
    </w:div>
    <w:div w:id="1489325529">
      <w:bodyDiv w:val="1"/>
      <w:marLeft w:val="0"/>
      <w:marRight w:val="0"/>
      <w:marTop w:val="0"/>
      <w:marBottom w:val="0"/>
      <w:divBdr>
        <w:top w:val="none" w:sz="0" w:space="0" w:color="auto"/>
        <w:left w:val="none" w:sz="0" w:space="0" w:color="auto"/>
        <w:bottom w:val="none" w:sz="0" w:space="0" w:color="auto"/>
        <w:right w:val="none" w:sz="0" w:space="0" w:color="auto"/>
      </w:divBdr>
    </w:div>
    <w:div w:id="1527058405">
      <w:bodyDiv w:val="1"/>
      <w:marLeft w:val="0"/>
      <w:marRight w:val="0"/>
      <w:marTop w:val="0"/>
      <w:marBottom w:val="0"/>
      <w:divBdr>
        <w:top w:val="none" w:sz="0" w:space="0" w:color="auto"/>
        <w:left w:val="none" w:sz="0" w:space="0" w:color="auto"/>
        <w:bottom w:val="none" w:sz="0" w:space="0" w:color="auto"/>
        <w:right w:val="none" w:sz="0" w:space="0" w:color="auto"/>
      </w:divBdr>
    </w:div>
    <w:div w:id="1532914323">
      <w:bodyDiv w:val="1"/>
      <w:marLeft w:val="0"/>
      <w:marRight w:val="0"/>
      <w:marTop w:val="0"/>
      <w:marBottom w:val="0"/>
      <w:divBdr>
        <w:top w:val="none" w:sz="0" w:space="0" w:color="auto"/>
        <w:left w:val="none" w:sz="0" w:space="0" w:color="auto"/>
        <w:bottom w:val="none" w:sz="0" w:space="0" w:color="auto"/>
        <w:right w:val="none" w:sz="0" w:space="0" w:color="auto"/>
      </w:divBdr>
    </w:div>
    <w:div w:id="1555235523">
      <w:bodyDiv w:val="1"/>
      <w:marLeft w:val="0"/>
      <w:marRight w:val="0"/>
      <w:marTop w:val="0"/>
      <w:marBottom w:val="0"/>
      <w:divBdr>
        <w:top w:val="none" w:sz="0" w:space="0" w:color="auto"/>
        <w:left w:val="none" w:sz="0" w:space="0" w:color="auto"/>
        <w:bottom w:val="none" w:sz="0" w:space="0" w:color="auto"/>
        <w:right w:val="none" w:sz="0" w:space="0" w:color="auto"/>
      </w:divBdr>
    </w:div>
    <w:div w:id="1582983771">
      <w:bodyDiv w:val="1"/>
      <w:marLeft w:val="0"/>
      <w:marRight w:val="0"/>
      <w:marTop w:val="0"/>
      <w:marBottom w:val="0"/>
      <w:divBdr>
        <w:top w:val="none" w:sz="0" w:space="0" w:color="auto"/>
        <w:left w:val="none" w:sz="0" w:space="0" w:color="auto"/>
        <w:bottom w:val="none" w:sz="0" w:space="0" w:color="auto"/>
        <w:right w:val="none" w:sz="0" w:space="0" w:color="auto"/>
      </w:divBdr>
    </w:div>
    <w:div w:id="1629706583">
      <w:bodyDiv w:val="1"/>
      <w:marLeft w:val="0"/>
      <w:marRight w:val="0"/>
      <w:marTop w:val="0"/>
      <w:marBottom w:val="0"/>
      <w:divBdr>
        <w:top w:val="none" w:sz="0" w:space="0" w:color="auto"/>
        <w:left w:val="none" w:sz="0" w:space="0" w:color="auto"/>
        <w:bottom w:val="none" w:sz="0" w:space="0" w:color="auto"/>
        <w:right w:val="none" w:sz="0" w:space="0" w:color="auto"/>
      </w:divBdr>
    </w:div>
    <w:div w:id="1637370412">
      <w:bodyDiv w:val="1"/>
      <w:marLeft w:val="0"/>
      <w:marRight w:val="0"/>
      <w:marTop w:val="0"/>
      <w:marBottom w:val="0"/>
      <w:divBdr>
        <w:top w:val="none" w:sz="0" w:space="0" w:color="auto"/>
        <w:left w:val="none" w:sz="0" w:space="0" w:color="auto"/>
        <w:bottom w:val="none" w:sz="0" w:space="0" w:color="auto"/>
        <w:right w:val="none" w:sz="0" w:space="0" w:color="auto"/>
      </w:divBdr>
    </w:div>
    <w:div w:id="1712878031">
      <w:bodyDiv w:val="1"/>
      <w:marLeft w:val="0"/>
      <w:marRight w:val="0"/>
      <w:marTop w:val="0"/>
      <w:marBottom w:val="0"/>
      <w:divBdr>
        <w:top w:val="none" w:sz="0" w:space="0" w:color="auto"/>
        <w:left w:val="none" w:sz="0" w:space="0" w:color="auto"/>
        <w:bottom w:val="none" w:sz="0" w:space="0" w:color="auto"/>
        <w:right w:val="none" w:sz="0" w:space="0" w:color="auto"/>
      </w:divBdr>
    </w:div>
    <w:div w:id="1742291161">
      <w:bodyDiv w:val="1"/>
      <w:marLeft w:val="0"/>
      <w:marRight w:val="0"/>
      <w:marTop w:val="0"/>
      <w:marBottom w:val="0"/>
      <w:divBdr>
        <w:top w:val="none" w:sz="0" w:space="0" w:color="auto"/>
        <w:left w:val="none" w:sz="0" w:space="0" w:color="auto"/>
        <w:bottom w:val="none" w:sz="0" w:space="0" w:color="auto"/>
        <w:right w:val="none" w:sz="0" w:space="0" w:color="auto"/>
      </w:divBdr>
    </w:div>
    <w:div w:id="1759712188">
      <w:bodyDiv w:val="1"/>
      <w:marLeft w:val="0"/>
      <w:marRight w:val="0"/>
      <w:marTop w:val="0"/>
      <w:marBottom w:val="0"/>
      <w:divBdr>
        <w:top w:val="none" w:sz="0" w:space="0" w:color="auto"/>
        <w:left w:val="none" w:sz="0" w:space="0" w:color="auto"/>
        <w:bottom w:val="none" w:sz="0" w:space="0" w:color="auto"/>
        <w:right w:val="none" w:sz="0" w:space="0" w:color="auto"/>
      </w:divBdr>
    </w:div>
    <w:div w:id="1817408836">
      <w:bodyDiv w:val="1"/>
      <w:marLeft w:val="0"/>
      <w:marRight w:val="0"/>
      <w:marTop w:val="0"/>
      <w:marBottom w:val="0"/>
      <w:divBdr>
        <w:top w:val="none" w:sz="0" w:space="0" w:color="auto"/>
        <w:left w:val="none" w:sz="0" w:space="0" w:color="auto"/>
        <w:bottom w:val="none" w:sz="0" w:space="0" w:color="auto"/>
        <w:right w:val="none" w:sz="0" w:space="0" w:color="auto"/>
      </w:divBdr>
    </w:div>
    <w:div w:id="1872255475">
      <w:bodyDiv w:val="1"/>
      <w:marLeft w:val="0"/>
      <w:marRight w:val="0"/>
      <w:marTop w:val="0"/>
      <w:marBottom w:val="0"/>
      <w:divBdr>
        <w:top w:val="none" w:sz="0" w:space="0" w:color="auto"/>
        <w:left w:val="none" w:sz="0" w:space="0" w:color="auto"/>
        <w:bottom w:val="none" w:sz="0" w:space="0" w:color="auto"/>
        <w:right w:val="none" w:sz="0" w:space="0" w:color="auto"/>
      </w:divBdr>
    </w:div>
    <w:div w:id="1885673334">
      <w:bodyDiv w:val="1"/>
      <w:marLeft w:val="0"/>
      <w:marRight w:val="0"/>
      <w:marTop w:val="0"/>
      <w:marBottom w:val="0"/>
      <w:divBdr>
        <w:top w:val="none" w:sz="0" w:space="0" w:color="auto"/>
        <w:left w:val="none" w:sz="0" w:space="0" w:color="auto"/>
        <w:bottom w:val="none" w:sz="0" w:space="0" w:color="auto"/>
        <w:right w:val="none" w:sz="0" w:space="0" w:color="auto"/>
      </w:divBdr>
    </w:div>
    <w:div w:id="1890452620">
      <w:bodyDiv w:val="1"/>
      <w:marLeft w:val="0"/>
      <w:marRight w:val="0"/>
      <w:marTop w:val="0"/>
      <w:marBottom w:val="0"/>
      <w:divBdr>
        <w:top w:val="none" w:sz="0" w:space="0" w:color="auto"/>
        <w:left w:val="none" w:sz="0" w:space="0" w:color="auto"/>
        <w:bottom w:val="none" w:sz="0" w:space="0" w:color="auto"/>
        <w:right w:val="none" w:sz="0" w:space="0" w:color="auto"/>
      </w:divBdr>
    </w:div>
    <w:div w:id="1929731637">
      <w:bodyDiv w:val="1"/>
      <w:marLeft w:val="0"/>
      <w:marRight w:val="0"/>
      <w:marTop w:val="0"/>
      <w:marBottom w:val="0"/>
      <w:divBdr>
        <w:top w:val="none" w:sz="0" w:space="0" w:color="auto"/>
        <w:left w:val="none" w:sz="0" w:space="0" w:color="auto"/>
        <w:bottom w:val="none" w:sz="0" w:space="0" w:color="auto"/>
        <w:right w:val="none" w:sz="0" w:space="0" w:color="auto"/>
      </w:divBdr>
    </w:div>
    <w:div w:id="1946036686">
      <w:bodyDiv w:val="1"/>
      <w:marLeft w:val="0"/>
      <w:marRight w:val="0"/>
      <w:marTop w:val="0"/>
      <w:marBottom w:val="0"/>
      <w:divBdr>
        <w:top w:val="none" w:sz="0" w:space="0" w:color="auto"/>
        <w:left w:val="none" w:sz="0" w:space="0" w:color="auto"/>
        <w:bottom w:val="none" w:sz="0" w:space="0" w:color="auto"/>
        <w:right w:val="none" w:sz="0" w:space="0" w:color="auto"/>
      </w:divBdr>
    </w:div>
    <w:div w:id="1951891375">
      <w:bodyDiv w:val="1"/>
      <w:marLeft w:val="0"/>
      <w:marRight w:val="0"/>
      <w:marTop w:val="0"/>
      <w:marBottom w:val="0"/>
      <w:divBdr>
        <w:top w:val="none" w:sz="0" w:space="0" w:color="auto"/>
        <w:left w:val="none" w:sz="0" w:space="0" w:color="auto"/>
        <w:bottom w:val="none" w:sz="0" w:space="0" w:color="auto"/>
        <w:right w:val="none" w:sz="0" w:space="0" w:color="auto"/>
      </w:divBdr>
    </w:div>
    <w:div w:id="2010863216">
      <w:bodyDiv w:val="1"/>
      <w:marLeft w:val="0"/>
      <w:marRight w:val="0"/>
      <w:marTop w:val="0"/>
      <w:marBottom w:val="0"/>
      <w:divBdr>
        <w:top w:val="none" w:sz="0" w:space="0" w:color="auto"/>
        <w:left w:val="none" w:sz="0" w:space="0" w:color="auto"/>
        <w:bottom w:val="none" w:sz="0" w:space="0" w:color="auto"/>
        <w:right w:val="none" w:sz="0" w:space="0" w:color="auto"/>
      </w:divBdr>
    </w:div>
    <w:div w:id="2041777821">
      <w:bodyDiv w:val="1"/>
      <w:marLeft w:val="0"/>
      <w:marRight w:val="0"/>
      <w:marTop w:val="0"/>
      <w:marBottom w:val="0"/>
      <w:divBdr>
        <w:top w:val="none" w:sz="0" w:space="0" w:color="auto"/>
        <w:left w:val="none" w:sz="0" w:space="0" w:color="auto"/>
        <w:bottom w:val="none" w:sz="0" w:space="0" w:color="auto"/>
        <w:right w:val="none" w:sz="0" w:space="0" w:color="auto"/>
      </w:divBdr>
    </w:div>
    <w:div w:id="2046975594">
      <w:bodyDiv w:val="1"/>
      <w:marLeft w:val="0"/>
      <w:marRight w:val="0"/>
      <w:marTop w:val="0"/>
      <w:marBottom w:val="0"/>
      <w:divBdr>
        <w:top w:val="none" w:sz="0" w:space="0" w:color="auto"/>
        <w:left w:val="none" w:sz="0" w:space="0" w:color="auto"/>
        <w:bottom w:val="none" w:sz="0" w:space="0" w:color="auto"/>
        <w:right w:val="none" w:sz="0" w:space="0" w:color="auto"/>
      </w:divBdr>
    </w:div>
    <w:div w:id="2104060815">
      <w:bodyDiv w:val="1"/>
      <w:marLeft w:val="0"/>
      <w:marRight w:val="0"/>
      <w:marTop w:val="0"/>
      <w:marBottom w:val="0"/>
      <w:divBdr>
        <w:top w:val="none" w:sz="0" w:space="0" w:color="auto"/>
        <w:left w:val="none" w:sz="0" w:space="0" w:color="auto"/>
        <w:bottom w:val="none" w:sz="0" w:space="0" w:color="auto"/>
        <w:right w:val="none" w:sz="0" w:space="0" w:color="auto"/>
      </w:divBdr>
    </w:div>
    <w:div w:id="2109999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4.emf"/><Relationship Id="rId68"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image" Target="media/image20.emf"/><Relationship Id="rId11" Type="http://schemas.openxmlformats.org/officeDocument/2006/relationships/image" Target="media/image2.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image" Target="media/image49.emf"/><Relationship Id="rId66" Type="http://schemas.openxmlformats.org/officeDocument/2006/relationships/image" Target="media/image57.emf"/><Relationship Id="rId5" Type="http://schemas.openxmlformats.org/officeDocument/2006/relationships/numbering" Target="numbering.xml"/><Relationship Id="rId61" Type="http://schemas.openxmlformats.org/officeDocument/2006/relationships/image" Target="media/image52.emf"/><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64" Type="http://schemas.openxmlformats.org/officeDocument/2006/relationships/image" Target="media/image55.emf"/><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2.emf"/><Relationship Id="rId3" Type="http://schemas.openxmlformats.org/officeDocument/2006/relationships/customXml" Target="../customXml/item3.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emf"/><Relationship Id="rId67" Type="http://schemas.openxmlformats.org/officeDocument/2006/relationships/image" Target="media/image58.emf"/><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 Type="http://schemas.openxmlformats.org/officeDocument/2006/relationships/endnotes" Target="endnotes.xml"/><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6.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emf"/><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s>
</file>

<file path=word/_rels/footnotes.xml.rels><?xml version="1.0" encoding="UTF-8" standalone="yes"?>
<Relationships xmlns="http://schemas.openxmlformats.org/package/2006/relationships"><Relationship Id="rId1" Type="http://schemas.openxmlformats.org/officeDocument/2006/relationships/hyperlink" Target="http://www.ift.org.mx/sites/default/files/informe_trimestral_4q_2015_version_habilitada_para_lector_de_pantalla_v3.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Fayna\CONFIG~1\Temp\Rar$DI07.664\SVP_PlantillaWord_2.dotx" TargetMode="External"/></Relationships>
</file>

<file path=word/theme/theme1.xml><?xml version="1.0" encoding="utf-8"?>
<a:theme xmlns:a="http://schemas.openxmlformats.org/drawingml/2006/main" name="AXON_template">
  <a:themeElements>
    <a:clrScheme name="Custom 1">
      <a:dk1>
        <a:srgbClr val="0C2749"/>
      </a:dk1>
      <a:lt1>
        <a:srgbClr val="FFFFFF"/>
      </a:lt1>
      <a:dk2>
        <a:srgbClr val="5A6870"/>
      </a:dk2>
      <a:lt2>
        <a:srgbClr val="FFFFFF"/>
      </a:lt2>
      <a:accent1>
        <a:srgbClr val="0C2749"/>
      </a:accent1>
      <a:accent2>
        <a:srgbClr val="165194"/>
      </a:accent2>
      <a:accent3>
        <a:srgbClr val="EF4136"/>
      </a:accent3>
      <a:accent4>
        <a:srgbClr val="5A6870"/>
      </a:accent4>
      <a:accent5>
        <a:srgbClr val="EF4136"/>
      </a:accent5>
      <a:accent6>
        <a:srgbClr val="4D68A3"/>
      </a:accent6>
      <a:hlink>
        <a:srgbClr val="0C2749"/>
      </a:hlink>
      <a:folHlink>
        <a:srgbClr val="86879C"/>
      </a:folHlink>
    </a:clrScheme>
    <a:fontScheme name="1_Diseño personalizado">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chemeClr val="accent1"/>
        </a:solidFill>
        <a:ln w="9525" cap="flat" cmpd="sng" algn="ctr">
          <a:solidFill>
            <a:schemeClr val="bg2"/>
          </a:solidFill>
          <a:prstDash val="solid"/>
          <a:round/>
          <a:headEnd type="none" w="med" len="med"/>
          <a:tailEnd type="none" w="med" len="med"/>
        </a:ln>
        <a:effectLst/>
      </a:spPr>
      <a:bodyPr vert="horz" wrap="none" lIns="90000" tIns="46800" rIns="90000" bIns="46800" numCol="1" rtlCol="0" anchor="t" anchorCtr="0" compatLnSpc="1">
        <a:prstTxWarp prst="textNoShape">
          <a:avLst/>
        </a:prstTxWarp>
        <a:noAutofit/>
      </a:bodyPr>
      <a:lstStyle>
        <a:defPPr marL="0" marR="0" indent="0" algn="ctr" defTabSz="914400" rtl="0" eaLnBrk="1" fontAlgn="base" latinLnBrk="0" hangingPunct="1">
          <a:lnSpc>
            <a:spcPct val="100000"/>
          </a:lnSpc>
          <a:spcBef>
            <a:spcPct val="0"/>
          </a:spcBef>
          <a:spcAft>
            <a:spcPct val="0"/>
          </a:spcAft>
          <a:buClrTx/>
          <a:buSzTx/>
          <a:buFontTx/>
          <a:buNone/>
          <a:tabLst/>
          <a:defRPr kumimoji="0" sz="1000" b="1" i="0" u="none" strike="noStrike" cap="none" normalizeH="0" baseline="0" smtClean="0">
            <a:ln>
              <a:noFill/>
            </a:ln>
            <a:solidFill>
              <a:srgbClr val="572731"/>
            </a:solidFill>
            <a:effectLst/>
            <a:latin typeface="Lucida Handwriting" pitchFamily="66" charset="0"/>
          </a:defRPr>
        </a:defPPr>
      </a:lstStyle>
    </a:spDef>
    <a:lnDef>
      <a:spPr bwMode="auto">
        <a:xfrm>
          <a:off x="0" y="0"/>
          <a:ext cx="1" cy="1"/>
        </a:xfrm>
        <a:custGeom>
          <a:avLst/>
          <a:gdLst/>
          <a:ahLst/>
          <a:cxnLst/>
          <a:rect l="0" t="0" r="0" b="0"/>
          <a:pathLst/>
        </a:custGeom>
        <a:solidFill>
          <a:schemeClr val="accent1"/>
        </a:solidFill>
        <a:ln w="9525" cap="flat" cmpd="sng" algn="ctr">
          <a:solidFill>
            <a:schemeClr val="bg2"/>
          </a:solidFill>
          <a:prstDash val="solid"/>
          <a:round/>
          <a:headEnd type="none" w="med" len="med"/>
          <a:tailEnd type="none" w="med" len="med"/>
        </a:ln>
        <a:effectLst/>
      </a:spPr>
      <a:bodyPr vert="horz" wrap="none" lIns="90000" tIns="46800" rIns="90000" bIns="46800" numCol="1" anchor="t" anchorCtr="0" compatLnSpc="1">
        <a:prstTxWarp prst="textNoShape">
          <a:avLst/>
        </a:prstTxWarp>
        <a:spAutoFit/>
      </a:bodyPr>
      <a:lstStyle>
        <a:defPPr marL="0" marR="0" indent="0" algn="ctr" defTabSz="914400" rtl="0" eaLnBrk="1" fontAlgn="base" latinLnBrk="0" hangingPunct="1">
          <a:lnSpc>
            <a:spcPct val="100000"/>
          </a:lnSpc>
          <a:spcBef>
            <a:spcPct val="0"/>
          </a:spcBef>
          <a:spcAft>
            <a:spcPct val="0"/>
          </a:spcAft>
          <a:buClrTx/>
          <a:buSzTx/>
          <a:buFontTx/>
          <a:buNone/>
          <a:tabLst/>
          <a:defRPr kumimoji="0" lang="es-ES" sz="1000" b="1" i="0" u="none" strike="noStrike" cap="none" normalizeH="0" baseline="0" smtClean="0">
            <a:ln>
              <a:noFill/>
            </a:ln>
            <a:solidFill>
              <a:srgbClr val="572731"/>
            </a:solidFill>
            <a:effectLst/>
            <a:latin typeface="Lucida Handwriting" pitchFamily="66" charset="0"/>
          </a:defRPr>
        </a:defPPr>
      </a:lstStyle>
    </a:lnDef>
    <a:txDef>
      <a:spPr>
        <a:noFill/>
      </a:spPr>
      <a:bodyPr wrap="none" rtlCol="0">
        <a:spAutoFit/>
      </a:bodyPr>
      <a:lstStyle>
        <a:defPPr>
          <a:defRPr sz="1200" dirty="0" smtClean="0">
            <a:latin typeface="+mj-lt"/>
          </a:defRPr>
        </a:defPPr>
      </a:lstStyle>
    </a:txDef>
  </a:objectDefaults>
  <a:extraClrSchemeLst>
    <a:extraClrScheme>
      <a:clrScheme name="1_Diseño personalizado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clrMap bg1="lt1" tx1="dk1" bg2="lt2" tx2="dk2" accent1="accent1" accent2="accent2" accent3="accent3" accent4="accent4" accent5="accent5" accent6="accent6" hlink="hlink" folHlink="folHlink"/>
    </a:extraClrScheme>
    <a:extraClrScheme>
      <a:clrScheme name="1_Diseño personalizado 2">
        <a:dk1>
          <a:srgbClr val="000000"/>
        </a:dk1>
        <a:lt1>
          <a:srgbClr val="FFFFFF"/>
        </a:lt1>
        <a:dk2>
          <a:srgbClr val="000000"/>
        </a:dk2>
        <a:lt2>
          <a:srgbClr val="969696"/>
        </a:lt2>
        <a:accent1>
          <a:srgbClr val="FBDF53"/>
        </a:accent1>
        <a:accent2>
          <a:srgbClr val="FF9966"/>
        </a:accent2>
        <a:accent3>
          <a:srgbClr val="FFFFFF"/>
        </a:accent3>
        <a:accent4>
          <a:srgbClr val="000000"/>
        </a:accent4>
        <a:accent5>
          <a:srgbClr val="FDECB3"/>
        </a:accent5>
        <a:accent6>
          <a:srgbClr val="E78A5C"/>
        </a:accent6>
        <a:hlink>
          <a:srgbClr val="CC3300"/>
        </a:hlink>
        <a:folHlink>
          <a:srgbClr val="996600"/>
        </a:folHlink>
      </a:clrScheme>
      <a:clrMap bg1="lt1" tx1="dk1" bg2="lt2" tx2="dk2" accent1="accent1" accent2="accent2" accent3="accent3" accent4="accent4" accent5="accent5" accent6="accent6" hlink="hlink" folHlink="folHlink"/>
    </a:extraClrScheme>
    <a:extraClrScheme>
      <a:clrScheme name="1_Diseño personalizado 3">
        <a:dk1>
          <a:srgbClr val="000000"/>
        </a:dk1>
        <a:lt1>
          <a:srgbClr val="FFFFFF"/>
        </a:lt1>
        <a:dk2>
          <a:srgbClr val="000000"/>
        </a:dk2>
        <a:lt2>
          <a:srgbClr val="808080"/>
        </a:lt2>
        <a:accent1>
          <a:srgbClr val="99CCFF"/>
        </a:accent1>
        <a:accent2>
          <a:srgbClr val="CCCCFF"/>
        </a:accent2>
        <a:accent3>
          <a:srgbClr val="FFFFFF"/>
        </a:accent3>
        <a:accent4>
          <a:srgbClr val="000000"/>
        </a:accent4>
        <a:accent5>
          <a:srgbClr val="CAE2FF"/>
        </a:accent5>
        <a:accent6>
          <a:srgbClr val="B9B9E7"/>
        </a:accent6>
        <a:hlink>
          <a:srgbClr val="3333CC"/>
        </a:hlink>
        <a:folHlink>
          <a:srgbClr val="AF67FF"/>
        </a:folHlink>
      </a:clrScheme>
      <a:clrMap bg1="lt1" tx1="dk1" bg2="lt2" tx2="dk2" accent1="accent1" accent2="accent2" accent3="accent3" accent4="accent4" accent5="accent5" accent6="accent6" hlink="hlink" folHlink="folHlink"/>
    </a:extraClrScheme>
    <a:extraClrScheme>
      <a:clrScheme name="1_Diseño personalizado 4">
        <a:dk1>
          <a:srgbClr val="000000"/>
        </a:dk1>
        <a:lt1>
          <a:srgbClr val="DEF6F1"/>
        </a:lt1>
        <a:dk2>
          <a:srgbClr val="000000"/>
        </a:dk2>
        <a:lt2>
          <a:srgbClr val="969696"/>
        </a:lt2>
        <a:accent1>
          <a:srgbClr val="FFFFFF"/>
        </a:accent1>
        <a:accent2>
          <a:srgbClr val="8DC6FF"/>
        </a:accent2>
        <a:accent3>
          <a:srgbClr val="ECFAF7"/>
        </a:accent3>
        <a:accent4>
          <a:srgbClr val="000000"/>
        </a:accent4>
        <a:accent5>
          <a:srgbClr val="FFFFFF"/>
        </a:accent5>
        <a:accent6>
          <a:srgbClr val="7FB3E7"/>
        </a:accent6>
        <a:hlink>
          <a:srgbClr val="0066CC"/>
        </a:hlink>
        <a:folHlink>
          <a:srgbClr val="00A800"/>
        </a:folHlink>
      </a:clrScheme>
      <a:clrMap bg1="lt1" tx1="dk1" bg2="lt2" tx2="dk2" accent1="accent1" accent2="accent2" accent3="accent3" accent4="accent4" accent5="accent5" accent6="accent6" hlink="hlink" folHlink="folHlink"/>
    </a:extraClrScheme>
    <a:extraClrScheme>
      <a:clrScheme name="1_Diseño personalizado 5">
        <a:dk1>
          <a:srgbClr val="000000"/>
        </a:dk1>
        <a:lt1>
          <a:srgbClr val="FFFFD9"/>
        </a:lt1>
        <a:dk2>
          <a:srgbClr val="000000"/>
        </a:dk2>
        <a:lt2>
          <a:srgbClr val="777777"/>
        </a:lt2>
        <a:accent1>
          <a:srgbClr val="FFFFF7"/>
        </a:accent1>
        <a:accent2>
          <a:srgbClr val="33CCCC"/>
        </a:accent2>
        <a:accent3>
          <a:srgbClr val="FFFFE9"/>
        </a:accent3>
        <a:accent4>
          <a:srgbClr val="000000"/>
        </a:accent4>
        <a:accent5>
          <a:srgbClr val="FFFFFA"/>
        </a:accent5>
        <a:accent6>
          <a:srgbClr val="2DB9B9"/>
        </a:accent6>
        <a:hlink>
          <a:srgbClr val="FF5050"/>
        </a:hlink>
        <a:folHlink>
          <a:srgbClr val="FF9900"/>
        </a:folHlink>
      </a:clrScheme>
      <a:clrMap bg1="lt1" tx1="dk1" bg2="lt2" tx2="dk2" accent1="accent1" accent2="accent2" accent3="accent3" accent4="accent4" accent5="accent5" accent6="accent6" hlink="hlink" folHlink="folHlink"/>
    </a:extraClrScheme>
    <a:extraClrScheme>
      <a:clrScheme name="1_Diseño personalizado 6">
        <a:dk1>
          <a:srgbClr val="005A58"/>
        </a:dk1>
        <a:lt1>
          <a:srgbClr val="FFFFFF"/>
        </a:lt1>
        <a:dk2>
          <a:srgbClr val="008080"/>
        </a:dk2>
        <a:lt2>
          <a:srgbClr val="FFFF99"/>
        </a:lt2>
        <a:accent1>
          <a:srgbClr val="006462"/>
        </a:accent1>
        <a:accent2>
          <a:srgbClr val="6D6FC7"/>
        </a:accent2>
        <a:accent3>
          <a:srgbClr val="AAC0C0"/>
        </a:accent3>
        <a:accent4>
          <a:srgbClr val="DADADA"/>
        </a:accent4>
        <a:accent5>
          <a:srgbClr val="AAB8B7"/>
        </a:accent5>
        <a:accent6>
          <a:srgbClr val="6264B4"/>
        </a:accent6>
        <a:hlink>
          <a:srgbClr val="00FFFF"/>
        </a:hlink>
        <a:folHlink>
          <a:srgbClr val="00FF00"/>
        </a:folHlink>
      </a:clrScheme>
      <a:clrMap bg1="dk2" tx1="lt1" bg2="dk1" tx2="lt2" accent1="accent1" accent2="accent2" accent3="accent3" accent4="accent4" accent5="accent5" accent6="accent6" hlink="hlink" folHlink="folHlink"/>
    </a:extraClrScheme>
    <a:extraClrScheme>
      <a:clrScheme name="1_Diseño personalizado 7">
        <a:dk1>
          <a:srgbClr val="5C1F00"/>
        </a:dk1>
        <a:lt1>
          <a:srgbClr val="FFFFFF"/>
        </a:lt1>
        <a:dk2>
          <a:srgbClr val="800000"/>
        </a:dk2>
        <a:lt2>
          <a:srgbClr val="DFD293"/>
        </a:lt2>
        <a:accent1>
          <a:srgbClr val="CC3300"/>
        </a:accent1>
        <a:accent2>
          <a:srgbClr val="BE7960"/>
        </a:accent2>
        <a:accent3>
          <a:srgbClr val="C0AAAA"/>
        </a:accent3>
        <a:accent4>
          <a:srgbClr val="DADADA"/>
        </a:accent4>
        <a:accent5>
          <a:srgbClr val="E2ADAA"/>
        </a:accent5>
        <a:accent6>
          <a:srgbClr val="AC6D56"/>
        </a:accent6>
        <a:hlink>
          <a:srgbClr val="FFFF99"/>
        </a:hlink>
        <a:folHlink>
          <a:srgbClr val="D3A219"/>
        </a:folHlink>
      </a:clrScheme>
      <a:clrMap bg1="dk2" tx1="lt1" bg2="dk1" tx2="lt2" accent1="accent1" accent2="accent2" accent3="accent3" accent4="accent4" accent5="accent5" accent6="accent6" hlink="hlink" folHlink="folHlink"/>
    </a:extraClrScheme>
    <a:extraClrScheme>
      <a:clrScheme name="1_Diseño personalizado 8">
        <a:dk1>
          <a:srgbClr val="003366"/>
        </a:dk1>
        <a:lt1>
          <a:srgbClr val="FFFFFF"/>
        </a:lt1>
        <a:dk2>
          <a:srgbClr val="000099"/>
        </a:dk2>
        <a:lt2>
          <a:srgbClr val="CCFFFF"/>
        </a:lt2>
        <a:accent1>
          <a:srgbClr val="3366CC"/>
        </a:accent1>
        <a:accent2>
          <a:srgbClr val="00B000"/>
        </a:accent2>
        <a:accent3>
          <a:srgbClr val="AAAACA"/>
        </a:accent3>
        <a:accent4>
          <a:srgbClr val="DADADA"/>
        </a:accent4>
        <a:accent5>
          <a:srgbClr val="ADB8E2"/>
        </a:accent5>
        <a:accent6>
          <a:srgbClr val="009F00"/>
        </a:accent6>
        <a:hlink>
          <a:srgbClr val="66CCFF"/>
        </a:hlink>
        <a:folHlink>
          <a:srgbClr val="FFE701"/>
        </a:folHlink>
      </a:clrScheme>
      <a:clrMap bg1="dk2" tx1="lt1" bg2="dk1" tx2="lt2" accent1="accent1" accent2="accent2" accent3="accent3" accent4="accent4" accent5="accent5" accent6="accent6" hlink="hlink" folHlink="folHlink"/>
    </a:extraClrScheme>
    <a:extraClrScheme>
      <a:clrScheme name="1_Diseño personalizado 9">
        <a:dk1>
          <a:srgbClr val="336699"/>
        </a:dk1>
        <a:lt1>
          <a:srgbClr val="FFFFFF"/>
        </a:lt1>
        <a:dk2>
          <a:srgbClr val="000000"/>
        </a:dk2>
        <a:lt2>
          <a:srgbClr val="E3EBF1"/>
        </a:lt2>
        <a:accent1>
          <a:srgbClr val="003399"/>
        </a:accent1>
        <a:accent2>
          <a:srgbClr val="468A4B"/>
        </a:accent2>
        <a:accent3>
          <a:srgbClr val="AAAAAA"/>
        </a:accent3>
        <a:accent4>
          <a:srgbClr val="DADADA"/>
        </a:accent4>
        <a:accent5>
          <a:srgbClr val="AAADCA"/>
        </a:accent5>
        <a:accent6>
          <a:srgbClr val="3F7D43"/>
        </a:accent6>
        <a:hlink>
          <a:srgbClr val="66CCFF"/>
        </a:hlink>
        <a:folHlink>
          <a:srgbClr val="F0E500"/>
        </a:folHlink>
      </a:clrScheme>
      <a:clrMap bg1="dk2" tx1="lt1" bg2="dk1" tx2="lt2" accent1="accent1" accent2="accent2" accent3="accent3" accent4="accent4" accent5="accent5" accent6="accent6" hlink="hlink" folHlink="folHlink"/>
    </a:extraClrScheme>
    <a:extraClrScheme>
      <a:clrScheme name="1_Diseño personalizado 10">
        <a:dk1>
          <a:srgbClr val="777777"/>
        </a:dk1>
        <a:lt1>
          <a:srgbClr val="FFFFFF"/>
        </a:lt1>
        <a:dk2>
          <a:srgbClr val="686B5D"/>
        </a:dk2>
        <a:lt2>
          <a:srgbClr val="D1D1CB"/>
        </a:lt2>
        <a:accent1>
          <a:srgbClr val="909082"/>
        </a:accent1>
        <a:accent2>
          <a:srgbClr val="809EA8"/>
        </a:accent2>
        <a:accent3>
          <a:srgbClr val="B9BAB6"/>
        </a:accent3>
        <a:accent4>
          <a:srgbClr val="DADADA"/>
        </a:accent4>
        <a:accent5>
          <a:srgbClr val="C6C6C1"/>
        </a:accent5>
        <a:accent6>
          <a:srgbClr val="738F98"/>
        </a:accent6>
        <a:hlink>
          <a:srgbClr val="FFCC66"/>
        </a:hlink>
        <a:folHlink>
          <a:srgbClr val="E9DCB9"/>
        </a:folHlink>
      </a:clrScheme>
      <a:clrMap bg1="dk2" tx1="lt1" bg2="dk1" tx2="lt2" accent1="accent1" accent2="accent2" accent3="accent3" accent4="accent4" accent5="accent5" accent6="accent6" hlink="hlink" folHlink="folHlink"/>
    </a:extraClrScheme>
    <a:extraClrScheme>
      <a:clrScheme name="1_Diseño personalizado 11">
        <a:dk1>
          <a:srgbClr val="3E3E5C"/>
        </a:dk1>
        <a:lt1>
          <a:srgbClr val="FFFFFF"/>
        </a:lt1>
        <a:dk2>
          <a:srgbClr val="666699"/>
        </a:dk2>
        <a:lt2>
          <a:srgbClr val="FFFFFF"/>
        </a:lt2>
        <a:accent1>
          <a:srgbClr val="60597B"/>
        </a:accent1>
        <a:accent2>
          <a:srgbClr val="6666FF"/>
        </a:accent2>
        <a:accent3>
          <a:srgbClr val="B8B8CA"/>
        </a:accent3>
        <a:accent4>
          <a:srgbClr val="DADADA"/>
        </a:accent4>
        <a:accent5>
          <a:srgbClr val="B6B5BF"/>
        </a:accent5>
        <a:accent6>
          <a:srgbClr val="5C5CE7"/>
        </a:accent6>
        <a:hlink>
          <a:srgbClr val="99CCFF"/>
        </a:hlink>
        <a:folHlink>
          <a:srgbClr val="FFFF99"/>
        </a:folHlink>
      </a:clrScheme>
      <a:clrMap bg1="dk2" tx1="lt1" bg2="dk1" tx2="lt2" accent1="accent1" accent2="accent2" accent3="accent3" accent4="accent4" accent5="accent5" accent6="accent6" hlink="hlink" folHlink="folHlink"/>
    </a:extraClrScheme>
    <a:extraClrScheme>
      <a:clrScheme name="1_Diseño personalizado 12">
        <a:dk1>
          <a:srgbClr val="2D2015"/>
        </a:dk1>
        <a:lt1>
          <a:srgbClr val="FFFFFF"/>
        </a:lt1>
        <a:dk2>
          <a:srgbClr val="523E26"/>
        </a:dk2>
        <a:lt2>
          <a:srgbClr val="DFC08D"/>
        </a:lt2>
        <a:accent1>
          <a:srgbClr val="8C7B70"/>
        </a:accent1>
        <a:accent2>
          <a:srgbClr val="8F5F2F"/>
        </a:accent2>
        <a:accent3>
          <a:srgbClr val="B3AFAC"/>
        </a:accent3>
        <a:accent4>
          <a:srgbClr val="DADADA"/>
        </a:accent4>
        <a:accent5>
          <a:srgbClr val="C5BFBB"/>
        </a:accent5>
        <a:accent6>
          <a:srgbClr val="81552A"/>
        </a:accent6>
        <a:hlink>
          <a:srgbClr val="CCB400"/>
        </a:hlink>
        <a:folHlink>
          <a:srgbClr val="8C9EA0"/>
        </a:folHlink>
      </a:clrScheme>
      <a:clrMap bg1="dk2" tx1="lt1" bg2="dk1" tx2="lt2" accent1="accent1" accent2="accent2" accent3="accent3" accent4="accent4" accent5="accent5" accent6="accent6" hlink="hlink" folHlink="folHlink"/>
    </a:extraClrScheme>
    <a:extraClrScheme>
      <a:clrScheme name="1_Diseño personalizado 13">
        <a:dk1>
          <a:srgbClr val="2D2015"/>
        </a:dk1>
        <a:lt1>
          <a:srgbClr val="FFFFFF"/>
        </a:lt1>
        <a:dk2>
          <a:srgbClr val="FAFBF6"/>
        </a:dk2>
        <a:lt2>
          <a:srgbClr val="572731"/>
        </a:lt2>
        <a:accent1>
          <a:srgbClr val="B76172"/>
        </a:accent1>
        <a:accent2>
          <a:srgbClr val="C4D188"/>
        </a:accent2>
        <a:accent3>
          <a:srgbClr val="FCFDFA"/>
        </a:accent3>
        <a:accent4>
          <a:srgbClr val="DADADA"/>
        </a:accent4>
        <a:accent5>
          <a:srgbClr val="D8B7BC"/>
        </a:accent5>
        <a:accent6>
          <a:srgbClr val="B1BD7B"/>
        </a:accent6>
        <a:hlink>
          <a:srgbClr val="FFBD44"/>
        </a:hlink>
        <a:folHlink>
          <a:srgbClr val="88C4D1"/>
        </a:folHlink>
      </a:clrScheme>
      <a:clrMap bg1="dk2" tx1="lt1" bg2="dk1" tx2="lt2" accent1="accent1" accent2="accent2" accent3="accent3" accent4="accent4" accent5="accent5" accent6="accent6" hlink="hlink" folHlink="folHlink"/>
    </a:extraClrScheme>
    <a:extraClrScheme>
      <a:clrScheme name="1_Diseño personalizado 14">
        <a:dk1>
          <a:srgbClr val="000000"/>
        </a:dk1>
        <a:lt1>
          <a:srgbClr val="FAFBF6"/>
        </a:lt1>
        <a:dk2>
          <a:srgbClr val="572731"/>
        </a:dk2>
        <a:lt2>
          <a:srgbClr val="2D2015"/>
        </a:lt2>
        <a:accent1>
          <a:srgbClr val="B76172"/>
        </a:accent1>
        <a:accent2>
          <a:srgbClr val="C4D188"/>
        </a:accent2>
        <a:accent3>
          <a:srgbClr val="FCFDFA"/>
        </a:accent3>
        <a:accent4>
          <a:srgbClr val="000000"/>
        </a:accent4>
        <a:accent5>
          <a:srgbClr val="D8B7BC"/>
        </a:accent5>
        <a:accent6>
          <a:srgbClr val="B1BD7B"/>
        </a:accent6>
        <a:hlink>
          <a:srgbClr val="FFBD44"/>
        </a:hlink>
        <a:folHlink>
          <a:srgbClr val="88C4D1"/>
        </a:folHlink>
      </a:clrScheme>
      <a:clrMap bg1="lt1" tx1="dk1" bg2="lt2" tx2="dk2" accent1="accent1" accent2="accent2" accent3="accent3" accent4="accent4" accent5="accent5" accent6="accent6" hlink="hlink" folHlink="folHlink"/>
    </a:extraClrScheme>
    <a:extraClrScheme>
      <a:clrScheme name="1_Diseño personalizado 15">
        <a:dk1>
          <a:srgbClr val="000000"/>
        </a:dk1>
        <a:lt1>
          <a:srgbClr val="FFFFFF"/>
        </a:lt1>
        <a:dk2>
          <a:srgbClr val="572731"/>
        </a:dk2>
        <a:lt2>
          <a:srgbClr val="2D2015"/>
        </a:lt2>
        <a:accent1>
          <a:srgbClr val="B76172"/>
        </a:accent1>
        <a:accent2>
          <a:srgbClr val="C4D188"/>
        </a:accent2>
        <a:accent3>
          <a:srgbClr val="FFFFFF"/>
        </a:accent3>
        <a:accent4>
          <a:srgbClr val="000000"/>
        </a:accent4>
        <a:accent5>
          <a:srgbClr val="D8B7BC"/>
        </a:accent5>
        <a:accent6>
          <a:srgbClr val="B1BD7B"/>
        </a:accent6>
        <a:hlink>
          <a:srgbClr val="FFBD44"/>
        </a:hlink>
        <a:folHlink>
          <a:srgbClr val="88C4D1"/>
        </a:folHlink>
      </a:clrScheme>
      <a:clrMap bg1="lt1" tx1="dk1" bg2="lt2" tx2="dk2" accent1="accent1" accent2="accent2" accent3="accent3" accent4="accent4" accent5="accent5" accent6="accent6" hlink="hlink" folHlink="folHlink"/>
    </a:extraClrScheme>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C67623759B9FF541BE82F474C680BACE" ma:contentTypeVersion="2" ma:contentTypeDescription="Crear nuevo documento." ma:contentTypeScope="" ma:versionID="c96df537b8df103bb65b92e41aab9d62">
  <xsd:schema xmlns:xsd="http://www.w3.org/2001/XMLSchema" xmlns:xs="http://www.w3.org/2001/XMLSchema" xmlns:p="http://schemas.microsoft.com/office/2006/metadata/properties" xmlns:ns2="0982e5c8-bccb-4584-9f6e-05bf2d5c7ac0" targetNamespace="http://schemas.microsoft.com/office/2006/metadata/properties" ma:root="true" ma:fieldsID="6f9053338f174460ef2c7b605f9bc885" ns2:_="">
    <xsd:import namespace="0982e5c8-bccb-4584-9f6e-05bf2d5c7ac0"/>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82e5c8-bccb-4584-9f6e-05bf2d5c7ac0" elementFormDefault="qualified">
    <xsd:import namespace="http://schemas.microsoft.com/office/2006/documentManagement/types"/>
    <xsd:import namespace="http://schemas.microsoft.com/office/infopath/2007/PartnerControls"/>
    <xsd:element name="SharedWithUsers" ma:index="8"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43A520-F09F-4328-9CC3-D3749D0E9EB3}">
  <ds:schemaRefs>
    <ds:schemaRef ds:uri="http://purl.org/dc/terms/"/>
    <ds:schemaRef ds:uri="0982e5c8-bccb-4584-9f6e-05bf2d5c7ac0"/>
    <ds:schemaRef ds:uri="http://purl.org/dc/dcmitype/"/>
    <ds:schemaRef ds:uri="http://schemas.openxmlformats.org/package/2006/metadata/core-properties"/>
    <ds:schemaRef ds:uri="http://schemas.microsoft.com/office/2006/metadata/properties"/>
    <ds:schemaRef ds:uri="http://purl.org/dc/elements/1.1/"/>
    <ds:schemaRef ds:uri="http://schemas.microsoft.com/office/2006/documentManagement/types"/>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8CC8A7B6-E614-4357-96A3-96238A921C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982e5c8-bccb-4584-9f6e-05bf2d5c7a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C7400BF-1A82-40C9-B023-F1C6623498EB}">
  <ds:schemaRefs>
    <ds:schemaRef ds:uri="http://schemas.microsoft.com/sharepoint/v3/contenttype/forms"/>
  </ds:schemaRefs>
</ds:datastoreItem>
</file>

<file path=customXml/itemProps4.xml><?xml version="1.0" encoding="utf-8"?>
<ds:datastoreItem xmlns:ds="http://schemas.openxmlformats.org/officeDocument/2006/customXml" ds:itemID="{7A67BA92-BF2B-4F5B-AA7B-3A0ABF7878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SVP_PlantillaWord_2</Template>
  <TotalTime>0</TotalTime>
  <Pages>93</Pages>
  <Words>17760</Words>
  <Characters>97680</Characters>
  <Application>Microsoft Office Word</Application>
  <DocSecurity>0</DocSecurity>
  <Lines>814</Lines>
  <Paragraphs>230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Documento Metodologico del Modelo de Redes Fibra</vt:lpstr>
      <vt:lpstr>Documento Metodologico del Modelo de Redes Fibra</vt:lpstr>
    </vt:vector>
  </TitlesOfParts>
  <Manager>jorge.martinez@axonpartnersgroup.com</Manager>
  <Company>Axon Partners Group Consulting S.L.U.</Company>
  <LinksUpToDate>false</LinksUpToDate>
  <CharactersWithSpaces>115210</CharactersWithSpaces>
  <SharedDoc>false</SharedDoc>
  <HLinks>
    <vt:vector size="78" baseType="variant">
      <vt:variant>
        <vt:i4>1572925</vt:i4>
      </vt:variant>
      <vt:variant>
        <vt:i4>71</vt:i4>
      </vt:variant>
      <vt:variant>
        <vt:i4>0</vt:i4>
      </vt:variant>
      <vt:variant>
        <vt:i4>5</vt:i4>
      </vt:variant>
      <vt:variant>
        <vt:lpwstr/>
      </vt:variant>
      <vt:variant>
        <vt:lpwstr>_Toc171855851</vt:lpwstr>
      </vt:variant>
      <vt:variant>
        <vt:i4>1572925</vt:i4>
      </vt:variant>
      <vt:variant>
        <vt:i4>65</vt:i4>
      </vt:variant>
      <vt:variant>
        <vt:i4>0</vt:i4>
      </vt:variant>
      <vt:variant>
        <vt:i4>5</vt:i4>
      </vt:variant>
      <vt:variant>
        <vt:lpwstr/>
      </vt:variant>
      <vt:variant>
        <vt:lpwstr>_Toc171855850</vt:lpwstr>
      </vt:variant>
      <vt:variant>
        <vt:i4>1638461</vt:i4>
      </vt:variant>
      <vt:variant>
        <vt:i4>59</vt:i4>
      </vt:variant>
      <vt:variant>
        <vt:i4>0</vt:i4>
      </vt:variant>
      <vt:variant>
        <vt:i4>5</vt:i4>
      </vt:variant>
      <vt:variant>
        <vt:lpwstr/>
      </vt:variant>
      <vt:variant>
        <vt:lpwstr>_Toc171855849</vt:lpwstr>
      </vt:variant>
      <vt:variant>
        <vt:i4>1638461</vt:i4>
      </vt:variant>
      <vt:variant>
        <vt:i4>53</vt:i4>
      </vt:variant>
      <vt:variant>
        <vt:i4>0</vt:i4>
      </vt:variant>
      <vt:variant>
        <vt:i4>5</vt:i4>
      </vt:variant>
      <vt:variant>
        <vt:lpwstr/>
      </vt:variant>
      <vt:variant>
        <vt:lpwstr>_Toc171855848</vt:lpwstr>
      </vt:variant>
      <vt:variant>
        <vt:i4>1638461</vt:i4>
      </vt:variant>
      <vt:variant>
        <vt:i4>47</vt:i4>
      </vt:variant>
      <vt:variant>
        <vt:i4>0</vt:i4>
      </vt:variant>
      <vt:variant>
        <vt:i4>5</vt:i4>
      </vt:variant>
      <vt:variant>
        <vt:lpwstr/>
      </vt:variant>
      <vt:variant>
        <vt:lpwstr>_Toc171855847</vt:lpwstr>
      </vt:variant>
      <vt:variant>
        <vt:i4>1638461</vt:i4>
      </vt:variant>
      <vt:variant>
        <vt:i4>38</vt:i4>
      </vt:variant>
      <vt:variant>
        <vt:i4>0</vt:i4>
      </vt:variant>
      <vt:variant>
        <vt:i4>5</vt:i4>
      </vt:variant>
      <vt:variant>
        <vt:lpwstr/>
      </vt:variant>
      <vt:variant>
        <vt:lpwstr>_Toc171855846</vt:lpwstr>
      </vt:variant>
      <vt:variant>
        <vt:i4>1638461</vt:i4>
      </vt:variant>
      <vt:variant>
        <vt:i4>32</vt:i4>
      </vt:variant>
      <vt:variant>
        <vt:i4>0</vt:i4>
      </vt:variant>
      <vt:variant>
        <vt:i4>5</vt:i4>
      </vt:variant>
      <vt:variant>
        <vt:lpwstr/>
      </vt:variant>
      <vt:variant>
        <vt:lpwstr>_Toc171855845</vt:lpwstr>
      </vt:variant>
      <vt:variant>
        <vt:i4>1638461</vt:i4>
      </vt:variant>
      <vt:variant>
        <vt:i4>26</vt:i4>
      </vt:variant>
      <vt:variant>
        <vt:i4>0</vt:i4>
      </vt:variant>
      <vt:variant>
        <vt:i4>5</vt:i4>
      </vt:variant>
      <vt:variant>
        <vt:lpwstr/>
      </vt:variant>
      <vt:variant>
        <vt:lpwstr>_Toc171855844</vt:lpwstr>
      </vt:variant>
      <vt:variant>
        <vt:i4>1638461</vt:i4>
      </vt:variant>
      <vt:variant>
        <vt:i4>20</vt:i4>
      </vt:variant>
      <vt:variant>
        <vt:i4>0</vt:i4>
      </vt:variant>
      <vt:variant>
        <vt:i4>5</vt:i4>
      </vt:variant>
      <vt:variant>
        <vt:lpwstr/>
      </vt:variant>
      <vt:variant>
        <vt:lpwstr>_Toc171855843</vt:lpwstr>
      </vt:variant>
      <vt:variant>
        <vt:i4>1638461</vt:i4>
      </vt:variant>
      <vt:variant>
        <vt:i4>14</vt:i4>
      </vt:variant>
      <vt:variant>
        <vt:i4>0</vt:i4>
      </vt:variant>
      <vt:variant>
        <vt:i4>5</vt:i4>
      </vt:variant>
      <vt:variant>
        <vt:lpwstr/>
      </vt:variant>
      <vt:variant>
        <vt:lpwstr>_Toc171855842</vt:lpwstr>
      </vt:variant>
      <vt:variant>
        <vt:i4>1638461</vt:i4>
      </vt:variant>
      <vt:variant>
        <vt:i4>8</vt:i4>
      </vt:variant>
      <vt:variant>
        <vt:i4>0</vt:i4>
      </vt:variant>
      <vt:variant>
        <vt:i4>5</vt:i4>
      </vt:variant>
      <vt:variant>
        <vt:lpwstr/>
      </vt:variant>
      <vt:variant>
        <vt:lpwstr>_Toc171855841</vt:lpwstr>
      </vt:variant>
      <vt:variant>
        <vt:i4>1638461</vt:i4>
      </vt:variant>
      <vt:variant>
        <vt:i4>2</vt:i4>
      </vt:variant>
      <vt:variant>
        <vt:i4>0</vt:i4>
      </vt:variant>
      <vt:variant>
        <vt:i4>5</vt:i4>
      </vt:variant>
      <vt:variant>
        <vt:lpwstr/>
      </vt:variant>
      <vt:variant>
        <vt:lpwstr>_Toc171855840</vt:lpwstr>
      </vt:variant>
      <vt:variant>
        <vt:i4>3604593</vt:i4>
      </vt:variant>
      <vt:variant>
        <vt:i4>6</vt:i4>
      </vt:variant>
      <vt:variant>
        <vt:i4>0</vt:i4>
      </vt:variant>
      <vt:variant>
        <vt:i4>5</vt:i4>
      </vt:variant>
      <vt:variant>
        <vt:lpwstr>http://www.svpadvisors.com/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Documento Metodologico del Modelo de Redes Fibra</dc:title>
  <dc:subject/>
  <dc:creator>Axon Partners Group Consulting S.L.U.</dc:creator>
  <cp:keywords/>
  <cp:lastModifiedBy>Luis Raul Rey Jimenez</cp:lastModifiedBy>
  <cp:revision>2</cp:revision>
  <cp:lastPrinted>2016-09-14T20:03:00Z</cp:lastPrinted>
  <dcterms:created xsi:type="dcterms:W3CDTF">2016-09-14T21:23:00Z</dcterms:created>
  <dcterms:modified xsi:type="dcterms:W3CDTF">2016-09-14T21:23:00Z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0x010100C67623759B9FF541BE82F474C680BACE</vt:lpwstr>
  </property>
</Properties>
</file>