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CF555" w14:textId="77777777" w:rsidR="0038199D" w:rsidRPr="00765989" w:rsidRDefault="0038199D" w:rsidP="0038199D">
      <w:pPr>
        <w:jc w:val="center"/>
        <w:rPr>
          <w:rFonts w:ascii="Century Gothic" w:hAnsi="Century Gothic"/>
          <w:b/>
        </w:rPr>
      </w:pPr>
      <w:r w:rsidRPr="00765989">
        <w:rPr>
          <w:rFonts w:ascii="Century Gothic" w:hAnsi="Century Gothic"/>
          <w:b/>
        </w:rPr>
        <w:t>FORMATO PARA PARTICIPAR EN LA CONSULTA PÚBLICA</w:t>
      </w:r>
    </w:p>
    <w:p w14:paraId="509C9818" w14:textId="77777777" w:rsidR="0038199D" w:rsidRPr="00765989" w:rsidRDefault="0038199D" w:rsidP="0038199D">
      <w:pPr>
        <w:rPr>
          <w:rFonts w:ascii="Century Gothic" w:hAnsi="Century Gothic"/>
          <w:b/>
          <w:sz w:val="16"/>
        </w:rPr>
      </w:pPr>
      <w:r w:rsidRPr="00765989">
        <w:rPr>
          <w:rFonts w:ascii="Century Gothic" w:hAnsi="Century Gothic"/>
          <w:b/>
          <w:sz w:val="16"/>
        </w:rPr>
        <w:t>Instrucciones para su llenado y participación:</w:t>
      </w:r>
    </w:p>
    <w:p w14:paraId="22839EDF" w14:textId="77777777" w:rsidR="0038199D" w:rsidRPr="00765989" w:rsidRDefault="0038199D" w:rsidP="00DF154A">
      <w:pPr>
        <w:pStyle w:val="Prrafodelista"/>
        <w:numPr>
          <w:ilvl w:val="0"/>
          <w:numId w:val="1"/>
        </w:numPr>
        <w:ind w:left="426" w:right="191" w:hanging="284"/>
        <w:jc w:val="both"/>
        <w:rPr>
          <w:rFonts w:ascii="Century Gothic" w:hAnsi="Century Gothic"/>
          <w:sz w:val="14"/>
          <w:szCs w:val="14"/>
        </w:rPr>
      </w:pPr>
      <w:r w:rsidRPr="00765989">
        <w:rPr>
          <w:rFonts w:ascii="Century Gothic" w:hAnsi="Century Gothic"/>
          <w:sz w:val="14"/>
          <w:szCs w:val="14"/>
        </w:rPr>
        <w:t xml:space="preserve">Las opiniones, comentarios y propuestas deberán ser remitidas a la siguiente dirección de correo electrónico: </w:t>
      </w:r>
      <w:hyperlink r:id="rId8" w:history="1">
        <w:r w:rsidR="002C1168" w:rsidRPr="00765989">
          <w:rPr>
            <w:rStyle w:val="Hipervnculo"/>
            <w:rFonts w:ascii="Century Gothic" w:hAnsi="Century Gothic"/>
            <w:sz w:val="14"/>
            <w:szCs w:val="14"/>
          </w:rPr>
          <w:t>modelodecostos@ift.org.mx</w:t>
        </w:r>
      </w:hyperlink>
      <w:r w:rsidRPr="00765989">
        <w:rPr>
          <w:rFonts w:ascii="Century Gothic" w:hAnsi="Century Gothic"/>
          <w:sz w:val="14"/>
          <w:szCs w:val="14"/>
        </w:rPr>
        <w:t xml:space="preserve">, en donde habrá que considerarse que la capacidad límite para la remisión de archivos es de </w:t>
      </w:r>
      <w:r w:rsidR="002C1168" w:rsidRPr="00765989">
        <w:rPr>
          <w:rFonts w:ascii="Century Gothic" w:hAnsi="Century Gothic"/>
          <w:sz w:val="14"/>
          <w:szCs w:val="14"/>
        </w:rPr>
        <w:t>25 MB</w:t>
      </w:r>
      <w:r w:rsidR="00C265D9" w:rsidRPr="00765989">
        <w:rPr>
          <w:rFonts w:ascii="Century Gothic" w:hAnsi="Century Gothic"/>
          <w:sz w:val="14"/>
          <w:szCs w:val="14"/>
        </w:rPr>
        <w:t>.</w:t>
      </w:r>
    </w:p>
    <w:p w14:paraId="2E7295CC" w14:textId="77777777" w:rsidR="0038199D" w:rsidRPr="00765989" w:rsidRDefault="0038199D" w:rsidP="00DF154A">
      <w:pPr>
        <w:pStyle w:val="Prrafodelista"/>
        <w:numPr>
          <w:ilvl w:val="0"/>
          <w:numId w:val="1"/>
        </w:numPr>
        <w:ind w:left="426" w:right="191" w:hanging="284"/>
        <w:jc w:val="both"/>
        <w:rPr>
          <w:rFonts w:ascii="Century Gothic" w:hAnsi="Century Gothic"/>
          <w:sz w:val="14"/>
          <w:szCs w:val="14"/>
        </w:rPr>
      </w:pPr>
      <w:r w:rsidRPr="00765989">
        <w:rPr>
          <w:rFonts w:ascii="Century Gothic" w:hAnsi="Century Gothic"/>
          <w:sz w:val="14"/>
          <w:szCs w:val="14"/>
        </w:rPr>
        <w:t>Proporcione su nombre completo</w:t>
      </w:r>
      <w:r w:rsidR="00FF0731" w:rsidRPr="00765989">
        <w:rPr>
          <w:rFonts w:ascii="Century Gothic" w:hAnsi="Century Gothic"/>
          <w:sz w:val="14"/>
          <w:szCs w:val="14"/>
        </w:rPr>
        <w:t xml:space="preserve"> (nombre y apellidos)</w:t>
      </w:r>
      <w:r w:rsidRPr="00765989">
        <w:rPr>
          <w:rFonts w:ascii="Century Gothic" w:hAnsi="Century Gothic"/>
          <w:sz w:val="14"/>
          <w:szCs w:val="14"/>
        </w:rPr>
        <w:t>, razón social o denominación social, o bien, el nombre completo del representante legal. Para este último caso, deberá elegir la opción de documento con la que se acredita dicha representación</w:t>
      </w:r>
      <w:r w:rsidR="00FE2568" w:rsidRPr="00765989">
        <w:rPr>
          <w:rFonts w:ascii="Century Gothic" w:hAnsi="Century Gothic"/>
          <w:sz w:val="14"/>
          <w:szCs w:val="14"/>
        </w:rPr>
        <w:t>,</w:t>
      </w:r>
      <w:r w:rsidR="00DA3FED" w:rsidRPr="00765989">
        <w:rPr>
          <w:rFonts w:ascii="Century Gothic" w:hAnsi="Century Gothic"/>
          <w:sz w:val="14"/>
          <w:szCs w:val="14"/>
        </w:rPr>
        <w:t xml:space="preserve"> </w:t>
      </w:r>
      <w:r w:rsidRPr="00765989">
        <w:rPr>
          <w:rFonts w:ascii="Century Gothic" w:hAnsi="Century Gothic"/>
          <w:sz w:val="14"/>
          <w:szCs w:val="14"/>
        </w:rPr>
        <w:t xml:space="preserve">así como adjuntar </w:t>
      </w:r>
      <w:r w:rsidR="00FF0731" w:rsidRPr="00765989">
        <w:rPr>
          <w:rFonts w:ascii="Century Gothic" w:hAnsi="Century Gothic"/>
          <w:sz w:val="14"/>
          <w:szCs w:val="14"/>
        </w:rPr>
        <w:t>-</w:t>
      </w:r>
      <w:r w:rsidRPr="00765989">
        <w:rPr>
          <w:rFonts w:ascii="Century Gothic" w:hAnsi="Century Gothic"/>
          <w:sz w:val="14"/>
          <w:szCs w:val="14"/>
        </w:rPr>
        <w:t>a la misma dirección de correo electrónico</w:t>
      </w:r>
      <w:r w:rsidR="00FF0731" w:rsidRPr="00765989">
        <w:rPr>
          <w:rFonts w:ascii="Century Gothic" w:hAnsi="Century Gothic"/>
          <w:sz w:val="14"/>
          <w:szCs w:val="14"/>
        </w:rPr>
        <w:t>-</w:t>
      </w:r>
      <w:r w:rsidRPr="00765989">
        <w:rPr>
          <w:rFonts w:ascii="Century Gothic" w:hAnsi="Century Gothic"/>
          <w:sz w:val="14"/>
          <w:szCs w:val="14"/>
        </w:rPr>
        <w:t xml:space="preserve"> copia electrónica legible de</w:t>
      </w:r>
      <w:r w:rsidR="00FF0731" w:rsidRPr="00765989">
        <w:rPr>
          <w:rFonts w:ascii="Century Gothic" w:hAnsi="Century Gothic"/>
          <w:sz w:val="14"/>
          <w:szCs w:val="14"/>
        </w:rPr>
        <w:t>l mismo</w:t>
      </w:r>
      <w:r w:rsidRPr="00765989">
        <w:rPr>
          <w:rFonts w:ascii="Century Gothic" w:hAnsi="Century Gothic"/>
          <w:sz w:val="14"/>
          <w:szCs w:val="14"/>
        </w:rPr>
        <w:t>.</w:t>
      </w:r>
    </w:p>
    <w:p w14:paraId="7CE98334" w14:textId="77777777" w:rsidR="00FF0731" w:rsidRPr="00765989" w:rsidRDefault="00FF0731" w:rsidP="00FF0731">
      <w:pPr>
        <w:pStyle w:val="Prrafodelista"/>
        <w:numPr>
          <w:ilvl w:val="0"/>
          <w:numId w:val="1"/>
        </w:numPr>
        <w:spacing w:after="0"/>
        <w:ind w:left="426" w:right="191" w:hanging="284"/>
        <w:jc w:val="both"/>
        <w:rPr>
          <w:rFonts w:ascii="Century Gothic" w:hAnsi="Century Gothic"/>
          <w:sz w:val="14"/>
          <w:szCs w:val="14"/>
        </w:rPr>
      </w:pPr>
      <w:r w:rsidRPr="00765989">
        <w:rPr>
          <w:rFonts w:ascii="Century Gothic" w:hAnsi="Century Gothic"/>
          <w:sz w:val="14"/>
          <w:szCs w:val="14"/>
        </w:rPr>
        <w:t xml:space="preserve">Lea minuciosamente el </w:t>
      </w:r>
      <w:r w:rsidRPr="00765989">
        <w:rPr>
          <w:rFonts w:ascii="Century Gothic" w:hAnsi="Century Gothic"/>
          <w:b/>
          <w:sz w:val="14"/>
          <w:szCs w:val="14"/>
        </w:rPr>
        <w:t>AVISO IMPORTANTE</w:t>
      </w:r>
      <w:r w:rsidRPr="00765989">
        <w:rPr>
          <w:rFonts w:ascii="Century Gothic" w:hAnsi="Century Gothic"/>
          <w:sz w:val="14"/>
          <w:szCs w:val="14"/>
        </w:rPr>
        <w:t xml:space="preserve"> en materia del cuidado y resguardo de sus datos personales, así como sobre la publicidad que se dará a </w:t>
      </w:r>
      <w:r w:rsidRPr="00765989">
        <w:rPr>
          <w:rFonts w:ascii="Century Gothic" w:eastAsia="Times New Roman" w:hAnsi="Century Gothic" w:cs="Times New Roman"/>
          <w:color w:val="000000"/>
          <w:sz w:val="14"/>
          <w:szCs w:val="16"/>
          <w:lang w:eastAsia="es-MX"/>
        </w:rPr>
        <w:t xml:space="preserve">los </w:t>
      </w:r>
      <w:r w:rsidRPr="00765989">
        <w:rPr>
          <w:rFonts w:ascii="Century Gothic" w:hAnsi="Century Gothic"/>
          <w:sz w:val="14"/>
          <w:szCs w:val="16"/>
        </w:rPr>
        <w:t>comentarios</w:t>
      </w:r>
      <w:r w:rsidRPr="00765989">
        <w:rPr>
          <w:rFonts w:ascii="Century Gothic" w:eastAsia="Times New Roman" w:hAnsi="Century Gothic" w:cs="Times New Roman"/>
          <w:color w:val="000000"/>
          <w:sz w:val="14"/>
          <w:szCs w:val="16"/>
          <w:lang w:eastAsia="es-MX"/>
        </w:rPr>
        <w:t>, opiniones y aportaciones presentadas</w:t>
      </w:r>
      <w:r w:rsidRPr="00765989">
        <w:rPr>
          <w:rFonts w:ascii="Century Gothic" w:hAnsi="Century Gothic"/>
          <w:sz w:val="14"/>
          <w:szCs w:val="14"/>
        </w:rPr>
        <w:t xml:space="preserve"> por usted en el presente proceso de consulta pública.</w:t>
      </w:r>
    </w:p>
    <w:p w14:paraId="255B68C3" w14:textId="2A303BDD" w:rsidR="00FF0731" w:rsidRPr="00765989" w:rsidRDefault="00FF0731" w:rsidP="00FF0731">
      <w:pPr>
        <w:pStyle w:val="Prrafodelista"/>
        <w:numPr>
          <w:ilvl w:val="0"/>
          <w:numId w:val="1"/>
        </w:numPr>
        <w:spacing w:after="0"/>
        <w:ind w:left="426" w:right="191" w:hanging="284"/>
        <w:jc w:val="both"/>
        <w:rPr>
          <w:rFonts w:ascii="Century Gothic" w:hAnsi="Century Gothic"/>
          <w:sz w:val="14"/>
          <w:szCs w:val="14"/>
        </w:rPr>
      </w:pPr>
      <w:r w:rsidRPr="00765989">
        <w:rPr>
          <w:rFonts w:ascii="Century Gothic" w:hAnsi="Century Gothic"/>
          <w:sz w:val="14"/>
          <w:szCs w:val="14"/>
        </w:rPr>
        <w:t>Vierta sus comentarios conforme a la estructura de la Sección II del presente formato</w:t>
      </w:r>
      <w:r w:rsidR="0027216D" w:rsidRPr="00765989">
        <w:rPr>
          <w:rFonts w:ascii="Century Gothic" w:hAnsi="Century Gothic"/>
          <w:sz w:val="14"/>
          <w:szCs w:val="14"/>
        </w:rPr>
        <w:t>, dando respuesta y aportando información que considere con relación a las preguntas que sean de su interés y que se someten a su consideración a partir del numeral 1.4</w:t>
      </w:r>
      <w:r w:rsidRPr="00765989">
        <w:rPr>
          <w:rFonts w:ascii="Century Gothic" w:hAnsi="Century Gothic"/>
          <w:sz w:val="14"/>
          <w:szCs w:val="14"/>
        </w:rPr>
        <w:t>.</w:t>
      </w:r>
    </w:p>
    <w:p w14:paraId="3ECED8E2" w14:textId="77777777" w:rsidR="00617A53" w:rsidRPr="00765989" w:rsidRDefault="00617A53" w:rsidP="00617A53">
      <w:pPr>
        <w:pStyle w:val="Prrafodelista"/>
        <w:numPr>
          <w:ilvl w:val="0"/>
          <w:numId w:val="1"/>
        </w:numPr>
        <w:ind w:left="426" w:right="191" w:hanging="284"/>
        <w:jc w:val="both"/>
        <w:rPr>
          <w:rFonts w:ascii="Century Gothic" w:hAnsi="Century Gothic"/>
          <w:sz w:val="14"/>
          <w:szCs w:val="14"/>
        </w:rPr>
      </w:pPr>
      <w:r w:rsidRPr="00765989">
        <w:rPr>
          <w:rFonts w:ascii="Century Gothic" w:hAnsi="Century Gothic"/>
          <w:sz w:val="14"/>
          <w:szCs w:val="14"/>
        </w:rPr>
        <w:t>De contar con observaciones generales o alguna aportación adicional proporciónelos en el último recuadro.</w:t>
      </w:r>
    </w:p>
    <w:p w14:paraId="206319FD" w14:textId="77777777" w:rsidR="00617A53" w:rsidRPr="00765989" w:rsidRDefault="00617A53" w:rsidP="00617A53">
      <w:pPr>
        <w:pStyle w:val="Prrafodelista"/>
        <w:numPr>
          <w:ilvl w:val="0"/>
          <w:numId w:val="1"/>
        </w:numPr>
        <w:spacing w:after="0"/>
        <w:ind w:left="426" w:right="191" w:hanging="284"/>
        <w:jc w:val="both"/>
        <w:rPr>
          <w:rFonts w:ascii="Century Gothic" w:hAnsi="Century Gothic"/>
          <w:sz w:val="14"/>
          <w:szCs w:val="14"/>
        </w:rPr>
      </w:pPr>
      <w:r w:rsidRPr="00765989">
        <w:rPr>
          <w:rFonts w:ascii="Century Gothic" w:hAnsi="Century Gothic"/>
          <w:sz w:val="14"/>
          <w:szCs w:val="14"/>
        </w:rPr>
        <w:t>En caso de que sea de su interés, podrá adjuntar -a su correo electrónico- la documentación que estime conveniente.</w:t>
      </w:r>
    </w:p>
    <w:p w14:paraId="14E8C81E" w14:textId="641EDC26" w:rsidR="0038199D" w:rsidRPr="00765989" w:rsidRDefault="0038199D" w:rsidP="00DF154A">
      <w:pPr>
        <w:pStyle w:val="Prrafodelista"/>
        <w:numPr>
          <w:ilvl w:val="0"/>
          <w:numId w:val="1"/>
        </w:numPr>
        <w:ind w:left="426" w:right="191" w:hanging="284"/>
        <w:jc w:val="both"/>
        <w:rPr>
          <w:rFonts w:ascii="Century Gothic" w:hAnsi="Century Gothic"/>
          <w:sz w:val="14"/>
          <w:szCs w:val="14"/>
        </w:rPr>
      </w:pPr>
      <w:r w:rsidRPr="00765989">
        <w:rPr>
          <w:rFonts w:ascii="Century Gothic" w:hAnsi="Century Gothic"/>
          <w:sz w:val="14"/>
          <w:szCs w:val="14"/>
        </w:rPr>
        <w:t xml:space="preserve">El período de consulta pública será </w:t>
      </w:r>
      <w:r w:rsidRPr="00E5501D">
        <w:rPr>
          <w:rFonts w:ascii="Century Gothic" w:hAnsi="Century Gothic"/>
          <w:sz w:val="14"/>
          <w:szCs w:val="14"/>
        </w:rPr>
        <w:t xml:space="preserve">del </w:t>
      </w:r>
      <w:r w:rsidR="00EB2DD7" w:rsidRPr="00E5501D">
        <w:rPr>
          <w:rFonts w:ascii="Century Gothic" w:hAnsi="Century Gothic"/>
          <w:sz w:val="14"/>
          <w:szCs w:val="14"/>
        </w:rPr>
        <w:t>1</w:t>
      </w:r>
      <w:r w:rsidR="00E5501D" w:rsidRPr="00E5501D">
        <w:rPr>
          <w:rFonts w:ascii="Century Gothic" w:hAnsi="Century Gothic"/>
          <w:sz w:val="14"/>
          <w:szCs w:val="14"/>
        </w:rPr>
        <w:t>5</w:t>
      </w:r>
      <w:r w:rsidR="00EB2DD7" w:rsidRPr="00E5501D">
        <w:rPr>
          <w:rFonts w:ascii="Century Gothic" w:hAnsi="Century Gothic"/>
          <w:sz w:val="14"/>
          <w:szCs w:val="14"/>
        </w:rPr>
        <w:t xml:space="preserve"> </w:t>
      </w:r>
      <w:r w:rsidR="005B3C14" w:rsidRPr="00E5501D">
        <w:rPr>
          <w:rFonts w:ascii="Century Gothic" w:hAnsi="Century Gothic"/>
          <w:sz w:val="14"/>
          <w:szCs w:val="14"/>
        </w:rPr>
        <w:t xml:space="preserve">de </w:t>
      </w:r>
      <w:r w:rsidR="008238FF" w:rsidRPr="00E5501D">
        <w:rPr>
          <w:rFonts w:ascii="Century Gothic" w:hAnsi="Century Gothic"/>
          <w:sz w:val="14"/>
          <w:szCs w:val="14"/>
        </w:rPr>
        <w:t xml:space="preserve">septiembre </w:t>
      </w:r>
      <w:r w:rsidR="005B3C14" w:rsidRPr="00E5501D">
        <w:rPr>
          <w:rFonts w:ascii="Century Gothic" w:hAnsi="Century Gothic"/>
          <w:sz w:val="14"/>
          <w:szCs w:val="14"/>
        </w:rPr>
        <w:t xml:space="preserve">de 2016 </w:t>
      </w:r>
      <w:r w:rsidR="000E1184" w:rsidRPr="00E5501D">
        <w:rPr>
          <w:rFonts w:ascii="Century Gothic" w:hAnsi="Century Gothic"/>
          <w:sz w:val="14"/>
          <w:szCs w:val="14"/>
        </w:rPr>
        <w:t xml:space="preserve">al </w:t>
      </w:r>
      <w:r w:rsidR="00E5501D" w:rsidRPr="00E5501D">
        <w:rPr>
          <w:rFonts w:ascii="Century Gothic" w:hAnsi="Century Gothic"/>
          <w:sz w:val="14"/>
          <w:szCs w:val="14"/>
        </w:rPr>
        <w:t>13</w:t>
      </w:r>
      <w:r w:rsidR="008238FF" w:rsidRPr="00E5501D">
        <w:rPr>
          <w:rFonts w:ascii="Century Gothic" w:hAnsi="Century Gothic"/>
          <w:sz w:val="14"/>
          <w:szCs w:val="14"/>
        </w:rPr>
        <w:t xml:space="preserve"> </w:t>
      </w:r>
      <w:r w:rsidR="005B3C14" w:rsidRPr="00E5501D">
        <w:rPr>
          <w:rFonts w:ascii="Century Gothic" w:hAnsi="Century Gothic"/>
          <w:sz w:val="14"/>
          <w:szCs w:val="14"/>
        </w:rPr>
        <w:t>de octubre de 2016.</w:t>
      </w:r>
      <w:r w:rsidR="005B3C14" w:rsidRPr="00765989">
        <w:rPr>
          <w:rFonts w:ascii="Century Gothic" w:hAnsi="Century Gothic"/>
          <w:sz w:val="14"/>
          <w:szCs w:val="14"/>
        </w:rPr>
        <w:t xml:space="preserve"> </w:t>
      </w:r>
      <w:r w:rsidRPr="00765989">
        <w:rPr>
          <w:rFonts w:ascii="Century Gothic" w:hAnsi="Century Gothic"/>
          <w:sz w:val="14"/>
          <w:szCs w:val="14"/>
        </w:rPr>
        <w:t>Una vez concluido se podrá</w:t>
      </w:r>
      <w:r w:rsidR="00FE2568" w:rsidRPr="00765989">
        <w:rPr>
          <w:rFonts w:ascii="Century Gothic" w:hAnsi="Century Gothic"/>
          <w:sz w:val="14"/>
          <w:szCs w:val="14"/>
        </w:rPr>
        <w:t>n</w:t>
      </w:r>
      <w:r w:rsidRPr="00765989">
        <w:rPr>
          <w:rFonts w:ascii="Century Gothic" w:hAnsi="Century Gothic"/>
          <w:sz w:val="14"/>
          <w:szCs w:val="14"/>
        </w:rPr>
        <w:t xml:space="preserve"> continuar visualizando los comentarios vertidos, así como los documentos adjuntos en la siguiente dirección electrónica: </w:t>
      </w:r>
      <w:hyperlink r:id="rId9" w:tgtFrame="IFT Consulta Publicas" w:history="1">
        <w:r w:rsidR="00FF0731" w:rsidRPr="00765989">
          <w:rPr>
            <w:rStyle w:val="Hipervnculo"/>
            <w:rFonts w:ascii="Century Gothic" w:hAnsi="Century Gothic"/>
            <w:sz w:val="14"/>
            <w:szCs w:val="14"/>
          </w:rPr>
          <w:t>http://www.ift.org.mx/industria/consultas-publicas</w:t>
        </w:r>
      </w:hyperlink>
      <w:r w:rsidR="003F1EF8">
        <w:rPr>
          <w:rStyle w:val="Hipervnculo"/>
          <w:rFonts w:ascii="Century Gothic" w:hAnsi="Century Gothic"/>
          <w:sz w:val="14"/>
          <w:szCs w:val="14"/>
        </w:rPr>
        <w:t>.</w:t>
      </w:r>
    </w:p>
    <w:p w14:paraId="4151EC22" w14:textId="77777777" w:rsidR="00617A53" w:rsidRPr="00765989" w:rsidRDefault="00617A53" w:rsidP="00617A53">
      <w:pPr>
        <w:pStyle w:val="Prrafodelista"/>
        <w:numPr>
          <w:ilvl w:val="0"/>
          <w:numId w:val="1"/>
        </w:numPr>
        <w:spacing w:after="0"/>
        <w:ind w:left="426" w:right="191" w:hanging="284"/>
        <w:jc w:val="both"/>
        <w:rPr>
          <w:rFonts w:ascii="Century Gothic" w:hAnsi="Century Gothic"/>
          <w:sz w:val="14"/>
          <w:szCs w:val="14"/>
        </w:rPr>
      </w:pPr>
      <w:r w:rsidRPr="00765989">
        <w:rPr>
          <w:rFonts w:ascii="Century Gothic" w:hAnsi="Century Gothic"/>
          <w:sz w:val="14"/>
          <w:szCs w:val="14"/>
        </w:rPr>
        <w:t xml:space="preserve">Para cualquier duda, comentario o inquietud sobre el presente proceso consultivo, el Instituto pone a su disposición, el siguiente punto de contacto: </w:t>
      </w:r>
      <w:r w:rsidR="002C1168" w:rsidRPr="00765989">
        <w:rPr>
          <w:rFonts w:ascii="Century Gothic" w:hAnsi="Century Gothic"/>
          <w:sz w:val="14"/>
          <w:szCs w:val="14"/>
        </w:rPr>
        <w:t>César Zamora Martínez, Subdirector de Área de Modelos de Costos</w:t>
      </w:r>
      <w:r w:rsidRPr="00765989">
        <w:rPr>
          <w:rFonts w:ascii="Century Gothic" w:hAnsi="Century Gothic"/>
          <w:sz w:val="14"/>
          <w:szCs w:val="14"/>
        </w:rPr>
        <w:t xml:space="preserve"> del IFT, correo electrónico: </w:t>
      </w:r>
      <w:hyperlink r:id="rId10" w:history="1">
        <w:r w:rsidR="002C1168" w:rsidRPr="00765989">
          <w:rPr>
            <w:rStyle w:val="Hipervnculo"/>
            <w:rFonts w:ascii="Century Gothic" w:hAnsi="Century Gothic"/>
            <w:sz w:val="14"/>
            <w:szCs w:val="14"/>
          </w:rPr>
          <w:t>cesar.zamora@ift.org.mx</w:t>
        </w:r>
      </w:hyperlink>
      <w:r w:rsidRPr="00765989">
        <w:rPr>
          <w:rFonts w:ascii="Century Gothic" w:hAnsi="Century Gothic"/>
          <w:sz w:val="14"/>
          <w:szCs w:val="14"/>
        </w:rPr>
        <w:t xml:space="preserve"> y número telefónico (55) </w:t>
      </w:r>
      <w:r w:rsidR="002C1168" w:rsidRPr="00765989">
        <w:rPr>
          <w:rFonts w:ascii="Century Gothic" w:hAnsi="Century Gothic"/>
          <w:sz w:val="14"/>
          <w:szCs w:val="14"/>
        </w:rPr>
        <w:t>50154000, extensión: 2795</w:t>
      </w:r>
      <w:r w:rsidRPr="00765989">
        <w:rPr>
          <w:rFonts w:ascii="Century Gothic" w:hAnsi="Century Gothic"/>
          <w:sz w:val="14"/>
          <w:szCs w:val="14"/>
        </w:rPr>
        <w:t>.</w:t>
      </w:r>
    </w:p>
    <w:p w14:paraId="7EDCA7E5" w14:textId="77777777" w:rsidR="00DF154A" w:rsidRPr="00765989" w:rsidRDefault="00DF154A" w:rsidP="00DF154A">
      <w:pPr>
        <w:pStyle w:val="Prrafodelista"/>
        <w:ind w:left="284"/>
        <w:jc w:val="both"/>
        <w:rPr>
          <w:rFonts w:ascii="Century Gothic" w:hAnsi="Century Gothic"/>
          <w:sz w:val="16"/>
        </w:rPr>
      </w:pPr>
    </w:p>
    <w:tbl>
      <w:tblPr>
        <w:tblW w:w="8774" w:type="dxa"/>
        <w:jc w:val="center"/>
        <w:tblCellMar>
          <w:left w:w="70" w:type="dxa"/>
          <w:right w:w="70" w:type="dxa"/>
        </w:tblCellMar>
        <w:tblLook w:val="04A0" w:firstRow="1" w:lastRow="0" w:firstColumn="1" w:lastColumn="0" w:noHBand="0" w:noVBand="1"/>
      </w:tblPr>
      <w:tblGrid>
        <w:gridCol w:w="4399"/>
        <w:gridCol w:w="4375"/>
      </w:tblGrid>
      <w:tr w:rsidR="00DF154A" w:rsidRPr="00765989" w14:paraId="1A27BFAF" w14:textId="77777777" w:rsidTr="00DF154A">
        <w:trPr>
          <w:trHeight w:val="6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21EA55" w14:textId="77777777" w:rsidR="00DF154A" w:rsidRPr="00765989" w:rsidRDefault="00DF154A" w:rsidP="00843EED">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765989">
              <w:rPr>
                <w:rFonts w:ascii="Century Gothic" w:eastAsia="Times New Roman" w:hAnsi="Century Gothic" w:cs="Times New Roman"/>
                <w:b/>
                <w:bCs/>
                <w:lang w:eastAsia="es-MX"/>
              </w:rPr>
              <w:t>Datos del participante</w:t>
            </w:r>
          </w:p>
        </w:tc>
      </w:tr>
      <w:tr w:rsidR="00DF154A" w:rsidRPr="00765989" w14:paraId="69344A86" w14:textId="77777777" w:rsidTr="00DF154A">
        <w:trPr>
          <w:trHeight w:val="509"/>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1F15958" w14:textId="77777777" w:rsidR="00DF154A" w:rsidRPr="00765989" w:rsidRDefault="00DF154A" w:rsidP="00843EED">
            <w:pPr>
              <w:spacing w:after="0" w:line="240" w:lineRule="auto"/>
              <w:jc w:val="both"/>
              <w:rPr>
                <w:rFonts w:ascii="Century Gothic" w:eastAsia="Times New Roman" w:hAnsi="Century Gothic" w:cs="Times New Roman"/>
                <w:b/>
                <w:bCs/>
                <w:color w:val="000000"/>
                <w:sz w:val="18"/>
                <w:szCs w:val="18"/>
                <w:lang w:eastAsia="es-MX"/>
              </w:rPr>
            </w:pPr>
            <w:r w:rsidRPr="00765989">
              <w:rPr>
                <w:rFonts w:ascii="Century Gothic" w:eastAsia="Times New Roman" w:hAnsi="Century Gothic" w:cs="Times New Roman"/>
                <w:b/>
                <w:bCs/>
                <w:color w:val="000000"/>
                <w:sz w:val="18"/>
                <w:szCs w:val="18"/>
                <w:lang w:eastAsia="es-MX"/>
              </w:rPr>
              <w:t>Nombre, razón social o denominación social:</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D445C" w14:textId="77777777" w:rsidR="00DF154A" w:rsidRPr="00765989" w:rsidRDefault="00DF154A" w:rsidP="00843EED">
            <w:pPr>
              <w:spacing w:after="0" w:line="240" w:lineRule="auto"/>
              <w:jc w:val="center"/>
              <w:rPr>
                <w:rFonts w:ascii="Century Gothic" w:eastAsia="Times New Roman" w:hAnsi="Century Gothic" w:cs="Times New Roman"/>
                <w:color w:val="000000"/>
                <w:sz w:val="20"/>
                <w:lang w:eastAsia="es-MX"/>
              </w:rPr>
            </w:pPr>
            <w:r w:rsidRPr="00765989">
              <w:rPr>
                <w:rFonts w:ascii="Century Gothic" w:eastAsia="Times New Roman" w:hAnsi="Century Gothic" w:cs="Times New Roman"/>
                <w:color w:val="000000"/>
                <w:sz w:val="20"/>
                <w:lang w:eastAsia="es-MX"/>
              </w:rPr>
              <w:t> </w:t>
            </w:r>
          </w:p>
        </w:tc>
      </w:tr>
      <w:tr w:rsidR="00DF154A" w:rsidRPr="00765989" w14:paraId="665C01DF" w14:textId="77777777" w:rsidTr="00DF154A">
        <w:trPr>
          <w:trHeight w:val="403"/>
          <w:jc w:val="center"/>
        </w:trPr>
        <w:tc>
          <w:tcPr>
            <w:tcW w:w="4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61BE401" w14:textId="77777777" w:rsidR="00DF154A" w:rsidRPr="00765989" w:rsidRDefault="00DF154A" w:rsidP="00843EED">
            <w:pPr>
              <w:spacing w:after="0" w:line="240" w:lineRule="auto"/>
              <w:jc w:val="both"/>
              <w:rPr>
                <w:rFonts w:ascii="Century Gothic" w:eastAsia="Times New Roman" w:hAnsi="Century Gothic" w:cs="Times New Roman"/>
                <w:b/>
                <w:bCs/>
                <w:color w:val="000000"/>
                <w:sz w:val="18"/>
                <w:szCs w:val="18"/>
                <w:lang w:eastAsia="es-MX"/>
              </w:rPr>
            </w:pPr>
            <w:r w:rsidRPr="00765989">
              <w:rPr>
                <w:rFonts w:ascii="Century Gothic" w:eastAsia="Times New Roman" w:hAnsi="Century Gothic" w:cs="Times New Roman"/>
                <w:b/>
                <w:bCs/>
                <w:color w:val="000000"/>
                <w:sz w:val="18"/>
                <w:szCs w:val="18"/>
                <w:lang w:eastAsia="es-MX"/>
              </w:rPr>
              <w:t>En su caso, nombre del representante legal</w:t>
            </w:r>
            <w:r w:rsidRPr="00765989">
              <w:rPr>
                <w:rFonts w:ascii="Century Gothic" w:eastAsia="Times New Roman" w:hAnsi="Century Gothic" w:cs="Times New Roman"/>
                <w:bCs/>
                <w:color w:val="000000"/>
                <w:sz w:val="18"/>
                <w:szCs w:val="18"/>
                <w:lang w:eastAsia="es-MX"/>
              </w:rPr>
              <w:t>:</w:t>
            </w:r>
          </w:p>
        </w:tc>
        <w:tc>
          <w:tcPr>
            <w:tcW w:w="43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6AE5D" w14:textId="77777777" w:rsidR="00DF154A" w:rsidRPr="00765989" w:rsidRDefault="00DF154A" w:rsidP="00843EED">
            <w:pPr>
              <w:spacing w:after="0" w:line="240" w:lineRule="auto"/>
              <w:jc w:val="center"/>
              <w:rPr>
                <w:rFonts w:ascii="Century Gothic" w:eastAsia="Times New Roman" w:hAnsi="Century Gothic" w:cs="Times New Roman"/>
                <w:color w:val="808080"/>
                <w:sz w:val="20"/>
                <w:lang w:eastAsia="es-MX"/>
              </w:rPr>
            </w:pPr>
            <w:r w:rsidRPr="00765989">
              <w:rPr>
                <w:rFonts w:ascii="Century Gothic" w:eastAsia="Times New Roman" w:hAnsi="Century Gothic" w:cs="Times New Roman"/>
                <w:color w:val="808080"/>
                <w:sz w:val="20"/>
                <w:lang w:eastAsia="es-MX"/>
              </w:rPr>
              <w:t> </w:t>
            </w:r>
          </w:p>
        </w:tc>
      </w:tr>
      <w:tr w:rsidR="00DF154A" w:rsidRPr="00765989" w14:paraId="40257D44" w14:textId="77777777" w:rsidTr="00DF154A">
        <w:trPr>
          <w:trHeight w:val="523"/>
          <w:jc w:val="center"/>
        </w:trPr>
        <w:tc>
          <w:tcPr>
            <w:tcW w:w="43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C0AAEA" w14:textId="77777777" w:rsidR="00FF0731" w:rsidRPr="00765989" w:rsidRDefault="00DF154A" w:rsidP="00843EED">
            <w:pPr>
              <w:spacing w:after="0" w:line="240" w:lineRule="auto"/>
              <w:jc w:val="both"/>
              <w:rPr>
                <w:rFonts w:ascii="Century Gothic" w:eastAsia="Times New Roman" w:hAnsi="Century Gothic" w:cs="Times New Roman"/>
                <w:b/>
                <w:bCs/>
                <w:color w:val="000000"/>
                <w:sz w:val="18"/>
                <w:szCs w:val="18"/>
                <w:lang w:eastAsia="es-MX"/>
              </w:rPr>
            </w:pPr>
            <w:r w:rsidRPr="00765989">
              <w:rPr>
                <w:rFonts w:ascii="Century Gothic" w:eastAsia="Times New Roman" w:hAnsi="Century Gothic" w:cs="Times New Roman"/>
                <w:b/>
                <w:bCs/>
                <w:color w:val="000000"/>
                <w:sz w:val="18"/>
                <w:szCs w:val="18"/>
                <w:lang w:eastAsia="es-MX"/>
              </w:rPr>
              <w:t xml:space="preserve">Documento para la acreditación de la representación: </w:t>
            </w:r>
          </w:p>
          <w:p w14:paraId="6469CA38" w14:textId="77777777" w:rsidR="00DF154A" w:rsidRPr="00765989" w:rsidRDefault="00DF154A" w:rsidP="00FF0731">
            <w:pPr>
              <w:spacing w:after="0" w:line="240" w:lineRule="auto"/>
              <w:jc w:val="both"/>
              <w:rPr>
                <w:rFonts w:ascii="Century Gothic" w:eastAsia="Times New Roman" w:hAnsi="Century Gothic" w:cs="Times New Roman"/>
                <w:b/>
                <w:bCs/>
                <w:color w:val="000000"/>
                <w:sz w:val="14"/>
                <w:szCs w:val="14"/>
                <w:lang w:eastAsia="es-MX"/>
              </w:rPr>
            </w:pPr>
            <w:r w:rsidRPr="00765989">
              <w:rPr>
                <w:rFonts w:ascii="Century Gothic" w:eastAsia="Times New Roman" w:hAnsi="Century Gothic" w:cs="Times New Roman"/>
                <w:bCs/>
                <w:color w:val="000000"/>
                <w:sz w:val="14"/>
                <w:szCs w:val="14"/>
                <w:lang w:eastAsia="es-MX"/>
              </w:rPr>
              <w:t>En caso de contar con representante legal, adjuntar copia digitalizada del documento que acredite dicha representación, vía correo electrónico.</w:t>
            </w:r>
          </w:p>
        </w:tc>
        <w:sdt>
          <w:sdtPr>
            <w:rPr>
              <w:rFonts w:ascii="Century Gothic" w:eastAsia="Times New Roman" w:hAnsi="Century Gothic" w:cs="Times New Roman"/>
              <w:color w:val="000000"/>
              <w:lang w:eastAsia="es-MX"/>
            </w:rPr>
            <w:tag w:val="(Seleccione opción)"/>
            <w:id w:val="1931310767"/>
            <w:placeholder>
              <w:docPart w:val="636900CEA7BB4DFCAAB5CDE8DFBBDAD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F9FE2" w14:textId="77777777" w:rsidR="00DF154A" w:rsidRPr="00765989" w:rsidRDefault="006C602F" w:rsidP="00843EED">
                <w:pPr>
                  <w:spacing w:after="0" w:line="240" w:lineRule="auto"/>
                  <w:jc w:val="center"/>
                  <w:rPr>
                    <w:rFonts w:ascii="Century Gothic" w:eastAsia="Times New Roman" w:hAnsi="Century Gothic" w:cs="Times New Roman"/>
                    <w:color w:val="000000"/>
                    <w:lang w:eastAsia="es-MX"/>
                  </w:rPr>
                </w:pPr>
                <w:r w:rsidRPr="00765989">
                  <w:rPr>
                    <w:rStyle w:val="Textodelmarcadordeposicin"/>
                    <w:rFonts w:ascii="Century Gothic" w:hAnsi="Century Gothic"/>
                  </w:rPr>
                  <w:t>Elija un elemento.</w:t>
                </w:r>
              </w:p>
            </w:tc>
          </w:sdtContent>
        </w:sdt>
      </w:tr>
      <w:tr w:rsidR="00DF154A" w:rsidRPr="00765989" w14:paraId="285BD3B5" w14:textId="77777777" w:rsidTr="00DF154A">
        <w:trPr>
          <w:trHeight w:val="300"/>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435D36" w14:textId="77777777" w:rsidR="00DF154A" w:rsidRPr="00765989" w:rsidRDefault="00DF154A" w:rsidP="00843EED">
            <w:pPr>
              <w:spacing w:after="0" w:line="240" w:lineRule="auto"/>
              <w:jc w:val="center"/>
              <w:rPr>
                <w:rFonts w:ascii="Century Gothic" w:eastAsia="Times New Roman" w:hAnsi="Century Gothic" w:cs="Times New Roman"/>
                <w:b/>
                <w:bCs/>
                <w:color w:val="000000"/>
                <w:lang w:eastAsia="es-MX"/>
              </w:rPr>
            </w:pPr>
            <w:r w:rsidRPr="00765989">
              <w:rPr>
                <w:rFonts w:ascii="Century Gothic" w:eastAsia="Times New Roman" w:hAnsi="Century Gothic" w:cs="Times New Roman"/>
                <w:b/>
                <w:bCs/>
                <w:color w:val="000000"/>
                <w:lang w:eastAsia="es-MX"/>
              </w:rPr>
              <w:t>AVISO IMPORTANTE</w:t>
            </w:r>
          </w:p>
        </w:tc>
      </w:tr>
      <w:tr w:rsidR="00DF154A" w:rsidRPr="00765989" w14:paraId="4F7EB8E4" w14:textId="77777777" w:rsidTr="00DF154A">
        <w:trPr>
          <w:trHeight w:val="2155"/>
          <w:jc w:val="center"/>
        </w:trPr>
        <w:tc>
          <w:tcPr>
            <w:tcW w:w="87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5A097" w14:textId="77777777" w:rsidR="00DF154A" w:rsidRPr="00765989" w:rsidRDefault="00FF0731" w:rsidP="00843EED">
            <w:pPr>
              <w:spacing w:after="0" w:line="240" w:lineRule="auto"/>
              <w:jc w:val="both"/>
              <w:rPr>
                <w:rFonts w:ascii="Century Gothic" w:eastAsia="Times New Roman" w:hAnsi="Century Gothic" w:cs="Times New Roman"/>
                <w:color w:val="000000"/>
                <w:sz w:val="14"/>
                <w:szCs w:val="18"/>
                <w:lang w:eastAsia="es-MX"/>
              </w:rPr>
            </w:pPr>
            <w:r w:rsidRPr="00765989">
              <w:rPr>
                <w:rFonts w:ascii="Century Gothic" w:eastAsia="Times New Roman" w:hAnsi="Century Gothic" w:cs="Times New Roman"/>
                <w:color w:val="000000"/>
                <w:sz w:val="14"/>
                <w:szCs w:val="14"/>
                <w:lang w:eastAsia="es-MX"/>
              </w:rPr>
              <w:t xml:space="preserve">Los </w:t>
            </w:r>
            <w:r w:rsidRPr="00765989">
              <w:rPr>
                <w:rFonts w:ascii="Century Gothic" w:hAnsi="Century Gothic"/>
                <w:sz w:val="14"/>
                <w:szCs w:val="14"/>
              </w:rPr>
              <w:t>comentarios</w:t>
            </w:r>
            <w:r w:rsidRPr="00765989">
              <w:rPr>
                <w:rFonts w:ascii="Century Gothic" w:eastAsia="Times New Roman" w:hAnsi="Century Gothic" w:cs="Times New Roman"/>
                <w:color w:val="000000"/>
                <w:sz w:val="14"/>
                <w:szCs w:val="14"/>
                <w:lang w:eastAsia="es-MX"/>
              </w:rPr>
              <w:t>, opiniones y aportaciones presentadas durante la vigencia de la presente consulta pública, serán divulgados íntegramente en el portal electrónico del Instituto y, en ese sentido, serán considerados invariablemente públicos. En caso de que dentro de los documentos que remita se advierta información distinta a su nombre y opinión y que éstos tengan el carácter de confidencial se procederá a su protección. Con relación al nombre y la opinión de quien participa en este ejercicio, se entiende que otorga su consentimiento expreso para la difusión de dichos datos, cuando menos en el portal del Instituto. Ello, toda vez que la naturaleza de las consultas públicas consiste en promover la participación ciudadana y transparentar el proceso de elaboración de nuevas regulaciones, así como de cualquier otro asunto que estime el Pleno del Instituto a efecto de generar un espacio de intercambio de información, opiniones y puntos de vista sobre cualquier tema de interés que este órgano constitucional autónomo someta al escrutinio público, en términos de lo dispuesto por el artículo 120, fracción I, de la Ley General de Transparencia y Acceso a la Información Pública.</w:t>
            </w:r>
          </w:p>
        </w:tc>
      </w:tr>
    </w:tbl>
    <w:p w14:paraId="4B87DC38" w14:textId="77777777" w:rsidR="00DF154A" w:rsidRPr="00765989" w:rsidRDefault="00DF154A" w:rsidP="002C1168">
      <w:pPr>
        <w:jc w:val="both"/>
        <w:rPr>
          <w:rFonts w:ascii="Century Gothic" w:hAnsi="Century Gothic"/>
          <w:sz w:val="16"/>
        </w:rPr>
      </w:pPr>
    </w:p>
    <w:p w14:paraId="36181E92" w14:textId="77777777" w:rsidR="009466F8" w:rsidRPr="00765989" w:rsidRDefault="009466F8" w:rsidP="002C1168">
      <w:pPr>
        <w:jc w:val="both"/>
        <w:rPr>
          <w:rFonts w:ascii="Century Gothic" w:hAnsi="Century Gothic"/>
          <w:sz w:val="16"/>
        </w:rPr>
      </w:pPr>
    </w:p>
    <w:p w14:paraId="565992CA" w14:textId="77777777" w:rsidR="009466F8" w:rsidRPr="00765989" w:rsidRDefault="009466F8" w:rsidP="002C1168">
      <w:pPr>
        <w:jc w:val="both"/>
        <w:rPr>
          <w:rFonts w:ascii="Century Gothic" w:hAnsi="Century Gothic"/>
          <w:sz w:val="16"/>
        </w:rPr>
      </w:pPr>
    </w:p>
    <w:p w14:paraId="531B7A0C" w14:textId="77777777" w:rsidR="00884127" w:rsidRPr="00765989" w:rsidRDefault="00884127" w:rsidP="002C1168">
      <w:pPr>
        <w:jc w:val="both"/>
        <w:rPr>
          <w:rFonts w:ascii="Century Gothic" w:hAnsi="Century Gothic"/>
          <w:sz w:val="16"/>
        </w:rPr>
      </w:pPr>
    </w:p>
    <w:p w14:paraId="456141B9" w14:textId="77777777" w:rsidR="009466F8" w:rsidRPr="00765989" w:rsidRDefault="009466F8" w:rsidP="002C1168">
      <w:pPr>
        <w:jc w:val="both"/>
        <w:rPr>
          <w:rFonts w:ascii="Century Gothic" w:hAnsi="Century Gothic"/>
          <w:sz w:val="16"/>
        </w:rPr>
      </w:pPr>
    </w:p>
    <w:p w14:paraId="3F233717" w14:textId="77777777" w:rsidR="009466F8" w:rsidRPr="00765989" w:rsidRDefault="009466F8" w:rsidP="002C1168">
      <w:pPr>
        <w:jc w:val="both"/>
        <w:rPr>
          <w:rFonts w:ascii="Century Gothic" w:hAnsi="Century Gothic"/>
          <w:sz w:val="16"/>
        </w:rPr>
      </w:pPr>
    </w:p>
    <w:tbl>
      <w:tblPr>
        <w:tblStyle w:val="Tablaconcuadrcula"/>
        <w:tblW w:w="0" w:type="auto"/>
        <w:shd w:val="clear" w:color="auto" w:fill="BFBFBF" w:themeFill="background1" w:themeFillShade="BF"/>
        <w:tblLook w:val="04A0" w:firstRow="1" w:lastRow="0" w:firstColumn="1" w:lastColumn="0" w:noHBand="0" w:noVBand="1"/>
        <w:tblCaption w:val="tabla"/>
      </w:tblPr>
      <w:tblGrid>
        <w:gridCol w:w="8828"/>
      </w:tblGrid>
      <w:tr w:rsidR="0027216D" w:rsidRPr="00765989" w14:paraId="4C7B5230" w14:textId="77777777" w:rsidTr="006D367B">
        <w:trPr>
          <w:tblHeader/>
        </w:trPr>
        <w:tc>
          <w:tcPr>
            <w:tcW w:w="8828" w:type="dxa"/>
            <w:shd w:val="clear" w:color="auto" w:fill="BFBFBF" w:themeFill="background1" w:themeFillShade="BF"/>
          </w:tcPr>
          <w:p w14:paraId="27B100E0" w14:textId="1B0BD716" w:rsidR="0027216D" w:rsidRPr="00765989" w:rsidRDefault="0027216D" w:rsidP="00F810BE">
            <w:pPr>
              <w:pStyle w:val="Prrafodelista"/>
              <w:numPr>
                <w:ilvl w:val="0"/>
                <w:numId w:val="2"/>
              </w:numPr>
              <w:ind w:left="-70" w:firstLine="70"/>
              <w:jc w:val="center"/>
              <w:rPr>
                <w:rFonts w:ascii="Century Gothic" w:hAnsi="Century Gothic"/>
                <w:b/>
                <w:lang w:val="es-MX"/>
              </w:rPr>
            </w:pPr>
            <w:r w:rsidRPr="00765989">
              <w:rPr>
                <w:rFonts w:ascii="Century Gothic" w:hAnsi="Century Gothic"/>
                <w:b/>
                <w:lang w:val="es-MX"/>
              </w:rPr>
              <w:lastRenderedPageBreak/>
              <w:t xml:space="preserve">Información </w:t>
            </w:r>
            <w:r w:rsidR="00884127" w:rsidRPr="00765989">
              <w:rPr>
                <w:rFonts w:ascii="Century Gothic" w:hAnsi="Century Gothic"/>
                <w:b/>
                <w:lang w:val="es-MX"/>
              </w:rPr>
              <w:t xml:space="preserve">general e interrogantes </w:t>
            </w:r>
            <w:r w:rsidRPr="00765989">
              <w:rPr>
                <w:rFonts w:ascii="Century Gothic" w:hAnsi="Century Gothic"/>
                <w:b/>
                <w:lang w:val="es-MX"/>
              </w:rPr>
              <w:t>específica</w:t>
            </w:r>
            <w:r w:rsidR="00884127" w:rsidRPr="00765989">
              <w:rPr>
                <w:rFonts w:ascii="Century Gothic" w:hAnsi="Century Gothic"/>
                <w:b/>
                <w:lang w:val="es-MX"/>
              </w:rPr>
              <w:t>s</w:t>
            </w:r>
            <w:r w:rsidRPr="00765989">
              <w:rPr>
                <w:rFonts w:ascii="Century Gothic" w:hAnsi="Century Gothic"/>
                <w:b/>
                <w:lang w:val="es-MX"/>
              </w:rPr>
              <w:t xml:space="preserve"> </w:t>
            </w:r>
            <w:r w:rsidR="00884127" w:rsidRPr="00765989">
              <w:rPr>
                <w:rFonts w:ascii="Century Gothic" w:hAnsi="Century Gothic"/>
                <w:b/>
                <w:lang w:val="es-MX"/>
              </w:rPr>
              <w:t>d</w:t>
            </w:r>
            <w:r w:rsidRPr="00765989">
              <w:rPr>
                <w:rFonts w:ascii="Century Gothic" w:hAnsi="Century Gothic"/>
                <w:b/>
                <w:lang w:val="es-MX"/>
              </w:rPr>
              <w:t>e la presente consulta pública</w:t>
            </w:r>
          </w:p>
        </w:tc>
      </w:tr>
    </w:tbl>
    <w:p w14:paraId="75BD0404" w14:textId="77777777" w:rsidR="00AA5F60" w:rsidRPr="003C4A54" w:rsidRDefault="00AA5F60" w:rsidP="00AA5F60">
      <w:pPr>
        <w:pStyle w:val="Ttulo1"/>
        <w:rPr>
          <w:rFonts w:ascii="Century Gothic" w:hAnsi="Century Gothic"/>
          <w:color w:val="000000" w:themeColor="text1"/>
          <w:sz w:val="24"/>
          <w:szCs w:val="24"/>
          <w:lang w:val="es-MX"/>
        </w:rPr>
      </w:pPr>
      <w:r w:rsidRPr="003C4A54">
        <w:rPr>
          <w:rFonts w:ascii="Century Gothic" w:hAnsi="Century Gothic"/>
          <w:color w:val="000000" w:themeColor="text1"/>
          <w:sz w:val="24"/>
          <w:szCs w:val="24"/>
          <w:lang w:val="es-MX"/>
        </w:rPr>
        <w:t>Modelo de costos incrementales de largo plazo de la red de acceso fija de fibra óptica</w:t>
      </w:r>
    </w:p>
    <w:p w14:paraId="6F4FFEE4" w14:textId="77777777" w:rsidR="00AA5F60" w:rsidRPr="003C4A54" w:rsidRDefault="00AA5F60" w:rsidP="00AA5F60">
      <w:pPr>
        <w:pStyle w:val="Ttulo2"/>
        <w:rPr>
          <w:rFonts w:ascii="Century Gothic" w:hAnsi="Century Gothic"/>
          <w:color w:val="000000" w:themeColor="text1"/>
          <w:sz w:val="24"/>
          <w:szCs w:val="24"/>
          <w:lang w:val="es-MX"/>
        </w:rPr>
      </w:pPr>
      <w:r w:rsidRPr="003C4A54">
        <w:rPr>
          <w:rFonts w:ascii="Century Gothic" w:hAnsi="Century Gothic"/>
          <w:color w:val="000000" w:themeColor="text1"/>
          <w:sz w:val="24"/>
          <w:szCs w:val="24"/>
          <w:lang w:val="es-MX"/>
        </w:rPr>
        <w:t>Objeto de la Consulta Pública</w:t>
      </w:r>
    </w:p>
    <w:p w14:paraId="6AF27154" w14:textId="645B4598" w:rsidR="00AA5F60" w:rsidRPr="003C4A54" w:rsidRDefault="00AA5F60" w:rsidP="00AA5F60">
      <w:pPr>
        <w:jc w:val="both"/>
        <w:rPr>
          <w:rFonts w:ascii="Century Gothic" w:hAnsi="Century Gothic"/>
        </w:rPr>
      </w:pPr>
      <w:r w:rsidRPr="003C4A54">
        <w:rPr>
          <w:rFonts w:ascii="Century Gothic" w:hAnsi="Century Gothic"/>
        </w:rPr>
        <w:t xml:space="preserve">El presente documento ha sido concebido a modo de guía para el proceso de Consulta Pública sobre el modelo de costos de la red de acceso de fibra óptica del AEP </w:t>
      </w:r>
      <w:r w:rsidR="00EA49CE">
        <w:rPr>
          <w:rFonts w:ascii="Century Gothic" w:hAnsi="Century Gothic"/>
        </w:rPr>
        <w:t xml:space="preserve">(en lo sucesivo, el “Modelo”) </w:t>
      </w:r>
      <w:r w:rsidRPr="003C4A54">
        <w:rPr>
          <w:rFonts w:ascii="Century Gothic" w:hAnsi="Century Gothic"/>
        </w:rPr>
        <w:t xml:space="preserve">y contiene una serie de preguntas específicas sobre los principales conceptos utilizados en el modelo de costos propuesto y sobre los respectivos documentos de apoyo. Dichas preguntas pueden hacer referencia a los documentos de apoyo que estarán disponibles en la Consulta Pública, como son </w:t>
      </w:r>
      <w:r w:rsidR="00EA49CE">
        <w:rPr>
          <w:rFonts w:ascii="Century Gothic" w:hAnsi="Century Gothic"/>
        </w:rPr>
        <w:t xml:space="preserve">1) </w:t>
      </w:r>
      <w:r w:rsidRPr="003C4A54">
        <w:rPr>
          <w:rFonts w:ascii="Century Gothic" w:hAnsi="Century Gothic"/>
        </w:rPr>
        <w:t xml:space="preserve">el Documento </w:t>
      </w:r>
      <w:r w:rsidR="00EA49CE">
        <w:rPr>
          <w:rFonts w:ascii="Century Gothic" w:hAnsi="Century Gothic"/>
        </w:rPr>
        <w:t>Metodológico</w:t>
      </w:r>
      <w:r w:rsidRPr="003C4A54">
        <w:rPr>
          <w:rFonts w:ascii="Century Gothic" w:hAnsi="Century Gothic"/>
        </w:rPr>
        <w:t xml:space="preserve"> </w:t>
      </w:r>
      <w:r w:rsidR="00EA49CE">
        <w:rPr>
          <w:rFonts w:ascii="Century Gothic" w:hAnsi="Century Gothic"/>
        </w:rPr>
        <w:t xml:space="preserve">del Modelo, 2) el Manual de Usuario del Modelo y </w:t>
      </w:r>
      <w:r w:rsidRPr="003C4A54">
        <w:rPr>
          <w:rFonts w:ascii="Century Gothic" w:hAnsi="Century Gothic"/>
        </w:rPr>
        <w:t xml:space="preserve"> </w:t>
      </w:r>
      <w:r w:rsidR="00EA49CE">
        <w:rPr>
          <w:rFonts w:ascii="Century Gothic" w:hAnsi="Century Gothic"/>
        </w:rPr>
        <w:t>3)</w:t>
      </w:r>
      <w:r w:rsidR="00403736">
        <w:rPr>
          <w:rFonts w:ascii="Century Gothic" w:hAnsi="Century Gothic"/>
        </w:rPr>
        <w:t xml:space="preserve"> </w:t>
      </w:r>
      <w:r w:rsidR="00EA49CE">
        <w:rPr>
          <w:rFonts w:ascii="Century Gothic" w:hAnsi="Century Gothic"/>
        </w:rPr>
        <w:t>al</w:t>
      </w:r>
      <w:r w:rsidRPr="003C4A54">
        <w:rPr>
          <w:rFonts w:ascii="Century Gothic" w:hAnsi="Century Gothic"/>
        </w:rPr>
        <w:t xml:space="preserve"> </w:t>
      </w:r>
      <w:r w:rsidR="00EA49CE">
        <w:rPr>
          <w:rFonts w:ascii="Century Gothic" w:hAnsi="Century Gothic"/>
        </w:rPr>
        <w:t xml:space="preserve">propio </w:t>
      </w:r>
      <w:r w:rsidRPr="003C4A54">
        <w:rPr>
          <w:rFonts w:ascii="Century Gothic" w:hAnsi="Century Gothic"/>
        </w:rPr>
        <w:t xml:space="preserve">modelo de costos de red de acceso de fibra óptica del AEP. No obstante, se podrán realizar comentarios acerca de cualquier otro aspecto relacionado con el modelo y la documentación asociada que forma parte de la Consulta Pública. </w:t>
      </w:r>
    </w:p>
    <w:p w14:paraId="71F29122" w14:textId="79FAC1E1" w:rsidR="00AA5F60" w:rsidRPr="003C4A54" w:rsidRDefault="00AA5F60" w:rsidP="00AA5F60">
      <w:pPr>
        <w:jc w:val="both"/>
        <w:rPr>
          <w:rFonts w:ascii="Century Gothic" w:hAnsi="Century Gothic"/>
        </w:rPr>
      </w:pPr>
      <w:r w:rsidRPr="003C4A54">
        <w:rPr>
          <w:rFonts w:ascii="Century Gothic" w:hAnsi="Century Gothic"/>
        </w:rPr>
        <w:t>Se invita a los participantes a aportar información y comentarios sobre la estructura y el diseño de cada un</w:t>
      </w:r>
      <w:r w:rsidR="00EA49CE">
        <w:rPr>
          <w:rFonts w:ascii="Century Gothic" w:hAnsi="Century Gothic"/>
        </w:rPr>
        <w:t>o de los módulos que componen dicho</w:t>
      </w:r>
      <w:r w:rsidRPr="003C4A54">
        <w:rPr>
          <w:rFonts w:ascii="Century Gothic" w:hAnsi="Century Gothic"/>
        </w:rPr>
        <w:t xml:space="preserve"> modelo de costos. Las aportaciones permitirán al Instituto Federal de Telecomunicaciones</w:t>
      </w:r>
      <w:r w:rsidR="00EA49CE">
        <w:rPr>
          <w:rFonts w:ascii="Century Gothic" w:hAnsi="Century Gothic"/>
        </w:rPr>
        <w:t xml:space="preserve"> (en adelante, el “IFT”) fortalecer este</w:t>
      </w:r>
      <w:r w:rsidRPr="003C4A54">
        <w:rPr>
          <w:rFonts w:ascii="Century Gothic" w:hAnsi="Century Gothic"/>
        </w:rPr>
        <w:t xml:space="preserve"> modelo y sus resultados.</w:t>
      </w:r>
    </w:p>
    <w:p w14:paraId="01B6BBAB" w14:textId="46D54AD3" w:rsidR="00AA5F60" w:rsidRPr="003C4A54" w:rsidRDefault="00AA5F60" w:rsidP="00AA5F60">
      <w:pPr>
        <w:jc w:val="both"/>
        <w:rPr>
          <w:rFonts w:ascii="Century Gothic" w:hAnsi="Century Gothic"/>
        </w:rPr>
      </w:pPr>
      <w:r w:rsidRPr="003C4A54">
        <w:rPr>
          <w:rFonts w:ascii="Century Gothic" w:hAnsi="Century Gothic"/>
        </w:rPr>
        <w:t>Para que el I</w:t>
      </w:r>
      <w:r w:rsidR="00EA49CE">
        <w:rPr>
          <w:rFonts w:ascii="Century Gothic" w:hAnsi="Century Gothic"/>
        </w:rPr>
        <w:t>FT</w:t>
      </w:r>
      <w:r w:rsidRPr="003C4A54">
        <w:rPr>
          <w:rFonts w:ascii="Century Gothic" w:hAnsi="Century Gothic"/>
        </w:rPr>
        <w:t xml:space="preserve"> tenga en cuenta los comentarios y la nueva información facilitada por los participantes, </w:t>
      </w:r>
      <w:r w:rsidR="00EA49CE">
        <w:rPr>
          <w:rFonts w:ascii="Century Gothic" w:hAnsi="Century Gothic"/>
        </w:rPr>
        <w:t>tales</w:t>
      </w:r>
      <w:r w:rsidRPr="003C4A54">
        <w:rPr>
          <w:rFonts w:ascii="Century Gothic" w:hAnsi="Century Gothic"/>
        </w:rPr>
        <w:t xml:space="preserve"> deberán estar suficientemente justificados con información de soporte verificable y los argumentos deberán estar </w:t>
      </w:r>
      <w:r w:rsidR="00EA49CE" w:rsidRPr="003C4A54">
        <w:rPr>
          <w:rFonts w:ascii="Century Gothic" w:hAnsi="Century Gothic"/>
        </w:rPr>
        <w:t>adecuadamente</w:t>
      </w:r>
      <w:r w:rsidRPr="003C4A54">
        <w:rPr>
          <w:rFonts w:ascii="Century Gothic" w:hAnsi="Century Gothic"/>
        </w:rPr>
        <w:t xml:space="preserve"> fundados.</w:t>
      </w:r>
    </w:p>
    <w:p w14:paraId="5A4A3B67" w14:textId="4EE674F5" w:rsidR="00AA5F60" w:rsidRPr="003C4A54" w:rsidRDefault="00EA49CE" w:rsidP="00AA5F60">
      <w:pPr>
        <w:jc w:val="both"/>
        <w:rPr>
          <w:rFonts w:ascii="Century Gothic" w:hAnsi="Century Gothic"/>
        </w:rPr>
      </w:pPr>
      <w:r>
        <w:rPr>
          <w:rFonts w:ascii="Century Gothic" w:hAnsi="Century Gothic"/>
        </w:rPr>
        <w:t>Dicho</w:t>
      </w:r>
      <w:r w:rsidR="00AA5F60" w:rsidRPr="003C4A54">
        <w:rPr>
          <w:rFonts w:ascii="Century Gothic" w:hAnsi="Century Gothic"/>
        </w:rPr>
        <w:t xml:space="preserve"> modelo de costos está disponible en formato Microsoft Excel con el objetivo de dotar de transparencia al proceso y facilitar la compresión por parte de los participantes sobre los parámetros específicos utilizados en su construcción.</w:t>
      </w:r>
    </w:p>
    <w:p w14:paraId="6CD5C5AB" w14:textId="1EC34A9B" w:rsidR="00AA5F60" w:rsidRPr="003C4A54" w:rsidRDefault="00AA5F60" w:rsidP="00AA5F60">
      <w:pPr>
        <w:jc w:val="both"/>
        <w:rPr>
          <w:rFonts w:ascii="Century Gothic" w:hAnsi="Century Gothic"/>
        </w:rPr>
      </w:pPr>
      <w:r w:rsidRPr="003C4A54">
        <w:rPr>
          <w:rFonts w:ascii="Century Gothic" w:hAnsi="Century Gothic"/>
        </w:rPr>
        <w:t xml:space="preserve">Asimismo, con el objetivo de preservar la confidencialidad de </w:t>
      </w:r>
      <w:r w:rsidR="00FF0ACC" w:rsidRPr="003C4A54">
        <w:rPr>
          <w:rFonts w:ascii="Century Gothic" w:hAnsi="Century Gothic"/>
        </w:rPr>
        <w:t xml:space="preserve">cierta </w:t>
      </w:r>
      <w:r w:rsidRPr="003C4A54">
        <w:rPr>
          <w:rFonts w:ascii="Century Gothic" w:hAnsi="Century Gothic"/>
        </w:rPr>
        <w:t>información aportada por los operadores durante la fase de construcción del modelo</w:t>
      </w:r>
      <w:r w:rsidR="008A63DD">
        <w:rPr>
          <w:rFonts w:ascii="Century Gothic" w:hAnsi="Century Gothic"/>
        </w:rPr>
        <w:t xml:space="preserve"> de costos</w:t>
      </w:r>
      <w:r w:rsidR="00FF0ACC" w:rsidRPr="003C4A54">
        <w:rPr>
          <w:rFonts w:ascii="Century Gothic" w:hAnsi="Century Gothic"/>
        </w:rPr>
        <w:t>,</w:t>
      </w:r>
      <w:r w:rsidRPr="003C4A54">
        <w:rPr>
          <w:rFonts w:ascii="Century Gothic" w:hAnsi="Century Gothic"/>
        </w:rPr>
        <w:t xml:space="preserve"> se han modificado los datos de entrada aplicando un factor aleatorio entre -30% y 30%, si bien se ha mantenido la estructura, los cálculos y las variables del modelo. </w:t>
      </w:r>
    </w:p>
    <w:p w14:paraId="600D2D80" w14:textId="77777777" w:rsidR="00AA5F60" w:rsidRPr="003C4A54" w:rsidRDefault="00AA5F60" w:rsidP="00AA5F60">
      <w:pPr>
        <w:jc w:val="both"/>
        <w:rPr>
          <w:rFonts w:ascii="Century Gothic" w:hAnsi="Century Gothic"/>
        </w:rPr>
      </w:pPr>
      <w:r w:rsidRPr="003C4A54">
        <w:rPr>
          <w:rFonts w:ascii="Century Gothic" w:hAnsi="Century Gothic"/>
        </w:rPr>
        <w:lastRenderedPageBreak/>
        <w:t>El objetivo de la Consulta Pública es el análisis de todas las cuestiones relacionadas con los principios conceptuales utilizados en la elaboración del Modelo de Costos, así como la estructura y parámetros de los mismos.</w:t>
      </w:r>
    </w:p>
    <w:p w14:paraId="7497756B" w14:textId="500CB28B" w:rsidR="00AA5F60" w:rsidRPr="003C4A54" w:rsidRDefault="00AA5F60" w:rsidP="00AA5F60">
      <w:pPr>
        <w:jc w:val="both"/>
        <w:rPr>
          <w:rFonts w:ascii="Century Gothic" w:hAnsi="Century Gothic"/>
        </w:rPr>
      </w:pPr>
      <w:r w:rsidRPr="003C4A54">
        <w:rPr>
          <w:rFonts w:ascii="Century Gothic" w:hAnsi="Century Gothic"/>
        </w:rPr>
        <w:t>Cabe señalar que una vez concluida la Consulta Pública, la información y comentarios aportados serán analizados y evaluados por e</w:t>
      </w:r>
      <w:r w:rsidR="00FF0ACC" w:rsidRPr="003C4A54">
        <w:rPr>
          <w:rFonts w:ascii="Century Gothic" w:hAnsi="Century Gothic"/>
        </w:rPr>
        <w:t>l</w:t>
      </w:r>
      <w:r w:rsidRPr="003C4A54">
        <w:rPr>
          <w:rFonts w:ascii="Century Gothic" w:hAnsi="Century Gothic"/>
        </w:rPr>
        <w:t xml:space="preserve"> I</w:t>
      </w:r>
      <w:r w:rsidR="008A63DD">
        <w:rPr>
          <w:rFonts w:ascii="Century Gothic" w:hAnsi="Century Gothic"/>
        </w:rPr>
        <w:t>FT</w:t>
      </w:r>
      <w:r w:rsidRPr="003C4A54">
        <w:rPr>
          <w:rFonts w:ascii="Century Gothic" w:hAnsi="Century Gothic"/>
        </w:rPr>
        <w:t xml:space="preserve">. </w:t>
      </w:r>
    </w:p>
    <w:p w14:paraId="7180759E" w14:textId="77777777" w:rsidR="00AA5F60" w:rsidRPr="003C4A54" w:rsidRDefault="00AA5F60" w:rsidP="00AA5F60">
      <w:pPr>
        <w:pStyle w:val="Ttulo2"/>
        <w:keepLines/>
        <w:spacing w:before="360" w:line="320" w:lineRule="atLeast"/>
        <w:ind w:left="0" w:hanging="499"/>
        <w:rPr>
          <w:rFonts w:ascii="Century Gothic" w:hAnsi="Century Gothic" w:cs="Times New Roman"/>
          <w:color w:val="000000" w:themeColor="text1"/>
          <w:sz w:val="24"/>
          <w:szCs w:val="24"/>
          <w:lang w:val="es-MX"/>
        </w:rPr>
      </w:pPr>
      <w:r w:rsidRPr="003C4A54">
        <w:rPr>
          <w:rFonts w:ascii="Century Gothic" w:hAnsi="Century Gothic" w:cs="Times New Roman"/>
          <w:color w:val="000000" w:themeColor="text1"/>
          <w:sz w:val="24"/>
          <w:szCs w:val="24"/>
          <w:lang w:val="es-MX"/>
        </w:rPr>
        <w:t>Marco de referencia</w:t>
      </w:r>
    </w:p>
    <w:p w14:paraId="682D1007" w14:textId="041F0A2D" w:rsidR="00AA5F60" w:rsidRPr="003C4A54" w:rsidRDefault="00AA5F60" w:rsidP="00AA5F60">
      <w:pPr>
        <w:jc w:val="both"/>
        <w:rPr>
          <w:rFonts w:ascii="Century Gothic" w:hAnsi="Century Gothic"/>
        </w:rPr>
      </w:pPr>
      <w:r w:rsidRPr="003C4A54">
        <w:rPr>
          <w:rFonts w:ascii="Century Gothic" w:hAnsi="Century Gothic"/>
        </w:rPr>
        <w:t xml:space="preserve">El modelo de costos para servicios de la red de acceso de fibra óptica del AEP, se enmarca dentro de las medidas que emanan de la reforma de la Constitución Política de los Estados Unidos Mexicanos para garantizar la libre competencia y concurrencia en el mercado de las telecomunicaciones y que resultaron en la imposición de una serie de obligaciones a los </w:t>
      </w:r>
      <w:r w:rsidR="009F1994">
        <w:rPr>
          <w:rFonts w:ascii="Century Gothic" w:hAnsi="Century Gothic"/>
        </w:rPr>
        <w:t xml:space="preserve">integrantes del </w:t>
      </w:r>
      <w:r w:rsidRPr="003C4A54">
        <w:rPr>
          <w:rFonts w:ascii="Century Gothic" w:hAnsi="Century Gothic"/>
        </w:rPr>
        <w:t>Agente Económico Preponderante (AEP)</w:t>
      </w:r>
      <w:r w:rsidR="009F1994">
        <w:rPr>
          <w:rFonts w:ascii="Century Gothic" w:hAnsi="Century Gothic"/>
        </w:rPr>
        <w:t xml:space="preserve"> en el sector de las telecomunicaciones</w:t>
      </w:r>
      <w:r w:rsidRPr="003C4A54">
        <w:rPr>
          <w:rFonts w:ascii="Century Gothic" w:hAnsi="Century Gothic"/>
        </w:rPr>
        <w:t>.</w:t>
      </w:r>
    </w:p>
    <w:p w14:paraId="23CCD076" w14:textId="77777777" w:rsidR="00AA5F60" w:rsidRPr="003C4A54" w:rsidRDefault="00AA5F60" w:rsidP="00AA5F60">
      <w:pPr>
        <w:pStyle w:val="Ttulo2"/>
        <w:keepLines/>
        <w:spacing w:before="360" w:line="320" w:lineRule="atLeast"/>
        <w:ind w:left="0" w:hanging="499"/>
        <w:rPr>
          <w:rFonts w:ascii="Century Gothic" w:hAnsi="Century Gothic" w:cs="Times New Roman"/>
          <w:color w:val="000000" w:themeColor="text1"/>
          <w:sz w:val="24"/>
          <w:szCs w:val="24"/>
          <w:lang w:val="es-MX"/>
        </w:rPr>
      </w:pPr>
      <w:r w:rsidRPr="003C4A54">
        <w:rPr>
          <w:rFonts w:ascii="Century Gothic" w:hAnsi="Century Gothic" w:cs="Times New Roman"/>
          <w:color w:val="000000" w:themeColor="text1"/>
          <w:sz w:val="24"/>
          <w:szCs w:val="24"/>
          <w:lang w:val="es-MX"/>
        </w:rPr>
        <w:t>Principios generales del modelo</w:t>
      </w:r>
    </w:p>
    <w:p w14:paraId="0365F246" w14:textId="77777777" w:rsidR="00AA5F60" w:rsidRPr="003C4A54" w:rsidRDefault="00AA5F60" w:rsidP="00AA5F60">
      <w:pPr>
        <w:jc w:val="both"/>
        <w:rPr>
          <w:rFonts w:ascii="Century Gothic" w:hAnsi="Century Gothic"/>
        </w:rPr>
      </w:pPr>
      <w:r w:rsidRPr="003C4A54">
        <w:rPr>
          <w:rFonts w:ascii="Century Gothic" w:hAnsi="Century Gothic"/>
        </w:rPr>
        <w:t>Los principios generales, hipótesis y premisas bajo las cuales se elaboró el modelo se resumen a continuación:</w:t>
      </w:r>
    </w:p>
    <w:p w14:paraId="790C0BC4" w14:textId="2D3A796A" w:rsidR="00AA5F60" w:rsidRPr="003C4A54" w:rsidRDefault="00AA5F60" w:rsidP="00AA5F60">
      <w:pPr>
        <w:pStyle w:val="Indentation1"/>
        <w:rPr>
          <w:rFonts w:ascii="Century Gothic" w:hAnsi="Century Gothic"/>
          <w:lang w:val="es-MX"/>
        </w:rPr>
      </w:pPr>
      <w:r w:rsidRPr="003C4A54">
        <w:rPr>
          <w:rFonts w:ascii="Century Gothic" w:hAnsi="Century Gothic"/>
          <w:lang w:val="es-MX"/>
        </w:rPr>
        <w:t>Metod</w:t>
      </w:r>
      <w:r w:rsidR="00BF1242" w:rsidRPr="003C4A54">
        <w:rPr>
          <w:rFonts w:ascii="Century Gothic" w:hAnsi="Century Gothic"/>
          <w:lang w:val="es-MX"/>
        </w:rPr>
        <w:t>ología de costos incrementales promedio de</w:t>
      </w:r>
      <w:r w:rsidRPr="003C4A54">
        <w:rPr>
          <w:rFonts w:ascii="Century Gothic" w:hAnsi="Century Gothic"/>
          <w:lang w:val="es-MX"/>
        </w:rPr>
        <w:t xml:space="preserve"> largo plazo</w:t>
      </w:r>
      <w:r w:rsidR="009500A0" w:rsidRPr="003C4A54">
        <w:rPr>
          <w:rFonts w:ascii="Century Gothic" w:hAnsi="Century Gothic"/>
          <w:lang w:val="es-MX"/>
        </w:rPr>
        <w:t>.</w:t>
      </w:r>
      <w:r w:rsidRPr="003C4A54">
        <w:rPr>
          <w:rFonts w:ascii="Century Gothic" w:hAnsi="Century Gothic"/>
          <w:lang w:val="es-MX"/>
        </w:rPr>
        <w:t xml:space="preserve"> </w:t>
      </w:r>
    </w:p>
    <w:p w14:paraId="5E2C6213" w14:textId="6DCD34E0" w:rsidR="00AA5F60" w:rsidRPr="003C4A54" w:rsidRDefault="009500A0" w:rsidP="00AA5F60">
      <w:pPr>
        <w:pStyle w:val="Indentation1"/>
        <w:rPr>
          <w:rFonts w:ascii="Century Gothic" w:hAnsi="Century Gothic"/>
          <w:lang w:val="es-MX"/>
        </w:rPr>
      </w:pPr>
      <w:r w:rsidRPr="003C4A54">
        <w:rPr>
          <w:rFonts w:ascii="Century Gothic" w:hAnsi="Century Gothic"/>
          <w:lang w:val="es-MX"/>
        </w:rPr>
        <w:t>Enfoque de modelo ascendente (B</w:t>
      </w:r>
      <w:r w:rsidR="00AA5F60" w:rsidRPr="003C4A54">
        <w:rPr>
          <w:rFonts w:ascii="Century Gothic" w:hAnsi="Century Gothic"/>
          <w:lang w:val="es-MX"/>
        </w:rPr>
        <w:t>ottom-up)</w:t>
      </w:r>
      <w:r w:rsidRPr="003C4A54">
        <w:rPr>
          <w:rFonts w:ascii="Century Gothic" w:hAnsi="Century Gothic"/>
          <w:lang w:val="es-MX"/>
        </w:rPr>
        <w:t>.</w:t>
      </w:r>
    </w:p>
    <w:p w14:paraId="67BB671D" w14:textId="77777777" w:rsidR="00AA5F60" w:rsidRPr="003C4A54" w:rsidRDefault="00AA5F60" w:rsidP="00AA5F60">
      <w:pPr>
        <w:pStyle w:val="Indentation1"/>
        <w:rPr>
          <w:rFonts w:ascii="Century Gothic" w:hAnsi="Century Gothic"/>
          <w:lang w:val="es-MX"/>
        </w:rPr>
      </w:pPr>
      <w:r w:rsidRPr="003C4A54">
        <w:rPr>
          <w:rFonts w:ascii="Century Gothic" w:hAnsi="Century Gothic"/>
          <w:lang w:val="es-MX"/>
        </w:rPr>
        <w:t>Asignación de costos comunes a servicios utilizando la metodología de “Capacidad Requerida”.</w:t>
      </w:r>
    </w:p>
    <w:p w14:paraId="1B6FB92D" w14:textId="2CBC6890" w:rsidR="00AA5F60" w:rsidRPr="003C4A54" w:rsidRDefault="00AA5F60" w:rsidP="00AA5F60">
      <w:pPr>
        <w:pStyle w:val="Indentation1"/>
        <w:rPr>
          <w:rFonts w:ascii="Century Gothic" w:hAnsi="Century Gothic"/>
          <w:lang w:val="es-MX"/>
        </w:rPr>
      </w:pPr>
      <w:r w:rsidRPr="003C4A54">
        <w:rPr>
          <w:rFonts w:ascii="Century Gothic" w:hAnsi="Century Gothic"/>
          <w:lang w:val="es-MX"/>
        </w:rPr>
        <w:t xml:space="preserve">Enfoque Modified </w:t>
      </w:r>
      <w:r w:rsidR="00351C8B">
        <w:rPr>
          <w:rFonts w:ascii="Century Gothic" w:hAnsi="Century Gothic"/>
          <w:lang w:val="es-MX"/>
        </w:rPr>
        <w:t>Scorched-Earth, que se calibra</w:t>
      </w:r>
      <w:r w:rsidRPr="003C4A54">
        <w:rPr>
          <w:rFonts w:ascii="Century Gothic" w:hAnsi="Century Gothic"/>
          <w:lang w:val="es-MX"/>
        </w:rPr>
        <w:t xml:space="preserve"> con los elementos de red presentes en la red del AEP</w:t>
      </w:r>
      <w:r w:rsidR="009500A0" w:rsidRPr="003C4A54">
        <w:rPr>
          <w:rFonts w:ascii="Century Gothic" w:hAnsi="Century Gothic"/>
          <w:lang w:val="es-MX"/>
        </w:rPr>
        <w:t>.</w:t>
      </w:r>
    </w:p>
    <w:p w14:paraId="281FAD92" w14:textId="65914676" w:rsidR="00AA5F60" w:rsidRPr="003C4A54" w:rsidRDefault="00AA5F60" w:rsidP="00AA5F60">
      <w:pPr>
        <w:pStyle w:val="Indentation1"/>
        <w:rPr>
          <w:rFonts w:ascii="Century Gothic" w:hAnsi="Century Gothic"/>
          <w:lang w:val="es-MX"/>
        </w:rPr>
      </w:pPr>
      <w:r w:rsidRPr="003C4A54">
        <w:rPr>
          <w:rFonts w:ascii="Century Gothic" w:hAnsi="Century Gothic"/>
          <w:lang w:val="es-MX"/>
        </w:rPr>
        <w:t>Método de anualidad inclinada para calcular la amortización de los activos, con la posibilidad del método de anualidad inclinada ajustada</w:t>
      </w:r>
      <w:r w:rsidR="009500A0" w:rsidRPr="003C4A54">
        <w:rPr>
          <w:rFonts w:ascii="Century Gothic" w:hAnsi="Century Gothic"/>
          <w:lang w:val="es-MX"/>
        </w:rPr>
        <w:t>.</w:t>
      </w:r>
    </w:p>
    <w:p w14:paraId="625272AF" w14:textId="38C00841" w:rsidR="00AA5F60" w:rsidRPr="003C4A54" w:rsidRDefault="00351C8B" w:rsidP="00AA5F60">
      <w:pPr>
        <w:pStyle w:val="Indentation1"/>
        <w:rPr>
          <w:rFonts w:ascii="Century Gothic" w:hAnsi="Century Gothic"/>
          <w:lang w:val="es-MX"/>
        </w:rPr>
      </w:pPr>
      <w:r>
        <w:rPr>
          <w:rFonts w:ascii="Century Gothic" w:hAnsi="Century Gothic"/>
          <w:lang w:val="es-MX"/>
        </w:rPr>
        <w:t>Se consideraron</w:t>
      </w:r>
      <w:r w:rsidR="00AA5F60" w:rsidRPr="003C4A54">
        <w:rPr>
          <w:rFonts w:ascii="Century Gothic" w:hAnsi="Century Gothic"/>
          <w:lang w:val="es-MX"/>
        </w:rPr>
        <w:t xml:space="preserve"> las categorías de costos CapEx, OpEx, Costos Generales y de Administración para el cálculo de todos los costos asociados a la red</w:t>
      </w:r>
      <w:r w:rsidR="009500A0" w:rsidRPr="003C4A54">
        <w:rPr>
          <w:rFonts w:ascii="Century Gothic" w:hAnsi="Century Gothic"/>
          <w:lang w:val="es-MX"/>
        </w:rPr>
        <w:t>.</w:t>
      </w:r>
    </w:p>
    <w:p w14:paraId="100689B4" w14:textId="5D23164A" w:rsidR="00AA5F60" w:rsidRPr="003C4A54" w:rsidRDefault="00EA49CE" w:rsidP="00AA5F60">
      <w:pPr>
        <w:pStyle w:val="Indentation1"/>
        <w:rPr>
          <w:rFonts w:ascii="Century Gothic" w:hAnsi="Century Gothic"/>
          <w:lang w:val="es-MX"/>
        </w:rPr>
      </w:pPr>
      <w:r>
        <w:rPr>
          <w:rFonts w:ascii="Century Gothic" w:hAnsi="Century Gothic"/>
          <w:lang w:val="es-MX"/>
        </w:rPr>
        <w:t>Metodología del Costo de Capital Promedio P</w:t>
      </w:r>
      <w:r w:rsidR="00AA5F60" w:rsidRPr="003C4A54">
        <w:rPr>
          <w:rFonts w:ascii="Century Gothic" w:hAnsi="Century Gothic"/>
          <w:lang w:val="es-MX"/>
        </w:rPr>
        <w:t>onderado a fin de representar un monto razonable de retorno sobre el capital invertido por un operador de telecomunicaciones</w:t>
      </w:r>
      <w:r w:rsidR="009500A0" w:rsidRPr="003C4A54">
        <w:rPr>
          <w:rFonts w:ascii="Century Gothic" w:hAnsi="Century Gothic"/>
          <w:lang w:val="es-MX"/>
        </w:rPr>
        <w:t>.</w:t>
      </w:r>
    </w:p>
    <w:p w14:paraId="65DD87F8" w14:textId="1906FE05" w:rsidR="00AA5F60" w:rsidRPr="003C4A54" w:rsidRDefault="00AA5F60" w:rsidP="00AA5F60">
      <w:pPr>
        <w:pStyle w:val="Indentation1"/>
        <w:rPr>
          <w:rFonts w:ascii="Century Gothic" w:hAnsi="Century Gothic"/>
          <w:lang w:val="es-MX"/>
        </w:rPr>
      </w:pPr>
      <w:r w:rsidRPr="003C4A54">
        <w:rPr>
          <w:rFonts w:ascii="Century Gothic" w:hAnsi="Century Gothic"/>
          <w:lang w:val="es-MX"/>
        </w:rPr>
        <w:t>Horizonte temporal de 4 años futuros</w:t>
      </w:r>
      <w:r w:rsidR="002D2400">
        <w:rPr>
          <w:rFonts w:ascii="Century Gothic" w:hAnsi="Century Gothic"/>
          <w:lang w:val="es-MX"/>
        </w:rPr>
        <w:t xml:space="preserve"> a  partir del año en curso</w:t>
      </w:r>
      <w:r w:rsidRPr="003C4A54">
        <w:rPr>
          <w:rFonts w:ascii="Century Gothic" w:hAnsi="Century Gothic"/>
          <w:lang w:val="es-MX"/>
        </w:rPr>
        <w:t xml:space="preserve">, </w:t>
      </w:r>
      <w:r w:rsidR="002D2400">
        <w:rPr>
          <w:rFonts w:ascii="Century Gothic" w:hAnsi="Century Gothic"/>
          <w:lang w:val="es-MX"/>
        </w:rPr>
        <w:t xml:space="preserve">que considera </w:t>
      </w:r>
      <w:r w:rsidR="00B70313">
        <w:rPr>
          <w:rFonts w:ascii="Century Gothic" w:hAnsi="Century Gothic"/>
          <w:lang w:val="es-MX"/>
        </w:rPr>
        <w:t>información d</w:t>
      </w:r>
      <w:r w:rsidRPr="003C4A54">
        <w:rPr>
          <w:rFonts w:ascii="Century Gothic" w:hAnsi="Century Gothic"/>
          <w:lang w:val="es-MX"/>
        </w:rPr>
        <w:t xml:space="preserve">el año 2015 </w:t>
      </w:r>
      <w:r w:rsidR="002D2400">
        <w:rPr>
          <w:rFonts w:ascii="Century Gothic" w:hAnsi="Century Gothic"/>
          <w:lang w:val="es-MX"/>
        </w:rPr>
        <w:t xml:space="preserve">como referencia </w:t>
      </w:r>
      <w:r w:rsidRPr="003C4A54">
        <w:rPr>
          <w:rFonts w:ascii="Century Gothic" w:hAnsi="Century Gothic"/>
          <w:lang w:val="es-MX"/>
        </w:rPr>
        <w:t xml:space="preserve">para calibración </w:t>
      </w:r>
      <w:r w:rsidR="002D2400">
        <w:rPr>
          <w:rFonts w:ascii="Century Gothic" w:hAnsi="Century Gothic"/>
          <w:lang w:val="es-MX"/>
        </w:rPr>
        <w:t>d</w:t>
      </w:r>
      <w:r w:rsidR="003A1A0F">
        <w:rPr>
          <w:rFonts w:ascii="Century Gothic" w:hAnsi="Century Gothic"/>
          <w:lang w:val="es-MX"/>
        </w:rPr>
        <w:t>el modelo</w:t>
      </w:r>
      <w:r w:rsidRPr="003C4A54">
        <w:rPr>
          <w:rFonts w:ascii="Century Gothic" w:hAnsi="Century Gothic"/>
          <w:lang w:val="es-MX"/>
        </w:rPr>
        <w:t>.</w:t>
      </w:r>
    </w:p>
    <w:p w14:paraId="7EB61D2A" w14:textId="77777777" w:rsidR="00AA5F60" w:rsidRPr="003C4A54" w:rsidRDefault="00AA5F60" w:rsidP="00AA5F60">
      <w:pPr>
        <w:pStyle w:val="Ttulo2"/>
        <w:keepLines/>
        <w:spacing w:before="360" w:line="320" w:lineRule="atLeast"/>
        <w:ind w:left="0" w:hanging="499"/>
        <w:rPr>
          <w:rFonts w:ascii="Century Gothic" w:hAnsi="Century Gothic" w:cs="Times New Roman"/>
          <w:color w:val="000000" w:themeColor="text1"/>
          <w:sz w:val="24"/>
          <w:szCs w:val="24"/>
          <w:lang w:val="es-MX"/>
        </w:rPr>
      </w:pPr>
      <w:r w:rsidRPr="003C4A54">
        <w:rPr>
          <w:rFonts w:ascii="Century Gothic" w:hAnsi="Century Gothic" w:cs="Times New Roman"/>
          <w:color w:val="000000" w:themeColor="text1"/>
          <w:sz w:val="24"/>
          <w:szCs w:val="24"/>
          <w:lang w:val="es-MX"/>
        </w:rPr>
        <w:lastRenderedPageBreak/>
        <w:t>Aspectos relacionados con los servicios modelados</w:t>
      </w:r>
    </w:p>
    <w:p w14:paraId="2B89DFED" w14:textId="292B97F4" w:rsidR="00AA5F60" w:rsidRPr="003C4A54" w:rsidRDefault="00AA5F60" w:rsidP="00AA5F60">
      <w:pPr>
        <w:jc w:val="both"/>
        <w:rPr>
          <w:rFonts w:ascii="Century Gothic" w:hAnsi="Century Gothic"/>
        </w:rPr>
      </w:pPr>
      <w:r w:rsidRPr="003C4A54">
        <w:rPr>
          <w:rFonts w:ascii="Century Gothic" w:hAnsi="Century Gothic"/>
        </w:rPr>
        <w:t>El modelo de costos de la red de acceso de fibra óptica del AEP calcula las tarifas para el servicio de Desagregación virtual – VULA así como la desagregación física de los enlaces dedicados sobre fibra punto a punto, no obstante se dimensionan adicionalmente los siguientes servicios con el objetivo de asegurar el correcto di</w:t>
      </w:r>
      <w:r w:rsidR="00BE6DF3">
        <w:rPr>
          <w:rFonts w:ascii="Century Gothic" w:hAnsi="Century Gothic"/>
        </w:rPr>
        <w:t>mensionado de los costos de red:</w:t>
      </w:r>
    </w:p>
    <w:p w14:paraId="636050C0" w14:textId="45FFF9F9" w:rsidR="00AA5F60" w:rsidRPr="003C4A54" w:rsidRDefault="009F1994" w:rsidP="00AA5F60">
      <w:pPr>
        <w:pStyle w:val="Indentation1"/>
        <w:rPr>
          <w:rFonts w:ascii="Century Gothic" w:hAnsi="Century Gothic"/>
          <w:lang w:val="es-MX"/>
        </w:rPr>
      </w:pPr>
      <w:r>
        <w:rPr>
          <w:rFonts w:ascii="Century Gothic" w:hAnsi="Century Gothic"/>
          <w:lang w:val="es-MX"/>
        </w:rPr>
        <w:t>Servicio de Acceso I</w:t>
      </w:r>
      <w:r w:rsidR="00AA5F60" w:rsidRPr="003C4A54">
        <w:rPr>
          <w:rFonts w:ascii="Century Gothic" w:hAnsi="Century Gothic"/>
          <w:lang w:val="es-MX"/>
        </w:rPr>
        <w:t>ndirecto</w:t>
      </w:r>
      <w:r w:rsidR="003C4A54" w:rsidRPr="003C4A54">
        <w:rPr>
          <w:rFonts w:ascii="Century Gothic" w:hAnsi="Century Gothic"/>
          <w:lang w:val="es-MX"/>
        </w:rPr>
        <w:t>.</w:t>
      </w:r>
    </w:p>
    <w:p w14:paraId="0106C4CC" w14:textId="287013A2" w:rsidR="00AA5F60" w:rsidRPr="003C4A54" w:rsidRDefault="00AA5F60" w:rsidP="00AA5F60">
      <w:pPr>
        <w:pStyle w:val="Indentation1"/>
        <w:rPr>
          <w:rFonts w:ascii="Century Gothic" w:hAnsi="Century Gothic"/>
          <w:lang w:val="es-MX"/>
        </w:rPr>
      </w:pPr>
      <w:r w:rsidRPr="003C4A54">
        <w:rPr>
          <w:rFonts w:ascii="Century Gothic" w:hAnsi="Century Gothic"/>
          <w:lang w:val="es-MX"/>
        </w:rPr>
        <w:t>Acceso fibra minorista</w:t>
      </w:r>
      <w:r w:rsidR="003C4A54" w:rsidRPr="003C4A54">
        <w:rPr>
          <w:rFonts w:ascii="Century Gothic" w:hAnsi="Century Gothic"/>
          <w:lang w:val="es-MX"/>
        </w:rPr>
        <w:t>.</w:t>
      </w:r>
    </w:p>
    <w:p w14:paraId="7BB880ED" w14:textId="0DDF4EBD" w:rsidR="00AA5F60" w:rsidRPr="003C4A54" w:rsidRDefault="00AA5F60" w:rsidP="00AA5F60">
      <w:pPr>
        <w:pStyle w:val="Indentation1"/>
        <w:rPr>
          <w:rFonts w:ascii="Century Gothic" w:hAnsi="Century Gothic"/>
          <w:lang w:val="es-MX"/>
        </w:rPr>
      </w:pPr>
      <w:r w:rsidRPr="003C4A54">
        <w:rPr>
          <w:rFonts w:ascii="Century Gothic" w:hAnsi="Century Gothic"/>
          <w:lang w:val="es-MX"/>
        </w:rPr>
        <w:t>Enlace</w:t>
      </w:r>
      <w:r w:rsidR="009F1994">
        <w:rPr>
          <w:rFonts w:ascii="Century Gothic" w:hAnsi="Century Gothic"/>
          <w:lang w:val="es-MX"/>
        </w:rPr>
        <w:t>s</w:t>
      </w:r>
      <w:r w:rsidRPr="003C4A54">
        <w:rPr>
          <w:rFonts w:ascii="Century Gothic" w:hAnsi="Century Gothic"/>
          <w:lang w:val="es-MX"/>
        </w:rPr>
        <w:t xml:space="preserve"> dedicado</w:t>
      </w:r>
      <w:r w:rsidR="009F1994">
        <w:rPr>
          <w:rFonts w:ascii="Century Gothic" w:hAnsi="Century Gothic"/>
          <w:lang w:val="es-MX"/>
        </w:rPr>
        <w:t>s</w:t>
      </w:r>
      <w:r w:rsidR="003C4A54" w:rsidRPr="003C4A54">
        <w:rPr>
          <w:rFonts w:ascii="Century Gothic" w:hAnsi="Century Gothic"/>
          <w:lang w:val="es-MX"/>
        </w:rPr>
        <w:t>.</w:t>
      </w:r>
    </w:p>
    <w:p w14:paraId="7036F47D" w14:textId="08712437" w:rsidR="00AA5F60" w:rsidRPr="003C4A54" w:rsidRDefault="00AA5F60" w:rsidP="00AA5F60">
      <w:pPr>
        <w:jc w:val="both"/>
        <w:rPr>
          <w:rFonts w:ascii="Century Gothic" w:hAnsi="Century Gothic"/>
        </w:rPr>
      </w:pPr>
      <w:r w:rsidRPr="003C4A54">
        <w:rPr>
          <w:rFonts w:ascii="Century Gothic" w:hAnsi="Century Gothic"/>
        </w:rPr>
        <w:t>Los servicios se encuentran descritos en el capítulo ‘3.</w:t>
      </w:r>
      <w:r w:rsidR="00BE6DF3">
        <w:rPr>
          <w:rFonts w:ascii="Century Gothic" w:hAnsi="Century Gothic"/>
        </w:rPr>
        <w:t xml:space="preserve"> </w:t>
      </w:r>
      <w:r w:rsidRPr="003C4A54">
        <w:rPr>
          <w:rFonts w:ascii="Century Gothic" w:hAnsi="Century Gothic"/>
        </w:rPr>
        <w:t>Servicios Modelados’ del Documento Metodológico publicado de forma conjunta con el presente documento.</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3BB6F2D2" w14:textId="77777777" w:rsidTr="006D367B">
        <w:trPr>
          <w:tblHeader/>
        </w:trPr>
        <w:tc>
          <w:tcPr>
            <w:tcW w:w="8946" w:type="dxa"/>
            <w:shd w:val="clear" w:color="auto" w:fill="F2F2F2" w:themeFill="background1" w:themeFillShade="F2"/>
          </w:tcPr>
          <w:p w14:paraId="074E567A" w14:textId="77777777" w:rsidR="00AA5F60" w:rsidRPr="003C4A54" w:rsidRDefault="00AA5F60"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 xml:space="preserve">P. 1: </w:t>
            </w:r>
            <w:r w:rsidRPr="003C4A54">
              <w:rPr>
                <w:rFonts w:ascii="Century Gothic" w:hAnsi="Century Gothic"/>
                <w:sz w:val="20"/>
                <w:szCs w:val="20"/>
                <w:lang w:val="es-MX"/>
              </w:rPr>
              <w:t>¿Considera adecuados los servicios costeados en el modelo de acceso a la fibra del AEP?</w:t>
            </w:r>
          </w:p>
          <w:p w14:paraId="2A849BA7" w14:textId="3C540F4A" w:rsidR="00884127" w:rsidRPr="003C4A54" w:rsidRDefault="0088412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p>
          <w:p w14:paraId="7FDB5781" w14:textId="77777777" w:rsidR="00884127" w:rsidRPr="003C4A54" w:rsidRDefault="00AA5F60"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P. 2:</w:t>
            </w:r>
            <w:r w:rsidRPr="003C4A54">
              <w:rPr>
                <w:rFonts w:ascii="Century Gothic" w:hAnsi="Century Gothic"/>
                <w:sz w:val="20"/>
                <w:szCs w:val="20"/>
                <w:lang w:val="es-MX"/>
              </w:rPr>
              <w:t xml:space="preserve"> ¿Está de acuerdo con la selección de parámetros de costos definidos en el modelo? </w:t>
            </w:r>
          </w:p>
          <w:p w14:paraId="63582B8F" w14:textId="7EE70205" w:rsidR="00AA5F60" w:rsidRPr="003C4A54" w:rsidRDefault="0088412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r w:rsidR="00AA5F60" w:rsidRPr="003C4A54">
              <w:rPr>
                <w:rFonts w:ascii="Century Gothic" w:hAnsi="Century Gothic"/>
                <w:sz w:val="20"/>
                <w:szCs w:val="20"/>
                <w:lang w:val="es-MX"/>
              </w:rPr>
              <w:t xml:space="preserve"> </w:t>
            </w:r>
          </w:p>
          <w:p w14:paraId="7F458508" w14:textId="77777777" w:rsidR="00AA5F60" w:rsidRPr="003C4A54" w:rsidRDefault="00AA5F60"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P. 3:</w:t>
            </w:r>
            <w:r w:rsidRPr="003C4A54">
              <w:rPr>
                <w:rFonts w:ascii="Century Gothic" w:hAnsi="Century Gothic"/>
                <w:sz w:val="20"/>
                <w:szCs w:val="20"/>
                <w:lang w:val="es-MX"/>
              </w:rPr>
              <w:t xml:space="preserve"> ¿Cree que existe algún parámetro adicional que debería haberse tenido en cuenta?</w:t>
            </w:r>
          </w:p>
          <w:p w14:paraId="488BF15A" w14:textId="290D70A1" w:rsidR="00884127" w:rsidRPr="003C4A54" w:rsidRDefault="0088412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748E360E" w14:textId="77777777" w:rsidR="00FF0ACC" w:rsidRPr="003C4A54" w:rsidRDefault="00FF0ACC" w:rsidP="00BF1242">
      <w:pPr>
        <w:rPr>
          <w:rFonts w:ascii="Century Gothic" w:hAnsi="Century Gothic" w:cs="Times New Roman"/>
        </w:rPr>
      </w:pPr>
    </w:p>
    <w:p w14:paraId="0EBCBA24" w14:textId="77777777" w:rsidR="00AA5F60" w:rsidRPr="003C4A54" w:rsidRDefault="00AA5F60" w:rsidP="00AA5F60">
      <w:pPr>
        <w:pStyle w:val="Ttulo2"/>
        <w:keepLines/>
        <w:spacing w:before="0" w:line="320" w:lineRule="atLeast"/>
        <w:ind w:left="0" w:hanging="499"/>
        <w:rPr>
          <w:rFonts w:ascii="Century Gothic" w:hAnsi="Century Gothic" w:cs="Times New Roman"/>
          <w:color w:val="000000" w:themeColor="text1"/>
          <w:sz w:val="24"/>
          <w:szCs w:val="24"/>
          <w:lang w:val="es-MX"/>
        </w:rPr>
      </w:pPr>
      <w:r w:rsidRPr="003C4A54">
        <w:rPr>
          <w:rFonts w:ascii="Century Gothic" w:hAnsi="Century Gothic" w:cs="Times New Roman"/>
          <w:color w:val="000000" w:themeColor="text1"/>
          <w:sz w:val="24"/>
          <w:szCs w:val="24"/>
          <w:lang w:val="es-MX"/>
        </w:rPr>
        <w:t>Volúmenes de demanda</w:t>
      </w:r>
    </w:p>
    <w:p w14:paraId="793D9EB6" w14:textId="3FFE4E0B" w:rsidR="00AA5F60" w:rsidRPr="003C4A54" w:rsidRDefault="00AA5F60" w:rsidP="00AA5F60">
      <w:pPr>
        <w:jc w:val="both"/>
        <w:rPr>
          <w:rFonts w:ascii="Century Gothic" w:hAnsi="Century Gothic"/>
        </w:rPr>
      </w:pPr>
      <w:r w:rsidRPr="003C4A54">
        <w:rPr>
          <w:rFonts w:ascii="Century Gothic" w:hAnsi="Century Gothic"/>
        </w:rPr>
        <w:t>Como se menciona en el capítulo ‘4.1 Obtención de los insum</w:t>
      </w:r>
      <w:r w:rsidR="00EA49CE">
        <w:rPr>
          <w:rFonts w:ascii="Century Gothic" w:hAnsi="Century Gothic"/>
        </w:rPr>
        <w:t>os de Cobertura y Demanda’ del D</w:t>
      </w:r>
      <w:r w:rsidRPr="003C4A54">
        <w:rPr>
          <w:rFonts w:ascii="Century Gothic" w:hAnsi="Century Gothic"/>
        </w:rPr>
        <w:t>ocumento Metodológico, éste contempla un volumen de demanda de acuerdo a la información provista por los operadores.</w:t>
      </w:r>
    </w:p>
    <w:p w14:paraId="4BFEAFB1" w14:textId="77777777" w:rsidR="00AA5F60" w:rsidRPr="003C4A54" w:rsidRDefault="00AA5F60" w:rsidP="00AA5F60">
      <w:pPr>
        <w:jc w:val="both"/>
        <w:rPr>
          <w:rFonts w:ascii="Century Gothic" w:hAnsi="Century Gothic"/>
        </w:rPr>
      </w:pPr>
      <w:r w:rsidRPr="003C4A54">
        <w:rPr>
          <w:rFonts w:ascii="Century Gothic" w:hAnsi="Century Gothic"/>
        </w:rPr>
        <w:t>Asimismo, se consideró una proyección de la demanda a futuro, basado en la información proporcionada tanto por los propios Concesionarios como por el crecimiento que estos servicios han tenido en otros países, los cuales se describen en el capítulo ‘4.1.2 Evolución de las Redes FTTH en otros países’ del Documento Metodológico antes mencionado.</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13910057" w14:textId="77777777" w:rsidTr="006D367B">
        <w:trPr>
          <w:tblHeader/>
        </w:trPr>
        <w:tc>
          <w:tcPr>
            <w:tcW w:w="8946" w:type="dxa"/>
            <w:shd w:val="clear" w:color="auto" w:fill="F2F2F2" w:themeFill="background1" w:themeFillShade="F2"/>
          </w:tcPr>
          <w:p w14:paraId="03A6998C" w14:textId="77777777" w:rsidR="00AA5F60" w:rsidRPr="003C4A54" w:rsidRDefault="00FF0ACC" w:rsidP="00154230">
            <w:pPr>
              <w:spacing w:after="120"/>
              <w:jc w:val="both"/>
              <w:rPr>
                <w:rFonts w:ascii="Century Gothic" w:hAnsi="Century Gothic"/>
                <w:sz w:val="20"/>
                <w:szCs w:val="20"/>
                <w:lang w:val="es-MX"/>
              </w:rPr>
            </w:pPr>
            <w:r w:rsidRPr="003C4A54">
              <w:rPr>
                <w:rFonts w:ascii="Century Gothic" w:hAnsi="Century Gothic"/>
                <w:b/>
                <w:sz w:val="20"/>
                <w:szCs w:val="20"/>
                <w:lang w:val="es-MX"/>
              </w:rPr>
              <w:t>P. 4</w:t>
            </w:r>
            <w:r w:rsidR="00AA5F60" w:rsidRPr="003C4A54">
              <w:rPr>
                <w:rFonts w:ascii="Century Gothic" w:hAnsi="Century Gothic"/>
                <w:b/>
                <w:sz w:val="20"/>
                <w:szCs w:val="20"/>
                <w:lang w:val="es-MX"/>
              </w:rPr>
              <w:t xml:space="preserve">: </w:t>
            </w:r>
            <w:r w:rsidR="00AA5F60" w:rsidRPr="003C4A54">
              <w:rPr>
                <w:rFonts w:ascii="Century Gothic" w:hAnsi="Century Gothic"/>
                <w:sz w:val="20"/>
                <w:szCs w:val="20"/>
                <w:lang w:val="es-MX"/>
              </w:rPr>
              <w:t xml:space="preserve">¿Considera convenientes las proyecciones de demanda </w:t>
            </w:r>
            <w:r w:rsidR="00154230" w:rsidRPr="003C4A54">
              <w:rPr>
                <w:rFonts w:ascii="Century Gothic" w:hAnsi="Century Gothic"/>
                <w:sz w:val="20"/>
                <w:szCs w:val="20"/>
                <w:lang w:val="es-MX"/>
              </w:rPr>
              <w:t>tomadas en cuenta</w:t>
            </w:r>
            <w:r w:rsidR="00AA5F60" w:rsidRPr="003C4A54">
              <w:rPr>
                <w:rFonts w:ascii="Century Gothic" w:hAnsi="Century Gothic"/>
                <w:sz w:val="20"/>
                <w:szCs w:val="20"/>
                <w:lang w:val="es-MX"/>
              </w:rPr>
              <w:t xml:space="preserve"> en el Modelo?</w:t>
            </w:r>
          </w:p>
          <w:p w14:paraId="04A6F1A5" w14:textId="295D4728" w:rsidR="00884127" w:rsidRPr="003C4A54" w:rsidRDefault="00884127" w:rsidP="00154230">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3CC6C254" w14:textId="77777777" w:rsidR="00FF0ACC" w:rsidRPr="003C4A54" w:rsidRDefault="00FF0ACC" w:rsidP="00BF1242">
      <w:pPr>
        <w:rPr>
          <w:rFonts w:ascii="Century Gothic" w:hAnsi="Century Gothic" w:cs="Times New Roman"/>
        </w:rPr>
      </w:pPr>
    </w:p>
    <w:p w14:paraId="3019D740" w14:textId="77777777" w:rsidR="00AA5F60" w:rsidRPr="003C4A54" w:rsidRDefault="00AA5F60" w:rsidP="00AA5F60">
      <w:pPr>
        <w:pStyle w:val="Ttulo2"/>
        <w:keepLines/>
        <w:spacing w:before="0" w:line="320" w:lineRule="atLeast"/>
        <w:ind w:left="0" w:hanging="499"/>
        <w:rPr>
          <w:rFonts w:ascii="Century Gothic" w:hAnsi="Century Gothic" w:cs="Times New Roman"/>
          <w:color w:val="000000" w:themeColor="text1"/>
          <w:sz w:val="24"/>
          <w:szCs w:val="24"/>
          <w:lang w:val="es-MX"/>
        </w:rPr>
      </w:pPr>
      <w:r w:rsidRPr="003C4A54">
        <w:rPr>
          <w:rFonts w:ascii="Century Gothic" w:hAnsi="Century Gothic" w:cs="Times New Roman"/>
          <w:color w:val="000000" w:themeColor="text1"/>
          <w:sz w:val="24"/>
          <w:szCs w:val="24"/>
          <w:lang w:val="es-MX"/>
        </w:rPr>
        <w:lastRenderedPageBreak/>
        <w:t>Elementos de la red de acceso del AEP</w:t>
      </w:r>
    </w:p>
    <w:p w14:paraId="6A6377B5" w14:textId="0E215D19" w:rsidR="00AA5F60" w:rsidRPr="003C4A54" w:rsidRDefault="00916E83" w:rsidP="00AA5F60">
      <w:pPr>
        <w:jc w:val="both"/>
        <w:rPr>
          <w:rFonts w:ascii="Century Gothic" w:hAnsi="Century Gothic"/>
        </w:rPr>
      </w:pPr>
      <w:r>
        <w:rPr>
          <w:rFonts w:ascii="Century Gothic" w:hAnsi="Century Gothic"/>
        </w:rPr>
        <w:t>C</w:t>
      </w:r>
      <w:r w:rsidR="00AA5F60" w:rsidRPr="003C4A54">
        <w:rPr>
          <w:rFonts w:ascii="Century Gothic" w:hAnsi="Century Gothic"/>
        </w:rPr>
        <w:t xml:space="preserve">omo se ha mencionado previamente, </w:t>
      </w:r>
      <w:r>
        <w:rPr>
          <w:rFonts w:ascii="Century Gothic" w:hAnsi="Century Gothic"/>
        </w:rPr>
        <w:t xml:space="preserve">el Modelo </w:t>
      </w:r>
      <w:r w:rsidR="00AA5F60" w:rsidRPr="003C4A54">
        <w:rPr>
          <w:rFonts w:ascii="Century Gothic" w:hAnsi="Century Gothic"/>
        </w:rPr>
        <w:t>tiene el objetivo de calcular las tarifas de los servicios de red de acceso a la fibra, por lo cual únicamente se contemplan los elementos activos y pasivos que forman parte de este segmento de red, dejando de lado tanto la red de núcleo como la red de agregación y transporte, como se puede apreciar en la siguiente ilustración.</w:t>
      </w:r>
    </w:p>
    <w:p w14:paraId="04F44335" w14:textId="77777777" w:rsidR="00AA5F60" w:rsidRPr="003C4A54" w:rsidRDefault="00AA5F60" w:rsidP="00AA5F60">
      <w:pPr>
        <w:jc w:val="both"/>
        <w:rPr>
          <w:rFonts w:ascii="Century Gothic" w:hAnsi="Century Gothic"/>
        </w:rPr>
      </w:pPr>
      <w:r w:rsidRPr="003C4A54">
        <w:rPr>
          <w:rFonts w:ascii="Century Gothic" w:hAnsi="Century Gothic"/>
          <w:noProof/>
          <w:lang w:eastAsia="es-MX"/>
        </w:rPr>
        <w:drawing>
          <wp:inline distT="0" distB="0" distL="0" distR="0" wp14:anchorId="50EABCDA" wp14:editId="54AAE57F">
            <wp:extent cx="5612130" cy="2785238"/>
            <wp:effectExtent l="0" t="0" r="7620" b="0"/>
            <wp:docPr id="1" name="Picture 1" descr="Ilustración 2.1: Arquitectura de la red de Acceso modelada" title="Ilustración 2.1: Arquitectura de la red de Acceso model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785238"/>
                    </a:xfrm>
                    <a:prstGeom prst="rect">
                      <a:avLst/>
                    </a:prstGeom>
                    <a:noFill/>
                    <a:ln>
                      <a:noFill/>
                    </a:ln>
                  </pic:spPr>
                </pic:pic>
              </a:graphicData>
            </a:graphic>
          </wp:inline>
        </w:drawing>
      </w:r>
    </w:p>
    <w:p w14:paraId="29C303AC" w14:textId="77777777" w:rsidR="00AA5F60" w:rsidRPr="003C4A54" w:rsidRDefault="00AA5F60" w:rsidP="00FF0ACC">
      <w:pPr>
        <w:pStyle w:val="Descripcin"/>
        <w:spacing w:before="0"/>
        <w:rPr>
          <w:rFonts w:ascii="Century Gothic" w:hAnsi="Century Gothic"/>
          <w:lang w:val="es-MX"/>
        </w:rPr>
      </w:pPr>
      <w:bookmarkStart w:id="0" w:name="_Ref403556003"/>
      <w:bookmarkStart w:id="1" w:name="_Ref403559800"/>
      <w:r w:rsidRPr="003C4A54">
        <w:rPr>
          <w:rFonts w:ascii="Century Gothic" w:hAnsi="Century Gothic"/>
          <w:lang w:val="es-MX"/>
        </w:rPr>
        <w:t xml:space="preserve">Ilustración </w:t>
      </w:r>
      <w:r w:rsidRPr="003C4A54">
        <w:rPr>
          <w:rFonts w:ascii="Century Gothic" w:hAnsi="Century Gothic"/>
          <w:lang w:val="es-MX"/>
        </w:rPr>
        <w:fldChar w:fldCharType="begin"/>
      </w:r>
      <w:r w:rsidRPr="003C4A54">
        <w:rPr>
          <w:rFonts w:ascii="Century Gothic" w:hAnsi="Century Gothic"/>
          <w:lang w:val="es-MX"/>
        </w:rPr>
        <w:instrText xml:space="preserve"> STYLEREF 1 \s </w:instrText>
      </w:r>
      <w:r w:rsidRPr="003C4A54">
        <w:rPr>
          <w:rFonts w:ascii="Century Gothic" w:hAnsi="Century Gothic"/>
          <w:lang w:val="es-MX"/>
        </w:rPr>
        <w:fldChar w:fldCharType="separate"/>
      </w:r>
      <w:r w:rsidRPr="003C4A54">
        <w:rPr>
          <w:rFonts w:ascii="Century Gothic" w:hAnsi="Century Gothic"/>
          <w:lang w:val="es-MX"/>
        </w:rPr>
        <w:t>2</w:t>
      </w:r>
      <w:r w:rsidRPr="003C4A54">
        <w:rPr>
          <w:rFonts w:ascii="Century Gothic" w:hAnsi="Century Gothic"/>
          <w:lang w:val="es-MX"/>
        </w:rPr>
        <w:fldChar w:fldCharType="end"/>
      </w:r>
      <w:r w:rsidRPr="003C4A54">
        <w:rPr>
          <w:rFonts w:ascii="Century Gothic" w:hAnsi="Century Gothic"/>
          <w:lang w:val="es-MX"/>
        </w:rPr>
        <w:t>.</w:t>
      </w:r>
      <w:r w:rsidRPr="003C4A54">
        <w:rPr>
          <w:rFonts w:ascii="Century Gothic" w:hAnsi="Century Gothic"/>
          <w:lang w:val="es-MX"/>
        </w:rPr>
        <w:fldChar w:fldCharType="begin"/>
      </w:r>
      <w:r w:rsidRPr="003C4A54">
        <w:rPr>
          <w:rFonts w:ascii="Century Gothic" w:hAnsi="Century Gothic"/>
          <w:lang w:val="es-MX"/>
        </w:rPr>
        <w:instrText xml:space="preserve"> SEQ Ilustración \* ARABIC \s 1 </w:instrText>
      </w:r>
      <w:r w:rsidRPr="003C4A54">
        <w:rPr>
          <w:rFonts w:ascii="Century Gothic" w:hAnsi="Century Gothic"/>
          <w:lang w:val="es-MX"/>
        </w:rPr>
        <w:fldChar w:fldCharType="separate"/>
      </w:r>
      <w:r w:rsidRPr="003C4A54">
        <w:rPr>
          <w:rFonts w:ascii="Century Gothic" w:hAnsi="Century Gothic"/>
          <w:lang w:val="es-MX"/>
        </w:rPr>
        <w:t>1</w:t>
      </w:r>
      <w:r w:rsidRPr="003C4A54">
        <w:rPr>
          <w:rFonts w:ascii="Century Gothic" w:hAnsi="Century Gothic"/>
          <w:lang w:val="es-MX"/>
        </w:rPr>
        <w:fldChar w:fldCharType="end"/>
      </w:r>
      <w:bookmarkEnd w:id="0"/>
      <w:r w:rsidRPr="003C4A54">
        <w:rPr>
          <w:rFonts w:ascii="Century Gothic" w:hAnsi="Century Gothic"/>
          <w:lang w:val="es-MX"/>
        </w:rPr>
        <w:t>: Arquitectura de la red de Acceso modelada</w:t>
      </w:r>
      <w:r w:rsidRPr="003C4A54">
        <w:rPr>
          <w:rStyle w:val="Refdenotaalpie"/>
          <w:rFonts w:ascii="Century Gothic" w:hAnsi="Century Gothic"/>
          <w:lang w:val="es-MX"/>
        </w:rPr>
        <w:footnoteReference w:id="1"/>
      </w:r>
      <w:bookmarkEnd w:id="1"/>
    </w:p>
    <w:p w14:paraId="3970B8E6" w14:textId="7FBCF947" w:rsidR="00AA5F60" w:rsidRPr="003C4A54" w:rsidRDefault="00AA5F60" w:rsidP="00AA5F60">
      <w:pPr>
        <w:jc w:val="both"/>
        <w:rPr>
          <w:rFonts w:ascii="Century Gothic" w:hAnsi="Century Gothic"/>
        </w:rPr>
      </w:pPr>
      <w:r w:rsidRPr="003C4A54">
        <w:rPr>
          <w:rFonts w:ascii="Century Gothic" w:hAnsi="Century Gothic"/>
        </w:rPr>
        <w:t>Entre lo</w:t>
      </w:r>
      <w:r w:rsidR="00916E83">
        <w:rPr>
          <w:rFonts w:ascii="Century Gothic" w:hAnsi="Century Gothic"/>
        </w:rPr>
        <w:t>s elementos considerados en el M</w:t>
      </w:r>
      <w:r w:rsidRPr="003C4A54">
        <w:rPr>
          <w:rFonts w:ascii="Century Gothic" w:hAnsi="Century Gothic"/>
        </w:rPr>
        <w:t>odelo se encuentran los siguientes:</w:t>
      </w:r>
    </w:p>
    <w:p w14:paraId="34721A1C" w14:textId="1CD91AB5" w:rsidR="00AA5F60" w:rsidRPr="003C4A54" w:rsidRDefault="00AA5F60" w:rsidP="00AA5F60">
      <w:pPr>
        <w:pStyle w:val="Indentation1"/>
        <w:rPr>
          <w:rFonts w:ascii="Century Gothic" w:hAnsi="Century Gothic"/>
          <w:lang w:val="es-MX"/>
        </w:rPr>
      </w:pPr>
      <w:r w:rsidRPr="003C4A54">
        <w:rPr>
          <w:rFonts w:ascii="Century Gothic" w:hAnsi="Century Gothic"/>
          <w:lang w:val="es-MX"/>
        </w:rPr>
        <w:t>Cable de fibra óptica</w:t>
      </w:r>
      <w:r w:rsidR="00DF66B3">
        <w:rPr>
          <w:rFonts w:ascii="Century Gothic" w:hAnsi="Century Gothic"/>
          <w:lang w:val="es-MX"/>
        </w:rPr>
        <w:t>.</w:t>
      </w:r>
    </w:p>
    <w:p w14:paraId="47453C7B" w14:textId="37F9896C" w:rsidR="00AA5F60" w:rsidRPr="003C4A54" w:rsidRDefault="00AA5F60" w:rsidP="00AA5F60">
      <w:pPr>
        <w:pStyle w:val="Indentation1"/>
        <w:rPr>
          <w:rFonts w:ascii="Century Gothic" w:hAnsi="Century Gothic"/>
          <w:lang w:val="es-MX"/>
        </w:rPr>
      </w:pPr>
      <w:r w:rsidRPr="003C4A54">
        <w:rPr>
          <w:rFonts w:ascii="Century Gothic" w:hAnsi="Century Gothic"/>
          <w:lang w:val="es-MX"/>
        </w:rPr>
        <w:t>Optical Distribution Frame (ODF)</w:t>
      </w:r>
      <w:r w:rsidR="00DF66B3">
        <w:rPr>
          <w:rFonts w:ascii="Century Gothic" w:hAnsi="Century Gothic"/>
          <w:lang w:val="es-MX"/>
        </w:rPr>
        <w:t>.</w:t>
      </w:r>
    </w:p>
    <w:p w14:paraId="462E0935" w14:textId="7B19D317" w:rsidR="00AA5F60" w:rsidRPr="003C4A54" w:rsidRDefault="00AA5F60" w:rsidP="00AA5F60">
      <w:pPr>
        <w:pStyle w:val="Indentation1"/>
        <w:rPr>
          <w:rFonts w:ascii="Century Gothic" w:hAnsi="Century Gothic"/>
          <w:lang w:val="es-MX"/>
        </w:rPr>
      </w:pPr>
      <w:r w:rsidRPr="003C4A54">
        <w:rPr>
          <w:rFonts w:ascii="Century Gothic" w:hAnsi="Century Gothic"/>
          <w:lang w:val="es-MX"/>
        </w:rPr>
        <w:t>Optical Line Termination (OLT)</w:t>
      </w:r>
      <w:r w:rsidR="00DF66B3">
        <w:rPr>
          <w:rFonts w:ascii="Century Gothic" w:hAnsi="Century Gothic"/>
          <w:lang w:val="es-MX"/>
        </w:rPr>
        <w:t>.</w:t>
      </w:r>
    </w:p>
    <w:p w14:paraId="6F241DE1" w14:textId="77777777" w:rsidR="00AA5F60" w:rsidRPr="003C4A54" w:rsidRDefault="00AA5F60" w:rsidP="00AA5F60">
      <w:pPr>
        <w:pStyle w:val="Indentation1"/>
        <w:rPr>
          <w:rFonts w:ascii="Century Gothic" w:hAnsi="Century Gothic"/>
          <w:lang w:val="es-MX"/>
        </w:rPr>
      </w:pPr>
      <w:r w:rsidRPr="003C4A54">
        <w:rPr>
          <w:rFonts w:ascii="Century Gothic" w:hAnsi="Century Gothic"/>
          <w:lang w:val="es-MX"/>
        </w:rPr>
        <w:t>Cajas de Distribución</w:t>
      </w:r>
    </w:p>
    <w:p w14:paraId="579B2298" w14:textId="77777777" w:rsidR="00AA5F60" w:rsidRPr="003C4A54" w:rsidRDefault="00AA5F60" w:rsidP="00AA5F60">
      <w:pPr>
        <w:pStyle w:val="Indentation1"/>
        <w:rPr>
          <w:rFonts w:ascii="Century Gothic" w:hAnsi="Century Gothic"/>
          <w:lang w:val="es-MX"/>
        </w:rPr>
      </w:pPr>
      <w:r w:rsidRPr="003C4A54">
        <w:rPr>
          <w:rFonts w:ascii="Century Gothic" w:hAnsi="Century Gothic"/>
          <w:lang w:val="es-MX"/>
        </w:rPr>
        <w:t>Puntos de Distribución</w:t>
      </w:r>
    </w:p>
    <w:p w14:paraId="758B03BF" w14:textId="05D6178C" w:rsidR="00AA5F60" w:rsidRPr="003C4A54" w:rsidRDefault="00AA5F60" w:rsidP="00AA5F60">
      <w:pPr>
        <w:pStyle w:val="Indentation1"/>
        <w:rPr>
          <w:rFonts w:ascii="Century Gothic" w:hAnsi="Century Gothic"/>
          <w:lang w:val="es-MX"/>
        </w:rPr>
      </w:pPr>
      <w:r w:rsidRPr="003C4A54">
        <w:rPr>
          <w:rFonts w:ascii="Century Gothic" w:hAnsi="Century Gothic"/>
          <w:lang w:val="es-MX"/>
        </w:rPr>
        <w:t>Infraestructura Pasiva (ductos, zanjas, postes, etc</w:t>
      </w:r>
      <w:r w:rsidR="00DF66B3">
        <w:rPr>
          <w:rFonts w:ascii="Century Gothic" w:hAnsi="Century Gothic"/>
          <w:lang w:val="es-MX"/>
        </w:rPr>
        <w:t>.</w:t>
      </w:r>
      <w:r w:rsidRPr="003C4A54">
        <w:rPr>
          <w:rFonts w:ascii="Century Gothic" w:hAnsi="Century Gothic"/>
          <w:lang w:val="es-MX"/>
        </w:rPr>
        <w:t>)</w:t>
      </w:r>
      <w:r w:rsidR="00DF66B3">
        <w:rPr>
          <w:rFonts w:ascii="Century Gothic" w:hAnsi="Century Gothic"/>
          <w:lang w:val="es-MX"/>
        </w:rPr>
        <w:t>.</w:t>
      </w:r>
    </w:p>
    <w:p w14:paraId="711BB11E" w14:textId="77777777" w:rsidR="00FF0ACC" w:rsidRPr="003C4A54" w:rsidRDefault="00FF0ACC" w:rsidP="00FF0ACC">
      <w:pPr>
        <w:pStyle w:val="Indentation1"/>
        <w:numPr>
          <w:ilvl w:val="0"/>
          <w:numId w:val="0"/>
        </w:numPr>
        <w:ind w:left="357"/>
        <w:rPr>
          <w:rFonts w:ascii="Century Gothic" w:hAnsi="Century Gothic"/>
          <w:lang w:val="es-MX"/>
        </w:rPr>
      </w:pP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55FEF23B" w14:textId="77777777" w:rsidTr="006D367B">
        <w:trPr>
          <w:tblHeader/>
        </w:trPr>
        <w:tc>
          <w:tcPr>
            <w:tcW w:w="8946" w:type="dxa"/>
            <w:shd w:val="clear" w:color="auto" w:fill="F2F2F2" w:themeFill="background1" w:themeFillShade="F2"/>
          </w:tcPr>
          <w:p w14:paraId="7A7FA551" w14:textId="2931460C" w:rsidR="00AA5F60" w:rsidRPr="003C4A54" w:rsidRDefault="00AA5F60" w:rsidP="00154230">
            <w:pPr>
              <w:spacing w:after="120"/>
              <w:jc w:val="both"/>
              <w:rPr>
                <w:rFonts w:ascii="Century Gothic" w:hAnsi="Century Gothic"/>
                <w:sz w:val="20"/>
                <w:szCs w:val="20"/>
                <w:lang w:val="es-MX"/>
              </w:rPr>
            </w:pPr>
            <w:r w:rsidRPr="003C4A54">
              <w:rPr>
                <w:rFonts w:ascii="Century Gothic" w:hAnsi="Century Gothic"/>
                <w:b/>
                <w:sz w:val="20"/>
                <w:szCs w:val="20"/>
                <w:lang w:val="es-MX"/>
              </w:rPr>
              <w:t xml:space="preserve">P. </w:t>
            </w:r>
            <w:r w:rsidR="00FF0ACC" w:rsidRPr="003C4A54">
              <w:rPr>
                <w:rFonts w:ascii="Century Gothic" w:hAnsi="Century Gothic"/>
                <w:b/>
                <w:sz w:val="20"/>
                <w:szCs w:val="20"/>
                <w:lang w:val="es-MX"/>
              </w:rPr>
              <w:t>5</w:t>
            </w:r>
            <w:r w:rsidRPr="003C4A54">
              <w:rPr>
                <w:rFonts w:ascii="Century Gothic" w:hAnsi="Century Gothic"/>
                <w:b/>
                <w:sz w:val="20"/>
                <w:szCs w:val="20"/>
                <w:lang w:val="es-MX"/>
              </w:rPr>
              <w:t xml:space="preserve">: </w:t>
            </w:r>
            <w:r w:rsidRPr="003C4A54">
              <w:rPr>
                <w:rFonts w:ascii="Century Gothic" w:hAnsi="Century Gothic"/>
                <w:sz w:val="20"/>
                <w:szCs w:val="20"/>
                <w:lang w:val="es-MX"/>
              </w:rPr>
              <w:t xml:space="preserve">¿Considera convenientes y suficientes los elementos </w:t>
            </w:r>
            <w:r w:rsidR="00154230" w:rsidRPr="003C4A54">
              <w:rPr>
                <w:rFonts w:ascii="Century Gothic" w:hAnsi="Century Gothic"/>
                <w:sz w:val="20"/>
                <w:szCs w:val="20"/>
                <w:lang w:val="es-MX"/>
              </w:rPr>
              <w:t>tomados en cuenta</w:t>
            </w:r>
            <w:r w:rsidRPr="003C4A54">
              <w:rPr>
                <w:rFonts w:ascii="Century Gothic" w:hAnsi="Century Gothic"/>
                <w:sz w:val="20"/>
                <w:szCs w:val="20"/>
                <w:lang w:val="es-MX"/>
              </w:rPr>
              <w:t xml:space="preserve"> para el m</w:t>
            </w:r>
            <w:r w:rsidR="00916E83">
              <w:rPr>
                <w:rFonts w:ascii="Century Gothic" w:hAnsi="Century Gothic"/>
                <w:sz w:val="20"/>
                <w:szCs w:val="20"/>
                <w:lang w:val="es-MX"/>
              </w:rPr>
              <w:t>odelado de la red de Acceso de fibra ó</w:t>
            </w:r>
            <w:r w:rsidRPr="003C4A54">
              <w:rPr>
                <w:rFonts w:ascii="Century Gothic" w:hAnsi="Century Gothic"/>
                <w:sz w:val="20"/>
                <w:szCs w:val="20"/>
                <w:lang w:val="es-MX"/>
              </w:rPr>
              <w:t>ptica?</w:t>
            </w:r>
          </w:p>
          <w:p w14:paraId="4E66BA1E" w14:textId="0DF601D3" w:rsidR="00884127" w:rsidRPr="003C4A54" w:rsidRDefault="00884127" w:rsidP="00154230">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31B0B69F" w14:textId="77777777" w:rsidR="00884127" w:rsidRPr="003C4A54" w:rsidRDefault="00884127" w:rsidP="00BF1242">
      <w:pPr>
        <w:pStyle w:val="Ttulo2"/>
        <w:keepLines/>
        <w:numPr>
          <w:ilvl w:val="0"/>
          <w:numId w:val="0"/>
        </w:numPr>
        <w:spacing w:before="0" w:line="320" w:lineRule="atLeast"/>
        <w:rPr>
          <w:rFonts w:ascii="Century Gothic" w:hAnsi="Century Gothic" w:cs="Times New Roman"/>
          <w:sz w:val="24"/>
          <w:szCs w:val="24"/>
          <w:lang w:val="es-MX"/>
        </w:rPr>
      </w:pPr>
    </w:p>
    <w:p w14:paraId="309F9967" w14:textId="77777777" w:rsidR="00AA5F60" w:rsidRPr="003C4A54" w:rsidRDefault="00AA5F60" w:rsidP="00AA5F60">
      <w:pPr>
        <w:pStyle w:val="Ttulo2"/>
        <w:keepLines/>
        <w:spacing w:before="0" w:line="320" w:lineRule="atLeast"/>
        <w:ind w:left="0" w:hanging="499"/>
        <w:rPr>
          <w:rFonts w:ascii="Century Gothic" w:hAnsi="Century Gothic" w:cs="Times New Roman"/>
          <w:color w:val="000000" w:themeColor="text1"/>
          <w:sz w:val="24"/>
          <w:szCs w:val="24"/>
          <w:lang w:val="es-MX"/>
        </w:rPr>
      </w:pPr>
      <w:r w:rsidRPr="003C4A54">
        <w:rPr>
          <w:rFonts w:ascii="Century Gothic" w:hAnsi="Century Gothic" w:cs="Times New Roman"/>
          <w:color w:val="000000" w:themeColor="text1"/>
          <w:sz w:val="24"/>
          <w:szCs w:val="24"/>
          <w:lang w:val="es-MX"/>
        </w:rPr>
        <w:t>Aspectos relacionados con la implementación del modelo</w:t>
      </w:r>
    </w:p>
    <w:p w14:paraId="75CCC155" w14:textId="77777777" w:rsidR="00AA5F60" w:rsidRPr="003C4A54" w:rsidRDefault="00AA5F60" w:rsidP="00AA5F60">
      <w:pPr>
        <w:pStyle w:val="Ttulo3"/>
        <w:rPr>
          <w:rFonts w:ascii="Century Gothic" w:hAnsi="Century Gothic"/>
          <w:color w:val="000000" w:themeColor="text1"/>
          <w:lang w:val="es-MX"/>
        </w:rPr>
      </w:pPr>
      <w:r w:rsidRPr="003C4A54">
        <w:rPr>
          <w:rFonts w:ascii="Century Gothic" w:hAnsi="Century Gothic"/>
          <w:color w:val="000000" w:themeColor="text1"/>
          <w:lang w:val="es-MX"/>
        </w:rPr>
        <w:t>Dimensionamiento geográfico de la red del AEP</w:t>
      </w:r>
    </w:p>
    <w:p w14:paraId="4B21CD91" w14:textId="77777777" w:rsidR="00AA5F60" w:rsidRPr="003C4A54" w:rsidRDefault="00AA5F60" w:rsidP="00AA5F60">
      <w:pPr>
        <w:jc w:val="both"/>
        <w:rPr>
          <w:rFonts w:ascii="Century Gothic" w:hAnsi="Century Gothic"/>
        </w:rPr>
      </w:pPr>
      <w:r w:rsidRPr="003C4A54">
        <w:rPr>
          <w:rFonts w:ascii="Century Gothic" w:hAnsi="Century Gothic"/>
        </w:rPr>
        <w:t>Para realizar el dimensionamiento geográfico de la red del AEP, se partió de la división en 6 geotipos establecida en el Modelo de acceso a la infraestructura fija publicado por el propio Instituto.</w:t>
      </w:r>
    </w:p>
    <w:p w14:paraId="6AD81EE5" w14:textId="77777777" w:rsidR="00AA5F60" w:rsidRPr="003C4A54" w:rsidRDefault="00AA5F60" w:rsidP="00AA5F60">
      <w:pPr>
        <w:jc w:val="both"/>
        <w:rPr>
          <w:rFonts w:ascii="Century Gothic" w:hAnsi="Century Gothic"/>
        </w:rPr>
      </w:pPr>
      <w:r w:rsidRPr="003C4A54">
        <w:rPr>
          <w:rFonts w:ascii="Century Gothic" w:hAnsi="Century Gothic"/>
        </w:rPr>
        <w:t>A partir de esta clasificación se realizó una caracterización geográfica de los 6 geotipos antes mencionados para el dimensionado de redes de acceso de fibra.</w:t>
      </w:r>
    </w:p>
    <w:p w14:paraId="002634A0" w14:textId="37E9D64D" w:rsidR="00AA5F60" w:rsidRPr="003C4A54" w:rsidRDefault="00AA5F60" w:rsidP="00AA5F60">
      <w:pPr>
        <w:jc w:val="both"/>
        <w:rPr>
          <w:rFonts w:ascii="Century Gothic" w:hAnsi="Century Gothic"/>
        </w:rPr>
      </w:pPr>
      <w:r w:rsidRPr="003C4A54">
        <w:rPr>
          <w:rFonts w:ascii="Century Gothic" w:hAnsi="Century Gothic"/>
        </w:rPr>
        <w:t>Todo el procedimiento del dimensionamiento y análisis geográfico de la red de Acceso del AEP se encuentra de</w:t>
      </w:r>
      <w:r w:rsidR="0002358C">
        <w:rPr>
          <w:rFonts w:ascii="Century Gothic" w:hAnsi="Century Gothic"/>
        </w:rPr>
        <w:t>scrito en el capítulo ‘4.2 Análisis g</w:t>
      </w:r>
      <w:r w:rsidRPr="003C4A54">
        <w:rPr>
          <w:rFonts w:ascii="Century Gothic" w:hAnsi="Century Gothic"/>
        </w:rPr>
        <w:t xml:space="preserve">eográfico’ del Documento Metodológico que acompaña </w:t>
      </w:r>
      <w:r w:rsidR="00EA49CE">
        <w:rPr>
          <w:rFonts w:ascii="Century Gothic" w:hAnsi="Century Gothic"/>
        </w:rPr>
        <w:t>al modelo</w:t>
      </w:r>
      <w:r w:rsidRPr="003C4A54">
        <w:rPr>
          <w:rFonts w:ascii="Century Gothic" w:hAnsi="Century Gothic"/>
        </w:rPr>
        <w:t>.</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07EF0DF7" w14:textId="77777777" w:rsidTr="006D367B">
        <w:trPr>
          <w:tblHeader/>
        </w:trPr>
        <w:tc>
          <w:tcPr>
            <w:tcW w:w="8946" w:type="dxa"/>
            <w:shd w:val="clear" w:color="auto" w:fill="F2F2F2" w:themeFill="background1" w:themeFillShade="F2"/>
          </w:tcPr>
          <w:p w14:paraId="635AC9BA" w14:textId="404DB1D0" w:rsidR="00AA5F60" w:rsidRPr="003C4A54" w:rsidRDefault="00AA5F60"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 xml:space="preserve">P. </w:t>
            </w:r>
            <w:r w:rsidR="00FF0ACC" w:rsidRPr="003C4A54">
              <w:rPr>
                <w:rFonts w:ascii="Century Gothic" w:hAnsi="Century Gothic"/>
                <w:b/>
                <w:sz w:val="20"/>
                <w:szCs w:val="20"/>
                <w:lang w:val="es-MX"/>
              </w:rPr>
              <w:t>6</w:t>
            </w:r>
            <w:r w:rsidRPr="003C4A54">
              <w:rPr>
                <w:rFonts w:ascii="Century Gothic" w:hAnsi="Century Gothic"/>
                <w:b/>
                <w:sz w:val="20"/>
                <w:szCs w:val="20"/>
                <w:lang w:val="es-MX"/>
              </w:rPr>
              <w:t xml:space="preserve">: </w:t>
            </w:r>
            <w:r w:rsidRPr="003C4A54">
              <w:rPr>
                <w:rFonts w:ascii="Century Gothic" w:hAnsi="Century Gothic"/>
                <w:sz w:val="20"/>
                <w:szCs w:val="20"/>
                <w:lang w:val="es-MX"/>
              </w:rPr>
              <w:t>¿Considera que el dimensionamiento geográfico contempla la r</w:t>
            </w:r>
            <w:r w:rsidR="00916E83">
              <w:rPr>
                <w:rFonts w:ascii="Century Gothic" w:hAnsi="Century Gothic"/>
                <w:sz w:val="20"/>
                <w:szCs w:val="20"/>
                <w:lang w:val="es-MX"/>
              </w:rPr>
              <w:t>ealidad de la red de Acceso de fibra ó</w:t>
            </w:r>
            <w:r w:rsidRPr="003C4A54">
              <w:rPr>
                <w:rFonts w:ascii="Century Gothic" w:hAnsi="Century Gothic"/>
                <w:sz w:val="20"/>
                <w:szCs w:val="20"/>
                <w:lang w:val="es-MX"/>
              </w:rPr>
              <w:t>ptica del AEP?</w:t>
            </w:r>
          </w:p>
          <w:p w14:paraId="54BD944C" w14:textId="2CF9C7DA" w:rsidR="00884127" w:rsidRPr="003C4A54" w:rsidRDefault="0088412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78F7833C" w14:textId="77777777" w:rsidR="00AA5F60" w:rsidRPr="003C4A54" w:rsidRDefault="00AA5F60" w:rsidP="00AA5F60">
      <w:pPr>
        <w:pStyle w:val="Ttulo3"/>
        <w:rPr>
          <w:rFonts w:ascii="Century Gothic" w:hAnsi="Century Gothic"/>
          <w:color w:val="000000" w:themeColor="text1"/>
          <w:lang w:val="es-MX"/>
        </w:rPr>
      </w:pPr>
      <w:r w:rsidRPr="003C4A54">
        <w:rPr>
          <w:rFonts w:ascii="Century Gothic" w:hAnsi="Century Gothic"/>
          <w:color w:val="000000" w:themeColor="text1"/>
          <w:lang w:val="es-MX"/>
        </w:rPr>
        <w:t>Topología de red</w:t>
      </w:r>
    </w:p>
    <w:p w14:paraId="4A729214" w14:textId="38D54944" w:rsidR="00AA5F60" w:rsidRPr="003C4A54" w:rsidRDefault="00AA5F60" w:rsidP="00AA5F60">
      <w:pPr>
        <w:jc w:val="both"/>
        <w:rPr>
          <w:rFonts w:ascii="Century Gothic" w:hAnsi="Century Gothic"/>
        </w:rPr>
      </w:pPr>
      <w:r w:rsidRPr="003C4A54">
        <w:rPr>
          <w:rFonts w:ascii="Century Gothic" w:hAnsi="Century Gothic"/>
        </w:rPr>
        <w:t xml:space="preserve">La topología de la red que se diseñó, se encuentra principalmente definida por las ubicaciones de los nodos. Para el diseño del Modelo se consideró </w:t>
      </w:r>
      <w:r w:rsidR="006E580D">
        <w:rPr>
          <w:rFonts w:ascii="Century Gothic" w:hAnsi="Century Gothic"/>
        </w:rPr>
        <w:t>una topología Modified Scorched-</w:t>
      </w:r>
      <w:r w:rsidRPr="003C4A54">
        <w:rPr>
          <w:rFonts w:ascii="Century Gothic" w:hAnsi="Century Gothic"/>
        </w:rPr>
        <w:t xml:space="preserve">Node, la cual utiliza la ubicación existente de los nodos de red y estima de manera teórica las ubicaciones requeridas para ampliar la cobertura a futuro. Es de hacer notar que el equipo estimado dentro de cada nodo, será calculado con base en </w:t>
      </w:r>
      <w:r w:rsidR="002659AF">
        <w:rPr>
          <w:rFonts w:ascii="Century Gothic" w:hAnsi="Century Gothic"/>
        </w:rPr>
        <w:t xml:space="preserve">1) la demanda y 2) </w:t>
      </w:r>
      <w:r w:rsidRPr="003C4A54">
        <w:rPr>
          <w:rFonts w:ascii="Century Gothic" w:hAnsi="Century Gothic"/>
        </w:rPr>
        <w:t xml:space="preserve">un uso eficiente de la red. Este enfoque metodológico utilizado, se encuentra descrito en el </w:t>
      </w:r>
      <w:r w:rsidR="0002358C">
        <w:rPr>
          <w:rFonts w:ascii="Century Gothic" w:hAnsi="Century Gothic"/>
        </w:rPr>
        <w:t>capítulo ‘2.10 Topología de la r</w:t>
      </w:r>
      <w:r w:rsidRPr="003C4A54">
        <w:rPr>
          <w:rFonts w:ascii="Century Gothic" w:hAnsi="Century Gothic"/>
        </w:rPr>
        <w:t>ed’ del Documento Metodológico.</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40126823" w14:textId="77777777" w:rsidTr="006D367B">
        <w:trPr>
          <w:tblHeader/>
        </w:trPr>
        <w:tc>
          <w:tcPr>
            <w:tcW w:w="8946" w:type="dxa"/>
            <w:shd w:val="clear" w:color="auto" w:fill="F2F2F2" w:themeFill="background1" w:themeFillShade="F2"/>
          </w:tcPr>
          <w:p w14:paraId="0574C386" w14:textId="77777777" w:rsidR="00AA5F60" w:rsidRPr="003C4A54" w:rsidRDefault="00AA5F60" w:rsidP="00FF0ACC">
            <w:pPr>
              <w:spacing w:after="120"/>
              <w:jc w:val="both"/>
              <w:rPr>
                <w:rFonts w:ascii="Century Gothic" w:hAnsi="Century Gothic"/>
                <w:sz w:val="20"/>
                <w:szCs w:val="20"/>
                <w:lang w:val="es-MX"/>
              </w:rPr>
            </w:pPr>
            <w:r w:rsidRPr="003C4A54">
              <w:rPr>
                <w:rFonts w:ascii="Century Gothic" w:hAnsi="Century Gothic"/>
                <w:b/>
                <w:sz w:val="20"/>
                <w:szCs w:val="20"/>
                <w:lang w:val="es-MX"/>
              </w:rPr>
              <w:t xml:space="preserve">P. </w:t>
            </w:r>
            <w:r w:rsidR="00FF0ACC" w:rsidRPr="003C4A54">
              <w:rPr>
                <w:rFonts w:ascii="Century Gothic" w:hAnsi="Century Gothic"/>
                <w:b/>
                <w:sz w:val="20"/>
                <w:szCs w:val="20"/>
                <w:lang w:val="es-MX"/>
              </w:rPr>
              <w:t>7</w:t>
            </w:r>
            <w:r w:rsidRPr="003C4A54">
              <w:rPr>
                <w:rFonts w:ascii="Century Gothic" w:hAnsi="Century Gothic"/>
                <w:b/>
                <w:sz w:val="20"/>
                <w:szCs w:val="20"/>
                <w:lang w:val="es-MX"/>
              </w:rPr>
              <w:t xml:space="preserve">: </w:t>
            </w:r>
            <w:r w:rsidRPr="003C4A54">
              <w:rPr>
                <w:rFonts w:ascii="Century Gothic" w:hAnsi="Century Gothic"/>
                <w:sz w:val="20"/>
                <w:szCs w:val="20"/>
                <w:lang w:val="es-MX"/>
              </w:rPr>
              <w:t>¿Considera adecuada la utilización e implementación del enfoque Modified Scorched-Node?</w:t>
            </w:r>
          </w:p>
          <w:p w14:paraId="285AD7B8" w14:textId="6B7DB089" w:rsidR="00884127" w:rsidRPr="003C4A54" w:rsidRDefault="00884127" w:rsidP="00FF0ACC">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1D31ECB2" w14:textId="77777777" w:rsidR="00AA5F60" w:rsidRPr="003C4A54" w:rsidRDefault="00AA5F60" w:rsidP="00AA5F60">
      <w:pPr>
        <w:pStyle w:val="Ttulo3"/>
        <w:rPr>
          <w:rFonts w:ascii="Century Gothic" w:hAnsi="Century Gothic"/>
          <w:color w:val="000000" w:themeColor="text1"/>
          <w:lang w:val="es-MX"/>
        </w:rPr>
      </w:pPr>
      <w:r w:rsidRPr="003C4A54">
        <w:rPr>
          <w:rFonts w:ascii="Century Gothic" w:hAnsi="Century Gothic"/>
          <w:color w:val="000000" w:themeColor="text1"/>
          <w:lang w:val="es-MX"/>
        </w:rPr>
        <w:t>Capex y Opex unitarios</w:t>
      </w:r>
    </w:p>
    <w:p w14:paraId="1F52244F" w14:textId="645A4CA3" w:rsidR="00AA5F60" w:rsidRPr="003C4A54" w:rsidRDefault="00AA5F60" w:rsidP="00AA5F60">
      <w:pPr>
        <w:spacing w:after="120"/>
        <w:jc w:val="both"/>
        <w:rPr>
          <w:rFonts w:ascii="Century Gothic" w:hAnsi="Century Gothic"/>
        </w:rPr>
      </w:pPr>
      <w:r w:rsidRPr="003C4A54">
        <w:rPr>
          <w:rFonts w:ascii="Century Gothic" w:hAnsi="Century Gothic"/>
        </w:rPr>
        <w:t xml:space="preserve">Como se menciona en el Documento Metodológico en </w:t>
      </w:r>
      <w:r w:rsidR="00D349CA">
        <w:rPr>
          <w:rFonts w:ascii="Century Gothic" w:hAnsi="Century Gothic"/>
        </w:rPr>
        <w:t>su capítulo ‘2.1 Categorías de costo a c</w:t>
      </w:r>
      <w:r w:rsidRPr="003C4A54">
        <w:rPr>
          <w:rFonts w:ascii="Century Gothic" w:hAnsi="Century Gothic"/>
        </w:rPr>
        <w:t xml:space="preserve">onsiderar’ del documento, se menciona que dentro del Modelo se consideran los CapEx y OpEx de red, así como los Costos Generales y de </w:t>
      </w:r>
      <w:r w:rsidRPr="003C4A54">
        <w:rPr>
          <w:rFonts w:ascii="Century Gothic" w:hAnsi="Century Gothic"/>
        </w:rPr>
        <w:lastRenderedPageBreak/>
        <w:t>Administración. Asimismo en el capítulo ‘8.</w:t>
      </w:r>
      <w:r w:rsidR="00F63BCA">
        <w:rPr>
          <w:rFonts w:ascii="Century Gothic" w:hAnsi="Century Gothic"/>
        </w:rPr>
        <w:t xml:space="preserve"> </w:t>
      </w:r>
      <w:r w:rsidRPr="003C4A54">
        <w:rPr>
          <w:rFonts w:ascii="Century Gothic" w:hAnsi="Century Gothic"/>
        </w:rPr>
        <w:t>Módulo de Costos CapEx y OpEx’ se detalla el proceso seguido para el cálculo de los mismos dentro del Modelo.</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61EE0E67" w14:textId="77777777" w:rsidTr="006D367B">
        <w:trPr>
          <w:tblHeader/>
        </w:trPr>
        <w:tc>
          <w:tcPr>
            <w:tcW w:w="8946" w:type="dxa"/>
            <w:shd w:val="clear" w:color="auto" w:fill="F2F2F2" w:themeFill="background1" w:themeFillShade="F2"/>
          </w:tcPr>
          <w:p w14:paraId="2D47B4A8" w14:textId="77777777" w:rsidR="00AA5F60" w:rsidRPr="003C4A54" w:rsidRDefault="00AA5F60"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 xml:space="preserve">P. </w:t>
            </w:r>
            <w:r w:rsidR="00FF0ACC" w:rsidRPr="003C4A54">
              <w:rPr>
                <w:rFonts w:ascii="Century Gothic" w:hAnsi="Century Gothic"/>
                <w:b/>
                <w:sz w:val="20"/>
                <w:szCs w:val="20"/>
                <w:lang w:val="es-MX"/>
              </w:rPr>
              <w:t>8</w:t>
            </w:r>
            <w:r w:rsidRPr="003C4A54">
              <w:rPr>
                <w:rFonts w:ascii="Century Gothic" w:hAnsi="Century Gothic"/>
                <w:b/>
                <w:sz w:val="20"/>
                <w:szCs w:val="20"/>
                <w:lang w:val="es-MX"/>
              </w:rPr>
              <w:t xml:space="preserve">: </w:t>
            </w:r>
            <w:r w:rsidRPr="003C4A54">
              <w:rPr>
                <w:rFonts w:ascii="Century Gothic" w:hAnsi="Century Gothic"/>
                <w:sz w:val="20"/>
                <w:szCs w:val="20"/>
                <w:lang w:val="es-MX"/>
              </w:rPr>
              <w:t>¿Considera adecuada la metodología del cálculo del CapEx y Opex?</w:t>
            </w:r>
          </w:p>
          <w:p w14:paraId="4FEA7533" w14:textId="709F0210" w:rsidR="00884127" w:rsidRPr="003C4A54" w:rsidRDefault="0088412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p>
          <w:p w14:paraId="1F1F062B" w14:textId="77777777" w:rsidR="00AA5F60" w:rsidRPr="003C4A54" w:rsidRDefault="00AA5F60" w:rsidP="00154230">
            <w:pPr>
              <w:spacing w:after="120"/>
              <w:jc w:val="both"/>
              <w:rPr>
                <w:rFonts w:ascii="Century Gothic" w:hAnsi="Century Gothic"/>
                <w:sz w:val="20"/>
                <w:szCs w:val="20"/>
                <w:lang w:val="es-MX"/>
              </w:rPr>
            </w:pPr>
            <w:r w:rsidRPr="003C4A54">
              <w:rPr>
                <w:rFonts w:ascii="Century Gothic" w:hAnsi="Century Gothic"/>
                <w:b/>
                <w:sz w:val="20"/>
                <w:szCs w:val="20"/>
                <w:lang w:val="es-MX"/>
              </w:rPr>
              <w:t>P.</w:t>
            </w:r>
            <w:r w:rsidR="00FF0ACC" w:rsidRPr="003C4A54">
              <w:rPr>
                <w:rFonts w:ascii="Century Gothic" w:hAnsi="Century Gothic"/>
                <w:b/>
                <w:sz w:val="20"/>
                <w:szCs w:val="20"/>
                <w:lang w:val="es-MX"/>
              </w:rPr>
              <w:t xml:space="preserve"> 9</w:t>
            </w:r>
            <w:r w:rsidRPr="003C4A54">
              <w:rPr>
                <w:rFonts w:ascii="Century Gothic" w:hAnsi="Century Gothic"/>
                <w:b/>
                <w:sz w:val="20"/>
                <w:szCs w:val="20"/>
                <w:lang w:val="es-MX"/>
              </w:rPr>
              <w:t>:</w:t>
            </w:r>
            <w:r w:rsidRPr="003C4A54">
              <w:rPr>
                <w:rFonts w:ascii="Century Gothic" w:hAnsi="Century Gothic"/>
                <w:sz w:val="20"/>
                <w:szCs w:val="20"/>
                <w:lang w:val="es-MX"/>
              </w:rPr>
              <w:t xml:space="preserve"> ¿Considera adecuadas las tendencias de costo </w:t>
            </w:r>
            <w:r w:rsidR="00154230" w:rsidRPr="003C4A54">
              <w:rPr>
                <w:rFonts w:ascii="Century Gothic" w:hAnsi="Century Gothic"/>
                <w:sz w:val="20"/>
                <w:szCs w:val="20"/>
                <w:lang w:val="es-MX"/>
              </w:rPr>
              <w:t>tomadas en cuenta</w:t>
            </w:r>
            <w:r w:rsidRPr="003C4A54">
              <w:rPr>
                <w:rFonts w:ascii="Century Gothic" w:hAnsi="Century Gothic"/>
                <w:sz w:val="20"/>
                <w:szCs w:val="20"/>
                <w:lang w:val="es-MX"/>
              </w:rPr>
              <w:t xml:space="preserve"> en el Modelo?</w:t>
            </w:r>
          </w:p>
          <w:p w14:paraId="32EA4F39" w14:textId="043C57E5" w:rsidR="00884127" w:rsidRPr="003C4A54" w:rsidRDefault="00884127" w:rsidP="00154230">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04AB7750" w14:textId="77777777" w:rsidR="00AA5F60" w:rsidRPr="003C4A54" w:rsidRDefault="00AA5F60" w:rsidP="00AA5F60">
      <w:pPr>
        <w:pStyle w:val="Ttulo3"/>
        <w:rPr>
          <w:rFonts w:ascii="Century Gothic" w:hAnsi="Century Gothic"/>
          <w:color w:val="000000" w:themeColor="text1"/>
          <w:lang w:val="es-MX"/>
        </w:rPr>
      </w:pPr>
      <w:r w:rsidRPr="003C4A54">
        <w:rPr>
          <w:rFonts w:ascii="Century Gothic" w:hAnsi="Century Gothic"/>
          <w:color w:val="000000" w:themeColor="text1"/>
          <w:lang w:val="es-MX"/>
        </w:rPr>
        <w:t>Vidas útiles de los activos</w:t>
      </w:r>
    </w:p>
    <w:p w14:paraId="410CEF23" w14:textId="77777777" w:rsidR="00AA5F60" w:rsidRPr="003C4A54" w:rsidRDefault="00AA5F60" w:rsidP="00AA5F60">
      <w:pPr>
        <w:jc w:val="both"/>
        <w:rPr>
          <w:rFonts w:ascii="Century Gothic" w:hAnsi="Century Gothic"/>
        </w:rPr>
      </w:pPr>
      <w:r w:rsidRPr="003C4A54">
        <w:rPr>
          <w:rFonts w:ascii="Century Gothic" w:hAnsi="Century Gothic"/>
        </w:rPr>
        <w:t>Un tema importante a considerar dentro del modelo que influye directamente en los costos de los servicios modelados es la vida útil de los activos.</w:t>
      </w:r>
    </w:p>
    <w:p w14:paraId="283ED899" w14:textId="77777777" w:rsidR="00AA5F60" w:rsidRPr="003C4A54" w:rsidRDefault="00AA5F60" w:rsidP="00AA5F60">
      <w:pPr>
        <w:jc w:val="both"/>
        <w:rPr>
          <w:rFonts w:ascii="Century Gothic" w:hAnsi="Century Gothic"/>
        </w:rPr>
      </w:pPr>
      <w:r w:rsidRPr="003C4A54">
        <w:rPr>
          <w:rFonts w:ascii="Century Gothic" w:hAnsi="Century Gothic"/>
        </w:rPr>
        <w:t>La vida útil es el tiempo durante el cual un activo puede ser utilizado, es decir que es utilizado para producir un bien o servicio y que puede generar una renta. Todas las empresas de telecomunicaciones requieren de una serie de activos fijos para poder operar. Sin embargo, estos activos como consecuencia de su utilización, se desgastan hasta dejar de ser útiles para brindar el servicio.</w:t>
      </w:r>
    </w:p>
    <w:p w14:paraId="0E0838FB" w14:textId="77777777" w:rsidR="00AA5F60" w:rsidRPr="003C4A54" w:rsidRDefault="00AA5F60" w:rsidP="00AA5F60">
      <w:pPr>
        <w:jc w:val="both"/>
        <w:rPr>
          <w:rFonts w:ascii="Century Gothic" w:hAnsi="Century Gothic"/>
        </w:rPr>
      </w:pPr>
      <w:r w:rsidRPr="003C4A54">
        <w:rPr>
          <w:rFonts w:ascii="Century Gothic" w:hAnsi="Century Gothic"/>
        </w:rPr>
        <w:t>Por la propia naturaleza del activo, existen algunos cuya vida útil es mayor, como aquellos relacionados con los elementos pasivos de la red, como pueden ser los postes, ductos o pozos, mientras que existen algunos que, debido a su propia naturaleza y al uso intensivo que se les da, tienen vidas más cortas, como los elementos activos de la red, por ejemplo, los OLT y los ODF.</w:t>
      </w:r>
    </w:p>
    <w:p w14:paraId="6C7EAF07" w14:textId="77777777" w:rsidR="00AA5F60" w:rsidRPr="003C4A54" w:rsidRDefault="00AA5F60" w:rsidP="00AA5F60">
      <w:pPr>
        <w:jc w:val="both"/>
        <w:rPr>
          <w:rFonts w:ascii="Century Gothic" w:hAnsi="Century Gothic"/>
        </w:rPr>
      </w:pPr>
      <w:r w:rsidRPr="003C4A54">
        <w:rPr>
          <w:rFonts w:ascii="Century Gothic" w:hAnsi="Century Gothic"/>
        </w:rPr>
        <w:t>La determinación de la vida útil de estos activos afecta al costo de los servicios, toda vez que la misma afectará los gastos de depreciación que se mencionan más adelante.</w:t>
      </w:r>
    </w:p>
    <w:p w14:paraId="530D8213" w14:textId="77777777" w:rsidR="00AA5F60" w:rsidRPr="003C4A54" w:rsidRDefault="00AA5F60" w:rsidP="00AA5F60">
      <w:pPr>
        <w:jc w:val="both"/>
        <w:rPr>
          <w:rFonts w:ascii="Century Gothic" w:hAnsi="Century Gothic"/>
        </w:rPr>
      </w:pPr>
      <w:r w:rsidRPr="003C4A54">
        <w:rPr>
          <w:rFonts w:ascii="Century Gothic" w:hAnsi="Century Gothic"/>
        </w:rPr>
        <w:t>Para el caso específico del modelo, se solicitó al AEP y otros concesionarios proporcionaran información de las vidas útiles de los activos y al igual que con los costos relacionados con CapEx y Opex con el fin de reflejar de mejor manera la vida útil de todos los elementos de la red de acceso considerados en el modelo y no alteren las tarifas resultantes disminuyéndolas en el caso de contemplar periodos excesivamente largos o incrementando los costos si se consideraran periodos muy cortos para los activos.</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700F1001" w14:textId="77777777" w:rsidTr="006D367B">
        <w:trPr>
          <w:tblHeader/>
        </w:trPr>
        <w:tc>
          <w:tcPr>
            <w:tcW w:w="8946" w:type="dxa"/>
            <w:shd w:val="clear" w:color="auto" w:fill="F2F2F2" w:themeFill="background1" w:themeFillShade="F2"/>
          </w:tcPr>
          <w:p w14:paraId="1A04AF7B" w14:textId="77777777" w:rsidR="00AA5F60" w:rsidRPr="003C4A54" w:rsidRDefault="00AA5F60" w:rsidP="00FF0ACC">
            <w:pPr>
              <w:spacing w:after="120"/>
              <w:jc w:val="both"/>
              <w:rPr>
                <w:rFonts w:ascii="Century Gothic" w:hAnsi="Century Gothic"/>
                <w:sz w:val="20"/>
                <w:szCs w:val="20"/>
                <w:lang w:val="es-MX"/>
              </w:rPr>
            </w:pPr>
            <w:r w:rsidRPr="003C4A54">
              <w:rPr>
                <w:rFonts w:ascii="Century Gothic" w:hAnsi="Century Gothic"/>
                <w:b/>
                <w:sz w:val="20"/>
                <w:szCs w:val="20"/>
                <w:lang w:val="es-MX"/>
              </w:rPr>
              <w:t xml:space="preserve">P. </w:t>
            </w:r>
            <w:r w:rsidR="00FF0ACC" w:rsidRPr="003C4A54">
              <w:rPr>
                <w:rFonts w:ascii="Century Gothic" w:hAnsi="Century Gothic"/>
                <w:b/>
                <w:sz w:val="20"/>
                <w:szCs w:val="20"/>
                <w:lang w:val="es-MX"/>
              </w:rPr>
              <w:t>10</w:t>
            </w:r>
            <w:r w:rsidRPr="003C4A54">
              <w:rPr>
                <w:rFonts w:ascii="Century Gothic" w:hAnsi="Century Gothic"/>
                <w:b/>
                <w:sz w:val="20"/>
                <w:szCs w:val="20"/>
                <w:lang w:val="es-MX"/>
              </w:rPr>
              <w:t xml:space="preserve">: </w:t>
            </w:r>
            <w:r w:rsidRPr="003C4A54">
              <w:rPr>
                <w:rFonts w:ascii="Century Gothic" w:hAnsi="Century Gothic"/>
                <w:sz w:val="20"/>
                <w:szCs w:val="20"/>
                <w:lang w:val="es-MX"/>
              </w:rPr>
              <w:t>¿Considera adecuadas las vidas útiles asociadas a cada uno de los elementos de red considerados en el Modelo?</w:t>
            </w:r>
          </w:p>
          <w:p w14:paraId="4843E759" w14:textId="40CCB981" w:rsidR="00884127" w:rsidRPr="003C4A54" w:rsidRDefault="00884127" w:rsidP="00FF0ACC">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0CE5EBEE" w14:textId="77777777" w:rsidR="00AA5F60" w:rsidRPr="003C4A54" w:rsidRDefault="00AA5F60" w:rsidP="00AA5F60">
      <w:pPr>
        <w:pStyle w:val="Ttulo3"/>
        <w:rPr>
          <w:rFonts w:ascii="Century Gothic" w:hAnsi="Century Gothic"/>
          <w:color w:val="000000" w:themeColor="text1"/>
          <w:lang w:val="es-MX"/>
        </w:rPr>
      </w:pPr>
      <w:r w:rsidRPr="003C4A54">
        <w:rPr>
          <w:rFonts w:ascii="Century Gothic" w:hAnsi="Century Gothic"/>
          <w:color w:val="000000" w:themeColor="text1"/>
          <w:lang w:val="es-MX"/>
        </w:rPr>
        <w:lastRenderedPageBreak/>
        <w:t>Depreciación</w:t>
      </w:r>
    </w:p>
    <w:p w14:paraId="6B98BCC9" w14:textId="77777777" w:rsidR="00AA5F60" w:rsidRPr="003C4A54" w:rsidRDefault="00AA5F60" w:rsidP="00AA5F60">
      <w:pPr>
        <w:jc w:val="both"/>
        <w:rPr>
          <w:rFonts w:ascii="Century Gothic" w:hAnsi="Century Gothic"/>
        </w:rPr>
      </w:pPr>
      <w:r w:rsidRPr="003C4A54">
        <w:rPr>
          <w:rFonts w:ascii="Century Gothic" w:hAnsi="Century Gothic"/>
        </w:rPr>
        <w:t>El valor de mercado de un activo está determinado por los flujos de efectivo que el inversionista espera genere el activo durante su vida útil, descontados a una tasa de interés, que representa el costo de oportunidad. Por tanto, el valor de mercado de un activo, se ve directamente afectado por cambios en las tasas de interés, toda vez que representa el costo de oportunidad al cual se enfrenta el inversionista en cualquier momento.</w:t>
      </w:r>
    </w:p>
    <w:p w14:paraId="5D8F551E" w14:textId="77777777" w:rsidR="00AA5F60" w:rsidRPr="003C4A54" w:rsidRDefault="00AA5F60" w:rsidP="00AA5F60">
      <w:pPr>
        <w:jc w:val="both"/>
        <w:rPr>
          <w:rFonts w:ascii="Century Gothic" w:hAnsi="Century Gothic"/>
        </w:rPr>
      </w:pPr>
      <w:r w:rsidRPr="003C4A54">
        <w:rPr>
          <w:rFonts w:ascii="Century Gothic" w:hAnsi="Century Gothic"/>
        </w:rPr>
        <w:t>Por el contrario, el valor contable de un activo, no incorpora estos cambios en el costo de oportunidad que enfrenta un inversionista, ni tampoco las reducciones en los precios del activo producto de la innovación tecnológica. Es por lo que la utilización de la depreciación contable, pudiera resultar en activos cuyo valor en libros no se encuentre directamente relacionado con su valor de mercado o su valor de reventa.</w:t>
      </w:r>
    </w:p>
    <w:p w14:paraId="5EC14187" w14:textId="77777777" w:rsidR="00AA5F60" w:rsidRPr="003C4A54" w:rsidRDefault="00AA5F60" w:rsidP="00AA5F60">
      <w:pPr>
        <w:jc w:val="both"/>
        <w:rPr>
          <w:rFonts w:ascii="Century Gothic" w:hAnsi="Century Gothic"/>
        </w:rPr>
      </w:pPr>
      <w:r w:rsidRPr="003C4A54">
        <w:rPr>
          <w:rFonts w:ascii="Century Gothic" w:hAnsi="Century Gothic"/>
        </w:rPr>
        <w:t>En la experiencia internacional se cuenta con diversos métodos de depreciación, los cuales son descritos en el capítulo ‘2.3 Método de anualización de costos’, en el cual se detallan los motivos por el cual en se implementó en el Modelo la alternativa de anualidad inclinada.</w:t>
      </w:r>
    </w:p>
    <w:p w14:paraId="36FBCBE2" w14:textId="77777777" w:rsidR="00AA5F60" w:rsidRPr="003C4A54" w:rsidRDefault="00AA5F60" w:rsidP="00AA5F60">
      <w:pPr>
        <w:jc w:val="both"/>
        <w:rPr>
          <w:rFonts w:ascii="Century Gothic" w:hAnsi="Century Gothic"/>
        </w:rPr>
      </w:pPr>
      <w:r w:rsidRPr="003C4A54">
        <w:rPr>
          <w:rFonts w:ascii="Century Gothic" w:hAnsi="Century Gothic"/>
        </w:rPr>
        <w:t>El detalle de la implementación de esta alternativa se encuentra descrito en el capítulo ‘9. Módulo de Depreciación’ del Documento Metodológico anexo a este documento.</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39C6FB60" w14:textId="77777777" w:rsidTr="006D367B">
        <w:trPr>
          <w:tblHeader/>
        </w:trPr>
        <w:tc>
          <w:tcPr>
            <w:tcW w:w="8946" w:type="dxa"/>
            <w:shd w:val="clear" w:color="auto" w:fill="F2F2F2" w:themeFill="background1" w:themeFillShade="F2"/>
          </w:tcPr>
          <w:p w14:paraId="74C96FE5" w14:textId="77777777" w:rsidR="00AA5F60" w:rsidRPr="003C4A54" w:rsidRDefault="00AA5F60"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 xml:space="preserve">P. </w:t>
            </w:r>
            <w:r w:rsidR="00FF0ACC" w:rsidRPr="003C4A54">
              <w:rPr>
                <w:rFonts w:ascii="Century Gothic" w:hAnsi="Century Gothic"/>
                <w:b/>
                <w:sz w:val="20"/>
                <w:szCs w:val="20"/>
                <w:lang w:val="es-MX"/>
              </w:rPr>
              <w:t>11</w:t>
            </w:r>
            <w:r w:rsidRPr="003C4A54">
              <w:rPr>
                <w:rFonts w:ascii="Century Gothic" w:hAnsi="Century Gothic"/>
                <w:b/>
                <w:sz w:val="20"/>
                <w:szCs w:val="20"/>
                <w:lang w:val="es-MX"/>
              </w:rPr>
              <w:t xml:space="preserve">: </w:t>
            </w:r>
            <w:r w:rsidRPr="003C4A54">
              <w:rPr>
                <w:rFonts w:ascii="Century Gothic" w:hAnsi="Century Gothic"/>
                <w:sz w:val="20"/>
                <w:szCs w:val="20"/>
                <w:lang w:val="es-MX"/>
              </w:rPr>
              <w:t>¿Considera adecuado el método de depreciación utilizado en el Modelo?</w:t>
            </w:r>
          </w:p>
          <w:p w14:paraId="08F57012" w14:textId="4AD90CB9" w:rsidR="00884127" w:rsidRPr="003C4A54" w:rsidRDefault="0088412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p>
          <w:p w14:paraId="03C9F92A" w14:textId="77777777" w:rsidR="00AA5F60" w:rsidRPr="003C4A54" w:rsidRDefault="00FF0ACC"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P. 12</w:t>
            </w:r>
            <w:r w:rsidR="00AA5F60" w:rsidRPr="003C4A54">
              <w:rPr>
                <w:rFonts w:ascii="Century Gothic" w:hAnsi="Century Gothic"/>
                <w:b/>
                <w:sz w:val="20"/>
                <w:szCs w:val="20"/>
                <w:lang w:val="es-MX"/>
              </w:rPr>
              <w:t>: ¿</w:t>
            </w:r>
            <w:r w:rsidR="00AA5F60" w:rsidRPr="003C4A54">
              <w:rPr>
                <w:rFonts w:ascii="Century Gothic" w:hAnsi="Century Gothic"/>
                <w:sz w:val="20"/>
                <w:szCs w:val="20"/>
                <w:lang w:val="es-MX"/>
              </w:rPr>
              <w:t>Considera adecuada la implementación del método de depreciación seleccionado en el Modelo?</w:t>
            </w:r>
          </w:p>
          <w:p w14:paraId="6ED69960" w14:textId="76687F92" w:rsidR="00884127" w:rsidRPr="003C4A54" w:rsidRDefault="0088412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21A66353" w14:textId="74B2FF62" w:rsidR="00AA5F60" w:rsidRPr="003C4A54" w:rsidRDefault="00AA5F60" w:rsidP="00AA5F60">
      <w:pPr>
        <w:spacing w:after="0" w:line="240" w:lineRule="auto"/>
        <w:jc w:val="both"/>
        <w:rPr>
          <w:rFonts w:ascii="Century Gothic" w:hAnsi="Century Gothic" w:cs="Arial"/>
          <w:b/>
          <w:bCs/>
          <w:color w:val="5B9BD5" w:themeColor="accent1"/>
          <w:sz w:val="24"/>
        </w:rPr>
      </w:pPr>
    </w:p>
    <w:p w14:paraId="073D2BA4" w14:textId="77777777" w:rsidR="00AA5F60" w:rsidRPr="003C4A54" w:rsidRDefault="00AA5F60" w:rsidP="00AA5F60">
      <w:pPr>
        <w:pStyle w:val="Ttulo3"/>
        <w:ind w:left="708" w:hanging="708"/>
        <w:rPr>
          <w:rFonts w:ascii="Century Gothic" w:hAnsi="Century Gothic"/>
          <w:color w:val="000000" w:themeColor="text1"/>
          <w:lang w:val="es-MX"/>
        </w:rPr>
      </w:pPr>
      <w:r w:rsidRPr="003C4A54">
        <w:rPr>
          <w:rFonts w:ascii="Century Gothic" w:hAnsi="Century Gothic"/>
          <w:color w:val="000000" w:themeColor="text1"/>
          <w:lang w:val="es-MX"/>
        </w:rPr>
        <w:t>Selección del incremento del servicio</w:t>
      </w:r>
    </w:p>
    <w:p w14:paraId="50BFE6CD" w14:textId="77777777" w:rsidR="00AA5F60" w:rsidRPr="003C4A54" w:rsidRDefault="00AA5F60" w:rsidP="00AA5F60">
      <w:pPr>
        <w:spacing w:after="120"/>
        <w:jc w:val="both"/>
        <w:rPr>
          <w:rFonts w:ascii="Century Gothic" w:hAnsi="Century Gothic"/>
        </w:rPr>
      </w:pPr>
      <w:r w:rsidRPr="003C4A54">
        <w:rPr>
          <w:rFonts w:ascii="Century Gothic" w:hAnsi="Century Gothic"/>
        </w:rPr>
        <w:t xml:space="preserve">El costo incremental es el costo que incurre un operador para satisfacer el incremento en la demanda de uno de sus servicios, bajo el supuesto de que la demanda de los otros servicios que ofrece el operador no sufre cambios. Adicionalmente, es el costo total que evitaría el operador si cesara la provisión de ese servicio o grupo de servicios. Los incrementos toman la forma de un servicio, o conjunto de servicios, al que se distribuyen los costos, ya sea de forma directa (en el caso de los costos incrementales) o mediante un mark-up (si se incluyen los costos comunes). </w:t>
      </w:r>
    </w:p>
    <w:p w14:paraId="6D063776" w14:textId="77777777" w:rsidR="00AA5F60" w:rsidRPr="003C4A54" w:rsidRDefault="00AA5F60" w:rsidP="00AA5F60">
      <w:pPr>
        <w:spacing w:after="120"/>
        <w:jc w:val="both"/>
        <w:rPr>
          <w:rFonts w:ascii="Century Gothic" w:hAnsi="Century Gothic"/>
        </w:rPr>
      </w:pPr>
      <w:r w:rsidRPr="003C4A54">
        <w:rPr>
          <w:rFonts w:ascii="Century Gothic" w:hAnsi="Century Gothic"/>
        </w:rPr>
        <w:lastRenderedPageBreak/>
        <w:t>Dentro del modelo, se implementó un incremento único que abarca todos los servicios de acceso de fibra considerados en el Modelo, como se indica en el capítulo ‘2.7 Definición de los incrementos’ del Documento Metodológico antes mencionado.</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3C2CCBFA" w14:textId="77777777" w:rsidTr="006D367B">
        <w:trPr>
          <w:tblHeader/>
        </w:trPr>
        <w:tc>
          <w:tcPr>
            <w:tcW w:w="8946" w:type="dxa"/>
            <w:shd w:val="clear" w:color="auto" w:fill="F2F2F2" w:themeFill="background1" w:themeFillShade="F2"/>
          </w:tcPr>
          <w:p w14:paraId="0FECEE2D" w14:textId="77777777" w:rsidR="00AA5F60" w:rsidRPr="003C4A54" w:rsidRDefault="00AA5F60" w:rsidP="00154230">
            <w:pPr>
              <w:spacing w:after="120"/>
              <w:jc w:val="both"/>
              <w:rPr>
                <w:rFonts w:ascii="Century Gothic" w:hAnsi="Century Gothic"/>
                <w:sz w:val="20"/>
                <w:szCs w:val="20"/>
                <w:lang w:val="es-MX"/>
              </w:rPr>
            </w:pPr>
            <w:r w:rsidRPr="003C4A54">
              <w:rPr>
                <w:rFonts w:ascii="Century Gothic" w:hAnsi="Century Gothic"/>
                <w:b/>
                <w:sz w:val="20"/>
                <w:szCs w:val="20"/>
                <w:lang w:val="es-MX"/>
              </w:rPr>
              <w:t>P. 1</w:t>
            </w:r>
            <w:r w:rsidR="00FF0ACC" w:rsidRPr="003C4A54">
              <w:rPr>
                <w:rFonts w:ascii="Century Gothic" w:hAnsi="Century Gothic"/>
                <w:b/>
                <w:sz w:val="20"/>
                <w:szCs w:val="20"/>
                <w:lang w:val="es-MX"/>
              </w:rPr>
              <w:t>3</w:t>
            </w:r>
            <w:r w:rsidRPr="003C4A54">
              <w:rPr>
                <w:rFonts w:ascii="Century Gothic" w:hAnsi="Century Gothic"/>
                <w:b/>
                <w:sz w:val="20"/>
                <w:szCs w:val="20"/>
                <w:lang w:val="es-MX"/>
              </w:rPr>
              <w:t xml:space="preserve">: </w:t>
            </w:r>
            <w:r w:rsidRPr="003C4A54">
              <w:rPr>
                <w:rFonts w:ascii="Century Gothic" w:hAnsi="Century Gothic"/>
                <w:sz w:val="20"/>
                <w:szCs w:val="20"/>
                <w:lang w:val="es-MX"/>
              </w:rPr>
              <w:t xml:space="preserve">¿Tiene comentarios respecto a la definición del incremento </w:t>
            </w:r>
            <w:r w:rsidR="00154230" w:rsidRPr="003C4A54">
              <w:rPr>
                <w:rFonts w:ascii="Century Gothic" w:hAnsi="Century Gothic"/>
                <w:sz w:val="20"/>
                <w:szCs w:val="20"/>
                <w:lang w:val="es-MX"/>
              </w:rPr>
              <w:t>implementada en el modelo</w:t>
            </w:r>
            <w:r w:rsidRPr="003C4A54">
              <w:rPr>
                <w:rFonts w:ascii="Century Gothic" w:hAnsi="Century Gothic"/>
                <w:sz w:val="20"/>
                <w:szCs w:val="20"/>
                <w:lang w:val="es-MX"/>
              </w:rPr>
              <w:t>?</w:t>
            </w:r>
          </w:p>
          <w:p w14:paraId="228AA6C6" w14:textId="0F79E893" w:rsidR="00EB2DD7" w:rsidRPr="003C4A54" w:rsidRDefault="00EB2DD7" w:rsidP="00154230">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1D9A0BB1" w14:textId="77777777" w:rsidR="00AA5F60" w:rsidRPr="003C4A54" w:rsidRDefault="00AA5F60" w:rsidP="00AA5F60">
      <w:pPr>
        <w:pStyle w:val="Ttulo3"/>
        <w:rPr>
          <w:rFonts w:ascii="Century Gothic" w:hAnsi="Century Gothic"/>
          <w:color w:val="000000" w:themeColor="text1"/>
          <w:lang w:val="es-MX"/>
        </w:rPr>
      </w:pPr>
      <w:r w:rsidRPr="003C4A54">
        <w:rPr>
          <w:rFonts w:ascii="Century Gothic" w:hAnsi="Century Gothic"/>
          <w:color w:val="000000" w:themeColor="text1"/>
          <w:lang w:val="es-MX"/>
        </w:rPr>
        <w:t>Costo de capital promedio ponderado (CCPP)</w:t>
      </w:r>
    </w:p>
    <w:p w14:paraId="39BF3EEC" w14:textId="77777777" w:rsidR="00AA5F60" w:rsidRPr="003C4A54" w:rsidRDefault="00AA5F60" w:rsidP="00AA5F60">
      <w:pPr>
        <w:jc w:val="both"/>
        <w:rPr>
          <w:rFonts w:ascii="Century Gothic" w:hAnsi="Century Gothic"/>
        </w:rPr>
      </w:pPr>
      <w:r w:rsidRPr="003C4A54">
        <w:rPr>
          <w:rFonts w:ascii="Century Gothic" w:hAnsi="Century Gothic"/>
        </w:rPr>
        <w:t>La metodología del costo de capital promedio ponderado (CCPP o WACC, por sus siglas en inglés) considera que el retorno de los activos de la empresa debe ser igual al retorno total esperado por sus accionistas y tenedores de deuda, ponderados por su contribución respectiva al financiamiento de la empresa.</w:t>
      </w:r>
    </w:p>
    <w:p w14:paraId="78DDB15B" w14:textId="60408BDA" w:rsidR="00AA5F60" w:rsidRPr="003C4A54" w:rsidRDefault="00AA5F60" w:rsidP="00AA5F60">
      <w:pPr>
        <w:spacing w:after="120"/>
        <w:jc w:val="both"/>
        <w:rPr>
          <w:rFonts w:ascii="Century Gothic" w:hAnsi="Century Gothic"/>
        </w:rPr>
      </w:pPr>
      <w:r w:rsidRPr="003C4A54">
        <w:rPr>
          <w:rFonts w:ascii="Century Gothic" w:hAnsi="Century Gothic"/>
        </w:rPr>
        <w:t>Dentro del capítulo ‘2.2 Costo de Capital’ se describe</w:t>
      </w:r>
      <w:r w:rsidR="00916E83">
        <w:rPr>
          <w:rFonts w:ascii="Century Gothic" w:hAnsi="Century Gothic"/>
        </w:rPr>
        <w:t>n</w:t>
      </w:r>
      <w:r w:rsidRPr="003C4A54">
        <w:rPr>
          <w:rFonts w:ascii="Century Gothic" w:hAnsi="Century Gothic"/>
        </w:rPr>
        <w:t xml:space="preserve"> los insum</w:t>
      </w:r>
      <w:r w:rsidR="00916E83">
        <w:rPr>
          <w:rFonts w:ascii="Century Gothic" w:hAnsi="Century Gothic"/>
        </w:rPr>
        <w:t xml:space="preserve">os necesarios utilizados para </w:t>
      </w:r>
      <w:r w:rsidRPr="003C4A54">
        <w:rPr>
          <w:rFonts w:ascii="Century Gothic" w:hAnsi="Century Gothic"/>
        </w:rPr>
        <w:t xml:space="preserve"> </w:t>
      </w:r>
      <w:r w:rsidR="00916E83">
        <w:rPr>
          <w:rFonts w:ascii="Century Gothic" w:hAnsi="Century Gothic"/>
        </w:rPr>
        <w:t xml:space="preserve">el </w:t>
      </w:r>
      <w:r w:rsidRPr="003C4A54">
        <w:rPr>
          <w:rFonts w:ascii="Century Gothic" w:hAnsi="Century Gothic"/>
        </w:rPr>
        <w:t>cálculo</w:t>
      </w:r>
      <w:r w:rsidR="00916E83">
        <w:rPr>
          <w:rFonts w:ascii="Century Gothic" w:hAnsi="Century Gothic"/>
        </w:rPr>
        <w:t xml:space="preserve"> del parámetro empleado en el Modelo</w:t>
      </w:r>
      <w:r w:rsidRPr="003C4A54">
        <w:rPr>
          <w:rFonts w:ascii="Century Gothic" w:hAnsi="Century Gothic"/>
        </w:rPr>
        <w:t xml:space="preserve">. </w:t>
      </w:r>
      <w:r w:rsidR="00916E83">
        <w:rPr>
          <w:rFonts w:ascii="Century Gothic" w:hAnsi="Century Gothic"/>
        </w:rPr>
        <w:t>Este se basa</w:t>
      </w:r>
      <w:r w:rsidR="00916E83" w:rsidRPr="00916E83">
        <w:rPr>
          <w:rFonts w:ascii="Century Gothic" w:hAnsi="Century Gothic"/>
        </w:rPr>
        <w:t xml:space="preserve"> </w:t>
      </w:r>
      <w:r w:rsidR="00916E83">
        <w:rPr>
          <w:rFonts w:ascii="Century Gothic" w:hAnsi="Century Gothic"/>
        </w:rPr>
        <w:t xml:space="preserve">en </w:t>
      </w:r>
      <w:r w:rsidR="00916E83" w:rsidRPr="00916E83">
        <w:rPr>
          <w:rFonts w:ascii="Century Gothic" w:hAnsi="Century Gothic"/>
        </w:rPr>
        <w:t>el CCPP real antes de impuestos calculado por el IFT para estimar las tarifas de la Oferta de Referencia de Desagregación mediante los respectivos modelos de costos en Diciembre de 2015</w:t>
      </w:r>
      <w:r w:rsidR="00916E83">
        <w:rPr>
          <w:rFonts w:ascii="Century Gothic" w:hAnsi="Century Gothic"/>
        </w:rPr>
        <w:t>, cuyo valor</w:t>
      </w:r>
      <w:r w:rsidRPr="003C4A54">
        <w:rPr>
          <w:rFonts w:ascii="Century Gothic" w:hAnsi="Century Gothic"/>
        </w:rPr>
        <w:t xml:space="preserve"> </w:t>
      </w:r>
      <w:r w:rsidR="00C3349E">
        <w:rPr>
          <w:rFonts w:ascii="Century Gothic" w:hAnsi="Century Gothic"/>
        </w:rPr>
        <w:t xml:space="preserve">es de </w:t>
      </w:r>
      <w:r w:rsidRPr="003C4A54">
        <w:rPr>
          <w:rFonts w:ascii="Century Gothic" w:hAnsi="Century Gothic"/>
        </w:rPr>
        <w:t>8.39%.</w:t>
      </w:r>
    </w:p>
    <w:tbl>
      <w:tblPr>
        <w:tblStyle w:val="Tablaconcuadrcula"/>
        <w:tblW w:w="0" w:type="auto"/>
        <w:tblBorders>
          <w:top w:val="single" w:sz="4" w:space="0" w:color="D9D9D9" w:themeColor="background1" w:themeShade="D9"/>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Tabla"/>
        <w:tblDescription w:val="Tabla"/>
      </w:tblPr>
      <w:tblGrid>
        <w:gridCol w:w="8838"/>
      </w:tblGrid>
      <w:tr w:rsidR="00AA5F60" w:rsidRPr="003C4A54" w14:paraId="7931965D" w14:textId="77777777" w:rsidTr="006D367B">
        <w:trPr>
          <w:tblHeader/>
        </w:trPr>
        <w:tc>
          <w:tcPr>
            <w:tcW w:w="8946" w:type="dxa"/>
            <w:shd w:val="clear" w:color="auto" w:fill="F2F2F2" w:themeFill="background1" w:themeFillShade="F2"/>
          </w:tcPr>
          <w:p w14:paraId="6BE9F727" w14:textId="4A2A96E9" w:rsidR="00AA5F60" w:rsidRPr="003C4A54" w:rsidRDefault="00AA5F60"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P. 1</w:t>
            </w:r>
            <w:r w:rsidR="00FF0ACC" w:rsidRPr="003C4A54">
              <w:rPr>
                <w:rFonts w:ascii="Century Gothic" w:hAnsi="Century Gothic"/>
                <w:b/>
                <w:sz w:val="20"/>
                <w:szCs w:val="20"/>
                <w:lang w:val="es-MX"/>
              </w:rPr>
              <w:t>4</w:t>
            </w:r>
            <w:r w:rsidRPr="003C4A54">
              <w:rPr>
                <w:rFonts w:ascii="Century Gothic" w:hAnsi="Century Gothic"/>
                <w:b/>
                <w:sz w:val="20"/>
                <w:szCs w:val="20"/>
                <w:lang w:val="es-MX"/>
              </w:rPr>
              <w:t xml:space="preserve">: </w:t>
            </w:r>
            <w:r w:rsidR="00154230" w:rsidRPr="003C4A54">
              <w:rPr>
                <w:rFonts w:ascii="Century Gothic" w:hAnsi="Century Gothic"/>
                <w:sz w:val="20"/>
                <w:szCs w:val="20"/>
                <w:lang w:val="es-MX"/>
              </w:rPr>
              <w:t>¿Considera conveniente el uso del CCPP real en lugar del nominal?</w:t>
            </w:r>
          </w:p>
          <w:p w14:paraId="52DC1A08" w14:textId="60DF7B72" w:rsidR="00EB2DD7" w:rsidRPr="003C4A54" w:rsidRDefault="00EB2DD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p>
          <w:p w14:paraId="2AF8AA6B" w14:textId="77777777" w:rsidR="00AA5F60" w:rsidRPr="003C4A54" w:rsidRDefault="00FF0ACC" w:rsidP="00AA5F60">
            <w:pPr>
              <w:spacing w:after="120"/>
              <w:jc w:val="both"/>
              <w:rPr>
                <w:rFonts w:ascii="Century Gothic" w:hAnsi="Century Gothic"/>
                <w:sz w:val="20"/>
                <w:szCs w:val="20"/>
                <w:lang w:val="es-MX"/>
              </w:rPr>
            </w:pPr>
            <w:r w:rsidRPr="003C4A54">
              <w:rPr>
                <w:rFonts w:ascii="Century Gothic" w:hAnsi="Century Gothic"/>
                <w:b/>
                <w:sz w:val="20"/>
                <w:szCs w:val="20"/>
                <w:lang w:val="es-MX"/>
              </w:rPr>
              <w:t>P. 15</w:t>
            </w:r>
            <w:r w:rsidR="00AA5F60" w:rsidRPr="003C4A54">
              <w:rPr>
                <w:rFonts w:ascii="Century Gothic" w:hAnsi="Century Gothic"/>
                <w:b/>
                <w:sz w:val="20"/>
                <w:szCs w:val="20"/>
                <w:lang w:val="es-MX"/>
              </w:rPr>
              <w:t xml:space="preserve">: </w:t>
            </w:r>
            <w:r w:rsidR="00154230" w:rsidRPr="003C4A54">
              <w:rPr>
                <w:rFonts w:ascii="Century Gothic" w:hAnsi="Century Gothic"/>
                <w:sz w:val="20"/>
                <w:szCs w:val="20"/>
                <w:lang w:val="es-MX"/>
              </w:rPr>
              <w:t>¿Tiene algún comentario respecto al nivel del CCPP utilizado?</w:t>
            </w:r>
          </w:p>
          <w:p w14:paraId="09BB8031" w14:textId="788FBCBF" w:rsidR="00154230" w:rsidRPr="003C4A54" w:rsidRDefault="00EB2DD7" w:rsidP="00AA5F60">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r w:rsidR="00AA5F60" w:rsidRPr="003C4A54" w14:paraId="1F3C8A97" w14:textId="77777777" w:rsidTr="004C3B81">
        <w:tc>
          <w:tcPr>
            <w:tcW w:w="8946" w:type="dxa"/>
            <w:shd w:val="clear" w:color="auto" w:fill="F2F2F2" w:themeFill="background1" w:themeFillShade="F2"/>
          </w:tcPr>
          <w:p w14:paraId="3D48E0A6" w14:textId="77777777" w:rsidR="00AA5F60" w:rsidRPr="003C4A54" w:rsidRDefault="00AA5F60" w:rsidP="00FF0ACC">
            <w:pPr>
              <w:spacing w:after="120"/>
              <w:jc w:val="both"/>
              <w:rPr>
                <w:rFonts w:ascii="Century Gothic" w:hAnsi="Century Gothic"/>
                <w:sz w:val="20"/>
                <w:szCs w:val="20"/>
                <w:lang w:val="es-MX"/>
              </w:rPr>
            </w:pPr>
            <w:r w:rsidRPr="003C4A54">
              <w:rPr>
                <w:rFonts w:ascii="Century Gothic" w:hAnsi="Century Gothic"/>
                <w:lang w:val="es-MX"/>
              </w:rPr>
              <w:br w:type="page"/>
            </w:r>
            <w:r w:rsidRPr="003C4A54">
              <w:rPr>
                <w:rFonts w:ascii="Century Gothic" w:hAnsi="Century Gothic"/>
                <w:b/>
                <w:sz w:val="20"/>
                <w:szCs w:val="20"/>
                <w:lang w:val="es-MX"/>
              </w:rPr>
              <w:t>P.</w:t>
            </w:r>
            <w:r w:rsidR="00FF0ACC" w:rsidRPr="003C4A54">
              <w:rPr>
                <w:rFonts w:ascii="Century Gothic" w:hAnsi="Century Gothic"/>
                <w:b/>
                <w:sz w:val="20"/>
                <w:szCs w:val="20"/>
                <w:lang w:val="es-MX"/>
              </w:rPr>
              <w:t xml:space="preserve"> </w:t>
            </w:r>
            <w:r w:rsidRPr="003C4A54">
              <w:rPr>
                <w:rFonts w:ascii="Century Gothic" w:hAnsi="Century Gothic"/>
                <w:b/>
                <w:sz w:val="20"/>
                <w:szCs w:val="20"/>
                <w:lang w:val="es-MX"/>
              </w:rPr>
              <w:t>1</w:t>
            </w:r>
            <w:r w:rsidR="00FF0ACC" w:rsidRPr="003C4A54">
              <w:rPr>
                <w:rFonts w:ascii="Century Gothic" w:hAnsi="Century Gothic"/>
                <w:b/>
                <w:sz w:val="20"/>
                <w:szCs w:val="20"/>
                <w:lang w:val="es-MX"/>
              </w:rPr>
              <w:t>6</w:t>
            </w:r>
            <w:r w:rsidRPr="003C4A54">
              <w:rPr>
                <w:rFonts w:ascii="Century Gothic" w:hAnsi="Century Gothic"/>
                <w:b/>
                <w:sz w:val="20"/>
                <w:szCs w:val="20"/>
                <w:lang w:val="es-MX"/>
              </w:rPr>
              <w:t xml:space="preserve">: </w:t>
            </w:r>
            <w:r w:rsidRPr="003C4A54">
              <w:rPr>
                <w:rFonts w:ascii="Century Gothic" w:hAnsi="Century Gothic"/>
                <w:sz w:val="20"/>
                <w:szCs w:val="20"/>
                <w:lang w:val="es-MX"/>
              </w:rPr>
              <w:t>¿Tiene algún comentario adicional relativo al Modelo de costos y/o la documentación presentada?</w:t>
            </w:r>
          </w:p>
          <w:p w14:paraId="7E626152" w14:textId="2FDF247C" w:rsidR="00EB2DD7" w:rsidRPr="003C4A54" w:rsidRDefault="00EB2DD7" w:rsidP="00FF0ACC">
            <w:pPr>
              <w:spacing w:after="120"/>
              <w:jc w:val="both"/>
              <w:rPr>
                <w:rFonts w:ascii="Century Gothic" w:hAnsi="Century Gothic"/>
                <w:sz w:val="20"/>
                <w:szCs w:val="20"/>
                <w:lang w:val="es-MX"/>
              </w:rPr>
            </w:pPr>
            <w:r w:rsidRPr="003C4A54">
              <w:rPr>
                <w:rFonts w:ascii="Century Gothic" w:hAnsi="Century Gothic"/>
                <w:sz w:val="20"/>
                <w:szCs w:val="20"/>
                <w:lang w:val="es-MX"/>
              </w:rPr>
              <w:t>R=</w:t>
            </w:r>
          </w:p>
        </w:tc>
      </w:tr>
    </w:tbl>
    <w:p w14:paraId="709D89CF" w14:textId="77777777" w:rsidR="00AA5F60" w:rsidRPr="00765989" w:rsidRDefault="00AA5F60" w:rsidP="00AA5F60">
      <w:pPr>
        <w:jc w:val="both"/>
        <w:rPr>
          <w:rFonts w:ascii="ITC Avant Garde" w:hAnsi="ITC Avant Garde"/>
        </w:rPr>
      </w:pP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42"/>
      </w:tblGrid>
      <w:tr w:rsidR="00976CDF" w:rsidRPr="00765989" w14:paraId="5707822E" w14:textId="77777777" w:rsidTr="00BF1242">
        <w:trPr>
          <w:trHeight w:val="600"/>
          <w:jc w:val="center"/>
        </w:trPr>
        <w:tc>
          <w:tcPr>
            <w:tcW w:w="8942" w:type="dxa"/>
            <w:shd w:val="clear" w:color="auto" w:fill="D9D9D9" w:themeFill="background1" w:themeFillShade="D9"/>
            <w:vAlign w:val="center"/>
            <w:hideMark/>
          </w:tcPr>
          <w:p w14:paraId="2D13433F" w14:textId="77777777" w:rsidR="00976CDF" w:rsidRPr="00765989" w:rsidRDefault="00976CDF" w:rsidP="00450573">
            <w:pPr>
              <w:pStyle w:val="Prrafodelista"/>
              <w:numPr>
                <w:ilvl w:val="0"/>
                <w:numId w:val="2"/>
              </w:numPr>
              <w:spacing w:after="0" w:line="240" w:lineRule="auto"/>
              <w:ind w:left="0" w:firstLine="0"/>
              <w:jc w:val="center"/>
              <w:rPr>
                <w:rFonts w:ascii="Century Gothic" w:eastAsia="Times New Roman" w:hAnsi="Century Gothic" w:cs="Times New Roman"/>
                <w:b/>
                <w:bCs/>
                <w:lang w:eastAsia="es-MX"/>
              </w:rPr>
            </w:pPr>
            <w:r w:rsidRPr="00765989">
              <w:rPr>
                <w:rFonts w:ascii="Century Gothic" w:eastAsia="Times New Roman" w:hAnsi="Century Gothic" w:cs="Times New Roman"/>
                <w:b/>
                <w:bCs/>
                <w:lang w:eastAsia="es-MX"/>
              </w:rPr>
              <w:t>Comentarios y aportaciones generales del participante</w:t>
            </w:r>
          </w:p>
        </w:tc>
      </w:tr>
      <w:tr w:rsidR="00976CDF" w:rsidRPr="00765989" w14:paraId="3F32B5F2" w14:textId="77777777" w:rsidTr="00BF1242">
        <w:trPr>
          <w:trHeight w:val="285"/>
          <w:jc w:val="center"/>
        </w:trPr>
        <w:tc>
          <w:tcPr>
            <w:tcW w:w="8942" w:type="dxa"/>
            <w:shd w:val="clear" w:color="000000" w:fill="FFFFFF"/>
            <w:noWrap/>
            <w:vAlign w:val="center"/>
            <w:hideMark/>
          </w:tcPr>
          <w:p w14:paraId="561A04B0" w14:textId="77777777" w:rsidR="00976CDF" w:rsidRPr="00765989" w:rsidRDefault="00976CDF" w:rsidP="00450573">
            <w:pPr>
              <w:spacing w:after="0" w:line="240" w:lineRule="auto"/>
              <w:jc w:val="center"/>
              <w:rPr>
                <w:rFonts w:ascii="Century Gothic" w:eastAsia="Times New Roman" w:hAnsi="Century Gothic" w:cs="Times New Roman"/>
                <w:color w:val="000000"/>
                <w:lang w:eastAsia="es-MX"/>
              </w:rPr>
            </w:pPr>
            <w:r w:rsidRPr="00765989">
              <w:rPr>
                <w:rFonts w:ascii="Century Gothic" w:eastAsia="Times New Roman" w:hAnsi="Century Gothic" w:cs="Times New Roman"/>
                <w:color w:val="000000"/>
                <w:lang w:eastAsia="es-MX"/>
              </w:rPr>
              <w:t> </w:t>
            </w:r>
          </w:p>
        </w:tc>
      </w:tr>
      <w:tr w:rsidR="00976CDF" w:rsidRPr="00765989" w14:paraId="5D5EFF33" w14:textId="77777777" w:rsidTr="00BF1242">
        <w:trPr>
          <w:trHeight w:val="315"/>
          <w:jc w:val="center"/>
        </w:trPr>
        <w:tc>
          <w:tcPr>
            <w:tcW w:w="8942" w:type="dxa"/>
            <w:shd w:val="clear" w:color="000000" w:fill="FFFFFF"/>
            <w:noWrap/>
            <w:vAlign w:val="center"/>
            <w:hideMark/>
          </w:tcPr>
          <w:p w14:paraId="177ACEDF" w14:textId="77777777" w:rsidR="00976CDF" w:rsidRPr="00765989" w:rsidRDefault="00976CDF" w:rsidP="00450573">
            <w:pPr>
              <w:spacing w:after="0" w:line="240" w:lineRule="auto"/>
              <w:jc w:val="center"/>
              <w:rPr>
                <w:rFonts w:ascii="Century Gothic" w:eastAsia="Times New Roman" w:hAnsi="Century Gothic" w:cs="Times New Roman"/>
                <w:color w:val="000000"/>
                <w:lang w:eastAsia="es-MX"/>
              </w:rPr>
            </w:pPr>
            <w:r w:rsidRPr="00765989">
              <w:rPr>
                <w:rFonts w:ascii="Century Gothic" w:eastAsia="Times New Roman" w:hAnsi="Century Gothic" w:cs="Times New Roman"/>
                <w:color w:val="000000"/>
                <w:lang w:eastAsia="es-MX"/>
              </w:rPr>
              <w:t> </w:t>
            </w:r>
          </w:p>
        </w:tc>
      </w:tr>
      <w:tr w:rsidR="00976CDF" w:rsidRPr="00765989" w14:paraId="337AF262" w14:textId="77777777" w:rsidTr="00BF1242">
        <w:trPr>
          <w:trHeight w:val="300"/>
          <w:jc w:val="center"/>
        </w:trPr>
        <w:tc>
          <w:tcPr>
            <w:tcW w:w="8942" w:type="dxa"/>
            <w:shd w:val="clear" w:color="000000" w:fill="FFFFFF"/>
            <w:noWrap/>
            <w:vAlign w:val="center"/>
            <w:hideMark/>
          </w:tcPr>
          <w:p w14:paraId="20713E97" w14:textId="77777777" w:rsidR="00976CDF" w:rsidRPr="00765989" w:rsidRDefault="00976CDF" w:rsidP="00450573">
            <w:pPr>
              <w:spacing w:after="0" w:line="240" w:lineRule="auto"/>
              <w:jc w:val="center"/>
              <w:rPr>
                <w:rFonts w:ascii="Century Gothic" w:eastAsia="Times New Roman" w:hAnsi="Century Gothic" w:cs="Times New Roman"/>
                <w:color w:val="000000"/>
                <w:lang w:eastAsia="es-MX"/>
              </w:rPr>
            </w:pPr>
            <w:r w:rsidRPr="00765989">
              <w:rPr>
                <w:rFonts w:ascii="Century Gothic" w:eastAsia="Times New Roman" w:hAnsi="Century Gothic" w:cs="Times New Roman"/>
                <w:color w:val="000000"/>
                <w:lang w:eastAsia="es-MX"/>
              </w:rPr>
              <w:t> </w:t>
            </w:r>
          </w:p>
        </w:tc>
      </w:tr>
      <w:tr w:rsidR="00976CDF" w:rsidRPr="00765989" w14:paraId="49308184" w14:textId="77777777" w:rsidTr="00BF1242">
        <w:trPr>
          <w:trHeight w:val="300"/>
          <w:jc w:val="center"/>
        </w:trPr>
        <w:tc>
          <w:tcPr>
            <w:tcW w:w="8942" w:type="dxa"/>
            <w:shd w:val="clear" w:color="000000" w:fill="FFFFFF"/>
            <w:noWrap/>
            <w:vAlign w:val="center"/>
          </w:tcPr>
          <w:p w14:paraId="0EB1770A" w14:textId="77777777" w:rsidR="00976CDF" w:rsidRPr="00765989" w:rsidRDefault="00976CDF" w:rsidP="00450573">
            <w:pPr>
              <w:spacing w:after="0" w:line="240" w:lineRule="auto"/>
              <w:jc w:val="center"/>
              <w:rPr>
                <w:rFonts w:ascii="Century Gothic" w:eastAsia="Times New Roman" w:hAnsi="Century Gothic" w:cs="Times New Roman"/>
                <w:color w:val="000000"/>
                <w:lang w:eastAsia="es-MX"/>
              </w:rPr>
            </w:pPr>
          </w:p>
        </w:tc>
      </w:tr>
      <w:tr w:rsidR="00976CDF" w:rsidRPr="00765989" w14:paraId="5246CE8A" w14:textId="77777777" w:rsidTr="00BF1242">
        <w:trPr>
          <w:trHeight w:val="300"/>
          <w:jc w:val="center"/>
        </w:trPr>
        <w:tc>
          <w:tcPr>
            <w:tcW w:w="8942" w:type="dxa"/>
            <w:shd w:val="clear" w:color="000000" w:fill="FFFFFF"/>
            <w:noWrap/>
            <w:vAlign w:val="center"/>
          </w:tcPr>
          <w:p w14:paraId="64E57859" w14:textId="77777777" w:rsidR="00976CDF" w:rsidRPr="00765989" w:rsidRDefault="00976CDF" w:rsidP="00450573">
            <w:pPr>
              <w:spacing w:after="0" w:line="240" w:lineRule="auto"/>
              <w:jc w:val="center"/>
              <w:rPr>
                <w:rFonts w:ascii="Century Gothic" w:eastAsia="Times New Roman" w:hAnsi="Century Gothic" w:cs="Times New Roman"/>
                <w:color w:val="000000"/>
                <w:lang w:eastAsia="es-MX"/>
              </w:rPr>
            </w:pPr>
          </w:p>
        </w:tc>
      </w:tr>
      <w:tr w:rsidR="00976CDF" w:rsidRPr="00765989" w14:paraId="03655C22" w14:textId="77777777" w:rsidTr="00BF1242">
        <w:trPr>
          <w:trHeight w:val="300"/>
          <w:jc w:val="center"/>
        </w:trPr>
        <w:tc>
          <w:tcPr>
            <w:tcW w:w="8942" w:type="dxa"/>
            <w:shd w:val="clear" w:color="auto" w:fill="C5E0B3" w:themeFill="accent6" w:themeFillTint="66"/>
            <w:noWrap/>
            <w:vAlign w:val="center"/>
          </w:tcPr>
          <w:p w14:paraId="016E66AB" w14:textId="77777777" w:rsidR="00976CDF" w:rsidRPr="00765989" w:rsidRDefault="00976CDF" w:rsidP="00450573">
            <w:pPr>
              <w:spacing w:after="0" w:line="240" w:lineRule="auto"/>
              <w:jc w:val="both"/>
              <w:rPr>
                <w:rFonts w:ascii="Century Gothic" w:eastAsia="Times New Roman" w:hAnsi="Century Gothic" w:cs="Times New Roman"/>
                <w:color w:val="000000"/>
                <w:lang w:eastAsia="es-MX"/>
              </w:rPr>
            </w:pPr>
            <w:r w:rsidRPr="00765989">
              <w:rPr>
                <w:rFonts w:ascii="Century Gothic" w:eastAsia="Times New Roman" w:hAnsi="Century Gothic" w:cs="Times New Roman"/>
                <w:b/>
                <w:color w:val="000000"/>
                <w:sz w:val="16"/>
                <w:lang w:eastAsia="es-MX"/>
              </w:rPr>
              <w:t xml:space="preserve">Nota: </w:t>
            </w:r>
            <w:r w:rsidRPr="00765989">
              <w:rPr>
                <w:rFonts w:ascii="Century Gothic" w:eastAsia="Times New Roman" w:hAnsi="Century Gothic" w:cs="Times New Roman"/>
                <w:color w:val="000000"/>
                <w:sz w:val="16"/>
                <w:lang w:eastAsia="es-MX"/>
              </w:rPr>
              <w:t>añadir cuantas filas considere necesarias.</w:t>
            </w:r>
          </w:p>
        </w:tc>
      </w:tr>
    </w:tbl>
    <w:p w14:paraId="66BCCAED" w14:textId="77777777" w:rsidR="00AA5F60" w:rsidRPr="00BF1242" w:rsidRDefault="00AA5F60" w:rsidP="00AA5F60">
      <w:pPr>
        <w:jc w:val="both"/>
        <w:rPr>
          <w:rFonts w:ascii="ITC Avant Garde" w:hAnsi="ITC Avant Garde"/>
          <w:sz w:val="16"/>
        </w:rPr>
      </w:pPr>
    </w:p>
    <w:sectPr w:rsidR="00AA5F60" w:rsidRPr="00BF1242" w:rsidSect="00F810BE">
      <w:headerReference w:type="even" r:id="rId12"/>
      <w:headerReference w:type="default" r:id="rId13"/>
      <w:footerReference w:type="even" r:id="rId14"/>
      <w:footerReference w:type="default" r:id="rId15"/>
      <w:headerReference w:type="first" r:id="rId16"/>
      <w:footerReference w:type="first" r:id="rId17"/>
      <w:pgSz w:w="12240" w:h="15840"/>
      <w:pgMar w:top="2410"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BAC03" w14:textId="77777777" w:rsidR="00347DE0" w:rsidRDefault="00347DE0" w:rsidP="0038199D">
      <w:pPr>
        <w:spacing w:after="0" w:line="240" w:lineRule="auto"/>
      </w:pPr>
      <w:r>
        <w:separator/>
      </w:r>
    </w:p>
  </w:endnote>
  <w:endnote w:type="continuationSeparator" w:id="0">
    <w:p w14:paraId="3E9317E8" w14:textId="77777777" w:rsidR="00347DE0" w:rsidRDefault="00347DE0"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E600F" w14:textId="77777777" w:rsidR="00154347" w:rsidRDefault="00154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9D7A4" w14:textId="77777777" w:rsidR="00DF154A" w:rsidRPr="00DF154A" w:rsidRDefault="00DF154A">
    <w:pPr>
      <w:tabs>
        <w:tab w:val="center" w:pos="4550"/>
        <w:tab w:val="left" w:pos="5818"/>
      </w:tabs>
      <w:ind w:right="260"/>
      <w:jc w:val="right"/>
      <w:rPr>
        <w:rFonts w:ascii="ITC Avant Garde" w:hAnsi="ITC Avant Garde"/>
        <w:color w:val="222A35" w:themeColor="text2" w:themeShade="80"/>
        <w:sz w:val="16"/>
        <w:szCs w:val="24"/>
      </w:rPr>
    </w:pPr>
    <w:r w:rsidRPr="00DF154A">
      <w:rPr>
        <w:rFonts w:ascii="ITC Avant Garde" w:hAnsi="ITC Avant Garde"/>
        <w:color w:val="8496B0" w:themeColor="text2" w:themeTint="99"/>
        <w:spacing w:val="60"/>
        <w:sz w:val="16"/>
        <w:szCs w:val="24"/>
        <w:lang w:val="es-ES"/>
      </w:rPr>
      <w:t>Página</w:t>
    </w:r>
    <w:r w:rsidRPr="00DF154A">
      <w:rPr>
        <w:rFonts w:ascii="ITC Avant Garde" w:hAnsi="ITC Avant Garde"/>
        <w:color w:val="8496B0" w:themeColor="text2" w:themeTint="99"/>
        <w:sz w:val="16"/>
        <w:szCs w:val="24"/>
        <w:lang w:val="es-ES"/>
      </w:rPr>
      <w:t xml:space="preserve">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PAGE   \* MERGEFORMAT</w:instrText>
    </w:r>
    <w:r w:rsidRPr="00DF154A">
      <w:rPr>
        <w:rFonts w:ascii="ITC Avant Garde" w:hAnsi="ITC Avant Garde"/>
        <w:color w:val="323E4F" w:themeColor="text2" w:themeShade="BF"/>
        <w:sz w:val="16"/>
        <w:szCs w:val="24"/>
      </w:rPr>
      <w:fldChar w:fldCharType="separate"/>
    </w:r>
    <w:r w:rsidR="00154347" w:rsidRPr="00154347">
      <w:rPr>
        <w:rFonts w:ascii="ITC Avant Garde" w:hAnsi="ITC Avant Garde"/>
        <w:noProof/>
        <w:color w:val="323E4F" w:themeColor="text2" w:themeShade="BF"/>
        <w:sz w:val="16"/>
        <w:szCs w:val="24"/>
        <w:lang w:val="es-ES"/>
      </w:rPr>
      <w:t>1</w:t>
    </w:r>
    <w:r w:rsidRPr="00DF154A">
      <w:rPr>
        <w:rFonts w:ascii="ITC Avant Garde" w:hAnsi="ITC Avant Garde"/>
        <w:color w:val="323E4F" w:themeColor="text2" w:themeShade="BF"/>
        <w:sz w:val="16"/>
        <w:szCs w:val="24"/>
      </w:rPr>
      <w:fldChar w:fldCharType="end"/>
    </w:r>
    <w:r w:rsidRPr="00DF154A">
      <w:rPr>
        <w:rFonts w:ascii="ITC Avant Garde" w:hAnsi="ITC Avant Garde"/>
        <w:color w:val="323E4F" w:themeColor="text2" w:themeShade="BF"/>
        <w:sz w:val="16"/>
        <w:szCs w:val="24"/>
        <w:lang w:val="es-ES"/>
      </w:rPr>
      <w:t xml:space="preserve"> | </w:t>
    </w:r>
    <w:r w:rsidRPr="00DF154A">
      <w:rPr>
        <w:rFonts w:ascii="ITC Avant Garde" w:hAnsi="ITC Avant Garde"/>
        <w:color w:val="323E4F" w:themeColor="text2" w:themeShade="BF"/>
        <w:sz w:val="16"/>
        <w:szCs w:val="24"/>
      </w:rPr>
      <w:fldChar w:fldCharType="begin"/>
    </w:r>
    <w:r w:rsidRPr="00DF154A">
      <w:rPr>
        <w:rFonts w:ascii="ITC Avant Garde" w:hAnsi="ITC Avant Garde"/>
        <w:color w:val="323E4F" w:themeColor="text2" w:themeShade="BF"/>
        <w:sz w:val="16"/>
        <w:szCs w:val="24"/>
      </w:rPr>
      <w:instrText>NUMPAGES  \* Arabic  \* MERGEFORMAT</w:instrText>
    </w:r>
    <w:r w:rsidRPr="00DF154A">
      <w:rPr>
        <w:rFonts w:ascii="ITC Avant Garde" w:hAnsi="ITC Avant Garde"/>
        <w:color w:val="323E4F" w:themeColor="text2" w:themeShade="BF"/>
        <w:sz w:val="16"/>
        <w:szCs w:val="24"/>
      </w:rPr>
      <w:fldChar w:fldCharType="separate"/>
    </w:r>
    <w:r w:rsidR="00154347" w:rsidRPr="00154347">
      <w:rPr>
        <w:rFonts w:ascii="ITC Avant Garde" w:hAnsi="ITC Avant Garde"/>
        <w:noProof/>
        <w:color w:val="323E4F" w:themeColor="text2" w:themeShade="BF"/>
        <w:sz w:val="16"/>
        <w:szCs w:val="24"/>
        <w:lang w:val="es-ES"/>
      </w:rPr>
      <w:t>9</w:t>
    </w:r>
    <w:r w:rsidRPr="00DF154A">
      <w:rPr>
        <w:rFonts w:ascii="ITC Avant Garde" w:hAnsi="ITC Avant Garde"/>
        <w:color w:val="323E4F" w:themeColor="text2" w:themeShade="BF"/>
        <w:sz w:val="16"/>
        <w:szCs w:val="24"/>
      </w:rPr>
      <w:fldChar w:fldCharType="end"/>
    </w:r>
  </w:p>
  <w:p w14:paraId="3B425DC9" w14:textId="77777777" w:rsidR="00DF154A" w:rsidRDefault="00DF15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525F5" w14:textId="77777777" w:rsidR="00154347" w:rsidRDefault="001543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7B1B6" w14:textId="77777777" w:rsidR="00347DE0" w:rsidRDefault="00347DE0" w:rsidP="0038199D">
      <w:pPr>
        <w:spacing w:after="0" w:line="240" w:lineRule="auto"/>
      </w:pPr>
      <w:r>
        <w:separator/>
      </w:r>
    </w:p>
  </w:footnote>
  <w:footnote w:type="continuationSeparator" w:id="0">
    <w:p w14:paraId="4986A8A1" w14:textId="77777777" w:rsidR="00347DE0" w:rsidRDefault="00347DE0" w:rsidP="0038199D">
      <w:pPr>
        <w:spacing w:after="0" w:line="240" w:lineRule="auto"/>
      </w:pPr>
      <w:r>
        <w:continuationSeparator/>
      </w:r>
    </w:p>
  </w:footnote>
  <w:footnote w:id="1">
    <w:p w14:paraId="412709F0" w14:textId="77777777" w:rsidR="00AA5F60" w:rsidRPr="00BD5082" w:rsidRDefault="00AA5F60" w:rsidP="00AA5F60">
      <w:pPr>
        <w:pStyle w:val="Textonotapie"/>
        <w:rPr>
          <w:lang w:val="es-ES"/>
        </w:rPr>
      </w:pPr>
      <w:r>
        <w:rPr>
          <w:rStyle w:val="Refdenotaalpie"/>
        </w:rPr>
        <w:footnoteRef/>
      </w:r>
      <w:r w:rsidRPr="00BD5082">
        <w:rPr>
          <w:lang w:val="es-MX"/>
        </w:rPr>
        <w:t xml:space="preserve"> </w:t>
      </w:r>
      <w:r w:rsidRPr="003C4A54">
        <w:rPr>
          <w:rFonts w:ascii="ITC Avant Garde" w:eastAsiaTheme="minorHAnsi" w:hAnsi="ITC Avant Garde" w:cstheme="minorBidi"/>
          <w:szCs w:val="22"/>
          <w:lang w:val="es-MX" w:eastAsia="en-US"/>
        </w:rPr>
        <w:t>Se hace notar que la red modelada incluye la infraestructura de soporte del cable de fibra (ductos, postes, pozos,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6F98" w14:textId="77777777" w:rsidR="00154347" w:rsidRDefault="001543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6A927" w14:textId="77777777" w:rsidR="0038199D" w:rsidRDefault="0038199D">
    <w:pPr>
      <w:pStyle w:val="Encabezado"/>
    </w:pPr>
    <w:r>
      <w:rPr>
        <w:noProof/>
        <w:lang w:eastAsia="es-MX"/>
      </w:rPr>
      <w:drawing>
        <wp:anchor distT="0" distB="0" distL="114300" distR="114300" simplePos="0" relativeHeight="251658240" behindDoc="1" locked="0" layoutInCell="1" allowOverlap="1" wp14:anchorId="18A03A52" wp14:editId="55EA0A18">
          <wp:simplePos x="0" y="0"/>
          <wp:positionH relativeFrom="margin">
            <wp:align>left</wp:align>
          </wp:positionH>
          <wp:positionV relativeFrom="paragraph">
            <wp:posOffset>10933</wp:posOffset>
          </wp:positionV>
          <wp:extent cx="1036320" cy="713105"/>
          <wp:effectExtent l="0" t="0" r="0" b="0"/>
          <wp:wrapNone/>
          <wp:docPr id="28" name="Imagen 28" descr="Logotipo del Instituto Federal de Telecomunicaciones" title="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713105"/>
                  </a:xfrm>
                  <a:prstGeom prst="rect">
                    <a:avLst/>
                  </a:prstGeom>
                  <a:noFill/>
                </pic:spPr>
              </pic:pic>
            </a:graphicData>
          </a:graphic>
          <wp14:sizeRelH relativeFrom="page">
            <wp14:pctWidth>0</wp14:pctWidth>
          </wp14:sizeRelH>
          <wp14:sizeRelV relativeFrom="page">
            <wp14:pctHeight>0</wp14:pctHeight>
          </wp14:sizeRelV>
        </wp:anchor>
      </w:drawing>
    </w:r>
  </w:p>
  <w:p w14:paraId="3CE3AB0F" w14:textId="1DEC7C40" w:rsidR="0038199D" w:rsidRPr="00B822AC" w:rsidRDefault="00154347" w:rsidP="00154347">
    <w:pPr>
      <w:pStyle w:val="Encabezado"/>
      <w:ind w:left="3119"/>
      <w:jc w:val="both"/>
      <w:rPr>
        <w:rFonts w:ascii="Century Gothic" w:hAnsi="Century Gothic"/>
      </w:rPr>
    </w:pPr>
    <w:r w:rsidRPr="00154347">
      <w:rPr>
        <w:rFonts w:ascii="Century Gothic" w:hAnsi="Century Gothic"/>
        <w:b/>
        <w:sz w:val="20"/>
      </w:rPr>
      <w:t>Consulta pública sobre el “Modelo de costos para determinar las tarifas de acceso para la desagregación del bucle local de fibra óptica del agente económico preponderante en el sector de las Telecomunicaciones”.</w:t>
    </w:r>
    <w:bookmarkStart w:id="2" w:name="_GoBack"/>
    <w:bookmarkEnd w:id="2"/>
  </w:p>
  <w:p w14:paraId="0526416F" w14:textId="77777777" w:rsidR="0038199D" w:rsidRDefault="0038199D">
    <w:pPr>
      <w:pStyle w:val="Encabezado"/>
    </w:pPr>
    <w:r>
      <w:rPr>
        <w:noProof/>
        <w:lang w:eastAsia="es-MX"/>
      </w:rPr>
      <mc:AlternateContent>
        <mc:Choice Requires="wps">
          <w:drawing>
            <wp:anchor distT="0" distB="0" distL="114300" distR="114300" simplePos="0" relativeHeight="251659264" behindDoc="1" locked="0" layoutInCell="1" allowOverlap="1" wp14:anchorId="0E921E4D" wp14:editId="16A132D0">
              <wp:simplePos x="0" y="0"/>
              <wp:positionH relativeFrom="column">
                <wp:posOffset>1241</wp:posOffset>
              </wp:positionH>
              <wp:positionV relativeFrom="paragraph">
                <wp:posOffset>74157</wp:posOffset>
              </wp:positionV>
              <wp:extent cx="5621573" cy="0"/>
              <wp:effectExtent l="0" t="0" r="36830" b="19050"/>
              <wp:wrapNone/>
              <wp:docPr id="2" name="Conector recto 2" title="conector recto"/>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9D56765" id="Conector recto 2" o:spid="_x0000_s1026" alt="Título: conector recto"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pt,5.85pt" to="44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" strokecolor="#70ad47 [3209]" strokeweight=".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3B493" w14:textId="77777777" w:rsidR="00154347" w:rsidRDefault="001543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478C7A7D"/>
    <w:multiLevelType w:val="multilevel"/>
    <w:tmpl w:val="22DA8182"/>
    <w:lvl w:ilvl="0">
      <w:start w:val="1"/>
      <w:numFmt w:val="decimal"/>
      <w:pStyle w:val="Ttulo1"/>
      <w:lvlText w:val="%1."/>
      <w:lvlJc w:val="left"/>
      <w:pPr>
        <w:ind w:left="360" w:hanging="360"/>
      </w:pPr>
      <w:rPr>
        <w:rFonts w:hint="default"/>
        <w:b/>
        <w:i w:val="0"/>
        <w:color w:val="000000" w:themeColor="text1"/>
        <w:sz w:val="24"/>
        <w:szCs w:val="24"/>
      </w:rPr>
    </w:lvl>
    <w:lvl w:ilvl="1">
      <w:start w:val="1"/>
      <w:numFmt w:val="decimal"/>
      <w:pStyle w:val="Ttulo2"/>
      <w:suff w:val="space"/>
      <w:lvlText w:val="%1.%2."/>
      <w:lvlJc w:val="left"/>
      <w:pPr>
        <w:ind w:left="357" w:hanging="357"/>
      </w:pPr>
      <w:rPr>
        <w:b/>
        <w:bCs w:val="0"/>
        <w:i w:val="0"/>
        <w:iCs w:val="0"/>
        <w:caps w:val="0"/>
        <w:smallCaps w:val="0"/>
        <w:strike w:val="0"/>
        <w:dstrike w:val="0"/>
        <w:noProof w:val="0"/>
        <w:vanish w:val="0"/>
        <w:spacing w:val="0"/>
        <w:kern w:val="0"/>
        <w:position w:val="0"/>
        <w:sz w:val="24"/>
        <w:szCs w:val="24"/>
        <w:u w:val="none"/>
        <w:vertAlign w:val="baseline"/>
        <w:em w:val="none"/>
      </w:rPr>
    </w:lvl>
    <w:lvl w:ilvl="2">
      <w:start w:val="1"/>
      <w:numFmt w:val="decimal"/>
      <w:pStyle w:val="Ttulo3"/>
      <w:suff w:val="space"/>
      <w:lvlText w:val="%1.%2.%3."/>
      <w:lvlJc w:val="left"/>
      <w:pPr>
        <w:ind w:left="357" w:hanging="357"/>
      </w:pPr>
      <w:rPr>
        <w:b/>
        <w:bCs w:val="0"/>
        <w:i w:val="0"/>
        <w:iCs w:val="0"/>
        <w:caps w:val="0"/>
        <w:smallCaps w:val="0"/>
        <w:strike w:val="0"/>
        <w:dstrike w:val="0"/>
        <w:noProof w:val="0"/>
        <w:vanish w:val="0"/>
        <w:color w:val="000000" w:themeColor="text1"/>
        <w:spacing w:val="0"/>
        <w:kern w:val="0"/>
        <w:position w:val="0"/>
        <w:u w:val="none"/>
        <w:vertAlign w:val="baseline"/>
        <w:em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0010E74"/>
    <w:multiLevelType w:val="hybridMultilevel"/>
    <w:tmpl w:val="CA363588"/>
    <w:lvl w:ilvl="0" w:tplc="E8FA7314">
      <w:start w:val="1"/>
      <w:numFmt w:val="bullet"/>
      <w:pStyle w:val="Indentado1"/>
      <w:lvlText w:val=""/>
      <w:lvlJc w:val="left"/>
      <w:pPr>
        <w:ind w:left="724" w:hanging="360"/>
      </w:pPr>
      <w:rPr>
        <w:rFonts w:ascii="Wingdings 3" w:hAnsi="Wingdings 3" w:hint="default"/>
        <w:color w:val="000000" w:themeColor="text1"/>
      </w:rPr>
    </w:lvl>
    <w:lvl w:ilvl="1" w:tplc="08090009">
      <w:start w:val="1"/>
      <w:numFmt w:val="bullet"/>
      <w:lvlText w:val=""/>
      <w:lvlJc w:val="left"/>
      <w:pPr>
        <w:ind w:left="1444" w:hanging="360"/>
      </w:pPr>
      <w:rPr>
        <w:rFonts w:ascii="Wingdings" w:hAnsi="Wingdings" w:hint="default"/>
      </w:rPr>
    </w:lvl>
    <w:lvl w:ilvl="2" w:tplc="5CB2B2B0">
      <w:start w:val="1"/>
      <w:numFmt w:val="bullet"/>
      <w:lvlText w:val=""/>
      <w:lvlJc w:val="left"/>
      <w:pPr>
        <w:ind w:left="2164" w:hanging="360"/>
      </w:pPr>
      <w:rPr>
        <w:rFonts w:ascii="Wingdings" w:hAnsi="Wingdings" w:hint="default"/>
      </w:rPr>
    </w:lvl>
    <w:lvl w:ilvl="3" w:tplc="82BCE016" w:tentative="1">
      <w:start w:val="1"/>
      <w:numFmt w:val="bullet"/>
      <w:lvlText w:val=""/>
      <w:lvlJc w:val="left"/>
      <w:pPr>
        <w:ind w:left="2884" w:hanging="360"/>
      </w:pPr>
      <w:rPr>
        <w:rFonts w:ascii="Symbol" w:hAnsi="Symbol" w:hint="default"/>
      </w:rPr>
    </w:lvl>
    <w:lvl w:ilvl="4" w:tplc="39CA5FCA" w:tentative="1">
      <w:start w:val="1"/>
      <w:numFmt w:val="bullet"/>
      <w:lvlText w:val="o"/>
      <w:lvlJc w:val="left"/>
      <w:pPr>
        <w:ind w:left="3604" w:hanging="360"/>
      </w:pPr>
      <w:rPr>
        <w:rFonts w:ascii="Courier New" w:hAnsi="Courier New" w:cs="Courier New" w:hint="default"/>
      </w:rPr>
    </w:lvl>
    <w:lvl w:ilvl="5" w:tplc="41C0CE64" w:tentative="1">
      <w:start w:val="1"/>
      <w:numFmt w:val="bullet"/>
      <w:lvlText w:val=""/>
      <w:lvlJc w:val="left"/>
      <w:pPr>
        <w:ind w:left="4324" w:hanging="360"/>
      </w:pPr>
      <w:rPr>
        <w:rFonts w:ascii="Wingdings" w:hAnsi="Wingdings" w:hint="default"/>
      </w:rPr>
    </w:lvl>
    <w:lvl w:ilvl="6" w:tplc="8BE65F3E" w:tentative="1">
      <w:start w:val="1"/>
      <w:numFmt w:val="bullet"/>
      <w:lvlText w:val=""/>
      <w:lvlJc w:val="left"/>
      <w:pPr>
        <w:ind w:left="5044" w:hanging="360"/>
      </w:pPr>
      <w:rPr>
        <w:rFonts w:ascii="Symbol" w:hAnsi="Symbol" w:hint="default"/>
      </w:rPr>
    </w:lvl>
    <w:lvl w:ilvl="7" w:tplc="676860F6" w:tentative="1">
      <w:start w:val="1"/>
      <w:numFmt w:val="bullet"/>
      <w:lvlText w:val="o"/>
      <w:lvlJc w:val="left"/>
      <w:pPr>
        <w:ind w:left="5764" w:hanging="360"/>
      </w:pPr>
      <w:rPr>
        <w:rFonts w:ascii="Courier New" w:hAnsi="Courier New" w:cs="Courier New" w:hint="default"/>
      </w:rPr>
    </w:lvl>
    <w:lvl w:ilvl="8" w:tplc="36E8C918" w:tentative="1">
      <w:start w:val="1"/>
      <w:numFmt w:val="bullet"/>
      <w:lvlText w:val=""/>
      <w:lvlJc w:val="left"/>
      <w:pPr>
        <w:ind w:left="6484" w:hanging="360"/>
      </w:pPr>
      <w:rPr>
        <w:rFonts w:ascii="Wingdings" w:hAnsi="Wingdings" w:hint="default"/>
      </w:rPr>
    </w:lvl>
  </w:abstractNum>
  <w:abstractNum w:abstractNumId="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7FA"/>
    <w:rsid w:val="00006F08"/>
    <w:rsid w:val="000135D6"/>
    <w:rsid w:val="00022EB8"/>
    <w:rsid w:val="0002358C"/>
    <w:rsid w:val="00045BD1"/>
    <w:rsid w:val="00046227"/>
    <w:rsid w:val="00087ABC"/>
    <w:rsid w:val="000A3F1E"/>
    <w:rsid w:val="000C73E2"/>
    <w:rsid w:val="000E1184"/>
    <w:rsid w:val="000F512B"/>
    <w:rsid w:val="00137F01"/>
    <w:rsid w:val="0015107A"/>
    <w:rsid w:val="00154230"/>
    <w:rsid w:val="00154347"/>
    <w:rsid w:val="00192E56"/>
    <w:rsid w:val="00197AD8"/>
    <w:rsid w:val="001A7F55"/>
    <w:rsid w:val="001B2D64"/>
    <w:rsid w:val="001B529C"/>
    <w:rsid w:val="001F2E50"/>
    <w:rsid w:val="00203A10"/>
    <w:rsid w:val="0021137C"/>
    <w:rsid w:val="00213103"/>
    <w:rsid w:val="00213BA9"/>
    <w:rsid w:val="00217E5B"/>
    <w:rsid w:val="0025638C"/>
    <w:rsid w:val="002659AF"/>
    <w:rsid w:val="00265F15"/>
    <w:rsid w:val="002667F8"/>
    <w:rsid w:val="0027216D"/>
    <w:rsid w:val="00274F6F"/>
    <w:rsid w:val="002822F5"/>
    <w:rsid w:val="002A3B49"/>
    <w:rsid w:val="002C1168"/>
    <w:rsid w:val="002C58C9"/>
    <w:rsid w:val="002D2400"/>
    <w:rsid w:val="002E05A1"/>
    <w:rsid w:val="002F4398"/>
    <w:rsid w:val="00314FDC"/>
    <w:rsid w:val="003475C9"/>
    <w:rsid w:val="00347DE0"/>
    <w:rsid w:val="00351C8B"/>
    <w:rsid w:val="00367331"/>
    <w:rsid w:val="0038199D"/>
    <w:rsid w:val="00394980"/>
    <w:rsid w:val="003A1A0F"/>
    <w:rsid w:val="003A7A31"/>
    <w:rsid w:val="003C4A54"/>
    <w:rsid w:val="003D5645"/>
    <w:rsid w:val="003E64F2"/>
    <w:rsid w:val="003F1EF8"/>
    <w:rsid w:val="003F29D2"/>
    <w:rsid w:val="00402A05"/>
    <w:rsid w:val="00403736"/>
    <w:rsid w:val="00424E67"/>
    <w:rsid w:val="00443DCE"/>
    <w:rsid w:val="0046015E"/>
    <w:rsid w:val="00493447"/>
    <w:rsid w:val="004A1212"/>
    <w:rsid w:val="004D5AFC"/>
    <w:rsid w:val="00553C47"/>
    <w:rsid w:val="005573BC"/>
    <w:rsid w:val="00565783"/>
    <w:rsid w:val="005B3C14"/>
    <w:rsid w:val="005B6C3A"/>
    <w:rsid w:val="005F1B5B"/>
    <w:rsid w:val="0060507B"/>
    <w:rsid w:val="00617A53"/>
    <w:rsid w:val="00623761"/>
    <w:rsid w:val="00626ACA"/>
    <w:rsid w:val="00674459"/>
    <w:rsid w:val="0068301C"/>
    <w:rsid w:val="00686CCE"/>
    <w:rsid w:val="006B4B5A"/>
    <w:rsid w:val="006C602F"/>
    <w:rsid w:val="006D367B"/>
    <w:rsid w:val="006D5231"/>
    <w:rsid w:val="006E580D"/>
    <w:rsid w:val="006E7918"/>
    <w:rsid w:val="006F7DBF"/>
    <w:rsid w:val="00765989"/>
    <w:rsid w:val="007752EE"/>
    <w:rsid w:val="00785F00"/>
    <w:rsid w:val="007A28D1"/>
    <w:rsid w:val="007B66EB"/>
    <w:rsid w:val="007D15EF"/>
    <w:rsid w:val="007D19A4"/>
    <w:rsid w:val="007D4A23"/>
    <w:rsid w:val="00805441"/>
    <w:rsid w:val="00817C9A"/>
    <w:rsid w:val="008238FF"/>
    <w:rsid w:val="00841312"/>
    <w:rsid w:val="00884127"/>
    <w:rsid w:val="008A63DD"/>
    <w:rsid w:val="008B08A4"/>
    <w:rsid w:val="008B0CE5"/>
    <w:rsid w:val="008C2725"/>
    <w:rsid w:val="008C43D1"/>
    <w:rsid w:val="008E0C7B"/>
    <w:rsid w:val="008E6264"/>
    <w:rsid w:val="00912332"/>
    <w:rsid w:val="00916E83"/>
    <w:rsid w:val="009400D8"/>
    <w:rsid w:val="009466F8"/>
    <w:rsid w:val="009500A0"/>
    <w:rsid w:val="00976CDF"/>
    <w:rsid w:val="009D0B37"/>
    <w:rsid w:val="009D4B16"/>
    <w:rsid w:val="009F0C1A"/>
    <w:rsid w:val="009F1994"/>
    <w:rsid w:val="00A263F4"/>
    <w:rsid w:val="00A362E7"/>
    <w:rsid w:val="00A454F4"/>
    <w:rsid w:val="00A469E2"/>
    <w:rsid w:val="00A61567"/>
    <w:rsid w:val="00AA2FB0"/>
    <w:rsid w:val="00AA5F60"/>
    <w:rsid w:val="00AB4F4C"/>
    <w:rsid w:val="00AB5669"/>
    <w:rsid w:val="00AC0ECF"/>
    <w:rsid w:val="00AD7CFC"/>
    <w:rsid w:val="00AE40D6"/>
    <w:rsid w:val="00AF23F6"/>
    <w:rsid w:val="00AF2666"/>
    <w:rsid w:val="00B1369E"/>
    <w:rsid w:val="00B17F49"/>
    <w:rsid w:val="00B325A0"/>
    <w:rsid w:val="00B70313"/>
    <w:rsid w:val="00B7382F"/>
    <w:rsid w:val="00B73C82"/>
    <w:rsid w:val="00B822AC"/>
    <w:rsid w:val="00BA61C2"/>
    <w:rsid w:val="00BB4F1C"/>
    <w:rsid w:val="00BC1780"/>
    <w:rsid w:val="00BE6DF3"/>
    <w:rsid w:val="00BF1242"/>
    <w:rsid w:val="00BF4ABA"/>
    <w:rsid w:val="00BF5D18"/>
    <w:rsid w:val="00C1513C"/>
    <w:rsid w:val="00C265D9"/>
    <w:rsid w:val="00C309A8"/>
    <w:rsid w:val="00C322B5"/>
    <w:rsid w:val="00C3305C"/>
    <w:rsid w:val="00C3349E"/>
    <w:rsid w:val="00C347CD"/>
    <w:rsid w:val="00C4685E"/>
    <w:rsid w:val="00C85817"/>
    <w:rsid w:val="00CB37EA"/>
    <w:rsid w:val="00CC0CE8"/>
    <w:rsid w:val="00CD1415"/>
    <w:rsid w:val="00CD7D4D"/>
    <w:rsid w:val="00CF44E9"/>
    <w:rsid w:val="00D06EB5"/>
    <w:rsid w:val="00D16C0B"/>
    <w:rsid w:val="00D33CD4"/>
    <w:rsid w:val="00D349CA"/>
    <w:rsid w:val="00D81361"/>
    <w:rsid w:val="00DA3FED"/>
    <w:rsid w:val="00DD1A6A"/>
    <w:rsid w:val="00DD436B"/>
    <w:rsid w:val="00DD69C6"/>
    <w:rsid w:val="00DE57A8"/>
    <w:rsid w:val="00DF154A"/>
    <w:rsid w:val="00DF6621"/>
    <w:rsid w:val="00DF66B3"/>
    <w:rsid w:val="00E04501"/>
    <w:rsid w:val="00E27561"/>
    <w:rsid w:val="00E53390"/>
    <w:rsid w:val="00E5501D"/>
    <w:rsid w:val="00E561E6"/>
    <w:rsid w:val="00E72421"/>
    <w:rsid w:val="00E95E12"/>
    <w:rsid w:val="00EA109B"/>
    <w:rsid w:val="00EA49CE"/>
    <w:rsid w:val="00EA7F1E"/>
    <w:rsid w:val="00EB2DD7"/>
    <w:rsid w:val="00ED508B"/>
    <w:rsid w:val="00F030E0"/>
    <w:rsid w:val="00F15912"/>
    <w:rsid w:val="00F3001E"/>
    <w:rsid w:val="00F400B5"/>
    <w:rsid w:val="00F470D9"/>
    <w:rsid w:val="00F5764D"/>
    <w:rsid w:val="00F63BCA"/>
    <w:rsid w:val="00F810BE"/>
    <w:rsid w:val="00F87F23"/>
    <w:rsid w:val="00FA10E6"/>
    <w:rsid w:val="00FA348F"/>
    <w:rsid w:val="00FE1B77"/>
    <w:rsid w:val="00FE218D"/>
    <w:rsid w:val="00FE2568"/>
    <w:rsid w:val="00FF0731"/>
    <w:rsid w:val="00FF0ACC"/>
    <w:rsid w:val="00FF68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C67FD"/>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1,1,H1,l1,level 1 heading"/>
    <w:basedOn w:val="Ttulo2"/>
    <w:next w:val="Normal"/>
    <w:link w:val="Ttulo1Car"/>
    <w:qFormat/>
    <w:rsid w:val="00AA5F60"/>
    <w:pPr>
      <w:numPr>
        <w:ilvl w:val="0"/>
      </w:numPr>
      <w:outlineLvl w:val="0"/>
    </w:pPr>
    <w:rPr>
      <w:sz w:val="40"/>
    </w:rPr>
  </w:style>
  <w:style w:type="paragraph" w:styleId="Ttulo2">
    <w:name w:val="heading 2"/>
    <w:aliases w:val="Titulo 2,KJL:1st Level,2,l2,level 2 heading"/>
    <w:basedOn w:val="Normal"/>
    <w:next w:val="Normal"/>
    <w:link w:val="Ttulo2Car"/>
    <w:qFormat/>
    <w:rsid w:val="00AA5F60"/>
    <w:pPr>
      <w:keepNext/>
      <w:numPr>
        <w:ilvl w:val="1"/>
        <w:numId w:val="3"/>
      </w:numPr>
      <w:spacing w:before="480" w:after="240" w:line="336" w:lineRule="auto"/>
      <w:jc w:val="both"/>
      <w:outlineLvl w:val="1"/>
    </w:pPr>
    <w:rPr>
      <w:rFonts w:ascii="Verdana" w:eastAsia="Times New Roman" w:hAnsi="Verdana" w:cs="Arial"/>
      <w:b/>
      <w:bCs/>
      <w:iCs/>
      <w:color w:val="5B9BD5" w:themeColor="accent1"/>
      <w:sz w:val="28"/>
      <w:szCs w:val="28"/>
      <w:lang w:val="en-GB" w:eastAsia="es-ES"/>
    </w:rPr>
  </w:style>
  <w:style w:type="paragraph" w:styleId="Ttulo3">
    <w:name w:val="heading 3"/>
    <w:basedOn w:val="Normal"/>
    <w:next w:val="Normal"/>
    <w:link w:val="Ttulo3Car"/>
    <w:qFormat/>
    <w:rsid w:val="00AA5F60"/>
    <w:pPr>
      <w:keepNext/>
      <w:numPr>
        <w:ilvl w:val="2"/>
        <w:numId w:val="3"/>
      </w:numPr>
      <w:spacing w:before="360" w:after="120" w:line="336" w:lineRule="auto"/>
      <w:jc w:val="both"/>
      <w:outlineLvl w:val="2"/>
    </w:pPr>
    <w:rPr>
      <w:rFonts w:ascii="Verdana" w:eastAsia="Times New Roman" w:hAnsi="Verdana" w:cs="Arial"/>
      <w:b/>
      <w:bCs/>
      <w:color w:val="5B9BD5" w:themeColor="accent1"/>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AB5669"/>
    <w:rPr>
      <w:color w:val="0563C1" w:themeColor="hyperlink"/>
      <w:u w:val="single"/>
    </w:rPr>
  </w:style>
  <w:style w:type="character" w:styleId="Hipervnculovisitado">
    <w:name w:val="FollowedHyperlink"/>
    <w:basedOn w:val="Fuentedeprrafopredeter"/>
    <w:uiPriority w:val="99"/>
    <w:semiHidden/>
    <w:unhideWhenUsed/>
    <w:rsid w:val="00C3305C"/>
    <w:rPr>
      <w:color w:val="954F72" w:themeColor="followedHyperlink"/>
      <w:u w:val="single"/>
    </w:rPr>
  </w:style>
  <w:style w:type="character" w:styleId="Refdecomentario">
    <w:name w:val="annotation reference"/>
    <w:basedOn w:val="Fuentedeprrafopredeter"/>
    <w:uiPriority w:val="99"/>
    <w:semiHidden/>
    <w:unhideWhenUsed/>
    <w:rsid w:val="00DE57A8"/>
    <w:rPr>
      <w:sz w:val="16"/>
      <w:szCs w:val="16"/>
    </w:rPr>
  </w:style>
  <w:style w:type="paragraph" w:styleId="Textocomentario">
    <w:name w:val="annotation text"/>
    <w:basedOn w:val="Normal"/>
    <w:link w:val="TextocomentarioCar"/>
    <w:uiPriority w:val="99"/>
    <w:semiHidden/>
    <w:unhideWhenUsed/>
    <w:rsid w:val="00DE57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57A8"/>
    <w:rPr>
      <w:sz w:val="20"/>
      <w:szCs w:val="20"/>
    </w:rPr>
  </w:style>
  <w:style w:type="paragraph" w:styleId="Asuntodelcomentario">
    <w:name w:val="annotation subject"/>
    <w:basedOn w:val="Textocomentario"/>
    <w:next w:val="Textocomentario"/>
    <w:link w:val="AsuntodelcomentarioCar"/>
    <w:uiPriority w:val="99"/>
    <w:semiHidden/>
    <w:unhideWhenUsed/>
    <w:rsid w:val="00DE57A8"/>
    <w:rPr>
      <w:b/>
      <w:bCs/>
    </w:rPr>
  </w:style>
  <w:style w:type="character" w:customStyle="1" w:styleId="AsuntodelcomentarioCar">
    <w:name w:val="Asunto del comentario Car"/>
    <w:basedOn w:val="TextocomentarioCar"/>
    <w:link w:val="Asuntodelcomentario"/>
    <w:uiPriority w:val="99"/>
    <w:semiHidden/>
    <w:rsid w:val="00DE57A8"/>
    <w:rPr>
      <w:b/>
      <w:bCs/>
      <w:sz w:val="20"/>
      <w:szCs w:val="20"/>
    </w:rPr>
  </w:style>
  <w:style w:type="paragraph" w:styleId="Textodeglobo">
    <w:name w:val="Balloon Text"/>
    <w:basedOn w:val="Normal"/>
    <w:link w:val="TextodegloboCar"/>
    <w:uiPriority w:val="99"/>
    <w:semiHidden/>
    <w:unhideWhenUsed/>
    <w:rsid w:val="00DE57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57A8"/>
    <w:rPr>
      <w:rFonts w:ascii="Segoe UI" w:hAnsi="Segoe UI" w:cs="Segoe UI"/>
      <w:sz w:val="18"/>
      <w:szCs w:val="18"/>
    </w:rPr>
  </w:style>
  <w:style w:type="paragraph" w:styleId="Revisin">
    <w:name w:val="Revision"/>
    <w:hidden/>
    <w:uiPriority w:val="99"/>
    <w:semiHidden/>
    <w:rsid w:val="00D33CD4"/>
    <w:pPr>
      <w:spacing w:after="0" w:line="240" w:lineRule="auto"/>
    </w:pPr>
  </w:style>
  <w:style w:type="character" w:customStyle="1" w:styleId="Ttulo1Car">
    <w:name w:val="Título 1 Car"/>
    <w:aliases w:val="Título1 Car,1 Car,H1 Car,l1 Car,level 1 heading Car"/>
    <w:basedOn w:val="Fuentedeprrafopredeter"/>
    <w:link w:val="Ttulo1"/>
    <w:rsid w:val="00AA5F60"/>
    <w:rPr>
      <w:rFonts w:ascii="Verdana" w:eastAsia="Times New Roman" w:hAnsi="Verdana" w:cs="Arial"/>
      <w:b/>
      <w:bCs/>
      <w:iCs/>
      <w:color w:val="5B9BD5" w:themeColor="accent1"/>
      <w:sz w:val="40"/>
      <w:szCs w:val="28"/>
      <w:lang w:val="en-GB" w:eastAsia="es-ES"/>
    </w:rPr>
  </w:style>
  <w:style w:type="character" w:customStyle="1" w:styleId="Ttulo2Car">
    <w:name w:val="Título 2 Car"/>
    <w:aliases w:val="Titulo 2 Car,KJL:1st Level Car,2 Car,l2 Car,level 2 heading Car"/>
    <w:basedOn w:val="Fuentedeprrafopredeter"/>
    <w:link w:val="Ttulo2"/>
    <w:rsid w:val="00AA5F60"/>
    <w:rPr>
      <w:rFonts w:ascii="Verdana" w:eastAsia="Times New Roman" w:hAnsi="Verdana" w:cs="Arial"/>
      <w:b/>
      <w:bCs/>
      <w:iCs/>
      <w:color w:val="5B9BD5" w:themeColor="accent1"/>
      <w:sz w:val="28"/>
      <w:szCs w:val="28"/>
      <w:lang w:val="en-GB" w:eastAsia="es-ES"/>
    </w:rPr>
  </w:style>
  <w:style w:type="character" w:customStyle="1" w:styleId="Ttulo3Car">
    <w:name w:val="Título 3 Car"/>
    <w:basedOn w:val="Fuentedeprrafopredeter"/>
    <w:link w:val="Ttulo3"/>
    <w:rsid w:val="00AA5F60"/>
    <w:rPr>
      <w:rFonts w:ascii="Verdana" w:eastAsia="Times New Roman" w:hAnsi="Verdana" w:cs="Arial"/>
      <w:b/>
      <w:bCs/>
      <w:color w:val="5B9BD5" w:themeColor="accent1"/>
      <w:sz w:val="24"/>
      <w:szCs w:val="24"/>
      <w:lang w:val="en-GB" w:eastAsia="es-ES"/>
    </w:rPr>
  </w:style>
  <w:style w:type="paragraph" w:styleId="Descripcin">
    <w:name w:val="caption"/>
    <w:basedOn w:val="Normal"/>
    <w:next w:val="Normal"/>
    <w:link w:val="DescripcinCar"/>
    <w:uiPriority w:val="99"/>
    <w:qFormat/>
    <w:rsid w:val="00AA5F60"/>
    <w:pPr>
      <w:spacing w:before="60" w:after="360" w:line="336" w:lineRule="auto"/>
      <w:jc w:val="center"/>
    </w:pPr>
    <w:rPr>
      <w:rFonts w:ascii="Verdana" w:eastAsia="Times New Roman" w:hAnsi="Verdana" w:cs="Times New Roman"/>
      <w:b/>
      <w:bCs/>
      <w:sz w:val="16"/>
      <w:szCs w:val="20"/>
      <w:lang w:val="en-GB" w:eastAsia="es-ES"/>
    </w:rPr>
  </w:style>
  <w:style w:type="character" w:customStyle="1" w:styleId="DescripcinCar">
    <w:name w:val="Descripción Car"/>
    <w:basedOn w:val="Fuentedeprrafopredeter"/>
    <w:link w:val="Descripcin"/>
    <w:uiPriority w:val="99"/>
    <w:rsid w:val="00AA5F60"/>
    <w:rPr>
      <w:rFonts w:ascii="Verdana" w:eastAsia="Times New Roman" w:hAnsi="Verdana" w:cs="Times New Roman"/>
      <w:b/>
      <w:bCs/>
      <w:sz w:val="16"/>
      <w:szCs w:val="20"/>
      <w:lang w:val="en-GB" w:eastAsia="es-ES"/>
    </w:rPr>
  </w:style>
  <w:style w:type="paragraph" w:styleId="Textonotapie">
    <w:name w:val="footnote text"/>
    <w:basedOn w:val="Normal"/>
    <w:link w:val="TextonotapieCar"/>
    <w:uiPriority w:val="99"/>
    <w:rsid w:val="00AA5F60"/>
    <w:pPr>
      <w:spacing w:after="0" w:line="240" w:lineRule="auto"/>
      <w:jc w:val="both"/>
    </w:pPr>
    <w:rPr>
      <w:rFonts w:ascii="Verdana" w:eastAsia="Times New Roman" w:hAnsi="Verdana" w:cs="Times New Roman"/>
      <w:sz w:val="16"/>
      <w:szCs w:val="20"/>
      <w:lang w:val="en-GB" w:eastAsia="es-ES"/>
    </w:rPr>
  </w:style>
  <w:style w:type="character" w:customStyle="1" w:styleId="TextonotapieCar">
    <w:name w:val="Texto nota pie Car"/>
    <w:basedOn w:val="Fuentedeprrafopredeter"/>
    <w:link w:val="Textonotapie"/>
    <w:uiPriority w:val="99"/>
    <w:rsid w:val="00AA5F60"/>
    <w:rPr>
      <w:rFonts w:ascii="Verdana" w:eastAsia="Times New Roman" w:hAnsi="Verdana" w:cs="Times New Roman"/>
      <w:sz w:val="16"/>
      <w:szCs w:val="20"/>
      <w:lang w:val="en-GB" w:eastAsia="es-ES"/>
    </w:rPr>
  </w:style>
  <w:style w:type="character" w:styleId="Refdenotaalpie">
    <w:name w:val="footnote reference"/>
    <w:basedOn w:val="Fuentedeprrafopredeter"/>
    <w:uiPriority w:val="99"/>
    <w:rsid w:val="00AA5F60"/>
    <w:rPr>
      <w:vertAlign w:val="superscript"/>
    </w:rPr>
  </w:style>
  <w:style w:type="paragraph" w:customStyle="1" w:styleId="Indentado1">
    <w:name w:val="Indentado 1"/>
    <w:basedOn w:val="Normal"/>
    <w:qFormat/>
    <w:rsid w:val="00AA5F60"/>
    <w:pPr>
      <w:numPr>
        <w:numId w:val="4"/>
      </w:numPr>
      <w:spacing w:after="0" w:line="336" w:lineRule="auto"/>
      <w:ind w:left="357" w:hanging="357"/>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qFormat/>
    <w:rsid w:val="00AA5F60"/>
    <w:pPr>
      <w:spacing w:before="240"/>
      <w:contextualSpacing/>
    </w:pPr>
  </w:style>
  <w:style w:type="character" w:customStyle="1" w:styleId="Indentation1Char">
    <w:name w:val="Indentation 1 Char"/>
    <w:basedOn w:val="Fuentedeprrafopredeter"/>
    <w:link w:val="Indentation1"/>
    <w:rsid w:val="00AA5F60"/>
    <w:rPr>
      <w:rFonts w:ascii="Verdana" w:eastAsia="Times New Roman" w:hAnsi="Verdana" w:cs="Times New Roman"/>
      <w:sz w:val="20"/>
      <w:szCs w:val="24"/>
      <w:lang w:val="en-GB" w:eastAsia="es-ES"/>
    </w:rPr>
  </w:style>
  <w:style w:type="table" w:styleId="Tablaconcuadrcula">
    <w:name w:val="Table Grid"/>
    <w:basedOn w:val="Tablanormal"/>
    <w:uiPriority w:val="59"/>
    <w:rsid w:val="00AA5F6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delodecostos@ift.org.m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sar.zamora@ift.org.m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ft.org.mx/industria/consultas-publica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6900CEA7BB4DFCAAB5CDE8DFBBDADA"/>
        <w:category>
          <w:name w:val="General"/>
          <w:gallery w:val="placeholder"/>
        </w:category>
        <w:types>
          <w:type w:val="bbPlcHdr"/>
        </w:types>
        <w:behaviors>
          <w:behavior w:val="content"/>
        </w:behaviors>
        <w:guid w:val="{B52EFC3B-06B1-4DAC-8062-319FFDF76502}"/>
      </w:docPartPr>
      <w:docPartBody>
        <w:p w:rsidR="00830765" w:rsidRDefault="00657B57" w:rsidP="00657B57">
          <w:pPr>
            <w:pStyle w:val="636900CEA7BB4DFCAAB5CDE8DFBBDAD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505C6"/>
    <w:rsid w:val="000C5A0E"/>
    <w:rsid w:val="001148F4"/>
    <w:rsid w:val="00144B3A"/>
    <w:rsid w:val="00156A7D"/>
    <w:rsid w:val="00175200"/>
    <w:rsid w:val="001B0E8D"/>
    <w:rsid w:val="00263141"/>
    <w:rsid w:val="002C27E6"/>
    <w:rsid w:val="002F42A2"/>
    <w:rsid w:val="003035DA"/>
    <w:rsid w:val="00313BD5"/>
    <w:rsid w:val="00420513"/>
    <w:rsid w:val="00431006"/>
    <w:rsid w:val="004423AF"/>
    <w:rsid w:val="004936AB"/>
    <w:rsid w:val="004A3D58"/>
    <w:rsid w:val="00506116"/>
    <w:rsid w:val="00560402"/>
    <w:rsid w:val="005701D4"/>
    <w:rsid w:val="00580148"/>
    <w:rsid w:val="005B0959"/>
    <w:rsid w:val="005C3703"/>
    <w:rsid w:val="005C3F90"/>
    <w:rsid w:val="005F5A1D"/>
    <w:rsid w:val="005F6D96"/>
    <w:rsid w:val="006379EF"/>
    <w:rsid w:val="00652B87"/>
    <w:rsid w:val="00657B57"/>
    <w:rsid w:val="00684C1B"/>
    <w:rsid w:val="006D07FB"/>
    <w:rsid w:val="006D30F5"/>
    <w:rsid w:val="006D73E1"/>
    <w:rsid w:val="006E4003"/>
    <w:rsid w:val="006F5650"/>
    <w:rsid w:val="007633D8"/>
    <w:rsid w:val="007D6779"/>
    <w:rsid w:val="00830765"/>
    <w:rsid w:val="009157C3"/>
    <w:rsid w:val="009A1401"/>
    <w:rsid w:val="00A05CDE"/>
    <w:rsid w:val="00AA7D06"/>
    <w:rsid w:val="00AD0CEA"/>
    <w:rsid w:val="00B06DD1"/>
    <w:rsid w:val="00B42A4D"/>
    <w:rsid w:val="00B7035B"/>
    <w:rsid w:val="00B91BB1"/>
    <w:rsid w:val="00BE4C33"/>
    <w:rsid w:val="00C81C1E"/>
    <w:rsid w:val="00D50FA4"/>
    <w:rsid w:val="00DC4998"/>
    <w:rsid w:val="00E25027"/>
    <w:rsid w:val="00EB2CCF"/>
    <w:rsid w:val="00EB5E1E"/>
    <w:rsid w:val="00ED3952"/>
    <w:rsid w:val="00EE7585"/>
    <w:rsid w:val="00EF6B0B"/>
    <w:rsid w:val="00F53041"/>
    <w:rsid w:val="00F56188"/>
    <w:rsid w:val="00F840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A1401"/>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636900CEA7BB4DFCAAB5CDE8DFBBDADA">
    <w:name w:val="636900CEA7BB4DFCAAB5CDE8DFBBDADA"/>
    <w:rsid w:val="00657B57"/>
  </w:style>
  <w:style w:type="paragraph" w:customStyle="1" w:styleId="F158549879884B29B05F804B2DB61849">
    <w:name w:val="F158549879884B29B05F804B2DB61849"/>
    <w:rsid w:val="00657B57"/>
  </w:style>
  <w:style w:type="paragraph" w:customStyle="1" w:styleId="0CC7011C715A4542AB1FAB3F45F0725D">
    <w:name w:val="0CC7011C715A4542AB1FAB3F45F0725D"/>
    <w:rsid w:val="00EE7585"/>
  </w:style>
  <w:style w:type="paragraph" w:customStyle="1" w:styleId="0078E46D47034CBAB590617FF2D63D7B">
    <w:name w:val="0078E46D47034CBAB590617FF2D63D7B"/>
    <w:rsid w:val="00EE7585"/>
  </w:style>
  <w:style w:type="paragraph" w:customStyle="1" w:styleId="5666B4749ECE4CE8B00E1B5B25D855E2">
    <w:name w:val="5666B4749ECE4CE8B00E1B5B25D855E2"/>
    <w:rsid w:val="00EE7585"/>
  </w:style>
  <w:style w:type="paragraph" w:customStyle="1" w:styleId="FBCDE058E6134744921363DB993A1DF6">
    <w:name w:val="FBCDE058E6134744921363DB993A1DF6"/>
    <w:rsid w:val="00EE7585"/>
  </w:style>
  <w:style w:type="paragraph" w:customStyle="1" w:styleId="BE0CA9BBF611400991F96BF9A73DCB16">
    <w:name w:val="BE0CA9BBF611400991F96BF9A73DCB16"/>
    <w:rsid w:val="00EE7585"/>
  </w:style>
  <w:style w:type="paragraph" w:customStyle="1" w:styleId="0B926C8655894855A2BECA45D78092DF">
    <w:name w:val="0B926C8655894855A2BECA45D78092DF"/>
    <w:rsid w:val="00EE7585"/>
  </w:style>
  <w:style w:type="paragraph" w:customStyle="1" w:styleId="3675CE7C9F4D492AB6B73DD168568B86">
    <w:name w:val="3675CE7C9F4D492AB6B73DD168568B86"/>
    <w:rsid w:val="00EE7585"/>
  </w:style>
  <w:style w:type="paragraph" w:customStyle="1" w:styleId="88C66A45735E49989C4A6EB58F07BF95">
    <w:name w:val="88C66A45735E49989C4A6EB58F07BF95"/>
    <w:rsid w:val="00EE7585"/>
  </w:style>
  <w:style w:type="paragraph" w:customStyle="1" w:styleId="6F288A734A2E49AEAAB604BCDD6B5C6A">
    <w:name w:val="6F288A734A2E49AEAAB604BCDD6B5C6A"/>
    <w:rsid w:val="00EE7585"/>
  </w:style>
  <w:style w:type="paragraph" w:customStyle="1" w:styleId="DA8829D275314960854D598F3DD8D537">
    <w:name w:val="DA8829D275314960854D598F3DD8D537"/>
    <w:rsid w:val="00EE7585"/>
  </w:style>
  <w:style w:type="paragraph" w:customStyle="1" w:styleId="00E552BDC07F47DBB06CBC0DA71B3E09">
    <w:name w:val="00E552BDC07F47DBB06CBC0DA71B3E09"/>
    <w:rsid w:val="00EE7585"/>
  </w:style>
  <w:style w:type="paragraph" w:customStyle="1" w:styleId="8536E3A16C6B4A2CAEC277560D71981C">
    <w:name w:val="8536E3A16C6B4A2CAEC277560D71981C"/>
    <w:rsid w:val="00EE7585"/>
  </w:style>
  <w:style w:type="paragraph" w:customStyle="1" w:styleId="DA46B4D299294D41986981E4CEADD886">
    <w:name w:val="DA46B4D299294D41986981E4CEADD886"/>
    <w:rsid w:val="00EE7585"/>
  </w:style>
  <w:style w:type="paragraph" w:customStyle="1" w:styleId="7DD4E29DBC054B929C9BB6564F6D9129">
    <w:name w:val="7DD4E29DBC054B929C9BB6564F6D9129"/>
    <w:rsid w:val="005F6D96"/>
  </w:style>
  <w:style w:type="paragraph" w:customStyle="1" w:styleId="0028F3C073334D209B10239FC7D0415E">
    <w:name w:val="0028F3C073334D209B10239FC7D0415E"/>
    <w:rsid w:val="005F6D96"/>
  </w:style>
  <w:style w:type="paragraph" w:customStyle="1" w:styleId="EB5BEA8452074761B097EF2B81E9C0A4">
    <w:name w:val="EB5BEA8452074761B097EF2B81E9C0A4"/>
    <w:rsid w:val="005F6D96"/>
  </w:style>
  <w:style w:type="paragraph" w:customStyle="1" w:styleId="AC9E6F2540844B67959CE1C7827E128A">
    <w:name w:val="AC9E6F2540844B67959CE1C7827E128A"/>
    <w:rsid w:val="005F6D96"/>
  </w:style>
  <w:style w:type="paragraph" w:customStyle="1" w:styleId="463E59041DAE4565AAA6908EFFD69616">
    <w:name w:val="463E59041DAE4565AAA6908EFFD69616"/>
    <w:rsid w:val="006E4003"/>
  </w:style>
  <w:style w:type="paragraph" w:customStyle="1" w:styleId="AD393B1E8E034864AD1B0124ED2DED18">
    <w:name w:val="AD393B1E8E034864AD1B0124ED2DED18"/>
    <w:rsid w:val="006E4003"/>
  </w:style>
  <w:style w:type="paragraph" w:customStyle="1" w:styleId="07FA4BFF4591436AACF8FF330318B6FB">
    <w:name w:val="07FA4BFF4591436AACF8FF330318B6FB"/>
    <w:rsid w:val="006E4003"/>
  </w:style>
  <w:style w:type="paragraph" w:customStyle="1" w:styleId="C9B1A2474C1D4C1B8CD35A1074DB6235">
    <w:name w:val="C9B1A2474C1D4C1B8CD35A1074DB6235"/>
    <w:rsid w:val="006E4003"/>
  </w:style>
  <w:style w:type="paragraph" w:customStyle="1" w:styleId="EB9582616A334ED99E15008EFD08EA91">
    <w:name w:val="EB9582616A334ED99E15008EFD08EA91"/>
    <w:rsid w:val="006E4003"/>
  </w:style>
  <w:style w:type="paragraph" w:customStyle="1" w:styleId="4B40626BE00C4C788FA74737BD4AB2AA">
    <w:name w:val="4B40626BE00C4C788FA74737BD4AB2AA"/>
    <w:rsid w:val="006E4003"/>
  </w:style>
  <w:style w:type="paragraph" w:customStyle="1" w:styleId="98411647D14A409AAB189827A72294F4">
    <w:name w:val="98411647D14A409AAB189827A72294F4"/>
    <w:rsid w:val="006E4003"/>
  </w:style>
  <w:style w:type="paragraph" w:customStyle="1" w:styleId="099C85950B7C45C1870570CE53B10991">
    <w:name w:val="099C85950B7C45C1870570CE53B10991"/>
    <w:rsid w:val="006E4003"/>
  </w:style>
  <w:style w:type="paragraph" w:customStyle="1" w:styleId="A3B605BFFD9642299424A6B7EEAEE53A">
    <w:name w:val="A3B605BFFD9642299424A6B7EEAEE53A"/>
    <w:rsid w:val="006E4003"/>
  </w:style>
  <w:style w:type="paragraph" w:customStyle="1" w:styleId="F2D31CEE6ED646FB907B503381CFE26A">
    <w:name w:val="F2D31CEE6ED646FB907B503381CFE26A"/>
    <w:rsid w:val="006E4003"/>
  </w:style>
  <w:style w:type="paragraph" w:customStyle="1" w:styleId="FDDB427B3E124713ABDA0F17F2C8F298">
    <w:name w:val="FDDB427B3E124713ABDA0F17F2C8F298"/>
    <w:rsid w:val="006E4003"/>
  </w:style>
  <w:style w:type="paragraph" w:customStyle="1" w:styleId="4B98490BB2D84712BDEC94D8D20B9D4E">
    <w:name w:val="4B98490BB2D84712BDEC94D8D20B9D4E"/>
    <w:rsid w:val="006E4003"/>
  </w:style>
  <w:style w:type="paragraph" w:customStyle="1" w:styleId="CA96E5CB530740DFA98CB513E3C3F7C6">
    <w:name w:val="CA96E5CB530740DFA98CB513E3C3F7C6"/>
    <w:rsid w:val="006E4003"/>
  </w:style>
  <w:style w:type="paragraph" w:customStyle="1" w:styleId="FC6F2B85647A4EB3A64AD020D5E402E2">
    <w:name w:val="FC6F2B85647A4EB3A64AD020D5E402E2"/>
    <w:rsid w:val="006E4003"/>
  </w:style>
  <w:style w:type="paragraph" w:customStyle="1" w:styleId="D2BCC11D86214D289BF6A73238DCA8FF">
    <w:name w:val="D2BCC11D86214D289BF6A73238DCA8FF"/>
    <w:rsid w:val="006E4003"/>
  </w:style>
  <w:style w:type="paragraph" w:customStyle="1" w:styleId="75A8E53A24AC479DAE41B74D99E03487">
    <w:name w:val="75A8E53A24AC479DAE41B74D99E03487"/>
    <w:rsid w:val="006E4003"/>
  </w:style>
  <w:style w:type="paragraph" w:customStyle="1" w:styleId="5E8598CD0F494C329D6EA3166EED0CA1">
    <w:name w:val="5E8598CD0F494C329D6EA3166EED0CA1"/>
    <w:rsid w:val="009A1401"/>
  </w:style>
  <w:style w:type="paragraph" w:customStyle="1" w:styleId="2D8787030A9F4A5BA650421DB83D13AE">
    <w:name w:val="2D8787030A9F4A5BA650421DB83D13AE"/>
    <w:rsid w:val="009A1401"/>
  </w:style>
  <w:style w:type="paragraph" w:customStyle="1" w:styleId="AE35E7E6C96B4D11B0E53254DCA2AAC3">
    <w:name w:val="AE35E7E6C96B4D11B0E53254DCA2AAC3"/>
    <w:rsid w:val="009A1401"/>
  </w:style>
  <w:style w:type="paragraph" w:customStyle="1" w:styleId="140F476B28EA456FA89AE93630F134BD">
    <w:name w:val="140F476B28EA456FA89AE93630F134BD"/>
    <w:rsid w:val="009A1401"/>
  </w:style>
  <w:style w:type="paragraph" w:customStyle="1" w:styleId="17A1600C461644ADB6EA750480D01ED0">
    <w:name w:val="17A1600C461644ADB6EA750480D01ED0"/>
    <w:rsid w:val="009A1401"/>
  </w:style>
  <w:style w:type="paragraph" w:customStyle="1" w:styleId="70308927C3CD4116A3884087B7E861B1">
    <w:name w:val="70308927C3CD4116A3884087B7E861B1"/>
    <w:rsid w:val="009A1401"/>
  </w:style>
  <w:style w:type="paragraph" w:customStyle="1" w:styleId="C483362240D7450E892456F4ED3A7EEB">
    <w:name w:val="C483362240D7450E892456F4ED3A7EEB"/>
    <w:rsid w:val="009A1401"/>
  </w:style>
  <w:style w:type="paragraph" w:customStyle="1" w:styleId="E6B4DE79EC014ACAABA62ECB1026905E">
    <w:name w:val="E6B4DE79EC014ACAABA62ECB1026905E"/>
    <w:rsid w:val="009A1401"/>
  </w:style>
  <w:style w:type="paragraph" w:customStyle="1" w:styleId="66FE3C57F79A41F3AE976036B224C009">
    <w:name w:val="66FE3C57F79A41F3AE976036B224C009"/>
    <w:rsid w:val="009A1401"/>
  </w:style>
  <w:style w:type="paragraph" w:customStyle="1" w:styleId="BB9A7ADFC0094A43A37CFAC2D16037CE">
    <w:name w:val="BB9A7ADFC0094A43A37CFAC2D16037CE"/>
    <w:rsid w:val="009A1401"/>
  </w:style>
  <w:style w:type="paragraph" w:customStyle="1" w:styleId="3F4F63D3AFDB44E89CD9B64CF913A962">
    <w:name w:val="3F4F63D3AFDB44E89CD9B64CF913A962"/>
    <w:rsid w:val="009A1401"/>
  </w:style>
  <w:style w:type="paragraph" w:customStyle="1" w:styleId="5711487E6B1240A8996E57FA0581258F">
    <w:name w:val="5711487E6B1240A8996E57FA0581258F"/>
    <w:rsid w:val="009A1401"/>
  </w:style>
  <w:style w:type="paragraph" w:customStyle="1" w:styleId="C1D32A6CA3E045DCBB3B1E5D74DAF15C">
    <w:name w:val="C1D32A6CA3E045DCBB3B1E5D74DAF15C"/>
    <w:rsid w:val="009A1401"/>
  </w:style>
  <w:style w:type="paragraph" w:customStyle="1" w:styleId="38716A5AAA3D479A9469800E53E36A37">
    <w:name w:val="38716A5AAA3D479A9469800E53E36A37"/>
    <w:rsid w:val="009A1401"/>
  </w:style>
  <w:style w:type="paragraph" w:customStyle="1" w:styleId="68DE78C665804E78B2406189746EBB08">
    <w:name w:val="68DE78C665804E78B2406189746EBB08"/>
    <w:rsid w:val="009A1401"/>
  </w:style>
  <w:style w:type="paragraph" w:customStyle="1" w:styleId="85B84335582A4B2192E98B88ACC9AB0F">
    <w:name w:val="85B84335582A4B2192E98B88ACC9AB0F"/>
    <w:rsid w:val="009A14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456CB-8D21-4988-AA40-612B7EB6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2713</Words>
  <Characters>14927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Mirian Amaro Lopez</cp:lastModifiedBy>
  <cp:revision>2</cp:revision>
  <cp:lastPrinted>2016-08-29T22:22:00Z</cp:lastPrinted>
  <dcterms:created xsi:type="dcterms:W3CDTF">2016-09-15T00:37:00Z</dcterms:created>
  <dcterms:modified xsi:type="dcterms:W3CDTF">2016-09-15T00:37:00Z</dcterms:modified>
</cp:coreProperties>
</file>