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738133" w14:textId="77777777" w:rsidR="00A10DF6" w:rsidRDefault="00A10DF6" w:rsidP="00A10DF6">
      <w:pPr>
        <w:spacing w:after="0" w:line="240" w:lineRule="auto"/>
        <w:jc w:val="both"/>
        <w:rPr>
          <w:rFonts w:ascii="ITC Avant Garde" w:hAnsi="ITC Avant Garde"/>
          <w:b/>
        </w:rPr>
      </w:pPr>
      <w:r w:rsidRPr="002E1A2C">
        <w:rPr>
          <w:rFonts w:ascii="ITC Avant Garde" w:hAnsi="ITC Avant Garde"/>
          <w:b/>
        </w:rPr>
        <w:t>ACUERDO MEDIANTE EL CUAL EL PLENO DEL INSTITUTO FEDERAL DE TELECOMUNICACIONES EXPIDE LA GUÍA DEL PROGRAMA DE INMUNIDAD Y REDUCCIÓN DE SANCIONES PARA LOS SECTORES DE TELECOMUNICACIONES Y RADIODIFUSIÓN.</w:t>
      </w:r>
    </w:p>
    <w:p w14:paraId="5C986884" w14:textId="77777777" w:rsidR="00E97A2F" w:rsidRPr="002E1A2C" w:rsidRDefault="00E97A2F" w:rsidP="00A10DF6">
      <w:pPr>
        <w:spacing w:after="0" w:line="240" w:lineRule="auto"/>
        <w:jc w:val="both"/>
        <w:rPr>
          <w:rFonts w:ascii="ITC Avant Garde" w:hAnsi="ITC Avant Garde"/>
          <w:b/>
        </w:rPr>
      </w:pPr>
    </w:p>
    <w:p w14:paraId="30BBEC8A" w14:textId="77777777" w:rsidR="00A10DF6" w:rsidRPr="002E1A2C" w:rsidRDefault="00A10DF6" w:rsidP="00A10DF6">
      <w:pPr>
        <w:pStyle w:val="Default"/>
        <w:jc w:val="center"/>
        <w:rPr>
          <w:rFonts w:ascii="ITC Avant Garde" w:hAnsi="ITC Avant Garde"/>
          <w:b/>
          <w:bCs/>
          <w:color w:val="auto"/>
          <w:sz w:val="22"/>
          <w:szCs w:val="22"/>
          <w:lang w:val="pt-BR"/>
        </w:rPr>
      </w:pPr>
      <w:r w:rsidRPr="002E1A2C">
        <w:rPr>
          <w:rFonts w:ascii="ITC Avant Garde" w:hAnsi="ITC Avant Garde"/>
          <w:b/>
          <w:bCs/>
          <w:color w:val="auto"/>
          <w:sz w:val="22"/>
          <w:szCs w:val="22"/>
          <w:lang w:val="pt-BR"/>
        </w:rPr>
        <w:t>A N T E C E D E N T E S</w:t>
      </w:r>
    </w:p>
    <w:p w14:paraId="346E2F05" w14:textId="77777777" w:rsidR="00A10DF6" w:rsidRPr="002E1A2C" w:rsidRDefault="00A10DF6" w:rsidP="00A10DF6">
      <w:pPr>
        <w:pStyle w:val="Default"/>
        <w:jc w:val="both"/>
        <w:rPr>
          <w:rFonts w:ascii="ITC Avant Garde" w:hAnsi="ITC Avant Garde"/>
          <w:b/>
          <w:bCs/>
          <w:color w:val="auto"/>
          <w:sz w:val="22"/>
          <w:szCs w:val="22"/>
          <w:lang w:val="pt-BR"/>
        </w:rPr>
      </w:pPr>
    </w:p>
    <w:p w14:paraId="020EB14E" w14:textId="52256A18" w:rsidR="00A10DF6" w:rsidRPr="002E1A2C" w:rsidRDefault="00A10DF6" w:rsidP="00A10DF6">
      <w:pPr>
        <w:spacing w:after="0" w:line="240" w:lineRule="auto"/>
        <w:ind w:left="426" w:hanging="568"/>
        <w:jc w:val="both"/>
        <w:rPr>
          <w:rFonts w:ascii="ITC Avant Garde" w:hAnsi="ITC Avant Garde"/>
        </w:rPr>
      </w:pPr>
      <w:r w:rsidRPr="002E1A2C">
        <w:rPr>
          <w:rFonts w:ascii="ITC Avant Garde" w:hAnsi="ITC Avant Garde"/>
          <w:b/>
        </w:rPr>
        <w:t>I.</w:t>
      </w:r>
      <w:r w:rsidRPr="002E1A2C">
        <w:rPr>
          <w:rFonts w:ascii="ITC Avant Garde" w:hAnsi="ITC Avant Garde"/>
          <w:b/>
        </w:rPr>
        <w:tab/>
      </w:r>
      <w:r w:rsidRPr="002E1A2C">
        <w:rPr>
          <w:rFonts w:ascii="ITC Avant Garde" w:hAnsi="ITC Avant Garde"/>
        </w:rPr>
        <w:t>El once de junio de dos mil trece se publicó en el Diario Oficial de la Federación (DOF) el “</w:t>
      </w:r>
      <w:r w:rsidRPr="002E1A2C">
        <w:rPr>
          <w:rFonts w:ascii="ITC Avant Garde" w:hAnsi="ITC Avant Garde"/>
          <w:i/>
        </w:rPr>
        <w:t>D</w:t>
      </w:r>
      <w:r w:rsidR="00335EC3" w:rsidRPr="002E1A2C">
        <w:rPr>
          <w:rFonts w:ascii="ITC Avant Garde" w:hAnsi="ITC Avant Garde"/>
          <w:i/>
        </w:rPr>
        <w:t xml:space="preserve">ECRETO </w:t>
      </w:r>
      <w:r w:rsidRPr="002E1A2C">
        <w:rPr>
          <w:rFonts w:ascii="ITC Avant Garde" w:hAnsi="ITC Avant Garde"/>
          <w:i/>
        </w:rPr>
        <w:t>por el que se reforman y adicionan diversas disposiciones de los artículos 6o., 7o., 27, 28, 73, 78, 94 y 105 de la Constitución Política de los Estados Unidos Mexicanos, en materia de telecomunicaciones</w:t>
      </w:r>
      <w:r w:rsidRPr="002E1A2C">
        <w:rPr>
          <w:rFonts w:ascii="ITC Avant Garde" w:hAnsi="ITC Avant Garde"/>
        </w:rPr>
        <w:t>”</w:t>
      </w:r>
      <w:r w:rsidRPr="002E1A2C">
        <w:rPr>
          <w:rFonts w:ascii="ITC Avant Garde" w:hAnsi="ITC Avant Garde"/>
          <w:i/>
        </w:rPr>
        <w:t>,</w:t>
      </w:r>
      <w:r w:rsidRPr="002E1A2C">
        <w:rPr>
          <w:rFonts w:ascii="ITC Avant Garde" w:hAnsi="ITC Avant Garde"/>
        </w:rPr>
        <w:t xml:space="preserve"> por medio del cual se creó al Instituto Federal de Telecomunicaciones (Instituto) como un órgano autónomo con personalidad jurídica y patrimonio propio</w:t>
      </w:r>
      <w:r w:rsidR="001062CB" w:rsidRPr="002E1A2C">
        <w:rPr>
          <w:rFonts w:ascii="ITC Avant Garde" w:hAnsi="ITC Avant Garde"/>
        </w:rPr>
        <w:t>, que tiene por objeto el desarrollo eficiente de la radiodifusión y las telecomunicaciones,</w:t>
      </w:r>
      <w:r w:rsidR="007D6163" w:rsidRPr="002E1A2C">
        <w:rPr>
          <w:rFonts w:ascii="ITC Avant Garde" w:hAnsi="ITC Avant Garde"/>
        </w:rPr>
        <w:t xml:space="preserve"> conforme a lo dispuesto en la</w:t>
      </w:r>
      <w:r w:rsidR="001062CB" w:rsidRPr="002E1A2C">
        <w:rPr>
          <w:rFonts w:ascii="ITC Avant Garde" w:hAnsi="ITC Avant Garde"/>
        </w:rPr>
        <w:t xml:space="preserve"> Constitución</w:t>
      </w:r>
      <w:r w:rsidR="00D72432" w:rsidRPr="002E1A2C">
        <w:rPr>
          <w:rFonts w:ascii="ITC Avant Garde" w:hAnsi="ITC Avant Garde"/>
        </w:rPr>
        <w:t xml:space="preserve"> Política de los Estados Unidos Mexicanos (Constitución)</w:t>
      </w:r>
      <w:r w:rsidR="001062CB" w:rsidRPr="002E1A2C">
        <w:rPr>
          <w:rFonts w:ascii="ITC Avant Garde" w:hAnsi="ITC Avant Garde"/>
        </w:rPr>
        <w:t xml:space="preserve"> y </w:t>
      </w:r>
      <w:r w:rsidR="003F61ED" w:rsidRPr="002E1A2C">
        <w:rPr>
          <w:rFonts w:ascii="ITC Avant Garde" w:hAnsi="ITC Avant Garde"/>
        </w:rPr>
        <w:t>en los</w:t>
      </w:r>
      <w:r w:rsidR="001062CB" w:rsidRPr="002E1A2C">
        <w:rPr>
          <w:rFonts w:ascii="ITC Avant Garde" w:hAnsi="ITC Avant Garde"/>
        </w:rPr>
        <w:t xml:space="preserve"> términos que fijen las leyes, por lo que, tendrá a su cargo, </w:t>
      </w:r>
      <w:r w:rsidRPr="002E1A2C">
        <w:rPr>
          <w:rFonts w:ascii="ITC Avant Garde" w:hAnsi="ITC Avant Garde"/>
        </w:rPr>
        <w:t xml:space="preserve">regular, promover y supervisar el uso, aprovechamiento y explotación del espectro radioeléctrico, las redes y la prestación de los servicios de radiodifusión y telecomunicaciones, </w:t>
      </w:r>
      <w:r w:rsidR="001062CB" w:rsidRPr="002E1A2C">
        <w:rPr>
          <w:rFonts w:ascii="ITC Avant Garde" w:hAnsi="ITC Avant Garde"/>
        </w:rPr>
        <w:t xml:space="preserve">además de ser </w:t>
      </w:r>
      <w:r w:rsidRPr="002E1A2C">
        <w:rPr>
          <w:rFonts w:ascii="ITC Avant Garde" w:hAnsi="ITC Avant Garde"/>
        </w:rPr>
        <w:t>la autoridad en materia de competencia económica en los sectores antes aludidos.</w:t>
      </w:r>
    </w:p>
    <w:p w14:paraId="08B4B2B0" w14:textId="77777777" w:rsidR="00A10DF6" w:rsidRPr="002E1A2C" w:rsidRDefault="00A10DF6" w:rsidP="00A10DF6">
      <w:pPr>
        <w:spacing w:after="0" w:line="240" w:lineRule="auto"/>
        <w:ind w:left="426" w:hanging="426"/>
        <w:jc w:val="both"/>
        <w:rPr>
          <w:rFonts w:ascii="ITC Avant Garde" w:hAnsi="ITC Avant Garde"/>
        </w:rPr>
      </w:pPr>
    </w:p>
    <w:p w14:paraId="1737CA02" w14:textId="768D9886" w:rsidR="00A10DF6" w:rsidRPr="002E1A2C" w:rsidRDefault="00A10DF6" w:rsidP="00A10DF6">
      <w:pPr>
        <w:spacing w:after="0" w:line="240" w:lineRule="auto"/>
        <w:ind w:left="426" w:hanging="568"/>
        <w:jc w:val="both"/>
        <w:rPr>
          <w:rFonts w:ascii="ITC Avant Garde" w:hAnsi="ITC Avant Garde"/>
        </w:rPr>
      </w:pPr>
      <w:r w:rsidRPr="002E1A2C">
        <w:rPr>
          <w:rFonts w:ascii="ITC Avant Garde" w:hAnsi="ITC Avant Garde"/>
          <w:b/>
        </w:rPr>
        <w:t>II.</w:t>
      </w:r>
      <w:r w:rsidRPr="002E1A2C">
        <w:rPr>
          <w:rFonts w:ascii="ITC Avant Garde" w:hAnsi="ITC Avant Garde"/>
          <w:b/>
        </w:rPr>
        <w:tab/>
      </w:r>
      <w:r w:rsidRPr="002E1A2C">
        <w:rPr>
          <w:rFonts w:ascii="ITC Avant Garde" w:hAnsi="ITC Avant Garde"/>
        </w:rPr>
        <w:t>El veintitrés de mayo de dos mil catorce se publicó en el DOF el “</w:t>
      </w:r>
      <w:r w:rsidRPr="002E1A2C">
        <w:rPr>
          <w:rFonts w:ascii="ITC Avant Garde" w:hAnsi="ITC Avant Garde"/>
          <w:i/>
        </w:rPr>
        <w:t>D</w:t>
      </w:r>
      <w:r w:rsidR="00186546" w:rsidRPr="002E1A2C">
        <w:rPr>
          <w:rFonts w:ascii="ITC Avant Garde" w:hAnsi="ITC Avant Garde"/>
          <w:i/>
        </w:rPr>
        <w:t xml:space="preserve">ECRETO </w:t>
      </w:r>
      <w:r w:rsidRPr="002E1A2C">
        <w:rPr>
          <w:rFonts w:ascii="ITC Avant Garde" w:hAnsi="ITC Avant Garde"/>
          <w:i/>
        </w:rPr>
        <w:t>por el que se expide la Ley Federal de Competencia Económica y se reforman y adicionan diversos artículos del Código Penal Federal</w:t>
      </w:r>
      <w:r w:rsidRPr="002E1A2C">
        <w:rPr>
          <w:rFonts w:ascii="ITC Avant Garde" w:hAnsi="ITC Avant Garde"/>
        </w:rPr>
        <w:t xml:space="preserve">”, por virtud del cual </w:t>
      </w:r>
      <w:r w:rsidR="00186546" w:rsidRPr="002E1A2C">
        <w:rPr>
          <w:rFonts w:ascii="ITC Avant Garde" w:hAnsi="ITC Avant Garde"/>
        </w:rPr>
        <w:t xml:space="preserve">se </w:t>
      </w:r>
      <w:r w:rsidR="003B5595" w:rsidRPr="002E1A2C">
        <w:rPr>
          <w:rFonts w:ascii="ITC Avant Garde" w:hAnsi="ITC Avant Garde"/>
        </w:rPr>
        <w:t xml:space="preserve">emite </w:t>
      </w:r>
      <w:r w:rsidRPr="002E1A2C">
        <w:rPr>
          <w:rFonts w:ascii="ITC Avant Garde" w:hAnsi="ITC Avant Garde"/>
        </w:rPr>
        <w:t xml:space="preserve">la Ley Federal </w:t>
      </w:r>
      <w:r w:rsidR="00B97C62" w:rsidRPr="002E1A2C">
        <w:rPr>
          <w:rFonts w:ascii="ITC Avant Garde" w:hAnsi="ITC Avant Garde"/>
        </w:rPr>
        <w:t>de Competencia Económica (LFCE)</w:t>
      </w:r>
      <w:r w:rsidRPr="002E1A2C">
        <w:rPr>
          <w:rFonts w:ascii="ITC Avant Garde" w:hAnsi="ITC Avant Garde"/>
        </w:rPr>
        <w:t>.</w:t>
      </w:r>
    </w:p>
    <w:p w14:paraId="524D5E72" w14:textId="77777777" w:rsidR="00A10DF6" w:rsidRPr="002E1A2C" w:rsidRDefault="00A10DF6" w:rsidP="00A10DF6">
      <w:pPr>
        <w:spacing w:after="0" w:line="240" w:lineRule="auto"/>
        <w:ind w:left="426" w:hanging="426"/>
        <w:jc w:val="both"/>
        <w:rPr>
          <w:rFonts w:ascii="ITC Avant Garde" w:hAnsi="ITC Avant Garde"/>
        </w:rPr>
      </w:pPr>
    </w:p>
    <w:p w14:paraId="7D2D210D" w14:textId="63BA08FA" w:rsidR="00A10DF6" w:rsidRPr="002E1A2C" w:rsidRDefault="00A10DF6" w:rsidP="00A10DF6">
      <w:pPr>
        <w:spacing w:after="0" w:line="240" w:lineRule="auto"/>
        <w:ind w:left="426" w:hanging="568"/>
        <w:jc w:val="both"/>
        <w:rPr>
          <w:rFonts w:ascii="ITC Avant Garde" w:hAnsi="ITC Avant Garde"/>
        </w:rPr>
      </w:pPr>
      <w:r w:rsidRPr="002E1A2C">
        <w:rPr>
          <w:rFonts w:ascii="ITC Avant Garde" w:hAnsi="ITC Avant Garde"/>
          <w:b/>
        </w:rPr>
        <w:t>III</w:t>
      </w:r>
      <w:r w:rsidRPr="002E1A2C">
        <w:rPr>
          <w:rFonts w:ascii="ITC Avant Garde" w:hAnsi="ITC Avant Garde"/>
        </w:rPr>
        <w:t>.</w:t>
      </w:r>
      <w:r w:rsidRPr="002E1A2C">
        <w:rPr>
          <w:rFonts w:ascii="ITC Avant Garde" w:hAnsi="ITC Avant Garde"/>
        </w:rPr>
        <w:tab/>
        <w:t>El catorce de julio de dos mil catorce se publicó en el DOF el “</w:t>
      </w:r>
      <w:r w:rsidRPr="002E1A2C">
        <w:rPr>
          <w:rFonts w:ascii="ITC Avant Garde" w:hAnsi="ITC Avant Garde"/>
          <w:i/>
        </w:rPr>
        <w:t>D</w:t>
      </w:r>
      <w:r w:rsidR="00186546" w:rsidRPr="002E1A2C">
        <w:rPr>
          <w:rFonts w:ascii="ITC Avant Garde" w:hAnsi="ITC Avant Garde"/>
          <w:i/>
        </w:rPr>
        <w:t xml:space="preserve">ECRETO </w:t>
      </w:r>
      <w:r w:rsidRPr="002E1A2C">
        <w:rPr>
          <w:rFonts w:ascii="ITC Avant Garde" w:hAnsi="ITC Avant Garde"/>
          <w:i/>
        </w:rPr>
        <w:t>por el que se expiden la Ley Federal de Telecomunicaciones y Radiodifusión, y la Ley del Sistema Público de Radiodifusión del Estado Mexicano; y se reforman, adicionan y derogan diversas disposiciones en materia de telecomunicaciones y radiodifusión</w:t>
      </w:r>
      <w:r w:rsidRPr="002E1A2C">
        <w:rPr>
          <w:rFonts w:ascii="ITC Avant Garde" w:hAnsi="ITC Avant Garde"/>
        </w:rPr>
        <w:t>”</w:t>
      </w:r>
      <w:r w:rsidR="00033263" w:rsidRPr="002E1A2C">
        <w:rPr>
          <w:rFonts w:ascii="ITC Avant Garde" w:hAnsi="ITC Avant Garde"/>
        </w:rPr>
        <w:t>.</w:t>
      </w:r>
    </w:p>
    <w:p w14:paraId="4759EBF4" w14:textId="77777777" w:rsidR="00A10DF6" w:rsidRPr="002E1A2C" w:rsidRDefault="00A10DF6" w:rsidP="00A10DF6">
      <w:pPr>
        <w:pStyle w:val="ROMANOS"/>
        <w:tabs>
          <w:tab w:val="clear" w:pos="720"/>
        </w:tabs>
        <w:spacing w:after="0" w:line="240" w:lineRule="auto"/>
        <w:ind w:left="426" w:hanging="426"/>
        <w:rPr>
          <w:rFonts w:ascii="ITC Avant Garde" w:hAnsi="ITC Avant Garde"/>
          <w:sz w:val="22"/>
          <w:szCs w:val="22"/>
          <w:lang w:val="es-MX"/>
        </w:rPr>
      </w:pPr>
    </w:p>
    <w:p w14:paraId="5FBDCFC6" w14:textId="77777777" w:rsidR="00A10DF6" w:rsidRPr="002E1A2C" w:rsidRDefault="00A10DF6" w:rsidP="00A10DF6">
      <w:pPr>
        <w:pStyle w:val="ROMANOS"/>
        <w:tabs>
          <w:tab w:val="clear" w:pos="720"/>
        </w:tabs>
        <w:spacing w:after="0" w:line="240" w:lineRule="auto"/>
        <w:ind w:left="426" w:hanging="568"/>
        <w:rPr>
          <w:rFonts w:ascii="ITC Avant Garde" w:hAnsi="ITC Avant Garde"/>
          <w:sz w:val="22"/>
          <w:szCs w:val="22"/>
          <w:lang w:val="es-MX"/>
        </w:rPr>
      </w:pPr>
      <w:r w:rsidRPr="002E1A2C">
        <w:rPr>
          <w:rFonts w:ascii="ITC Avant Garde" w:hAnsi="ITC Avant Garde"/>
          <w:b/>
          <w:sz w:val="22"/>
          <w:szCs w:val="22"/>
          <w:lang w:val="es-MX"/>
        </w:rPr>
        <w:t>IV.</w:t>
      </w:r>
      <w:r w:rsidRPr="002E1A2C">
        <w:rPr>
          <w:rFonts w:ascii="ITC Avant Garde" w:hAnsi="ITC Avant Garde"/>
          <w:b/>
          <w:sz w:val="22"/>
          <w:szCs w:val="22"/>
          <w:lang w:val="es-MX"/>
        </w:rPr>
        <w:tab/>
      </w:r>
      <w:r w:rsidRPr="002E1A2C">
        <w:rPr>
          <w:rFonts w:ascii="ITC Avant Garde" w:hAnsi="ITC Avant Garde"/>
          <w:sz w:val="22"/>
          <w:szCs w:val="22"/>
          <w:lang w:val="es-MX"/>
        </w:rPr>
        <w:t xml:space="preserve">El cuatro de septiembre de dos mil catorce </w:t>
      </w:r>
      <w:r w:rsidRPr="002E1A2C">
        <w:rPr>
          <w:rFonts w:ascii="ITC Avant Garde" w:hAnsi="ITC Avant Garde"/>
          <w:sz w:val="22"/>
          <w:szCs w:val="22"/>
        </w:rPr>
        <w:t>se publicó en el DOF el “</w:t>
      </w:r>
      <w:r w:rsidRPr="002E1A2C">
        <w:rPr>
          <w:rFonts w:ascii="ITC Avant Garde" w:hAnsi="ITC Avant Garde"/>
          <w:i/>
          <w:sz w:val="22"/>
          <w:szCs w:val="22"/>
        </w:rPr>
        <w:t>E</w:t>
      </w:r>
      <w:r w:rsidR="007147EC" w:rsidRPr="002E1A2C">
        <w:rPr>
          <w:rFonts w:ascii="ITC Avant Garde" w:hAnsi="ITC Avant Garde"/>
          <w:i/>
          <w:sz w:val="22"/>
          <w:szCs w:val="22"/>
        </w:rPr>
        <w:t xml:space="preserve">STATUTO </w:t>
      </w:r>
      <w:r w:rsidRPr="002E1A2C">
        <w:rPr>
          <w:rFonts w:ascii="ITC Avant Garde" w:hAnsi="ITC Avant Garde"/>
          <w:i/>
          <w:sz w:val="22"/>
          <w:szCs w:val="22"/>
        </w:rPr>
        <w:t xml:space="preserve"> Orgánico del Instituto Federal de Telecomunicaciones</w:t>
      </w:r>
      <w:r w:rsidRPr="002E1A2C">
        <w:rPr>
          <w:rFonts w:ascii="ITC Avant Garde" w:hAnsi="ITC Avant Garde"/>
          <w:sz w:val="22"/>
        </w:rPr>
        <w:t>”</w:t>
      </w:r>
      <w:r w:rsidRPr="002E1A2C">
        <w:rPr>
          <w:rFonts w:ascii="ITC Avant Garde" w:hAnsi="ITC Avant Garde"/>
          <w:sz w:val="22"/>
          <w:szCs w:val="22"/>
        </w:rPr>
        <w:t xml:space="preserve"> </w:t>
      </w:r>
      <w:r w:rsidRPr="002E1A2C">
        <w:rPr>
          <w:rFonts w:ascii="ITC Avant Garde" w:hAnsi="ITC Avant Garde"/>
          <w:sz w:val="22"/>
          <w:szCs w:val="22"/>
          <w:lang w:val="es-MX"/>
        </w:rPr>
        <w:t>(Estatuto Orgánico)</w:t>
      </w:r>
      <w:r w:rsidR="003B5595" w:rsidRPr="002E1A2C">
        <w:rPr>
          <w:rFonts w:ascii="ITC Avant Garde" w:hAnsi="ITC Avant Garde"/>
          <w:sz w:val="22"/>
          <w:szCs w:val="22"/>
          <w:lang w:val="es-MX"/>
        </w:rPr>
        <w:t>, el cual entró en vigor el día veintiséis del mismo mes y año, y que ha sido modificado mediante Acuerdos publicados en el DOF, los días diecisiete de octubre de dos mil catorce y diecisiete de octubre de dos mil dieciséis</w:t>
      </w:r>
      <w:r w:rsidR="00C07734" w:rsidRPr="002E1A2C">
        <w:rPr>
          <w:rFonts w:ascii="ITC Avant Garde" w:hAnsi="ITC Avant Garde"/>
          <w:sz w:val="22"/>
        </w:rPr>
        <w:t>.</w:t>
      </w:r>
    </w:p>
    <w:p w14:paraId="0FD8BA7F" w14:textId="77777777" w:rsidR="00A10DF6" w:rsidRPr="002E1A2C" w:rsidRDefault="00A10DF6" w:rsidP="00A10DF6">
      <w:pPr>
        <w:pStyle w:val="ROMANOS"/>
        <w:tabs>
          <w:tab w:val="clear" w:pos="720"/>
        </w:tabs>
        <w:spacing w:after="0" w:line="240" w:lineRule="auto"/>
        <w:ind w:left="426" w:hanging="426"/>
        <w:rPr>
          <w:rFonts w:ascii="ITC Avant Garde" w:hAnsi="ITC Avant Garde"/>
          <w:sz w:val="22"/>
          <w:szCs w:val="22"/>
          <w:lang w:val="es-MX"/>
        </w:rPr>
      </w:pPr>
    </w:p>
    <w:p w14:paraId="08774C44" w14:textId="72F75581" w:rsidR="00A10DF6" w:rsidRPr="002E1A2C" w:rsidRDefault="00A10DF6" w:rsidP="00A10DF6">
      <w:pPr>
        <w:pStyle w:val="Default"/>
        <w:tabs>
          <w:tab w:val="left" w:pos="0"/>
        </w:tabs>
        <w:ind w:left="426" w:hanging="568"/>
        <w:jc w:val="both"/>
        <w:rPr>
          <w:rFonts w:ascii="ITC Avant Garde" w:hAnsi="ITC Avant Garde"/>
          <w:color w:val="auto"/>
          <w:sz w:val="22"/>
          <w:szCs w:val="22"/>
        </w:rPr>
      </w:pPr>
      <w:r w:rsidRPr="002E1A2C">
        <w:rPr>
          <w:rFonts w:ascii="ITC Avant Garde" w:hAnsi="ITC Avant Garde"/>
          <w:b/>
          <w:color w:val="auto"/>
          <w:sz w:val="22"/>
          <w:szCs w:val="22"/>
        </w:rPr>
        <w:t>V.</w:t>
      </w:r>
      <w:r w:rsidRPr="002E1A2C">
        <w:rPr>
          <w:rFonts w:ascii="ITC Avant Garde" w:hAnsi="ITC Avant Garde"/>
          <w:b/>
          <w:color w:val="auto"/>
          <w:sz w:val="22"/>
          <w:szCs w:val="22"/>
        </w:rPr>
        <w:tab/>
      </w:r>
      <w:r w:rsidRPr="002E1A2C">
        <w:rPr>
          <w:rFonts w:ascii="ITC Avant Garde" w:hAnsi="ITC Avant Garde"/>
          <w:color w:val="auto"/>
          <w:sz w:val="22"/>
          <w:szCs w:val="22"/>
        </w:rPr>
        <w:t xml:space="preserve">El doce de enero de dos mil quince se publicó en el DOF el </w:t>
      </w:r>
      <w:r w:rsidRPr="002E1A2C">
        <w:rPr>
          <w:rFonts w:ascii="ITC Avant Garde" w:hAnsi="ITC Avant Garde"/>
          <w:color w:val="auto"/>
          <w:sz w:val="22"/>
        </w:rPr>
        <w:t>“</w:t>
      </w:r>
      <w:r w:rsidRPr="002E1A2C">
        <w:rPr>
          <w:rFonts w:ascii="ITC Avant Garde" w:hAnsi="ITC Avant Garde"/>
          <w:i/>
          <w:color w:val="auto"/>
          <w:sz w:val="22"/>
          <w:szCs w:val="22"/>
        </w:rPr>
        <w:t>A</w:t>
      </w:r>
      <w:r w:rsidR="00F61C0C" w:rsidRPr="002E1A2C">
        <w:rPr>
          <w:rFonts w:ascii="ITC Avant Garde" w:hAnsi="ITC Avant Garde"/>
          <w:i/>
          <w:color w:val="auto"/>
          <w:sz w:val="22"/>
          <w:szCs w:val="22"/>
        </w:rPr>
        <w:t xml:space="preserve">CUERDO </w:t>
      </w:r>
      <w:r w:rsidRPr="002E1A2C">
        <w:rPr>
          <w:rFonts w:ascii="ITC Avant Garde" w:hAnsi="ITC Avant Garde"/>
          <w:i/>
          <w:color w:val="auto"/>
          <w:sz w:val="22"/>
          <w:szCs w:val="22"/>
        </w:rPr>
        <w:t>mediante el cual el Pleno del Instituto Federal de Telecomunicaciones expide las Disposiciones Regulatorias de la Ley Federal de Competencia Económica para los sectores de telecomunicaciones y radiodifusión</w:t>
      </w:r>
      <w:r w:rsidRPr="002E1A2C">
        <w:rPr>
          <w:rFonts w:ascii="ITC Avant Garde" w:hAnsi="ITC Avant Garde"/>
          <w:color w:val="auto"/>
          <w:sz w:val="22"/>
        </w:rPr>
        <w:t>”</w:t>
      </w:r>
      <w:r w:rsidRPr="002E1A2C">
        <w:rPr>
          <w:rFonts w:ascii="ITC Avant Garde" w:hAnsi="ITC Avant Garde"/>
          <w:color w:val="auto"/>
          <w:sz w:val="22"/>
          <w:szCs w:val="22"/>
        </w:rPr>
        <w:t xml:space="preserve"> (Disposiciones Regulatorias).</w:t>
      </w:r>
    </w:p>
    <w:p w14:paraId="63B59408" w14:textId="77777777" w:rsidR="00A10DF6" w:rsidRPr="002E1A2C" w:rsidRDefault="00A10DF6" w:rsidP="00A10DF6">
      <w:pPr>
        <w:pStyle w:val="Prrafodelista"/>
        <w:rPr>
          <w:rFonts w:ascii="ITC Avant Garde" w:hAnsi="ITC Avant Garde"/>
          <w:sz w:val="22"/>
          <w:szCs w:val="22"/>
          <w:lang w:eastAsia="es-MX"/>
        </w:rPr>
      </w:pPr>
    </w:p>
    <w:p w14:paraId="47FCF41C" w14:textId="15982B47" w:rsidR="00A10DF6" w:rsidRPr="002E1A2C" w:rsidRDefault="00A10DF6" w:rsidP="00A10DF6">
      <w:pPr>
        <w:numPr>
          <w:ilvl w:val="0"/>
          <w:numId w:val="1"/>
        </w:numPr>
        <w:spacing w:after="0" w:line="240" w:lineRule="auto"/>
        <w:ind w:left="426" w:right="49" w:hanging="284"/>
        <w:contextualSpacing/>
        <w:jc w:val="both"/>
        <w:rPr>
          <w:rFonts w:ascii="ITC Avant Garde" w:hAnsi="ITC Avant Garde"/>
          <w:lang w:eastAsia="es-MX"/>
        </w:rPr>
      </w:pPr>
      <w:r w:rsidRPr="002E1A2C">
        <w:rPr>
          <w:rFonts w:ascii="ITC Avant Garde" w:hAnsi="ITC Avant Garde"/>
          <w:lang w:eastAsia="es-MX"/>
        </w:rPr>
        <w:t xml:space="preserve">Mediante Acuerdo P/IFT/010916/458 de primero de septiembre de dos mil dieciséis, el Pleno del Instituto en su XXVII Sesión Ordinaria, </w:t>
      </w:r>
      <w:r w:rsidR="00F61C0C" w:rsidRPr="002E1A2C">
        <w:rPr>
          <w:rFonts w:ascii="ITC Avant Garde" w:hAnsi="ITC Avant Garde"/>
          <w:lang w:eastAsia="es-MX"/>
        </w:rPr>
        <w:t xml:space="preserve">determinó </w:t>
      </w:r>
      <w:r w:rsidRPr="002E1A2C">
        <w:rPr>
          <w:rFonts w:ascii="ITC Avant Garde" w:hAnsi="ITC Avant Garde"/>
          <w:lang w:eastAsia="es-MX"/>
        </w:rPr>
        <w:t xml:space="preserve">someter </w:t>
      </w:r>
      <w:r w:rsidRPr="002E1A2C">
        <w:rPr>
          <w:rFonts w:ascii="ITC Avant Garde" w:hAnsi="ITC Avant Garde"/>
          <w:lang w:eastAsia="es-MX"/>
        </w:rPr>
        <w:lastRenderedPageBreak/>
        <w:t>a consulta pública por un plazo de treinta días hábiles el “</w:t>
      </w:r>
      <w:r w:rsidRPr="002E1A2C">
        <w:rPr>
          <w:rFonts w:ascii="ITC Avant Garde" w:hAnsi="ITC Avant Garde"/>
          <w:i/>
        </w:rPr>
        <w:t>Anteproyecto de la Guía del Programa de Inmunidad y Reducción de Sanciones para los sectores de telecomunicaciones y radiodifusión</w:t>
      </w:r>
      <w:r w:rsidRPr="002E1A2C">
        <w:rPr>
          <w:rFonts w:ascii="ITC Avant Garde" w:hAnsi="ITC Avant Garde"/>
        </w:rPr>
        <w:t>”</w:t>
      </w:r>
      <w:r w:rsidRPr="002E1A2C">
        <w:rPr>
          <w:rFonts w:ascii="ITC Avant Garde" w:hAnsi="ITC Avant Garde"/>
          <w:lang w:eastAsia="es-MX"/>
        </w:rPr>
        <w:t xml:space="preserve"> (Anteproyecto); </w:t>
      </w:r>
      <w:r w:rsidRPr="002E1A2C">
        <w:rPr>
          <w:rFonts w:ascii="ITC Avant Garde" w:hAnsi="ITC Avant Garde"/>
          <w:bCs/>
          <w:lang w:eastAsia="es-MX"/>
        </w:rPr>
        <w:t>instruyéndose a la Autoridad Investigadora, en su calidad de área proponente</w:t>
      </w:r>
      <w:r w:rsidR="00F61C0C" w:rsidRPr="002E1A2C">
        <w:rPr>
          <w:rFonts w:ascii="ITC Avant Garde" w:hAnsi="ITC Avant Garde"/>
          <w:bCs/>
          <w:lang w:eastAsia="es-MX"/>
        </w:rPr>
        <w:t>,</w:t>
      </w:r>
      <w:r w:rsidRPr="002E1A2C">
        <w:rPr>
          <w:rFonts w:ascii="ITC Avant Garde" w:hAnsi="ITC Avant Garde"/>
          <w:bCs/>
          <w:lang w:eastAsia="es-MX"/>
        </w:rPr>
        <w:t xml:space="preserve"> ejecutar la consulta pública, incluyendo la recepción de los comentarios y opiniones que fueran vertidas con motivo de la misma.</w:t>
      </w:r>
      <w:r w:rsidRPr="002E1A2C">
        <w:rPr>
          <w:rFonts w:ascii="ITC Avant Garde" w:hAnsi="ITC Avant Garde"/>
          <w:lang w:eastAsia="es-MX"/>
        </w:rPr>
        <w:t xml:space="preserve"> </w:t>
      </w:r>
    </w:p>
    <w:p w14:paraId="4E2DC404" w14:textId="77777777" w:rsidR="001B2BB6" w:rsidRPr="002E1A2C" w:rsidRDefault="001B2BB6" w:rsidP="00E45333">
      <w:pPr>
        <w:spacing w:after="0" w:line="240" w:lineRule="auto"/>
        <w:ind w:left="426" w:right="49"/>
        <w:contextualSpacing/>
        <w:jc w:val="both"/>
        <w:rPr>
          <w:rFonts w:ascii="ITC Avant Garde" w:hAnsi="ITC Avant Garde"/>
          <w:lang w:eastAsia="es-MX"/>
        </w:rPr>
      </w:pPr>
    </w:p>
    <w:p w14:paraId="4CC5B23B" w14:textId="77777777" w:rsidR="001B2BB6" w:rsidRPr="002E1A2C" w:rsidRDefault="001B2BB6" w:rsidP="001B2BB6">
      <w:pPr>
        <w:spacing w:after="0" w:line="240" w:lineRule="auto"/>
        <w:ind w:left="426" w:right="49"/>
        <w:contextualSpacing/>
        <w:jc w:val="both"/>
        <w:rPr>
          <w:rFonts w:ascii="ITC Avant Garde" w:hAnsi="ITC Avant Garde"/>
          <w:lang w:eastAsia="es-MX"/>
        </w:rPr>
      </w:pPr>
      <w:r w:rsidRPr="002E1A2C">
        <w:rPr>
          <w:rFonts w:ascii="ITC Avant Garde" w:hAnsi="ITC Avant Garde"/>
          <w:lang w:eastAsia="es-MX"/>
        </w:rPr>
        <w:t xml:space="preserve">La consulta pública se llevó a cabo del doce de septiembre al veinticuatro de octubre del presente año, periodo en el cual se recibió la participación de tres interesados que expusieron sus comentarios al Anteproyecto. </w:t>
      </w:r>
    </w:p>
    <w:p w14:paraId="57536709" w14:textId="77777777" w:rsidR="001B2BB6" w:rsidRPr="002E1A2C" w:rsidRDefault="001B2BB6" w:rsidP="001B2BB6">
      <w:pPr>
        <w:spacing w:after="0" w:line="240" w:lineRule="auto"/>
        <w:ind w:left="426" w:right="49"/>
        <w:contextualSpacing/>
        <w:jc w:val="both"/>
        <w:rPr>
          <w:rFonts w:ascii="ITC Avant Garde" w:hAnsi="ITC Avant Garde"/>
          <w:lang w:eastAsia="es-MX"/>
        </w:rPr>
      </w:pPr>
    </w:p>
    <w:p w14:paraId="35A4A9CC" w14:textId="77777777" w:rsidR="001B2BB6" w:rsidRPr="002E1A2C" w:rsidRDefault="001B2BB6" w:rsidP="00E45333">
      <w:pPr>
        <w:spacing w:after="0" w:line="240" w:lineRule="auto"/>
        <w:ind w:left="426" w:right="49"/>
        <w:contextualSpacing/>
        <w:jc w:val="both"/>
        <w:rPr>
          <w:rFonts w:ascii="ITC Avant Garde" w:hAnsi="ITC Avant Garde"/>
          <w:lang w:eastAsia="es-MX"/>
        </w:rPr>
      </w:pPr>
      <w:r w:rsidRPr="002E1A2C">
        <w:rPr>
          <w:rFonts w:ascii="ITC Avant Garde" w:hAnsi="ITC Avant Garde"/>
          <w:lang w:eastAsia="es-MX"/>
        </w:rPr>
        <w:t>Una vez cerrada la consulta pública se agruparon los comentarios relacionados entre sí, los cuales se tomaron en consideración para hacer modificaciones al Anteproyecto.</w:t>
      </w:r>
    </w:p>
    <w:p w14:paraId="0912D5AC" w14:textId="77777777" w:rsidR="00A10DF6" w:rsidRPr="002E1A2C" w:rsidRDefault="00A10DF6" w:rsidP="00A10DF6">
      <w:pPr>
        <w:pStyle w:val="Prrafodelista"/>
        <w:ind w:left="426" w:hanging="284"/>
        <w:rPr>
          <w:rFonts w:ascii="ITC Avant Garde" w:hAnsi="ITC Avant Garde"/>
          <w:sz w:val="22"/>
          <w:szCs w:val="22"/>
          <w:lang w:eastAsia="es-MX"/>
        </w:rPr>
      </w:pPr>
    </w:p>
    <w:p w14:paraId="329BE3CE" w14:textId="09C10E8D" w:rsidR="0011651B" w:rsidRPr="002E1A2C" w:rsidRDefault="0011651B" w:rsidP="0011651B">
      <w:pPr>
        <w:numPr>
          <w:ilvl w:val="0"/>
          <w:numId w:val="1"/>
        </w:numPr>
        <w:spacing w:after="0" w:line="240" w:lineRule="auto"/>
        <w:ind w:left="426" w:right="49" w:hanging="284"/>
        <w:contextualSpacing/>
        <w:jc w:val="both"/>
        <w:rPr>
          <w:rFonts w:ascii="ITC Avant Garde" w:hAnsi="ITC Avant Garde"/>
        </w:rPr>
      </w:pPr>
      <w:r w:rsidRPr="002E1A2C">
        <w:rPr>
          <w:rFonts w:ascii="ITC Avant Garde" w:hAnsi="ITC Avant Garde" w:cs="Arial Unicode MS"/>
          <w:bCs/>
          <w:u w:color="000000"/>
          <w:bdr w:val="nil"/>
          <w:lang w:val="es-ES_tradnl" w:eastAsia="es-MX"/>
        </w:rPr>
        <w:t xml:space="preserve">Mediante oficio IFT/110/AI/DGA-APR/018/2016 de seis de septiembre de dos mil dieciséis, </w:t>
      </w:r>
      <w:r w:rsidR="007941CB" w:rsidRPr="002E1A2C">
        <w:rPr>
          <w:rFonts w:ascii="ITC Avant Garde" w:hAnsi="ITC Avant Garde" w:cs="Arial Unicode MS"/>
          <w:bCs/>
          <w:u w:color="000000"/>
          <w:bdr w:val="nil"/>
          <w:lang w:val="es-ES_tradnl" w:eastAsia="es-MX"/>
        </w:rPr>
        <w:t xml:space="preserve">la </w:t>
      </w:r>
      <w:r w:rsidR="003937E9" w:rsidRPr="002E1A2C">
        <w:rPr>
          <w:rFonts w:ascii="ITC Avant Garde" w:hAnsi="ITC Avant Garde" w:cs="Arial Unicode MS"/>
          <w:bCs/>
          <w:u w:color="000000"/>
          <w:bdr w:val="nil"/>
          <w:lang w:val="es-ES_tradnl" w:eastAsia="es-MX"/>
        </w:rPr>
        <w:t xml:space="preserve">Dirección General Adjunta de Atención en Procedimientos de la </w:t>
      </w:r>
      <w:r w:rsidR="007941CB" w:rsidRPr="002E1A2C">
        <w:rPr>
          <w:rFonts w:ascii="ITC Avant Garde" w:hAnsi="ITC Avant Garde" w:cs="Arial Unicode MS"/>
          <w:bCs/>
          <w:u w:color="000000"/>
          <w:bdr w:val="nil"/>
          <w:lang w:val="es-ES_tradnl" w:eastAsia="es-MX"/>
        </w:rPr>
        <w:t xml:space="preserve">Autoridad Investigadora </w:t>
      </w:r>
      <w:r w:rsidRPr="002E1A2C">
        <w:rPr>
          <w:rFonts w:ascii="ITC Avant Garde" w:hAnsi="ITC Avant Garde" w:cs="Arial Unicode MS"/>
          <w:bCs/>
          <w:u w:color="000000"/>
          <w:bdr w:val="nil"/>
          <w:lang w:val="es-ES_tradnl" w:eastAsia="es-MX"/>
        </w:rPr>
        <w:t xml:space="preserve">remitió a la Coordinación General de Mejora Regulatoria de este Instituto, </w:t>
      </w:r>
      <w:r w:rsidRPr="002E1A2C">
        <w:rPr>
          <w:rFonts w:ascii="ITC Avant Garde" w:hAnsi="ITC Avant Garde"/>
          <w:lang w:eastAsia="es-MX"/>
        </w:rPr>
        <w:t>el Análisis de Impacto Regulatorio del Anteproyecto</w:t>
      </w:r>
      <w:r w:rsidRPr="002E1A2C">
        <w:rPr>
          <w:rFonts w:ascii="ITC Avant Garde" w:hAnsi="ITC Avant Garde" w:cs="Arial Unicode MS"/>
          <w:bCs/>
          <w:u w:color="000000"/>
          <w:bdr w:val="nil"/>
          <w:lang w:val="es-ES_tradnl" w:eastAsia="es-MX"/>
        </w:rPr>
        <w:t>.</w:t>
      </w:r>
    </w:p>
    <w:p w14:paraId="217F11C8" w14:textId="77777777" w:rsidR="001B2BB6" w:rsidRPr="002E1A2C" w:rsidRDefault="001B2BB6" w:rsidP="00E45333">
      <w:pPr>
        <w:spacing w:after="0" w:line="240" w:lineRule="auto"/>
        <w:ind w:left="426" w:right="49"/>
        <w:contextualSpacing/>
        <w:jc w:val="both"/>
        <w:rPr>
          <w:rFonts w:ascii="ITC Avant Garde" w:hAnsi="ITC Avant Garde"/>
        </w:rPr>
      </w:pPr>
    </w:p>
    <w:p w14:paraId="1C37AA55" w14:textId="4E57DCD6" w:rsidR="0011651B" w:rsidRPr="002E1A2C" w:rsidRDefault="001B2BB6" w:rsidP="00E45333">
      <w:pPr>
        <w:spacing w:after="0" w:line="240" w:lineRule="auto"/>
        <w:ind w:left="426" w:right="49"/>
        <w:contextualSpacing/>
        <w:jc w:val="both"/>
        <w:rPr>
          <w:rFonts w:ascii="ITC Avant Garde" w:hAnsi="ITC Avant Garde"/>
          <w:lang w:eastAsia="es-MX"/>
        </w:rPr>
      </w:pPr>
      <w:r w:rsidRPr="002E1A2C">
        <w:rPr>
          <w:rFonts w:ascii="ITC Avant Garde" w:hAnsi="ITC Avant Garde"/>
        </w:rPr>
        <w:t>El Análisis de Impacto Regulatorio fue debidamente publicado en la página de Internet del Instituto, en el espacio destinado para los procesos de consultas públicas a efecto de darle debida publicidad.</w:t>
      </w:r>
    </w:p>
    <w:p w14:paraId="1384C284" w14:textId="77777777" w:rsidR="003C33A9" w:rsidRPr="002E1A2C" w:rsidRDefault="003C33A9" w:rsidP="000C15B5">
      <w:pPr>
        <w:spacing w:after="0" w:line="240" w:lineRule="auto"/>
        <w:contextualSpacing/>
        <w:jc w:val="both"/>
        <w:rPr>
          <w:rFonts w:ascii="ITC Avant Garde" w:eastAsia="Times New Roman" w:hAnsi="ITC Avant Garde" w:cs="Arial"/>
          <w:lang w:eastAsia="es-MX"/>
        </w:rPr>
      </w:pPr>
    </w:p>
    <w:p w14:paraId="6726F547" w14:textId="59B0C843" w:rsidR="00A10DF6" w:rsidRPr="002E1A2C" w:rsidRDefault="00E11474" w:rsidP="000C15B5">
      <w:pPr>
        <w:pStyle w:val="Prrafodelista"/>
        <w:numPr>
          <w:ilvl w:val="0"/>
          <w:numId w:val="1"/>
        </w:numPr>
        <w:ind w:left="426"/>
        <w:contextualSpacing/>
        <w:jc w:val="both"/>
        <w:rPr>
          <w:rFonts w:ascii="ITC Avant Garde" w:hAnsi="ITC Avant Garde"/>
          <w:sz w:val="22"/>
          <w:szCs w:val="22"/>
          <w:lang w:eastAsia="es-MX"/>
        </w:rPr>
      </w:pPr>
      <w:r w:rsidRPr="002E1A2C">
        <w:rPr>
          <w:rFonts w:ascii="ITC Avant Garde" w:hAnsi="ITC Avant Garde" w:cs="Arial"/>
          <w:sz w:val="22"/>
          <w:szCs w:val="22"/>
          <w:lang w:eastAsia="es-MX"/>
        </w:rPr>
        <w:t xml:space="preserve">Con la misma fecha del presente </w:t>
      </w:r>
      <w:r w:rsidR="009F3673" w:rsidRPr="002E1A2C">
        <w:rPr>
          <w:rFonts w:ascii="ITC Avant Garde" w:hAnsi="ITC Avant Garde" w:cs="Arial"/>
          <w:sz w:val="22"/>
          <w:szCs w:val="22"/>
          <w:lang w:eastAsia="es-MX"/>
        </w:rPr>
        <w:t>A</w:t>
      </w:r>
      <w:r w:rsidRPr="002E1A2C">
        <w:rPr>
          <w:rFonts w:ascii="ITC Avant Garde" w:hAnsi="ITC Avant Garde" w:cs="Arial"/>
          <w:sz w:val="22"/>
          <w:szCs w:val="22"/>
          <w:lang w:eastAsia="es-MX"/>
        </w:rPr>
        <w:t xml:space="preserve">cuerdo, </w:t>
      </w:r>
      <w:r w:rsidR="00955BEE" w:rsidRPr="002E1A2C">
        <w:rPr>
          <w:rFonts w:ascii="ITC Avant Garde" w:hAnsi="ITC Avant Garde" w:cs="Arial"/>
          <w:sz w:val="22"/>
          <w:szCs w:val="22"/>
          <w:lang w:eastAsia="es-MX"/>
        </w:rPr>
        <w:t xml:space="preserve">el </w:t>
      </w:r>
      <w:r w:rsidRPr="002E1A2C">
        <w:rPr>
          <w:rFonts w:ascii="ITC Avant Garde" w:hAnsi="ITC Avant Garde" w:cs="Arial"/>
          <w:sz w:val="22"/>
          <w:szCs w:val="22"/>
          <w:lang w:eastAsia="es-MX"/>
        </w:rPr>
        <w:t xml:space="preserve">Pleno del Instituto </w:t>
      </w:r>
      <w:r w:rsidR="00955BEE" w:rsidRPr="002E1A2C">
        <w:rPr>
          <w:rFonts w:ascii="ITC Avant Garde" w:hAnsi="ITC Avant Garde" w:cs="Arial"/>
          <w:sz w:val="22"/>
          <w:szCs w:val="22"/>
          <w:lang w:eastAsia="es-MX"/>
        </w:rPr>
        <w:t>emite</w:t>
      </w:r>
      <w:r w:rsidRPr="002E1A2C">
        <w:rPr>
          <w:rFonts w:ascii="ITC Avant Garde" w:hAnsi="ITC Avant Garde" w:cs="Arial"/>
          <w:sz w:val="22"/>
          <w:szCs w:val="22"/>
          <w:lang w:eastAsia="es-MX"/>
        </w:rPr>
        <w:t xml:space="preserve"> el </w:t>
      </w:r>
      <w:r w:rsidRPr="002E1A2C">
        <w:rPr>
          <w:rFonts w:ascii="ITC Avant Garde" w:hAnsi="ITC Avant Garde"/>
          <w:sz w:val="22"/>
        </w:rPr>
        <w:t>“</w:t>
      </w:r>
      <w:r w:rsidRPr="002E1A2C">
        <w:rPr>
          <w:rFonts w:ascii="ITC Avant Garde" w:hAnsi="ITC Avant Garde" w:cs="Arial"/>
          <w:i/>
          <w:sz w:val="22"/>
          <w:szCs w:val="22"/>
          <w:lang w:eastAsia="es-MX"/>
        </w:rPr>
        <w:t xml:space="preserve">INFORME </w:t>
      </w:r>
      <w:r w:rsidR="00F9476C" w:rsidRPr="002E1A2C">
        <w:rPr>
          <w:rFonts w:ascii="ITC Avant Garde" w:hAnsi="ITC Avant Garde" w:cs="Arial"/>
          <w:i/>
          <w:sz w:val="22"/>
          <w:szCs w:val="22"/>
          <w:lang w:eastAsia="es-MX"/>
        </w:rPr>
        <w:t>q</w:t>
      </w:r>
      <w:r w:rsidRPr="002E1A2C">
        <w:rPr>
          <w:rFonts w:ascii="ITC Avant Garde" w:hAnsi="ITC Avant Garde" w:cs="Arial"/>
          <w:i/>
          <w:sz w:val="22"/>
          <w:szCs w:val="22"/>
          <w:lang w:eastAsia="es-MX"/>
        </w:rPr>
        <w:t>ue presenta las consideraciones sobre los comentarios recibidos durante la consulta pública del Anteproyecto de la Guía del Programa de Inmunidad y Reducción de Sanciones para los sectores de telecomunicaciones y radiodifusión</w:t>
      </w:r>
      <w:r w:rsidR="00B37FA4" w:rsidRPr="002E1A2C">
        <w:rPr>
          <w:rFonts w:ascii="ITC Avant Garde" w:hAnsi="ITC Avant Garde"/>
          <w:sz w:val="22"/>
        </w:rPr>
        <w:t>”</w:t>
      </w:r>
      <w:r w:rsidR="00B37FA4" w:rsidRPr="002E1A2C">
        <w:rPr>
          <w:rFonts w:ascii="ITC Avant Garde" w:hAnsi="ITC Avant Garde" w:cs="Arial"/>
          <w:i/>
          <w:sz w:val="22"/>
          <w:szCs w:val="22"/>
          <w:lang w:eastAsia="es-MX"/>
        </w:rPr>
        <w:t>.</w:t>
      </w:r>
      <w:r w:rsidRPr="002E1A2C">
        <w:rPr>
          <w:rFonts w:ascii="ITC Avant Garde" w:hAnsi="ITC Avant Garde" w:cs="Arial"/>
          <w:sz w:val="22"/>
          <w:szCs w:val="22"/>
          <w:lang w:eastAsia="es-MX"/>
        </w:rPr>
        <w:t xml:space="preserve"> </w:t>
      </w:r>
    </w:p>
    <w:p w14:paraId="5C9C8EE4" w14:textId="77777777" w:rsidR="00B37FA4" w:rsidRPr="002E1A2C" w:rsidRDefault="00B37FA4" w:rsidP="00A10DF6">
      <w:pPr>
        <w:spacing w:after="0" w:line="240" w:lineRule="auto"/>
        <w:contextualSpacing/>
        <w:jc w:val="both"/>
        <w:rPr>
          <w:rFonts w:ascii="ITC Avant Garde" w:eastAsia="Times New Roman" w:hAnsi="ITC Avant Garde" w:cs="Arial"/>
          <w:lang w:eastAsia="es-MX"/>
        </w:rPr>
      </w:pPr>
    </w:p>
    <w:p w14:paraId="7D22A275" w14:textId="5DEE71BC" w:rsidR="00A10DF6" w:rsidRPr="002E1A2C" w:rsidRDefault="00A10DF6" w:rsidP="00A10DF6">
      <w:pPr>
        <w:spacing w:after="0" w:line="240" w:lineRule="auto"/>
        <w:contextualSpacing/>
        <w:jc w:val="both"/>
        <w:rPr>
          <w:rFonts w:ascii="ITC Avant Garde" w:eastAsia="Times New Roman" w:hAnsi="ITC Avant Garde" w:cs="Arial"/>
          <w:lang w:eastAsia="es-MX"/>
        </w:rPr>
      </w:pPr>
      <w:r w:rsidRPr="002E1A2C">
        <w:rPr>
          <w:rFonts w:ascii="ITC Avant Garde" w:eastAsia="Times New Roman" w:hAnsi="ITC Avant Garde" w:cs="Arial"/>
          <w:lang w:eastAsia="es-MX"/>
        </w:rPr>
        <w:t xml:space="preserve">En virtud de los </w:t>
      </w:r>
      <w:r w:rsidR="00D667C5" w:rsidRPr="002E1A2C">
        <w:rPr>
          <w:rFonts w:ascii="ITC Avant Garde" w:eastAsia="Times New Roman" w:hAnsi="ITC Avant Garde" w:cs="Arial"/>
          <w:lang w:eastAsia="es-MX"/>
        </w:rPr>
        <w:t>A</w:t>
      </w:r>
      <w:r w:rsidRPr="002E1A2C">
        <w:rPr>
          <w:rFonts w:ascii="ITC Avant Garde" w:eastAsia="Times New Roman" w:hAnsi="ITC Avant Garde" w:cs="Arial"/>
          <w:lang w:eastAsia="es-MX"/>
        </w:rPr>
        <w:t>ntecedentes señalados y,</w:t>
      </w:r>
    </w:p>
    <w:p w14:paraId="34BF5658" w14:textId="77777777" w:rsidR="00A10DF6" w:rsidRPr="002E1A2C" w:rsidRDefault="00A10DF6" w:rsidP="00A10DF6">
      <w:pPr>
        <w:spacing w:after="0" w:line="240" w:lineRule="auto"/>
        <w:contextualSpacing/>
        <w:jc w:val="center"/>
        <w:rPr>
          <w:rFonts w:ascii="ITC Avant Garde" w:hAnsi="ITC Avant Garde"/>
          <w:b/>
        </w:rPr>
      </w:pPr>
    </w:p>
    <w:p w14:paraId="2B6040EA" w14:textId="1F8E14B6" w:rsidR="00A10DF6" w:rsidRPr="002E1A2C" w:rsidRDefault="00A10DF6" w:rsidP="00A10DF6">
      <w:pPr>
        <w:spacing w:after="0" w:line="240" w:lineRule="auto"/>
        <w:contextualSpacing/>
        <w:jc w:val="center"/>
        <w:rPr>
          <w:rFonts w:ascii="ITC Avant Garde" w:hAnsi="ITC Avant Garde"/>
          <w:b/>
        </w:rPr>
      </w:pPr>
      <w:r w:rsidRPr="002E1A2C">
        <w:rPr>
          <w:rFonts w:ascii="ITC Avant Garde" w:hAnsi="ITC Avant Garde"/>
          <w:b/>
        </w:rPr>
        <w:t>CONSIDERANDO</w:t>
      </w:r>
    </w:p>
    <w:p w14:paraId="26A72DC5" w14:textId="77777777" w:rsidR="00A10DF6" w:rsidRPr="002E1A2C" w:rsidRDefault="00A10DF6" w:rsidP="00A10DF6">
      <w:pPr>
        <w:spacing w:after="0" w:line="240" w:lineRule="auto"/>
        <w:contextualSpacing/>
        <w:rPr>
          <w:rFonts w:ascii="ITC Avant Garde" w:hAnsi="ITC Avant Garde"/>
        </w:rPr>
      </w:pPr>
    </w:p>
    <w:p w14:paraId="7693B375" w14:textId="6DFF92D8" w:rsidR="00A10DF6" w:rsidRPr="002E1A2C" w:rsidRDefault="00A10DF6" w:rsidP="00A10DF6">
      <w:pPr>
        <w:spacing w:after="0" w:line="240" w:lineRule="auto"/>
        <w:jc w:val="both"/>
        <w:rPr>
          <w:rFonts w:ascii="ITC Avant Garde" w:hAnsi="ITC Avant Garde"/>
        </w:rPr>
      </w:pPr>
      <w:r w:rsidRPr="002E1A2C">
        <w:rPr>
          <w:rFonts w:ascii="ITC Avant Garde" w:eastAsia="Arial Unicode MS" w:hAnsi="ITC Avant Garde" w:cs="Times"/>
          <w:b/>
          <w:bdr w:val="nil"/>
          <w:lang w:eastAsia="es-MX"/>
        </w:rPr>
        <w:t>PRIMERO.- Competencia del Instituto.</w:t>
      </w:r>
      <w:r w:rsidRPr="002E1A2C">
        <w:rPr>
          <w:rFonts w:ascii="ITC Avant Garde" w:eastAsia="Arial Unicode MS" w:hAnsi="ITC Avant Garde" w:cs="Arial"/>
          <w:bCs/>
          <w:u w:color="000000"/>
          <w:bdr w:val="nil"/>
          <w:lang w:val="es-ES_tradnl" w:eastAsia="ar-SA"/>
        </w:rPr>
        <w:t xml:space="preserve"> </w:t>
      </w:r>
      <w:r w:rsidRPr="002E1A2C">
        <w:rPr>
          <w:rFonts w:ascii="ITC Avant Garde" w:hAnsi="ITC Avant Garde"/>
        </w:rPr>
        <w:t>De conformidad con los artículos 28, párrafos décimo quinto y décimo sexto de la Constitución</w:t>
      </w:r>
      <w:r w:rsidR="00B97C62" w:rsidRPr="002E1A2C">
        <w:rPr>
          <w:rFonts w:ascii="ITC Avant Garde" w:hAnsi="ITC Avant Garde"/>
        </w:rPr>
        <w:t>;</w:t>
      </w:r>
      <w:r w:rsidRPr="002E1A2C">
        <w:rPr>
          <w:rFonts w:ascii="ITC Avant Garde" w:hAnsi="ITC Avant Garde"/>
        </w:rPr>
        <w:t xml:space="preserve"> </w:t>
      </w:r>
      <w:r w:rsidRPr="002E1A2C">
        <w:rPr>
          <w:rFonts w:ascii="ITC Avant Garde" w:hAnsi="ITC Avant Garde"/>
          <w:bCs/>
        </w:rPr>
        <w:t xml:space="preserve">7, párrafos primero y tercero </w:t>
      </w:r>
      <w:r w:rsidRPr="002E1A2C">
        <w:rPr>
          <w:rFonts w:ascii="ITC Avant Garde" w:hAnsi="ITC Avant Garde"/>
        </w:rPr>
        <w:t xml:space="preserve">de la </w:t>
      </w:r>
      <w:r w:rsidR="006779BA" w:rsidRPr="002E1A2C">
        <w:rPr>
          <w:rFonts w:ascii="ITC Avant Garde" w:hAnsi="ITC Avant Garde"/>
        </w:rPr>
        <w:t>Ley Federal de Telecomunicaciones y Radiodifusión (</w:t>
      </w:r>
      <w:r w:rsidRPr="002E1A2C">
        <w:rPr>
          <w:rFonts w:ascii="ITC Avant Garde" w:hAnsi="ITC Avant Garde"/>
        </w:rPr>
        <w:t>LFTR</w:t>
      </w:r>
      <w:r w:rsidR="006779BA" w:rsidRPr="002E1A2C">
        <w:rPr>
          <w:rFonts w:ascii="ITC Avant Garde" w:hAnsi="ITC Avant Garde"/>
        </w:rPr>
        <w:t>)</w:t>
      </w:r>
      <w:r w:rsidR="00B97C62" w:rsidRPr="002E1A2C">
        <w:rPr>
          <w:rFonts w:ascii="ITC Avant Garde" w:hAnsi="ITC Avant Garde"/>
        </w:rPr>
        <w:t>;</w:t>
      </w:r>
      <w:r w:rsidRPr="002E1A2C">
        <w:rPr>
          <w:rFonts w:ascii="ITC Avant Garde" w:hAnsi="ITC Avant Garde"/>
        </w:rPr>
        <w:t xml:space="preserve"> y 5, primer párrafo de la LFCE, el Instituto es un órgano autónomo con personalidad jurídica y patrimonio propio, que tiene por objeto el desarrollo eficiente de la radiodifusión y las telecomunicaciones. </w:t>
      </w:r>
    </w:p>
    <w:p w14:paraId="1B5887FE" w14:textId="77777777" w:rsidR="00A10DF6" w:rsidRPr="002E1A2C" w:rsidRDefault="00A10DF6" w:rsidP="00A10DF6">
      <w:pPr>
        <w:spacing w:after="0" w:line="240" w:lineRule="auto"/>
        <w:jc w:val="both"/>
        <w:rPr>
          <w:rFonts w:ascii="ITC Avant Garde" w:hAnsi="ITC Avant Garde"/>
        </w:rPr>
      </w:pPr>
    </w:p>
    <w:p w14:paraId="2E65D1BF" w14:textId="77777777" w:rsidR="00A10DF6" w:rsidRPr="002E1A2C" w:rsidRDefault="00A10DF6" w:rsidP="00A10DF6">
      <w:pPr>
        <w:spacing w:after="0" w:line="240" w:lineRule="auto"/>
        <w:jc w:val="both"/>
        <w:rPr>
          <w:rFonts w:ascii="ITC Avant Garde" w:hAnsi="ITC Avant Garde"/>
          <w:bCs/>
        </w:rPr>
      </w:pPr>
      <w:r w:rsidRPr="002E1A2C">
        <w:rPr>
          <w:rFonts w:ascii="ITC Avant Garde" w:hAnsi="ITC Avant Garde"/>
        </w:rPr>
        <w:t>Asimismo, es la autoridad en materia de competencia económica en los sectores de radiodifusión y telecomunicaciones, por lo que en éstos ejercerá de forma exclusiva las facultades que el artículo 28 de la Constitución y las leyes establecen para la Comisión Federal de Competencia Económica.</w:t>
      </w:r>
    </w:p>
    <w:p w14:paraId="29A82D41" w14:textId="00B166E1" w:rsidR="00A10DF6" w:rsidRPr="002E1A2C" w:rsidRDefault="00A10DF6" w:rsidP="00A10DF6">
      <w:pPr>
        <w:spacing w:after="0" w:line="240" w:lineRule="auto"/>
        <w:jc w:val="both"/>
        <w:rPr>
          <w:rFonts w:ascii="ITC Avant Garde" w:hAnsi="ITC Avant Garde"/>
        </w:rPr>
      </w:pPr>
      <w:r w:rsidRPr="002E1A2C">
        <w:rPr>
          <w:rFonts w:ascii="ITC Avant Garde" w:hAnsi="ITC Avant Garde"/>
        </w:rPr>
        <w:lastRenderedPageBreak/>
        <w:t>En ese sentido, los artículos 15, fracciones XVIII y XL de la LFTR, así como 12, fracción XXII, párrafo tercero, inciso c) de la LFCE en relación con el 187 de las Disposiciones Regulatorias, se</w:t>
      </w:r>
      <w:r w:rsidR="0011651B" w:rsidRPr="002E1A2C">
        <w:rPr>
          <w:rFonts w:ascii="ITC Avant Garde" w:hAnsi="ITC Avant Garde"/>
        </w:rPr>
        <w:t xml:space="preserve">ñalan que el Instituto tiene </w:t>
      </w:r>
      <w:r w:rsidRPr="002E1A2C">
        <w:rPr>
          <w:rFonts w:ascii="ITC Avant Garde" w:hAnsi="ITC Avant Garde"/>
        </w:rPr>
        <w:t>la facultad para elaborar y expedir</w:t>
      </w:r>
      <w:r w:rsidR="0027734A" w:rsidRPr="002E1A2C">
        <w:rPr>
          <w:rFonts w:ascii="ITC Avant Garde" w:hAnsi="ITC Avant Garde"/>
        </w:rPr>
        <w:t>, previa consulta pública,</w:t>
      </w:r>
      <w:r w:rsidRPr="002E1A2C">
        <w:rPr>
          <w:rFonts w:ascii="ITC Avant Garde" w:hAnsi="ITC Avant Garde"/>
        </w:rPr>
        <w:t xml:space="preserve"> directrices, guías, lineamientos, criterios técnicos y elementos de análisis técnico, en términos del artículo 138 de la LFCE.</w:t>
      </w:r>
    </w:p>
    <w:p w14:paraId="33DCCD76" w14:textId="77777777" w:rsidR="00A10DF6" w:rsidRPr="002E1A2C" w:rsidRDefault="00A10DF6" w:rsidP="00A10DF6">
      <w:pPr>
        <w:spacing w:after="0" w:line="240" w:lineRule="auto"/>
        <w:jc w:val="both"/>
        <w:rPr>
          <w:rFonts w:ascii="ITC Avant Garde" w:hAnsi="ITC Avant Garde"/>
        </w:rPr>
      </w:pPr>
    </w:p>
    <w:p w14:paraId="38C30035" w14:textId="30C46356" w:rsidR="00A10DF6" w:rsidRPr="002E1A2C" w:rsidRDefault="00A10DF6" w:rsidP="00A10DF6">
      <w:pPr>
        <w:spacing w:after="0" w:line="240" w:lineRule="auto"/>
        <w:jc w:val="both"/>
        <w:rPr>
          <w:rFonts w:ascii="ITC Avant Garde" w:hAnsi="ITC Avant Garde"/>
        </w:rPr>
      </w:pPr>
      <w:r w:rsidRPr="002E1A2C">
        <w:rPr>
          <w:rFonts w:ascii="ITC Avant Garde" w:hAnsi="ITC Avant Garde"/>
        </w:rPr>
        <w:t>Por lo anterior, el Instituto cuenta con facultades y atribuciones para emitir el presente “Acuerdo mediante el cual el Pleno del Instituto Federal de Telecomunicaciones expide la Guía del Programa de Inmunidad y Reducción de Sanciones para los sectores de telecomunicaciones y radiodifusión”.</w:t>
      </w:r>
    </w:p>
    <w:p w14:paraId="2BEBD104" w14:textId="77777777" w:rsidR="00A10DF6" w:rsidRPr="002E1A2C" w:rsidRDefault="00A10DF6" w:rsidP="00A10DF6">
      <w:pPr>
        <w:pBdr>
          <w:top w:val="nil"/>
          <w:left w:val="nil"/>
          <w:bottom w:val="nil"/>
          <w:right w:val="nil"/>
          <w:between w:val="nil"/>
          <w:bar w:val="nil"/>
        </w:pBdr>
        <w:spacing w:after="0" w:line="240" w:lineRule="auto"/>
        <w:contextualSpacing/>
        <w:jc w:val="both"/>
        <w:rPr>
          <w:rFonts w:ascii="ITC Avant Garde" w:hAnsi="ITC Avant Garde" w:cs="Arial"/>
        </w:rPr>
      </w:pPr>
    </w:p>
    <w:p w14:paraId="10BE3F2D" w14:textId="7923AA6A" w:rsidR="00A10DF6" w:rsidRPr="002E1A2C" w:rsidRDefault="00A10DF6" w:rsidP="00A10DF6">
      <w:pPr>
        <w:pBdr>
          <w:top w:val="nil"/>
          <w:left w:val="nil"/>
          <w:bottom w:val="nil"/>
          <w:right w:val="nil"/>
          <w:between w:val="nil"/>
          <w:bar w:val="nil"/>
        </w:pBdr>
        <w:suppressAutoHyphens/>
        <w:spacing w:after="0" w:line="240" w:lineRule="auto"/>
        <w:contextualSpacing/>
        <w:jc w:val="both"/>
        <w:rPr>
          <w:rFonts w:ascii="ITC Avant Garde" w:eastAsia="Times New Roman" w:hAnsi="ITC Avant Garde" w:cs="TimesNewRomanPS-BoldMT"/>
          <w:bCs/>
          <w:lang w:val="es-ES" w:eastAsia="es-ES"/>
        </w:rPr>
      </w:pPr>
      <w:r w:rsidRPr="002E1A2C">
        <w:rPr>
          <w:rFonts w:ascii="ITC Avant Garde" w:hAnsi="ITC Avant Garde" w:cs="Arial"/>
          <w:b/>
        </w:rPr>
        <w:t xml:space="preserve">SEGUNDO.- Consulta Pública. </w:t>
      </w:r>
      <w:r w:rsidRPr="002E1A2C">
        <w:rPr>
          <w:rFonts w:ascii="ITC Avant Garde" w:eastAsia="Times New Roman" w:hAnsi="ITC Avant Garde" w:cs="TimesNewRomanPS-BoldMT"/>
          <w:bCs/>
          <w:lang w:val="es-ES" w:eastAsia="es-ES"/>
        </w:rPr>
        <w:t>En cumplimiento a lo dispuesto en los artículos 138, fracción I de la LFCE y 187 de las Disposiciones Regulatorias y</w:t>
      </w:r>
      <w:r w:rsidR="00C1648C" w:rsidRPr="002E1A2C">
        <w:rPr>
          <w:rFonts w:ascii="ITC Avant Garde" w:eastAsia="Times New Roman" w:hAnsi="ITC Avant Garde" w:cs="TimesNewRomanPS-BoldMT"/>
          <w:bCs/>
          <w:lang w:val="es-ES" w:eastAsia="es-ES"/>
        </w:rPr>
        <w:t>,</w:t>
      </w:r>
      <w:r w:rsidRPr="002E1A2C">
        <w:rPr>
          <w:rFonts w:ascii="ITC Avant Garde" w:eastAsia="Times New Roman" w:hAnsi="ITC Avant Garde" w:cs="TimesNewRomanPS-BoldMT"/>
          <w:bCs/>
          <w:lang w:val="es-ES" w:eastAsia="es-ES"/>
        </w:rPr>
        <w:t xml:space="preserve"> conforme se señala en </w:t>
      </w:r>
      <w:r w:rsidR="00367FE9" w:rsidRPr="002E1A2C">
        <w:rPr>
          <w:rFonts w:ascii="ITC Avant Garde" w:eastAsia="Times New Roman" w:hAnsi="ITC Avant Garde" w:cs="TimesNewRomanPS-BoldMT"/>
          <w:bCs/>
          <w:lang w:val="es-ES" w:eastAsia="es-ES"/>
        </w:rPr>
        <w:t>el</w:t>
      </w:r>
      <w:r w:rsidR="007F3F17" w:rsidRPr="002E1A2C">
        <w:rPr>
          <w:rFonts w:ascii="ITC Avant Garde" w:eastAsia="Times New Roman" w:hAnsi="ITC Avant Garde" w:cs="TimesNewRomanPS-BoldMT"/>
          <w:bCs/>
          <w:lang w:val="es-ES" w:eastAsia="es-ES"/>
        </w:rPr>
        <w:t xml:space="preserve"> Antecedente</w:t>
      </w:r>
      <w:r w:rsidRPr="002E1A2C">
        <w:rPr>
          <w:rFonts w:ascii="ITC Avant Garde" w:eastAsia="Times New Roman" w:hAnsi="ITC Avant Garde" w:cs="TimesNewRomanPS-BoldMT"/>
          <w:bCs/>
          <w:lang w:val="es-ES" w:eastAsia="es-ES"/>
        </w:rPr>
        <w:t xml:space="preserve"> VI del presente </w:t>
      </w:r>
      <w:r w:rsidR="00C1648C" w:rsidRPr="002E1A2C">
        <w:rPr>
          <w:rFonts w:ascii="ITC Avant Garde" w:eastAsia="Times New Roman" w:hAnsi="ITC Avant Garde" w:cs="TimesNewRomanPS-BoldMT"/>
          <w:bCs/>
          <w:lang w:val="es-ES" w:eastAsia="es-ES"/>
        </w:rPr>
        <w:t>A</w:t>
      </w:r>
      <w:r w:rsidRPr="002E1A2C">
        <w:rPr>
          <w:rFonts w:ascii="ITC Avant Garde" w:eastAsia="Times New Roman" w:hAnsi="ITC Avant Garde" w:cs="TimesNewRomanPS-BoldMT"/>
          <w:bCs/>
          <w:lang w:val="es-ES" w:eastAsia="es-ES"/>
        </w:rPr>
        <w:t>cuerdo, el Instituto llevó a cabo la consulta pública del Anteproyecto bajo los principios de transparencia y participación ciudadana. Al respecto, se recibieron tres participaciones por parte de personas morales. Los comentarios realizados al Anteproyecto se realizaron respecto de las secciones y apartados que se muestran a continuación en el cuadro:</w:t>
      </w:r>
    </w:p>
    <w:p w14:paraId="6D8A6814" w14:textId="77777777" w:rsidR="00A10DF6" w:rsidRPr="002E1A2C" w:rsidRDefault="00A10DF6" w:rsidP="00A10DF6">
      <w:pPr>
        <w:pBdr>
          <w:top w:val="nil"/>
          <w:left w:val="nil"/>
          <w:bottom w:val="nil"/>
          <w:right w:val="nil"/>
          <w:between w:val="nil"/>
          <w:bar w:val="nil"/>
        </w:pBdr>
        <w:suppressAutoHyphens/>
        <w:spacing w:after="0" w:line="240" w:lineRule="auto"/>
        <w:contextualSpacing/>
        <w:jc w:val="both"/>
        <w:rPr>
          <w:rFonts w:ascii="ITC Avant Garde" w:eastAsia="Times New Roman" w:hAnsi="ITC Avant Garde" w:cs="TimesNewRomanPS-BoldMT"/>
          <w:bCs/>
          <w:lang w:val="es-ES" w:eastAsia="es-ES"/>
        </w:rPr>
      </w:pPr>
    </w:p>
    <w:tbl>
      <w:tblPr>
        <w:tblStyle w:val="Tabladecuadrcula4-nfasis6"/>
        <w:tblW w:w="0" w:type="auto"/>
        <w:jc w:val="center"/>
        <w:tblLook w:val="04A0" w:firstRow="1" w:lastRow="0" w:firstColumn="1" w:lastColumn="0" w:noHBand="0" w:noVBand="1"/>
      </w:tblPr>
      <w:tblGrid>
        <w:gridCol w:w="5451"/>
        <w:gridCol w:w="2620"/>
      </w:tblGrid>
      <w:tr w:rsidR="002E1A2C" w:rsidRPr="002E1A2C" w14:paraId="29AE1FC8" w14:textId="77777777" w:rsidTr="00F61C0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1C7B316" w14:textId="77777777" w:rsidR="00A10DF6" w:rsidRPr="002E1A2C" w:rsidRDefault="00A10DF6" w:rsidP="00F61C0C">
            <w:pPr>
              <w:suppressAutoHyphens/>
              <w:spacing w:after="0" w:line="240" w:lineRule="auto"/>
              <w:contextualSpacing/>
              <w:jc w:val="center"/>
              <w:rPr>
                <w:rFonts w:ascii="ITC Avant Garde" w:eastAsia="Times New Roman" w:hAnsi="ITC Avant Garde" w:cs="TimesNewRomanPS-BoldMT"/>
                <w:b w:val="0"/>
                <w:bCs w:val="0"/>
                <w:color w:val="auto"/>
                <w:lang w:val="es-ES" w:eastAsia="es-ES"/>
              </w:rPr>
            </w:pPr>
            <w:r w:rsidRPr="002E1A2C">
              <w:rPr>
                <w:rFonts w:ascii="ITC Avant Garde" w:eastAsia="Times New Roman" w:hAnsi="ITC Avant Garde" w:cs="TimesNewRomanPS-BoldMT"/>
                <w:color w:val="auto"/>
                <w:lang w:val="es-ES" w:eastAsia="es-ES"/>
              </w:rPr>
              <w:t>Apartado del Anteproyecto</w:t>
            </w:r>
          </w:p>
        </w:tc>
        <w:tc>
          <w:tcPr>
            <w:tcW w:w="0" w:type="auto"/>
            <w:vAlign w:val="center"/>
          </w:tcPr>
          <w:p w14:paraId="152E3B85" w14:textId="77777777" w:rsidR="00A10DF6" w:rsidRPr="002E1A2C" w:rsidRDefault="00A10DF6" w:rsidP="00F61C0C">
            <w:pPr>
              <w:suppressAutoHyphens/>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TimesNewRomanPS-BoldMT"/>
                <w:bCs w:val="0"/>
                <w:color w:val="auto"/>
                <w:lang w:val="es-ES" w:eastAsia="es-ES"/>
              </w:rPr>
            </w:pPr>
            <w:r w:rsidRPr="002E1A2C">
              <w:rPr>
                <w:rFonts w:ascii="ITC Avant Garde" w:eastAsia="Times New Roman" w:hAnsi="ITC Avant Garde" w:cs="TimesNewRomanPS-BoldMT"/>
                <w:bCs w:val="0"/>
                <w:color w:val="auto"/>
                <w:lang w:val="es-ES" w:eastAsia="es-ES"/>
              </w:rPr>
              <w:t>Comentarios recibido</w:t>
            </w:r>
            <w:r w:rsidRPr="002E1A2C">
              <w:rPr>
                <w:rFonts w:ascii="ITC Avant Garde" w:eastAsia="Times New Roman" w:hAnsi="ITC Avant Garde" w:cs="TimesNewRomanPS-BoldMT"/>
                <w:color w:val="auto"/>
                <w:lang w:val="es-ES" w:eastAsia="es-ES"/>
              </w:rPr>
              <w:t>s</w:t>
            </w:r>
          </w:p>
        </w:tc>
      </w:tr>
      <w:tr w:rsidR="002E1A2C" w:rsidRPr="002E1A2C" w14:paraId="12A1D01F" w14:textId="77777777" w:rsidTr="00F61C0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1805F38E" w14:textId="77777777" w:rsidR="00A10DF6" w:rsidRPr="002E1A2C" w:rsidDel="00E54AB4" w:rsidRDefault="00A10DF6" w:rsidP="00F61C0C">
            <w:pPr>
              <w:suppressAutoHyphens/>
              <w:spacing w:after="0" w:line="240" w:lineRule="auto"/>
              <w:contextualSpacing/>
              <w:rPr>
                <w:rFonts w:ascii="ITC Avant Garde" w:eastAsia="Times New Roman" w:hAnsi="ITC Avant Garde" w:cs="TimesNewRomanPS-BoldMT"/>
                <w:lang w:val="es-ES" w:eastAsia="es-ES"/>
              </w:rPr>
            </w:pPr>
            <w:r w:rsidRPr="002E1A2C">
              <w:rPr>
                <w:rFonts w:ascii="ITC Avant Garde" w:hAnsi="ITC Avant Garde"/>
              </w:rPr>
              <w:t>I. SOLICITUD</w:t>
            </w:r>
          </w:p>
        </w:tc>
        <w:tc>
          <w:tcPr>
            <w:tcW w:w="0" w:type="auto"/>
            <w:vAlign w:val="center"/>
          </w:tcPr>
          <w:p w14:paraId="375D5565" w14:textId="77777777" w:rsidR="00A10DF6" w:rsidRPr="002E1A2C" w:rsidRDefault="00A10DF6" w:rsidP="00F61C0C">
            <w:pPr>
              <w:suppressAutoHyphens/>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imesNewRomanPS-BoldMT"/>
                <w:b/>
                <w:lang w:val="es-ES" w:eastAsia="es-ES"/>
              </w:rPr>
            </w:pPr>
            <w:r w:rsidRPr="002E1A2C">
              <w:rPr>
                <w:rFonts w:ascii="ITC Avant Garde" w:eastAsia="Times New Roman" w:hAnsi="ITC Avant Garde" w:cs="TimesNewRomanPS-BoldMT"/>
                <w:b/>
                <w:lang w:val="es-ES" w:eastAsia="es-ES"/>
              </w:rPr>
              <w:t>1</w:t>
            </w:r>
          </w:p>
        </w:tc>
      </w:tr>
      <w:tr w:rsidR="002E1A2C" w:rsidRPr="002E1A2C" w14:paraId="5124BAF6" w14:textId="77777777" w:rsidTr="00F61C0C">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4B9F33A" w14:textId="77777777" w:rsidR="00A10DF6" w:rsidRPr="002E1A2C" w:rsidRDefault="00A10DF6" w:rsidP="00F61C0C">
            <w:pPr>
              <w:suppressAutoHyphens/>
              <w:spacing w:after="0" w:line="240" w:lineRule="auto"/>
              <w:contextualSpacing/>
              <w:rPr>
                <w:rFonts w:ascii="ITC Avant Garde" w:eastAsia="Times New Roman" w:hAnsi="ITC Avant Garde" w:cs="TimesNewRomanPS-BoldMT"/>
                <w:b w:val="0"/>
                <w:bCs w:val="0"/>
                <w:highlight w:val="yellow"/>
                <w:lang w:val="es-ES" w:eastAsia="es-ES"/>
              </w:rPr>
            </w:pPr>
            <w:r w:rsidRPr="002E1A2C">
              <w:rPr>
                <w:rFonts w:ascii="ITC Avant Garde" w:hAnsi="ITC Avant Garde"/>
              </w:rPr>
              <w:t>1.2. Personas que pueden acogerse al Programa</w:t>
            </w:r>
          </w:p>
        </w:tc>
        <w:tc>
          <w:tcPr>
            <w:tcW w:w="0" w:type="auto"/>
            <w:vAlign w:val="center"/>
          </w:tcPr>
          <w:p w14:paraId="4CB4DA3A" w14:textId="77777777" w:rsidR="00A10DF6" w:rsidRPr="002E1A2C" w:rsidRDefault="00A10DF6" w:rsidP="00F61C0C">
            <w:pPr>
              <w:suppressAutoHyphens/>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imesNewRomanPS-BoldMT"/>
                <w:b/>
                <w:bCs/>
                <w:lang w:val="es-ES" w:eastAsia="es-ES"/>
              </w:rPr>
            </w:pPr>
            <w:r w:rsidRPr="002E1A2C">
              <w:rPr>
                <w:rFonts w:ascii="ITC Avant Garde" w:eastAsia="Times New Roman" w:hAnsi="ITC Avant Garde" w:cs="TimesNewRomanPS-BoldMT"/>
                <w:b/>
                <w:bCs/>
                <w:lang w:val="es-ES" w:eastAsia="es-ES"/>
              </w:rPr>
              <w:t>2</w:t>
            </w:r>
          </w:p>
        </w:tc>
      </w:tr>
      <w:tr w:rsidR="002E1A2C" w:rsidRPr="002E1A2C" w14:paraId="69C5CEE0" w14:textId="77777777" w:rsidTr="00F61C0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9254BAF" w14:textId="77777777" w:rsidR="00A10DF6" w:rsidRPr="002E1A2C" w:rsidRDefault="00A10DF6" w:rsidP="00F61C0C">
            <w:pPr>
              <w:suppressAutoHyphens/>
              <w:spacing w:after="0" w:line="240" w:lineRule="auto"/>
              <w:contextualSpacing/>
              <w:rPr>
                <w:rFonts w:ascii="ITC Avant Garde" w:eastAsia="Times New Roman" w:hAnsi="ITC Avant Garde" w:cs="TimesNewRomanPS-BoldMT"/>
                <w:bCs w:val="0"/>
                <w:highlight w:val="yellow"/>
                <w:lang w:val="es-ES" w:eastAsia="es-ES"/>
              </w:rPr>
            </w:pPr>
            <w:r w:rsidRPr="002E1A2C">
              <w:rPr>
                <w:rFonts w:ascii="ITC Avant Garde" w:hAnsi="ITC Avant Garde"/>
              </w:rPr>
              <w:t>1.3. Requisitos de la Solicitud</w:t>
            </w:r>
          </w:p>
        </w:tc>
        <w:tc>
          <w:tcPr>
            <w:tcW w:w="0" w:type="auto"/>
            <w:vAlign w:val="center"/>
          </w:tcPr>
          <w:p w14:paraId="76D523A8" w14:textId="77777777" w:rsidR="00A10DF6" w:rsidRPr="002E1A2C" w:rsidRDefault="00A10DF6" w:rsidP="00F61C0C">
            <w:pPr>
              <w:suppressAutoHyphens/>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imesNewRomanPS-BoldMT"/>
                <w:b/>
                <w:bCs/>
                <w:lang w:val="es-ES" w:eastAsia="es-ES"/>
              </w:rPr>
            </w:pPr>
            <w:r w:rsidRPr="002E1A2C">
              <w:rPr>
                <w:rFonts w:ascii="ITC Avant Garde" w:eastAsia="Times New Roman" w:hAnsi="ITC Avant Garde" w:cs="TimesNewRomanPS-BoldMT"/>
                <w:b/>
                <w:bCs/>
                <w:lang w:val="es-ES" w:eastAsia="es-ES"/>
              </w:rPr>
              <w:t>5</w:t>
            </w:r>
          </w:p>
        </w:tc>
      </w:tr>
      <w:tr w:rsidR="002E1A2C" w:rsidRPr="002E1A2C" w14:paraId="1F651AC4" w14:textId="77777777" w:rsidTr="00F61C0C">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49E6879" w14:textId="77777777" w:rsidR="00A10DF6" w:rsidRPr="002E1A2C" w:rsidRDefault="00A10DF6" w:rsidP="00F61C0C">
            <w:pPr>
              <w:suppressAutoHyphens/>
              <w:spacing w:after="0" w:line="240" w:lineRule="auto"/>
              <w:contextualSpacing/>
              <w:rPr>
                <w:rFonts w:ascii="ITC Avant Garde" w:eastAsia="Times New Roman" w:hAnsi="ITC Avant Garde" w:cs="TimesNewRomanPS-BoldMT"/>
                <w:bCs w:val="0"/>
                <w:highlight w:val="yellow"/>
                <w:lang w:val="es-ES" w:eastAsia="es-ES"/>
              </w:rPr>
            </w:pPr>
            <w:r w:rsidRPr="002E1A2C">
              <w:rPr>
                <w:rFonts w:ascii="ITC Avant Garde" w:hAnsi="ITC Avant Garde"/>
              </w:rPr>
              <w:t>1.4. Orden cronológico y citación</w:t>
            </w:r>
          </w:p>
        </w:tc>
        <w:tc>
          <w:tcPr>
            <w:tcW w:w="0" w:type="auto"/>
            <w:vAlign w:val="center"/>
          </w:tcPr>
          <w:p w14:paraId="2C1AE8E3" w14:textId="77777777" w:rsidR="00A10DF6" w:rsidRPr="002E1A2C" w:rsidRDefault="00A10DF6" w:rsidP="00F61C0C">
            <w:pPr>
              <w:suppressAutoHyphens/>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imesNewRomanPS-BoldMT"/>
                <w:b/>
                <w:bCs/>
                <w:lang w:val="es-ES" w:eastAsia="es-ES"/>
              </w:rPr>
            </w:pPr>
            <w:r w:rsidRPr="002E1A2C">
              <w:rPr>
                <w:rFonts w:ascii="ITC Avant Garde" w:eastAsia="Times New Roman" w:hAnsi="ITC Avant Garde" w:cs="TimesNewRomanPS-BoldMT"/>
                <w:b/>
                <w:bCs/>
                <w:lang w:val="es-ES" w:eastAsia="es-ES"/>
              </w:rPr>
              <w:t>2</w:t>
            </w:r>
          </w:p>
        </w:tc>
      </w:tr>
      <w:tr w:rsidR="002E1A2C" w:rsidRPr="002E1A2C" w14:paraId="3775ABE6" w14:textId="77777777" w:rsidTr="00F61C0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4C0A3EE" w14:textId="77777777" w:rsidR="00A10DF6" w:rsidRPr="002E1A2C" w:rsidRDefault="00A10DF6" w:rsidP="00F61C0C">
            <w:pPr>
              <w:spacing w:after="0" w:line="240" w:lineRule="auto"/>
              <w:rPr>
                <w:rFonts w:ascii="ITC Avant Garde" w:eastAsia="Times New Roman" w:hAnsi="ITC Avant Garde" w:cs="TimesNewRomanPS-BoldMT"/>
                <w:bCs w:val="0"/>
                <w:highlight w:val="yellow"/>
                <w:lang w:val="es-ES" w:eastAsia="es-ES"/>
              </w:rPr>
            </w:pPr>
            <w:r w:rsidRPr="002E1A2C">
              <w:rPr>
                <w:rFonts w:ascii="ITC Avant Garde" w:hAnsi="ITC Avant Garde"/>
              </w:rPr>
              <w:t>1.5. Marcador</w:t>
            </w:r>
          </w:p>
        </w:tc>
        <w:tc>
          <w:tcPr>
            <w:tcW w:w="0" w:type="auto"/>
            <w:vAlign w:val="center"/>
          </w:tcPr>
          <w:p w14:paraId="6D5D82F4" w14:textId="77777777" w:rsidR="00A10DF6" w:rsidRPr="002E1A2C" w:rsidRDefault="00A10DF6" w:rsidP="00F61C0C">
            <w:pPr>
              <w:suppressAutoHyphens/>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imesNewRomanPS-BoldMT"/>
                <w:b/>
                <w:bCs/>
                <w:lang w:val="es-ES" w:eastAsia="es-ES"/>
              </w:rPr>
            </w:pPr>
            <w:r w:rsidRPr="002E1A2C">
              <w:rPr>
                <w:rFonts w:ascii="ITC Avant Garde" w:eastAsia="Times New Roman" w:hAnsi="ITC Avant Garde" w:cs="TimesNewRomanPS-BoldMT"/>
                <w:b/>
                <w:bCs/>
                <w:lang w:val="es-ES" w:eastAsia="es-ES"/>
              </w:rPr>
              <w:t>1</w:t>
            </w:r>
          </w:p>
        </w:tc>
      </w:tr>
      <w:tr w:rsidR="002E1A2C" w:rsidRPr="002E1A2C" w14:paraId="4C6A61DB" w14:textId="77777777" w:rsidTr="00F61C0C">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385067B4" w14:textId="77777777" w:rsidR="00A10DF6" w:rsidRPr="002E1A2C" w:rsidRDefault="00A10DF6" w:rsidP="00F61C0C">
            <w:pPr>
              <w:suppressAutoHyphens/>
              <w:spacing w:after="0" w:line="240" w:lineRule="auto"/>
              <w:contextualSpacing/>
              <w:rPr>
                <w:rFonts w:ascii="ITC Avant Garde" w:eastAsia="Times New Roman" w:hAnsi="ITC Avant Garde" w:cs="TimesNewRomanPS-BoldMT"/>
                <w:bCs w:val="0"/>
                <w:highlight w:val="yellow"/>
                <w:lang w:val="es-ES" w:eastAsia="es-ES"/>
              </w:rPr>
            </w:pPr>
            <w:r w:rsidRPr="002E1A2C">
              <w:rPr>
                <w:rFonts w:ascii="ITC Avant Garde" w:hAnsi="ITC Avant Garde"/>
              </w:rPr>
              <w:t>1.6. Reunión</w:t>
            </w:r>
          </w:p>
        </w:tc>
        <w:tc>
          <w:tcPr>
            <w:tcW w:w="0" w:type="auto"/>
            <w:vAlign w:val="center"/>
          </w:tcPr>
          <w:p w14:paraId="7FA7335D" w14:textId="77777777" w:rsidR="00A10DF6" w:rsidRPr="002E1A2C" w:rsidRDefault="00A10DF6" w:rsidP="00F61C0C">
            <w:pPr>
              <w:suppressAutoHyphens/>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imesNewRomanPS-BoldMT"/>
                <w:b/>
                <w:bCs/>
                <w:lang w:val="es-ES" w:eastAsia="es-ES"/>
              </w:rPr>
            </w:pPr>
            <w:r w:rsidRPr="002E1A2C">
              <w:rPr>
                <w:rFonts w:ascii="ITC Avant Garde" w:eastAsia="Times New Roman" w:hAnsi="ITC Avant Garde" w:cs="TimesNewRomanPS-BoldMT"/>
                <w:b/>
                <w:bCs/>
                <w:lang w:val="es-ES" w:eastAsia="es-ES"/>
              </w:rPr>
              <w:t>2</w:t>
            </w:r>
          </w:p>
        </w:tc>
      </w:tr>
      <w:tr w:rsidR="002E1A2C" w:rsidRPr="002E1A2C" w14:paraId="3BF44741" w14:textId="77777777" w:rsidTr="00F61C0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2838FE21" w14:textId="77777777" w:rsidR="00A10DF6" w:rsidRPr="002E1A2C" w:rsidRDefault="00A10DF6" w:rsidP="00F61C0C">
            <w:pPr>
              <w:suppressAutoHyphens/>
              <w:spacing w:after="0" w:line="240" w:lineRule="auto"/>
              <w:contextualSpacing/>
              <w:rPr>
                <w:rFonts w:ascii="ITC Avant Garde" w:hAnsi="ITC Avant Garde"/>
              </w:rPr>
            </w:pPr>
            <w:r w:rsidRPr="002E1A2C">
              <w:rPr>
                <w:rFonts w:ascii="ITC Avant Garde" w:hAnsi="ITC Avant Garde"/>
              </w:rPr>
              <w:t>1.7. Evaluación de la información</w:t>
            </w:r>
          </w:p>
        </w:tc>
        <w:tc>
          <w:tcPr>
            <w:tcW w:w="0" w:type="auto"/>
            <w:vAlign w:val="center"/>
          </w:tcPr>
          <w:p w14:paraId="2D79FD39" w14:textId="77777777" w:rsidR="00A10DF6" w:rsidRPr="002E1A2C" w:rsidRDefault="00A10DF6" w:rsidP="00F61C0C">
            <w:pPr>
              <w:suppressAutoHyphens/>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TimesNewRomanPS-BoldMT"/>
                <w:b/>
                <w:bCs/>
                <w:lang w:val="es-ES" w:eastAsia="es-ES"/>
              </w:rPr>
            </w:pPr>
            <w:r w:rsidRPr="002E1A2C">
              <w:rPr>
                <w:rFonts w:ascii="ITC Avant Garde" w:eastAsia="Times New Roman" w:hAnsi="ITC Avant Garde" w:cs="TimesNewRomanPS-BoldMT"/>
                <w:b/>
                <w:bCs/>
                <w:lang w:val="es-ES" w:eastAsia="es-ES"/>
              </w:rPr>
              <w:t>2</w:t>
            </w:r>
          </w:p>
        </w:tc>
      </w:tr>
      <w:tr w:rsidR="002E1A2C" w:rsidRPr="002E1A2C" w14:paraId="43E1CE4D" w14:textId="77777777" w:rsidTr="00F61C0C">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255E5066" w14:textId="77777777" w:rsidR="00A10DF6" w:rsidRPr="002E1A2C" w:rsidRDefault="00A10DF6" w:rsidP="00F61C0C">
            <w:pPr>
              <w:suppressAutoHyphens/>
              <w:spacing w:after="0" w:line="240" w:lineRule="auto"/>
              <w:contextualSpacing/>
              <w:rPr>
                <w:rFonts w:ascii="ITC Avant Garde" w:hAnsi="ITC Avant Garde"/>
              </w:rPr>
            </w:pPr>
            <w:r w:rsidRPr="002E1A2C">
              <w:rPr>
                <w:rFonts w:ascii="ITC Avant Garde" w:hAnsi="ITC Avant Garde"/>
              </w:rPr>
              <w:t>3.2. Reducción de Sanciones</w:t>
            </w:r>
          </w:p>
        </w:tc>
        <w:tc>
          <w:tcPr>
            <w:tcW w:w="0" w:type="auto"/>
            <w:vAlign w:val="center"/>
          </w:tcPr>
          <w:p w14:paraId="2E3F0CFB" w14:textId="77777777" w:rsidR="00A10DF6" w:rsidRPr="002E1A2C" w:rsidRDefault="00A10DF6" w:rsidP="00F61C0C">
            <w:pPr>
              <w:suppressAutoHyphens/>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TimesNewRomanPS-BoldMT"/>
                <w:b/>
                <w:bCs/>
                <w:lang w:val="es-ES" w:eastAsia="es-ES"/>
              </w:rPr>
            </w:pPr>
            <w:r w:rsidRPr="002E1A2C">
              <w:rPr>
                <w:rFonts w:ascii="ITC Avant Garde" w:eastAsia="Times New Roman" w:hAnsi="ITC Avant Garde" w:cs="TimesNewRomanPS-BoldMT"/>
                <w:b/>
                <w:bCs/>
                <w:lang w:val="es-ES" w:eastAsia="es-ES"/>
              </w:rPr>
              <w:t>5</w:t>
            </w:r>
          </w:p>
        </w:tc>
      </w:tr>
    </w:tbl>
    <w:p w14:paraId="48B44700" w14:textId="77777777" w:rsidR="00A10DF6" w:rsidRPr="002E1A2C" w:rsidRDefault="00A10DF6" w:rsidP="00A10DF6">
      <w:pPr>
        <w:pBdr>
          <w:top w:val="nil"/>
          <w:left w:val="nil"/>
          <w:bottom w:val="nil"/>
          <w:right w:val="nil"/>
          <w:between w:val="nil"/>
          <w:bar w:val="nil"/>
        </w:pBdr>
        <w:suppressAutoHyphens/>
        <w:spacing w:after="0" w:line="240" w:lineRule="auto"/>
        <w:contextualSpacing/>
        <w:jc w:val="both"/>
        <w:rPr>
          <w:rFonts w:ascii="ITC Avant Garde" w:eastAsia="Times New Roman" w:hAnsi="ITC Avant Garde" w:cs="TimesNewRomanPS-BoldMT"/>
          <w:bCs/>
          <w:lang w:val="es-ES" w:eastAsia="es-ES"/>
        </w:rPr>
      </w:pPr>
    </w:p>
    <w:p w14:paraId="47149B79" w14:textId="77A78BE0" w:rsidR="00A10DF6" w:rsidRPr="002E1A2C" w:rsidRDefault="00932733" w:rsidP="00A10DF6">
      <w:pPr>
        <w:pBdr>
          <w:top w:val="nil"/>
          <w:left w:val="nil"/>
          <w:bottom w:val="nil"/>
          <w:right w:val="nil"/>
          <w:between w:val="nil"/>
          <w:bar w:val="nil"/>
        </w:pBdr>
        <w:suppressAutoHyphens/>
        <w:spacing w:after="0" w:line="240" w:lineRule="auto"/>
        <w:contextualSpacing/>
        <w:jc w:val="both"/>
        <w:rPr>
          <w:rFonts w:ascii="ITC Avant Garde" w:eastAsia="Times New Roman" w:hAnsi="ITC Avant Garde" w:cs="TimesNewRomanPS-BoldMT"/>
          <w:bCs/>
          <w:lang w:val="es-ES" w:eastAsia="es-ES"/>
        </w:rPr>
      </w:pPr>
      <w:r w:rsidRPr="002E1A2C">
        <w:rPr>
          <w:rFonts w:ascii="ITC Avant Garde" w:eastAsia="Times New Roman" w:hAnsi="ITC Avant Garde" w:cs="TimesNewRomanPS-BoldMT"/>
          <w:bCs/>
          <w:lang w:eastAsia="es-ES"/>
        </w:rPr>
        <w:t>L</w:t>
      </w:r>
      <w:r w:rsidR="00A10DF6" w:rsidRPr="002E1A2C">
        <w:rPr>
          <w:rFonts w:ascii="ITC Avant Garde" w:eastAsia="Times New Roman" w:hAnsi="ITC Avant Garde" w:cs="TimesNewRomanPS-BoldMT"/>
          <w:bCs/>
          <w:lang w:val="es-ES" w:eastAsia="es-ES"/>
        </w:rPr>
        <w:t xml:space="preserve">os comentarios que se consideraron </w:t>
      </w:r>
      <w:r w:rsidRPr="002E1A2C">
        <w:rPr>
          <w:rFonts w:ascii="ITC Avant Garde" w:eastAsia="Times New Roman" w:hAnsi="ITC Avant Garde" w:cs="TimesNewRomanPS-BoldMT"/>
          <w:bCs/>
          <w:lang w:val="es-ES" w:eastAsia="es-ES"/>
        </w:rPr>
        <w:t>pertinente</w:t>
      </w:r>
      <w:r w:rsidR="00A10DF6" w:rsidRPr="002E1A2C">
        <w:rPr>
          <w:rFonts w:ascii="ITC Avant Garde" w:eastAsia="Times New Roman" w:hAnsi="ITC Avant Garde" w:cs="TimesNewRomanPS-BoldMT"/>
          <w:bCs/>
          <w:lang w:val="es-ES" w:eastAsia="es-ES"/>
        </w:rPr>
        <w:t xml:space="preserve">s sirvieron para realizar </w:t>
      </w:r>
      <w:r w:rsidRPr="002E1A2C">
        <w:rPr>
          <w:rFonts w:ascii="ITC Avant Garde" w:eastAsia="Times New Roman" w:hAnsi="ITC Avant Garde" w:cs="TimesNewRomanPS-BoldMT"/>
          <w:bCs/>
          <w:lang w:val="es-ES" w:eastAsia="es-ES"/>
        </w:rPr>
        <w:t>diversas</w:t>
      </w:r>
      <w:r w:rsidR="00A10DF6" w:rsidRPr="002E1A2C">
        <w:rPr>
          <w:rFonts w:ascii="ITC Avant Garde" w:eastAsia="Times New Roman" w:hAnsi="ITC Avant Garde" w:cs="TimesNewRomanPS-BoldMT"/>
          <w:bCs/>
          <w:lang w:val="es-ES" w:eastAsia="es-ES"/>
        </w:rPr>
        <w:t xml:space="preserve"> modificaciones, las cuales se presentan</w:t>
      </w:r>
      <w:r w:rsidRPr="002E1A2C">
        <w:rPr>
          <w:rFonts w:ascii="ITC Avant Garde" w:eastAsia="Times New Roman" w:hAnsi="ITC Avant Garde" w:cs="TimesNewRomanPS-BoldMT"/>
          <w:bCs/>
          <w:lang w:val="es-ES" w:eastAsia="es-ES"/>
        </w:rPr>
        <w:t xml:space="preserve"> continuación</w:t>
      </w:r>
      <w:r w:rsidR="00A10DF6" w:rsidRPr="002E1A2C">
        <w:rPr>
          <w:rFonts w:ascii="ITC Avant Garde" w:eastAsia="Times New Roman" w:hAnsi="ITC Avant Garde" w:cs="TimesNewRomanPS-BoldMT"/>
          <w:bCs/>
          <w:lang w:val="es-ES" w:eastAsia="es-ES"/>
        </w:rPr>
        <w:t>:</w:t>
      </w:r>
    </w:p>
    <w:p w14:paraId="7C9D4DF1" w14:textId="77777777" w:rsidR="00A10DF6" w:rsidRPr="002E1A2C" w:rsidRDefault="00A10DF6" w:rsidP="00A10DF6">
      <w:pPr>
        <w:pBdr>
          <w:top w:val="nil"/>
          <w:left w:val="nil"/>
          <w:bottom w:val="nil"/>
          <w:right w:val="nil"/>
          <w:between w:val="nil"/>
          <w:bar w:val="nil"/>
        </w:pBdr>
        <w:suppressAutoHyphens/>
        <w:spacing w:after="0" w:line="240" w:lineRule="auto"/>
        <w:contextualSpacing/>
        <w:jc w:val="both"/>
        <w:rPr>
          <w:rFonts w:ascii="ITC Avant Garde" w:eastAsia="Times New Roman" w:hAnsi="ITC Avant Garde" w:cs="TimesNewRomanPS-BoldMT"/>
          <w:bCs/>
          <w:lang w:val="es-ES" w:eastAsia="es-ES"/>
        </w:rPr>
      </w:pPr>
    </w:p>
    <w:p w14:paraId="39C4005A" w14:textId="77777777" w:rsidR="00A10DF6" w:rsidRPr="002E1A2C" w:rsidRDefault="00A10DF6" w:rsidP="008A41F0">
      <w:pPr>
        <w:pStyle w:val="Prrafodelista"/>
        <w:numPr>
          <w:ilvl w:val="0"/>
          <w:numId w:val="3"/>
        </w:numPr>
        <w:pBdr>
          <w:top w:val="nil"/>
          <w:left w:val="nil"/>
          <w:bottom w:val="nil"/>
          <w:right w:val="nil"/>
          <w:between w:val="nil"/>
          <w:bar w:val="nil"/>
        </w:pBdr>
        <w:suppressAutoHyphens/>
        <w:contextualSpacing/>
        <w:jc w:val="both"/>
        <w:rPr>
          <w:rFonts w:ascii="ITC Avant Garde" w:hAnsi="ITC Avant Garde" w:cs="TimesNewRomanPS-BoldMT"/>
          <w:bCs/>
          <w:lang w:eastAsia="es-ES"/>
        </w:rPr>
      </w:pPr>
      <w:r w:rsidRPr="002E1A2C">
        <w:rPr>
          <w:rFonts w:ascii="ITC Avant Garde" w:hAnsi="ITC Avant Garde" w:cs="TimesNewRomanPS-BoldMT"/>
          <w:bCs/>
          <w:sz w:val="22"/>
          <w:szCs w:val="22"/>
          <w:lang w:eastAsia="es-ES"/>
        </w:rPr>
        <w:t>En el último párrafo del “</w:t>
      </w:r>
      <w:r w:rsidRPr="002E1A2C">
        <w:rPr>
          <w:rFonts w:ascii="ITC Avant Garde" w:hAnsi="ITC Avant Garde" w:cs="TimesNewRomanPS-BoldMT"/>
          <w:b/>
          <w:bCs/>
          <w:i/>
          <w:sz w:val="22"/>
          <w:szCs w:val="22"/>
          <w:lang w:eastAsia="es-ES"/>
        </w:rPr>
        <w:t>Apartado 1.3. Requisitos de la Solicitud</w:t>
      </w:r>
      <w:r w:rsidRPr="002E1A2C">
        <w:rPr>
          <w:rFonts w:ascii="ITC Avant Garde" w:hAnsi="ITC Avant Garde" w:cs="TimesNewRomanPS-BoldMT"/>
          <w:bCs/>
          <w:sz w:val="22"/>
          <w:szCs w:val="22"/>
          <w:lang w:eastAsia="es-ES"/>
        </w:rPr>
        <w:t xml:space="preserve">” se precisan los tiempos de respuesta por parte del Instituto respecto de la solicitud, </w:t>
      </w:r>
      <w:r w:rsidR="008A41F0" w:rsidRPr="002E1A2C">
        <w:rPr>
          <w:rFonts w:ascii="ITC Avant Garde" w:hAnsi="ITC Avant Garde" w:cs="TimesNewRomanPS-BoldMT"/>
          <w:bCs/>
          <w:sz w:val="22"/>
          <w:szCs w:val="22"/>
          <w:lang w:eastAsia="es-ES"/>
        </w:rPr>
        <w:t xml:space="preserve">con el objeto de </w:t>
      </w:r>
      <w:r w:rsidR="006E2F81" w:rsidRPr="002E1A2C">
        <w:rPr>
          <w:rFonts w:ascii="ITC Avant Garde" w:hAnsi="ITC Avant Garde" w:cs="TimesNewRomanPS-BoldMT"/>
          <w:bCs/>
          <w:sz w:val="22"/>
          <w:szCs w:val="22"/>
          <w:lang w:eastAsia="es-ES"/>
        </w:rPr>
        <w:t xml:space="preserve">clarificar </w:t>
      </w:r>
      <w:r w:rsidR="008A41F0" w:rsidRPr="002E1A2C">
        <w:rPr>
          <w:rFonts w:ascii="ITC Avant Garde" w:hAnsi="ITC Avant Garde" w:cs="TimesNewRomanPS-BoldMT"/>
          <w:bCs/>
          <w:sz w:val="22"/>
          <w:szCs w:val="22"/>
          <w:lang w:eastAsia="es-ES"/>
        </w:rPr>
        <w:t>que dicho plazo contará a partir de que se tenga por recibida la solicitud, lo que permite al interesado tener certeza de que su solicitud fue recibida y que cuenta con los requisi</w:t>
      </w:r>
      <w:r w:rsidR="006E2F81" w:rsidRPr="002E1A2C">
        <w:rPr>
          <w:rFonts w:ascii="ITC Avant Garde" w:hAnsi="ITC Avant Garde" w:cs="TimesNewRomanPS-BoldMT"/>
          <w:bCs/>
          <w:sz w:val="22"/>
          <w:szCs w:val="22"/>
          <w:lang w:eastAsia="es-ES"/>
        </w:rPr>
        <w:t xml:space="preserve">tos para tenerse por presentada; </w:t>
      </w:r>
      <w:r w:rsidRPr="002E1A2C">
        <w:rPr>
          <w:rFonts w:ascii="ITC Avant Garde" w:hAnsi="ITC Avant Garde" w:cs="TimesNewRomanPS-BoldMT"/>
          <w:bCs/>
          <w:sz w:val="22"/>
          <w:szCs w:val="22"/>
          <w:lang w:eastAsia="es-ES"/>
        </w:rPr>
        <w:t>quedando la redacción de la siguiente forma:</w:t>
      </w:r>
    </w:p>
    <w:p w14:paraId="2F4E4274" w14:textId="77777777" w:rsidR="00A10DF6" w:rsidRPr="002E1A2C" w:rsidRDefault="00A10DF6" w:rsidP="00A10DF6">
      <w:pPr>
        <w:pStyle w:val="Prrafodelista"/>
        <w:pBdr>
          <w:top w:val="nil"/>
          <w:left w:val="nil"/>
          <w:bottom w:val="nil"/>
          <w:right w:val="nil"/>
          <w:between w:val="nil"/>
          <w:bar w:val="nil"/>
        </w:pBdr>
        <w:suppressAutoHyphens/>
        <w:ind w:left="720"/>
        <w:contextualSpacing/>
        <w:jc w:val="both"/>
        <w:rPr>
          <w:rFonts w:ascii="ITC Avant Garde" w:hAnsi="ITC Avant Garde" w:cs="TimesNewRomanPS-BoldMT"/>
          <w:bCs/>
          <w:lang w:eastAsia="es-ES"/>
        </w:rPr>
      </w:pPr>
    </w:p>
    <w:tbl>
      <w:tblPr>
        <w:tblStyle w:val="Tablaconcuadrcula"/>
        <w:tblW w:w="0" w:type="auto"/>
        <w:jc w:val="right"/>
        <w:tblLook w:val="04A0" w:firstRow="1" w:lastRow="0" w:firstColumn="1" w:lastColumn="0" w:noHBand="0" w:noVBand="1"/>
      </w:tblPr>
      <w:tblGrid>
        <w:gridCol w:w="4449"/>
        <w:gridCol w:w="4379"/>
      </w:tblGrid>
      <w:tr w:rsidR="002E1A2C" w:rsidRPr="002E1A2C" w14:paraId="4156FDEF" w14:textId="77777777" w:rsidTr="00C447E6">
        <w:trPr>
          <w:jc w:val="right"/>
        </w:trPr>
        <w:tc>
          <w:tcPr>
            <w:tcW w:w="4673" w:type="dxa"/>
            <w:shd w:val="clear" w:color="auto" w:fill="538135" w:themeFill="accent6" w:themeFillShade="BF"/>
          </w:tcPr>
          <w:p w14:paraId="68583A19" w14:textId="77777777" w:rsidR="00A10DF6" w:rsidRPr="002E1A2C" w:rsidRDefault="00A10DF6" w:rsidP="00F61C0C">
            <w:pPr>
              <w:spacing w:after="0" w:line="240" w:lineRule="auto"/>
              <w:jc w:val="center"/>
              <w:rPr>
                <w:rFonts w:ascii="ITC Avant Garde" w:hAnsi="ITC Avant Garde"/>
                <w:b/>
                <w:sz w:val="18"/>
                <w:szCs w:val="18"/>
              </w:rPr>
            </w:pPr>
            <w:r w:rsidRPr="002E1A2C">
              <w:rPr>
                <w:rFonts w:ascii="ITC Avant Garde" w:hAnsi="ITC Avant Garde"/>
                <w:b/>
                <w:sz w:val="18"/>
                <w:szCs w:val="18"/>
              </w:rPr>
              <w:t>Anteproyecto Sometido a Consulta Pública</w:t>
            </w:r>
          </w:p>
        </w:tc>
        <w:tc>
          <w:tcPr>
            <w:tcW w:w="4687" w:type="dxa"/>
            <w:shd w:val="clear" w:color="auto" w:fill="538135" w:themeFill="accent6" w:themeFillShade="BF"/>
          </w:tcPr>
          <w:p w14:paraId="1BB9C8BF" w14:textId="77777777" w:rsidR="00A10DF6" w:rsidRPr="002E1A2C" w:rsidRDefault="00A10DF6" w:rsidP="00F61C0C">
            <w:pPr>
              <w:spacing w:after="0" w:line="240" w:lineRule="auto"/>
              <w:jc w:val="center"/>
              <w:rPr>
                <w:rFonts w:ascii="ITC Avant Garde" w:hAnsi="ITC Avant Garde"/>
                <w:b/>
                <w:sz w:val="18"/>
                <w:szCs w:val="18"/>
              </w:rPr>
            </w:pPr>
            <w:r w:rsidRPr="002E1A2C">
              <w:rPr>
                <w:rFonts w:ascii="ITC Avant Garde" w:hAnsi="ITC Avant Garde"/>
                <w:b/>
                <w:sz w:val="18"/>
                <w:szCs w:val="18"/>
              </w:rPr>
              <w:t>Proyecto Final posterior a la Consulta Pública</w:t>
            </w:r>
            <w:r w:rsidRPr="002E1A2C">
              <w:rPr>
                <w:rStyle w:val="Refdenotaalpie"/>
                <w:rFonts w:ascii="ITC Avant Garde" w:hAnsi="ITC Avant Garde"/>
                <w:b/>
                <w:sz w:val="18"/>
                <w:szCs w:val="18"/>
              </w:rPr>
              <w:footnoteReference w:id="2"/>
            </w:r>
          </w:p>
        </w:tc>
      </w:tr>
      <w:tr w:rsidR="002E1A2C" w:rsidRPr="002E1A2C" w14:paraId="4E8F480D" w14:textId="77777777" w:rsidTr="00F61C0C">
        <w:trPr>
          <w:jc w:val="right"/>
        </w:trPr>
        <w:tc>
          <w:tcPr>
            <w:tcW w:w="4673" w:type="dxa"/>
            <w:shd w:val="clear" w:color="auto" w:fill="C5E0B3" w:themeFill="accent6" w:themeFillTint="66"/>
          </w:tcPr>
          <w:p w14:paraId="41589CA8" w14:textId="77777777" w:rsidR="00A10DF6" w:rsidRPr="002E1A2C" w:rsidRDefault="00A10DF6" w:rsidP="00F61C0C">
            <w:pPr>
              <w:pStyle w:val="Textoindependiente"/>
              <w:spacing w:after="0" w:line="240" w:lineRule="auto"/>
              <w:jc w:val="both"/>
              <w:rPr>
                <w:rFonts w:ascii="ITC Avant Garde" w:hAnsi="ITC Avant Garde"/>
                <w:sz w:val="18"/>
                <w:szCs w:val="18"/>
              </w:rPr>
            </w:pPr>
            <w:r w:rsidRPr="002E1A2C">
              <w:rPr>
                <w:rFonts w:ascii="ITC Avant Garde" w:hAnsi="ITC Avant Garde"/>
                <w:sz w:val="18"/>
                <w:szCs w:val="18"/>
              </w:rPr>
              <w:t xml:space="preserve">La Autoridad Investigadora se pondrá en comunicación con el interesado dentro de los dos días hábiles siguientes para corroborar y validar la información enviada, con el objeto de cerciorarse que ésta cumpla con los requisitos </w:t>
            </w:r>
            <w:r w:rsidRPr="002E1A2C">
              <w:rPr>
                <w:rFonts w:ascii="ITC Avant Garde" w:hAnsi="ITC Avant Garde"/>
                <w:sz w:val="18"/>
                <w:szCs w:val="18"/>
              </w:rPr>
              <w:lastRenderedPageBreak/>
              <w:t xml:space="preserve">establecidos en la normatividad aplicable y la presente guía. Una vez que se presenten al Instituto la totalidad de los elementos referidos en este numeral, a través de los medios indicados, se tendrá por presentada la solicitud y únicamente hasta ese momento el interesado adquirirá el carácter de Solicitante. </w:t>
            </w:r>
          </w:p>
          <w:p w14:paraId="7F7EA2E8" w14:textId="77777777" w:rsidR="00A10DF6" w:rsidRPr="002E1A2C" w:rsidRDefault="00A10DF6" w:rsidP="00F61C0C">
            <w:pPr>
              <w:spacing w:after="0" w:line="240" w:lineRule="auto"/>
              <w:jc w:val="both"/>
              <w:rPr>
                <w:rFonts w:ascii="ITC Avant Garde" w:hAnsi="ITC Avant Garde"/>
                <w:sz w:val="18"/>
                <w:szCs w:val="18"/>
              </w:rPr>
            </w:pPr>
          </w:p>
        </w:tc>
        <w:tc>
          <w:tcPr>
            <w:tcW w:w="4687" w:type="dxa"/>
            <w:shd w:val="clear" w:color="auto" w:fill="C5E0B3" w:themeFill="accent6" w:themeFillTint="66"/>
          </w:tcPr>
          <w:p w14:paraId="383CA23B" w14:textId="77777777" w:rsidR="00A10DF6" w:rsidRPr="002E1A2C" w:rsidRDefault="00A10DF6" w:rsidP="00F61C0C">
            <w:pPr>
              <w:spacing w:after="0" w:line="240" w:lineRule="auto"/>
              <w:jc w:val="both"/>
              <w:rPr>
                <w:rFonts w:ascii="ITC Avant Garde" w:hAnsi="ITC Avant Garde"/>
                <w:sz w:val="18"/>
                <w:szCs w:val="18"/>
                <w:u w:val="single"/>
              </w:rPr>
            </w:pPr>
            <w:r w:rsidRPr="002E1A2C">
              <w:rPr>
                <w:rFonts w:ascii="ITC Avant Garde" w:hAnsi="ITC Avant Garde"/>
                <w:sz w:val="18"/>
                <w:szCs w:val="18"/>
              </w:rPr>
              <w:lastRenderedPageBreak/>
              <w:t xml:space="preserve">La Autoridad Investigadora se pondrá en </w:t>
            </w:r>
            <w:r w:rsidR="00D72432" w:rsidRPr="002E1A2C">
              <w:rPr>
                <w:rFonts w:ascii="ITC Avant Garde" w:hAnsi="ITC Avant Garde"/>
                <w:sz w:val="18"/>
                <w:szCs w:val="18"/>
              </w:rPr>
              <w:t>comunicación</w:t>
            </w:r>
            <w:r w:rsidRPr="002E1A2C">
              <w:rPr>
                <w:rFonts w:ascii="ITC Avant Garde" w:hAnsi="ITC Avant Garde"/>
                <w:sz w:val="18"/>
                <w:szCs w:val="18"/>
              </w:rPr>
              <w:t xml:space="preserve"> con el interesado dentro de los dos días hábiles siguientes </w:t>
            </w:r>
            <w:r w:rsidRPr="002E1A2C">
              <w:rPr>
                <w:rFonts w:ascii="ITC Avant Garde" w:hAnsi="ITC Avant Garde"/>
                <w:sz w:val="18"/>
                <w:szCs w:val="18"/>
                <w:u w:val="single"/>
              </w:rPr>
              <w:t>de haber recibido la solicitud</w:t>
            </w:r>
            <w:r w:rsidRPr="002E1A2C">
              <w:rPr>
                <w:rFonts w:ascii="ITC Avant Garde" w:hAnsi="ITC Avant Garde"/>
                <w:sz w:val="18"/>
                <w:szCs w:val="18"/>
              </w:rPr>
              <w:t xml:space="preserve"> para corroborar y validar la información enviada, con el objeto de </w:t>
            </w:r>
            <w:r w:rsidRPr="002E1A2C">
              <w:rPr>
                <w:rFonts w:ascii="ITC Avant Garde" w:hAnsi="ITC Avant Garde"/>
                <w:sz w:val="18"/>
                <w:szCs w:val="18"/>
              </w:rPr>
              <w:lastRenderedPageBreak/>
              <w:t xml:space="preserve">cerciorarse de que ésta cumpla con los requisitos establecidos en la normatividad aplicable y la presente guía. </w:t>
            </w:r>
            <w:r w:rsidRPr="002E1A2C">
              <w:rPr>
                <w:rFonts w:ascii="ITC Avant Garde" w:hAnsi="ITC Avant Garde"/>
                <w:sz w:val="18"/>
                <w:szCs w:val="18"/>
                <w:u w:val="single"/>
              </w:rPr>
              <w:t>Si la información no está completa o correcta no se tendrá por presentada la solicitud.</w:t>
            </w:r>
          </w:p>
          <w:p w14:paraId="09288655" w14:textId="77777777" w:rsidR="00A10DF6" w:rsidRPr="002E1A2C" w:rsidRDefault="00A10DF6" w:rsidP="00F61C0C">
            <w:pPr>
              <w:spacing w:after="0" w:line="240" w:lineRule="auto"/>
              <w:jc w:val="both"/>
              <w:rPr>
                <w:rFonts w:ascii="ITC Avant Garde" w:hAnsi="ITC Avant Garde"/>
                <w:sz w:val="18"/>
                <w:szCs w:val="18"/>
              </w:rPr>
            </w:pPr>
          </w:p>
          <w:p w14:paraId="72B616A2" w14:textId="77777777" w:rsidR="00A10DF6" w:rsidRPr="002E1A2C" w:rsidRDefault="00A10DF6" w:rsidP="00F61C0C">
            <w:pPr>
              <w:pStyle w:val="Textoindependiente"/>
              <w:spacing w:after="0" w:line="240" w:lineRule="auto"/>
              <w:jc w:val="both"/>
              <w:rPr>
                <w:rFonts w:ascii="ITC Avant Garde" w:hAnsi="ITC Avant Garde"/>
                <w:sz w:val="18"/>
                <w:szCs w:val="18"/>
              </w:rPr>
            </w:pPr>
            <w:r w:rsidRPr="002E1A2C">
              <w:rPr>
                <w:rFonts w:ascii="ITC Avant Garde" w:hAnsi="ITC Avant Garde"/>
                <w:sz w:val="18"/>
                <w:szCs w:val="18"/>
              </w:rPr>
              <w:t xml:space="preserve">Una vez que se presenten al Instituto la totalidad de los elementos referidos en este numeral, a través de los medios indicados, se tendrá por presentada la solicitud y únicamente hasta ese momento el interesado adquirirá el carácter de Solicitante. </w:t>
            </w:r>
          </w:p>
        </w:tc>
      </w:tr>
    </w:tbl>
    <w:p w14:paraId="69CBF6A8" w14:textId="77777777" w:rsidR="00A10DF6" w:rsidRPr="002E1A2C" w:rsidRDefault="00A10DF6" w:rsidP="00A10DF6">
      <w:pPr>
        <w:pBdr>
          <w:top w:val="nil"/>
          <w:left w:val="nil"/>
          <w:bottom w:val="nil"/>
          <w:right w:val="nil"/>
          <w:between w:val="nil"/>
          <w:bar w:val="nil"/>
        </w:pBdr>
        <w:suppressAutoHyphens/>
        <w:spacing w:after="0" w:line="240" w:lineRule="auto"/>
        <w:contextualSpacing/>
        <w:jc w:val="right"/>
        <w:rPr>
          <w:rFonts w:ascii="ITC Avant Garde" w:eastAsia="Times New Roman" w:hAnsi="ITC Avant Garde" w:cs="TimesNewRomanPS-BoldMT"/>
          <w:bCs/>
          <w:lang w:val="es-ES" w:eastAsia="es-ES"/>
        </w:rPr>
      </w:pPr>
    </w:p>
    <w:p w14:paraId="50C2865D" w14:textId="77777777" w:rsidR="00A10DF6" w:rsidRPr="002E1A2C" w:rsidRDefault="00A10DF6" w:rsidP="001A466D">
      <w:pPr>
        <w:pStyle w:val="Prrafodelista"/>
        <w:numPr>
          <w:ilvl w:val="0"/>
          <w:numId w:val="3"/>
        </w:numPr>
        <w:pBdr>
          <w:top w:val="nil"/>
          <w:left w:val="nil"/>
          <w:bottom w:val="nil"/>
          <w:right w:val="nil"/>
          <w:between w:val="nil"/>
          <w:bar w:val="nil"/>
        </w:pBdr>
        <w:suppressAutoHyphens/>
        <w:contextualSpacing/>
        <w:jc w:val="both"/>
        <w:rPr>
          <w:rFonts w:ascii="ITC Avant Garde" w:hAnsi="ITC Avant Garde" w:cs="TimesNewRomanPS-BoldMT"/>
          <w:bCs/>
          <w:sz w:val="22"/>
          <w:szCs w:val="22"/>
          <w:lang w:eastAsia="es-ES"/>
        </w:rPr>
      </w:pPr>
      <w:r w:rsidRPr="002E1A2C">
        <w:rPr>
          <w:rFonts w:ascii="ITC Avant Garde" w:hAnsi="ITC Avant Garde" w:cs="TimesNewRomanPS-BoldMT"/>
          <w:bCs/>
          <w:sz w:val="22"/>
          <w:szCs w:val="22"/>
          <w:lang w:eastAsia="es-ES"/>
        </w:rPr>
        <w:t>En el “</w:t>
      </w:r>
      <w:r w:rsidRPr="002E1A2C">
        <w:rPr>
          <w:rFonts w:ascii="ITC Avant Garde" w:hAnsi="ITC Avant Garde" w:cs="TimesNewRomanPS-BoldMT"/>
          <w:b/>
          <w:bCs/>
          <w:i/>
          <w:sz w:val="22"/>
          <w:szCs w:val="22"/>
          <w:lang w:eastAsia="es-ES"/>
        </w:rPr>
        <w:t>Apartado 1.6. Reunión</w:t>
      </w:r>
      <w:r w:rsidRPr="002E1A2C">
        <w:rPr>
          <w:rFonts w:ascii="ITC Avant Garde" w:hAnsi="ITC Avant Garde" w:cs="TimesNewRomanPS-BoldMT"/>
          <w:bCs/>
          <w:sz w:val="22"/>
          <w:szCs w:val="22"/>
          <w:lang w:eastAsia="es-ES"/>
        </w:rPr>
        <w:t xml:space="preserve">” se </w:t>
      </w:r>
      <w:r w:rsidR="001A466D" w:rsidRPr="002E1A2C">
        <w:rPr>
          <w:rFonts w:ascii="ITC Avant Garde" w:hAnsi="ITC Avant Garde" w:cs="TimesNewRomanPS-BoldMT"/>
          <w:bCs/>
          <w:sz w:val="22"/>
          <w:szCs w:val="22"/>
          <w:lang w:eastAsia="es-ES"/>
        </w:rPr>
        <w:t xml:space="preserve">señala un plazo máximo, de sesenta días hábiles, para que se verifique la reunión entre la autoridad y el solicitante, a fin de brindar certeza jurídica a los agentes económicos que deseen </w:t>
      </w:r>
      <w:r w:rsidR="00B37FA4" w:rsidRPr="002E1A2C">
        <w:rPr>
          <w:rFonts w:ascii="ITC Avant Garde" w:hAnsi="ITC Avant Garde" w:cs="TimesNewRomanPS-BoldMT"/>
          <w:bCs/>
          <w:sz w:val="22"/>
          <w:szCs w:val="22"/>
          <w:lang w:eastAsia="es-ES"/>
        </w:rPr>
        <w:t>acogerse</w:t>
      </w:r>
      <w:r w:rsidR="001A466D" w:rsidRPr="002E1A2C">
        <w:rPr>
          <w:rFonts w:ascii="ITC Avant Garde" w:hAnsi="ITC Avant Garde" w:cs="TimesNewRomanPS-BoldMT"/>
          <w:bCs/>
          <w:sz w:val="22"/>
          <w:szCs w:val="22"/>
          <w:lang w:eastAsia="es-ES"/>
        </w:rPr>
        <w:t xml:space="preserve"> al Programa</w:t>
      </w:r>
      <w:r w:rsidR="009A41D2" w:rsidRPr="002E1A2C">
        <w:rPr>
          <w:rFonts w:ascii="ITC Avant Garde" w:hAnsi="ITC Avant Garde" w:cs="TimesNewRomanPS-BoldMT"/>
          <w:bCs/>
          <w:sz w:val="22"/>
          <w:szCs w:val="22"/>
          <w:lang w:eastAsia="es-ES"/>
        </w:rPr>
        <w:t xml:space="preserve"> </w:t>
      </w:r>
      <w:r w:rsidR="009A41D2" w:rsidRPr="002E1A2C">
        <w:rPr>
          <w:rFonts w:ascii="ITC Avant Garde" w:hAnsi="ITC Avant Garde" w:cs="Arial"/>
          <w:sz w:val="22"/>
          <w:szCs w:val="22"/>
        </w:rPr>
        <w:t>de Inmunidad y Reducciones de Sanciones (Programa)</w:t>
      </w:r>
      <w:r w:rsidRPr="002E1A2C">
        <w:rPr>
          <w:rFonts w:ascii="ITC Avant Garde" w:hAnsi="ITC Avant Garde" w:cs="TimesNewRomanPS-BoldMT"/>
          <w:bCs/>
          <w:sz w:val="22"/>
          <w:szCs w:val="22"/>
          <w:lang w:eastAsia="es-ES"/>
        </w:rPr>
        <w:t>:</w:t>
      </w:r>
    </w:p>
    <w:p w14:paraId="51A976E0" w14:textId="77777777" w:rsidR="00A10DF6" w:rsidRPr="002E1A2C" w:rsidRDefault="00A10DF6" w:rsidP="00A10DF6">
      <w:pPr>
        <w:pBdr>
          <w:top w:val="nil"/>
          <w:left w:val="nil"/>
          <w:bottom w:val="nil"/>
          <w:right w:val="nil"/>
          <w:between w:val="nil"/>
          <w:bar w:val="nil"/>
        </w:pBdr>
        <w:suppressAutoHyphens/>
        <w:spacing w:after="0" w:line="240" w:lineRule="auto"/>
        <w:contextualSpacing/>
        <w:jc w:val="both"/>
        <w:rPr>
          <w:rFonts w:ascii="ITC Avant Garde" w:eastAsia="Times New Roman" w:hAnsi="ITC Avant Garde" w:cs="TimesNewRomanPS-BoldMT"/>
          <w:bCs/>
          <w:lang w:val="es-ES" w:eastAsia="es-ES"/>
        </w:rPr>
      </w:pPr>
    </w:p>
    <w:tbl>
      <w:tblPr>
        <w:tblStyle w:val="Tablaconcuadrcula"/>
        <w:tblW w:w="0" w:type="auto"/>
        <w:jc w:val="right"/>
        <w:tblLook w:val="04A0" w:firstRow="1" w:lastRow="0" w:firstColumn="1" w:lastColumn="0" w:noHBand="0" w:noVBand="1"/>
      </w:tblPr>
      <w:tblGrid>
        <w:gridCol w:w="4392"/>
        <w:gridCol w:w="4436"/>
      </w:tblGrid>
      <w:tr w:rsidR="002E1A2C" w:rsidRPr="002E1A2C" w14:paraId="4BD66FC6" w14:textId="77777777" w:rsidTr="00F61C0C">
        <w:trPr>
          <w:jc w:val="right"/>
        </w:trPr>
        <w:tc>
          <w:tcPr>
            <w:tcW w:w="4673" w:type="dxa"/>
            <w:shd w:val="clear" w:color="auto" w:fill="538135" w:themeFill="accent6" w:themeFillShade="BF"/>
          </w:tcPr>
          <w:p w14:paraId="6D424816" w14:textId="77777777" w:rsidR="00A10DF6" w:rsidRPr="002E1A2C" w:rsidRDefault="00A10DF6" w:rsidP="00F61C0C">
            <w:pPr>
              <w:spacing w:after="0" w:line="240" w:lineRule="auto"/>
              <w:jc w:val="center"/>
              <w:rPr>
                <w:rFonts w:ascii="ITC Avant Garde" w:hAnsi="ITC Avant Garde"/>
                <w:b/>
                <w:sz w:val="18"/>
                <w:szCs w:val="18"/>
              </w:rPr>
            </w:pPr>
            <w:r w:rsidRPr="002E1A2C">
              <w:rPr>
                <w:rFonts w:ascii="ITC Avant Garde" w:hAnsi="ITC Avant Garde"/>
                <w:b/>
                <w:sz w:val="18"/>
                <w:szCs w:val="18"/>
              </w:rPr>
              <w:t>Anteproyecto Sometido a Consulta Pública</w:t>
            </w:r>
          </w:p>
        </w:tc>
        <w:tc>
          <w:tcPr>
            <w:tcW w:w="4721" w:type="dxa"/>
            <w:shd w:val="clear" w:color="auto" w:fill="538135" w:themeFill="accent6" w:themeFillShade="BF"/>
          </w:tcPr>
          <w:p w14:paraId="22D47698" w14:textId="77777777" w:rsidR="00A10DF6" w:rsidRPr="002E1A2C" w:rsidRDefault="00A10DF6" w:rsidP="00F61C0C">
            <w:pPr>
              <w:spacing w:after="0" w:line="240" w:lineRule="auto"/>
              <w:jc w:val="center"/>
              <w:rPr>
                <w:rFonts w:ascii="ITC Avant Garde" w:hAnsi="ITC Avant Garde"/>
                <w:b/>
                <w:sz w:val="18"/>
                <w:szCs w:val="18"/>
              </w:rPr>
            </w:pPr>
            <w:r w:rsidRPr="002E1A2C">
              <w:rPr>
                <w:rFonts w:ascii="ITC Avant Garde" w:hAnsi="ITC Avant Garde"/>
                <w:b/>
                <w:sz w:val="18"/>
                <w:szCs w:val="18"/>
              </w:rPr>
              <w:t>Proyecto Final posterior a la Consulta Pública</w:t>
            </w:r>
            <w:r w:rsidRPr="002E1A2C">
              <w:rPr>
                <w:rStyle w:val="Refdenotaalpie"/>
                <w:rFonts w:ascii="ITC Avant Garde" w:hAnsi="ITC Avant Garde"/>
                <w:b/>
                <w:sz w:val="18"/>
                <w:szCs w:val="18"/>
              </w:rPr>
              <w:footnoteReference w:id="3"/>
            </w:r>
          </w:p>
        </w:tc>
      </w:tr>
      <w:tr w:rsidR="002E1A2C" w:rsidRPr="002E1A2C" w14:paraId="312E859B" w14:textId="77777777" w:rsidTr="00F61C0C">
        <w:trPr>
          <w:jc w:val="right"/>
        </w:trPr>
        <w:tc>
          <w:tcPr>
            <w:tcW w:w="4673" w:type="dxa"/>
            <w:shd w:val="clear" w:color="auto" w:fill="C5E0B3" w:themeFill="accent6" w:themeFillTint="66"/>
          </w:tcPr>
          <w:p w14:paraId="7C8ACE80" w14:textId="77777777" w:rsidR="00A10DF6" w:rsidRPr="002E1A2C" w:rsidRDefault="00A10DF6" w:rsidP="00F61C0C">
            <w:pPr>
              <w:pStyle w:val="Textoindependiente"/>
              <w:spacing w:after="0" w:line="240" w:lineRule="auto"/>
              <w:jc w:val="both"/>
              <w:rPr>
                <w:rFonts w:ascii="ITC Avant Garde" w:hAnsi="ITC Avant Garde"/>
                <w:sz w:val="18"/>
                <w:szCs w:val="18"/>
              </w:rPr>
            </w:pPr>
            <w:r w:rsidRPr="002E1A2C">
              <w:rPr>
                <w:rFonts w:ascii="ITC Avant Garde" w:hAnsi="ITC Avant Garde"/>
                <w:sz w:val="18"/>
                <w:szCs w:val="18"/>
              </w:rPr>
              <w:t>La Reunión tiene por objeto que el Solicitante entregue la totalidad de la información y medios de convicción con que disponga sobre la probable comisión de una Práctica Monopólica Absoluta. Para ello, el Solicitante debe plantear los antecedentes y hechos que constituyan la probable comisión de la Práctica Monopólica Absoluta, indicar las acciones que ha tomado al respecto y proporcionar toda la información y documentos que obren en su poder, y que sustenten su responsabilidad en la comisión de dicha práctica anticompetitiva o su participación en la misma.</w:t>
            </w:r>
          </w:p>
        </w:tc>
        <w:tc>
          <w:tcPr>
            <w:tcW w:w="4721" w:type="dxa"/>
            <w:shd w:val="clear" w:color="auto" w:fill="C5E0B3" w:themeFill="accent6" w:themeFillTint="66"/>
          </w:tcPr>
          <w:p w14:paraId="742100F4" w14:textId="77777777" w:rsidR="00A10DF6" w:rsidRPr="002E1A2C" w:rsidRDefault="00A10DF6" w:rsidP="00F61C0C">
            <w:pPr>
              <w:pStyle w:val="Textoindependiente"/>
              <w:spacing w:after="0" w:line="240" w:lineRule="auto"/>
              <w:jc w:val="both"/>
              <w:rPr>
                <w:rFonts w:ascii="ITC Avant Garde" w:hAnsi="ITC Avant Garde"/>
                <w:sz w:val="18"/>
                <w:szCs w:val="18"/>
              </w:rPr>
            </w:pPr>
            <w:r w:rsidRPr="002E1A2C">
              <w:rPr>
                <w:rFonts w:ascii="ITC Avant Garde" w:hAnsi="ITC Avant Garde"/>
                <w:sz w:val="18"/>
                <w:szCs w:val="18"/>
              </w:rPr>
              <w:t xml:space="preserve">La Reunión, </w:t>
            </w:r>
            <w:r w:rsidRPr="002E1A2C">
              <w:rPr>
                <w:rFonts w:ascii="ITC Avant Garde" w:hAnsi="ITC Avant Garde"/>
                <w:sz w:val="18"/>
                <w:szCs w:val="18"/>
                <w:u w:val="single"/>
              </w:rPr>
              <w:t>misma que deberá llevarse a cabo en un plazo máximo de sesenta días hábiles contados a partir de que se otorgaron la Clave y el Marcador</w:t>
            </w:r>
            <w:r w:rsidRPr="002E1A2C">
              <w:rPr>
                <w:rFonts w:ascii="ITC Avant Garde" w:hAnsi="ITC Avant Garde"/>
                <w:sz w:val="18"/>
                <w:szCs w:val="18"/>
              </w:rPr>
              <w:t>, tiene por objeto que el Solicitante entregue la totalidad de la información y medios de convicción con que disponga sobre la probable comisión de una Práctica Monopólica Absoluta. Para ello, el Solicitante debe plantear los antecedentes y hechos que constituyan la probable comisión de la Práctica Monopólica Absoluta, indicar las acciones que ha tomado al respecto y proporcionar toda la información y documentos que obren en su poder, y que sustenten su responsabilidad en la comisión de dicha práctica anticompetitiva o su participación en la misma.</w:t>
            </w:r>
          </w:p>
        </w:tc>
      </w:tr>
    </w:tbl>
    <w:p w14:paraId="60C8539D" w14:textId="77777777" w:rsidR="00A10DF6" w:rsidRPr="002E1A2C" w:rsidRDefault="00A10DF6" w:rsidP="00A10DF6">
      <w:pPr>
        <w:pBdr>
          <w:top w:val="nil"/>
          <w:left w:val="nil"/>
          <w:bottom w:val="nil"/>
          <w:right w:val="nil"/>
          <w:between w:val="nil"/>
          <w:bar w:val="nil"/>
        </w:pBdr>
        <w:suppressAutoHyphens/>
        <w:spacing w:after="0" w:line="240" w:lineRule="auto"/>
        <w:contextualSpacing/>
        <w:jc w:val="both"/>
        <w:rPr>
          <w:rFonts w:ascii="ITC Avant Garde" w:eastAsia="Times New Roman" w:hAnsi="ITC Avant Garde" w:cs="TimesNewRomanPS-BoldMT"/>
          <w:bCs/>
          <w:lang w:val="es-ES" w:eastAsia="es-ES"/>
        </w:rPr>
      </w:pPr>
    </w:p>
    <w:p w14:paraId="003C92BE" w14:textId="77777777" w:rsidR="00A10DF6" w:rsidRPr="002E1A2C" w:rsidRDefault="00A10DF6" w:rsidP="00A10DF6">
      <w:pPr>
        <w:pStyle w:val="Prrafodelista"/>
        <w:numPr>
          <w:ilvl w:val="0"/>
          <w:numId w:val="3"/>
        </w:numPr>
        <w:pBdr>
          <w:top w:val="nil"/>
          <w:left w:val="nil"/>
          <w:bottom w:val="nil"/>
          <w:right w:val="nil"/>
          <w:between w:val="nil"/>
          <w:bar w:val="nil"/>
        </w:pBdr>
        <w:suppressAutoHyphens/>
        <w:contextualSpacing/>
        <w:jc w:val="both"/>
        <w:rPr>
          <w:rFonts w:ascii="ITC Avant Garde" w:hAnsi="ITC Avant Garde" w:cs="TimesNewRomanPS-BoldMT"/>
          <w:bCs/>
          <w:lang w:val="es-ES" w:eastAsia="es-ES"/>
        </w:rPr>
      </w:pPr>
      <w:r w:rsidRPr="002E1A2C">
        <w:rPr>
          <w:rFonts w:ascii="ITC Avant Garde" w:hAnsi="ITC Avant Garde" w:cs="TimesNewRomanPS-BoldMT"/>
          <w:bCs/>
          <w:sz w:val="22"/>
          <w:szCs w:val="22"/>
          <w:lang w:eastAsia="es-ES"/>
        </w:rPr>
        <w:t>En el “</w:t>
      </w:r>
      <w:r w:rsidRPr="002E1A2C">
        <w:rPr>
          <w:rFonts w:ascii="ITC Avant Garde" w:hAnsi="ITC Avant Garde" w:cs="TimesNewRomanPS-BoldMT"/>
          <w:b/>
          <w:bCs/>
          <w:i/>
          <w:sz w:val="22"/>
          <w:szCs w:val="22"/>
          <w:lang w:eastAsia="es-ES"/>
        </w:rPr>
        <w:t>Apartado 3.2. Reducción de Sanciones</w:t>
      </w:r>
      <w:r w:rsidR="003E1E2B" w:rsidRPr="002E1A2C">
        <w:rPr>
          <w:rFonts w:ascii="ITC Avant Garde" w:hAnsi="ITC Avant Garde" w:cs="TimesNewRomanPS-BoldMT"/>
          <w:bCs/>
          <w:sz w:val="22"/>
          <w:szCs w:val="22"/>
          <w:lang w:eastAsia="es-ES"/>
        </w:rPr>
        <w:t>”, se incorpora</w:t>
      </w:r>
      <w:r w:rsidRPr="002E1A2C">
        <w:rPr>
          <w:rFonts w:ascii="ITC Avant Garde" w:hAnsi="ITC Avant Garde" w:cs="TimesNewRomanPS-BoldMT"/>
          <w:bCs/>
          <w:sz w:val="22"/>
          <w:szCs w:val="22"/>
          <w:lang w:eastAsia="es-ES"/>
        </w:rPr>
        <w:t xml:space="preserve"> como quinto párrafo </w:t>
      </w:r>
      <w:r w:rsidR="003E1E2B" w:rsidRPr="002E1A2C">
        <w:rPr>
          <w:rFonts w:ascii="ITC Avant Garde" w:hAnsi="ITC Avant Garde" w:cs="TimesNewRomanPS-BoldMT"/>
          <w:bCs/>
          <w:sz w:val="22"/>
          <w:szCs w:val="22"/>
          <w:lang w:eastAsia="es-ES"/>
        </w:rPr>
        <w:t xml:space="preserve">en dicho apartado </w:t>
      </w:r>
      <w:r w:rsidR="00934FB8" w:rsidRPr="002E1A2C">
        <w:rPr>
          <w:rFonts w:ascii="ITC Avant Garde" w:hAnsi="ITC Avant Garde" w:cs="TimesNewRomanPS-BoldMT"/>
          <w:bCs/>
          <w:sz w:val="22"/>
          <w:szCs w:val="22"/>
          <w:lang w:eastAsia="es-ES"/>
        </w:rPr>
        <w:t>la paráfrasis</w:t>
      </w:r>
      <w:r w:rsidRPr="002E1A2C">
        <w:rPr>
          <w:rFonts w:ascii="ITC Avant Garde" w:hAnsi="ITC Avant Garde" w:cs="TimesNewRomanPS-BoldMT"/>
          <w:bCs/>
          <w:sz w:val="22"/>
          <w:szCs w:val="22"/>
          <w:lang w:eastAsia="es-ES"/>
        </w:rPr>
        <w:t xml:space="preserve"> del artículo 130 de la LFCE, el cual señala los </w:t>
      </w:r>
      <w:r w:rsidR="00D81F94" w:rsidRPr="002E1A2C">
        <w:rPr>
          <w:rFonts w:ascii="ITC Avant Garde" w:hAnsi="ITC Avant Garde" w:cs="TimesNewRomanPS-BoldMT"/>
          <w:bCs/>
          <w:sz w:val="22"/>
          <w:szCs w:val="22"/>
          <w:lang w:eastAsia="es-ES"/>
        </w:rPr>
        <w:t xml:space="preserve">elementos que </w:t>
      </w:r>
      <w:r w:rsidR="00A0752B" w:rsidRPr="002E1A2C">
        <w:rPr>
          <w:rFonts w:ascii="ITC Avant Garde" w:hAnsi="ITC Avant Garde" w:cs="TimesNewRomanPS-BoldMT"/>
          <w:bCs/>
          <w:sz w:val="22"/>
          <w:szCs w:val="22"/>
          <w:lang w:eastAsia="es-ES"/>
        </w:rPr>
        <w:t xml:space="preserve">el Instituto </w:t>
      </w:r>
      <w:r w:rsidR="00D81F94" w:rsidRPr="002E1A2C">
        <w:rPr>
          <w:rFonts w:ascii="ITC Avant Garde" w:hAnsi="ITC Avant Garde" w:cs="TimesNewRomanPS-BoldMT"/>
          <w:bCs/>
          <w:sz w:val="22"/>
          <w:szCs w:val="22"/>
          <w:lang w:eastAsia="es-ES"/>
        </w:rPr>
        <w:t xml:space="preserve">considerará </w:t>
      </w:r>
      <w:r w:rsidRPr="002E1A2C">
        <w:rPr>
          <w:rFonts w:ascii="ITC Avant Garde" w:hAnsi="ITC Avant Garde" w:cs="TimesNewRomanPS-BoldMT"/>
          <w:bCs/>
          <w:sz w:val="22"/>
          <w:szCs w:val="22"/>
          <w:lang w:eastAsia="es-ES"/>
        </w:rPr>
        <w:t>para la imposición de la</w:t>
      </w:r>
      <w:r w:rsidR="006E5564" w:rsidRPr="002E1A2C">
        <w:rPr>
          <w:rFonts w:ascii="ITC Avant Garde" w:hAnsi="ITC Avant Garde" w:cs="TimesNewRomanPS-BoldMT"/>
          <w:bCs/>
          <w:sz w:val="22"/>
          <w:szCs w:val="22"/>
          <w:lang w:eastAsia="es-ES"/>
        </w:rPr>
        <w:t>s</w:t>
      </w:r>
      <w:r w:rsidRPr="002E1A2C">
        <w:rPr>
          <w:rFonts w:ascii="ITC Avant Garde" w:hAnsi="ITC Avant Garde" w:cs="TimesNewRomanPS-BoldMT"/>
          <w:bCs/>
          <w:sz w:val="22"/>
          <w:szCs w:val="22"/>
          <w:lang w:eastAsia="es-ES"/>
        </w:rPr>
        <w:t xml:space="preserve"> multa</w:t>
      </w:r>
      <w:r w:rsidR="006E5564" w:rsidRPr="002E1A2C">
        <w:rPr>
          <w:rFonts w:ascii="ITC Avant Garde" w:hAnsi="ITC Avant Garde" w:cs="TimesNewRomanPS-BoldMT"/>
          <w:bCs/>
          <w:sz w:val="22"/>
          <w:szCs w:val="22"/>
          <w:lang w:eastAsia="es-ES"/>
        </w:rPr>
        <w:t>s</w:t>
      </w:r>
      <w:r w:rsidRPr="002E1A2C">
        <w:rPr>
          <w:rFonts w:ascii="ITC Avant Garde" w:hAnsi="ITC Avant Garde" w:cs="TimesNewRomanPS-BoldMT"/>
          <w:bCs/>
          <w:sz w:val="22"/>
          <w:szCs w:val="22"/>
          <w:lang w:eastAsia="es-ES"/>
        </w:rPr>
        <w:t>, a fin de brindar a los solicitantes previsibilidad al respecto:</w:t>
      </w:r>
    </w:p>
    <w:p w14:paraId="2ED63B4C" w14:textId="77777777" w:rsidR="00A10DF6" w:rsidRPr="002E1A2C" w:rsidRDefault="00A10DF6" w:rsidP="00A10DF6">
      <w:pPr>
        <w:pStyle w:val="Prrafodelista"/>
        <w:pBdr>
          <w:top w:val="nil"/>
          <w:left w:val="nil"/>
          <w:bottom w:val="nil"/>
          <w:right w:val="nil"/>
          <w:between w:val="nil"/>
          <w:bar w:val="nil"/>
        </w:pBdr>
        <w:suppressAutoHyphens/>
        <w:ind w:left="720"/>
        <w:contextualSpacing/>
        <w:jc w:val="right"/>
        <w:rPr>
          <w:rFonts w:ascii="ITC Avant Garde" w:hAnsi="ITC Avant Garde" w:cs="TimesNewRomanPS-BoldMT"/>
          <w:bCs/>
          <w:lang w:val="es-ES" w:eastAsia="es-ES"/>
        </w:rPr>
      </w:pPr>
    </w:p>
    <w:tbl>
      <w:tblPr>
        <w:tblStyle w:val="Tablaconcuadrcula"/>
        <w:tblW w:w="0" w:type="auto"/>
        <w:jc w:val="center"/>
        <w:tblLook w:val="04A0" w:firstRow="1" w:lastRow="0" w:firstColumn="1" w:lastColumn="0" w:noHBand="0" w:noVBand="1"/>
      </w:tblPr>
      <w:tblGrid>
        <w:gridCol w:w="4408"/>
        <w:gridCol w:w="4420"/>
      </w:tblGrid>
      <w:tr w:rsidR="002E1A2C" w:rsidRPr="002E1A2C" w14:paraId="5BAC4052" w14:textId="77777777" w:rsidTr="00F61C0C">
        <w:trPr>
          <w:jc w:val="center"/>
        </w:trPr>
        <w:tc>
          <w:tcPr>
            <w:tcW w:w="4673" w:type="dxa"/>
            <w:shd w:val="clear" w:color="auto" w:fill="538135" w:themeFill="accent6" w:themeFillShade="BF"/>
          </w:tcPr>
          <w:p w14:paraId="6BAD95E5" w14:textId="77777777" w:rsidR="00A10DF6" w:rsidRPr="002E1A2C" w:rsidRDefault="00A10DF6" w:rsidP="00F61C0C">
            <w:pPr>
              <w:spacing w:after="0" w:line="240" w:lineRule="auto"/>
              <w:jc w:val="center"/>
              <w:rPr>
                <w:rFonts w:ascii="ITC Avant Garde" w:hAnsi="ITC Avant Garde"/>
                <w:b/>
                <w:sz w:val="18"/>
                <w:szCs w:val="18"/>
              </w:rPr>
            </w:pPr>
            <w:r w:rsidRPr="002E1A2C">
              <w:rPr>
                <w:rFonts w:ascii="ITC Avant Garde" w:hAnsi="ITC Avant Garde"/>
                <w:b/>
                <w:sz w:val="18"/>
                <w:szCs w:val="18"/>
              </w:rPr>
              <w:t>Anteproyecto Sometido a Consulta Pública</w:t>
            </w:r>
          </w:p>
        </w:tc>
        <w:tc>
          <w:tcPr>
            <w:tcW w:w="4683" w:type="dxa"/>
            <w:shd w:val="clear" w:color="auto" w:fill="538135" w:themeFill="accent6" w:themeFillShade="BF"/>
          </w:tcPr>
          <w:p w14:paraId="7D5C5EC2" w14:textId="77777777" w:rsidR="00A10DF6" w:rsidRPr="002E1A2C" w:rsidRDefault="00A10DF6" w:rsidP="00F61C0C">
            <w:pPr>
              <w:spacing w:after="0" w:line="240" w:lineRule="auto"/>
              <w:jc w:val="center"/>
              <w:rPr>
                <w:rFonts w:ascii="ITC Avant Garde" w:hAnsi="ITC Avant Garde"/>
                <w:b/>
                <w:sz w:val="18"/>
                <w:szCs w:val="18"/>
              </w:rPr>
            </w:pPr>
            <w:r w:rsidRPr="002E1A2C">
              <w:rPr>
                <w:rFonts w:ascii="ITC Avant Garde" w:hAnsi="ITC Avant Garde"/>
                <w:b/>
                <w:sz w:val="18"/>
                <w:szCs w:val="18"/>
              </w:rPr>
              <w:t>Proyecto Final posterior a la Consulta Pública</w:t>
            </w:r>
            <w:r w:rsidRPr="002E1A2C">
              <w:rPr>
                <w:rStyle w:val="Refdenotaalpie"/>
                <w:rFonts w:ascii="ITC Avant Garde" w:hAnsi="ITC Avant Garde"/>
                <w:b/>
                <w:sz w:val="18"/>
                <w:szCs w:val="18"/>
              </w:rPr>
              <w:footnoteReference w:id="4"/>
            </w:r>
          </w:p>
        </w:tc>
      </w:tr>
      <w:tr w:rsidR="002E1A2C" w:rsidRPr="002E1A2C" w14:paraId="29FB6133" w14:textId="77777777" w:rsidTr="00F61C0C">
        <w:trPr>
          <w:jc w:val="center"/>
        </w:trPr>
        <w:tc>
          <w:tcPr>
            <w:tcW w:w="4673" w:type="dxa"/>
            <w:shd w:val="clear" w:color="auto" w:fill="C5E0B3" w:themeFill="accent6" w:themeFillTint="66"/>
          </w:tcPr>
          <w:p w14:paraId="7A2C6FC3" w14:textId="77777777" w:rsidR="00A10DF6" w:rsidRPr="002E1A2C" w:rsidRDefault="00A10DF6" w:rsidP="00F61C0C">
            <w:pPr>
              <w:pStyle w:val="Textoindependiente"/>
              <w:spacing w:after="0" w:line="240" w:lineRule="auto"/>
              <w:jc w:val="both"/>
              <w:rPr>
                <w:rFonts w:ascii="ITC Avant Garde" w:hAnsi="ITC Avant Garde"/>
                <w:sz w:val="18"/>
                <w:szCs w:val="18"/>
              </w:rPr>
            </w:pPr>
            <w:r w:rsidRPr="002E1A2C">
              <w:rPr>
                <w:rFonts w:ascii="ITC Avant Garde" w:hAnsi="ITC Avant Garde"/>
                <w:sz w:val="18"/>
                <w:szCs w:val="18"/>
              </w:rPr>
              <w:t xml:space="preserve">Los Agentes Económicos que reciban los beneficios del Programa obtendrán una reducción en el monto de las sanciones administrativas a que sean acreedores. </w:t>
            </w:r>
            <w:r w:rsidRPr="002E1A2C">
              <w:rPr>
                <w:rFonts w:ascii="ITC Avant Garde" w:hAnsi="ITC Avant Garde"/>
                <w:b/>
                <w:sz w:val="18"/>
                <w:szCs w:val="18"/>
              </w:rPr>
              <w:t>En el caso del primer Solicitante, éste recibirá una multa mínima, mientras que los solicitantes posteriores obtendrán una reducción de multas hasta en un cincuenta, treinta o veinte por ciento del máximo permitido</w:t>
            </w:r>
            <w:r w:rsidRPr="002E1A2C">
              <w:rPr>
                <w:rFonts w:ascii="ITC Avant Garde" w:hAnsi="ITC Avant Garde"/>
                <w:sz w:val="18"/>
                <w:szCs w:val="18"/>
              </w:rPr>
              <w:t>.</w:t>
            </w:r>
          </w:p>
          <w:p w14:paraId="15C89436" w14:textId="77777777" w:rsidR="00A10DF6" w:rsidRPr="002E1A2C" w:rsidRDefault="00A10DF6" w:rsidP="00F61C0C">
            <w:pPr>
              <w:pStyle w:val="Textoindependiente"/>
              <w:spacing w:after="0" w:line="240" w:lineRule="auto"/>
              <w:jc w:val="both"/>
              <w:rPr>
                <w:rFonts w:ascii="ITC Avant Garde" w:hAnsi="ITC Avant Garde"/>
                <w:sz w:val="18"/>
                <w:szCs w:val="18"/>
              </w:rPr>
            </w:pPr>
          </w:p>
          <w:p w14:paraId="4AEAA592" w14:textId="77777777" w:rsidR="00A10DF6" w:rsidRPr="002E1A2C" w:rsidRDefault="00A10DF6" w:rsidP="00F61C0C">
            <w:pPr>
              <w:pStyle w:val="Textoindependiente"/>
              <w:spacing w:after="0" w:line="240" w:lineRule="auto"/>
              <w:jc w:val="both"/>
              <w:rPr>
                <w:rFonts w:ascii="ITC Avant Garde" w:hAnsi="ITC Avant Garde"/>
                <w:sz w:val="18"/>
                <w:szCs w:val="18"/>
              </w:rPr>
            </w:pPr>
            <w:r w:rsidRPr="002E1A2C">
              <w:rPr>
                <w:rFonts w:ascii="ITC Avant Garde" w:hAnsi="ITC Avant Garde"/>
                <w:b/>
                <w:sz w:val="18"/>
                <w:szCs w:val="18"/>
              </w:rPr>
              <w:t>En todos los casos,</w:t>
            </w:r>
            <w:r w:rsidRPr="002E1A2C">
              <w:rPr>
                <w:rFonts w:ascii="ITC Avant Garde" w:hAnsi="ITC Avant Garde"/>
                <w:sz w:val="18"/>
                <w:szCs w:val="18"/>
              </w:rPr>
              <w:t xml:space="preserve"> </w:t>
            </w:r>
            <w:r w:rsidRPr="002E1A2C">
              <w:rPr>
                <w:rFonts w:ascii="ITC Avant Garde" w:hAnsi="ITC Avant Garde"/>
                <w:b/>
                <w:sz w:val="18"/>
                <w:szCs w:val="18"/>
              </w:rPr>
              <w:t>se podrá eximir de responsabilidad penal</w:t>
            </w:r>
            <w:r w:rsidRPr="002E1A2C">
              <w:rPr>
                <w:rFonts w:ascii="ITC Avant Garde" w:hAnsi="ITC Avant Garde"/>
                <w:sz w:val="18"/>
                <w:szCs w:val="18"/>
              </w:rPr>
              <w:t xml:space="preserve"> a los Agentes Económicos y personas físicas que lleguen a formar parte de los alcances del Programa.</w:t>
            </w:r>
          </w:p>
          <w:p w14:paraId="26DEB698" w14:textId="77777777" w:rsidR="00A10DF6" w:rsidRPr="002E1A2C" w:rsidRDefault="00A10DF6" w:rsidP="00F61C0C">
            <w:pPr>
              <w:pStyle w:val="Textoindependiente"/>
              <w:spacing w:after="0" w:line="240" w:lineRule="auto"/>
              <w:jc w:val="both"/>
              <w:rPr>
                <w:rFonts w:ascii="ITC Avant Garde" w:hAnsi="ITC Avant Garde"/>
                <w:sz w:val="18"/>
                <w:szCs w:val="18"/>
              </w:rPr>
            </w:pPr>
          </w:p>
        </w:tc>
        <w:tc>
          <w:tcPr>
            <w:tcW w:w="4683" w:type="dxa"/>
            <w:shd w:val="clear" w:color="auto" w:fill="C5E0B3" w:themeFill="accent6" w:themeFillTint="66"/>
          </w:tcPr>
          <w:p w14:paraId="490FB5EB" w14:textId="77777777" w:rsidR="00A10DF6" w:rsidRPr="002E1A2C" w:rsidRDefault="00A10DF6" w:rsidP="00F61C0C">
            <w:pPr>
              <w:pStyle w:val="Textoindependiente"/>
              <w:spacing w:after="0" w:line="240" w:lineRule="auto"/>
              <w:jc w:val="both"/>
              <w:rPr>
                <w:rFonts w:ascii="ITC Avant Garde" w:hAnsi="ITC Avant Garde"/>
                <w:sz w:val="18"/>
                <w:szCs w:val="18"/>
              </w:rPr>
            </w:pPr>
            <w:r w:rsidRPr="002E1A2C">
              <w:rPr>
                <w:rFonts w:ascii="ITC Avant Garde" w:hAnsi="ITC Avant Garde"/>
                <w:sz w:val="18"/>
                <w:szCs w:val="18"/>
              </w:rPr>
              <w:t xml:space="preserve">Los Agentes Económicos que reciban los beneficios del Programa obtendrán una reducción en el monto de las sanciones administrativas a que sean acreedores. </w:t>
            </w:r>
            <w:r w:rsidRPr="002E1A2C">
              <w:rPr>
                <w:rFonts w:ascii="ITC Avant Garde" w:hAnsi="ITC Avant Garde"/>
                <w:b/>
                <w:sz w:val="18"/>
                <w:szCs w:val="18"/>
              </w:rPr>
              <w:t>En el caso del primer Solicitante, éste recibirá una multa mínima, mientras que los solicitantes posteriores obtendrán una reducción de multas hasta en un cincuenta, treinta o veinte por ciento del máximo permitido</w:t>
            </w:r>
            <w:r w:rsidRPr="002E1A2C">
              <w:rPr>
                <w:rFonts w:ascii="ITC Avant Garde" w:hAnsi="ITC Avant Garde"/>
                <w:sz w:val="18"/>
                <w:szCs w:val="18"/>
              </w:rPr>
              <w:t>.</w:t>
            </w:r>
          </w:p>
          <w:p w14:paraId="7AC2C3E5" w14:textId="77777777" w:rsidR="00A10DF6" w:rsidRPr="002E1A2C" w:rsidRDefault="00A10DF6" w:rsidP="00F61C0C">
            <w:pPr>
              <w:pStyle w:val="Textoindependiente"/>
              <w:spacing w:after="0" w:line="240" w:lineRule="auto"/>
              <w:rPr>
                <w:rFonts w:ascii="ITC Avant Garde" w:hAnsi="ITC Avant Garde"/>
                <w:sz w:val="18"/>
                <w:szCs w:val="18"/>
              </w:rPr>
            </w:pPr>
          </w:p>
          <w:p w14:paraId="1CE22BFE" w14:textId="77777777" w:rsidR="00A10DF6" w:rsidRPr="002E1A2C" w:rsidRDefault="00A10DF6" w:rsidP="00F61C0C">
            <w:pPr>
              <w:pStyle w:val="Textoindependiente"/>
              <w:spacing w:after="0" w:line="240" w:lineRule="auto"/>
              <w:jc w:val="both"/>
              <w:rPr>
                <w:rFonts w:ascii="ITC Avant Garde" w:hAnsi="ITC Avant Garde"/>
                <w:sz w:val="18"/>
                <w:szCs w:val="18"/>
                <w:u w:val="single"/>
              </w:rPr>
            </w:pPr>
            <w:r w:rsidRPr="002E1A2C">
              <w:rPr>
                <w:rFonts w:ascii="ITC Avant Garde" w:hAnsi="ITC Avant Garde"/>
                <w:sz w:val="18"/>
                <w:szCs w:val="18"/>
                <w:u w:val="single"/>
              </w:rPr>
              <w:t>En virtud de lo anterior, el Instituto en la imposición de multas considerará los elementos para determinar la gravedad de la infracción, tales como el daño causado, los indicios de intencionalidad, la participación del infractor en los mercados, el tamaño del mercado afectado, la duración de la práctica, así como su capacidad económica, y en su caso, la afectación al ejercicio de sus atribuciones, de conformidad con el artículo 130 de la LFCE.</w:t>
            </w:r>
          </w:p>
          <w:p w14:paraId="2BBE763B" w14:textId="77777777" w:rsidR="00A10DF6" w:rsidRPr="002E1A2C" w:rsidRDefault="00A10DF6" w:rsidP="00F61C0C">
            <w:pPr>
              <w:pStyle w:val="Textoindependiente"/>
              <w:spacing w:after="0" w:line="240" w:lineRule="auto"/>
              <w:rPr>
                <w:rFonts w:ascii="ITC Avant Garde" w:hAnsi="ITC Avant Garde"/>
                <w:sz w:val="18"/>
                <w:szCs w:val="18"/>
              </w:rPr>
            </w:pPr>
          </w:p>
          <w:p w14:paraId="44CA8FCC" w14:textId="77777777" w:rsidR="00A10DF6" w:rsidRPr="002E1A2C" w:rsidRDefault="00A10DF6" w:rsidP="00F61C0C">
            <w:pPr>
              <w:pStyle w:val="Textoindependiente"/>
              <w:spacing w:after="0" w:line="240" w:lineRule="auto"/>
              <w:jc w:val="both"/>
              <w:rPr>
                <w:rFonts w:ascii="ITC Avant Garde" w:hAnsi="ITC Avant Garde"/>
                <w:sz w:val="18"/>
                <w:szCs w:val="18"/>
              </w:rPr>
            </w:pPr>
            <w:r w:rsidRPr="002E1A2C">
              <w:rPr>
                <w:rFonts w:ascii="ITC Avant Garde" w:hAnsi="ITC Avant Garde"/>
                <w:b/>
                <w:sz w:val="18"/>
                <w:szCs w:val="18"/>
              </w:rPr>
              <w:t>En todos los casos,</w:t>
            </w:r>
            <w:r w:rsidRPr="002E1A2C">
              <w:rPr>
                <w:rFonts w:ascii="ITC Avant Garde" w:hAnsi="ITC Avant Garde"/>
                <w:sz w:val="18"/>
                <w:szCs w:val="18"/>
              </w:rPr>
              <w:t xml:space="preserve"> </w:t>
            </w:r>
            <w:r w:rsidRPr="002E1A2C">
              <w:rPr>
                <w:rFonts w:ascii="ITC Avant Garde" w:hAnsi="ITC Avant Garde"/>
                <w:b/>
                <w:sz w:val="18"/>
                <w:szCs w:val="18"/>
              </w:rPr>
              <w:t>se podrá eximir de responsabilidad penal</w:t>
            </w:r>
            <w:r w:rsidRPr="002E1A2C">
              <w:rPr>
                <w:rFonts w:ascii="ITC Avant Garde" w:hAnsi="ITC Avant Garde"/>
                <w:sz w:val="18"/>
                <w:szCs w:val="18"/>
              </w:rPr>
              <w:t xml:space="preserve"> a los Agentes Económicos y personas físicas que lleguen a formar parte de los alcances del Programa.</w:t>
            </w:r>
          </w:p>
        </w:tc>
      </w:tr>
    </w:tbl>
    <w:p w14:paraId="2BCC9E12" w14:textId="77777777" w:rsidR="00A10DF6" w:rsidRPr="002E1A2C" w:rsidRDefault="00A10DF6" w:rsidP="00A10DF6">
      <w:pPr>
        <w:pBdr>
          <w:top w:val="nil"/>
          <w:left w:val="nil"/>
          <w:bottom w:val="nil"/>
          <w:right w:val="nil"/>
          <w:between w:val="nil"/>
          <w:bar w:val="nil"/>
        </w:pBdr>
        <w:suppressAutoHyphens/>
        <w:spacing w:after="0" w:line="240" w:lineRule="auto"/>
        <w:contextualSpacing/>
        <w:jc w:val="both"/>
        <w:rPr>
          <w:rFonts w:ascii="ITC Avant Garde" w:eastAsia="Times New Roman" w:hAnsi="ITC Avant Garde" w:cs="TimesNewRomanPS-BoldMT"/>
          <w:bCs/>
          <w:lang w:val="es-ES" w:eastAsia="es-ES"/>
        </w:rPr>
      </w:pPr>
    </w:p>
    <w:p w14:paraId="63D8E963" w14:textId="45C1224A" w:rsidR="00A10DF6" w:rsidRPr="002E1A2C" w:rsidRDefault="00A10DF6" w:rsidP="00A10DF6">
      <w:pPr>
        <w:pBdr>
          <w:top w:val="nil"/>
          <w:left w:val="nil"/>
          <w:bottom w:val="nil"/>
          <w:right w:val="nil"/>
          <w:between w:val="nil"/>
          <w:bar w:val="nil"/>
        </w:pBdr>
        <w:suppressAutoHyphens/>
        <w:spacing w:after="0" w:line="240" w:lineRule="auto"/>
        <w:contextualSpacing/>
        <w:jc w:val="both"/>
        <w:rPr>
          <w:rFonts w:asciiTheme="minorHAnsi" w:eastAsiaTheme="minorHAnsi" w:hAnsiTheme="minorHAnsi" w:cstheme="minorBidi"/>
          <w:sz w:val="20"/>
          <w:szCs w:val="20"/>
        </w:rPr>
      </w:pPr>
      <w:r w:rsidRPr="002E1A2C">
        <w:rPr>
          <w:rFonts w:ascii="ITC Avant Garde" w:hAnsi="ITC Avant Garde" w:cs="Arial"/>
          <w:b/>
        </w:rPr>
        <w:t>TERCERO.- Obligación de emitir la Guía.</w:t>
      </w:r>
      <w:r w:rsidRPr="002E1A2C">
        <w:rPr>
          <w:rFonts w:asciiTheme="minorHAnsi" w:eastAsiaTheme="minorHAnsi" w:hAnsiTheme="minorHAnsi" w:cstheme="minorBidi"/>
          <w:sz w:val="20"/>
          <w:szCs w:val="20"/>
        </w:rPr>
        <w:t xml:space="preserve"> </w:t>
      </w:r>
      <w:r w:rsidR="00C36204" w:rsidRPr="002E1A2C">
        <w:rPr>
          <w:rFonts w:ascii="ITC Avant Garde" w:hAnsi="ITC Avant Garde" w:cs="Arial"/>
        </w:rPr>
        <w:t xml:space="preserve">El </w:t>
      </w:r>
      <w:r w:rsidRPr="002E1A2C">
        <w:rPr>
          <w:rFonts w:ascii="ITC Avant Garde" w:hAnsi="ITC Avant Garde" w:cs="Arial"/>
        </w:rPr>
        <w:t xml:space="preserve">artículo 12, fracción XXII, tercer párrafo, inciso c) </w:t>
      </w:r>
      <w:r w:rsidR="00C36204" w:rsidRPr="002E1A2C">
        <w:rPr>
          <w:rFonts w:ascii="ITC Avant Garde" w:hAnsi="ITC Avant Garde" w:cs="Arial"/>
        </w:rPr>
        <w:t xml:space="preserve">de la LFCE </w:t>
      </w:r>
      <w:r w:rsidRPr="002E1A2C">
        <w:rPr>
          <w:rFonts w:ascii="ITC Avant Garde" w:hAnsi="ITC Avant Garde" w:cs="Arial"/>
        </w:rPr>
        <w:t xml:space="preserve">señala que es obligación del Instituto emitir </w:t>
      </w:r>
      <w:r w:rsidR="00584CD3" w:rsidRPr="002E1A2C">
        <w:rPr>
          <w:rFonts w:ascii="ITC Avant Garde" w:hAnsi="ITC Avant Garde" w:cs="Arial"/>
        </w:rPr>
        <w:t xml:space="preserve">una </w:t>
      </w:r>
      <w:r w:rsidRPr="002E1A2C">
        <w:rPr>
          <w:rFonts w:ascii="ITC Avant Garde" w:hAnsi="ITC Avant Garde" w:cs="Arial"/>
        </w:rPr>
        <w:t xml:space="preserve">guía </w:t>
      </w:r>
      <w:r w:rsidR="006E5564" w:rsidRPr="002E1A2C">
        <w:rPr>
          <w:rFonts w:ascii="ITC Avant Garde" w:hAnsi="ITC Avant Garde" w:cs="Arial"/>
        </w:rPr>
        <w:t>sobre</w:t>
      </w:r>
      <w:r w:rsidRPr="002E1A2C">
        <w:rPr>
          <w:rFonts w:ascii="ITC Avant Garde" w:hAnsi="ITC Avant Garde" w:cs="Arial"/>
        </w:rPr>
        <w:t xml:space="preserve"> el funcionamiento del Programa</w:t>
      </w:r>
      <w:r w:rsidR="00CE4A9E" w:rsidRPr="002E1A2C">
        <w:rPr>
          <w:rFonts w:ascii="ITC Avant Garde" w:hAnsi="ITC Avant Garde" w:cs="Arial"/>
        </w:rPr>
        <w:t>, cuya revisión deberá llevarse al menos cada cinco años, de conformidad con el segundo párrafo del artículo 138 de la LFCE</w:t>
      </w:r>
      <w:r w:rsidRPr="002E1A2C">
        <w:rPr>
          <w:rFonts w:ascii="ITC Avant Garde" w:hAnsi="ITC Avant Garde" w:cs="Arial"/>
        </w:rPr>
        <w:t>.</w:t>
      </w:r>
      <w:r w:rsidRPr="002E1A2C">
        <w:rPr>
          <w:rFonts w:asciiTheme="minorHAnsi" w:eastAsiaTheme="minorHAnsi" w:hAnsiTheme="minorHAnsi" w:cstheme="minorBidi"/>
          <w:sz w:val="20"/>
          <w:szCs w:val="20"/>
        </w:rPr>
        <w:t xml:space="preserve"> </w:t>
      </w:r>
    </w:p>
    <w:p w14:paraId="137E546F" w14:textId="77777777" w:rsidR="00A10DF6" w:rsidRPr="002E1A2C" w:rsidRDefault="00A10DF6" w:rsidP="00A10DF6">
      <w:pPr>
        <w:pBdr>
          <w:top w:val="nil"/>
          <w:left w:val="nil"/>
          <w:bottom w:val="nil"/>
          <w:right w:val="nil"/>
          <w:between w:val="nil"/>
          <w:bar w:val="nil"/>
        </w:pBdr>
        <w:suppressAutoHyphens/>
        <w:spacing w:after="0" w:line="240" w:lineRule="auto"/>
        <w:contextualSpacing/>
        <w:jc w:val="both"/>
        <w:rPr>
          <w:rFonts w:asciiTheme="minorHAnsi" w:eastAsiaTheme="minorHAnsi" w:hAnsiTheme="minorHAnsi" w:cstheme="minorBidi"/>
          <w:sz w:val="20"/>
          <w:szCs w:val="20"/>
        </w:rPr>
      </w:pPr>
    </w:p>
    <w:p w14:paraId="7079D527" w14:textId="77777777" w:rsidR="00A10DF6" w:rsidRPr="002E1A2C" w:rsidRDefault="00A10DF6" w:rsidP="00A10DF6">
      <w:pPr>
        <w:pBdr>
          <w:top w:val="nil"/>
          <w:left w:val="nil"/>
          <w:bottom w:val="nil"/>
          <w:right w:val="nil"/>
          <w:between w:val="nil"/>
          <w:bar w:val="nil"/>
        </w:pBdr>
        <w:suppressAutoHyphens/>
        <w:spacing w:after="0" w:line="240" w:lineRule="auto"/>
        <w:contextualSpacing/>
        <w:jc w:val="both"/>
        <w:rPr>
          <w:rFonts w:ascii="ITC Avant Garde" w:hAnsi="ITC Avant Garde" w:cs="Arial"/>
        </w:rPr>
      </w:pPr>
      <w:r w:rsidRPr="002E1A2C">
        <w:rPr>
          <w:rFonts w:ascii="ITC Avant Garde" w:hAnsi="ITC Avant Garde" w:cs="Arial"/>
        </w:rPr>
        <w:t xml:space="preserve">El Programa, </w:t>
      </w:r>
      <w:r w:rsidR="0001181D" w:rsidRPr="002E1A2C">
        <w:rPr>
          <w:rFonts w:ascii="ITC Avant Garde" w:hAnsi="ITC Avant Garde" w:cs="Arial"/>
        </w:rPr>
        <w:t xml:space="preserve">cuyo procedimiento se encuentra </w:t>
      </w:r>
      <w:r w:rsidRPr="002E1A2C">
        <w:rPr>
          <w:rFonts w:ascii="ITC Avant Garde" w:hAnsi="ITC Avant Garde" w:cs="Arial"/>
        </w:rPr>
        <w:t>previsto en los artículos 103 de la LFCE, 125, 126 y 127 de las Disposiciones Regulatorias, tiene como fin combatir y sancionar las Prácticas Monopólicas Absolutas en los mercados que integran los sectores de telecomunicaciones y radiodifusión con el objeto de tener condiciones de competencia y libre concurrencia.</w:t>
      </w:r>
    </w:p>
    <w:p w14:paraId="0CF3272B" w14:textId="77777777" w:rsidR="00A10DF6" w:rsidRPr="002E1A2C" w:rsidRDefault="00A10DF6" w:rsidP="00A10DF6">
      <w:pPr>
        <w:pBdr>
          <w:top w:val="nil"/>
          <w:left w:val="nil"/>
          <w:bottom w:val="nil"/>
          <w:right w:val="nil"/>
          <w:between w:val="nil"/>
          <w:bar w:val="nil"/>
        </w:pBdr>
        <w:suppressAutoHyphens/>
        <w:spacing w:after="0" w:line="240" w:lineRule="auto"/>
        <w:contextualSpacing/>
        <w:jc w:val="both"/>
        <w:rPr>
          <w:rFonts w:ascii="ITC Avant Garde" w:hAnsi="ITC Avant Garde" w:cs="Arial"/>
        </w:rPr>
      </w:pPr>
    </w:p>
    <w:p w14:paraId="6732429C" w14:textId="77777777" w:rsidR="00A10DF6" w:rsidRPr="002E1A2C" w:rsidRDefault="00A10DF6" w:rsidP="00A10DF6">
      <w:pPr>
        <w:pBdr>
          <w:top w:val="nil"/>
          <w:left w:val="nil"/>
          <w:bottom w:val="nil"/>
          <w:right w:val="nil"/>
          <w:between w:val="nil"/>
          <w:bar w:val="nil"/>
        </w:pBdr>
        <w:suppressAutoHyphens/>
        <w:spacing w:after="0" w:line="240" w:lineRule="auto"/>
        <w:contextualSpacing/>
        <w:jc w:val="both"/>
        <w:rPr>
          <w:rFonts w:ascii="ITC Avant Garde" w:hAnsi="ITC Avant Garde" w:cs="Arial"/>
        </w:rPr>
      </w:pPr>
      <w:r w:rsidRPr="002E1A2C">
        <w:rPr>
          <w:rFonts w:ascii="ITC Avant Garde" w:hAnsi="ITC Avant Garde" w:cs="Arial"/>
        </w:rPr>
        <w:t>Ante tal situación, el Instituto pretende proporcionar un documento que facilite la implementación del Programa y que fomente la participación de los Agentes Económicos y/o individuos e</w:t>
      </w:r>
      <w:r w:rsidR="002F24F1" w:rsidRPr="002E1A2C">
        <w:rPr>
          <w:rFonts w:ascii="ITC Avant Garde" w:hAnsi="ITC Avant Garde" w:cs="Arial"/>
        </w:rPr>
        <w:t>n</w:t>
      </w:r>
      <w:r w:rsidRPr="002E1A2C">
        <w:rPr>
          <w:rFonts w:ascii="ITC Avant Garde" w:hAnsi="ITC Avant Garde" w:cs="Arial"/>
        </w:rPr>
        <w:t xml:space="preserve"> los sectores de telecomunicaciones y radiodifusión.</w:t>
      </w:r>
      <w:r w:rsidR="00CE4A9E" w:rsidRPr="002E1A2C">
        <w:rPr>
          <w:rFonts w:ascii="ITC Avant Garde" w:hAnsi="ITC Avant Garde" w:cs="Arial"/>
        </w:rPr>
        <w:t xml:space="preserve"> </w:t>
      </w:r>
    </w:p>
    <w:p w14:paraId="0E323809" w14:textId="77777777" w:rsidR="00A10DF6" w:rsidRPr="002E1A2C" w:rsidRDefault="00A10DF6" w:rsidP="00A10DF6">
      <w:pPr>
        <w:pBdr>
          <w:top w:val="nil"/>
          <w:left w:val="nil"/>
          <w:bottom w:val="nil"/>
          <w:right w:val="nil"/>
          <w:between w:val="nil"/>
          <w:bar w:val="nil"/>
        </w:pBdr>
        <w:suppressAutoHyphens/>
        <w:spacing w:after="0" w:line="240" w:lineRule="auto"/>
        <w:contextualSpacing/>
        <w:jc w:val="both"/>
        <w:rPr>
          <w:highlight w:val="yellow"/>
        </w:rPr>
      </w:pPr>
    </w:p>
    <w:p w14:paraId="379C712F" w14:textId="1D4D42A2" w:rsidR="00A10DF6" w:rsidRPr="002E1A2C" w:rsidRDefault="00A10DF6" w:rsidP="00A10DF6">
      <w:pPr>
        <w:pStyle w:val="Default"/>
        <w:tabs>
          <w:tab w:val="left" w:pos="0"/>
        </w:tabs>
        <w:jc w:val="both"/>
        <w:rPr>
          <w:rFonts w:ascii="ITC Avant Garde" w:hAnsi="ITC Avant Garde"/>
          <w:bCs/>
          <w:color w:val="auto"/>
          <w:sz w:val="22"/>
          <w:szCs w:val="22"/>
          <w:lang w:val="es-ES_tradnl"/>
        </w:rPr>
      </w:pPr>
      <w:r w:rsidRPr="002E1A2C">
        <w:rPr>
          <w:rFonts w:ascii="ITC Avant Garde" w:hAnsi="ITC Avant Garde"/>
          <w:bCs/>
          <w:color w:val="auto"/>
          <w:sz w:val="22"/>
          <w:szCs w:val="22"/>
          <w:lang w:val="es-ES_tradnl"/>
        </w:rPr>
        <w:t>Por las razones expuestas, con fundamento en lo señalado por los artículos 28, párrafos décimo quinto, décimo sexto y vigésimo, fracción IV de la Constitución Política de los Estados Unidos Mexicanos; 7, párrafos primero y tercero, 15, fracción XVIII de la Ley Federal de Telecomunicaciones y Radiodifusión; 5, primer párrafo</w:t>
      </w:r>
      <w:r w:rsidR="00584CD3" w:rsidRPr="002E1A2C">
        <w:rPr>
          <w:rFonts w:ascii="ITC Avant Garde" w:hAnsi="ITC Avant Garde"/>
          <w:bCs/>
          <w:color w:val="auto"/>
          <w:sz w:val="22"/>
          <w:szCs w:val="22"/>
          <w:lang w:val="es-ES_tradnl"/>
        </w:rPr>
        <w:t>,</w:t>
      </w:r>
      <w:r w:rsidR="000560A8" w:rsidRPr="002E1A2C">
        <w:rPr>
          <w:rFonts w:ascii="ITC Avant Garde" w:hAnsi="ITC Avant Garde"/>
          <w:bCs/>
          <w:color w:val="auto"/>
          <w:sz w:val="22"/>
          <w:szCs w:val="22"/>
          <w:lang w:val="es-ES_tradnl"/>
        </w:rPr>
        <w:t xml:space="preserve"> 12, fracción X</w:t>
      </w:r>
      <w:r w:rsidR="00B4488F" w:rsidRPr="002E1A2C">
        <w:rPr>
          <w:rFonts w:ascii="ITC Avant Garde" w:hAnsi="ITC Avant Garde"/>
          <w:bCs/>
          <w:color w:val="auto"/>
          <w:sz w:val="22"/>
          <w:szCs w:val="22"/>
          <w:lang w:val="es-ES_tradnl"/>
        </w:rPr>
        <w:t>X</w:t>
      </w:r>
      <w:r w:rsidR="000560A8" w:rsidRPr="002E1A2C">
        <w:rPr>
          <w:rFonts w:ascii="ITC Avant Garde" w:hAnsi="ITC Avant Garde"/>
          <w:bCs/>
          <w:color w:val="auto"/>
          <w:sz w:val="22"/>
          <w:szCs w:val="22"/>
          <w:lang w:val="es-ES_tradnl"/>
        </w:rPr>
        <w:t>II, párrafo tercero, inciso c),</w:t>
      </w:r>
      <w:r w:rsidR="00584CD3" w:rsidRPr="002E1A2C">
        <w:rPr>
          <w:rFonts w:ascii="ITC Avant Garde" w:hAnsi="ITC Avant Garde"/>
          <w:bCs/>
          <w:color w:val="auto"/>
          <w:sz w:val="22"/>
          <w:szCs w:val="22"/>
          <w:lang w:val="es-ES_tradnl"/>
        </w:rPr>
        <w:t xml:space="preserve"> </w:t>
      </w:r>
      <w:r w:rsidRPr="002E1A2C">
        <w:rPr>
          <w:rFonts w:ascii="ITC Avant Garde" w:hAnsi="ITC Avant Garde"/>
          <w:bCs/>
          <w:color w:val="auto"/>
          <w:sz w:val="22"/>
          <w:szCs w:val="22"/>
          <w:lang w:val="es-ES_tradnl"/>
        </w:rPr>
        <w:t>138, fracci</w:t>
      </w:r>
      <w:r w:rsidR="00E65278" w:rsidRPr="002E1A2C">
        <w:rPr>
          <w:rFonts w:ascii="ITC Avant Garde" w:hAnsi="ITC Avant Garde"/>
          <w:bCs/>
          <w:color w:val="auto"/>
          <w:sz w:val="22"/>
          <w:szCs w:val="22"/>
          <w:lang w:val="es-ES_tradnl"/>
        </w:rPr>
        <w:t>ones II y</w:t>
      </w:r>
      <w:r w:rsidRPr="002E1A2C">
        <w:rPr>
          <w:rFonts w:ascii="ITC Avant Garde" w:hAnsi="ITC Avant Garde"/>
          <w:bCs/>
          <w:color w:val="auto"/>
          <w:sz w:val="22"/>
          <w:szCs w:val="22"/>
          <w:lang w:val="es-ES_tradnl"/>
        </w:rPr>
        <w:t xml:space="preserve"> III de la Ley Federal de Competencia Económica; 187 de</w:t>
      </w:r>
      <w:r w:rsidRPr="002E1A2C">
        <w:rPr>
          <w:rFonts w:ascii="ITC Avant Garde" w:hAnsi="ITC Avant Garde"/>
          <w:color w:val="auto"/>
          <w:sz w:val="22"/>
          <w:szCs w:val="22"/>
        </w:rPr>
        <w:t xml:space="preserve"> las Disposiciones Regulatorias de la Ley Federal de Competencia Económica para los sectores de telecomunicaciones y radiodifusión</w:t>
      </w:r>
      <w:r w:rsidR="00AF5BC1" w:rsidRPr="002E1A2C">
        <w:rPr>
          <w:rFonts w:ascii="ITC Avant Garde" w:hAnsi="ITC Avant Garde"/>
          <w:color w:val="auto"/>
          <w:sz w:val="22"/>
        </w:rPr>
        <w:t>;</w:t>
      </w:r>
      <w:r w:rsidR="00B4488F" w:rsidRPr="002E1A2C">
        <w:rPr>
          <w:rFonts w:ascii="ITC Avant Garde" w:hAnsi="ITC Avant Garde"/>
          <w:bCs/>
          <w:color w:val="auto"/>
          <w:sz w:val="22"/>
          <w:szCs w:val="22"/>
          <w:lang w:val="es-ES_tradnl"/>
        </w:rPr>
        <w:t xml:space="preserve"> </w:t>
      </w:r>
      <w:r w:rsidR="00E0538C" w:rsidRPr="002E1A2C">
        <w:rPr>
          <w:rFonts w:ascii="ITC Avant Garde" w:hAnsi="ITC Avant Garde"/>
          <w:bCs/>
          <w:color w:val="auto"/>
          <w:sz w:val="22"/>
          <w:szCs w:val="22"/>
          <w:lang w:val="es-ES_tradnl"/>
        </w:rPr>
        <w:t>1</w:t>
      </w:r>
      <w:r w:rsidR="00AF5BC1" w:rsidRPr="002E1A2C">
        <w:rPr>
          <w:rFonts w:ascii="ITC Avant Garde" w:hAnsi="ITC Avant Garde"/>
          <w:bCs/>
          <w:color w:val="auto"/>
          <w:sz w:val="22"/>
          <w:szCs w:val="22"/>
          <w:lang w:val="es-ES_tradnl"/>
        </w:rPr>
        <w:t xml:space="preserve">, </w:t>
      </w:r>
      <w:r w:rsidRPr="002E1A2C">
        <w:rPr>
          <w:rFonts w:ascii="ITC Avant Garde" w:hAnsi="ITC Avant Garde"/>
          <w:bCs/>
          <w:color w:val="auto"/>
          <w:sz w:val="22"/>
          <w:szCs w:val="22"/>
          <w:lang w:val="es-ES_tradnl"/>
        </w:rPr>
        <w:t>4, fracci</w:t>
      </w:r>
      <w:r w:rsidR="005718F4" w:rsidRPr="002E1A2C">
        <w:rPr>
          <w:rFonts w:ascii="ITC Avant Garde" w:hAnsi="ITC Avant Garde"/>
          <w:bCs/>
          <w:color w:val="auto"/>
          <w:sz w:val="22"/>
          <w:szCs w:val="22"/>
          <w:lang w:val="es-ES_tradnl"/>
        </w:rPr>
        <w:t>ó</w:t>
      </w:r>
      <w:r w:rsidRPr="002E1A2C">
        <w:rPr>
          <w:rFonts w:ascii="ITC Avant Garde" w:hAnsi="ITC Avant Garde"/>
          <w:bCs/>
          <w:color w:val="auto"/>
          <w:sz w:val="22"/>
          <w:szCs w:val="22"/>
          <w:lang w:val="es-ES_tradnl"/>
        </w:rPr>
        <w:t>n I</w:t>
      </w:r>
      <w:r w:rsidR="00AF5BC1" w:rsidRPr="002E1A2C">
        <w:rPr>
          <w:rFonts w:ascii="ITC Avant Garde" w:hAnsi="ITC Avant Garde"/>
          <w:bCs/>
          <w:color w:val="auto"/>
          <w:sz w:val="22"/>
          <w:szCs w:val="22"/>
          <w:lang w:val="es-ES_tradnl"/>
        </w:rPr>
        <w:t xml:space="preserve"> y 6</w:t>
      </w:r>
      <w:r w:rsidR="0037675D" w:rsidRPr="002E1A2C">
        <w:rPr>
          <w:rFonts w:ascii="ITC Avant Garde" w:hAnsi="ITC Avant Garde"/>
          <w:bCs/>
          <w:color w:val="auto"/>
          <w:sz w:val="22"/>
          <w:szCs w:val="22"/>
          <w:lang w:val="es-ES_tradnl"/>
        </w:rPr>
        <w:t>,</w:t>
      </w:r>
      <w:r w:rsidR="00AF5BC1" w:rsidRPr="002E1A2C">
        <w:rPr>
          <w:rFonts w:ascii="ITC Avant Garde" w:hAnsi="ITC Avant Garde"/>
          <w:bCs/>
          <w:color w:val="auto"/>
          <w:sz w:val="22"/>
          <w:szCs w:val="22"/>
          <w:lang w:val="es-ES_tradnl"/>
        </w:rPr>
        <w:t xml:space="preserve"> fracción XXXVIII</w:t>
      </w:r>
      <w:r w:rsidR="006D278D" w:rsidRPr="002E1A2C">
        <w:rPr>
          <w:rFonts w:ascii="ITC Avant Garde" w:hAnsi="ITC Avant Garde"/>
          <w:bCs/>
          <w:color w:val="auto"/>
          <w:sz w:val="22"/>
          <w:szCs w:val="22"/>
          <w:lang w:val="es-ES_tradnl"/>
        </w:rPr>
        <w:t xml:space="preserve"> </w:t>
      </w:r>
      <w:r w:rsidRPr="002E1A2C">
        <w:rPr>
          <w:rFonts w:ascii="ITC Avant Garde" w:hAnsi="ITC Avant Garde"/>
          <w:bCs/>
          <w:color w:val="auto"/>
          <w:sz w:val="22"/>
          <w:szCs w:val="22"/>
          <w:lang w:val="es-ES_tradnl"/>
        </w:rPr>
        <w:t>del Estatuto Orgánico del Instituto Federal de Telecomunicaciones, el Pleno del Instituto e</w:t>
      </w:r>
      <w:r w:rsidR="00584CD3" w:rsidRPr="002E1A2C">
        <w:rPr>
          <w:rFonts w:ascii="ITC Avant Garde" w:hAnsi="ITC Avant Garde"/>
          <w:bCs/>
          <w:color w:val="auto"/>
          <w:sz w:val="22"/>
          <w:szCs w:val="22"/>
          <w:lang w:val="es-ES_tradnl"/>
        </w:rPr>
        <w:t>mite</w:t>
      </w:r>
      <w:r w:rsidRPr="002E1A2C">
        <w:rPr>
          <w:rFonts w:ascii="ITC Avant Garde" w:hAnsi="ITC Avant Garde"/>
          <w:bCs/>
          <w:color w:val="auto"/>
          <w:sz w:val="22"/>
          <w:szCs w:val="22"/>
          <w:lang w:val="es-ES_tradnl"/>
        </w:rPr>
        <w:t xml:space="preserve"> el siguiente:</w:t>
      </w:r>
    </w:p>
    <w:p w14:paraId="07AEEF98" w14:textId="77777777" w:rsidR="00A10DF6" w:rsidRPr="002E1A2C" w:rsidRDefault="00A10DF6" w:rsidP="00A10DF6">
      <w:pPr>
        <w:autoSpaceDE w:val="0"/>
        <w:autoSpaceDN w:val="0"/>
        <w:adjustRightInd w:val="0"/>
        <w:spacing w:after="0" w:line="240" w:lineRule="auto"/>
        <w:contextualSpacing/>
        <w:jc w:val="center"/>
        <w:rPr>
          <w:rFonts w:ascii="ITC Avant Garde" w:eastAsia="Times New Roman" w:hAnsi="ITC Avant Garde" w:cs="TimesNewRomanPS-BoldMT"/>
          <w:b/>
          <w:bCs/>
          <w:lang w:val="es-ES" w:eastAsia="es-ES"/>
        </w:rPr>
      </w:pPr>
    </w:p>
    <w:p w14:paraId="5D2A53B0" w14:textId="77777777" w:rsidR="00A10DF6" w:rsidRPr="002E1A2C" w:rsidRDefault="00A10DF6" w:rsidP="00A10DF6">
      <w:pPr>
        <w:autoSpaceDE w:val="0"/>
        <w:autoSpaceDN w:val="0"/>
        <w:adjustRightInd w:val="0"/>
        <w:spacing w:after="0" w:line="240" w:lineRule="auto"/>
        <w:contextualSpacing/>
        <w:jc w:val="center"/>
        <w:rPr>
          <w:rFonts w:ascii="ITC Avant Garde" w:eastAsia="Times New Roman" w:hAnsi="ITC Avant Garde" w:cs="TimesNewRomanPS-BoldMT"/>
          <w:b/>
          <w:bCs/>
          <w:lang w:val="es-ES" w:eastAsia="es-ES"/>
        </w:rPr>
      </w:pPr>
      <w:r w:rsidRPr="002E1A2C">
        <w:rPr>
          <w:rFonts w:ascii="ITC Avant Garde" w:eastAsia="Times New Roman" w:hAnsi="ITC Avant Garde" w:cs="TimesNewRomanPS-BoldMT"/>
          <w:b/>
          <w:bCs/>
          <w:lang w:val="es-ES" w:eastAsia="es-ES"/>
        </w:rPr>
        <w:t>ACUERDO</w:t>
      </w:r>
    </w:p>
    <w:p w14:paraId="3BD96CFE" w14:textId="77777777" w:rsidR="00A10DF6" w:rsidRPr="002E1A2C" w:rsidRDefault="00A10DF6" w:rsidP="00A10DF6">
      <w:pPr>
        <w:autoSpaceDE w:val="0"/>
        <w:autoSpaceDN w:val="0"/>
        <w:adjustRightInd w:val="0"/>
        <w:spacing w:after="0" w:line="240" w:lineRule="auto"/>
        <w:contextualSpacing/>
        <w:jc w:val="center"/>
        <w:rPr>
          <w:rFonts w:ascii="ITC Avant Garde" w:eastAsia="Times New Roman" w:hAnsi="ITC Avant Garde" w:cs="TimesNewRomanPS-BoldMT"/>
          <w:b/>
          <w:bCs/>
          <w:lang w:val="es-ES" w:eastAsia="es-ES"/>
        </w:rPr>
      </w:pPr>
    </w:p>
    <w:p w14:paraId="1F370EE3" w14:textId="3801FAD9" w:rsidR="00841784" w:rsidRPr="002E1A2C" w:rsidRDefault="006779BA" w:rsidP="00841784">
      <w:pPr>
        <w:numPr>
          <w:ilvl w:val="0"/>
          <w:numId w:val="2"/>
        </w:numPr>
        <w:tabs>
          <w:tab w:val="left" w:pos="1276"/>
        </w:tabs>
        <w:suppressAutoHyphens/>
        <w:spacing w:after="0" w:line="240" w:lineRule="auto"/>
        <w:ind w:left="0" w:right="49" w:firstLine="0"/>
        <w:contextualSpacing/>
        <w:jc w:val="both"/>
        <w:rPr>
          <w:rFonts w:ascii="ITC Avant Garde" w:eastAsia="Times New Roman" w:hAnsi="ITC Avant Garde" w:cs="Arial"/>
          <w:lang w:val="es-ES" w:eastAsia="es-ES"/>
        </w:rPr>
      </w:pPr>
      <w:r w:rsidRPr="002E1A2C">
        <w:rPr>
          <w:rFonts w:ascii="ITC Avant Garde" w:eastAsia="Times New Roman" w:hAnsi="ITC Avant Garde" w:cs="Arial"/>
          <w:lang w:val="es-ES" w:eastAsia="es-ES"/>
        </w:rPr>
        <w:t xml:space="preserve"> Publíquese en el portal de Internet del Instituto Federal de Telecomunicaciones</w:t>
      </w:r>
      <w:r w:rsidRPr="002E1A2C">
        <w:rPr>
          <w:rFonts w:ascii="ITC Avant Garde" w:hAnsi="ITC Avant Garde" w:cs="Arial"/>
          <w:i/>
          <w:lang w:eastAsia="es-MX"/>
        </w:rPr>
        <w:t xml:space="preserve"> el “INFORME </w:t>
      </w:r>
      <w:r w:rsidR="00F9476C" w:rsidRPr="002E1A2C">
        <w:rPr>
          <w:rFonts w:ascii="ITC Avant Garde" w:hAnsi="ITC Avant Garde" w:cs="Arial"/>
          <w:i/>
          <w:lang w:eastAsia="es-MX"/>
        </w:rPr>
        <w:t>q</w:t>
      </w:r>
      <w:r w:rsidRPr="002E1A2C">
        <w:rPr>
          <w:rFonts w:ascii="ITC Avant Garde" w:hAnsi="ITC Avant Garde" w:cs="Arial"/>
          <w:i/>
          <w:lang w:eastAsia="es-MX"/>
        </w:rPr>
        <w:t>ue presenta las consideraciones sobre los comentarios recibidos durante la consulta pública del Anteproyecto de la Guía del Programa de Inmunidad y Reducción de Sanciones para los sectores de telecomunicaciones y radiodifusión”</w:t>
      </w:r>
      <w:r w:rsidRPr="002E1A2C">
        <w:rPr>
          <w:rFonts w:ascii="ITC Avant Garde" w:eastAsia="Times New Roman" w:hAnsi="ITC Avant Garde" w:cs="Arial"/>
          <w:lang w:val="es-ES" w:eastAsia="es-ES"/>
        </w:rPr>
        <w:t>, mismo que se adjunta al presente Acuerdo.</w:t>
      </w:r>
    </w:p>
    <w:p w14:paraId="1E42E04D" w14:textId="77777777" w:rsidR="00841784" w:rsidRPr="002E1A2C" w:rsidRDefault="00841784" w:rsidP="00841784">
      <w:pPr>
        <w:suppressAutoHyphens/>
        <w:spacing w:after="0" w:line="240" w:lineRule="auto"/>
        <w:ind w:right="49"/>
        <w:contextualSpacing/>
        <w:jc w:val="both"/>
        <w:rPr>
          <w:rFonts w:ascii="ITC Avant Garde" w:eastAsia="Times New Roman" w:hAnsi="ITC Avant Garde" w:cs="Arial"/>
          <w:lang w:val="es-ES" w:eastAsia="es-ES"/>
        </w:rPr>
      </w:pPr>
      <w:r w:rsidRPr="002E1A2C">
        <w:rPr>
          <w:rFonts w:ascii="ITC Avant Garde" w:eastAsia="Times New Roman" w:hAnsi="ITC Avant Garde" w:cs="Arial"/>
          <w:lang w:val="es-ES" w:eastAsia="es-ES"/>
        </w:rPr>
        <w:t xml:space="preserve"> </w:t>
      </w:r>
    </w:p>
    <w:p w14:paraId="06A3A88B" w14:textId="77777777" w:rsidR="00841784" w:rsidRPr="002E1A2C" w:rsidRDefault="006779BA" w:rsidP="00841784">
      <w:pPr>
        <w:numPr>
          <w:ilvl w:val="0"/>
          <w:numId w:val="2"/>
        </w:numPr>
        <w:tabs>
          <w:tab w:val="left" w:pos="1276"/>
        </w:tabs>
        <w:suppressAutoHyphens/>
        <w:spacing w:after="0" w:line="240" w:lineRule="auto"/>
        <w:ind w:left="0" w:right="49" w:firstLine="0"/>
        <w:contextualSpacing/>
        <w:jc w:val="both"/>
        <w:rPr>
          <w:rFonts w:ascii="ITC Avant Garde" w:eastAsia="Times New Roman" w:hAnsi="ITC Avant Garde" w:cs="Arial"/>
          <w:lang w:val="es-ES" w:eastAsia="es-ES"/>
        </w:rPr>
      </w:pPr>
      <w:r w:rsidRPr="002E1A2C">
        <w:rPr>
          <w:rFonts w:ascii="ITC Avant Garde" w:eastAsia="Times New Roman" w:hAnsi="ITC Avant Garde" w:cs="Arial"/>
          <w:lang w:val="es-ES" w:eastAsia="es-ES"/>
        </w:rPr>
        <w:t>Se expide la “</w:t>
      </w:r>
      <w:r w:rsidRPr="002E1A2C">
        <w:rPr>
          <w:rFonts w:ascii="ITC Avant Garde" w:hAnsi="ITC Avant Garde"/>
          <w:i/>
        </w:rPr>
        <w:t>Guía del Programa de Inmunidad y Reducción de Sanciones para los sectores de telecomunicaciones y radiodifusión</w:t>
      </w:r>
      <w:r w:rsidRPr="002E1A2C">
        <w:rPr>
          <w:rFonts w:ascii="ITC Avant Garde" w:hAnsi="ITC Avant Garde"/>
        </w:rPr>
        <w:t>”</w:t>
      </w:r>
      <w:r w:rsidRPr="002E1A2C">
        <w:rPr>
          <w:rFonts w:ascii="ITC Avant Garde" w:eastAsia="Times New Roman" w:hAnsi="ITC Avant Garde" w:cs="Arial"/>
          <w:lang w:val="es-ES" w:eastAsia="es-ES"/>
        </w:rPr>
        <w:t>, misma que se adjunta al presente Acuerdo.</w:t>
      </w:r>
    </w:p>
    <w:p w14:paraId="4F85834F" w14:textId="77777777" w:rsidR="009C12FA" w:rsidRPr="002E1A2C" w:rsidRDefault="009C12FA" w:rsidP="000C15B5">
      <w:pPr>
        <w:tabs>
          <w:tab w:val="left" w:pos="1276"/>
        </w:tabs>
        <w:suppressAutoHyphens/>
        <w:spacing w:after="0" w:line="240" w:lineRule="auto"/>
        <w:ind w:right="49"/>
        <w:contextualSpacing/>
        <w:jc w:val="both"/>
      </w:pPr>
    </w:p>
    <w:p w14:paraId="500B4AFC" w14:textId="77777777" w:rsidR="000C15B5" w:rsidRPr="002E1A2C" w:rsidRDefault="006779BA" w:rsidP="00C80137">
      <w:pPr>
        <w:numPr>
          <w:ilvl w:val="0"/>
          <w:numId w:val="2"/>
        </w:numPr>
        <w:tabs>
          <w:tab w:val="left" w:pos="1276"/>
        </w:tabs>
        <w:suppressAutoHyphens/>
        <w:spacing w:after="0" w:line="240" w:lineRule="auto"/>
        <w:ind w:left="0" w:right="49" w:firstLine="0"/>
        <w:contextualSpacing/>
        <w:jc w:val="both"/>
        <w:rPr>
          <w:rFonts w:ascii="ITC Avant Garde" w:eastAsia="Times New Roman" w:hAnsi="ITC Avant Garde" w:cs="Arial"/>
          <w:lang w:val="es-ES" w:eastAsia="es-ES"/>
        </w:rPr>
      </w:pPr>
      <w:r w:rsidRPr="002E1A2C">
        <w:rPr>
          <w:rFonts w:ascii="ITC Avant Garde" w:eastAsia="Times New Roman" w:hAnsi="ITC Avant Garde" w:cs="Arial"/>
          <w:lang w:val="es-ES" w:eastAsia="es-ES"/>
        </w:rPr>
        <w:t>Publíquese íntegramente en el Diario Oficial de la Federación y en el portal de Internet del Instituto Federal de Telecomunicaciones la “</w:t>
      </w:r>
      <w:r w:rsidRPr="002E1A2C">
        <w:rPr>
          <w:rFonts w:ascii="ITC Avant Garde" w:hAnsi="ITC Avant Garde"/>
          <w:i/>
        </w:rPr>
        <w:t>Guía del Programa de Inmunidad y Reducción de Sanciones para los sectores de telecomunicaciones y radiodifusión</w:t>
      </w:r>
      <w:r w:rsidRPr="002E1A2C">
        <w:rPr>
          <w:rFonts w:ascii="ITC Avant Garde" w:hAnsi="ITC Avant Garde"/>
        </w:rPr>
        <w:t>”</w:t>
      </w:r>
      <w:r w:rsidRPr="002E1A2C">
        <w:rPr>
          <w:rFonts w:ascii="ITC Avant Garde" w:eastAsia="Times New Roman" w:hAnsi="ITC Avant Garde" w:cs="Arial"/>
          <w:lang w:val="es-ES" w:eastAsia="es-ES"/>
        </w:rPr>
        <w:t>.</w:t>
      </w:r>
    </w:p>
    <w:p w14:paraId="5C4884DB" w14:textId="77777777" w:rsidR="000C15B5" w:rsidRPr="00DA3801" w:rsidRDefault="000C15B5" w:rsidP="00C80137">
      <w:pPr>
        <w:spacing w:after="0" w:line="240" w:lineRule="auto"/>
        <w:contextualSpacing/>
        <w:jc w:val="both"/>
        <w:rPr>
          <w:rFonts w:ascii="ITC Avant Garde" w:hAnsi="ITC Avant Garde"/>
          <w:kern w:val="1"/>
          <w:lang w:val="es-ES" w:eastAsia="ar-SA"/>
        </w:rPr>
      </w:pPr>
    </w:p>
    <w:p w14:paraId="3762C9E6" w14:textId="77777777" w:rsidR="00DA3801" w:rsidRPr="00DA3801" w:rsidRDefault="00DA3801" w:rsidP="00DA3801">
      <w:pPr>
        <w:spacing w:after="0" w:line="240" w:lineRule="auto"/>
        <w:jc w:val="both"/>
        <w:rPr>
          <w:rFonts w:ascii="ITC Avant Garde" w:hAnsi="ITC Avant Garde" w:cs="Arial"/>
        </w:rPr>
      </w:pPr>
    </w:p>
    <w:p w14:paraId="76C40B5A" w14:textId="77777777" w:rsidR="00DA3801" w:rsidRPr="00DA3801" w:rsidRDefault="00DA3801" w:rsidP="00DA3801">
      <w:pPr>
        <w:spacing w:after="0" w:line="240" w:lineRule="auto"/>
        <w:jc w:val="both"/>
        <w:rPr>
          <w:rFonts w:ascii="ITC Avant Garde" w:hAnsi="ITC Avant Garde" w:cs="Arial"/>
        </w:rPr>
      </w:pPr>
    </w:p>
    <w:p w14:paraId="59F47ED2" w14:textId="77777777" w:rsidR="00DA3801" w:rsidRDefault="00DA3801" w:rsidP="00DA3801">
      <w:pPr>
        <w:spacing w:after="0" w:line="240" w:lineRule="auto"/>
        <w:contextualSpacing/>
        <w:jc w:val="center"/>
        <w:rPr>
          <w:rFonts w:ascii="ITC Avant Garde" w:hAnsi="ITC Avant Garde" w:cs="Arial"/>
          <w:b/>
          <w:bCs/>
          <w:lang w:val="es-ES_tradnl" w:eastAsia="es-MX"/>
        </w:rPr>
      </w:pPr>
    </w:p>
    <w:p w14:paraId="5C7E62C8" w14:textId="77777777" w:rsidR="00DA3801" w:rsidRDefault="00DA3801" w:rsidP="00DA3801">
      <w:pPr>
        <w:spacing w:after="0" w:line="240" w:lineRule="auto"/>
        <w:contextualSpacing/>
        <w:jc w:val="center"/>
        <w:rPr>
          <w:rFonts w:ascii="ITC Avant Garde" w:hAnsi="ITC Avant Garde" w:cs="Arial"/>
          <w:b/>
          <w:bCs/>
          <w:lang w:val="es-ES_tradnl" w:eastAsia="es-MX"/>
        </w:rPr>
      </w:pPr>
    </w:p>
    <w:p w14:paraId="13B21356" w14:textId="77777777" w:rsidR="00DA3801" w:rsidRDefault="00DA3801" w:rsidP="00DA3801">
      <w:pPr>
        <w:spacing w:after="0" w:line="240" w:lineRule="auto"/>
        <w:contextualSpacing/>
        <w:jc w:val="center"/>
        <w:rPr>
          <w:rFonts w:ascii="ITC Avant Garde" w:hAnsi="ITC Avant Garde" w:cs="Arial"/>
          <w:b/>
          <w:bCs/>
          <w:lang w:val="es-ES_tradnl" w:eastAsia="es-MX"/>
        </w:rPr>
      </w:pPr>
    </w:p>
    <w:p w14:paraId="63E85365" w14:textId="77777777" w:rsidR="00DA3801" w:rsidRPr="0038207B" w:rsidRDefault="00DA3801" w:rsidP="00DA3801">
      <w:pPr>
        <w:spacing w:after="0" w:line="240" w:lineRule="auto"/>
        <w:contextualSpacing/>
        <w:jc w:val="center"/>
        <w:rPr>
          <w:rFonts w:ascii="ITC Avant Garde" w:hAnsi="ITC Avant Garde" w:cs="Arial"/>
          <w:b/>
          <w:bCs/>
          <w:lang w:val="es-ES_tradnl" w:eastAsia="es-MX"/>
        </w:rPr>
      </w:pPr>
      <w:r w:rsidRPr="0038207B">
        <w:rPr>
          <w:rFonts w:ascii="ITC Avant Garde" w:hAnsi="ITC Avant Garde" w:cs="Arial"/>
          <w:b/>
          <w:bCs/>
          <w:lang w:val="es-ES_tradnl" w:eastAsia="es-MX"/>
        </w:rPr>
        <w:t>Gabriel Oswaldo Contreras Saldívar</w:t>
      </w:r>
    </w:p>
    <w:p w14:paraId="62D43789" w14:textId="77777777" w:rsidR="00DA3801" w:rsidRPr="0038207B" w:rsidRDefault="00DA3801" w:rsidP="00DA3801">
      <w:pPr>
        <w:spacing w:after="0" w:line="240" w:lineRule="auto"/>
        <w:contextualSpacing/>
        <w:jc w:val="center"/>
        <w:rPr>
          <w:rFonts w:ascii="ITC Avant Garde" w:hAnsi="ITC Avant Garde" w:cs="Arial"/>
          <w:b/>
          <w:bCs/>
          <w:lang w:val="es-ES_tradnl" w:eastAsia="es-MX"/>
        </w:rPr>
      </w:pPr>
      <w:r w:rsidRPr="0038207B">
        <w:rPr>
          <w:rFonts w:ascii="ITC Avant Garde" w:hAnsi="ITC Avant Garde" w:cs="Arial"/>
          <w:b/>
          <w:bCs/>
          <w:lang w:val="es-ES_tradnl" w:eastAsia="es-MX"/>
        </w:rPr>
        <w:t>Comisionado Presidente</w:t>
      </w:r>
    </w:p>
    <w:p w14:paraId="0263678D" w14:textId="77777777" w:rsidR="00DA3801" w:rsidRPr="0038207B" w:rsidRDefault="00DA3801" w:rsidP="00DA3801">
      <w:pPr>
        <w:spacing w:after="0" w:line="240" w:lineRule="auto"/>
        <w:contextualSpacing/>
        <w:jc w:val="center"/>
        <w:rPr>
          <w:rFonts w:ascii="ITC Avant Garde" w:hAnsi="ITC Avant Garde" w:cs="Arial"/>
          <w:b/>
          <w:bCs/>
          <w:lang w:val="es-ES_tradnl" w:eastAsia="es-MX"/>
        </w:rPr>
      </w:pPr>
    </w:p>
    <w:p w14:paraId="3A884B76" w14:textId="77777777" w:rsidR="00DA3801" w:rsidRDefault="00DA3801" w:rsidP="00DA3801">
      <w:pPr>
        <w:spacing w:after="0" w:line="240" w:lineRule="auto"/>
        <w:contextualSpacing/>
        <w:jc w:val="center"/>
        <w:rPr>
          <w:rFonts w:ascii="ITC Avant Garde" w:hAnsi="ITC Avant Garde" w:cs="Arial"/>
          <w:b/>
          <w:bCs/>
          <w:lang w:val="es-ES_tradnl" w:eastAsia="es-MX"/>
        </w:rPr>
      </w:pPr>
    </w:p>
    <w:p w14:paraId="19C3D366" w14:textId="77777777" w:rsidR="00DA3801" w:rsidRDefault="00DA3801" w:rsidP="00DA3801">
      <w:pPr>
        <w:spacing w:after="0" w:line="240" w:lineRule="auto"/>
        <w:contextualSpacing/>
        <w:jc w:val="center"/>
        <w:rPr>
          <w:rFonts w:ascii="ITC Avant Garde" w:hAnsi="ITC Avant Garde" w:cs="Arial"/>
          <w:b/>
          <w:bCs/>
          <w:lang w:val="es-ES_tradnl" w:eastAsia="es-MX"/>
        </w:rPr>
      </w:pPr>
    </w:p>
    <w:p w14:paraId="0891BF42" w14:textId="77777777" w:rsidR="00DA3801" w:rsidRPr="0038207B" w:rsidRDefault="00DA3801" w:rsidP="00DA3801">
      <w:pPr>
        <w:spacing w:after="0" w:line="240" w:lineRule="auto"/>
        <w:contextualSpacing/>
        <w:jc w:val="center"/>
        <w:rPr>
          <w:rFonts w:ascii="ITC Avant Garde" w:hAnsi="ITC Avant Garde" w:cs="Arial"/>
          <w:b/>
          <w:bCs/>
          <w:lang w:val="es-ES_tradnl" w:eastAsia="es-MX"/>
        </w:rPr>
      </w:pPr>
    </w:p>
    <w:tbl>
      <w:tblPr>
        <w:tblW w:w="4761" w:type="pct"/>
        <w:tblInd w:w="142" w:type="dxa"/>
        <w:tblCellMar>
          <w:left w:w="70" w:type="dxa"/>
          <w:right w:w="70" w:type="dxa"/>
        </w:tblCellMar>
        <w:tblLook w:val="04A0" w:firstRow="1" w:lastRow="0" w:firstColumn="1" w:lastColumn="0" w:noHBand="0" w:noVBand="1"/>
      </w:tblPr>
      <w:tblGrid>
        <w:gridCol w:w="3748"/>
        <w:gridCol w:w="295"/>
        <w:gridCol w:w="4373"/>
      </w:tblGrid>
      <w:tr w:rsidR="00DA3801" w:rsidRPr="0038207B" w14:paraId="179019E5" w14:textId="77777777" w:rsidTr="00DA3801">
        <w:trPr>
          <w:trHeight w:val="1572"/>
        </w:trPr>
        <w:tc>
          <w:tcPr>
            <w:tcW w:w="2227" w:type="pct"/>
            <w:hideMark/>
          </w:tcPr>
          <w:p w14:paraId="5A62FA3A" w14:textId="77777777" w:rsidR="00DA3801" w:rsidRPr="0038207B" w:rsidRDefault="00DA3801" w:rsidP="00DA3801">
            <w:pPr>
              <w:spacing w:after="0" w:line="240" w:lineRule="auto"/>
              <w:contextualSpacing/>
              <w:jc w:val="center"/>
              <w:rPr>
                <w:rFonts w:ascii="ITC Avant Garde" w:hAnsi="ITC Avant Garde" w:cs="Arial"/>
                <w:b/>
                <w:bCs/>
                <w:lang w:val="es-ES_tradnl" w:eastAsia="es-MX"/>
              </w:rPr>
            </w:pPr>
            <w:r w:rsidRPr="0038207B">
              <w:rPr>
                <w:rFonts w:ascii="ITC Avant Garde" w:hAnsi="ITC Avant Garde" w:cs="Arial"/>
                <w:b/>
                <w:bCs/>
                <w:lang w:val="es-ES_tradnl" w:eastAsia="es-MX"/>
              </w:rPr>
              <w:t>Ernesto Estrada González</w:t>
            </w:r>
          </w:p>
          <w:p w14:paraId="22266634" w14:textId="77777777" w:rsidR="00DA3801" w:rsidRPr="0038207B" w:rsidRDefault="00DA3801" w:rsidP="00DA3801">
            <w:pPr>
              <w:spacing w:after="0" w:line="240" w:lineRule="auto"/>
              <w:contextualSpacing/>
              <w:jc w:val="center"/>
              <w:rPr>
                <w:rFonts w:ascii="ITC Avant Garde" w:hAnsi="ITC Avant Garde" w:cs="Arial"/>
                <w:b/>
                <w:bCs/>
                <w:lang w:val="es-ES_tradnl" w:eastAsia="es-MX"/>
              </w:rPr>
            </w:pPr>
            <w:r w:rsidRPr="0038207B">
              <w:rPr>
                <w:rFonts w:ascii="ITC Avant Garde" w:hAnsi="ITC Avant Garde" w:cs="Arial"/>
                <w:b/>
                <w:bCs/>
                <w:lang w:val="es-ES_tradnl" w:eastAsia="es-MX"/>
              </w:rPr>
              <w:t>Comisionado</w:t>
            </w:r>
          </w:p>
        </w:tc>
        <w:tc>
          <w:tcPr>
            <w:tcW w:w="175" w:type="pct"/>
          </w:tcPr>
          <w:p w14:paraId="362B9848" w14:textId="77777777" w:rsidR="00DA3801" w:rsidRPr="0038207B" w:rsidRDefault="00DA3801" w:rsidP="00DA3801">
            <w:pPr>
              <w:spacing w:after="0" w:line="240" w:lineRule="auto"/>
              <w:contextualSpacing/>
              <w:jc w:val="center"/>
              <w:rPr>
                <w:rFonts w:ascii="ITC Avant Garde" w:hAnsi="ITC Avant Garde" w:cs="Arial"/>
                <w:b/>
                <w:bCs/>
                <w:lang w:val="es-ES_tradnl" w:eastAsia="es-MX"/>
              </w:rPr>
            </w:pPr>
          </w:p>
        </w:tc>
        <w:tc>
          <w:tcPr>
            <w:tcW w:w="2598" w:type="pct"/>
          </w:tcPr>
          <w:p w14:paraId="417DCF42" w14:textId="77777777" w:rsidR="00DA3801" w:rsidRPr="0038207B" w:rsidRDefault="00DA3801" w:rsidP="00DA3801">
            <w:pPr>
              <w:spacing w:after="0" w:line="240" w:lineRule="auto"/>
              <w:contextualSpacing/>
              <w:jc w:val="center"/>
              <w:rPr>
                <w:rFonts w:ascii="ITC Avant Garde" w:hAnsi="ITC Avant Garde" w:cs="Arial"/>
                <w:b/>
                <w:bCs/>
                <w:lang w:val="es-ES_tradnl" w:eastAsia="es-MX"/>
              </w:rPr>
            </w:pPr>
            <w:r w:rsidRPr="0038207B">
              <w:rPr>
                <w:rFonts w:ascii="ITC Avant Garde" w:hAnsi="ITC Avant Garde" w:cs="Arial"/>
                <w:b/>
                <w:bCs/>
                <w:lang w:val="es-ES_tradnl" w:eastAsia="es-MX"/>
              </w:rPr>
              <w:t>Adriana Sofía Labardini Inzunza</w:t>
            </w:r>
          </w:p>
          <w:p w14:paraId="1284ED4C" w14:textId="77777777" w:rsidR="00DA3801" w:rsidRPr="0038207B" w:rsidRDefault="00DA3801" w:rsidP="00DA3801">
            <w:pPr>
              <w:spacing w:after="0" w:line="240" w:lineRule="auto"/>
              <w:contextualSpacing/>
              <w:jc w:val="center"/>
              <w:rPr>
                <w:rFonts w:ascii="ITC Avant Garde" w:hAnsi="ITC Avant Garde" w:cs="Arial"/>
                <w:b/>
                <w:bCs/>
                <w:lang w:val="es-ES_tradnl" w:eastAsia="es-MX"/>
              </w:rPr>
            </w:pPr>
            <w:r w:rsidRPr="0038207B">
              <w:rPr>
                <w:rFonts w:ascii="ITC Avant Garde" w:hAnsi="ITC Avant Garde" w:cs="Arial"/>
                <w:b/>
                <w:bCs/>
                <w:lang w:val="es-ES_tradnl" w:eastAsia="es-MX"/>
              </w:rPr>
              <w:t>Comisionada</w:t>
            </w:r>
          </w:p>
          <w:p w14:paraId="109039AE" w14:textId="77777777" w:rsidR="00DA3801" w:rsidRDefault="00DA3801" w:rsidP="00DA3801">
            <w:pPr>
              <w:spacing w:after="0" w:line="240" w:lineRule="auto"/>
              <w:contextualSpacing/>
              <w:jc w:val="both"/>
              <w:rPr>
                <w:rFonts w:ascii="ITC Avant Garde" w:hAnsi="ITC Avant Garde" w:cs="Arial"/>
                <w:b/>
                <w:bCs/>
                <w:lang w:val="es-ES_tradnl" w:eastAsia="es-MX"/>
              </w:rPr>
            </w:pPr>
          </w:p>
          <w:p w14:paraId="08017D1D" w14:textId="77777777" w:rsidR="00DA3801" w:rsidRDefault="00DA3801" w:rsidP="00DA3801">
            <w:pPr>
              <w:spacing w:after="0" w:line="240" w:lineRule="auto"/>
              <w:contextualSpacing/>
              <w:jc w:val="both"/>
              <w:rPr>
                <w:rFonts w:ascii="ITC Avant Garde" w:hAnsi="ITC Avant Garde" w:cs="Arial"/>
                <w:b/>
                <w:bCs/>
                <w:lang w:val="es-ES_tradnl" w:eastAsia="es-MX"/>
              </w:rPr>
            </w:pPr>
          </w:p>
          <w:p w14:paraId="3C297E27" w14:textId="77777777" w:rsidR="00DA3801" w:rsidRDefault="00DA3801" w:rsidP="00DA3801">
            <w:pPr>
              <w:spacing w:after="0" w:line="240" w:lineRule="auto"/>
              <w:contextualSpacing/>
              <w:jc w:val="both"/>
              <w:rPr>
                <w:rFonts w:ascii="ITC Avant Garde" w:hAnsi="ITC Avant Garde" w:cs="Arial"/>
                <w:b/>
                <w:bCs/>
                <w:lang w:val="es-ES_tradnl" w:eastAsia="es-MX"/>
              </w:rPr>
            </w:pPr>
          </w:p>
          <w:p w14:paraId="1ED975FC" w14:textId="77777777" w:rsidR="00DA3801" w:rsidRPr="0038207B" w:rsidRDefault="00DA3801" w:rsidP="00DA3801">
            <w:pPr>
              <w:spacing w:after="0" w:line="240" w:lineRule="auto"/>
              <w:contextualSpacing/>
              <w:jc w:val="both"/>
              <w:rPr>
                <w:rFonts w:ascii="ITC Avant Garde" w:hAnsi="ITC Avant Garde" w:cs="Arial"/>
                <w:b/>
                <w:bCs/>
                <w:lang w:val="es-ES_tradnl" w:eastAsia="es-MX"/>
              </w:rPr>
            </w:pPr>
          </w:p>
        </w:tc>
      </w:tr>
      <w:tr w:rsidR="00DA3801" w:rsidRPr="0038207B" w14:paraId="16550EEE" w14:textId="77777777" w:rsidTr="00DA3801">
        <w:trPr>
          <w:trHeight w:val="1460"/>
        </w:trPr>
        <w:tc>
          <w:tcPr>
            <w:tcW w:w="2227" w:type="pct"/>
          </w:tcPr>
          <w:p w14:paraId="0E3E1566" w14:textId="77777777" w:rsidR="00DA3801" w:rsidRPr="0038207B" w:rsidRDefault="00DA3801" w:rsidP="00DA3801">
            <w:pPr>
              <w:spacing w:after="0" w:line="240" w:lineRule="auto"/>
              <w:contextualSpacing/>
              <w:jc w:val="center"/>
              <w:rPr>
                <w:rFonts w:ascii="ITC Avant Garde" w:hAnsi="ITC Avant Garde" w:cs="Arial"/>
                <w:b/>
                <w:bCs/>
                <w:lang w:val="es-ES_tradnl" w:eastAsia="es-MX"/>
              </w:rPr>
            </w:pPr>
            <w:r w:rsidRPr="0038207B">
              <w:rPr>
                <w:rFonts w:ascii="ITC Avant Garde" w:hAnsi="ITC Avant Garde" w:cs="Arial"/>
                <w:b/>
                <w:bCs/>
                <w:lang w:val="es-ES_tradnl" w:eastAsia="es-MX"/>
              </w:rPr>
              <w:t>María Elena Estavillo Flores</w:t>
            </w:r>
          </w:p>
          <w:p w14:paraId="7EC7AE29" w14:textId="77777777" w:rsidR="00DA3801" w:rsidRDefault="00DA3801" w:rsidP="00DA3801">
            <w:pPr>
              <w:spacing w:after="0" w:line="240" w:lineRule="auto"/>
              <w:contextualSpacing/>
              <w:jc w:val="center"/>
              <w:rPr>
                <w:rFonts w:ascii="ITC Avant Garde" w:hAnsi="ITC Avant Garde" w:cs="Arial"/>
                <w:b/>
                <w:bCs/>
                <w:lang w:val="es-ES_tradnl" w:eastAsia="es-MX"/>
              </w:rPr>
            </w:pPr>
            <w:r w:rsidRPr="0038207B">
              <w:rPr>
                <w:rFonts w:ascii="ITC Avant Garde" w:hAnsi="ITC Avant Garde" w:cs="Arial"/>
                <w:b/>
                <w:bCs/>
                <w:lang w:val="es-ES_tradnl" w:eastAsia="es-MX"/>
              </w:rPr>
              <w:t>Comisionada</w:t>
            </w:r>
          </w:p>
          <w:p w14:paraId="4D715F5E" w14:textId="77777777" w:rsidR="00DA3801" w:rsidRDefault="00DA3801" w:rsidP="00DA3801">
            <w:pPr>
              <w:spacing w:after="0" w:line="240" w:lineRule="auto"/>
              <w:contextualSpacing/>
              <w:jc w:val="center"/>
              <w:rPr>
                <w:rFonts w:ascii="ITC Avant Garde" w:hAnsi="ITC Avant Garde" w:cs="Arial"/>
                <w:b/>
                <w:bCs/>
                <w:lang w:val="es-ES_tradnl" w:eastAsia="es-MX"/>
              </w:rPr>
            </w:pPr>
          </w:p>
          <w:p w14:paraId="11647863" w14:textId="77777777" w:rsidR="00DA3801" w:rsidRDefault="00DA3801" w:rsidP="00DA3801">
            <w:pPr>
              <w:spacing w:after="0" w:line="240" w:lineRule="auto"/>
              <w:contextualSpacing/>
              <w:jc w:val="center"/>
              <w:rPr>
                <w:rFonts w:ascii="ITC Avant Garde" w:hAnsi="ITC Avant Garde" w:cs="Arial"/>
                <w:b/>
                <w:bCs/>
                <w:lang w:val="es-ES_tradnl" w:eastAsia="es-MX"/>
              </w:rPr>
            </w:pPr>
          </w:p>
          <w:p w14:paraId="566B1C45" w14:textId="77777777" w:rsidR="00DA3801" w:rsidRDefault="00DA3801" w:rsidP="00DA3801">
            <w:pPr>
              <w:spacing w:after="0" w:line="240" w:lineRule="auto"/>
              <w:contextualSpacing/>
              <w:jc w:val="center"/>
              <w:rPr>
                <w:rFonts w:ascii="ITC Avant Garde" w:hAnsi="ITC Avant Garde" w:cs="Arial"/>
                <w:b/>
                <w:bCs/>
                <w:lang w:val="es-ES_tradnl" w:eastAsia="es-MX"/>
              </w:rPr>
            </w:pPr>
          </w:p>
          <w:p w14:paraId="662866A5" w14:textId="77777777" w:rsidR="00DA3801" w:rsidRPr="0038207B" w:rsidRDefault="00DA3801" w:rsidP="00DA3801">
            <w:pPr>
              <w:spacing w:after="0" w:line="240" w:lineRule="auto"/>
              <w:contextualSpacing/>
              <w:jc w:val="center"/>
              <w:rPr>
                <w:rFonts w:ascii="ITC Avant Garde" w:hAnsi="ITC Avant Garde" w:cs="Arial"/>
                <w:b/>
                <w:bCs/>
                <w:lang w:val="es-ES_tradnl" w:eastAsia="es-MX"/>
              </w:rPr>
            </w:pPr>
          </w:p>
        </w:tc>
        <w:tc>
          <w:tcPr>
            <w:tcW w:w="175" w:type="pct"/>
          </w:tcPr>
          <w:p w14:paraId="36F6B124" w14:textId="77777777" w:rsidR="00DA3801" w:rsidRPr="0038207B" w:rsidRDefault="00DA3801" w:rsidP="00DA3801">
            <w:pPr>
              <w:spacing w:after="0" w:line="240" w:lineRule="auto"/>
              <w:contextualSpacing/>
              <w:jc w:val="center"/>
              <w:rPr>
                <w:rFonts w:ascii="ITC Avant Garde" w:hAnsi="ITC Avant Garde" w:cs="Arial"/>
                <w:b/>
                <w:bCs/>
                <w:lang w:val="es-ES_tradnl" w:eastAsia="es-MX"/>
              </w:rPr>
            </w:pPr>
          </w:p>
        </w:tc>
        <w:tc>
          <w:tcPr>
            <w:tcW w:w="2598" w:type="pct"/>
          </w:tcPr>
          <w:p w14:paraId="30F68CD1" w14:textId="77777777" w:rsidR="00DA3801" w:rsidRPr="0038207B" w:rsidRDefault="00DA3801" w:rsidP="00DA3801">
            <w:pPr>
              <w:spacing w:after="0" w:line="240" w:lineRule="auto"/>
              <w:contextualSpacing/>
              <w:jc w:val="center"/>
              <w:rPr>
                <w:rFonts w:ascii="ITC Avant Garde" w:hAnsi="ITC Avant Garde" w:cs="Arial"/>
                <w:b/>
                <w:bCs/>
                <w:lang w:val="es-ES_tradnl" w:eastAsia="es-MX"/>
              </w:rPr>
            </w:pPr>
            <w:r w:rsidRPr="0038207B">
              <w:rPr>
                <w:rFonts w:ascii="ITC Avant Garde" w:hAnsi="ITC Avant Garde" w:cs="Arial"/>
                <w:b/>
                <w:bCs/>
                <w:lang w:val="es-ES_tradnl" w:eastAsia="es-MX"/>
              </w:rPr>
              <w:t>Mario Germán Fromow Rangel</w:t>
            </w:r>
          </w:p>
          <w:p w14:paraId="7D85067D" w14:textId="77777777" w:rsidR="00DA3801" w:rsidRPr="0038207B" w:rsidRDefault="00DA3801" w:rsidP="00DA3801">
            <w:pPr>
              <w:spacing w:after="0" w:line="240" w:lineRule="auto"/>
              <w:contextualSpacing/>
              <w:jc w:val="center"/>
              <w:rPr>
                <w:rFonts w:ascii="ITC Avant Garde" w:hAnsi="ITC Avant Garde" w:cs="Arial"/>
                <w:b/>
                <w:bCs/>
                <w:lang w:val="es-ES_tradnl" w:eastAsia="es-MX"/>
              </w:rPr>
            </w:pPr>
            <w:r w:rsidRPr="0038207B">
              <w:rPr>
                <w:rFonts w:ascii="ITC Avant Garde" w:hAnsi="ITC Avant Garde" w:cs="Arial"/>
                <w:b/>
                <w:bCs/>
                <w:lang w:val="es-ES_tradnl" w:eastAsia="es-MX"/>
              </w:rPr>
              <w:t>Comisionado</w:t>
            </w:r>
          </w:p>
          <w:p w14:paraId="7356DE12" w14:textId="77777777" w:rsidR="00DA3801" w:rsidRPr="0038207B" w:rsidRDefault="00DA3801" w:rsidP="00DA3801">
            <w:pPr>
              <w:spacing w:after="0" w:line="240" w:lineRule="auto"/>
              <w:contextualSpacing/>
              <w:jc w:val="center"/>
              <w:rPr>
                <w:rFonts w:ascii="ITC Avant Garde" w:hAnsi="ITC Avant Garde" w:cs="Arial"/>
                <w:b/>
                <w:bCs/>
                <w:lang w:val="es-ES_tradnl" w:eastAsia="es-MX"/>
              </w:rPr>
            </w:pPr>
          </w:p>
          <w:p w14:paraId="669251B2" w14:textId="77777777" w:rsidR="00DA3801" w:rsidRPr="0038207B" w:rsidRDefault="00DA3801" w:rsidP="00DA3801">
            <w:pPr>
              <w:spacing w:after="0" w:line="240" w:lineRule="auto"/>
              <w:contextualSpacing/>
              <w:jc w:val="both"/>
              <w:rPr>
                <w:rFonts w:ascii="ITC Avant Garde" w:hAnsi="ITC Avant Garde" w:cs="Arial"/>
                <w:b/>
                <w:bCs/>
                <w:lang w:val="es-ES_tradnl" w:eastAsia="es-MX"/>
              </w:rPr>
            </w:pPr>
          </w:p>
        </w:tc>
      </w:tr>
      <w:tr w:rsidR="00DA3801" w:rsidRPr="0038207B" w14:paraId="02342C29" w14:textId="77777777" w:rsidTr="00DA3801">
        <w:trPr>
          <w:trHeight w:val="647"/>
        </w:trPr>
        <w:tc>
          <w:tcPr>
            <w:tcW w:w="2227" w:type="pct"/>
          </w:tcPr>
          <w:p w14:paraId="582A7E33" w14:textId="77777777" w:rsidR="00DA3801" w:rsidRPr="0038207B" w:rsidRDefault="00DA3801" w:rsidP="00DA3801">
            <w:pPr>
              <w:spacing w:after="0" w:line="240" w:lineRule="auto"/>
              <w:contextualSpacing/>
              <w:jc w:val="center"/>
              <w:rPr>
                <w:rFonts w:ascii="ITC Avant Garde" w:hAnsi="ITC Avant Garde" w:cs="Arial"/>
                <w:b/>
                <w:bCs/>
                <w:lang w:val="es-ES_tradnl" w:eastAsia="es-MX"/>
              </w:rPr>
            </w:pPr>
            <w:r w:rsidRPr="0038207B">
              <w:rPr>
                <w:rFonts w:ascii="ITC Avant Garde" w:hAnsi="ITC Avant Garde" w:cs="Arial"/>
                <w:b/>
                <w:bCs/>
                <w:lang w:val="es-ES_tradnl" w:eastAsia="es-MX"/>
              </w:rPr>
              <w:t>Adolfo Cuevas Teja</w:t>
            </w:r>
          </w:p>
          <w:p w14:paraId="71385E24" w14:textId="77777777" w:rsidR="00DA3801" w:rsidRPr="0038207B" w:rsidRDefault="00DA3801" w:rsidP="00DA3801">
            <w:pPr>
              <w:spacing w:after="0" w:line="240" w:lineRule="auto"/>
              <w:contextualSpacing/>
              <w:jc w:val="center"/>
              <w:rPr>
                <w:rFonts w:ascii="ITC Avant Garde" w:hAnsi="ITC Avant Garde" w:cs="Arial"/>
                <w:b/>
                <w:bCs/>
                <w:lang w:val="es-ES_tradnl" w:eastAsia="es-MX"/>
              </w:rPr>
            </w:pPr>
            <w:r w:rsidRPr="0038207B">
              <w:rPr>
                <w:rFonts w:ascii="ITC Avant Garde" w:hAnsi="ITC Avant Garde" w:cs="Arial"/>
                <w:b/>
                <w:bCs/>
                <w:lang w:val="es-ES_tradnl" w:eastAsia="es-MX"/>
              </w:rPr>
              <w:t>Comisionado</w:t>
            </w:r>
          </w:p>
        </w:tc>
        <w:tc>
          <w:tcPr>
            <w:tcW w:w="175" w:type="pct"/>
          </w:tcPr>
          <w:p w14:paraId="1A806F56" w14:textId="77777777" w:rsidR="00DA3801" w:rsidRPr="0038207B" w:rsidRDefault="00DA3801" w:rsidP="00DA3801">
            <w:pPr>
              <w:spacing w:after="0" w:line="240" w:lineRule="auto"/>
              <w:contextualSpacing/>
              <w:jc w:val="center"/>
              <w:rPr>
                <w:rFonts w:ascii="ITC Avant Garde" w:hAnsi="ITC Avant Garde" w:cs="Arial"/>
                <w:b/>
                <w:bCs/>
                <w:lang w:val="es-ES_tradnl" w:eastAsia="es-MX"/>
              </w:rPr>
            </w:pPr>
          </w:p>
        </w:tc>
        <w:tc>
          <w:tcPr>
            <w:tcW w:w="2598" w:type="pct"/>
          </w:tcPr>
          <w:p w14:paraId="4C3BEB37" w14:textId="77777777" w:rsidR="00DA3801" w:rsidRDefault="00DA3801" w:rsidP="00DA3801">
            <w:pPr>
              <w:spacing w:after="0" w:line="240" w:lineRule="auto"/>
              <w:contextualSpacing/>
              <w:jc w:val="center"/>
              <w:rPr>
                <w:rFonts w:ascii="ITC Avant Garde" w:hAnsi="ITC Avant Garde" w:cs="Arial"/>
                <w:b/>
                <w:bCs/>
                <w:lang w:val="es-ES_tradnl" w:eastAsia="es-MX"/>
              </w:rPr>
            </w:pPr>
            <w:r>
              <w:rPr>
                <w:rFonts w:ascii="ITC Avant Garde" w:hAnsi="ITC Avant Garde" w:cs="Arial"/>
                <w:b/>
                <w:bCs/>
                <w:lang w:val="es-ES_tradnl" w:eastAsia="es-MX"/>
              </w:rPr>
              <w:t>Javier Juárez Mojica</w:t>
            </w:r>
          </w:p>
          <w:p w14:paraId="31BB86EE" w14:textId="77777777" w:rsidR="00DA3801" w:rsidRPr="0038207B" w:rsidRDefault="00DA3801" w:rsidP="00DA3801">
            <w:pPr>
              <w:spacing w:after="0" w:line="240" w:lineRule="auto"/>
              <w:contextualSpacing/>
              <w:jc w:val="center"/>
              <w:rPr>
                <w:rFonts w:ascii="ITC Avant Garde" w:hAnsi="ITC Avant Garde" w:cs="Arial"/>
                <w:b/>
                <w:bCs/>
                <w:lang w:val="es-ES_tradnl" w:eastAsia="es-MX"/>
              </w:rPr>
            </w:pPr>
            <w:r>
              <w:rPr>
                <w:rFonts w:ascii="ITC Avant Garde" w:hAnsi="ITC Avant Garde" w:cs="Arial"/>
                <w:b/>
                <w:bCs/>
                <w:lang w:val="es-ES_tradnl" w:eastAsia="es-MX"/>
              </w:rPr>
              <w:t>Comisionado</w:t>
            </w:r>
          </w:p>
        </w:tc>
      </w:tr>
    </w:tbl>
    <w:p w14:paraId="13D802CD" w14:textId="77777777" w:rsidR="00DA3801" w:rsidRDefault="00DA3801">
      <w:pPr>
        <w:spacing w:after="0" w:line="240" w:lineRule="auto"/>
        <w:contextualSpacing/>
        <w:jc w:val="both"/>
        <w:rPr>
          <w:rFonts w:ascii="ITC Avant Garde" w:hAnsi="ITC Avant Garde"/>
          <w:kern w:val="1"/>
          <w:lang w:val="es-ES" w:eastAsia="ar-SA"/>
        </w:rPr>
      </w:pPr>
    </w:p>
    <w:p w14:paraId="6B7762AE" w14:textId="77777777" w:rsidR="00AB13BB" w:rsidRPr="00AB13BB" w:rsidRDefault="00AB13BB" w:rsidP="00AB13BB">
      <w:pPr>
        <w:pStyle w:val="Prrafodelista"/>
        <w:ind w:left="0"/>
        <w:jc w:val="both"/>
        <w:rPr>
          <w:rFonts w:ascii="ITC Avant Garde" w:hAnsi="ITC Avant Garde"/>
          <w:sz w:val="14"/>
          <w:szCs w:val="14"/>
          <w:lang w:val="es-ES_tradnl"/>
        </w:rPr>
      </w:pPr>
      <w:r w:rsidRPr="00AB13BB">
        <w:rPr>
          <w:rFonts w:ascii="ITC Avant Garde" w:hAnsi="ITC Avant Garde"/>
          <w:sz w:val="14"/>
          <w:szCs w:val="14"/>
        </w:rPr>
        <w:t xml:space="preserve">El presente Acuerdo fue aprobado por el Pleno del Instituto Federal de Telecomunicaciones en su XLIII Sesión Ordinaria celebrada el 30 de noviembre </w:t>
      </w:r>
      <w:r w:rsidRPr="00AB13BB">
        <w:rPr>
          <w:rFonts w:ascii="ITC Avant Garde" w:hAnsi="ITC Avant Garde"/>
          <w:sz w:val="14"/>
          <w:szCs w:val="14"/>
          <w:lang w:val="es-ES_tradnl"/>
        </w:rPr>
        <w:t>de 2016, por unanimidad de votos de los Comisionados Gabriel Oswaldo Contreras Saldívar, Ernesto Estrada González, Adriana Sofía Labardini Inzunza, María Elena Estavillo Flores, Mario Germán Fromow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5 y 18 de la Ley Federal de Competencia Económica; así como en los artículos 1, 7, 8 y 12 del Estatuto Orgánico del Instituto Federal de Telecomunicaciones, mediante Acuerdo P/IFT/301116/679.</w:t>
      </w:r>
    </w:p>
    <w:p w14:paraId="5E119369" w14:textId="77777777" w:rsidR="00AB13BB" w:rsidRPr="00AB13BB" w:rsidRDefault="00AB13BB" w:rsidP="00AB13BB">
      <w:pPr>
        <w:pStyle w:val="Prrafodelista"/>
        <w:ind w:left="0"/>
        <w:jc w:val="both"/>
        <w:rPr>
          <w:rFonts w:ascii="ITC Avant Garde" w:hAnsi="ITC Avant Garde"/>
          <w:sz w:val="14"/>
          <w:szCs w:val="14"/>
          <w:lang w:val="es-ES_tradnl"/>
        </w:rPr>
      </w:pPr>
    </w:p>
    <w:p w14:paraId="2F94109A" w14:textId="76A7B8C8" w:rsidR="00DA3801" w:rsidRPr="002E1A2C" w:rsidRDefault="00AB13BB">
      <w:pPr>
        <w:spacing w:after="0" w:line="240" w:lineRule="auto"/>
        <w:jc w:val="both"/>
        <w:rPr>
          <w:rFonts w:ascii="ITC Avant Garde" w:hAnsi="ITC Avant Garde"/>
          <w:kern w:val="1"/>
          <w:lang w:val="es-ES" w:eastAsia="ar-SA"/>
        </w:rPr>
      </w:pPr>
      <w:r w:rsidRPr="00AB13BB">
        <w:rPr>
          <w:rFonts w:ascii="ITC Avant Garde" w:hAnsi="ITC Avant Garde"/>
          <w:sz w:val="14"/>
          <w:szCs w:val="14"/>
        </w:rPr>
        <w:t>El Comisionado Adolfo Cuevas Teja previendo su ausencia justificada a la sesión, emitió su voto razonado por escrito, en términos de los artículos 5, primer párrafo y 18 de la Ley Federal de Competencia Económica; así como del artículo 8 segundo párrafo del Estatuto Orgánico del Instituto Federal de Telecomunicaciones.</w:t>
      </w:r>
      <w:bookmarkStart w:id="0" w:name="_GoBack"/>
      <w:bookmarkEnd w:id="0"/>
    </w:p>
    <w:sectPr w:rsidR="00DA3801" w:rsidRPr="002E1A2C" w:rsidSect="00DA3801">
      <w:footerReference w:type="default" r:id="rId8"/>
      <w:pgSz w:w="12240" w:h="15840"/>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3E12AB" w14:textId="77777777" w:rsidR="009F622A" w:rsidRDefault="009F622A" w:rsidP="00A10DF6">
      <w:pPr>
        <w:spacing w:after="0" w:line="240" w:lineRule="auto"/>
      </w:pPr>
      <w:r>
        <w:separator/>
      </w:r>
    </w:p>
  </w:endnote>
  <w:endnote w:type="continuationSeparator" w:id="0">
    <w:p w14:paraId="268C3601" w14:textId="77777777" w:rsidR="009F622A" w:rsidRDefault="009F622A" w:rsidP="00A10DF6">
      <w:pPr>
        <w:spacing w:after="0" w:line="240" w:lineRule="auto"/>
      </w:pPr>
      <w:r>
        <w:continuationSeparator/>
      </w:r>
    </w:p>
  </w:endnote>
  <w:endnote w:type="continuationNotice" w:id="1">
    <w:p w14:paraId="6CD9588C" w14:textId="77777777" w:rsidR="009F622A" w:rsidRDefault="009F62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Avant Garde">
    <w:altName w:val="Century Gothic"/>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auto"/>
    <w:pitch w:val="variable"/>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3787055"/>
      <w:docPartObj>
        <w:docPartGallery w:val="Page Numbers (Bottom of Page)"/>
        <w:docPartUnique/>
      </w:docPartObj>
    </w:sdtPr>
    <w:sdtEndPr>
      <w:rPr>
        <w:rFonts w:ascii="ITC Avant Garde" w:hAnsi="ITC Avant Garde"/>
        <w:sz w:val="18"/>
        <w:szCs w:val="18"/>
      </w:rPr>
    </w:sdtEndPr>
    <w:sdtContent>
      <w:sdt>
        <w:sdtPr>
          <w:id w:val="1460138614"/>
          <w:docPartObj>
            <w:docPartGallery w:val="Page Numbers (Top of Page)"/>
            <w:docPartUnique/>
          </w:docPartObj>
        </w:sdtPr>
        <w:sdtEndPr>
          <w:rPr>
            <w:rFonts w:ascii="ITC Avant Garde" w:hAnsi="ITC Avant Garde"/>
            <w:sz w:val="18"/>
            <w:szCs w:val="18"/>
          </w:rPr>
        </w:sdtEndPr>
        <w:sdtContent>
          <w:p w14:paraId="48228482" w14:textId="7147B8CE" w:rsidR="00F61C0C" w:rsidRPr="00E97A2F" w:rsidRDefault="00F61C0C">
            <w:pPr>
              <w:pStyle w:val="Piedepgina"/>
              <w:jc w:val="right"/>
              <w:rPr>
                <w:rFonts w:ascii="ITC Avant Garde" w:hAnsi="ITC Avant Garde"/>
                <w:sz w:val="18"/>
                <w:szCs w:val="18"/>
              </w:rPr>
            </w:pPr>
            <w:r w:rsidRPr="00E97A2F">
              <w:rPr>
                <w:rFonts w:ascii="ITC Avant Garde" w:hAnsi="ITC Avant Garde"/>
                <w:b/>
                <w:bCs/>
                <w:sz w:val="18"/>
                <w:szCs w:val="18"/>
              </w:rPr>
              <w:fldChar w:fldCharType="begin"/>
            </w:r>
            <w:r w:rsidRPr="00E97A2F">
              <w:rPr>
                <w:rFonts w:ascii="ITC Avant Garde" w:hAnsi="ITC Avant Garde"/>
                <w:b/>
                <w:bCs/>
                <w:sz w:val="18"/>
                <w:szCs w:val="18"/>
              </w:rPr>
              <w:instrText>PAGE</w:instrText>
            </w:r>
            <w:r w:rsidRPr="00E97A2F">
              <w:rPr>
                <w:rFonts w:ascii="ITC Avant Garde" w:hAnsi="ITC Avant Garde"/>
                <w:b/>
                <w:bCs/>
                <w:sz w:val="18"/>
                <w:szCs w:val="18"/>
              </w:rPr>
              <w:fldChar w:fldCharType="separate"/>
            </w:r>
            <w:r w:rsidR="00AB13BB">
              <w:rPr>
                <w:rFonts w:ascii="ITC Avant Garde" w:hAnsi="ITC Avant Garde"/>
                <w:b/>
                <w:bCs/>
                <w:noProof/>
                <w:sz w:val="18"/>
                <w:szCs w:val="18"/>
              </w:rPr>
              <w:t>6</w:t>
            </w:r>
            <w:r w:rsidRPr="00E97A2F">
              <w:rPr>
                <w:rFonts w:ascii="ITC Avant Garde" w:hAnsi="ITC Avant Garde"/>
                <w:b/>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0087D6" w14:textId="77777777" w:rsidR="009F622A" w:rsidRDefault="009F622A" w:rsidP="00A10DF6">
      <w:pPr>
        <w:spacing w:after="0" w:line="240" w:lineRule="auto"/>
      </w:pPr>
      <w:r>
        <w:separator/>
      </w:r>
    </w:p>
  </w:footnote>
  <w:footnote w:type="continuationSeparator" w:id="0">
    <w:p w14:paraId="02FE48B8" w14:textId="77777777" w:rsidR="009F622A" w:rsidRDefault="009F622A" w:rsidP="00A10DF6">
      <w:pPr>
        <w:spacing w:after="0" w:line="240" w:lineRule="auto"/>
      </w:pPr>
      <w:r>
        <w:continuationSeparator/>
      </w:r>
    </w:p>
  </w:footnote>
  <w:footnote w:type="continuationNotice" w:id="1">
    <w:p w14:paraId="40548CCF" w14:textId="77777777" w:rsidR="009F622A" w:rsidRDefault="009F622A">
      <w:pPr>
        <w:spacing w:after="0" w:line="240" w:lineRule="auto"/>
      </w:pPr>
    </w:p>
  </w:footnote>
  <w:footnote w:id="2">
    <w:p w14:paraId="6FAE4B1B" w14:textId="77777777" w:rsidR="00F61C0C" w:rsidRPr="005B660C" w:rsidRDefault="00F61C0C" w:rsidP="00A10DF6">
      <w:pPr>
        <w:pStyle w:val="Textonotapie"/>
        <w:rPr>
          <w:rFonts w:ascii="ITC Avant Garde" w:hAnsi="ITC Avant Garde"/>
          <w:sz w:val="16"/>
          <w:szCs w:val="16"/>
        </w:rPr>
      </w:pPr>
      <w:r w:rsidRPr="005B660C">
        <w:rPr>
          <w:rStyle w:val="Refdenotaalpie"/>
          <w:rFonts w:ascii="ITC Avant Garde" w:hAnsi="ITC Avant Garde"/>
          <w:sz w:val="16"/>
          <w:szCs w:val="16"/>
        </w:rPr>
        <w:footnoteRef/>
      </w:r>
      <w:r w:rsidRPr="005B660C">
        <w:rPr>
          <w:rFonts w:ascii="ITC Avant Garde" w:hAnsi="ITC Avant Garde"/>
          <w:sz w:val="16"/>
          <w:szCs w:val="16"/>
        </w:rPr>
        <w:t xml:space="preserve"> Los cambios realizados se señalan </w:t>
      </w:r>
      <w:r>
        <w:rPr>
          <w:rFonts w:ascii="ITC Avant Garde" w:hAnsi="ITC Avant Garde"/>
          <w:sz w:val="16"/>
          <w:szCs w:val="16"/>
        </w:rPr>
        <w:t>mediante</w:t>
      </w:r>
      <w:r w:rsidRPr="005B660C">
        <w:rPr>
          <w:rFonts w:ascii="ITC Avant Garde" w:hAnsi="ITC Avant Garde"/>
          <w:sz w:val="16"/>
          <w:szCs w:val="16"/>
        </w:rPr>
        <w:t xml:space="preserve"> el texto subrayado.</w:t>
      </w:r>
    </w:p>
  </w:footnote>
  <w:footnote w:id="3">
    <w:p w14:paraId="0C8431FD" w14:textId="77777777" w:rsidR="00F61C0C" w:rsidRPr="005B660C" w:rsidRDefault="00F61C0C" w:rsidP="00A10DF6">
      <w:pPr>
        <w:pStyle w:val="Textonotapie"/>
        <w:rPr>
          <w:rFonts w:ascii="ITC Avant Garde" w:hAnsi="ITC Avant Garde"/>
          <w:sz w:val="16"/>
          <w:szCs w:val="16"/>
        </w:rPr>
      </w:pPr>
      <w:r w:rsidRPr="005B660C">
        <w:rPr>
          <w:rStyle w:val="Refdenotaalpie"/>
          <w:rFonts w:ascii="ITC Avant Garde" w:hAnsi="ITC Avant Garde"/>
          <w:sz w:val="16"/>
          <w:szCs w:val="16"/>
        </w:rPr>
        <w:footnoteRef/>
      </w:r>
      <w:r w:rsidRPr="005B660C">
        <w:rPr>
          <w:rFonts w:ascii="ITC Avant Garde" w:hAnsi="ITC Avant Garde"/>
          <w:sz w:val="16"/>
          <w:szCs w:val="16"/>
        </w:rPr>
        <w:t xml:space="preserve"> Los cambios realizados se señalan </w:t>
      </w:r>
      <w:r>
        <w:rPr>
          <w:rFonts w:ascii="ITC Avant Garde" w:hAnsi="ITC Avant Garde"/>
          <w:sz w:val="16"/>
          <w:szCs w:val="16"/>
        </w:rPr>
        <w:t>mediante</w:t>
      </w:r>
      <w:r w:rsidRPr="005B660C">
        <w:rPr>
          <w:rFonts w:ascii="ITC Avant Garde" w:hAnsi="ITC Avant Garde"/>
          <w:sz w:val="16"/>
          <w:szCs w:val="16"/>
        </w:rPr>
        <w:t xml:space="preserve"> el texto subrayado.</w:t>
      </w:r>
    </w:p>
  </w:footnote>
  <w:footnote w:id="4">
    <w:p w14:paraId="467E6F08" w14:textId="77777777" w:rsidR="00F61C0C" w:rsidRPr="005B660C" w:rsidRDefault="00F61C0C" w:rsidP="00A10DF6">
      <w:pPr>
        <w:pStyle w:val="Textonotapie"/>
        <w:rPr>
          <w:rFonts w:ascii="ITC Avant Garde" w:hAnsi="ITC Avant Garde"/>
          <w:sz w:val="16"/>
          <w:szCs w:val="16"/>
        </w:rPr>
      </w:pPr>
      <w:r w:rsidRPr="005B660C">
        <w:rPr>
          <w:rStyle w:val="Refdenotaalpie"/>
          <w:rFonts w:ascii="ITC Avant Garde" w:hAnsi="ITC Avant Garde"/>
          <w:sz w:val="16"/>
          <w:szCs w:val="16"/>
        </w:rPr>
        <w:footnoteRef/>
      </w:r>
      <w:r w:rsidRPr="005B660C">
        <w:rPr>
          <w:rFonts w:ascii="ITC Avant Garde" w:hAnsi="ITC Avant Garde"/>
          <w:sz w:val="16"/>
          <w:szCs w:val="16"/>
        </w:rPr>
        <w:t xml:space="preserve"> Los cambios realizados se señalan </w:t>
      </w:r>
      <w:r>
        <w:rPr>
          <w:rFonts w:ascii="ITC Avant Garde" w:hAnsi="ITC Avant Garde"/>
          <w:sz w:val="16"/>
          <w:szCs w:val="16"/>
        </w:rPr>
        <w:t>mediante</w:t>
      </w:r>
      <w:r w:rsidRPr="005B660C">
        <w:rPr>
          <w:rFonts w:ascii="ITC Avant Garde" w:hAnsi="ITC Avant Garde"/>
          <w:sz w:val="16"/>
          <w:szCs w:val="16"/>
        </w:rPr>
        <w:t xml:space="preserve"> el texto subrayado.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4109"/>
      </v:shape>
    </w:pict>
  </w:numPicBullet>
  <w:abstractNum w:abstractNumId="0" w15:restartNumberingAfterBreak="0">
    <w:nsid w:val="0434676C"/>
    <w:multiLevelType w:val="hybridMultilevel"/>
    <w:tmpl w:val="DF9AAF70"/>
    <w:lvl w:ilvl="0" w:tplc="D5607DA0">
      <w:start w:val="1"/>
      <w:numFmt w:val="upperRoman"/>
      <w:lvlText w:val="%1."/>
      <w:lvlJc w:val="left"/>
      <w:pPr>
        <w:ind w:left="1080" w:hanging="720"/>
      </w:pPr>
      <w:rPr>
        <w:rFonts w:cs="Arial"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64796B"/>
    <w:multiLevelType w:val="hybridMultilevel"/>
    <w:tmpl w:val="62E0AF32"/>
    <w:lvl w:ilvl="0" w:tplc="6E9E4458">
      <w:start w:val="1"/>
      <w:numFmt w:val="bullet"/>
      <w:lvlText w:val="-"/>
      <w:lvlJc w:val="left"/>
      <w:pPr>
        <w:ind w:left="720" w:hanging="360"/>
      </w:pPr>
      <w:rPr>
        <w:rFonts w:ascii="Calibri" w:eastAsiaTheme="minorHAnsi" w:hAnsi="Calibri"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6C7F48"/>
    <w:multiLevelType w:val="hybridMultilevel"/>
    <w:tmpl w:val="6100D51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40288E"/>
    <w:multiLevelType w:val="hybridMultilevel"/>
    <w:tmpl w:val="E848C8E6"/>
    <w:lvl w:ilvl="0" w:tplc="8F3C74CA">
      <w:start w:val="1"/>
      <w:numFmt w:val="bullet"/>
      <w:lvlText w:val="-"/>
      <w:lvlJc w:val="left"/>
      <w:pPr>
        <w:ind w:left="720" w:hanging="360"/>
      </w:pPr>
      <w:rPr>
        <w:rFonts w:ascii="Calibri" w:eastAsiaTheme="minorHAnsi" w:hAnsi="Calibri"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5406067"/>
    <w:multiLevelType w:val="hybridMultilevel"/>
    <w:tmpl w:val="8BE69C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E8A59C5"/>
    <w:multiLevelType w:val="hybridMultilevel"/>
    <w:tmpl w:val="9E58FFBC"/>
    <w:lvl w:ilvl="0" w:tplc="7336580E">
      <w:start w:val="1"/>
      <w:numFmt w:val="lowerRoman"/>
      <w:lvlText w:val="%1."/>
      <w:lvlJc w:val="left"/>
      <w:pPr>
        <w:ind w:left="1080" w:hanging="720"/>
      </w:pPr>
      <w:rPr>
        <w:rFonts w:cs="Arial"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4045E21"/>
    <w:multiLevelType w:val="hybridMultilevel"/>
    <w:tmpl w:val="C47091D4"/>
    <w:lvl w:ilvl="0" w:tplc="61AC7854">
      <w:start w:val="1"/>
      <w:numFmt w:val="ordinalText"/>
      <w:lvlText w:val="%1."/>
      <w:lvlJc w:val="left"/>
      <w:pPr>
        <w:ind w:left="2334" w:hanging="207"/>
      </w:pPr>
      <w:rPr>
        <w:rFonts w:ascii="ITC Avant Garde" w:hAnsi="ITC Avant Garde" w:hint="default"/>
        <w:b/>
        <w:i w:val="0"/>
        <w:caps/>
        <w:sz w:val="22"/>
      </w:rPr>
    </w:lvl>
    <w:lvl w:ilvl="1" w:tplc="080A0019" w:tentative="1">
      <w:start w:val="1"/>
      <w:numFmt w:val="lowerLetter"/>
      <w:lvlText w:val="%2."/>
      <w:lvlJc w:val="left"/>
      <w:pPr>
        <w:ind w:left="2847" w:hanging="360"/>
      </w:pPr>
    </w:lvl>
    <w:lvl w:ilvl="2" w:tplc="080A001B" w:tentative="1">
      <w:start w:val="1"/>
      <w:numFmt w:val="lowerRoman"/>
      <w:lvlText w:val="%3."/>
      <w:lvlJc w:val="right"/>
      <w:pPr>
        <w:ind w:left="3567" w:hanging="180"/>
      </w:pPr>
    </w:lvl>
    <w:lvl w:ilvl="3" w:tplc="080A000F" w:tentative="1">
      <w:start w:val="1"/>
      <w:numFmt w:val="decimal"/>
      <w:lvlText w:val="%4."/>
      <w:lvlJc w:val="left"/>
      <w:pPr>
        <w:ind w:left="4287" w:hanging="360"/>
      </w:pPr>
    </w:lvl>
    <w:lvl w:ilvl="4" w:tplc="080A0019" w:tentative="1">
      <w:start w:val="1"/>
      <w:numFmt w:val="lowerLetter"/>
      <w:lvlText w:val="%5."/>
      <w:lvlJc w:val="left"/>
      <w:pPr>
        <w:ind w:left="5007" w:hanging="360"/>
      </w:pPr>
    </w:lvl>
    <w:lvl w:ilvl="5" w:tplc="080A001B" w:tentative="1">
      <w:start w:val="1"/>
      <w:numFmt w:val="lowerRoman"/>
      <w:lvlText w:val="%6."/>
      <w:lvlJc w:val="right"/>
      <w:pPr>
        <w:ind w:left="5727" w:hanging="180"/>
      </w:pPr>
    </w:lvl>
    <w:lvl w:ilvl="6" w:tplc="080A000F" w:tentative="1">
      <w:start w:val="1"/>
      <w:numFmt w:val="decimal"/>
      <w:lvlText w:val="%7."/>
      <w:lvlJc w:val="left"/>
      <w:pPr>
        <w:ind w:left="6447" w:hanging="360"/>
      </w:pPr>
    </w:lvl>
    <w:lvl w:ilvl="7" w:tplc="080A0019" w:tentative="1">
      <w:start w:val="1"/>
      <w:numFmt w:val="lowerLetter"/>
      <w:lvlText w:val="%8."/>
      <w:lvlJc w:val="left"/>
      <w:pPr>
        <w:ind w:left="7167" w:hanging="360"/>
      </w:pPr>
    </w:lvl>
    <w:lvl w:ilvl="8" w:tplc="080A001B" w:tentative="1">
      <w:start w:val="1"/>
      <w:numFmt w:val="lowerRoman"/>
      <w:lvlText w:val="%9."/>
      <w:lvlJc w:val="right"/>
      <w:pPr>
        <w:ind w:left="7887" w:hanging="180"/>
      </w:pPr>
    </w:lvl>
  </w:abstractNum>
  <w:abstractNum w:abstractNumId="7" w15:restartNumberingAfterBreak="0">
    <w:nsid w:val="292B1AA1"/>
    <w:multiLevelType w:val="hybridMultilevel"/>
    <w:tmpl w:val="51B276C4"/>
    <w:lvl w:ilvl="0" w:tplc="CBC01134">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8" w15:restartNumberingAfterBreak="0">
    <w:nsid w:val="453F3D15"/>
    <w:multiLevelType w:val="hybridMultilevel"/>
    <w:tmpl w:val="37D0972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6B37C7C"/>
    <w:multiLevelType w:val="hybridMultilevel"/>
    <w:tmpl w:val="CD420C56"/>
    <w:lvl w:ilvl="0" w:tplc="42D2CF1A">
      <w:start w:val="1"/>
      <w:numFmt w:val="bullet"/>
      <w:lvlText w:val="-"/>
      <w:lvlJc w:val="left"/>
      <w:pPr>
        <w:ind w:left="720" w:hanging="360"/>
      </w:pPr>
      <w:rPr>
        <w:rFonts w:ascii="Calibri" w:eastAsiaTheme="minorHAnsi" w:hAnsi="Calibri"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D7256CC"/>
    <w:multiLevelType w:val="hybridMultilevel"/>
    <w:tmpl w:val="E9A04A80"/>
    <w:lvl w:ilvl="0" w:tplc="A0F2CE9C">
      <w:start w:val="1"/>
      <w:numFmt w:val="bullet"/>
      <w:lvlText w:val="-"/>
      <w:lvlJc w:val="left"/>
      <w:pPr>
        <w:ind w:left="720" w:hanging="360"/>
      </w:pPr>
      <w:rPr>
        <w:rFonts w:ascii="Calibri" w:eastAsiaTheme="minorHAnsi" w:hAnsi="Calibri"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C3363A0"/>
    <w:multiLevelType w:val="hybridMultilevel"/>
    <w:tmpl w:val="847A9DE8"/>
    <w:lvl w:ilvl="0" w:tplc="63EE07DA">
      <w:start w:val="1"/>
      <w:numFmt w:val="upperRoman"/>
      <w:lvlText w:val="%1."/>
      <w:lvlJc w:val="left"/>
      <w:pPr>
        <w:ind w:left="1080" w:hanging="720"/>
      </w:pPr>
      <w:rPr>
        <w:rFonts w:cs="Arial" w:hint="default"/>
        <w:b/>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1F672CD"/>
    <w:multiLevelType w:val="hybridMultilevel"/>
    <w:tmpl w:val="EC4843DE"/>
    <w:lvl w:ilvl="0" w:tplc="53C2B4AE">
      <w:start w:val="6"/>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750044A"/>
    <w:multiLevelType w:val="hybridMultilevel"/>
    <w:tmpl w:val="50F432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8"/>
  </w:num>
  <w:num w:numId="4">
    <w:abstractNumId w:val="10"/>
  </w:num>
  <w:num w:numId="5">
    <w:abstractNumId w:val="3"/>
  </w:num>
  <w:num w:numId="6">
    <w:abstractNumId w:val="9"/>
  </w:num>
  <w:num w:numId="7">
    <w:abstractNumId w:val="1"/>
  </w:num>
  <w:num w:numId="8">
    <w:abstractNumId w:val="2"/>
  </w:num>
  <w:num w:numId="9">
    <w:abstractNumId w:val="11"/>
  </w:num>
  <w:num w:numId="10">
    <w:abstractNumId w:val="13"/>
  </w:num>
  <w:num w:numId="11">
    <w:abstractNumId w:val="5"/>
  </w:num>
  <w:num w:numId="12">
    <w:abstractNumId w:val="0"/>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DF6"/>
    <w:rsid w:val="00000034"/>
    <w:rsid w:val="0001181D"/>
    <w:rsid w:val="00033263"/>
    <w:rsid w:val="0004116E"/>
    <w:rsid w:val="000560A8"/>
    <w:rsid w:val="00074661"/>
    <w:rsid w:val="000C15B5"/>
    <w:rsid w:val="000E0A36"/>
    <w:rsid w:val="00103A5F"/>
    <w:rsid w:val="00105A43"/>
    <w:rsid w:val="001062CB"/>
    <w:rsid w:val="001129B5"/>
    <w:rsid w:val="001133B9"/>
    <w:rsid w:val="0011651B"/>
    <w:rsid w:val="001176FE"/>
    <w:rsid w:val="001275FE"/>
    <w:rsid w:val="00132656"/>
    <w:rsid w:val="00141E1D"/>
    <w:rsid w:val="00146F2A"/>
    <w:rsid w:val="0016517A"/>
    <w:rsid w:val="00171F17"/>
    <w:rsid w:val="00173AC9"/>
    <w:rsid w:val="00186546"/>
    <w:rsid w:val="001903A5"/>
    <w:rsid w:val="0019499C"/>
    <w:rsid w:val="00194FB1"/>
    <w:rsid w:val="001964D7"/>
    <w:rsid w:val="001A466D"/>
    <w:rsid w:val="001B2BB6"/>
    <w:rsid w:val="001B4C0C"/>
    <w:rsid w:val="001C0F42"/>
    <w:rsid w:val="001D1179"/>
    <w:rsid w:val="001D4ED6"/>
    <w:rsid w:val="00200E67"/>
    <w:rsid w:val="002055C6"/>
    <w:rsid w:val="00206884"/>
    <w:rsid w:val="00211B0F"/>
    <w:rsid w:val="00217BC0"/>
    <w:rsid w:val="00230E07"/>
    <w:rsid w:val="00237A1E"/>
    <w:rsid w:val="00250700"/>
    <w:rsid w:val="0027734A"/>
    <w:rsid w:val="0028264C"/>
    <w:rsid w:val="0028448D"/>
    <w:rsid w:val="002B2AC9"/>
    <w:rsid w:val="002E1A2C"/>
    <w:rsid w:val="002F24F1"/>
    <w:rsid w:val="002F5E6C"/>
    <w:rsid w:val="00335EC3"/>
    <w:rsid w:val="00351990"/>
    <w:rsid w:val="003524E4"/>
    <w:rsid w:val="003553C1"/>
    <w:rsid w:val="00367FE9"/>
    <w:rsid w:val="0037675D"/>
    <w:rsid w:val="003770A3"/>
    <w:rsid w:val="003937E9"/>
    <w:rsid w:val="00394D62"/>
    <w:rsid w:val="00396955"/>
    <w:rsid w:val="003B5595"/>
    <w:rsid w:val="003C33A9"/>
    <w:rsid w:val="003E152A"/>
    <w:rsid w:val="003E1E2B"/>
    <w:rsid w:val="003F61ED"/>
    <w:rsid w:val="00460A75"/>
    <w:rsid w:val="00474E1D"/>
    <w:rsid w:val="0047693D"/>
    <w:rsid w:val="00484559"/>
    <w:rsid w:val="004F3231"/>
    <w:rsid w:val="00505168"/>
    <w:rsid w:val="005432BC"/>
    <w:rsid w:val="00544A41"/>
    <w:rsid w:val="00555C17"/>
    <w:rsid w:val="005718F4"/>
    <w:rsid w:val="005811D3"/>
    <w:rsid w:val="00584CD3"/>
    <w:rsid w:val="00593C68"/>
    <w:rsid w:val="005970E4"/>
    <w:rsid w:val="005B5AC6"/>
    <w:rsid w:val="005B5CF4"/>
    <w:rsid w:val="005E078D"/>
    <w:rsid w:val="006026BB"/>
    <w:rsid w:val="0063615E"/>
    <w:rsid w:val="00661D69"/>
    <w:rsid w:val="006779BA"/>
    <w:rsid w:val="00690719"/>
    <w:rsid w:val="00690903"/>
    <w:rsid w:val="006A0AD6"/>
    <w:rsid w:val="006A6066"/>
    <w:rsid w:val="006B37CC"/>
    <w:rsid w:val="006D093B"/>
    <w:rsid w:val="006D278D"/>
    <w:rsid w:val="006E2F81"/>
    <w:rsid w:val="006E5564"/>
    <w:rsid w:val="007057F9"/>
    <w:rsid w:val="00710698"/>
    <w:rsid w:val="007147EC"/>
    <w:rsid w:val="00735B93"/>
    <w:rsid w:val="00755D59"/>
    <w:rsid w:val="007701FA"/>
    <w:rsid w:val="007941CB"/>
    <w:rsid w:val="007A12C7"/>
    <w:rsid w:val="007D6058"/>
    <w:rsid w:val="007D6163"/>
    <w:rsid w:val="007E2968"/>
    <w:rsid w:val="007E4943"/>
    <w:rsid w:val="007F3F17"/>
    <w:rsid w:val="0080429C"/>
    <w:rsid w:val="00805D55"/>
    <w:rsid w:val="0081197A"/>
    <w:rsid w:val="00841784"/>
    <w:rsid w:val="008436DE"/>
    <w:rsid w:val="00850DA6"/>
    <w:rsid w:val="008524C8"/>
    <w:rsid w:val="00857132"/>
    <w:rsid w:val="00896E3E"/>
    <w:rsid w:val="00896F27"/>
    <w:rsid w:val="008A265F"/>
    <w:rsid w:val="008A41F0"/>
    <w:rsid w:val="008B159F"/>
    <w:rsid w:val="008B246C"/>
    <w:rsid w:val="008C099C"/>
    <w:rsid w:val="008C2388"/>
    <w:rsid w:val="008D1AF7"/>
    <w:rsid w:val="008D6969"/>
    <w:rsid w:val="00913291"/>
    <w:rsid w:val="00930196"/>
    <w:rsid w:val="00931ECB"/>
    <w:rsid w:val="00932733"/>
    <w:rsid w:val="0093438C"/>
    <w:rsid w:val="00934FB8"/>
    <w:rsid w:val="0095483E"/>
    <w:rsid w:val="00955BEE"/>
    <w:rsid w:val="009828F4"/>
    <w:rsid w:val="0098357E"/>
    <w:rsid w:val="00986C42"/>
    <w:rsid w:val="009A41D2"/>
    <w:rsid w:val="009B49B9"/>
    <w:rsid w:val="009B6F8A"/>
    <w:rsid w:val="009C12FA"/>
    <w:rsid w:val="009C33C7"/>
    <w:rsid w:val="009C6D56"/>
    <w:rsid w:val="009F1E21"/>
    <w:rsid w:val="009F3673"/>
    <w:rsid w:val="009F622A"/>
    <w:rsid w:val="00A0752B"/>
    <w:rsid w:val="00A10DF6"/>
    <w:rsid w:val="00A22808"/>
    <w:rsid w:val="00A350A3"/>
    <w:rsid w:val="00A44FDB"/>
    <w:rsid w:val="00A80E9E"/>
    <w:rsid w:val="00AB13BB"/>
    <w:rsid w:val="00AC1284"/>
    <w:rsid w:val="00AF5BC1"/>
    <w:rsid w:val="00B021E9"/>
    <w:rsid w:val="00B227CB"/>
    <w:rsid w:val="00B36797"/>
    <w:rsid w:val="00B37FA4"/>
    <w:rsid w:val="00B4488F"/>
    <w:rsid w:val="00B630D0"/>
    <w:rsid w:val="00B7432E"/>
    <w:rsid w:val="00B80AC3"/>
    <w:rsid w:val="00B97C62"/>
    <w:rsid w:val="00BB1B64"/>
    <w:rsid w:val="00BB1F91"/>
    <w:rsid w:val="00BC5FAA"/>
    <w:rsid w:val="00BE4B61"/>
    <w:rsid w:val="00BF693C"/>
    <w:rsid w:val="00C001CB"/>
    <w:rsid w:val="00C07734"/>
    <w:rsid w:val="00C1648C"/>
    <w:rsid w:val="00C34B90"/>
    <w:rsid w:val="00C36204"/>
    <w:rsid w:val="00C447E6"/>
    <w:rsid w:val="00C44AE6"/>
    <w:rsid w:val="00C760AC"/>
    <w:rsid w:val="00C80137"/>
    <w:rsid w:val="00C83F12"/>
    <w:rsid w:val="00CA3EE7"/>
    <w:rsid w:val="00CA5259"/>
    <w:rsid w:val="00CA565C"/>
    <w:rsid w:val="00CE4A9E"/>
    <w:rsid w:val="00CF2C35"/>
    <w:rsid w:val="00D458FC"/>
    <w:rsid w:val="00D5519A"/>
    <w:rsid w:val="00D565BB"/>
    <w:rsid w:val="00D667C5"/>
    <w:rsid w:val="00D72432"/>
    <w:rsid w:val="00D81F94"/>
    <w:rsid w:val="00DA3801"/>
    <w:rsid w:val="00DA79DF"/>
    <w:rsid w:val="00DF0DFA"/>
    <w:rsid w:val="00E0538C"/>
    <w:rsid w:val="00E11474"/>
    <w:rsid w:val="00E45333"/>
    <w:rsid w:val="00E468FF"/>
    <w:rsid w:val="00E65278"/>
    <w:rsid w:val="00E74B1A"/>
    <w:rsid w:val="00E97A2F"/>
    <w:rsid w:val="00EA4D69"/>
    <w:rsid w:val="00EA7F45"/>
    <w:rsid w:val="00EE1A51"/>
    <w:rsid w:val="00EE6DD0"/>
    <w:rsid w:val="00EF06D5"/>
    <w:rsid w:val="00F36747"/>
    <w:rsid w:val="00F4603B"/>
    <w:rsid w:val="00F61C0C"/>
    <w:rsid w:val="00F71F7A"/>
    <w:rsid w:val="00F9476C"/>
    <w:rsid w:val="00FB3E13"/>
    <w:rsid w:val="00FB4D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9D714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DF6"/>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10DF6"/>
    <w:pPr>
      <w:autoSpaceDE w:val="0"/>
      <w:autoSpaceDN w:val="0"/>
      <w:adjustRightInd w:val="0"/>
      <w:spacing w:after="0" w:line="240" w:lineRule="auto"/>
    </w:pPr>
    <w:rPr>
      <w:rFonts w:ascii="Tahoma" w:eastAsia="Calibri" w:hAnsi="Tahoma" w:cs="Tahoma"/>
      <w:color w:val="000000"/>
      <w:sz w:val="24"/>
      <w:szCs w:val="24"/>
      <w:lang w:eastAsia="es-MX"/>
    </w:rPr>
  </w:style>
  <w:style w:type="paragraph" w:styleId="Prrafodelista">
    <w:name w:val="List Paragraph"/>
    <w:basedOn w:val="Normal"/>
    <w:link w:val="PrrafodelistaCar"/>
    <w:uiPriority w:val="34"/>
    <w:qFormat/>
    <w:rsid w:val="00A10DF6"/>
    <w:pPr>
      <w:spacing w:after="0" w:line="240" w:lineRule="auto"/>
      <w:ind w:left="708"/>
    </w:pPr>
    <w:rPr>
      <w:rFonts w:ascii="Arial" w:eastAsia="Times New Roman" w:hAnsi="Arial"/>
      <w:sz w:val="24"/>
      <w:szCs w:val="20"/>
    </w:rPr>
  </w:style>
  <w:style w:type="character" w:customStyle="1" w:styleId="PrrafodelistaCar">
    <w:name w:val="Párrafo de lista Car"/>
    <w:link w:val="Prrafodelista"/>
    <w:uiPriority w:val="34"/>
    <w:locked/>
    <w:rsid w:val="00A10DF6"/>
    <w:rPr>
      <w:rFonts w:ascii="Arial" w:eastAsia="Times New Roman" w:hAnsi="Arial" w:cs="Times New Roman"/>
      <w:sz w:val="24"/>
      <w:szCs w:val="20"/>
    </w:rPr>
  </w:style>
  <w:style w:type="paragraph" w:styleId="Textonotapie">
    <w:name w:val="footnote text"/>
    <w:aliases w:val="Car Car,fn,footnote text,Footnotes,Footnote ak,Footnote Text Char2,Footnote Text Char1 Char1,Footnote Text Char Char Char,Footnote Text Char1 Char Char Char,Footnote Text Char Char Char Char Char,Footnote Text Char,ft,Footnote reference,C"/>
    <w:basedOn w:val="Normal"/>
    <w:link w:val="TextonotapieCar"/>
    <w:uiPriority w:val="99"/>
    <w:unhideWhenUsed/>
    <w:qFormat/>
    <w:rsid w:val="00A10DF6"/>
    <w:pPr>
      <w:spacing w:after="0" w:line="240" w:lineRule="auto"/>
    </w:pPr>
    <w:rPr>
      <w:sz w:val="20"/>
      <w:szCs w:val="20"/>
    </w:rPr>
  </w:style>
  <w:style w:type="character" w:customStyle="1" w:styleId="TextonotapieCar">
    <w:name w:val="Texto nota pie Car"/>
    <w:aliases w:val="Car Car Car,fn Car,footnote text Car,Footnotes Car,Footnote ak Car,Footnote Text Char2 Car,Footnote Text Char1 Char1 Car,Footnote Text Char Char Char Car,Footnote Text Char1 Char Char Char Car,Footnote Text Char Car,ft Car,C Car"/>
    <w:basedOn w:val="Fuentedeprrafopredeter"/>
    <w:link w:val="Textonotapie"/>
    <w:uiPriority w:val="99"/>
    <w:rsid w:val="00A10DF6"/>
    <w:rPr>
      <w:rFonts w:ascii="Calibri" w:eastAsia="Calibri" w:hAnsi="Calibri" w:cs="Times New Roman"/>
      <w:sz w:val="20"/>
      <w:szCs w:val="20"/>
    </w:rPr>
  </w:style>
  <w:style w:type="character" w:styleId="Refdenotaalpie">
    <w:name w:val="footnote reference"/>
    <w:aliases w:val="Ref,de nota al pie,(NECG) Footnote Reference,o,fr,Style 3,Appel note de bas de p,Style 12,Style 124,Ref. de nota al pie 2,Footnotes refss,Texto de nota al pie,Appel note de bas de page"/>
    <w:basedOn w:val="Fuentedeprrafopredeter"/>
    <w:uiPriority w:val="99"/>
    <w:unhideWhenUsed/>
    <w:qFormat/>
    <w:rsid w:val="00A10DF6"/>
    <w:rPr>
      <w:vertAlign w:val="superscript"/>
    </w:rPr>
  </w:style>
  <w:style w:type="character" w:styleId="Refdecomentario">
    <w:name w:val="annotation reference"/>
    <w:basedOn w:val="Fuentedeprrafopredeter"/>
    <w:uiPriority w:val="99"/>
    <w:semiHidden/>
    <w:unhideWhenUsed/>
    <w:rsid w:val="00A10DF6"/>
    <w:rPr>
      <w:sz w:val="16"/>
      <w:szCs w:val="16"/>
    </w:rPr>
  </w:style>
  <w:style w:type="paragraph" w:styleId="Textocomentario">
    <w:name w:val="annotation text"/>
    <w:basedOn w:val="Normal"/>
    <w:link w:val="TextocomentarioCar"/>
    <w:uiPriority w:val="99"/>
    <w:unhideWhenUsed/>
    <w:rsid w:val="00A10DF6"/>
    <w:pPr>
      <w:spacing w:line="240" w:lineRule="auto"/>
    </w:pPr>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rsid w:val="00A10DF6"/>
    <w:rPr>
      <w:sz w:val="20"/>
      <w:szCs w:val="20"/>
    </w:rPr>
  </w:style>
  <w:style w:type="table" w:styleId="Tablaconcuadrcula">
    <w:name w:val="Table Grid"/>
    <w:basedOn w:val="Tablanormal"/>
    <w:uiPriority w:val="39"/>
    <w:rsid w:val="00A10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nfasis6">
    <w:name w:val="Grid Table 4 Accent 6"/>
    <w:basedOn w:val="Tablanormal"/>
    <w:uiPriority w:val="49"/>
    <w:rsid w:val="00A10DF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ROMANOS">
    <w:name w:val="ROMANOS"/>
    <w:basedOn w:val="Normal"/>
    <w:link w:val="ROMANOSCar"/>
    <w:rsid w:val="00A10DF6"/>
    <w:pPr>
      <w:tabs>
        <w:tab w:val="left" w:pos="720"/>
      </w:tabs>
      <w:spacing w:after="101" w:line="216" w:lineRule="exact"/>
      <w:ind w:left="720" w:hanging="432"/>
      <w:jc w:val="both"/>
    </w:pPr>
    <w:rPr>
      <w:rFonts w:ascii="Arial" w:eastAsia="Times New Roman" w:hAnsi="Arial" w:cs="Arial"/>
      <w:sz w:val="18"/>
      <w:szCs w:val="18"/>
      <w:lang w:val="es-ES_tradnl" w:eastAsia="es-ES"/>
    </w:rPr>
  </w:style>
  <w:style w:type="character" w:customStyle="1" w:styleId="ROMANOSCar">
    <w:name w:val="ROMANOS Car"/>
    <w:link w:val="ROMANOS"/>
    <w:locked/>
    <w:rsid w:val="00A10DF6"/>
    <w:rPr>
      <w:rFonts w:ascii="Arial" w:eastAsia="Times New Roman" w:hAnsi="Arial" w:cs="Arial"/>
      <w:sz w:val="18"/>
      <w:szCs w:val="18"/>
      <w:lang w:val="es-ES_tradnl" w:eastAsia="es-ES"/>
    </w:rPr>
  </w:style>
  <w:style w:type="paragraph" w:styleId="Textoindependiente">
    <w:name w:val="Body Text"/>
    <w:basedOn w:val="Normal"/>
    <w:link w:val="TextoindependienteCar"/>
    <w:uiPriority w:val="99"/>
    <w:unhideWhenUsed/>
    <w:rsid w:val="00A10DF6"/>
    <w:pPr>
      <w:spacing w:after="120" w:line="259" w:lineRule="auto"/>
    </w:pPr>
    <w:rPr>
      <w:rFonts w:asciiTheme="minorHAnsi" w:eastAsiaTheme="minorHAnsi" w:hAnsiTheme="minorHAnsi" w:cstheme="minorBidi"/>
    </w:rPr>
  </w:style>
  <w:style w:type="character" w:customStyle="1" w:styleId="TextoindependienteCar">
    <w:name w:val="Texto independiente Car"/>
    <w:basedOn w:val="Fuentedeprrafopredeter"/>
    <w:link w:val="Textoindependiente"/>
    <w:uiPriority w:val="99"/>
    <w:rsid w:val="00A10DF6"/>
  </w:style>
  <w:style w:type="paragraph" w:styleId="Textodeglobo">
    <w:name w:val="Balloon Text"/>
    <w:basedOn w:val="Normal"/>
    <w:link w:val="TextodegloboCar"/>
    <w:uiPriority w:val="99"/>
    <w:semiHidden/>
    <w:unhideWhenUsed/>
    <w:rsid w:val="00A10DF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10DF6"/>
    <w:rPr>
      <w:rFonts w:ascii="Segoe UI" w:eastAsia="Calibr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11651B"/>
    <w:rPr>
      <w:rFonts w:ascii="Calibri" w:eastAsia="Calibri" w:hAnsi="Calibri" w:cs="Times New Roman"/>
      <w:b/>
      <w:bCs/>
    </w:rPr>
  </w:style>
  <w:style w:type="character" w:customStyle="1" w:styleId="AsuntodelcomentarioCar">
    <w:name w:val="Asunto del comentario Car"/>
    <w:basedOn w:val="TextocomentarioCar"/>
    <w:link w:val="Asuntodelcomentario"/>
    <w:uiPriority w:val="99"/>
    <w:semiHidden/>
    <w:rsid w:val="0011651B"/>
    <w:rPr>
      <w:rFonts w:ascii="Calibri" w:eastAsia="Calibri" w:hAnsi="Calibri" w:cs="Times New Roman"/>
      <w:b/>
      <w:bCs/>
      <w:sz w:val="20"/>
      <w:szCs w:val="20"/>
    </w:rPr>
  </w:style>
  <w:style w:type="paragraph" w:styleId="Encabezado">
    <w:name w:val="header"/>
    <w:basedOn w:val="Normal"/>
    <w:link w:val="EncabezadoCar"/>
    <w:uiPriority w:val="99"/>
    <w:unhideWhenUsed/>
    <w:rsid w:val="0000003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0034"/>
    <w:rPr>
      <w:rFonts w:ascii="Calibri" w:eastAsia="Calibri" w:hAnsi="Calibri" w:cs="Times New Roman"/>
    </w:rPr>
  </w:style>
  <w:style w:type="paragraph" w:styleId="Piedepgina">
    <w:name w:val="footer"/>
    <w:basedOn w:val="Normal"/>
    <w:link w:val="PiedepginaCar"/>
    <w:uiPriority w:val="99"/>
    <w:unhideWhenUsed/>
    <w:rsid w:val="0000003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0034"/>
    <w:rPr>
      <w:rFonts w:ascii="Calibri" w:eastAsia="Calibri" w:hAnsi="Calibri" w:cs="Times New Roman"/>
    </w:rPr>
  </w:style>
  <w:style w:type="paragraph" w:styleId="Revisin">
    <w:name w:val="Revision"/>
    <w:hidden/>
    <w:uiPriority w:val="99"/>
    <w:semiHidden/>
    <w:rsid w:val="007A12C7"/>
    <w:pPr>
      <w:spacing w:after="0" w:line="240" w:lineRule="auto"/>
    </w:pPr>
    <w:rPr>
      <w:rFonts w:ascii="Calibri" w:eastAsia="Calibri" w:hAnsi="Calibri" w:cs="Times New Roman"/>
    </w:rPr>
  </w:style>
  <w:style w:type="character" w:customStyle="1" w:styleId="IFTnormalCar">
    <w:name w:val="IFT normal Car"/>
    <w:basedOn w:val="Fuentedeprrafopredeter"/>
    <w:link w:val="IFTnormal"/>
    <w:locked/>
    <w:rsid w:val="00DA3801"/>
    <w:rPr>
      <w:rFonts w:ascii="ITC Avant Garde" w:hAnsi="ITC Avant Garde"/>
    </w:rPr>
  </w:style>
  <w:style w:type="paragraph" w:customStyle="1" w:styleId="IFTnormal">
    <w:name w:val="IFT normal"/>
    <w:basedOn w:val="Normal"/>
    <w:link w:val="IFTnormalCar"/>
    <w:rsid w:val="00DA3801"/>
    <w:pPr>
      <w:jc w:val="both"/>
    </w:pPr>
    <w:rPr>
      <w:rFonts w:ascii="ITC Avant Garde" w:eastAsiaTheme="minorHAnsi" w:hAnsi="ITC Avant Garde"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3229555">
      <w:bodyDiv w:val="1"/>
      <w:marLeft w:val="0"/>
      <w:marRight w:val="0"/>
      <w:marTop w:val="0"/>
      <w:marBottom w:val="0"/>
      <w:divBdr>
        <w:top w:val="none" w:sz="0" w:space="0" w:color="auto"/>
        <w:left w:val="none" w:sz="0" w:space="0" w:color="auto"/>
        <w:bottom w:val="none" w:sz="0" w:space="0" w:color="auto"/>
        <w:right w:val="none" w:sz="0" w:space="0" w:color="auto"/>
      </w:divBdr>
    </w:div>
    <w:div w:id="199301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E9110-E20A-4755-8DCE-D50B1B775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2462</Words>
  <Characters>13544</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2016-11-08T16:31:00Z</cp:lastPrinted>
  <dcterms:created xsi:type="dcterms:W3CDTF">2016-11-30T04:43:00Z</dcterms:created>
  <dcterms:modified xsi:type="dcterms:W3CDTF">2016-12-01T19:01:00Z</dcterms:modified>
</cp:coreProperties>
</file>