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00A2" w14:textId="365BBA3B" w:rsidR="003D62E2" w:rsidRPr="0029719C" w:rsidRDefault="001B340A" w:rsidP="0029719C">
      <w:pPr>
        <w:jc w:val="both"/>
        <w:rPr>
          <w:rFonts w:ascii="Century Gothic" w:hAnsi="Century Gothic"/>
          <w:b/>
          <w:bCs/>
          <w:color w:val="000000"/>
          <w:sz w:val="20"/>
          <w:szCs w:val="18"/>
          <w:u w:val="single"/>
          <w:lang w:eastAsia="es-MX"/>
        </w:rPr>
      </w:pPr>
      <w:r w:rsidRPr="00790083">
        <w:rPr>
          <w:rFonts w:ascii="Century Gothic" w:hAnsi="Century Gothic"/>
          <w:b/>
          <w:bCs/>
          <w:color w:val="000000"/>
          <w:sz w:val="20"/>
          <w:szCs w:val="18"/>
          <w:u w:val="single"/>
          <w:lang w:eastAsia="es-MX"/>
        </w:rPr>
        <w:t>Objetivo</w:t>
      </w:r>
    </w:p>
    <w:p w14:paraId="4DA26145" w14:textId="05A064C5" w:rsidR="001B340A" w:rsidRPr="001B340A" w:rsidRDefault="00136381" w:rsidP="001B340A">
      <w:pPr>
        <w:spacing w:after="0" w:line="240" w:lineRule="auto"/>
        <w:jc w:val="both"/>
        <w:rPr>
          <w:rFonts w:ascii="Century Gothic" w:hAnsi="Century Gothic"/>
          <w:bCs/>
          <w:color w:val="000000"/>
          <w:sz w:val="18"/>
          <w:szCs w:val="18"/>
          <w:lang w:eastAsia="es-MX"/>
        </w:rPr>
      </w:pPr>
      <w:r>
        <w:rPr>
          <w:rFonts w:ascii="Century Gothic" w:hAnsi="Century Gothic"/>
          <w:bCs/>
          <w:color w:val="000000"/>
          <w:sz w:val="18"/>
          <w:szCs w:val="18"/>
          <w:lang w:eastAsia="es-MX"/>
        </w:rPr>
        <w:t>La Unidad de Espectro Radioeléctrico del</w:t>
      </w:r>
      <w:r w:rsidR="001B340A" w:rsidRPr="001B340A">
        <w:rPr>
          <w:rFonts w:ascii="Century Gothic" w:hAnsi="Century Gothic"/>
          <w:bCs/>
          <w:color w:val="000000"/>
          <w:sz w:val="18"/>
          <w:szCs w:val="18"/>
          <w:lang w:eastAsia="es-MX"/>
        </w:rPr>
        <w:t xml:space="preserve"> Instituto Federal de Telecomunicaciones </w:t>
      </w:r>
      <w:r w:rsidR="00FA7513">
        <w:rPr>
          <w:rFonts w:ascii="Century Gothic" w:hAnsi="Century Gothic"/>
          <w:bCs/>
          <w:color w:val="000000"/>
          <w:sz w:val="18"/>
          <w:szCs w:val="18"/>
          <w:lang w:eastAsia="es-MX"/>
        </w:rPr>
        <w:t xml:space="preserve"> </w:t>
      </w:r>
      <w:r w:rsidR="00FA7513" w:rsidRPr="009043E9">
        <w:rPr>
          <w:rFonts w:ascii="Century Gothic" w:hAnsi="Century Gothic"/>
          <w:bCs/>
          <w:color w:val="000000"/>
          <w:sz w:val="18"/>
          <w:szCs w:val="18"/>
          <w:lang w:eastAsia="es-MX"/>
        </w:rPr>
        <w:t xml:space="preserve">(en lo sucesivo, el “Instituto”) </w:t>
      </w:r>
      <w:r w:rsidR="001B340A" w:rsidRPr="001B340A">
        <w:rPr>
          <w:rFonts w:ascii="Century Gothic" w:hAnsi="Century Gothic"/>
          <w:bCs/>
          <w:color w:val="000000"/>
          <w:sz w:val="18"/>
          <w:szCs w:val="18"/>
          <w:lang w:eastAsia="es-MX"/>
        </w:rPr>
        <w:t xml:space="preserve">somete a </w:t>
      </w:r>
      <w:r w:rsidR="00543945">
        <w:rPr>
          <w:rFonts w:ascii="Century Gothic" w:hAnsi="Century Gothic"/>
          <w:bCs/>
          <w:color w:val="000000"/>
          <w:sz w:val="18"/>
          <w:szCs w:val="18"/>
          <w:lang w:eastAsia="es-MX"/>
        </w:rPr>
        <w:t>opinión pública</w:t>
      </w:r>
      <w:r w:rsidR="00B77007">
        <w:rPr>
          <w:rFonts w:ascii="Century Gothic" w:hAnsi="Century Gothic"/>
          <w:bCs/>
          <w:color w:val="000000"/>
          <w:sz w:val="18"/>
          <w:szCs w:val="18"/>
          <w:lang w:eastAsia="es-MX"/>
        </w:rPr>
        <w:t>,</w:t>
      </w:r>
      <w:r w:rsidR="001B340A" w:rsidRPr="001B340A">
        <w:rPr>
          <w:rFonts w:ascii="Century Gothic" w:hAnsi="Century Gothic"/>
          <w:bCs/>
          <w:color w:val="000000"/>
          <w:sz w:val="18"/>
          <w:szCs w:val="18"/>
          <w:lang w:eastAsia="es-MX"/>
        </w:rPr>
        <w:t xml:space="preserve"> en general una serie de preguntas relacionadas con la banda de frecuencias 440 – 450 MHz del espectro radioeléctrico, con el fin de recabar información, conocimiento, opiniones, alternativas y opciones que permitan </w:t>
      </w:r>
      <w:r w:rsidR="006E7851">
        <w:rPr>
          <w:rFonts w:ascii="Century Gothic" w:hAnsi="Century Gothic"/>
          <w:bCs/>
          <w:color w:val="000000"/>
          <w:sz w:val="18"/>
          <w:szCs w:val="18"/>
          <w:lang w:eastAsia="es-MX"/>
        </w:rPr>
        <w:t>el desarrollo, fortalecimiento</w:t>
      </w:r>
      <w:r w:rsidR="00543945">
        <w:rPr>
          <w:rFonts w:ascii="Century Gothic" w:hAnsi="Century Gothic"/>
          <w:bCs/>
          <w:color w:val="000000"/>
          <w:sz w:val="18"/>
          <w:szCs w:val="18"/>
          <w:lang w:eastAsia="es-MX"/>
        </w:rPr>
        <w:t xml:space="preserve"> </w:t>
      </w:r>
      <w:r w:rsidR="006E7851">
        <w:rPr>
          <w:rFonts w:ascii="Century Gothic" w:hAnsi="Century Gothic"/>
          <w:bCs/>
          <w:color w:val="000000"/>
          <w:sz w:val="18"/>
          <w:szCs w:val="18"/>
          <w:lang w:eastAsia="es-MX"/>
        </w:rPr>
        <w:t xml:space="preserve">y planeación de las bases para </w:t>
      </w:r>
      <w:r w:rsidR="00543945">
        <w:rPr>
          <w:rFonts w:ascii="Century Gothic" w:hAnsi="Century Gothic"/>
          <w:bCs/>
          <w:color w:val="000000"/>
          <w:sz w:val="18"/>
          <w:szCs w:val="18"/>
          <w:lang w:eastAsia="es-MX"/>
        </w:rPr>
        <w:t>el</w:t>
      </w:r>
      <w:r w:rsidR="001B340A" w:rsidRPr="001B340A">
        <w:rPr>
          <w:rFonts w:ascii="Century Gothic" w:hAnsi="Century Gothic"/>
          <w:bCs/>
          <w:color w:val="000000"/>
          <w:sz w:val="18"/>
          <w:szCs w:val="18"/>
          <w:lang w:eastAsia="es-MX"/>
        </w:rPr>
        <w:t xml:space="preserve"> proceso de licitación correspondiente, así como</w:t>
      </w:r>
      <w:r w:rsidR="00543945">
        <w:rPr>
          <w:rFonts w:ascii="Century Gothic" w:hAnsi="Century Gothic"/>
          <w:bCs/>
          <w:color w:val="000000"/>
          <w:sz w:val="18"/>
          <w:szCs w:val="18"/>
          <w:lang w:eastAsia="es-MX"/>
        </w:rPr>
        <w:t xml:space="preserve"> su mecanismo de asignación</w:t>
      </w:r>
      <w:r w:rsidR="001C0D4C">
        <w:rPr>
          <w:rFonts w:ascii="Century Gothic" w:hAnsi="Century Gothic"/>
          <w:bCs/>
          <w:color w:val="000000"/>
          <w:sz w:val="18"/>
          <w:szCs w:val="18"/>
          <w:lang w:eastAsia="es-MX"/>
        </w:rPr>
        <w:t xml:space="preserve">, </w:t>
      </w:r>
      <w:r w:rsidR="001C0D4C" w:rsidRPr="001C0D4C">
        <w:rPr>
          <w:rFonts w:ascii="Century Gothic" w:hAnsi="Century Gothic"/>
          <w:bCs/>
          <w:color w:val="000000"/>
          <w:sz w:val="18"/>
          <w:szCs w:val="18"/>
          <w:lang w:eastAsia="es-MX"/>
        </w:rPr>
        <w:t>previo a su aprobación por el Pleno del Instituto.</w:t>
      </w:r>
    </w:p>
    <w:p w14:paraId="697A606B" w14:textId="77777777" w:rsidR="001B340A" w:rsidRPr="001B340A" w:rsidRDefault="001B340A" w:rsidP="001B340A">
      <w:pPr>
        <w:spacing w:after="0" w:line="240" w:lineRule="auto"/>
        <w:jc w:val="both"/>
        <w:rPr>
          <w:rFonts w:ascii="Century Gothic" w:hAnsi="Century Gothic"/>
          <w:bCs/>
          <w:color w:val="000000"/>
          <w:sz w:val="18"/>
          <w:szCs w:val="18"/>
          <w:lang w:eastAsia="es-MX"/>
        </w:rPr>
      </w:pPr>
    </w:p>
    <w:p w14:paraId="16D1C63C" w14:textId="2C629580" w:rsidR="001B340A" w:rsidRPr="001B340A" w:rsidRDefault="001B340A" w:rsidP="001B340A">
      <w:pPr>
        <w:spacing w:after="0" w:line="240" w:lineRule="auto"/>
        <w:jc w:val="both"/>
        <w:rPr>
          <w:rFonts w:ascii="Century Gothic" w:hAnsi="Century Gothic"/>
          <w:bCs/>
          <w:color w:val="000000"/>
          <w:sz w:val="18"/>
          <w:szCs w:val="18"/>
          <w:lang w:eastAsia="es-MX"/>
        </w:rPr>
      </w:pPr>
      <w:r w:rsidRPr="001B340A">
        <w:rPr>
          <w:rFonts w:ascii="Century Gothic" w:hAnsi="Century Gothic"/>
          <w:bCs/>
          <w:color w:val="000000"/>
          <w:sz w:val="18"/>
          <w:szCs w:val="18"/>
          <w:lang w:eastAsia="es-MX"/>
        </w:rPr>
        <w:t>Conforme a lo anterior, las preguntas contienen previsiones y asuntos que el Instituto se encuentra evaluando, para lo cual será muy importante contar con las opiniones y propuestas específicas y sustentadas de todos los interesados en el proceso de planeación</w:t>
      </w:r>
      <w:r w:rsidR="00BB5522">
        <w:rPr>
          <w:rFonts w:ascii="Century Gothic" w:hAnsi="Century Gothic"/>
          <w:bCs/>
          <w:color w:val="000000"/>
          <w:sz w:val="18"/>
          <w:szCs w:val="18"/>
          <w:lang w:eastAsia="es-MX"/>
        </w:rPr>
        <w:t xml:space="preserve"> de la licitación</w:t>
      </w:r>
      <w:r w:rsidRPr="001B340A">
        <w:rPr>
          <w:rFonts w:ascii="Century Gothic" w:hAnsi="Century Gothic"/>
          <w:bCs/>
          <w:color w:val="000000"/>
          <w:sz w:val="18"/>
          <w:szCs w:val="18"/>
          <w:lang w:eastAsia="es-MX"/>
        </w:rPr>
        <w:t xml:space="preserve"> de esta banda</w:t>
      </w:r>
      <w:r w:rsidR="00BB5522">
        <w:rPr>
          <w:rFonts w:ascii="Century Gothic" w:hAnsi="Century Gothic"/>
          <w:bCs/>
          <w:color w:val="000000"/>
          <w:sz w:val="18"/>
          <w:szCs w:val="18"/>
          <w:lang w:eastAsia="es-MX"/>
        </w:rPr>
        <w:t xml:space="preserve"> de frecuencias</w:t>
      </w:r>
      <w:r w:rsidRPr="001B340A">
        <w:rPr>
          <w:rFonts w:ascii="Century Gothic" w:hAnsi="Century Gothic"/>
          <w:bCs/>
          <w:color w:val="000000"/>
          <w:sz w:val="18"/>
          <w:szCs w:val="18"/>
          <w:lang w:eastAsia="es-MX"/>
        </w:rPr>
        <w:t xml:space="preserve">, como lo son usuarios, fabricantes de equipo, interesados potenciales en su </w:t>
      </w:r>
      <w:proofErr w:type="spellStart"/>
      <w:r w:rsidRPr="001B340A">
        <w:rPr>
          <w:rFonts w:ascii="Century Gothic" w:hAnsi="Century Gothic"/>
          <w:bCs/>
          <w:color w:val="000000"/>
          <w:sz w:val="18"/>
          <w:szCs w:val="18"/>
          <w:lang w:eastAsia="es-MX"/>
        </w:rPr>
        <w:t>concesionamiento</w:t>
      </w:r>
      <w:proofErr w:type="spellEnd"/>
      <w:r w:rsidRPr="001B340A">
        <w:rPr>
          <w:rFonts w:ascii="Century Gothic" w:hAnsi="Century Gothic"/>
          <w:bCs/>
          <w:color w:val="000000"/>
          <w:sz w:val="18"/>
          <w:szCs w:val="18"/>
          <w:lang w:eastAsia="es-MX"/>
        </w:rPr>
        <w:t>, investigadores, así como cualquier otra persona interesada.</w:t>
      </w:r>
    </w:p>
    <w:p w14:paraId="08AEABB7" w14:textId="77777777" w:rsidR="001B340A" w:rsidRPr="001B340A" w:rsidRDefault="001B340A" w:rsidP="001B340A">
      <w:pPr>
        <w:spacing w:after="0" w:line="240" w:lineRule="auto"/>
        <w:jc w:val="both"/>
        <w:rPr>
          <w:rFonts w:ascii="Century Gothic" w:hAnsi="Century Gothic"/>
          <w:bCs/>
          <w:color w:val="000000"/>
          <w:sz w:val="18"/>
          <w:szCs w:val="18"/>
          <w:lang w:eastAsia="es-MX"/>
        </w:rPr>
      </w:pPr>
    </w:p>
    <w:p w14:paraId="60DF883C" w14:textId="780447C4" w:rsidR="003D62E2" w:rsidRPr="003D62E2" w:rsidRDefault="001B340A" w:rsidP="001B340A">
      <w:pPr>
        <w:jc w:val="both"/>
        <w:rPr>
          <w:rFonts w:ascii="Century Gothic" w:hAnsi="Century Gothic"/>
          <w:bCs/>
          <w:color w:val="000000"/>
          <w:sz w:val="18"/>
          <w:szCs w:val="18"/>
          <w:lang w:eastAsia="es-MX"/>
        </w:rPr>
      </w:pPr>
      <w:r w:rsidRPr="001B340A">
        <w:rPr>
          <w:rFonts w:ascii="Century Gothic" w:hAnsi="Century Gothic"/>
          <w:bCs/>
          <w:color w:val="000000"/>
          <w:sz w:val="18"/>
          <w:szCs w:val="18"/>
          <w:lang w:eastAsia="es-MX"/>
        </w:rPr>
        <w:t xml:space="preserve">En este sentido, la licitación de </w:t>
      </w:r>
      <w:r w:rsidR="00B357F1">
        <w:rPr>
          <w:rFonts w:ascii="Century Gothic" w:hAnsi="Century Gothic"/>
          <w:bCs/>
          <w:color w:val="000000"/>
          <w:sz w:val="18"/>
          <w:szCs w:val="18"/>
          <w:lang w:eastAsia="es-MX"/>
        </w:rPr>
        <w:t xml:space="preserve">los 10 MHz </w:t>
      </w:r>
      <w:r w:rsidR="006E7851">
        <w:rPr>
          <w:rFonts w:ascii="Century Gothic" w:hAnsi="Century Gothic"/>
          <w:bCs/>
          <w:color w:val="000000"/>
          <w:sz w:val="18"/>
          <w:szCs w:val="18"/>
          <w:lang w:eastAsia="es-MX"/>
        </w:rPr>
        <w:t xml:space="preserve">disponibles </w:t>
      </w:r>
      <w:r w:rsidR="00B357F1">
        <w:rPr>
          <w:rFonts w:ascii="Century Gothic" w:hAnsi="Century Gothic"/>
          <w:bCs/>
          <w:color w:val="000000"/>
          <w:sz w:val="18"/>
          <w:szCs w:val="18"/>
          <w:lang w:eastAsia="es-MX"/>
        </w:rPr>
        <w:t xml:space="preserve">en </w:t>
      </w:r>
      <w:r w:rsidRPr="001B340A">
        <w:rPr>
          <w:rFonts w:ascii="Century Gothic" w:hAnsi="Century Gothic"/>
          <w:bCs/>
          <w:color w:val="000000"/>
          <w:sz w:val="18"/>
          <w:szCs w:val="18"/>
          <w:lang w:eastAsia="es-MX"/>
        </w:rPr>
        <w:t xml:space="preserve">la banda </w:t>
      </w:r>
      <w:r w:rsidR="00B357F1">
        <w:rPr>
          <w:rFonts w:ascii="Century Gothic" w:hAnsi="Century Gothic"/>
          <w:bCs/>
          <w:color w:val="000000"/>
          <w:sz w:val="18"/>
          <w:szCs w:val="18"/>
          <w:lang w:eastAsia="es-MX"/>
        </w:rPr>
        <w:t xml:space="preserve">de frecuencias </w:t>
      </w:r>
      <w:r w:rsidRPr="001B340A">
        <w:rPr>
          <w:rFonts w:ascii="Century Gothic" w:hAnsi="Century Gothic"/>
          <w:bCs/>
          <w:color w:val="000000"/>
          <w:sz w:val="18"/>
          <w:szCs w:val="18"/>
          <w:lang w:eastAsia="es-MX"/>
        </w:rPr>
        <w:t xml:space="preserve">440-450 MHz prevé poner a disposición del mercado las frecuencias del espectro radioeléctrico para los servicios de provisión de capacidad para sistemas de radiocomunicación privada que aporten el mayor beneficio a la sociedad en su conjunto, sujeto a las disposiciones legales y características técnicas, así como para optimizar, desde el punto de vista de la gestión y administración del espectro, el uso </w:t>
      </w:r>
      <w:r w:rsidR="006766DF">
        <w:rPr>
          <w:rFonts w:ascii="Century Gothic" w:hAnsi="Century Gothic"/>
          <w:bCs/>
          <w:color w:val="000000"/>
          <w:sz w:val="18"/>
          <w:szCs w:val="18"/>
          <w:lang w:eastAsia="es-MX"/>
        </w:rPr>
        <w:t>actual de la banda 406-512 MHz.</w:t>
      </w:r>
    </w:p>
    <w:p w14:paraId="4E84154D" w14:textId="7602D2C5" w:rsidR="003D62E2" w:rsidRPr="00637439" w:rsidRDefault="001B340A" w:rsidP="00637439">
      <w:pPr>
        <w:jc w:val="both"/>
        <w:rPr>
          <w:rFonts w:ascii="Century Gothic" w:hAnsi="Century Gothic"/>
          <w:b/>
          <w:bCs/>
          <w:color w:val="000000"/>
          <w:sz w:val="20"/>
          <w:szCs w:val="18"/>
          <w:u w:val="single"/>
          <w:lang w:eastAsia="es-MX"/>
        </w:rPr>
      </w:pPr>
      <w:r w:rsidRPr="00790083">
        <w:rPr>
          <w:rFonts w:ascii="Century Gothic" w:hAnsi="Century Gothic"/>
          <w:b/>
          <w:bCs/>
          <w:color w:val="000000"/>
          <w:sz w:val="20"/>
          <w:szCs w:val="18"/>
          <w:u w:val="single"/>
          <w:lang w:eastAsia="es-MX"/>
        </w:rPr>
        <w:t>Antecedentes</w:t>
      </w:r>
    </w:p>
    <w:p w14:paraId="203309A1" w14:textId="77777777"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De acuerdo con los registros en el Sistema Integral de Administración del Espectro Radioeléctrico (SIAER) que administra el Instituto, se identifica la existencia de 300 registros de sistemas que operan en la banda 440-450 MHz. En este mismo sentido, en el rango de 406.1-512 MHz, se identifican 22,562 registros de usuarios de telecomunicaciones.</w:t>
      </w:r>
    </w:p>
    <w:p w14:paraId="61052819" w14:textId="77777777" w:rsidR="001B340A" w:rsidRPr="001B340A" w:rsidRDefault="001B340A" w:rsidP="001B340A">
      <w:pPr>
        <w:spacing w:after="0" w:line="240" w:lineRule="auto"/>
        <w:jc w:val="both"/>
        <w:rPr>
          <w:rFonts w:ascii="Century Gothic" w:hAnsi="Century Gothic"/>
          <w:sz w:val="18"/>
          <w:szCs w:val="18"/>
        </w:rPr>
      </w:pPr>
    </w:p>
    <w:p w14:paraId="1DE03348" w14:textId="77777777"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A continuación, se presenta un panorama general de la ocupación registrada en el SIAER para los diversos segmentos de frecuencias en los que operan diversos sistemas de radiocomunicación privada, </w:t>
      </w:r>
      <w:proofErr w:type="spellStart"/>
      <w:r w:rsidRPr="001B340A">
        <w:rPr>
          <w:rFonts w:ascii="Century Gothic" w:hAnsi="Century Gothic"/>
          <w:sz w:val="18"/>
          <w:szCs w:val="18"/>
        </w:rPr>
        <w:t>troncalizada</w:t>
      </w:r>
      <w:proofErr w:type="spellEnd"/>
      <w:r w:rsidRPr="001B340A">
        <w:rPr>
          <w:rFonts w:ascii="Century Gothic" w:hAnsi="Century Gothic"/>
          <w:sz w:val="18"/>
          <w:szCs w:val="18"/>
        </w:rPr>
        <w:t>, e incluso, servicios fijos.</w:t>
      </w:r>
    </w:p>
    <w:p w14:paraId="3D1C0FB9" w14:textId="77777777" w:rsidR="001B340A" w:rsidRPr="001B340A" w:rsidRDefault="001B340A" w:rsidP="001B340A">
      <w:pPr>
        <w:spacing w:after="0" w:line="240" w:lineRule="auto"/>
        <w:jc w:val="both"/>
        <w:rPr>
          <w:rFonts w:ascii="Century Gothic" w:hAnsi="Century Gothic"/>
          <w:sz w:val="18"/>
          <w:szCs w:val="18"/>
        </w:rPr>
      </w:pPr>
    </w:p>
    <w:p w14:paraId="1B15BE0D" w14:textId="075CCE41" w:rsidR="00950CD1" w:rsidRPr="006766DF" w:rsidRDefault="001B340A" w:rsidP="006766DF">
      <w:pPr>
        <w:pStyle w:val="Prrafodelista"/>
        <w:numPr>
          <w:ilvl w:val="0"/>
          <w:numId w:val="3"/>
        </w:numPr>
        <w:ind w:left="450" w:hanging="450"/>
        <w:jc w:val="both"/>
        <w:rPr>
          <w:rFonts w:ascii="Century Gothic" w:hAnsi="Century Gothic"/>
          <w:sz w:val="18"/>
          <w:szCs w:val="18"/>
        </w:rPr>
      </w:pPr>
      <w:r w:rsidRPr="001B340A">
        <w:rPr>
          <w:rFonts w:ascii="Century Gothic" w:hAnsi="Century Gothic"/>
          <w:b/>
          <w:sz w:val="18"/>
          <w:szCs w:val="18"/>
        </w:rPr>
        <w:t>Ocupación de</w:t>
      </w:r>
      <w:r w:rsidR="0007189A">
        <w:rPr>
          <w:rFonts w:ascii="Century Gothic" w:hAnsi="Century Gothic"/>
          <w:b/>
          <w:sz w:val="18"/>
          <w:szCs w:val="18"/>
        </w:rPr>
        <w:t xml:space="preserve">l espectro en el rango </w:t>
      </w:r>
      <w:r w:rsidRPr="001B340A">
        <w:rPr>
          <w:rFonts w:ascii="Century Gothic" w:hAnsi="Century Gothic"/>
          <w:b/>
          <w:sz w:val="18"/>
          <w:szCs w:val="18"/>
        </w:rPr>
        <w:t xml:space="preserve">de 406.1 a 512 MHz: </w:t>
      </w:r>
      <w:r w:rsidRPr="001B340A">
        <w:rPr>
          <w:rFonts w:ascii="Century Gothic" w:hAnsi="Century Gothic"/>
          <w:sz w:val="18"/>
          <w:szCs w:val="18"/>
        </w:rPr>
        <w:t>considerando la ocupación de</w:t>
      </w:r>
      <w:r w:rsidR="00BB5522">
        <w:rPr>
          <w:rFonts w:ascii="Century Gothic" w:hAnsi="Century Gothic"/>
          <w:sz w:val="18"/>
          <w:szCs w:val="18"/>
        </w:rPr>
        <w:t xml:space="preserve">l espectro </w:t>
      </w:r>
      <w:r w:rsidRPr="001B340A">
        <w:rPr>
          <w:rFonts w:ascii="Century Gothic" w:hAnsi="Century Gothic"/>
          <w:sz w:val="18"/>
          <w:szCs w:val="18"/>
        </w:rPr>
        <w:t xml:space="preserve"> a nivel nacional, </w:t>
      </w:r>
      <w:r w:rsidR="00BB5522">
        <w:rPr>
          <w:rFonts w:ascii="Century Gothic" w:hAnsi="Century Gothic"/>
          <w:sz w:val="18"/>
          <w:szCs w:val="18"/>
        </w:rPr>
        <w:t>de</w:t>
      </w:r>
      <w:r w:rsidRPr="001B340A">
        <w:rPr>
          <w:rFonts w:ascii="Century Gothic" w:hAnsi="Century Gothic"/>
          <w:sz w:val="18"/>
          <w:szCs w:val="18"/>
        </w:rPr>
        <w:t xml:space="preserve"> l</w:t>
      </w:r>
      <w:r w:rsidR="0007189A">
        <w:rPr>
          <w:rFonts w:ascii="Century Gothic" w:hAnsi="Century Gothic"/>
          <w:sz w:val="18"/>
          <w:szCs w:val="18"/>
        </w:rPr>
        <w:t>a</w:t>
      </w:r>
      <w:r w:rsidRPr="001B340A">
        <w:rPr>
          <w:rFonts w:ascii="Century Gothic" w:hAnsi="Century Gothic"/>
          <w:sz w:val="18"/>
          <w:szCs w:val="18"/>
        </w:rPr>
        <w:t xml:space="preserve">s </w:t>
      </w:r>
      <w:r w:rsidR="0007189A">
        <w:rPr>
          <w:rFonts w:ascii="Century Gothic" w:hAnsi="Century Gothic"/>
          <w:sz w:val="18"/>
          <w:szCs w:val="18"/>
        </w:rPr>
        <w:t>bandas</w:t>
      </w:r>
      <w:r w:rsidR="0007189A" w:rsidRPr="001B340A">
        <w:rPr>
          <w:rFonts w:ascii="Century Gothic" w:hAnsi="Century Gothic"/>
          <w:sz w:val="18"/>
          <w:szCs w:val="18"/>
        </w:rPr>
        <w:t xml:space="preserve"> </w:t>
      </w:r>
      <w:r w:rsidRPr="001B340A">
        <w:rPr>
          <w:rFonts w:ascii="Century Gothic" w:hAnsi="Century Gothic"/>
          <w:sz w:val="18"/>
          <w:szCs w:val="18"/>
        </w:rPr>
        <w:t>406.1-410 MHz, 410-430 MHz, 430-440 MHz, 440-450 MHz, 450-470 MHz y 470-512 MHz, se observa que la banda con mayor cantidad de registros e</w:t>
      </w:r>
      <w:r w:rsidR="00950CD1">
        <w:rPr>
          <w:rFonts w:ascii="Century Gothic" w:hAnsi="Century Gothic"/>
          <w:sz w:val="18"/>
          <w:szCs w:val="18"/>
        </w:rPr>
        <w:t>s la de 450-470 MHz, con 14,641</w:t>
      </w:r>
      <w:r w:rsidR="006A2F7F">
        <w:rPr>
          <w:rFonts w:ascii="Century Gothic" w:hAnsi="Century Gothic"/>
          <w:sz w:val="18"/>
          <w:szCs w:val="18"/>
        </w:rPr>
        <w:t>, como se ilustra en la Figura 1</w:t>
      </w:r>
      <w:r w:rsidR="00950CD1">
        <w:rPr>
          <w:rFonts w:ascii="Century Gothic" w:hAnsi="Century Gothic"/>
          <w:sz w:val="18"/>
          <w:szCs w:val="18"/>
        </w:rPr>
        <w:t>.</w:t>
      </w:r>
    </w:p>
    <w:p w14:paraId="1CF744F1" w14:textId="77777777" w:rsidR="00950CD1" w:rsidRDefault="00950CD1" w:rsidP="00950CD1">
      <w:pPr>
        <w:pStyle w:val="Prrafodelista"/>
        <w:ind w:left="450"/>
        <w:jc w:val="both"/>
        <w:rPr>
          <w:rFonts w:ascii="Century Gothic" w:hAnsi="Century Gothic"/>
          <w:color w:val="FF0000"/>
          <w:sz w:val="18"/>
          <w:szCs w:val="18"/>
        </w:rPr>
      </w:pPr>
    </w:p>
    <w:p w14:paraId="0CDE7E39" w14:textId="77777777" w:rsidR="009043E9" w:rsidRDefault="009043E9" w:rsidP="00950CD1">
      <w:pPr>
        <w:pStyle w:val="Prrafodelista"/>
        <w:ind w:left="450"/>
        <w:jc w:val="both"/>
        <w:rPr>
          <w:rFonts w:ascii="Century Gothic" w:hAnsi="Century Gothic"/>
          <w:color w:val="FF0000"/>
          <w:sz w:val="18"/>
          <w:szCs w:val="18"/>
        </w:rPr>
      </w:pPr>
    </w:p>
    <w:p w14:paraId="4E9D17AA" w14:textId="77777777" w:rsidR="009043E9" w:rsidRDefault="009043E9" w:rsidP="00950CD1">
      <w:pPr>
        <w:pStyle w:val="Prrafodelista"/>
        <w:ind w:left="450"/>
        <w:jc w:val="both"/>
        <w:rPr>
          <w:rFonts w:ascii="Century Gothic" w:hAnsi="Century Gothic"/>
          <w:color w:val="FF0000"/>
          <w:sz w:val="18"/>
          <w:szCs w:val="18"/>
        </w:rPr>
      </w:pPr>
    </w:p>
    <w:p w14:paraId="7BA1AF1E" w14:textId="77777777" w:rsidR="009043E9" w:rsidRDefault="009043E9" w:rsidP="00950CD1">
      <w:pPr>
        <w:pStyle w:val="Prrafodelista"/>
        <w:ind w:left="450"/>
        <w:jc w:val="both"/>
        <w:rPr>
          <w:rFonts w:ascii="Century Gothic" w:hAnsi="Century Gothic"/>
          <w:color w:val="FF0000"/>
          <w:sz w:val="18"/>
          <w:szCs w:val="18"/>
        </w:rPr>
      </w:pPr>
    </w:p>
    <w:p w14:paraId="57421E57" w14:textId="77777777" w:rsidR="0029719C" w:rsidRDefault="0029719C" w:rsidP="00950CD1">
      <w:pPr>
        <w:pStyle w:val="Prrafodelista"/>
        <w:ind w:left="450"/>
        <w:jc w:val="both"/>
        <w:rPr>
          <w:rFonts w:ascii="Century Gothic" w:hAnsi="Century Gothic"/>
          <w:color w:val="FF0000"/>
          <w:sz w:val="18"/>
          <w:szCs w:val="18"/>
        </w:rPr>
      </w:pPr>
    </w:p>
    <w:p w14:paraId="1E92DE6D" w14:textId="77777777" w:rsidR="0029719C" w:rsidRDefault="0029719C" w:rsidP="00950CD1">
      <w:pPr>
        <w:pStyle w:val="Prrafodelista"/>
        <w:ind w:left="450"/>
        <w:jc w:val="both"/>
        <w:rPr>
          <w:rFonts w:ascii="Century Gothic" w:hAnsi="Century Gothic"/>
          <w:color w:val="FF0000"/>
          <w:sz w:val="18"/>
          <w:szCs w:val="18"/>
        </w:rPr>
      </w:pPr>
    </w:p>
    <w:p w14:paraId="036BC7E1" w14:textId="77777777" w:rsidR="0029719C" w:rsidRDefault="0029719C" w:rsidP="00950CD1">
      <w:pPr>
        <w:pStyle w:val="Prrafodelista"/>
        <w:ind w:left="450"/>
        <w:jc w:val="both"/>
        <w:rPr>
          <w:rFonts w:ascii="Century Gothic" w:hAnsi="Century Gothic"/>
          <w:color w:val="FF0000"/>
          <w:sz w:val="18"/>
          <w:szCs w:val="18"/>
        </w:rPr>
      </w:pPr>
    </w:p>
    <w:p w14:paraId="04C8145A" w14:textId="77777777" w:rsidR="009043E9" w:rsidRDefault="009043E9" w:rsidP="00950CD1">
      <w:pPr>
        <w:pStyle w:val="Prrafodelista"/>
        <w:ind w:left="450"/>
        <w:jc w:val="both"/>
        <w:rPr>
          <w:rFonts w:ascii="Century Gothic" w:hAnsi="Century Gothic"/>
          <w:color w:val="FF0000"/>
          <w:sz w:val="18"/>
          <w:szCs w:val="18"/>
        </w:rPr>
      </w:pPr>
    </w:p>
    <w:p w14:paraId="655CBE15" w14:textId="77777777" w:rsidR="00637439" w:rsidRDefault="00637439" w:rsidP="00950CD1">
      <w:pPr>
        <w:pStyle w:val="Prrafodelista"/>
        <w:ind w:left="450"/>
        <w:jc w:val="both"/>
        <w:rPr>
          <w:rFonts w:ascii="Century Gothic" w:hAnsi="Century Gothic"/>
          <w:color w:val="FF0000"/>
          <w:sz w:val="18"/>
          <w:szCs w:val="18"/>
        </w:rPr>
      </w:pPr>
    </w:p>
    <w:p w14:paraId="0AC17D51" w14:textId="77777777" w:rsidR="009043E9" w:rsidRDefault="009043E9" w:rsidP="00950CD1">
      <w:pPr>
        <w:pStyle w:val="Prrafodelista"/>
        <w:ind w:left="450"/>
        <w:jc w:val="both"/>
        <w:rPr>
          <w:rFonts w:ascii="Century Gothic" w:hAnsi="Century Gothic"/>
          <w:color w:val="FF0000"/>
          <w:sz w:val="18"/>
          <w:szCs w:val="18"/>
        </w:rPr>
      </w:pPr>
    </w:p>
    <w:p w14:paraId="3BF13DE1" w14:textId="77777777" w:rsidR="009043E9" w:rsidRDefault="009043E9" w:rsidP="00950CD1">
      <w:pPr>
        <w:pStyle w:val="Prrafodelista"/>
        <w:ind w:left="450"/>
        <w:jc w:val="both"/>
        <w:rPr>
          <w:rFonts w:ascii="Century Gothic" w:hAnsi="Century Gothic"/>
          <w:color w:val="FF0000"/>
          <w:sz w:val="18"/>
          <w:szCs w:val="18"/>
        </w:rPr>
      </w:pPr>
    </w:p>
    <w:p w14:paraId="30DFB615" w14:textId="77777777" w:rsidR="009043E9" w:rsidRDefault="009043E9" w:rsidP="00950CD1">
      <w:pPr>
        <w:pStyle w:val="Prrafodelista"/>
        <w:ind w:left="450"/>
        <w:jc w:val="both"/>
        <w:rPr>
          <w:rFonts w:ascii="Century Gothic" w:hAnsi="Century Gothic"/>
          <w:color w:val="FF0000"/>
          <w:sz w:val="18"/>
          <w:szCs w:val="18"/>
        </w:rPr>
      </w:pPr>
    </w:p>
    <w:p w14:paraId="11591933" w14:textId="77777777" w:rsidR="009043E9" w:rsidRDefault="009043E9" w:rsidP="00950CD1">
      <w:pPr>
        <w:pStyle w:val="Prrafodelista"/>
        <w:ind w:left="450"/>
        <w:jc w:val="both"/>
        <w:rPr>
          <w:rFonts w:ascii="Century Gothic" w:hAnsi="Century Gothic"/>
          <w:color w:val="FF0000"/>
          <w:sz w:val="18"/>
          <w:szCs w:val="18"/>
        </w:rPr>
      </w:pPr>
    </w:p>
    <w:p w14:paraId="0668B454" w14:textId="77777777" w:rsidR="009043E9" w:rsidRPr="002846C2" w:rsidRDefault="009043E9" w:rsidP="00950CD1">
      <w:pPr>
        <w:pStyle w:val="Prrafodelista"/>
        <w:ind w:left="450"/>
        <w:jc w:val="both"/>
        <w:rPr>
          <w:rFonts w:ascii="Century Gothic" w:hAnsi="Century Gothic"/>
          <w:color w:val="FF0000"/>
          <w:sz w:val="18"/>
          <w:szCs w:val="18"/>
        </w:rPr>
      </w:pPr>
    </w:p>
    <w:p w14:paraId="5FD301E3" w14:textId="43EA645D" w:rsidR="001B340A" w:rsidRPr="001B340A" w:rsidRDefault="001B340A" w:rsidP="001B340A">
      <w:pPr>
        <w:pStyle w:val="Prrafodelista"/>
        <w:jc w:val="both"/>
        <w:rPr>
          <w:rFonts w:ascii="Century Gothic" w:hAnsi="Century Gothic"/>
          <w:color w:val="FF0000"/>
          <w:sz w:val="18"/>
          <w:szCs w:val="18"/>
        </w:rPr>
      </w:pPr>
      <w:r w:rsidRPr="001B340A">
        <w:rPr>
          <w:rFonts w:ascii="Century Gothic" w:hAnsi="Century Gothic"/>
          <w:noProof/>
          <w:sz w:val="18"/>
          <w:szCs w:val="18"/>
          <w:lang w:eastAsia="es-MX"/>
        </w:rPr>
        <w:lastRenderedPageBreak/>
        <w:drawing>
          <wp:anchor distT="0" distB="0" distL="114300" distR="114300" simplePos="0" relativeHeight="251658240" behindDoc="0" locked="0" layoutInCell="1" allowOverlap="1" wp14:anchorId="238CF05C" wp14:editId="5702FCA2">
            <wp:simplePos x="0" y="0"/>
            <wp:positionH relativeFrom="column">
              <wp:posOffset>514580</wp:posOffset>
            </wp:positionH>
            <wp:positionV relativeFrom="paragraph">
              <wp:posOffset>11888</wp:posOffset>
            </wp:positionV>
            <wp:extent cx="4564684" cy="2399386"/>
            <wp:effectExtent l="0" t="0" r="7620" b="127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CFC40D9" w14:textId="77777777" w:rsidR="001B340A" w:rsidRPr="001B340A" w:rsidRDefault="001B340A" w:rsidP="001B340A">
      <w:pPr>
        <w:pStyle w:val="Prrafodelista"/>
        <w:jc w:val="both"/>
        <w:rPr>
          <w:rFonts w:ascii="Century Gothic" w:hAnsi="Century Gothic"/>
          <w:color w:val="FF0000"/>
          <w:sz w:val="18"/>
          <w:szCs w:val="18"/>
        </w:rPr>
      </w:pPr>
    </w:p>
    <w:p w14:paraId="3450A770" w14:textId="77777777" w:rsidR="001B340A" w:rsidRPr="001B340A" w:rsidRDefault="001B340A" w:rsidP="001B340A">
      <w:pPr>
        <w:pStyle w:val="Prrafodelista"/>
        <w:jc w:val="both"/>
        <w:rPr>
          <w:rFonts w:ascii="Century Gothic" w:hAnsi="Century Gothic"/>
          <w:color w:val="FF0000"/>
          <w:sz w:val="18"/>
          <w:szCs w:val="18"/>
        </w:rPr>
      </w:pPr>
    </w:p>
    <w:p w14:paraId="15344F07" w14:textId="77777777" w:rsidR="001B340A" w:rsidRPr="001B340A" w:rsidRDefault="001B340A" w:rsidP="001B340A">
      <w:pPr>
        <w:pStyle w:val="Prrafodelista"/>
        <w:jc w:val="both"/>
        <w:rPr>
          <w:rFonts w:ascii="Century Gothic" w:hAnsi="Century Gothic"/>
          <w:color w:val="FF0000"/>
          <w:sz w:val="18"/>
          <w:szCs w:val="18"/>
        </w:rPr>
      </w:pPr>
    </w:p>
    <w:p w14:paraId="12C88322" w14:textId="77777777" w:rsidR="001B340A" w:rsidRPr="001B340A" w:rsidRDefault="001B340A" w:rsidP="001B340A">
      <w:pPr>
        <w:pStyle w:val="Prrafodelista"/>
        <w:jc w:val="both"/>
        <w:rPr>
          <w:rFonts w:ascii="Century Gothic" w:hAnsi="Century Gothic"/>
          <w:color w:val="FF0000"/>
          <w:sz w:val="18"/>
          <w:szCs w:val="18"/>
        </w:rPr>
      </w:pPr>
    </w:p>
    <w:p w14:paraId="315B5CAF" w14:textId="77777777" w:rsidR="001B340A" w:rsidRDefault="001B340A" w:rsidP="001B340A">
      <w:pPr>
        <w:pStyle w:val="Prrafodelista"/>
        <w:jc w:val="both"/>
        <w:rPr>
          <w:rFonts w:ascii="Century Gothic" w:hAnsi="Century Gothic"/>
          <w:color w:val="FF0000"/>
          <w:sz w:val="18"/>
          <w:szCs w:val="18"/>
        </w:rPr>
      </w:pPr>
    </w:p>
    <w:p w14:paraId="79DAB362" w14:textId="77777777" w:rsidR="009043E9" w:rsidRDefault="009043E9" w:rsidP="001B340A">
      <w:pPr>
        <w:pStyle w:val="Prrafodelista"/>
        <w:jc w:val="both"/>
        <w:rPr>
          <w:rFonts w:ascii="Century Gothic" w:hAnsi="Century Gothic"/>
          <w:color w:val="FF0000"/>
          <w:sz w:val="18"/>
          <w:szCs w:val="18"/>
        </w:rPr>
      </w:pPr>
    </w:p>
    <w:p w14:paraId="5620B1A2" w14:textId="77777777" w:rsidR="009043E9" w:rsidRDefault="009043E9" w:rsidP="001B340A">
      <w:pPr>
        <w:pStyle w:val="Prrafodelista"/>
        <w:jc w:val="both"/>
        <w:rPr>
          <w:rFonts w:ascii="Century Gothic" w:hAnsi="Century Gothic"/>
          <w:color w:val="FF0000"/>
          <w:sz w:val="18"/>
          <w:szCs w:val="18"/>
        </w:rPr>
      </w:pPr>
    </w:p>
    <w:p w14:paraId="3F4B7795" w14:textId="77777777" w:rsidR="009043E9" w:rsidRDefault="009043E9" w:rsidP="001B340A">
      <w:pPr>
        <w:pStyle w:val="Prrafodelista"/>
        <w:jc w:val="both"/>
        <w:rPr>
          <w:rFonts w:ascii="Century Gothic" w:hAnsi="Century Gothic"/>
          <w:color w:val="FF0000"/>
          <w:sz w:val="18"/>
          <w:szCs w:val="18"/>
        </w:rPr>
      </w:pPr>
    </w:p>
    <w:p w14:paraId="4D375FE7" w14:textId="77777777" w:rsidR="009043E9" w:rsidRDefault="009043E9" w:rsidP="001B340A">
      <w:pPr>
        <w:pStyle w:val="Prrafodelista"/>
        <w:jc w:val="both"/>
        <w:rPr>
          <w:rFonts w:ascii="Century Gothic" w:hAnsi="Century Gothic"/>
          <w:color w:val="FF0000"/>
          <w:sz w:val="18"/>
          <w:szCs w:val="18"/>
        </w:rPr>
      </w:pPr>
    </w:p>
    <w:p w14:paraId="6066F36A" w14:textId="77777777" w:rsidR="009043E9" w:rsidRPr="001B340A" w:rsidRDefault="009043E9" w:rsidP="001B340A">
      <w:pPr>
        <w:pStyle w:val="Prrafodelista"/>
        <w:jc w:val="both"/>
        <w:rPr>
          <w:rFonts w:ascii="Century Gothic" w:hAnsi="Century Gothic"/>
          <w:color w:val="FF0000"/>
          <w:sz w:val="18"/>
          <w:szCs w:val="18"/>
        </w:rPr>
      </w:pPr>
    </w:p>
    <w:p w14:paraId="18FF7B4B" w14:textId="77777777" w:rsidR="001B340A" w:rsidRPr="001B340A" w:rsidRDefault="001B340A" w:rsidP="001B340A">
      <w:pPr>
        <w:pStyle w:val="Prrafodelista"/>
        <w:jc w:val="both"/>
        <w:rPr>
          <w:rFonts w:ascii="Century Gothic" w:hAnsi="Century Gothic"/>
          <w:color w:val="FF0000"/>
          <w:sz w:val="18"/>
          <w:szCs w:val="18"/>
        </w:rPr>
      </w:pPr>
    </w:p>
    <w:p w14:paraId="1C29BE4C" w14:textId="77777777" w:rsidR="001B340A" w:rsidRPr="001B340A" w:rsidRDefault="001B340A" w:rsidP="001B340A">
      <w:pPr>
        <w:pStyle w:val="Prrafodelista"/>
        <w:jc w:val="both"/>
        <w:rPr>
          <w:rFonts w:ascii="Century Gothic" w:hAnsi="Century Gothic"/>
          <w:color w:val="FF0000"/>
          <w:sz w:val="18"/>
          <w:szCs w:val="18"/>
        </w:rPr>
      </w:pPr>
    </w:p>
    <w:p w14:paraId="0876191E" w14:textId="77777777" w:rsidR="001B340A" w:rsidRPr="001B340A" w:rsidRDefault="001B340A" w:rsidP="001B340A">
      <w:pPr>
        <w:pStyle w:val="Prrafodelista"/>
        <w:jc w:val="both"/>
        <w:rPr>
          <w:rFonts w:ascii="Century Gothic" w:hAnsi="Century Gothic"/>
          <w:color w:val="FF0000"/>
          <w:sz w:val="18"/>
          <w:szCs w:val="18"/>
        </w:rPr>
      </w:pPr>
    </w:p>
    <w:p w14:paraId="6CE9512D" w14:textId="77777777" w:rsidR="001B340A" w:rsidRDefault="001B340A" w:rsidP="001B340A">
      <w:pPr>
        <w:jc w:val="both"/>
        <w:rPr>
          <w:rFonts w:ascii="Century Gothic" w:hAnsi="Century Gothic"/>
          <w:color w:val="FF0000"/>
          <w:sz w:val="18"/>
          <w:szCs w:val="18"/>
        </w:rPr>
      </w:pPr>
    </w:p>
    <w:p w14:paraId="5FD6AF56" w14:textId="3DF81DCF" w:rsidR="00950CD1" w:rsidRDefault="00950CD1" w:rsidP="00950CD1">
      <w:pPr>
        <w:jc w:val="center"/>
        <w:rPr>
          <w:rFonts w:ascii="Century Gothic" w:hAnsi="Century Gothic"/>
          <w:b/>
          <w:sz w:val="18"/>
          <w:szCs w:val="18"/>
        </w:rPr>
      </w:pPr>
      <w:r w:rsidRPr="00950CD1">
        <w:rPr>
          <w:rFonts w:ascii="Century Gothic" w:hAnsi="Century Gothic"/>
          <w:b/>
          <w:sz w:val="18"/>
          <w:szCs w:val="18"/>
        </w:rPr>
        <w:t>Figura 1. Ocupación del espectro en el rango 406.1 – 512 MHz</w:t>
      </w:r>
      <w:r w:rsidR="006A2F7F">
        <w:rPr>
          <w:rFonts w:ascii="Century Gothic" w:hAnsi="Century Gothic"/>
          <w:b/>
          <w:sz w:val="18"/>
          <w:szCs w:val="18"/>
        </w:rPr>
        <w:t>. Fuente: Registros IFT</w:t>
      </w:r>
    </w:p>
    <w:p w14:paraId="4A46F338" w14:textId="77777777" w:rsidR="00950CD1" w:rsidRPr="00950CD1" w:rsidRDefault="00950CD1" w:rsidP="00950CD1">
      <w:pPr>
        <w:spacing w:after="0"/>
        <w:jc w:val="center"/>
        <w:rPr>
          <w:rFonts w:ascii="Century Gothic" w:hAnsi="Century Gothic"/>
          <w:b/>
          <w:sz w:val="18"/>
          <w:szCs w:val="18"/>
        </w:rPr>
      </w:pPr>
    </w:p>
    <w:p w14:paraId="0775B721" w14:textId="5FEE0A96" w:rsidR="001B340A" w:rsidRDefault="001B340A" w:rsidP="001B340A">
      <w:pPr>
        <w:pStyle w:val="Prrafodelista"/>
        <w:numPr>
          <w:ilvl w:val="0"/>
          <w:numId w:val="3"/>
        </w:numPr>
        <w:ind w:left="450" w:hanging="450"/>
        <w:jc w:val="both"/>
        <w:rPr>
          <w:rFonts w:ascii="Century Gothic" w:hAnsi="Century Gothic"/>
          <w:sz w:val="18"/>
          <w:szCs w:val="18"/>
        </w:rPr>
      </w:pPr>
      <w:r w:rsidRPr="001B340A">
        <w:rPr>
          <w:rFonts w:ascii="Century Gothic" w:hAnsi="Century Gothic"/>
          <w:b/>
          <w:sz w:val="18"/>
          <w:szCs w:val="18"/>
        </w:rPr>
        <w:t xml:space="preserve">Cantidad de registros por entidad federativa en la banda de 440-450 MHz. </w:t>
      </w:r>
      <w:r w:rsidRPr="001B340A">
        <w:rPr>
          <w:rFonts w:ascii="Century Gothic" w:hAnsi="Century Gothic"/>
          <w:sz w:val="18"/>
          <w:szCs w:val="18"/>
        </w:rPr>
        <w:t>En particular, para  la banda objeto de la presente opinión pública, la entidad federativa que contiene más registros es la Ciudad de México (</w:t>
      </w:r>
      <w:r w:rsidR="006A2F7F">
        <w:rPr>
          <w:rFonts w:ascii="Century Gothic" w:hAnsi="Century Gothic"/>
          <w:sz w:val="18"/>
          <w:szCs w:val="18"/>
        </w:rPr>
        <w:t>93), seguida de Nuevo León (41),</w:t>
      </w:r>
      <w:r w:rsidRPr="001B340A">
        <w:rPr>
          <w:rFonts w:ascii="Century Gothic" w:hAnsi="Century Gothic"/>
          <w:sz w:val="18"/>
          <w:szCs w:val="18"/>
        </w:rPr>
        <w:t xml:space="preserve"> Morelos y Puebla (ambas con 37).</w:t>
      </w:r>
      <w:r w:rsidR="006A2F7F">
        <w:rPr>
          <w:rFonts w:ascii="Century Gothic" w:hAnsi="Century Gothic"/>
          <w:sz w:val="18"/>
          <w:szCs w:val="18"/>
        </w:rPr>
        <w:t xml:space="preserve"> La Figura 2 presenta la ocupación de esta banda por entidad federativa.</w:t>
      </w:r>
    </w:p>
    <w:p w14:paraId="4AACD784" w14:textId="4F74BDF6" w:rsidR="00950CD1" w:rsidRPr="001B340A" w:rsidRDefault="00950CD1" w:rsidP="00950CD1">
      <w:pPr>
        <w:pStyle w:val="Prrafodelista"/>
        <w:ind w:left="450"/>
        <w:jc w:val="both"/>
        <w:rPr>
          <w:rFonts w:ascii="Century Gothic" w:hAnsi="Century Gothic"/>
          <w:sz w:val="18"/>
          <w:szCs w:val="18"/>
        </w:rPr>
      </w:pPr>
    </w:p>
    <w:p w14:paraId="49FF2688" w14:textId="4CA859E9" w:rsidR="001B340A" w:rsidRPr="001B340A" w:rsidRDefault="00950CD1" w:rsidP="001B340A">
      <w:pPr>
        <w:pStyle w:val="Prrafodelista"/>
        <w:jc w:val="both"/>
        <w:rPr>
          <w:rFonts w:ascii="Century Gothic" w:hAnsi="Century Gothic"/>
          <w:color w:val="FF0000"/>
          <w:sz w:val="18"/>
          <w:szCs w:val="18"/>
        </w:rPr>
      </w:pPr>
      <w:r w:rsidRPr="001B340A">
        <w:rPr>
          <w:rFonts w:ascii="Century Gothic" w:hAnsi="Century Gothic"/>
          <w:noProof/>
          <w:sz w:val="18"/>
          <w:szCs w:val="18"/>
          <w:lang w:eastAsia="es-MX"/>
        </w:rPr>
        <w:drawing>
          <wp:anchor distT="0" distB="0" distL="114300" distR="114300" simplePos="0" relativeHeight="251658241" behindDoc="1" locked="0" layoutInCell="1" allowOverlap="1" wp14:anchorId="6E3BE99B" wp14:editId="15736F75">
            <wp:simplePos x="0" y="0"/>
            <wp:positionH relativeFrom="margin">
              <wp:align>left</wp:align>
            </wp:positionH>
            <wp:positionV relativeFrom="paragraph">
              <wp:posOffset>98882</wp:posOffset>
            </wp:positionV>
            <wp:extent cx="5984875" cy="3050439"/>
            <wp:effectExtent l="0" t="0" r="15875" b="1714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5C761C6D" w14:textId="77777777" w:rsidR="001B340A" w:rsidRPr="001B340A" w:rsidRDefault="001B340A" w:rsidP="001B340A">
      <w:pPr>
        <w:pStyle w:val="Prrafodelista"/>
        <w:jc w:val="both"/>
        <w:rPr>
          <w:rFonts w:ascii="Century Gothic" w:hAnsi="Century Gothic"/>
          <w:color w:val="FF0000"/>
          <w:sz w:val="18"/>
          <w:szCs w:val="18"/>
        </w:rPr>
      </w:pPr>
    </w:p>
    <w:p w14:paraId="3A2D6674" w14:textId="77777777" w:rsidR="001B340A" w:rsidRPr="001B340A" w:rsidRDefault="001B340A" w:rsidP="001B340A">
      <w:pPr>
        <w:pStyle w:val="Prrafodelista"/>
        <w:jc w:val="both"/>
        <w:rPr>
          <w:rFonts w:ascii="Century Gothic" w:hAnsi="Century Gothic"/>
          <w:color w:val="FF0000"/>
          <w:sz w:val="18"/>
          <w:szCs w:val="18"/>
        </w:rPr>
      </w:pPr>
    </w:p>
    <w:p w14:paraId="7AC03658" w14:textId="7342CBDA" w:rsidR="001B340A" w:rsidRPr="001B340A" w:rsidRDefault="00950CD1" w:rsidP="00950CD1">
      <w:pPr>
        <w:pStyle w:val="Prrafodelista"/>
        <w:tabs>
          <w:tab w:val="left" w:pos="6348"/>
        </w:tabs>
        <w:rPr>
          <w:rFonts w:ascii="Century Gothic" w:hAnsi="Century Gothic"/>
          <w:color w:val="FF0000"/>
          <w:sz w:val="18"/>
          <w:szCs w:val="18"/>
        </w:rPr>
      </w:pPr>
      <w:r>
        <w:rPr>
          <w:rFonts w:ascii="Century Gothic" w:hAnsi="Century Gothic"/>
          <w:color w:val="FF0000"/>
          <w:sz w:val="18"/>
          <w:szCs w:val="18"/>
        </w:rPr>
        <w:tab/>
      </w:r>
    </w:p>
    <w:p w14:paraId="3AF1D5BD" w14:textId="77777777" w:rsidR="001B340A" w:rsidRPr="001B340A" w:rsidRDefault="001B340A" w:rsidP="001B340A">
      <w:pPr>
        <w:pStyle w:val="Prrafodelista"/>
        <w:jc w:val="both"/>
        <w:rPr>
          <w:rFonts w:ascii="Century Gothic" w:hAnsi="Century Gothic"/>
          <w:color w:val="FF0000"/>
          <w:sz w:val="18"/>
          <w:szCs w:val="18"/>
        </w:rPr>
      </w:pPr>
    </w:p>
    <w:p w14:paraId="6AA19298" w14:textId="77777777" w:rsidR="001B340A" w:rsidRPr="001B340A" w:rsidRDefault="001B340A" w:rsidP="001B340A">
      <w:pPr>
        <w:pStyle w:val="Prrafodelista"/>
        <w:jc w:val="both"/>
        <w:rPr>
          <w:rFonts w:ascii="Century Gothic" w:hAnsi="Century Gothic"/>
          <w:color w:val="FF0000"/>
          <w:sz w:val="18"/>
          <w:szCs w:val="18"/>
        </w:rPr>
      </w:pPr>
    </w:p>
    <w:p w14:paraId="5381B060" w14:textId="07F67FED" w:rsidR="001B340A" w:rsidRPr="001B340A" w:rsidRDefault="001B340A" w:rsidP="001B340A">
      <w:pPr>
        <w:pStyle w:val="Prrafodelista"/>
        <w:jc w:val="both"/>
        <w:rPr>
          <w:rFonts w:ascii="Century Gothic" w:hAnsi="Century Gothic"/>
          <w:color w:val="FF0000"/>
          <w:sz w:val="18"/>
          <w:szCs w:val="18"/>
        </w:rPr>
      </w:pPr>
    </w:p>
    <w:p w14:paraId="315846F1" w14:textId="77777777" w:rsidR="001B340A" w:rsidRPr="001B340A" w:rsidRDefault="001B340A" w:rsidP="001B340A">
      <w:pPr>
        <w:pStyle w:val="Prrafodelista"/>
        <w:jc w:val="both"/>
        <w:rPr>
          <w:rFonts w:ascii="Century Gothic" w:hAnsi="Century Gothic"/>
          <w:color w:val="FF0000"/>
          <w:sz w:val="18"/>
          <w:szCs w:val="18"/>
        </w:rPr>
      </w:pPr>
    </w:p>
    <w:p w14:paraId="22A64CE4" w14:textId="77777777" w:rsidR="001B340A" w:rsidRPr="001B340A" w:rsidRDefault="001B340A" w:rsidP="001B340A">
      <w:pPr>
        <w:pStyle w:val="Prrafodelista"/>
        <w:jc w:val="both"/>
        <w:rPr>
          <w:rFonts w:ascii="Century Gothic" w:hAnsi="Century Gothic"/>
          <w:color w:val="FF0000"/>
          <w:sz w:val="18"/>
          <w:szCs w:val="18"/>
        </w:rPr>
      </w:pPr>
    </w:p>
    <w:p w14:paraId="60E0894A" w14:textId="77777777" w:rsidR="001B340A" w:rsidRPr="001B340A" w:rsidRDefault="001B340A" w:rsidP="001B340A">
      <w:pPr>
        <w:pStyle w:val="Prrafodelista"/>
        <w:jc w:val="both"/>
        <w:rPr>
          <w:rFonts w:ascii="Century Gothic" w:hAnsi="Century Gothic"/>
          <w:color w:val="FF0000"/>
          <w:sz w:val="18"/>
          <w:szCs w:val="18"/>
        </w:rPr>
      </w:pPr>
    </w:p>
    <w:p w14:paraId="20FFBA25" w14:textId="77777777" w:rsidR="001B340A" w:rsidRPr="001B340A" w:rsidRDefault="001B340A" w:rsidP="001B340A">
      <w:pPr>
        <w:pStyle w:val="Prrafodelista"/>
        <w:jc w:val="both"/>
        <w:rPr>
          <w:rFonts w:ascii="Century Gothic" w:hAnsi="Century Gothic"/>
          <w:color w:val="FF0000"/>
          <w:sz w:val="18"/>
          <w:szCs w:val="18"/>
        </w:rPr>
      </w:pPr>
    </w:p>
    <w:p w14:paraId="0D94E441" w14:textId="77777777" w:rsidR="001B340A" w:rsidRPr="001B340A" w:rsidRDefault="001B340A" w:rsidP="001B340A">
      <w:pPr>
        <w:pStyle w:val="Prrafodelista"/>
        <w:jc w:val="both"/>
        <w:rPr>
          <w:rFonts w:ascii="Century Gothic" w:hAnsi="Century Gothic"/>
          <w:color w:val="FF0000"/>
          <w:sz w:val="18"/>
          <w:szCs w:val="18"/>
        </w:rPr>
      </w:pPr>
    </w:p>
    <w:p w14:paraId="240537AE" w14:textId="77777777" w:rsidR="001B340A" w:rsidRPr="001B340A" w:rsidRDefault="001B340A" w:rsidP="001B340A">
      <w:pPr>
        <w:pStyle w:val="Prrafodelista"/>
        <w:jc w:val="both"/>
        <w:rPr>
          <w:rFonts w:ascii="Century Gothic" w:hAnsi="Century Gothic"/>
          <w:color w:val="FF0000"/>
          <w:sz w:val="18"/>
          <w:szCs w:val="18"/>
        </w:rPr>
      </w:pPr>
    </w:p>
    <w:p w14:paraId="7735CC2C" w14:textId="7DB7BDB8" w:rsidR="001B340A" w:rsidRPr="001B340A" w:rsidRDefault="001B340A" w:rsidP="001B340A">
      <w:pPr>
        <w:pStyle w:val="Prrafodelista"/>
        <w:jc w:val="both"/>
        <w:rPr>
          <w:rFonts w:ascii="Century Gothic" w:hAnsi="Century Gothic"/>
          <w:color w:val="FF0000"/>
          <w:sz w:val="18"/>
          <w:szCs w:val="18"/>
        </w:rPr>
      </w:pPr>
    </w:p>
    <w:p w14:paraId="65E6BC80" w14:textId="77777777" w:rsidR="001B340A" w:rsidRPr="001B340A" w:rsidRDefault="001B340A" w:rsidP="001B340A">
      <w:pPr>
        <w:pStyle w:val="Prrafodelista"/>
        <w:jc w:val="both"/>
        <w:rPr>
          <w:rFonts w:ascii="Century Gothic" w:hAnsi="Century Gothic"/>
          <w:color w:val="FF0000"/>
          <w:sz w:val="18"/>
          <w:szCs w:val="18"/>
        </w:rPr>
      </w:pPr>
    </w:p>
    <w:p w14:paraId="5FDA78E7" w14:textId="77777777" w:rsidR="001B340A" w:rsidRPr="001B340A" w:rsidRDefault="001B340A" w:rsidP="001B340A">
      <w:pPr>
        <w:pStyle w:val="Prrafodelista"/>
        <w:jc w:val="both"/>
        <w:rPr>
          <w:rFonts w:ascii="Century Gothic" w:hAnsi="Century Gothic"/>
          <w:color w:val="FF0000"/>
          <w:sz w:val="18"/>
          <w:szCs w:val="18"/>
        </w:rPr>
      </w:pPr>
    </w:p>
    <w:p w14:paraId="5B5D202A" w14:textId="77777777" w:rsidR="001B340A" w:rsidRPr="001B340A" w:rsidRDefault="001B340A" w:rsidP="001B340A">
      <w:pPr>
        <w:rPr>
          <w:rFonts w:ascii="Century Gothic" w:hAnsi="Century Gothic"/>
          <w:sz w:val="18"/>
          <w:szCs w:val="18"/>
        </w:rPr>
      </w:pPr>
    </w:p>
    <w:p w14:paraId="1EA7DAD4" w14:textId="4D0DC924" w:rsidR="001B340A" w:rsidRDefault="001B340A" w:rsidP="001B340A">
      <w:pPr>
        <w:pStyle w:val="Prrafodelista"/>
        <w:jc w:val="both"/>
        <w:rPr>
          <w:rFonts w:ascii="Century Gothic" w:hAnsi="Century Gothic"/>
          <w:color w:val="FF0000"/>
          <w:sz w:val="18"/>
          <w:szCs w:val="18"/>
        </w:rPr>
      </w:pPr>
    </w:p>
    <w:p w14:paraId="2882BC40" w14:textId="77777777" w:rsidR="001B340A" w:rsidRDefault="001B340A" w:rsidP="001B340A">
      <w:pPr>
        <w:pStyle w:val="Prrafodelista"/>
        <w:jc w:val="both"/>
        <w:rPr>
          <w:rFonts w:ascii="Century Gothic" w:hAnsi="Century Gothic"/>
          <w:color w:val="FF0000"/>
          <w:sz w:val="18"/>
          <w:szCs w:val="18"/>
        </w:rPr>
      </w:pPr>
    </w:p>
    <w:p w14:paraId="144EFECB" w14:textId="10D9A10C" w:rsidR="006A2F7F" w:rsidRDefault="006A2F7F" w:rsidP="006A2F7F">
      <w:pPr>
        <w:jc w:val="center"/>
        <w:rPr>
          <w:rFonts w:ascii="Century Gothic" w:hAnsi="Century Gothic"/>
          <w:b/>
          <w:sz w:val="18"/>
          <w:szCs w:val="18"/>
        </w:rPr>
      </w:pPr>
      <w:r>
        <w:rPr>
          <w:rFonts w:ascii="Century Gothic" w:hAnsi="Century Gothic"/>
          <w:b/>
          <w:sz w:val="18"/>
          <w:szCs w:val="18"/>
        </w:rPr>
        <w:t>Figura 2</w:t>
      </w:r>
      <w:r w:rsidRPr="00950CD1">
        <w:rPr>
          <w:rFonts w:ascii="Century Gothic" w:hAnsi="Century Gothic"/>
          <w:b/>
          <w:sz w:val="18"/>
          <w:szCs w:val="18"/>
        </w:rPr>
        <w:t>. Ocupación de</w:t>
      </w:r>
      <w:r>
        <w:rPr>
          <w:rFonts w:ascii="Century Gothic" w:hAnsi="Century Gothic"/>
          <w:b/>
          <w:sz w:val="18"/>
          <w:szCs w:val="18"/>
        </w:rPr>
        <w:t xml:space="preserve"> la banda 440</w:t>
      </w:r>
      <w:r w:rsidRPr="00950CD1">
        <w:rPr>
          <w:rFonts w:ascii="Century Gothic" w:hAnsi="Century Gothic"/>
          <w:b/>
          <w:sz w:val="18"/>
          <w:szCs w:val="18"/>
        </w:rPr>
        <w:t xml:space="preserve"> – </w:t>
      </w:r>
      <w:r>
        <w:rPr>
          <w:rFonts w:ascii="Century Gothic" w:hAnsi="Century Gothic"/>
          <w:b/>
          <w:sz w:val="18"/>
          <w:szCs w:val="18"/>
        </w:rPr>
        <w:t>4</w:t>
      </w:r>
      <w:r w:rsidRPr="00950CD1">
        <w:rPr>
          <w:rFonts w:ascii="Century Gothic" w:hAnsi="Century Gothic"/>
          <w:b/>
          <w:sz w:val="18"/>
          <w:szCs w:val="18"/>
        </w:rPr>
        <w:t>5</w:t>
      </w:r>
      <w:r>
        <w:rPr>
          <w:rFonts w:ascii="Century Gothic" w:hAnsi="Century Gothic"/>
          <w:b/>
          <w:sz w:val="18"/>
          <w:szCs w:val="18"/>
        </w:rPr>
        <w:t>0</w:t>
      </w:r>
      <w:r w:rsidRPr="00950CD1">
        <w:rPr>
          <w:rFonts w:ascii="Century Gothic" w:hAnsi="Century Gothic"/>
          <w:b/>
          <w:sz w:val="18"/>
          <w:szCs w:val="18"/>
        </w:rPr>
        <w:t xml:space="preserve"> MHz</w:t>
      </w:r>
      <w:r>
        <w:rPr>
          <w:rFonts w:ascii="Century Gothic" w:hAnsi="Century Gothic"/>
          <w:b/>
          <w:sz w:val="18"/>
          <w:szCs w:val="18"/>
        </w:rPr>
        <w:t xml:space="preserve"> por entidad federativa. Fuente: Registros IFT</w:t>
      </w:r>
    </w:p>
    <w:p w14:paraId="60F1C4DF" w14:textId="77777777" w:rsidR="002846C2" w:rsidRPr="002846C2" w:rsidRDefault="002846C2" w:rsidP="002846C2">
      <w:pPr>
        <w:pStyle w:val="Prrafodelista"/>
        <w:ind w:left="450"/>
        <w:jc w:val="both"/>
        <w:rPr>
          <w:rFonts w:ascii="Century Gothic" w:hAnsi="Century Gothic"/>
          <w:b/>
          <w:sz w:val="18"/>
          <w:szCs w:val="18"/>
        </w:rPr>
      </w:pPr>
    </w:p>
    <w:p w14:paraId="5D7D77E4" w14:textId="5E5505A9" w:rsidR="001B340A" w:rsidRPr="00950CD1" w:rsidRDefault="001B340A" w:rsidP="001B340A">
      <w:pPr>
        <w:pStyle w:val="Prrafodelista"/>
        <w:numPr>
          <w:ilvl w:val="0"/>
          <w:numId w:val="3"/>
        </w:numPr>
        <w:ind w:left="450" w:hanging="450"/>
        <w:jc w:val="both"/>
        <w:rPr>
          <w:rFonts w:ascii="Century Gothic" w:hAnsi="Century Gothic"/>
          <w:b/>
          <w:sz w:val="18"/>
          <w:szCs w:val="18"/>
        </w:rPr>
      </w:pPr>
      <w:r w:rsidRPr="001B340A">
        <w:rPr>
          <w:rFonts w:ascii="Century Gothic" w:hAnsi="Century Gothic"/>
          <w:b/>
          <w:sz w:val="18"/>
          <w:szCs w:val="18"/>
        </w:rPr>
        <w:lastRenderedPageBreak/>
        <w:t xml:space="preserve">Cantidad de registros por estado en </w:t>
      </w:r>
      <w:r w:rsidR="0007189A">
        <w:rPr>
          <w:rFonts w:ascii="Century Gothic" w:hAnsi="Century Gothic"/>
          <w:b/>
          <w:sz w:val="18"/>
          <w:szCs w:val="18"/>
        </w:rPr>
        <w:t>el rango</w:t>
      </w:r>
      <w:r w:rsidRPr="001B340A">
        <w:rPr>
          <w:rFonts w:ascii="Century Gothic" w:hAnsi="Century Gothic"/>
          <w:b/>
          <w:sz w:val="18"/>
          <w:szCs w:val="18"/>
        </w:rPr>
        <w:t xml:space="preserve"> comprendid</w:t>
      </w:r>
      <w:r w:rsidR="0007189A">
        <w:rPr>
          <w:rFonts w:ascii="Century Gothic" w:hAnsi="Century Gothic"/>
          <w:b/>
          <w:sz w:val="18"/>
          <w:szCs w:val="18"/>
        </w:rPr>
        <w:t>o</w:t>
      </w:r>
      <w:r w:rsidRPr="001B340A">
        <w:rPr>
          <w:rFonts w:ascii="Century Gothic" w:hAnsi="Century Gothic"/>
          <w:b/>
          <w:sz w:val="18"/>
          <w:szCs w:val="18"/>
        </w:rPr>
        <w:t xml:space="preserve"> entre 406.1 a 512 MHz. </w:t>
      </w:r>
      <w:r w:rsidRPr="001B340A">
        <w:rPr>
          <w:rFonts w:ascii="Century Gothic" w:hAnsi="Century Gothic"/>
          <w:sz w:val="18"/>
          <w:szCs w:val="18"/>
        </w:rPr>
        <w:t xml:space="preserve">Considerando todos los registros existentes por entidad federativa dentro del rango de frecuencias 406.1-512 MHz, la entidad con mayor </w:t>
      </w:r>
      <w:r w:rsidR="006A2F7F">
        <w:rPr>
          <w:rFonts w:ascii="Century Gothic" w:hAnsi="Century Gothic"/>
          <w:sz w:val="18"/>
          <w:szCs w:val="18"/>
        </w:rPr>
        <w:t xml:space="preserve">número de </w:t>
      </w:r>
      <w:r w:rsidRPr="001B340A">
        <w:rPr>
          <w:rFonts w:ascii="Century Gothic" w:hAnsi="Century Gothic"/>
          <w:sz w:val="18"/>
          <w:szCs w:val="18"/>
        </w:rPr>
        <w:t>registros es la Ciudad de México (3,074), seguida del estado de Nuevo León (2,873) y el Estado de México (1,591)</w:t>
      </w:r>
      <w:r w:rsidR="006A2F7F">
        <w:rPr>
          <w:rFonts w:ascii="Century Gothic" w:hAnsi="Century Gothic"/>
          <w:sz w:val="18"/>
          <w:szCs w:val="18"/>
        </w:rPr>
        <w:t>, como se muestra en la Figura 3</w:t>
      </w:r>
      <w:r w:rsidRPr="001B340A">
        <w:rPr>
          <w:rFonts w:ascii="Century Gothic" w:hAnsi="Century Gothic"/>
          <w:sz w:val="18"/>
          <w:szCs w:val="18"/>
        </w:rPr>
        <w:t>.</w:t>
      </w:r>
      <w:r w:rsidR="00934150" w:rsidRPr="00934150">
        <w:rPr>
          <w:rFonts w:ascii="Century Gothic" w:hAnsi="Century Gothic"/>
          <w:noProof/>
          <w:sz w:val="18"/>
          <w:szCs w:val="18"/>
          <w:lang w:eastAsia="es-MX"/>
        </w:rPr>
        <w:t xml:space="preserve"> </w:t>
      </w:r>
    </w:p>
    <w:p w14:paraId="4864CBC4" w14:textId="77777777" w:rsidR="00950CD1" w:rsidRPr="001B340A" w:rsidRDefault="00950CD1" w:rsidP="00950CD1">
      <w:pPr>
        <w:pStyle w:val="Prrafodelista"/>
        <w:ind w:left="450"/>
        <w:jc w:val="both"/>
        <w:rPr>
          <w:rFonts w:ascii="Century Gothic" w:hAnsi="Century Gothic"/>
          <w:b/>
          <w:sz w:val="18"/>
          <w:szCs w:val="18"/>
        </w:rPr>
      </w:pPr>
    </w:p>
    <w:p w14:paraId="316D401E" w14:textId="65ACB629" w:rsidR="001B340A" w:rsidRPr="001B340A" w:rsidRDefault="003A351B" w:rsidP="001B340A">
      <w:pPr>
        <w:pStyle w:val="Prrafodelista"/>
        <w:jc w:val="both"/>
        <w:rPr>
          <w:rFonts w:ascii="Century Gothic" w:hAnsi="Century Gothic"/>
          <w:sz w:val="18"/>
          <w:szCs w:val="18"/>
        </w:rPr>
      </w:pPr>
      <w:r>
        <w:rPr>
          <w:noProof/>
          <w:lang w:eastAsia="es-MX"/>
        </w:rPr>
        <w:drawing>
          <wp:anchor distT="0" distB="0" distL="114300" distR="114300" simplePos="0" relativeHeight="251658242" behindDoc="0" locked="0" layoutInCell="1" allowOverlap="1" wp14:anchorId="41FD855B" wp14:editId="1339CD07">
            <wp:simplePos x="0" y="0"/>
            <wp:positionH relativeFrom="column">
              <wp:posOffset>-92582</wp:posOffset>
            </wp:positionH>
            <wp:positionV relativeFrom="paragraph">
              <wp:posOffset>40818</wp:posOffset>
            </wp:positionV>
            <wp:extent cx="5976518" cy="2933395"/>
            <wp:effectExtent l="0" t="0" r="5715" b="635"/>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7419404" w14:textId="7D34C7A1" w:rsidR="001B340A" w:rsidRPr="001B340A" w:rsidRDefault="001B340A" w:rsidP="001B340A">
      <w:pPr>
        <w:pStyle w:val="Prrafodelista"/>
        <w:jc w:val="both"/>
        <w:rPr>
          <w:rFonts w:ascii="Century Gothic" w:hAnsi="Century Gothic"/>
          <w:sz w:val="18"/>
          <w:szCs w:val="18"/>
        </w:rPr>
      </w:pPr>
    </w:p>
    <w:p w14:paraId="39D8447B" w14:textId="20F24799" w:rsidR="001B340A" w:rsidRDefault="00BB5522" w:rsidP="00BB5522">
      <w:pPr>
        <w:pStyle w:val="Prrafodelista"/>
        <w:jc w:val="both"/>
        <w:rPr>
          <w:rFonts w:ascii="Century Gothic" w:hAnsi="Century Gothic"/>
          <w:sz w:val="18"/>
          <w:szCs w:val="18"/>
        </w:rPr>
      </w:pPr>
      <w:r>
        <w:rPr>
          <w:rFonts w:ascii="Century Gothic" w:hAnsi="Century Gothic"/>
          <w:sz w:val="18"/>
          <w:szCs w:val="18"/>
        </w:rPr>
        <w:tab/>
      </w:r>
    </w:p>
    <w:p w14:paraId="443BD518" w14:textId="4FB116FA" w:rsidR="006A2F7F" w:rsidRDefault="006A2F7F" w:rsidP="00BB5522">
      <w:pPr>
        <w:pStyle w:val="Prrafodelista"/>
        <w:jc w:val="both"/>
        <w:rPr>
          <w:rFonts w:ascii="Century Gothic" w:hAnsi="Century Gothic"/>
          <w:sz w:val="18"/>
          <w:szCs w:val="18"/>
        </w:rPr>
      </w:pPr>
    </w:p>
    <w:p w14:paraId="03542F8E" w14:textId="77777777" w:rsidR="006A2F7F" w:rsidRDefault="006A2F7F" w:rsidP="00BB5522">
      <w:pPr>
        <w:pStyle w:val="Prrafodelista"/>
        <w:jc w:val="both"/>
        <w:rPr>
          <w:rFonts w:ascii="Century Gothic" w:hAnsi="Century Gothic"/>
          <w:sz w:val="18"/>
          <w:szCs w:val="18"/>
        </w:rPr>
      </w:pPr>
    </w:p>
    <w:p w14:paraId="09BE531C" w14:textId="77777777" w:rsidR="006A2F7F" w:rsidRDefault="006A2F7F" w:rsidP="00BB5522">
      <w:pPr>
        <w:pStyle w:val="Prrafodelista"/>
        <w:jc w:val="both"/>
        <w:rPr>
          <w:rFonts w:ascii="Century Gothic" w:hAnsi="Century Gothic"/>
          <w:sz w:val="18"/>
          <w:szCs w:val="18"/>
        </w:rPr>
      </w:pPr>
    </w:p>
    <w:p w14:paraId="1D941E75" w14:textId="77777777" w:rsidR="006A2F7F" w:rsidRDefault="006A2F7F" w:rsidP="00BB5522">
      <w:pPr>
        <w:pStyle w:val="Prrafodelista"/>
        <w:jc w:val="both"/>
        <w:rPr>
          <w:rFonts w:ascii="Century Gothic" w:hAnsi="Century Gothic"/>
          <w:sz w:val="18"/>
          <w:szCs w:val="18"/>
        </w:rPr>
      </w:pPr>
    </w:p>
    <w:p w14:paraId="666CD9BF" w14:textId="77777777" w:rsidR="006A2F7F" w:rsidRDefault="006A2F7F" w:rsidP="00BB5522">
      <w:pPr>
        <w:pStyle w:val="Prrafodelista"/>
        <w:jc w:val="both"/>
        <w:rPr>
          <w:rFonts w:ascii="Century Gothic" w:hAnsi="Century Gothic"/>
          <w:sz w:val="18"/>
          <w:szCs w:val="18"/>
        </w:rPr>
      </w:pPr>
    </w:p>
    <w:p w14:paraId="3ACA7A85" w14:textId="77777777" w:rsidR="006A2F7F" w:rsidRDefault="006A2F7F" w:rsidP="00BB5522">
      <w:pPr>
        <w:pStyle w:val="Prrafodelista"/>
        <w:jc w:val="both"/>
        <w:rPr>
          <w:rFonts w:ascii="Century Gothic" w:hAnsi="Century Gothic"/>
          <w:sz w:val="18"/>
          <w:szCs w:val="18"/>
        </w:rPr>
      </w:pPr>
    </w:p>
    <w:p w14:paraId="53285341" w14:textId="77777777" w:rsidR="006A2F7F" w:rsidRDefault="006A2F7F" w:rsidP="00BB5522">
      <w:pPr>
        <w:pStyle w:val="Prrafodelista"/>
        <w:jc w:val="both"/>
        <w:rPr>
          <w:rFonts w:ascii="Century Gothic" w:hAnsi="Century Gothic"/>
          <w:sz w:val="18"/>
          <w:szCs w:val="18"/>
        </w:rPr>
      </w:pPr>
    </w:p>
    <w:p w14:paraId="277BA97E" w14:textId="77777777" w:rsidR="006A2F7F" w:rsidRPr="001B340A" w:rsidRDefault="006A2F7F" w:rsidP="00BB5522">
      <w:pPr>
        <w:pStyle w:val="Prrafodelista"/>
        <w:jc w:val="both"/>
        <w:rPr>
          <w:rFonts w:ascii="Century Gothic" w:hAnsi="Century Gothic"/>
          <w:sz w:val="18"/>
          <w:szCs w:val="18"/>
        </w:rPr>
      </w:pPr>
    </w:p>
    <w:p w14:paraId="38C7F328" w14:textId="77777777" w:rsidR="001B340A" w:rsidRPr="001B340A" w:rsidRDefault="001B340A" w:rsidP="001B340A">
      <w:pPr>
        <w:pStyle w:val="Prrafodelista"/>
        <w:jc w:val="both"/>
        <w:rPr>
          <w:rFonts w:ascii="Century Gothic" w:hAnsi="Century Gothic"/>
          <w:sz w:val="18"/>
          <w:szCs w:val="18"/>
        </w:rPr>
      </w:pPr>
    </w:p>
    <w:p w14:paraId="69C82284" w14:textId="77777777" w:rsidR="001B340A" w:rsidRPr="001B340A" w:rsidRDefault="001B340A" w:rsidP="001B340A">
      <w:pPr>
        <w:pStyle w:val="Prrafodelista"/>
        <w:jc w:val="both"/>
        <w:rPr>
          <w:rFonts w:ascii="Century Gothic" w:hAnsi="Century Gothic"/>
          <w:sz w:val="18"/>
          <w:szCs w:val="18"/>
        </w:rPr>
      </w:pPr>
    </w:p>
    <w:p w14:paraId="3DE10BC1" w14:textId="77777777" w:rsidR="001B340A" w:rsidRPr="001B340A" w:rsidRDefault="001B340A" w:rsidP="001B340A">
      <w:pPr>
        <w:pStyle w:val="Prrafodelista"/>
        <w:jc w:val="both"/>
        <w:rPr>
          <w:rFonts w:ascii="Century Gothic" w:hAnsi="Century Gothic"/>
          <w:sz w:val="18"/>
          <w:szCs w:val="18"/>
        </w:rPr>
      </w:pPr>
    </w:p>
    <w:p w14:paraId="7D8CB0DE" w14:textId="77777777" w:rsidR="001B340A" w:rsidRPr="001B340A" w:rsidRDefault="001B340A" w:rsidP="001B340A">
      <w:pPr>
        <w:pStyle w:val="Prrafodelista"/>
        <w:jc w:val="both"/>
        <w:rPr>
          <w:rFonts w:ascii="Century Gothic" w:hAnsi="Century Gothic"/>
          <w:sz w:val="18"/>
          <w:szCs w:val="18"/>
        </w:rPr>
      </w:pPr>
    </w:p>
    <w:p w14:paraId="196A38F9" w14:textId="77777777" w:rsidR="001B340A" w:rsidRPr="001B340A" w:rsidRDefault="001B340A" w:rsidP="001B340A">
      <w:pPr>
        <w:pStyle w:val="Prrafodelista"/>
        <w:jc w:val="both"/>
        <w:rPr>
          <w:rFonts w:ascii="Century Gothic" w:hAnsi="Century Gothic"/>
          <w:sz w:val="18"/>
          <w:szCs w:val="18"/>
        </w:rPr>
      </w:pPr>
    </w:p>
    <w:p w14:paraId="1B1879E8" w14:textId="77777777" w:rsidR="001B340A" w:rsidRPr="001B340A" w:rsidRDefault="001B340A" w:rsidP="001B340A">
      <w:pPr>
        <w:pStyle w:val="Prrafodelista"/>
        <w:jc w:val="both"/>
        <w:rPr>
          <w:rFonts w:ascii="Century Gothic" w:hAnsi="Century Gothic"/>
          <w:sz w:val="18"/>
          <w:szCs w:val="18"/>
        </w:rPr>
      </w:pPr>
    </w:p>
    <w:p w14:paraId="15097DC5" w14:textId="77777777" w:rsidR="001B340A" w:rsidRPr="001B340A" w:rsidRDefault="001B340A" w:rsidP="001B340A">
      <w:pPr>
        <w:pStyle w:val="Prrafodelista"/>
        <w:jc w:val="both"/>
        <w:rPr>
          <w:rFonts w:ascii="Century Gothic" w:hAnsi="Century Gothic"/>
          <w:sz w:val="18"/>
          <w:szCs w:val="18"/>
        </w:rPr>
      </w:pPr>
    </w:p>
    <w:p w14:paraId="282AA2CB" w14:textId="77777777" w:rsidR="001B340A" w:rsidRPr="001B340A" w:rsidRDefault="001B340A" w:rsidP="001B340A">
      <w:pPr>
        <w:pStyle w:val="Prrafodelista"/>
        <w:jc w:val="both"/>
        <w:rPr>
          <w:rFonts w:ascii="Century Gothic" w:hAnsi="Century Gothic"/>
          <w:sz w:val="18"/>
          <w:szCs w:val="18"/>
        </w:rPr>
      </w:pPr>
    </w:p>
    <w:p w14:paraId="06B41061" w14:textId="77777777" w:rsidR="001B340A" w:rsidRPr="001B340A" w:rsidRDefault="001B340A" w:rsidP="001B340A">
      <w:pPr>
        <w:pStyle w:val="Prrafodelista"/>
        <w:jc w:val="both"/>
        <w:rPr>
          <w:rFonts w:ascii="Century Gothic" w:hAnsi="Century Gothic"/>
          <w:sz w:val="18"/>
          <w:szCs w:val="18"/>
        </w:rPr>
      </w:pPr>
    </w:p>
    <w:p w14:paraId="2B7B39C5" w14:textId="33D78CAD" w:rsidR="006A2F7F" w:rsidRDefault="006A2F7F" w:rsidP="006A2F7F">
      <w:pPr>
        <w:jc w:val="center"/>
        <w:rPr>
          <w:rFonts w:ascii="Century Gothic" w:hAnsi="Century Gothic"/>
          <w:b/>
          <w:sz w:val="18"/>
          <w:szCs w:val="18"/>
        </w:rPr>
      </w:pPr>
      <w:r>
        <w:rPr>
          <w:rFonts w:ascii="Century Gothic" w:hAnsi="Century Gothic"/>
          <w:b/>
          <w:sz w:val="18"/>
          <w:szCs w:val="18"/>
        </w:rPr>
        <w:t>Figura 3</w:t>
      </w:r>
      <w:r w:rsidRPr="00950CD1">
        <w:rPr>
          <w:rFonts w:ascii="Century Gothic" w:hAnsi="Century Gothic"/>
          <w:b/>
          <w:sz w:val="18"/>
          <w:szCs w:val="18"/>
        </w:rPr>
        <w:t>. Ocupación del espectro en el rango 406.1 – 512 MHz</w:t>
      </w:r>
      <w:r>
        <w:rPr>
          <w:rFonts w:ascii="Century Gothic" w:hAnsi="Century Gothic"/>
          <w:b/>
          <w:sz w:val="18"/>
          <w:szCs w:val="18"/>
        </w:rPr>
        <w:t xml:space="preserve"> por entidad Federativa. Fuente: Registros IFT</w:t>
      </w:r>
    </w:p>
    <w:p w14:paraId="31640532" w14:textId="77777777" w:rsidR="006A2F7F" w:rsidRDefault="006A2F7F" w:rsidP="006A2F7F">
      <w:pPr>
        <w:spacing w:after="0"/>
        <w:jc w:val="center"/>
        <w:rPr>
          <w:rFonts w:ascii="Century Gothic" w:hAnsi="Century Gothic"/>
          <w:b/>
          <w:sz w:val="18"/>
          <w:szCs w:val="18"/>
        </w:rPr>
      </w:pPr>
    </w:p>
    <w:p w14:paraId="46068031" w14:textId="1A03B82A" w:rsidR="0055677F" w:rsidRDefault="001B340A" w:rsidP="0055677F">
      <w:pPr>
        <w:spacing w:after="0" w:line="240" w:lineRule="auto"/>
        <w:jc w:val="both"/>
        <w:rPr>
          <w:rFonts w:ascii="Century Gothic" w:hAnsi="Century Gothic"/>
          <w:sz w:val="18"/>
          <w:szCs w:val="18"/>
        </w:rPr>
      </w:pPr>
      <w:r w:rsidRPr="001B340A">
        <w:rPr>
          <w:rFonts w:ascii="Century Gothic" w:hAnsi="Century Gothic"/>
          <w:sz w:val="18"/>
          <w:szCs w:val="18"/>
        </w:rPr>
        <w:t>Cabe resaltar que</w:t>
      </w:r>
      <w:r w:rsidR="006A2F7F">
        <w:rPr>
          <w:rFonts w:ascii="Century Gothic" w:hAnsi="Century Gothic"/>
          <w:sz w:val="18"/>
          <w:szCs w:val="18"/>
        </w:rPr>
        <w:t>,</w:t>
      </w:r>
      <w:r w:rsidRPr="001B340A">
        <w:rPr>
          <w:rFonts w:ascii="Century Gothic" w:hAnsi="Century Gothic"/>
          <w:sz w:val="18"/>
          <w:szCs w:val="18"/>
        </w:rPr>
        <w:t xml:space="preserve"> dentro del </w:t>
      </w:r>
      <w:r w:rsidR="00E76E74">
        <w:rPr>
          <w:rFonts w:ascii="Century Gothic" w:hAnsi="Century Gothic"/>
          <w:sz w:val="18"/>
          <w:szCs w:val="18"/>
        </w:rPr>
        <w:t>rango</w:t>
      </w:r>
      <w:r w:rsidR="00E76E74" w:rsidRPr="001B340A">
        <w:rPr>
          <w:rFonts w:ascii="Century Gothic" w:hAnsi="Century Gothic"/>
          <w:sz w:val="18"/>
          <w:szCs w:val="18"/>
        </w:rPr>
        <w:t xml:space="preserve"> </w:t>
      </w:r>
      <w:r w:rsidRPr="001B340A">
        <w:rPr>
          <w:rFonts w:ascii="Century Gothic" w:hAnsi="Century Gothic"/>
          <w:sz w:val="18"/>
          <w:szCs w:val="18"/>
        </w:rPr>
        <w:t>406.1-512 MHz, actualmente existen segmentos de espectro identificados como de uso libre, en donde pueden operar múltiples sistemas de radiocomunicaciones sin necesidad de contar con un permiso o concesión, por lo que los sistemas operando en estos canales no son sujetos a re</w:t>
      </w:r>
      <w:r w:rsidR="00AF4C64">
        <w:rPr>
          <w:rFonts w:ascii="Century Gothic" w:hAnsi="Century Gothic"/>
          <w:sz w:val="18"/>
          <w:szCs w:val="18"/>
        </w:rPr>
        <w:t xml:space="preserve">gistro. </w:t>
      </w:r>
      <w:r w:rsidR="00E76E74">
        <w:rPr>
          <w:rFonts w:ascii="Century Gothic" w:hAnsi="Century Gothic"/>
          <w:sz w:val="18"/>
          <w:szCs w:val="18"/>
        </w:rPr>
        <w:t>Los segmentos identificados como</w:t>
      </w:r>
      <w:r w:rsidR="00AF4C64">
        <w:rPr>
          <w:rFonts w:ascii="Century Gothic" w:hAnsi="Century Gothic"/>
          <w:sz w:val="18"/>
          <w:szCs w:val="18"/>
        </w:rPr>
        <w:t xml:space="preserve"> </w:t>
      </w:r>
      <w:r w:rsidR="00E76E74">
        <w:rPr>
          <w:rFonts w:ascii="Century Gothic" w:hAnsi="Century Gothic"/>
          <w:sz w:val="18"/>
          <w:szCs w:val="18"/>
        </w:rPr>
        <w:t xml:space="preserve">espectro </w:t>
      </w:r>
      <w:r w:rsidR="00AF4C64">
        <w:rPr>
          <w:rFonts w:ascii="Century Gothic" w:hAnsi="Century Gothic"/>
          <w:sz w:val="18"/>
          <w:szCs w:val="18"/>
        </w:rPr>
        <w:t>libre</w:t>
      </w:r>
      <w:r w:rsidRPr="001B340A">
        <w:rPr>
          <w:rStyle w:val="Refdenotaalpie"/>
          <w:rFonts w:ascii="Century Gothic" w:hAnsi="Century Gothic"/>
          <w:sz w:val="18"/>
          <w:szCs w:val="18"/>
        </w:rPr>
        <w:footnoteReference w:id="2"/>
      </w:r>
      <w:r w:rsidR="00AF4C64">
        <w:rPr>
          <w:rFonts w:ascii="Century Gothic" w:hAnsi="Century Gothic"/>
          <w:sz w:val="18"/>
          <w:szCs w:val="18"/>
        </w:rPr>
        <w:t xml:space="preserve"> </w:t>
      </w:r>
      <w:r w:rsidR="006A2F7F">
        <w:rPr>
          <w:rFonts w:ascii="Century Gothic" w:hAnsi="Century Gothic"/>
          <w:sz w:val="18"/>
          <w:szCs w:val="18"/>
        </w:rPr>
        <w:t>son lo</w:t>
      </w:r>
      <w:r w:rsidRPr="001B340A">
        <w:rPr>
          <w:rFonts w:ascii="Century Gothic" w:hAnsi="Century Gothic"/>
          <w:sz w:val="18"/>
          <w:szCs w:val="18"/>
        </w:rPr>
        <w:t xml:space="preserve">s siguientes: </w:t>
      </w:r>
    </w:p>
    <w:p w14:paraId="0270AD99" w14:textId="77777777" w:rsidR="0055677F" w:rsidRDefault="0055677F" w:rsidP="0055677F">
      <w:pPr>
        <w:spacing w:after="0" w:line="240" w:lineRule="auto"/>
        <w:jc w:val="both"/>
        <w:rPr>
          <w:rFonts w:ascii="Century Gothic" w:hAnsi="Century Gothic"/>
          <w:sz w:val="18"/>
          <w:szCs w:val="18"/>
        </w:rPr>
      </w:pPr>
    </w:p>
    <w:p w14:paraId="37C0793C" w14:textId="77777777" w:rsidR="001B340A" w:rsidRPr="0055677F" w:rsidRDefault="001B340A" w:rsidP="0055677F">
      <w:pPr>
        <w:pStyle w:val="Prrafodelista"/>
        <w:numPr>
          <w:ilvl w:val="0"/>
          <w:numId w:val="5"/>
        </w:numPr>
        <w:spacing w:after="0" w:line="240" w:lineRule="auto"/>
        <w:jc w:val="both"/>
        <w:rPr>
          <w:rFonts w:ascii="Century Gothic" w:hAnsi="Century Gothic"/>
          <w:sz w:val="18"/>
          <w:szCs w:val="18"/>
        </w:rPr>
      </w:pPr>
      <w:r w:rsidRPr="0055677F">
        <w:rPr>
          <w:rFonts w:ascii="Century Gothic" w:hAnsi="Century Gothic"/>
          <w:sz w:val="18"/>
          <w:szCs w:val="18"/>
        </w:rPr>
        <w:t>464.4875  – 464.5125 MHz</w:t>
      </w:r>
    </w:p>
    <w:p w14:paraId="6DF7C48B"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464.5375 – 464.5625 MHz</w:t>
      </w:r>
    </w:p>
    <w:p w14:paraId="553BFFDB"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467.8375 – 467.8625 MHz</w:t>
      </w:r>
    </w:p>
    <w:p w14:paraId="79D35C08"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467.8625 – 467.8875 MHz</w:t>
      </w:r>
    </w:p>
    <w:p w14:paraId="3C7E9931"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467.8875 – 467.9125 MHz</w:t>
      </w:r>
    </w:p>
    <w:p w14:paraId="5FC7B10F"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467.9125 – 467.9375 MHz</w:t>
      </w:r>
    </w:p>
    <w:p w14:paraId="0AE07880"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450.2625 – 450.4875 MHz</w:t>
      </w:r>
    </w:p>
    <w:p w14:paraId="607B7720"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455.2625 – 455.4875 MHz</w:t>
      </w:r>
    </w:p>
    <w:p w14:paraId="7B960267"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463.7625 – 463.9875 MHz</w:t>
      </w:r>
    </w:p>
    <w:p w14:paraId="44E72C51"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468.7625 – 468.9875 MHz</w:t>
      </w:r>
    </w:p>
    <w:p w14:paraId="739C05DA"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462.55625 – 462.56875 MHz</w:t>
      </w:r>
    </w:p>
    <w:p w14:paraId="439961A6"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lastRenderedPageBreak/>
        <w:t>462.58125 – 462.59375 MHz</w:t>
      </w:r>
    </w:p>
    <w:p w14:paraId="6E43F50B"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462.60625 – 462.61875 MHz</w:t>
      </w:r>
    </w:p>
    <w:p w14:paraId="401C9BBC"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462.63125 – 462.64375 MHz</w:t>
      </w:r>
    </w:p>
    <w:p w14:paraId="248F5523"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462.65625 – 462.66875 MHz</w:t>
      </w:r>
    </w:p>
    <w:p w14:paraId="29C1F163"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462.68125 – 462.69375 MHz</w:t>
      </w:r>
    </w:p>
    <w:p w14:paraId="10563C5C"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462.70625 – 462.71875 MHz</w:t>
      </w:r>
    </w:p>
    <w:p w14:paraId="57563D48"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467.55625 – 467.56875 MHz</w:t>
      </w:r>
    </w:p>
    <w:p w14:paraId="2279E546"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467.58125 – 467.59375 MHz</w:t>
      </w:r>
    </w:p>
    <w:p w14:paraId="395D7A68"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467.60625 – 467.61875 MHz</w:t>
      </w:r>
    </w:p>
    <w:p w14:paraId="522DC8AA"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467.63125 – 467.64375 MHz</w:t>
      </w:r>
    </w:p>
    <w:p w14:paraId="4177F647"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467.65625 – 467.66875 MHz</w:t>
      </w:r>
    </w:p>
    <w:p w14:paraId="322FD770" w14:textId="77777777"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467.68125 – 467.69375 MHz</w:t>
      </w:r>
    </w:p>
    <w:p w14:paraId="7068AEC3" w14:textId="77777777" w:rsidR="001B340A" w:rsidRDefault="001B340A" w:rsidP="002D5C0C">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467.70625 – 467.71875 MH</w:t>
      </w:r>
    </w:p>
    <w:p w14:paraId="7B056F30" w14:textId="77777777" w:rsidR="001B340A" w:rsidRDefault="001B340A" w:rsidP="001B340A">
      <w:pPr>
        <w:pStyle w:val="Prrafodelista"/>
        <w:spacing w:after="0" w:line="240" w:lineRule="auto"/>
        <w:jc w:val="both"/>
        <w:rPr>
          <w:rFonts w:ascii="Century Gothic" w:hAnsi="Century Gothic"/>
          <w:sz w:val="18"/>
          <w:szCs w:val="18"/>
        </w:rPr>
      </w:pPr>
    </w:p>
    <w:p w14:paraId="1A878A7D" w14:textId="48597EC9"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Los sistemas de radiocomunicación privada que se encuentran en </w:t>
      </w:r>
      <w:r w:rsidR="00E76E74">
        <w:rPr>
          <w:rFonts w:ascii="Century Gothic" w:hAnsi="Century Gothic"/>
          <w:sz w:val="18"/>
          <w:szCs w:val="18"/>
        </w:rPr>
        <w:t xml:space="preserve">el </w:t>
      </w:r>
      <w:r w:rsidR="00715573">
        <w:rPr>
          <w:rFonts w:ascii="Century Gothic" w:hAnsi="Century Gothic"/>
          <w:sz w:val="18"/>
          <w:szCs w:val="18"/>
        </w:rPr>
        <w:t>rango</w:t>
      </w:r>
      <w:r w:rsidR="00E76E74">
        <w:rPr>
          <w:rFonts w:ascii="Century Gothic" w:hAnsi="Century Gothic"/>
          <w:sz w:val="18"/>
          <w:szCs w:val="18"/>
        </w:rPr>
        <w:t xml:space="preserve"> comprendido entre</w:t>
      </w:r>
      <w:r w:rsidRPr="001B340A">
        <w:rPr>
          <w:rFonts w:ascii="Century Gothic" w:hAnsi="Century Gothic"/>
          <w:sz w:val="18"/>
          <w:szCs w:val="18"/>
        </w:rPr>
        <w:t xml:space="preserve"> 406.1-512 MHz, operan al amparo de permisos y autorizaciones que fueron otorgados con coberturas geográficas heterogéneas y en algunos casos sin fecha de vencimiento definida. Estos permisos y autorizaciones fueron otorgados a lo largo de todo el país a empresas comerciales, asociaciones civiles, dependencias y entidades gubernamentales, universidades públicas y usuarios privados, por mencionar algunos. Tales asignaciones imposibilitan administrar eficientemente el espectro radioeléctrico. </w:t>
      </w:r>
    </w:p>
    <w:p w14:paraId="5CD88F3C" w14:textId="77777777" w:rsidR="001B340A" w:rsidRPr="001B340A" w:rsidRDefault="001B340A" w:rsidP="001B340A">
      <w:pPr>
        <w:spacing w:after="0" w:line="240" w:lineRule="auto"/>
        <w:jc w:val="both"/>
        <w:rPr>
          <w:rFonts w:ascii="Century Gothic" w:hAnsi="Century Gothic"/>
          <w:sz w:val="18"/>
          <w:szCs w:val="18"/>
        </w:rPr>
      </w:pPr>
    </w:p>
    <w:p w14:paraId="7AFBE8FB" w14:textId="3F73321C"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En adición a esto, </w:t>
      </w:r>
      <w:r w:rsidR="00715573">
        <w:rPr>
          <w:rFonts w:ascii="Century Gothic" w:hAnsi="Century Gothic"/>
          <w:sz w:val="18"/>
          <w:szCs w:val="18"/>
        </w:rPr>
        <w:t>el rango</w:t>
      </w:r>
      <w:r w:rsidR="00416DC0">
        <w:rPr>
          <w:rFonts w:ascii="Century Gothic" w:hAnsi="Century Gothic"/>
          <w:sz w:val="18"/>
          <w:szCs w:val="18"/>
        </w:rPr>
        <w:t xml:space="preserve"> </w:t>
      </w:r>
      <w:r w:rsidRPr="001B340A">
        <w:rPr>
          <w:rFonts w:ascii="Century Gothic" w:hAnsi="Century Gothic"/>
          <w:sz w:val="18"/>
          <w:szCs w:val="18"/>
        </w:rPr>
        <w:t>de frecuencias 406.1-512 MHz actualmente presenta una alta saturación de usuarios que cuentan con diversos tipos de equipos, estaciones base, repetidores, equipos móviles y portátiles, con los cuales se forman pequeñas redes de radiocomunicación.</w:t>
      </w:r>
    </w:p>
    <w:p w14:paraId="2D25CC83" w14:textId="77777777" w:rsidR="001B340A" w:rsidRPr="001B340A" w:rsidRDefault="001B340A" w:rsidP="001B340A">
      <w:pPr>
        <w:spacing w:after="0" w:line="240" w:lineRule="auto"/>
        <w:jc w:val="both"/>
        <w:rPr>
          <w:rFonts w:ascii="Century Gothic" w:hAnsi="Century Gothic"/>
          <w:sz w:val="18"/>
          <w:szCs w:val="18"/>
        </w:rPr>
      </w:pPr>
    </w:p>
    <w:p w14:paraId="1E2383A6" w14:textId="77815D97" w:rsidR="001B340A" w:rsidRPr="001B340A" w:rsidRDefault="001B340A" w:rsidP="001B340A">
      <w:pPr>
        <w:spacing w:after="0" w:line="240" w:lineRule="auto"/>
        <w:jc w:val="both"/>
        <w:rPr>
          <w:rFonts w:ascii="Century Gothic" w:hAnsi="Century Gothic"/>
          <w:color w:val="000000" w:themeColor="text1"/>
          <w:sz w:val="18"/>
          <w:szCs w:val="18"/>
        </w:rPr>
      </w:pPr>
      <w:r w:rsidRPr="001B340A">
        <w:rPr>
          <w:rFonts w:ascii="Century Gothic" w:hAnsi="Century Gothic"/>
          <w:sz w:val="18"/>
          <w:szCs w:val="18"/>
        </w:rPr>
        <w:t xml:space="preserve">Asimismo, es pertinente señalar </w:t>
      </w:r>
      <w:r w:rsidRPr="001B340A">
        <w:rPr>
          <w:rFonts w:ascii="Century Gothic" w:hAnsi="Century Gothic"/>
          <w:color w:val="000000" w:themeColor="text1"/>
          <w:sz w:val="18"/>
          <w:szCs w:val="18"/>
        </w:rPr>
        <w:t xml:space="preserve">que </w:t>
      </w:r>
      <w:r w:rsidR="00715573">
        <w:rPr>
          <w:rFonts w:ascii="Century Gothic" w:hAnsi="Century Gothic"/>
          <w:color w:val="000000" w:themeColor="text1"/>
          <w:sz w:val="18"/>
          <w:szCs w:val="18"/>
        </w:rPr>
        <w:t>la banda</w:t>
      </w:r>
      <w:r w:rsidR="00715573" w:rsidRPr="001B340A">
        <w:rPr>
          <w:rFonts w:ascii="Century Gothic" w:hAnsi="Century Gothic"/>
          <w:color w:val="000000" w:themeColor="text1"/>
          <w:sz w:val="18"/>
          <w:szCs w:val="18"/>
        </w:rPr>
        <w:t xml:space="preserve"> </w:t>
      </w:r>
      <w:r w:rsidRPr="001B340A">
        <w:rPr>
          <w:rFonts w:ascii="Century Gothic" w:hAnsi="Century Gothic"/>
          <w:color w:val="000000" w:themeColor="text1"/>
          <w:sz w:val="18"/>
          <w:szCs w:val="18"/>
        </w:rPr>
        <w:t xml:space="preserve">470-512 MHz se emplea también para la provisión del servicio de radiodifusión de televisión en UHF, específicamente para los canales comprendidos entre el 14 y el 20 (470 – 608 MHz). La banda hasta hoy ha sido utilizada también para la operación de sistemas de radiocomunicación privada, dada la atribución </w:t>
      </w:r>
      <w:proofErr w:type="spellStart"/>
      <w:r w:rsidR="00C4010E">
        <w:rPr>
          <w:rFonts w:ascii="Century Gothic" w:hAnsi="Century Gothic"/>
          <w:color w:val="000000" w:themeColor="text1"/>
          <w:sz w:val="18"/>
          <w:szCs w:val="18"/>
        </w:rPr>
        <w:t>co</w:t>
      </w:r>
      <w:proofErr w:type="spellEnd"/>
      <w:r w:rsidR="00C4010E">
        <w:rPr>
          <w:rFonts w:ascii="Century Gothic" w:hAnsi="Century Gothic"/>
          <w:color w:val="000000" w:themeColor="text1"/>
          <w:sz w:val="18"/>
          <w:szCs w:val="18"/>
        </w:rPr>
        <w:t>-</w:t>
      </w:r>
      <w:r w:rsidRPr="001B340A">
        <w:rPr>
          <w:rFonts w:ascii="Century Gothic" w:hAnsi="Century Gothic"/>
          <w:color w:val="000000" w:themeColor="text1"/>
          <w:sz w:val="18"/>
          <w:szCs w:val="18"/>
        </w:rPr>
        <w:t>primaria de esta banda para el servicio móvil.</w:t>
      </w:r>
    </w:p>
    <w:p w14:paraId="537E4AC6" w14:textId="77777777" w:rsidR="001B340A" w:rsidRPr="001B340A" w:rsidRDefault="001B340A" w:rsidP="001B340A">
      <w:pPr>
        <w:spacing w:after="0" w:line="240" w:lineRule="auto"/>
        <w:jc w:val="both"/>
        <w:rPr>
          <w:rFonts w:ascii="Century Gothic" w:hAnsi="Century Gothic"/>
          <w:color w:val="000000" w:themeColor="text1"/>
          <w:sz w:val="18"/>
          <w:szCs w:val="18"/>
        </w:rPr>
      </w:pPr>
    </w:p>
    <w:p w14:paraId="2F07751B" w14:textId="38F0662A" w:rsidR="001B340A" w:rsidRPr="001B340A" w:rsidRDefault="001B340A" w:rsidP="001B340A">
      <w:pPr>
        <w:spacing w:after="0" w:line="240" w:lineRule="auto"/>
        <w:jc w:val="both"/>
        <w:rPr>
          <w:rFonts w:ascii="Century Gothic" w:hAnsi="Century Gothic"/>
          <w:color w:val="000000" w:themeColor="text1"/>
          <w:sz w:val="18"/>
          <w:szCs w:val="18"/>
        </w:rPr>
      </w:pPr>
      <w:r w:rsidRPr="001B340A">
        <w:rPr>
          <w:rFonts w:ascii="Century Gothic" w:hAnsi="Century Gothic"/>
          <w:color w:val="000000" w:themeColor="text1"/>
          <w:sz w:val="18"/>
          <w:szCs w:val="18"/>
        </w:rPr>
        <w:t>No obstante lo anterior, la banda de frecuencias 470 – 512 MHz se encuentra bajo un proceso de reordenamiento, con la finalidad de que sea utilizada exclusivamente por el servicio de radiodifusión de televisión.</w:t>
      </w:r>
      <w:r w:rsidRPr="001B340A">
        <w:rPr>
          <w:rStyle w:val="Refdenotaalpie"/>
          <w:rFonts w:ascii="Century Gothic" w:hAnsi="Century Gothic"/>
          <w:color w:val="000000" w:themeColor="text1"/>
          <w:sz w:val="18"/>
          <w:szCs w:val="18"/>
        </w:rPr>
        <w:footnoteReference w:id="3"/>
      </w:r>
    </w:p>
    <w:p w14:paraId="4C246B38" w14:textId="77777777" w:rsidR="001B340A" w:rsidRPr="001B340A" w:rsidRDefault="001B340A" w:rsidP="001B340A">
      <w:pPr>
        <w:spacing w:after="0" w:line="240" w:lineRule="auto"/>
        <w:jc w:val="both"/>
        <w:rPr>
          <w:rFonts w:ascii="Century Gothic" w:hAnsi="Century Gothic"/>
          <w:sz w:val="18"/>
          <w:szCs w:val="18"/>
        </w:rPr>
      </w:pPr>
    </w:p>
    <w:p w14:paraId="2C321817" w14:textId="7E6BDDA4"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Particularmente, en lo tocante </w:t>
      </w:r>
      <w:r w:rsidR="00C44CB7">
        <w:rPr>
          <w:rFonts w:ascii="Century Gothic" w:hAnsi="Century Gothic"/>
          <w:sz w:val="18"/>
          <w:szCs w:val="18"/>
        </w:rPr>
        <w:t xml:space="preserve">a </w:t>
      </w:r>
      <w:r w:rsidR="00715573">
        <w:rPr>
          <w:rFonts w:ascii="Century Gothic" w:hAnsi="Century Gothic"/>
          <w:sz w:val="18"/>
          <w:szCs w:val="18"/>
        </w:rPr>
        <w:t>la banda</w:t>
      </w:r>
      <w:r w:rsidRPr="001B340A">
        <w:rPr>
          <w:rFonts w:ascii="Century Gothic" w:hAnsi="Century Gothic"/>
          <w:sz w:val="18"/>
          <w:szCs w:val="18"/>
        </w:rPr>
        <w:t xml:space="preserve"> de frecuencias 450-470 MHz se identifican más de 14,</w:t>
      </w:r>
      <w:r w:rsidR="00B34582">
        <w:rPr>
          <w:rFonts w:ascii="Century Gothic" w:hAnsi="Century Gothic"/>
          <w:sz w:val="18"/>
          <w:szCs w:val="18"/>
        </w:rPr>
        <w:t>641</w:t>
      </w:r>
      <w:r w:rsidRPr="001B340A">
        <w:rPr>
          <w:rFonts w:ascii="Century Gothic" w:hAnsi="Century Gothic"/>
          <w:sz w:val="18"/>
          <w:szCs w:val="18"/>
        </w:rPr>
        <w:t xml:space="preserve"> registros de sistemas de radiocomunicación, mientras que para </w:t>
      </w:r>
      <w:r w:rsidR="00715573">
        <w:rPr>
          <w:rFonts w:ascii="Century Gothic" w:hAnsi="Century Gothic"/>
          <w:sz w:val="18"/>
          <w:szCs w:val="18"/>
        </w:rPr>
        <w:t>la banda</w:t>
      </w:r>
      <w:r w:rsidRPr="001B340A">
        <w:rPr>
          <w:rFonts w:ascii="Century Gothic" w:hAnsi="Century Gothic"/>
          <w:sz w:val="18"/>
          <w:szCs w:val="18"/>
        </w:rPr>
        <w:t xml:space="preserve"> 470-512 MHz se identifican alrededor de 6,30</w:t>
      </w:r>
      <w:r w:rsidR="00B34582">
        <w:rPr>
          <w:rFonts w:ascii="Century Gothic" w:hAnsi="Century Gothic"/>
          <w:sz w:val="18"/>
          <w:szCs w:val="18"/>
        </w:rPr>
        <w:t>3</w:t>
      </w:r>
      <w:r w:rsidRPr="001B340A">
        <w:rPr>
          <w:rFonts w:ascii="Century Gothic" w:hAnsi="Century Gothic"/>
          <w:sz w:val="18"/>
          <w:szCs w:val="18"/>
        </w:rPr>
        <w:t xml:space="preserve"> registros de sistemas de radiocomunicación.</w:t>
      </w:r>
    </w:p>
    <w:p w14:paraId="18D2EE8B" w14:textId="77777777" w:rsidR="001B340A" w:rsidRPr="001B340A" w:rsidRDefault="001B340A" w:rsidP="001B340A">
      <w:pPr>
        <w:spacing w:after="0" w:line="240" w:lineRule="auto"/>
        <w:jc w:val="both"/>
        <w:rPr>
          <w:rFonts w:ascii="Century Gothic" w:hAnsi="Century Gothic"/>
          <w:sz w:val="18"/>
          <w:szCs w:val="18"/>
        </w:rPr>
      </w:pPr>
    </w:p>
    <w:p w14:paraId="6F160935" w14:textId="77777777"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La situación descrita en los párrafos anteriores se ve agravada por una constante demanda para contar con nuevos sistemas de radiocomunicación privada, así como para incrementar las capacidades de los sistemas ya existentes.</w:t>
      </w:r>
    </w:p>
    <w:p w14:paraId="3B6C37BB" w14:textId="77777777" w:rsidR="001B340A" w:rsidRDefault="001B340A" w:rsidP="001B340A">
      <w:pPr>
        <w:spacing w:after="0" w:line="240" w:lineRule="auto"/>
        <w:jc w:val="both"/>
        <w:rPr>
          <w:rFonts w:ascii="Century Gothic" w:hAnsi="Century Gothic"/>
          <w:sz w:val="18"/>
          <w:szCs w:val="18"/>
        </w:rPr>
      </w:pPr>
    </w:p>
    <w:p w14:paraId="26DE2564" w14:textId="6E0AD086" w:rsidR="00C4010E" w:rsidRDefault="00C4010E" w:rsidP="001B340A">
      <w:pPr>
        <w:spacing w:after="0" w:line="240" w:lineRule="auto"/>
        <w:jc w:val="both"/>
        <w:rPr>
          <w:rFonts w:ascii="Century Gothic" w:hAnsi="Century Gothic"/>
          <w:sz w:val="18"/>
          <w:szCs w:val="18"/>
        </w:rPr>
      </w:pPr>
    </w:p>
    <w:p w14:paraId="6E0C6EFD" w14:textId="77777777" w:rsidR="00C4010E" w:rsidRDefault="00C4010E" w:rsidP="001B340A">
      <w:pPr>
        <w:spacing w:after="0" w:line="240" w:lineRule="auto"/>
        <w:jc w:val="both"/>
        <w:rPr>
          <w:rFonts w:ascii="Century Gothic" w:hAnsi="Century Gothic"/>
          <w:sz w:val="18"/>
          <w:szCs w:val="18"/>
        </w:rPr>
      </w:pPr>
    </w:p>
    <w:p w14:paraId="689502D2" w14:textId="77777777" w:rsidR="009043E9" w:rsidRDefault="009043E9" w:rsidP="001B340A">
      <w:pPr>
        <w:spacing w:after="0" w:line="240" w:lineRule="auto"/>
        <w:jc w:val="both"/>
        <w:rPr>
          <w:rFonts w:ascii="Century Gothic" w:hAnsi="Century Gothic"/>
          <w:sz w:val="18"/>
          <w:szCs w:val="18"/>
        </w:rPr>
      </w:pPr>
    </w:p>
    <w:p w14:paraId="3064AEDE" w14:textId="77777777" w:rsidR="00C4010E" w:rsidRPr="001B340A" w:rsidRDefault="00C4010E" w:rsidP="001B340A">
      <w:pPr>
        <w:spacing w:after="0" w:line="240" w:lineRule="auto"/>
        <w:jc w:val="both"/>
        <w:rPr>
          <w:rFonts w:ascii="Century Gothic" w:hAnsi="Century Gothic"/>
          <w:sz w:val="18"/>
          <w:szCs w:val="18"/>
        </w:rPr>
      </w:pPr>
    </w:p>
    <w:p w14:paraId="41A2D5FA" w14:textId="42467B17" w:rsidR="001B340A" w:rsidRPr="00790083" w:rsidRDefault="001B340A" w:rsidP="001B340A">
      <w:pPr>
        <w:spacing w:after="0" w:line="240" w:lineRule="auto"/>
        <w:jc w:val="both"/>
        <w:rPr>
          <w:rFonts w:ascii="Century Gothic" w:hAnsi="Century Gothic"/>
          <w:b/>
          <w:sz w:val="20"/>
          <w:szCs w:val="18"/>
          <w:u w:val="single"/>
        </w:rPr>
      </w:pPr>
      <w:r w:rsidRPr="00790083">
        <w:rPr>
          <w:rFonts w:ascii="Century Gothic" w:hAnsi="Century Gothic"/>
          <w:b/>
          <w:sz w:val="20"/>
          <w:szCs w:val="18"/>
          <w:u w:val="single"/>
        </w:rPr>
        <w:lastRenderedPageBreak/>
        <w:t>Atribu</w:t>
      </w:r>
      <w:r w:rsidR="003D62E2" w:rsidRPr="00790083">
        <w:rPr>
          <w:rFonts w:ascii="Century Gothic" w:hAnsi="Century Gothic"/>
          <w:b/>
          <w:sz w:val="20"/>
          <w:szCs w:val="18"/>
          <w:u w:val="single"/>
        </w:rPr>
        <w:t>ción de la Banda de Frecuencias</w:t>
      </w:r>
    </w:p>
    <w:p w14:paraId="1EF7B7E1" w14:textId="77777777" w:rsidR="001B340A" w:rsidRPr="001B340A" w:rsidRDefault="001B340A" w:rsidP="001B340A">
      <w:pPr>
        <w:spacing w:after="0" w:line="240" w:lineRule="auto"/>
        <w:jc w:val="both"/>
        <w:rPr>
          <w:rFonts w:ascii="Century Gothic" w:hAnsi="Century Gothic"/>
          <w:sz w:val="18"/>
          <w:szCs w:val="18"/>
        </w:rPr>
      </w:pPr>
    </w:p>
    <w:p w14:paraId="20560756" w14:textId="24118BF1"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La atribución de una banda de frecuencias constituye el acto por el cual una banda de frecuencias determinada se destina al uso de uno o varios servicios de radiocomunicación. A continuación se presenta tanto la atribución internacional como </w:t>
      </w:r>
      <w:r w:rsidR="00C4010E">
        <w:rPr>
          <w:rFonts w:ascii="Century Gothic" w:hAnsi="Century Gothic"/>
          <w:sz w:val="18"/>
          <w:szCs w:val="18"/>
        </w:rPr>
        <w:t xml:space="preserve">la </w:t>
      </w:r>
      <w:r w:rsidRPr="001B340A">
        <w:rPr>
          <w:rFonts w:ascii="Century Gothic" w:hAnsi="Century Gothic"/>
          <w:sz w:val="18"/>
          <w:szCs w:val="18"/>
        </w:rPr>
        <w:t>nacional de la banda 440 – 450 MHz:</w:t>
      </w:r>
    </w:p>
    <w:p w14:paraId="1F64247E" w14:textId="77777777" w:rsidR="001B340A" w:rsidRPr="001B340A" w:rsidRDefault="001B340A" w:rsidP="001B340A">
      <w:pPr>
        <w:spacing w:after="0" w:line="240" w:lineRule="auto"/>
        <w:jc w:val="both"/>
        <w:rPr>
          <w:rFonts w:ascii="Century Gothic" w:hAnsi="Century Gothic"/>
          <w:sz w:val="18"/>
          <w:szCs w:val="18"/>
        </w:rPr>
      </w:pPr>
    </w:p>
    <w:p w14:paraId="5FD8BCBB" w14:textId="77777777" w:rsidR="001B340A" w:rsidRPr="001B340A" w:rsidRDefault="001B340A" w:rsidP="001B340A">
      <w:pPr>
        <w:spacing w:after="0" w:line="240" w:lineRule="auto"/>
        <w:ind w:left="567"/>
        <w:jc w:val="both"/>
        <w:rPr>
          <w:rFonts w:ascii="Century Gothic" w:hAnsi="Century Gothic"/>
          <w:b/>
          <w:sz w:val="18"/>
          <w:szCs w:val="18"/>
        </w:rPr>
      </w:pPr>
      <w:r w:rsidRPr="001B340A">
        <w:rPr>
          <w:rFonts w:ascii="Century Gothic" w:hAnsi="Century Gothic"/>
          <w:b/>
          <w:sz w:val="18"/>
          <w:szCs w:val="18"/>
        </w:rPr>
        <w:t>Atribución internacional</w:t>
      </w:r>
      <w:r w:rsidRPr="001B340A">
        <w:rPr>
          <w:rStyle w:val="Refdenotaalpie"/>
          <w:rFonts w:ascii="Century Gothic" w:hAnsi="Century Gothic"/>
          <w:b/>
          <w:sz w:val="18"/>
          <w:szCs w:val="18"/>
        </w:rPr>
        <w:footnoteReference w:id="4"/>
      </w:r>
      <w:r w:rsidRPr="001B340A">
        <w:rPr>
          <w:rFonts w:ascii="Century Gothic" w:hAnsi="Century Gothic"/>
          <w:b/>
          <w:sz w:val="18"/>
          <w:szCs w:val="18"/>
        </w:rPr>
        <w:t>.</w:t>
      </w:r>
    </w:p>
    <w:tbl>
      <w:tblPr>
        <w:tblW w:w="0" w:type="auto"/>
        <w:tblInd w:w="557" w:type="dxa"/>
        <w:tblCellMar>
          <w:left w:w="28" w:type="dxa"/>
          <w:right w:w="28" w:type="dxa"/>
        </w:tblCellMar>
        <w:tblLook w:val="04A0" w:firstRow="1" w:lastRow="0" w:firstColumn="1" w:lastColumn="0" w:noHBand="0" w:noVBand="1"/>
      </w:tblPr>
      <w:tblGrid>
        <w:gridCol w:w="1701"/>
        <w:gridCol w:w="1701"/>
        <w:gridCol w:w="1701"/>
      </w:tblGrid>
      <w:tr w:rsidR="001B340A" w:rsidRPr="001B340A" w14:paraId="0FA9F7E4" w14:textId="77777777" w:rsidTr="002D5C0C">
        <w:trPr>
          <w:trHeight w:val="159"/>
        </w:trPr>
        <w:tc>
          <w:tcPr>
            <w:tcW w:w="1701"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14:paraId="18CD2C4D" w14:textId="77777777" w:rsidR="001B340A" w:rsidRPr="001B340A" w:rsidRDefault="001B340A" w:rsidP="002D5C0C">
            <w:pPr>
              <w:spacing w:after="0" w:line="240" w:lineRule="auto"/>
              <w:jc w:val="both"/>
              <w:rPr>
                <w:rFonts w:ascii="Century Gothic" w:eastAsia="Times New Roman" w:hAnsi="Century Gothic" w:cs="Times New Roman"/>
                <w:b/>
                <w:color w:val="FFFFFF"/>
                <w:sz w:val="18"/>
                <w:szCs w:val="18"/>
                <w:lang w:eastAsia="es-MX"/>
              </w:rPr>
            </w:pPr>
            <w:r w:rsidRPr="001B340A">
              <w:rPr>
                <w:rFonts w:ascii="Century Gothic" w:eastAsia="Times New Roman" w:hAnsi="Century Gothic" w:cs="Times New Roman"/>
                <w:b/>
                <w:color w:val="FFFFFF"/>
                <w:sz w:val="18"/>
                <w:szCs w:val="18"/>
                <w:lang w:eastAsia="es-MX"/>
              </w:rPr>
              <w:t>Región 1</w:t>
            </w:r>
          </w:p>
        </w:tc>
        <w:tc>
          <w:tcPr>
            <w:tcW w:w="1701"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14:paraId="12293BB3" w14:textId="77777777" w:rsidR="001B340A" w:rsidRPr="001B340A" w:rsidRDefault="001B340A" w:rsidP="002D5C0C">
            <w:pPr>
              <w:spacing w:after="0" w:line="240" w:lineRule="auto"/>
              <w:jc w:val="both"/>
              <w:rPr>
                <w:rFonts w:ascii="Century Gothic" w:eastAsia="Times New Roman" w:hAnsi="Century Gothic" w:cs="Times New Roman"/>
                <w:b/>
                <w:color w:val="FFFFFF"/>
                <w:sz w:val="18"/>
                <w:szCs w:val="18"/>
                <w:lang w:eastAsia="es-MX"/>
              </w:rPr>
            </w:pPr>
            <w:r w:rsidRPr="001B340A">
              <w:rPr>
                <w:rFonts w:ascii="Century Gothic" w:eastAsia="Times New Roman" w:hAnsi="Century Gothic" w:cs="Times New Roman"/>
                <w:b/>
                <w:color w:val="FFFFFF"/>
                <w:sz w:val="18"/>
                <w:szCs w:val="18"/>
                <w:lang w:eastAsia="es-MX"/>
              </w:rPr>
              <w:t>Región 2</w:t>
            </w:r>
          </w:p>
        </w:tc>
        <w:tc>
          <w:tcPr>
            <w:tcW w:w="1701"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14:paraId="52E3FE92" w14:textId="77777777" w:rsidR="001B340A" w:rsidRPr="001B340A" w:rsidRDefault="001B340A" w:rsidP="002D5C0C">
            <w:pPr>
              <w:spacing w:after="0" w:line="240" w:lineRule="auto"/>
              <w:jc w:val="both"/>
              <w:rPr>
                <w:rFonts w:ascii="Century Gothic" w:eastAsia="Times New Roman" w:hAnsi="Century Gothic" w:cs="Times New Roman"/>
                <w:b/>
                <w:color w:val="FFFFFF"/>
                <w:sz w:val="18"/>
                <w:szCs w:val="18"/>
                <w:lang w:eastAsia="es-MX"/>
              </w:rPr>
            </w:pPr>
            <w:r w:rsidRPr="001B340A">
              <w:rPr>
                <w:rFonts w:ascii="Century Gothic" w:eastAsia="Times New Roman" w:hAnsi="Century Gothic" w:cs="Times New Roman"/>
                <w:b/>
                <w:color w:val="FFFFFF"/>
                <w:sz w:val="18"/>
                <w:szCs w:val="18"/>
                <w:lang w:eastAsia="es-MX"/>
              </w:rPr>
              <w:t>Región 3</w:t>
            </w:r>
          </w:p>
        </w:tc>
      </w:tr>
      <w:tr w:rsidR="001B340A" w:rsidRPr="001B340A" w14:paraId="59B4991C" w14:textId="77777777" w:rsidTr="002D5C0C">
        <w:trPr>
          <w:trHeight w:val="113"/>
        </w:trPr>
        <w:tc>
          <w:tcPr>
            <w:tcW w:w="1701" w:type="dxa"/>
            <w:tcBorders>
              <w:top w:val="single" w:sz="8" w:space="0" w:color="auto"/>
              <w:left w:val="nil"/>
              <w:bottom w:val="single" w:sz="4" w:space="0" w:color="auto"/>
              <w:right w:val="nil"/>
            </w:tcBorders>
            <w:shd w:val="clear" w:color="000000" w:fill="FFFFFF"/>
            <w:noWrap/>
            <w:vAlign w:val="center"/>
            <w:hideMark/>
          </w:tcPr>
          <w:p w14:paraId="069798EF" w14:textId="77777777" w:rsidR="001B340A" w:rsidRPr="001B340A" w:rsidRDefault="001B340A" w:rsidP="002D5C0C">
            <w:pPr>
              <w:pStyle w:val="Espacios"/>
              <w:jc w:val="both"/>
              <w:rPr>
                <w:rFonts w:ascii="Century Gothic" w:hAnsi="Century Gothic"/>
                <w:sz w:val="18"/>
                <w:szCs w:val="18"/>
                <w:lang w:eastAsia="es-MX"/>
              </w:rPr>
            </w:pPr>
          </w:p>
        </w:tc>
        <w:tc>
          <w:tcPr>
            <w:tcW w:w="1701" w:type="dxa"/>
            <w:tcBorders>
              <w:top w:val="single" w:sz="8" w:space="0" w:color="auto"/>
              <w:left w:val="nil"/>
              <w:bottom w:val="single" w:sz="4" w:space="0" w:color="auto"/>
              <w:right w:val="nil"/>
            </w:tcBorders>
            <w:shd w:val="clear" w:color="000000" w:fill="FFFFFF"/>
            <w:noWrap/>
            <w:vAlign w:val="center"/>
            <w:hideMark/>
          </w:tcPr>
          <w:p w14:paraId="00D2B7A9" w14:textId="77777777" w:rsidR="001B340A" w:rsidRPr="001B340A" w:rsidRDefault="001B340A" w:rsidP="002D5C0C">
            <w:pPr>
              <w:pStyle w:val="Espacios"/>
              <w:jc w:val="both"/>
              <w:rPr>
                <w:rFonts w:ascii="Century Gothic" w:hAnsi="Century Gothic"/>
                <w:sz w:val="18"/>
                <w:szCs w:val="18"/>
                <w:lang w:eastAsia="es-MX"/>
              </w:rPr>
            </w:pPr>
          </w:p>
        </w:tc>
        <w:tc>
          <w:tcPr>
            <w:tcW w:w="1701" w:type="dxa"/>
            <w:tcBorders>
              <w:top w:val="single" w:sz="8" w:space="0" w:color="auto"/>
              <w:left w:val="nil"/>
              <w:bottom w:val="single" w:sz="4" w:space="0" w:color="auto"/>
              <w:right w:val="nil"/>
            </w:tcBorders>
            <w:shd w:val="clear" w:color="000000" w:fill="FFFFFF"/>
            <w:noWrap/>
            <w:vAlign w:val="center"/>
            <w:hideMark/>
          </w:tcPr>
          <w:p w14:paraId="2EDC6FAA" w14:textId="77777777" w:rsidR="001B340A" w:rsidRPr="001B340A" w:rsidRDefault="001B340A" w:rsidP="002D5C0C">
            <w:pPr>
              <w:pStyle w:val="Espacios"/>
              <w:jc w:val="both"/>
              <w:rPr>
                <w:rFonts w:ascii="Century Gothic" w:hAnsi="Century Gothic"/>
                <w:sz w:val="18"/>
                <w:szCs w:val="18"/>
                <w:lang w:eastAsia="es-MX"/>
              </w:rPr>
            </w:pPr>
          </w:p>
        </w:tc>
      </w:tr>
      <w:tr w:rsidR="001B340A" w:rsidRPr="001B340A" w14:paraId="5D7F62C1" w14:textId="77777777" w:rsidTr="002D5C0C">
        <w:trPr>
          <w:trHeight w:val="180"/>
        </w:trPr>
        <w:tc>
          <w:tcPr>
            <w:tcW w:w="1701" w:type="dxa"/>
            <w:tcBorders>
              <w:top w:val="single" w:sz="4" w:space="0" w:color="auto"/>
              <w:left w:val="single" w:sz="4" w:space="0" w:color="auto"/>
              <w:bottom w:val="nil"/>
              <w:right w:val="nil"/>
            </w:tcBorders>
            <w:shd w:val="clear" w:color="000000" w:fill="FFFFFF"/>
            <w:noWrap/>
            <w:vAlign w:val="center"/>
            <w:hideMark/>
          </w:tcPr>
          <w:p w14:paraId="0062B00A" w14:textId="77777777" w:rsidR="001B340A" w:rsidRPr="001B340A" w:rsidRDefault="001B340A" w:rsidP="002D5C0C">
            <w:pPr>
              <w:spacing w:after="0" w:line="240" w:lineRule="auto"/>
              <w:jc w:val="both"/>
              <w:rPr>
                <w:rFonts w:ascii="Century Gothic" w:eastAsia="Times New Roman" w:hAnsi="Century Gothic" w:cs="Times New Roman"/>
                <w:b/>
                <w:sz w:val="18"/>
                <w:szCs w:val="18"/>
                <w:lang w:eastAsia="es-MX"/>
              </w:rPr>
            </w:pPr>
            <w:r w:rsidRPr="001B340A">
              <w:rPr>
                <w:rFonts w:ascii="Century Gothic" w:eastAsia="Times New Roman" w:hAnsi="Century Gothic" w:cs="Times New Roman"/>
                <w:b/>
                <w:sz w:val="18"/>
                <w:szCs w:val="18"/>
                <w:lang w:eastAsia="es-MX"/>
              </w:rPr>
              <w:t>440 – 450</w:t>
            </w:r>
            <w:r w:rsidRPr="001B340A">
              <w:rPr>
                <w:rFonts w:ascii="Century Gothic" w:eastAsia="Times New Roman" w:hAnsi="Century Gothic" w:cs="Times New Roman"/>
                <w:b/>
                <w:bCs/>
                <w:sz w:val="18"/>
                <w:szCs w:val="18"/>
                <w:lang w:eastAsia="es-MX"/>
              </w:rPr>
              <w:t xml:space="preserve"> MHz</w:t>
            </w:r>
          </w:p>
        </w:tc>
        <w:tc>
          <w:tcPr>
            <w:tcW w:w="1701" w:type="dxa"/>
            <w:tcBorders>
              <w:top w:val="single" w:sz="4" w:space="0" w:color="auto"/>
              <w:left w:val="nil"/>
              <w:bottom w:val="nil"/>
              <w:right w:val="nil"/>
            </w:tcBorders>
            <w:shd w:val="clear" w:color="000000" w:fill="FFFFFF"/>
            <w:noWrap/>
            <w:vAlign w:val="center"/>
            <w:hideMark/>
          </w:tcPr>
          <w:p w14:paraId="650817CB" w14:textId="77777777" w:rsidR="001B340A" w:rsidRPr="001B340A" w:rsidRDefault="001B340A" w:rsidP="002D5C0C">
            <w:pPr>
              <w:spacing w:after="0" w:line="240" w:lineRule="auto"/>
              <w:jc w:val="both"/>
              <w:rPr>
                <w:rFonts w:ascii="Century Gothic" w:eastAsia="Times New Roman" w:hAnsi="Century Gothic" w:cs="Times New Roman"/>
                <w:b/>
                <w:sz w:val="18"/>
                <w:szCs w:val="18"/>
                <w:lang w:eastAsia="es-MX"/>
              </w:rPr>
            </w:pPr>
          </w:p>
        </w:tc>
        <w:tc>
          <w:tcPr>
            <w:tcW w:w="1701" w:type="dxa"/>
            <w:tcBorders>
              <w:top w:val="single" w:sz="4" w:space="0" w:color="auto"/>
              <w:left w:val="nil"/>
              <w:bottom w:val="nil"/>
              <w:right w:val="single" w:sz="4" w:space="0" w:color="auto"/>
            </w:tcBorders>
            <w:shd w:val="clear" w:color="000000" w:fill="FFFFFF"/>
            <w:noWrap/>
            <w:vAlign w:val="center"/>
            <w:hideMark/>
          </w:tcPr>
          <w:p w14:paraId="0285AE61" w14:textId="77777777" w:rsidR="001B340A" w:rsidRPr="001B340A" w:rsidRDefault="001B340A" w:rsidP="002D5C0C">
            <w:pPr>
              <w:spacing w:after="0" w:line="240" w:lineRule="auto"/>
              <w:jc w:val="both"/>
              <w:rPr>
                <w:rFonts w:ascii="Century Gothic" w:eastAsia="Times New Roman" w:hAnsi="Century Gothic" w:cs="Times New Roman"/>
                <w:b/>
                <w:sz w:val="18"/>
                <w:szCs w:val="18"/>
                <w:lang w:eastAsia="es-MX"/>
              </w:rPr>
            </w:pPr>
          </w:p>
        </w:tc>
      </w:tr>
      <w:tr w:rsidR="001B340A" w:rsidRPr="001B340A" w14:paraId="518941CF" w14:textId="77777777" w:rsidTr="002D5C0C">
        <w:trPr>
          <w:trHeight w:val="180"/>
        </w:trPr>
        <w:tc>
          <w:tcPr>
            <w:tcW w:w="1701" w:type="dxa"/>
            <w:tcBorders>
              <w:top w:val="nil"/>
              <w:left w:val="single" w:sz="4" w:space="0" w:color="auto"/>
              <w:bottom w:val="nil"/>
              <w:right w:val="nil"/>
            </w:tcBorders>
            <w:shd w:val="clear" w:color="000000" w:fill="FFFFFF"/>
            <w:noWrap/>
            <w:vAlign w:val="center"/>
            <w:hideMark/>
          </w:tcPr>
          <w:p w14:paraId="7AFC63B3"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FIJO</w:t>
            </w:r>
          </w:p>
        </w:tc>
        <w:tc>
          <w:tcPr>
            <w:tcW w:w="1701" w:type="dxa"/>
            <w:tcBorders>
              <w:top w:val="nil"/>
              <w:left w:val="nil"/>
              <w:bottom w:val="nil"/>
              <w:right w:val="nil"/>
            </w:tcBorders>
            <w:shd w:val="clear" w:color="000000" w:fill="FFFFFF"/>
            <w:noWrap/>
            <w:vAlign w:val="center"/>
            <w:hideMark/>
          </w:tcPr>
          <w:p w14:paraId="3F89B5D9"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c>
          <w:tcPr>
            <w:tcW w:w="1701" w:type="dxa"/>
            <w:tcBorders>
              <w:top w:val="nil"/>
              <w:left w:val="nil"/>
              <w:bottom w:val="nil"/>
              <w:right w:val="single" w:sz="4" w:space="0" w:color="auto"/>
            </w:tcBorders>
            <w:shd w:val="clear" w:color="000000" w:fill="FFFFFF"/>
            <w:noWrap/>
            <w:vAlign w:val="center"/>
            <w:hideMark/>
          </w:tcPr>
          <w:p w14:paraId="21122E5C"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r>
      <w:tr w:rsidR="001B340A" w:rsidRPr="001B340A" w14:paraId="69834271" w14:textId="77777777" w:rsidTr="002D5C0C">
        <w:trPr>
          <w:trHeight w:val="180"/>
        </w:trPr>
        <w:tc>
          <w:tcPr>
            <w:tcW w:w="3402" w:type="dxa"/>
            <w:gridSpan w:val="2"/>
            <w:tcBorders>
              <w:top w:val="nil"/>
              <w:left w:val="single" w:sz="4" w:space="0" w:color="auto"/>
              <w:bottom w:val="nil"/>
              <w:right w:val="nil"/>
            </w:tcBorders>
            <w:shd w:val="clear" w:color="000000" w:fill="FFFFFF"/>
            <w:noWrap/>
            <w:vAlign w:val="center"/>
            <w:hideMark/>
          </w:tcPr>
          <w:p w14:paraId="19AE797E"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MÓVIL salvo móvil aeronáutico</w:t>
            </w:r>
          </w:p>
        </w:tc>
        <w:tc>
          <w:tcPr>
            <w:tcW w:w="1701" w:type="dxa"/>
            <w:tcBorders>
              <w:top w:val="nil"/>
              <w:left w:val="nil"/>
              <w:bottom w:val="nil"/>
              <w:right w:val="single" w:sz="4" w:space="0" w:color="auto"/>
            </w:tcBorders>
            <w:shd w:val="clear" w:color="000000" w:fill="FFFFFF"/>
            <w:noWrap/>
            <w:vAlign w:val="center"/>
            <w:hideMark/>
          </w:tcPr>
          <w:p w14:paraId="5577A1B3"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r>
      <w:tr w:rsidR="001B340A" w:rsidRPr="001B340A" w14:paraId="03189FD8" w14:textId="77777777" w:rsidTr="002D5C0C">
        <w:trPr>
          <w:trHeight w:val="180"/>
        </w:trPr>
        <w:tc>
          <w:tcPr>
            <w:tcW w:w="1701" w:type="dxa"/>
            <w:tcBorders>
              <w:top w:val="nil"/>
              <w:left w:val="single" w:sz="4" w:space="0" w:color="auto"/>
              <w:bottom w:val="nil"/>
              <w:right w:val="nil"/>
            </w:tcBorders>
            <w:shd w:val="clear" w:color="000000" w:fill="FFFFFF"/>
            <w:noWrap/>
            <w:vAlign w:val="center"/>
            <w:hideMark/>
          </w:tcPr>
          <w:p w14:paraId="6B98D0E6"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Radiolocalización</w:t>
            </w:r>
          </w:p>
        </w:tc>
        <w:tc>
          <w:tcPr>
            <w:tcW w:w="1701" w:type="dxa"/>
            <w:tcBorders>
              <w:top w:val="nil"/>
              <w:left w:val="nil"/>
              <w:bottom w:val="nil"/>
              <w:right w:val="nil"/>
            </w:tcBorders>
            <w:shd w:val="clear" w:color="000000" w:fill="FFFFFF"/>
            <w:noWrap/>
            <w:vAlign w:val="center"/>
            <w:hideMark/>
          </w:tcPr>
          <w:p w14:paraId="6092FE50"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c>
          <w:tcPr>
            <w:tcW w:w="1701" w:type="dxa"/>
            <w:tcBorders>
              <w:top w:val="nil"/>
              <w:left w:val="nil"/>
              <w:bottom w:val="nil"/>
              <w:right w:val="single" w:sz="4" w:space="0" w:color="auto"/>
            </w:tcBorders>
            <w:shd w:val="clear" w:color="000000" w:fill="FFFFFF"/>
            <w:noWrap/>
            <w:vAlign w:val="center"/>
            <w:hideMark/>
          </w:tcPr>
          <w:p w14:paraId="02333F86"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r>
      <w:tr w:rsidR="001B340A" w:rsidRPr="001B340A" w14:paraId="1C02257A" w14:textId="77777777" w:rsidTr="002D5C0C">
        <w:trPr>
          <w:trHeight w:val="180"/>
        </w:trPr>
        <w:tc>
          <w:tcPr>
            <w:tcW w:w="1701" w:type="dxa"/>
            <w:tcBorders>
              <w:top w:val="nil"/>
              <w:left w:val="single" w:sz="4" w:space="0" w:color="auto"/>
              <w:bottom w:val="nil"/>
              <w:right w:val="nil"/>
            </w:tcBorders>
            <w:shd w:val="clear" w:color="000000" w:fill="FFFFFF"/>
            <w:noWrap/>
            <w:vAlign w:val="center"/>
            <w:hideMark/>
          </w:tcPr>
          <w:p w14:paraId="62B8E2BB"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c>
          <w:tcPr>
            <w:tcW w:w="1701" w:type="dxa"/>
            <w:tcBorders>
              <w:top w:val="nil"/>
              <w:left w:val="nil"/>
              <w:bottom w:val="nil"/>
              <w:right w:val="nil"/>
            </w:tcBorders>
            <w:shd w:val="clear" w:color="000000" w:fill="FFFFFF"/>
            <w:noWrap/>
            <w:vAlign w:val="center"/>
            <w:hideMark/>
          </w:tcPr>
          <w:p w14:paraId="69DF18C9"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c>
          <w:tcPr>
            <w:tcW w:w="1701" w:type="dxa"/>
            <w:tcBorders>
              <w:top w:val="nil"/>
              <w:left w:val="nil"/>
              <w:bottom w:val="nil"/>
              <w:right w:val="single" w:sz="4" w:space="0" w:color="auto"/>
            </w:tcBorders>
            <w:shd w:val="clear" w:color="000000" w:fill="FFFFFF"/>
            <w:noWrap/>
            <w:vAlign w:val="center"/>
            <w:hideMark/>
          </w:tcPr>
          <w:p w14:paraId="2EC6CF0E"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r>
      <w:tr w:rsidR="001B340A" w:rsidRPr="001B340A" w14:paraId="40B0D19D" w14:textId="77777777" w:rsidTr="002D5C0C">
        <w:trPr>
          <w:trHeight w:val="180"/>
        </w:trPr>
        <w:tc>
          <w:tcPr>
            <w:tcW w:w="5103"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964878C"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5.269  5.270  5.271  5.284  5.285  5.286</w:t>
            </w:r>
          </w:p>
        </w:tc>
      </w:tr>
    </w:tbl>
    <w:p w14:paraId="5A664003" w14:textId="77777777" w:rsidR="001B340A" w:rsidRPr="001B340A" w:rsidRDefault="001B340A" w:rsidP="001B340A">
      <w:pPr>
        <w:spacing w:after="0" w:line="240" w:lineRule="auto"/>
        <w:jc w:val="both"/>
        <w:rPr>
          <w:rFonts w:ascii="Century Gothic" w:hAnsi="Century Gothic"/>
          <w:sz w:val="18"/>
          <w:szCs w:val="18"/>
        </w:rPr>
      </w:pPr>
    </w:p>
    <w:p w14:paraId="1FB293F9" w14:textId="77777777" w:rsidR="001B340A" w:rsidRPr="001B340A" w:rsidRDefault="001B340A" w:rsidP="001B340A">
      <w:pPr>
        <w:spacing w:after="0" w:line="240" w:lineRule="auto"/>
        <w:ind w:left="567"/>
        <w:jc w:val="both"/>
        <w:rPr>
          <w:rFonts w:ascii="Century Gothic" w:hAnsi="Century Gothic"/>
          <w:sz w:val="18"/>
          <w:szCs w:val="18"/>
        </w:rPr>
      </w:pPr>
      <w:r w:rsidRPr="001B340A">
        <w:rPr>
          <w:rFonts w:ascii="Century Gothic" w:hAnsi="Century Gothic"/>
          <w:b/>
          <w:sz w:val="18"/>
          <w:szCs w:val="18"/>
        </w:rPr>
        <w:t>Atribución nacional</w:t>
      </w:r>
      <w:r w:rsidRPr="001B340A">
        <w:rPr>
          <w:rStyle w:val="Refdenotaalpie"/>
          <w:rFonts w:ascii="Century Gothic" w:hAnsi="Century Gothic"/>
          <w:b/>
          <w:sz w:val="18"/>
          <w:szCs w:val="18"/>
        </w:rPr>
        <w:footnoteReference w:id="5"/>
      </w:r>
      <w:r w:rsidRPr="001B340A">
        <w:rPr>
          <w:rFonts w:ascii="Century Gothic" w:hAnsi="Century Gothic"/>
          <w:b/>
          <w:sz w:val="18"/>
          <w:szCs w:val="18"/>
        </w:rPr>
        <w:t>.</w:t>
      </w:r>
    </w:p>
    <w:tbl>
      <w:tblPr>
        <w:tblW w:w="0" w:type="auto"/>
        <w:tblInd w:w="557" w:type="dxa"/>
        <w:tblCellMar>
          <w:left w:w="28" w:type="dxa"/>
          <w:right w:w="28" w:type="dxa"/>
        </w:tblCellMar>
        <w:tblLook w:val="04A0" w:firstRow="1" w:lastRow="0" w:firstColumn="1" w:lastColumn="0" w:noHBand="0" w:noVBand="1"/>
      </w:tblPr>
      <w:tblGrid>
        <w:gridCol w:w="3402"/>
      </w:tblGrid>
      <w:tr w:rsidR="001B340A" w:rsidRPr="001B340A" w14:paraId="547DCB76" w14:textId="77777777" w:rsidTr="002D5C0C">
        <w:trPr>
          <w:trHeight w:val="200"/>
        </w:trPr>
        <w:tc>
          <w:tcPr>
            <w:tcW w:w="3402"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20E38BFA" w14:textId="77777777" w:rsidR="001B340A" w:rsidRPr="001B340A" w:rsidRDefault="001B340A" w:rsidP="002D5C0C">
            <w:pPr>
              <w:spacing w:after="0" w:line="240" w:lineRule="auto"/>
              <w:jc w:val="both"/>
              <w:rPr>
                <w:rFonts w:ascii="Century Gothic" w:eastAsia="Times New Roman" w:hAnsi="Century Gothic" w:cs="Times New Roman"/>
                <w:b/>
                <w:bCs/>
                <w:color w:val="FFFFFF"/>
                <w:sz w:val="18"/>
                <w:szCs w:val="18"/>
                <w:lang w:eastAsia="es-MX"/>
              </w:rPr>
            </w:pPr>
            <w:r w:rsidRPr="001B340A">
              <w:rPr>
                <w:rFonts w:ascii="Century Gothic" w:eastAsia="Times New Roman" w:hAnsi="Century Gothic" w:cs="Times New Roman"/>
                <w:b/>
                <w:bCs/>
                <w:color w:val="FFFFFF"/>
                <w:sz w:val="18"/>
                <w:szCs w:val="18"/>
                <w:lang w:eastAsia="es-MX"/>
              </w:rPr>
              <w:t>CNAF 2015</w:t>
            </w:r>
          </w:p>
        </w:tc>
      </w:tr>
      <w:tr w:rsidR="001B340A" w:rsidRPr="001B340A" w14:paraId="2B9C33B1" w14:textId="77777777" w:rsidTr="002D5C0C">
        <w:trPr>
          <w:trHeight w:val="113"/>
        </w:trPr>
        <w:tc>
          <w:tcPr>
            <w:tcW w:w="3402" w:type="dxa"/>
            <w:tcBorders>
              <w:top w:val="single" w:sz="8" w:space="0" w:color="auto"/>
              <w:left w:val="nil"/>
              <w:bottom w:val="single" w:sz="4" w:space="0" w:color="auto"/>
              <w:right w:val="nil"/>
            </w:tcBorders>
            <w:shd w:val="clear" w:color="000000" w:fill="FFFFFF"/>
            <w:noWrap/>
            <w:vAlign w:val="center"/>
            <w:hideMark/>
          </w:tcPr>
          <w:p w14:paraId="78F35F4E" w14:textId="77777777" w:rsidR="001B340A" w:rsidRPr="001B340A" w:rsidRDefault="001B340A" w:rsidP="002D5C0C">
            <w:pPr>
              <w:pStyle w:val="Espacios"/>
              <w:jc w:val="both"/>
              <w:rPr>
                <w:rFonts w:ascii="Century Gothic" w:hAnsi="Century Gothic"/>
                <w:sz w:val="18"/>
                <w:szCs w:val="18"/>
                <w:lang w:eastAsia="es-MX"/>
              </w:rPr>
            </w:pPr>
          </w:p>
        </w:tc>
      </w:tr>
      <w:tr w:rsidR="001B340A" w:rsidRPr="001B340A" w14:paraId="680B99E0" w14:textId="77777777" w:rsidTr="002D5C0C">
        <w:trPr>
          <w:trHeight w:val="180"/>
        </w:trPr>
        <w:tc>
          <w:tcPr>
            <w:tcW w:w="3402" w:type="dxa"/>
            <w:tcBorders>
              <w:top w:val="single" w:sz="4" w:space="0" w:color="auto"/>
              <w:left w:val="single" w:sz="4" w:space="0" w:color="auto"/>
              <w:bottom w:val="nil"/>
              <w:right w:val="single" w:sz="4" w:space="0" w:color="auto"/>
            </w:tcBorders>
            <w:shd w:val="clear" w:color="000000" w:fill="FFFFFF"/>
            <w:noWrap/>
            <w:vAlign w:val="center"/>
            <w:hideMark/>
          </w:tcPr>
          <w:p w14:paraId="2277C6A0" w14:textId="77777777" w:rsidR="001B340A" w:rsidRPr="001B340A" w:rsidRDefault="001B340A" w:rsidP="002D5C0C">
            <w:pPr>
              <w:spacing w:after="0" w:line="240" w:lineRule="auto"/>
              <w:jc w:val="both"/>
              <w:rPr>
                <w:rFonts w:ascii="Century Gothic" w:eastAsia="Times New Roman" w:hAnsi="Century Gothic" w:cs="Times New Roman"/>
                <w:b/>
                <w:bCs/>
                <w:sz w:val="18"/>
                <w:szCs w:val="18"/>
                <w:lang w:eastAsia="es-MX"/>
              </w:rPr>
            </w:pPr>
            <w:r w:rsidRPr="001B340A">
              <w:rPr>
                <w:rFonts w:ascii="Century Gothic" w:eastAsia="Times New Roman" w:hAnsi="Century Gothic" w:cs="Times New Roman"/>
                <w:b/>
                <w:bCs/>
                <w:sz w:val="18"/>
                <w:szCs w:val="18"/>
                <w:lang w:eastAsia="es-MX"/>
              </w:rPr>
              <w:t>440 – 450 MHz</w:t>
            </w:r>
          </w:p>
        </w:tc>
      </w:tr>
      <w:tr w:rsidR="001B340A" w:rsidRPr="001B340A" w14:paraId="4A64E74D" w14:textId="77777777" w:rsidTr="002D5C0C">
        <w:trPr>
          <w:trHeight w:val="180"/>
        </w:trPr>
        <w:tc>
          <w:tcPr>
            <w:tcW w:w="3402" w:type="dxa"/>
            <w:tcBorders>
              <w:top w:val="nil"/>
              <w:left w:val="single" w:sz="4" w:space="0" w:color="auto"/>
              <w:bottom w:val="nil"/>
              <w:right w:val="single" w:sz="4" w:space="0" w:color="auto"/>
            </w:tcBorders>
            <w:shd w:val="clear" w:color="000000" w:fill="FFFFFF"/>
            <w:noWrap/>
            <w:vAlign w:val="center"/>
            <w:hideMark/>
          </w:tcPr>
          <w:p w14:paraId="201B1798"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MÓVIL salvo móvil aeronáutico</w:t>
            </w:r>
          </w:p>
        </w:tc>
      </w:tr>
      <w:tr w:rsidR="001B340A" w:rsidRPr="001B340A" w14:paraId="5535F3F0" w14:textId="77777777" w:rsidTr="002D5C0C">
        <w:trPr>
          <w:trHeight w:val="180"/>
        </w:trPr>
        <w:tc>
          <w:tcPr>
            <w:tcW w:w="3402" w:type="dxa"/>
            <w:tcBorders>
              <w:top w:val="nil"/>
              <w:left w:val="single" w:sz="4" w:space="0" w:color="auto"/>
              <w:bottom w:val="nil"/>
              <w:right w:val="single" w:sz="4" w:space="0" w:color="auto"/>
            </w:tcBorders>
            <w:shd w:val="clear" w:color="000000" w:fill="FFFFFF"/>
            <w:noWrap/>
            <w:vAlign w:val="center"/>
            <w:hideMark/>
          </w:tcPr>
          <w:p w14:paraId="1C0A60F2"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Radiolocalización</w:t>
            </w:r>
          </w:p>
        </w:tc>
      </w:tr>
      <w:tr w:rsidR="001B340A" w:rsidRPr="001B340A" w14:paraId="438716BB" w14:textId="77777777" w:rsidTr="002D5C0C">
        <w:trPr>
          <w:trHeight w:val="180"/>
        </w:trPr>
        <w:tc>
          <w:tcPr>
            <w:tcW w:w="3402" w:type="dxa"/>
            <w:tcBorders>
              <w:top w:val="nil"/>
              <w:left w:val="single" w:sz="4" w:space="0" w:color="auto"/>
              <w:bottom w:val="nil"/>
              <w:right w:val="single" w:sz="4" w:space="0" w:color="auto"/>
            </w:tcBorders>
            <w:shd w:val="clear" w:color="000000" w:fill="FFFFFF"/>
            <w:noWrap/>
            <w:vAlign w:val="center"/>
            <w:hideMark/>
          </w:tcPr>
          <w:p w14:paraId="11DC17BB" w14:textId="77777777"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r>
      <w:tr w:rsidR="001B340A" w:rsidRPr="001B340A" w14:paraId="36D2EAED" w14:textId="77777777" w:rsidTr="002D5C0C">
        <w:trPr>
          <w:trHeight w:val="180"/>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307FEDCF" w14:textId="77777777" w:rsidR="001B340A" w:rsidRPr="001B340A" w:rsidRDefault="001B340A" w:rsidP="002D5C0C">
            <w:pPr>
              <w:spacing w:after="0" w:line="240" w:lineRule="auto"/>
              <w:jc w:val="both"/>
              <w:rPr>
                <w:rFonts w:ascii="Century Gothic" w:eastAsia="Times New Roman" w:hAnsi="Century Gothic" w:cs="Times New Roman"/>
                <w:b/>
                <w:bCs/>
                <w:sz w:val="18"/>
                <w:szCs w:val="18"/>
                <w:lang w:eastAsia="es-MX"/>
              </w:rPr>
            </w:pPr>
            <w:r w:rsidRPr="001B340A">
              <w:rPr>
                <w:rFonts w:ascii="Century Gothic" w:eastAsia="Times New Roman" w:hAnsi="Century Gothic" w:cs="Times New Roman"/>
                <w:b/>
                <w:bCs/>
                <w:sz w:val="18"/>
                <w:szCs w:val="18"/>
                <w:lang w:eastAsia="es-MX"/>
              </w:rPr>
              <w:t>MX131  MX133</w:t>
            </w:r>
          </w:p>
        </w:tc>
      </w:tr>
    </w:tbl>
    <w:p w14:paraId="548B5FF0" w14:textId="77777777" w:rsidR="001B340A" w:rsidRPr="001B340A" w:rsidRDefault="001B340A" w:rsidP="001B340A">
      <w:pPr>
        <w:spacing w:after="0" w:line="240" w:lineRule="auto"/>
        <w:jc w:val="both"/>
        <w:rPr>
          <w:rFonts w:ascii="Century Gothic" w:hAnsi="Century Gothic"/>
          <w:b/>
          <w:sz w:val="18"/>
          <w:szCs w:val="18"/>
        </w:rPr>
      </w:pPr>
    </w:p>
    <w:p w14:paraId="01EC4BDD" w14:textId="77777777" w:rsidR="001B340A" w:rsidRPr="001B340A" w:rsidRDefault="001B340A" w:rsidP="001B340A">
      <w:pPr>
        <w:spacing w:after="0" w:line="240" w:lineRule="auto"/>
        <w:ind w:left="567"/>
        <w:jc w:val="both"/>
        <w:rPr>
          <w:rFonts w:ascii="Century Gothic" w:hAnsi="Century Gothic"/>
          <w:b/>
          <w:sz w:val="18"/>
          <w:szCs w:val="18"/>
        </w:rPr>
      </w:pPr>
      <w:r w:rsidRPr="001B340A">
        <w:rPr>
          <w:rFonts w:ascii="Century Gothic" w:hAnsi="Century Gothic"/>
          <w:b/>
          <w:sz w:val="18"/>
          <w:szCs w:val="18"/>
        </w:rPr>
        <w:t>Notas Nacionales.</w:t>
      </w:r>
    </w:p>
    <w:p w14:paraId="6127104F" w14:textId="77777777" w:rsidR="001B340A" w:rsidRPr="001B340A" w:rsidRDefault="001B340A" w:rsidP="001B340A">
      <w:pPr>
        <w:spacing w:after="0" w:line="240" w:lineRule="auto"/>
        <w:ind w:left="567"/>
        <w:jc w:val="both"/>
        <w:rPr>
          <w:rFonts w:ascii="Century Gothic" w:hAnsi="Century Gothic"/>
          <w:b/>
          <w:sz w:val="18"/>
          <w:szCs w:val="18"/>
        </w:rPr>
      </w:pPr>
    </w:p>
    <w:p w14:paraId="32A99B4B" w14:textId="77777777" w:rsidR="001B340A" w:rsidRPr="001B340A" w:rsidRDefault="001B340A" w:rsidP="001B340A">
      <w:pPr>
        <w:spacing w:after="0" w:line="240" w:lineRule="auto"/>
        <w:ind w:left="567" w:right="333"/>
        <w:jc w:val="both"/>
        <w:rPr>
          <w:rFonts w:ascii="Century Gothic" w:hAnsi="Century Gothic"/>
          <w:i/>
          <w:sz w:val="18"/>
          <w:szCs w:val="18"/>
        </w:rPr>
      </w:pPr>
      <w:r w:rsidRPr="001B340A">
        <w:rPr>
          <w:rFonts w:ascii="Century Gothic" w:hAnsi="Century Gothic"/>
          <w:b/>
          <w:i/>
          <w:sz w:val="18"/>
          <w:szCs w:val="18"/>
        </w:rPr>
        <w:t xml:space="preserve">MX133 </w:t>
      </w:r>
      <w:r w:rsidRPr="001B340A">
        <w:rPr>
          <w:rFonts w:ascii="Century Gothic" w:hAnsi="Century Gothic"/>
          <w:b/>
          <w:i/>
          <w:sz w:val="18"/>
          <w:szCs w:val="18"/>
        </w:rPr>
        <w:tab/>
      </w:r>
      <w:r w:rsidRPr="001B340A">
        <w:rPr>
          <w:rFonts w:ascii="Century Gothic" w:hAnsi="Century Gothic"/>
          <w:i/>
          <w:sz w:val="18"/>
          <w:szCs w:val="18"/>
        </w:rPr>
        <w:t>La banda de frecuencias 410-470 MHz se encuentra bajo un proceso de reordenamiento para el despeje de sistemas del servicio fijo con la finalidad de que dicha banda sea empleada exclusivamente por sistemas del servicio móvil.</w:t>
      </w:r>
    </w:p>
    <w:p w14:paraId="2FB748A4" w14:textId="77777777" w:rsidR="001B340A" w:rsidRPr="001B340A" w:rsidRDefault="001B340A" w:rsidP="001B340A">
      <w:pPr>
        <w:spacing w:after="0" w:line="240" w:lineRule="auto"/>
        <w:ind w:left="567" w:right="333"/>
        <w:jc w:val="both"/>
        <w:rPr>
          <w:rFonts w:ascii="Century Gothic" w:hAnsi="Century Gothic"/>
          <w:i/>
          <w:sz w:val="18"/>
          <w:szCs w:val="18"/>
        </w:rPr>
      </w:pPr>
    </w:p>
    <w:p w14:paraId="256A7E7E" w14:textId="77777777" w:rsidR="001B340A" w:rsidRPr="001B340A" w:rsidRDefault="001B340A" w:rsidP="001B340A">
      <w:pPr>
        <w:spacing w:after="0" w:line="240" w:lineRule="auto"/>
        <w:ind w:left="567" w:right="333"/>
        <w:jc w:val="both"/>
        <w:rPr>
          <w:rFonts w:ascii="Century Gothic" w:hAnsi="Century Gothic"/>
          <w:b/>
          <w:i/>
          <w:sz w:val="18"/>
          <w:szCs w:val="18"/>
        </w:rPr>
      </w:pPr>
      <w:r w:rsidRPr="001B340A">
        <w:rPr>
          <w:rFonts w:ascii="Century Gothic" w:hAnsi="Century Gothic"/>
          <w:b/>
          <w:i/>
          <w:sz w:val="18"/>
          <w:szCs w:val="18"/>
        </w:rPr>
        <w:t>MX135</w:t>
      </w:r>
      <w:r w:rsidRPr="001B340A">
        <w:rPr>
          <w:rFonts w:ascii="Century Gothic" w:hAnsi="Century Gothic"/>
          <w:b/>
          <w:i/>
          <w:sz w:val="18"/>
          <w:szCs w:val="18"/>
        </w:rPr>
        <w:tab/>
        <w:t xml:space="preserve"> </w:t>
      </w:r>
      <w:r w:rsidRPr="001B340A">
        <w:rPr>
          <w:rFonts w:ascii="Century Gothic" w:hAnsi="Century Gothic"/>
          <w:i/>
          <w:sz w:val="18"/>
          <w:szCs w:val="18"/>
        </w:rPr>
        <w:t xml:space="preserve">Se tiene previsto el </w:t>
      </w:r>
      <w:proofErr w:type="spellStart"/>
      <w:r w:rsidRPr="001B340A">
        <w:rPr>
          <w:rFonts w:ascii="Century Gothic" w:hAnsi="Century Gothic"/>
          <w:i/>
          <w:sz w:val="18"/>
          <w:szCs w:val="18"/>
        </w:rPr>
        <w:t>concesionamiento</w:t>
      </w:r>
      <w:proofErr w:type="spellEnd"/>
      <w:r w:rsidRPr="001B340A">
        <w:rPr>
          <w:rFonts w:ascii="Century Gothic" w:hAnsi="Century Gothic"/>
          <w:i/>
          <w:sz w:val="18"/>
          <w:szCs w:val="18"/>
        </w:rPr>
        <w:t xml:space="preserve"> de la banda de frecuencias 440-450 MHz, a través del correspondiente proceso de licitación pública, orientado a la provisión de capacidad para sistemas de radiocomunicación privada. Esta banda se encuentra incluida en el PABF de 2015, el cual fue publicado en el DOF el 6 de abril de 2015.</w:t>
      </w:r>
    </w:p>
    <w:p w14:paraId="0183631F" w14:textId="77777777" w:rsidR="001B340A" w:rsidRPr="001B340A" w:rsidRDefault="001B340A" w:rsidP="001B340A">
      <w:pPr>
        <w:spacing w:after="0" w:line="240" w:lineRule="auto"/>
        <w:jc w:val="both"/>
        <w:rPr>
          <w:rFonts w:ascii="Century Gothic" w:hAnsi="Century Gothic"/>
          <w:b/>
          <w:sz w:val="18"/>
          <w:szCs w:val="18"/>
        </w:rPr>
      </w:pPr>
    </w:p>
    <w:p w14:paraId="287E4A58" w14:textId="7A501D97" w:rsidR="001B340A" w:rsidRPr="00790083" w:rsidRDefault="001B340A" w:rsidP="001B340A">
      <w:pPr>
        <w:spacing w:after="0" w:line="240" w:lineRule="auto"/>
        <w:jc w:val="both"/>
        <w:rPr>
          <w:rFonts w:ascii="Century Gothic" w:hAnsi="Century Gothic"/>
          <w:b/>
          <w:sz w:val="20"/>
          <w:szCs w:val="18"/>
          <w:u w:val="single"/>
        </w:rPr>
      </w:pPr>
      <w:r w:rsidRPr="00790083">
        <w:rPr>
          <w:rFonts w:ascii="Century Gothic" w:hAnsi="Century Gothic"/>
          <w:b/>
          <w:sz w:val="20"/>
          <w:szCs w:val="18"/>
          <w:u w:val="single"/>
        </w:rPr>
        <w:t xml:space="preserve">Entorno internacional de la banda </w:t>
      </w:r>
      <w:r w:rsidRPr="00790083">
        <w:rPr>
          <w:rFonts w:ascii="Century Gothic" w:eastAsia="Times New Roman" w:hAnsi="Century Gothic" w:cs="Times New Roman"/>
          <w:b/>
          <w:bCs/>
          <w:sz w:val="20"/>
          <w:szCs w:val="18"/>
          <w:u w:val="single"/>
          <w:lang w:eastAsia="es-MX"/>
        </w:rPr>
        <w:t>440 – 450 MHz</w:t>
      </w:r>
    </w:p>
    <w:p w14:paraId="0FF6E0A6" w14:textId="77777777" w:rsidR="001B340A" w:rsidRPr="001B340A" w:rsidRDefault="001B340A" w:rsidP="001B340A">
      <w:pPr>
        <w:spacing w:after="0" w:line="240" w:lineRule="auto"/>
        <w:jc w:val="both"/>
        <w:rPr>
          <w:rFonts w:ascii="Century Gothic" w:hAnsi="Century Gothic"/>
          <w:b/>
          <w:sz w:val="18"/>
          <w:szCs w:val="18"/>
        </w:rPr>
      </w:pPr>
    </w:p>
    <w:p w14:paraId="0D14F4A5" w14:textId="59D5669B"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El uso de la banda de frecuencias a nivel internacional es diverso. En ciertos países, como Costa Rica, Alemania e Irlanda, se utiliza exclusivamente para servicios móviles de banda angosta</w:t>
      </w:r>
      <w:r w:rsidRPr="001B340A">
        <w:rPr>
          <w:rStyle w:val="Refdenotaalpie"/>
          <w:rFonts w:ascii="Century Gothic" w:hAnsi="Century Gothic"/>
          <w:sz w:val="18"/>
          <w:szCs w:val="18"/>
        </w:rPr>
        <w:footnoteReference w:id="6"/>
      </w:r>
      <w:r w:rsidRPr="001B340A">
        <w:rPr>
          <w:rFonts w:ascii="Century Gothic" w:hAnsi="Century Gothic"/>
          <w:sz w:val="18"/>
          <w:szCs w:val="18"/>
        </w:rPr>
        <w:t xml:space="preserve">; mientras que en países como Colombia, Argentina, Reino Unido y España se utiliza de manera segmentada tanto para el servicio fijo como para </w:t>
      </w:r>
      <w:r w:rsidR="00C56630">
        <w:rPr>
          <w:rFonts w:ascii="Century Gothic" w:hAnsi="Century Gothic"/>
          <w:sz w:val="18"/>
          <w:szCs w:val="18"/>
        </w:rPr>
        <w:t xml:space="preserve">el </w:t>
      </w:r>
      <w:r w:rsidRPr="001B340A">
        <w:rPr>
          <w:rFonts w:ascii="Century Gothic" w:hAnsi="Century Gothic"/>
          <w:sz w:val="18"/>
          <w:szCs w:val="18"/>
        </w:rPr>
        <w:t xml:space="preserve">servicio móvil de banda angosta. Por otro lado, países como India, </w:t>
      </w:r>
      <w:r w:rsidRPr="001B340A">
        <w:rPr>
          <w:rFonts w:ascii="Century Gothic" w:hAnsi="Century Gothic"/>
          <w:sz w:val="18"/>
          <w:szCs w:val="18"/>
        </w:rPr>
        <w:lastRenderedPageBreak/>
        <w:t>Canadá, Estados Unidos y Australia cuentan con categoría de servicio diferente y algunos de los segmentos de la banda de frecuencias se emplean para servicios de radiolocalización.</w:t>
      </w:r>
    </w:p>
    <w:p w14:paraId="77FA1FD6" w14:textId="77777777" w:rsidR="001B340A" w:rsidRPr="001B340A" w:rsidRDefault="001B340A" w:rsidP="001B340A">
      <w:pPr>
        <w:spacing w:after="0" w:line="240" w:lineRule="auto"/>
        <w:jc w:val="both"/>
        <w:rPr>
          <w:rFonts w:ascii="Century Gothic" w:hAnsi="Century Gothic"/>
          <w:sz w:val="18"/>
          <w:szCs w:val="18"/>
        </w:rPr>
      </w:pPr>
    </w:p>
    <w:p w14:paraId="51A45EA6" w14:textId="77777777"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Si bien es cierto que lo anterior refleja que el segmento de frecuencias en comento es utilizado por tres servicios distintos, también es de observarse que la banda cuenta con un alto grado de disponibilidad tecnológica para servicios de banda angosta y, en consistencia, es uno de los segmentos que presenta una gran densidad de uso para servicios de este tipo. </w:t>
      </w:r>
    </w:p>
    <w:p w14:paraId="29CFD8F4" w14:textId="77777777" w:rsidR="001B340A" w:rsidRPr="001B340A" w:rsidRDefault="001B340A" w:rsidP="001B340A">
      <w:pPr>
        <w:spacing w:after="0" w:line="240" w:lineRule="auto"/>
        <w:jc w:val="both"/>
        <w:rPr>
          <w:rFonts w:ascii="Century Gothic" w:hAnsi="Century Gothic"/>
          <w:sz w:val="18"/>
          <w:szCs w:val="18"/>
        </w:rPr>
      </w:pPr>
    </w:p>
    <w:p w14:paraId="25C2C988" w14:textId="5DEDB4A9" w:rsidR="001B340A" w:rsidRPr="00790083" w:rsidRDefault="001B340A" w:rsidP="001B340A">
      <w:pPr>
        <w:spacing w:after="0" w:line="240" w:lineRule="auto"/>
        <w:jc w:val="both"/>
        <w:rPr>
          <w:rFonts w:ascii="Century Gothic" w:hAnsi="Century Gothic"/>
          <w:b/>
          <w:color w:val="000000" w:themeColor="text1"/>
          <w:sz w:val="20"/>
          <w:szCs w:val="18"/>
          <w:u w:val="single"/>
        </w:rPr>
      </w:pPr>
      <w:r w:rsidRPr="00790083">
        <w:rPr>
          <w:rFonts w:ascii="Century Gothic" w:hAnsi="Century Gothic"/>
          <w:b/>
          <w:color w:val="000000" w:themeColor="text1"/>
          <w:sz w:val="20"/>
          <w:szCs w:val="18"/>
          <w:u w:val="single"/>
        </w:rPr>
        <w:t xml:space="preserve">Tipos de aplicaciones y tecnologías típicamente </w:t>
      </w:r>
      <w:bookmarkStart w:id="0" w:name="_GoBack"/>
      <w:bookmarkEnd w:id="0"/>
      <w:r w:rsidRPr="00790083">
        <w:rPr>
          <w:rFonts w:ascii="Century Gothic" w:hAnsi="Century Gothic"/>
          <w:b/>
          <w:color w:val="000000" w:themeColor="text1"/>
          <w:sz w:val="20"/>
          <w:szCs w:val="18"/>
          <w:u w:val="single"/>
        </w:rPr>
        <w:t xml:space="preserve">utilizadas en </w:t>
      </w:r>
      <w:r w:rsidR="00E05DE7" w:rsidRPr="00790083">
        <w:rPr>
          <w:rFonts w:ascii="Century Gothic" w:hAnsi="Century Gothic"/>
          <w:b/>
          <w:color w:val="000000" w:themeColor="text1"/>
          <w:sz w:val="20"/>
          <w:szCs w:val="18"/>
          <w:u w:val="single"/>
        </w:rPr>
        <w:t>el</w:t>
      </w:r>
      <w:r w:rsidR="00715573" w:rsidRPr="00790083">
        <w:rPr>
          <w:rFonts w:ascii="Century Gothic" w:hAnsi="Century Gothic"/>
          <w:b/>
          <w:color w:val="000000" w:themeColor="text1"/>
          <w:sz w:val="20"/>
          <w:szCs w:val="18"/>
          <w:u w:val="single"/>
        </w:rPr>
        <w:t xml:space="preserve"> rango</w:t>
      </w:r>
      <w:r w:rsidR="00E05DE7" w:rsidRPr="00790083">
        <w:rPr>
          <w:rFonts w:ascii="Century Gothic" w:hAnsi="Century Gothic"/>
          <w:b/>
          <w:color w:val="000000" w:themeColor="text1"/>
          <w:sz w:val="20"/>
          <w:szCs w:val="18"/>
          <w:u w:val="single"/>
        </w:rPr>
        <w:t xml:space="preserve"> 406.1-512 MHz</w:t>
      </w:r>
    </w:p>
    <w:p w14:paraId="3CBA256C" w14:textId="77777777" w:rsidR="001B340A" w:rsidRPr="001B340A" w:rsidRDefault="001B340A" w:rsidP="001B340A">
      <w:pPr>
        <w:spacing w:after="0" w:line="240" w:lineRule="auto"/>
        <w:jc w:val="both"/>
        <w:rPr>
          <w:rFonts w:ascii="Century Gothic" w:hAnsi="Century Gothic"/>
          <w:color w:val="1F497D"/>
          <w:sz w:val="18"/>
          <w:szCs w:val="18"/>
        </w:rPr>
      </w:pPr>
    </w:p>
    <w:p w14:paraId="4C3A70DB" w14:textId="77777777" w:rsidR="001B340A" w:rsidRDefault="001B340A" w:rsidP="001B340A">
      <w:pPr>
        <w:pStyle w:val="Prrafodelista"/>
        <w:ind w:left="0"/>
        <w:jc w:val="both"/>
        <w:rPr>
          <w:rFonts w:ascii="Century Gothic" w:hAnsi="Century Gothic"/>
          <w:color w:val="000000" w:themeColor="text1"/>
          <w:sz w:val="18"/>
          <w:szCs w:val="18"/>
        </w:rPr>
      </w:pPr>
      <w:r w:rsidRPr="001B340A">
        <w:rPr>
          <w:rFonts w:ascii="Century Gothic" w:hAnsi="Century Gothic"/>
          <w:color w:val="000000" w:themeColor="text1"/>
          <w:sz w:val="18"/>
          <w:szCs w:val="18"/>
        </w:rPr>
        <w:t xml:space="preserve">En general, los sistemas de comunicación privada pueden ser divididos en sistemas convencionales o </w:t>
      </w:r>
      <w:proofErr w:type="spellStart"/>
      <w:r w:rsidRPr="001B340A">
        <w:rPr>
          <w:rFonts w:ascii="Century Gothic" w:hAnsi="Century Gothic"/>
          <w:color w:val="000000" w:themeColor="text1"/>
          <w:sz w:val="18"/>
          <w:szCs w:val="18"/>
        </w:rPr>
        <w:t>troncalizados</w:t>
      </w:r>
      <w:proofErr w:type="spellEnd"/>
      <w:r w:rsidRPr="001B340A">
        <w:rPr>
          <w:rFonts w:ascii="Century Gothic" w:hAnsi="Century Gothic"/>
          <w:color w:val="000000" w:themeColor="text1"/>
          <w:sz w:val="18"/>
          <w:szCs w:val="18"/>
        </w:rPr>
        <w:t xml:space="preserve"> (</w:t>
      </w:r>
      <w:proofErr w:type="spellStart"/>
      <w:r w:rsidRPr="001B340A">
        <w:rPr>
          <w:rFonts w:ascii="Century Gothic" w:hAnsi="Century Gothic"/>
          <w:i/>
          <w:color w:val="000000" w:themeColor="text1"/>
          <w:sz w:val="18"/>
          <w:szCs w:val="18"/>
        </w:rPr>
        <w:t>trunking</w:t>
      </w:r>
      <w:proofErr w:type="spellEnd"/>
      <w:r w:rsidRPr="001B340A">
        <w:rPr>
          <w:rFonts w:ascii="Century Gothic" w:hAnsi="Century Gothic"/>
          <w:color w:val="000000" w:themeColor="text1"/>
          <w:sz w:val="18"/>
          <w:szCs w:val="18"/>
        </w:rPr>
        <w:t>). Un sistema convencional es caracterizado por su infraestructura relativamente simple que sirve para repetir las llamadas de radio de una frecuencia a otra; si una llamada entrante al sistema encuentra todos los canales ocupados, ésta es eliminada y no se efectuará comunicación alguna hasta que el sistema libere un canal y sea coincidente con el nuevo intento de llamada. Los sistemas convencionales pueden operar en modo simplex (uso de una frecuencia) y en modo dúplex (uso de dos frecuencias con cierta separación dúplex).</w:t>
      </w:r>
    </w:p>
    <w:p w14:paraId="5EBC2EDF" w14:textId="77777777" w:rsidR="008C12FB" w:rsidRPr="001B340A" w:rsidRDefault="008C12FB" w:rsidP="001B340A">
      <w:pPr>
        <w:pStyle w:val="Prrafodelista"/>
        <w:ind w:left="0"/>
        <w:jc w:val="both"/>
        <w:rPr>
          <w:rFonts w:ascii="Century Gothic" w:hAnsi="Century Gothic"/>
          <w:color w:val="000000" w:themeColor="text1"/>
          <w:sz w:val="18"/>
          <w:szCs w:val="18"/>
        </w:rPr>
      </w:pPr>
    </w:p>
    <w:p w14:paraId="79086C7A" w14:textId="77777777" w:rsidR="001B340A" w:rsidRPr="001B340A" w:rsidRDefault="001B340A" w:rsidP="001B340A">
      <w:pPr>
        <w:pStyle w:val="Prrafodelista"/>
        <w:ind w:left="0"/>
        <w:jc w:val="both"/>
        <w:rPr>
          <w:rFonts w:ascii="Century Gothic" w:hAnsi="Century Gothic"/>
          <w:color w:val="000000" w:themeColor="text1"/>
          <w:sz w:val="18"/>
          <w:szCs w:val="18"/>
        </w:rPr>
      </w:pPr>
      <w:r w:rsidRPr="001B340A">
        <w:rPr>
          <w:rFonts w:ascii="Century Gothic" w:hAnsi="Century Gothic"/>
          <w:color w:val="000000" w:themeColor="text1"/>
          <w:sz w:val="18"/>
          <w:szCs w:val="18"/>
        </w:rPr>
        <w:t xml:space="preserve">Por otro lado, un sistema </w:t>
      </w:r>
      <w:proofErr w:type="spellStart"/>
      <w:r w:rsidRPr="001B340A">
        <w:rPr>
          <w:rFonts w:ascii="Century Gothic" w:hAnsi="Century Gothic"/>
          <w:color w:val="000000" w:themeColor="text1"/>
          <w:sz w:val="18"/>
          <w:szCs w:val="18"/>
        </w:rPr>
        <w:t>troncalizado</w:t>
      </w:r>
      <w:proofErr w:type="spellEnd"/>
      <w:r w:rsidRPr="001B340A">
        <w:rPr>
          <w:rFonts w:ascii="Century Gothic" w:hAnsi="Century Gothic"/>
          <w:color w:val="000000" w:themeColor="text1"/>
          <w:sz w:val="18"/>
          <w:szCs w:val="18"/>
        </w:rPr>
        <w:t xml:space="preserve"> es caracterizado por tener un controlador dentro de la infraestructura de red, el cual asigna las llamadas a canales libres específicos. Si una llamada que entra al sistema encuentra todos los canales ocupados, ésta se queda en una cola de espera hasta que un canal se libere y permita efectuar la llamada. Para que se pueda operar un sistema </w:t>
      </w:r>
      <w:proofErr w:type="spellStart"/>
      <w:r w:rsidRPr="001B340A">
        <w:rPr>
          <w:rFonts w:ascii="Century Gothic" w:hAnsi="Century Gothic"/>
          <w:i/>
          <w:color w:val="000000" w:themeColor="text1"/>
          <w:sz w:val="18"/>
          <w:szCs w:val="18"/>
        </w:rPr>
        <w:t>trunking</w:t>
      </w:r>
      <w:proofErr w:type="spellEnd"/>
      <w:r w:rsidRPr="001B340A">
        <w:rPr>
          <w:rFonts w:ascii="Century Gothic" w:hAnsi="Century Gothic"/>
          <w:i/>
          <w:color w:val="000000" w:themeColor="text1"/>
          <w:sz w:val="18"/>
          <w:szCs w:val="18"/>
        </w:rPr>
        <w:t xml:space="preserve"> </w:t>
      </w:r>
      <w:r w:rsidRPr="001B340A">
        <w:rPr>
          <w:rFonts w:ascii="Century Gothic" w:hAnsi="Century Gothic"/>
          <w:color w:val="000000" w:themeColor="text1"/>
          <w:sz w:val="18"/>
          <w:szCs w:val="18"/>
        </w:rPr>
        <w:t>es necesario contar con un par de frecuencias con cierta separación dúplex la cual dependerá de la banda de operación.</w:t>
      </w:r>
    </w:p>
    <w:p w14:paraId="53368C3D" w14:textId="77777777" w:rsidR="001B340A" w:rsidRPr="001B340A" w:rsidRDefault="001B340A" w:rsidP="001B340A">
      <w:pPr>
        <w:pStyle w:val="Prrafodelista"/>
        <w:jc w:val="both"/>
        <w:rPr>
          <w:rFonts w:ascii="Century Gothic" w:hAnsi="Century Gothic"/>
          <w:color w:val="000000" w:themeColor="text1"/>
          <w:sz w:val="18"/>
          <w:szCs w:val="18"/>
        </w:rPr>
      </w:pPr>
    </w:p>
    <w:p w14:paraId="6EAEED2E" w14:textId="77777777" w:rsidR="001B340A" w:rsidRPr="001B340A" w:rsidRDefault="001B340A" w:rsidP="001B340A">
      <w:pPr>
        <w:pStyle w:val="Prrafodelista"/>
        <w:ind w:left="0"/>
        <w:jc w:val="both"/>
        <w:rPr>
          <w:rFonts w:ascii="Century Gothic" w:hAnsi="Century Gothic"/>
          <w:color w:val="000000" w:themeColor="text1"/>
          <w:sz w:val="18"/>
          <w:szCs w:val="18"/>
        </w:rPr>
      </w:pPr>
      <w:r w:rsidRPr="001B340A">
        <w:rPr>
          <w:rFonts w:ascii="Century Gothic" w:hAnsi="Century Gothic"/>
          <w:color w:val="000000" w:themeColor="text1"/>
          <w:sz w:val="18"/>
          <w:szCs w:val="18"/>
        </w:rPr>
        <w:t xml:space="preserve">Actualmente existen diferentes tecnologías que permiten la operación de sistemas convencionales y/o </w:t>
      </w:r>
      <w:proofErr w:type="spellStart"/>
      <w:r w:rsidRPr="001B340A">
        <w:rPr>
          <w:rFonts w:ascii="Century Gothic" w:hAnsi="Century Gothic"/>
          <w:color w:val="000000" w:themeColor="text1"/>
          <w:sz w:val="18"/>
          <w:szCs w:val="18"/>
        </w:rPr>
        <w:t>troncalizados</w:t>
      </w:r>
      <w:proofErr w:type="spellEnd"/>
      <w:r w:rsidRPr="001B340A">
        <w:rPr>
          <w:rFonts w:ascii="Century Gothic" w:hAnsi="Century Gothic"/>
          <w:color w:val="000000" w:themeColor="text1"/>
          <w:sz w:val="18"/>
          <w:szCs w:val="18"/>
        </w:rPr>
        <w:t xml:space="preserve"> de banda angosta, las cuales son: </w:t>
      </w:r>
    </w:p>
    <w:p w14:paraId="47CDE290" w14:textId="77777777" w:rsidR="001B340A" w:rsidRPr="001B340A" w:rsidRDefault="001B340A" w:rsidP="001B340A">
      <w:pPr>
        <w:pStyle w:val="Prrafodelista"/>
        <w:jc w:val="both"/>
        <w:rPr>
          <w:rFonts w:ascii="Century Gothic" w:hAnsi="Century Gothic"/>
          <w:color w:val="000000" w:themeColor="text1"/>
          <w:sz w:val="18"/>
          <w:szCs w:val="18"/>
        </w:rPr>
      </w:pPr>
    </w:p>
    <w:p w14:paraId="40799B09" w14:textId="77777777" w:rsidR="001B340A" w:rsidRPr="001B340A" w:rsidRDefault="001B340A" w:rsidP="001B340A">
      <w:pPr>
        <w:pStyle w:val="Prrafodelista"/>
        <w:numPr>
          <w:ilvl w:val="0"/>
          <w:numId w:val="4"/>
        </w:numPr>
        <w:spacing w:after="0" w:line="240" w:lineRule="auto"/>
        <w:ind w:left="540" w:hanging="540"/>
        <w:contextualSpacing w:val="0"/>
        <w:jc w:val="both"/>
        <w:rPr>
          <w:rFonts w:ascii="Century Gothic" w:hAnsi="Century Gothic"/>
          <w:color w:val="000000" w:themeColor="text1"/>
          <w:sz w:val="18"/>
          <w:szCs w:val="18"/>
        </w:rPr>
      </w:pPr>
      <w:r w:rsidRPr="001B340A">
        <w:rPr>
          <w:rFonts w:ascii="Century Gothic" w:hAnsi="Century Gothic"/>
          <w:b/>
          <w:color w:val="000000" w:themeColor="text1"/>
          <w:sz w:val="18"/>
          <w:szCs w:val="18"/>
        </w:rPr>
        <w:t>Project 25</w:t>
      </w:r>
      <w:r w:rsidRPr="001B340A">
        <w:rPr>
          <w:rFonts w:ascii="Century Gothic" w:hAnsi="Century Gothic"/>
          <w:color w:val="000000" w:themeColor="text1"/>
          <w:sz w:val="18"/>
          <w:szCs w:val="18"/>
        </w:rPr>
        <w:t>. Es un estándar</w:t>
      </w:r>
      <w:r w:rsidRPr="001B340A">
        <w:rPr>
          <w:rStyle w:val="Refdenotaalpie"/>
          <w:rFonts w:ascii="Century Gothic" w:hAnsi="Century Gothic"/>
          <w:color w:val="000000" w:themeColor="text1"/>
          <w:sz w:val="18"/>
          <w:szCs w:val="18"/>
        </w:rPr>
        <w:footnoteReference w:id="7"/>
      </w:r>
      <w:r w:rsidRPr="001B340A">
        <w:rPr>
          <w:rFonts w:ascii="Century Gothic" w:hAnsi="Century Gothic"/>
          <w:color w:val="000000" w:themeColor="text1"/>
          <w:sz w:val="18"/>
          <w:szCs w:val="18"/>
        </w:rPr>
        <w:t xml:space="preserve"> creado por TIA (</w:t>
      </w:r>
      <w:proofErr w:type="spellStart"/>
      <w:r w:rsidRPr="001B340A">
        <w:rPr>
          <w:rFonts w:ascii="Century Gothic" w:hAnsi="Century Gothic"/>
          <w:i/>
          <w:color w:val="000000" w:themeColor="text1"/>
          <w:sz w:val="18"/>
          <w:szCs w:val="18"/>
        </w:rPr>
        <w:t>Telecommunications</w:t>
      </w:r>
      <w:proofErr w:type="spellEnd"/>
      <w:r w:rsidRPr="001B340A">
        <w:rPr>
          <w:rFonts w:ascii="Century Gothic" w:hAnsi="Century Gothic"/>
          <w:i/>
          <w:color w:val="000000" w:themeColor="text1"/>
          <w:sz w:val="18"/>
          <w:szCs w:val="18"/>
        </w:rPr>
        <w:t xml:space="preserve"> </w:t>
      </w:r>
      <w:proofErr w:type="spellStart"/>
      <w:r w:rsidRPr="001B340A">
        <w:rPr>
          <w:rFonts w:ascii="Century Gothic" w:hAnsi="Century Gothic"/>
          <w:i/>
          <w:color w:val="000000" w:themeColor="text1"/>
          <w:sz w:val="18"/>
          <w:szCs w:val="18"/>
        </w:rPr>
        <w:t>Industry</w:t>
      </w:r>
      <w:proofErr w:type="spellEnd"/>
      <w:r w:rsidRPr="001B340A">
        <w:rPr>
          <w:rFonts w:ascii="Century Gothic" w:hAnsi="Century Gothic"/>
          <w:i/>
          <w:color w:val="000000" w:themeColor="text1"/>
          <w:sz w:val="18"/>
          <w:szCs w:val="18"/>
        </w:rPr>
        <w:t xml:space="preserve"> </w:t>
      </w:r>
      <w:proofErr w:type="spellStart"/>
      <w:r w:rsidRPr="001B340A">
        <w:rPr>
          <w:rFonts w:ascii="Century Gothic" w:hAnsi="Century Gothic"/>
          <w:i/>
          <w:color w:val="000000" w:themeColor="text1"/>
          <w:sz w:val="18"/>
          <w:szCs w:val="18"/>
        </w:rPr>
        <w:t>Association</w:t>
      </w:r>
      <w:proofErr w:type="spellEnd"/>
      <w:r w:rsidRPr="001B340A">
        <w:rPr>
          <w:rFonts w:ascii="Century Gothic" w:hAnsi="Century Gothic"/>
          <w:color w:val="000000" w:themeColor="text1"/>
          <w:sz w:val="18"/>
          <w:szCs w:val="18"/>
        </w:rPr>
        <w:t>) y está apoyada por APCO (</w:t>
      </w:r>
      <w:proofErr w:type="spellStart"/>
      <w:r w:rsidRPr="001B340A">
        <w:rPr>
          <w:rFonts w:ascii="Century Gothic" w:hAnsi="Century Gothic"/>
          <w:i/>
          <w:color w:val="000000" w:themeColor="text1"/>
          <w:sz w:val="18"/>
          <w:szCs w:val="18"/>
        </w:rPr>
        <w:t>Association</w:t>
      </w:r>
      <w:proofErr w:type="spellEnd"/>
      <w:r w:rsidRPr="001B340A">
        <w:rPr>
          <w:rFonts w:ascii="Century Gothic" w:hAnsi="Century Gothic"/>
          <w:i/>
          <w:color w:val="000000" w:themeColor="text1"/>
          <w:sz w:val="18"/>
          <w:szCs w:val="18"/>
        </w:rPr>
        <w:t xml:space="preserve"> of </w:t>
      </w:r>
      <w:proofErr w:type="spellStart"/>
      <w:r w:rsidRPr="001B340A">
        <w:rPr>
          <w:rFonts w:ascii="Century Gothic" w:hAnsi="Century Gothic"/>
          <w:i/>
          <w:color w:val="000000" w:themeColor="text1"/>
          <w:sz w:val="18"/>
          <w:szCs w:val="18"/>
        </w:rPr>
        <w:t>Public</w:t>
      </w:r>
      <w:proofErr w:type="spellEnd"/>
      <w:r w:rsidRPr="001B340A">
        <w:rPr>
          <w:rFonts w:ascii="Century Gothic" w:hAnsi="Century Gothic"/>
          <w:i/>
          <w:color w:val="000000" w:themeColor="text1"/>
          <w:sz w:val="18"/>
          <w:szCs w:val="18"/>
        </w:rPr>
        <w:t xml:space="preserve">-Safety </w:t>
      </w:r>
      <w:proofErr w:type="spellStart"/>
      <w:r w:rsidRPr="001B340A">
        <w:rPr>
          <w:rFonts w:ascii="Century Gothic" w:hAnsi="Century Gothic"/>
          <w:i/>
          <w:color w:val="000000" w:themeColor="text1"/>
          <w:sz w:val="18"/>
          <w:szCs w:val="18"/>
        </w:rPr>
        <w:t>Communications</w:t>
      </w:r>
      <w:proofErr w:type="spellEnd"/>
      <w:r w:rsidRPr="001B340A">
        <w:rPr>
          <w:rFonts w:ascii="Century Gothic" w:hAnsi="Century Gothic"/>
          <w:i/>
          <w:color w:val="000000" w:themeColor="text1"/>
          <w:sz w:val="18"/>
          <w:szCs w:val="18"/>
        </w:rPr>
        <w:t xml:space="preserve"> </w:t>
      </w:r>
      <w:proofErr w:type="spellStart"/>
      <w:r w:rsidRPr="001B340A">
        <w:rPr>
          <w:rFonts w:ascii="Century Gothic" w:hAnsi="Century Gothic"/>
          <w:i/>
          <w:color w:val="000000" w:themeColor="text1"/>
          <w:sz w:val="18"/>
          <w:szCs w:val="18"/>
        </w:rPr>
        <w:t>Officials</w:t>
      </w:r>
      <w:proofErr w:type="spellEnd"/>
      <w:r w:rsidRPr="001B340A">
        <w:rPr>
          <w:rFonts w:ascii="Century Gothic" w:hAnsi="Century Gothic"/>
          <w:i/>
          <w:color w:val="000000" w:themeColor="text1"/>
          <w:sz w:val="18"/>
          <w:szCs w:val="18"/>
        </w:rPr>
        <w:t>-International</w:t>
      </w:r>
      <w:r w:rsidRPr="001B340A">
        <w:rPr>
          <w:rFonts w:ascii="Century Gothic" w:hAnsi="Century Gothic"/>
          <w:color w:val="000000" w:themeColor="text1"/>
          <w:sz w:val="18"/>
          <w:szCs w:val="18"/>
        </w:rPr>
        <w:t xml:space="preserve">); utiliza canalizaciones físicas de 25 kHz y 12.5 kHz. Dentro de sus variantes existentes están P25 Fase I y P25 Fase II. P25 puede operar en modo convencional o </w:t>
      </w:r>
      <w:proofErr w:type="spellStart"/>
      <w:r w:rsidRPr="001B340A">
        <w:rPr>
          <w:rFonts w:ascii="Century Gothic" w:hAnsi="Century Gothic"/>
          <w:color w:val="000000" w:themeColor="text1"/>
          <w:sz w:val="18"/>
          <w:szCs w:val="18"/>
        </w:rPr>
        <w:t>troncalizado</w:t>
      </w:r>
      <w:proofErr w:type="spellEnd"/>
      <w:r w:rsidRPr="001B340A">
        <w:rPr>
          <w:rFonts w:ascii="Century Gothic" w:hAnsi="Century Gothic"/>
          <w:color w:val="000000" w:themeColor="text1"/>
          <w:sz w:val="18"/>
          <w:szCs w:val="18"/>
        </w:rPr>
        <w:t>.</w:t>
      </w:r>
    </w:p>
    <w:p w14:paraId="143D7141" w14:textId="62922677" w:rsidR="001B340A" w:rsidRPr="001B340A" w:rsidRDefault="001B340A" w:rsidP="001B340A">
      <w:pPr>
        <w:pStyle w:val="Prrafodelista"/>
        <w:numPr>
          <w:ilvl w:val="0"/>
          <w:numId w:val="4"/>
        </w:numPr>
        <w:spacing w:after="0" w:line="240" w:lineRule="auto"/>
        <w:ind w:left="540" w:hanging="540"/>
        <w:contextualSpacing w:val="0"/>
        <w:jc w:val="both"/>
        <w:rPr>
          <w:rFonts w:ascii="Century Gothic" w:hAnsi="Century Gothic"/>
          <w:b/>
          <w:color w:val="000000" w:themeColor="text1"/>
          <w:sz w:val="18"/>
          <w:szCs w:val="18"/>
        </w:rPr>
      </w:pPr>
      <w:proofErr w:type="spellStart"/>
      <w:r w:rsidRPr="001B340A">
        <w:rPr>
          <w:rFonts w:ascii="Century Gothic" w:hAnsi="Century Gothic"/>
          <w:b/>
          <w:color w:val="000000" w:themeColor="text1"/>
          <w:sz w:val="18"/>
          <w:szCs w:val="18"/>
        </w:rPr>
        <w:t>Tetrapol</w:t>
      </w:r>
      <w:proofErr w:type="spellEnd"/>
      <w:r w:rsidRPr="001B340A">
        <w:rPr>
          <w:rFonts w:ascii="Century Gothic" w:hAnsi="Century Gothic"/>
          <w:b/>
          <w:color w:val="000000" w:themeColor="text1"/>
          <w:sz w:val="18"/>
          <w:szCs w:val="18"/>
        </w:rPr>
        <w:t xml:space="preserve">. </w:t>
      </w:r>
      <w:r w:rsidRPr="001B340A">
        <w:rPr>
          <w:rFonts w:ascii="Century Gothic" w:hAnsi="Century Gothic"/>
          <w:color w:val="000000" w:themeColor="text1"/>
          <w:sz w:val="18"/>
          <w:szCs w:val="18"/>
        </w:rPr>
        <w:t>Es una tecnología digital PMR (</w:t>
      </w:r>
      <w:r w:rsidRPr="001B340A">
        <w:rPr>
          <w:rFonts w:ascii="Century Gothic" w:hAnsi="Century Gothic"/>
          <w:i/>
          <w:color w:val="000000" w:themeColor="text1"/>
          <w:sz w:val="18"/>
          <w:szCs w:val="18"/>
        </w:rPr>
        <w:t>Professional Mobile Radio</w:t>
      </w:r>
      <w:r w:rsidR="00B71788">
        <w:rPr>
          <w:rFonts w:ascii="Century Gothic" w:hAnsi="Century Gothic"/>
          <w:color w:val="000000" w:themeColor="text1"/>
          <w:sz w:val="18"/>
          <w:szCs w:val="18"/>
        </w:rPr>
        <w:t>) especialmente diseñada</w:t>
      </w:r>
      <w:r w:rsidRPr="001B340A">
        <w:rPr>
          <w:rFonts w:ascii="Century Gothic" w:hAnsi="Century Gothic"/>
          <w:color w:val="000000" w:themeColor="text1"/>
          <w:sz w:val="18"/>
          <w:szCs w:val="18"/>
        </w:rPr>
        <w:t xml:space="preserve"> para usuarios de seguridad pública para misión crítica</w:t>
      </w:r>
      <w:r w:rsidRPr="001B340A">
        <w:rPr>
          <w:rStyle w:val="Refdenotaalpie"/>
          <w:rFonts w:ascii="Century Gothic" w:hAnsi="Century Gothic"/>
          <w:color w:val="000000" w:themeColor="text1"/>
          <w:sz w:val="18"/>
          <w:szCs w:val="18"/>
        </w:rPr>
        <w:footnoteReference w:id="8"/>
      </w:r>
      <w:r w:rsidRPr="001B340A">
        <w:rPr>
          <w:rFonts w:ascii="Century Gothic" w:hAnsi="Century Gothic"/>
          <w:color w:val="000000" w:themeColor="text1"/>
          <w:sz w:val="18"/>
          <w:szCs w:val="18"/>
        </w:rPr>
        <w:t xml:space="preserve">. Proporciona servicio de voz encriptada y complementada con datos de baja velocidad. </w:t>
      </w:r>
      <w:proofErr w:type="spellStart"/>
      <w:r w:rsidRPr="001B340A">
        <w:rPr>
          <w:rFonts w:ascii="Century Gothic" w:hAnsi="Century Gothic"/>
          <w:color w:val="000000" w:themeColor="text1"/>
          <w:sz w:val="18"/>
          <w:szCs w:val="18"/>
        </w:rPr>
        <w:t>Tetrapol</w:t>
      </w:r>
      <w:proofErr w:type="spellEnd"/>
      <w:r w:rsidRPr="001B340A">
        <w:rPr>
          <w:rFonts w:ascii="Century Gothic" w:hAnsi="Century Gothic"/>
          <w:color w:val="000000" w:themeColor="text1"/>
          <w:sz w:val="18"/>
          <w:szCs w:val="18"/>
        </w:rPr>
        <w:t xml:space="preserve"> está basado en canales de 12.5 kHz, lo que hace que la migración de los sistemas analógicos a esta tecnología sea sencillo, aunque también puede trabajar con portadoras de 10 kHz. </w:t>
      </w:r>
      <w:proofErr w:type="spellStart"/>
      <w:r w:rsidRPr="001B340A">
        <w:rPr>
          <w:rFonts w:ascii="Century Gothic" w:hAnsi="Century Gothic"/>
          <w:color w:val="000000" w:themeColor="text1"/>
          <w:sz w:val="18"/>
          <w:szCs w:val="18"/>
        </w:rPr>
        <w:t>Tetrapol</w:t>
      </w:r>
      <w:proofErr w:type="spellEnd"/>
      <w:r w:rsidRPr="001B340A">
        <w:rPr>
          <w:rFonts w:ascii="Century Gothic" w:hAnsi="Century Gothic"/>
          <w:color w:val="000000" w:themeColor="text1"/>
          <w:sz w:val="18"/>
          <w:szCs w:val="18"/>
        </w:rPr>
        <w:t xml:space="preserve"> solo opera en modo </w:t>
      </w:r>
      <w:proofErr w:type="spellStart"/>
      <w:r w:rsidRPr="001B340A">
        <w:rPr>
          <w:rFonts w:ascii="Century Gothic" w:hAnsi="Century Gothic"/>
          <w:color w:val="000000" w:themeColor="text1"/>
          <w:sz w:val="18"/>
          <w:szCs w:val="18"/>
        </w:rPr>
        <w:t>troncalizado</w:t>
      </w:r>
      <w:proofErr w:type="spellEnd"/>
      <w:r w:rsidRPr="001B340A">
        <w:rPr>
          <w:rFonts w:ascii="Century Gothic" w:hAnsi="Century Gothic"/>
          <w:color w:val="000000" w:themeColor="text1"/>
          <w:sz w:val="18"/>
          <w:szCs w:val="18"/>
        </w:rPr>
        <w:t>.</w:t>
      </w:r>
    </w:p>
    <w:p w14:paraId="142E7AF2" w14:textId="2B8F6496" w:rsidR="001B340A" w:rsidRPr="001B340A" w:rsidRDefault="001B340A" w:rsidP="001B340A">
      <w:pPr>
        <w:pStyle w:val="Prrafodelista"/>
        <w:numPr>
          <w:ilvl w:val="0"/>
          <w:numId w:val="4"/>
        </w:numPr>
        <w:spacing w:after="0" w:line="240" w:lineRule="auto"/>
        <w:ind w:left="540" w:hanging="540"/>
        <w:contextualSpacing w:val="0"/>
        <w:jc w:val="both"/>
        <w:rPr>
          <w:rFonts w:ascii="Century Gothic" w:hAnsi="Century Gothic"/>
          <w:b/>
          <w:color w:val="000000" w:themeColor="text1"/>
          <w:sz w:val="18"/>
          <w:szCs w:val="18"/>
        </w:rPr>
      </w:pPr>
      <w:r w:rsidRPr="001B340A">
        <w:rPr>
          <w:rFonts w:ascii="Century Gothic" w:hAnsi="Century Gothic"/>
          <w:b/>
          <w:color w:val="000000" w:themeColor="text1"/>
          <w:sz w:val="18"/>
          <w:szCs w:val="18"/>
          <w:lang w:val="en-US"/>
        </w:rPr>
        <w:t xml:space="preserve">EDACS </w:t>
      </w:r>
      <w:r w:rsidRPr="001B340A">
        <w:rPr>
          <w:rFonts w:ascii="Century Gothic" w:hAnsi="Century Gothic"/>
          <w:color w:val="000000" w:themeColor="text1"/>
          <w:sz w:val="18"/>
          <w:szCs w:val="18"/>
          <w:lang w:val="en-US"/>
        </w:rPr>
        <w:t>(</w:t>
      </w:r>
      <w:r w:rsidRPr="001B340A">
        <w:rPr>
          <w:rFonts w:ascii="Century Gothic" w:hAnsi="Century Gothic"/>
          <w:i/>
          <w:color w:val="000000" w:themeColor="text1"/>
          <w:sz w:val="18"/>
          <w:szCs w:val="18"/>
          <w:lang w:val="en-US"/>
        </w:rPr>
        <w:t>Enhanced Digital Access Communications System</w:t>
      </w:r>
      <w:r w:rsidRPr="001B340A">
        <w:rPr>
          <w:rFonts w:ascii="Century Gothic" w:hAnsi="Century Gothic"/>
          <w:color w:val="000000" w:themeColor="text1"/>
          <w:sz w:val="18"/>
          <w:szCs w:val="18"/>
          <w:lang w:val="en-US"/>
        </w:rPr>
        <w:t>).</w:t>
      </w:r>
      <w:r w:rsidRPr="001B340A">
        <w:rPr>
          <w:rFonts w:ascii="Century Gothic" w:hAnsi="Century Gothic"/>
          <w:b/>
          <w:color w:val="000000" w:themeColor="text1"/>
          <w:sz w:val="18"/>
          <w:szCs w:val="18"/>
          <w:lang w:val="en-US"/>
        </w:rPr>
        <w:t xml:space="preserve"> </w:t>
      </w:r>
      <w:r w:rsidRPr="001B340A">
        <w:rPr>
          <w:rFonts w:ascii="Century Gothic" w:hAnsi="Century Gothic"/>
          <w:color w:val="000000" w:themeColor="text1"/>
          <w:sz w:val="18"/>
          <w:szCs w:val="18"/>
        </w:rPr>
        <w:t>Usa una técnica de modulación envolvente y constante y tiene cuatro diferentes niveles seleccionables de desviación y filtrado que provoca que el sistema requiera una canalización de 25 kHz y 12.5 kHz</w:t>
      </w:r>
      <w:r w:rsidRPr="001B340A">
        <w:rPr>
          <w:rFonts w:ascii="Century Gothic" w:hAnsi="Century Gothic"/>
          <w:b/>
          <w:color w:val="000000" w:themeColor="text1"/>
          <w:sz w:val="18"/>
          <w:szCs w:val="18"/>
        </w:rPr>
        <w:t xml:space="preserve">. </w:t>
      </w:r>
      <w:r w:rsidRPr="001B340A">
        <w:rPr>
          <w:rFonts w:ascii="Century Gothic" w:hAnsi="Century Gothic"/>
          <w:color w:val="000000" w:themeColor="text1"/>
          <w:sz w:val="18"/>
          <w:szCs w:val="18"/>
        </w:rPr>
        <w:t xml:space="preserve">Esta tecnología opera en modo </w:t>
      </w:r>
      <w:r w:rsidR="009F358E">
        <w:rPr>
          <w:rFonts w:ascii="Century Gothic" w:hAnsi="Century Gothic"/>
          <w:color w:val="000000" w:themeColor="text1"/>
          <w:sz w:val="18"/>
          <w:szCs w:val="18"/>
        </w:rPr>
        <w:t xml:space="preserve">convencional y </w:t>
      </w:r>
      <w:proofErr w:type="spellStart"/>
      <w:r w:rsidR="009F358E">
        <w:rPr>
          <w:rFonts w:ascii="Century Gothic" w:hAnsi="Century Gothic"/>
          <w:color w:val="000000" w:themeColor="text1"/>
          <w:sz w:val="18"/>
          <w:szCs w:val="18"/>
        </w:rPr>
        <w:t>troncalizada</w:t>
      </w:r>
      <w:proofErr w:type="spellEnd"/>
      <w:r w:rsidRPr="001B340A">
        <w:rPr>
          <w:rFonts w:ascii="Century Gothic" w:hAnsi="Century Gothic"/>
          <w:color w:val="000000" w:themeColor="text1"/>
          <w:sz w:val="18"/>
          <w:szCs w:val="18"/>
        </w:rPr>
        <w:t>.</w:t>
      </w:r>
    </w:p>
    <w:p w14:paraId="562F4F75" w14:textId="10D305F3" w:rsidR="001B340A" w:rsidRPr="001B340A" w:rsidRDefault="001B340A" w:rsidP="001B340A">
      <w:pPr>
        <w:pStyle w:val="Prrafodelista"/>
        <w:numPr>
          <w:ilvl w:val="0"/>
          <w:numId w:val="4"/>
        </w:numPr>
        <w:spacing w:after="0" w:line="240" w:lineRule="auto"/>
        <w:ind w:left="540" w:hanging="540"/>
        <w:contextualSpacing w:val="0"/>
        <w:jc w:val="both"/>
        <w:rPr>
          <w:rFonts w:ascii="Century Gothic" w:hAnsi="Century Gothic"/>
          <w:b/>
          <w:color w:val="000000" w:themeColor="text1"/>
          <w:sz w:val="18"/>
          <w:szCs w:val="18"/>
        </w:rPr>
      </w:pPr>
      <w:r w:rsidRPr="001B340A">
        <w:rPr>
          <w:rFonts w:ascii="Century Gothic" w:hAnsi="Century Gothic"/>
          <w:b/>
          <w:color w:val="000000" w:themeColor="text1"/>
          <w:sz w:val="18"/>
          <w:szCs w:val="18"/>
        </w:rPr>
        <w:lastRenderedPageBreak/>
        <w:t xml:space="preserve">TETRA </w:t>
      </w:r>
      <w:r w:rsidRPr="001B340A">
        <w:rPr>
          <w:rFonts w:ascii="Century Gothic" w:hAnsi="Century Gothic"/>
          <w:i/>
          <w:color w:val="000000" w:themeColor="text1"/>
          <w:sz w:val="18"/>
          <w:szCs w:val="18"/>
        </w:rPr>
        <w:t>(</w:t>
      </w:r>
      <w:proofErr w:type="spellStart"/>
      <w:r w:rsidRPr="001B340A">
        <w:rPr>
          <w:rFonts w:ascii="Century Gothic" w:hAnsi="Century Gothic"/>
          <w:i/>
          <w:color w:val="000000" w:themeColor="text1"/>
          <w:sz w:val="18"/>
          <w:szCs w:val="18"/>
        </w:rPr>
        <w:t>Terrestrial</w:t>
      </w:r>
      <w:proofErr w:type="spellEnd"/>
      <w:r w:rsidRPr="001B340A">
        <w:rPr>
          <w:rFonts w:ascii="Century Gothic" w:hAnsi="Century Gothic"/>
          <w:i/>
          <w:color w:val="000000" w:themeColor="text1"/>
          <w:sz w:val="18"/>
          <w:szCs w:val="18"/>
        </w:rPr>
        <w:t xml:space="preserve"> </w:t>
      </w:r>
      <w:proofErr w:type="spellStart"/>
      <w:r w:rsidRPr="001B340A">
        <w:rPr>
          <w:rFonts w:ascii="Century Gothic" w:hAnsi="Century Gothic"/>
          <w:i/>
          <w:color w:val="000000" w:themeColor="text1"/>
          <w:sz w:val="18"/>
          <w:szCs w:val="18"/>
        </w:rPr>
        <w:t>Trunked</w:t>
      </w:r>
      <w:proofErr w:type="spellEnd"/>
      <w:r w:rsidRPr="001B340A">
        <w:rPr>
          <w:rFonts w:ascii="Century Gothic" w:hAnsi="Century Gothic"/>
          <w:i/>
          <w:color w:val="000000" w:themeColor="text1"/>
          <w:sz w:val="18"/>
          <w:szCs w:val="18"/>
        </w:rPr>
        <w:t xml:space="preserve"> Radio)</w:t>
      </w:r>
      <w:r w:rsidRPr="001B340A">
        <w:rPr>
          <w:rFonts w:ascii="Century Gothic" w:hAnsi="Century Gothic"/>
          <w:b/>
          <w:color w:val="000000" w:themeColor="text1"/>
          <w:sz w:val="18"/>
          <w:szCs w:val="18"/>
        </w:rPr>
        <w:t xml:space="preserve">. </w:t>
      </w:r>
      <w:r w:rsidRPr="001B340A">
        <w:rPr>
          <w:rFonts w:ascii="Century Gothic" w:hAnsi="Century Gothic"/>
          <w:color w:val="000000" w:themeColor="text1"/>
          <w:sz w:val="18"/>
          <w:szCs w:val="18"/>
        </w:rPr>
        <w:t>Estandarizado</w:t>
      </w:r>
      <w:r w:rsidRPr="001B340A">
        <w:rPr>
          <w:rStyle w:val="Refdenotaalpie"/>
          <w:rFonts w:ascii="Century Gothic" w:hAnsi="Century Gothic"/>
          <w:color w:val="000000" w:themeColor="text1"/>
          <w:sz w:val="18"/>
          <w:szCs w:val="18"/>
        </w:rPr>
        <w:footnoteReference w:id="9"/>
      </w:r>
      <w:r w:rsidRPr="001B340A">
        <w:rPr>
          <w:rFonts w:ascii="Century Gothic" w:hAnsi="Century Gothic"/>
          <w:color w:val="000000" w:themeColor="text1"/>
          <w:sz w:val="18"/>
          <w:szCs w:val="18"/>
        </w:rPr>
        <w:t xml:space="preserve"> por ETSI (</w:t>
      </w:r>
      <w:proofErr w:type="spellStart"/>
      <w:r w:rsidRPr="001B340A">
        <w:rPr>
          <w:rFonts w:ascii="Century Gothic" w:hAnsi="Century Gothic"/>
          <w:i/>
          <w:color w:val="000000" w:themeColor="text1"/>
          <w:sz w:val="18"/>
          <w:szCs w:val="18"/>
        </w:rPr>
        <w:t>European</w:t>
      </w:r>
      <w:proofErr w:type="spellEnd"/>
      <w:r w:rsidRPr="001B340A">
        <w:rPr>
          <w:rFonts w:ascii="Century Gothic" w:hAnsi="Century Gothic"/>
          <w:i/>
          <w:color w:val="000000" w:themeColor="text1"/>
          <w:sz w:val="18"/>
          <w:szCs w:val="18"/>
        </w:rPr>
        <w:t xml:space="preserve"> </w:t>
      </w:r>
      <w:proofErr w:type="spellStart"/>
      <w:r w:rsidRPr="001B340A">
        <w:rPr>
          <w:rFonts w:ascii="Century Gothic" w:hAnsi="Century Gothic"/>
          <w:i/>
          <w:color w:val="000000" w:themeColor="text1"/>
          <w:sz w:val="18"/>
          <w:szCs w:val="18"/>
        </w:rPr>
        <w:t>Telecomm</w:t>
      </w:r>
      <w:r w:rsidR="00EF3A0F">
        <w:rPr>
          <w:rFonts w:ascii="Century Gothic" w:hAnsi="Century Gothic"/>
          <w:i/>
          <w:color w:val="000000" w:themeColor="text1"/>
          <w:sz w:val="18"/>
          <w:szCs w:val="18"/>
        </w:rPr>
        <w:t>unications</w:t>
      </w:r>
      <w:proofErr w:type="spellEnd"/>
      <w:r w:rsidR="00EF3A0F">
        <w:rPr>
          <w:rFonts w:ascii="Century Gothic" w:hAnsi="Century Gothic"/>
          <w:i/>
          <w:color w:val="000000" w:themeColor="text1"/>
          <w:sz w:val="18"/>
          <w:szCs w:val="18"/>
        </w:rPr>
        <w:t xml:space="preserve"> </w:t>
      </w:r>
      <w:proofErr w:type="spellStart"/>
      <w:r w:rsidR="00EF3A0F">
        <w:rPr>
          <w:rFonts w:ascii="Century Gothic" w:hAnsi="Century Gothic"/>
          <w:i/>
          <w:color w:val="000000" w:themeColor="text1"/>
          <w:sz w:val="18"/>
          <w:szCs w:val="18"/>
        </w:rPr>
        <w:t>Standards</w:t>
      </w:r>
      <w:proofErr w:type="spellEnd"/>
      <w:r w:rsidR="00EF3A0F">
        <w:rPr>
          <w:rFonts w:ascii="Century Gothic" w:hAnsi="Century Gothic"/>
          <w:i/>
          <w:color w:val="000000" w:themeColor="text1"/>
          <w:sz w:val="18"/>
          <w:szCs w:val="18"/>
        </w:rPr>
        <w:t xml:space="preserve"> </w:t>
      </w:r>
      <w:proofErr w:type="spellStart"/>
      <w:r w:rsidR="00EF3A0F">
        <w:rPr>
          <w:rFonts w:ascii="Century Gothic" w:hAnsi="Century Gothic"/>
          <w:i/>
          <w:color w:val="000000" w:themeColor="text1"/>
          <w:sz w:val="18"/>
          <w:szCs w:val="18"/>
        </w:rPr>
        <w:t>Institute</w:t>
      </w:r>
      <w:proofErr w:type="spellEnd"/>
      <w:r w:rsidR="00EF3A0F">
        <w:rPr>
          <w:rFonts w:ascii="Century Gothic" w:hAnsi="Century Gothic"/>
          <w:i/>
          <w:color w:val="000000" w:themeColor="text1"/>
          <w:sz w:val="18"/>
          <w:szCs w:val="18"/>
        </w:rPr>
        <w:t>);</w:t>
      </w:r>
      <w:r w:rsidRPr="001B340A">
        <w:rPr>
          <w:rFonts w:ascii="Century Gothic" w:hAnsi="Century Gothic"/>
          <w:i/>
          <w:color w:val="000000" w:themeColor="text1"/>
          <w:sz w:val="18"/>
          <w:szCs w:val="18"/>
        </w:rPr>
        <w:t xml:space="preserve"> </w:t>
      </w:r>
      <w:r w:rsidRPr="001B340A">
        <w:rPr>
          <w:rFonts w:ascii="Century Gothic" w:hAnsi="Century Gothic"/>
          <w:color w:val="000000" w:themeColor="text1"/>
          <w:sz w:val="18"/>
          <w:szCs w:val="18"/>
        </w:rPr>
        <w:t>esta tecnología fue diseñada principalmente para el sector de los sistemas de comunicaci</w:t>
      </w:r>
      <w:r w:rsidR="00EF3A0F">
        <w:rPr>
          <w:rFonts w:ascii="Century Gothic" w:hAnsi="Century Gothic"/>
          <w:color w:val="000000" w:themeColor="text1"/>
          <w:sz w:val="18"/>
          <w:szCs w:val="18"/>
        </w:rPr>
        <w:t>ones públicas y es usada</w:t>
      </w:r>
      <w:r w:rsidRPr="001B340A">
        <w:rPr>
          <w:rFonts w:ascii="Century Gothic" w:hAnsi="Century Gothic"/>
          <w:color w:val="000000" w:themeColor="text1"/>
          <w:sz w:val="18"/>
          <w:szCs w:val="18"/>
        </w:rPr>
        <w:t xml:space="preserve"> en diferentes países alrededor del mundo. El modo principal de TETRA utiliza una modulación π/4DQPSK. Para su operación requiere una canalización de 25 kHz (la cual es dividida en cuatro ranuras TDMA). Dentro de sus variantes existentes están TETRA </w:t>
      </w:r>
      <w:proofErr w:type="spellStart"/>
      <w:r w:rsidRPr="001B340A">
        <w:rPr>
          <w:rFonts w:ascii="Century Gothic" w:hAnsi="Century Gothic"/>
          <w:i/>
          <w:color w:val="000000" w:themeColor="text1"/>
          <w:sz w:val="18"/>
          <w:szCs w:val="18"/>
        </w:rPr>
        <w:t>Release</w:t>
      </w:r>
      <w:proofErr w:type="spellEnd"/>
      <w:r w:rsidRPr="001B340A">
        <w:rPr>
          <w:rFonts w:ascii="Century Gothic" w:hAnsi="Century Gothic"/>
          <w:color w:val="000000" w:themeColor="text1"/>
          <w:sz w:val="18"/>
          <w:szCs w:val="18"/>
        </w:rPr>
        <w:t xml:space="preserve"> I y TETRA </w:t>
      </w:r>
      <w:proofErr w:type="spellStart"/>
      <w:r w:rsidRPr="001B340A">
        <w:rPr>
          <w:rFonts w:ascii="Century Gothic" w:hAnsi="Century Gothic"/>
          <w:i/>
          <w:color w:val="000000" w:themeColor="text1"/>
          <w:sz w:val="18"/>
          <w:szCs w:val="18"/>
        </w:rPr>
        <w:t>Release</w:t>
      </w:r>
      <w:proofErr w:type="spellEnd"/>
      <w:r w:rsidRPr="001B340A">
        <w:rPr>
          <w:rFonts w:ascii="Century Gothic" w:hAnsi="Century Gothic"/>
          <w:color w:val="000000" w:themeColor="text1"/>
          <w:sz w:val="18"/>
          <w:szCs w:val="18"/>
        </w:rPr>
        <w:t xml:space="preserve"> II (</w:t>
      </w:r>
      <w:r w:rsidRPr="001B340A">
        <w:rPr>
          <w:rFonts w:ascii="Century Gothic" w:hAnsi="Century Gothic"/>
          <w:i/>
          <w:color w:val="000000" w:themeColor="text1"/>
          <w:sz w:val="18"/>
          <w:szCs w:val="18"/>
        </w:rPr>
        <w:t xml:space="preserve">TEDS-TETRA </w:t>
      </w:r>
      <w:proofErr w:type="spellStart"/>
      <w:r w:rsidRPr="001B340A">
        <w:rPr>
          <w:rFonts w:ascii="Century Gothic" w:hAnsi="Century Gothic"/>
          <w:i/>
          <w:color w:val="000000" w:themeColor="text1"/>
          <w:sz w:val="18"/>
          <w:szCs w:val="18"/>
        </w:rPr>
        <w:t>Enhanced</w:t>
      </w:r>
      <w:proofErr w:type="spellEnd"/>
      <w:r w:rsidRPr="001B340A">
        <w:rPr>
          <w:rFonts w:ascii="Century Gothic" w:hAnsi="Century Gothic"/>
          <w:i/>
          <w:color w:val="000000" w:themeColor="text1"/>
          <w:sz w:val="18"/>
          <w:szCs w:val="18"/>
        </w:rPr>
        <w:t xml:space="preserve"> Data </w:t>
      </w:r>
      <w:proofErr w:type="spellStart"/>
      <w:r w:rsidRPr="001B340A">
        <w:rPr>
          <w:rFonts w:ascii="Century Gothic" w:hAnsi="Century Gothic"/>
          <w:i/>
          <w:color w:val="000000" w:themeColor="text1"/>
          <w:sz w:val="18"/>
          <w:szCs w:val="18"/>
        </w:rPr>
        <w:t>Service</w:t>
      </w:r>
      <w:proofErr w:type="spellEnd"/>
      <w:r w:rsidRPr="001B340A">
        <w:rPr>
          <w:rFonts w:ascii="Century Gothic" w:hAnsi="Century Gothic"/>
          <w:color w:val="000000" w:themeColor="text1"/>
          <w:sz w:val="18"/>
          <w:szCs w:val="18"/>
        </w:rPr>
        <w:t xml:space="preserve">). Tetra opera en modo </w:t>
      </w:r>
      <w:proofErr w:type="spellStart"/>
      <w:r w:rsidRPr="001B340A">
        <w:rPr>
          <w:rFonts w:ascii="Century Gothic" w:hAnsi="Century Gothic"/>
          <w:color w:val="000000" w:themeColor="text1"/>
          <w:sz w:val="18"/>
          <w:szCs w:val="18"/>
        </w:rPr>
        <w:t>troncalizado</w:t>
      </w:r>
      <w:proofErr w:type="spellEnd"/>
      <w:r w:rsidRPr="001B340A">
        <w:rPr>
          <w:rFonts w:ascii="Century Gothic" w:hAnsi="Century Gothic"/>
          <w:color w:val="000000" w:themeColor="text1"/>
          <w:sz w:val="18"/>
          <w:szCs w:val="18"/>
        </w:rPr>
        <w:t>.</w:t>
      </w:r>
    </w:p>
    <w:p w14:paraId="70082886" w14:textId="0566A8FB" w:rsidR="001B340A" w:rsidRPr="001B340A" w:rsidRDefault="001B340A" w:rsidP="001B340A">
      <w:pPr>
        <w:pStyle w:val="Prrafodelista"/>
        <w:numPr>
          <w:ilvl w:val="0"/>
          <w:numId w:val="4"/>
        </w:numPr>
        <w:spacing w:after="0" w:line="240" w:lineRule="auto"/>
        <w:ind w:left="540" w:hanging="540"/>
        <w:contextualSpacing w:val="0"/>
        <w:jc w:val="both"/>
        <w:rPr>
          <w:rFonts w:ascii="Century Gothic" w:hAnsi="Century Gothic"/>
          <w:b/>
          <w:color w:val="000000" w:themeColor="text1"/>
          <w:sz w:val="18"/>
          <w:szCs w:val="18"/>
        </w:rPr>
      </w:pPr>
      <w:r w:rsidRPr="001B340A">
        <w:rPr>
          <w:rFonts w:ascii="Century Gothic" w:hAnsi="Century Gothic"/>
          <w:b/>
          <w:color w:val="000000" w:themeColor="text1"/>
          <w:sz w:val="18"/>
          <w:szCs w:val="18"/>
        </w:rPr>
        <w:t xml:space="preserve">DMR </w:t>
      </w:r>
      <w:r w:rsidRPr="001B340A">
        <w:rPr>
          <w:rFonts w:ascii="Century Gothic" w:hAnsi="Century Gothic"/>
          <w:i/>
          <w:color w:val="000000" w:themeColor="text1"/>
          <w:sz w:val="18"/>
          <w:szCs w:val="18"/>
        </w:rPr>
        <w:t>(Digital Mobile Radio).</w:t>
      </w:r>
      <w:r w:rsidRPr="001B340A">
        <w:rPr>
          <w:rFonts w:ascii="Century Gothic" w:hAnsi="Century Gothic"/>
          <w:b/>
          <w:color w:val="000000" w:themeColor="text1"/>
          <w:sz w:val="18"/>
          <w:szCs w:val="18"/>
        </w:rPr>
        <w:t xml:space="preserve"> </w:t>
      </w:r>
      <w:r w:rsidRPr="001B340A">
        <w:rPr>
          <w:rFonts w:ascii="Century Gothic" w:hAnsi="Century Gothic"/>
          <w:color w:val="000000" w:themeColor="text1"/>
          <w:sz w:val="18"/>
          <w:szCs w:val="18"/>
        </w:rPr>
        <w:t>Estandarizado</w:t>
      </w:r>
      <w:r w:rsidRPr="001B340A">
        <w:rPr>
          <w:rStyle w:val="Refdenotaalpie"/>
          <w:rFonts w:ascii="Century Gothic" w:hAnsi="Century Gothic"/>
          <w:color w:val="000000" w:themeColor="text1"/>
          <w:sz w:val="18"/>
          <w:szCs w:val="18"/>
        </w:rPr>
        <w:footnoteReference w:id="10"/>
      </w:r>
      <w:r w:rsidR="00EF3A0F">
        <w:rPr>
          <w:rFonts w:ascii="Century Gothic" w:hAnsi="Century Gothic"/>
          <w:color w:val="000000" w:themeColor="text1"/>
          <w:sz w:val="18"/>
          <w:szCs w:val="18"/>
        </w:rPr>
        <w:t xml:space="preserve"> por ETSI;</w:t>
      </w:r>
      <w:r w:rsidRPr="001B340A">
        <w:rPr>
          <w:rFonts w:ascii="Century Gothic" w:hAnsi="Century Gothic"/>
          <w:color w:val="000000" w:themeColor="text1"/>
          <w:sz w:val="18"/>
          <w:szCs w:val="18"/>
        </w:rPr>
        <w:t xml:space="preserve"> esta tecnología es implementada principalmente para sistemas de comunicaciones comerciales y puede ser implementada con canalizaciones de 25 kHz o 12.5 kHz. Dentro de sus variantes existentes están DMR </w:t>
      </w:r>
      <w:proofErr w:type="spellStart"/>
      <w:r w:rsidRPr="001B340A">
        <w:rPr>
          <w:rFonts w:ascii="Century Gothic" w:hAnsi="Century Gothic"/>
          <w:i/>
          <w:color w:val="000000" w:themeColor="text1"/>
          <w:sz w:val="18"/>
          <w:szCs w:val="18"/>
        </w:rPr>
        <w:t>Tier</w:t>
      </w:r>
      <w:proofErr w:type="spellEnd"/>
      <w:r w:rsidRPr="001B340A">
        <w:rPr>
          <w:rFonts w:ascii="Century Gothic" w:hAnsi="Century Gothic"/>
          <w:color w:val="000000" w:themeColor="text1"/>
          <w:sz w:val="18"/>
          <w:szCs w:val="18"/>
        </w:rPr>
        <w:t xml:space="preserve"> I (operación en frecuencias libres), DMR </w:t>
      </w:r>
      <w:proofErr w:type="spellStart"/>
      <w:r w:rsidRPr="001B340A">
        <w:rPr>
          <w:rFonts w:ascii="Century Gothic" w:hAnsi="Century Gothic"/>
          <w:i/>
          <w:color w:val="000000" w:themeColor="text1"/>
          <w:sz w:val="18"/>
          <w:szCs w:val="18"/>
        </w:rPr>
        <w:t>Tier</w:t>
      </w:r>
      <w:proofErr w:type="spellEnd"/>
      <w:r w:rsidRPr="001B340A">
        <w:rPr>
          <w:rFonts w:ascii="Century Gothic" w:hAnsi="Century Gothic"/>
          <w:i/>
          <w:color w:val="000000" w:themeColor="text1"/>
          <w:sz w:val="18"/>
          <w:szCs w:val="18"/>
        </w:rPr>
        <w:t xml:space="preserve"> </w:t>
      </w:r>
      <w:r w:rsidRPr="001B340A">
        <w:rPr>
          <w:rFonts w:ascii="Century Gothic" w:hAnsi="Century Gothic"/>
          <w:color w:val="000000" w:themeColor="text1"/>
          <w:sz w:val="18"/>
          <w:szCs w:val="18"/>
        </w:rPr>
        <w:t xml:space="preserve">II (radio convencional) y DMR </w:t>
      </w:r>
      <w:proofErr w:type="spellStart"/>
      <w:r w:rsidRPr="001B340A">
        <w:rPr>
          <w:rFonts w:ascii="Century Gothic" w:hAnsi="Century Gothic"/>
          <w:i/>
          <w:color w:val="000000" w:themeColor="text1"/>
          <w:sz w:val="18"/>
          <w:szCs w:val="18"/>
        </w:rPr>
        <w:t>Tier</w:t>
      </w:r>
      <w:proofErr w:type="spellEnd"/>
      <w:r w:rsidRPr="001B340A">
        <w:rPr>
          <w:rFonts w:ascii="Century Gothic" w:hAnsi="Century Gothic"/>
          <w:color w:val="000000" w:themeColor="text1"/>
          <w:sz w:val="18"/>
          <w:szCs w:val="18"/>
        </w:rPr>
        <w:t xml:space="preserve"> III (sistema </w:t>
      </w:r>
      <w:proofErr w:type="spellStart"/>
      <w:r w:rsidRPr="001B340A">
        <w:rPr>
          <w:rFonts w:ascii="Century Gothic" w:hAnsi="Century Gothic"/>
          <w:color w:val="000000" w:themeColor="text1"/>
          <w:sz w:val="18"/>
          <w:szCs w:val="18"/>
        </w:rPr>
        <w:t>troncalizado</w:t>
      </w:r>
      <w:proofErr w:type="spellEnd"/>
      <w:r w:rsidRPr="001B340A">
        <w:rPr>
          <w:rFonts w:ascii="Century Gothic" w:hAnsi="Century Gothic"/>
          <w:color w:val="000000" w:themeColor="text1"/>
          <w:sz w:val="18"/>
          <w:szCs w:val="18"/>
        </w:rPr>
        <w:t xml:space="preserve">). DMR opera en ambas modalidades: convencional y </w:t>
      </w:r>
      <w:proofErr w:type="spellStart"/>
      <w:r w:rsidRPr="001B340A">
        <w:rPr>
          <w:rFonts w:ascii="Century Gothic" w:hAnsi="Century Gothic"/>
          <w:color w:val="000000" w:themeColor="text1"/>
          <w:sz w:val="18"/>
          <w:szCs w:val="18"/>
        </w:rPr>
        <w:t>troncalizada</w:t>
      </w:r>
      <w:proofErr w:type="spellEnd"/>
      <w:r w:rsidRPr="001B340A">
        <w:rPr>
          <w:rFonts w:ascii="Century Gothic" w:hAnsi="Century Gothic"/>
          <w:color w:val="000000" w:themeColor="text1"/>
          <w:sz w:val="18"/>
          <w:szCs w:val="18"/>
        </w:rPr>
        <w:t>.</w:t>
      </w:r>
    </w:p>
    <w:p w14:paraId="0407818A" w14:textId="77777777" w:rsidR="001B340A" w:rsidRPr="001B340A" w:rsidRDefault="001B340A" w:rsidP="001B340A">
      <w:pPr>
        <w:pStyle w:val="Prrafodelista"/>
        <w:jc w:val="both"/>
        <w:rPr>
          <w:rFonts w:ascii="Century Gothic" w:hAnsi="Century Gothic"/>
          <w:color w:val="000000" w:themeColor="text1"/>
          <w:sz w:val="18"/>
          <w:szCs w:val="18"/>
        </w:rPr>
      </w:pPr>
    </w:p>
    <w:p w14:paraId="2F012B21" w14:textId="77777777" w:rsidR="001B340A" w:rsidRPr="001B340A" w:rsidRDefault="001B340A" w:rsidP="001B340A">
      <w:pPr>
        <w:pStyle w:val="Prrafodelista"/>
        <w:ind w:left="0"/>
        <w:jc w:val="both"/>
        <w:rPr>
          <w:rFonts w:ascii="Century Gothic" w:hAnsi="Century Gothic"/>
          <w:color w:val="000000" w:themeColor="text1"/>
          <w:sz w:val="18"/>
          <w:szCs w:val="18"/>
        </w:rPr>
      </w:pPr>
      <w:r w:rsidRPr="001B340A">
        <w:rPr>
          <w:rFonts w:ascii="Century Gothic" w:hAnsi="Century Gothic"/>
          <w:color w:val="000000" w:themeColor="text1"/>
          <w:sz w:val="18"/>
          <w:szCs w:val="18"/>
        </w:rPr>
        <w:t xml:space="preserve">De forma general, dichas tecnologías operan con anchos de canal físico de 25 kHz y/o 12.5 kHz, con técnicas de acceso al medio tales como TDMA y/o FDMA y con modulaciones QPSK y/o QAM (y sus variantes). </w:t>
      </w:r>
    </w:p>
    <w:p w14:paraId="5AE059F8" w14:textId="77777777" w:rsidR="001B340A" w:rsidRPr="001B340A" w:rsidRDefault="001B340A" w:rsidP="001B340A">
      <w:pPr>
        <w:pStyle w:val="Prrafodelista"/>
        <w:ind w:left="0"/>
        <w:jc w:val="both"/>
        <w:rPr>
          <w:rFonts w:ascii="Century Gothic" w:hAnsi="Century Gothic"/>
          <w:color w:val="000000" w:themeColor="text1"/>
          <w:sz w:val="18"/>
          <w:szCs w:val="18"/>
        </w:rPr>
      </w:pPr>
    </w:p>
    <w:p w14:paraId="4B2FDFED" w14:textId="73C91DF8" w:rsidR="001B340A" w:rsidRPr="00777B94" w:rsidRDefault="001B340A" w:rsidP="00777B94">
      <w:pPr>
        <w:pStyle w:val="Prrafodelista"/>
        <w:ind w:left="0"/>
        <w:jc w:val="both"/>
        <w:rPr>
          <w:rFonts w:ascii="Century Gothic" w:hAnsi="Century Gothic"/>
          <w:color w:val="000000" w:themeColor="text1"/>
          <w:sz w:val="18"/>
          <w:szCs w:val="18"/>
        </w:rPr>
      </w:pPr>
      <w:r w:rsidRPr="001B340A">
        <w:rPr>
          <w:rFonts w:ascii="Century Gothic" w:hAnsi="Century Gothic"/>
          <w:color w:val="000000" w:themeColor="text1"/>
          <w:sz w:val="18"/>
          <w:szCs w:val="18"/>
        </w:rPr>
        <w:t xml:space="preserve">Por otro lado, dentro </w:t>
      </w:r>
      <w:r w:rsidR="007F64B7">
        <w:rPr>
          <w:rFonts w:ascii="Century Gothic" w:hAnsi="Century Gothic"/>
          <w:color w:val="000000" w:themeColor="text1"/>
          <w:sz w:val="18"/>
          <w:szCs w:val="18"/>
        </w:rPr>
        <w:t xml:space="preserve">del </w:t>
      </w:r>
      <w:r w:rsidR="00715573">
        <w:rPr>
          <w:rFonts w:ascii="Century Gothic" w:hAnsi="Century Gothic"/>
          <w:color w:val="000000" w:themeColor="text1"/>
          <w:sz w:val="18"/>
          <w:szCs w:val="18"/>
        </w:rPr>
        <w:t>rango</w:t>
      </w:r>
      <w:r w:rsidRPr="001B340A">
        <w:rPr>
          <w:rFonts w:ascii="Century Gothic" w:hAnsi="Century Gothic"/>
          <w:color w:val="000000" w:themeColor="text1"/>
          <w:sz w:val="18"/>
          <w:szCs w:val="18"/>
        </w:rPr>
        <w:t xml:space="preserve"> 40</w:t>
      </w:r>
      <w:r w:rsidR="007F64B7">
        <w:rPr>
          <w:rFonts w:ascii="Century Gothic" w:hAnsi="Century Gothic"/>
          <w:color w:val="000000" w:themeColor="text1"/>
          <w:sz w:val="18"/>
          <w:szCs w:val="18"/>
        </w:rPr>
        <w:t>6.1 - 512</w:t>
      </w:r>
      <w:r w:rsidRPr="001B340A">
        <w:rPr>
          <w:rFonts w:ascii="Century Gothic" w:hAnsi="Century Gothic"/>
          <w:color w:val="000000" w:themeColor="text1"/>
          <w:sz w:val="18"/>
          <w:szCs w:val="18"/>
        </w:rPr>
        <w:t xml:space="preserve"> MHz existe la operación de sistemas SCADA (del inglés </w:t>
      </w:r>
      <w:proofErr w:type="spellStart"/>
      <w:r w:rsidRPr="001B340A">
        <w:rPr>
          <w:rFonts w:ascii="Century Gothic" w:hAnsi="Century Gothic"/>
          <w:i/>
          <w:color w:val="000000" w:themeColor="text1"/>
          <w:sz w:val="18"/>
          <w:szCs w:val="18"/>
        </w:rPr>
        <w:t>Supervisory</w:t>
      </w:r>
      <w:proofErr w:type="spellEnd"/>
      <w:r w:rsidRPr="001B340A">
        <w:rPr>
          <w:rFonts w:ascii="Century Gothic" w:hAnsi="Century Gothic"/>
          <w:i/>
          <w:color w:val="000000" w:themeColor="text1"/>
          <w:sz w:val="18"/>
          <w:szCs w:val="18"/>
        </w:rPr>
        <w:t xml:space="preserve"> Control And Data </w:t>
      </w:r>
      <w:proofErr w:type="spellStart"/>
      <w:r w:rsidRPr="001B340A">
        <w:rPr>
          <w:rFonts w:ascii="Century Gothic" w:hAnsi="Century Gothic"/>
          <w:i/>
          <w:color w:val="000000" w:themeColor="text1"/>
          <w:sz w:val="18"/>
          <w:szCs w:val="18"/>
        </w:rPr>
        <w:t>Acquisition</w:t>
      </w:r>
      <w:proofErr w:type="spellEnd"/>
      <w:r w:rsidRPr="001B340A">
        <w:rPr>
          <w:rFonts w:ascii="Century Gothic" w:hAnsi="Century Gothic"/>
          <w:color w:val="000000" w:themeColor="text1"/>
          <w:sz w:val="18"/>
          <w:szCs w:val="18"/>
        </w:rPr>
        <w:t xml:space="preserve">), </w:t>
      </w:r>
      <w:r w:rsidR="00B27050">
        <w:rPr>
          <w:rFonts w:ascii="Century Gothic" w:hAnsi="Century Gothic"/>
          <w:color w:val="000000" w:themeColor="text1"/>
          <w:sz w:val="18"/>
          <w:szCs w:val="18"/>
        </w:rPr>
        <w:t>mismo que</w:t>
      </w:r>
      <w:r w:rsidRPr="001B340A">
        <w:rPr>
          <w:rFonts w:ascii="Century Gothic" w:hAnsi="Century Gothic"/>
          <w:color w:val="000000" w:themeColor="text1"/>
          <w:sz w:val="18"/>
          <w:szCs w:val="18"/>
        </w:rPr>
        <w:t xml:space="preserve"> consiste en un sistema controlado por software que permite controlar y supervisar procesos industriales a distancia. Debido a la diversificación que ha existido a lo largo de los años para dar solución a este tipo de servicios, no existen soluciones tecnológicas líderes. Comúnmente estos tipos de sistemas operan con un ancho de canal físico de 6.25 kHz y con accesos al medio de FDMA (</w:t>
      </w:r>
      <w:proofErr w:type="spellStart"/>
      <w:r w:rsidRPr="001B340A">
        <w:rPr>
          <w:rFonts w:ascii="Century Gothic" w:hAnsi="Century Gothic"/>
          <w:i/>
          <w:color w:val="000000" w:themeColor="text1"/>
          <w:sz w:val="18"/>
          <w:szCs w:val="18"/>
        </w:rPr>
        <w:t>Frequency</w:t>
      </w:r>
      <w:proofErr w:type="spellEnd"/>
      <w:r w:rsidRPr="001B340A">
        <w:rPr>
          <w:rFonts w:ascii="Century Gothic" w:hAnsi="Century Gothic"/>
          <w:i/>
          <w:color w:val="000000" w:themeColor="text1"/>
          <w:sz w:val="18"/>
          <w:szCs w:val="18"/>
        </w:rPr>
        <w:t xml:space="preserve"> </w:t>
      </w:r>
      <w:proofErr w:type="spellStart"/>
      <w:r w:rsidRPr="001B340A">
        <w:rPr>
          <w:rFonts w:ascii="Century Gothic" w:hAnsi="Century Gothic"/>
          <w:i/>
          <w:color w:val="000000" w:themeColor="text1"/>
          <w:sz w:val="18"/>
          <w:szCs w:val="18"/>
        </w:rPr>
        <w:t>Division</w:t>
      </w:r>
      <w:proofErr w:type="spellEnd"/>
      <w:r w:rsidRPr="001B340A">
        <w:rPr>
          <w:rFonts w:ascii="Century Gothic" w:hAnsi="Century Gothic"/>
          <w:i/>
          <w:color w:val="000000" w:themeColor="text1"/>
          <w:sz w:val="18"/>
          <w:szCs w:val="18"/>
        </w:rPr>
        <w:t xml:space="preserve"> </w:t>
      </w:r>
      <w:proofErr w:type="spellStart"/>
      <w:r w:rsidRPr="001B340A">
        <w:rPr>
          <w:rFonts w:ascii="Century Gothic" w:hAnsi="Century Gothic"/>
          <w:i/>
          <w:color w:val="000000" w:themeColor="text1"/>
          <w:sz w:val="18"/>
          <w:szCs w:val="18"/>
        </w:rPr>
        <w:t>Multiple</w:t>
      </w:r>
      <w:proofErr w:type="spellEnd"/>
      <w:r w:rsidRPr="001B340A">
        <w:rPr>
          <w:rFonts w:ascii="Century Gothic" w:hAnsi="Century Gothic"/>
          <w:i/>
          <w:color w:val="000000" w:themeColor="text1"/>
          <w:sz w:val="18"/>
          <w:szCs w:val="18"/>
        </w:rPr>
        <w:t xml:space="preserve"> Access</w:t>
      </w:r>
      <w:r w:rsidRPr="001B340A">
        <w:rPr>
          <w:rFonts w:ascii="Century Gothic" w:hAnsi="Century Gothic"/>
          <w:color w:val="000000" w:themeColor="text1"/>
          <w:sz w:val="18"/>
          <w:szCs w:val="18"/>
        </w:rPr>
        <w:t>) o TDMA (</w:t>
      </w:r>
      <w:r w:rsidRPr="001B340A">
        <w:rPr>
          <w:rFonts w:ascii="Century Gothic" w:hAnsi="Century Gothic"/>
          <w:i/>
          <w:color w:val="000000" w:themeColor="text1"/>
          <w:sz w:val="18"/>
          <w:szCs w:val="18"/>
        </w:rPr>
        <w:t xml:space="preserve">Time </w:t>
      </w:r>
      <w:proofErr w:type="spellStart"/>
      <w:r w:rsidRPr="001B340A">
        <w:rPr>
          <w:rFonts w:ascii="Century Gothic" w:hAnsi="Century Gothic"/>
          <w:i/>
          <w:color w:val="000000" w:themeColor="text1"/>
          <w:sz w:val="18"/>
          <w:szCs w:val="18"/>
        </w:rPr>
        <w:t>Division</w:t>
      </w:r>
      <w:proofErr w:type="spellEnd"/>
      <w:r w:rsidRPr="001B340A">
        <w:rPr>
          <w:rFonts w:ascii="Century Gothic" w:hAnsi="Century Gothic"/>
          <w:i/>
          <w:color w:val="000000" w:themeColor="text1"/>
          <w:sz w:val="18"/>
          <w:szCs w:val="18"/>
        </w:rPr>
        <w:t xml:space="preserve"> </w:t>
      </w:r>
      <w:proofErr w:type="spellStart"/>
      <w:r w:rsidRPr="001B340A">
        <w:rPr>
          <w:rFonts w:ascii="Century Gothic" w:hAnsi="Century Gothic"/>
          <w:i/>
          <w:color w:val="000000" w:themeColor="text1"/>
          <w:sz w:val="18"/>
          <w:szCs w:val="18"/>
        </w:rPr>
        <w:t>Multiple</w:t>
      </w:r>
      <w:proofErr w:type="spellEnd"/>
      <w:r w:rsidRPr="001B340A">
        <w:rPr>
          <w:rFonts w:ascii="Century Gothic" w:hAnsi="Century Gothic"/>
          <w:i/>
          <w:color w:val="000000" w:themeColor="text1"/>
          <w:sz w:val="18"/>
          <w:szCs w:val="18"/>
        </w:rPr>
        <w:t xml:space="preserve"> Access</w:t>
      </w:r>
      <w:r w:rsidRPr="001B340A">
        <w:rPr>
          <w:rFonts w:ascii="Century Gothic" w:hAnsi="Century Gothic"/>
          <w:color w:val="000000" w:themeColor="text1"/>
          <w:sz w:val="18"/>
          <w:szCs w:val="18"/>
        </w:rPr>
        <w:t>).</w:t>
      </w:r>
    </w:p>
    <w:p w14:paraId="06AE741F" w14:textId="1345DD86" w:rsidR="001B340A" w:rsidRPr="00790083" w:rsidRDefault="003D62E2" w:rsidP="001B340A">
      <w:pPr>
        <w:spacing w:after="0" w:line="240" w:lineRule="auto"/>
        <w:jc w:val="both"/>
        <w:rPr>
          <w:rFonts w:ascii="Century Gothic" w:hAnsi="Century Gothic"/>
          <w:b/>
          <w:sz w:val="20"/>
          <w:szCs w:val="18"/>
          <w:u w:val="single"/>
        </w:rPr>
      </w:pPr>
      <w:r w:rsidRPr="00790083">
        <w:rPr>
          <w:rFonts w:ascii="Century Gothic" w:hAnsi="Century Gothic"/>
          <w:b/>
          <w:sz w:val="20"/>
          <w:szCs w:val="18"/>
          <w:u w:val="single"/>
        </w:rPr>
        <w:t>Acciones de optimización</w:t>
      </w:r>
    </w:p>
    <w:p w14:paraId="6DA987C0" w14:textId="77777777" w:rsidR="001B340A" w:rsidRPr="001B340A" w:rsidRDefault="001B340A" w:rsidP="001B340A">
      <w:pPr>
        <w:spacing w:after="0" w:line="240" w:lineRule="auto"/>
        <w:jc w:val="both"/>
        <w:rPr>
          <w:rFonts w:ascii="Century Gothic" w:hAnsi="Century Gothic"/>
          <w:sz w:val="18"/>
          <w:szCs w:val="18"/>
        </w:rPr>
      </w:pPr>
    </w:p>
    <w:p w14:paraId="1BC9BD53" w14:textId="77777777"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Dentro de las acciones de planificación del espectro que se llevan a cabo en el Instituto, se observa necesario establecer una distribución eficiente de los servicios que se prestan a través del espectro radioeléctrico, tomando ventaja de los últimos avances tecnológicos y del desarrollo de estándares armonizados a nivel mundial y regional.</w:t>
      </w:r>
    </w:p>
    <w:p w14:paraId="2570D446" w14:textId="77777777" w:rsidR="001B340A" w:rsidRPr="001B340A" w:rsidRDefault="001B340A" w:rsidP="001B340A">
      <w:pPr>
        <w:spacing w:after="0" w:line="240" w:lineRule="auto"/>
        <w:jc w:val="both"/>
        <w:rPr>
          <w:rFonts w:ascii="Century Gothic" w:hAnsi="Century Gothic"/>
          <w:sz w:val="18"/>
          <w:szCs w:val="18"/>
        </w:rPr>
      </w:pPr>
    </w:p>
    <w:p w14:paraId="748C40F7" w14:textId="638661E7"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En este sentido, es de particular interés la necesidad de optimización </w:t>
      </w:r>
      <w:r w:rsidR="00A869C6">
        <w:rPr>
          <w:rFonts w:ascii="Century Gothic" w:hAnsi="Century Gothic"/>
          <w:sz w:val="18"/>
          <w:szCs w:val="18"/>
        </w:rPr>
        <w:t xml:space="preserve">del </w:t>
      </w:r>
      <w:r w:rsidR="00715573">
        <w:rPr>
          <w:rFonts w:ascii="Century Gothic" w:hAnsi="Century Gothic"/>
          <w:sz w:val="18"/>
          <w:szCs w:val="18"/>
        </w:rPr>
        <w:t>rango</w:t>
      </w:r>
      <w:r w:rsidRPr="001B340A">
        <w:rPr>
          <w:rFonts w:ascii="Century Gothic" w:hAnsi="Century Gothic"/>
          <w:sz w:val="18"/>
          <w:szCs w:val="18"/>
        </w:rPr>
        <w:t xml:space="preserve"> 406.1-512 MHz con el objeto de generar un régimen más ordenado del uso del espectro. En consecuencia, los diferentes servicios que actualmente hacen uso del espectro deberán de hacerlo conforme a la planificación de uso de la banda. En algunos casos se tendrán que despejar segmentos de la banda actualmente saturados conforme al uso específico planificado. </w:t>
      </w:r>
    </w:p>
    <w:p w14:paraId="43A54522" w14:textId="77777777" w:rsidR="001B340A" w:rsidRPr="001B340A" w:rsidRDefault="001B340A" w:rsidP="001B340A">
      <w:pPr>
        <w:spacing w:after="0" w:line="240" w:lineRule="auto"/>
        <w:jc w:val="both"/>
        <w:rPr>
          <w:rFonts w:ascii="Century Gothic" w:hAnsi="Century Gothic"/>
          <w:sz w:val="18"/>
          <w:szCs w:val="18"/>
        </w:rPr>
      </w:pPr>
    </w:p>
    <w:p w14:paraId="3659F781" w14:textId="77777777"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En virtud de lo anterior, la banda de frecuencias 440-450 MHz se contempla como una banda destinada para la operación de sistemas de radiocomunicación privada con el objetivo de satisfacer las necesidades de comunicación de este servicio en particular.</w:t>
      </w:r>
    </w:p>
    <w:p w14:paraId="3478D4A6" w14:textId="77777777" w:rsidR="001B340A" w:rsidRPr="001B340A" w:rsidRDefault="001B340A" w:rsidP="001B340A">
      <w:pPr>
        <w:spacing w:after="0" w:line="240" w:lineRule="auto"/>
        <w:jc w:val="both"/>
        <w:rPr>
          <w:rFonts w:ascii="Century Gothic" w:hAnsi="Century Gothic"/>
          <w:sz w:val="18"/>
          <w:szCs w:val="18"/>
        </w:rPr>
      </w:pPr>
    </w:p>
    <w:p w14:paraId="1A82B468" w14:textId="77777777"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Ahora bien, el esquema considerado para la banda 440-450 MHz prevé el uso de 5 MHz para la transmisión del móvil y 5 MHz para la transmisión de la radio base, como se muestra en la figura siguiente:</w:t>
      </w:r>
    </w:p>
    <w:p w14:paraId="234FB3ED" w14:textId="77777777" w:rsidR="001B340A" w:rsidRPr="001B340A" w:rsidRDefault="001B340A" w:rsidP="001B340A">
      <w:pPr>
        <w:spacing w:after="0" w:line="240" w:lineRule="auto"/>
        <w:jc w:val="both"/>
        <w:rPr>
          <w:rFonts w:ascii="Century Gothic" w:hAnsi="Century Gothic"/>
          <w:sz w:val="20"/>
        </w:rPr>
      </w:pPr>
    </w:p>
    <w:p w14:paraId="43B66323" w14:textId="77777777" w:rsidR="001B340A" w:rsidRPr="001B340A" w:rsidRDefault="001B340A" w:rsidP="003D62E2">
      <w:pPr>
        <w:spacing w:after="0" w:line="240" w:lineRule="auto"/>
        <w:jc w:val="center"/>
        <w:rPr>
          <w:rFonts w:ascii="Century Gothic" w:hAnsi="Century Gothic"/>
          <w:sz w:val="20"/>
        </w:rPr>
      </w:pPr>
      <w:r w:rsidRPr="001B340A">
        <w:rPr>
          <w:rFonts w:ascii="Century Gothic" w:hAnsi="Century Gothic"/>
          <w:noProof/>
          <w:sz w:val="20"/>
          <w:lang w:eastAsia="es-MX"/>
        </w:rPr>
        <w:lastRenderedPageBreak/>
        <w:drawing>
          <wp:inline distT="0" distB="0" distL="0" distR="0" wp14:anchorId="306B240C" wp14:editId="1952B94D">
            <wp:extent cx="3209925" cy="14558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5696" cy="1476577"/>
                    </a:xfrm>
                    <a:prstGeom prst="rect">
                      <a:avLst/>
                    </a:prstGeom>
                    <a:noFill/>
                  </pic:spPr>
                </pic:pic>
              </a:graphicData>
            </a:graphic>
          </wp:inline>
        </w:drawing>
      </w:r>
    </w:p>
    <w:p w14:paraId="47061FF7" w14:textId="77777777" w:rsidR="001B340A" w:rsidRPr="001B340A" w:rsidRDefault="001B340A" w:rsidP="001B340A">
      <w:pPr>
        <w:spacing w:after="0" w:line="240" w:lineRule="auto"/>
        <w:jc w:val="both"/>
        <w:rPr>
          <w:rFonts w:ascii="Century Gothic" w:hAnsi="Century Gothic"/>
          <w:sz w:val="20"/>
        </w:rPr>
      </w:pPr>
    </w:p>
    <w:p w14:paraId="51050FEF" w14:textId="11DD3722" w:rsidR="001B340A" w:rsidRPr="00790083" w:rsidRDefault="001B340A" w:rsidP="001B340A">
      <w:pPr>
        <w:spacing w:after="0" w:line="240" w:lineRule="auto"/>
        <w:jc w:val="both"/>
        <w:rPr>
          <w:rFonts w:ascii="Century Gothic" w:hAnsi="Century Gothic"/>
          <w:b/>
          <w:sz w:val="20"/>
          <w:u w:val="single"/>
        </w:rPr>
      </w:pPr>
      <w:r w:rsidRPr="00790083">
        <w:rPr>
          <w:rFonts w:ascii="Century Gothic" w:hAnsi="Century Gothic"/>
          <w:b/>
          <w:sz w:val="20"/>
          <w:u w:val="single"/>
        </w:rPr>
        <w:t>Programa Anual de Bandas de Frecuencias 2015</w:t>
      </w:r>
    </w:p>
    <w:p w14:paraId="4A412F6C" w14:textId="77777777" w:rsidR="001B340A" w:rsidRPr="001B340A" w:rsidRDefault="001B340A" w:rsidP="001B340A">
      <w:pPr>
        <w:spacing w:after="0" w:line="240" w:lineRule="auto"/>
        <w:jc w:val="both"/>
        <w:rPr>
          <w:rFonts w:ascii="Century Gothic" w:hAnsi="Century Gothic"/>
          <w:sz w:val="18"/>
        </w:rPr>
      </w:pPr>
    </w:p>
    <w:p w14:paraId="41C515C8" w14:textId="3566B4C2" w:rsidR="001B340A" w:rsidRPr="001B340A" w:rsidRDefault="001B340A" w:rsidP="001B340A">
      <w:pPr>
        <w:spacing w:after="0" w:line="240" w:lineRule="auto"/>
        <w:jc w:val="both"/>
        <w:rPr>
          <w:rFonts w:ascii="Century Gothic" w:hAnsi="Century Gothic"/>
          <w:sz w:val="18"/>
        </w:rPr>
      </w:pPr>
      <w:r w:rsidRPr="001B340A">
        <w:rPr>
          <w:rFonts w:ascii="Century Gothic" w:hAnsi="Century Gothic"/>
          <w:sz w:val="18"/>
        </w:rPr>
        <w:t>De conformidad con el Artículo 59 de la Ley Federal de Telecomunicaciones y Radiodifusión, el Instituto debe publicar anualmente un programa anual de bandas de frecuencia que incluya las frecuencias y bandas de frecuencia que serán objeto de licitación pública y de asignación directa, según corresponda. En ese sentido, el Programa Anual de Uso y Aprovechamiento de Bandas de Frecuencia 2015</w:t>
      </w:r>
      <w:r w:rsidRPr="001B340A">
        <w:rPr>
          <w:rStyle w:val="Refdenotaalpie"/>
          <w:rFonts w:ascii="Century Gothic" w:hAnsi="Century Gothic"/>
          <w:sz w:val="18"/>
        </w:rPr>
        <w:footnoteReference w:id="11"/>
      </w:r>
      <w:r w:rsidRPr="001B340A">
        <w:rPr>
          <w:rFonts w:ascii="Century Gothic" w:hAnsi="Century Gothic"/>
          <w:sz w:val="18"/>
        </w:rPr>
        <w:t xml:space="preserve"> incluye 10 MHz de espectro en la parte baja del rango de UHF, específicamente en </w:t>
      </w:r>
      <w:r w:rsidR="00715573">
        <w:rPr>
          <w:rFonts w:ascii="Century Gothic" w:hAnsi="Century Gothic"/>
          <w:sz w:val="18"/>
        </w:rPr>
        <w:t>la banda</w:t>
      </w:r>
      <w:r w:rsidRPr="001B340A">
        <w:rPr>
          <w:rFonts w:ascii="Century Gothic" w:hAnsi="Century Gothic"/>
          <w:sz w:val="18"/>
        </w:rPr>
        <w:t xml:space="preserve"> de 440-450 MHz, para </w:t>
      </w:r>
      <w:proofErr w:type="spellStart"/>
      <w:r w:rsidRPr="001B340A">
        <w:rPr>
          <w:rFonts w:ascii="Century Gothic" w:hAnsi="Century Gothic"/>
          <w:sz w:val="18"/>
        </w:rPr>
        <w:t>concesionamiento</w:t>
      </w:r>
      <w:proofErr w:type="spellEnd"/>
      <w:r w:rsidRPr="001B340A">
        <w:rPr>
          <w:rFonts w:ascii="Century Gothic" w:hAnsi="Century Gothic"/>
          <w:sz w:val="18"/>
        </w:rPr>
        <w:t xml:space="preserve"> de uso comercial orientado a la provisión de capacidad</w:t>
      </w:r>
      <w:r w:rsidR="00E53C12">
        <w:rPr>
          <w:rStyle w:val="Refdenotaalpie"/>
          <w:rFonts w:ascii="Century Gothic" w:hAnsi="Century Gothic"/>
          <w:sz w:val="18"/>
        </w:rPr>
        <w:footnoteReference w:id="12"/>
      </w:r>
      <w:r w:rsidRPr="001B340A">
        <w:rPr>
          <w:rFonts w:ascii="Century Gothic" w:hAnsi="Century Gothic"/>
          <w:sz w:val="18"/>
        </w:rPr>
        <w:t xml:space="preserve"> para sistemas de radiocomunicación privada.</w:t>
      </w:r>
    </w:p>
    <w:p w14:paraId="40E16170" w14:textId="77777777" w:rsidR="001B340A" w:rsidRPr="001B340A" w:rsidRDefault="001B340A" w:rsidP="001B340A">
      <w:pPr>
        <w:spacing w:after="0" w:line="240" w:lineRule="auto"/>
        <w:jc w:val="both"/>
        <w:rPr>
          <w:rFonts w:ascii="Century Gothic" w:hAnsi="Century Gothic"/>
          <w:sz w:val="18"/>
        </w:rPr>
      </w:pPr>
    </w:p>
    <w:p w14:paraId="2163DFFA" w14:textId="6E98D31D" w:rsidR="001B340A" w:rsidRPr="00790083" w:rsidRDefault="001B340A" w:rsidP="001B340A">
      <w:pPr>
        <w:spacing w:after="0" w:line="240" w:lineRule="auto"/>
        <w:jc w:val="both"/>
        <w:rPr>
          <w:rFonts w:ascii="Century Gothic" w:hAnsi="Century Gothic"/>
          <w:b/>
          <w:sz w:val="20"/>
          <w:u w:val="single"/>
        </w:rPr>
      </w:pPr>
      <w:r w:rsidRPr="00790083">
        <w:rPr>
          <w:rFonts w:ascii="Century Gothic" w:hAnsi="Century Gothic"/>
          <w:b/>
          <w:sz w:val="20"/>
          <w:u w:val="single"/>
        </w:rPr>
        <w:t>Calendario de la licitación IFT-5</w:t>
      </w:r>
    </w:p>
    <w:p w14:paraId="0F944EF1" w14:textId="77777777" w:rsidR="001B340A" w:rsidRPr="001B340A" w:rsidRDefault="001B340A" w:rsidP="001B340A">
      <w:pPr>
        <w:spacing w:after="0" w:line="240" w:lineRule="auto"/>
        <w:jc w:val="both"/>
        <w:rPr>
          <w:rFonts w:ascii="Century Gothic" w:hAnsi="Century Gothic"/>
          <w:b/>
          <w:sz w:val="18"/>
        </w:rPr>
      </w:pPr>
    </w:p>
    <w:p w14:paraId="47A53437" w14:textId="77777777" w:rsidR="001B340A" w:rsidRPr="001B340A" w:rsidRDefault="001B340A" w:rsidP="001B340A">
      <w:pPr>
        <w:spacing w:after="0" w:line="240" w:lineRule="auto"/>
        <w:jc w:val="both"/>
        <w:rPr>
          <w:rFonts w:ascii="Century Gothic" w:hAnsi="Century Gothic"/>
          <w:sz w:val="18"/>
        </w:rPr>
      </w:pPr>
      <w:r w:rsidRPr="001B340A">
        <w:rPr>
          <w:rFonts w:ascii="Century Gothic" w:hAnsi="Century Gothic"/>
          <w:sz w:val="18"/>
        </w:rPr>
        <w:t xml:space="preserve">El Proceso de Licitación se compondrá de varias etapas o procedimientos, para ello, el Instituto hará de conocimiento público el Calendario de Actividades respectivo. </w:t>
      </w:r>
    </w:p>
    <w:p w14:paraId="27D0F275" w14:textId="77777777" w:rsidR="001B340A" w:rsidRPr="001B340A" w:rsidRDefault="001B340A" w:rsidP="001B340A">
      <w:pPr>
        <w:spacing w:after="0" w:line="240" w:lineRule="auto"/>
        <w:jc w:val="both"/>
        <w:rPr>
          <w:rFonts w:ascii="Century Gothic" w:hAnsi="Century Gothic"/>
          <w:sz w:val="18"/>
        </w:rPr>
      </w:pPr>
    </w:p>
    <w:p w14:paraId="47F4F7B4" w14:textId="379A1FE9" w:rsidR="009B1222" w:rsidRDefault="001B340A" w:rsidP="001B340A">
      <w:pPr>
        <w:spacing w:after="0" w:line="240" w:lineRule="auto"/>
        <w:jc w:val="both"/>
        <w:rPr>
          <w:rFonts w:ascii="Century Gothic" w:hAnsi="Century Gothic"/>
          <w:sz w:val="18"/>
        </w:rPr>
      </w:pPr>
      <w:r w:rsidRPr="001B340A">
        <w:rPr>
          <w:rFonts w:ascii="Century Gothic" w:hAnsi="Century Gothic"/>
          <w:sz w:val="18"/>
        </w:rPr>
        <w:t>Las fechas previstas para los procedimientos generales del proceso de Licitació</w:t>
      </w:r>
      <w:r w:rsidR="00281BC7">
        <w:rPr>
          <w:rFonts w:ascii="Century Gothic" w:hAnsi="Century Gothic"/>
          <w:sz w:val="18"/>
        </w:rPr>
        <w:t>n son las siguientes</w:t>
      </w:r>
      <w:r w:rsidR="009043E9">
        <w:rPr>
          <w:rFonts w:ascii="Century Gothic" w:hAnsi="Century Gothic"/>
          <w:sz w:val="18"/>
        </w:rPr>
        <w:t>:</w:t>
      </w:r>
    </w:p>
    <w:p w14:paraId="1BCF95CD" w14:textId="77777777" w:rsidR="009B1222" w:rsidRDefault="009B1222" w:rsidP="001B340A">
      <w:pPr>
        <w:spacing w:after="0" w:line="240" w:lineRule="auto"/>
        <w:jc w:val="both"/>
        <w:rPr>
          <w:rFonts w:ascii="Century Gothic" w:hAnsi="Century Gothic"/>
          <w:sz w:val="18"/>
        </w:rPr>
      </w:pPr>
    </w:p>
    <w:p w14:paraId="05B2920C" w14:textId="77777777" w:rsidR="009B1222" w:rsidRPr="001B340A" w:rsidRDefault="009B1222" w:rsidP="001B340A">
      <w:pPr>
        <w:spacing w:after="0" w:line="240" w:lineRule="auto"/>
        <w:jc w:val="both"/>
        <w:rPr>
          <w:rFonts w:ascii="Century Gothic" w:hAnsi="Century Gothic"/>
          <w:sz w:val="18"/>
        </w:rPr>
      </w:pPr>
    </w:p>
    <w:tbl>
      <w:tblPr>
        <w:tblW w:w="6120" w:type="dxa"/>
        <w:jc w:val="center"/>
        <w:tblCellMar>
          <w:left w:w="70" w:type="dxa"/>
          <w:right w:w="70" w:type="dxa"/>
        </w:tblCellMar>
        <w:tblLook w:val="04A0" w:firstRow="1" w:lastRow="0" w:firstColumn="1" w:lastColumn="0" w:noHBand="0" w:noVBand="1"/>
      </w:tblPr>
      <w:tblGrid>
        <w:gridCol w:w="4160"/>
        <w:gridCol w:w="1960"/>
      </w:tblGrid>
      <w:tr w:rsidR="001B340A" w:rsidRPr="001B340A" w14:paraId="5390A31D" w14:textId="77777777" w:rsidTr="002D5C0C">
        <w:trPr>
          <w:trHeight w:val="300"/>
          <w:jc w:val="center"/>
        </w:trPr>
        <w:tc>
          <w:tcPr>
            <w:tcW w:w="4160" w:type="dxa"/>
            <w:tcBorders>
              <w:top w:val="single" w:sz="4" w:space="0" w:color="auto"/>
              <w:left w:val="single" w:sz="4" w:space="0" w:color="auto"/>
              <w:bottom w:val="single" w:sz="4" w:space="0" w:color="auto"/>
              <w:right w:val="single" w:sz="4" w:space="0" w:color="auto"/>
            </w:tcBorders>
            <w:shd w:val="clear" w:color="000000" w:fill="4D9D45"/>
            <w:noWrap/>
            <w:vAlign w:val="bottom"/>
            <w:hideMark/>
          </w:tcPr>
          <w:p w14:paraId="2BD10D5C" w14:textId="77777777" w:rsidR="001B340A" w:rsidRPr="001B340A" w:rsidRDefault="001B340A" w:rsidP="002D5C0C">
            <w:pPr>
              <w:spacing w:after="0" w:line="240" w:lineRule="auto"/>
              <w:jc w:val="both"/>
              <w:rPr>
                <w:rFonts w:ascii="Century Gothic" w:eastAsia="Times New Roman" w:hAnsi="Century Gothic" w:cs="Times New Roman"/>
                <w:b/>
                <w:bCs/>
                <w:color w:val="FFFFFF"/>
                <w:sz w:val="18"/>
                <w:lang w:eastAsia="es-MX"/>
              </w:rPr>
            </w:pPr>
            <w:r w:rsidRPr="001B340A">
              <w:rPr>
                <w:rFonts w:ascii="Century Gothic" w:eastAsia="Times New Roman" w:hAnsi="Century Gothic" w:cs="Times New Roman"/>
                <w:b/>
                <w:bCs/>
                <w:color w:val="FFFFFF"/>
                <w:sz w:val="18"/>
                <w:lang w:eastAsia="es-MX"/>
              </w:rPr>
              <w:t>Actividad</w:t>
            </w:r>
          </w:p>
        </w:tc>
        <w:tc>
          <w:tcPr>
            <w:tcW w:w="1960" w:type="dxa"/>
            <w:tcBorders>
              <w:top w:val="single" w:sz="4" w:space="0" w:color="auto"/>
              <w:left w:val="nil"/>
              <w:bottom w:val="single" w:sz="4" w:space="0" w:color="auto"/>
              <w:right w:val="single" w:sz="4" w:space="0" w:color="auto"/>
            </w:tcBorders>
            <w:shd w:val="clear" w:color="000000" w:fill="4D9D45"/>
            <w:noWrap/>
            <w:vAlign w:val="bottom"/>
            <w:hideMark/>
          </w:tcPr>
          <w:p w14:paraId="0DFA3A06" w14:textId="77777777" w:rsidR="001B340A" w:rsidRPr="001B340A" w:rsidRDefault="001B340A" w:rsidP="002D5C0C">
            <w:pPr>
              <w:spacing w:after="0" w:line="240" w:lineRule="auto"/>
              <w:jc w:val="both"/>
              <w:rPr>
                <w:rFonts w:ascii="Century Gothic" w:eastAsia="Times New Roman" w:hAnsi="Century Gothic" w:cs="Times New Roman"/>
                <w:b/>
                <w:bCs/>
                <w:color w:val="FFFFFF"/>
                <w:sz w:val="18"/>
                <w:lang w:eastAsia="es-MX"/>
              </w:rPr>
            </w:pPr>
            <w:r w:rsidRPr="001B340A">
              <w:rPr>
                <w:rFonts w:ascii="Century Gothic" w:eastAsia="Times New Roman" w:hAnsi="Century Gothic" w:cs="Times New Roman"/>
                <w:b/>
                <w:bCs/>
                <w:color w:val="FFFFFF"/>
                <w:sz w:val="18"/>
                <w:lang w:eastAsia="es-MX"/>
              </w:rPr>
              <w:t>Fecha Estimada</w:t>
            </w:r>
          </w:p>
        </w:tc>
      </w:tr>
      <w:tr w:rsidR="001B340A" w:rsidRPr="001B340A" w14:paraId="61981ED7" w14:textId="77777777" w:rsidTr="002D5C0C">
        <w:trPr>
          <w:trHeight w:val="6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6ECE6C72" w14:textId="77777777" w:rsidR="001B340A" w:rsidRPr="001B340A" w:rsidRDefault="001B340A" w:rsidP="002D5C0C">
            <w:pPr>
              <w:spacing w:after="0" w:line="240" w:lineRule="auto"/>
              <w:jc w:val="both"/>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Publicación en el DOF - Convocatoria y Bases de Licitación</w:t>
            </w:r>
          </w:p>
        </w:tc>
        <w:tc>
          <w:tcPr>
            <w:tcW w:w="1960" w:type="dxa"/>
            <w:tcBorders>
              <w:top w:val="nil"/>
              <w:left w:val="nil"/>
              <w:bottom w:val="single" w:sz="4" w:space="0" w:color="auto"/>
              <w:right w:val="single" w:sz="4" w:space="0" w:color="auto"/>
            </w:tcBorders>
            <w:shd w:val="clear" w:color="000000" w:fill="FFFFFF"/>
            <w:vAlign w:val="center"/>
            <w:hideMark/>
          </w:tcPr>
          <w:p w14:paraId="00233440" w14:textId="77777777" w:rsidR="001B340A" w:rsidRPr="001B340A" w:rsidRDefault="001B340A" w:rsidP="002D5C0C">
            <w:pPr>
              <w:spacing w:after="0" w:line="240" w:lineRule="auto"/>
              <w:jc w:val="center"/>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Febrero 2017</w:t>
            </w:r>
          </w:p>
        </w:tc>
      </w:tr>
      <w:tr w:rsidR="001B340A" w:rsidRPr="001B340A" w14:paraId="24EAF16B" w14:textId="77777777" w:rsidTr="002D5C0C">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23E402AA" w14:textId="77777777" w:rsidR="001B340A" w:rsidRPr="001B340A" w:rsidRDefault="001B340A" w:rsidP="002D5C0C">
            <w:pPr>
              <w:spacing w:after="0" w:line="240" w:lineRule="auto"/>
              <w:jc w:val="both"/>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Etapa de Registro</w:t>
            </w:r>
          </w:p>
        </w:tc>
        <w:tc>
          <w:tcPr>
            <w:tcW w:w="1960" w:type="dxa"/>
            <w:tcBorders>
              <w:top w:val="nil"/>
              <w:left w:val="nil"/>
              <w:bottom w:val="single" w:sz="4" w:space="0" w:color="auto"/>
              <w:right w:val="single" w:sz="4" w:space="0" w:color="auto"/>
            </w:tcBorders>
            <w:shd w:val="clear" w:color="000000" w:fill="FFFFFF"/>
            <w:vAlign w:val="center"/>
            <w:hideMark/>
          </w:tcPr>
          <w:p w14:paraId="7D46EC7A" w14:textId="77777777" w:rsidR="001B340A" w:rsidRPr="001B340A" w:rsidRDefault="001B340A" w:rsidP="002D5C0C">
            <w:pPr>
              <w:spacing w:after="0" w:line="240" w:lineRule="auto"/>
              <w:jc w:val="center"/>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Mayo 2017</w:t>
            </w:r>
          </w:p>
        </w:tc>
      </w:tr>
      <w:tr w:rsidR="001B340A" w:rsidRPr="001B340A" w14:paraId="63BB1E83" w14:textId="77777777" w:rsidTr="002D5C0C">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643C5B54" w14:textId="77777777" w:rsidR="001B340A" w:rsidRPr="001B340A" w:rsidRDefault="001B340A" w:rsidP="002D5C0C">
            <w:pPr>
              <w:spacing w:after="0" w:line="240" w:lineRule="auto"/>
              <w:jc w:val="both"/>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 xml:space="preserve">Etapa de </w:t>
            </w:r>
            <w:proofErr w:type="spellStart"/>
            <w:r w:rsidRPr="001B340A">
              <w:rPr>
                <w:rFonts w:ascii="Century Gothic" w:eastAsia="Times New Roman" w:hAnsi="Century Gothic" w:cs="Times New Roman"/>
                <w:color w:val="000000"/>
                <w:sz w:val="18"/>
                <w:lang w:eastAsia="es-MX"/>
              </w:rPr>
              <w:t>Dictaminación</w:t>
            </w:r>
            <w:proofErr w:type="spellEnd"/>
            <w:r w:rsidRPr="001B340A">
              <w:rPr>
                <w:rFonts w:ascii="Century Gothic" w:eastAsia="Times New Roman" w:hAnsi="Century Gothic" w:cs="Times New Roman"/>
                <w:color w:val="000000"/>
                <w:sz w:val="18"/>
                <w:lang w:eastAsia="es-MX"/>
              </w:rPr>
              <w:t xml:space="preserve"> y Constancias</w:t>
            </w:r>
          </w:p>
        </w:tc>
        <w:tc>
          <w:tcPr>
            <w:tcW w:w="1960" w:type="dxa"/>
            <w:tcBorders>
              <w:top w:val="nil"/>
              <w:left w:val="nil"/>
              <w:bottom w:val="single" w:sz="4" w:space="0" w:color="auto"/>
              <w:right w:val="single" w:sz="4" w:space="0" w:color="auto"/>
            </w:tcBorders>
            <w:shd w:val="clear" w:color="000000" w:fill="FFFFFF"/>
            <w:vAlign w:val="center"/>
            <w:hideMark/>
          </w:tcPr>
          <w:p w14:paraId="7A888DF6" w14:textId="77777777" w:rsidR="001B340A" w:rsidRPr="001B340A" w:rsidRDefault="001B340A" w:rsidP="002D5C0C">
            <w:pPr>
              <w:spacing w:after="0" w:line="240" w:lineRule="auto"/>
              <w:jc w:val="center"/>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Julio 2017</w:t>
            </w:r>
          </w:p>
        </w:tc>
      </w:tr>
      <w:tr w:rsidR="001B340A" w:rsidRPr="001B340A" w14:paraId="30AC5BD6" w14:textId="77777777" w:rsidTr="002D5C0C">
        <w:trPr>
          <w:trHeight w:val="6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14:paraId="1C8E6314" w14:textId="77777777" w:rsidR="001B340A" w:rsidRPr="001B340A" w:rsidRDefault="001B340A" w:rsidP="002D5C0C">
            <w:pPr>
              <w:spacing w:after="0" w:line="240" w:lineRule="auto"/>
              <w:jc w:val="both"/>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 xml:space="preserve">Procedimiento de presentación de ofertas. </w:t>
            </w:r>
          </w:p>
        </w:tc>
        <w:tc>
          <w:tcPr>
            <w:tcW w:w="1960" w:type="dxa"/>
            <w:tcBorders>
              <w:top w:val="nil"/>
              <w:left w:val="nil"/>
              <w:bottom w:val="single" w:sz="4" w:space="0" w:color="auto"/>
              <w:right w:val="single" w:sz="4" w:space="0" w:color="auto"/>
            </w:tcBorders>
            <w:shd w:val="clear" w:color="000000" w:fill="FFFFFF"/>
            <w:vAlign w:val="center"/>
            <w:hideMark/>
          </w:tcPr>
          <w:p w14:paraId="1D7BC7CA" w14:textId="77777777" w:rsidR="001B340A" w:rsidRPr="001B340A" w:rsidRDefault="001B340A" w:rsidP="002D5C0C">
            <w:pPr>
              <w:spacing w:after="0" w:line="240" w:lineRule="auto"/>
              <w:jc w:val="center"/>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Noviembre 2017</w:t>
            </w:r>
          </w:p>
        </w:tc>
      </w:tr>
    </w:tbl>
    <w:p w14:paraId="01C1A4D1" w14:textId="77777777" w:rsidR="001B340A" w:rsidRDefault="001B340A" w:rsidP="007A6974">
      <w:pPr>
        <w:spacing w:after="0"/>
        <w:jc w:val="center"/>
        <w:rPr>
          <w:rFonts w:ascii="Century Gothic" w:hAnsi="Century Gothic"/>
          <w:b/>
        </w:rPr>
      </w:pPr>
    </w:p>
    <w:p w14:paraId="28E06C47" w14:textId="77777777" w:rsidR="00777B94" w:rsidRDefault="00777B94" w:rsidP="007A6974">
      <w:pPr>
        <w:spacing w:after="0"/>
        <w:jc w:val="center"/>
        <w:rPr>
          <w:rFonts w:ascii="Century Gothic" w:hAnsi="Century Gothic"/>
          <w:b/>
        </w:rPr>
      </w:pPr>
    </w:p>
    <w:sectPr w:rsidR="00777B94" w:rsidSect="00DF154A">
      <w:headerReference w:type="default" r:id="rId15"/>
      <w:footerReference w:type="default" r:id="rId16"/>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CA877" w14:textId="77777777" w:rsidR="004620C4" w:rsidRDefault="004620C4" w:rsidP="0038199D">
      <w:pPr>
        <w:spacing w:after="0" w:line="240" w:lineRule="auto"/>
      </w:pPr>
      <w:r>
        <w:separator/>
      </w:r>
    </w:p>
  </w:endnote>
  <w:endnote w:type="continuationSeparator" w:id="0">
    <w:p w14:paraId="558989F6" w14:textId="77777777" w:rsidR="004620C4" w:rsidRDefault="004620C4" w:rsidP="0038199D">
      <w:pPr>
        <w:spacing w:after="0" w:line="240" w:lineRule="auto"/>
      </w:pPr>
      <w:r>
        <w:continuationSeparator/>
      </w:r>
    </w:p>
  </w:endnote>
  <w:endnote w:type="continuationNotice" w:id="1">
    <w:p w14:paraId="47E2C9C1" w14:textId="77777777" w:rsidR="004620C4" w:rsidRDefault="00462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A9E3" w14:textId="77777777" w:rsidR="002D5C0C" w:rsidRPr="00DF154A" w:rsidRDefault="002D5C0C">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954C23" w:rsidRPr="00954C23">
      <w:rPr>
        <w:rFonts w:ascii="ITC Avant Garde" w:hAnsi="ITC Avant Garde"/>
        <w:noProof/>
        <w:color w:val="323E4F" w:themeColor="text2" w:themeShade="BF"/>
        <w:sz w:val="16"/>
        <w:szCs w:val="24"/>
        <w:lang w:val="es-ES"/>
      </w:rPr>
      <w:t>8</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954C23" w:rsidRPr="00954C23">
      <w:rPr>
        <w:rFonts w:ascii="ITC Avant Garde" w:hAnsi="ITC Avant Garde"/>
        <w:noProof/>
        <w:color w:val="323E4F" w:themeColor="text2" w:themeShade="BF"/>
        <w:sz w:val="16"/>
        <w:szCs w:val="24"/>
        <w:lang w:val="es-ES"/>
      </w:rPr>
      <w:t>8</w:t>
    </w:r>
    <w:r w:rsidRPr="00DF154A">
      <w:rPr>
        <w:rFonts w:ascii="ITC Avant Garde" w:hAnsi="ITC Avant Garde"/>
        <w:color w:val="323E4F" w:themeColor="text2" w:themeShade="BF"/>
        <w:sz w:val="16"/>
        <w:szCs w:val="24"/>
      </w:rPr>
      <w:fldChar w:fldCharType="end"/>
    </w:r>
  </w:p>
  <w:p w14:paraId="0A63597C" w14:textId="77777777" w:rsidR="002D5C0C" w:rsidRDefault="002D5C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3382E" w14:textId="77777777" w:rsidR="004620C4" w:rsidRDefault="004620C4" w:rsidP="0038199D">
      <w:pPr>
        <w:spacing w:after="0" w:line="240" w:lineRule="auto"/>
      </w:pPr>
      <w:r>
        <w:separator/>
      </w:r>
    </w:p>
  </w:footnote>
  <w:footnote w:type="continuationSeparator" w:id="0">
    <w:p w14:paraId="589526B1" w14:textId="77777777" w:rsidR="004620C4" w:rsidRDefault="004620C4" w:rsidP="0038199D">
      <w:pPr>
        <w:spacing w:after="0" w:line="240" w:lineRule="auto"/>
      </w:pPr>
      <w:r>
        <w:continuationSeparator/>
      </w:r>
    </w:p>
  </w:footnote>
  <w:footnote w:type="continuationNotice" w:id="1">
    <w:p w14:paraId="58AB8001" w14:textId="77777777" w:rsidR="004620C4" w:rsidRDefault="004620C4">
      <w:pPr>
        <w:spacing w:after="0" w:line="240" w:lineRule="auto"/>
      </w:pPr>
    </w:p>
  </w:footnote>
  <w:footnote w:id="2">
    <w:p w14:paraId="400E7633" w14:textId="1E0AE57B" w:rsidR="002D5C0C" w:rsidRPr="00E807A2" w:rsidRDefault="002D5C0C" w:rsidP="001B340A">
      <w:pPr>
        <w:spacing w:after="0" w:line="240" w:lineRule="auto"/>
        <w:ind w:right="-46"/>
        <w:jc w:val="both"/>
      </w:pPr>
      <w:r w:rsidRPr="00221FF3">
        <w:rPr>
          <w:rStyle w:val="Refdenotaalpie"/>
          <w:sz w:val="20"/>
        </w:rPr>
        <w:footnoteRef/>
      </w:r>
      <w:r w:rsidRPr="00221FF3">
        <w:rPr>
          <w:sz w:val="18"/>
          <w:szCs w:val="20"/>
        </w:rPr>
        <w:t xml:space="preserve">Inventario de frecuencias de uso libre, IFT 2016; </w:t>
      </w:r>
      <w:hyperlink r:id="rId1" w:history="1">
        <w:r w:rsidRPr="00221FF3">
          <w:rPr>
            <w:rStyle w:val="Hipervnculo"/>
            <w:sz w:val="18"/>
            <w:szCs w:val="20"/>
          </w:rPr>
          <w:t>http://www.ift.org.mx/sites/default/files/contenidogeneral/espectro-radioelectrico/espectro-de-uso-libre-vf-accesible.docx/</w:t>
        </w:r>
      </w:hyperlink>
      <w:r w:rsidRPr="00E807A2">
        <w:rPr>
          <w:sz w:val="20"/>
          <w:szCs w:val="20"/>
        </w:rPr>
        <w:t xml:space="preserve"> </w:t>
      </w:r>
    </w:p>
    <w:p w14:paraId="05D94990" w14:textId="77777777" w:rsidR="002D5C0C" w:rsidRDefault="002D5C0C" w:rsidP="001B340A">
      <w:pPr>
        <w:pStyle w:val="Textonotapie"/>
      </w:pPr>
    </w:p>
  </w:footnote>
  <w:footnote w:id="3">
    <w:p w14:paraId="7BE7D447" w14:textId="40C3C1BB" w:rsidR="002D5C0C" w:rsidRPr="00221FF3" w:rsidRDefault="002D5C0C" w:rsidP="001B340A">
      <w:pPr>
        <w:pStyle w:val="Textonotapie"/>
        <w:rPr>
          <w:sz w:val="18"/>
        </w:rPr>
      </w:pPr>
      <w:r>
        <w:rPr>
          <w:rStyle w:val="Refdenotaalpie"/>
        </w:rPr>
        <w:footnoteRef/>
      </w:r>
      <w:r>
        <w:t xml:space="preserve"> </w:t>
      </w:r>
      <w:r w:rsidRPr="00221FF3">
        <w:rPr>
          <w:sz w:val="18"/>
        </w:rPr>
        <w:t xml:space="preserve">Nota MX141 del </w:t>
      </w:r>
      <w:r w:rsidR="00C4010E">
        <w:rPr>
          <w:sz w:val="18"/>
        </w:rPr>
        <w:t>Cuadro Nacional de Atribución de Frecuencias (</w:t>
      </w:r>
      <w:r w:rsidRPr="00221FF3">
        <w:rPr>
          <w:sz w:val="18"/>
        </w:rPr>
        <w:t>CNAF</w:t>
      </w:r>
      <w:r w:rsidR="00C4010E">
        <w:rPr>
          <w:sz w:val="18"/>
        </w:rPr>
        <w:t xml:space="preserve">), disponible en: </w:t>
      </w:r>
      <w:hyperlink r:id="rId2" w:history="1">
        <w:r w:rsidR="00C4010E" w:rsidRPr="00413BA0">
          <w:rPr>
            <w:rStyle w:val="Hipervnculo"/>
            <w:sz w:val="18"/>
          </w:rPr>
          <w:t>http://cnaf.ift.org.mx/Consulta/Index</w:t>
        </w:r>
      </w:hyperlink>
      <w:r w:rsidR="00C4010E">
        <w:rPr>
          <w:sz w:val="18"/>
        </w:rPr>
        <w:t xml:space="preserve"> </w:t>
      </w:r>
    </w:p>
  </w:footnote>
  <w:footnote w:id="4">
    <w:p w14:paraId="07C7A620" w14:textId="77777777" w:rsidR="002D5C0C" w:rsidRPr="00221FF3" w:rsidRDefault="002D5C0C" w:rsidP="001B340A">
      <w:pPr>
        <w:pStyle w:val="Textonotapie"/>
        <w:jc w:val="both"/>
        <w:rPr>
          <w:sz w:val="18"/>
        </w:rPr>
      </w:pPr>
      <w:r w:rsidRPr="00221FF3">
        <w:rPr>
          <w:rStyle w:val="Refdenotaalpie"/>
          <w:sz w:val="18"/>
        </w:rPr>
        <w:footnoteRef/>
      </w:r>
      <w:r w:rsidRPr="00221FF3">
        <w:rPr>
          <w:sz w:val="18"/>
        </w:rPr>
        <w:t xml:space="preserve"> Artículo 5, Sección IV: “Cuadro de Atribuciones de Frecuencias” del Reglamento de Radiocomunicaciones (RR-2012) de la Unión Internacional de Telecomunicaciones (UIT).</w:t>
      </w:r>
    </w:p>
  </w:footnote>
  <w:footnote w:id="5">
    <w:p w14:paraId="113CD6B2" w14:textId="30EBF6C8" w:rsidR="002D5C0C" w:rsidRPr="00221FF3" w:rsidRDefault="002D5C0C" w:rsidP="001B340A">
      <w:pPr>
        <w:pStyle w:val="Textonotapie"/>
        <w:jc w:val="both"/>
        <w:rPr>
          <w:sz w:val="18"/>
        </w:rPr>
      </w:pPr>
      <w:r w:rsidRPr="00221FF3">
        <w:rPr>
          <w:rStyle w:val="Refdenotaalpie"/>
          <w:sz w:val="18"/>
        </w:rPr>
        <w:footnoteRef/>
      </w:r>
      <w:r w:rsidRPr="00221FF3">
        <w:rPr>
          <w:sz w:val="18"/>
        </w:rPr>
        <w:t xml:space="preserve"> Cuadro Nacional de Atribución de Frecuencias (CNAF)</w:t>
      </w:r>
      <w:r w:rsidR="00C4010E">
        <w:rPr>
          <w:sz w:val="18"/>
        </w:rPr>
        <w:t>,</w:t>
      </w:r>
      <w:r w:rsidRPr="00221FF3">
        <w:rPr>
          <w:sz w:val="18"/>
        </w:rPr>
        <w:t xml:space="preserve"> publicado en el Diario Oficial de la Federación el 20 de octubre del 2015</w:t>
      </w:r>
    </w:p>
  </w:footnote>
  <w:footnote w:id="6">
    <w:p w14:paraId="66051F90" w14:textId="77777777" w:rsidR="002D5C0C" w:rsidRPr="00221FF3" w:rsidRDefault="002D5C0C" w:rsidP="001B340A">
      <w:pPr>
        <w:pStyle w:val="Textonotapie"/>
        <w:jc w:val="both"/>
        <w:rPr>
          <w:sz w:val="18"/>
          <w:szCs w:val="18"/>
        </w:rPr>
      </w:pPr>
      <w:r>
        <w:rPr>
          <w:rStyle w:val="Refdenotaalpie"/>
        </w:rPr>
        <w:footnoteRef/>
      </w:r>
      <w:r>
        <w:t xml:space="preserve"> </w:t>
      </w:r>
      <w:r w:rsidRPr="00221FF3">
        <w:rPr>
          <w:sz w:val="18"/>
          <w:szCs w:val="18"/>
        </w:rPr>
        <w:t>Para efectos del presente documento, “banda angosta” se refiere a la utilización de canales de frecuencias cuyo ancho de banda de canal no excede los 25 kHz, mediante los cuales son provistos principalmente servicios de radiocomunicaciones de voz, y en menor medida, datos de baja velocidad.</w:t>
      </w:r>
    </w:p>
  </w:footnote>
  <w:footnote w:id="7">
    <w:p w14:paraId="6D98BA4A" w14:textId="77777777" w:rsidR="002D5C0C" w:rsidRPr="00221FF3" w:rsidRDefault="002D5C0C" w:rsidP="001B340A">
      <w:pPr>
        <w:pStyle w:val="Textonotapie"/>
        <w:rPr>
          <w:sz w:val="18"/>
          <w:szCs w:val="18"/>
        </w:rPr>
      </w:pPr>
      <w:r w:rsidRPr="00221FF3">
        <w:rPr>
          <w:rStyle w:val="Refdenotaalpie"/>
          <w:sz w:val="18"/>
          <w:szCs w:val="18"/>
        </w:rPr>
        <w:footnoteRef/>
      </w:r>
      <w:r w:rsidRPr="00221FF3">
        <w:rPr>
          <w:sz w:val="18"/>
          <w:szCs w:val="18"/>
        </w:rPr>
        <w:t xml:space="preserve"> Estándar P25, Project 25 2016, </w:t>
      </w:r>
      <w:hyperlink r:id="rId3" w:history="1">
        <w:r w:rsidRPr="00221FF3">
          <w:rPr>
            <w:rStyle w:val="Hipervnculo"/>
            <w:sz w:val="18"/>
            <w:szCs w:val="18"/>
          </w:rPr>
          <w:t>http://www.project25.org/index.php/documents/standard-documents</w:t>
        </w:r>
      </w:hyperlink>
    </w:p>
  </w:footnote>
  <w:footnote w:id="8">
    <w:p w14:paraId="172FA711" w14:textId="35B5B495" w:rsidR="002D5C0C" w:rsidRPr="00221FF3" w:rsidRDefault="002D5C0C" w:rsidP="001B340A">
      <w:pPr>
        <w:pStyle w:val="Textonotapie"/>
        <w:jc w:val="both"/>
        <w:rPr>
          <w:sz w:val="18"/>
          <w:szCs w:val="18"/>
        </w:rPr>
      </w:pPr>
      <w:r w:rsidRPr="00221FF3">
        <w:rPr>
          <w:rStyle w:val="Refdenotaalpie"/>
          <w:sz w:val="18"/>
          <w:szCs w:val="18"/>
        </w:rPr>
        <w:footnoteRef/>
      </w:r>
      <w:r w:rsidRPr="00221FF3">
        <w:rPr>
          <w:sz w:val="18"/>
          <w:szCs w:val="18"/>
        </w:rPr>
        <w:t>Las aplicaciones de misión crítica son aquellas aplicaciones desempeñadas por organizaciones y agencias competentes para prevenir o enfrentar una perturbación grave del funcionamiento de la sociedad que supone una amenaza importante y generalizada para la vida humana, la salud, los bienes o el medio ambiente, ya sea</w:t>
      </w:r>
      <w:r w:rsidRPr="008A74EE">
        <w:rPr>
          <w:rFonts w:ascii="ITC Avant Garde" w:hAnsi="ITC Avant Garde"/>
          <w:sz w:val="16"/>
          <w:szCs w:val="16"/>
        </w:rPr>
        <w:t xml:space="preserve"> </w:t>
      </w:r>
      <w:r w:rsidRPr="00911F55">
        <w:rPr>
          <w:sz w:val="18"/>
          <w:szCs w:val="18"/>
        </w:rPr>
        <w:t>provocada por un accidente, por</w:t>
      </w:r>
      <w:r w:rsidRPr="008A74EE">
        <w:rPr>
          <w:rFonts w:ascii="ITC Avant Garde" w:hAnsi="ITC Avant Garde"/>
          <w:sz w:val="16"/>
          <w:szCs w:val="16"/>
        </w:rPr>
        <w:t xml:space="preserve"> </w:t>
      </w:r>
      <w:r w:rsidRPr="00221FF3">
        <w:rPr>
          <w:sz w:val="18"/>
          <w:szCs w:val="18"/>
        </w:rPr>
        <w:t>la naturaleza o por el hombre, tanto de aparición súbita como resultado de un proceso de generación complejo de largo plazo.</w:t>
      </w:r>
    </w:p>
  </w:footnote>
  <w:footnote w:id="9">
    <w:p w14:paraId="1A28E629" w14:textId="77777777" w:rsidR="002D5C0C" w:rsidRPr="00221FF3" w:rsidRDefault="002D5C0C" w:rsidP="001B340A">
      <w:pPr>
        <w:pStyle w:val="Textonotapie"/>
        <w:rPr>
          <w:sz w:val="18"/>
          <w:szCs w:val="18"/>
        </w:rPr>
      </w:pPr>
      <w:r w:rsidRPr="00221FF3">
        <w:rPr>
          <w:rStyle w:val="Refdenotaalpie"/>
          <w:sz w:val="18"/>
          <w:szCs w:val="18"/>
        </w:rPr>
        <w:footnoteRef/>
      </w:r>
      <w:r w:rsidRPr="00221FF3">
        <w:rPr>
          <w:sz w:val="18"/>
          <w:szCs w:val="18"/>
        </w:rPr>
        <w:t xml:space="preserve"> Estándar TETRA, ETSI 2016, </w:t>
      </w:r>
      <w:hyperlink r:id="rId4" w:history="1">
        <w:r w:rsidRPr="00221FF3">
          <w:rPr>
            <w:rStyle w:val="Hipervnculo"/>
            <w:sz w:val="18"/>
            <w:szCs w:val="18"/>
          </w:rPr>
          <w:t>http://www.etsi.org/technologies-clusters/technologies/tetra</w:t>
        </w:r>
      </w:hyperlink>
    </w:p>
  </w:footnote>
  <w:footnote w:id="10">
    <w:p w14:paraId="2E12621A" w14:textId="77777777" w:rsidR="002D5C0C" w:rsidRPr="00221FF3" w:rsidRDefault="002D5C0C" w:rsidP="001B340A">
      <w:pPr>
        <w:pStyle w:val="Textonotapie"/>
        <w:rPr>
          <w:sz w:val="18"/>
          <w:szCs w:val="18"/>
        </w:rPr>
      </w:pPr>
      <w:r w:rsidRPr="00221FF3">
        <w:rPr>
          <w:rStyle w:val="Refdenotaalpie"/>
          <w:sz w:val="18"/>
          <w:szCs w:val="18"/>
        </w:rPr>
        <w:footnoteRef/>
      </w:r>
      <w:r w:rsidRPr="00221FF3">
        <w:rPr>
          <w:sz w:val="18"/>
          <w:szCs w:val="18"/>
        </w:rPr>
        <w:t xml:space="preserve"> Estándar DMR, ETSI 2016, </w:t>
      </w:r>
      <w:hyperlink r:id="rId5" w:history="1">
        <w:r w:rsidRPr="00221FF3">
          <w:rPr>
            <w:rStyle w:val="Hipervnculo"/>
            <w:sz w:val="18"/>
            <w:szCs w:val="18"/>
          </w:rPr>
          <w:t>http://www.etsi.org/technologies-clusters/technologies/digital-mobile-radio</w:t>
        </w:r>
      </w:hyperlink>
    </w:p>
  </w:footnote>
  <w:footnote w:id="11">
    <w:p w14:paraId="124A438F" w14:textId="41404B80" w:rsidR="002D5C0C" w:rsidRPr="00221FF3" w:rsidRDefault="002D5C0C" w:rsidP="001B340A">
      <w:pPr>
        <w:pStyle w:val="Textonotapie"/>
        <w:rPr>
          <w:sz w:val="18"/>
        </w:rPr>
      </w:pPr>
      <w:r>
        <w:rPr>
          <w:rStyle w:val="Refdenotaalpie"/>
        </w:rPr>
        <w:footnoteRef/>
      </w:r>
      <w:r>
        <w:t xml:space="preserve"> </w:t>
      </w:r>
      <w:r w:rsidRPr="00221FF3">
        <w:rPr>
          <w:sz w:val="18"/>
        </w:rPr>
        <w:t>Publicado en el Diario Oficial de la Federación en enero de 2016.</w:t>
      </w:r>
    </w:p>
  </w:footnote>
  <w:footnote w:id="12">
    <w:p w14:paraId="0668BD5F" w14:textId="7F5A2D43" w:rsidR="002D5C0C" w:rsidRPr="00130EC2" w:rsidRDefault="002D5C0C" w:rsidP="00194922">
      <w:pPr>
        <w:pStyle w:val="Textonotapie"/>
        <w:jc w:val="both"/>
        <w:rPr>
          <w:sz w:val="18"/>
        </w:rPr>
      </w:pPr>
      <w:r w:rsidRPr="00130EC2">
        <w:rPr>
          <w:rStyle w:val="Refdenotaalpie"/>
          <w:sz w:val="18"/>
        </w:rPr>
        <w:footnoteRef/>
      </w:r>
      <w:r w:rsidRPr="00130EC2">
        <w:rPr>
          <w:sz w:val="18"/>
        </w:rPr>
        <w:t xml:space="preserve"> Este proceso licitatorio tiene como objetivo que el(los) ganador(es) sean proveedores de capacidad del espectro que adquieran; es decir, serán operadores mayoristas que ofrecerán frecuencias específicas del espectro radioeléctrico y/o capacidades de radiocomunicación para fines específicos a</w:t>
      </w:r>
      <w:r w:rsidRPr="00130EC2" w:rsidDel="001740DA">
        <w:rPr>
          <w:sz w:val="18"/>
        </w:rPr>
        <w:t xml:space="preserve"> </w:t>
      </w:r>
      <w:r w:rsidR="00064359">
        <w:rPr>
          <w:sz w:val="18"/>
        </w:rPr>
        <w:t xml:space="preserve">los </w:t>
      </w:r>
      <w:r w:rsidRPr="00130EC2">
        <w:rPr>
          <w:sz w:val="18"/>
        </w:rPr>
        <w:t>usuarios del servicio de radiocomunicación privada a un precio determinado.</w:t>
      </w:r>
      <w:r w:rsidRPr="00221FF3">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5784" w14:textId="77777777" w:rsidR="002D5C0C" w:rsidRPr="007A6974" w:rsidRDefault="002D5C0C"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767FA208" wp14:editId="1977F8CE">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14:paraId="2E4D9F25" w14:textId="77777777" w:rsidR="009043E9" w:rsidRPr="00AB6510" w:rsidRDefault="009043E9" w:rsidP="009043E9">
    <w:pPr>
      <w:pStyle w:val="Encabezado"/>
      <w:ind w:left="3119"/>
      <w:jc w:val="both"/>
      <w:rPr>
        <w:rFonts w:ascii="Century Gothic" w:hAnsi="Century Gothic"/>
        <w:b/>
      </w:rPr>
    </w:pPr>
    <w:r w:rsidRPr="00AB6510">
      <w:rPr>
        <w:rFonts w:asciiTheme="majorHAnsi" w:hAnsiTheme="majorHAnsi"/>
        <w:b/>
      </w:rPr>
      <w:t>Opinión Pública para recabar información útil para diseñar y elaborar el Proyecto de Bases de la Licitación Pública para concesionar el uso, aprovechamiento y explotación comercial de 10 MHz de espectro radioeléctrico disponibles en la banda de frecuencias 440-450 MHz.</w:t>
    </w:r>
  </w:p>
  <w:p w14:paraId="528F607E" w14:textId="0B22D158" w:rsidR="002D5C0C" w:rsidRPr="007A6974" w:rsidRDefault="003D62E2">
    <w:pPr>
      <w:pStyle w:val="Encabezado"/>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8241" behindDoc="0" locked="0" layoutInCell="1" allowOverlap="1" wp14:anchorId="2A90BFE5" wp14:editId="5D55873E">
              <wp:simplePos x="0" y="0"/>
              <wp:positionH relativeFrom="margin">
                <wp:align>left</wp:align>
              </wp:positionH>
              <wp:positionV relativeFrom="paragraph">
                <wp:posOffset>92075</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8A81519" id="Conector recto 2" o:spid="_x0000_s1026"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7.25pt" to="442.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" strokecolor="#70ad47 [3209]" strokeweight=".5pt">
              <v:stroke joinstyle="miter"/>
              <w10:wrap anchorx="margin"/>
            </v:line>
          </w:pict>
        </mc:Fallback>
      </mc:AlternateContent>
    </w:r>
  </w:p>
  <w:p w14:paraId="6175B1B7" w14:textId="0F1DF3E8" w:rsidR="002D5C0C" w:rsidRPr="007A6974" w:rsidRDefault="002D5C0C">
    <w:pPr>
      <w:pStyle w:val="Encabezado"/>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CDB"/>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5EF0200"/>
    <w:multiLevelType w:val="hybridMultilevel"/>
    <w:tmpl w:val="08E228DC"/>
    <w:lvl w:ilvl="0" w:tplc="C95A0F28">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DBD07E0"/>
    <w:multiLevelType w:val="hybridMultilevel"/>
    <w:tmpl w:val="12AEE58E"/>
    <w:lvl w:ilvl="0" w:tplc="FD22838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F547D0"/>
    <w:multiLevelType w:val="hybridMultilevel"/>
    <w:tmpl w:val="8D28AF5E"/>
    <w:lvl w:ilvl="0" w:tplc="41FE3910">
      <w:start w:val="1"/>
      <w:numFmt w:val="lowerLetter"/>
      <w:lvlText w:val="%1)"/>
      <w:lvlJc w:val="left"/>
      <w:pPr>
        <w:ind w:left="360" w:hanging="360"/>
      </w:pPr>
      <w:rPr>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1413D7E"/>
    <w:multiLevelType w:val="hybridMultilevel"/>
    <w:tmpl w:val="45F2C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E81CA7"/>
    <w:multiLevelType w:val="hybridMultilevel"/>
    <w:tmpl w:val="D0B410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A749A4"/>
    <w:multiLevelType w:val="hybridMultilevel"/>
    <w:tmpl w:val="E15AD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6"/>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40ADF"/>
    <w:rsid w:val="00053C65"/>
    <w:rsid w:val="00064359"/>
    <w:rsid w:val="0007189A"/>
    <w:rsid w:val="00086897"/>
    <w:rsid w:val="000B162C"/>
    <w:rsid w:val="000D112B"/>
    <w:rsid w:val="000D2838"/>
    <w:rsid w:val="000E3940"/>
    <w:rsid w:val="000E399F"/>
    <w:rsid w:val="000E3CEC"/>
    <w:rsid w:val="00100C9C"/>
    <w:rsid w:val="001124B6"/>
    <w:rsid w:val="00130EC2"/>
    <w:rsid w:val="00136381"/>
    <w:rsid w:val="00144BE5"/>
    <w:rsid w:val="001540CD"/>
    <w:rsid w:val="001636C0"/>
    <w:rsid w:val="00165B48"/>
    <w:rsid w:val="001740DA"/>
    <w:rsid w:val="001878C2"/>
    <w:rsid w:val="00192C85"/>
    <w:rsid w:val="00194922"/>
    <w:rsid w:val="001B340A"/>
    <w:rsid w:val="001C0D4C"/>
    <w:rsid w:val="001E0388"/>
    <w:rsid w:val="00221FF3"/>
    <w:rsid w:val="002771ED"/>
    <w:rsid w:val="00281BC7"/>
    <w:rsid w:val="002846C2"/>
    <w:rsid w:val="00286DE1"/>
    <w:rsid w:val="0029719C"/>
    <w:rsid w:val="002D5C0C"/>
    <w:rsid w:val="00323F3A"/>
    <w:rsid w:val="0034378D"/>
    <w:rsid w:val="00345C76"/>
    <w:rsid w:val="0038199D"/>
    <w:rsid w:val="003A351B"/>
    <w:rsid w:val="003D3972"/>
    <w:rsid w:val="003D62E2"/>
    <w:rsid w:val="003F0CBB"/>
    <w:rsid w:val="003F5160"/>
    <w:rsid w:val="003F761A"/>
    <w:rsid w:val="0041087B"/>
    <w:rsid w:val="004115E4"/>
    <w:rsid w:val="00416DC0"/>
    <w:rsid w:val="004358C1"/>
    <w:rsid w:val="00435A98"/>
    <w:rsid w:val="004361C2"/>
    <w:rsid w:val="00461DB7"/>
    <w:rsid w:val="004620C4"/>
    <w:rsid w:val="00482BB3"/>
    <w:rsid w:val="004970C4"/>
    <w:rsid w:val="0049723A"/>
    <w:rsid w:val="004A6896"/>
    <w:rsid w:val="004C4695"/>
    <w:rsid w:val="004E2A3A"/>
    <w:rsid w:val="004F6F7B"/>
    <w:rsid w:val="00511FAE"/>
    <w:rsid w:val="0052296A"/>
    <w:rsid w:val="00536A63"/>
    <w:rsid w:val="00543945"/>
    <w:rsid w:val="0055155A"/>
    <w:rsid w:val="0055677F"/>
    <w:rsid w:val="005A5CCD"/>
    <w:rsid w:val="005B3E9A"/>
    <w:rsid w:val="005B6231"/>
    <w:rsid w:val="005C06DB"/>
    <w:rsid w:val="005D75D1"/>
    <w:rsid w:val="005F0265"/>
    <w:rsid w:val="00605BD9"/>
    <w:rsid w:val="00613669"/>
    <w:rsid w:val="00623761"/>
    <w:rsid w:val="00637439"/>
    <w:rsid w:val="00640D6E"/>
    <w:rsid w:val="006758F0"/>
    <w:rsid w:val="006766DF"/>
    <w:rsid w:val="00677733"/>
    <w:rsid w:val="006A2F7F"/>
    <w:rsid w:val="006B769C"/>
    <w:rsid w:val="006E6B9D"/>
    <w:rsid w:val="006E7851"/>
    <w:rsid w:val="00704C45"/>
    <w:rsid w:val="00715573"/>
    <w:rsid w:val="007618C8"/>
    <w:rsid w:val="00762996"/>
    <w:rsid w:val="00777B94"/>
    <w:rsid w:val="00790083"/>
    <w:rsid w:val="007A6974"/>
    <w:rsid w:val="007D4A23"/>
    <w:rsid w:val="007F358A"/>
    <w:rsid w:val="007F64B7"/>
    <w:rsid w:val="00800852"/>
    <w:rsid w:val="00804BB7"/>
    <w:rsid w:val="0081139F"/>
    <w:rsid w:val="008200BE"/>
    <w:rsid w:val="00822218"/>
    <w:rsid w:val="00843CE4"/>
    <w:rsid w:val="008658B5"/>
    <w:rsid w:val="008711D6"/>
    <w:rsid w:val="008877E2"/>
    <w:rsid w:val="008C12FB"/>
    <w:rsid w:val="008C4997"/>
    <w:rsid w:val="008F2B1A"/>
    <w:rsid w:val="0090174B"/>
    <w:rsid w:val="009043E9"/>
    <w:rsid w:val="00911F55"/>
    <w:rsid w:val="009333F7"/>
    <w:rsid w:val="00934150"/>
    <w:rsid w:val="0093481A"/>
    <w:rsid w:val="00950CD1"/>
    <w:rsid w:val="009529D6"/>
    <w:rsid w:val="00954C23"/>
    <w:rsid w:val="009A5494"/>
    <w:rsid w:val="009B1222"/>
    <w:rsid w:val="009B4C1C"/>
    <w:rsid w:val="009C6C17"/>
    <w:rsid w:val="009E197F"/>
    <w:rsid w:val="009F2DE7"/>
    <w:rsid w:val="009F358E"/>
    <w:rsid w:val="00A454F4"/>
    <w:rsid w:val="00A51606"/>
    <w:rsid w:val="00A869C6"/>
    <w:rsid w:val="00A92B29"/>
    <w:rsid w:val="00AC654F"/>
    <w:rsid w:val="00AD703B"/>
    <w:rsid w:val="00AF4C64"/>
    <w:rsid w:val="00B27050"/>
    <w:rsid w:val="00B34582"/>
    <w:rsid w:val="00B357F1"/>
    <w:rsid w:val="00B71788"/>
    <w:rsid w:val="00B77007"/>
    <w:rsid w:val="00B81C6E"/>
    <w:rsid w:val="00BB118F"/>
    <w:rsid w:val="00BB5522"/>
    <w:rsid w:val="00BC55FC"/>
    <w:rsid w:val="00BC6486"/>
    <w:rsid w:val="00C34A43"/>
    <w:rsid w:val="00C4010E"/>
    <w:rsid w:val="00C41536"/>
    <w:rsid w:val="00C44CB7"/>
    <w:rsid w:val="00C56630"/>
    <w:rsid w:val="00C61531"/>
    <w:rsid w:val="00C81AE0"/>
    <w:rsid w:val="00C83F0B"/>
    <w:rsid w:val="00C91095"/>
    <w:rsid w:val="00C963A7"/>
    <w:rsid w:val="00CA526A"/>
    <w:rsid w:val="00CB3A20"/>
    <w:rsid w:val="00CC382A"/>
    <w:rsid w:val="00CC406C"/>
    <w:rsid w:val="00CD2F08"/>
    <w:rsid w:val="00D059E2"/>
    <w:rsid w:val="00D13CA5"/>
    <w:rsid w:val="00D14E60"/>
    <w:rsid w:val="00D35C9D"/>
    <w:rsid w:val="00D472B6"/>
    <w:rsid w:val="00D71DEB"/>
    <w:rsid w:val="00D75C69"/>
    <w:rsid w:val="00D8295A"/>
    <w:rsid w:val="00D86516"/>
    <w:rsid w:val="00DB48B3"/>
    <w:rsid w:val="00DC4892"/>
    <w:rsid w:val="00DF154A"/>
    <w:rsid w:val="00DF5CB5"/>
    <w:rsid w:val="00E05DE7"/>
    <w:rsid w:val="00E53C12"/>
    <w:rsid w:val="00E76E74"/>
    <w:rsid w:val="00E807A2"/>
    <w:rsid w:val="00EA10A2"/>
    <w:rsid w:val="00EE191D"/>
    <w:rsid w:val="00EF3A0F"/>
    <w:rsid w:val="00EF6D38"/>
    <w:rsid w:val="00F06114"/>
    <w:rsid w:val="00F102A6"/>
    <w:rsid w:val="00F16BA0"/>
    <w:rsid w:val="00FA17DF"/>
    <w:rsid w:val="00FA7513"/>
    <w:rsid w:val="00FB33D9"/>
    <w:rsid w:val="00FB6F42"/>
    <w:rsid w:val="00FD41A6"/>
    <w:rsid w:val="00FE7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A1DA4"/>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paragraph" w:customStyle="1" w:styleId="Espacios">
    <w:name w:val="Espacios"/>
    <w:basedOn w:val="Normal"/>
    <w:link w:val="EspaciosCar"/>
    <w:qFormat/>
    <w:rsid w:val="001B340A"/>
    <w:pPr>
      <w:spacing w:after="0"/>
    </w:pPr>
    <w:rPr>
      <w:sz w:val="10"/>
      <w:szCs w:val="10"/>
    </w:rPr>
  </w:style>
  <w:style w:type="character" w:customStyle="1" w:styleId="EspaciosCar">
    <w:name w:val="Espacios Car"/>
    <w:basedOn w:val="Fuentedeprrafopredeter"/>
    <w:link w:val="Espacios"/>
    <w:rsid w:val="001B340A"/>
    <w:rPr>
      <w:sz w:val="10"/>
      <w:szCs w:val="10"/>
    </w:rPr>
  </w:style>
  <w:style w:type="paragraph" w:styleId="Textonotapie">
    <w:name w:val="footnote text"/>
    <w:basedOn w:val="Normal"/>
    <w:link w:val="TextonotapieCar"/>
    <w:uiPriority w:val="99"/>
    <w:unhideWhenUsed/>
    <w:rsid w:val="001B340A"/>
    <w:pPr>
      <w:spacing w:after="0" w:line="240" w:lineRule="auto"/>
    </w:pPr>
    <w:rPr>
      <w:sz w:val="20"/>
      <w:szCs w:val="20"/>
    </w:rPr>
  </w:style>
  <w:style w:type="character" w:customStyle="1" w:styleId="TextonotapieCar">
    <w:name w:val="Texto nota pie Car"/>
    <w:basedOn w:val="Fuentedeprrafopredeter"/>
    <w:link w:val="Textonotapie"/>
    <w:uiPriority w:val="99"/>
    <w:rsid w:val="001B340A"/>
    <w:rPr>
      <w:sz w:val="20"/>
      <w:szCs w:val="20"/>
    </w:rPr>
  </w:style>
  <w:style w:type="character" w:styleId="Refdenotaalpie">
    <w:name w:val="footnote reference"/>
    <w:basedOn w:val="Fuentedeprrafopredeter"/>
    <w:uiPriority w:val="99"/>
    <w:semiHidden/>
    <w:unhideWhenUsed/>
    <w:rsid w:val="001B34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2223">
      <w:bodyDiv w:val="1"/>
      <w:marLeft w:val="0"/>
      <w:marRight w:val="0"/>
      <w:marTop w:val="0"/>
      <w:marBottom w:val="0"/>
      <w:divBdr>
        <w:top w:val="none" w:sz="0" w:space="0" w:color="auto"/>
        <w:left w:val="none" w:sz="0" w:space="0" w:color="auto"/>
        <w:bottom w:val="none" w:sz="0" w:space="0" w:color="auto"/>
        <w:right w:val="none" w:sz="0" w:space="0" w:color="auto"/>
      </w:divBdr>
    </w:div>
    <w:div w:id="617295939">
      <w:bodyDiv w:val="1"/>
      <w:marLeft w:val="0"/>
      <w:marRight w:val="0"/>
      <w:marTop w:val="0"/>
      <w:marBottom w:val="0"/>
      <w:divBdr>
        <w:top w:val="none" w:sz="0" w:space="0" w:color="auto"/>
        <w:left w:val="none" w:sz="0" w:space="0" w:color="auto"/>
        <w:bottom w:val="none" w:sz="0" w:space="0" w:color="auto"/>
        <w:right w:val="none" w:sz="0" w:space="0" w:color="auto"/>
      </w:divBdr>
    </w:div>
    <w:div w:id="8490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project25.org/index.php/documents/standard-documents" TargetMode="External"/><Relationship Id="rId2" Type="http://schemas.openxmlformats.org/officeDocument/2006/relationships/hyperlink" Target="http://cnaf.ift.org.mx/Consulta/Index" TargetMode="External"/><Relationship Id="rId1" Type="http://schemas.openxmlformats.org/officeDocument/2006/relationships/hyperlink" Target="http://www.ift.org.mx/sites/default/files/contenidogeneral/espectro-radioelectrico/espectro-de-uso-libre-vf-accesible.docx/" TargetMode="External"/><Relationship Id="rId5" Type="http://schemas.openxmlformats.org/officeDocument/2006/relationships/hyperlink" Target="http://www.etsi.org/technologies-clusters/technologies/digital-mobile-radio" TargetMode="External"/><Relationship Id="rId4" Type="http://schemas.openxmlformats.org/officeDocument/2006/relationships/hyperlink" Target="http://www.etsi.org/technologies-clusters/technologies/tet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Usuarios\gerardo.martinezc\Desktop\Solicitud%20de%20Informaci&#243;n_440-450%20MHz.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uarios\gerardo.martinezc\Desktop\Solicitud%20de%20Informaci&#243;n_440-450%20MHz.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MX" sz="1100"/>
              <a:t>Ocupación deL espectro</a:t>
            </a:r>
            <a:r>
              <a:rPr lang="es-MX" sz="1100" baseline="0"/>
              <a:t> en el rango 406.1-512 MHz</a:t>
            </a:r>
            <a:endParaRPr lang="es-MX" sz="1100"/>
          </a:p>
        </c:rich>
      </c:tx>
      <c:layout>
        <c:manualLayout>
          <c:xMode val="edge"/>
          <c:yMode val="edge"/>
          <c:x val="0.14000535033407357"/>
          <c:y val="2.964426877470355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Hoja1!$B$16:$B$21</c:f>
              <c:strCache>
                <c:ptCount val="6"/>
                <c:pt idx="0">
                  <c:v>406.1-410</c:v>
                </c:pt>
                <c:pt idx="1">
                  <c:v>410-430</c:v>
                </c:pt>
                <c:pt idx="2">
                  <c:v>430-440</c:v>
                </c:pt>
                <c:pt idx="3">
                  <c:v>440-450</c:v>
                </c:pt>
                <c:pt idx="4">
                  <c:v>450-470</c:v>
                </c:pt>
                <c:pt idx="5">
                  <c:v>470-512</c:v>
                </c:pt>
              </c:strCache>
            </c:strRef>
          </c:cat>
          <c:val>
            <c:numRef>
              <c:f>Hoja1!$C$16:$C$21</c:f>
              <c:numCache>
                <c:formatCode>General</c:formatCode>
                <c:ptCount val="6"/>
                <c:pt idx="0">
                  <c:v>488</c:v>
                </c:pt>
                <c:pt idx="1">
                  <c:v>767</c:v>
                </c:pt>
                <c:pt idx="2">
                  <c:v>63</c:v>
                </c:pt>
                <c:pt idx="3">
                  <c:v>300</c:v>
                </c:pt>
                <c:pt idx="4">
                  <c:v>14641</c:v>
                </c:pt>
                <c:pt idx="5">
                  <c:v>6303</c:v>
                </c:pt>
              </c:numCache>
            </c:numRef>
          </c:val>
        </c:ser>
        <c:dLbls>
          <c:dLblPos val="outEnd"/>
          <c:showLegendKey val="0"/>
          <c:showVal val="1"/>
          <c:showCatName val="0"/>
          <c:showSerName val="0"/>
          <c:showPercent val="0"/>
          <c:showBubbleSize val="0"/>
        </c:dLbls>
        <c:gapWidth val="444"/>
        <c:overlap val="-90"/>
        <c:axId val="-1499152992"/>
        <c:axId val="-1499143744"/>
      </c:barChart>
      <c:catAx>
        <c:axId val="-1499152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Bandas de Frecuencias [MHz]</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1499143744"/>
        <c:crosses val="autoZero"/>
        <c:auto val="1"/>
        <c:lblAlgn val="ctr"/>
        <c:lblOffset val="100"/>
        <c:noMultiLvlLbl val="0"/>
      </c:catAx>
      <c:valAx>
        <c:axId val="-149914374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Registros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149915299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MX" sz="1100"/>
              <a:t>Ocupación de la banda 440-450 MHz por entidad federativa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Hoja2!$C$3:$C$34</c:f>
              <c:strCache>
                <c:ptCount val="32"/>
                <c:pt idx="0">
                  <c:v>Aguascalientes</c:v>
                </c:pt>
                <c:pt idx="1">
                  <c:v>Baja California</c:v>
                </c:pt>
                <c:pt idx="2">
                  <c:v>Baja California Sur</c:v>
                </c:pt>
                <c:pt idx="3">
                  <c:v>Campeche</c:v>
                </c:pt>
                <c:pt idx="4">
                  <c:v>Coahuila de Zaragoza</c:v>
                </c:pt>
                <c:pt idx="5">
                  <c:v>Colima</c:v>
                </c:pt>
                <c:pt idx="6">
                  <c:v>Chiapas</c:v>
                </c:pt>
                <c:pt idx="7">
                  <c:v>Chihuahua</c:v>
                </c:pt>
                <c:pt idx="8">
                  <c:v>Ciudad de México</c:v>
                </c:pt>
                <c:pt idx="9">
                  <c:v>Durango</c:v>
                </c:pt>
                <c:pt idx="10">
                  <c:v>Guanajuato</c:v>
                </c:pt>
                <c:pt idx="11">
                  <c:v>Guerrero</c:v>
                </c:pt>
                <c:pt idx="12">
                  <c:v>Hidalgo</c:v>
                </c:pt>
                <c:pt idx="13">
                  <c:v>Jalisco</c:v>
                </c:pt>
                <c:pt idx="14">
                  <c:v>México</c:v>
                </c:pt>
                <c:pt idx="15">
                  <c:v>Michoacán de Ocampo</c:v>
                </c:pt>
                <c:pt idx="16">
                  <c:v>Morelos</c:v>
                </c:pt>
                <c:pt idx="17">
                  <c:v>Nayarit</c:v>
                </c:pt>
                <c:pt idx="18">
                  <c:v>Nuevo León</c:v>
                </c:pt>
                <c:pt idx="19">
                  <c:v>Oaxaca</c:v>
                </c:pt>
                <c:pt idx="20">
                  <c:v>Puebla</c:v>
                </c:pt>
                <c:pt idx="21">
                  <c:v>Querétaro</c:v>
                </c:pt>
                <c:pt idx="22">
                  <c:v>Quintana Roo</c:v>
                </c:pt>
                <c:pt idx="23">
                  <c:v>San Luis Potosí</c:v>
                </c:pt>
                <c:pt idx="24">
                  <c:v>Sinaloa</c:v>
                </c:pt>
                <c:pt idx="25">
                  <c:v>Sonora</c:v>
                </c:pt>
                <c:pt idx="26">
                  <c:v>Tabasco</c:v>
                </c:pt>
                <c:pt idx="27">
                  <c:v>Tamaulipas</c:v>
                </c:pt>
                <c:pt idx="28">
                  <c:v>Tlaxcala</c:v>
                </c:pt>
                <c:pt idx="29">
                  <c:v>Veracruz de Ignacio de la Llave</c:v>
                </c:pt>
                <c:pt idx="30">
                  <c:v>Yucatán</c:v>
                </c:pt>
                <c:pt idx="31">
                  <c:v>Zacatecas</c:v>
                </c:pt>
              </c:strCache>
            </c:strRef>
          </c:cat>
          <c:val>
            <c:numRef>
              <c:f>Hoja2!$D$3:$D$34</c:f>
              <c:numCache>
                <c:formatCode>General</c:formatCode>
                <c:ptCount val="32"/>
                <c:pt idx="0">
                  <c:v>0</c:v>
                </c:pt>
                <c:pt idx="1">
                  <c:v>0</c:v>
                </c:pt>
                <c:pt idx="2">
                  <c:v>0</c:v>
                </c:pt>
                <c:pt idx="3">
                  <c:v>3</c:v>
                </c:pt>
                <c:pt idx="4">
                  <c:v>6</c:v>
                </c:pt>
                <c:pt idx="5">
                  <c:v>1</c:v>
                </c:pt>
                <c:pt idx="6">
                  <c:v>2</c:v>
                </c:pt>
                <c:pt idx="7">
                  <c:v>4</c:v>
                </c:pt>
                <c:pt idx="8">
                  <c:v>93</c:v>
                </c:pt>
                <c:pt idx="9">
                  <c:v>0</c:v>
                </c:pt>
                <c:pt idx="10">
                  <c:v>0</c:v>
                </c:pt>
                <c:pt idx="11">
                  <c:v>28</c:v>
                </c:pt>
                <c:pt idx="12">
                  <c:v>0</c:v>
                </c:pt>
                <c:pt idx="13">
                  <c:v>3</c:v>
                </c:pt>
                <c:pt idx="14">
                  <c:v>10</c:v>
                </c:pt>
                <c:pt idx="15">
                  <c:v>4</c:v>
                </c:pt>
                <c:pt idx="16">
                  <c:v>37</c:v>
                </c:pt>
                <c:pt idx="17">
                  <c:v>0</c:v>
                </c:pt>
                <c:pt idx="18">
                  <c:v>41</c:v>
                </c:pt>
                <c:pt idx="19">
                  <c:v>0</c:v>
                </c:pt>
                <c:pt idx="20">
                  <c:v>37</c:v>
                </c:pt>
                <c:pt idx="21">
                  <c:v>1</c:v>
                </c:pt>
                <c:pt idx="22">
                  <c:v>5</c:v>
                </c:pt>
                <c:pt idx="23">
                  <c:v>0</c:v>
                </c:pt>
                <c:pt idx="24">
                  <c:v>0</c:v>
                </c:pt>
                <c:pt idx="25">
                  <c:v>2</c:v>
                </c:pt>
                <c:pt idx="26">
                  <c:v>4</c:v>
                </c:pt>
                <c:pt idx="27">
                  <c:v>4</c:v>
                </c:pt>
                <c:pt idx="28">
                  <c:v>0</c:v>
                </c:pt>
                <c:pt idx="29">
                  <c:v>3</c:v>
                </c:pt>
                <c:pt idx="30">
                  <c:v>2</c:v>
                </c:pt>
                <c:pt idx="31">
                  <c:v>10</c:v>
                </c:pt>
              </c:numCache>
            </c:numRef>
          </c:val>
        </c:ser>
        <c:dLbls>
          <c:dLblPos val="outEnd"/>
          <c:showLegendKey val="0"/>
          <c:showVal val="1"/>
          <c:showCatName val="0"/>
          <c:showSerName val="0"/>
          <c:showPercent val="0"/>
          <c:showBubbleSize val="0"/>
        </c:dLbls>
        <c:gapWidth val="444"/>
        <c:overlap val="-90"/>
        <c:axId val="-1499149184"/>
        <c:axId val="-1499152448"/>
      </c:barChart>
      <c:catAx>
        <c:axId val="-1499149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Estado</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cap="all" spc="120" normalizeH="0" baseline="0">
                <a:solidFill>
                  <a:schemeClr val="tx1">
                    <a:lumMod val="65000"/>
                    <a:lumOff val="35000"/>
                  </a:schemeClr>
                </a:solidFill>
                <a:latin typeface="+mn-lt"/>
                <a:ea typeface="+mn-ea"/>
                <a:cs typeface="+mn-cs"/>
              </a:defRPr>
            </a:pPr>
            <a:endParaRPr lang="es-MX"/>
          </a:p>
        </c:txPr>
        <c:crossAx val="-1499152448"/>
        <c:crosses val="autoZero"/>
        <c:auto val="1"/>
        <c:lblAlgn val="ctr"/>
        <c:lblOffset val="100"/>
        <c:noMultiLvlLbl val="0"/>
      </c:catAx>
      <c:valAx>
        <c:axId val="-1499152448"/>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Registros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14991491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es-MX" sz="1200"/>
              <a:t>OCUPACIÓN DEL ESPECTRO EN EL RANGO</a:t>
            </a:r>
            <a:r>
              <a:rPr lang="es-MX" sz="1200" baseline="0"/>
              <a:t> 406.1-512 mhZ POR ENTIDAD FEDERATIVA</a:t>
            </a:r>
            <a:endParaRPr lang="es-MX" sz="1200"/>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Hoja1!$A$2:$A$33</c:f>
              <c:strCache>
                <c:ptCount val="32"/>
                <c:pt idx="0">
                  <c:v>AGUASCALIENTES</c:v>
                </c:pt>
                <c:pt idx="1">
                  <c:v>BAJA CALIFORNIA</c:v>
                </c:pt>
                <c:pt idx="2">
                  <c:v>BAJA CALIFORNIA SUR</c:v>
                </c:pt>
                <c:pt idx="3">
                  <c:v>CAMPECHE </c:v>
                </c:pt>
                <c:pt idx="4">
                  <c:v>COAHUILA DE ZARAGOZA</c:v>
                </c:pt>
                <c:pt idx="5">
                  <c:v>COLIMA</c:v>
                </c:pt>
                <c:pt idx="6">
                  <c:v>CHIAPAS</c:v>
                </c:pt>
                <c:pt idx="7">
                  <c:v>CHIHUAHUA</c:v>
                </c:pt>
                <c:pt idx="8">
                  <c:v>CIUDAD DE MÉXICO</c:v>
                </c:pt>
                <c:pt idx="9">
                  <c:v>DURANGO</c:v>
                </c:pt>
                <c:pt idx="10">
                  <c:v>GUANAJUATO</c:v>
                </c:pt>
                <c:pt idx="11">
                  <c:v>GUERRERO</c:v>
                </c:pt>
                <c:pt idx="12">
                  <c:v>HIDALGO</c:v>
                </c:pt>
                <c:pt idx="13">
                  <c:v>JALISCO</c:v>
                </c:pt>
                <c:pt idx="14">
                  <c:v>MÉXICO</c:v>
                </c:pt>
                <c:pt idx="15">
                  <c:v>MICHOACÁN DE OCAMPO</c:v>
                </c:pt>
                <c:pt idx="16">
                  <c:v>MORELOS</c:v>
                </c:pt>
                <c:pt idx="17">
                  <c:v>NAYARIT</c:v>
                </c:pt>
                <c:pt idx="18">
                  <c:v>NUEVO LEÓN</c:v>
                </c:pt>
                <c:pt idx="19">
                  <c:v>OAXACA</c:v>
                </c:pt>
                <c:pt idx="20">
                  <c:v>PUEBLA</c:v>
                </c:pt>
                <c:pt idx="21">
                  <c:v>QUERÉTARO</c:v>
                </c:pt>
                <c:pt idx="22">
                  <c:v>QUINTANA ROO</c:v>
                </c:pt>
                <c:pt idx="23">
                  <c:v>SAN LUIS POTOSÍ</c:v>
                </c:pt>
                <c:pt idx="24">
                  <c:v>SINALOA</c:v>
                </c:pt>
                <c:pt idx="25">
                  <c:v>SONORA</c:v>
                </c:pt>
                <c:pt idx="26">
                  <c:v>TABASCO</c:v>
                </c:pt>
                <c:pt idx="27">
                  <c:v>TAMAULIPAS</c:v>
                </c:pt>
                <c:pt idx="28">
                  <c:v>TLAXCALA</c:v>
                </c:pt>
                <c:pt idx="29">
                  <c:v>VERACRUZ DE IGNACIO DE LLAVE</c:v>
                </c:pt>
                <c:pt idx="30">
                  <c:v>YUCATÁN</c:v>
                </c:pt>
                <c:pt idx="31">
                  <c:v>ZACATECAS</c:v>
                </c:pt>
              </c:strCache>
            </c:strRef>
          </c:cat>
          <c:val>
            <c:numRef>
              <c:f>Hoja1!$B$2:$B$33</c:f>
              <c:numCache>
                <c:formatCode>General</c:formatCode>
                <c:ptCount val="32"/>
                <c:pt idx="0">
                  <c:v>445</c:v>
                </c:pt>
                <c:pt idx="1">
                  <c:v>485</c:v>
                </c:pt>
                <c:pt idx="2">
                  <c:v>50</c:v>
                </c:pt>
                <c:pt idx="3">
                  <c:v>257</c:v>
                </c:pt>
                <c:pt idx="4">
                  <c:v>655</c:v>
                </c:pt>
                <c:pt idx="5">
                  <c:v>198</c:v>
                </c:pt>
                <c:pt idx="6">
                  <c:v>250</c:v>
                </c:pt>
                <c:pt idx="7">
                  <c:v>540</c:v>
                </c:pt>
                <c:pt idx="8">
                  <c:v>3074</c:v>
                </c:pt>
                <c:pt idx="9">
                  <c:v>496</c:v>
                </c:pt>
                <c:pt idx="10">
                  <c:v>1206</c:v>
                </c:pt>
                <c:pt idx="11">
                  <c:v>332</c:v>
                </c:pt>
                <c:pt idx="12">
                  <c:v>240</c:v>
                </c:pt>
                <c:pt idx="13">
                  <c:v>1344</c:v>
                </c:pt>
                <c:pt idx="14">
                  <c:v>1591</c:v>
                </c:pt>
                <c:pt idx="15">
                  <c:v>666</c:v>
                </c:pt>
                <c:pt idx="16">
                  <c:v>449</c:v>
                </c:pt>
                <c:pt idx="17">
                  <c:v>160</c:v>
                </c:pt>
                <c:pt idx="18">
                  <c:v>2873</c:v>
                </c:pt>
                <c:pt idx="19">
                  <c:v>392</c:v>
                </c:pt>
                <c:pt idx="20">
                  <c:v>495</c:v>
                </c:pt>
                <c:pt idx="21">
                  <c:v>350</c:v>
                </c:pt>
                <c:pt idx="22">
                  <c:v>252</c:v>
                </c:pt>
                <c:pt idx="23">
                  <c:v>539</c:v>
                </c:pt>
                <c:pt idx="24">
                  <c:v>1128</c:v>
                </c:pt>
                <c:pt idx="25">
                  <c:v>820</c:v>
                </c:pt>
                <c:pt idx="26">
                  <c:v>332</c:v>
                </c:pt>
                <c:pt idx="27">
                  <c:v>1160</c:v>
                </c:pt>
                <c:pt idx="28">
                  <c:v>38</c:v>
                </c:pt>
                <c:pt idx="29">
                  <c:v>1371</c:v>
                </c:pt>
                <c:pt idx="30">
                  <c:v>248</c:v>
                </c:pt>
                <c:pt idx="31">
                  <c:v>105</c:v>
                </c:pt>
              </c:numCache>
            </c:numRef>
          </c:val>
        </c:ser>
        <c:dLbls>
          <c:dLblPos val="outEnd"/>
          <c:showLegendKey val="0"/>
          <c:showVal val="1"/>
          <c:showCatName val="0"/>
          <c:showSerName val="0"/>
          <c:showPercent val="0"/>
          <c:showBubbleSize val="0"/>
        </c:dLbls>
        <c:gapWidth val="444"/>
        <c:overlap val="-90"/>
        <c:axId val="-1499151360"/>
        <c:axId val="-1499146464"/>
      </c:barChart>
      <c:catAx>
        <c:axId val="-1499151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eSTADOS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cap="all" spc="120" normalizeH="0" baseline="0">
                <a:solidFill>
                  <a:schemeClr val="tx1">
                    <a:lumMod val="65000"/>
                    <a:lumOff val="35000"/>
                  </a:schemeClr>
                </a:solidFill>
                <a:latin typeface="+mn-lt"/>
                <a:ea typeface="+mn-ea"/>
                <a:cs typeface="+mn-cs"/>
              </a:defRPr>
            </a:pPr>
            <a:endParaRPr lang="es-MX"/>
          </a:p>
        </c:txPr>
        <c:crossAx val="-1499146464"/>
        <c:crosses val="autoZero"/>
        <c:auto val="1"/>
        <c:lblAlgn val="ctr"/>
        <c:lblOffset val="100"/>
        <c:noMultiLvlLbl val="0"/>
      </c:catAx>
      <c:valAx>
        <c:axId val="-149914646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rEGISTROS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14991513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83F4B-5A04-4241-8CDF-AD18E83BE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A8AC147E-884F-4D36-BDAF-1649BDAC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2395</Words>
  <Characters>13176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4</cp:revision>
  <cp:lastPrinted>2016-08-24T01:47:00Z</cp:lastPrinted>
  <dcterms:created xsi:type="dcterms:W3CDTF">2016-08-24T01:47:00Z</dcterms:created>
  <dcterms:modified xsi:type="dcterms:W3CDTF">2016-08-24T01:48:00Z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