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28F" w:rsidRPr="00AC4F03" w:rsidRDefault="00C35169" w:rsidP="008863AC">
      <w:pPr>
        <w:spacing w:line="240" w:lineRule="auto"/>
        <w:jc w:val="both"/>
        <w:rPr>
          <w:rFonts w:ascii="ITC Avant Garde" w:eastAsia="Times New Roman" w:hAnsi="ITC Avant Garde" w:cs="Tahoma"/>
          <w:b/>
          <w:bCs/>
          <w:color w:val="000000"/>
          <w:sz w:val="24"/>
          <w:szCs w:val="24"/>
          <w:lang w:eastAsia="es-MX"/>
        </w:rPr>
      </w:pPr>
      <w:bookmarkStart w:id="0" w:name="_GoBack"/>
      <w:bookmarkEnd w:id="0"/>
      <w:r w:rsidRPr="008863AC">
        <w:rPr>
          <w:rFonts w:ascii="ITC Avant Garde" w:hAnsi="ITC Avant Garde" w:cs="Tahoma"/>
          <w:b/>
          <w:bCs/>
          <w:color w:val="000000"/>
          <w:sz w:val="24"/>
          <w:szCs w:val="24"/>
        </w:rPr>
        <w:t>ACUERDO MEDIANTE EL CUAL EL PLENO DEL IN</w:t>
      </w:r>
      <w:r w:rsidRPr="008863AC">
        <w:rPr>
          <w:rFonts w:ascii="ITC Avant Garde" w:hAnsi="ITC Avant Garde"/>
          <w:b/>
          <w:sz w:val="24"/>
          <w:szCs w:val="24"/>
        </w:rPr>
        <w:t xml:space="preserve">STITUTO FEDERAL DE TELECOMUNICACIONES </w:t>
      </w:r>
      <w:r w:rsidR="00BB30F9">
        <w:rPr>
          <w:rFonts w:ascii="ITC Avant Garde" w:hAnsi="ITC Avant Garde"/>
          <w:b/>
          <w:sz w:val="24"/>
          <w:szCs w:val="24"/>
        </w:rPr>
        <w:t>EXPIDE LA</w:t>
      </w:r>
      <w:r w:rsidR="003D628F" w:rsidRPr="008863AC">
        <w:rPr>
          <w:rFonts w:ascii="ITC Avant Garde" w:eastAsia="Times New Roman" w:hAnsi="ITC Avant Garde" w:cs="Tahoma"/>
          <w:b/>
          <w:bCs/>
          <w:color w:val="000000"/>
          <w:sz w:val="24"/>
          <w:szCs w:val="24"/>
          <w:lang w:eastAsia="es-MX"/>
        </w:rPr>
        <w:t xml:space="preserve"> </w:t>
      </w:r>
      <w:r w:rsidR="00BB30F9">
        <w:rPr>
          <w:rFonts w:ascii="ITC Avant Garde" w:eastAsia="Times New Roman" w:hAnsi="ITC Avant Garde" w:cs="Tahoma"/>
          <w:b/>
          <w:bCs/>
          <w:color w:val="000000"/>
          <w:sz w:val="24"/>
          <w:szCs w:val="24"/>
          <w:lang w:eastAsia="es-MX"/>
        </w:rPr>
        <w:t>“</w:t>
      </w:r>
      <w:r w:rsidR="003D628F" w:rsidRPr="008863AC">
        <w:rPr>
          <w:rFonts w:ascii="ITC Avant Garde" w:eastAsia="Times New Roman" w:hAnsi="ITC Avant Garde" w:cs="Tahoma"/>
          <w:b/>
          <w:bCs/>
          <w:color w:val="000000"/>
          <w:sz w:val="24"/>
          <w:szCs w:val="24"/>
          <w:lang w:eastAsia="es-MX"/>
        </w:rPr>
        <w:t>DISPOSICIÓN TÉCNICA IFT-011-201</w:t>
      </w:r>
      <w:r w:rsidR="009814FF">
        <w:rPr>
          <w:rFonts w:ascii="ITC Avant Garde" w:eastAsia="Times New Roman" w:hAnsi="ITC Avant Garde" w:cs="Tahoma"/>
          <w:b/>
          <w:bCs/>
          <w:color w:val="000000"/>
          <w:sz w:val="24"/>
          <w:szCs w:val="24"/>
          <w:lang w:eastAsia="es-MX"/>
        </w:rPr>
        <w:t>7</w:t>
      </w:r>
      <w:r w:rsidR="003D628F" w:rsidRPr="008863AC">
        <w:rPr>
          <w:rFonts w:ascii="ITC Avant Garde" w:eastAsia="Times New Roman" w:hAnsi="ITC Avant Garde" w:cs="Tahoma"/>
          <w:b/>
          <w:bCs/>
          <w:color w:val="000000"/>
          <w:sz w:val="24"/>
          <w:szCs w:val="24"/>
          <w:lang w:eastAsia="es-MX"/>
        </w:rPr>
        <w:t xml:space="preserve">: ESPECIFICACIONES DE LOS EQUIPOS TERMINALES MÓVILES QUE </w:t>
      </w:r>
      <w:r w:rsidR="00A5438C">
        <w:rPr>
          <w:rFonts w:ascii="ITC Avant Garde" w:eastAsia="Times New Roman" w:hAnsi="ITC Avant Garde" w:cs="Tahoma"/>
          <w:b/>
          <w:bCs/>
          <w:color w:val="000000"/>
          <w:sz w:val="24"/>
          <w:szCs w:val="24"/>
          <w:lang w:eastAsia="es-MX"/>
        </w:rPr>
        <w:t xml:space="preserve">PUEDAN </w:t>
      </w:r>
      <w:r w:rsidR="003D628F" w:rsidRPr="008863AC">
        <w:rPr>
          <w:rFonts w:ascii="ITC Avant Garde" w:eastAsia="Times New Roman" w:hAnsi="ITC Avant Garde" w:cs="Tahoma"/>
          <w:b/>
          <w:bCs/>
          <w:color w:val="000000"/>
          <w:sz w:val="24"/>
          <w:szCs w:val="24"/>
          <w:lang w:eastAsia="es-MX"/>
        </w:rPr>
        <w:t>HACE</w:t>
      </w:r>
      <w:r w:rsidR="00A5438C">
        <w:rPr>
          <w:rFonts w:ascii="ITC Avant Garde" w:eastAsia="Times New Roman" w:hAnsi="ITC Avant Garde" w:cs="Tahoma"/>
          <w:b/>
          <w:bCs/>
          <w:color w:val="000000"/>
          <w:sz w:val="24"/>
          <w:szCs w:val="24"/>
          <w:lang w:eastAsia="es-MX"/>
        </w:rPr>
        <w:t>R</w:t>
      </w:r>
      <w:r w:rsidR="003D628F" w:rsidRPr="008863AC">
        <w:rPr>
          <w:rFonts w:ascii="ITC Avant Garde" w:eastAsia="Times New Roman" w:hAnsi="ITC Avant Garde" w:cs="Tahoma"/>
          <w:b/>
          <w:bCs/>
          <w:color w:val="000000"/>
          <w:sz w:val="24"/>
          <w:szCs w:val="24"/>
          <w:lang w:eastAsia="es-MX"/>
        </w:rPr>
        <w:t xml:space="preserve"> USO DEL ESPECTRO RADIOELÉCTRICO </w:t>
      </w:r>
      <w:r w:rsidR="00A5438C">
        <w:rPr>
          <w:rFonts w:ascii="ITC Avant Garde" w:eastAsia="Times New Roman" w:hAnsi="ITC Avant Garde" w:cs="Tahoma"/>
          <w:b/>
          <w:bCs/>
          <w:color w:val="000000"/>
          <w:sz w:val="24"/>
          <w:szCs w:val="24"/>
          <w:lang w:eastAsia="es-MX"/>
        </w:rPr>
        <w:t>O</w:t>
      </w:r>
      <w:r w:rsidR="00ED75A1" w:rsidRPr="008863AC">
        <w:rPr>
          <w:rFonts w:ascii="ITC Avant Garde" w:eastAsia="Times New Roman" w:hAnsi="ITC Avant Garde" w:cs="Tahoma"/>
          <w:b/>
          <w:bCs/>
          <w:color w:val="000000"/>
          <w:sz w:val="24"/>
          <w:szCs w:val="24"/>
          <w:lang w:eastAsia="es-MX"/>
        </w:rPr>
        <w:t xml:space="preserve"> </w:t>
      </w:r>
      <w:r w:rsidR="0006144E">
        <w:rPr>
          <w:rFonts w:ascii="ITC Avant Garde" w:eastAsia="Times New Roman" w:hAnsi="ITC Avant Garde" w:cs="Tahoma"/>
          <w:b/>
          <w:bCs/>
          <w:color w:val="000000"/>
          <w:sz w:val="24"/>
          <w:szCs w:val="24"/>
          <w:lang w:eastAsia="es-MX"/>
        </w:rPr>
        <w:t xml:space="preserve"> </w:t>
      </w:r>
      <w:r w:rsidR="003D628F" w:rsidRPr="008863AC">
        <w:rPr>
          <w:rFonts w:ascii="ITC Avant Garde" w:eastAsia="Times New Roman" w:hAnsi="ITC Avant Garde" w:cs="Tahoma"/>
          <w:b/>
          <w:bCs/>
          <w:color w:val="000000"/>
          <w:sz w:val="24"/>
          <w:szCs w:val="24"/>
          <w:lang w:eastAsia="es-MX"/>
        </w:rPr>
        <w:t>SE</w:t>
      </w:r>
      <w:r w:rsidR="00A5438C">
        <w:rPr>
          <w:rFonts w:ascii="ITC Avant Garde" w:eastAsia="Times New Roman" w:hAnsi="ITC Avant Garde" w:cs="Tahoma"/>
          <w:b/>
          <w:bCs/>
          <w:color w:val="000000"/>
          <w:sz w:val="24"/>
          <w:szCs w:val="24"/>
          <w:lang w:eastAsia="es-MX"/>
        </w:rPr>
        <w:t>R</w:t>
      </w:r>
      <w:r w:rsidR="003D628F" w:rsidRPr="008863AC">
        <w:rPr>
          <w:rFonts w:ascii="ITC Avant Garde" w:eastAsia="Times New Roman" w:hAnsi="ITC Avant Garde" w:cs="Tahoma"/>
          <w:b/>
          <w:bCs/>
          <w:color w:val="000000"/>
          <w:sz w:val="24"/>
          <w:szCs w:val="24"/>
          <w:lang w:eastAsia="es-MX"/>
        </w:rPr>
        <w:t xml:space="preserve"> CONECTA</w:t>
      </w:r>
      <w:r w:rsidR="00A5438C">
        <w:rPr>
          <w:rFonts w:ascii="ITC Avant Garde" w:eastAsia="Times New Roman" w:hAnsi="ITC Avant Garde" w:cs="Tahoma"/>
          <w:b/>
          <w:bCs/>
          <w:color w:val="000000"/>
          <w:sz w:val="24"/>
          <w:szCs w:val="24"/>
          <w:lang w:eastAsia="es-MX"/>
        </w:rPr>
        <w:t>DOS</w:t>
      </w:r>
      <w:r w:rsidR="0006144E">
        <w:rPr>
          <w:rFonts w:ascii="ITC Avant Garde" w:eastAsia="Times New Roman" w:hAnsi="ITC Avant Garde" w:cs="Tahoma"/>
          <w:b/>
          <w:bCs/>
          <w:color w:val="000000"/>
          <w:sz w:val="24"/>
          <w:szCs w:val="24"/>
          <w:lang w:eastAsia="es-MX"/>
        </w:rPr>
        <w:t xml:space="preserve"> </w:t>
      </w:r>
      <w:r w:rsidR="003D628F" w:rsidRPr="008863AC">
        <w:rPr>
          <w:rFonts w:ascii="ITC Avant Garde" w:eastAsia="Times New Roman" w:hAnsi="ITC Avant Garde" w:cs="Tahoma"/>
          <w:b/>
          <w:bCs/>
          <w:color w:val="000000"/>
          <w:sz w:val="24"/>
          <w:szCs w:val="24"/>
          <w:lang w:eastAsia="es-MX"/>
        </w:rPr>
        <w:t>A REDES DE TELECOMUNICACIONES</w:t>
      </w:r>
      <w:r w:rsidR="0006144E">
        <w:rPr>
          <w:rFonts w:ascii="ITC Avant Garde" w:eastAsia="Times New Roman" w:hAnsi="ITC Avant Garde" w:cs="Tahoma"/>
          <w:b/>
          <w:bCs/>
          <w:color w:val="000000"/>
          <w:sz w:val="24"/>
          <w:szCs w:val="24"/>
          <w:lang w:eastAsia="es-MX"/>
        </w:rPr>
        <w:t>.</w:t>
      </w:r>
      <w:r w:rsidR="00AC4F03">
        <w:rPr>
          <w:rFonts w:ascii="ITC Avant Garde" w:eastAsia="Times New Roman" w:hAnsi="ITC Avant Garde" w:cs="Tahoma"/>
          <w:b/>
          <w:bCs/>
          <w:color w:val="000000"/>
          <w:sz w:val="24"/>
          <w:szCs w:val="24"/>
          <w:lang w:eastAsia="es-MX"/>
        </w:rPr>
        <w:t xml:space="preserve"> </w:t>
      </w:r>
      <w:r w:rsidR="00EC794F">
        <w:rPr>
          <w:rFonts w:ascii="ITC Avant Garde" w:eastAsia="Times New Roman" w:hAnsi="ITC Avant Garde" w:cs="Tahoma"/>
          <w:b/>
          <w:bCs/>
          <w:color w:val="000000"/>
          <w:sz w:val="24"/>
          <w:szCs w:val="24"/>
          <w:lang w:eastAsia="es-MX"/>
        </w:rPr>
        <w:t xml:space="preserve">PARTE 1. </w:t>
      </w:r>
      <w:r w:rsidR="00A5438C">
        <w:rPr>
          <w:rFonts w:ascii="ITC Avant Garde" w:eastAsia="Times New Roman" w:hAnsi="ITC Avant Garde" w:cs="Tahoma"/>
          <w:b/>
          <w:bCs/>
          <w:color w:val="000000"/>
          <w:sz w:val="24"/>
          <w:szCs w:val="24"/>
          <w:lang w:eastAsia="es-MX"/>
        </w:rPr>
        <w:t xml:space="preserve">CÓDIGO DE </w:t>
      </w:r>
      <w:r w:rsidR="003D628F" w:rsidRPr="008863AC">
        <w:rPr>
          <w:rFonts w:ascii="ITC Avant Garde" w:eastAsia="Times New Roman" w:hAnsi="ITC Avant Garde" w:cs="Tahoma"/>
          <w:b/>
          <w:bCs/>
          <w:color w:val="000000"/>
          <w:sz w:val="24"/>
          <w:szCs w:val="24"/>
          <w:lang w:eastAsia="es-MX"/>
        </w:rPr>
        <w:t>IDENTI</w:t>
      </w:r>
      <w:r w:rsidR="00A5438C">
        <w:rPr>
          <w:rFonts w:ascii="ITC Avant Garde" w:eastAsia="Times New Roman" w:hAnsi="ITC Avant Garde" w:cs="Tahoma"/>
          <w:b/>
          <w:bCs/>
          <w:color w:val="000000"/>
          <w:sz w:val="24"/>
          <w:szCs w:val="24"/>
          <w:lang w:eastAsia="es-MX"/>
        </w:rPr>
        <w:t xml:space="preserve">DAD DE </w:t>
      </w:r>
      <w:r w:rsidR="003D628F" w:rsidRPr="008863AC">
        <w:rPr>
          <w:rFonts w:ascii="ITC Avant Garde" w:eastAsia="Times New Roman" w:hAnsi="ITC Avant Garde" w:cs="Tahoma"/>
          <w:b/>
          <w:bCs/>
          <w:color w:val="000000"/>
          <w:sz w:val="24"/>
          <w:szCs w:val="24"/>
          <w:lang w:eastAsia="es-MX"/>
        </w:rPr>
        <w:t>F</w:t>
      </w:r>
      <w:r w:rsidR="00A5438C">
        <w:rPr>
          <w:rFonts w:ascii="ITC Avant Garde" w:eastAsia="Times New Roman" w:hAnsi="ITC Avant Garde" w:cs="Tahoma"/>
          <w:b/>
          <w:bCs/>
          <w:color w:val="000000"/>
          <w:sz w:val="24"/>
          <w:szCs w:val="24"/>
          <w:lang w:eastAsia="es-MX"/>
        </w:rPr>
        <w:t xml:space="preserve">ABRICACIÓN </w:t>
      </w:r>
      <w:r w:rsidR="003D628F" w:rsidRPr="008863AC">
        <w:rPr>
          <w:rFonts w:ascii="ITC Avant Garde" w:eastAsia="Times New Roman" w:hAnsi="ITC Avant Garde" w:cs="Tahoma"/>
          <w:b/>
          <w:bCs/>
          <w:color w:val="000000"/>
          <w:sz w:val="24"/>
          <w:szCs w:val="24"/>
          <w:lang w:eastAsia="es-MX"/>
        </w:rPr>
        <w:t>DEL EQUIPO (IMEI) Y FUNCIONALIDAD DE RECEP</w:t>
      </w:r>
      <w:r w:rsidR="008863AC" w:rsidRPr="008863AC">
        <w:rPr>
          <w:rFonts w:ascii="ITC Avant Garde" w:eastAsia="Times New Roman" w:hAnsi="ITC Avant Garde" w:cs="Tahoma"/>
          <w:b/>
          <w:bCs/>
          <w:color w:val="000000"/>
          <w:sz w:val="24"/>
          <w:szCs w:val="24"/>
          <w:lang w:eastAsia="es-MX"/>
        </w:rPr>
        <w:t xml:space="preserve">TOR DE </w:t>
      </w:r>
      <w:r w:rsidR="007F09E1">
        <w:rPr>
          <w:rFonts w:ascii="ITC Avant Garde" w:eastAsia="Times New Roman" w:hAnsi="ITC Avant Garde" w:cs="Tahoma"/>
          <w:b/>
          <w:bCs/>
          <w:color w:val="000000"/>
          <w:sz w:val="24"/>
          <w:szCs w:val="24"/>
          <w:lang w:eastAsia="es-MX"/>
        </w:rPr>
        <w:t xml:space="preserve">RADIODIFUSIÓN SONORA EN </w:t>
      </w:r>
      <w:r w:rsidR="008863AC" w:rsidRPr="008863AC">
        <w:rPr>
          <w:rFonts w:ascii="ITC Avant Garde" w:eastAsia="Times New Roman" w:hAnsi="ITC Avant Garde" w:cs="Tahoma"/>
          <w:b/>
          <w:bCs/>
          <w:color w:val="000000"/>
          <w:sz w:val="24"/>
          <w:szCs w:val="24"/>
          <w:lang w:eastAsia="es-MX"/>
        </w:rPr>
        <w:t>FRECUENCIA MODULADA (FM)</w:t>
      </w:r>
      <w:r w:rsidR="003D628F">
        <w:rPr>
          <w:rFonts w:ascii="ITC Avant Garde" w:eastAsia="Times New Roman" w:hAnsi="ITC Avant Garde" w:cs="Tahoma"/>
          <w:b/>
          <w:bCs/>
          <w:i/>
          <w:color w:val="000000"/>
          <w:lang w:eastAsia="es-MX"/>
        </w:rPr>
        <w:t>”.</w:t>
      </w:r>
    </w:p>
    <w:p w:rsidR="00303CEC" w:rsidRPr="001853A9" w:rsidRDefault="00303CEC" w:rsidP="00C35169">
      <w:pPr>
        <w:spacing w:after="0" w:line="360" w:lineRule="auto"/>
        <w:ind w:right="-58"/>
        <w:jc w:val="both"/>
        <w:rPr>
          <w:rFonts w:ascii="ITC Avant Garde" w:hAnsi="ITC Avant Garde"/>
          <w:b/>
          <w:color w:val="000000"/>
        </w:rPr>
      </w:pPr>
    </w:p>
    <w:p w:rsidR="00C35169" w:rsidRDefault="00C35169" w:rsidP="00C35169">
      <w:pPr>
        <w:pStyle w:val="Default"/>
        <w:spacing w:line="360" w:lineRule="auto"/>
        <w:jc w:val="center"/>
        <w:rPr>
          <w:rFonts w:ascii="ITC Avant Garde" w:hAnsi="ITC Avant Garde"/>
          <w:b/>
          <w:bCs/>
          <w:sz w:val="22"/>
          <w:szCs w:val="22"/>
          <w:lang w:val="es-ES_tradnl"/>
        </w:rPr>
      </w:pPr>
      <w:r w:rsidRPr="007F3E91">
        <w:rPr>
          <w:rFonts w:ascii="ITC Avant Garde" w:hAnsi="ITC Avant Garde"/>
          <w:b/>
          <w:bCs/>
          <w:sz w:val="22"/>
          <w:szCs w:val="22"/>
          <w:lang w:val="es-ES_tradnl"/>
        </w:rPr>
        <w:t>ANTECEDENTES</w:t>
      </w:r>
    </w:p>
    <w:p w:rsidR="00C35169" w:rsidRPr="007F3E91" w:rsidRDefault="00C35169" w:rsidP="00C35169">
      <w:pPr>
        <w:pStyle w:val="Default"/>
        <w:spacing w:line="360" w:lineRule="auto"/>
        <w:jc w:val="center"/>
        <w:rPr>
          <w:rFonts w:ascii="ITC Avant Garde" w:hAnsi="ITC Avant Garde"/>
          <w:b/>
          <w:bCs/>
          <w:sz w:val="22"/>
          <w:szCs w:val="22"/>
          <w:lang w:val="es-ES_tradnl"/>
        </w:rPr>
      </w:pPr>
    </w:p>
    <w:p w:rsidR="00C35169" w:rsidRDefault="00C35169" w:rsidP="00B550DE">
      <w:pPr>
        <w:pStyle w:val="Prrafodelista"/>
        <w:numPr>
          <w:ilvl w:val="0"/>
          <w:numId w:val="5"/>
        </w:numPr>
        <w:spacing w:line="360" w:lineRule="auto"/>
        <w:ind w:left="567" w:hanging="425"/>
        <w:contextualSpacing w:val="0"/>
        <w:jc w:val="both"/>
        <w:rPr>
          <w:rFonts w:ascii="ITC Avant Garde" w:hAnsi="ITC Avant Garde"/>
        </w:rPr>
      </w:pPr>
      <w:r w:rsidRPr="009B3C9A">
        <w:rPr>
          <w:rFonts w:ascii="ITC Avant Garde" w:hAnsi="ITC Avant Garde"/>
        </w:rPr>
        <w:t xml:space="preserve">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“Decreto por el que se reforman y adicionan </w:t>
      </w:r>
      <w:r w:rsidR="002D2279" w:rsidRPr="009B3C9A">
        <w:rPr>
          <w:rFonts w:ascii="ITC Avant Garde" w:hAnsi="ITC Avant Garde"/>
        </w:rPr>
        <w:t>d</w:t>
      </w:r>
      <w:r w:rsidRPr="009B3C9A">
        <w:rPr>
          <w:rFonts w:ascii="ITC Avant Garde" w:hAnsi="ITC Avant Garde"/>
        </w:rPr>
        <w:t xml:space="preserve">iversas disposiciones de los artículos 6o., 7o., 27, 28, 73, 78, 94 y 105 de la Constitución Política de los Estados Unidos Mexicanos, en materia de telecomunicaciones” (en lo sucesivo, el “Decreto”) publicado en el Diario Oficial de la Federación (en lo sucesivo, </w:t>
      </w:r>
      <w:r w:rsidR="0064699A">
        <w:rPr>
          <w:rFonts w:ascii="ITC Avant Garde" w:hAnsi="ITC Avant Garde"/>
        </w:rPr>
        <w:t>el “</w:t>
      </w:r>
      <w:r w:rsidRPr="009B3C9A">
        <w:rPr>
          <w:rFonts w:ascii="ITC Avant Garde" w:hAnsi="ITC Avant Garde"/>
        </w:rPr>
        <w:t>DOF</w:t>
      </w:r>
      <w:r w:rsidR="0064699A">
        <w:rPr>
          <w:rFonts w:ascii="ITC Avant Garde" w:hAnsi="ITC Avant Garde"/>
        </w:rPr>
        <w:t>”</w:t>
      </w:r>
      <w:r w:rsidRPr="009B3C9A">
        <w:rPr>
          <w:rFonts w:ascii="ITC Avant Garde" w:hAnsi="ITC Avant Garde"/>
        </w:rPr>
        <w:t>) en la fecha antes señalada y el cual entró en vigor al día siguiente de su publicación, es decir el día 12 de junio de 2013.</w:t>
      </w:r>
    </w:p>
    <w:p w:rsidR="009B3C9A" w:rsidRDefault="00C35169" w:rsidP="00B550DE">
      <w:pPr>
        <w:pStyle w:val="Prrafodelista"/>
        <w:numPr>
          <w:ilvl w:val="0"/>
          <w:numId w:val="5"/>
        </w:numPr>
        <w:spacing w:line="360" w:lineRule="auto"/>
        <w:ind w:left="567" w:hanging="425"/>
        <w:contextualSpacing w:val="0"/>
        <w:jc w:val="both"/>
        <w:rPr>
          <w:rFonts w:ascii="ITC Avant Garde" w:hAnsi="ITC Avant Garde"/>
        </w:rPr>
      </w:pPr>
      <w:r w:rsidRPr="009B3C9A">
        <w:rPr>
          <w:rFonts w:ascii="ITC Avant Garde" w:hAnsi="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rsidR="009B3C9A" w:rsidRDefault="00C35169" w:rsidP="00B550DE">
      <w:pPr>
        <w:pStyle w:val="Prrafodelista"/>
        <w:numPr>
          <w:ilvl w:val="0"/>
          <w:numId w:val="5"/>
        </w:numPr>
        <w:spacing w:line="360" w:lineRule="auto"/>
        <w:ind w:left="567" w:hanging="425"/>
        <w:contextualSpacing w:val="0"/>
        <w:jc w:val="both"/>
        <w:rPr>
          <w:rFonts w:ascii="ITC Avant Garde" w:hAnsi="ITC Avant Garde"/>
        </w:rPr>
      </w:pPr>
      <w:r w:rsidRPr="009B3C9A">
        <w:rPr>
          <w:rFonts w:ascii="ITC Avant Garde" w:hAnsi="ITC Avant Garde"/>
        </w:rPr>
        <w:t>El 4 de septiembre de 2014, se publicó en el DOF el Estatuto Orgánico del Instituto (en lo sucesivo, el “Estatuto”), mismo que entró en vigor el 26 de septiembre de 2014</w:t>
      </w:r>
      <w:r w:rsidR="003D628F">
        <w:rPr>
          <w:rFonts w:ascii="ITC Avant Garde" w:hAnsi="ITC Avant Garde"/>
        </w:rPr>
        <w:t xml:space="preserve"> </w:t>
      </w:r>
      <w:r w:rsidR="003D628F" w:rsidRPr="00355E7D">
        <w:rPr>
          <w:rFonts w:ascii="ITC Avant Garde" w:hAnsi="ITC Avant Garde"/>
        </w:rPr>
        <w:lastRenderedPageBreak/>
        <w:t xml:space="preserve">y </w:t>
      </w:r>
      <w:r w:rsidR="005B6B4A">
        <w:rPr>
          <w:rFonts w:ascii="ITC Avant Garde" w:hAnsi="ITC Avant Garde"/>
        </w:rPr>
        <w:t>cuya última modificación se publicó en el referido órgano de difusión</w:t>
      </w:r>
      <w:r w:rsidR="005B6B4A" w:rsidRPr="00355E7D">
        <w:rPr>
          <w:rFonts w:ascii="ITC Avant Garde" w:hAnsi="ITC Avant Garde"/>
        </w:rPr>
        <w:t xml:space="preserve"> </w:t>
      </w:r>
      <w:r w:rsidR="003D628F" w:rsidRPr="00355E7D">
        <w:rPr>
          <w:rFonts w:ascii="ITC Avant Garde" w:hAnsi="ITC Avant Garde"/>
        </w:rPr>
        <w:t>el 17 de octubre de</w:t>
      </w:r>
      <w:r w:rsidR="005B6B4A">
        <w:rPr>
          <w:rFonts w:ascii="ITC Avant Garde" w:hAnsi="ITC Avant Garde"/>
        </w:rPr>
        <w:t xml:space="preserve"> 2016</w:t>
      </w:r>
      <w:r w:rsidRPr="009B3C9A">
        <w:rPr>
          <w:rFonts w:ascii="ITC Avant Garde" w:hAnsi="ITC Avant Garde"/>
        </w:rPr>
        <w:t>.</w:t>
      </w:r>
    </w:p>
    <w:p w:rsidR="003D628F" w:rsidRDefault="003D628F" w:rsidP="00B550DE">
      <w:pPr>
        <w:pStyle w:val="Prrafodelista"/>
        <w:numPr>
          <w:ilvl w:val="0"/>
          <w:numId w:val="5"/>
        </w:numPr>
        <w:spacing w:line="360" w:lineRule="auto"/>
        <w:ind w:left="567" w:hanging="425"/>
        <w:contextualSpacing w:val="0"/>
        <w:jc w:val="both"/>
        <w:rPr>
          <w:rFonts w:ascii="ITC Avant Garde" w:hAnsi="ITC Avant Garde"/>
        </w:rPr>
      </w:pPr>
      <w:r w:rsidRPr="000A4C18">
        <w:rPr>
          <w:rFonts w:ascii="ITC Avant Garde" w:hAnsi="ITC Avant Garde"/>
        </w:rPr>
        <w:t>El 2 de diciembre de 2015, se public</w:t>
      </w:r>
      <w:r w:rsidR="005B6B4A">
        <w:rPr>
          <w:rFonts w:ascii="ITC Avant Garde" w:hAnsi="ITC Avant Garde"/>
        </w:rPr>
        <w:t>aron</w:t>
      </w:r>
      <w:r w:rsidRPr="000A4C18">
        <w:rPr>
          <w:rFonts w:ascii="ITC Avant Garde" w:hAnsi="ITC Avant Garde"/>
        </w:rPr>
        <w:t xml:space="preserve"> en el DOF los Lineamientos de </w:t>
      </w:r>
      <w:r w:rsidR="000D7E69" w:rsidRPr="000A4C18">
        <w:rPr>
          <w:rFonts w:ascii="ITC Avant Garde" w:hAnsi="ITC Avant Garde"/>
        </w:rPr>
        <w:t>Colaboración</w:t>
      </w:r>
      <w:r w:rsidRPr="000A4C18">
        <w:rPr>
          <w:rFonts w:ascii="ITC Avant Garde" w:hAnsi="ITC Avant Garde"/>
        </w:rPr>
        <w:t xml:space="preserve"> en Materia de Seguridad y Justicia, </w:t>
      </w:r>
      <w:r w:rsidR="008863AC">
        <w:rPr>
          <w:rFonts w:ascii="ITC Avant Garde" w:hAnsi="ITC Avant Garde"/>
        </w:rPr>
        <w:t xml:space="preserve">los cuales </w:t>
      </w:r>
      <w:r>
        <w:rPr>
          <w:rFonts w:ascii="ITC Avant Garde" w:hAnsi="ITC Avant Garde"/>
        </w:rPr>
        <w:t>establecen en el Capítulo</w:t>
      </w:r>
      <w:r w:rsidRPr="00E27321">
        <w:rPr>
          <w:rFonts w:ascii="ITC Avant Garde" w:hAnsi="ITC Avant Garde"/>
        </w:rPr>
        <w:t xml:space="preserve"> VII </w:t>
      </w:r>
      <w:r w:rsidR="008863AC">
        <w:rPr>
          <w:rFonts w:ascii="ITC Avant Garde" w:hAnsi="ITC Avant Garde"/>
        </w:rPr>
        <w:t>“</w:t>
      </w:r>
      <w:r w:rsidRPr="008863AC">
        <w:rPr>
          <w:rFonts w:ascii="ITC Avant Garde" w:hAnsi="ITC Avant Garde"/>
          <w:i/>
        </w:rPr>
        <w:t>De la suspensión del servicio de los dispositivos o equipos terminales móviles reportados como robados o extraviados</w:t>
      </w:r>
      <w:r w:rsidR="008863AC">
        <w:rPr>
          <w:rFonts w:ascii="ITC Avant Garde" w:hAnsi="ITC Avant Garde"/>
          <w:i/>
        </w:rPr>
        <w:t>”</w:t>
      </w:r>
      <w:r w:rsidRPr="00E27321">
        <w:rPr>
          <w:rFonts w:ascii="ITC Avant Garde" w:hAnsi="ITC Avant Garde"/>
        </w:rPr>
        <w:t xml:space="preserve">, diversas obligaciones a efecto de combatir el robo de dispositivos móviles relacionadas con la existencia de un </w:t>
      </w:r>
      <w:r w:rsidR="00AD55F3">
        <w:rPr>
          <w:rFonts w:ascii="ITC Avant Garde" w:hAnsi="ITC Avant Garde"/>
        </w:rPr>
        <w:t xml:space="preserve">Código de </w:t>
      </w:r>
      <w:r w:rsidRPr="00157902">
        <w:rPr>
          <w:rFonts w:ascii="ITC Avant Garde" w:hAnsi="ITC Avant Garde"/>
        </w:rPr>
        <w:t>Identi</w:t>
      </w:r>
      <w:r w:rsidR="00AD55F3">
        <w:rPr>
          <w:rFonts w:ascii="ITC Avant Garde" w:hAnsi="ITC Avant Garde"/>
        </w:rPr>
        <w:t xml:space="preserve">dad </w:t>
      </w:r>
      <w:r w:rsidRPr="00157902">
        <w:rPr>
          <w:rFonts w:ascii="ITC Avant Garde" w:hAnsi="ITC Avant Garde"/>
        </w:rPr>
        <w:t>del Equipo,</w:t>
      </w:r>
      <w:r w:rsidR="008863AC">
        <w:rPr>
          <w:rFonts w:ascii="ITC Avant Garde" w:hAnsi="ITC Avant Garde"/>
        </w:rPr>
        <w:t xml:space="preserve"> IMEI </w:t>
      </w:r>
      <w:r w:rsidR="007A638C" w:rsidRPr="00157902">
        <w:rPr>
          <w:rFonts w:ascii="ITC Avant Garde" w:hAnsi="ITC Avant Garde"/>
        </w:rPr>
        <w:t>(International Mobile Equipment Iden</w:t>
      </w:r>
      <w:r w:rsidR="007A638C">
        <w:rPr>
          <w:rFonts w:ascii="ITC Avant Garde" w:hAnsi="ITC Avant Garde"/>
        </w:rPr>
        <w:t xml:space="preserve">tity </w:t>
      </w:r>
      <w:r w:rsidR="008863AC">
        <w:rPr>
          <w:rFonts w:ascii="ITC Avant Garde" w:hAnsi="ITC Avant Garde"/>
        </w:rPr>
        <w:t>por sus siglas en inglés</w:t>
      </w:r>
      <w:r w:rsidR="007A638C">
        <w:rPr>
          <w:rFonts w:ascii="ITC Avant Garde" w:hAnsi="ITC Avant Garde"/>
        </w:rPr>
        <w:t>)</w:t>
      </w:r>
      <w:r>
        <w:rPr>
          <w:rFonts w:ascii="ITC Avant Garde" w:hAnsi="ITC Avant Garde"/>
        </w:rPr>
        <w:t xml:space="preserve"> en los equipos terminales </w:t>
      </w:r>
      <w:r w:rsidR="000D7E69">
        <w:rPr>
          <w:rFonts w:ascii="ITC Avant Garde" w:hAnsi="ITC Avant Garde"/>
        </w:rPr>
        <w:t>móviles</w:t>
      </w:r>
      <w:r>
        <w:rPr>
          <w:rFonts w:ascii="ITC Avant Garde" w:hAnsi="ITC Avant Garde"/>
        </w:rPr>
        <w:t>, entre las que destacan las contenidas en los lineamientos Vigésimo Tercero, Vigésimo Cuarto y Vigésimo Sexto.</w:t>
      </w:r>
    </w:p>
    <w:p w:rsidR="00BB30F9" w:rsidRPr="00E27321" w:rsidRDefault="00A40FD2" w:rsidP="00B550DE">
      <w:pPr>
        <w:pStyle w:val="Prrafodelista"/>
        <w:numPr>
          <w:ilvl w:val="0"/>
          <w:numId w:val="5"/>
        </w:numPr>
        <w:spacing w:line="360" w:lineRule="auto"/>
        <w:ind w:left="567" w:hanging="425"/>
        <w:contextualSpacing w:val="0"/>
        <w:jc w:val="both"/>
        <w:rPr>
          <w:rFonts w:ascii="ITC Avant Garde" w:hAnsi="ITC Avant Garde"/>
        </w:rPr>
      </w:pPr>
      <w:r>
        <w:rPr>
          <w:rFonts w:ascii="ITC Avant Garde" w:hAnsi="ITC Avant Garde"/>
        </w:rPr>
        <w:t>E</w:t>
      </w:r>
      <w:r w:rsidR="00BB30F9">
        <w:rPr>
          <w:rFonts w:ascii="ITC Avant Garde" w:hAnsi="ITC Avant Garde"/>
        </w:rPr>
        <w:t xml:space="preserve">n su XXII Sesión Ordinaria del 13 de julio de 2016, </w:t>
      </w:r>
      <w:r>
        <w:rPr>
          <w:rFonts w:ascii="ITC Avant Garde" w:hAnsi="ITC Avant Garde"/>
        </w:rPr>
        <w:t xml:space="preserve">el Pleno del Instituto aprobó </w:t>
      </w:r>
      <w:r w:rsidR="00BB30F9">
        <w:rPr>
          <w:rFonts w:ascii="ITC Avant Garde" w:hAnsi="ITC Avant Garde"/>
        </w:rPr>
        <w:t xml:space="preserve">someter a consulta pública el </w:t>
      </w:r>
      <w:r w:rsidR="00BB30F9" w:rsidRPr="00EA00AB">
        <w:rPr>
          <w:rFonts w:ascii="ITC Avant Garde" w:hAnsi="ITC Avant Garde"/>
        </w:rPr>
        <w:t>“ANTEPROYECTO DE DISPOSICIÓN TÉCNICA IFT-011-2016: ESPECIFICACIONES DE LOS EQUIPOS TERMINALES MÓVILES QUE PUEDEN HACER USO DEL ESPECTRO RADIOELÉCTRICO Y QUE PUEDEN SER CONECTADOS A REDES PÚBLICAS DE TELECOMUNICACIONES.</w:t>
      </w:r>
      <w:r w:rsidR="00BB30F9">
        <w:rPr>
          <w:rFonts w:ascii="ITC Avant Garde" w:hAnsi="ITC Avant Garde"/>
        </w:rPr>
        <w:t xml:space="preserve"> </w:t>
      </w:r>
      <w:r w:rsidR="00BB30F9" w:rsidRPr="00EA00AB">
        <w:rPr>
          <w:rFonts w:ascii="ITC Avant Garde" w:hAnsi="ITC Avant Garde"/>
        </w:rPr>
        <w:t>IDENTIFICADOR INTERNACIONAL DEL EQUIPO TERMINAL MÓVIL (IMEI) Y FUNCIONALIDAD DE RECEPTOR DE FRECUENCIA MODULADA (FM).”</w:t>
      </w:r>
      <w:r w:rsidR="00BB30F9">
        <w:rPr>
          <w:rFonts w:ascii="ITC Avant Garde" w:hAnsi="ITC Avant Garde"/>
        </w:rPr>
        <w:t>, durante un periodo de 20 días hábiles</w:t>
      </w:r>
      <w:r w:rsidR="009D5B2C">
        <w:rPr>
          <w:rFonts w:ascii="ITC Avant Garde" w:hAnsi="ITC Avant Garde"/>
        </w:rPr>
        <w:t>,</w:t>
      </w:r>
      <w:r w:rsidR="00BB30F9">
        <w:rPr>
          <w:rFonts w:ascii="ITC Avant Garde" w:hAnsi="ITC Avant Garde"/>
        </w:rPr>
        <w:t xml:space="preserve"> del </w:t>
      </w:r>
      <w:r w:rsidR="009D5B2C">
        <w:rPr>
          <w:rFonts w:ascii="ITC Avant Garde" w:hAnsi="ITC Avant Garde"/>
        </w:rPr>
        <w:t>15 de julio al 25 de agosto de 2016.</w:t>
      </w:r>
    </w:p>
    <w:p w:rsidR="00C35169" w:rsidRDefault="00C35169" w:rsidP="00B550DE">
      <w:pPr>
        <w:pStyle w:val="Default"/>
        <w:tabs>
          <w:tab w:val="left" w:pos="0"/>
        </w:tabs>
        <w:spacing w:after="160" w:line="360" w:lineRule="auto"/>
        <w:rPr>
          <w:rFonts w:ascii="ITC Avant Garde" w:hAnsi="ITC Avant Garde"/>
          <w:bCs/>
          <w:color w:val="auto"/>
          <w:sz w:val="22"/>
          <w:szCs w:val="22"/>
          <w:lang w:val="es-ES_tradnl"/>
        </w:rPr>
      </w:pPr>
      <w:r w:rsidRPr="00B47BD9">
        <w:rPr>
          <w:rFonts w:ascii="ITC Avant Garde" w:hAnsi="ITC Avant Garde"/>
          <w:bCs/>
          <w:color w:val="auto"/>
          <w:sz w:val="22"/>
          <w:szCs w:val="22"/>
          <w:lang w:val="es-ES_tradnl"/>
        </w:rPr>
        <w:t>Derivado de lo anterior y conforme a los siguientes:</w:t>
      </w:r>
    </w:p>
    <w:p w:rsidR="003A7FF4" w:rsidRDefault="003A7FF4" w:rsidP="00B550DE">
      <w:pPr>
        <w:pStyle w:val="Default"/>
        <w:tabs>
          <w:tab w:val="left" w:pos="0"/>
        </w:tabs>
        <w:spacing w:after="160" w:line="360" w:lineRule="auto"/>
        <w:rPr>
          <w:rFonts w:ascii="ITC Avant Garde" w:hAnsi="ITC Avant Garde"/>
          <w:bCs/>
          <w:color w:val="auto"/>
          <w:sz w:val="22"/>
          <w:szCs w:val="22"/>
          <w:lang w:val="es-ES_tradnl"/>
        </w:rPr>
      </w:pPr>
    </w:p>
    <w:p w:rsidR="003A7FF4" w:rsidRPr="00B47BD9" w:rsidRDefault="003A7FF4" w:rsidP="00B550DE">
      <w:pPr>
        <w:pStyle w:val="Default"/>
        <w:tabs>
          <w:tab w:val="left" w:pos="0"/>
        </w:tabs>
        <w:spacing w:after="160" w:line="360" w:lineRule="auto"/>
        <w:rPr>
          <w:rFonts w:ascii="ITC Avant Garde" w:hAnsi="ITC Avant Garde"/>
          <w:bCs/>
          <w:color w:val="auto"/>
          <w:sz w:val="22"/>
          <w:szCs w:val="22"/>
          <w:lang w:val="es-ES_tradnl"/>
        </w:rPr>
      </w:pPr>
    </w:p>
    <w:p w:rsidR="00C35169" w:rsidRDefault="00C35169" w:rsidP="00B550DE">
      <w:pPr>
        <w:pStyle w:val="Default"/>
        <w:tabs>
          <w:tab w:val="left" w:pos="0"/>
        </w:tabs>
        <w:spacing w:after="160" w:line="360" w:lineRule="auto"/>
        <w:jc w:val="center"/>
        <w:rPr>
          <w:rFonts w:ascii="ITC Avant Garde" w:hAnsi="ITC Avant Garde"/>
          <w:b/>
          <w:bCs/>
          <w:sz w:val="22"/>
          <w:szCs w:val="22"/>
          <w:lang w:val="es-ES_tradnl"/>
        </w:rPr>
      </w:pPr>
      <w:r w:rsidRPr="00501D3C">
        <w:rPr>
          <w:rFonts w:ascii="ITC Avant Garde" w:hAnsi="ITC Avant Garde"/>
          <w:b/>
          <w:bCs/>
          <w:sz w:val="22"/>
          <w:szCs w:val="22"/>
          <w:lang w:val="es-ES_tradnl"/>
        </w:rPr>
        <w:t>CONSIDERANDO</w:t>
      </w:r>
    </w:p>
    <w:p w:rsidR="003A7FF4" w:rsidRPr="00501D3C" w:rsidRDefault="003A7FF4" w:rsidP="00B550DE">
      <w:pPr>
        <w:pStyle w:val="Default"/>
        <w:tabs>
          <w:tab w:val="left" w:pos="0"/>
        </w:tabs>
        <w:spacing w:after="160" w:line="360" w:lineRule="auto"/>
        <w:jc w:val="center"/>
        <w:rPr>
          <w:rFonts w:ascii="ITC Avant Garde" w:hAnsi="ITC Avant Garde"/>
          <w:b/>
          <w:bCs/>
          <w:sz w:val="22"/>
          <w:szCs w:val="22"/>
          <w:lang w:val="es-ES_tradnl"/>
        </w:rPr>
      </w:pPr>
    </w:p>
    <w:p w:rsidR="00BC2189" w:rsidRDefault="00C35169" w:rsidP="00BC2189">
      <w:pPr>
        <w:spacing w:line="360" w:lineRule="auto"/>
        <w:jc w:val="both"/>
        <w:rPr>
          <w:rFonts w:ascii="ITC Avant Garde" w:hAnsi="ITC Avant Garde" w:cs="Arial"/>
        </w:rPr>
      </w:pPr>
      <w:r w:rsidRPr="001853A9">
        <w:rPr>
          <w:rFonts w:ascii="ITC Avant Garde" w:hAnsi="ITC Avant Garde"/>
          <w:b/>
        </w:rPr>
        <w:t>P</w:t>
      </w:r>
      <w:r>
        <w:rPr>
          <w:rFonts w:ascii="ITC Avant Garde" w:hAnsi="ITC Avant Garde"/>
          <w:b/>
        </w:rPr>
        <w:t>RIMERO</w:t>
      </w:r>
      <w:r w:rsidRPr="00501D3C">
        <w:rPr>
          <w:rFonts w:ascii="ITC Avant Garde" w:hAnsi="ITC Avant Garde"/>
          <w:b/>
        </w:rPr>
        <w:t>.</w:t>
      </w:r>
      <w:r w:rsidRPr="00501D3C">
        <w:rPr>
          <w:rFonts w:ascii="ITC Avant Garde" w:hAnsi="ITC Avant Garde"/>
        </w:rPr>
        <w:t xml:space="preserve"> </w:t>
      </w:r>
      <w:r w:rsidR="00BC2189" w:rsidRPr="00866405">
        <w:rPr>
          <w:rFonts w:ascii="ITC Avant Garde" w:hAnsi="ITC Avant Garde"/>
          <w:b/>
          <w:bCs/>
          <w:lang w:eastAsia="es-MX"/>
        </w:rPr>
        <w:t xml:space="preserve">Competencia del Instituto. </w:t>
      </w:r>
      <w:r w:rsidR="00BC2189" w:rsidRPr="001F34DB">
        <w:rPr>
          <w:rFonts w:ascii="ITC Avant Garde" w:hAnsi="ITC Avant Garde" w:cs="Arial"/>
        </w:rPr>
        <w:t xml:space="preserve">De conformidad con el artículo 28, párrafo décimo quinto de la Constitución Política de los Estados Unidos Mexicanos (en lo sucesivo, </w:t>
      </w:r>
      <w:r w:rsidR="00BC2189">
        <w:rPr>
          <w:rFonts w:ascii="ITC Avant Garde" w:hAnsi="ITC Avant Garde" w:cs="Arial"/>
        </w:rPr>
        <w:t xml:space="preserve">la </w:t>
      </w:r>
      <w:r w:rsidR="00BC2189" w:rsidRPr="001F34DB">
        <w:rPr>
          <w:rFonts w:ascii="ITC Avant Garde" w:hAnsi="ITC Avant Garde" w:cs="Arial"/>
        </w:rPr>
        <w:t xml:space="preserve">“Constitución”), el Instituto tiene por objeto el desarrollo eficiente de la radiodifusión y las </w:t>
      </w:r>
      <w:r w:rsidR="00BC2189" w:rsidRPr="001F34DB">
        <w:rPr>
          <w:rFonts w:ascii="ITC Avant Garde" w:hAnsi="ITC Avant Garde" w:cs="Arial"/>
        </w:rPr>
        <w:lastRenderedPageBreak/>
        <w:t>telecomunicaciones, conforme a lo dispuesto en la propia Constitución y en los términos que fijen las leyes.</w:t>
      </w:r>
    </w:p>
    <w:p w:rsidR="00BC2189" w:rsidRPr="001F34DB" w:rsidRDefault="00BC2189" w:rsidP="00BC2189">
      <w:pPr>
        <w:spacing w:line="360" w:lineRule="auto"/>
        <w:jc w:val="both"/>
        <w:rPr>
          <w:rFonts w:ascii="ITC Avant Garde" w:hAnsi="ITC Avant Garde" w:cs="Arial"/>
        </w:rPr>
      </w:pPr>
      <w:r w:rsidRPr="001F34DB">
        <w:rPr>
          <w:rFonts w:ascii="ITC Avant Garde" w:hAnsi="ITC Avant Garde" w:cs="Arial"/>
        </w:rPr>
        <w:t xml:space="preserve">Para tal efecto, en términos del precepto constitucional invocado así como de los artículos 1 y 7 de la </w:t>
      </w:r>
      <w:r w:rsidR="005B6B4A">
        <w:rPr>
          <w:rFonts w:ascii="ITC Avant Garde" w:hAnsi="ITC Avant Garde" w:cs="Arial"/>
        </w:rPr>
        <w:t>Ley Federal de Telecomunicaciones y Radiodifusión (en lo sucesivo, “</w:t>
      </w:r>
      <w:r>
        <w:rPr>
          <w:rFonts w:ascii="ITC Avant Garde" w:hAnsi="ITC Avant Garde" w:cs="Arial"/>
        </w:rPr>
        <w:t>LFTR</w:t>
      </w:r>
      <w:r w:rsidR="005B6B4A">
        <w:rPr>
          <w:rFonts w:ascii="ITC Avant Garde" w:hAnsi="ITC Avant Garde" w:cs="Arial"/>
        </w:rPr>
        <w:t>”)</w:t>
      </w:r>
      <w:r w:rsidRPr="001F34DB">
        <w:rPr>
          <w:rFonts w:ascii="ITC Avant Garde" w:hAnsi="ITC Avant Garde" w:cs="Arial"/>
        </w:rPr>
        <w:t>,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396A48" w:rsidRDefault="00396A48" w:rsidP="00396A48">
      <w:pPr>
        <w:spacing w:line="360" w:lineRule="auto"/>
        <w:jc w:val="both"/>
        <w:rPr>
          <w:rFonts w:ascii="ITC Avant Garde" w:hAnsi="ITC Avant Garde" w:cs="Arial"/>
        </w:rPr>
      </w:pPr>
      <w:r>
        <w:rPr>
          <w:rFonts w:ascii="ITC Avant Garde" w:hAnsi="ITC Avant Garde" w:cs="Arial"/>
        </w:rPr>
        <w:t xml:space="preserve">Por otra parte, el artículo 6° Constitucional, en su apartado B, fracción II, señala que la radiodifusión es un servicio público de interés general, </w:t>
      </w:r>
      <w:r w:rsidRPr="00D62000">
        <w:rPr>
          <w:rFonts w:ascii="ITC Avant Garde" w:hAnsi="ITC Avant Garde" w:cs="Arial"/>
        </w:rPr>
        <w:t>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rsidR="00BC2189" w:rsidRPr="001F34DB" w:rsidRDefault="00BC2189" w:rsidP="00396A48">
      <w:pPr>
        <w:spacing w:line="360" w:lineRule="auto"/>
        <w:jc w:val="both"/>
        <w:rPr>
          <w:rFonts w:ascii="ITC Avant Garde" w:hAnsi="ITC Avant Garde" w:cs="Arial"/>
        </w:rPr>
      </w:pPr>
      <w:r w:rsidRPr="001F34DB">
        <w:rPr>
          <w:rFonts w:ascii="ITC Avant Garde" w:hAnsi="ITC Avant Garde" w:cs="Arial"/>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rsidR="00BC2189" w:rsidRPr="001F34DB" w:rsidRDefault="00BC2189" w:rsidP="00BC2189">
      <w:pPr>
        <w:spacing w:line="360" w:lineRule="auto"/>
        <w:jc w:val="both"/>
        <w:rPr>
          <w:rFonts w:ascii="ITC Avant Garde" w:hAnsi="ITC Avant Garde" w:cs="Arial"/>
        </w:rPr>
      </w:pPr>
      <w:r w:rsidRPr="001F34DB">
        <w:rPr>
          <w:rFonts w:ascii="ITC Avant Garde" w:hAnsi="ITC Avant Garde" w:cs="Arial"/>
        </w:rPr>
        <w:t>El vigésimo párrafo, fracción IV del artículo 28 de la Constitución señala que el Instituto podrá emitir disposiciones administrativas de carácter general exclusivamente para el cumplimiento de su función regulatoria en el sector de su competencia. En ese orden</w:t>
      </w:r>
      <w:r>
        <w:rPr>
          <w:rFonts w:ascii="ITC Avant Garde" w:hAnsi="ITC Avant Garde" w:cs="Arial"/>
        </w:rPr>
        <w:t xml:space="preserve"> de ideas</w:t>
      </w:r>
      <w:r w:rsidRPr="001F34DB">
        <w:rPr>
          <w:rFonts w:ascii="ITC Avant Garde" w:hAnsi="ITC Avant Garde" w:cs="Arial"/>
        </w:rPr>
        <w:t>, el</w:t>
      </w:r>
      <w:r>
        <w:rPr>
          <w:rFonts w:ascii="ITC Avant Garde" w:hAnsi="ITC Avant Garde" w:cs="Arial"/>
        </w:rPr>
        <w:t xml:space="preserve"> párrafo segundo del artículo 7</w:t>
      </w:r>
      <w:r w:rsidRPr="001F34DB">
        <w:rPr>
          <w:rFonts w:ascii="ITC Avant Garde" w:hAnsi="ITC Avant Garde" w:cs="Arial"/>
        </w:rPr>
        <w:t xml:space="preserve"> de la LFTR prevé que el Instituto tiene a su cargo la regulación, promoción y supervisión del uso, aprovechamiento y explotación del espectro radioeléctrico, y el párrafo cuarto del mismo artículo prevé que el Instituto es autoridad en materia de lineamientos técnicos relativos a la infraestructura y los equipos </w:t>
      </w:r>
      <w:r w:rsidRPr="001F34DB">
        <w:rPr>
          <w:rFonts w:ascii="ITC Avant Garde" w:hAnsi="ITC Avant Garde" w:cs="Arial"/>
        </w:rPr>
        <w:lastRenderedPageBreak/>
        <w:t>que se conecten a las redes de telecomunicaciones, así como en materia de homologación y evaluación de la conformidad de dicha infraestructura y equipos.</w:t>
      </w:r>
    </w:p>
    <w:p w:rsidR="00BC2189" w:rsidRPr="001F34DB" w:rsidRDefault="00BC2189" w:rsidP="00BC2189">
      <w:pPr>
        <w:spacing w:line="360" w:lineRule="auto"/>
        <w:jc w:val="both"/>
        <w:rPr>
          <w:rFonts w:ascii="ITC Avant Garde" w:hAnsi="ITC Avant Garde" w:cs="Arial"/>
        </w:rPr>
      </w:pPr>
      <w:r>
        <w:rPr>
          <w:rFonts w:ascii="ITC Avant Garde" w:hAnsi="ITC Avant Garde" w:cs="Arial"/>
        </w:rPr>
        <w:t>E</w:t>
      </w:r>
      <w:r w:rsidRPr="001F34DB">
        <w:rPr>
          <w:rFonts w:ascii="ITC Avant Garde" w:hAnsi="ITC Avant Garde" w:cs="Arial"/>
        </w:rPr>
        <w:t>l artículo 15, fracci</w:t>
      </w:r>
      <w:r>
        <w:rPr>
          <w:rFonts w:ascii="ITC Avant Garde" w:hAnsi="ITC Avant Garde" w:cs="Arial"/>
        </w:rPr>
        <w:t>o</w:t>
      </w:r>
      <w:r w:rsidRPr="001F34DB">
        <w:rPr>
          <w:rFonts w:ascii="ITC Avant Garde" w:hAnsi="ITC Avant Garde" w:cs="Arial"/>
        </w:rPr>
        <w:t>ne</w:t>
      </w:r>
      <w:r>
        <w:rPr>
          <w:rFonts w:ascii="ITC Avant Garde" w:hAnsi="ITC Avant Garde" w:cs="Arial"/>
        </w:rPr>
        <w:t>s</w:t>
      </w:r>
      <w:r w:rsidRPr="001F34DB">
        <w:rPr>
          <w:rFonts w:ascii="ITC Avant Garde" w:hAnsi="ITC Avant Garde" w:cs="Arial"/>
        </w:rPr>
        <w:t xml:space="preserve"> I</w:t>
      </w:r>
      <w:r>
        <w:rPr>
          <w:rFonts w:ascii="ITC Avant Garde" w:hAnsi="ITC Avant Garde" w:cs="Arial"/>
        </w:rPr>
        <w:t xml:space="preserve"> y LVI</w:t>
      </w:r>
      <w:r w:rsidRPr="001F34DB">
        <w:rPr>
          <w:rFonts w:ascii="ITC Avant Garde" w:hAnsi="ITC Avant Garde" w:cs="Arial"/>
        </w:rPr>
        <w:t>,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rsidR="003B1D18" w:rsidRDefault="00BC2189" w:rsidP="00AA0B7D">
      <w:pPr>
        <w:spacing w:line="360" w:lineRule="auto"/>
        <w:jc w:val="both"/>
        <w:rPr>
          <w:rFonts w:ascii="ITC Avant Garde" w:hAnsi="ITC Avant Garde"/>
          <w:bCs/>
        </w:rPr>
      </w:pPr>
      <w:r w:rsidRPr="00903E17">
        <w:rPr>
          <w:rFonts w:ascii="ITC Avant Garde" w:hAnsi="ITC Avant Garde" w:cs="Arial"/>
        </w:rPr>
        <w:t>El artículo 289 de la LFTR establece que los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w:t>
      </w:r>
      <w:r>
        <w:rPr>
          <w:rFonts w:ascii="ITC Avant Garde" w:hAnsi="ITC Avant Garde" w:cs="Arial"/>
        </w:rPr>
        <w:t>bre Metrología y Normalización</w:t>
      </w:r>
      <w:r w:rsidR="002B6EDB">
        <w:rPr>
          <w:rFonts w:ascii="ITC Avant Garde" w:hAnsi="ITC Avant Garde" w:cs="Arial"/>
        </w:rPr>
        <w:t xml:space="preserve"> (en lo sucesivo la “</w:t>
      </w:r>
      <w:r w:rsidR="002B6EDB" w:rsidRPr="00137D65">
        <w:rPr>
          <w:rFonts w:ascii="ITC Avant Garde" w:hAnsi="ITC Avant Garde" w:cs="Arial"/>
        </w:rPr>
        <w:t>LFMN</w:t>
      </w:r>
      <w:r w:rsidR="002B6EDB">
        <w:rPr>
          <w:rFonts w:ascii="ITC Avant Garde" w:hAnsi="ITC Avant Garde" w:cs="Arial"/>
        </w:rPr>
        <w:t>”)</w:t>
      </w:r>
      <w:r w:rsidR="003B1D18">
        <w:rPr>
          <w:rFonts w:ascii="ITC Avant Garde" w:hAnsi="ITC Avant Garde" w:cs="Arial"/>
        </w:rPr>
        <w:t>.</w:t>
      </w:r>
    </w:p>
    <w:p w:rsidR="00C21FB1" w:rsidRDefault="00C21FB1" w:rsidP="00AA0B7D">
      <w:pPr>
        <w:spacing w:line="360" w:lineRule="auto"/>
        <w:jc w:val="both"/>
        <w:rPr>
          <w:rFonts w:ascii="ITC Avant Garde" w:hAnsi="ITC Avant Garde"/>
          <w:bCs/>
        </w:rPr>
      </w:pPr>
      <w:r>
        <w:rPr>
          <w:rFonts w:ascii="ITC Avant Garde" w:hAnsi="ITC Avant Garde"/>
          <w:bCs/>
        </w:rPr>
        <w:t>Esto es, e</w:t>
      </w:r>
      <w:r w:rsidRPr="00011B78">
        <w:rPr>
          <w:rFonts w:ascii="ITC Avant Garde" w:hAnsi="ITC Avant Garde"/>
          <w:bCs/>
        </w:rPr>
        <w:t xml:space="preserve">l Instituto es la autoridad en materia de lineamientos técnicos relativos a la infraestructura y </w:t>
      </w:r>
      <w:r>
        <w:rPr>
          <w:rFonts w:ascii="ITC Avant Garde" w:hAnsi="ITC Avant Garde"/>
          <w:bCs/>
        </w:rPr>
        <w:t>a los E</w:t>
      </w:r>
      <w:r w:rsidRPr="00A75281">
        <w:rPr>
          <w:rFonts w:ascii="ITC Avant Garde" w:hAnsi="ITC Avant Garde"/>
          <w:bCs/>
        </w:rPr>
        <w:t>quipos Terminales Móviles que hace</w:t>
      </w:r>
      <w:r w:rsidR="0006144E">
        <w:rPr>
          <w:rFonts w:ascii="ITC Avant Garde" w:hAnsi="ITC Avant Garde"/>
          <w:bCs/>
        </w:rPr>
        <w:t>n</w:t>
      </w:r>
      <w:r w:rsidRPr="00A75281">
        <w:rPr>
          <w:rFonts w:ascii="ITC Avant Garde" w:hAnsi="ITC Avant Garde"/>
          <w:bCs/>
        </w:rPr>
        <w:t xml:space="preserve"> uso del espectro radioeléctrico </w:t>
      </w:r>
      <w:r w:rsidR="001802CC">
        <w:rPr>
          <w:rFonts w:ascii="ITC Avant Garde" w:hAnsi="ITC Avant Garde"/>
          <w:bCs/>
        </w:rPr>
        <w:t>o</w:t>
      </w:r>
      <w:r w:rsidRPr="00A75281">
        <w:rPr>
          <w:rFonts w:ascii="ITC Avant Garde" w:hAnsi="ITC Avant Garde"/>
          <w:bCs/>
        </w:rPr>
        <w:t xml:space="preserve"> </w:t>
      </w:r>
      <w:r w:rsidR="0006144E">
        <w:rPr>
          <w:rFonts w:ascii="ITC Avant Garde" w:hAnsi="ITC Avant Garde"/>
          <w:bCs/>
        </w:rPr>
        <w:t xml:space="preserve">que </w:t>
      </w:r>
      <w:r w:rsidRPr="00A75281">
        <w:rPr>
          <w:rFonts w:ascii="ITC Avant Garde" w:hAnsi="ITC Avant Garde"/>
          <w:bCs/>
        </w:rPr>
        <w:t>se conecta</w:t>
      </w:r>
      <w:r w:rsidR="0006144E">
        <w:rPr>
          <w:rFonts w:ascii="ITC Avant Garde" w:hAnsi="ITC Avant Garde"/>
          <w:bCs/>
        </w:rPr>
        <w:t xml:space="preserve">n </w:t>
      </w:r>
      <w:r w:rsidRPr="00A75281">
        <w:rPr>
          <w:rFonts w:ascii="ITC Avant Garde" w:hAnsi="ITC Avant Garde"/>
          <w:bCs/>
        </w:rPr>
        <w:t>a redes de telecomunicaciones</w:t>
      </w:r>
      <w:r w:rsidRPr="00011B78">
        <w:rPr>
          <w:rFonts w:ascii="ITC Avant Garde" w:hAnsi="ITC Avant Garde"/>
          <w:bCs/>
        </w:rPr>
        <w:t xml:space="preserve">, así como en materia de homologación y evaluación de la conformidad de dicha infraestructura y </w:t>
      </w:r>
      <w:r>
        <w:rPr>
          <w:rFonts w:ascii="ITC Avant Garde" w:hAnsi="ITC Avant Garde"/>
          <w:bCs/>
        </w:rPr>
        <w:t xml:space="preserve">de los </w:t>
      </w:r>
      <w:r w:rsidRPr="00A75281">
        <w:rPr>
          <w:rFonts w:ascii="ITC Avant Garde" w:hAnsi="ITC Avant Garde"/>
          <w:bCs/>
        </w:rPr>
        <w:t>Equipos Terminales Móviles</w:t>
      </w:r>
      <w:r w:rsidRPr="00011B78">
        <w:rPr>
          <w:rFonts w:ascii="ITC Avant Garde" w:hAnsi="ITC Avant Garde"/>
          <w:bCs/>
        </w:rPr>
        <w:t>.</w:t>
      </w:r>
    </w:p>
    <w:p w:rsidR="00BC2189" w:rsidRDefault="00BC2189" w:rsidP="00BC2189">
      <w:pPr>
        <w:spacing w:line="360" w:lineRule="auto"/>
        <w:jc w:val="both"/>
        <w:rPr>
          <w:rFonts w:ascii="ITC Avant Garde" w:hAnsi="ITC Avant Garde" w:cs="Arial"/>
        </w:rPr>
      </w:pPr>
      <w:r>
        <w:rPr>
          <w:rFonts w:ascii="ITC Avant Garde" w:hAnsi="ITC Avant Garde" w:cs="Arial"/>
        </w:rPr>
        <w:t>Debido a lo anterior</w:t>
      </w:r>
      <w:r w:rsidRPr="00BC2189">
        <w:rPr>
          <w:rFonts w:ascii="ITC Avant Garde" w:hAnsi="ITC Avant Garde" w:cs="Arial"/>
        </w:rPr>
        <w:t>, el Instituto cuenta con facultades y atribuciones para emitir el presente Acuerdo y expedir la “DISPOSICIÓN TÉCNICA IFT-011-201</w:t>
      </w:r>
      <w:r w:rsidR="009814FF">
        <w:rPr>
          <w:rFonts w:ascii="ITC Avant Garde" w:hAnsi="ITC Avant Garde" w:cs="Arial"/>
        </w:rPr>
        <w:t>7</w:t>
      </w:r>
      <w:r w:rsidRPr="00BC2189">
        <w:rPr>
          <w:rFonts w:ascii="ITC Avant Garde" w:hAnsi="ITC Avant Garde" w:cs="Arial"/>
        </w:rPr>
        <w:t xml:space="preserve">: ESPECIFICACIONES DE LOS EQUIPOS TERMINALES MÓVILES QUE </w:t>
      </w:r>
      <w:r w:rsidR="00A5438C">
        <w:rPr>
          <w:rFonts w:ascii="ITC Avant Garde" w:hAnsi="ITC Avant Garde" w:cs="Arial"/>
        </w:rPr>
        <w:t xml:space="preserve">PUEDAN </w:t>
      </w:r>
      <w:r w:rsidRPr="00BC2189">
        <w:rPr>
          <w:rFonts w:ascii="ITC Avant Garde" w:hAnsi="ITC Avant Garde" w:cs="Arial"/>
        </w:rPr>
        <w:t>HACE</w:t>
      </w:r>
      <w:r w:rsidR="00A5438C">
        <w:rPr>
          <w:rFonts w:ascii="ITC Avant Garde" w:hAnsi="ITC Avant Garde" w:cs="Arial"/>
        </w:rPr>
        <w:t>R</w:t>
      </w:r>
      <w:r w:rsidRPr="00BC2189">
        <w:rPr>
          <w:rFonts w:ascii="ITC Avant Garde" w:hAnsi="ITC Avant Garde" w:cs="Arial"/>
        </w:rPr>
        <w:t xml:space="preserve"> USO DEL ESPECTRO RADIOELÉCTRICO </w:t>
      </w:r>
      <w:r w:rsidR="00A5438C">
        <w:rPr>
          <w:rFonts w:ascii="ITC Avant Garde" w:hAnsi="ITC Avant Garde" w:cs="Arial"/>
        </w:rPr>
        <w:t>O</w:t>
      </w:r>
      <w:r w:rsidR="0030316A">
        <w:rPr>
          <w:rFonts w:ascii="ITC Avant Garde" w:hAnsi="ITC Avant Garde" w:cs="Arial"/>
        </w:rPr>
        <w:t xml:space="preserve"> </w:t>
      </w:r>
      <w:r w:rsidR="00412BAD">
        <w:rPr>
          <w:rFonts w:ascii="ITC Avant Garde" w:hAnsi="ITC Avant Garde" w:cs="Arial"/>
        </w:rPr>
        <w:t xml:space="preserve"> </w:t>
      </w:r>
      <w:r w:rsidRPr="00BC2189">
        <w:rPr>
          <w:rFonts w:ascii="ITC Avant Garde" w:hAnsi="ITC Avant Garde" w:cs="Arial"/>
        </w:rPr>
        <w:t>SE</w:t>
      </w:r>
      <w:r w:rsidR="00A5438C">
        <w:rPr>
          <w:rFonts w:ascii="ITC Avant Garde" w:hAnsi="ITC Avant Garde" w:cs="Arial"/>
        </w:rPr>
        <w:t>R</w:t>
      </w:r>
      <w:r w:rsidRPr="00BC2189">
        <w:rPr>
          <w:rFonts w:ascii="ITC Avant Garde" w:hAnsi="ITC Avant Garde" w:cs="Arial"/>
        </w:rPr>
        <w:t xml:space="preserve"> CONECTA</w:t>
      </w:r>
      <w:r w:rsidR="00A5438C">
        <w:rPr>
          <w:rFonts w:ascii="ITC Avant Garde" w:hAnsi="ITC Avant Garde" w:cs="Arial"/>
        </w:rPr>
        <w:t>DOS</w:t>
      </w:r>
      <w:r w:rsidR="00412BAD">
        <w:rPr>
          <w:rFonts w:ascii="ITC Avant Garde" w:hAnsi="ITC Avant Garde" w:cs="Arial"/>
        </w:rPr>
        <w:t xml:space="preserve"> </w:t>
      </w:r>
      <w:r w:rsidRPr="00BC2189">
        <w:rPr>
          <w:rFonts w:ascii="ITC Avant Garde" w:hAnsi="ITC Avant Garde" w:cs="Arial"/>
        </w:rPr>
        <w:t>A REDES DE TELECOMUNICACIONES</w:t>
      </w:r>
      <w:r w:rsidR="00412BAD">
        <w:rPr>
          <w:rFonts w:ascii="ITC Avant Garde" w:hAnsi="ITC Avant Garde" w:cs="Arial"/>
        </w:rPr>
        <w:t>.</w:t>
      </w:r>
      <w:r w:rsidR="00A5438C">
        <w:rPr>
          <w:rFonts w:ascii="ITC Avant Garde" w:hAnsi="ITC Avant Garde" w:cs="Arial"/>
        </w:rPr>
        <w:t xml:space="preserve"> </w:t>
      </w:r>
      <w:r w:rsidR="00412BAD">
        <w:rPr>
          <w:rFonts w:ascii="ITC Avant Garde" w:hAnsi="ITC Avant Garde" w:cs="Arial"/>
        </w:rPr>
        <w:t xml:space="preserve">PARTE 1. </w:t>
      </w:r>
      <w:r w:rsidR="00A5438C">
        <w:rPr>
          <w:rFonts w:ascii="ITC Avant Garde" w:hAnsi="ITC Avant Garde" w:cs="Arial"/>
        </w:rPr>
        <w:t xml:space="preserve">CÓDIGO DE </w:t>
      </w:r>
      <w:r w:rsidRPr="00BC2189">
        <w:rPr>
          <w:rFonts w:ascii="ITC Avant Garde" w:hAnsi="ITC Avant Garde" w:cs="Arial"/>
        </w:rPr>
        <w:t>IDENTI</w:t>
      </w:r>
      <w:r w:rsidR="00A5438C">
        <w:rPr>
          <w:rFonts w:ascii="ITC Avant Garde" w:hAnsi="ITC Avant Garde" w:cs="Arial"/>
        </w:rPr>
        <w:t xml:space="preserve">DAD </w:t>
      </w:r>
      <w:r w:rsidRPr="00BC2189">
        <w:rPr>
          <w:rFonts w:ascii="ITC Avant Garde" w:hAnsi="ITC Avant Garde" w:cs="Arial"/>
        </w:rPr>
        <w:t>F</w:t>
      </w:r>
      <w:r w:rsidR="00A5438C">
        <w:rPr>
          <w:rFonts w:ascii="ITC Avant Garde" w:hAnsi="ITC Avant Garde" w:cs="Arial"/>
        </w:rPr>
        <w:t>ABRICACIÓN</w:t>
      </w:r>
      <w:r w:rsidRPr="00BC2189">
        <w:rPr>
          <w:rFonts w:ascii="ITC Avant Garde" w:hAnsi="ITC Avant Garde" w:cs="Arial"/>
        </w:rPr>
        <w:t xml:space="preserve"> DEL EQUIPO (IMEI) Y FUNCIONALIDAD DE RECEPTOR DE </w:t>
      </w:r>
      <w:r w:rsidR="003B1D18">
        <w:rPr>
          <w:rFonts w:ascii="ITC Avant Garde" w:hAnsi="ITC Avant Garde" w:cs="Arial"/>
        </w:rPr>
        <w:t xml:space="preserve">RADIODIFUSIÓN SONORA EN </w:t>
      </w:r>
      <w:r w:rsidRPr="00BC2189">
        <w:rPr>
          <w:rFonts w:ascii="ITC Avant Garde" w:hAnsi="ITC Avant Garde" w:cs="Arial"/>
        </w:rPr>
        <w:t>FRECUENCIA MODULADA (FM)”, conforme las atribuciones conferidas en los artículos 15 fracción I, LVI, 51,</w:t>
      </w:r>
      <w:r w:rsidR="005B6B4A">
        <w:rPr>
          <w:rFonts w:ascii="ITC Avant Garde" w:hAnsi="ITC Avant Garde" w:cs="Arial"/>
        </w:rPr>
        <w:t xml:space="preserve"> </w:t>
      </w:r>
      <w:r w:rsidRPr="00BC2189">
        <w:rPr>
          <w:rFonts w:ascii="ITC Avant Garde" w:hAnsi="ITC Avant Garde" w:cs="Arial"/>
        </w:rPr>
        <w:t xml:space="preserve">52, 190 fracción V, 289, y 291 de la LFTR y </w:t>
      </w:r>
      <w:r w:rsidR="00357623">
        <w:rPr>
          <w:rFonts w:ascii="ITC Avant Garde" w:hAnsi="ITC Avant Garde" w:cs="Arial"/>
        </w:rPr>
        <w:t>6</w:t>
      </w:r>
      <w:r w:rsidR="00357623" w:rsidRPr="00BC2189">
        <w:rPr>
          <w:rFonts w:ascii="ITC Avant Garde" w:hAnsi="ITC Avant Garde" w:cs="Arial"/>
        </w:rPr>
        <w:t xml:space="preserve"> </w:t>
      </w:r>
      <w:r w:rsidR="00357623">
        <w:rPr>
          <w:rFonts w:ascii="ITC Avant Garde" w:hAnsi="ITC Avant Garde" w:cs="Arial"/>
        </w:rPr>
        <w:t>fracción I</w:t>
      </w:r>
      <w:r w:rsidRPr="00BC2189">
        <w:rPr>
          <w:rFonts w:ascii="ITC Avant Garde" w:hAnsi="ITC Avant Garde" w:cs="Arial"/>
        </w:rPr>
        <w:t xml:space="preserve"> del Estatuto Orgánico del Instituto</w:t>
      </w:r>
      <w:r w:rsidR="00357623">
        <w:rPr>
          <w:rFonts w:ascii="ITC Avant Garde" w:hAnsi="ITC Avant Garde" w:cs="Arial"/>
        </w:rPr>
        <w:t xml:space="preserve"> Federal de Telecomunicaciones</w:t>
      </w:r>
      <w:r w:rsidRPr="00BC2189">
        <w:rPr>
          <w:rFonts w:ascii="ITC Avant Garde" w:hAnsi="ITC Avant Garde" w:cs="Arial"/>
        </w:rPr>
        <w:t>.</w:t>
      </w:r>
    </w:p>
    <w:p w:rsidR="003A52E3" w:rsidRPr="001E4A73" w:rsidRDefault="00C35169" w:rsidP="00B60E1D">
      <w:pPr>
        <w:pStyle w:val="Default"/>
        <w:tabs>
          <w:tab w:val="left" w:pos="0"/>
        </w:tabs>
        <w:spacing w:after="160" w:line="360" w:lineRule="auto"/>
        <w:jc w:val="both"/>
        <w:rPr>
          <w:rFonts w:ascii="ITC Avant Garde" w:hAnsi="ITC Avant Garde" w:cs="Arial"/>
          <w:sz w:val="22"/>
          <w:szCs w:val="22"/>
        </w:rPr>
      </w:pPr>
      <w:r w:rsidRPr="00800684">
        <w:rPr>
          <w:rFonts w:ascii="ITC Avant Garde" w:hAnsi="ITC Avant Garde"/>
          <w:b/>
          <w:bCs/>
          <w:sz w:val="22"/>
          <w:szCs w:val="22"/>
        </w:rPr>
        <w:lastRenderedPageBreak/>
        <w:t xml:space="preserve">SEGUNDO. </w:t>
      </w:r>
      <w:r w:rsidR="005B6568" w:rsidRPr="00800684">
        <w:rPr>
          <w:rFonts w:ascii="ITC Avant Garde" w:hAnsi="ITC Avant Garde"/>
          <w:b/>
          <w:bCs/>
          <w:sz w:val="22"/>
          <w:szCs w:val="22"/>
        </w:rPr>
        <w:t>Del no bloqueo a la</w:t>
      </w:r>
      <w:r w:rsidR="003A52E3" w:rsidRPr="00800684">
        <w:rPr>
          <w:rFonts w:ascii="ITC Avant Garde" w:hAnsi="ITC Avant Garde"/>
          <w:b/>
          <w:bCs/>
          <w:sz w:val="22"/>
          <w:szCs w:val="22"/>
        </w:rPr>
        <w:t xml:space="preserve"> </w:t>
      </w:r>
      <w:r w:rsidR="003A52E3" w:rsidRPr="001E4A73">
        <w:rPr>
          <w:rFonts w:ascii="ITC Avant Garde" w:hAnsi="ITC Avant Garde" w:cs="Arial"/>
          <w:b/>
          <w:sz w:val="22"/>
          <w:szCs w:val="22"/>
        </w:rPr>
        <w:t xml:space="preserve">funcionalidad de receptor de </w:t>
      </w:r>
      <w:r w:rsidR="00922831">
        <w:rPr>
          <w:rFonts w:ascii="ITC Avant Garde" w:hAnsi="ITC Avant Garde" w:cs="Arial"/>
          <w:b/>
          <w:sz w:val="22"/>
          <w:szCs w:val="22"/>
        </w:rPr>
        <w:t xml:space="preserve">radiodifusión sonora en </w:t>
      </w:r>
      <w:r w:rsidR="00723D70">
        <w:rPr>
          <w:rFonts w:ascii="ITC Avant Garde" w:hAnsi="ITC Avant Garde" w:cs="Arial"/>
          <w:b/>
          <w:sz w:val="22"/>
          <w:szCs w:val="22"/>
        </w:rPr>
        <w:t>F</w:t>
      </w:r>
      <w:r w:rsidR="003A52E3" w:rsidRPr="001E4A73">
        <w:rPr>
          <w:rFonts w:ascii="ITC Avant Garde" w:hAnsi="ITC Avant Garde" w:cs="Arial"/>
          <w:b/>
          <w:sz w:val="22"/>
          <w:szCs w:val="22"/>
        </w:rPr>
        <w:t xml:space="preserve">recuencia </w:t>
      </w:r>
      <w:r w:rsidR="00723D70">
        <w:rPr>
          <w:rFonts w:ascii="ITC Avant Garde" w:hAnsi="ITC Avant Garde" w:cs="Arial"/>
          <w:b/>
          <w:sz w:val="22"/>
          <w:szCs w:val="22"/>
        </w:rPr>
        <w:t>M</w:t>
      </w:r>
      <w:r w:rsidR="003A52E3" w:rsidRPr="001E4A73">
        <w:rPr>
          <w:rFonts w:ascii="ITC Avant Garde" w:hAnsi="ITC Avant Garde" w:cs="Arial"/>
          <w:b/>
          <w:sz w:val="22"/>
          <w:szCs w:val="22"/>
        </w:rPr>
        <w:t>odulada</w:t>
      </w:r>
      <w:r w:rsidR="005B6568" w:rsidRPr="001E4A73">
        <w:rPr>
          <w:rFonts w:ascii="ITC Avant Garde" w:hAnsi="ITC Avant Garde" w:cs="Arial"/>
          <w:b/>
          <w:sz w:val="22"/>
          <w:szCs w:val="22"/>
        </w:rPr>
        <w:t xml:space="preserve">. </w:t>
      </w:r>
      <w:r w:rsidR="004A01E5" w:rsidRPr="001E4A73">
        <w:rPr>
          <w:rFonts w:ascii="ITC Avant Garde" w:hAnsi="ITC Avant Garde" w:cs="Arial"/>
          <w:sz w:val="22"/>
          <w:szCs w:val="22"/>
        </w:rPr>
        <w:t>El 26 de enero de 2016,</w:t>
      </w:r>
      <w:r w:rsidR="004A01E5" w:rsidRPr="001E4A73">
        <w:rPr>
          <w:rFonts w:ascii="ITC Avant Garde" w:hAnsi="ITC Avant Garde" w:cs="Arial"/>
          <w:b/>
          <w:sz w:val="22"/>
          <w:szCs w:val="22"/>
        </w:rPr>
        <w:t xml:space="preserve"> </w:t>
      </w:r>
      <w:r w:rsidR="004A01E5" w:rsidRPr="001E4A73">
        <w:rPr>
          <w:rFonts w:ascii="ITC Avant Garde" w:hAnsi="ITC Avant Garde" w:cs="Arial"/>
          <w:sz w:val="22"/>
          <w:szCs w:val="22"/>
        </w:rPr>
        <w:t>la Cámara Nacional de la Industria de la Radio y Televisión (CIRT) mediante su representante legal, hizo llegar a la Unidad de Política Regulatoria del Instituto un escrito en el cual manifest</w:t>
      </w:r>
      <w:r w:rsidR="00800684" w:rsidRPr="001E4A73">
        <w:rPr>
          <w:rFonts w:ascii="ITC Avant Garde" w:hAnsi="ITC Avant Garde" w:cs="Arial"/>
          <w:sz w:val="22"/>
          <w:szCs w:val="22"/>
        </w:rPr>
        <w:t>ó</w:t>
      </w:r>
      <w:r w:rsidR="004A01E5" w:rsidRPr="001E4A73">
        <w:rPr>
          <w:rFonts w:ascii="ITC Avant Garde" w:hAnsi="ITC Avant Garde" w:cs="Arial"/>
          <w:sz w:val="22"/>
          <w:szCs w:val="22"/>
        </w:rPr>
        <w:t xml:space="preserve"> que:</w:t>
      </w:r>
    </w:p>
    <w:p w:rsidR="004A01E5" w:rsidRPr="001E4A73" w:rsidRDefault="004A01E5" w:rsidP="00B60E1D">
      <w:pPr>
        <w:pStyle w:val="Default"/>
        <w:tabs>
          <w:tab w:val="left" w:pos="0"/>
        </w:tabs>
        <w:spacing w:after="160" w:line="360" w:lineRule="auto"/>
        <w:ind w:left="708"/>
        <w:jc w:val="both"/>
        <w:rPr>
          <w:rFonts w:ascii="ITC Avant Garde" w:hAnsi="ITC Avant Garde" w:cs="Arial"/>
          <w:i/>
          <w:sz w:val="20"/>
          <w:szCs w:val="20"/>
        </w:rPr>
      </w:pPr>
      <w:r w:rsidRPr="001E4A73">
        <w:rPr>
          <w:rFonts w:ascii="ITC Avant Garde" w:hAnsi="ITC Avant Garde" w:cs="Arial"/>
          <w:sz w:val="20"/>
          <w:szCs w:val="20"/>
        </w:rPr>
        <w:t>“</w:t>
      </w:r>
      <w:r w:rsidRPr="001E4A73">
        <w:rPr>
          <w:rFonts w:ascii="ITC Avant Garde" w:hAnsi="ITC Avant Garde" w:cs="Arial"/>
          <w:i/>
          <w:sz w:val="20"/>
          <w:szCs w:val="20"/>
        </w:rPr>
        <w:t>La mayoría de los teléfonos inteligentes (smartphones) cuentan con un receptor interno de radiodifusión en Frecuencia Modulada (FM) construido e integrado desde fábrica. Para poder reproducir dicha señal, este receptor debe de ser activado por las empresas fabricantes de teléfonos móviles. Al ser activado, pueden recibir directamente del aire, las señales de las emisoras de FM.</w:t>
      </w:r>
    </w:p>
    <w:p w:rsidR="004A01E5" w:rsidRPr="001E4A73" w:rsidRDefault="004A01E5" w:rsidP="00B60E1D">
      <w:pPr>
        <w:pStyle w:val="Default"/>
        <w:tabs>
          <w:tab w:val="left" w:pos="0"/>
        </w:tabs>
        <w:spacing w:after="160" w:line="360" w:lineRule="auto"/>
        <w:ind w:left="708"/>
        <w:jc w:val="both"/>
        <w:rPr>
          <w:rFonts w:ascii="ITC Avant Garde" w:hAnsi="ITC Avant Garde"/>
          <w:bCs/>
          <w:i/>
          <w:sz w:val="20"/>
          <w:szCs w:val="20"/>
        </w:rPr>
      </w:pPr>
      <w:r w:rsidRPr="001E4A73">
        <w:rPr>
          <w:rFonts w:ascii="ITC Avant Garde" w:hAnsi="ITC Avant Garde" w:cs="Arial"/>
          <w:i/>
          <w:sz w:val="20"/>
          <w:szCs w:val="20"/>
        </w:rPr>
        <w:t xml:space="preserve">Actualmente en el mercado existen pocos smartphones </w:t>
      </w:r>
      <w:r w:rsidR="005634F2" w:rsidRPr="001E4A73">
        <w:rPr>
          <w:rFonts w:ascii="ITC Avant Garde" w:hAnsi="ITC Avant Garde" w:cs="Arial"/>
          <w:i/>
          <w:sz w:val="20"/>
          <w:szCs w:val="20"/>
        </w:rPr>
        <w:t xml:space="preserve">que tienen el chip de FM activado. Algunos analistas de telecomunicaciones creen que esto se debe a que las compañías de telefonía móvil reciben importantes cantidades de dinero del consumo de datos via streaming. Estos datos se ocupan principalmente a contenidos musicales o noticiosos, por lo que se genera una competencia con este medio. Por lo tanto, las compañías pueden perder ingresos si los </w:t>
      </w:r>
      <w:r w:rsidR="00E809E2" w:rsidRPr="00876FF8">
        <w:rPr>
          <w:rFonts w:ascii="ITC Avant Garde" w:hAnsi="ITC Avant Garde" w:cs="Arial"/>
          <w:i/>
          <w:sz w:val="20"/>
          <w:szCs w:val="20"/>
        </w:rPr>
        <w:t>usuarios</w:t>
      </w:r>
      <w:r w:rsidR="005634F2" w:rsidRPr="001E4A73">
        <w:rPr>
          <w:rFonts w:ascii="ITC Avant Garde" w:hAnsi="ITC Avant Garde" w:cs="Arial"/>
          <w:i/>
          <w:sz w:val="20"/>
          <w:szCs w:val="20"/>
        </w:rPr>
        <w:t xml:space="preserve"> tienen la posibilidad de tener acceso gratuito a la radio en sus dispositivos móviles…”</w:t>
      </w:r>
      <w:r w:rsidR="00822DD2">
        <w:rPr>
          <w:rFonts w:ascii="ITC Avant Garde" w:hAnsi="ITC Avant Garde" w:cs="Arial"/>
          <w:i/>
          <w:sz w:val="20"/>
          <w:szCs w:val="20"/>
        </w:rPr>
        <w:t>.</w:t>
      </w:r>
    </w:p>
    <w:p w:rsidR="003A52E3" w:rsidRDefault="006A5A27" w:rsidP="00B60E1D">
      <w:pPr>
        <w:pStyle w:val="Default"/>
        <w:tabs>
          <w:tab w:val="left" w:pos="0"/>
        </w:tabs>
        <w:spacing w:after="160" w:line="360" w:lineRule="auto"/>
        <w:jc w:val="both"/>
        <w:rPr>
          <w:rFonts w:ascii="ITC Avant Garde" w:hAnsi="ITC Avant Garde"/>
          <w:bCs/>
          <w:sz w:val="22"/>
          <w:szCs w:val="22"/>
        </w:rPr>
      </w:pPr>
      <w:r>
        <w:rPr>
          <w:rFonts w:ascii="ITC Avant Garde" w:hAnsi="ITC Avant Garde"/>
          <w:bCs/>
          <w:sz w:val="22"/>
          <w:szCs w:val="22"/>
        </w:rPr>
        <w:t xml:space="preserve">El escrito de mérito resalta que en casos de emergencia o desastre, cuando las redes del servicio móvil pudieran dejar de funcionar, los teléfonos inteligentes serían capaces de recibir alertas relativas a estas situaciones manteniendo a la población informada. </w:t>
      </w:r>
      <w:r w:rsidR="005634F2">
        <w:rPr>
          <w:rFonts w:ascii="ITC Avant Garde" w:hAnsi="ITC Avant Garde"/>
          <w:bCs/>
          <w:sz w:val="22"/>
          <w:szCs w:val="22"/>
        </w:rPr>
        <w:t>Asimismo</w:t>
      </w:r>
      <w:r w:rsidR="005634F2" w:rsidRPr="005634F2">
        <w:rPr>
          <w:rFonts w:ascii="ITC Avant Garde" w:hAnsi="ITC Avant Garde"/>
          <w:bCs/>
          <w:sz w:val="22"/>
          <w:szCs w:val="22"/>
        </w:rPr>
        <w:t>, se solicita incluir en el plan de trabajo de la Unidad “</w:t>
      </w:r>
      <w:r w:rsidR="005634F2" w:rsidRPr="005634F2">
        <w:rPr>
          <w:rFonts w:ascii="ITC Avant Garde" w:hAnsi="ITC Avant Garde"/>
          <w:bCs/>
          <w:i/>
          <w:sz w:val="22"/>
          <w:szCs w:val="22"/>
        </w:rPr>
        <w:t>el tema relacionado a la activación de sintonizador de FM en los teléfonos inteligentes</w:t>
      </w:r>
      <w:r w:rsidR="005634F2" w:rsidRPr="005634F2">
        <w:rPr>
          <w:rFonts w:ascii="ITC Avant Garde" w:hAnsi="ITC Avant Garde"/>
          <w:bCs/>
          <w:sz w:val="22"/>
          <w:szCs w:val="22"/>
        </w:rPr>
        <w:t xml:space="preserve">;”. </w:t>
      </w:r>
    </w:p>
    <w:p w:rsidR="006A5A27" w:rsidRDefault="00E82C6A" w:rsidP="00B60E1D">
      <w:pPr>
        <w:pStyle w:val="Default"/>
        <w:tabs>
          <w:tab w:val="left" w:pos="0"/>
        </w:tabs>
        <w:spacing w:after="160" w:line="360" w:lineRule="auto"/>
        <w:jc w:val="both"/>
        <w:rPr>
          <w:rFonts w:ascii="ITC Avant Garde" w:hAnsi="ITC Avant Garde"/>
          <w:bCs/>
          <w:sz w:val="22"/>
          <w:szCs w:val="22"/>
        </w:rPr>
      </w:pPr>
      <w:r>
        <w:rPr>
          <w:rFonts w:ascii="ITC Avant Garde" w:hAnsi="ITC Avant Garde"/>
          <w:bCs/>
          <w:sz w:val="22"/>
          <w:szCs w:val="22"/>
        </w:rPr>
        <w:t xml:space="preserve">En este </w:t>
      </w:r>
      <w:r w:rsidR="00F04DE6">
        <w:rPr>
          <w:rFonts w:ascii="ITC Avant Garde" w:hAnsi="ITC Avant Garde"/>
          <w:bCs/>
          <w:sz w:val="22"/>
          <w:szCs w:val="22"/>
        </w:rPr>
        <w:t xml:space="preserve">mismo </w:t>
      </w:r>
      <w:r>
        <w:rPr>
          <w:rFonts w:ascii="ITC Avant Garde" w:hAnsi="ITC Avant Garde"/>
          <w:bCs/>
          <w:sz w:val="22"/>
          <w:szCs w:val="22"/>
        </w:rPr>
        <w:t>tenor</w:t>
      </w:r>
      <w:r w:rsidR="006A5A27">
        <w:rPr>
          <w:rFonts w:ascii="ITC Avant Garde" w:hAnsi="ITC Avant Garde"/>
          <w:bCs/>
          <w:sz w:val="22"/>
          <w:szCs w:val="22"/>
        </w:rPr>
        <w:t xml:space="preserve">, en septiembre de 2016, el Grupo de Trabajo </w:t>
      </w:r>
      <w:r w:rsidRPr="00E82C6A">
        <w:rPr>
          <w:rFonts w:ascii="ITC Avant Garde" w:hAnsi="ITC Avant Garde"/>
          <w:bCs/>
          <w:sz w:val="22"/>
          <w:szCs w:val="22"/>
        </w:rPr>
        <w:t>Emergency Alerting Platforms</w:t>
      </w:r>
      <w:r w:rsidR="00876FF8">
        <w:rPr>
          <w:rFonts w:ascii="ITC Avant Garde" w:hAnsi="ITC Avant Garde"/>
          <w:bCs/>
          <w:sz w:val="22"/>
          <w:szCs w:val="22"/>
        </w:rPr>
        <w:t>, en el cual</w:t>
      </w:r>
      <w:r w:rsidR="00800684">
        <w:rPr>
          <w:rFonts w:ascii="ITC Avant Garde" w:hAnsi="ITC Avant Garde"/>
          <w:bCs/>
          <w:sz w:val="22"/>
          <w:szCs w:val="22"/>
        </w:rPr>
        <w:t xml:space="preserve"> </w:t>
      </w:r>
      <w:r w:rsidR="00876FF8">
        <w:rPr>
          <w:rFonts w:ascii="ITC Avant Garde" w:hAnsi="ITC Avant Garde"/>
          <w:bCs/>
          <w:sz w:val="22"/>
          <w:szCs w:val="22"/>
        </w:rPr>
        <w:t>participa</w:t>
      </w:r>
      <w:r>
        <w:rPr>
          <w:rFonts w:ascii="ITC Avant Garde" w:hAnsi="ITC Avant Garde"/>
          <w:bCs/>
          <w:sz w:val="22"/>
          <w:szCs w:val="22"/>
        </w:rPr>
        <w:t xml:space="preserve"> la Comisión Federal de Comunicaciones (FCC, por sus siglas en inglés) emitió el reporte y recomendaciones “Social Media &amp; Complementary Alerting Methods – Recommended Strategies &amp; Best Practices”</w:t>
      </w:r>
      <w:r>
        <w:rPr>
          <w:rStyle w:val="Refdenotaalpie"/>
          <w:rFonts w:ascii="ITC Avant Garde" w:hAnsi="ITC Avant Garde"/>
          <w:bCs/>
          <w:sz w:val="22"/>
          <w:szCs w:val="22"/>
        </w:rPr>
        <w:footnoteReference w:id="1"/>
      </w:r>
      <w:r>
        <w:rPr>
          <w:rFonts w:ascii="ITC Avant Garde" w:hAnsi="ITC Avant Garde"/>
          <w:bCs/>
          <w:sz w:val="22"/>
          <w:szCs w:val="22"/>
        </w:rPr>
        <w:t xml:space="preserve"> donde </w:t>
      </w:r>
      <w:r w:rsidR="00B66BE5">
        <w:rPr>
          <w:rFonts w:ascii="ITC Avant Garde" w:hAnsi="ITC Avant Garde"/>
          <w:bCs/>
          <w:sz w:val="22"/>
          <w:szCs w:val="22"/>
        </w:rPr>
        <w:t xml:space="preserve">se recomienda que la FCC promueva los actuales esfuerzos voluntarios entre los fabricantes de dispositivos móviles </w:t>
      </w:r>
      <w:r w:rsidR="00800684">
        <w:rPr>
          <w:rFonts w:ascii="ITC Avant Garde" w:hAnsi="ITC Avant Garde"/>
          <w:bCs/>
          <w:sz w:val="22"/>
          <w:szCs w:val="22"/>
        </w:rPr>
        <w:t xml:space="preserve">y </w:t>
      </w:r>
      <w:r w:rsidR="00B66BE5">
        <w:rPr>
          <w:rFonts w:ascii="ITC Avant Garde" w:hAnsi="ITC Avant Garde"/>
          <w:bCs/>
          <w:sz w:val="22"/>
          <w:szCs w:val="22"/>
        </w:rPr>
        <w:t xml:space="preserve">la industria de las comunicaciones inalámbricas tendientes a </w:t>
      </w:r>
      <w:r w:rsidR="00B66BE5">
        <w:rPr>
          <w:rFonts w:ascii="ITC Avant Garde" w:hAnsi="ITC Avant Garde"/>
          <w:bCs/>
          <w:sz w:val="22"/>
          <w:szCs w:val="22"/>
        </w:rPr>
        <w:lastRenderedPageBreak/>
        <w:t>habilitar radio FM en tanto sea comercialmente viable para todas las partes.</w:t>
      </w:r>
      <w:r w:rsidR="003A568C">
        <w:rPr>
          <w:rFonts w:ascii="ITC Avant Garde" w:hAnsi="ITC Avant Garde"/>
          <w:bCs/>
          <w:sz w:val="22"/>
          <w:szCs w:val="22"/>
        </w:rPr>
        <w:t xml:space="preserve"> Lo anterior permitiría a los usuarios recibir alertas de emergencia radiodifundidas aun cuando las redes del servicio móvil no se encuentren </w:t>
      </w:r>
      <w:r w:rsidR="007C272A">
        <w:rPr>
          <w:rFonts w:ascii="ITC Avant Garde" w:hAnsi="ITC Avant Garde"/>
          <w:bCs/>
          <w:sz w:val="22"/>
          <w:szCs w:val="22"/>
        </w:rPr>
        <w:t>funcionando.</w:t>
      </w:r>
    </w:p>
    <w:p w:rsidR="005B368A" w:rsidRDefault="005B368A" w:rsidP="00B60E1D">
      <w:pPr>
        <w:autoSpaceDE w:val="0"/>
        <w:autoSpaceDN w:val="0"/>
        <w:adjustRightInd w:val="0"/>
        <w:spacing w:line="360" w:lineRule="auto"/>
        <w:jc w:val="both"/>
        <w:rPr>
          <w:rFonts w:ascii="ITC Avant Garde" w:hAnsi="ITC Avant Garde" w:cs="Arial"/>
        </w:rPr>
      </w:pPr>
      <w:r>
        <w:rPr>
          <w:rFonts w:ascii="ITC Avant Garde" w:hAnsi="ITC Avant Garde" w:cs="Arial"/>
        </w:rPr>
        <w:t xml:space="preserve">Por lo que el Instituto al establecer en la Disposición Técnica IFT-011-2017 que, en </w:t>
      </w:r>
      <w:r w:rsidRPr="00055496">
        <w:rPr>
          <w:rFonts w:ascii="ITC Avant Garde" w:hAnsi="ITC Avant Garde" w:cs="Arial"/>
        </w:rPr>
        <w:t xml:space="preserve">caso de que los </w:t>
      </w:r>
      <w:r>
        <w:rPr>
          <w:rFonts w:ascii="ITC Avant Garde" w:hAnsi="ITC Avant Garde" w:cs="Arial"/>
        </w:rPr>
        <w:t>Equipos Terminales Móviles</w:t>
      </w:r>
      <w:r w:rsidRPr="00055496">
        <w:rPr>
          <w:rFonts w:ascii="ITC Avant Garde" w:hAnsi="ITC Avant Garde" w:cs="Arial"/>
        </w:rPr>
        <w:t xml:space="preserve"> cuenten con la funcionalidad de receptor de radio</w:t>
      </w:r>
      <w:r>
        <w:rPr>
          <w:rFonts w:ascii="ITC Avant Garde" w:hAnsi="ITC Avant Garde" w:cs="Arial"/>
        </w:rPr>
        <w:t>difusión</w:t>
      </w:r>
      <w:r w:rsidRPr="00055496">
        <w:rPr>
          <w:rFonts w:ascii="ITC Avant Garde" w:hAnsi="ITC Avant Garde" w:cs="Arial"/>
        </w:rPr>
        <w:t xml:space="preserve"> </w:t>
      </w:r>
      <w:r>
        <w:rPr>
          <w:rFonts w:ascii="ITC Avant Garde" w:hAnsi="ITC Avant Garde" w:cs="Arial"/>
        </w:rPr>
        <w:t xml:space="preserve">sonora </w:t>
      </w:r>
      <w:r w:rsidRPr="00055496">
        <w:rPr>
          <w:rFonts w:ascii="ITC Avant Garde" w:hAnsi="ITC Avant Garde" w:cs="Arial"/>
        </w:rPr>
        <w:t>en Frecuencia Modulada (FM) desde su fabricación, ésta debe</w:t>
      </w:r>
      <w:r>
        <w:rPr>
          <w:rFonts w:ascii="ITC Avant Garde" w:hAnsi="ITC Avant Garde" w:cs="Arial"/>
        </w:rPr>
        <w:t>rá</w:t>
      </w:r>
      <w:r w:rsidRPr="00055496">
        <w:rPr>
          <w:rFonts w:ascii="ITC Avant Garde" w:hAnsi="ITC Avant Garde" w:cs="Arial"/>
        </w:rPr>
        <w:t xml:space="preserve"> estar habilitada y activa</w:t>
      </w:r>
      <w:r>
        <w:rPr>
          <w:rFonts w:ascii="ITC Avant Garde" w:hAnsi="ITC Avant Garde" w:cs="Arial"/>
        </w:rPr>
        <w:t>da</w:t>
      </w:r>
      <w:r w:rsidRPr="00055496">
        <w:rPr>
          <w:rFonts w:ascii="ITC Avant Garde" w:hAnsi="ITC Avant Garde" w:cs="Arial"/>
        </w:rPr>
        <w:t xml:space="preserve"> para el usuario</w:t>
      </w:r>
      <w:r>
        <w:rPr>
          <w:rFonts w:ascii="ITC Avant Garde" w:hAnsi="ITC Avant Garde" w:cs="Arial"/>
        </w:rPr>
        <w:t xml:space="preserve"> final, contribuye a que estos también tengan la posibilidad de ser audiencias del servicio de radiodifusión sonora en FM. D</w:t>
      </w:r>
      <w:r w:rsidRPr="00055496">
        <w:rPr>
          <w:rFonts w:ascii="ITC Avant Garde" w:hAnsi="ITC Avant Garde" w:cs="Arial"/>
        </w:rPr>
        <w:t xml:space="preserve">e tal forma que </w:t>
      </w:r>
      <w:r>
        <w:rPr>
          <w:rFonts w:ascii="ITC Avant Garde" w:hAnsi="ITC Avant Garde" w:cs="Arial"/>
        </w:rPr>
        <w:t xml:space="preserve">al </w:t>
      </w:r>
      <w:r w:rsidRPr="00055496">
        <w:rPr>
          <w:rFonts w:ascii="ITC Avant Garde" w:hAnsi="ITC Avant Garde" w:cs="Arial"/>
        </w:rPr>
        <w:t>no exist</w:t>
      </w:r>
      <w:r>
        <w:rPr>
          <w:rFonts w:ascii="ITC Avant Garde" w:hAnsi="ITC Avant Garde" w:cs="Arial"/>
        </w:rPr>
        <w:t>ir</w:t>
      </w:r>
      <w:r w:rsidRPr="00055496">
        <w:rPr>
          <w:rFonts w:ascii="ITC Avant Garde" w:hAnsi="ITC Avant Garde" w:cs="Arial"/>
        </w:rPr>
        <w:t xml:space="preserve"> ningún tipo de bloqueo o rest</w:t>
      </w:r>
      <w:r>
        <w:rPr>
          <w:rFonts w:ascii="ITC Avant Garde" w:hAnsi="ITC Avant Garde" w:cs="Arial"/>
        </w:rPr>
        <w:t>ricción para su funcionamiento, se contribuye  en la salvaguarda del derecho de acceso a la información, pues los usuarios de telecomunicaciones pueden acceder a la radiodifusión sonora en su vertiente de FM mediante el uso de Equipos Terminales Móviles que desde su fabricación cuenten con esa funcionalidad.</w:t>
      </w:r>
    </w:p>
    <w:p w:rsidR="003A7FF4" w:rsidRPr="00055496" w:rsidRDefault="003A7FF4" w:rsidP="00B60E1D">
      <w:pPr>
        <w:autoSpaceDE w:val="0"/>
        <w:autoSpaceDN w:val="0"/>
        <w:adjustRightInd w:val="0"/>
        <w:spacing w:line="360" w:lineRule="auto"/>
        <w:jc w:val="both"/>
        <w:rPr>
          <w:rFonts w:ascii="ITC Avant Garde" w:hAnsi="ITC Avant Garde" w:cs="Arial"/>
        </w:rPr>
      </w:pPr>
    </w:p>
    <w:p w:rsidR="007E4410" w:rsidRPr="00A3052D" w:rsidRDefault="003A52E3" w:rsidP="00B60E1D">
      <w:pPr>
        <w:pStyle w:val="Default"/>
        <w:tabs>
          <w:tab w:val="left" w:pos="0"/>
        </w:tabs>
        <w:spacing w:after="160" w:line="360" w:lineRule="auto"/>
        <w:jc w:val="both"/>
        <w:rPr>
          <w:rFonts w:ascii="ITC Avant Garde" w:hAnsi="ITC Avant Garde"/>
          <w:bCs/>
          <w:sz w:val="22"/>
          <w:szCs w:val="22"/>
        </w:rPr>
      </w:pPr>
      <w:r w:rsidRPr="00A3052D">
        <w:rPr>
          <w:rFonts w:ascii="ITC Avant Garde" w:hAnsi="ITC Avant Garde"/>
          <w:b/>
          <w:bCs/>
          <w:sz w:val="22"/>
          <w:szCs w:val="22"/>
        </w:rPr>
        <w:t xml:space="preserve">TERCERO. </w:t>
      </w:r>
      <w:r w:rsidR="007C5534" w:rsidRPr="00A3052D">
        <w:rPr>
          <w:rFonts w:ascii="ITC Avant Garde" w:hAnsi="ITC Avant Garde"/>
          <w:b/>
          <w:sz w:val="22"/>
          <w:szCs w:val="22"/>
        </w:rPr>
        <w:t>D</w:t>
      </w:r>
      <w:r w:rsidR="00433C5E" w:rsidRPr="00A3052D">
        <w:rPr>
          <w:rFonts w:ascii="ITC Avant Garde" w:hAnsi="ITC Avant Garde"/>
          <w:b/>
          <w:sz w:val="22"/>
          <w:szCs w:val="22"/>
        </w:rPr>
        <w:t xml:space="preserve">el </w:t>
      </w:r>
      <w:r w:rsidR="00A5438C">
        <w:rPr>
          <w:rFonts w:ascii="ITC Avant Garde" w:hAnsi="ITC Avant Garde"/>
          <w:b/>
          <w:sz w:val="22"/>
          <w:szCs w:val="22"/>
        </w:rPr>
        <w:t xml:space="preserve">Código de </w:t>
      </w:r>
      <w:r w:rsidR="00433C5E" w:rsidRPr="00A3052D">
        <w:rPr>
          <w:rFonts w:ascii="ITC Avant Garde" w:hAnsi="ITC Avant Garde"/>
          <w:b/>
          <w:sz w:val="22"/>
          <w:szCs w:val="22"/>
        </w:rPr>
        <w:t>Identi</w:t>
      </w:r>
      <w:r w:rsidR="00A5438C">
        <w:rPr>
          <w:rFonts w:ascii="ITC Avant Garde" w:hAnsi="ITC Avant Garde"/>
          <w:b/>
          <w:sz w:val="22"/>
          <w:szCs w:val="22"/>
        </w:rPr>
        <w:t xml:space="preserve">dad de </w:t>
      </w:r>
      <w:r w:rsidR="00433C5E" w:rsidRPr="00A3052D">
        <w:rPr>
          <w:rFonts w:ascii="ITC Avant Garde" w:hAnsi="ITC Avant Garde"/>
          <w:b/>
          <w:sz w:val="22"/>
          <w:szCs w:val="22"/>
        </w:rPr>
        <w:t>f</w:t>
      </w:r>
      <w:r w:rsidR="00A5438C">
        <w:rPr>
          <w:rFonts w:ascii="ITC Avant Garde" w:hAnsi="ITC Avant Garde"/>
          <w:b/>
          <w:sz w:val="22"/>
          <w:szCs w:val="22"/>
        </w:rPr>
        <w:t xml:space="preserve">abricación </w:t>
      </w:r>
      <w:r w:rsidR="00433C5E" w:rsidRPr="00A3052D">
        <w:rPr>
          <w:rFonts w:ascii="ITC Avant Garde" w:hAnsi="ITC Avant Garde"/>
          <w:b/>
          <w:sz w:val="22"/>
          <w:szCs w:val="22"/>
        </w:rPr>
        <w:t>d</w:t>
      </w:r>
      <w:r w:rsidR="007C5534" w:rsidRPr="00A3052D">
        <w:rPr>
          <w:rFonts w:ascii="ITC Avant Garde" w:hAnsi="ITC Avant Garde"/>
          <w:b/>
          <w:sz w:val="22"/>
          <w:szCs w:val="22"/>
        </w:rPr>
        <w:t>el Equipo (IMEI)</w:t>
      </w:r>
      <w:r w:rsidR="00C37F48" w:rsidRPr="00A3052D">
        <w:rPr>
          <w:rFonts w:ascii="ITC Avant Garde" w:hAnsi="ITC Avant Garde"/>
          <w:b/>
          <w:sz w:val="22"/>
          <w:szCs w:val="22"/>
        </w:rPr>
        <w:t>.</w:t>
      </w:r>
      <w:r w:rsidR="00C37F48" w:rsidRPr="00A3052D">
        <w:rPr>
          <w:rFonts w:ascii="ITC Avant Garde" w:hAnsi="ITC Avant Garde"/>
          <w:sz w:val="22"/>
          <w:szCs w:val="22"/>
        </w:rPr>
        <w:t xml:space="preserve"> </w:t>
      </w:r>
      <w:r w:rsidR="00F95245" w:rsidRPr="00A3052D">
        <w:rPr>
          <w:rFonts w:ascii="ITC Avant Garde" w:hAnsi="ITC Avant Garde"/>
          <w:bCs/>
          <w:sz w:val="22"/>
          <w:szCs w:val="22"/>
        </w:rPr>
        <w:t>La Recomendación UIT-R M.12</w:t>
      </w:r>
      <w:r w:rsidR="00F95245" w:rsidRPr="00836218">
        <w:rPr>
          <w:rFonts w:ascii="ITC Avant Garde" w:hAnsi="ITC Avant Garde"/>
          <w:bCs/>
          <w:sz w:val="22"/>
          <w:szCs w:val="22"/>
        </w:rPr>
        <w:t>24-1</w:t>
      </w:r>
      <w:r w:rsidR="00433C5E" w:rsidRPr="00A3052D">
        <w:rPr>
          <w:rStyle w:val="Refdenotaalpie"/>
          <w:rFonts w:ascii="ITC Avant Garde" w:hAnsi="ITC Avant Garde"/>
          <w:bCs/>
          <w:sz w:val="22"/>
          <w:szCs w:val="22"/>
        </w:rPr>
        <w:footnoteReference w:id="2"/>
      </w:r>
      <w:r w:rsidR="00F95245" w:rsidRPr="00A3052D">
        <w:rPr>
          <w:rFonts w:ascii="ITC Avant Garde" w:hAnsi="ITC Avant Garde"/>
          <w:bCs/>
          <w:sz w:val="22"/>
          <w:szCs w:val="22"/>
        </w:rPr>
        <w:t xml:space="preserve"> define al IMEI como </w:t>
      </w:r>
      <w:r w:rsidR="00D92955" w:rsidRPr="00A3052D">
        <w:rPr>
          <w:rFonts w:ascii="ITC Avant Garde" w:hAnsi="ITC Avant Garde"/>
          <w:bCs/>
          <w:sz w:val="22"/>
          <w:szCs w:val="22"/>
        </w:rPr>
        <w:t xml:space="preserve">la </w:t>
      </w:r>
      <w:r w:rsidR="00F95245" w:rsidRPr="00A3052D">
        <w:rPr>
          <w:rFonts w:ascii="ITC Avant Garde" w:hAnsi="ITC Avant Garde"/>
          <w:bCs/>
          <w:sz w:val="22"/>
          <w:szCs w:val="22"/>
        </w:rPr>
        <w:t>“</w:t>
      </w:r>
      <w:r w:rsidR="00EC794F" w:rsidRPr="00EC794F">
        <w:rPr>
          <w:rFonts w:ascii="ITC Avant Garde" w:hAnsi="ITC Avant Garde"/>
          <w:bCs/>
          <w:i/>
          <w:sz w:val="22"/>
          <w:szCs w:val="22"/>
        </w:rPr>
        <w:t xml:space="preserve">Identidad del equipo de la estación móvil internacional </w:t>
      </w:r>
      <w:r w:rsidR="00F95245" w:rsidRPr="00A3052D">
        <w:rPr>
          <w:rFonts w:ascii="ITC Avant Garde" w:hAnsi="ITC Avant Garde"/>
          <w:bCs/>
          <w:i/>
          <w:sz w:val="22"/>
          <w:szCs w:val="22"/>
        </w:rPr>
        <w:t xml:space="preserve"> (IMEI): Una «identidad de equipo de estación móvil internacional» es un número único que deberá atribuirse a cada equipo de estación móvil individual de la </w:t>
      </w:r>
      <w:r w:rsidR="00EC794F" w:rsidRPr="00A3052D">
        <w:rPr>
          <w:rFonts w:ascii="ITC Avant Garde" w:hAnsi="ITC Avant Garde"/>
          <w:bCs/>
          <w:i/>
          <w:sz w:val="22"/>
          <w:szCs w:val="22"/>
        </w:rPr>
        <w:t>RMTP</w:t>
      </w:r>
      <w:r w:rsidR="006B0079">
        <w:rPr>
          <w:rStyle w:val="Refdenotaalpie"/>
          <w:rFonts w:ascii="ITC Avant Garde" w:hAnsi="ITC Avant Garde"/>
          <w:bCs/>
          <w:i/>
          <w:sz w:val="22"/>
          <w:szCs w:val="22"/>
        </w:rPr>
        <w:footnoteReference w:id="3"/>
      </w:r>
      <w:r w:rsidR="00F95245" w:rsidRPr="00A3052D">
        <w:rPr>
          <w:rFonts w:ascii="ITC Avant Garde" w:hAnsi="ITC Avant Garde"/>
          <w:bCs/>
          <w:i/>
          <w:sz w:val="22"/>
          <w:szCs w:val="22"/>
        </w:rPr>
        <w:t xml:space="preserve"> y que el fabricante de la </w:t>
      </w:r>
      <w:r w:rsidR="00EC794F" w:rsidRPr="00A3052D">
        <w:rPr>
          <w:rFonts w:ascii="ITC Avant Garde" w:hAnsi="ITC Avant Garde"/>
          <w:bCs/>
          <w:i/>
          <w:sz w:val="22"/>
          <w:szCs w:val="22"/>
        </w:rPr>
        <w:t>EM</w:t>
      </w:r>
      <w:r w:rsidR="006B0079">
        <w:rPr>
          <w:rStyle w:val="Refdenotaalpie"/>
          <w:rFonts w:ascii="ITC Avant Garde" w:hAnsi="ITC Avant Garde"/>
          <w:bCs/>
          <w:i/>
          <w:sz w:val="22"/>
          <w:szCs w:val="22"/>
        </w:rPr>
        <w:footnoteReference w:id="4"/>
      </w:r>
      <w:r w:rsidR="00F95245" w:rsidRPr="00A3052D">
        <w:rPr>
          <w:rFonts w:ascii="ITC Avant Garde" w:hAnsi="ITC Avant Garde"/>
          <w:bCs/>
          <w:i/>
          <w:sz w:val="22"/>
          <w:szCs w:val="22"/>
        </w:rPr>
        <w:t xml:space="preserve"> deberá implementar incondicionalmente</w:t>
      </w:r>
      <w:r w:rsidR="00F95245" w:rsidRPr="00A3052D">
        <w:rPr>
          <w:rFonts w:ascii="ITC Avant Garde" w:hAnsi="ITC Avant Garde"/>
          <w:bCs/>
          <w:sz w:val="22"/>
          <w:szCs w:val="22"/>
        </w:rPr>
        <w:t>”.</w:t>
      </w:r>
      <w:r w:rsidR="00D92955" w:rsidRPr="00A3052D">
        <w:rPr>
          <w:rFonts w:ascii="ITC Avant Garde" w:hAnsi="ITC Avant Garde"/>
          <w:bCs/>
          <w:sz w:val="22"/>
          <w:szCs w:val="22"/>
        </w:rPr>
        <w:t xml:space="preserve"> </w:t>
      </w:r>
    </w:p>
    <w:p w:rsidR="007E4410" w:rsidRDefault="007E4410" w:rsidP="00B60E1D">
      <w:pPr>
        <w:pStyle w:val="Default"/>
        <w:tabs>
          <w:tab w:val="left" w:pos="0"/>
        </w:tabs>
        <w:spacing w:after="160" w:line="360" w:lineRule="auto"/>
        <w:jc w:val="both"/>
        <w:rPr>
          <w:rFonts w:ascii="ITC Avant Garde" w:hAnsi="ITC Avant Garde"/>
          <w:bCs/>
          <w:sz w:val="22"/>
          <w:szCs w:val="22"/>
        </w:rPr>
      </w:pPr>
      <w:r>
        <w:rPr>
          <w:rFonts w:ascii="ITC Avant Garde" w:hAnsi="ITC Avant Garde"/>
          <w:bCs/>
          <w:sz w:val="22"/>
          <w:szCs w:val="22"/>
        </w:rPr>
        <w:t>E</w:t>
      </w:r>
      <w:r w:rsidRPr="007E4410">
        <w:rPr>
          <w:rFonts w:ascii="ITC Avant Garde" w:hAnsi="ITC Avant Garde"/>
          <w:bCs/>
          <w:sz w:val="22"/>
          <w:szCs w:val="22"/>
        </w:rPr>
        <w:t xml:space="preserve">n diciembre de 2015, la </w:t>
      </w:r>
      <w:r w:rsidR="008D33E2">
        <w:rPr>
          <w:rFonts w:ascii="ITC Avant Garde" w:hAnsi="ITC Avant Garde"/>
          <w:bCs/>
          <w:sz w:val="22"/>
          <w:szCs w:val="22"/>
        </w:rPr>
        <w:t>Unión Internacional de Telecomunicaciones (</w:t>
      </w:r>
      <w:r w:rsidRPr="007E4410">
        <w:rPr>
          <w:rFonts w:ascii="ITC Avant Garde" w:hAnsi="ITC Avant Garde"/>
          <w:bCs/>
          <w:sz w:val="22"/>
          <w:szCs w:val="22"/>
        </w:rPr>
        <w:t>UIT</w:t>
      </w:r>
      <w:r w:rsidR="008D33E2">
        <w:rPr>
          <w:rFonts w:ascii="ITC Avant Garde" w:hAnsi="ITC Avant Garde"/>
          <w:bCs/>
          <w:sz w:val="22"/>
          <w:szCs w:val="22"/>
        </w:rPr>
        <w:t>)</w:t>
      </w:r>
      <w:r w:rsidRPr="007E4410">
        <w:rPr>
          <w:rFonts w:ascii="ITC Avant Garde" w:hAnsi="ITC Avant Garde"/>
          <w:bCs/>
          <w:sz w:val="22"/>
          <w:szCs w:val="22"/>
        </w:rPr>
        <w:t xml:space="preserve"> publicó el informe técnico “Equipos TIC falsificados”</w:t>
      </w:r>
      <w:r>
        <w:rPr>
          <w:rStyle w:val="Refdenotaalpie"/>
          <w:rFonts w:ascii="ITC Avant Garde" w:hAnsi="ITC Avant Garde"/>
          <w:bCs/>
          <w:sz w:val="22"/>
          <w:szCs w:val="22"/>
        </w:rPr>
        <w:footnoteReference w:id="5"/>
      </w:r>
      <w:r w:rsidRPr="007E4410">
        <w:rPr>
          <w:rFonts w:ascii="ITC Avant Garde" w:hAnsi="ITC Avant Garde"/>
          <w:bCs/>
          <w:sz w:val="22"/>
          <w:szCs w:val="22"/>
        </w:rPr>
        <w:t>, el cual “</w:t>
      </w:r>
      <w:r w:rsidRPr="0012481D">
        <w:rPr>
          <w:rFonts w:ascii="ITC Avant Garde" w:hAnsi="ITC Avant Garde"/>
          <w:bCs/>
          <w:i/>
          <w:sz w:val="22"/>
          <w:szCs w:val="22"/>
        </w:rPr>
        <w:t xml:space="preserve">proporciona información básica sobre la naturaleza sobre las cuestiones relativas a la falsificación de equipos de tecnologías de la información y de la comunicación (TIC)… y describe una serie de </w:t>
      </w:r>
      <w:r w:rsidRPr="0012481D">
        <w:rPr>
          <w:rFonts w:ascii="ITC Avant Garde" w:hAnsi="ITC Avant Garde"/>
          <w:bCs/>
          <w:i/>
          <w:sz w:val="22"/>
          <w:szCs w:val="22"/>
        </w:rPr>
        <w:lastRenderedPageBreak/>
        <w:t>medios para combatir el comercio de productos falsificados</w:t>
      </w:r>
      <w:r w:rsidR="0012481D">
        <w:rPr>
          <w:rFonts w:ascii="ITC Avant Garde" w:hAnsi="ITC Avant Garde"/>
          <w:bCs/>
          <w:sz w:val="22"/>
          <w:szCs w:val="22"/>
        </w:rPr>
        <w:t>…</w:t>
      </w:r>
      <w:r w:rsidRPr="007E4410">
        <w:rPr>
          <w:rFonts w:ascii="ITC Avant Garde" w:hAnsi="ITC Avant Garde"/>
          <w:bCs/>
          <w:sz w:val="22"/>
          <w:szCs w:val="22"/>
        </w:rPr>
        <w:t>”, entre ellos, el uso del IMEI</w:t>
      </w:r>
      <w:r>
        <w:rPr>
          <w:rFonts w:ascii="ITC Avant Garde" w:hAnsi="ITC Avant Garde"/>
          <w:bCs/>
          <w:sz w:val="22"/>
          <w:szCs w:val="22"/>
        </w:rPr>
        <w:t xml:space="preserve">. </w:t>
      </w:r>
      <w:r w:rsidRPr="007E4410">
        <w:rPr>
          <w:rFonts w:ascii="ITC Avant Garde" w:hAnsi="ITC Avant Garde"/>
          <w:bCs/>
          <w:sz w:val="22"/>
          <w:szCs w:val="22"/>
        </w:rPr>
        <w:t xml:space="preserve">Dicho informe </w:t>
      </w:r>
      <w:r>
        <w:rPr>
          <w:rFonts w:ascii="ITC Avant Garde" w:hAnsi="ITC Avant Garde"/>
          <w:bCs/>
          <w:sz w:val="22"/>
          <w:szCs w:val="22"/>
        </w:rPr>
        <w:t>enlista</w:t>
      </w:r>
      <w:r w:rsidRPr="007E4410">
        <w:rPr>
          <w:rFonts w:ascii="ITC Avant Garde" w:hAnsi="ITC Avant Garde"/>
          <w:bCs/>
          <w:sz w:val="22"/>
          <w:szCs w:val="22"/>
        </w:rPr>
        <w:t xml:space="preserve"> diversos ejemplos de las </w:t>
      </w:r>
      <w:r>
        <w:rPr>
          <w:rFonts w:ascii="ITC Avant Garde" w:hAnsi="ITC Avant Garde"/>
          <w:bCs/>
          <w:sz w:val="22"/>
          <w:szCs w:val="22"/>
        </w:rPr>
        <w:t>afectaciones</w:t>
      </w:r>
      <w:r w:rsidRPr="007E4410">
        <w:rPr>
          <w:rFonts w:ascii="ITC Avant Garde" w:hAnsi="ITC Avant Garde"/>
          <w:bCs/>
          <w:sz w:val="22"/>
          <w:szCs w:val="22"/>
        </w:rPr>
        <w:t xml:space="preserve"> derivadas de la falsific</w:t>
      </w:r>
      <w:r>
        <w:rPr>
          <w:rFonts w:ascii="ITC Avant Garde" w:hAnsi="ITC Avant Garde"/>
          <w:bCs/>
          <w:sz w:val="22"/>
          <w:szCs w:val="22"/>
        </w:rPr>
        <w:t>ación de equipos TIC, entre ella</w:t>
      </w:r>
      <w:r w:rsidRPr="007E4410">
        <w:rPr>
          <w:rFonts w:ascii="ITC Avant Garde" w:hAnsi="ITC Avant Garde"/>
          <w:bCs/>
          <w:sz w:val="22"/>
          <w:szCs w:val="22"/>
        </w:rPr>
        <w:t>s:</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i/>
          <w:sz w:val="20"/>
          <w:szCs w:val="20"/>
        </w:rPr>
      </w:pPr>
      <w:r w:rsidRPr="0012481D">
        <w:rPr>
          <w:rFonts w:ascii="ITC Avant Garde" w:hAnsi="ITC Avant Garde"/>
          <w:bCs/>
          <w:sz w:val="20"/>
          <w:szCs w:val="20"/>
        </w:rPr>
        <w:t>“</w:t>
      </w:r>
      <w:r w:rsidRPr="0012481D">
        <w:rPr>
          <w:rFonts w:ascii="ITC Avant Garde" w:hAnsi="ITC Avant Garde"/>
          <w:bCs/>
          <w:i/>
          <w:sz w:val="20"/>
          <w:szCs w:val="20"/>
        </w:rPr>
        <w:t>reduciendo la calidad del servicio de telecomunicaciones móviles, afectando por lo tanto a la percepción de los consumidores y de las empresas;</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i/>
          <w:sz w:val="20"/>
          <w:szCs w:val="20"/>
        </w:rPr>
      </w:pPr>
      <w:r w:rsidRPr="0012481D">
        <w:rPr>
          <w:rFonts w:ascii="ITC Avant Garde" w:hAnsi="ITC Avant Garde"/>
          <w:bCs/>
          <w:i/>
          <w:sz w:val="20"/>
          <w:szCs w:val="20"/>
        </w:rPr>
        <w:t>generando un riesgo de seguridad para los consumidores debido al uso de componentes o materiales deficientes o inadecuados;</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i/>
          <w:sz w:val="20"/>
          <w:szCs w:val="20"/>
        </w:rPr>
      </w:pPr>
      <w:r w:rsidRPr="0012481D">
        <w:rPr>
          <w:rFonts w:ascii="ITC Avant Garde" w:hAnsi="ITC Avant Garde"/>
          <w:bCs/>
          <w:i/>
          <w:sz w:val="20"/>
          <w:szCs w:val="20"/>
        </w:rPr>
        <w:t>aumentando las amenazas relacionadas con la ciberseguridad;</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i/>
          <w:sz w:val="20"/>
          <w:szCs w:val="20"/>
        </w:rPr>
      </w:pPr>
      <w:r w:rsidRPr="0012481D">
        <w:rPr>
          <w:rFonts w:ascii="ITC Avant Garde" w:hAnsi="ITC Avant Garde"/>
          <w:bCs/>
          <w:i/>
          <w:sz w:val="20"/>
          <w:szCs w:val="20"/>
        </w:rPr>
        <w:t>comprometiendo la privacidad del consumidor;</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i/>
          <w:sz w:val="20"/>
          <w:szCs w:val="20"/>
        </w:rPr>
      </w:pPr>
      <w:r w:rsidRPr="0012481D">
        <w:rPr>
          <w:rFonts w:ascii="ITC Avant Garde" w:hAnsi="ITC Avant Garde"/>
          <w:bCs/>
          <w:i/>
          <w:sz w:val="20"/>
          <w:szCs w:val="20"/>
        </w:rPr>
        <w:t>menoscabando la seguridad de las transacciones digitales;</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i/>
          <w:sz w:val="20"/>
          <w:szCs w:val="20"/>
        </w:rPr>
      </w:pPr>
      <w:r w:rsidRPr="0012481D">
        <w:rPr>
          <w:rFonts w:ascii="ITC Avant Garde" w:hAnsi="ITC Avant Garde"/>
          <w:bCs/>
          <w:i/>
          <w:sz w:val="20"/>
          <w:szCs w:val="20"/>
        </w:rPr>
        <w:t>evadiendo impuestos y aranceles aplicables, afectando por lo tanto negativamente a la recaudación gubernamental de impuestos;</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i/>
          <w:sz w:val="20"/>
          <w:szCs w:val="20"/>
        </w:rPr>
      </w:pPr>
      <w:r w:rsidRPr="0012481D">
        <w:rPr>
          <w:rFonts w:ascii="ITC Avant Garde" w:hAnsi="ITC Avant Garde"/>
          <w:bCs/>
          <w:i/>
          <w:sz w:val="20"/>
          <w:szCs w:val="20"/>
        </w:rPr>
        <w:t>perjudicando a los consumidores más vulnerables desde el punto de vista financiero al no proporcionarles garantías y violando a su vez los derechos legales de los consumidores;</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i/>
          <w:sz w:val="20"/>
          <w:szCs w:val="20"/>
        </w:rPr>
      </w:pPr>
      <w:r w:rsidRPr="0012481D">
        <w:rPr>
          <w:rFonts w:ascii="ITC Avant Garde" w:hAnsi="ITC Avant Garde"/>
          <w:bCs/>
          <w:i/>
          <w:sz w:val="20"/>
          <w:szCs w:val="20"/>
        </w:rPr>
        <w:t>creando riesgos para el medio ambiente y la salud de los consumidores debido al uso de sustancias peligrosas en la fabricación de esos dispositivos;</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i/>
          <w:sz w:val="20"/>
          <w:szCs w:val="20"/>
        </w:rPr>
      </w:pPr>
      <w:r w:rsidRPr="0012481D">
        <w:rPr>
          <w:rFonts w:ascii="ITC Avant Garde" w:hAnsi="ITC Avant Garde"/>
          <w:bCs/>
          <w:i/>
          <w:sz w:val="20"/>
          <w:szCs w:val="20"/>
        </w:rPr>
        <w:t>facilitando el narcotráfico, el terrorismo y otras actividades delictivas nacionales e internacionales;</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i/>
          <w:sz w:val="20"/>
          <w:szCs w:val="20"/>
        </w:rPr>
      </w:pPr>
      <w:r w:rsidRPr="0012481D">
        <w:rPr>
          <w:rFonts w:ascii="ITC Avant Garde" w:hAnsi="ITC Avant Garde"/>
          <w:bCs/>
          <w:i/>
          <w:sz w:val="20"/>
          <w:szCs w:val="20"/>
        </w:rPr>
        <w:t>causando un perjuicio económico dada la distorsión del mercado generada por la competencia desleal y las prácticas fraudulentas; y</w:t>
      </w:r>
    </w:p>
    <w:p w:rsidR="007E4410" w:rsidRPr="0012481D" w:rsidRDefault="007E4410" w:rsidP="007E4410">
      <w:pPr>
        <w:pStyle w:val="Default"/>
        <w:numPr>
          <w:ilvl w:val="0"/>
          <w:numId w:val="10"/>
        </w:numPr>
        <w:tabs>
          <w:tab w:val="left" w:pos="0"/>
        </w:tabs>
        <w:spacing w:line="360" w:lineRule="auto"/>
        <w:jc w:val="both"/>
        <w:rPr>
          <w:rFonts w:ascii="ITC Avant Garde" w:hAnsi="ITC Avant Garde"/>
          <w:bCs/>
          <w:sz w:val="20"/>
          <w:szCs w:val="20"/>
        </w:rPr>
      </w:pPr>
      <w:r w:rsidRPr="0012481D">
        <w:rPr>
          <w:rFonts w:ascii="ITC Avant Garde" w:hAnsi="ITC Avant Garde"/>
          <w:bCs/>
          <w:i/>
          <w:sz w:val="20"/>
          <w:szCs w:val="20"/>
        </w:rPr>
        <w:t>dañando las marcas registradas de las empresas fabricantes de productos originales</w:t>
      </w:r>
      <w:r w:rsidRPr="0012481D">
        <w:rPr>
          <w:rFonts w:ascii="ITC Avant Garde" w:hAnsi="ITC Avant Garde"/>
          <w:bCs/>
          <w:sz w:val="20"/>
          <w:szCs w:val="20"/>
        </w:rPr>
        <w:t>”.</w:t>
      </w:r>
    </w:p>
    <w:p w:rsidR="007E4410" w:rsidRDefault="007E4410" w:rsidP="00896F06">
      <w:pPr>
        <w:pStyle w:val="Default"/>
        <w:tabs>
          <w:tab w:val="left" w:pos="0"/>
        </w:tabs>
        <w:spacing w:line="360" w:lineRule="auto"/>
        <w:jc w:val="both"/>
        <w:rPr>
          <w:rFonts w:ascii="ITC Avant Garde" w:hAnsi="ITC Avant Garde"/>
          <w:bCs/>
          <w:sz w:val="22"/>
          <w:szCs w:val="22"/>
        </w:rPr>
      </w:pPr>
    </w:p>
    <w:p w:rsidR="007C5534" w:rsidRDefault="00D92955" w:rsidP="00B60E1D">
      <w:pPr>
        <w:pStyle w:val="Default"/>
        <w:tabs>
          <w:tab w:val="left" w:pos="0"/>
        </w:tabs>
        <w:spacing w:after="160" w:line="360" w:lineRule="auto"/>
        <w:jc w:val="both"/>
        <w:rPr>
          <w:rFonts w:ascii="ITC Avant Garde" w:hAnsi="ITC Avant Garde"/>
          <w:bCs/>
          <w:sz w:val="22"/>
          <w:szCs w:val="22"/>
        </w:rPr>
      </w:pPr>
      <w:r w:rsidRPr="00433C5E">
        <w:rPr>
          <w:rFonts w:ascii="ITC Avant Garde" w:hAnsi="ITC Avant Garde"/>
          <w:bCs/>
          <w:sz w:val="22"/>
          <w:szCs w:val="22"/>
        </w:rPr>
        <w:t xml:space="preserve">Al </w:t>
      </w:r>
      <w:r w:rsidR="0012481D">
        <w:rPr>
          <w:rFonts w:ascii="ITC Avant Garde" w:hAnsi="ITC Avant Garde"/>
          <w:bCs/>
          <w:sz w:val="22"/>
          <w:szCs w:val="22"/>
        </w:rPr>
        <w:t>respecto</w:t>
      </w:r>
      <w:r w:rsidRPr="00433C5E">
        <w:rPr>
          <w:rFonts w:ascii="ITC Avant Garde" w:hAnsi="ITC Avant Garde"/>
          <w:bCs/>
          <w:sz w:val="22"/>
          <w:szCs w:val="22"/>
        </w:rPr>
        <w:t>, e</w:t>
      </w:r>
      <w:r w:rsidR="00C37F48" w:rsidRPr="00433C5E">
        <w:rPr>
          <w:rFonts w:ascii="ITC Avant Garde" w:hAnsi="ITC Avant Garde"/>
          <w:bCs/>
          <w:sz w:val="22"/>
          <w:szCs w:val="22"/>
        </w:rPr>
        <w:t xml:space="preserve">xisten diversas acciones </w:t>
      </w:r>
      <w:r w:rsidR="00876FF8">
        <w:rPr>
          <w:rFonts w:ascii="ITC Avant Garde" w:hAnsi="ITC Avant Garde"/>
          <w:bCs/>
          <w:sz w:val="22"/>
          <w:szCs w:val="22"/>
        </w:rPr>
        <w:t xml:space="preserve">tanto nacionales como </w:t>
      </w:r>
      <w:r w:rsidRPr="00433C5E">
        <w:rPr>
          <w:rFonts w:ascii="ITC Avant Garde" w:hAnsi="ITC Avant Garde"/>
          <w:bCs/>
          <w:sz w:val="22"/>
          <w:szCs w:val="22"/>
        </w:rPr>
        <w:t xml:space="preserve">internacionales </w:t>
      </w:r>
      <w:r w:rsidR="00C37F48" w:rsidRPr="00433C5E">
        <w:rPr>
          <w:rFonts w:ascii="ITC Avant Garde" w:hAnsi="ITC Avant Garde"/>
          <w:bCs/>
          <w:sz w:val="22"/>
          <w:szCs w:val="22"/>
        </w:rPr>
        <w:t xml:space="preserve">a efectos de utilizar el IMEI </w:t>
      </w:r>
      <w:r w:rsidR="00F95245" w:rsidRPr="00433C5E">
        <w:rPr>
          <w:rFonts w:ascii="ITC Avant Garde" w:hAnsi="ITC Avant Garde"/>
          <w:bCs/>
          <w:sz w:val="22"/>
          <w:szCs w:val="22"/>
        </w:rPr>
        <w:t>como herramienta para inhibir el uso de dispositivos móviles robados:</w:t>
      </w:r>
    </w:p>
    <w:p w:rsidR="00A45C15" w:rsidRPr="00546CC1" w:rsidRDefault="00A45C15" w:rsidP="00B60E1D">
      <w:pPr>
        <w:pStyle w:val="Default"/>
        <w:numPr>
          <w:ilvl w:val="0"/>
          <w:numId w:val="7"/>
        </w:numPr>
        <w:tabs>
          <w:tab w:val="left" w:pos="0"/>
        </w:tabs>
        <w:spacing w:after="160" w:line="360" w:lineRule="auto"/>
        <w:jc w:val="both"/>
        <w:rPr>
          <w:rFonts w:ascii="ITC Avant Garde" w:hAnsi="ITC Avant Garde"/>
          <w:bCs/>
        </w:rPr>
      </w:pPr>
      <w:r w:rsidRPr="00546CC1">
        <w:rPr>
          <w:rFonts w:ascii="ITC Avant Garde" w:hAnsi="ITC Avant Garde"/>
          <w:bCs/>
          <w:sz w:val="22"/>
          <w:szCs w:val="22"/>
        </w:rPr>
        <w:t>El 27 de octubre de 2016 fue signada la “Declaración de Intención entre la Secretaría de Comunicaciones y Transportes de los Estados Unidos Mexicanos y el Ministerio de la Información y las Comunicaciones de la Republica de Colombia para reducir el robo de dispositivos móviles”; entre las medidas a fomentar para estos efectos se encuentra la de “</w:t>
      </w:r>
      <w:r w:rsidRPr="009814FF">
        <w:rPr>
          <w:rFonts w:ascii="ITC Avant Garde" w:hAnsi="ITC Avant Garde"/>
          <w:bCs/>
          <w:i/>
          <w:sz w:val="22"/>
          <w:szCs w:val="22"/>
        </w:rPr>
        <w:t xml:space="preserve">Realizar el intercambio de información de los </w:t>
      </w:r>
      <w:r w:rsidRPr="009814FF">
        <w:rPr>
          <w:rFonts w:ascii="ITC Avant Garde" w:hAnsi="ITC Avant Garde"/>
          <w:bCs/>
          <w:i/>
          <w:sz w:val="22"/>
          <w:szCs w:val="22"/>
        </w:rPr>
        <w:lastRenderedPageBreak/>
        <w:t>IMEI de los dispositivos móviles con reporte de hurto o extravío</w:t>
      </w:r>
      <w:r w:rsidR="008D2C0F" w:rsidRPr="00546CC1">
        <w:rPr>
          <w:rFonts w:ascii="ITC Avant Garde" w:hAnsi="ITC Avant Garde"/>
          <w:bCs/>
          <w:i/>
          <w:sz w:val="22"/>
          <w:szCs w:val="22"/>
        </w:rPr>
        <w:t xml:space="preserve"> en cada país y considerar las medidas a adoptar tendientes al bloqueo de dispositivos móviles derivado de dicho intercambio</w:t>
      </w:r>
      <w:r w:rsidRPr="00546CC1">
        <w:rPr>
          <w:rFonts w:ascii="ITC Avant Garde" w:hAnsi="ITC Avant Garde"/>
          <w:bCs/>
          <w:sz w:val="22"/>
          <w:szCs w:val="22"/>
        </w:rPr>
        <w:t>”.</w:t>
      </w:r>
    </w:p>
    <w:p w:rsidR="00C37F48" w:rsidRPr="00C37F48" w:rsidRDefault="00D92955" w:rsidP="00B60E1D">
      <w:pPr>
        <w:pStyle w:val="Default"/>
        <w:numPr>
          <w:ilvl w:val="0"/>
          <w:numId w:val="7"/>
        </w:numPr>
        <w:tabs>
          <w:tab w:val="left" w:pos="0"/>
        </w:tabs>
        <w:spacing w:after="160" w:line="360" w:lineRule="auto"/>
        <w:jc w:val="both"/>
        <w:rPr>
          <w:rFonts w:ascii="ITC Avant Garde" w:hAnsi="ITC Avant Garde"/>
          <w:bCs/>
          <w:sz w:val="22"/>
          <w:szCs w:val="22"/>
        </w:rPr>
      </w:pPr>
      <w:r>
        <w:rPr>
          <w:rFonts w:ascii="ITC Avant Garde" w:hAnsi="ITC Avant Garde"/>
          <w:bCs/>
          <w:sz w:val="22"/>
          <w:szCs w:val="22"/>
        </w:rPr>
        <w:t>L</w:t>
      </w:r>
      <w:r w:rsidR="00C37F48" w:rsidRPr="00C37F48">
        <w:rPr>
          <w:rFonts w:ascii="ITC Avant Garde" w:hAnsi="ITC Avant Garde"/>
          <w:bCs/>
          <w:sz w:val="22"/>
          <w:szCs w:val="22"/>
        </w:rPr>
        <w:t>a Resolución 79 de la Conferencia Mundial de Desarrollo de las Telecomunicaciones 2014 invitó a sus Estados Miembros (entre ellos México) a tomar las medidas necesarias para combatir el uso de dispositivos falsificados y a incorporar políticas para combatir el uso de dichos dispositivos en sus estrategias de telecomunicaciones.</w:t>
      </w:r>
    </w:p>
    <w:p w:rsidR="00C309FC" w:rsidRPr="00C309FC" w:rsidRDefault="00C309FC" w:rsidP="00B60E1D">
      <w:pPr>
        <w:pStyle w:val="Default"/>
        <w:numPr>
          <w:ilvl w:val="0"/>
          <w:numId w:val="7"/>
        </w:numPr>
        <w:tabs>
          <w:tab w:val="left" w:pos="0"/>
        </w:tabs>
        <w:spacing w:after="160" w:line="360" w:lineRule="auto"/>
        <w:jc w:val="both"/>
        <w:rPr>
          <w:rFonts w:ascii="ITC Avant Garde" w:hAnsi="ITC Avant Garde"/>
          <w:bCs/>
          <w:sz w:val="22"/>
          <w:szCs w:val="22"/>
        </w:rPr>
      </w:pPr>
      <w:r>
        <w:rPr>
          <w:rFonts w:ascii="ITC Avant Garde" w:hAnsi="ITC Avant Garde"/>
          <w:bCs/>
          <w:sz w:val="22"/>
          <w:szCs w:val="22"/>
        </w:rPr>
        <w:t>M</w:t>
      </w:r>
      <w:r w:rsidRPr="00C309FC">
        <w:rPr>
          <w:rFonts w:ascii="ITC Avant Garde" w:hAnsi="ITC Avant Garde"/>
          <w:bCs/>
          <w:sz w:val="22"/>
          <w:szCs w:val="22"/>
        </w:rPr>
        <w:t>ediante la Resolución CCP.I/RES.189 (XIX-11) “MEDIDAS REGIONALES CONTRA EL HURTO DE EQUIPOS TERMINALES MOVILES” la Comisión Interamericana de Telecomunicaciones urgió a los Países Miembros (entre ellos México) a considerar en su marco regulatorio prohibir la activación y uso de IMEI de dispositivos reportados como robados, extraviados o de origen ilegal, y en ese orden resolvió:</w:t>
      </w:r>
    </w:p>
    <w:p w:rsidR="00C37F48" w:rsidRPr="00C37F48" w:rsidRDefault="00C309FC" w:rsidP="00B60E1D">
      <w:pPr>
        <w:pStyle w:val="Default"/>
        <w:tabs>
          <w:tab w:val="left" w:pos="0"/>
        </w:tabs>
        <w:spacing w:after="160" w:line="360" w:lineRule="auto"/>
        <w:ind w:left="1416"/>
        <w:jc w:val="both"/>
        <w:rPr>
          <w:rFonts w:ascii="ITC Avant Garde" w:hAnsi="ITC Avant Garde"/>
          <w:bCs/>
          <w:sz w:val="22"/>
          <w:szCs w:val="22"/>
        </w:rPr>
      </w:pPr>
      <w:r w:rsidRPr="00C309FC">
        <w:rPr>
          <w:rFonts w:ascii="ITC Avant Garde" w:hAnsi="ITC Avant Garde"/>
          <w:bCs/>
          <w:sz w:val="22"/>
          <w:szCs w:val="22"/>
        </w:rPr>
        <w:t>“</w:t>
      </w:r>
      <w:r w:rsidRPr="00C309FC">
        <w:rPr>
          <w:rFonts w:ascii="ITC Avant Garde" w:hAnsi="ITC Avant Garde"/>
          <w:bCs/>
          <w:i/>
          <w:sz w:val="22"/>
          <w:szCs w:val="22"/>
        </w:rPr>
        <w:t>2. Invitar a los Estados Miembros a promover entre los operadores nacionales del servicio móvil que aún no lo dispongan, que consideren la implementación de bases de datos de listas negativas (listas negras), que contengan el registro de los IMEI o el número de serie electrónico del fabricante de los equipos terminales móviles con reporte de hurto o extravío a nivel nacional…</w:t>
      </w:r>
      <w:r w:rsidRPr="00C309FC">
        <w:rPr>
          <w:rFonts w:ascii="ITC Avant Garde" w:hAnsi="ITC Avant Garde"/>
          <w:bCs/>
          <w:sz w:val="22"/>
          <w:szCs w:val="22"/>
        </w:rPr>
        <w:t>”</w:t>
      </w:r>
      <w:r w:rsidR="00A93ACD">
        <w:rPr>
          <w:rFonts w:ascii="ITC Avant Garde" w:hAnsi="ITC Avant Garde"/>
          <w:bCs/>
          <w:sz w:val="22"/>
          <w:szCs w:val="22"/>
        </w:rPr>
        <w:t>.</w:t>
      </w:r>
    </w:p>
    <w:p w:rsidR="00643CE9" w:rsidRDefault="00643CE9" w:rsidP="00B60E1D">
      <w:pPr>
        <w:pStyle w:val="Default"/>
        <w:numPr>
          <w:ilvl w:val="0"/>
          <w:numId w:val="7"/>
        </w:numPr>
        <w:tabs>
          <w:tab w:val="left" w:pos="0"/>
        </w:tabs>
        <w:spacing w:after="160" w:line="360" w:lineRule="auto"/>
        <w:jc w:val="both"/>
        <w:rPr>
          <w:rFonts w:ascii="ITC Avant Garde" w:hAnsi="ITC Avant Garde"/>
          <w:bCs/>
          <w:sz w:val="22"/>
          <w:szCs w:val="22"/>
        </w:rPr>
      </w:pPr>
      <w:r>
        <w:rPr>
          <w:rFonts w:ascii="ITC Avant Garde" w:hAnsi="ITC Avant Garde"/>
          <w:bCs/>
          <w:sz w:val="22"/>
          <w:szCs w:val="22"/>
        </w:rPr>
        <w:t>E</w:t>
      </w:r>
      <w:r w:rsidRPr="00643CE9">
        <w:rPr>
          <w:rFonts w:ascii="ITC Avant Garde" w:hAnsi="ITC Avant Garde"/>
          <w:bCs/>
          <w:sz w:val="22"/>
          <w:szCs w:val="22"/>
        </w:rPr>
        <w:t>l Chief Regulatory Officers Group para Latinoamérica (CROG Latin America), que funge como el órgano principal de consulta y dirección estratégica de los operadores miembros (compañías con licencia para operar una red móvil usando tecnología de la familia GSM) en la región de América Latina y el Caribe, mediante una reunión en julio de 2012 y derivado de la Resolución CCP.I/RES.189 (XIX-11), acordó los pasos a seguir para comenzar a intercambiar información a través de la Base de GSMA.</w:t>
      </w:r>
    </w:p>
    <w:p w:rsidR="00643CE9" w:rsidRPr="00643CE9" w:rsidRDefault="00643CE9" w:rsidP="00B60E1D">
      <w:pPr>
        <w:pStyle w:val="Default"/>
        <w:numPr>
          <w:ilvl w:val="0"/>
          <w:numId w:val="7"/>
        </w:numPr>
        <w:tabs>
          <w:tab w:val="left" w:pos="0"/>
        </w:tabs>
        <w:spacing w:after="160" w:line="360" w:lineRule="auto"/>
        <w:jc w:val="both"/>
        <w:rPr>
          <w:rFonts w:ascii="ITC Avant Garde" w:hAnsi="ITC Avant Garde"/>
          <w:bCs/>
          <w:sz w:val="22"/>
          <w:szCs w:val="22"/>
        </w:rPr>
      </w:pPr>
      <w:r>
        <w:rPr>
          <w:rFonts w:ascii="ITC Avant Garde" w:hAnsi="ITC Avant Garde"/>
          <w:bCs/>
          <w:sz w:val="22"/>
          <w:szCs w:val="22"/>
        </w:rPr>
        <w:lastRenderedPageBreak/>
        <w:t xml:space="preserve">La </w:t>
      </w:r>
      <w:r w:rsidRPr="00643CE9">
        <w:rPr>
          <w:rFonts w:ascii="ITC Avant Garde" w:hAnsi="ITC Avant Garde"/>
          <w:bCs/>
          <w:sz w:val="22"/>
          <w:szCs w:val="22"/>
        </w:rPr>
        <w:t xml:space="preserve">GSMA mantiene un sistema único conocido como la Base de Datos Internacional Mobile Equipment Identity (IMEI DB), que es una base de datos central global que contiene información básica sobre el </w:t>
      </w:r>
      <w:r>
        <w:rPr>
          <w:rFonts w:ascii="ITC Avant Garde" w:hAnsi="ITC Avant Garde"/>
          <w:bCs/>
          <w:sz w:val="22"/>
          <w:szCs w:val="22"/>
        </w:rPr>
        <w:t xml:space="preserve">IMEI </w:t>
      </w:r>
      <w:r w:rsidRPr="00643CE9">
        <w:rPr>
          <w:rFonts w:ascii="ITC Avant Garde" w:hAnsi="ITC Avant Garde"/>
          <w:bCs/>
          <w:sz w:val="22"/>
          <w:szCs w:val="22"/>
        </w:rPr>
        <w:t>de millones de dispositivos móviles en uso en todo el mundo.</w:t>
      </w:r>
    </w:p>
    <w:p w:rsidR="00643CE9" w:rsidRPr="00643CE9" w:rsidRDefault="00643CE9" w:rsidP="00B60E1D">
      <w:pPr>
        <w:pStyle w:val="Default"/>
        <w:numPr>
          <w:ilvl w:val="0"/>
          <w:numId w:val="7"/>
        </w:numPr>
        <w:tabs>
          <w:tab w:val="left" w:pos="0"/>
        </w:tabs>
        <w:spacing w:after="160" w:line="360" w:lineRule="auto"/>
        <w:jc w:val="both"/>
        <w:rPr>
          <w:rFonts w:ascii="ITC Avant Garde" w:hAnsi="ITC Avant Garde"/>
          <w:bCs/>
          <w:sz w:val="22"/>
          <w:szCs w:val="22"/>
        </w:rPr>
      </w:pPr>
      <w:r>
        <w:rPr>
          <w:rFonts w:ascii="ITC Avant Garde" w:hAnsi="ITC Avant Garde"/>
          <w:bCs/>
          <w:sz w:val="22"/>
          <w:szCs w:val="22"/>
        </w:rPr>
        <w:t xml:space="preserve">En febrero 2015, la </w:t>
      </w:r>
      <w:r w:rsidRPr="00643CE9">
        <w:rPr>
          <w:rFonts w:ascii="ITC Avant Garde" w:hAnsi="ITC Avant Garde"/>
          <w:bCs/>
          <w:sz w:val="22"/>
          <w:szCs w:val="22"/>
        </w:rPr>
        <w:t>Asociación Nacional de Telecomunicaci</w:t>
      </w:r>
      <w:r>
        <w:rPr>
          <w:rFonts w:ascii="ITC Avant Garde" w:hAnsi="ITC Avant Garde"/>
          <w:bCs/>
          <w:sz w:val="22"/>
          <w:szCs w:val="22"/>
        </w:rPr>
        <w:t xml:space="preserve">ones de México (ANATEL) y GSMA </w:t>
      </w:r>
      <w:r w:rsidRPr="00643CE9">
        <w:rPr>
          <w:rFonts w:ascii="ITC Avant Garde" w:hAnsi="ITC Avant Garde"/>
          <w:bCs/>
          <w:sz w:val="22"/>
          <w:szCs w:val="22"/>
        </w:rPr>
        <w:t xml:space="preserve">hicieron público el acuerdo para la implementación del Sistema de Verificación de Dispositivos (IMEI Device Check) de GSMA. Dicho sistema permite a los usuarios móviles de México revisar en tiempo real si </w:t>
      </w:r>
      <w:r>
        <w:rPr>
          <w:rFonts w:ascii="ITC Avant Garde" w:hAnsi="ITC Avant Garde"/>
          <w:bCs/>
          <w:sz w:val="22"/>
          <w:szCs w:val="22"/>
        </w:rPr>
        <w:t>el dispositivo móvil</w:t>
      </w:r>
      <w:r w:rsidRPr="00643CE9">
        <w:rPr>
          <w:rFonts w:ascii="ITC Avant Garde" w:hAnsi="ITC Avant Garde"/>
          <w:bCs/>
          <w:sz w:val="22"/>
          <w:szCs w:val="22"/>
        </w:rPr>
        <w:t xml:space="preserve"> a adquirir ha sido incluido en la lista global de dispositivos móviles robados. Esta lista negra o base de datos IMEI de GSMA es actualizada diariamente con reportes de más de 150 operadores globales, incluyendo 38 operadores de 15 países latinoamericanos.</w:t>
      </w:r>
    </w:p>
    <w:p w:rsidR="007C5534" w:rsidRDefault="00C37F48" w:rsidP="00B60E1D">
      <w:pPr>
        <w:pStyle w:val="Default"/>
        <w:numPr>
          <w:ilvl w:val="0"/>
          <w:numId w:val="7"/>
        </w:numPr>
        <w:tabs>
          <w:tab w:val="left" w:pos="0"/>
        </w:tabs>
        <w:spacing w:after="160" w:line="360" w:lineRule="auto"/>
        <w:jc w:val="both"/>
        <w:rPr>
          <w:rFonts w:ascii="ITC Avant Garde" w:hAnsi="ITC Avant Garde"/>
          <w:bCs/>
          <w:sz w:val="22"/>
          <w:szCs w:val="22"/>
        </w:rPr>
      </w:pPr>
      <w:r w:rsidRPr="00C37F48">
        <w:rPr>
          <w:rFonts w:ascii="ITC Avant Garde" w:hAnsi="ITC Avant Garde"/>
          <w:bCs/>
          <w:sz w:val="22"/>
          <w:szCs w:val="22"/>
        </w:rPr>
        <w:t>Desde el portal de internet del Instituto Federal de Telecomunicaciones</w:t>
      </w:r>
      <w:r w:rsidR="00EA7B7F">
        <w:rPr>
          <w:rFonts w:ascii="ITC Avant Garde" w:hAnsi="ITC Avant Garde"/>
          <w:bCs/>
          <w:sz w:val="22"/>
          <w:szCs w:val="22"/>
        </w:rPr>
        <w:t>,</w:t>
      </w:r>
      <w:r w:rsidRPr="00C37F48">
        <w:rPr>
          <w:rFonts w:ascii="ITC Avant Garde" w:hAnsi="ITC Avant Garde"/>
          <w:bCs/>
          <w:sz w:val="22"/>
          <w:szCs w:val="22"/>
        </w:rPr>
        <w:t xml:space="preserve"> el público en general puede acceder al Sistema de Verificación de Dispositivos Móviles de GSMA.</w:t>
      </w:r>
    </w:p>
    <w:p w:rsidR="00A93ACD" w:rsidRDefault="00EA7B7F" w:rsidP="00B60E1D">
      <w:pPr>
        <w:pStyle w:val="Default"/>
        <w:tabs>
          <w:tab w:val="left" w:pos="0"/>
        </w:tabs>
        <w:spacing w:after="160" w:line="360" w:lineRule="auto"/>
        <w:jc w:val="both"/>
        <w:rPr>
          <w:rFonts w:ascii="ITC Avant Garde" w:hAnsi="ITC Avant Garde"/>
          <w:bCs/>
          <w:sz w:val="22"/>
          <w:szCs w:val="22"/>
        </w:rPr>
      </w:pPr>
      <w:r w:rsidRPr="00EA7B7F">
        <w:rPr>
          <w:rFonts w:ascii="ITC Avant Garde" w:hAnsi="ITC Avant Garde"/>
          <w:bCs/>
          <w:sz w:val="22"/>
          <w:szCs w:val="22"/>
        </w:rPr>
        <w:t xml:space="preserve">Por su parte, la </w:t>
      </w:r>
      <w:r>
        <w:rPr>
          <w:rFonts w:ascii="ITC Avant Garde" w:hAnsi="ITC Avant Garde"/>
          <w:bCs/>
          <w:sz w:val="22"/>
          <w:szCs w:val="22"/>
        </w:rPr>
        <w:t>LFTR</w:t>
      </w:r>
      <w:r w:rsidRPr="00EA7B7F">
        <w:rPr>
          <w:rFonts w:ascii="ITC Avant Garde" w:hAnsi="ITC Avant Garde"/>
          <w:bCs/>
          <w:sz w:val="22"/>
          <w:szCs w:val="22"/>
        </w:rPr>
        <w:t xml:space="preserve"> en su artículo 190, fracción V mandata que los concesionarios y, </w:t>
      </w:r>
      <w:r>
        <w:rPr>
          <w:rFonts w:ascii="ITC Avant Garde" w:hAnsi="ITC Avant Garde"/>
          <w:bCs/>
          <w:sz w:val="22"/>
          <w:szCs w:val="22"/>
        </w:rPr>
        <w:t xml:space="preserve">en su caso, autorizados deberán </w:t>
      </w:r>
      <w:r w:rsidRPr="00EA7B7F">
        <w:rPr>
          <w:rFonts w:ascii="ITC Avant Garde" w:hAnsi="ITC Avant Garde"/>
          <w:bCs/>
          <w:sz w:val="22"/>
          <w:szCs w:val="22"/>
        </w:rPr>
        <w:t>“</w:t>
      </w:r>
      <w:r w:rsidRPr="00EA7B7F">
        <w:rPr>
          <w:rFonts w:ascii="ITC Avant Garde" w:hAnsi="ITC Avant Garde"/>
          <w:bCs/>
          <w:i/>
          <w:sz w:val="22"/>
          <w:szCs w:val="22"/>
        </w:rPr>
        <w:t>Establecer procedimientos expeditos para recibir los reportes de los usuarios del robo o extravío de los equipos o dispositivos terminales móviles y para que el usuario acredite la titularidad de los servicios contratados. Dicho reporte deberá incluir, en su caso, el código de identidad de fabricación del equipo</w:t>
      </w:r>
      <w:r w:rsidRPr="00EA7B7F">
        <w:rPr>
          <w:rFonts w:ascii="ITC Avant Garde" w:hAnsi="ITC Avant Garde"/>
          <w:bCs/>
          <w:sz w:val="22"/>
          <w:szCs w:val="22"/>
        </w:rPr>
        <w:t>”.</w:t>
      </w:r>
      <w:r>
        <w:rPr>
          <w:rFonts w:ascii="ITC Avant Garde" w:hAnsi="ITC Avant Garde"/>
          <w:bCs/>
          <w:sz w:val="22"/>
          <w:szCs w:val="22"/>
        </w:rPr>
        <w:t xml:space="preserve"> </w:t>
      </w:r>
    </w:p>
    <w:p w:rsidR="00A77909" w:rsidRDefault="00EA7B7F" w:rsidP="00B60E1D">
      <w:pPr>
        <w:pStyle w:val="Default"/>
        <w:tabs>
          <w:tab w:val="left" w:pos="0"/>
        </w:tabs>
        <w:spacing w:after="160" w:line="360" w:lineRule="auto"/>
        <w:jc w:val="both"/>
        <w:rPr>
          <w:rFonts w:ascii="ITC Avant Garde" w:hAnsi="ITC Avant Garde"/>
          <w:bCs/>
          <w:sz w:val="22"/>
          <w:szCs w:val="22"/>
        </w:rPr>
      </w:pPr>
      <w:r>
        <w:rPr>
          <w:rFonts w:ascii="ITC Avant Garde" w:hAnsi="ITC Avant Garde"/>
          <w:bCs/>
          <w:sz w:val="22"/>
          <w:szCs w:val="22"/>
        </w:rPr>
        <w:t>En atención a lo mandatado por la LFTR</w:t>
      </w:r>
      <w:r w:rsidRPr="00EA7B7F">
        <w:rPr>
          <w:rFonts w:ascii="ITC Avant Garde" w:hAnsi="ITC Avant Garde"/>
          <w:bCs/>
          <w:sz w:val="22"/>
          <w:szCs w:val="22"/>
        </w:rPr>
        <w:t xml:space="preserve">, los Lineamientos de Colaboración en Materia de Seguridad y Justicia, publicados en el </w:t>
      </w:r>
      <w:r w:rsidR="004158B5">
        <w:rPr>
          <w:rFonts w:ascii="ITC Avant Garde" w:hAnsi="ITC Avant Garde"/>
          <w:bCs/>
          <w:sz w:val="22"/>
          <w:szCs w:val="22"/>
        </w:rPr>
        <w:t>DOF</w:t>
      </w:r>
      <w:r w:rsidR="008D33E2">
        <w:rPr>
          <w:rFonts w:ascii="ITC Avant Garde" w:hAnsi="ITC Avant Garde"/>
          <w:bCs/>
          <w:sz w:val="22"/>
          <w:szCs w:val="22"/>
        </w:rPr>
        <w:t xml:space="preserve"> </w:t>
      </w:r>
      <w:r w:rsidRPr="00EA7B7F">
        <w:rPr>
          <w:rFonts w:ascii="ITC Avant Garde" w:hAnsi="ITC Avant Garde"/>
          <w:bCs/>
          <w:sz w:val="22"/>
          <w:szCs w:val="22"/>
        </w:rPr>
        <w:t xml:space="preserve">el 2 de diciembre de 2015, establecen en </w:t>
      </w:r>
      <w:r w:rsidR="00A77909">
        <w:rPr>
          <w:rFonts w:ascii="ITC Avant Garde" w:hAnsi="ITC Avant Garde"/>
          <w:bCs/>
          <w:sz w:val="22"/>
          <w:szCs w:val="22"/>
        </w:rPr>
        <w:t>su Capítulo VII “DE LA SUSPENCIÓN DEL SERVICIO DE LOS DISPOSITIVOS O EQUIPOS TERMINALES MÓVILES REPORTADOS COMO ROBADOS O EXTRAVIADOS”, diversas obligaciones a efecto de coadyuvar en el combate al robo de dispositivos móviles, entre las que destacan las siguientes:</w:t>
      </w:r>
    </w:p>
    <w:p w:rsidR="004F7227" w:rsidRPr="00412BAD" w:rsidRDefault="00EA7B7F" w:rsidP="004F7227">
      <w:pPr>
        <w:pStyle w:val="Default"/>
        <w:tabs>
          <w:tab w:val="left" w:pos="0"/>
        </w:tabs>
        <w:spacing w:line="360" w:lineRule="auto"/>
        <w:ind w:left="708"/>
        <w:jc w:val="both"/>
        <w:rPr>
          <w:rFonts w:ascii="ITC Avant Garde" w:hAnsi="ITC Avant Garde"/>
          <w:bCs/>
          <w:i/>
          <w:sz w:val="20"/>
          <w:szCs w:val="20"/>
        </w:rPr>
      </w:pPr>
      <w:r w:rsidRPr="00EA7B7F">
        <w:rPr>
          <w:rFonts w:ascii="ITC Avant Garde" w:hAnsi="ITC Avant Garde"/>
          <w:bCs/>
          <w:sz w:val="22"/>
          <w:szCs w:val="22"/>
        </w:rPr>
        <w:lastRenderedPageBreak/>
        <w:t>“</w:t>
      </w:r>
      <w:r w:rsidR="004F7227" w:rsidRPr="00412BAD">
        <w:rPr>
          <w:rFonts w:ascii="ITC Avant Garde" w:hAnsi="ITC Avant Garde"/>
          <w:bCs/>
          <w:i/>
          <w:sz w:val="20"/>
          <w:szCs w:val="20"/>
        </w:rPr>
        <w:t>DÉCIMO NOVENO.- Los Concesionarios y Autorizados deberán contar con un procedimiento expedito para:</w:t>
      </w:r>
    </w:p>
    <w:p w:rsidR="004F7227" w:rsidRPr="00412BAD" w:rsidRDefault="004F7227" w:rsidP="004F7227">
      <w:pPr>
        <w:pStyle w:val="Default"/>
        <w:tabs>
          <w:tab w:val="left" w:pos="0"/>
        </w:tabs>
        <w:spacing w:line="360" w:lineRule="auto"/>
        <w:ind w:left="708"/>
        <w:jc w:val="both"/>
        <w:rPr>
          <w:rFonts w:ascii="ITC Avant Garde" w:hAnsi="ITC Avant Garde"/>
          <w:bCs/>
          <w:i/>
          <w:sz w:val="20"/>
          <w:szCs w:val="20"/>
        </w:rPr>
      </w:pPr>
      <w:r w:rsidRPr="00412BAD">
        <w:rPr>
          <w:rFonts w:ascii="ITC Avant Garde" w:hAnsi="ITC Avant Garde"/>
          <w:bCs/>
          <w:i/>
          <w:sz w:val="20"/>
          <w:szCs w:val="20"/>
        </w:rPr>
        <w:t>…</w:t>
      </w:r>
    </w:p>
    <w:p w:rsidR="004F7227" w:rsidRPr="00412BAD" w:rsidRDefault="004F7227" w:rsidP="004F7227">
      <w:pPr>
        <w:pStyle w:val="Default"/>
        <w:tabs>
          <w:tab w:val="left" w:pos="0"/>
        </w:tabs>
        <w:spacing w:line="360" w:lineRule="auto"/>
        <w:ind w:left="708"/>
        <w:jc w:val="both"/>
        <w:rPr>
          <w:rFonts w:ascii="ITC Avant Garde" w:hAnsi="ITC Avant Garde"/>
          <w:bCs/>
          <w:i/>
          <w:sz w:val="20"/>
          <w:szCs w:val="20"/>
        </w:rPr>
      </w:pPr>
      <w:r w:rsidRPr="00412BAD">
        <w:rPr>
          <w:rFonts w:ascii="ITC Avant Garde" w:hAnsi="ITC Avant Garde"/>
          <w:bCs/>
          <w:i/>
          <w:sz w:val="20"/>
          <w:szCs w:val="20"/>
        </w:rPr>
        <w:t>II.     A través de los mecanismos señalados en la fracción anterior, recibir y verificar los reportes de duplicación del IMEI de los Dispositivos o Equipos Terminales Móviles de sus usuarios, y</w:t>
      </w:r>
    </w:p>
    <w:p w:rsidR="004F7227" w:rsidRPr="00412BAD" w:rsidRDefault="004F7227" w:rsidP="004F7227">
      <w:pPr>
        <w:pStyle w:val="Default"/>
        <w:tabs>
          <w:tab w:val="left" w:pos="0"/>
        </w:tabs>
        <w:spacing w:line="360" w:lineRule="auto"/>
        <w:ind w:left="708"/>
        <w:jc w:val="both"/>
        <w:rPr>
          <w:rFonts w:ascii="ITC Avant Garde" w:hAnsi="ITC Avant Garde"/>
          <w:bCs/>
          <w:i/>
          <w:sz w:val="20"/>
          <w:szCs w:val="20"/>
        </w:rPr>
      </w:pPr>
      <w:r w:rsidRPr="00412BAD">
        <w:rPr>
          <w:rFonts w:ascii="ITC Avant Garde" w:hAnsi="ITC Avant Garde"/>
          <w:bCs/>
          <w:i/>
          <w:sz w:val="20"/>
          <w:szCs w:val="20"/>
        </w:rPr>
        <w:t>III.    Acreditar la titularidad del Dispositivo o Equipo Terminal Móvil y/o los servicios contratados, en cualquier modalidad, de una manera ágil, sencilla y promoviendo la adopción de medios electrónicos, para solicitar la suspensión de los servicios de los dispositivos robados, extraviados o que hayan sido objeto de duplicación de IMEI.</w:t>
      </w:r>
    </w:p>
    <w:p w:rsidR="004F7227" w:rsidRPr="00412BAD" w:rsidRDefault="004F7227" w:rsidP="004F7227">
      <w:pPr>
        <w:pStyle w:val="Default"/>
        <w:tabs>
          <w:tab w:val="left" w:pos="0"/>
        </w:tabs>
        <w:spacing w:line="360" w:lineRule="auto"/>
        <w:ind w:left="708"/>
        <w:jc w:val="both"/>
        <w:rPr>
          <w:rFonts w:ascii="ITC Avant Garde" w:hAnsi="ITC Avant Garde"/>
          <w:bCs/>
          <w:i/>
          <w:sz w:val="20"/>
          <w:szCs w:val="20"/>
        </w:rPr>
      </w:pPr>
      <w:r w:rsidRPr="00412BAD">
        <w:rPr>
          <w:rFonts w:ascii="ITC Avant Garde" w:hAnsi="ITC Avant Garde"/>
          <w:bCs/>
          <w:i/>
          <w:sz w:val="20"/>
          <w:szCs w:val="20"/>
        </w:rPr>
        <w:t>…</w:t>
      </w:r>
    </w:p>
    <w:p w:rsidR="004F7227" w:rsidRPr="00412BAD" w:rsidRDefault="004F7227" w:rsidP="00B550DE">
      <w:pPr>
        <w:pStyle w:val="Default"/>
        <w:tabs>
          <w:tab w:val="left" w:pos="0"/>
        </w:tabs>
        <w:spacing w:after="160" w:line="360" w:lineRule="auto"/>
        <w:ind w:left="708"/>
        <w:jc w:val="both"/>
        <w:rPr>
          <w:rFonts w:ascii="ITC Avant Garde" w:hAnsi="ITC Avant Garde"/>
          <w:bCs/>
          <w:i/>
          <w:sz w:val="20"/>
          <w:szCs w:val="20"/>
        </w:rPr>
      </w:pPr>
      <w:r w:rsidRPr="00412BAD">
        <w:rPr>
          <w:rFonts w:ascii="ITC Avant Garde" w:hAnsi="ITC Avant Garde"/>
          <w:bCs/>
          <w:i/>
          <w:sz w:val="20"/>
          <w:szCs w:val="20"/>
        </w:rPr>
        <w:t>VIGÉSIMO.- Los Concesionarios y Autorizados deberán llevar un registro eficaz y fidedigno de los IMEI de los Dispositivos o Equipos Terminales Móviles reportados como robados o extraviados, así como aquellos que hayan sido objeto de duplicación de IMEI, y actualizar al menos cada veinticuatro horas dicho registro.</w:t>
      </w:r>
    </w:p>
    <w:p w:rsidR="004F7227" w:rsidRPr="00412BAD" w:rsidRDefault="004F7227" w:rsidP="00B550DE">
      <w:pPr>
        <w:pStyle w:val="Default"/>
        <w:tabs>
          <w:tab w:val="left" w:pos="0"/>
        </w:tabs>
        <w:spacing w:after="160" w:line="360" w:lineRule="auto"/>
        <w:ind w:left="708"/>
        <w:jc w:val="both"/>
        <w:rPr>
          <w:rFonts w:ascii="ITC Avant Garde" w:hAnsi="ITC Avant Garde"/>
          <w:bCs/>
          <w:i/>
          <w:sz w:val="20"/>
          <w:szCs w:val="20"/>
        </w:rPr>
      </w:pPr>
      <w:r w:rsidRPr="00412BAD">
        <w:rPr>
          <w:rFonts w:ascii="ITC Avant Garde" w:hAnsi="ITC Avant Garde"/>
          <w:bCs/>
          <w:i/>
          <w:sz w:val="20"/>
          <w:szCs w:val="20"/>
        </w:rPr>
        <w:t>Los Concesionarios y Autorizados deberán intercambiar cada veinticuatro horas, los registros referidos en el párrafo anterior, en términos de lo dispuesto por la LFTR, en los presentes Lineamientos y, en su caso, en el marco de los acuerdos internacionales celebrados por el Gobierno Mexicano. Los Concesionarios y Autorizados deberán cerciorarse de que dichas listas contengan información referente a Dispositivos o Equipos Terminales Móviles reportados como robados o extraviados o con IMEI duplicado en otros países con los que el Gobierno Mexicano haya suscrito convenios o acuerdos al respecto.</w:t>
      </w:r>
    </w:p>
    <w:p w:rsidR="004F7227" w:rsidRDefault="004F7227" w:rsidP="00B550DE">
      <w:pPr>
        <w:pStyle w:val="Default"/>
        <w:tabs>
          <w:tab w:val="left" w:pos="0"/>
        </w:tabs>
        <w:spacing w:after="160" w:line="360" w:lineRule="auto"/>
        <w:ind w:left="708"/>
        <w:jc w:val="both"/>
        <w:rPr>
          <w:rFonts w:ascii="ITC Avant Garde" w:hAnsi="ITC Avant Garde"/>
          <w:bCs/>
          <w:i/>
          <w:sz w:val="20"/>
          <w:szCs w:val="20"/>
        </w:rPr>
      </w:pPr>
      <w:r w:rsidRPr="00412BAD">
        <w:rPr>
          <w:rFonts w:ascii="ITC Avant Garde" w:hAnsi="ITC Avant Garde"/>
          <w:bCs/>
          <w:i/>
          <w:sz w:val="20"/>
          <w:szCs w:val="20"/>
        </w:rPr>
        <w:t>VIGÉSIMO PRIMERO.- Los Concesionarios y Autorizados deberán poner a disposición del público en general, de forma fácilmente identificable, un aviso a través del cual se comunique la posibilidad de consultar en sus centros de atención y en su portal de Internet, los datos de los Dispositivos o Equipos Terminales Móviles robados o extraviados, incluyendo los intercambiados con otros Concesionarios, las bases de datos actualizada que contenga los números IMEI robados o extraviados y sus características técnicas así como los medios a utilizar para el reporte de robo o extravío.</w:t>
      </w:r>
    </w:p>
    <w:p w:rsidR="00EA7B7F" w:rsidRDefault="00EA7B7F" w:rsidP="00B550DE">
      <w:pPr>
        <w:pStyle w:val="Default"/>
        <w:tabs>
          <w:tab w:val="left" w:pos="0"/>
        </w:tabs>
        <w:spacing w:after="160" w:line="360" w:lineRule="auto"/>
        <w:ind w:left="708"/>
        <w:jc w:val="both"/>
        <w:rPr>
          <w:rFonts w:ascii="ITC Avant Garde" w:hAnsi="ITC Avant Garde"/>
          <w:bCs/>
          <w:i/>
          <w:sz w:val="20"/>
          <w:szCs w:val="20"/>
        </w:rPr>
      </w:pPr>
      <w:r w:rsidRPr="003B2DD3">
        <w:rPr>
          <w:rFonts w:ascii="ITC Avant Garde" w:hAnsi="ITC Avant Garde"/>
          <w:bCs/>
          <w:i/>
          <w:sz w:val="20"/>
          <w:szCs w:val="20"/>
        </w:rPr>
        <w:t xml:space="preserve">VIGÉSIMO TERCERO.- Cuando los Concesionarios identifiquen que dentro de su red se encuentran en uso Dispositivos o Equipos Terminales Móviles que hayan sido objeto de </w:t>
      </w:r>
      <w:r w:rsidRPr="003B2DD3">
        <w:rPr>
          <w:rFonts w:ascii="ITC Avant Garde" w:hAnsi="ITC Avant Garde"/>
          <w:bCs/>
          <w:i/>
          <w:sz w:val="20"/>
          <w:szCs w:val="20"/>
        </w:rPr>
        <w:lastRenderedPageBreak/>
        <w:t xml:space="preserve">duplicación de IMEI, notificarán de manera gratuita al usuario al respecto vía SMS </w:t>
      </w:r>
      <w:r w:rsidR="005F388F" w:rsidRPr="003B2DD3">
        <w:rPr>
          <w:rFonts w:ascii="ITC Avant Garde" w:hAnsi="ITC Avant Garde"/>
          <w:bCs/>
          <w:i/>
          <w:sz w:val="20"/>
          <w:szCs w:val="20"/>
        </w:rPr>
        <w:t>y en su caso, al Autorizado para que este a su vez lo haga con el usuario, y le ofrecerán opciones para el cambio de Dispositivo o Equipo Terminal Móvil.</w:t>
      </w:r>
    </w:p>
    <w:p w:rsidR="00EA7B7F" w:rsidRPr="003B2DD3" w:rsidRDefault="00EA7B7F" w:rsidP="00B550DE">
      <w:pPr>
        <w:pStyle w:val="Default"/>
        <w:tabs>
          <w:tab w:val="left" w:pos="0"/>
        </w:tabs>
        <w:spacing w:after="160" w:line="360" w:lineRule="auto"/>
        <w:ind w:left="708"/>
        <w:jc w:val="both"/>
        <w:rPr>
          <w:rFonts w:ascii="ITC Avant Garde" w:hAnsi="ITC Avant Garde"/>
          <w:bCs/>
          <w:i/>
          <w:sz w:val="20"/>
          <w:szCs w:val="20"/>
        </w:rPr>
      </w:pPr>
      <w:r w:rsidRPr="003B2DD3">
        <w:rPr>
          <w:rFonts w:ascii="ITC Avant Garde" w:hAnsi="ITC Avant Garde"/>
          <w:bCs/>
          <w:i/>
          <w:sz w:val="20"/>
          <w:szCs w:val="20"/>
        </w:rPr>
        <w:t>VIGÉSIMO CUARTO.- Los Concesionarios y Autorizados deberán verificar que los Dispositivos o Equipos Terminales Móviles que se conecten a sus redes no tengan reporte de robo o extravío, o que el IMEI asociado sea considerado inválido o se encuentre duplicado.</w:t>
      </w:r>
    </w:p>
    <w:p w:rsidR="00EA7B7F" w:rsidRPr="003B2DD3" w:rsidRDefault="00EA7B7F" w:rsidP="00B550DE">
      <w:pPr>
        <w:pStyle w:val="Default"/>
        <w:tabs>
          <w:tab w:val="left" w:pos="0"/>
        </w:tabs>
        <w:spacing w:after="160" w:line="360" w:lineRule="auto"/>
        <w:ind w:left="708"/>
        <w:jc w:val="both"/>
        <w:rPr>
          <w:rFonts w:ascii="ITC Avant Garde" w:hAnsi="ITC Avant Garde"/>
          <w:bCs/>
          <w:i/>
          <w:sz w:val="20"/>
          <w:szCs w:val="20"/>
        </w:rPr>
      </w:pPr>
      <w:r w:rsidRPr="003B2DD3">
        <w:rPr>
          <w:rFonts w:ascii="ITC Avant Garde" w:hAnsi="ITC Avant Garde"/>
          <w:bCs/>
          <w:i/>
          <w:sz w:val="20"/>
          <w:szCs w:val="20"/>
        </w:rPr>
        <w:t>…</w:t>
      </w:r>
    </w:p>
    <w:p w:rsidR="00EA7B7F" w:rsidRPr="003B2DD3" w:rsidRDefault="00E04D3B" w:rsidP="00B550DE">
      <w:pPr>
        <w:pStyle w:val="Default"/>
        <w:tabs>
          <w:tab w:val="left" w:pos="0"/>
        </w:tabs>
        <w:spacing w:after="160" w:line="360" w:lineRule="auto"/>
        <w:ind w:left="709"/>
        <w:jc w:val="both"/>
        <w:rPr>
          <w:rFonts w:ascii="ITC Avant Garde" w:hAnsi="ITC Avant Garde"/>
          <w:bCs/>
          <w:i/>
          <w:sz w:val="20"/>
          <w:szCs w:val="20"/>
        </w:rPr>
      </w:pPr>
      <w:r w:rsidRPr="003B2DD3">
        <w:rPr>
          <w:rFonts w:ascii="ITC Avant Garde" w:hAnsi="ITC Avant Garde"/>
          <w:bCs/>
          <w:i/>
          <w:sz w:val="20"/>
          <w:szCs w:val="20"/>
        </w:rPr>
        <w:t xml:space="preserve">VIGÉSIMO SEXTO.-Los Concesionarios y Autorizados no deberán activar Dispositivos o Equipos Terminales móviles que hayan sido objeto de duplicación de IMEI, ni activar o reactivar los servicios de los dispositivos o equipos que se encuentren </w:t>
      </w:r>
      <w:r w:rsidR="00EA7B7F" w:rsidRPr="003B2DD3">
        <w:rPr>
          <w:rFonts w:ascii="ITC Avant Garde" w:hAnsi="ITC Avant Garde"/>
          <w:bCs/>
          <w:i/>
          <w:sz w:val="20"/>
          <w:szCs w:val="20"/>
        </w:rPr>
        <w:t>reportados en las listas de Dispositivos o Equipos Terminales Móviles como robados o extraviados,…</w:t>
      </w:r>
      <w:r w:rsidR="00EA7B7F" w:rsidRPr="003B2DD3">
        <w:rPr>
          <w:rFonts w:ascii="ITC Avant Garde" w:hAnsi="ITC Avant Garde"/>
          <w:bCs/>
          <w:sz w:val="20"/>
          <w:szCs w:val="20"/>
        </w:rPr>
        <w:t>”</w:t>
      </w:r>
      <w:r w:rsidR="005D4F0A">
        <w:rPr>
          <w:rFonts w:ascii="ITC Avant Garde" w:hAnsi="ITC Avant Garde"/>
          <w:bCs/>
          <w:sz w:val="20"/>
          <w:szCs w:val="20"/>
        </w:rPr>
        <w:t>.</w:t>
      </w:r>
    </w:p>
    <w:p w:rsidR="0057399E" w:rsidRDefault="00E7181D" w:rsidP="00B60E1D">
      <w:pPr>
        <w:tabs>
          <w:tab w:val="left" w:pos="1710"/>
          <w:tab w:val="center" w:pos="4419"/>
        </w:tabs>
        <w:spacing w:line="360" w:lineRule="auto"/>
        <w:jc w:val="both"/>
        <w:rPr>
          <w:rFonts w:ascii="ITC Avant Garde" w:eastAsia="Calibri" w:hAnsi="ITC Avant Garde" w:cs="Arial"/>
        </w:rPr>
      </w:pPr>
      <w:r>
        <w:rPr>
          <w:rFonts w:ascii="ITC Avant Garde" w:eastAsia="Calibri" w:hAnsi="ITC Avant Garde" w:cs="Arial"/>
        </w:rPr>
        <w:t>Adicionalmente, e</w:t>
      </w:r>
      <w:r w:rsidR="00A963B8" w:rsidRPr="00565ED3">
        <w:rPr>
          <w:rFonts w:ascii="ITC Avant Garde" w:eastAsia="Calibri" w:hAnsi="ITC Avant Garde" w:cs="Arial"/>
        </w:rPr>
        <w:t xml:space="preserve">l proyecto </w:t>
      </w:r>
      <w:r w:rsidR="0057399E">
        <w:rPr>
          <w:rFonts w:ascii="ITC Avant Garde" w:eastAsia="Calibri" w:hAnsi="ITC Avant Garde" w:cs="Arial"/>
        </w:rPr>
        <w:t xml:space="preserve">cuenta con </w:t>
      </w:r>
      <w:r w:rsidR="00415756">
        <w:rPr>
          <w:rFonts w:ascii="ITC Avant Garde" w:eastAsia="Calibri" w:hAnsi="ITC Avant Garde" w:cs="Arial"/>
        </w:rPr>
        <w:t xml:space="preserve">un </w:t>
      </w:r>
      <w:r w:rsidR="00415756" w:rsidRPr="00A20CC4">
        <w:rPr>
          <w:rFonts w:ascii="ITC Avant Garde" w:eastAsia="Calibri" w:hAnsi="ITC Avant Garde" w:cs="Arial"/>
        </w:rPr>
        <w:t xml:space="preserve">procedimiento de </w:t>
      </w:r>
      <w:r w:rsidR="00A963B8" w:rsidRPr="00A20CC4">
        <w:rPr>
          <w:rFonts w:ascii="ITC Avant Garde" w:eastAsia="Calibri" w:hAnsi="ITC Avant Garde" w:cs="Arial"/>
        </w:rPr>
        <w:t>evaluación de la conformidad</w:t>
      </w:r>
      <w:r w:rsidR="00415756" w:rsidRPr="00A20CC4">
        <w:rPr>
          <w:rFonts w:ascii="ITC Avant Garde" w:eastAsia="Calibri" w:hAnsi="ITC Avant Garde" w:cs="Arial"/>
        </w:rPr>
        <w:t xml:space="preserve">, </w:t>
      </w:r>
      <w:r w:rsidR="0057399E">
        <w:rPr>
          <w:rFonts w:ascii="ITC Avant Garde" w:eastAsia="Calibri" w:hAnsi="ITC Avant Garde" w:cs="Arial"/>
        </w:rPr>
        <w:t xml:space="preserve">donde se </w:t>
      </w:r>
      <w:r w:rsidR="00CD4A8A" w:rsidRPr="00A20CC4">
        <w:rPr>
          <w:rFonts w:ascii="ITC Avant Garde" w:eastAsia="Calibri" w:hAnsi="ITC Avant Garde" w:cs="Arial"/>
        </w:rPr>
        <w:t xml:space="preserve">plantea la posibilidad </w:t>
      </w:r>
      <w:r w:rsidR="0057399E">
        <w:rPr>
          <w:rFonts w:ascii="ITC Avant Garde" w:eastAsia="Calibri" w:hAnsi="ITC Avant Garde" w:cs="Arial"/>
        </w:rPr>
        <w:t xml:space="preserve">de </w:t>
      </w:r>
      <w:r w:rsidR="005205F0">
        <w:rPr>
          <w:rFonts w:ascii="ITC Avant Garde" w:eastAsia="Calibri" w:hAnsi="ITC Avant Garde" w:cs="Arial"/>
        </w:rPr>
        <w:t xml:space="preserve">que </w:t>
      </w:r>
      <w:r w:rsidR="0057399E" w:rsidRPr="00A20CC4">
        <w:rPr>
          <w:rFonts w:ascii="ITC Avant Garde" w:eastAsia="Calibri" w:hAnsi="ITC Avant Garde" w:cs="Arial"/>
        </w:rPr>
        <w:t>los fabricantes, importadores, comercializadores</w:t>
      </w:r>
      <w:r w:rsidR="0057399E">
        <w:rPr>
          <w:rFonts w:ascii="ITC Avant Garde" w:eastAsia="Calibri" w:hAnsi="ITC Avant Garde" w:cs="Arial"/>
        </w:rPr>
        <w:t xml:space="preserve"> o</w:t>
      </w:r>
      <w:r w:rsidR="0057399E" w:rsidRPr="00A20CC4">
        <w:rPr>
          <w:rFonts w:ascii="ITC Avant Garde" w:eastAsia="Calibri" w:hAnsi="ITC Avant Garde" w:cs="Arial"/>
        </w:rPr>
        <w:t xml:space="preserve"> distribuidores </w:t>
      </w:r>
      <w:r w:rsidR="00C10207" w:rsidRPr="00A20CC4">
        <w:rPr>
          <w:rFonts w:ascii="ITC Avant Garde" w:eastAsia="Calibri" w:hAnsi="ITC Avant Garde" w:cs="Arial"/>
        </w:rPr>
        <w:t xml:space="preserve">de </w:t>
      </w:r>
      <w:r w:rsidR="005B513B" w:rsidRPr="00A20CC4">
        <w:rPr>
          <w:rFonts w:ascii="ITC Avant Garde" w:eastAsia="Calibri" w:hAnsi="ITC Avant Garde" w:cs="Arial"/>
        </w:rPr>
        <w:t xml:space="preserve">Equipos Terminales Móviles </w:t>
      </w:r>
      <w:r w:rsidR="00CD4A8A" w:rsidRPr="00A20CC4">
        <w:rPr>
          <w:rFonts w:ascii="ITC Avant Garde" w:eastAsia="Calibri" w:hAnsi="ITC Avant Garde" w:cs="Arial"/>
        </w:rPr>
        <w:t>obtenga</w:t>
      </w:r>
      <w:r w:rsidR="00022C57">
        <w:rPr>
          <w:rFonts w:ascii="ITC Avant Garde" w:eastAsia="Calibri" w:hAnsi="ITC Avant Garde" w:cs="Arial"/>
        </w:rPr>
        <w:t>n</w:t>
      </w:r>
      <w:r w:rsidR="00CD4A8A" w:rsidRPr="00A20CC4">
        <w:rPr>
          <w:rFonts w:ascii="ITC Avant Garde" w:eastAsia="Calibri" w:hAnsi="ITC Avant Garde" w:cs="Arial"/>
        </w:rPr>
        <w:t xml:space="preserve"> el Certificado de Cumplimiento</w:t>
      </w:r>
      <w:r w:rsidR="002D2725" w:rsidRPr="00A20CC4">
        <w:rPr>
          <w:rFonts w:ascii="ITC Avant Garde" w:eastAsia="Calibri" w:hAnsi="ITC Avant Garde" w:cs="Arial"/>
        </w:rPr>
        <w:t xml:space="preserve"> </w:t>
      </w:r>
      <w:r w:rsidR="0057399E">
        <w:rPr>
          <w:rFonts w:ascii="ITC Avant Garde" w:eastAsia="Calibri" w:hAnsi="ITC Avant Garde" w:cs="Arial"/>
        </w:rPr>
        <w:t xml:space="preserve">considerando </w:t>
      </w:r>
      <w:r w:rsidR="00505F80" w:rsidRPr="00A20CC4">
        <w:rPr>
          <w:rFonts w:ascii="ITC Avant Garde" w:eastAsia="Calibri" w:hAnsi="ITC Avant Garde" w:cs="Arial"/>
        </w:rPr>
        <w:t>dos escenarios</w:t>
      </w:r>
      <w:r w:rsidR="00DA4A85">
        <w:rPr>
          <w:rFonts w:ascii="ITC Avant Garde" w:eastAsia="Calibri" w:hAnsi="ITC Avant Garde" w:cs="Arial"/>
        </w:rPr>
        <w:t>.</w:t>
      </w:r>
    </w:p>
    <w:p w:rsidR="00B74F3A" w:rsidRDefault="0057399E" w:rsidP="00B60E1D">
      <w:pPr>
        <w:tabs>
          <w:tab w:val="left" w:pos="1710"/>
          <w:tab w:val="center" w:pos="4419"/>
        </w:tabs>
        <w:spacing w:line="360" w:lineRule="auto"/>
        <w:jc w:val="both"/>
        <w:rPr>
          <w:rFonts w:ascii="ITC Avant Garde" w:hAnsi="ITC Avant Garde"/>
        </w:rPr>
      </w:pPr>
      <w:r>
        <w:rPr>
          <w:rFonts w:ascii="ITC Avant Garde" w:eastAsia="Calibri" w:hAnsi="ITC Avant Garde" w:cs="Arial"/>
        </w:rPr>
        <w:t>El</w:t>
      </w:r>
      <w:r w:rsidR="00505F80" w:rsidRPr="00A20CC4">
        <w:rPr>
          <w:rFonts w:ascii="ITC Avant Garde" w:eastAsia="Calibri" w:hAnsi="ITC Avant Garde" w:cs="Arial"/>
        </w:rPr>
        <w:t xml:space="preserve"> primero de ellos consiste en realizar la evaluación de la conformidad partiendo de que el fabricante cuenta con todos los requisitos previstos en la presente Disposición Técnica, incluido la </w:t>
      </w:r>
      <w:r w:rsidR="00505F80" w:rsidRPr="00A20CC4">
        <w:rPr>
          <w:rFonts w:ascii="ITC Avant Garde" w:eastAsia="Calibri" w:hAnsi="ITC Avant Garde" w:cs="Arial"/>
          <w:b/>
        </w:rPr>
        <w:t>Relación de IMEI del Fabricante</w:t>
      </w:r>
      <w:r w:rsidR="00DA4A85">
        <w:rPr>
          <w:rFonts w:ascii="ITC Avant Garde" w:eastAsia="Calibri" w:hAnsi="ITC Avant Garde" w:cs="Arial"/>
          <w:b/>
        </w:rPr>
        <w:t>.</w:t>
      </w:r>
      <w:r w:rsidR="00B74F3A">
        <w:rPr>
          <w:rFonts w:ascii="ITC Avant Garde" w:eastAsia="Calibri" w:hAnsi="ITC Avant Garde" w:cs="Arial"/>
          <w:b/>
        </w:rPr>
        <w:t xml:space="preserve"> </w:t>
      </w:r>
      <w:r w:rsidR="00E7181D" w:rsidRPr="008B7C64">
        <w:rPr>
          <w:rFonts w:ascii="ITC Avant Garde" w:hAnsi="ITC Avant Garde"/>
        </w:rPr>
        <w:t xml:space="preserve"> </w:t>
      </w:r>
    </w:p>
    <w:p w:rsidR="007C272A" w:rsidRDefault="007C272A" w:rsidP="00B60E1D">
      <w:pPr>
        <w:tabs>
          <w:tab w:val="left" w:pos="1710"/>
          <w:tab w:val="center" w:pos="4419"/>
        </w:tabs>
        <w:spacing w:line="360" w:lineRule="auto"/>
        <w:jc w:val="both"/>
        <w:rPr>
          <w:rFonts w:ascii="ITC Avant Garde" w:eastAsia="Calibri" w:hAnsi="ITC Avant Garde" w:cs="Arial"/>
        </w:rPr>
      </w:pPr>
      <w:r w:rsidRPr="005B368A">
        <w:rPr>
          <w:rFonts w:ascii="ITC Avant Garde" w:hAnsi="ITC Avant Garde"/>
        </w:rPr>
        <w:t xml:space="preserve">El </w:t>
      </w:r>
      <w:r w:rsidRPr="005B368A">
        <w:rPr>
          <w:rFonts w:ascii="ITC Avant Garde" w:eastAsia="Calibri" w:hAnsi="ITC Avant Garde" w:cs="Arial"/>
        </w:rPr>
        <w:t xml:space="preserve">segundo escenario considera el caso de que los fabricantes, importadores, comercializadores o distribuidores de Equipos Terminales Móviles que no cuenten con la </w:t>
      </w:r>
      <w:r w:rsidRPr="005B368A">
        <w:rPr>
          <w:rFonts w:ascii="ITC Avant Garde" w:eastAsia="Calibri" w:hAnsi="ITC Avant Garde" w:cs="Arial"/>
          <w:b/>
        </w:rPr>
        <w:t>Relación de IMEI del Fabricante</w:t>
      </w:r>
      <w:r w:rsidRPr="005B368A">
        <w:rPr>
          <w:rFonts w:ascii="ITC Avant Garde" w:eastAsia="Calibri" w:hAnsi="ITC Avant Garde" w:cs="Arial"/>
        </w:rPr>
        <w:t xml:space="preserve">, presenten en su lugar una </w:t>
      </w:r>
      <w:r w:rsidRPr="005B368A">
        <w:rPr>
          <w:rFonts w:ascii="ITC Avant Garde" w:eastAsia="Calibri" w:hAnsi="ITC Avant Garde" w:cs="Arial"/>
          <w:b/>
        </w:rPr>
        <w:t>Carta Compromiso de Cumplimiento</w:t>
      </w:r>
      <w:r w:rsidR="005B368A">
        <w:rPr>
          <w:rFonts w:ascii="ITC Avant Garde" w:eastAsia="Calibri" w:hAnsi="ITC Avant Garde" w:cs="Arial"/>
          <w:b/>
        </w:rPr>
        <w:t>/</w:t>
      </w:r>
      <w:r w:rsidRPr="005B368A">
        <w:rPr>
          <w:rFonts w:ascii="ITC Avant Garde" w:eastAsia="Calibri" w:hAnsi="ITC Avant Garde" w:cs="Arial"/>
          <w:b/>
        </w:rPr>
        <w:t>Relación de IMEI del Fabricante</w:t>
      </w:r>
      <w:r w:rsidR="005B368A">
        <w:rPr>
          <w:rFonts w:ascii="ITC Avant Garde" w:eastAsia="Calibri" w:hAnsi="ITC Avant Garde" w:cs="Arial"/>
          <w:b/>
        </w:rPr>
        <w:t>/</w:t>
      </w:r>
      <w:r w:rsidRPr="005B368A">
        <w:rPr>
          <w:rFonts w:ascii="ITC Avant Garde" w:hAnsi="ITC Avant Garde"/>
          <w:b/>
        </w:rPr>
        <w:t>Carta Compromiso de IMEI único y válido,</w:t>
      </w:r>
      <w:r w:rsidRPr="005B368A" w:rsidDel="00B74F3A">
        <w:rPr>
          <w:rFonts w:ascii="ITC Avant Garde" w:eastAsia="Calibri" w:hAnsi="ITC Avant Garde" w:cs="Arial"/>
          <w:b/>
        </w:rPr>
        <w:t xml:space="preserve"> </w:t>
      </w:r>
      <w:r w:rsidRPr="005B368A">
        <w:rPr>
          <w:rFonts w:ascii="ITC Avant Garde" w:eastAsia="Calibri" w:hAnsi="ITC Avant Garde" w:cs="Arial"/>
        </w:rPr>
        <w:t xml:space="preserve">donde manifieste el cumplimiento relativo al uso de IMEI válidos y únicos asignados por la OAR; sin embargo, para dichos efectos el fabricante importador, comercializador o distribuidor de Equipos </w:t>
      </w:r>
      <w:r w:rsidRPr="005E541F">
        <w:rPr>
          <w:rFonts w:ascii="ITC Avant Garde" w:eastAsia="Calibri" w:hAnsi="ITC Avant Garde" w:cs="Arial"/>
        </w:rPr>
        <w:t>Terminales Móviles debe contar con una autorización como Empresa Certificada.</w:t>
      </w:r>
    </w:p>
    <w:p w:rsidR="00505F80" w:rsidRDefault="00505F80" w:rsidP="00B60E1D">
      <w:pPr>
        <w:tabs>
          <w:tab w:val="left" w:pos="1710"/>
          <w:tab w:val="center" w:pos="4419"/>
        </w:tabs>
        <w:spacing w:line="360" w:lineRule="auto"/>
        <w:jc w:val="both"/>
        <w:rPr>
          <w:rFonts w:ascii="ITC Avant Garde" w:eastAsia="Calibri" w:hAnsi="ITC Avant Garde" w:cs="Arial"/>
        </w:rPr>
      </w:pPr>
      <w:r w:rsidRPr="00A20CC4">
        <w:rPr>
          <w:rFonts w:ascii="ITC Avant Garde" w:eastAsia="Calibri" w:hAnsi="ITC Avant Garde" w:cs="Arial"/>
        </w:rPr>
        <w:t>En ese orden de ideas,</w:t>
      </w:r>
      <w:r w:rsidR="0082383C" w:rsidRPr="00A20CC4">
        <w:rPr>
          <w:rFonts w:ascii="ITC Avant Garde" w:eastAsia="Calibri" w:hAnsi="ITC Avant Garde" w:cs="Arial"/>
        </w:rPr>
        <w:t xml:space="preserve"> se prevé un impacto mínimo en </w:t>
      </w:r>
      <w:r w:rsidR="00B74F3A">
        <w:rPr>
          <w:rFonts w:ascii="ITC Avant Garde" w:eastAsia="Calibri" w:hAnsi="ITC Avant Garde" w:cs="Arial"/>
        </w:rPr>
        <w:t xml:space="preserve">el procedimiento de evaluación de la conformidad </w:t>
      </w:r>
      <w:r w:rsidR="0082383C" w:rsidRPr="00A20CC4">
        <w:rPr>
          <w:rFonts w:ascii="ITC Avant Garde" w:eastAsia="Calibri" w:hAnsi="ITC Avant Garde" w:cs="Arial"/>
        </w:rPr>
        <w:t xml:space="preserve">para los fabricantes, importadores, comercializadores, distribuidores </w:t>
      </w:r>
      <w:r w:rsidR="0082383C" w:rsidRPr="00A20CC4">
        <w:rPr>
          <w:rFonts w:ascii="ITC Avant Garde" w:eastAsia="Calibri" w:hAnsi="ITC Avant Garde" w:cs="Arial"/>
        </w:rPr>
        <w:lastRenderedPageBreak/>
        <w:t>o arrendadores</w:t>
      </w:r>
      <w:r w:rsidR="00B74F3A">
        <w:rPr>
          <w:rFonts w:ascii="ITC Avant Garde" w:eastAsia="Calibri" w:hAnsi="ITC Avant Garde" w:cs="Arial"/>
        </w:rPr>
        <w:t xml:space="preserve"> </w:t>
      </w:r>
      <w:r w:rsidR="00B74F3A" w:rsidRPr="00A20CC4">
        <w:rPr>
          <w:rFonts w:ascii="ITC Avant Garde" w:eastAsia="Calibri" w:hAnsi="ITC Avant Garde" w:cs="Arial"/>
        </w:rPr>
        <w:t>de Equipos Terminales Móviles</w:t>
      </w:r>
      <w:r w:rsidR="0082383C" w:rsidRPr="00A20CC4">
        <w:rPr>
          <w:rFonts w:ascii="ITC Avant Garde" w:eastAsia="Calibri" w:hAnsi="ITC Avant Garde" w:cs="Arial"/>
        </w:rPr>
        <w:t xml:space="preserve"> </w:t>
      </w:r>
      <w:r w:rsidR="00B74F3A">
        <w:rPr>
          <w:rFonts w:ascii="ITC Avant Garde" w:eastAsia="Calibri" w:hAnsi="ITC Avant Garde" w:cs="Arial"/>
        </w:rPr>
        <w:t xml:space="preserve">a ser </w:t>
      </w:r>
      <w:r w:rsidR="0082383C" w:rsidRPr="00A20CC4">
        <w:rPr>
          <w:rFonts w:ascii="ITC Avant Garde" w:eastAsia="Calibri" w:hAnsi="ITC Avant Garde" w:cs="Arial"/>
        </w:rPr>
        <w:t>introducidos y comercializados en el país</w:t>
      </w:r>
      <w:r w:rsidR="00B74F3A">
        <w:rPr>
          <w:rFonts w:ascii="ITC Avant Garde" w:eastAsia="Calibri" w:hAnsi="ITC Avant Garde" w:cs="Arial"/>
        </w:rPr>
        <w:t>.</w:t>
      </w:r>
    </w:p>
    <w:p w:rsidR="003A7FF4" w:rsidRDefault="003A7FF4" w:rsidP="00B60E1D">
      <w:pPr>
        <w:tabs>
          <w:tab w:val="left" w:pos="1710"/>
          <w:tab w:val="center" w:pos="4419"/>
        </w:tabs>
        <w:spacing w:line="360" w:lineRule="auto"/>
        <w:jc w:val="both"/>
        <w:rPr>
          <w:rFonts w:ascii="ITC Avant Garde" w:eastAsia="Calibri" w:hAnsi="ITC Avant Garde" w:cs="Arial"/>
        </w:rPr>
      </w:pPr>
    </w:p>
    <w:p w:rsidR="003A52E3" w:rsidRPr="00F71D0E" w:rsidRDefault="007C272A" w:rsidP="003A52E3">
      <w:pPr>
        <w:spacing w:line="360" w:lineRule="auto"/>
        <w:jc w:val="both"/>
        <w:rPr>
          <w:rFonts w:ascii="ITC Avant Garde" w:hAnsi="ITC Avant Garde" w:cs="Arial"/>
        </w:rPr>
      </w:pPr>
      <w:r>
        <w:rPr>
          <w:rFonts w:ascii="ITC Avant Garde" w:hAnsi="ITC Avant Garde"/>
          <w:b/>
          <w:bCs/>
          <w:lang w:eastAsia="es-MX"/>
        </w:rPr>
        <w:t>CUARTO</w:t>
      </w:r>
      <w:r w:rsidRPr="005972F2">
        <w:rPr>
          <w:rFonts w:ascii="ITC Avant Garde" w:hAnsi="ITC Avant Garde"/>
          <w:b/>
          <w:bCs/>
          <w:lang w:eastAsia="es-MX"/>
        </w:rPr>
        <w:t xml:space="preserve">.- </w:t>
      </w:r>
      <w:r w:rsidRPr="00BD5B2E">
        <w:rPr>
          <w:rFonts w:ascii="ITC Avant Garde" w:hAnsi="ITC Avant Garde" w:cs="Arial"/>
          <w:b/>
        </w:rPr>
        <w:t>Las telecomunicaciones y la radiodifusión como servicios públicos de interés general.</w:t>
      </w:r>
      <w:r w:rsidRPr="00F71D0E">
        <w:rPr>
          <w:rFonts w:ascii="ITC Avant Garde" w:hAnsi="ITC Avant Garde" w:cs="Arial"/>
        </w:rPr>
        <w:t xml:space="preserve"> </w:t>
      </w:r>
      <w:r w:rsidR="003A52E3">
        <w:rPr>
          <w:rFonts w:ascii="ITC Avant Garde" w:hAnsi="ITC Avant Garde" w:cs="Arial"/>
        </w:rPr>
        <w:t>E</w:t>
      </w:r>
      <w:r w:rsidR="003A52E3" w:rsidRPr="00F71D0E">
        <w:rPr>
          <w:rFonts w:ascii="ITC Avant Garde" w:hAnsi="ITC Avant Garde" w:cs="Arial"/>
        </w:rPr>
        <w:t xml:space="preserve">l artículo 28 de la Constitución, </w:t>
      </w:r>
      <w:r w:rsidR="003A52E3">
        <w:rPr>
          <w:rFonts w:ascii="ITC Avant Garde" w:hAnsi="ITC Avant Garde" w:cs="Arial"/>
        </w:rPr>
        <w:t>establece la obligación d</w:t>
      </w:r>
      <w:r w:rsidR="003A52E3" w:rsidRPr="00F71D0E">
        <w:rPr>
          <w:rFonts w:ascii="ITC Avant Garde" w:hAnsi="ITC Avant Garde" w:cs="Arial"/>
        </w:rPr>
        <w:t>el Instituto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rsidR="003A52E3" w:rsidRPr="00137D65" w:rsidRDefault="003A52E3" w:rsidP="003A52E3">
      <w:pPr>
        <w:spacing w:line="360" w:lineRule="auto"/>
        <w:jc w:val="both"/>
        <w:rPr>
          <w:rFonts w:ascii="ITC Avant Garde" w:hAnsi="ITC Avant Garde"/>
        </w:rPr>
      </w:pPr>
      <w:r w:rsidRPr="00137D65">
        <w:rPr>
          <w:rFonts w:ascii="ITC Avant Garde" w:hAnsi="ITC Avant Garde"/>
        </w:rPr>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rsidR="003A52E3" w:rsidRDefault="003A52E3" w:rsidP="003A52E3">
      <w:pPr>
        <w:spacing w:line="360" w:lineRule="auto"/>
        <w:jc w:val="both"/>
        <w:rPr>
          <w:rFonts w:ascii="ITC Avant Garde" w:hAnsi="ITC Avant Garde"/>
        </w:rPr>
      </w:pPr>
      <w:r>
        <w:rPr>
          <w:rFonts w:ascii="ITC Avant Garde" w:hAnsi="ITC Avant Garde"/>
        </w:rPr>
        <w:t>En el mismo sentido</w:t>
      </w:r>
      <w:r w:rsidRPr="00137D65">
        <w:rPr>
          <w:rFonts w:ascii="ITC Avant Garde" w:hAnsi="ITC Avant Garde"/>
        </w:rPr>
        <w:t>, de conformidad con la fracción III del apartado B del artículo 6</w:t>
      </w:r>
      <w:r>
        <w:rPr>
          <w:rFonts w:ascii="ITC Avant Garde" w:hAnsi="ITC Avant Garde"/>
        </w:rPr>
        <w:t>o.</w:t>
      </w:r>
      <w:r w:rsidRPr="00137D65">
        <w:rPr>
          <w:rFonts w:ascii="ITC Avant Garde" w:hAnsi="ITC Avant Garde"/>
        </w:rPr>
        <w:t xml:space="preserve">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rsidR="003A7FF4" w:rsidRPr="00137D65" w:rsidRDefault="003A7FF4" w:rsidP="003A52E3">
      <w:pPr>
        <w:spacing w:line="360" w:lineRule="auto"/>
        <w:jc w:val="both"/>
        <w:rPr>
          <w:rFonts w:ascii="ITC Avant Garde" w:hAnsi="ITC Avant Garde"/>
        </w:rPr>
      </w:pPr>
    </w:p>
    <w:p w:rsidR="003A52E3" w:rsidRDefault="001F1E7A" w:rsidP="003A52E3">
      <w:pPr>
        <w:spacing w:line="360" w:lineRule="auto"/>
        <w:jc w:val="both"/>
        <w:rPr>
          <w:rFonts w:ascii="ITC Avant Garde" w:hAnsi="ITC Avant Garde"/>
        </w:rPr>
      </w:pPr>
      <w:r>
        <w:rPr>
          <w:rFonts w:ascii="ITC Avant Garde" w:hAnsi="ITC Avant Garde"/>
          <w:b/>
        </w:rPr>
        <w:t>QUINTO</w:t>
      </w:r>
      <w:r w:rsidR="003A52E3" w:rsidRPr="00137D65">
        <w:rPr>
          <w:rFonts w:ascii="ITC Avant Garde" w:hAnsi="ITC Avant Garde"/>
        </w:rPr>
        <w:t xml:space="preserve">.- </w:t>
      </w:r>
      <w:r w:rsidR="003A52E3">
        <w:rPr>
          <w:rFonts w:ascii="ITC Avant Garde" w:hAnsi="ITC Avant Garde"/>
          <w:b/>
        </w:rPr>
        <w:t>Marco técnico regulatorio</w:t>
      </w:r>
      <w:r w:rsidR="003A52E3" w:rsidRPr="00137D65">
        <w:rPr>
          <w:rFonts w:ascii="ITC Avant Garde" w:hAnsi="ITC Avant Garde"/>
        </w:rPr>
        <w:t xml:space="preserve">. </w:t>
      </w:r>
      <w:r w:rsidR="003A52E3" w:rsidRPr="00A17171">
        <w:rPr>
          <w:rFonts w:ascii="ITC Avant Garde" w:hAnsi="ITC Avant Garde"/>
        </w:rPr>
        <w:t>Las Disposicion</w:t>
      </w:r>
      <w:r w:rsidR="003A52E3">
        <w:rPr>
          <w:rFonts w:ascii="ITC Avant Garde" w:hAnsi="ITC Avant Garde"/>
        </w:rPr>
        <w:t xml:space="preserve">es Técnicas son instrumentos de </w:t>
      </w:r>
      <w:r w:rsidR="003A52E3" w:rsidRPr="00A17171">
        <w:rPr>
          <w:rFonts w:ascii="ITC Avant Garde" w:hAnsi="ITC Avant Garde"/>
        </w:rPr>
        <w:t xml:space="preserve">observancia general expedidos por el Instituto conforme </w:t>
      </w:r>
      <w:r w:rsidR="003A52E3">
        <w:rPr>
          <w:rFonts w:ascii="ITC Avant Garde" w:hAnsi="ITC Avant Garde"/>
        </w:rPr>
        <w:t xml:space="preserve">a lo establecido en el artículo </w:t>
      </w:r>
      <w:r w:rsidR="003A52E3" w:rsidRPr="00A17171">
        <w:rPr>
          <w:rFonts w:ascii="ITC Avant Garde" w:hAnsi="ITC Avant Garde"/>
        </w:rPr>
        <w:t>15, fracción I de la LFTR, a través de los cuales se regulan característic</w:t>
      </w:r>
      <w:r w:rsidR="003A52E3">
        <w:rPr>
          <w:rFonts w:ascii="ITC Avant Garde" w:hAnsi="ITC Avant Garde"/>
        </w:rPr>
        <w:t xml:space="preserve">as y la operación </w:t>
      </w:r>
      <w:r w:rsidR="003A52E3" w:rsidRPr="00A17171">
        <w:rPr>
          <w:rFonts w:ascii="ITC Avant Garde" w:hAnsi="ITC Avant Garde"/>
        </w:rPr>
        <w:t>de productos, dispositivos y se</w:t>
      </w:r>
      <w:r w:rsidR="003A52E3">
        <w:rPr>
          <w:rFonts w:ascii="ITC Avant Garde" w:hAnsi="ITC Avant Garde"/>
        </w:rPr>
        <w:t xml:space="preserve">rvicios de telecomunicaciones y radiodifusión y, en su caso, </w:t>
      </w:r>
      <w:r w:rsidR="003A52E3" w:rsidRPr="00A17171">
        <w:rPr>
          <w:rFonts w:ascii="ITC Avant Garde" w:hAnsi="ITC Avant Garde"/>
        </w:rPr>
        <w:lastRenderedPageBreak/>
        <w:t>la instalació</w:t>
      </w:r>
      <w:r w:rsidR="003A52E3">
        <w:rPr>
          <w:rFonts w:ascii="ITC Avant Garde" w:hAnsi="ITC Avant Garde"/>
        </w:rPr>
        <w:t xml:space="preserve">n de los equipos, sistemas y la </w:t>
      </w:r>
      <w:r w:rsidR="003A52E3" w:rsidRPr="00A17171">
        <w:rPr>
          <w:rFonts w:ascii="ITC Avant Garde" w:hAnsi="ITC Avant Garde"/>
        </w:rPr>
        <w:t xml:space="preserve">infraestructura </w:t>
      </w:r>
      <w:r w:rsidR="003A52E3">
        <w:rPr>
          <w:rFonts w:ascii="ITC Avant Garde" w:hAnsi="ITC Avant Garde"/>
        </w:rPr>
        <w:t xml:space="preserve">en general asociada a éstos así </w:t>
      </w:r>
      <w:r w:rsidR="003A52E3" w:rsidRPr="00A17171">
        <w:rPr>
          <w:rFonts w:ascii="ITC Avant Garde" w:hAnsi="ITC Avant Garde"/>
        </w:rPr>
        <w:t>como las especificaciones que se refieran a su cumpli</w:t>
      </w:r>
      <w:r w:rsidR="003A52E3">
        <w:rPr>
          <w:rFonts w:ascii="ITC Avant Garde" w:hAnsi="ITC Avant Garde"/>
        </w:rPr>
        <w:t xml:space="preserve">miento o aplicación. </w:t>
      </w:r>
    </w:p>
    <w:p w:rsidR="003A52E3" w:rsidRDefault="003A52E3" w:rsidP="003A52E3">
      <w:pPr>
        <w:spacing w:line="360" w:lineRule="auto"/>
        <w:jc w:val="both"/>
        <w:rPr>
          <w:rFonts w:ascii="ITC Avant Garde" w:hAnsi="ITC Avant Garde"/>
        </w:rPr>
      </w:pPr>
      <w:r>
        <w:rPr>
          <w:rFonts w:ascii="ITC Avant Garde" w:hAnsi="ITC Avant Garde"/>
        </w:rPr>
        <w:t>En este sentid</w:t>
      </w:r>
      <w:r w:rsidR="003A568C">
        <w:rPr>
          <w:rFonts w:ascii="ITC Avant Garde" w:hAnsi="ITC Avant Garde"/>
        </w:rPr>
        <w:t>o la Disposición Técnica IFT-011</w:t>
      </w:r>
      <w:r>
        <w:rPr>
          <w:rFonts w:ascii="ITC Avant Garde" w:hAnsi="ITC Avant Garde"/>
        </w:rPr>
        <w:t>-201</w:t>
      </w:r>
      <w:r w:rsidR="009814FF">
        <w:rPr>
          <w:rFonts w:ascii="ITC Avant Garde" w:hAnsi="ITC Avant Garde"/>
        </w:rPr>
        <w:t>7</w:t>
      </w:r>
      <w:r>
        <w:rPr>
          <w:rFonts w:ascii="ITC Avant Garde" w:hAnsi="ITC Avant Garde"/>
        </w:rPr>
        <w:t xml:space="preserve">, tiene como objetivo principal </w:t>
      </w:r>
      <w:r w:rsidR="001F1E7A" w:rsidRPr="001F1E7A">
        <w:rPr>
          <w:rFonts w:ascii="ITC Avant Garde" w:hAnsi="ITC Avant Garde"/>
        </w:rPr>
        <w:t>establece</w:t>
      </w:r>
      <w:r w:rsidR="001F1E7A">
        <w:rPr>
          <w:rFonts w:ascii="ITC Avant Garde" w:hAnsi="ITC Avant Garde"/>
        </w:rPr>
        <w:t>r</w:t>
      </w:r>
      <w:r w:rsidR="001F1E7A" w:rsidRPr="001F1E7A">
        <w:rPr>
          <w:rFonts w:ascii="ITC Avant Garde" w:hAnsi="ITC Avant Garde"/>
        </w:rPr>
        <w:t xml:space="preserve"> las especificaciones relativas al </w:t>
      </w:r>
      <w:r w:rsidR="006D6F56">
        <w:rPr>
          <w:rFonts w:ascii="ITC Avant Garde" w:hAnsi="ITC Avant Garde"/>
        </w:rPr>
        <w:t xml:space="preserve">Código de </w:t>
      </w:r>
      <w:r w:rsidR="00022C57">
        <w:rPr>
          <w:rFonts w:ascii="ITC Avant Garde" w:hAnsi="ITC Avant Garde"/>
        </w:rPr>
        <w:t>i</w:t>
      </w:r>
      <w:r w:rsidR="001F1E7A" w:rsidRPr="001F1E7A">
        <w:rPr>
          <w:rFonts w:ascii="ITC Avant Garde" w:hAnsi="ITC Avant Garde"/>
        </w:rPr>
        <w:t>denti</w:t>
      </w:r>
      <w:r w:rsidR="006D6F56">
        <w:rPr>
          <w:rFonts w:ascii="ITC Avant Garde" w:hAnsi="ITC Avant Garde"/>
        </w:rPr>
        <w:t xml:space="preserve">dad de </w:t>
      </w:r>
      <w:r w:rsidR="001F1E7A" w:rsidRPr="001F1E7A">
        <w:rPr>
          <w:rFonts w:ascii="ITC Avant Garde" w:hAnsi="ITC Avant Garde"/>
        </w:rPr>
        <w:t>f</w:t>
      </w:r>
      <w:r w:rsidR="006D6F56">
        <w:rPr>
          <w:rFonts w:ascii="ITC Avant Garde" w:hAnsi="ITC Avant Garde"/>
        </w:rPr>
        <w:t>abricación</w:t>
      </w:r>
      <w:r w:rsidR="001F1E7A" w:rsidRPr="001F1E7A">
        <w:rPr>
          <w:rFonts w:ascii="ITC Avant Garde" w:hAnsi="ITC Avant Garde"/>
        </w:rPr>
        <w:t xml:space="preserve"> del Equipo (IMEI), así como el requerimiento de no bloqueo de la funcionalidad de receptor de </w:t>
      </w:r>
      <w:r w:rsidR="00FA7594">
        <w:rPr>
          <w:rFonts w:ascii="ITC Avant Garde" w:hAnsi="ITC Avant Garde"/>
        </w:rPr>
        <w:t xml:space="preserve">radiodifusión sonora en </w:t>
      </w:r>
      <w:r w:rsidR="001F1E7A" w:rsidRPr="001F1E7A">
        <w:rPr>
          <w:rFonts w:ascii="ITC Avant Garde" w:hAnsi="ITC Avant Garde"/>
        </w:rPr>
        <w:t xml:space="preserve">Frecuencia Modulada (FM) de los Equipos Terminales Móviles que </w:t>
      </w:r>
      <w:r w:rsidR="003768FD">
        <w:rPr>
          <w:rFonts w:ascii="ITC Avant Garde" w:hAnsi="ITC Avant Garde"/>
        </w:rPr>
        <w:t xml:space="preserve">puedan </w:t>
      </w:r>
      <w:r w:rsidR="001F1E7A" w:rsidRPr="001F1E7A">
        <w:rPr>
          <w:rFonts w:ascii="ITC Avant Garde" w:hAnsi="ITC Avant Garde"/>
        </w:rPr>
        <w:t>hace</w:t>
      </w:r>
      <w:r w:rsidR="003768FD">
        <w:rPr>
          <w:rFonts w:ascii="ITC Avant Garde" w:hAnsi="ITC Avant Garde"/>
        </w:rPr>
        <w:t>r</w:t>
      </w:r>
      <w:r w:rsidR="001F1E7A" w:rsidRPr="001F1E7A">
        <w:rPr>
          <w:rFonts w:ascii="ITC Avant Garde" w:hAnsi="ITC Avant Garde"/>
        </w:rPr>
        <w:t xml:space="preserve"> uso del espectro radioeléctrico </w:t>
      </w:r>
      <w:r w:rsidR="003768FD">
        <w:rPr>
          <w:rFonts w:ascii="ITC Avant Garde" w:hAnsi="ITC Avant Garde"/>
        </w:rPr>
        <w:t xml:space="preserve">o </w:t>
      </w:r>
      <w:r w:rsidR="00B771DC">
        <w:rPr>
          <w:rFonts w:ascii="ITC Avant Garde" w:hAnsi="ITC Avant Garde"/>
        </w:rPr>
        <w:t xml:space="preserve"> </w:t>
      </w:r>
      <w:r w:rsidR="001F1E7A" w:rsidRPr="001F1E7A">
        <w:rPr>
          <w:rFonts w:ascii="ITC Avant Garde" w:hAnsi="ITC Avant Garde"/>
        </w:rPr>
        <w:t>se</w:t>
      </w:r>
      <w:r w:rsidR="003768FD">
        <w:rPr>
          <w:rFonts w:ascii="ITC Avant Garde" w:hAnsi="ITC Avant Garde"/>
        </w:rPr>
        <w:t>r</w:t>
      </w:r>
      <w:r w:rsidR="001F1E7A" w:rsidRPr="001F1E7A">
        <w:rPr>
          <w:rFonts w:ascii="ITC Avant Garde" w:hAnsi="ITC Avant Garde"/>
        </w:rPr>
        <w:t xml:space="preserve"> conecta</w:t>
      </w:r>
      <w:r w:rsidR="003768FD">
        <w:rPr>
          <w:rFonts w:ascii="ITC Avant Garde" w:hAnsi="ITC Avant Garde"/>
        </w:rPr>
        <w:t>dos</w:t>
      </w:r>
      <w:r w:rsidR="00412BAD">
        <w:rPr>
          <w:rFonts w:ascii="ITC Avant Garde" w:hAnsi="ITC Avant Garde"/>
        </w:rPr>
        <w:t xml:space="preserve"> </w:t>
      </w:r>
      <w:r w:rsidR="001F1E7A" w:rsidRPr="001F1E7A">
        <w:rPr>
          <w:rFonts w:ascii="ITC Avant Garde" w:hAnsi="ITC Avant Garde"/>
        </w:rPr>
        <w:t>a red</w:t>
      </w:r>
      <w:r w:rsidR="00FA7594">
        <w:rPr>
          <w:rFonts w:ascii="ITC Avant Garde" w:hAnsi="ITC Avant Garde"/>
        </w:rPr>
        <w:t>es</w:t>
      </w:r>
      <w:r w:rsidR="001F1E7A" w:rsidRPr="001F1E7A">
        <w:rPr>
          <w:rFonts w:ascii="ITC Avant Garde" w:hAnsi="ITC Avant Garde"/>
        </w:rPr>
        <w:t xml:space="preserve"> de telecomunicaciones; y los métodos de prueba para comprobar el cumplimiento de dichas especificaciones y requerimientos.</w:t>
      </w:r>
    </w:p>
    <w:p w:rsidR="003A52E3" w:rsidRDefault="003A52E3" w:rsidP="008D55F0">
      <w:pPr>
        <w:spacing w:line="360" w:lineRule="auto"/>
        <w:jc w:val="both"/>
        <w:rPr>
          <w:rFonts w:ascii="ITC Avant Garde" w:hAnsi="ITC Avant Garde"/>
        </w:rPr>
      </w:pPr>
      <w:r w:rsidRPr="001C5288">
        <w:rPr>
          <w:rFonts w:ascii="ITC Avant Garde" w:hAnsi="ITC Avant Garde"/>
        </w:rPr>
        <w:t>Asimismo, el Instituto bajo el marco de las atribuciones que le confieren las leyes en la materia, establece como una mejor práctica regulatoria revisar la Disposición Técnica IFT-</w:t>
      </w:r>
      <w:r w:rsidR="003A568C">
        <w:rPr>
          <w:rFonts w:ascii="ITC Avant Garde" w:hAnsi="ITC Avant Garde"/>
        </w:rPr>
        <w:t>011</w:t>
      </w:r>
      <w:r w:rsidRPr="001C5288">
        <w:rPr>
          <w:rFonts w:ascii="ITC Avant Garde" w:hAnsi="ITC Avant Garde"/>
        </w:rPr>
        <w:t>-201</w:t>
      </w:r>
      <w:r w:rsidR="009814FF">
        <w:rPr>
          <w:rFonts w:ascii="ITC Avant Garde" w:hAnsi="ITC Avant Garde"/>
        </w:rPr>
        <w:t>7</w:t>
      </w:r>
      <w:r w:rsidRPr="001C5288">
        <w:rPr>
          <w:rFonts w:ascii="ITC Avant Garde" w:hAnsi="ITC Avant Garde"/>
        </w:rPr>
        <w:t xml:space="preserve"> al menos a los cinco años a partir de su entrada en vigor, a fin de identificar si la misma aún</w:t>
      </w:r>
      <w:r>
        <w:rPr>
          <w:rFonts w:ascii="ITC Avant Garde" w:hAnsi="ITC Avant Garde"/>
        </w:rPr>
        <w:t xml:space="preserve"> </w:t>
      </w:r>
      <w:r w:rsidRPr="001C5288">
        <w:rPr>
          <w:rFonts w:ascii="ITC Avant Garde" w:hAnsi="ITC Avant Garde"/>
        </w:rPr>
        <w:t xml:space="preserve">se requiere o si deben realizarse cambios en función de las condiciones que prevalezcan </w:t>
      </w:r>
      <w:r>
        <w:rPr>
          <w:rFonts w:ascii="ITC Avant Garde" w:hAnsi="ITC Avant Garde"/>
        </w:rPr>
        <w:t xml:space="preserve">en el sector de Telecomunicaciones y Radiodifusión y </w:t>
      </w:r>
      <w:r w:rsidRPr="001C5288">
        <w:rPr>
          <w:rFonts w:ascii="ITC Avant Garde" w:hAnsi="ITC Avant Garde"/>
        </w:rPr>
        <w:t>en el mercado</w:t>
      </w:r>
      <w:r>
        <w:rPr>
          <w:rFonts w:ascii="ITC Avant Garde" w:hAnsi="ITC Avant Garde"/>
        </w:rPr>
        <w:t xml:space="preserve"> en general</w:t>
      </w:r>
      <w:r w:rsidRPr="001C5288">
        <w:rPr>
          <w:rFonts w:ascii="ITC Avant Garde" w:hAnsi="ITC Avant Garde"/>
        </w:rPr>
        <w:t>. Lo anterior, de ninguna manera limita las atribuciones del Instituto para realizar dicha revisión en cualquier momento, dentro del periodo establecido.</w:t>
      </w:r>
    </w:p>
    <w:p w:rsidR="003A7FF4" w:rsidRPr="008D55F0" w:rsidRDefault="003A7FF4" w:rsidP="008D55F0">
      <w:pPr>
        <w:spacing w:line="360" w:lineRule="auto"/>
        <w:jc w:val="both"/>
        <w:rPr>
          <w:rFonts w:ascii="ITC Avant Garde" w:hAnsi="ITC Avant Garde"/>
        </w:rPr>
      </w:pPr>
    </w:p>
    <w:p w:rsidR="003A52E3" w:rsidRDefault="001F1E7A" w:rsidP="003A52E3">
      <w:pPr>
        <w:suppressAutoHyphens/>
        <w:spacing w:line="360" w:lineRule="auto"/>
        <w:ind w:right="-62"/>
        <w:jc w:val="both"/>
        <w:rPr>
          <w:rFonts w:ascii="ITC Avant Garde" w:hAnsi="ITC Avant Garde" w:cs="Arial"/>
        </w:rPr>
      </w:pPr>
      <w:r>
        <w:rPr>
          <w:rFonts w:ascii="ITC Avant Garde" w:hAnsi="ITC Avant Garde" w:cs="Arial"/>
          <w:b/>
        </w:rPr>
        <w:t>SEXTO</w:t>
      </w:r>
      <w:r w:rsidR="003A52E3" w:rsidRPr="00BD5B2E">
        <w:rPr>
          <w:rFonts w:ascii="ITC Avant Garde" w:hAnsi="ITC Avant Garde" w:cs="Arial"/>
          <w:b/>
        </w:rPr>
        <w:t>.- Impacto en el comercio exterior</w:t>
      </w:r>
      <w:r w:rsidR="003A52E3" w:rsidRPr="00137D65">
        <w:rPr>
          <w:rFonts w:ascii="ITC Avant Garde" w:hAnsi="ITC Avant Garde" w:cs="Arial"/>
        </w:rPr>
        <w:t xml:space="preserve">. </w:t>
      </w:r>
      <w:r w:rsidR="003A52E3">
        <w:rPr>
          <w:rFonts w:ascii="ITC Avant Garde" w:hAnsi="ITC Avant Garde" w:cs="Arial"/>
        </w:rPr>
        <w:t>S</w:t>
      </w:r>
      <w:r w:rsidR="003A52E3" w:rsidRPr="00137D65">
        <w:rPr>
          <w:rFonts w:ascii="ITC Avant Garde" w:hAnsi="ITC Avant Garde" w:cs="Arial"/>
        </w:rPr>
        <w:t>i bien el Instituto está facultado por la Constitución, la LFTR y su Estatuto Orgánico para emitir las disposiciones técnicas relativas a la infraestructura y los equipos que se conecten a las redes de telecomunicaciones</w:t>
      </w:r>
      <w:r w:rsidR="003A52E3">
        <w:rPr>
          <w:rFonts w:ascii="ITC Avant Garde" w:hAnsi="ITC Avant Garde" w:cs="Arial"/>
        </w:rPr>
        <w:t xml:space="preserve"> </w:t>
      </w:r>
      <w:r w:rsidR="00523C4F">
        <w:rPr>
          <w:rFonts w:ascii="ITC Avant Garde" w:hAnsi="ITC Avant Garde" w:cs="Arial"/>
        </w:rPr>
        <w:t>y</w:t>
      </w:r>
      <w:r w:rsidR="009464BE">
        <w:rPr>
          <w:rFonts w:ascii="ITC Avant Garde" w:hAnsi="ITC Avant Garde" w:cs="Arial"/>
        </w:rPr>
        <w:t xml:space="preserve"> </w:t>
      </w:r>
      <w:r w:rsidR="003A52E3">
        <w:rPr>
          <w:rFonts w:ascii="ITC Avant Garde" w:hAnsi="ITC Avant Garde" w:cs="Arial"/>
        </w:rPr>
        <w:t>hagan uso del espectro radioeléctrico</w:t>
      </w:r>
      <w:r w:rsidR="003A52E3" w:rsidRPr="00137D65">
        <w:rPr>
          <w:rFonts w:ascii="ITC Avant Garde" w:hAnsi="ITC Avant Garde" w:cs="Arial"/>
        </w:rPr>
        <w:t xml:space="preserve">, así como en materia de evaluación de la conformidad de dicha infraestructura y equipos, también es importante resaltar que la regulación de las telecomunicaciones se encuentra estrechamente vinculada a otros sectores y materias que escapan al ámbito de </w:t>
      </w:r>
      <w:r w:rsidR="003A52E3">
        <w:rPr>
          <w:rFonts w:ascii="ITC Avant Garde" w:hAnsi="ITC Avant Garde" w:cs="Arial"/>
        </w:rPr>
        <w:t xml:space="preserve">su </w:t>
      </w:r>
      <w:r w:rsidR="003A52E3" w:rsidRPr="00137D65">
        <w:rPr>
          <w:rFonts w:ascii="ITC Avant Garde" w:hAnsi="ITC Avant Garde" w:cs="Arial"/>
        </w:rPr>
        <w:t>competencia y que corresponden a dependencias de la Administración Pública Federal, como es el caso de la importación, comercialización, distribución y consumo de productos en el país.</w:t>
      </w:r>
    </w:p>
    <w:p w:rsidR="003A52E3" w:rsidRPr="00137D65" w:rsidRDefault="003A52E3" w:rsidP="001F1E7A">
      <w:pPr>
        <w:suppressAutoHyphens/>
        <w:spacing w:line="360" w:lineRule="auto"/>
        <w:ind w:right="-62"/>
        <w:jc w:val="both"/>
        <w:rPr>
          <w:rFonts w:ascii="ITC Avant Garde" w:hAnsi="ITC Avant Garde" w:cs="Arial"/>
        </w:rPr>
      </w:pPr>
      <w:r w:rsidRPr="00137D65">
        <w:rPr>
          <w:rFonts w:ascii="ITC Avant Garde" w:hAnsi="ITC Avant Garde" w:cs="Arial"/>
        </w:rPr>
        <w:lastRenderedPageBreak/>
        <w:t>Es de señalarse que en términos de los artículos 34, fracciones II, V y XXXIII, de la Ley Orgánica de la Administración Pública Federal; 38, fracción II, y 39, fracción XII, de la LFMN, en relación con los artículos 1o., 2o., 4o., fracciones III y IV, 5o., fracciones III y XIII, 16, 17, 26 y 27 de la Ley de Comercio Exterior</w:t>
      </w:r>
      <w:r w:rsidR="002B6EDB">
        <w:rPr>
          <w:rFonts w:ascii="ITC Avant Garde" w:hAnsi="ITC Avant Garde" w:cs="Arial"/>
        </w:rPr>
        <w:t xml:space="preserve"> </w:t>
      </w:r>
      <w:r w:rsidR="002B6EDB" w:rsidRPr="00137D65">
        <w:rPr>
          <w:rFonts w:ascii="ITC Avant Garde" w:hAnsi="ITC Avant Garde" w:cs="Arial"/>
        </w:rPr>
        <w:t xml:space="preserve">(en lo sucesivo, </w:t>
      </w:r>
      <w:r w:rsidR="002B6EDB">
        <w:rPr>
          <w:rFonts w:ascii="ITC Avant Garde" w:hAnsi="ITC Avant Garde" w:cs="Arial"/>
        </w:rPr>
        <w:t>la “LCE”)</w:t>
      </w:r>
      <w:r w:rsidRPr="00137D65">
        <w:rPr>
          <w:rFonts w:ascii="ITC Avant Garde" w:hAnsi="ITC Avant Garde" w:cs="Arial"/>
        </w:rPr>
        <w:t>,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rsidR="003A52E3" w:rsidRPr="00137D65" w:rsidRDefault="003A52E3" w:rsidP="003A52E3">
      <w:pPr>
        <w:spacing w:line="360" w:lineRule="auto"/>
        <w:jc w:val="both"/>
        <w:rPr>
          <w:rFonts w:ascii="ITC Avant Garde" w:hAnsi="ITC Avant Garde" w:cs="Arial"/>
        </w:rPr>
      </w:pPr>
      <w:r w:rsidRPr="00137D65">
        <w:rPr>
          <w:rFonts w:ascii="ITC Avant Garde" w:hAnsi="ITC Avant Garde" w:cs="Arial"/>
        </w:rPr>
        <w:t xml:space="preserve">El artículo 4o. de la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rsidR="003A52E3" w:rsidRPr="00137D65" w:rsidRDefault="003A52E3" w:rsidP="003A52E3">
      <w:pPr>
        <w:suppressAutoHyphens/>
        <w:spacing w:line="360" w:lineRule="auto"/>
        <w:ind w:right="-62"/>
        <w:jc w:val="both"/>
        <w:rPr>
          <w:rFonts w:ascii="ITC Avant Garde" w:hAnsi="ITC Avant Garde" w:cs="Arial"/>
        </w:rPr>
      </w:pPr>
      <w:r w:rsidRPr="00137D65">
        <w:rPr>
          <w:rFonts w:ascii="ITC Avant Garde" w:hAnsi="ITC Avant Garde" w:cs="Arial"/>
        </w:rPr>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les corresponda conforme a la tarifa respectiva”.</w:t>
      </w:r>
    </w:p>
    <w:p w:rsidR="003A52E3" w:rsidRPr="00137D65" w:rsidRDefault="003A52E3" w:rsidP="003A52E3">
      <w:pPr>
        <w:suppressAutoHyphens/>
        <w:spacing w:line="360" w:lineRule="auto"/>
        <w:ind w:right="-62"/>
        <w:jc w:val="both"/>
        <w:rPr>
          <w:rFonts w:ascii="ITC Avant Garde" w:hAnsi="ITC Avant Garde" w:cs="Arial"/>
        </w:rPr>
      </w:pPr>
      <w:r w:rsidRPr="00137D65">
        <w:rPr>
          <w:rFonts w:ascii="ITC Avant Garde" w:hAnsi="ITC Avant Garde" w:cs="Arial"/>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rsidR="003A52E3" w:rsidRPr="00137D65" w:rsidRDefault="003A52E3" w:rsidP="003A52E3">
      <w:pPr>
        <w:suppressAutoHyphens/>
        <w:ind w:right="-62"/>
        <w:jc w:val="both"/>
        <w:rPr>
          <w:rFonts w:ascii="ITC Avant Garde" w:hAnsi="ITC Avant Garde" w:cs="Arial"/>
        </w:rPr>
      </w:pPr>
      <w:r w:rsidRPr="00137D65">
        <w:rPr>
          <w:rFonts w:ascii="ITC Avant Garde" w:hAnsi="ITC Avant Garde" w:cs="Arial"/>
        </w:rPr>
        <w:lastRenderedPageBreak/>
        <w:t xml:space="preserve">A su vez, el artículo Tercero Transitorio del Decreto </w:t>
      </w:r>
      <w:r w:rsidR="009464BE">
        <w:rPr>
          <w:rFonts w:ascii="ITC Avant Garde" w:hAnsi="ITC Avant Garde" w:cs="Arial"/>
        </w:rPr>
        <w:t>por el que se expidió la</w:t>
      </w:r>
      <w:r w:rsidRPr="00137D65">
        <w:rPr>
          <w:rFonts w:ascii="ITC Avant Garde" w:hAnsi="ITC Avant Garde" w:cs="Arial"/>
        </w:rPr>
        <w:t xml:space="preserve"> L</w:t>
      </w:r>
      <w:r w:rsidR="009464BE">
        <w:rPr>
          <w:rFonts w:ascii="ITC Avant Garde" w:hAnsi="ITC Avant Garde" w:cs="Arial"/>
        </w:rPr>
        <w:t>FTR</w:t>
      </w:r>
      <w:r w:rsidRPr="00137D65">
        <w:rPr>
          <w:rFonts w:ascii="ITC Avant Garde" w:hAnsi="ITC Avant Garde" w:cs="Arial"/>
        </w:rPr>
        <w:t xml:space="preserve"> establece:</w:t>
      </w:r>
    </w:p>
    <w:p w:rsidR="003A52E3" w:rsidRPr="00137D65" w:rsidRDefault="003A52E3" w:rsidP="003A52E3">
      <w:pPr>
        <w:suppressAutoHyphens/>
        <w:spacing w:line="360" w:lineRule="auto"/>
        <w:ind w:left="567" w:right="-62"/>
        <w:jc w:val="both"/>
        <w:rPr>
          <w:rFonts w:ascii="ITC Avant Garde" w:hAnsi="ITC Avant Garde" w:cs="Arial"/>
        </w:rPr>
      </w:pPr>
      <w:r w:rsidRPr="00137D65">
        <w:rPr>
          <w:rFonts w:ascii="ITC Avant Garde" w:hAnsi="ITC Avant Garde" w:cs="Arial"/>
        </w:rPr>
        <w:t>“</w:t>
      </w:r>
      <w:r w:rsidRPr="003B2DD3">
        <w:rPr>
          <w:rFonts w:ascii="ITC Avant Garde" w:hAnsi="ITC Avant Garde" w:cs="Arial"/>
          <w:b/>
          <w:i/>
          <w:sz w:val="20"/>
          <w:szCs w:val="20"/>
        </w:rPr>
        <w:t>TERCERO.</w:t>
      </w:r>
      <w:r w:rsidRPr="003B2DD3">
        <w:rPr>
          <w:rFonts w:ascii="ITC Avant Garde" w:hAnsi="ITC Avant Garde" w:cs="Arial"/>
          <w:i/>
          <w:sz w:val="20"/>
          <w:szCs w:val="20"/>
        </w:rPr>
        <w:t xml:space="preserve">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r w:rsidRPr="00137D65">
        <w:rPr>
          <w:rFonts w:ascii="ITC Avant Garde" w:hAnsi="ITC Avant Garde" w:cs="Arial"/>
        </w:rPr>
        <w:t>”</w:t>
      </w:r>
    </w:p>
    <w:p w:rsidR="003A52E3" w:rsidRDefault="003A52E3" w:rsidP="003A52E3">
      <w:pPr>
        <w:suppressAutoHyphens/>
        <w:spacing w:line="360" w:lineRule="auto"/>
        <w:ind w:right="-62"/>
        <w:jc w:val="both"/>
        <w:rPr>
          <w:rFonts w:ascii="ITC Avant Garde" w:hAnsi="ITC Avant Garde" w:cs="Arial"/>
        </w:rPr>
      </w:pPr>
    </w:p>
    <w:p w:rsidR="003A52E3" w:rsidRDefault="003A52E3" w:rsidP="003A52E3">
      <w:pPr>
        <w:suppressAutoHyphens/>
        <w:spacing w:line="360" w:lineRule="auto"/>
        <w:ind w:right="-62"/>
        <w:jc w:val="both"/>
        <w:rPr>
          <w:rFonts w:ascii="ITC Avant Garde" w:hAnsi="ITC Avant Garde" w:cs="Arial"/>
        </w:rPr>
      </w:pPr>
      <w:r>
        <w:rPr>
          <w:rFonts w:ascii="ITC Avant Garde" w:hAnsi="ITC Avant Garde" w:cs="Arial"/>
        </w:rPr>
        <w:t xml:space="preserve">Adicionalmente, </w:t>
      </w:r>
      <w:r w:rsidRPr="00137D65">
        <w:rPr>
          <w:rFonts w:ascii="ITC Avant Garde" w:hAnsi="ITC Avant Garde" w:cs="Arial"/>
        </w:rPr>
        <w:t>el “Acuerdo por el que la Secretaría de Economía emite reglas y criterios de carácter general en materia de Comercio Exterio</w:t>
      </w:r>
      <w:r>
        <w:rPr>
          <w:rFonts w:ascii="ITC Avant Garde" w:hAnsi="ITC Avant Garde" w:cs="Arial"/>
        </w:rPr>
        <w:t xml:space="preserve">r” (en lo sucesivo, el “Acuerdo”) </w:t>
      </w:r>
      <w:r w:rsidRPr="00137D65">
        <w:rPr>
          <w:rFonts w:ascii="ITC Avant Garde" w:hAnsi="ITC Avant Garde" w:cs="Arial"/>
        </w:rPr>
        <w:t xml:space="preserve">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w:t>
      </w:r>
      <w:r>
        <w:rPr>
          <w:rFonts w:ascii="ITC Avant Garde" w:hAnsi="ITC Avant Garde" w:cs="Arial"/>
        </w:rPr>
        <w:t xml:space="preserve">de su salida” (en lo sucesivo, el “Anexo de NOM’S”).  </w:t>
      </w:r>
    </w:p>
    <w:p w:rsidR="003A52E3" w:rsidRPr="00137D65" w:rsidRDefault="003A52E3" w:rsidP="001F1E7A">
      <w:pPr>
        <w:suppressAutoHyphens/>
        <w:spacing w:line="360" w:lineRule="auto"/>
        <w:ind w:right="-62"/>
        <w:jc w:val="both"/>
        <w:rPr>
          <w:rFonts w:ascii="ITC Avant Garde" w:hAnsi="ITC Avant Garde" w:cs="Arial"/>
        </w:rPr>
      </w:pPr>
      <w:r w:rsidRPr="00DD0FD4">
        <w:rPr>
          <w:rFonts w:ascii="ITC Avant Garde" w:hAnsi="ITC Avant Garde" w:cs="Arial"/>
        </w:rPr>
        <w:t xml:space="preserve">En </w:t>
      </w:r>
      <w:r w:rsidRPr="008D33E2">
        <w:rPr>
          <w:rFonts w:ascii="ITC Avant Garde" w:hAnsi="ITC Avant Garde" w:cs="Arial"/>
        </w:rPr>
        <w:t xml:space="preserve">este sentido, los </w:t>
      </w:r>
      <w:r w:rsidR="00894398">
        <w:rPr>
          <w:rFonts w:ascii="ITC Avant Garde" w:hAnsi="ITC Avant Garde" w:cs="Arial"/>
        </w:rPr>
        <w:t>E</w:t>
      </w:r>
      <w:r w:rsidR="008D33E2" w:rsidRPr="008D33E2">
        <w:rPr>
          <w:rFonts w:ascii="ITC Avant Garde" w:hAnsi="ITC Avant Garde" w:cs="Arial"/>
        </w:rPr>
        <w:t>quipos</w:t>
      </w:r>
      <w:r w:rsidR="008D33E2">
        <w:rPr>
          <w:rFonts w:ascii="ITC Avant Garde" w:hAnsi="ITC Avant Garde" w:cs="Arial"/>
        </w:rPr>
        <w:t xml:space="preserve"> </w:t>
      </w:r>
      <w:r w:rsidR="00894398">
        <w:rPr>
          <w:rFonts w:ascii="ITC Avant Garde" w:hAnsi="ITC Avant Garde" w:cs="Arial"/>
        </w:rPr>
        <w:t>T</w:t>
      </w:r>
      <w:r w:rsidR="008D33E2">
        <w:rPr>
          <w:rFonts w:ascii="ITC Avant Garde" w:hAnsi="ITC Avant Garde" w:cs="Arial"/>
        </w:rPr>
        <w:t xml:space="preserve">erminales </w:t>
      </w:r>
      <w:r w:rsidR="00894398">
        <w:rPr>
          <w:rFonts w:ascii="ITC Avant Garde" w:hAnsi="ITC Avant Garde" w:cs="Arial"/>
        </w:rPr>
        <w:t>M</w:t>
      </w:r>
      <w:r w:rsidR="008D33E2">
        <w:rPr>
          <w:rFonts w:ascii="ITC Avant Garde" w:hAnsi="ITC Avant Garde" w:cs="Arial"/>
        </w:rPr>
        <w:t>óviles</w:t>
      </w:r>
      <w:r>
        <w:rPr>
          <w:rFonts w:ascii="ITC Avant Garde" w:hAnsi="ITC Avant Garde" w:cs="Arial"/>
        </w:rPr>
        <w:t xml:space="preserve"> que deben cumplir con l</w:t>
      </w:r>
      <w:r w:rsidR="001F1E7A">
        <w:rPr>
          <w:rFonts w:ascii="ITC Avant Garde" w:hAnsi="ITC Avant Garde" w:cs="Arial"/>
        </w:rPr>
        <w:t>a Disposición Técnica IFT-011</w:t>
      </w:r>
      <w:r w:rsidRPr="00DD0FD4">
        <w:rPr>
          <w:rFonts w:ascii="ITC Avant Garde" w:hAnsi="ITC Avant Garde" w:cs="Arial"/>
        </w:rPr>
        <w:t>-201</w:t>
      </w:r>
      <w:r w:rsidR="009814FF">
        <w:rPr>
          <w:rFonts w:ascii="ITC Avant Garde" w:hAnsi="ITC Avant Garde" w:cs="Arial"/>
        </w:rPr>
        <w:t>7</w:t>
      </w:r>
      <w:r w:rsidRPr="00DD0FD4">
        <w:rPr>
          <w:rFonts w:ascii="ITC Avant Garde" w:hAnsi="ITC Avant Garde" w:cs="Arial"/>
        </w:rPr>
        <w:t xml:space="preserve"> </w:t>
      </w:r>
      <w:r>
        <w:rPr>
          <w:rFonts w:ascii="ITC Avant Garde" w:hAnsi="ITC Avant Garde" w:cs="Arial"/>
        </w:rPr>
        <w:t xml:space="preserve">estarían contenidos </w:t>
      </w:r>
      <w:r w:rsidRPr="00DD0FD4">
        <w:rPr>
          <w:rFonts w:ascii="ITC Avant Garde" w:hAnsi="ITC Avant Garde" w:cs="Arial"/>
        </w:rPr>
        <w:t>en el Anexo de NOM’S</w:t>
      </w:r>
      <w:r>
        <w:rPr>
          <w:rFonts w:ascii="ITC Avant Garde" w:hAnsi="ITC Avant Garde" w:cs="Arial"/>
        </w:rPr>
        <w:t>, y s</w:t>
      </w:r>
      <w:r w:rsidRPr="00DD0FD4">
        <w:rPr>
          <w:rFonts w:ascii="ITC Avant Garde" w:hAnsi="ITC Avant Garde" w:cs="Arial"/>
        </w:rPr>
        <w:t>e</w:t>
      </w:r>
      <w:r>
        <w:rPr>
          <w:rFonts w:ascii="ITC Avant Garde" w:hAnsi="ITC Avant Garde" w:cs="Arial"/>
        </w:rPr>
        <w:t>rían</w:t>
      </w:r>
      <w:r w:rsidRPr="00DD0FD4">
        <w:rPr>
          <w:rFonts w:ascii="ITC Avant Garde" w:hAnsi="ITC Avant Garde" w:cs="Arial"/>
        </w:rPr>
        <w:t xml:space="preserve"> tratados en los términos dispuestos </w:t>
      </w:r>
      <w:r>
        <w:rPr>
          <w:rFonts w:ascii="ITC Avant Garde" w:hAnsi="ITC Avant Garde" w:cs="Arial"/>
        </w:rPr>
        <w:t>por el mismo</w:t>
      </w:r>
      <w:r w:rsidRPr="00DD0FD4">
        <w:rPr>
          <w:rFonts w:ascii="ITC Avant Garde" w:hAnsi="ITC Avant Garde" w:cs="Arial"/>
        </w:rPr>
        <w:t>.</w:t>
      </w:r>
    </w:p>
    <w:p w:rsidR="00EC794F" w:rsidRPr="00137D65" w:rsidRDefault="003A52E3" w:rsidP="00EC794F">
      <w:pPr>
        <w:suppressAutoHyphens/>
        <w:spacing w:line="360" w:lineRule="auto"/>
        <w:ind w:right="-62"/>
        <w:jc w:val="both"/>
        <w:rPr>
          <w:rFonts w:ascii="ITC Avant Garde" w:hAnsi="ITC Avant Garde" w:cs="Arial"/>
        </w:rPr>
      </w:pPr>
      <w:r w:rsidRPr="00137D65">
        <w:rPr>
          <w:rFonts w:ascii="ITC Avant Garde" w:hAnsi="ITC Avant Garde" w:cs="Arial"/>
        </w:rPr>
        <w:t>De ahí que la Secretaría de Economía, en el ámbito de su competencia, emita la norma oficial mexicana correspondiente, que regul</w:t>
      </w:r>
      <w:r w:rsidR="009464BE">
        <w:rPr>
          <w:rFonts w:ascii="ITC Avant Garde" w:hAnsi="ITC Avant Garde" w:cs="Arial"/>
        </w:rPr>
        <w:t>e</w:t>
      </w:r>
      <w:r w:rsidRPr="00137D65">
        <w:rPr>
          <w:rFonts w:ascii="ITC Avant Garde" w:hAnsi="ITC Avant Garde" w:cs="Arial"/>
        </w:rPr>
        <w:t xml:space="preserve"> la importación, comercialización y/o distribución dentro del territorio de los Estados Unidos Mexicanos de </w:t>
      </w:r>
      <w:r w:rsidR="00B771DC">
        <w:rPr>
          <w:rFonts w:ascii="ITC Avant Garde" w:hAnsi="ITC Avant Garde" w:cs="Arial"/>
        </w:rPr>
        <w:t>Equipos Terminales Móviles</w:t>
      </w:r>
      <w:r w:rsidRPr="00137D65">
        <w:rPr>
          <w:rFonts w:ascii="ITC Avant Garde" w:hAnsi="ITC Avant Garde" w:cs="Arial"/>
        </w:rPr>
        <w:t xml:space="preserve"> cuyas especificac</w:t>
      </w:r>
      <w:r>
        <w:rPr>
          <w:rFonts w:ascii="ITC Avant Garde" w:hAnsi="ITC Avant Garde" w:cs="Arial"/>
        </w:rPr>
        <w:t>iones se prevén en la Disposición T</w:t>
      </w:r>
      <w:r w:rsidRPr="00137D65">
        <w:rPr>
          <w:rFonts w:ascii="ITC Avant Garde" w:hAnsi="ITC Avant Garde" w:cs="Arial"/>
        </w:rPr>
        <w:t>écnica que</w:t>
      </w:r>
      <w:r w:rsidR="005E541F">
        <w:rPr>
          <w:rFonts w:ascii="ITC Avant Garde" w:hAnsi="ITC Avant Garde" w:cs="Arial"/>
        </w:rPr>
        <w:t xml:space="preserve"> </w:t>
      </w:r>
      <w:r w:rsidR="00EC794F" w:rsidRPr="005E541F">
        <w:rPr>
          <w:rFonts w:ascii="ITC Avant Garde" w:hAnsi="ITC Avant Garde" w:cs="Arial"/>
        </w:rPr>
        <w:t>emit</w:t>
      </w:r>
      <w:r w:rsidR="005E541F" w:rsidRPr="005E541F">
        <w:rPr>
          <w:rFonts w:ascii="ITC Avant Garde" w:hAnsi="ITC Avant Garde" w:cs="Arial"/>
        </w:rPr>
        <w:t>a</w:t>
      </w:r>
      <w:r w:rsidR="00EC794F" w:rsidRPr="005E541F">
        <w:rPr>
          <w:rFonts w:ascii="ITC Avant Garde" w:hAnsi="ITC Avant Garde" w:cs="Arial"/>
        </w:rPr>
        <w:t xml:space="preserve"> el Instituto.</w:t>
      </w:r>
    </w:p>
    <w:p w:rsidR="007C272A" w:rsidRPr="00137D65" w:rsidRDefault="003A52E3" w:rsidP="007C272A">
      <w:pPr>
        <w:suppressAutoHyphens/>
        <w:spacing w:line="360" w:lineRule="auto"/>
        <w:ind w:right="-62"/>
        <w:jc w:val="both"/>
        <w:rPr>
          <w:rFonts w:ascii="ITC Avant Garde" w:hAnsi="ITC Avant Garde" w:cs="Arial"/>
        </w:rPr>
      </w:pPr>
      <w:r w:rsidRPr="00137D65">
        <w:rPr>
          <w:rFonts w:ascii="ITC Avant Garde" w:hAnsi="ITC Avant Garde" w:cs="Arial"/>
        </w:rPr>
        <w:t xml:space="preserve">En este orden de ideas, </w:t>
      </w:r>
      <w:r w:rsidR="007C272A" w:rsidRPr="00137D65">
        <w:rPr>
          <w:rFonts w:ascii="ITC Avant Garde" w:hAnsi="ITC Avant Garde" w:cs="Arial"/>
        </w:rPr>
        <w:t xml:space="preserve">en el marco de la coordinación y colaboración entre el Instituto y la Secretaría de Economía que prevén la LFTR y la LFMN, al emitirse por el Instituto la </w:t>
      </w:r>
      <w:r w:rsidR="007C272A" w:rsidRPr="00137D65">
        <w:rPr>
          <w:rFonts w:ascii="ITC Avant Garde" w:hAnsi="ITC Avant Garde" w:cs="Arial"/>
        </w:rPr>
        <w:lastRenderedPageBreak/>
        <w:t>Disposición Técnica IFT-0</w:t>
      </w:r>
      <w:r w:rsidR="007C272A">
        <w:rPr>
          <w:rFonts w:ascii="ITC Avant Garde" w:hAnsi="ITC Avant Garde" w:cs="Arial"/>
        </w:rPr>
        <w:t>11</w:t>
      </w:r>
      <w:r w:rsidR="007C272A" w:rsidRPr="00137D65">
        <w:rPr>
          <w:rFonts w:ascii="ITC Avant Garde" w:hAnsi="ITC Avant Garde" w:cs="Arial"/>
        </w:rPr>
        <w:t>-201</w:t>
      </w:r>
      <w:r w:rsidR="007C272A">
        <w:rPr>
          <w:rFonts w:ascii="ITC Avant Garde" w:hAnsi="ITC Avant Garde" w:cs="Arial"/>
        </w:rPr>
        <w:t>7</w:t>
      </w:r>
      <w:r w:rsidR="007C272A" w:rsidRPr="00137D65">
        <w:rPr>
          <w:rFonts w:ascii="ITC Avant Garde" w:hAnsi="ITC Avant Garde" w:cs="Arial"/>
        </w:rPr>
        <w:t xml:space="preserve">, la </w:t>
      </w:r>
      <w:r w:rsidR="007C272A">
        <w:rPr>
          <w:rFonts w:ascii="ITC Avant Garde" w:hAnsi="ITC Avant Garde" w:cs="Arial"/>
        </w:rPr>
        <w:t>Secretaría de Economía realizaría</w:t>
      </w:r>
      <w:r w:rsidR="007C272A" w:rsidRPr="00137D65">
        <w:rPr>
          <w:rFonts w:ascii="ITC Avant Garde" w:hAnsi="ITC Avant Garde" w:cs="Arial"/>
        </w:rPr>
        <w:t xml:space="preserve"> los actos jurídicos correspondientes como son, por una parte, la emisión de la norma oficial mexicana que regul</w:t>
      </w:r>
      <w:r w:rsidR="007C272A">
        <w:rPr>
          <w:rFonts w:ascii="ITC Avant Garde" w:hAnsi="ITC Avant Garde" w:cs="Arial"/>
        </w:rPr>
        <w:t>e</w:t>
      </w:r>
      <w:r w:rsidR="007C272A" w:rsidRPr="00137D65">
        <w:rPr>
          <w:rFonts w:ascii="ITC Avant Garde" w:hAnsi="ITC Avant Garde" w:cs="Arial"/>
        </w:rPr>
        <w:t xml:space="preserve"> la importación, comercialización y/o distribución dentro del territorio de los Estados Unidos Mexicanos de </w:t>
      </w:r>
      <w:r w:rsidR="007C272A">
        <w:rPr>
          <w:rFonts w:ascii="ITC Avant Garde" w:hAnsi="ITC Avant Garde" w:cs="Arial"/>
        </w:rPr>
        <w:t>Equipos Terminales Móviles</w:t>
      </w:r>
      <w:r w:rsidR="007C272A" w:rsidRPr="00137D65">
        <w:rPr>
          <w:rFonts w:ascii="ITC Avant Garde" w:hAnsi="ITC Avant Garde" w:cs="Arial"/>
        </w:rPr>
        <w:t xml:space="preserve"> </w:t>
      </w:r>
      <w:r w:rsidR="007C272A">
        <w:rPr>
          <w:rFonts w:ascii="ITC Avant Garde" w:hAnsi="ITC Avant Garde" w:cs="Arial"/>
        </w:rPr>
        <w:t>y</w:t>
      </w:r>
      <w:r w:rsidR="007C272A" w:rsidRPr="00137D65">
        <w:rPr>
          <w:rFonts w:ascii="ITC Avant Garde" w:hAnsi="ITC Avant Garde" w:cs="Arial"/>
        </w:rPr>
        <w:t>, por la otra, la actualización del Acuerdo citado.</w:t>
      </w:r>
    </w:p>
    <w:p w:rsidR="007C272A" w:rsidRPr="00137D65" w:rsidRDefault="003A52E3" w:rsidP="007C272A">
      <w:pPr>
        <w:suppressAutoHyphens/>
        <w:spacing w:line="360" w:lineRule="auto"/>
        <w:ind w:right="-62"/>
        <w:jc w:val="both"/>
        <w:rPr>
          <w:rFonts w:ascii="ITC Avant Garde" w:hAnsi="ITC Avant Garde" w:cs="Arial"/>
        </w:rPr>
      </w:pPr>
      <w:r w:rsidRPr="00137D65">
        <w:rPr>
          <w:rFonts w:ascii="ITC Avant Garde" w:hAnsi="ITC Avant Garde" w:cs="Arial"/>
        </w:rPr>
        <w:t xml:space="preserve">Tal situación se fortalece con lo señalado en el </w:t>
      </w:r>
      <w:r w:rsidR="005E541F">
        <w:rPr>
          <w:rFonts w:ascii="ITC Avant Garde" w:hAnsi="ITC Avant Garde" w:cs="Arial"/>
        </w:rPr>
        <w:t>referido</w:t>
      </w:r>
      <w:r w:rsidR="005E541F" w:rsidRPr="00923D76">
        <w:rPr>
          <w:rFonts w:ascii="ITC Avant Garde" w:hAnsi="ITC Avant Garde" w:cs="Arial"/>
        </w:rPr>
        <w:t xml:space="preserve"> </w:t>
      </w:r>
      <w:r w:rsidR="00E809E2" w:rsidRPr="00501D8D">
        <w:rPr>
          <w:rFonts w:ascii="ITC Avant Garde" w:hAnsi="ITC Avant Garde" w:cs="Arial"/>
        </w:rPr>
        <w:t>Acuerdo</w:t>
      </w:r>
      <w:r w:rsidRPr="00501D8D">
        <w:rPr>
          <w:rFonts w:ascii="ITC Avant Garde" w:hAnsi="ITC Avant Garde" w:cs="Arial"/>
        </w:rPr>
        <w:t xml:space="preserve">, en el sentido de </w:t>
      </w:r>
      <w:r w:rsidR="007C272A" w:rsidRPr="00501D8D">
        <w:rPr>
          <w:rFonts w:ascii="ITC Avant Garde" w:hAnsi="ITC Avant Garde" w:cs="Arial"/>
        </w:rPr>
        <w:t>“Que es obligación del Ejecutivo</w:t>
      </w:r>
      <w:r w:rsidR="007C272A" w:rsidRPr="00137D65">
        <w:rPr>
          <w:rFonts w:ascii="ITC Avant Garde" w:hAnsi="ITC Avant Garde" w:cs="Arial"/>
        </w:rPr>
        <w:t xml:space="preserve">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w:t>
      </w:r>
      <w:r w:rsidR="007C272A">
        <w:rPr>
          <w:rFonts w:ascii="ITC Avant Garde" w:hAnsi="ITC Avant Garde" w:cs="Arial"/>
        </w:rPr>
        <w:t xml:space="preserve"> (</w:t>
      </w:r>
      <w:r w:rsidR="007C272A" w:rsidRPr="00137D65">
        <w:rPr>
          <w:rFonts w:ascii="ITC Avant Garde" w:hAnsi="ITC Avant Garde" w:cs="Arial"/>
        </w:rPr>
        <w:t>…</w:t>
      </w:r>
      <w:r w:rsidR="007C272A">
        <w:rPr>
          <w:rFonts w:ascii="ITC Avant Garde" w:hAnsi="ITC Avant Garde" w:cs="Arial"/>
        </w:rPr>
        <w:t>)</w:t>
      </w:r>
      <w:r w:rsidR="007C272A" w:rsidRPr="00137D65">
        <w:rPr>
          <w:rFonts w:ascii="ITC Avant Garde" w:hAnsi="ITC Avant Garde" w:cs="Arial"/>
        </w:rPr>
        <w:t xml:space="preserve">”. </w:t>
      </w:r>
    </w:p>
    <w:p w:rsidR="003A52E3" w:rsidRDefault="003A52E3" w:rsidP="008D55F0">
      <w:pPr>
        <w:tabs>
          <w:tab w:val="left" w:pos="5933"/>
        </w:tabs>
        <w:suppressAutoHyphens/>
        <w:spacing w:line="360" w:lineRule="auto"/>
        <w:ind w:right="48"/>
        <w:jc w:val="both"/>
        <w:rPr>
          <w:rFonts w:ascii="ITC Avant Garde" w:hAnsi="ITC Avant Garde" w:cs="Arial"/>
        </w:rPr>
      </w:pPr>
      <w:r w:rsidRPr="00137D65">
        <w:rPr>
          <w:rFonts w:ascii="ITC Avant Garde" w:hAnsi="ITC Avant Garde" w:cs="Arial"/>
        </w:rPr>
        <w:t>Derivado de lo anterior, en el punto de entrada a México, respecto de los productos identificados en las Fracciones Arancelarias del Anexo 2.4.1 como derivados de la Disposición Técnica IFT-0</w:t>
      </w:r>
      <w:r w:rsidR="001F1E7A">
        <w:rPr>
          <w:rFonts w:ascii="ITC Avant Garde" w:hAnsi="ITC Avant Garde" w:cs="Arial"/>
        </w:rPr>
        <w:t>11</w:t>
      </w:r>
      <w:r w:rsidRPr="00137D65">
        <w:rPr>
          <w:rFonts w:ascii="ITC Avant Garde" w:hAnsi="ITC Avant Garde" w:cs="Arial"/>
        </w:rPr>
        <w:t>-201</w:t>
      </w:r>
      <w:r w:rsidR="009814FF">
        <w:rPr>
          <w:rFonts w:ascii="ITC Avant Garde" w:hAnsi="ITC Avant Garde" w:cs="Arial"/>
        </w:rPr>
        <w:t>7</w:t>
      </w:r>
      <w:r w:rsidRPr="00137D65">
        <w:rPr>
          <w:rFonts w:ascii="ITC Avant Garde" w:hAnsi="ITC Avant Garde" w:cs="Arial"/>
        </w:rPr>
        <w:t>,</w:t>
      </w:r>
      <w:r>
        <w:rPr>
          <w:rFonts w:ascii="ITC Avant Garde" w:hAnsi="ITC Avant Garde" w:cs="Arial"/>
        </w:rPr>
        <w:t xml:space="preserve"> las autoridades aduaneras deberán</w:t>
      </w:r>
      <w:r w:rsidRPr="00137D65">
        <w:rPr>
          <w:rFonts w:ascii="ITC Avant Garde" w:hAnsi="ITC Avant Garde" w:cs="Arial"/>
        </w:rPr>
        <w:t xml:space="preserve"> hacer cumplir lo dispuesto por la norma oficial mexicana correspondiente que regule la importación, comercialización y/o distribución dentro del territorio de los Estados Unidos Mexicanos de </w:t>
      </w:r>
      <w:r w:rsidR="00B771DC">
        <w:rPr>
          <w:rFonts w:ascii="ITC Avant Garde" w:hAnsi="ITC Avant Garde" w:cs="Arial"/>
        </w:rPr>
        <w:t>Equipos Terminales Móviles</w:t>
      </w:r>
      <w:r w:rsidRPr="00137D65">
        <w:rPr>
          <w:rFonts w:ascii="ITC Avant Garde" w:hAnsi="ITC Avant Garde" w:cs="Arial"/>
        </w:rPr>
        <w:t>, cuyas especificaciones se prevén en la Disposición Técnica IFT-0</w:t>
      </w:r>
      <w:r w:rsidR="001F1E7A">
        <w:rPr>
          <w:rFonts w:ascii="ITC Avant Garde" w:hAnsi="ITC Avant Garde" w:cs="Arial"/>
        </w:rPr>
        <w:t>11</w:t>
      </w:r>
      <w:r w:rsidRPr="00137D65">
        <w:rPr>
          <w:rFonts w:ascii="ITC Avant Garde" w:hAnsi="ITC Avant Garde" w:cs="Arial"/>
        </w:rPr>
        <w:t>-201</w:t>
      </w:r>
      <w:r w:rsidR="009814FF">
        <w:rPr>
          <w:rFonts w:ascii="ITC Avant Garde" w:hAnsi="ITC Avant Garde" w:cs="Arial"/>
        </w:rPr>
        <w:t>7</w:t>
      </w:r>
      <w:r w:rsidRPr="00137D65">
        <w:rPr>
          <w:rFonts w:ascii="ITC Avant Garde" w:hAnsi="ITC Avant Garde" w:cs="Arial"/>
        </w:rPr>
        <w:t>.</w:t>
      </w:r>
    </w:p>
    <w:p w:rsidR="003A7FF4" w:rsidRPr="008D55F0" w:rsidRDefault="003A7FF4" w:rsidP="008D55F0">
      <w:pPr>
        <w:tabs>
          <w:tab w:val="left" w:pos="5933"/>
        </w:tabs>
        <w:suppressAutoHyphens/>
        <w:spacing w:line="360" w:lineRule="auto"/>
        <w:ind w:right="48"/>
        <w:jc w:val="both"/>
        <w:rPr>
          <w:rFonts w:ascii="ITC Avant Garde" w:hAnsi="ITC Avant Garde" w:cs="Arial"/>
        </w:rPr>
      </w:pPr>
    </w:p>
    <w:p w:rsidR="00EA272A" w:rsidRPr="00EA272A" w:rsidRDefault="00EA272A" w:rsidP="00EA272A">
      <w:pPr>
        <w:spacing w:line="360" w:lineRule="auto"/>
        <w:jc w:val="both"/>
        <w:rPr>
          <w:rFonts w:ascii="ITC Avant Garde" w:hAnsi="ITC Avant Garde"/>
        </w:rPr>
      </w:pPr>
      <w:r>
        <w:rPr>
          <w:rFonts w:ascii="ITC Avant Garde" w:hAnsi="ITC Avant Garde"/>
          <w:b/>
        </w:rPr>
        <w:t>SÉPTIMO</w:t>
      </w:r>
      <w:r w:rsidR="003A52E3" w:rsidRPr="00137D65">
        <w:rPr>
          <w:rFonts w:ascii="ITC Avant Garde" w:hAnsi="ITC Avant Garde"/>
        </w:rPr>
        <w:t>.-</w:t>
      </w:r>
      <w:r w:rsidR="003A52E3">
        <w:rPr>
          <w:rFonts w:ascii="ITC Avant Garde" w:hAnsi="ITC Avant Garde"/>
          <w:b/>
        </w:rPr>
        <w:t xml:space="preserve">Necesidad de emitir la </w:t>
      </w:r>
      <w:r w:rsidR="003A52E3" w:rsidRPr="00B07FD1">
        <w:rPr>
          <w:rFonts w:ascii="ITC Avant Garde" w:hAnsi="ITC Avant Garde"/>
          <w:b/>
        </w:rPr>
        <w:t>DISPOSICIÓN TÉCNICA IFT-0</w:t>
      </w:r>
      <w:r>
        <w:rPr>
          <w:rFonts w:ascii="ITC Avant Garde" w:hAnsi="ITC Avant Garde"/>
          <w:b/>
        </w:rPr>
        <w:t>11</w:t>
      </w:r>
      <w:r w:rsidR="003A52E3" w:rsidRPr="00B07FD1">
        <w:rPr>
          <w:rFonts w:ascii="ITC Avant Garde" w:hAnsi="ITC Avant Garde"/>
          <w:b/>
        </w:rPr>
        <w:t>-20</w:t>
      </w:r>
      <w:r w:rsidR="001E4A73">
        <w:rPr>
          <w:rFonts w:ascii="ITC Avant Garde" w:hAnsi="ITC Avant Garde"/>
          <w:b/>
        </w:rPr>
        <w:t>1</w:t>
      </w:r>
      <w:r w:rsidR="009814FF">
        <w:rPr>
          <w:rFonts w:ascii="ITC Avant Garde" w:hAnsi="ITC Avant Garde"/>
          <w:b/>
        </w:rPr>
        <w:t>7</w:t>
      </w:r>
      <w:r w:rsidR="001E4A73">
        <w:rPr>
          <w:rFonts w:ascii="ITC Avant Garde" w:hAnsi="ITC Avant Garde"/>
          <w:b/>
        </w:rPr>
        <w:t>:</w:t>
      </w:r>
      <w:r w:rsidR="003A52E3" w:rsidRPr="00B07FD1">
        <w:rPr>
          <w:rFonts w:ascii="ITC Avant Garde" w:hAnsi="ITC Avant Garde" w:cs="Tahoma"/>
          <w:b/>
          <w:bCs/>
          <w:color w:val="000000"/>
          <w:lang w:eastAsia="es-MX"/>
        </w:rPr>
        <w:t xml:space="preserve"> </w:t>
      </w:r>
      <w:r w:rsidRPr="00EA272A">
        <w:rPr>
          <w:rFonts w:ascii="ITC Avant Garde" w:hAnsi="ITC Avant Garde" w:cs="Tahoma"/>
          <w:b/>
          <w:bCs/>
          <w:color w:val="000000"/>
        </w:rPr>
        <w:t xml:space="preserve">ESPECIFICACIONES DE LOS EQUIPOS TERMINALES MÓVILES QUE </w:t>
      </w:r>
      <w:r w:rsidR="00A5438C">
        <w:rPr>
          <w:rFonts w:ascii="ITC Avant Garde" w:hAnsi="ITC Avant Garde" w:cs="Tahoma"/>
          <w:b/>
          <w:bCs/>
          <w:color w:val="000000"/>
        </w:rPr>
        <w:t xml:space="preserve">PUEDAN </w:t>
      </w:r>
      <w:r w:rsidRPr="00EA272A">
        <w:rPr>
          <w:rFonts w:ascii="ITC Avant Garde" w:hAnsi="ITC Avant Garde" w:cs="Tahoma"/>
          <w:b/>
          <w:bCs/>
          <w:color w:val="000000"/>
        </w:rPr>
        <w:t>HACE</w:t>
      </w:r>
      <w:r w:rsidR="00A5438C">
        <w:rPr>
          <w:rFonts w:ascii="ITC Avant Garde" w:hAnsi="ITC Avant Garde" w:cs="Tahoma"/>
          <w:b/>
          <w:bCs/>
          <w:color w:val="000000"/>
        </w:rPr>
        <w:t>R</w:t>
      </w:r>
      <w:r w:rsidRPr="00EA272A">
        <w:rPr>
          <w:rFonts w:ascii="ITC Avant Garde" w:hAnsi="ITC Avant Garde" w:cs="Tahoma"/>
          <w:b/>
          <w:bCs/>
          <w:color w:val="000000"/>
        </w:rPr>
        <w:t xml:space="preserve"> USO DEL ESPECTRO RADIOELÉCTRICO </w:t>
      </w:r>
      <w:r w:rsidR="00A5438C">
        <w:rPr>
          <w:rFonts w:ascii="ITC Avant Garde" w:hAnsi="ITC Avant Garde" w:cs="Tahoma"/>
          <w:b/>
          <w:bCs/>
          <w:color w:val="000000"/>
        </w:rPr>
        <w:t>O</w:t>
      </w:r>
      <w:r w:rsidR="00412BAD">
        <w:rPr>
          <w:rFonts w:ascii="ITC Avant Garde" w:hAnsi="ITC Avant Garde" w:cs="Tahoma"/>
          <w:b/>
          <w:bCs/>
          <w:color w:val="000000"/>
        </w:rPr>
        <w:t xml:space="preserve"> </w:t>
      </w:r>
      <w:r w:rsidR="009464BE">
        <w:rPr>
          <w:rFonts w:ascii="ITC Avant Garde" w:hAnsi="ITC Avant Garde" w:cs="Tahoma"/>
          <w:b/>
          <w:bCs/>
          <w:color w:val="000000"/>
        </w:rPr>
        <w:t xml:space="preserve"> </w:t>
      </w:r>
      <w:r w:rsidRPr="00EA272A">
        <w:rPr>
          <w:rFonts w:ascii="ITC Avant Garde" w:hAnsi="ITC Avant Garde" w:cs="Tahoma"/>
          <w:b/>
          <w:bCs/>
          <w:color w:val="000000"/>
        </w:rPr>
        <w:t>SE</w:t>
      </w:r>
      <w:r w:rsidR="00A5438C">
        <w:rPr>
          <w:rFonts w:ascii="ITC Avant Garde" w:hAnsi="ITC Avant Garde" w:cs="Tahoma"/>
          <w:b/>
          <w:bCs/>
          <w:color w:val="000000"/>
        </w:rPr>
        <w:t>R</w:t>
      </w:r>
      <w:r w:rsidRPr="00EA272A">
        <w:rPr>
          <w:rFonts w:ascii="ITC Avant Garde" w:hAnsi="ITC Avant Garde" w:cs="Tahoma"/>
          <w:b/>
          <w:bCs/>
          <w:color w:val="000000"/>
        </w:rPr>
        <w:t xml:space="preserve"> CONECTA</w:t>
      </w:r>
      <w:r w:rsidR="00A5438C">
        <w:rPr>
          <w:rFonts w:ascii="ITC Avant Garde" w:hAnsi="ITC Avant Garde" w:cs="Tahoma"/>
          <w:b/>
          <w:bCs/>
          <w:color w:val="000000"/>
        </w:rPr>
        <w:t>DOS</w:t>
      </w:r>
      <w:r w:rsidRPr="00EA272A">
        <w:rPr>
          <w:rFonts w:ascii="ITC Avant Garde" w:hAnsi="ITC Avant Garde" w:cs="Tahoma"/>
          <w:b/>
          <w:bCs/>
          <w:color w:val="000000"/>
        </w:rPr>
        <w:t xml:space="preserve"> A REDES DE TELECOMUNICACIONES</w:t>
      </w:r>
      <w:r w:rsidR="00412BAD">
        <w:rPr>
          <w:rFonts w:ascii="ITC Avant Garde" w:hAnsi="ITC Avant Garde" w:cs="Tahoma"/>
          <w:b/>
          <w:bCs/>
          <w:color w:val="000000"/>
        </w:rPr>
        <w:t>.</w:t>
      </w:r>
      <w:r w:rsidR="00A5438C">
        <w:rPr>
          <w:rFonts w:ascii="ITC Avant Garde" w:hAnsi="ITC Avant Garde" w:cs="Tahoma"/>
          <w:b/>
          <w:bCs/>
          <w:color w:val="000000"/>
        </w:rPr>
        <w:t xml:space="preserve"> </w:t>
      </w:r>
      <w:r w:rsidR="00412BAD">
        <w:rPr>
          <w:rFonts w:ascii="ITC Avant Garde" w:hAnsi="ITC Avant Garde" w:cs="Tahoma"/>
          <w:b/>
          <w:bCs/>
          <w:color w:val="000000"/>
        </w:rPr>
        <w:t xml:space="preserve">PARTE 1. </w:t>
      </w:r>
      <w:r w:rsidR="00A5438C">
        <w:rPr>
          <w:rFonts w:ascii="ITC Avant Garde" w:hAnsi="ITC Avant Garde" w:cs="Tahoma"/>
          <w:b/>
          <w:bCs/>
          <w:color w:val="000000"/>
        </w:rPr>
        <w:t xml:space="preserve">CÓDIGO DE </w:t>
      </w:r>
      <w:r w:rsidRPr="00EA272A">
        <w:rPr>
          <w:rFonts w:ascii="ITC Avant Garde" w:hAnsi="ITC Avant Garde" w:cs="Tahoma"/>
          <w:b/>
          <w:bCs/>
          <w:color w:val="000000"/>
        </w:rPr>
        <w:t>IDENTI</w:t>
      </w:r>
      <w:r w:rsidR="00A5438C">
        <w:rPr>
          <w:rFonts w:ascii="ITC Avant Garde" w:hAnsi="ITC Avant Garde" w:cs="Tahoma"/>
          <w:b/>
          <w:bCs/>
          <w:color w:val="000000"/>
        </w:rPr>
        <w:t xml:space="preserve">DAD DE </w:t>
      </w:r>
      <w:r w:rsidRPr="00EA272A">
        <w:rPr>
          <w:rFonts w:ascii="ITC Avant Garde" w:hAnsi="ITC Avant Garde" w:cs="Tahoma"/>
          <w:b/>
          <w:bCs/>
          <w:color w:val="000000"/>
        </w:rPr>
        <w:t>F</w:t>
      </w:r>
      <w:r w:rsidR="00A5438C">
        <w:rPr>
          <w:rFonts w:ascii="ITC Avant Garde" w:hAnsi="ITC Avant Garde" w:cs="Tahoma"/>
          <w:b/>
          <w:bCs/>
          <w:color w:val="000000"/>
        </w:rPr>
        <w:t xml:space="preserve">ABRICACIÓN </w:t>
      </w:r>
      <w:r w:rsidRPr="00EA272A">
        <w:rPr>
          <w:rFonts w:ascii="ITC Avant Garde" w:hAnsi="ITC Avant Garde" w:cs="Tahoma"/>
          <w:b/>
          <w:bCs/>
          <w:color w:val="000000"/>
        </w:rPr>
        <w:t xml:space="preserve">DEL EQUIPO (IMEI) Y FUNCIONALIDAD DE RECEPTOR DE </w:t>
      </w:r>
      <w:r w:rsidR="00742C64">
        <w:rPr>
          <w:rFonts w:ascii="ITC Avant Garde" w:hAnsi="ITC Avant Garde" w:cs="Tahoma"/>
          <w:b/>
          <w:bCs/>
          <w:color w:val="000000"/>
        </w:rPr>
        <w:t xml:space="preserve">RADIODIFUSIÓN SONORA EN </w:t>
      </w:r>
      <w:r w:rsidRPr="00EA272A">
        <w:rPr>
          <w:rFonts w:ascii="ITC Avant Garde" w:hAnsi="ITC Avant Garde" w:cs="Tahoma"/>
          <w:b/>
          <w:bCs/>
          <w:color w:val="000000"/>
        </w:rPr>
        <w:t>FRECUENCIA MODULADA (FM)</w:t>
      </w:r>
      <w:r w:rsidR="003A52E3">
        <w:rPr>
          <w:rFonts w:ascii="ITC Avant Garde" w:hAnsi="ITC Avant Garde"/>
          <w:b/>
        </w:rPr>
        <w:t xml:space="preserve">. </w:t>
      </w:r>
      <w:r w:rsidR="003A52E3" w:rsidRPr="00137D65">
        <w:rPr>
          <w:rFonts w:ascii="ITC Avant Garde" w:hAnsi="ITC Avant Garde"/>
        </w:rPr>
        <w:t>Con fundamento en los párrafos décimo quinto y vigésimo, fracción IV, del artículo 28 de la Constitución y los artículos 1, 2, 7, párrafos segundo y cuarto, y 15, fracción I, de la LFTR, corresponde exclusivamente al Instituto, como órgano constitucional autónomo, emitir una disposición de obse</w:t>
      </w:r>
      <w:r>
        <w:rPr>
          <w:rFonts w:ascii="ITC Avant Garde" w:hAnsi="ITC Avant Garde"/>
        </w:rPr>
        <w:t xml:space="preserve">rvancia general que establezca </w:t>
      </w:r>
      <w:r w:rsidRPr="00EA272A">
        <w:rPr>
          <w:rFonts w:ascii="ITC Avant Garde" w:hAnsi="ITC Avant Garde"/>
        </w:rPr>
        <w:t xml:space="preserve">las especificaciones relativas al </w:t>
      </w:r>
      <w:r w:rsidR="00AD55F3">
        <w:rPr>
          <w:rFonts w:ascii="ITC Avant Garde" w:hAnsi="ITC Avant Garde"/>
        </w:rPr>
        <w:t xml:space="preserve">Código de </w:t>
      </w:r>
      <w:r w:rsidR="00022C57">
        <w:rPr>
          <w:rFonts w:ascii="ITC Avant Garde" w:hAnsi="ITC Avant Garde"/>
        </w:rPr>
        <w:t>i</w:t>
      </w:r>
      <w:r w:rsidRPr="00EA272A">
        <w:rPr>
          <w:rFonts w:ascii="ITC Avant Garde" w:hAnsi="ITC Avant Garde"/>
        </w:rPr>
        <w:t>denti</w:t>
      </w:r>
      <w:r w:rsidR="00AD55F3">
        <w:rPr>
          <w:rFonts w:ascii="ITC Avant Garde" w:hAnsi="ITC Avant Garde"/>
        </w:rPr>
        <w:t xml:space="preserve">dad de </w:t>
      </w:r>
      <w:r w:rsidRPr="00EA272A">
        <w:rPr>
          <w:rFonts w:ascii="ITC Avant Garde" w:hAnsi="ITC Avant Garde"/>
        </w:rPr>
        <w:t>f</w:t>
      </w:r>
      <w:r w:rsidR="00AD55F3">
        <w:rPr>
          <w:rFonts w:ascii="ITC Avant Garde" w:hAnsi="ITC Avant Garde"/>
        </w:rPr>
        <w:t>abricación</w:t>
      </w:r>
      <w:r w:rsidRPr="00EA272A">
        <w:rPr>
          <w:rFonts w:ascii="ITC Avant Garde" w:hAnsi="ITC Avant Garde"/>
        </w:rPr>
        <w:t xml:space="preserve"> </w:t>
      </w:r>
      <w:r w:rsidR="00022C57">
        <w:rPr>
          <w:rFonts w:ascii="ITC Avant Garde" w:hAnsi="ITC Avant Garde"/>
        </w:rPr>
        <w:t xml:space="preserve">del </w:t>
      </w:r>
      <w:r w:rsidRPr="00EA272A">
        <w:rPr>
          <w:rFonts w:ascii="ITC Avant Garde" w:hAnsi="ITC Avant Garde"/>
        </w:rPr>
        <w:t xml:space="preserve">Equipo (IMEI), así como el requerimiento de no </w:t>
      </w:r>
      <w:r w:rsidRPr="00EA272A">
        <w:rPr>
          <w:rFonts w:ascii="ITC Avant Garde" w:hAnsi="ITC Avant Garde"/>
        </w:rPr>
        <w:lastRenderedPageBreak/>
        <w:t xml:space="preserve">bloqueo de la </w:t>
      </w:r>
      <w:r w:rsidRPr="00EA272A">
        <w:rPr>
          <w:rFonts w:ascii="ITC Avant Garde" w:eastAsia="Times New Roman" w:hAnsi="ITC Avant Garde" w:cs="Tahoma"/>
          <w:bCs/>
          <w:color w:val="000000"/>
          <w:lang w:eastAsia="es-MX"/>
        </w:rPr>
        <w:t xml:space="preserve">funcionalidad de </w:t>
      </w:r>
      <w:r w:rsidRPr="00EA272A">
        <w:rPr>
          <w:rFonts w:ascii="ITC Avant Garde" w:hAnsi="ITC Avant Garde"/>
        </w:rPr>
        <w:t xml:space="preserve">receptor de </w:t>
      </w:r>
      <w:r w:rsidR="00C40420">
        <w:rPr>
          <w:rFonts w:ascii="ITC Avant Garde" w:hAnsi="ITC Avant Garde"/>
        </w:rPr>
        <w:t xml:space="preserve">radiodifusión sonora en </w:t>
      </w:r>
      <w:r w:rsidRPr="00EA272A">
        <w:rPr>
          <w:rFonts w:ascii="ITC Avant Garde" w:hAnsi="ITC Avant Garde"/>
        </w:rPr>
        <w:t xml:space="preserve">Frecuencia Modulada (FM) de los Equipos Terminales Móviles que </w:t>
      </w:r>
      <w:r w:rsidR="00D1452A">
        <w:rPr>
          <w:rFonts w:ascii="ITC Avant Garde" w:hAnsi="ITC Avant Garde"/>
        </w:rPr>
        <w:t xml:space="preserve">puedan </w:t>
      </w:r>
      <w:r w:rsidRPr="00EA272A">
        <w:rPr>
          <w:rFonts w:ascii="ITC Avant Garde" w:hAnsi="ITC Avant Garde"/>
        </w:rPr>
        <w:t>hace</w:t>
      </w:r>
      <w:r w:rsidR="00D1452A">
        <w:rPr>
          <w:rFonts w:ascii="ITC Avant Garde" w:hAnsi="ITC Avant Garde"/>
        </w:rPr>
        <w:t>r</w:t>
      </w:r>
      <w:r w:rsidRPr="00EA272A">
        <w:rPr>
          <w:rFonts w:ascii="ITC Avant Garde" w:hAnsi="ITC Avant Garde"/>
        </w:rPr>
        <w:t xml:space="preserve"> uso del espectro radioeléctrico </w:t>
      </w:r>
      <w:r w:rsidR="00D1452A">
        <w:rPr>
          <w:rFonts w:ascii="ITC Avant Garde" w:hAnsi="ITC Avant Garde"/>
        </w:rPr>
        <w:t>o</w:t>
      </w:r>
      <w:r w:rsidRPr="00EA272A">
        <w:rPr>
          <w:rFonts w:ascii="ITC Avant Garde" w:hAnsi="ITC Avant Garde"/>
        </w:rPr>
        <w:t xml:space="preserve"> </w:t>
      </w:r>
      <w:r w:rsidR="00412BAD">
        <w:rPr>
          <w:rFonts w:ascii="ITC Avant Garde" w:hAnsi="ITC Avant Garde"/>
        </w:rPr>
        <w:t xml:space="preserve"> </w:t>
      </w:r>
      <w:r w:rsidRPr="00EA272A">
        <w:rPr>
          <w:rFonts w:ascii="ITC Avant Garde" w:hAnsi="ITC Avant Garde"/>
        </w:rPr>
        <w:t>se</w:t>
      </w:r>
      <w:r w:rsidR="00D1452A">
        <w:rPr>
          <w:rFonts w:ascii="ITC Avant Garde" w:hAnsi="ITC Avant Garde"/>
        </w:rPr>
        <w:t>r</w:t>
      </w:r>
      <w:r w:rsidRPr="00EA272A">
        <w:rPr>
          <w:rFonts w:ascii="ITC Avant Garde" w:hAnsi="ITC Avant Garde"/>
        </w:rPr>
        <w:t xml:space="preserve"> conecta</w:t>
      </w:r>
      <w:r w:rsidR="00D1452A">
        <w:rPr>
          <w:rFonts w:ascii="ITC Avant Garde" w:hAnsi="ITC Avant Garde"/>
        </w:rPr>
        <w:t>dos</w:t>
      </w:r>
      <w:r w:rsidRPr="00EA272A">
        <w:rPr>
          <w:rFonts w:ascii="ITC Avant Garde" w:hAnsi="ITC Avant Garde"/>
        </w:rPr>
        <w:t xml:space="preserve"> a red</w:t>
      </w:r>
      <w:r w:rsidR="00C40420">
        <w:rPr>
          <w:rFonts w:ascii="ITC Avant Garde" w:hAnsi="ITC Avant Garde"/>
        </w:rPr>
        <w:t>es</w:t>
      </w:r>
      <w:r w:rsidRPr="00EA272A">
        <w:rPr>
          <w:rFonts w:ascii="ITC Avant Garde" w:hAnsi="ITC Avant Garde"/>
        </w:rPr>
        <w:t xml:space="preserve"> de telecomunicaciones; y los métodos de prueba para comprobar el cumplimiento de dichas especificaciones y requerimientos.</w:t>
      </w:r>
    </w:p>
    <w:p w:rsidR="003A52E3" w:rsidRPr="00137D65" w:rsidRDefault="003A52E3" w:rsidP="0059696A">
      <w:pPr>
        <w:spacing w:line="360" w:lineRule="auto"/>
        <w:jc w:val="both"/>
        <w:rPr>
          <w:rFonts w:ascii="ITC Avant Garde" w:hAnsi="ITC Avant Garde"/>
        </w:rPr>
      </w:pPr>
      <w:r>
        <w:rPr>
          <w:rFonts w:ascii="ITC Avant Garde" w:hAnsi="ITC Avant Garde"/>
        </w:rPr>
        <w:t xml:space="preserve">Lo anterior, a efectos de que </w:t>
      </w:r>
      <w:r w:rsidR="0059696A">
        <w:rPr>
          <w:rFonts w:ascii="ITC Avant Garde" w:hAnsi="ITC Avant Garde"/>
        </w:rPr>
        <w:t xml:space="preserve">la existencia de un IMEI único y válido en un Equipo Terminal Móvil sea un requerimiento para la obtención del certificado de homologación correspondiente. Consecuentemente, </w:t>
      </w:r>
      <w:r>
        <w:rPr>
          <w:rFonts w:ascii="ITC Avant Garde" w:hAnsi="ITC Avant Garde"/>
        </w:rPr>
        <w:t xml:space="preserve">dichos equipos </w:t>
      </w:r>
      <w:r w:rsidR="0059696A">
        <w:rPr>
          <w:rFonts w:ascii="ITC Avant Garde" w:hAnsi="ITC Avant Garde"/>
        </w:rPr>
        <w:t>podrían</w:t>
      </w:r>
      <w:r w:rsidR="00EA272A">
        <w:rPr>
          <w:rFonts w:ascii="ITC Avant Garde" w:hAnsi="ITC Avant Garde"/>
        </w:rPr>
        <w:t xml:space="preserve"> ser </w:t>
      </w:r>
      <w:r w:rsidR="00B771DC">
        <w:rPr>
          <w:rFonts w:ascii="ITC Avant Garde" w:hAnsi="ITC Avant Garde"/>
        </w:rPr>
        <w:t xml:space="preserve">inequívocamente </w:t>
      </w:r>
      <w:r w:rsidR="0059696A">
        <w:rPr>
          <w:rFonts w:ascii="ITC Avant Garde" w:hAnsi="ITC Avant Garde"/>
        </w:rPr>
        <w:t>identificados</w:t>
      </w:r>
      <w:r w:rsidR="00EA272A">
        <w:rPr>
          <w:rFonts w:ascii="ITC Avant Garde" w:hAnsi="ITC Avant Garde"/>
        </w:rPr>
        <w:t>, pudiéndose efectuar el bloqueo de los mismos cuando exista reporte de robo o extravío.</w:t>
      </w:r>
    </w:p>
    <w:p w:rsidR="0059696A" w:rsidRPr="00137D65" w:rsidRDefault="0059696A" w:rsidP="00BC5C28">
      <w:pPr>
        <w:spacing w:line="360" w:lineRule="auto"/>
        <w:jc w:val="both"/>
        <w:rPr>
          <w:rFonts w:ascii="ITC Avant Garde" w:hAnsi="ITC Avant Garde"/>
        </w:rPr>
      </w:pPr>
      <w:r>
        <w:rPr>
          <w:rFonts w:ascii="ITC Avant Garde" w:hAnsi="ITC Avant Garde"/>
        </w:rPr>
        <w:t>Asimismo, el no bloqueo de la funcionalidad de recep</w:t>
      </w:r>
      <w:r w:rsidR="009B324E">
        <w:rPr>
          <w:rFonts w:ascii="ITC Avant Garde" w:hAnsi="ITC Avant Garde"/>
        </w:rPr>
        <w:t>tor</w:t>
      </w:r>
      <w:r>
        <w:rPr>
          <w:rFonts w:ascii="ITC Avant Garde" w:hAnsi="ITC Avant Garde"/>
        </w:rPr>
        <w:t xml:space="preserve"> de FM, permitirá a los usuarios   </w:t>
      </w:r>
      <w:r w:rsidR="007C272A">
        <w:rPr>
          <w:rFonts w:ascii="ITC Avant Garde" w:hAnsi="ITC Avant Garde"/>
        </w:rPr>
        <w:t xml:space="preserve">acceder a los </w:t>
      </w:r>
      <w:r>
        <w:rPr>
          <w:rFonts w:ascii="ITC Avant Garde" w:hAnsi="ITC Avant Garde"/>
        </w:rPr>
        <w:t>contenidos radiodifundidos</w:t>
      </w:r>
      <w:r w:rsidR="007C272A">
        <w:rPr>
          <w:rFonts w:ascii="ITC Avant Garde" w:hAnsi="ITC Avant Garde"/>
        </w:rPr>
        <w:t xml:space="preserve"> en FM</w:t>
      </w:r>
      <w:r>
        <w:rPr>
          <w:rFonts w:ascii="ITC Avant Garde" w:hAnsi="ITC Avant Garde"/>
        </w:rPr>
        <w:t xml:space="preserve"> sin costo</w:t>
      </w:r>
      <w:r w:rsidR="007C272A">
        <w:rPr>
          <w:rFonts w:ascii="ITC Avant Garde" w:hAnsi="ITC Avant Garde"/>
        </w:rPr>
        <w:t xml:space="preserve"> alguno y </w:t>
      </w:r>
      <w:r>
        <w:rPr>
          <w:rFonts w:ascii="ITC Avant Garde" w:hAnsi="ITC Avant Garde"/>
        </w:rPr>
        <w:t xml:space="preserve"> </w:t>
      </w:r>
      <w:r w:rsidR="00BC5C28">
        <w:rPr>
          <w:rFonts w:ascii="ITC Avant Garde" w:hAnsi="ITC Avant Garde"/>
        </w:rPr>
        <w:t xml:space="preserve">(sin hacer uso de su plan de datos móviles) </w:t>
      </w:r>
      <w:r>
        <w:rPr>
          <w:rFonts w:ascii="ITC Avant Garde" w:hAnsi="ITC Avant Garde"/>
        </w:rPr>
        <w:t>así como recibir, en su caso, alertas en caso de emergencias o desastre.</w:t>
      </w:r>
    </w:p>
    <w:p w:rsidR="003A52E3" w:rsidRPr="00137D65" w:rsidRDefault="003A52E3" w:rsidP="0012481D">
      <w:pPr>
        <w:spacing w:line="360" w:lineRule="auto"/>
        <w:jc w:val="both"/>
        <w:rPr>
          <w:rFonts w:ascii="ITC Avant Garde" w:hAnsi="ITC Avant Garde"/>
        </w:rPr>
      </w:pPr>
      <w:r w:rsidRPr="00137D65">
        <w:rPr>
          <w:rFonts w:ascii="ITC Avant Garde" w:hAnsi="ITC Avant Garde"/>
        </w:rPr>
        <w:t>Derivado de lo anterior, la expedición de la Disposición Técnica IFT-0</w:t>
      </w:r>
      <w:r w:rsidR="00EA272A">
        <w:rPr>
          <w:rFonts w:ascii="ITC Avant Garde" w:hAnsi="ITC Avant Garde"/>
        </w:rPr>
        <w:t>11</w:t>
      </w:r>
      <w:r w:rsidRPr="00137D65">
        <w:rPr>
          <w:rFonts w:ascii="ITC Avant Garde" w:hAnsi="ITC Avant Garde"/>
        </w:rPr>
        <w:t>-201</w:t>
      </w:r>
      <w:r w:rsidR="009814FF">
        <w:rPr>
          <w:rFonts w:ascii="ITC Avant Garde" w:hAnsi="ITC Avant Garde"/>
        </w:rPr>
        <w:t>7</w:t>
      </w:r>
      <w:r w:rsidRPr="00137D65">
        <w:rPr>
          <w:rFonts w:ascii="ITC Avant Garde" w:hAnsi="ITC Avant Garde"/>
        </w:rPr>
        <w:t xml:space="preserve"> generaría los siguientes beneficios:</w:t>
      </w:r>
    </w:p>
    <w:p w:rsidR="00BC5C28" w:rsidRDefault="003A52E3" w:rsidP="00BC5C28">
      <w:pPr>
        <w:pStyle w:val="Texto"/>
        <w:numPr>
          <w:ilvl w:val="0"/>
          <w:numId w:val="9"/>
        </w:numPr>
        <w:spacing w:line="360" w:lineRule="auto"/>
        <w:rPr>
          <w:rFonts w:ascii="ITC Avant Garde" w:hAnsi="ITC Avant Garde"/>
          <w:sz w:val="22"/>
          <w:szCs w:val="22"/>
        </w:rPr>
      </w:pPr>
      <w:r w:rsidRPr="00BD5B2E">
        <w:rPr>
          <w:rFonts w:ascii="ITC Avant Garde" w:hAnsi="ITC Avant Garde"/>
          <w:sz w:val="22"/>
          <w:szCs w:val="22"/>
        </w:rPr>
        <w:t xml:space="preserve">Certidumbre jurídica respecto de las </w:t>
      </w:r>
      <w:r w:rsidR="00BC5C28" w:rsidRPr="00BC5C28">
        <w:rPr>
          <w:rFonts w:ascii="ITC Avant Garde" w:hAnsi="ITC Avant Garde"/>
          <w:sz w:val="22"/>
          <w:szCs w:val="22"/>
        </w:rPr>
        <w:t xml:space="preserve">especificaciones relativas al </w:t>
      </w:r>
      <w:r w:rsidR="009C3367">
        <w:rPr>
          <w:rFonts w:ascii="ITC Avant Garde" w:hAnsi="ITC Avant Garde"/>
          <w:sz w:val="22"/>
          <w:szCs w:val="22"/>
        </w:rPr>
        <w:t xml:space="preserve">Código de </w:t>
      </w:r>
      <w:r w:rsidR="00022C57">
        <w:rPr>
          <w:rFonts w:ascii="ITC Avant Garde" w:hAnsi="ITC Avant Garde"/>
          <w:sz w:val="22"/>
          <w:szCs w:val="22"/>
        </w:rPr>
        <w:t>i</w:t>
      </w:r>
      <w:r w:rsidR="00BC5C28" w:rsidRPr="00BC5C28">
        <w:rPr>
          <w:rFonts w:ascii="ITC Avant Garde" w:hAnsi="ITC Avant Garde"/>
          <w:sz w:val="22"/>
          <w:szCs w:val="22"/>
        </w:rPr>
        <w:t>denti</w:t>
      </w:r>
      <w:r w:rsidR="009C3367">
        <w:rPr>
          <w:rFonts w:ascii="ITC Avant Garde" w:hAnsi="ITC Avant Garde"/>
          <w:sz w:val="22"/>
          <w:szCs w:val="22"/>
        </w:rPr>
        <w:t xml:space="preserve">dad de </w:t>
      </w:r>
      <w:r w:rsidR="00BC5C28" w:rsidRPr="00BC5C28">
        <w:rPr>
          <w:rFonts w:ascii="ITC Avant Garde" w:hAnsi="ITC Avant Garde"/>
          <w:sz w:val="22"/>
          <w:szCs w:val="22"/>
        </w:rPr>
        <w:t>f</w:t>
      </w:r>
      <w:r w:rsidR="009C3367">
        <w:rPr>
          <w:rFonts w:ascii="ITC Avant Garde" w:hAnsi="ITC Avant Garde"/>
          <w:sz w:val="22"/>
          <w:szCs w:val="22"/>
        </w:rPr>
        <w:t xml:space="preserve">abricación </w:t>
      </w:r>
      <w:r w:rsidR="00BC5C28" w:rsidRPr="00BC5C28">
        <w:rPr>
          <w:rFonts w:ascii="ITC Avant Garde" w:hAnsi="ITC Avant Garde"/>
          <w:sz w:val="22"/>
          <w:szCs w:val="22"/>
        </w:rPr>
        <w:t xml:space="preserve">del Equipo (IMEI), así como el requerimiento de no bloqueo de la funcionalidad de receptor de </w:t>
      </w:r>
      <w:r w:rsidR="00742C64">
        <w:rPr>
          <w:rFonts w:ascii="ITC Avant Garde" w:hAnsi="ITC Avant Garde"/>
          <w:sz w:val="22"/>
          <w:szCs w:val="22"/>
        </w:rPr>
        <w:t xml:space="preserve">radiofrecuencia sonora en </w:t>
      </w:r>
      <w:r w:rsidR="00BC5C28" w:rsidRPr="00BC5C28">
        <w:rPr>
          <w:rFonts w:ascii="ITC Avant Garde" w:hAnsi="ITC Avant Garde"/>
          <w:sz w:val="22"/>
          <w:szCs w:val="22"/>
        </w:rPr>
        <w:t xml:space="preserve">Frecuencia Modulada (FM) de los Equipos Terminales Móviles que </w:t>
      </w:r>
      <w:r w:rsidR="009C3367">
        <w:rPr>
          <w:rFonts w:ascii="ITC Avant Garde" w:hAnsi="ITC Avant Garde"/>
          <w:sz w:val="22"/>
          <w:szCs w:val="22"/>
        </w:rPr>
        <w:t xml:space="preserve">puedan </w:t>
      </w:r>
      <w:r w:rsidR="00BC5C28" w:rsidRPr="00BC5C28">
        <w:rPr>
          <w:rFonts w:ascii="ITC Avant Garde" w:hAnsi="ITC Avant Garde"/>
          <w:sz w:val="22"/>
          <w:szCs w:val="22"/>
        </w:rPr>
        <w:t>hace</w:t>
      </w:r>
      <w:r w:rsidR="009C3367">
        <w:rPr>
          <w:rFonts w:ascii="ITC Avant Garde" w:hAnsi="ITC Avant Garde"/>
          <w:sz w:val="22"/>
          <w:szCs w:val="22"/>
        </w:rPr>
        <w:t>r</w:t>
      </w:r>
      <w:r w:rsidR="00BC5C28" w:rsidRPr="00BC5C28">
        <w:rPr>
          <w:rFonts w:ascii="ITC Avant Garde" w:hAnsi="ITC Avant Garde"/>
          <w:sz w:val="22"/>
          <w:szCs w:val="22"/>
        </w:rPr>
        <w:t xml:space="preserve"> uso del espectro radioeléctrico </w:t>
      </w:r>
      <w:r w:rsidR="009C3367">
        <w:rPr>
          <w:rFonts w:ascii="ITC Avant Garde" w:hAnsi="ITC Avant Garde"/>
          <w:sz w:val="22"/>
          <w:szCs w:val="22"/>
        </w:rPr>
        <w:t>o</w:t>
      </w:r>
      <w:r w:rsidR="00BC5C28" w:rsidRPr="00BC5C28">
        <w:rPr>
          <w:rFonts w:ascii="ITC Avant Garde" w:hAnsi="ITC Avant Garde"/>
          <w:sz w:val="22"/>
          <w:szCs w:val="22"/>
        </w:rPr>
        <w:t xml:space="preserve"> </w:t>
      </w:r>
      <w:r w:rsidR="00412BAD">
        <w:rPr>
          <w:rFonts w:ascii="ITC Avant Garde" w:hAnsi="ITC Avant Garde"/>
          <w:sz w:val="22"/>
          <w:szCs w:val="22"/>
        </w:rPr>
        <w:t xml:space="preserve"> </w:t>
      </w:r>
      <w:r w:rsidR="00BC5C28" w:rsidRPr="00BC5C28">
        <w:rPr>
          <w:rFonts w:ascii="ITC Avant Garde" w:hAnsi="ITC Avant Garde"/>
          <w:sz w:val="22"/>
          <w:szCs w:val="22"/>
        </w:rPr>
        <w:t>se</w:t>
      </w:r>
      <w:r w:rsidR="009C3367">
        <w:rPr>
          <w:rFonts w:ascii="ITC Avant Garde" w:hAnsi="ITC Avant Garde"/>
          <w:sz w:val="22"/>
          <w:szCs w:val="22"/>
        </w:rPr>
        <w:t>r</w:t>
      </w:r>
      <w:r w:rsidR="00BC5C28" w:rsidRPr="00BC5C28">
        <w:rPr>
          <w:rFonts w:ascii="ITC Avant Garde" w:hAnsi="ITC Avant Garde"/>
          <w:sz w:val="22"/>
          <w:szCs w:val="22"/>
        </w:rPr>
        <w:t xml:space="preserve"> conecta</w:t>
      </w:r>
      <w:r w:rsidR="009C3367">
        <w:rPr>
          <w:rFonts w:ascii="ITC Avant Garde" w:hAnsi="ITC Avant Garde"/>
          <w:sz w:val="22"/>
          <w:szCs w:val="22"/>
        </w:rPr>
        <w:t>dos</w:t>
      </w:r>
      <w:r w:rsidR="00BC5C28" w:rsidRPr="00BC5C28">
        <w:rPr>
          <w:rFonts w:ascii="ITC Avant Garde" w:hAnsi="ITC Avant Garde"/>
          <w:sz w:val="22"/>
          <w:szCs w:val="22"/>
        </w:rPr>
        <w:t xml:space="preserve"> a red</w:t>
      </w:r>
      <w:r w:rsidR="00C40420">
        <w:rPr>
          <w:rFonts w:ascii="ITC Avant Garde" w:hAnsi="ITC Avant Garde"/>
          <w:sz w:val="22"/>
          <w:szCs w:val="22"/>
        </w:rPr>
        <w:t>es</w:t>
      </w:r>
      <w:r w:rsidR="00BC5C28" w:rsidRPr="00BC5C28">
        <w:rPr>
          <w:rFonts w:ascii="ITC Avant Garde" w:hAnsi="ITC Avant Garde"/>
          <w:sz w:val="22"/>
          <w:szCs w:val="22"/>
        </w:rPr>
        <w:t xml:space="preserve"> de telecomunicaciones; y los métodos de prueba para comprobar el cumplimiento de dichas especificaciones y requerimientos.</w:t>
      </w:r>
    </w:p>
    <w:p w:rsidR="003A52E3" w:rsidRDefault="00BC5C28" w:rsidP="00BC5C28">
      <w:pPr>
        <w:pStyle w:val="Texto"/>
        <w:numPr>
          <w:ilvl w:val="0"/>
          <w:numId w:val="9"/>
        </w:numPr>
        <w:spacing w:line="360" w:lineRule="auto"/>
        <w:rPr>
          <w:rFonts w:ascii="ITC Avant Garde" w:hAnsi="ITC Avant Garde"/>
          <w:sz w:val="22"/>
          <w:szCs w:val="22"/>
        </w:rPr>
      </w:pPr>
      <w:r>
        <w:rPr>
          <w:rFonts w:ascii="ITC Avant Garde" w:hAnsi="ITC Avant Garde"/>
          <w:sz w:val="22"/>
          <w:szCs w:val="22"/>
        </w:rPr>
        <w:t xml:space="preserve">En caso de que </w:t>
      </w:r>
      <w:r w:rsidR="00053057">
        <w:rPr>
          <w:rFonts w:ascii="ITC Avant Garde" w:hAnsi="ITC Avant Garde"/>
          <w:sz w:val="22"/>
          <w:szCs w:val="22"/>
        </w:rPr>
        <w:t xml:space="preserve">el </w:t>
      </w:r>
      <w:r>
        <w:rPr>
          <w:rFonts w:ascii="ITC Avant Garde" w:hAnsi="ITC Avant Garde"/>
          <w:sz w:val="22"/>
          <w:szCs w:val="22"/>
        </w:rPr>
        <w:t>Equipo Terminal Móvil cuente con la funcionalidad de recep</w:t>
      </w:r>
      <w:r w:rsidR="001802CC">
        <w:rPr>
          <w:rFonts w:ascii="ITC Avant Garde" w:hAnsi="ITC Avant Garde"/>
          <w:sz w:val="22"/>
          <w:szCs w:val="22"/>
        </w:rPr>
        <w:t xml:space="preserve">tor </w:t>
      </w:r>
      <w:r>
        <w:rPr>
          <w:rFonts w:ascii="ITC Avant Garde" w:hAnsi="ITC Avant Garde"/>
          <w:sz w:val="22"/>
          <w:szCs w:val="22"/>
        </w:rPr>
        <w:t xml:space="preserve"> de FM, los usuarios podrán </w:t>
      </w:r>
      <w:r w:rsidRPr="00BC5C28">
        <w:rPr>
          <w:rFonts w:ascii="ITC Avant Garde" w:hAnsi="ITC Avant Garde"/>
          <w:sz w:val="22"/>
          <w:szCs w:val="22"/>
        </w:rPr>
        <w:t>gozar de contenidos radiodifundidos sin costo (sin hacer uso de su plan de datos móviles) así como recibir, en su caso, alertas en caso de emergencias o desastre.</w:t>
      </w:r>
    </w:p>
    <w:p w:rsidR="003A52E3" w:rsidRDefault="004E5CCE" w:rsidP="008D55F0">
      <w:pPr>
        <w:pStyle w:val="Prrafodelista"/>
        <w:numPr>
          <w:ilvl w:val="0"/>
          <w:numId w:val="9"/>
        </w:numPr>
        <w:spacing w:line="360" w:lineRule="auto"/>
        <w:jc w:val="both"/>
        <w:rPr>
          <w:rFonts w:ascii="ITC Avant Garde" w:hAnsi="ITC Avant Garde"/>
        </w:rPr>
      </w:pPr>
      <w:r>
        <w:rPr>
          <w:rFonts w:ascii="ITC Avant Garde" w:hAnsi="ITC Avant Garde"/>
        </w:rPr>
        <w:lastRenderedPageBreak/>
        <w:t>Los E</w:t>
      </w:r>
      <w:r w:rsidRPr="004E5CCE">
        <w:rPr>
          <w:rFonts w:ascii="ITC Avant Garde" w:hAnsi="ITC Avant Garde"/>
        </w:rPr>
        <w:t>quipos</w:t>
      </w:r>
      <w:r>
        <w:rPr>
          <w:rFonts w:ascii="ITC Avant Garde" w:hAnsi="ITC Avant Garde"/>
        </w:rPr>
        <w:t xml:space="preserve"> Terminales Móviles</w:t>
      </w:r>
      <w:r w:rsidRPr="004E5CCE">
        <w:rPr>
          <w:rFonts w:ascii="ITC Avant Garde" w:hAnsi="ITC Avant Garde"/>
        </w:rPr>
        <w:t xml:space="preserve"> podr</w:t>
      </w:r>
      <w:r>
        <w:rPr>
          <w:rFonts w:ascii="ITC Avant Garde" w:hAnsi="ITC Avant Garde"/>
        </w:rPr>
        <w:t>án</w:t>
      </w:r>
      <w:r w:rsidRPr="004E5CCE">
        <w:rPr>
          <w:rFonts w:ascii="ITC Avant Garde" w:hAnsi="ITC Avant Garde"/>
        </w:rPr>
        <w:t xml:space="preserve"> ser </w:t>
      </w:r>
      <w:r w:rsidR="00B771DC">
        <w:rPr>
          <w:rFonts w:ascii="ITC Avant Garde" w:hAnsi="ITC Avant Garde"/>
        </w:rPr>
        <w:t>inequí</w:t>
      </w:r>
      <w:r w:rsidR="00B771DC" w:rsidRPr="004E5CCE">
        <w:rPr>
          <w:rFonts w:ascii="ITC Avant Garde" w:hAnsi="ITC Avant Garde"/>
        </w:rPr>
        <w:t xml:space="preserve">vocamente </w:t>
      </w:r>
      <w:r w:rsidRPr="004E5CCE">
        <w:rPr>
          <w:rFonts w:ascii="ITC Avant Garde" w:hAnsi="ITC Avant Garde"/>
        </w:rPr>
        <w:t>identificados, pudiéndose efectuar el bloqueo de los mismos cuando exista reporte de robo o extravío.</w:t>
      </w:r>
    </w:p>
    <w:p w:rsidR="003A7FF4" w:rsidRPr="008D55F0" w:rsidRDefault="003A7FF4" w:rsidP="003A7FF4">
      <w:pPr>
        <w:pStyle w:val="Prrafodelista"/>
        <w:spacing w:line="360" w:lineRule="auto"/>
        <w:jc w:val="both"/>
        <w:rPr>
          <w:rFonts w:ascii="ITC Avant Garde" w:hAnsi="ITC Avant Garde"/>
        </w:rPr>
      </w:pPr>
    </w:p>
    <w:p w:rsidR="003A52E3" w:rsidRPr="00CA4CE2" w:rsidRDefault="004E5CCE" w:rsidP="003A52E3">
      <w:pPr>
        <w:spacing w:line="360" w:lineRule="auto"/>
        <w:ind w:right="-57"/>
        <w:jc w:val="both"/>
        <w:rPr>
          <w:rFonts w:ascii="ITC Avant Garde" w:hAnsi="ITC Avant Garde" w:cs="Arial"/>
        </w:rPr>
      </w:pPr>
      <w:r>
        <w:rPr>
          <w:rFonts w:ascii="ITC Avant Garde" w:hAnsi="ITC Avant Garde"/>
          <w:b/>
        </w:rPr>
        <w:t>OCTAVO</w:t>
      </w:r>
      <w:r w:rsidR="003A52E3" w:rsidRPr="00137D65">
        <w:rPr>
          <w:rFonts w:ascii="ITC Avant Garde" w:hAnsi="ITC Avant Garde"/>
        </w:rPr>
        <w:t>.</w:t>
      </w:r>
      <w:r w:rsidR="003A52E3">
        <w:rPr>
          <w:rFonts w:ascii="ITC Avant Garde" w:hAnsi="ITC Avant Garde"/>
        </w:rPr>
        <w:t xml:space="preserve"> </w:t>
      </w:r>
      <w:r w:rsidR="003A52E3" w:rsidRPr="00846764">
        <w:rPr>
          <w:rFonts w:ascii="ITC Avant Garde" w:hAnsi="ITC Avant Garde"/>
          <w:b/>
        </w:rPr>
        <w:t>Consulta pública</w:t>
      </w:r>
      <w:r w:rsidR="003A52E3" w:rsidRPr="00846764">
        <w:rPr>
          <w:rFonts w:ascii="ITC Avant Garde" w:hAnsi="ITC Avant Garde"/>
        </w:rPr>
        <w:t xml:space="preserve">. </w:t>
      </w:r>
      <w:r w:rsidR="003A52E3" w:rsidRPr="00CA4CE2">
        <w:rPr>
          <w:rFonts w:ascii="ITC Avant Garde" w:hAnsi="ITC Avant Garde" w:cs="Arial"/>
        </w:rPr>
        <w:t>Con fundamento en lo establecido en el artículo 51 de la LFTR, el Instituto sometió a consulta pública bajo los principios de transparencia y participación ciudadana</w:t>
      </w:r>
      <w:r w:rsidR="003A52E3">
        <w:rPr>
          <w:rFonts w:ascii="ITC Avant Garde" w:hAnsi="ITC Avant Garde"/>
        </w:rPr>
        <w:t xml:space="preserve">, el </w:t>
      </w:r>
      <w:r w:rsidR="003A52E3" w:rsidRPr="008D55F0">
        <w:rPr>
          <w:rFonts w:ascii="ITC Avant Garde" w:hAnsi="ITC Avant Garde"/>
          <w:color w:val="000000"/>
        </w:rPr>
        <w:t>“</w:t>
      </w:r>
      <w:r w:rsidRPr="008D55F0">
        <w:rPr>
          <w:rFonts w:ascii="ITC Avant Garde" w:hAnsi="ITC Avant Garde"/>
          <w:color w:val="000000"/>
        </w:rPr>
        <w:t>ANTEPROYECTO DE DISPOSICIÓN TÉCNICA IFT-011-2016: ESPECIFICACIONES DE LOS EQUIPOS TERMINALES MÓVILES QUE PUEDEN HACER USO DEL ESPECTRO RADIOELÉCTRICO Y QUE PUEDEN SER CONECTADOS A REDES PÚBLICAS DE TELECOMUNICACIONES. IDENTIFICADOR INTERNACIONAL DEL EQUIPO TERMINAL MÓVIL (IMEI) Y FUNCIONALIDAD DE RECEPTOR DE FRECUENCIA MODULADA (FM).”</w:t>
      </w:r>
      <w:r w:rsidR="003A52E3">
        <w:rPr>
          <w:rFonts w:ascii="ITC Avant Garde" w:hAnsi="ITC Avant Garde"/>
        </w:rPr>
        <w:t xml:space="preserve"> </w:t>
      </w:r>
      <w:r w:rsidR="003A52E3" w:rsidRPr="00CA4CE2">
        <w:rPr>
          <w:rFonts w:ascii="ITC Avant Garde" w:hAnsi="ITC Avant Garde" w:cs="Arial"/>
        </w:rPr>
        <w:t>durante un periodo de veinte días hábiles, comprendido del 1</w:t>
      </w:r>
      <w:r>
        <w:rPr>
          <w:rFonts w:ascii="ITC Avant Garde" w:hAnsi="ITC Avant Garde" w:cs="Arial"/>
        </w:rPr>
        <w:t>5</w:t>
      </w:r>
      <w:r w:rsidR="003A52E3" w:rsidRPr="00CA4CE2">
        <w:rPr>
          <w:rFonts w:ascii="ITC Avant Garde" w:hAnsi="ITC Avant Garde" w:cs="Arial"/>
        </w:rPr>
        <w:t xml:space="preserve"> de </w:t>
      </w:r>
      <w:r>
        <w:rPr>
          <w:rFonts w:ascii="ITC Avant Garde" w:hAnsi="ITC Avant Garde" w:cs="Arial"/>
        </w:rPr>
        <w:t>julio</w:t>
      </w:r>
      <w:r w:rsidR="003A52E3" w:rsidRPr="00CA4CE2">
        <w:rPr>
          <w:rFonts w:ascii="ITC Avant Garde" w:hAnsi="ITC Avant Garde" w:cs="Arial"/>
        </w:rPr>
        <w:t xml:space="preserve"> al </w:t>
      </w:r>
      <w:r>
        <w:rPr>
          <w:rFonts w:ascii="ITC Avant Garde" w:hAnsi="ITC Avant Garde" w:cs="Arial"/>
        </w:rPr>
        <w:t>25</w:t>
      </w:r>
      <w:r w:rsidR="003A52E3" w:rsidRPr="00CA4CE2">
        <w:rPr>
          <w:rFonts w:ascii="ITC Avant Garde" w:hAnsi="ITC Avant Garde" w:cs="Arial"/>
        </w:rPr>
        <w:t xml:space="preserve"> de </w:t>
      </w:r>
      <w:r>
        <w:rPr>
          <w:rFonts w:ascii="ITC Avant Garde" w:hAnsi="ITC Avant Garde" w:cs="Arial"/>
        </w:rPr>
        <w:t>agosto</w:t>
      </w:r>
      <w:r w:rsidR="003A52E3" w:rsidRPr="00CA4CE2">
        <w:rPr>
          <w:rFonts w:ascii="ITC Avant Garde" w:hAnsi="ITC Avant Garde" w:cs="Arial"/>
        </w:rPr>
        <w:t xml:space="preserve"> de 2016.</w:t>
      </w:r>
    </w:p>
    <w:p w:rsidR="008D55F0" w:rsidRDefault="003A52E3" w:rsidP="00B60E1D">
      <w:pPr>
        <w:pStyle w:val="Default"/>
        <w:tabs>
          <w:tab w:val="left" w:pos="0"/>
        </w:tabs>
        <w:spacing w:after="160" w:line="360" w:lineRule="auto"/>
        <w:jc w:val="both"/>
        <w:rPr>
          <w:rFonts w:ascii="ITC Avant Garde" w:eastAsia="Times New Roman" w:hAnsi="ITC Avant Garde" w:cs="Arial"/>
          <w:color w:val="auto"/>
          <w:sz w:val="22"/>
          <w:szCs w:val="22"/>
          <w:lang w:eastAsia="es-ES"/>
        </w:rPr>
      </w:pPr>
      <w:r w:rsidRPr="00CA4CE2">
        <w:rPr>
          <w:rFonts w:ascii="ITC Avant Garde" w:eastAsia="Times New Roman" w:hAnsi="ITC Avant Garde" w:cs="Arial"/>
          <w:color w:val="auto"/>
          <w:sz w:val="22"/>
          <w:szCs w:val="22"/>
          <w:lang w:eastAsia="es-ES"/>
        </w:rPr>
        <w:t>Durante la consulta pública de mérito, se recibieron 8 participaciones de personas morales</w:t>
      </w:r>
      <w:r w:rsidR="00D161DD">
        <w:rPr>
          <w:rFonts w:ascii="ITC Avant Garde" w:eastAsia="Times New Roman" w:hAnsi="ITC Avant Garde" w:cs="Arial"/>
          <w:color w:val="auto"/>
          <w:sz w:val="22"/>
          <w:szCs w:val="22"/>
          <w:lang w:eastAsia="es-ES"/>
        </w:rPr>
        <w:t>;</w:t>
      </w:r>
      <w:r w:rsidRPr="00CA4CE2">
        <w:rPr>
          <w:rFonts w:ascii="ITC Avant Garde" w:eastAsia="Times New Roman" w:hAnsi="ITC Avant Garde" w:cs="Arial"/>
          <w:color w:val="auto"/>
          <w:sz w:val="22"/>
          <w:szCs w:val="22"/>
          <w:lang w:eastAsia="es-ES"/>
        </w:rPr>
        <w:t xml:space="preserve"> dichas participaciones se centraron fundamentalmente en precisiones en relación a</w:t>
      </w:r>
      <w:r w:rsidR="00546CC1">
        <w:rPr>
          <w:rFonts w:ascii="ITC Avant Garde" w:eastAsia="Times New Roman" w:hAnsi="ITC Avant Garde" w:cs="Arial"/>
          <w:color w:val="auto"/>
          <w:sz w:val="22"/>
          <w:szCs w:val="22"/>
          <w:lang w:eastAsia="es-ES"/>
        </w:rPr>
        <w:t xml:space="preserve"> las especificaciones técnicas,</w:t>
      </w:r>
      <w:r w:rsidRPr="00CA4CE2">
        <w:rPr>
          <w:rFonts w:ascii="ITC Avant Garde" w:eastAsia="Times New Roman" w:hAnsi="ITC Avant Garde" w:cs="Arial"/>
          <w:color w:val="auto"/>
          <w:sz w:val="22"/>
          <w:szCs w:val="22"/>
          <w:lang w:eastAsia="es-ES"/>
        </w:rPr>
        <w:t xml:space="preserve"> </w:t>
      </w:r>
      <w:r w:rsidR="00A60C8D">
        <w:rPr>
          <w:rFonts w:ascii="ITC Avant Garde" w:eastAsia="Times New Roman" w:hAnsi="ITC Avant Garde" w:cs="Arial"/>
          <w:color w:val="auto"/>
          <w:sz w:val="22"/>
          <w:szCs w:val="22"/>
          <w:lang w:eastAsia="es-ES"/>
        </w:rPr>
        <w:t>métodos de prueba</w:t>
      </w:r>
      <w:r w:rsidRPr="00CA4CE2">
        <w:rPr>
          <w:rFonts w:ascii="ITC Avant Garde" w:eastAsia="Times New Roman" w:hAnsi="ITC Avant Garde" w:cs="Arial"/>
          <w:color w:val="auto"/>
          <w:sz w:val="22"/>
          <w:szCs w:val="22"/>
          <w:lang w:eastAsia="es-ES"/>
        </w:rPr>
        <w:t xml:space="preserve"> </w:t>
      </w:r>
      <w:r w:rsidR="00546CC1">
        <w:rPr>
          <w:rFonts w:ascii="ITC Avant Garde" w:eastAsia="Times New Roman" w:hAnsi="ITC Avant Garde" w:cs="Arial"/>
          <w:color w:val="auto"/>
          <w:sz w:val="22"/>
          <w:szCs w:val="22"/>
          <w:lang w:eastAsia="es-ES"/>
        </w:rPr>
        <w:t xml:space="preserve">y evaluación de la conformidad </w:t>
      </w:r>
      <w:r w:rsidRPr="00CA4CE2">
        <w:rPr>
          <w:rFonts w:ascii="ITC Avant Garde" w:eastAsia="Times New Roman" w:hAnsi="ITC Avant Garde" w:cs="Arial"/>
          <w:color w:val="auto"/>
          <w:sz w:val="22"/>
          <w:szCs w:val="22"/>
          <w:lang w:eastAsia="es-ES"/>
        </w:rPr>
        <w:t xml:space="preserve">de los </w:t>
      </w:r>
      <w:r w:rsidR="006A77FF">
        <w:rPr>
          <w:rFonts w:ascii="ITC Avant Garde" w:eastAsia="Times New Roman" w:hAnsi="ITC Avant Garde" w:cs="Arial"/>
          <w:color w:val="auto"/>
          <w:sz w:val="22"/>
          <w:szCs w:val="22"/>
          <w:lang w:eastAsia="es-ES"/>
        </w:rPr>
        <w:t>Equipos Terminales Móviles</w:t>
      </w:r>
      <w:r w:rsidRPr="00CA4CE2">
        <w:rPr>
          <w:rFonts w:ascii="ITC Avant Garde" w:eastAsia="Times New Roman" w:hAnsi="ITC Avant Garde" w:cs="Arial"/>
          <w:color w:val="auto"/>
          <w:sz w:val="22"/>
          <w:szCs w:val="22"/>
          <w:lang w:eastAsia="es-ES"/>
        </w:rPr>
        <w:t xml:space="preserve">. Las participaciones, así como las respuestas emitidas a los comentarios, se encuentran </w:t>
      </w:r>
      <w:r>
        <w:rPr>
          <w:rFonts w:ascii="ITC Avant Garde" w:eastAsia="Times New Roman" w:hAnsi="ITC Avant Garde" w:cs="Arial"/>
          <w:color w:val="auto"/>
          <w:sz w:val="22"/>
          <w:szCs w:val="22"/>
          <w:lang w:eastAsia="es-ES"/>
        </w:rPr>
        <w:t xml:space="preserve">disponibles </w:t>
      </w:r>
      <w:r w:rsidRPr="00CA4CE2">
        <w:rPr>
          <w:rFonts w:ascii="ITC Avant Garde" w:eastAsia="Times New Roman" w:hAnsi="ITC Avant Garde" w:cs="Arial"/>
          <w:color w:val="auto"/>
          <w:sz w:val="22"/>
          <w:szCs w:val="22"/>
          <w:lang w:eastAsia="es-ES"/>
        </w:rPr>
        <w:t>en el portal de Internet del Instituto.</w:t>
      </w:r>
    </w:p>
    <w:p w:rsidR="003A7FF4" w:rsidRPr="00B60E1D" w:rsidRDefault="003A7FF4" w:rsidP="00B60E1D">
      <w:pPr>
        <w:pStyle w:val="Default"/>
        <w:tabs>
          <w:tab w:val="left" w:pos="0"/>
        </w:tabs>
        <w:spacing w:after="160" w:line="360" w:lineRule="auto"/>
        <w:jc w:val="both"/>
        <w:rPr>
          <w:rFonts w:ascii="ITC Avant Garde" w:eastAsia="Times New Roman" w:hAnsi="ITC Avant Garde" w:cs="Arial"/>
          <w:color w:val="auto"/>
          <w:sz w:val="22"/>
          <w:szCs w:val="22"/>
          <w:lang w:eastAsia="es-ES"/>
        </w:rPr>
      </w:pPr>
    </w:p>
    <w:p w:rsidR="007C272A" w:rsidRDefault="00B60E1D" w:rsidP="00B60E1D">
      <w:pPr>
        <w:pStyle w:val="Default"/>
        <w:tabs>
          <w:tab w:val="left" w:pos="0"/>
        </w:tabs>
        <w:spacing w:after="160" w:line="360" w:lineRule="auto"/>
        <w:jc w:val="both"/>
        <w:rPr>
          <w:rFonts w:ascii="ITC Avant Garde" w:eastAsia="Times New Roman" w:hAnsi="ITC Avant Garde" w:cs="Arial"/>
          <w:color w:val="auto"/>
          <w:sz w:val="22"/>
          <w:szCs w:val="22"/>
          <w:lang w:eastAsia="es-ES"/>
        </w:rPr>
      </w:pPr>
      <w:r>
        <w:rPr>
          <w:rFonts w:ascii="ITC Avant Garde" w:eastAsia="Times New Roman" w:hAnsi="ITC Avant Garde" w:cs="Arial"/>
          <w:b/>
          <w:color w:val="auto"/>
          <w:sz w:val="22"/>
          <w:szCs w:val="22"/>
          <w:lang w:eastAsia="es-ES"/>
        </w:rPr>
        <w:t>NOVENO</w:t>
      </w:r>
      <w:r w:rsidR="003A52E3" w:rsidRPr="00D32D29">
        <w:rPr>
          <w:rFonts w:ascii="ITC Avant Garde" w:eastAsia="Times New Roman" w:hAnsi="ITC Avant Garde" w:cs="Arial"/>
          <w:b/>
          <w:color w:val="auto"/>
          <w:sz w:val="22"/>
          <w:szCs w:val="22"/>
          <w:lang w:eastAsia="es-ES"/>
        </w:rPr>
        <w:t>. Análisis de Impacto Regulatorio</w:t>
      </w:r>
      <w:r w:rsidR="003A52E3" w:rsidRPr="00E3338C">
        <w:rPr>
          <w:rFonts w:ascii="ITC Avant Garde" w:eastAsia="Times New Roman" w:hAnsi="ITC Avant Garde" w:cs="Arial"/>
          <w:color w:val="auto"/>
          <w:sz w:val="22"/>
          <w:szCs w:val="22"/>
          <w:lang w:eastAsia="es-ES"/>
        </w:rPr>
        <w:t>. De conformidad con el segundo párrafo del artículo 51 de la LFTR, se establece que previ</w:t>
      </w:r>
      <w:r w:rsidR="003A52E3">
        <w:rPr>
          <w:rFonts w:ascii="ITC Avant Garde" w:eastAsia="Times New Roman" w:hAnsi="ITC Avant Garde" w:cs="Arial"/>
          <w:color w:val="auto"/>
          <w:sz w:val="22"/>
          <w:szCs w:val="22"/>
          <w:lang w:eastAsia="es-ES"/>
        </w:rPr>
        <w:t>amente</w:t>
      </w:r>
      <w:r w:rsidR="003A52E3" w:rsidRPr="00E3338C">
        <w:rPr>
          <w:rFonts w:ascii="ITC Avant Garde" w:eastAsia="Times New Roman" w:hAnsi="ITC Avant Garde" w:cs="Arial"/>
          <w:color w:val="auto"/>
          <w:sz w:val="22"/>
          <w:szCs w:val="22"/>
          <w:lang w:eastAsia="es-ES"/>
        </w:rPr>
        <w:t xml:space="preserve"> a la emisión de reglas, lineamientos o disposiciones administrativas de carácter general de que se trate, el Instituto deberá realizar y hacer público un análisis de impacto</w:t>
      </w:r>
      <w:r w:rsidR="003A52E3">
        <w:rPr>
          <w:rFonts w:ascii="ITC Avant Garde" w:eastAsia="Times New Roman" w:hAnsi="ITC Avant Garde" w:cs="Arial"/>
          <w:color w:val="auto"/>
          <w:sz w:val="22"/>
          <w:szCs w:val="22"/>
          <w:lang w:eastAsia="es-ES"/>
        </w:rPr>
        <w:t xml:space="preserve"> regulatorio</w:t>
      </w:r>
      <w:r w:rsidR="003A52E3" w:rsidRPr="00E3338C">
        <w:rPr>
          <w:rFonts w:ascii="ITC Avant Garde" w:eastAsia="Times New Roman" w:hAnsi="ITC Avant Garde" w:cs="Arial"/>
          <w:color w:val="auto"/>
          <w:sz w:val="22"/>
          <w:szCs w:val="22"/>
          <w:lang w:eastAsia="es-ES"/>
        </w:rPr>
        <w:t xml:space="preserve">. Al respecto, de conformidad con lo establecido en los artículos 51 de la LFTR; 4 fracción VIII, inciso IV) y 75 fracción II del Estatuto, la Coordinación General de Mejora Regulatoria emitió, </w:t>
      </w:r>
      <w:r w:rsidR="003A52E3" w:rsidRPr="00546CC1">
        <w:rPr>
          <w:rFonts w:ascii="ITC Avant Garde" w:eastAsia="Times New Roman" w:hAnsi="ITC Avant Garde" w:cs="Arial"/>
          <w:color w:val="auto"/>
          <w:sz w:val="22"/>
          <w:szCs w:val="22"/>
          <w:lang w:eastAsia="es-ES"/>
        </w:rPr>
        <w:t xml:space="preserve">mediante oficio </w:t>
      </w:r>
      <w:r w:rsidR="00934FBC">
        <w:rPr>
          <w:rFonts w:ascii="ITC Avant Garde" w:eastAsia="Times New Roman" w:hAnsi="ITC Avant Garde" w:cs="Arial"/>
          <w:color w:val="auto"/>
          <w:sz w:val="22"/>
          <w:szCs w:val="22"/>
          <w:lang w:eastAsia="es-ES"/>
        </w:rPr>
        <w:t>IFT/211/CGMR/031/2017</w:t>
      </w:r>
      <w:r w:rsidR="003A52E3" w:rsidRPr="00546CC1">
        <w:rPr>
          <w:rFonts w:ascii="ITC Avant Garde" w:eastAsia="Times New Roman" w:hAnsi="ITC Avant Garde" w:cs="Arial"/>
          <w:color w:val="auto"/>
          <w:sz w:val="22"/>
          <w:szCs w:val="22"/>
          <w:lang w:eastAsia="es-ES"/>
        </w:rPr>
        <w:t>,</w:t>
      </w:r>
      <w:r w:rsidR="003A52E3" w:rsidRPr="00E3338C">
        <w:rPr>
          <w:rFonts w:ascii="ITC Avant Garde" w:eastAsia="Times New Roman" w:hAnsi="ITC Avant Garde" w:cs="Arial"/>
          <w:color w:val="auto"/>
          <w:sz w:val="22"/>
          <w:szCs w:val="22"/>
          <w:lang w:eastAsia="es-ES"/>
        </w:rPr>
        <w:t xml:space="preserve"> manifiesta la opinión no vinculante respecto del proyecto de “ACUERDO MEDIANTE EL CUAL EL PLENO DEL INSTITUTO FEDERAL DE TELECOMUNICACIONES EXPIDE </w:t>
      </w:r>
      <w:r w:rsidR="00A60C8D">
        <w:rPr>
          <w:rFonts w:ascii="ITC Avant Garde" w:eastAsia="Times New Roman" w:hAnsi="ITC Avant Garde" w:cs="Arial"/>
          <w:color w:val="auto"/>
          <w:sz w:val="22"/>
          <w:szCs w:val="22"/>
          <w:lang w:eastAsia="es-ES"/>
        </w:rPr>
        <w:t xml:space="preserve">LA </w:t>
      </w:r>
      <w:r w:rsidR="00A60C8D" w:rsidRPr="00A60C8D">
        <w:rPr>
          <w:rFonts w:ascii="ITC Avant Garde" w:eastAsia="Times New Roman" w:hAnsi="ITC Avant Garde" w:cs="Arial"/>
          <w:color w:val="auto"/>
          <w:sz w:val="22"/>
          <w:szCs w:val="22"/>
          <w:lang w:eastAsia="es-ES"/>
        </w:rPr>
        <w:t xml:space="preserve">DISPOSICIÓN TÉCNICA IFT-011-2016: </w:t>
      </w:r>
      <w:r w:rsidR="00A60C8D" w:rsidRPr="00A60C8D">
        <w:rPr>
          <w:rFonts w:ascii="ITC Avant Garde" w:eastAsia="Times New Roman" w:hAnsi="ITC Avant Garde" w:cs="Arial"/>
          <w:color w:val="auto"/>
          <w:sz w:val="22"/>
          <w:szCs w:val="22"/>
          <w:lang w:eastAsia="es-ES"/>
        </w:rPr>
        <w:lastRenderedPageBreak/>
        <w:t xml:space="preserve">ESPECIFICACIONES DE LOS EQUIPOS TERMINALES MÓVILES QUE PUEDEN HACER USO DEL ESPECTRO RADIOELÉCTRICO </w:t>
      </w:r>
      <w:r w:rsidR="00923D76">
        <w:rPr>
          <w:rFonts w:ascii="ITC Avant Garde" w:eastAsia="Times New Roman" w:hAnsi="ITC Avant Garde" w:cs="Arial"/>
          <w:color w:val="auto"/>
          <w:sz w:val="22"/>
          <w:szCs w:val="22"/>
          <w:lang w:eastAsia="es-ES"/>
        </w:rPr>
        <w:t>Y</w:t>
      </w:r>
      <w:r w:rsidR="00A60C8D" w:rsidRPr="00A60C8D">
        <w:rPr>
          <w:rFonts w:ascii="ITC Avant Garde" w:eastAsia="Times New Roman" w:hAnsi="ITC Avant Garde" w:cs="Arial"/>
          <w:color w:val="auto"/>
          <w:sz w:val="22"/>
          <w:szCs w:val="22"/>
          <w:lang w:eastAsia="es-ES"/>
        </w:rPr>
        <w:t xml:space="preserve"> SER CONECTADOS A REDES PÚBLICAS DE TELECOMUNICACIONES. IDENTIFICADOR INTERNACIONAL DEL EQUIPO TERMINAL MÓVIL (IMEI) Y FUNCIONALIDAD DE RECEP</w:t>
      </w:r>
      <w:r w:rsidR="00A60C8D">
        <w:rPr>
          <w:rFonts w:ascii="ITC Avant Garde" w:eastAsia="Times New Roman" w:hAnsi="ITC Avant Garde" w:cs="Arial"/>
          <w:color w:val="auto"/>
          <w:sz w:val="22"/>
          <w:szCs w:val="22"/>
          <w:lang w:eastAsia="es-ES"/>
        </w:rPr>
        <w:t>TOR DE FRECUENCIA MODULADA (FM)</w:t>
      </w:r>
      <w:r w:rsidR="003A52E3" w:rsidRPr="00E3338C">
        <w:rPr>
          <w:rFonts w:ascii="ITC Avant Garde" w:eastAsia="Times New Roman" w:hAnsi="ITC Avant Garde" w:cs="Arial"/>
          <w:color w:val="auto"/>
          <w:sz w:val="22"/>
          <w:szCs w:val="22"/>
          <w:lang w:eastAsia="es-ES"/>
        </w:rPr>
        <w:t xml:space="preserve">”, en dicha opinión, </w:t>
      </w:r>
      <w:r w:rsidR="003A52E3">
        <w:rPr>
          <w:rFonts w:ascii="ITC Avant Garde" w:eastAsia="Times New Roman" w:hAnsi="ITC Avant Garde" w:cs="Arial"/>
          <w:color w:val="auto"/>
          <w:sz w:val="22"/>
          <w:szCs w:val="22"/>
          <w:lang w:eastAsia="es-ES"/>
        </w:rPr>
        <w:t xml:space="preserve">manifiesta </w:t>
      </w:r>
      <w:r w:rsidR="0077277A">
        <w:rPr>
          <w:rFonts w:ascii="ITC Avant Garde" w:eastAsia="Times New Roman" w:hAnsi="ITC Avant Garde" w:cs="Arial"/>
          <w:color w:val="auto"/>
          <w:sz w:val="22"/>
          <w:szCs w:val="22"/>
          <w:lang w:eastAsia="es-ES"/>
        </w:rPr>
        <w:t>diversas recomendaciones a efectos de robustecer y mejorar tanto el Análisis de Impacto Regulatorio como algunas disposiciones del Anteproyecto</w:t>
      </w:r>
      <w:r w:rsidR="007C272A" w:rsidRPr="001802CC">
        <w:rPr>
          <w:rFonts w:ascii="ITC Avant Garde" w:eastAsia="Times New Roman" w:hAnsi="ITC Avant Garde" w:cs="Arial"/>
          <w:color w:val="auto"/>
          <w:sz w:val="22"/>
          <w:szCs w:val="22"/>
          <w:lang w:eastAsia="es-ES"/>
        </w:rPr>
        <w:t>, las cuales fueron analizadas y, en su caso, atendidas.</w:t>
      </w:r>
      <w:r w:rsidR="007C272A">
        <w:rPr>
          <w:rFonts w:ascii="ITC Avant Garde" w:eastAsia="Times New Roman" w:hAnsi="ITC Avant Garde" w:cs="Arial"/>
          <w:color w:val="auto"/>
          <w:sz w:val="22"/>
          <w:szCs w:val="22"/>
          <w:lang w:eastAsia="es-ES"/>
        </w:rPr>
        <w:t xml:space="preserve"> </w:t>
      </w:r>
    </w:p>
    <w:p w:rsidR="003A52E3" w:rsidRDefault="003A52E3" w:rsidP="00B60E1D">
      <w:pPr>
        <w:pStyle w:val="Default"/>
        <w:tabs>
          <w:tab w:val="left" w:pos="0"/>
        </w:tabs>
        <w:spacing w:after="160" w:line="360" w:lineRule="auto"/>
        <w:jc w:val="both"/>
        <w:rPr>
          <w:rFonts w:ascii="ITC Avant Garde" w:eastAsia="Times New Roman" w:hAnsi="ITC Avant Garde" w:cs="Arial"/>
          <w:color w:val="auto"/>
          <w:sz w:val="22"/>
          <w:szCs w:val="22"/>
          <w:lang w:eastAsia="es-ES"/>
        </w:rPr>
      </w:pPr>
      <w:r w:rsidRPr="00E3338C">
        <w:rPr>
          <w:rFonts w:ascii="ITC Avant Garde" w:eastAsia="Times New Roman" w:hAnsi="ITC Avant Garde" w:cs="Arial"/>
          <w:color w:val="auto"/>
          <w:sz w:val="22"/>
          <w:szCs w:val="22"/>
          <w:lang w:eastAsia="es-ES"/>
        </w:rPr>
        <w:t>Por lo anterior y con fundamento en los artículos 6o.</w:t>
      </w:r>
      <w:r w:rsidR="00582F85">
        <w:rPr>
          <w:rFonts w:ascii="ITC Avant Garde" w:eastAsia="Times New Roman" w:hAnsi="ITC Avant Garde" w:cs="Arial"/>
          <w:color w:val="auto"/>
          <w:sz w:val="22"/>
          <w:szCs w:val="22"/>
          <w:lang w:eastAsia="es-ES"/>
        </w:rPr>
        <w:t>, apartado B, fracciones II y III,</w:t>
      </w:r>
      <w:r w:rsidRPr="00E3338C">
        <w:rPr>
          <w:rFonts w:ascii="ITC Avant Garde" w:eastAsia="Times New Roman" w:hAnsi="ITC Avant Garde" w:cs="Arial"/>
          <w:color w:val="auto"/>
          <w:sz w:val="22"/>
          <w:szCs w:val="22"/>
          <w:lang w:eastAsia="es-ES"/>
        </w:rPr>
        <w:t xml:space="preserve"> y 28, párrafos décimo quinto y vigésimo, fracción IV, de la Constitución Política de los Estados Unidos Mexicanos; 1, 2, 7, 15, fracciones I, </w:t>
      </w:r>
      <w:r w:rsidR="00582F85">
        <w:rPr>
          <w:rFonts w:ascii="ITC Avant Garde" w:eastAsia="Times New Roman" w:hAnsi="ITC Avant Garde" w:cs="Arial"/>
          <w:color w:val="auto"/>
          <w:sz w:val="22"/>
          <w:szCs w:val="22"/>
          <w:lang w:eastAsia="es-ES"/>
        </w:rPr>
        <w:t>y</w:t>
      </w:r>
      <w:r>
        <w:rPr>
          <w:rFonts w:ascii="ITC Avant Garde" w:eastAsia="Times New Roman" w:hAnsi="ITC Avant Garde" w:cs="Arial"/>
          <w:color w:val="auto"/>
          <w:sz w:val="22"/>
          <w:szCs w:val="22"/>
          <w:lang w:eastAsia="es-ES"/>
        </w:rPr>
        <w:t xml:space="preserve"> LVI,</w:t>
      </w:r>
      <w:r w:rsidRPr="00E3338C">
        <w:rPr>
          <w:rFonts w:ascii="ITC Avant Garde" w:eastAsia="Times New Roman" w:hAnsi="ITC Avant Garde" w:cs="Arial"/>
          <w:color w:val="auto"/>
          <w:sz w:val="22"/>
          <w:szCs w:val="22"/>
          <w:lang w:eastAsia="es-ES"/>
        </w:rPr>
        <w:t xml:space="preserve"> 51</w:t>
      </w:r>
      <w:r>
        <w:rPr>
          <w:rFonts w:ascii="ITC Avant Garde" w:eastAsia="Times New Roman" w:hAnsi="ITC Avant Garde" w:cs="Arial"/>
          <w:color w:val="auto"/>
          <w:sz w:val="22"/>
          <w:szCs w:val="22"/>
          <w:lang w:eastAsia="es-ES"/>
        </w:rPr>
        <w:t>, y 2</w:t>
      </w:r>
      <w:r w:rsidR="00582F85">
        <w:rPr>
          <w:rFonts w:ascii="ITC Avant Garde" w:eastAsia="Times New Roman" w:hAnsi="ITC Avant Garde" w:cs="Arial"/>
          <w:color w:val="auto"/>
          <w:sz w:val="22"/>
          <w:szCs w:val="22"/>
          <w:lang w:eastAsia="es-ES"/>
        </w:rPr>
        <w:t>89</w:t>
      </w:r>
      <w:r w:rsidRPr="00E3338C">
        <w:rPr>
          <w:rFonts w:ascii="ITC Avant Garde" w:eastAsia="Times New Roman" w:hAnsi="ITC Avant Garde" w:cs="Arial"/>
          <w:color w:val="auto"/>
          <w:sz w:val="22"/>
          <w:szCs w:val="22"/>
          <w:lang w:eastAsia="es-ES"/>
        </w:rPr>
        <w:t xml:space="preserve"> de la Ley Federal de Telecomunicaciones y Radiodifusión; 4, fracción I, y 6, fracción I, del Estatuto Orgánico del Instituto Federal de Telecomunicaciones, el Pleno del Instituto</w:t>
      </w:r>
      <w:r>
        <w:rPr>
          <w:rFonts w:ascii="ITC Avant Garde" w:eastAsia="Times New Roman" w:hAnsi="ITC Avant Garde" w:cs="Arial"/>
          <w:color w:val="auto"/>
          <w:sz w:val="22"/>
          <w:szCs w:val="22"/>
          <w:lang w:eastAsia="es-ES"/>
        </w:rPr>
        <w:t xml:space="preserve"> Federal de Telecomunicaciones</w:t>
      </w:r>
      <w:r w:rsidRPr="00E3338C">
        <w:rPr>
          <w:rFonts w:ascii="ITC Avant Garde" w:eastAsia="Times New Roman" w:hAnsi="ITC Avant Garde" w:cs="Arial"/>
          <w:color w:val="auto"/>
          <w:sz w:val="22"/>
          <w:szCs w:val="22"/>
          <w:lang w:eastAsia="es-ES"/>
        </w:rPr>
        <w:t xml:space="preserve"> emite el siguiente:</w:t>
      </w:r>
    </w:p>
    <w:p w:rsidR="003A7FF4" w:rsidRPr="00E3338C" w:rsidRDefault="003A7FF4" w:rsidP="00B60E1D">
      <w:pPr>
        <w:pStyle w:val="Default"/>
        <w:tabs>
          <w:tab w:val="left" w:pos="0"/>
        </w:tabs>
        <w:spacing w:after="160" w:line="360" w:lineRule="auto"/>
        <w:jc w:val="both"/>
        <w:rPr>
          <w:rFonts w:ascii="ITC Avant Garde" w:eastAsia="Times New Roman" w:hAnsi="ITC Avant Garde" w:cs="Arial"/>
          <w:color w:val="auto"/>
          <w:sz w:val="22"/>
          <w:szCs w:val="22"/>
          <w:lang w:eastAsia="es-ES"/>
        </w:rPr>
      </w:pPr>
    </w:p>
    <w:p w:rsidR="003A52E3" w:rsidRPr="00AE1C09" w:rsidRDefault="003A52E3" w:rsidP="003A52E3">
      <w:pPr>
        <w:pStyle w:val="ANOTACION"/>
        <w:spacing w:line="360" w:lineRule="auto"/>
        <w:rPr>
          <w:rFonts w:ascii="ITC Avant Garde" w:hAnsi="ITC Avant Garde" w:cs="Arial"/>
          <w:sz w:val="22"/>
          <w:szCs w:val="22"/>
          <w:lang w:val="es-MX"/>
        </w:rPr>
      </w:pPr>
      <w:r w:rsidRPr="00AE1C09">
        <w:rPr>
          <w:rFonts w:ascii="ITC Avant Garde" w:hAnsi="ITC Avant Garde" w:cs="Arial"/>
          <w:sz w:val="22"/>
          <w:szCs w:val="22"/>
          <w:lang w:val="es-MX"/>
        </w:rPr>
        <w:t>ACUERDO</w:t>
      </w:r>
    </w:p>
    <w:p w:rsidR="003A52E3" w:rsidRDefault="003A52E3" w:rsidP="00C327E7">
      <w:pPr>
        <w:pStyle w:val="Texto"/>
        <w:spacing w:after="160" w:line="360" w:lineRule="auto"/>
        <w:ind w:firstLine="0"/>
        <w:rPr>
          <w:rFonts w:ascii="ITC Avant Garde" w:hAnsi="ITC Avant Garde"/>
          <w:sz w:val="22"/>
          <w:szCs w:val="22"/>
        </w:rPr>
      </w:pPr>
      <w:r w:rsidRPr="003C11F4">
        <w:rPr>
          <w:rFonts w:ascii="ITC Avant Garde" w:hAnsi="ITC Avant Garde"/>
          <w:b/>
          <w:sz w:val="22"/>
          <w:szCs w:val="22"/>
        </w:rPr>
        <w:t>PRIMERO</w:t>
      </w:r>
      <w:r w:rsidRPr="003C11F4">
        <w:rPr>
          <w:rFonts w:ascii="ITC Avant Garde" w:hAnsi="ITC Avant Garde"/>
          <w:sz w:val="22"/>
          <w:szCs w:val="22"/>
        </w:rPr>
        <w:t xml:space="preserve">.- Se expide la </w:t>
      </w:r>
      <w:r w:rsidR="00A60C8D">
        <w:rPr>
          <w:rFonts w:ascii="ITC Avant Garde" w:hAnsi="ITC Avant Garde"/>
          <w:sz w:val="22"/>
          <w:szCs w:val="22"/>
        </w:rPr>
        <w:t>“</w:t>
      </w:r>
      <w:r w:rsidR="00A60C8D" w:rsidRPr="00A60C8D">
        <w:rPr>
          <w:rFonts w:ascii="ITC Avant Garde" w:hAnsi="ITC Avant Garde"/>
          <w:sz w:val="22"/>
          <w:szCs w:val="22"/>
        </w:rPr>
        <w:t>DISPOSICIÓN TÉCNICA IFT-011-201</w:t>
      </w:r>
      <w:r w:rsidR="009814FF">
        <w:rPr>
          <w:rFonts w:ascii="ITC Avant Garde" w:hAnsi="ITC Avant Garde"/>
          <w:sz w:val="22"/>
          <w:szCs w:val="22"/>
        </w:rPr>
        <w:t>7</w:t>
      </w:r>
      <w:r w:rsidR="00A60C8D" w:rsidRPr="00A60C8D">
        <w:rPr>
          <w:rFonts w:ascii="ITC Avant Garde" w:hAnsi="ITC Avant Garde"/>
          <w:sz w:val="22"/>
          <w:szCs w:val="22"/>
        </w:rPr>
        <w:t xml:space="preserve">: ESPECIFICACIONES DE LOS EQUIPOS TERMINALES MÓVILES QUE </w:t>
      </w:r>
      <w:r w:rsidR="001A30F4">
        <w:rPr>
          <w:rFonts w:ascii="ITC Avant Garde" w:hAnsi="ITC Avant Garde"/>
          <w:sz w:val="22"/>
          <w:szCs w:val="22"/>
        </w:rPr>
        <w:t xml:space="preserve">PUEDAN </w:t>
      </w:r>
      <w:r w:rsidR="00A60C8D" w:rsidRPr="00A60C8D">
        <w:rPr>
          <w:rFonts w:ascii="ITC Avant Garde" w:hAnsi="ITC Avant Garde"/>
          <w:sz w:val="22"/>
          <w:szCs w:val="22"/>
        </w:rPr>
        <w:t>HACE</w:t>
      </w:r>
      <w:r w:rsidR="001A30F4">
        <w:rPr>
          <w:rFonts w:ascii="ITC Avant Garde" w:hAnsi="ITC Avant Garde"/>
          <w:sz w:val="22"/>
          <w:szCs w:val="22"/>
        </w:rPr>
        <w:t>R</w:t>
      </w:r>
      <w:r w:rsidR="00A60C8D" w:rsidRPr="00A60C8D">
        <w:rPr>
          <w:rFonts w:ascii="ITC Avant Garde" w:hAnsi="ITC Avant Garde"/>
          <w:sz w:val="22"/>
          <w:szCs w:val="22"/>
        </w:rPr>
        <w:t xml:space="preserve"> USO DEL ESPECTRO RADIOELÉCTRICO </w:t>
      </w:r>
      <w:r w:rsidR="001A30F4">
        <w:rPr>
          <w:rFonts w:ascii="ITC Avant Garde" w:hAnsi="ITC Avant Garde"/>
          <w:sz w:val="22"/>
          <w:szCs w:val="22"/>
        </w:rPr>
        <w:t>O</w:t>
      </w:r>
      <w:r w:rsidR="00A60C8D" w:rsidRPr="00A60C8D">
        <w:rPr>
          <w:rFonts w:ascii="ITC Avant Garde" w:hAnsi="ITC Avant Garde"/>
          <w:sz w:val="22"/>
          <w:szCs w:val="22"/>
        </w:rPr>
        <w:t xml:space="preserve"> SE</w:t>
      </w:r>
      <w:r w:rsidR="001A30F4">
        <w:rPr>
          <w:rFonts w:ascii="ITC Avant Garde" w:hAnsi="ITC Avant Garde"/>
          <w:sz w:val="22"/>
          <w:szCs w:val="22"/>
        </w:rPr>
        <w:t>R</w:t>
      </w:r>
      <w:r w:rsidR="00A60C8D" w:rsidRPr="00A60C8D">
        <w:rPr>
          <w:rFonts w:ascii="ITC Avant Garde" w:hAnsi="ITC Avant Garde"/>
          <w:sz w:val="22"/>
          <w:szCs w:val="22"/>
        </w:rPr>
        <w:t xml:space="preserve"> CONECTA</w:t>
      </w:r>
      <w:r w:rsidR="001A30F4">
        <w:rPr>
          <w:rFonts w:ascii="ITC Avant Garde" w:hAnsi="ITC Avant Garde"/>
          <w:sz w:val="22"/>
          <w:szCs w:val="22"/>
        </w:rPr>
        <w:t>DOS</w:t>
      </w:r>
      <w:r w:rsidR="00A60C8D" w:rsidRPr="00A60C8D">
        <w:rPr>
          <w:rFonts w:ascii="ITC Avant Garde" w:hAnsi="ITC Avant Garde"/>
          <w:sz w:val="22"/>
          <w:szCs w:val="22"/>
        </w:rPr>
        <w:t xml:space="preserve"> A REDES DE TELECOMUNICACIONES</w:t>
      </w:r>
      <w:r w:rsidR="00226B96">
        <w:rPr>
          <w:rFonts w:ascii="ITC Avant Garde" w:hAnsi="ITC Avant Garde"/>
          <w:sz w:val="22"/>
          <w:szCs w:val="22"/>
        </w:rPr>
        <w:t>.</w:t>
      </w:r>
      <w:r w:rsidR="001A30F4">
        <w:rPr>
          <w:rFonts w:ascii="ITC Avant Garde" w:hAnsi="ITC Avant Garde"/>
          <w:sz w:val="22"/>
          <w:szCs w:val="22"/>
        </w:rPr>
        <w:t xml:space="preserve"> </w:t>
      </w:r>
      <w:r w:rsidR="00226B96">
        <w:rPr>
          <w:rFonts w:ascii="ITC Avant Garde" w:hAnsi="ITC Avant Garde"/>
          <w:sz w:val="22"/>
          <w:szCs w:val="22"/>
        </w:rPr>
        <w:t>PARTE 1.</w:t>
      </w:r>
      <w:r w:rsidR="00A60C8D" w:rsidRPr="00A60C8D">
        <w:rPr>
          <w:rFonts w:ascii="ITC Avant Garde" w:hAnsi="ITC Avant Garde"/>
          <w:sz w:val="22"/>
          <w:szCs w:val="22"/>
        </w:rPr>
        <w:t xml:space="preserve"> </w:t>
      </w:r>
      <w:r w:rsidR="001A30F4">
        <w:rPr>
          <w:rFonts w:ascii="ITC Avant Garde" w:hAnsi="ITC Avant Garde"/>
          <w:sz w:val="22"/>
          <w:szCs w:val="22"/>
        </w:rPr>
        <w:t xml:space="preserve">CÓDIGO DE </w:t>
      </w:r>
      <w:r w:rsidR="00A60C8D" w:rsidRPr="00A60C8D">
        <w:rPr>
          <w:rFonts w:ascii="ITC Avant Garde" w:hAnsi="ITC Avant Garde"/>
          <w:sz w:val="22"/>
          <w:szCs w:val="22"/>
        </w:rPr>
        <w:t>IDENTI</w:t>
      </w:r>
      <w:r w:rsidR="001A30F4">
        <w:rPr>
          <w:rFonts w:ascii="ITC Avant Garde" w:hAnsi="ITC Avant Garde"/>
          <w:sz w:val="22"/>
          <w:szCs w:val="22"/>
        </w:rPr>
        <w:t xml:space="preserve">DAD DE </w:t>
      </w:r>
      <w:r w:rsidR="00A60C8D" w:rsidRPr="00A60C8D">
        <w:rPr>
          <w:rFonts w:ascii="ITC Avant Garde" w:hAnsi="ITC Avant Garde"/>
          <w:sz w:val="22"/>
          <w:szCs w:val="22"/>
        </w:rPr>
        <w:t>F</w:t>
      </w:r>
      <w:r w:rsidR="001A30F4">
        <w:rPr>
          <w:rFonts w:ascii="ITC Avant Garde" w:hAnsi="ITC Avant Garde"/>
          <w:sz w:val="22"/>
          <w:szCs w:val="22"/>
        </w:rPr>
        <w:t xml:space="preserve">ABRICACIÓN </w:t>
      </w:r>
      <w:r w:rsidR="00A60C8D" w:rsidRPr="00A60C8D">
        <w:rPr>
          <w:rFonts w:ascii="ITC Avant Garde" w:hAnsi="ITC Avant Garde"/>
          <w:sz w:val="22"/>
          <w:szCs w:val="22"/>
        </w:rPr>
        <w:t xml:space="preserve">DEL EQUIPO (IMEI) Y FUNCIONALIDAD DE RECEPTOR DE </w:t>
      </w:r>
      <w:r w:rsidR="00742C64">
        <w:rPr>
          <w:rFonts w:ascii="ITC Avant Garde" w:hAnsi="ITC Avant Garde"/>
          <w:sz w:val="22"/>
          <w:szCs w:val="22"/>
        </w:rPr>
        <w:t xml:space="preserve">RADIODIFUSIÓN SONORA EN </w:t>
      </w:r>
      <w:r w:rsidR="00A60C8D" w:rsidRPr="00A60C8D">
        <w:rPr>
          <w:rFonts w:ascii="ITC Avant Garde" w:hAnsi="ITC Avant Garde"/>
          <w:sz w:val="22"/>
          <w:szCs w:val="22"/>
        </w:rPr>
        <w:t>FRECUENCIA MODULADA (FM)”</w:t>
      </w:r>
      <w:r w:rsidRPr="003C11F4">
        <w:rPr>
          <w:rFonts w:ascii="ITC Avant Garde" w:hAnsi="ITC Avant Garde"/>
          <w:sz w:val="22"/>
          <w:szCs w:val="22"/>
        </w:rPr>
        <w:t xml:space="preserve">, misma que se encuentra como Anexo Único del presente Acuerdo y que forma parte integrante de este, la cual comenzará su vigencia </w:t>
      </w:r>
      <w:r>
        <w:rPr>
          <w:rFonts w:ascii="ITC Avant Garde" w:hAnsi="ITC Avant Garde"/>
          <w:sz w:val="22"/>
          <w:szCs w:val="22"/>
        </w:rPr>
        <w:t xml:space="preserve">a los </w:t>
      </w:r>
      <w:r w:rsidR="003D242D">
        <w:rPr>
          <w:rFonts w:ascii="ITC Avant Garde" w:hAnsi="ITC Avant Garde"/>
          <w:sz w:val="22"/>
          <w:szCs w:val="22"/>
        </w:rPr>
        <w:t xml:space="preserve">noventa </w:t>
      </w:r>
      <w:r w:rsidR="003A0A90">
        <w:rPr>
          <w:rFonts w:ascii="ITC Avant Garde" w:hAnsi="ITC Avant Garde"/>
          <w:sz w:val="22"/>
          <w:szCs w:val="22"/>
        </w:rPr>
        <w:t>días</w:t>
      </w:r>
      <w:r>
        <w:rPr>
          <w:rFonts w:ascii="ITC Avant Garde" w:hAnsi="ITC Avant Garde"/>
          <w:sz w:val="22"/>
          <w:szCs w:val="22"/>
        </w:rPr>
        <w:t xml:space="preserve"> naturales contados a partir del día siguiente de su </w:t>
      </w:r>
      <w:r w:rsidRPr="003C11F4">
        <w:rPr>
          <w:rFonts w:ascii="ITC Avant Garde" w:hAnsi="ITC Avant Garde"/>
          <w:sz w:val="22"/>
          <w:szCs w:val="22"/>
        </w:rPr>
        <w:t>publicación</w:t>
      </w:r>
      <w:r>
        <w:rPr>
          <w:rFonts w:ascii="ITC Avant Garde" w:hAnsi="ITC Avant Garde"/>
          <w:sz w:val="22"/>
          <w:szCs w:val="22"/>
        </w:rPr>
        <w:t xml:space="preserve"> en el Diario Oficial de la Federación</w:t>
      </w:r>
      <w:r w:rsidRPr="0024561C">
        <w:rPr>
          <w:rFonts w:ascii="ITC Avant Garde" w:hAnsi="ITC Avant Garde"/>
          <w:sz w:val="22"/>
          <w:szCs w:val="22"/>
        </w:rPr>
        <w:t>,</w:t>
      </w:r>
      <w:r>
        <w:rPr>
          <w:rFonts w:ascii="ITC Avant Garde" w:hAnsi="ITC Avant Garde"/>
          <w:sz w:val="22"/>
          <w:szCs w:val="22"/>
        </w:rPr>
        <w:t xml:space="preserve"> y</w:t>
      </w:r>
      <w:r w:rsidRPr="0024561C">
        <w:rPr>
          <w:rFonts w:ascii="ITC Avant Garde" w:hAnsi="ITC Avant Garde"/>
          <w:sz w:val="22"/>
          <w:szCs w:val="22"/>
        </w:rPr>
        <w:t xml:space="preserve"> será revisada por el Instituto al menos a los 5 años contados a partir de su entrada en vigor. Lo anterior, de ninguna manera limita las atribuciones del Instituto para realizar dicha revisión en cualquier momento, dentro del periodo establecido. </w:t>
      </w:r>
    </w:p>
    <w:p w:rsidR="003A7FF4" w:rsidRDefault="003A7FF4" w:rsidP="00C327E7">
      <w:pPr>
        <w:pStyle w:val="Texto"/>
        <w:spacing w:after="160" w:line="360" w:lineRule="auto"/>
        <w:ind w:firstLine="0"/>
        <w:rPr>
          <w:rFonts w:ascii="ITC Avant Garde" w:hAnsi="ITC Avant Garde"/>
          <w:sz w:val="22"/>
          <w:szCs w:val="22"/>
        </w:rPr>
      </w:pPr>
    </w:p>
    <w:p w:rsidR="003A52E3" w:rsidRPr="00137D65" w:rsidRDefault="003A52E3" w:rsidP="00C327E7">
      <w:pPr>
        <w:autoSpaceDE w:val="0"/>
        <w:autoSpaceDN w:val="0"/>
        <w:adjustRightInd w:val="0"/>
        <w:spacing w:line="360" w:lineRule="auto"/>
        <w:jc w:val="both"/>
        <w:rPr>
          <w:rFonts w:ascii="ITC Avant Garde" w:hAnsi="ITC Avant Garde" w:cs="Arial"/>
        </w:rPr>
      </w:pPr>
      <w:r w:rsidRPr="00A84A8A">
        <w:rPr>
          <w:rFonts w:ascii="ITC Avant Garde" w:hAnsi="ITC Avant Garde" w:cs="Arial"/>
          <w:b/>
        </w:rPr>
        <w:lastRenderedPageBreak/>
        <w:t>SEGUNDO</w:t>
      </w:r>
      <w:r w:rsidRPr="00137D65">
        <w:rPr>
          <w:rFonts w:ascii="ITC Avant Garde" w:hAnsi="ITC Avant Garde" w:cs="Arial"/>
        </w:rPr>
        <w:t>.- Publíquese el presente Acuerdo y su Anexo Único en el Diario Oficial de la Federación.</w:t>
      </w:r>
    </w:p>
    <w:tbl>
      <w:tblPr>
        <w:tblW w:w="8497" w:type="dxa"/>
        <w:jc w:val="center"/>
        <w:tblCellMar>
          <w:left w:w="70" w:type="dxa"/>
          <w:right w:w="70" w:type="dxa"/>
        </w:tblCellMar>
        <w:tblLook w:val="04A0" w:firstRow="1" w:lastRow="0" w:firstColumn="1" w:lastColumn="0" w:noHBand="0" w:noVBand="1"/>
      </w:tblPr>
      <w:tblGrid>
        <w:gridCol w:w="1437"/>
        <w:gridCol w:w="2244"/>
        <w:gridCol w:w="992"/>
        <w:gridCol w:w="2591"/>
        <w:gridCol w:w="1233"/>
      </w:tblGrid>
      <w:tr w:rsidR="00326120" w:rsidRPr="00326120" w:rsidTr="00D62A72">
        <w:trPr>
          <w:trHeight w:val="246"/>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246"/>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246"/>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246"/>
          <w:jc w:val="center"/>
        </w:trPr>
        <w:tc>
          <w:tcPr>
            <w:tcW w:w="1437"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5827" w:type="dxa"/>
            <w:gridSpan w:val="3"/>
            <w:shd w:val="clear" w:color="auto" w:fill="auto"/>
            <w:vAlign w:val="center"/>
            <w:hideMark/>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Gabriel Oswaldo Contreras Saldívar</w:t>
            </w:r>
          </w:p>
        </w:tc>
        <w:tc>
          <w:tcPr>
            <w:tcW w:w="1233"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246"/>
          <w:jc w:val="center"/>
        </w:trPr>
        <w:tc>
          <w:tcPr>
            <w:tcW w:w="8497" w:type="dxa"/>
            <w:gridSpan w:val="5"/>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Comisionado</w:t>
            </w:r>
          </w:p>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Presidente</w:t>
            </w:r>
          </w:p>
        </w:tc>
      </w:tr>
      <w:tr w:rsidR="00326120" w:rsidRPr="00326120" w:rsidTr="00D62A72">
        <w:trPr>
          <w:trHeight w:val="236"/>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60"/>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246"/>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50"/>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246"/>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Adriana Sofía Labardini Inzunza</w:t>
            </w: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María Elena Estavillo Flores</w:t>
            </w:r>
          </w:p>
        </w:tc>
      </w:tr>
      <w:tr w:rsidR="00326120" w:rsidRPr="00326120" w:rsidTr="00D62A72">
        <w:trPr>
          <w:trHeight w:val="50"/>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Comisionada</w:t>
            </w: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Comisionada</w:t>
            </w:r>
          </w:p>
        </w:tc>
      </w:tr>
      <w:tr w:rsidR="00326120" w:rsidRPr="00326120" w:rsidTr="00D62A72">
        <w:trPr>
          <w:trHeight w:val="50"/>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50"/>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50"/>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50"/>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50"/>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50"/>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Mario Germán Fromow Rangel</w:t>
            </w: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Adolfo Cuevas Teja</w:t>
            </w:r>
          </w:p>
        </w:tc>
      </w:tr>
      <w:tr w:rsidR="00326120" w:rsidRPr="00326120" w:rsidTr="00D62A72">
        <w:trPr>
          <w:trHeight w:val="236"/>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Comisionado</w:t>
            </w: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Comisionado</w:t>
            </w:r>
          </w:p>
        </w:tc>
      </w:tr>
      <w:tr w:rsidR="00326120" w:rsidRPr="00326120" w:rsidTr="00D62A72">
        <w:trPr>
          <w:trHeight w:val="246"/>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246"/>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226"/>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102"/>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47"/>
          <w:jc w:val="center"/>
        </w:trPr>
        <w:tc>
          <w:tcPr>
            <w:tcW w:w="3681"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p>
        </w:tc>
      </w:tr>
      <w:tr w:rsidR="00326120" w:rsidRPr="00326120" w:rsidTr="00D62A72">
        <w:trPr>
          <w:trHeight w:val="236"/>
          <w:jc w:val="center"/>
        </w:trPr>
        <w:tc>
          <w:tcPr>
            <w:tcW w:w="8497" w:type="dxa"/>
            <w:gridSpan w:val="5"/>
            <w:shd w:val="clear" w:color="auto" w:fill="auto"/>
            <w:vAlign w:val="center"/>
            <w:hideMark/>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Javier Juárez Mojica</w:t>
            </w:r>
          </w:p>
        </w:tc>
      </w:tr>
      <w:tr w:rsidR="00326120" w:rsidRPr="00326120" w:rsidTr="00D62A72">
        <w:trPr>
          <w:trHeight w:val="128"/>
          <w:jc w:val="center"/>
        </w:trPr>
        <w:tc>
          <w:tcPr>
            <w:tcW w:w="8497" w:type="dxa"/>
            <w:gridSpan w:val="5"/>
            <w:shd w:val="clear" w:color="auto" w:fill="auto"/>
            <w:vAlign w:val="center"/>
            <w:hideMark/>
          </w:tcPr>
          <w:p w:rsidR="00326120" w:rsidRPr="00326120" w:rsidRDefault="00326120" w:rsidP="00326120">
            <w:pPr>
              <w:spacing w:before="120" w:after="0" w:line="240" w:lineRule="auto"/>
              <w:ind w:right="49"/>
              <w:contextualSpacing/>
              <w:jc w:val="center"/>
              <w:rPr>
                <w:rFonts w:ascii="ITC Avant Garde" w:eastAsia="Times New Roman" w:hAnsi="ITC Avant Garde" w:cs="Arial"/>
                <w:b/>
                <w:bCs/>
                <w:lang w:eastAsia="es-MX"/>
              </w:rPr>
            </w:pPr>
            <w:r w:rsidRPr="00326120">
              <w:rPr>
                <w:rFonts w:ascii="ITC Avant Garde" w:eastAsia="Times New Roman" w:hAnsi="ITC Avant Garde" w:cs="Arial"/>
                <w:b/>
                <w:bCs/>
                <w:lang w:eastAsia="es-MX"/>
              </w:rPr>
              <w:t>Comisionado</w:t>
            </w:r>
          </w:p>
        </w:tc>
      </w:tr>
    </w:tbl>
    <w:p w:rsidR="003A52E3" w:rsidRPr="00137D65" w:rsidRDefault="003A52E3" w:rsidP="003A7FF4">
      <w:pPr>
        <w:pStyle w:val="Texto"/>
        <w:spacing w:line="360" w:lineRule="auto"/>
        <w:ind w:firstLine="0"/>
        <w:rPr>
          <w:rFonts w:ascii="ITC Avant Garde" w:hAnsi="ITC Avant Garde"/>
          <w:sz w:val="22"/>
          <w:szCs w:val="22"/>
        </w:rPr>
      </w:pPr>
    </w:p>
    <w:p w:rsidR="003A52E3" w:rsidRPr="00F82DF0" w:rsidRDefault="003A52E3" w:rsidP="0012481D">
      <w:pPr>
        <w:rPr>
          <w:b/>
        </w:rPr>
      </w:pPr>
    </w:p>
    <w:sectPr w:rsidR="003A52E3" w:rsidRPr="00F82DF0" w:rsidSect="003A7FF4">
      <w:headerReference w:type="even" r:id="rId8"/>
      <w:headerReference w:type="default" r:id="rId9"/>
      <w:footerReference w:type="even" r:id="rId10"/>
      <w:footerReference w:type="default" r:id="rId11"/>
      <w:headerReference w:type="first" r:id="rId12"/>
      <w:footerReference w:type="first" r:id="rId13"/>
      <w:pgSz w:w="12240" w:h="15840"/>
      <w:pgMar w:top="2370" w:right="1418" w:bottom="1418" w:left="1418" w:header="709" w:footer="8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90" w:rsidRDefault="00224890" w:rsidP="00C35169">
      <w:pPr>
        <w:spacing w:after="0" w:line="240" w:lineRule="auto"/>
      </w:pPr>
      <w:r>
        <w:separator/>
      </w:r>
    </w:p>
  </w:endnote>
  <w:endnote w:type="continuationSeparator" w:id="0">
    <w:p w:rsidR="00224890" w:rsidRDefault="00224890" w:rsidP="00C3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AB" w:rsidRDefault="000A69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69272"/>
      <w:docPartObj>
        <w:docPartGallery w:val="Page Numbers (Bottom of Page)"/>
        <w:docPartUnique/>
      </w:docPartObj>
    </w:sdtPr>
    <w:sdtEndPr>
      <w:rPr>
        <w:rFonts w:ascii="ITC Avant Garde" w:hAnsi="ITC Avant Garde"/>
        <w:sz w:val="16"/>
        <w:szCs w:val="16"/>
      </w:rPr>
    </w:sdtEndPr>
    <w:sdtContent>
      <w:p w:rsidR="00D161DD" w:rsidRPr="00C41368" w:rsidRDefault="00D161DD" w:rsidP="003677C4">
        <w:pPr>
          <w:pStyle w:val="Piedepgina"/>
          <w:jc w:val="center"/>
          <w:rPr>
            <w:rFonts w:ascii="ITC Avant Garde" w:hAnsi="ITC Avant Garde"/>
            <w:sz w:val="16"/>
            <w:szCs w:val="16"/>
          </w:rPr>
        </w:pPr>
        <w:r w:rsidRPr="00C41368">
          <w:rPr>
            <w:rFonts w:ascii="ITC Avant Garde" w:hAnsi="ITC Avant Garde"/>
            <w:sz w:val="16"/>
            <w:szCs w:val="16"/>
          </w:rPr>
          <w:fldChar w:fldCharType="begin"/>
        </w:r>
        <w:r w:rsidRPr="00C41368">
          <w:rPr>
            <w:rFonts w:ascii="ITC Avant Garde" w:hAnsi="ITC Avant Garde"/>
            <w:sz w:val="16"/>
            <w:szCs w:val="16"/>
          </w:rPr>
          <w:instrText>PAGE   \* MERGEFORMAT</w:instrText>
        </w:r>
        <w:r w:rsidRPr="00C41368">
          <w:rPr>
            <w:rFonts w:ascii="ITC Avant Garde" w:hAnsi="ITC Avant Garde"/>
            <w:sz w:val="16"/>
            <w:szCs w:val="16"/>
          </w:rPr>
          <w:fldChar w:fldCharType="separate"/>
        </w:r>
        <w:r w:rsidR="000A69AB" w:rsidRPr="000A69AB">
          <w:rPr>
            <w:rFonts w:ascii="ITC Avant Garde" w:hAnsi="ITC Avant Garde"/>
            <w:noProof/>
            <w:sz w:val="16"/>
            <w:szCs w:val="16"/>
            <w:lang w:val="es-ES"/>
          </w:rPr>
          <w:t>20</w:t>
        </w:r>
        <w:r w:rsidRPr="00C41368">
          <w:rPr>
            <w:rFonts w:ascii="ITC Avant Garde" w:hAnsi="ITC Avant Garde"/>
            <w:sz w:val="16"/>
            <w:szCs w:val="16"/>
          </w:rPr>
          <w:fldChar w:fldCharType="end"/>
        </w:r>
      </w:p>
    </w:sdtContent>
  </w:sdt>
  <w:p w:rsidR="00D161DD" w:rsidRPr="000825EE" w:rsidRDefault="00D161DD" w:rsidP="003677C4">
    <w:pPr>
      <w:pStyle w:val="Piedepgina"/>
      <w:rPr>
        <w:rFonts w:ascii="Arial" w:hAnsi="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AB" w:rsidRDefault="000A69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90" w:rsidRDefault="00224890" w:rsidP="00C35169">
      <w:pPr>
        <w:spacing w:after="0" w:line="240" w:lineRule="auto"/>
      </w:pPr>
      <w:r>
        <w:separator/>
      </w:r>
    </w:p>
  </w:footnote>
  <w:footnote w:type="continuationSeparator" w:id="0">
    <w:p w:rsidR="00224890" w:rsidRDefault="00224890" w:rsidP="00C35169">
      <w:pPr>
        <w:spacing w:after="0" w:line="240" w:lineRule="auto"/>
      </w:pPr>
      <w:r>
        <w:continuationSeparator/>
      </w:r>
    </w:p>
  </w:footnote>
  <w:footnote w:id="1">
    <w:p w:rsidR="00D161DD" w:rsidRDefault="00D161DD">
      <w:pPr>
        <w:pStyle w:val="Textonotapie"/>
      </w:pPr>
      <w:r>
        <w:rPr>
          <w:rStyle w:val="Refdenotaalpie"/>
        </w:rPr>
        <w:footnoteRef/>
      </w:r>
      <w:r>
        <w:t xml:space="preserve"> </w:t>
      </w:r>
      <w:hyperlink r:id="rId1" w:history="1">
        <w:r w:rsidR="00A93ACD" w:rsidRPr="00393DAF">
          <w:rPr>
            <w:rStyle w:val="Hipervnculo"/>
          </w:rPr>
          <w:t>http://www.nab.org/documents/newsRoom/pdfs/CSRIC_Social_Media_Alerting_Report.pdf</w:t>
        </w:r>
      </w:hyperlink>
    </w:p>
    <w:p w:rsidR="00A93ACD" w:rsidRPr="00E82C6A" w:rsidRDefault="00A93ACD">
      <w:pPr>
        <w:pStyle w:val="Textonotapie"/>
        <w:rPr>
          <w:lang w:val="es-MX"/>
        </w:rPr>
      </w:pPr>
    </w:p>
  </w:footnote>
  <w:footnote w:id="2">
    <w:p w:rsidR="00433C5E" w:rsidRDefault="00433C5E">
      <w:pPr>
        <w:pStyle w:val="Textonotapie"/>
      </w:pPr>
      <w:r>
        <w:rPr>
          <w:rStyle w:val="Refdenotaalpie"/>
        </w:rPr>
        <w:footnoteRef/>
      </w:r>
      <w:r>
        <w:t xml:space="preserve"> </w:t>
      </w:r>
      <w:r w:rsidRPr="00433C5E">
        <w:t>UIT-R M.1224-1 (03/2012) “Vocabulario de términos de las telecomunicaciones móviles internacionales (IMT)”</w:t>
      </w:r>
    </w:p>
    <w:p w:rsidR="00A93ACD" w:rsidRPr="00433C5E" w:rsidRDefault="00A93ACD">
      <w:pPr>
        <w:pStyle w:val="Textonotapie"/>
        <w:rPr>
          <w:lang w:val="es-MX"/>
        </w:rPr>
      </w:pPr>
    </w:p>
  </w:footnote>
  <w:footnote w:id="3">
    <w:p w:rsidR="006B0079" w:rsidRPr="006B0079" w:rsidRDefault="006B0079">
      <w:pPr>
        <w:pStyle w:val="Textonotapie"/>
        <w:rPr>
          <w:lang w:val="es-MX"/>
        </w:rPr>
      </w:pPr>
      <w:r>
        <w:rPr>
          <w:rStyle w:val="Refdenotaalpie"/>
        </w:rPr>
        <w:footnoteRef/>
      </w:r>
      <w:r>
        <w:t xml:space="preserve"> Red móvil terrestre pública (RMTP).</w:t>
      </w:r>
    </w:p>
  </w:footnote>
  <w:footnote w:id="4">
    <w:p w:rsidR="006B0079" w:rsidRPr="006B0079" w:rsidRDefault="006B0079">
      <w:pPr>
        <w:pStyle w:val="Textonotapie"/>
        <w:rPr>
          <w:lang w:val="es-MX"/>
        </w:rPr>
      </w:pPr>
      <w:r>
        <w:rPr>
          <w:rStyle w:val="Refdenotaalpie"/>
        </w:rPr>
        <w:footnoteRef/>
      </w:r>
      <w:r>
        <w:t xml:space="preserve"> </w:t>
      </w:r>
      <w:r>
        <w:rPr>
          <w:lang w:val="es-MX"/>
        </w:rPr>
        <w:t>Estación Móvil.</w:t>
      </w:r>
    </w:p>
  </w:footnote>
  <w:footnote w:id="5">
    <w:p w:rsidR="007E4410" w:rsidRDefault="007E4410">
      <w:pPr>
        <w:pStyle w:val="Textonotapie"/>
      </w:pPr>
      <w:r>
        <w:rPr>
          <w:rStyle w:val="Refdenotaalpie"/>
        </w:rPr>
        <w:footnoteRef/>
      </w:r>
      <w:r>
        <w:t xml:space="preserve"> </w:t>
      </w:r>
      <w:hyperlink r:id="rId2" w:history="1">
        <w:r w:rsidR="00A93ACD" w:rsidRPr="00393DAF">
          <w:rPr>
            <w:rStyle w:val="Hipervnculo"/>
          </w:rPr>
          <w:t>http://www.itu.int/dms_pub/itu-t/opb/tut/T-TUT-CCICT-2015-PDF-S.pdf</w:t>
        </w:r>
      </w:hyperlink>
    </w:p>
    <w:p w:rsidR="00A93ACD" w:rsidRPr="007E4410" w:rsidRDefault="00A93ACD">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AB" w:rsidRDefault="000A69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454" o:spid="_x0000_s2050"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AB" w:rsidRDefault="000A69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455" o:spid="_x0000_s2051"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AB" w:rsidRDefault="000A69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453" o:spid="_x0000_s2049"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8029E"/>
    <w:multiLevelType w:val="hybridMultilevel"/>
    <w:tmpl w:val="06C40F4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13A30BF4"/>
    <w:multiLevelType w:val="hybridMultilevel"/>
    <w:tmpl w:val="8834CB78"/>
    <w:lvl w:ilvl="0" w:tplc="E2C090A4">
      <w:start w:val="1"/>
      <w:numFmt w:val="upperRoman"/>
      <w:lvlText w:val="%1."/>
      <w:lvlJc w:val="left"/>
      <w:pPr>
        <w:ind w:left="851" w:hanging="720"/>
      </w:pPr>
      <w:rPr>
        <w:rFonts w:hint="default"/>
        <w:b/>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3" w15:restartNumberingAfterBreak="0">
    <w:nsid w:val="19882630"/>
    <w:multiLevelType w:val="hybridMultilevel"/>
    <w:tmpl w:val="72E413FA"/>
    <w:lvl w:ilvl="0" w:tplc="D29AD8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68311B"/>
    <w:multiLevelType w:val="hybridMultilevel"/>
    <w:tmpl w:val="B8A04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6B14D2"/>
    <w:multiLevelType w:val="hybridMultilevel"/>
    <w:tmpl w:val="2CB0E406"/>
    <w:lvl w:ilvl="0" w:tplc="892CBE5A">
      <w:numFmt w:val="bullet"/>
      <w:lvlText w:val="•"/>
      <w:lvlJc w:val="left"/>
      <w:pPr>
        <w:ind w:left="1065" w:hanging="705"/>
      </w:pPr>
      <w:rPr>
        <w:rFonts w:ascii="ITC Avant Garde" w:eastAsia="MS Mincho" w:hAnsi="ITC Avant Garde"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0080E"/>
    <w:multiLevelType w:val="hybridMultilevel"/>
    <w:tmpl w:val="321258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0A780C"/>
    <w:multiLevelType w:val="hybridMultilevel"/>
    <w:tmpl w:val="CCEE3A5E"/>
    <w:lvl w:ilvl="0" w:tplc="8ABCE5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FB4E70"/>
    <w:multiLevelType w:val="hybridMultilevel"/>
    <w:tmpl w:val="ED742E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2B5E48"/>
    <w:multiLevelType w:val="hybridMultilevel"/>
    <w:tmpl w:val="D0BC65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2"/>
  </w:num>
  <w:num w:numId="6">
    <w:abstractNumId w:val="6"/>
  </w:num>
  <w:num w:numId="7">
    <w:abstractNumId w:val="9"/>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9"/>
    <w:rsid w:val="00011B78"/>
    <w:rsid w:val="000175FF"/>
    <w:rsid w:val="00022C57"/>
    <w:rsid w:val="00035144"/>
    <w:rsid w:val="0004277E"/>
    <w:rsid w:val="00046AAE"/>
    <w:rsid w:val="00053057"/>
    <w:rsid w:val="00060C9E"/>
    <w:rsid w:val="0006144E"/>
    <w:rsid w:val="00083227"/>
    <w:rsid w:val="00086550"/>
    <w:rsid w:val="00091090"/>
    <w:rsid w:val="000A4C18"/>
    <w:rsid w:val="000A69AB"/>
    <w:rsid w:val="000B69F0"/>
    <w:rsid w:val="000C1641"/>
    <w:rsid w:val="000C2EE6"/>
    <w:rsid w:val="000C3605"/>
    <w:rsid w:val="000D2679"/>
    <w:rsid w:val="000D48BE"/>
    <w:rsid w:val="000D7E69"/>
    <w:rsid w:val="000E5650"/>
    <w:rsid w:val="000F5AE0"/>
    <w:rsid w:val="00111A77"/>
    <w:rsid w:val="00123347"/>
    <w:rsid w:val="0012481D"/>
    <w:rsid w:val="00141BA7"/>
    <w:rsid w:val="00160904"/>
    <w:rsid w:val="001623AF"/>
    <w:rsid w:val="001802CC"/>
    <w:rsid w:val="001810AA"/>
    <w:rsid w:val="001A0911"/>
    <w:rsid w:val="001A30F4"/>
    <w:rsid w:val="001A629F"/>
    <w:rsid w:val="001C0C16"/>
    <w:rsid w:val="001E4A73"/>
    <w:rsid w:val="001F1E7A"/>
    <w:rsid w:val="001F5952"/>
    <w:rsid w:val="00217B85"/>
    <w:rsid w:val="002230A9"/>
    <w:rsid w:val="00224890"/>
    <w:rsid w:val="00226B96"/>
    <w:rsid w:val="00241AD3"/>
    <w:rsid w:val="00254192"/>
    <w:rsid w:val="00262C1E"/>
    <w:rsid w:val="00287C29"/>
    <w:rsid w:val="002A09F8"/>
    <w:rsid w:val="002B0C64"/>
    <w:rsid w:val="002B1C84"/>
    <w:rsid w:val="002B6EDB"/>
    <w:rsid w:val="002D2279"/>
    <w:rsid w:val="002D2725"/>
    <w:rsid w:val="002E11EF"/>
    <w:rsid w:val="0030316A"/>
    <w:rsid w:val="00303CEC"/>
    <w:rsid w:val="003047D6"/>
    <w:rsid w:val="00326120"/>
    <w:rsid w:val="00330246"/>
    <w:rsid w:val="00335B51"/>
    <w:rsid w:val="00344531"/>
    <w:rsid w:val="00350F4E"/>
    <w:rsid w:val="00357623"/>
    <w:rsid w:val="00366209"/>
    <w:rsid w:val="003677C4"/>
    <w:rsid w:val="00373A27"/>
    <w:rsid w:val="003768FD"/>
    <w:rsid w:val="003869FA"/>
    <w:rsid w:val="00396A48"/>
    <w:rsid w:val="003A0A90"/>
    <w:rsid w:val="003A52E3"/>
    <w:rsid w:val="003A568C"/>
    <w:rsid w:val="003A592E"/>
    <w:rsid w:val="003A7FF4"/>
    <w:rsid w:val="003B1D18"/>
    <w:rsid w:val="003B2DD3"/>
    <w:rsid w:val="003C1A70"/>
    <w:rsid w:val="003C5711"/>
    <w:rsid w:val="003D242D"/>
    <w:rsid w:val="003D2C83"/>
    <w:rsid w:val="003D628F"/>
    <w:rsid w:val="003E6243"/>
    <w:rsid w:val="003F15F7"/>
    <w:rsid w:val="00404DC5"/>
    <w:rsid w:val="00412BAD"/>
    <w:rsid w:val="00415756"/>
    <w:rsid w:val="004158B5"/>
    <w:rsid w:val="00415A35"/>
    <w:rsid w:val="00421BED"/>
    <w:rsid w:val="00422F09"/>
    <w:rsid w:val="00427BF1"/>
    <w:rsid w:val="00433C5E"/>
    <w:rsid w:val="00447B8F"/>
    <w:rsid w:val="00455464"/>
    <w:rsid w:val="004622E6"/>
    <w:rsid w:val="004762F9"/>
    <w:rsid w:val="00476C1F"/>
    <w:rsid w:val="00481F6E"/>
    <w:rsid w:val="0049282A"/>
    <w:rsid w:val="004A01E5"/>
    <w:rsid w:val="004E5CCE"/>
    <w:rsid w:val="004E6407"/>
    <w:rsid w:val="004F0FFE"/>
    <w:rsid w:val="004F2316"/>
    <w:rsid w:val="004F7227"/>
    <w:rsid w:val="00501D8D"/>
    <w:rsid w:val="0050206D"/>
    <w:rsid w:val="00505183"/>
    <w:rsid w:val="00505F80"/>
    <w:rsid w:val="0051405E"/>
    <w:rsid w:val="00515819"/>
    <w:rsid w:val="005205F0"/>
    <w:rsid w:val="005210D6"/>
    <w:rsid w:val="00523C4F"/>
    <w:rsid w:val="00542566"/>
    <w:rsid w:val="00546CC1"/>
    <w:rsid w:val="00551FA9"/>
    <w:rsid w:val="005545A1"/>
    <w:rsid w:val="005634F2"/>
    <w:rsid w:val="0057399E"/>
    <w:rsid w:val="00582F85"/>
    <w:rsid w:val="00584B98"/>
    <w:rsid w:val="0059696A"/>
    <w:rsid w:val="005A1E73"/>
    <w:rsid w:val="005B368A"/>
    <w:rsid w:val="005B513B"/>
    <w:rsid w:val="005B6568"/>
    <w:rsid w:val="005B6B4A"/>
    <w:rsid w:val="005D1028"/>
    <w:rsid w:val="005D29B5"/>
    <w:rsid w:val="005D4F0A"/>
    <w:rsid w:val="005E541F"/>
    <w:rsid w:val="005F388F"/>
    <w:rsid w:val="006071EF"/>
    <w:rsid w:val="00612385"/>
    <w:rsid w:val="0062099D"/>
    <w:rsid w:val="00625F75"/>
    <w:rsid w:val="00643CE9"/>
    <w:rsid w:val="006442F4"/>
    <w:rsid w:val="00645EC0"/>
    <w:rsid w:val="00645EC9"/>
    <w:rsid w:val="0064699A"/>
    <w:rsid w:val="00646E6B"/>
    <w:rsid w:val="0064728C"/>
    <w:rsid w:val="00651E7E"/>
    <w:rsid w:val="00656F7A"/>
    <w:rsid w:val="00672E12"/>
    <w:rsid w:val="00676C92"/>
    <w:rsid w:val="00680B8B"/>
    <w:rsid w:val="0068472D"/>
    <w:rsid w:val="0069291B"/>
    <w:rsid w:val="006A5A27"/>
    <w:rsid w:val="006A5D7F"/>
    <w:rsid w:val="006A64D1"/>
    <w:rsid w:val="006A77FF"/>
    <w:rsid w:val="006B0079"/>
    <w:rsid w:val="006B35E6"/>
    <w:rsid w:val="006B6EC1"/>
    <w:rsid w:val="006C0BCE"/>
    <w:rsid w:val="006C6CE2"/>
    <w:rsid w:val="006D0FA1"/>
    <w:rsid w:val="006D6F56"/>
    <w:rsid w:val="006E7462"/>
    <w:rsid w:val="006E7FB7"/>
    <w:rsid w:val="00716F76"/>
    <w:rsid w:val="00717456"/>
    <w:rsid w:val="00721944"/>
    <w:rsid w:val="00723D70"/>
    <w:rsid w:val="00731491"/>
    <w:rsid w:val="00733FA4"/>
    <w:rsid w:val="00742C64"/>
    <w:rsid w:val="00742E76"/>
    <w:rsid w:val="00745900"/>
    <w:rsid w:val="00761DE7"/>
    <w:rsid w:val="007704D1"/>
    <w:rsid w:val="0077277A"/>
    <w:rsid w:val="0077286E"/>
    <w:rsid w:val="00772B69"/>
    <w:rsid w:val="00786A31"/>
    <w:rsid w:val="007938DB"/>
    <w:rsid w:val="007A638C"/>
    <w:rsid w:val="007C272A"/>
    <w:rsid w:val="007C5534"/>
    <w:rsid w:val="007D60ED"/>
    <w:rsid w:val="007E4410"/>
    <w:rsid w:val="007F09E1"/>
    <w:rsid w:val="00800684"/>
    <w:rsid w:val="00800D9F"/>
    <w:rsid w:val="008040D8"/>
    <w:rsid w:val="008054D6"/>
    <w:rsid w:val="00806EBF"/>
    <w:rsid w:val="00811827"/>
    <w:rsid w:val="00811CAC"/>
    <w:rsid w:val="00817401"/>
    <w:rsid w:val="00822DD2"/>
    <w:rsid w:val="0082383C"/>
    <w:rsid w:val="0083015A"/>
    <w:rsid w:val="00832043"/>
    <w:rsid w:val="008335E2"/>
    <w:rsid w:val="00836218"/>
    <w:rsid w:val="008362F7"/>
    <w:rsid w:val="00845433"/>
    <w:rsid w:val="00850CA5"/>
    <w:rsid w:val="00855BA5"/>
    <w:rsid w:val="008679E7"/>
    <w:rsid w:val="00875712"/>
    <w:rsid w:val="00876FF8"/>
    <w:rsid w:val="008863AC"/>
    <w:rsid w:val="00894398"/>
    <w:rsid w:val="00896F06"/>
    <w:rsid w:val="008B7C64"/>
    <w:rsid w:val="008C112D"/>
    <w:rsid w:val="008C1AB3"/>
    <w:rsid w:val="008C53D8"/>
    <w:rsid w:val="008D2C0F"/>
    <w:rsid w:val="008D33E2"/>
    <w:rsid w:val="008D55F0"/>
    <w:rsid w:val="008F659B"/>
    <w:rsid w:val="008F7488"/>
    <w:rsid w:val="00901427"/>
    <w:rsid w:val="00914388"/>
    <w:rsid w:val="00922831"/>
    <w:rsid w:val="00923D76"/>
    <w:rsid w:val="0093173E"/>
    <w:rsid w:val="009337B6"/>
    <w:rsid w:val="00934FBC"/>
    <w:rsid w:val="009464BE"/>
    <w:rsid w:val="00951C8A"/>
    <w:rsid w:val="00951FA8"/>
    <w:rsid w:val="009814FF"/>
    <w:rsid w:val="009817E2"/>
    <w:rsid w:val="00981C32"/>
    <w:rsid w:val="009A3721"/>
    <w:rsid w:val="009A6AB9"/>
    <w:rsid w:val="009B025C"/>
    <w:rsid w:val="009B1ECA"/>
    <w:rsid w:val="009B324E"/>
    <w:rsid w:val="009B3C9A"/>
    <w:rsid w:val="009B4AD1"/>
    <w:rsid w:val="009C3367"/>
    <w:rsid w:val="009C410E"/>
    <w:rsid w:val="009D5B2C"/>
    <w:rsid w:val="009D6C9B"/>
    <w:rsid w:val="009E1A81"/>
    <w:rsid w:val="009F4F16"/>
    <w:rsid w:val="009F656C"/>
    <w:rsid w:val="00A20CC4"/>
    <w:rsid w:val="00A2719A"/>
    <w:rsid w:val="00A3052D"/>
    <w:rsid w:val="00A3278E"/>
    <w:rsid w:val="00A364D1"/>
    <w:rsid w:val="00A40FD2"/>
    <w:rsid w:val="00A45C15"/>
    <w:rsid w:val="00A5438C"/>
    <w:rsid w:val="00A57B00"/>
    <w:rsid w:val="00A60C8D"/>
    <w:rsid w:val="00A658AE"/>
    <w:rsid w:val="00A66B6C"/>
    <w:rsid w:val="00A75281"/>
    <w:rsid w:val="00A77909"/>
    <w:rsid w:val="00A80012"/>
    <w:rsid w:val="00A91722"/>
    <w:rsid w:val="00A93ACD"/>
    <w:rsid w:val="00A963B8"/>
    <w:rsid w:val="00AA0B7D"/>
    <w:rsid w:val="00AB1100"/>
    <w:rsid w:val="00AB29F1"/>
    <w:rsid w:val="00AC0CB3"/>
    <w:rsid w:val="00AC18B7"/>
    <w:rsid w:val="00AC4051"/>
    <w:rsid w:val="00AC4F03"/>
    <w:rsid w:val="00AD12CA"/>
    <w:rsid w:val="00AD55F3"/>
    <w:rsid w:val="00AD67E7"/>
    <w:rsid w:val="00B0015B"/>
    <w:rsid w:val="00B03D5F"/>
    <w:rsid w:val="00B04100"/>
    <w:rsid w:val="00B063D9"/>
    <w:rsid w:val="00B07816"/>
    <w:rsid w:val="00B16F46"/>
    <w:rsid w:val="00B44B69"/>
    <w:rsid w:val="00B550DE"/>
    <w:rsid w:val="00B60E1D"/>
    <w:rsid w:val="00B66BE5"/>
    <w:rsid w:val="00B734DB"/>
    <w:rsid w:val="00B74F3A"/>
    <w:rsid w:val="00B7523F"/>
    <w:rsid w:val="00B771DC"/>
    <w:rsid w:val="00B81EF3"/>
    <w:rsid w:val="00B85C4E"/>
    <w:rsid w:val="00B93164"/>
    <w:rsid w:val="00BB2F57"/>
    <w:rsid w:val="00BB30F9"/>
    <w:rsid w:val="00BB4D82"/>
    <w:rsid w:val="00BC2189"/>
    <w:rsid w:val="00BC5C28"/>
    <w:rsid w:val="00BD16CD"/>
    <w:rsid w:val="00BE258B"/>
    <w:rsid w:val="00BF32AC"/>
    <w:rsid w:val="00C0343E"/>
    <w:rsid w:val="00C10207"/>
    <w:rsid w:val="00C17A0D"/>
    <w:rsid w:val="00C21FB1"/>
    <w:rsid w:val="00C2450B"/>
    <w:rsid w:val="00C2462E"/>
    <w:rsid w:val="00C25D51"/>
    <w:rsid w:val="00C309FC"/>
    <w:rsid w:val="00C327E7"/>
    <w:rsid w:val="00C342E5"/>
    <w:rsid w:val="00C3508F"/>
    <w:rsid w:val="00C35169"/>
    <w:rsid w:val="00C37F48"/>
    <w:rsid w:val="00C40420"/>
    <w:rsid w:val="00C41368"/>
    <w:rsid w:val="00C6066A"/>
    <w:rsid w:val="00C6568A"/>
    <w:rsid w:val="00C65825"/>
    <w:rsid w:val="00C721AA"/>
    <w:rsid w:val="00C733BD"/>
    <w:rsid w:val="00C76118"/>
    <w:rsid w:val="00CA1819"/>
    <w:rsid w:val="00CB0A0F"/>
    <w:rsid w:val="00CD2707"/>
    <w:rsid w:val="00CD4A8A"/>
    <w:rsid w:val="00CE67CB"/>
    <w:rsid w:val="00CF3DB7"/>
    <w:rsid w:val="00D1452A"/>
    <w:rsid w:val="00D161DD"/>
    <w:rsid w:val="00D2273F"/>
    <w:rsid w:val="00D24D4A"/>
    <w:rsid w:val="00D27E0D"/>
    <w:rsid w:val="00D30063"/>
    <w:rsid w:val="00D3233A"/>
    <w:rsid w:val="00D348DF"/>
    <w:rsid w:val="00D360B0"/>
    <w:rsid w:val="00D537C8"/>
    <w:rsid w:val="00D6091F"/>
    <w:rsid w:val="00D65087"/>
    <w:rsid w:val="00D771DD"/>
    <w:rsid w:val="00D906F1"/>
    <w:rsid w:val="00D92955"/>
    <w:rsid w:val="00DA4A85"/>
    <w:rsid w:val="00DB1D36"/>
    <w:rsid w:val="00DC27AA"/>
    <w:rsid w:val="00DD01BC"/>
    <w:rsid w:val="00DD55E9"/>
    <w:rsid w:val="00DE1FB9"/>
    <w:rsid w:val="00E04D3B"/>
    <w:rsid w:val="00E106CD"/>
    <w:rsid w:val="00E26C32"/>
    <w:rsid w:val="00E27321"/>
    <w:rsid w:val="00E3541C"/>
    <w:rsid w:val="00E36CD2"/>
    <w:rsid w:val="00E40701"/>
    <w:rsid w:val="00E44FAC"/>
    <w:rsid w:val="00E466D5"/>
    <w:rsid w:val="00E47FCF"/>
    <w:rsid w:val="00E55D0C"/>
    <w:rsid w:val="00E67FD4"/>
    <w:rsid w:val="00E7072D"/>
    <w:rsid w:val="00E7181D"/>
    <w:rsid w:val="00E809E2"/>
    <w:rsid w:val="00E82C6A"/>
    <w:rsid w:val="00E92930"/>
    <w:rsid w:val="00EA00AB"/>
    <w:rsid w:val="00EA272A"/>
    <w:rsid w:val="00EA7B7F"/>
    <w:rsid w:val="00EB107C"/>
    <w:rsid w:val="00EB18DE"/>
    <w:rsid w:val="00EC18B6"/>
    <w:rsid w:val="00EC2C23"/>
    <w:rsid w:val="00EC794F"/>
    <w:rsid w:val="00ED5D8D"/>
    <w:rsid w:val="00ED75A1"/>
    <w:rsid w:val="00EF22E5"/>
    <w:rsid w:val="00EF5968"/>
    <w:rsid w:val="00F04DE6"/>
    <w:rsid w:val="00F05243"/>
    <w:rsid w:val="00F10DA0"/>
    <w:rsid w:val="00F130FD"/>
    <w:rsid w:val="00F2017C"/>
    <w:rsid w:val="00F265F3"/>
    <w:rsid w:val="00F44EF8"/>
    <w:rsid w:val="00F52DBB"/>
    <w:rsid w:val="00F66BD5"/>
    <w:rsid w:val="00F678B8"/>
    <w:rsid w:val="00F72F90"/>
    <w:rsid w:val="00F87C1F"/>
    <w:rsid w:val="00F95245"/>
    <w:rsid w:val="00FA3DA3"/>
    <w:rsid w:val="00FA7594"/>
    <w:rsid w:val="00FC7D1B"/>
    <w:rsid w:val="00FD1D61"/>
    <w:rsid w:val="00FE180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9BE02C5C-FF66-44B7-91FA-E6E59DF1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5169"/>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C35169"/>
    <w:rPr>
      <w:rFonts w:ascii="Times New Roman" w:eastAsia="Times New Roman" w:hAnsi="Times New Roman" w:cs="Times New Roman"/>
      <w:sz w:val="24"/>
      <w:szCs w:val="20"/>
      <w:lang w:val="es-ES_tradnl" w:eastAsia="es-MX"/>
    </w:rPr>
  </w:style>
  <w:style w:type="paragraph" w:customStyle="1" w:styleId="Default">
    <w:name w:val="Default"/>
    <w:rsid w:val="00C3516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rsid w:val="00C35169"/>
    <w:rPr>
      <w:sz w:val="16"/>
      <w:szCs w:val="16"/>
    </w:rPr>
  </w:style>
  <w:style w:type="paragraph" w:styleId="Textocomentario">
    <w:name w:val="annotation text"/>
    <w:basedOn w:val="Normal"/>
    <w:link w:val="TextocomentarioCar"/>
    <w:rsid w:val="00C35169"/>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C3516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C35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169"/>
    <w:rPr>
      <w:rFonts w:ascii="Segoe UI" w:hAnsi="Segoe UI" w:cs="Segoe UI"/>
      <w:sz w:val="18"/>
      <w:szCs w:val="18"/>
      <w:lang w:val="es-ES_tradnl"/>
    </w:rPr>
  </w:style>
  <w:style w:type="paragraph" w:styleId="Encabezado">
    <w:name w:val="header"/>
    <w:basedOn w:val="Normal"/>
    <w:link w:val="EncabezadoCar"/>
    <w:uiPriority w:val="99"/>
    <w:unhideWhenUsed/>
    <w:rsid w:val="00C3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169"/>
    <w:rPr>
      <w:lang w:val="es-ES_tradnl"/>
    </w:rPr>
  </w:style>
  <w:style w:type="paragraph" w:styleId="Asuntodelcomentario">
    <w:name w:val="annotation subject"/>
    <w:basedOn w:val="Textocomentario"/>
    <w:next w:val="Textocomentario"/>
    <w:link w:val="AsuntodelcomentarioCar"/>
    <w:uiPriority w:val="99"/>
    <w:semiHidden/>
    <w:unhideWhenUsed/>
    <w:rsid w:val="00C3516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35169"/>
    <w:rPr>
      <w:rFonts w:ascii="Times New Roman" w:eastAsia="Times New Roman" w:hAnsi="Times New Roman" w:cs="Times New Roman"/>
      <w:b/>
      <w:bCs/>
      <w:sz w:val="20"/>
      <w:szCs w:val="20"/>
      <w:lang w:val="es-ES_tradnl" w:eastAsia="es-MX"/>
    </w:rPr>
  </w:style>
  <w:style w:type="paragraph" w:customStyle="1" w:styleId="CABEZA">
    <w:name w:val="CABEZA"/>
    <w:basedOn w:val="Normal"/>
    <w:rsid w:val="00DD55E9"/>
    <w:pPr>
      <w:spacing w:after="0" w:line="240" w:lineRule="auto"/>
      <w:jc w:val="center"/>
    </w:pPr>
    <w:rPr>
      <w:rFonts w:ascii="Times New Roman" w:eastAsia="Times New Roman" w:hAnsi="Times New Roman" w:cs="Arial"/>
      <w:b/>
      <w:sz w:val="28"/>
      <w:szCs w:val="28"/>
      <w:lang w:eastAsia="es-MX"/>
    </w:rPr>
  </w:style>
  <w:style w:type="paragraph" w:customStyle="1" w:styleId="Texto">
    <w:name w:val="Texto"/>
    <w:basedOn w:val="Normal"/>
    <w:link w:val="TextoCar"/>
    <w:rsid w:val="00786A31"/>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786A31"/>
    <w:rPr>
      <w:rFonts w:ascii="Arial" w:eastAsia="Times New Roman" w:hAnsi="Arial" w:cs="Arial"/>
      <w:sz w:val="18"/>
      <w:szCs w:val="20"/>
      <w:lang w:val="es-ES" w:eastAsia="es-MX"/>
    </w:rPr>
  </w:style>
  <w:style w:type="paragraph" w:styleId="Prrafodelista">
    <w:name w:val="List Paragraph"/>
    <w:basedOn w:val="Normal"/>
    <w:link w:val="PrrafodelistaCar"/>
    <w:uiPriority w:val="34"/>
    <w:qFormat/>
    <w:rsid w:val="0083015A"/>
    <w:pPr>
      <w:ind w:left="720"/>
      <w:contextualSpacing/>
    </w:pPr>
    <w:rPr>
      <w:lang w:val="es-MX"/>
    </w:rPr>
  </w:style>
  <w:style w:type="character" w:customStyle="1" w:styleId="PrrafodelistaCar">
    <w:name w:val="Párrafo de lista Car"/>
    <w:basedOn w:val="Fuentedeprrafopredeter"/>
    <w:link w:val="Prrafodelista"/>
    <w:uiPriority w:val="34"/>
    <w:rsid w:val="0083015A"/>
  </w:style>
  <w:style w:type="paragraph" w:customStyle="1" w:styleId="ROMANOS">
    <w:name w:val="ROMANOS"/>
    <w:basedOn w:val="Normal"/>
    <w:link w:val="ROMANOSCar"/>
    <w:rsid w:val="009B3C9A"/>
    <w:pPr>
      <w:tabs>
        <w:tab w:val="left" w:pos="720"/>
      </w:tabs>
      <w:spacing w:after="101" w:line="216" w:lineRule="exact"/>
      <w:ind w:left="720" w:hanging="432"/>
      <w:jc w:val="both"/>
    </w:pPr>
    <w:rPr>
      <w:rFonts w:ascii="Arial" w:eastAsia="Times New Roman" w:hAnsi="Arial" w:cs="Arial"/>
      <w:sz w:val="18"/>
      <w:szCs w:val="18"/>
      <w:lang w:val="es-MX" w:eastAsia="es-ES"/>
    </w:rPr>
  </w:style>
  <w:style w:type="character" w:customStyle="1" w:styleId="ROMANOSCar">
    <w:name w:val="ROMANOS Car"/>
    <w:link w:val="ROMANOS"/>
    <w:locked/>
    <w:rsid w:val="009B3C9A"/>
    <w:rPr>
      <w:rFonts w:ascii="Arial" w:eastAsia="Times New Roman" w:hAnsi="Arial" w:cs="Arial"/>
      <w:sz w:val="18"/>
      <w:szCs w:val="18"/>
      <w:lang w:eastAsia="es-ES"/>
    </w:rPr>
  </w:style>
  <w:style w:type="paragraph" w:styleId="Sangradetextonormal">
    <w:name w:val="Body Text Indent"/>
    <w:basedOn w:val="Normal"/>
    <w:link w:val="SangradetextonormalCar"/>
    <w:uiPriority w:val="99"/>
    <w:semiHidden/>
    <w:unhideWhenUsed/>
    <w:rsid w:val="00F95245"/>
    <w:pPr>
      <w:spacing w:after="120"/>
      <w:ind w:left="283"/>
    </w:pPr>
  </w:style>
  <w:style w:type="character" w:customStyle="1" w:styleId="SangradetextonormalCar">
    <w:name w:val="Sangría de texto normal Car"/>
    <w:basedOn w:val="Fuentedeprrafopredeter"/>
    <w:link w:val="Sangradetextonormal"/>
    <w:uiPriority w:val="99"/>
    <w:semiHidden/>
    <w:rsid w:val="00F95245"/>
    <w:rPr>
      <w:lang w:val="es-ES_tradnl"/>
    </w:rPr>
  </w:style>
  <w:style w:type="paragraph" w:styleId="Textoindependienteprimerasangra2">
    <w:name w:val="Body Text First Indent 2"/>
    <w:basedOn w:val="Sangradetextonormal"/>
    <w:link w:val="Textoindependienteprimerasangra2Car"/>
    <w:uiPriority w:val="99"/>
    <w:unhideWhenUsed/>
    <w:rsid w:val="00F95245"/>
    <w:pPr>
      <w:spacing w:after="160"/>
      <w:ind w:left="360" w:firstLine="360"/>
    </w:pPr>
    <w:rPr>
      <w:lang w:val="es-MX"/>
    </w:rPr>
  </w:style>
  <w:style w:type="character" w:customStyle="1" w:styleId="Textoindependienteprimerasangra2Car">
    <w:name w:val="Texto independiente primera sangría 2 Car"/>
    <w:basedOn w:val="SangradetextonormalCar"/>
    <w:link w:val="Textoindependienteprimerasangra2"/>
    <w:uiPriority w:val="99"/>
    <w:rsid w:val="00F95245"/>
    <w:rPr>
      <w:lang w:val="es-ES_tradnl"/>
    </w:rPr>
  </w:style>
  <w:style w:type="paragraph" w:styleId="Textonotapie">
    <w:name w:val="footnote text"/>
    <w:basedOn w:val="Normal"/>
    <w:link w:val="TextonotapieCar"/>
    <w:uiPriority w:val="99"/>
    <w:semiHidden/>
    <w:unhideWhenUsed/>
    <w:rsid w:val="00F952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5245"/>
    <w:rPr>
      <w:sz w:val="20"/>
      <w:szCs w:val="20"/>
      <w:lang w:val="es-ES_tradnl"/>
    </w:rPr>
  </w:style>
  <w:style w:type="character" w:styleId="Refdenotaalpie">
    <w:name w:val="footnote reference"/>
    <w:basedOn w:val="Fuentedeprrafopredeter"/>
    <w:uiPriority w:val="99"/>
    <w:semiHidden/>
    <w:unhideWhenUsed/>
    <w:rsid w:val="00F95245"/>
    <w:rPr>
      <w:vertAlign w:val="superscript"/>
    </w:rPr>
  </w:style>
  <w:style w:type="paragraph" w:styleId="Textoindependiente">
    <w:name w:val="Body Text"/>
    <w:basedOn w:val="Normal"/>
    <w:link w:val="TextoindependienteCar"/>
    <w:uiPriority w:val="99"/>
    <w:semiHidden/>
    <w:unhideWhenUsed/>
    <w:rsid w:val="00EA7B7F"/>
    <w:pPr>
      <w:spacing w:after="120"/>
    </w:pPr>
  </w:style>
  <w:style w:type="character" w:customStyle="1" w:styleId="TextoindependienteCar">
    <w:name w:val="Texto independiente Car"/>
    <w:basedOn w:val="Fuentedeprrafopredeter"/>
    <w:link w:val="Textoindependiente"/>
    <w:uiPriority w:val="99"/>
    <w:semiHidden/>
    <w:rsid w:val="00EA7B7F"/>
    <w:rPr>
      <w:lang w:val="es-ES_tradnl"/>
    </w:rPr>
  </w:style>
  <w:style w:type="paragraph" w:customStyle="1" w:styleId="ANOTACION">
    <w:name w:val="ANOTACION"/>
    <w:basedOn w:val="Normal"/>
    <w:link w:val="ANOTACIONCar"/>
    <w:rsid w:val="003A52E3"/>
    <w:pPr>
      <w:spacing w:before="101" w:after="101" w:line="216" w:lineRule="atLeast"/>
      <w:jc w:val="center"/>
    </w:pPr>
    <w:rPr>
      <w:rFonts w:ascii="Times New Roman" w:eastAsia="Times New Roman" w:hAnsi="Times New Roman" w:cs="Times New Roman"/>
      <w:b/>
      <w:sz w:val="18"/>
      <w:szCs w:val="20"/>
      <w:lang w:eastAsia="es-ES"/>
    </w:rPr>
  </w:style>
  <w:style w:type="character" w:customStyle="1" w:styleId="ANOTACIONCar">
    <w:name w:val="ANOTACION Car"/>
    <w:link w:val="ANOTACION"/>
    <w:locked/>
    <w:rsid w:val="003A52E3"/>
    <w:rPr>
      <w:rFonts w:ascii="Times New Roman" w:eastAsia="Times New Roman" w:hAnsi="Times New Roman" w:cs="Times New Roman"/>
      <w:b/>
      <w:sz w:val="18"/>
      <w:szCs w:val="20"/>
      <w:lang w:val="es-ES_tradnl" w:eastAsia="es-ES"/>
    </w:rPr>
  </w:style>
  <w:style w:type="character" w:styleId="Hipervnculo">
    <w:name w:val="Hyperlink"/>
    <w:basedOn w:val="Fuentedeprrafopredeter"/>
    <w:uiPriority w:val="99"/>
    <w:unhideWhenUsed/>
    <w:rsid w:val="00A93A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43582">
      <w:bodyDiv w:val="1"/>
      <w:marLeft w:val="0"/>
      <w:marRight w:val="0"/>
      <w:marTop w:val="0"/>
      <w:marBottom w:val="0"/>
      <w:divBdr>
        <w:top w:val="none" w:sz="0" w:space="0" w:color="auto"/>
        <w:left w:val="none" w:sz="0" w:space="0" w:color="auto"/>
        <w:bottom w:val="none" w:sz="0" w:space="0" w:color="auto"/>
        <w:right w:val="none" w:sz="0" w:space="0" w:color="auto"/>
      </w:divBdr>
    </w:div>
    <w:div w:id="15132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dms_pub/itu-t/opb/tut/T-TUT-CCICT-2015-PDF-S.pdf" TargetMode="External"/><Relationship Id="rId1" Type="http://schemas.openxmlformats.org/officeDocument/2006/relationships/hyperlink" Target="http://www.nab.org/documents/newsRoom/pdfs/CSRIC_Social_Media_Alerting_Repor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B9FB-492C-456A-B2C7-FF457697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5910</Words>
  <Characters>32511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Juarez Mojica</dc:creator>
  <cp:keywords/>
  <dc:description/>
  <cp:lastModifiedBy>Luis Fernando Rosas Yanez</cp:lastModifiedBy>
  <cp:revision>3</cp:revision>
  <cp:lastPrinted>2015-10-28T18:50:00Z</cp:lastPrinted>
  <dcterms:created xsi:type="dcterms:W3CDTF">2017-04-05T15:44:00Z</dcterms:created>
  <dcterms:modified xsi:type="dcterms:W3CDTF">2017-04-05T15:45:00Z</dcterms:modified>
</cp:coreProperties>
</file>