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9147F" w14:textId="77777777" w:rsidR="00D630C2" w:rsidRDefault="00107B28" w:rsidP="0095038B">
      <w:pPr>
        <w:spacing w:after="0" w:line="276" w:lineRule="auto"/>
        <w:jc w:val="both"/>
        <w:rPr>
          <w:rFonts w:ascii="ITC Avant Garde" w:hAnsi="ITC Avant Garde"/>
          <w:b/>
        </w:rPr>
      </w:pPr>
      <w:r w:rsidRPr="0095038B">
        <w:rPr>
          <w:rFonts w:ascii="ITC Avant Garde" w:hAnsi="ITC Avant Garde" w:cs="Arial"/>
          <w:b/>
          <w:bCs/>
          <w:lang w:eastAsia="es-ES"/>
        </w:rPr>
        <w:t>A</w:t>
      </w:r>
      <w:r w:rsidR="00926DB0" w:rsidRPr="0095038B">
        <w:rPr>
          <w:rFonts w:ascii="ITC Avant Garde" w:hAnsi="ITC Avant Garde" w:cs="Arial"/>
          <w:b/>
          <w:bCs/>
          <w:lang w:eastAsia="es-ES"/>
        </w:rPr>
        <w:t>CUERDO</w:t>
      </w:r>
      <w:r w:rsidR="00CC5D24" w:rsidRPr="0095038B">
        <w:rPr>
          <w:rFonts w:ascii="ITC Avant Garde" w:hAnsi="ITC Avant Garde" w:cs="Arial"/>
          <w:b/>
          <w:bCs/>
          <w:lang w:eastAsia="es-ES"/>
        </w:rPr>
        <w:t xml:space="preserve"> </w:t>
      </w:r>
      <w:r w:rsidR="00926DB0" w:rsidRPr="0095038B">
        <w:rPr>
          <w:rFonts w:ascii="ITC Avant Garde" w:hAnsi="ITC Avant Garde" w:cs="Arial"/>
          <w:b/>
          <w:bCs/>
          <w:lang w:eastAsia="es-ES"/>
        </w:rPr>
        <w:t xml:space="preserve">MEDIANTE EL CUAL EL PLENO DEL INSTITUTO FEDERAL DE TELECOMUNICACIONES </w:t>
      </w:r>
      <w:r w:rsidR="00752BEE" w:rsidRPr="0095038B">
        <w:rPr>
          <w:rFonts w:ascii="ITC Avant Garde" w:hAnsi="ITC Avant Garde" w:cs="Arial"/>
          <w:b/>
          <w:bCs/>
          <w:lang w:eastAsia="es-ES"/>
        </w:rPr>
        <w:t>DETERMINA</w:t>
      </w:r>
      <w:r w:rsidR="00926DB0" w:rsidRPr="0095038B">
        <w:rPr>
          <w:rFonts w:ascii="ITC Avant Garde" w:hAnsi="ITC Avant Garde" w:cs="Arial"/>
          <w:b/>
          <w:bCs/>
          <w:lang w:eastAsia="es-ES"/>
        </w:rPr>
        <w:t xml:space="preserve"> SOMETER A CONSULTA PÚBLICA EL “ANTEPROYECTO</w:t>
      </w:r>
      <w:r w:rsidRPr="0095038B">
        <w:rPr>
          <w:rFonts w:ascii="ITC Avant Garde" w:hAnsi="ITC Avant Garde" w:cs="Arial"/>
          <w:b/>
          <w:bCs/>
          <w:lang w:eastAsia="es-ES"/>
        </w:rPr>
        <w:t xml:space="preserve"> DE</w:t>
      </w:r>
      <w:r w:rsidR="00CE5B90" w:rsidRPr="0095038B">
        <w:rPr>
          <w:rFonts w:ascii="ITC Avant Garde" w:hAnsi="ITC Avant Garde" w:cs="Arial"/>
          <w:b/>
          <w:bCs/>
          <w:lang w:eastAsia="es-ES"/>
        </w:rPr>
        <w:t xml:space="preserve"> </w:t>
      </w:r>
      <w:r w:rsidR="007075F1" w:rsidRPr="0095038B">
        <w:rPr>
          <w:rFonts w:ascii="ITC Avant Garde" w:hAnsi="ITC Avant Garde" w:cs="Arial"/>
          <w:b/>
          <w:bCs/>
          <w:lang w:eastAsia="es-ES"/>
        </w:rPr>
        <w:t xml:space="preserve">LINEAMIENTOS MEDIANTE LOS CUALES EL INSTITUTO FEDERAL DE TELECOMUNICACIONES ESTABLECE LOS CRITERIOS </w:t>
      </w:r>
      <w:r w:rsidR="007075F1" w:rsidRPr="0095038B">
        <w:rPr>
          <w:rFonts w:ascii="ITC Avant Garde" w:hAnsi="ITC Avant Garde"/>
          <w:b/>
        </w:rPr>
        <w:t>PARA EL CAMBIO DE FRECUENCIAS DE ESTACIONES DE RADIODIFUSIÓN SONORA QUE OPERAN EN LA BANDA DE AMPLITUD MODULADA A FRECUENCIA MODULADA</w:t>
      </w:r>
      <w:r w:rsidR="00CC5D24" w:rsidRPr="0095038B">
        <w:rPr>
          <w:rFonts w:ascii="ITC Avant Garde" w:hAnsi="ITC Avant Garde"/>
          <w:b/>
        </w:rPr>
        <w:t>”</w:t>
      </w:r>
      <w:r w:rsidR="007075F1" w:rsidRPr="0095038B">
        <w:rPr>
          <w:rFonts w:ascii="ITC Avant Garde" w:hAnsi="ITC Avant Garde"/>
          <w:b/>
        </w:rPr>
        <w:t>.</w:t>
      </w:r>
    </w:p>
    <w:p w14:paraId="36E6F2F4" w14:textId="77777777" w:rsidR="0095038B" w:rsidRDefault="0095038B" w:rsidP="0095038B">
      <w:pPr>
        <w:spacing w:after="0" w:line="276" w:lineRule="auto"/>
        <w:jc w:val="both"/>
        <w:rPr>
          <w:rFonts w:ascii="ITC Avant Garde" w:hAnsi="ITC Avant Garde"/>
          <w:b/>
        </w:rPr>
      </w:pPr>
    </w:p>
    <w:p w14:paraId="51A93503" w14:textId="77777777" w:rsidR="0095038B" w:rsidRPr="0095038B" w:rsidRDefault="0095038B" w:rsidP="0095038B">
      <w:pPr>
        <w:spacing w:after="0" w:line="276" w:lineRule="auto"/>
        <w:jc w:val="both"/>
        <w:rPr>
          <w:rFonts w:ascii="ITC Avant Garde" w:hAnsi="ITC Avant Garde"/>
          <w:b/>
        </w:rPr>
      </w:pPr>
    </w:p>
    <w:p w14:paraId="5A03FCEA" w14:textId="485288EC" w:rsidR="00D630C2" w:rsidRPr="0095038B" w:rsidRDefault="007A59F7" w:rsidP="0095038B">
      <w:pPr>
        <w:spacing w:after="0" w:line="276" w:lineRule="auto"/>
        <w:jc w:val="center"/>
        <w:rPr>
          <w:rFonts w:ascii="ITC Avant Garde" w:hAnsi="ITC Avant Garde"/>
          <w:b/>
        </w:rPr>
      </w:pPr>
      <w:r w:rsidRPr="0095038B">
        <w:rPr>
          <w:rFonts w:ascii="ITC Avant Garde" w:hAnsi="ITC Avant Garde"/>
          <w:b/>
        </w:rPr>
        <w:t>ANTECEDENTES</w:t>
      </w:r>
    </w:p>
    <w:p w14:paraId="794ABA91" w14:textId="77777777" w:rsidR="007A59F7" w:rsidRDefault="007A59F7" w:rsidP="0095038B">
      <w:pPr>
        <w:spacing w:after="0" w:line="276" w:lineRule="auto"/>
        <w:jc w:val="center"/>
        <w:rPr>
          <w:rFonts w:ascii="ITC Avant Garde" w:hAnsi="ITC Avant Garde"/>
          <w:b/>
        </w:rPr>
      </w:pPr>
    </w:p>
    <w:p w14:paraId="636398F1" w14:textId="77777777" w:rsidR="0095038B" w:rsidRPr="0095038B" w:rsidRDefault="0095038B" w:rsidP="0095038B">
      <w:pPr>
        <w:spacing w:after="0" w:line="276" w:lineRule="auto"/>
        <w:jc w:val="center"/>
        <w:rPr>
          <w:rFonts w:ascii="ITC Avant Garde" w:hAnsi="ITC Avant Garde"/>
          <w:b/>
        </w:rPr>
      </w:pPr>
    </w:p>
    <w:p w14:paraId="3BEB5B15" w14:textId="4C2CC392" w:rsidR="00846FB3" w:rsidRPr="0095038B" w:rsidRDefault="00DF0E7A" w:rsidP="0095038B">
      <w:pPr>
        <w:numPr>
          <w:ilvl w:val="0"/>
          <w:numId w:val="22"/>
        </w:numPr>
        <w:spacing w:after="0" w:line="276" w:lineRule="auto"/>
        <w:jc w:val="both"/>
        <w:rPr>
          <w:rFonts w:ascii="ITC Avant Garde" w:hAnsi="ITC Avant Garde" w:cs="Arial"/>
          <w:bCs/>
          <w:lang w:eastAsia="es-ES"/>
        </w:rPr>
      </w:pPr>
      <w:r w:rsidRPr="0095038B">
        <w:rPr>
          <w:rFonts w:ascii="ITC Avant Garde" w:hAnsi="ITC Avant Garde" w:cs="Arial"/>
          <w:bCs/>
          <w:lang w:eastAsia="es-ES"/>
        </w:rPr>
        <w:t>Con fecha 11 de junio de 2013, se publicó en el Diario Oficial de la Federación (en lo sucesivo, DOF) el “</w:t>
      </w:r>
      <w:r w:rsidRPr="0095038B">
        <w:rPr>
          <w:rFonts w:ascii="ITC Avant Garde" w:hAnsi="ITC Avant Garde" w:cs="Arial"/>
          <w:bCs/>
          <w:i/>
          <w:lang w:eastAsia="es-ES"/>
        </w:rPr>
        <w:t>Decreto por el que se reforman y adicionan diversas disposiciones de los artículos 6º, 7º, 27º, 28º, 73º, 78º, 94º y 105º de la Constitución Política de los Estados Unidos Mexicanos, en materia de telecomunicaciones”</w:t>
      </w:r>
      <w:r w:rsidRPr="0095038B">
        <w:rPr>
          <w:rFonts w:ascii="ITC Avant Garde" w:hAnsi="ITC Avant Garde" w:cs="Arial"/>
          <w:bCs/>
          <w:lang w:eastAsia="es-ES"/>
        </w:rPr>
        <w:t xml:space="preserve"> (en lo sucesivo, </w:t>
      </w:r>
      <w:r w:rsidR="004D5692" w:rsidRPr="0095038B">
        <w:rPr>
          <w:rFonts w:ascii="ITC Avant Garde" w:hAnsi="ITC Avant Garde" w:cs="Arial"/>
          <w:bCs/>
          <w:lang w:eastAsia="es-ES"/>
        </w:rPr>
        <w:t xml:space="preserve">el </w:t>
      </w:r>
      <w:r w:rsidRPr="0095038B">
        <w:rPr>
          <w:rFonts w:ascii="ITC Avant Garde" w:hAnsi="ITC Avant Garde" w:cs="Arial"/>
          <w:bCs/>
          <w:lang w:eastAsia="es-ES"/>
        </w:rPr>
        <w:t>Decreto),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0362DC07" w14:textId="77777777" w:rsidR="00846FB3" w:rsidRDefault="00846FB3" w:rsidP="0095038B">
      <w:pPr>
        <w:spacing w:after="0" w:line="276" w:lineRule="auto"/>
        <w:jc w:val="both"/>
        <w:rPr>
          <w:rFonts w:ascii="ITC Avant Garde" w:hAnsi="ITC Avant Garde" w:cs="Arial"/>
          <w:bCs/>
          <w:lang w:eastAsia="es-ES"/>
        </w:rPr>
      </w:pPr>
    </w:p>
    <w:p w14:paraId="7EEF421E" w14:textId="77777777" w:rsidR="0095038B" w:rsidRPr="0095038B" w:rsidRDefault="0095038B" w:rsidP="0095038B">
      <w:pPr>
        <w:spacing w:after="0" w:line="276" w:lineRule="auto"/>
        <w:jc w:val="both"/>
        <w:rPr>
          <w:rFonts w:ascii="ITC Avant Garde" w:hAnsi="ITC Avant Garde" w:cs="Arial"/>
          <w:bCs/>
          <w:lang w:eastAsia="es-ES"/>
        </w:rPr>
      </w:pPr>
    </w:p>
    <w:p w14:paraId="029FAAF9" w14:textId="77777777" w:rsidR="00D630C2" w:rsidRPr="0095038B" w:rsidRDefault="00DF0E7A" w:rsidP="0095038B">
      <w:pPr>
        <w:pStyle w:val="Prrafodelista"/>
        <w:numPr>
          <w:ilvl w:val="0"/>
          <w:numId w:val="22"/>
        </w:numPr>
        <w:spacing w:after="0" w:line="276" w:lineRule="auto"/>
        <w:jc w:val="both"/>
        <w:rPr>
          <w:rFonts w:ascii="ITC Avant Garde" w:hAnsi="ITC Avant Garde"/>
        </w:rPr>
      </w:pPr>
      <w:r w:rsidRPr="0095038B">
        <w:rPr>
          <w:rFonts w:ascii="ITC Avant Garde" w:hAnsi="ITC Avant Garde" w:cs="Arial"/>
          <w:bCs/>
          <w:lang w:eastAsia="es-ES"/>
        </w:rPr>
        <w:t xml:space="preserve">Con fecha 14 de julio de 2014, fue publicado en el DOF el </w:t>
      </w:r>
      <w:r w:rsidRPr="0095038B">
        <w:rPr>
          <w:rFonts w:ascii="ITC Avant Garde" w:hAnsi="ITC Avant Garde" w:cs="Arial"/>
          <w:bCs/>
          <w:i/>
          <w:lang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5038B">
        <w:rPr>
          <w:rFonts w:ascii="ITC Avant Garde" w:hAnsi="ITC Avant Garde" w:cs="Arial"/>
          <w:bCs/>
          <w:lang w:eastAsia="es-ES"/>
        </w:rPr>
        <w:t xml:space="preserve">, (en lo sucesivo, </w:t>
      </w:r>
      <w:r w:rsidR="004D5692" w:rsidRPr="0095038B">
        <w:rPr>
          <w:rFonts w:ascii="ITC Avant Garde" w:hAnsi="ITC Avant Garde" w:cs="Arial"/>
          <w:bCs/>
          <w:lang w:eastAsia="es-ES"/>
        </w:rPr>
        <w:t>la Ley</w:t>
      </w:r>
      <w:r w:rsidRPr="0095038B">
        <w:rPr>
          <w:rFonts w:ascii="ITC Avant Garde" w:hAnsi="ITC Avant Garde" w:cs="Arial"/>
          <w:bCs/>
          <w:lang w:eastAsia="es-ES"/>
        </w:rPr>
        <w:t>) el cual, en términos de lo dispuesto por su Artículo Primero transitorio, entró en vigor treinta días naturales siguientes a su publicación, esto es, el 13 de agosto de 2014.</w:t>
      </w:r>
    </w:p>
    <w:p w14:paraId="426ECF4D" w14:textId="77777777" w:rsidR="00846FB3" w:rsidRDefault="00846FB3" w:rsidP="0095038B">
      <w:pPr>
        <w:pStyle w:val="Prrafodelista"/>
        <w:spacing w:after="0" w:line="276" w:lineRule="auto"/>
        <w:jc w:val="both"/>
        <w:rPr>
          <w:rFonts w:ascii="ITC Avant Garde" w:hAnsi="ITC Avant Garde"/>
        </w:rPr>
      </w:pPr>
    </w:p>
    <w:p w14:paraId="3BC880AB" w14:textId="77777777" w:rsidR="0095038B" w:rsidRPr="0095038B" w:rsidRDefault="0095038B" w:rsidP="0095038B">
      <w:pPr>
        <w:pStyle w:val="Prrafodelista"/>
        <w:spacing w:after="0" w:line="276" w:lineRule="auto"/>
        <w:jc w:val="both"/>
        <w:rPr>
          <w:rFonts w:ascii="ITC Avant Garde" w:hAnsi="ITC Avant Garde"/>
        </w:rPr>
      </w:pPr>
    </w:p>
    <w:p w14:paraId="30138355" w14:textId="571CE9E1" w:rsidR="00373FB8" w:rsidRPr="0095038B" w:rsidRDefault="004D5692" w:rsidP="0095038B">
      <w:pPr>
        <w:numPr>
          <w:ilvl w:val="0"/>
          <w:numId w:val="22"/>
        </w:numPr>
        <w:spacing w:after="0" w:line="276" w:lineRule="auto"/>
        <w:jc w:val="both"/>
        <w:rPr>
          <w:rFonts w:ascii="ITC Avant Garde" w:hAnsi="ITC Avant Garde" w:cs="Arial"/>
          <w:bCs/>
          <w:lang w:eastAsia="es-ES"/>
        </w:rPr>
      </w:pPr>
      <w:r w:rsidRPr="0095038B">
        <w:rPr>
          <w:rFonts w:ascii="ITC Avant Garde" w:hAnsi="ITC Avant Garde"/>
          <w:lang w:val="es-ES"/>
        </w:rPr>
        <w:t xml:space="preserve">Con fecha </w:t>
      </w:r>
      <w:r w:rsidR="00DF0E7A" w:rsidRPr="0095038B">
        <w:rPr>
          <w:rFonts w:ascii="ITC Avant Garde" w:hAnsi="ITC Avant Garde"/>
          <w:lang w:val="es-ES"/>
        </w:rPr>
        <w:t>4 de septiembre de 2014 se publicó en el DOF el “</w:t>
      </w:r>
      <w:r w:rsidR="00DF0E7A" w:rsidRPr="0095038B">
        <w:rPr>
          <w:rFonts w:ascii="ITC Avant Garde" w:hAnsi="ITC Avant Garde"/>
          <w:iCs/>
          <w:lang w:val="es-ES"/>
        </w:rPr>
        <w:t>Estatuto Orgánico del Instituto Federal de Telecomunicaciones</w:t>
      </w:r>
      <w:r w:rsidR="00DF0E7A" w:rsidRPr="0095038B">
        <w:rPr>
          <w:rFonts w:ascii="ITC Avant Garde" w:hAnsi="ITC Avant Garde"/>
          <w:lang w:val="es-ES"/>
        </w:rPr>
        <w:t>” (en</w:t>
      </w:r>
      <w:r w:rsidRPr="0095038B">
        <w:rPr>
          <w:rFonts w:ascii="ITC Avant Garde" w:hAnsi="ITC Avant Garde"/>
          <w:lang w:val="es-ES"/>
        </w:rPr>
        <w:t xml:space="preserve"> lo sucesivo, el Estatuto</w:t>
      </w:r>
      <w:r w:rsidR="00DF0E7A" w:rsidRPr="0095038B">
        <w:rPr>
          <w:rFonts w:ascii="ITC Avant Garde" w:hAnsi="ITC Avant Garde"/>
          <w:lang w:val="es-ES"/>
        </w:rPr>
        <w:t>), mismo que entró en vigor el 26 de septiembre de 2014</w:t>
      </w:r>
      <w:r w:rsidR="004331C5" w:rsidRPr="0095038B">
        <w:rPr>
          <w:rFonts w:ascii="ITC Avant Garde" w:eastAsia="Times New Roman" w:hAnsi="ITC Avant Garde" w:cs="Arial"/>
          <w:bCs/>
          <w:lang w:eastAsia="es-MX"/>
        </w:rPr>
        <w:t xml:space="preserve"> y fue modificado mediante publicación en el mismo medio de difusión el día 17 de octubre del 2014.</w:t>
      </w:r>
    </w:p>
    <w:p w14:paraId="77A233DC" w14:textId="77777777" w:rsidR="00D630C2" w:rsidRPr="0095038B" w:rsidRDefault="00D630C2" w:rsidP="0095038B">
      <w:pPr>
        <w:spacing w:after="0" w:line="276" w:lineRule="auto"/>
        <w:rPr>
          <w:rFonts w:ascii="ITC Avant Garde" w:hAnsi="ITC Avant Garde"/>
        </w:rPr>
      </w:pPr>
    </w:p>
    <w:p w14:paraId="24AC72EA" w14:textId="77777777" w:rsidR="00D630C2" w:rsidRPr="0095038B" w:rsidRDefault="00234FCD" w:rsidP="0095038B">
      <w:pPr>
        <w:spacing w:after="0" w:line="276" w:lineRule="auto"/>
        <w:jc w:val="both"/>
        <w:rPr>
          <w:rFonts w:ascii="ITC Avant Garde" w:hAnsi="ITC Avant Garde"/>
        </w:rPr>
      </w:pPr>
      <w:r w:rsidRPr="0095038B">
        <w:rPr>
          <w:rFonts w:ascii="ITC Avant Garde" w:hAnsi="ITC Avant Garde"/>
        </w:rPr>
        <w:t xml:space="preserve">En virtud de los antecedentes señalados y, </w:t>
      </w:r>
    </w:p>
    <w:p w14:paraId="06C13561" w14:textId="50BE1654" w:rsidR="00025A14" w:rsidRPr="0095038B" w:rsidRDefault="007A59F7" w:rsidP="0095038B">
      <w:pPr>
        <w:spacing w:after="0" w:line="276" w:lineRule="auto"/>
        <w:jc w:val="center"/>
        <w:rPr>
          <w:rFonts w:ascii="ITC Avant Garde" w:hAnsi="ITC Avant Garde"/>
          <w:b/>
        </w:rPr>
      </w:pPr>
      <w:r w:rsidRPr="0095038B">
        <w:rPr>
          <w:rFonts w:ascii="ITC Avant Garde" w:hAnsi="ITC Avant Garde"/>
          <w:b/>
        </w:rPr>
        <w:lastRenderedPageBreak/>
        <w:t>CONSIDERANDO</w:t>
      </w:r>
    </w:p>
    <w:p w14:paraId="3D2990D2" w14:textId="77777777" w:rsidR="00D630C2" w:rsidRPr="0095038B" w:rsidRDefault="00D630C2" w:rsidP="0095038B">
      <w:pPr>
        <w:spacing w:after="0" w:line="276" w:lineRule="auto"/>
        <w:jc w:val="center"/>
        <w:rPr>
          <w:rFonts w:ascii="ITC Avant Garde" w:hAnsi="ITC Avant Garde"/>
          <w:b/>
        </w:rPr>
      </w:pPr>
    </w:p>
    <w:p w14:paraId="33E4D6AD" w14:textId="782A7481" w:rsidR="004331C5" w:rsidRDefault="00E1613B" w:rsidP="0095038B">
      <w:pPr>
        <w:spacing w:after="0" w:line="276" w:lineRule="auto"/>
        <w:jc w:val="both"/>
        <w:rPr>
          <w:rFonts w:ascii="ITC Avant Garde" w:eastAsia="Arial" w:hAnsi="ITC Avant Garde" w:cs="Arial"/>
          <w:lang w:val="es-ES_tradnl"/>
        </w:rPr>
      </w:pPr>
      <w:r w:rsidRPr="0095038B">
        <w:rPr>
          <w:rFonts w:ascii="ITC Avant Garde" w:hAnsi="ITC Avant Garde"/>
          <w:b/>
        </w:rPr>
        <w:t xml:space="preserve">PRIMERO.- </w:t>
      </w:r>
      <w:r w:rsidR="00E672F9" w:rsidRPr="0095038B">
        <w:rPr>
          <w:rFonts w:ascii="ITC Avant Garde" w:hAnsi="ITC Avant Garde"/>
          <w:b/>
        </w:rPr>
        <w:t>COMPETENCIA DEL INSTITUTO</w:t>
      </w:r>
      <w:r w:rsidR="000D6BF8" w:rsidRPr="0095038B">
        <w:rPr>
          <w:rFonts w:ascii="ITC Avant Garde" w:hAnsi="ITC Avant Garde"/>
          <w:b/>
        </w:rPr>
        <w:t xml:space="preserve">.- </w:t>
      </w:r>
      <w:r w:rsidR="00DB02B4" w:rsidRPr="0095038B">
        <w:rPr>
          <w:rFonts w:ascii="ITC Avant Garde" w:eastAsia="Arial" w:hAnsi="ITC Avant Garde" w:cs="Arial"/>
          <w:lang w:val="es-ES_tradnl"/>
        </w:rPr>
        <w:t>Que d</w:t>
      </w:r>
      <w:r w:rsidR="00DF0E7A" w:rsidRPr="0095038B">
        <w:rPr>
          <w:rFonts w:ascii="ITC Avant Garde" w:eastAsia="Arial" w:hAnsi="ITC Avant Garde" w:cs="Arial"/>
          <w:lang w:val="es-ES_tradnl"/>
        </w:rPr>
        <w:t>e conformidad con lo establecido por el artículo 28</w:t>
      </w:r>
      <w:r w:rsidR="00846FB3" w:rsidRPr="0095038B">
        <w:rPr>
          <w:rFonts w:ascii="ITC Avant Garde" w:eastAsia="Arial" w:hAnsi="ITC Avant Garde" w:cs="Arial"/>
          <w:lang w:val="es-ES_tradnl"/>
        </w:rPr>
        <w:t>,</w:t>
      </w:r>
      <w:r w:rsidR="00DF0E7A" w:rsidRPr="0095038B">
        <w:rPr>
          <w:rFonts w:ascii="ITC Avant Garde" w:eastAsia="Arial" w:hAnsi="ITC Avant Garde" w:cs="Arial"/>
          <w:lang w:val="es-ES_tradnl"/>
        </w:rPr>
        <w:t xml:space="preserve"> párrafo décimo quinto </w:t>
      </w:r>
      <w:r w:rsidR="00A14292" w:rsidRPr="0095038B">
        <w:rPr>
          <w:rFonts w:ascii="ITC Avant Garde" w:eastAsia="Arial" w:hAnsi="ITC Avant Garde" w:cs="Arial"/>
          <w:lang w:val="es-ES_tradnl"/>
        </w:rPr>
        <w:t xml:space="preserve">y décimo sexto </w:t>
      </w:r>
      <w:r w:rsidR="00DF0E7A" w:rsidRPr="0095038B">
        <w:rPr>
          <w:rFonts w:ascii="ITC Avant Garde" w:eastAsia="Arial" w:hAnsi="ITC Avant Garde" w:cs="Arial"/>
          <w:lang w:val="es-ES_tradnl"/>
        </w:rPr>
        <w:t xml:space="preserve">de la Constitución Política de los Estados Unidos Mexicanos (en lo sucesivo, la "Constitución"), el Instituto tiene por objeto el desarrollo eficiente de la radiodifusión y las telecomunicaciones, conforme a lo dispuesto en la propia Constitución y en los términos que fijen las leyes. </w:t>
      </w:r>
    </w:p>
    <w:p w14:paraId="15FCFF0F" w14:textId="77777777" w:rsidR="0095038B" w:rsidRPr="0095038B" w:rsidRDefault="0095038B" w:rsidP="0095038B">
      <w:pPr>
        <w:spacing w:after="0" w:line="276" w:lineRule="auto"/>
        <w:jc w:val="both"/>
        <w:rPr>
          <w:rFonts w:ascii="ITC Avant Garde" w:eastAsia="Arial" w:hAnsi="ITC Avant Garde" w:cs="Arial"/>
          <w:lang w:val="es-ES_tradnl"/>
        </w:rPr>
      </w:pPr>
    </w:p>
    <w:p w14:paraId="6D0C8BE1" w14:textId="77777777" w:rsidR="00DF0E7A" w:rsidRDefault="00DF0E7A" w:rsidP="0095038B">
      <w:pPr>
        <w:spacing w:after="0" w:line="276" w:lineRule="auto"/>
        <w:jc w:val="both"/>
        <w:rPr>
          <w:rFonts w:ascii="ITC Avant Garde" w:eastAsia="Arial" w:hAnsi="ITC Avant Garde" w:cs="Arial"/>
          <w:lang w:val="es-ES_tradnl"/>
        </w:rPr>
      </w:pPr>
      <w:r w:rsidRPr="0095038B">
        <w:rPr>
          <w:rFonts w:ascii="ITC Avant Garde" w:eastAsia="Arial" w:hAnsi="ITC Avant Garde" w:cs="Arial"/>
          <w:lang w:val="es-ES_tradnl"/>
        </w:rPr>
        <w:t>Para tal efecto, en términos del precepto constitucional invocado así como de los artículos 1 y 7 de la Ley,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por los artículos 6o. y 7o. de la Constitución.</w:t>
      </w:r>
    </w:p>
    <w:p w14:paraId="25D19B3F" w14:textId="77777777" w:rsidR="0095038B" w:rsidRPr="0095038B" w:rsidRDefault="0095038B" w:rsidP="0095038B">
      <w:pPr>
        <w:spacing w:after="0" w:line="276" w:lineRule="auto"/>
        <w:jc w:val="both"/>
        <w:rPr>
          <w:rFonts w:ascii="ITC Avant Garde" w:hAnsi="ITC Avant Garde" w:cs="Arial"/>
          <w:bCs/>
          <w:lang w:eastAsia="es-ES"/>
        </w:rPr>
      </w:pPr>
    </w:p>
    <w:p w14:paraId="155F1932" w14:textId="77777777" w:rsidR="00E94371" w:rsidRDefault="00DF0E7A" w:rsidP="0095038B">
      <w:pPr>
        <w:tabs>
          <w:tab w:val="num" w:pos="1220"/>
          <w:tab w:val="num" w:pos="1940"/>
        </w:tabs>
        <w:spacing w:after="0" w:line="276" w:lineRule="auto"/>
        <w:jc w:val="both"/>
        <w:rPr>
          <w:rFonts w:ascii="ITC Avant Garde" w:eastAsia="Arial" w:hAnsi="ITC Avant Garde" w:cs="Arial"/>
          <w:lang w:val="es-ES_tradnl"/>
        </w:rPr>
      </w:pPr>
      <w:r w:rsidRPr="0095038B">
        <w:rPr>
          <w:rFonts w:ascii="ITC Avant Garde" w:eastAsia="Arial" w:hAnsi="ITC Avant Garde" w:cs="Arial"/>
          <w:lang w:val="es-ES_tradnl"/>
        </w:rPr>
        <w:t>Asimismo, el Instituto es también la autoridad en materia de competencia económica de los sectores de radiodifusión y telecomunicaciones, por lo que en éstos ejercerá en forma exclusiva las facultades establecidas por el artículo 28 de la Constitución, la Ley y la Ley Federal de Competencia Económica.</w:t>
      </w:r>
    </w:p>
    <w:p w14:paraId="753D8D96" w14:textId="77777777" w:rsidR="0095038B" w:rsidRPr="0095038B" w:rsidRDefault="0095038B" w:rsidP="0095038B">
      <w:pPr>
        <w:tabs>
          <w:tab w:val="num" w:pos="1220"/>
          <w:tab w:val="num" w:pos="1940"/>
        </w:tabs>
        <w:spacing w:after="0" w:line="276" w:lineRule="auto"/>
        <w:jc w:val="both"/>
        <w:rPr>
          <w:rFonts w:ascii="ITC Avant Garde" w:eastAsia="Arial" w:hAnsi="ITC Avant Garde" w:cs="Arial"/>
          <w:lang w:val="es-ES_tradnl"/>
        </w:rPr>
      </w:pPr>
    </w:p>
    <w:p w14:paraId="7C5660B6" w14:textId="68E78FA0" w:rsidR="00DF0E7A" w:rsidRDefault="00DF0E7A" w:rsidP="0095038B">
      <w:pPr>
        <w:tabs>
          <w:tab w:val="num" w:pos="1220"/>
          <w:tab w:val="num" w:pos="1940"/>
        </w:tabs>
        <w:spacing w:after="0" w:line="276" w:lineRule="auto"/>
        <w:jc w:val="both"/>
        <w:rPr>
          <w:rFonts w:ascii="ITC Avant Garde" w:eastAsia="Arial" w:hAnsi="ITC Avant Garde" w:cs="Arial"/>
          <w:lang w:val="es-ES_tradnl"/>
        </w:rPr>
      </w:pPr>
      <w:r w:rsidRPr="0095038B">
        <w:rPr>
          <w:rFonts w:ascii="ITC Avant Garde" w:eastAsia="Arial" w:hAnsi="ITC Avant Garde" w:cs="Arial"/>
          <w:lang w:val="es-ES_tradnl"/>
        </w:rPr>
        <w:t>De igual forma, la fracción IV del párrafo vigésimo del artículo 28 de la Constitución, señala que el Instituto podrá emitir disposiciones administrativas de carácter general exclusivamente para el cumplimiento de su func</w:t>
      </w:r>
      <w:r w:rsidR="00846FB3" w:rsidRPr="0095038B">
        <w:rPr>
          <w:rFonts w:ascii="ITC Avant Garde" w:eastAsia="Arial" w:hAnsi="ITC Avant Garde" w:cs="Arial"/>
          <w:lang w:val="es-ES_tradnl"/>
        </w:rPr>
        <w:t xml:space="preserve">ión regulatoria en el sector de </w:t>
      </w:r>
      <w:r w:rsidRPr="0095038B">
        <w:rPr>
          <w:rFonts w:ascii="ITC Avant Garde" w:eastAsia="Arial" w:hAnsi="ITC Avant Garde" w:cs="Arial"/>
          <w:lang w:val="es-ES_tradnl"/>
        </w:rPr>
        <w:t>su competencia. En ese sentido, el Pleno del Instituto, conforme a lo establecido por los artículos 15 fracción I</w:t>
      </w:r>
      <w:r w:rsidR="009463F7" w:rsidRPr="0095038B">
        <w:rPr>
          <w:rFonts w:ascii="ITC Avant Garde" w:eastAsia="Arial" w:hAnsi="ITC Avant Garde" w:cs="Arial"/>
          <w:lang w:val="es-ES_tradnl"/>
        </w:rPr>
        <w:t xml:space="preserve"> y 51 </w:t>
      </w:r>
      <w:r w:rsidRPr="0095038B">
        <w:rPr>
          <w:rFonts w:ascii="ITC Avant Garde" w:eastAsia="Arial" w:hAnsi="ITC Avant Garde" w:cs="Arial"/>
          <w:lang w:val="es-ES_tradnl"/>
        </w:rPr>
        <w:t>de la Ley,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Ley.</w:t>
      </w:r>
      <w:r w:rsidR="005E5BF0" w:rsidRPr="0095038B">
        <w:rPr>
          <w:rFonts w:ascii="ITC Avant Garde" w:eastAsia="Arial" w:hAnsi="ITC Avant Garde" w:cs="Arial"/>
          <w:lang w:val="es-ES_tradnl"/>
        </w:rPr>
        <w:t xml:space="preserve"> Asimismo, el artículo 51 de la Ley, establece que el Pleno del Instituto podrá realizar consultas públicas en cualquier caso que así lo determine, y ésta deberá llevarse a cabo bajo los principios de transparencia y </w:t>
      </w:r>
      <w:proofErr w:type="gramStart"/>
      <w:r w:rsidR="005E5BF0" w:rsidRPr="0095038B">
        <w:rPr>
          <w:rFonts w:ascii="ITC Avant Garde" w:eastAsia="Arial" w:hAnsi="ITC Avant Garde" w:cs="Arial"/>
          <w:lang w:val="es-ES_tradnl"/>
        </w:rPr>
        <w:t>participación</w:t>
      </w:r>
      <w:proofErr w:type="gramEnd"/>
      <w:r w:rsidR="005E5BF0" w:rsidRPr="0095038B">
        <w:rPr>
          <w:rFonts w:ascii="ITC Avant Garde" w:eastAsia="Arial" w:hAnsi="ITC Avant Garde" w:cs="Arial"/>
          <w:lang w:val="es-ES_tradnl"/>
        </w:rPr>
        <w:t xml:space="preserve"> ciudadana</w:t>
      </w:r>
      <w:r w:rsidR="0095038B">
        <w:rPr>
          <w:rFonts w:ascii="ITC Avant Garde" w:eastAsia="Arial" w:hAnsi="ITC Avant Garde" w:cs="Arial"/>
          <w:lang w:val="es-ES_tradnl"/>
        </w:rPr>
        <w:t>.</w:t>
      </w:r>
    </w:p>
    <w:p w14:paraId="556D9B31" w14:textId="77777777" w:rsidR="0095038B" w:rsidRPr="0095038B" w:rsidRDefault="0095038B" w:rsidP="0095038B">
      <w:pPr>
        <w:tabs>
          <w:tab w:val="num" w:pos="1220"/>
          <w:tab w:val="num" w:pos="1940"/>
        </w:tabs>
        <w:spacing w:after="0" w:line="276" w:lineRule="auto"/>
        <w:jc w:val="both"/>
        <w:rPr>
          <w:rFonts w:ascii="ITC Avant Garde" w:eastAsia="Arial" w:hAnsi="ITC Avant Garde" w:cs="Arial"/>
          <w:lang w:val="es-ES_tradnl"/>
        </w:rPr>
      </w:pPr>
    </w:p>
    <w:p w14:paraId="63D96482" w14:textId="005794CA" w:rsidR="009463F7" w:rsidRDefault="0022351C" w:rsidP="0095038B">
      <w:pPr>
        <w:tabs>
          <w:tab w:val="num" w:pos="1220"/>
          <w:tab w:val="num" w:pos="1940"/>
        </w:tabs>
        <w:spacing w:after="0" w:line="276" w:lineRule="auto"/>
        <w:jc w:val="both"/>
        <w:rPr>
          <w:rFonts w:ascii="ITC Avant Garde" w:eastAsia="Arial" w:hAnsi="ITC Avant Garde" w:cs="Arial"/>
          <w:lang w:val="es-ES_tradnl"/>
        </w:rPr>
      </w:pPr>
      <w:r w:rsidRPr="0095038B">
        <w:rPr>
          <w:rFonts w:ascii="ITC Avant Garde" w:eastAsia="Arial" w:hAnsi="ITC Avant Garde" w:cs="Arial"/>
          <w:lang w:val="es-ES_tradnl"/>
        </w:rPr>
        <w:t>Aunado a lo anterior, conforme a lo dispuesto en el artículo 7, párrafo</w:t>
      </w:r>
      <w:r w:rsidR="006959E4" w:rsidRPr="0095038B">
        <w:rPr>
          <w:rFonts w:ascii="ITC Avant Garde" w:eastAsia="Arial" w:hAnsi="ITC Avant Garde" w:cs="Arial"/>
          <w:lang w:val="es-ES_tradnl"/>
        </w:rPr>
        <w:t xml:space="preserve"> primero</w:t>
      </w:r>
      <w:r w:rsidRPr="0095038B">
        <w:rPr>
          <w:rFonts w:ascii="ITC Avant Garde" w:eastAsia="Arial" w:hAnsi="ITC Avant Garde" w:cs="Arial"/>
          <w:lang w:val="es-ES_tradnl"/>
        </w:rPr>
        <w:t xml:space="preserve"> de la Ley, el Instituto es un órgano </w:t>
      </w:r>
      <w:r w:rsidR="006959E4" w:rsidRPr="0095038B">
        <w:rPr>
          <w:rFonts w:ascii="ITC Avant Garde" w:eastAsia="Arial" w:hAnsi="ITC Avant Garde" w:cs="Arial"/>
          <w:lang w:val="es-ES_tradnl"/>
        </w:rPr>
        <w:t xml:space="preserve">público autónomo, independiente en sus decisiones y funcionamiento, con personalidad jurídica y patrimonio propios, que tienen por objeto regular y promover la competencia y el desarrollo eficiente de las telecomunicaciones </w:t>
      </w:r>
      <w:r w:rsidR="006959E4" w:rsidRPr="0095038B">
        <w:rPr>
          <w:rFonts w:ascii="ITC Avant Garde" w:eastAsia="Arial" w:hAnsi="ITC Avant Garde" w:cs="Arial"/>
          <w:lang w:val="es-ES_tradnl"/>
        </w:rPr>
        <w:lastRenderedPageBreak/>
        <w:t>y la radiodifusión en el ámbito de las atribuciones que le confieren la Constitución y en los términos que fijan esta Ley y demás disposiciones legales aplicables.</w:t>
      </w:r>
    </w:p>
    <w:p w14:paraId="167DCB63" w14:textId="77777777" w:rsidR="0095038B" w:rsidRPr="0095038B" w:rsidRDefault="0095038B" w:rsidP="0095038B">
      <w:pPr>
        <w:tabs>
          <w:tab w:val="num" w:pos="1220"/>
          <w:tab w:val="num" w:pos="1940"/>
        </w:tabs>
        <w:spacing w:after="0" w:line="276" w:lineRule="auto"/>
        <w:jc w:val="both"/>
        <w:rPr>
          <w:rFonts w:ascii="ITC Avant Garde" w:eastAsia="Arial" w:hAnsi="ITC Avant Garde" w:cs="Arial"/>
          <w:lang w:val="es-ES_tradnl"/>
        </w:rPr>
      </w:pPr>
    </w:p>
    <w:p w14:paraId="77CD09BD" w14:textId="71980633" w:rsidR="004331C5" w:rsidRPr="0095038B" w:rsidRDefault="00514D1B" w:rsidP="0095038B">
      <w:pPr>
        <w:tabs>
          <w:tab w:val="num" w:pos="1220"/>
          <w:tab w:val="num" w:pos="1940"/>
        </w:tabs>
        <w:spacing w:after="0" w:line="276" w:lineRule="auto"/>
        <w:jc w:val="both"/>
        <w:rPr>
          <w:rFonts w:ascii="ITC Avant Garde" w:eastAsia="Arial" w:hAnsi="ITC Avant Garde" w:cs="Arial"/>
          <w:lang w:val="es-ES_tradnl"/>
        </w:rPr>
      </w:pPr>
      <w:r w:rsidRPr="0095038B">
        <w:rPr>
          <w:rFonts w:ascii="ITC Avant Garde" w:eastAsia="Arial" w:hAnsi="ITC Avant Garde" w:cs="Arial"/>
          <w:lang w:val="es-ES_tradnl"/>
        </w:rPr>
        <w:t>Por lo anterior</w:t>
      </w:r>
      <w:r w:rsidR="004331C5" w:rsidRPr="0095038B">
        <w:rPr>
          <w:rFonts w:ascii="ITC Avant Garde" w:eastAsia="Arial" w:hAnsi="ITC Avant Garde" w:cs="Arial"/>
          <w:lang w:val="es-ES_tradnl"/>
        </w:rPr>
        <w:t>, el Instituto cuenta con facultades y atribuciones para emitir el presente Acuerdo y realizar una consulta pública respecto del “</w:t>
      </w:r>
      <w:r w:rsidR="004331C5" w:rsidRPr="0095038B">
        <w:rPr>
          <w:rFonts w:ascii="ITC Avant Garde" w:hAnsi="ITC Avant Garde" w:cs="Arial"/>
          <w:bCs/>
          <w:lang w:eastAsia="es-ES"/>
        </w:rPr>
        <w:t xml:space="preserve">ANTEPROYECTO DE LINEAMIENTOS MEDIANTE LOS CUALES EL INSTITUTO FEDERAL DE TELECOMUNICACIONES ESTABLECE LOS CRITERIOS </w:t>
      </w:r>
      <w:r w:rsidR="004331C5" w:rsidRPr="0095038B">
        <w:rPr>
          <w:rFonts w:ascii="ITC Avant Garde" w:hAnsi="ITC Avant Garde"/>
        </w:rPr>
        <w:t>PARA EL CAMBIO DE FRECUENCIAS DE ESTACIONES DE RADIODIFUSIÓN SONORA QUE OPERAN EN LA BANDA DE AMPLITUD MODULADA A FRECUENCIA MODULADA” (en lo sucesivo el “Anteproyecto</w:t>
      </w:r>
      <w:r w:rsidR="003D7560" w:rsidRPr="0095038B">
        <w:rPr>
          <w:rFonts w:ascii="ITC Avant Garde" w:hAnsi="ITC Avant Garde"/>
        </w:rPr>
        <w:t xml:space="preserve">”) </w:t>
      </w:r>
      <w:r w:rsidR="004331C5" w:rsidRPr="0095038B">
        <w:rPr>
          <w:rFonts w:ascii="ITC Avant Garde" w:hAnsi="ITC Avant Garde"/>
        </w:rPr>
        <w:t xml:space="preserve">conforme a las atribuciones conferidas en los artículos </w:t>
      </w:r>
      <w:r w:rsidR="005E5BF0" w:rsidRPr="0095038B">
        <w:rPr>
          <w:rFonts w:ascii="ITC Avant Garde" w:hAnsi="ITC Avant Garde"/>
        </w:rPr>
        <w:t xml:space="preserve">1, 2, 7, </w:t>
      </w:r>
      <w:r w:rsidR="004331C5" w:rsidRPr="0095038B">
        <w:rPr>
          <w:rFonts w:ascii="ITC Avant Garde" w:hAnsi="ITC Avant Garde"/>
        </w:rPr>
        <w:t xml:space="preserve">15 fracción I, </w:t>
      </w:r>
      <w:r w:rsidR="005E5BF0" w:rsidRPr="0095038B">
        <w:rPr>
          <w:rFonts w:ascii="ITC Avant Garde" w:hAnsi="ITC Avant Garde"/>
        </w:rPr>
        <w:t xml:space="preserve">17 fracción I, </w:t>
      </w:r>
      <w:r w:rsidR="004331C5" w:rsidRPr="0095038B">
        <w:rPr>
          <w:rFonts w:ascii="ITC Avant Garde" w:hAnsi="ITC Avant Garde"/>
        </w:rPr>
        <w:t>51, 52, 54, 56 y Décimo Octavo  transitorio de la Ley,</w:t>
      </w:r>
      <w:r w:rsidR="001E18DD" w:rsidRPr="0095038B">
        <w:rPr>
          <w:rFonts w:ascii="ITC Avant Garde" w:hAnsi="ITC Avant Garde"/>
        </w:rPr>
        <w:t xml:space="preserve"> 6 fracción I,</w:t>
      </w:r>
      <w:r w:rsidR="004331C5" w:rsidRPr="0095038B">
        <w:rPr>
          <w:rFonts w:ascii="ITC Avant Garde" w:hAnsi="ITC Avant Garde"/>
        </w:rPr>
        <w:t xml:space="preserve"> 21, 22 fracción I y 24 primer párrafo y fracción XXIV del Estatuto Orgánico del Instituto. </w:t>
      </w:r>
    </w:p>
    <w:p w14:paraId="0098B911" w14:textId="77777777" w:rsidR="007A59F7" w:rsidRPr="0095038B" w:rsidRDefault="007A59F7" w:rsidP="0095038B">
      <w:pPr>
        <w:tabs>
          <w:tab w:val="num" w:pos="1220"/>
          <w:tab w:val="num" w:pos="1940"/>
        </w:tabs>
        <w:spacing w:after="0" w:line="276" w:lineRule="auto"/>
        <w:jc w:val="both"/>
        <w:rPr>
          <w:rFonts w:ascii="ITC Avant Garde" w:eastAsia="Arial" w:hAnsi="ITC Avant Garde" w:cs="Arial"/>
          <w:lang w:val="es-ES_tradnl"/>
        </w:rPr>
      </w:pPr>
    </w:p>
    <w:p w14:paraId="06DCE689" w14:textId="5AA53D92" w:rsidR="00A67F59" w:rsidRDefault="00E1613B" w:rsidP="0095038B">
      <w:pPr>
        <w:spacing w:after="0" w:line="276" w:lineRule="auto"/>
        <w:jc w:val="both"/>
        <w:rPr>
          <w:rFonts w:ascii="ITC Avant Garde" w:hAnsi="ITC Avant Garde"/>
        </w:rPr>
      </w:pPr>
      <w:r w:rsidRPr="0095038B">
        <w:rPr>
          <w:rFonts w:ascii="ITC Avant Garde" w:hAnsi="ITC Avant Garde"/>
          <w:b/>
        </w:rPr>
        <w:t xml:space="preserve">SEGUNDO.- </w:t>
      </w:r>
      <w:r w:rsidR="006959E4" w:rsidRPr="0095038B">
        <w:rPr>
          <w:rFonts w:ascii="ITC Avant Garde" w:hAnsi="ITC Avant Garde"/>
          <w:b/>
        </w:rPr>
        <w:t>M</w:t>
      </w:r>
      <w:r w:rsidR="004B3FDD" w:rsidRPr="0095038B">
        <w:rPr>
          <w:rFonts w:ascii="ITC Avant Garde" w:hAnsi="ITC Avant Garde"/>
          <w:b/>
        </w:rPr>
        <w:t xml:space="preserve">IGRACIÓN DE ESTACIONES DE </w:t>
      </w:r>
      <w:r w:rsidR="005E5BF0" w:rsidRPr="0095038B">
        <w:rPr>
          <w:rFonts w:ascii="ITC Avant Garde" w:hAnsi="ITC Avant Garde"/>
          <w:b/>
        </w:rPr>
        <w:t>RADIODIFUSIÓN SO</w:t>
      </w:r>
      <w:r w:rsidR="004B3FDD" w:rsidRPr="0095038B">
        <w:rPr>
          <w:rFonts w:ascii="ITC Avant Garde" w:hAnsi="ITC Avant Garde"/>
          <w:b/>
        </w:rPr>
        <w:t>NORA QUE OPERAN EN LA BANDA DE AM A FM</w:t>
      </w:r>
      <w:r w:rsidR="003D7560" w:rsidRPr="0095038B">
        <w:rPr>
          <w:rFonts w:ascii="ITC Avant Garde" w:hAnsi="ITC Avant Garde"/>
          <w:b/>
        </w:rPr>
        <w:t xml:space="preserve">.- </w:t>
      </w:r>
      <w:r w:rsidR="00E04406" w:rsidRPr="0095038B">
        <w:rPr>
          <w:rFonts w:ascii="ITC Avant Garde" w:hAnsi="ITC Avant Garde"/>
        </w:rPr>
        <w:t>Que</w:t>
      </w:r>
      <w:r w:rsidR="006959E4" w:rsidRPr="0095038B">
        <w:rPr>
          <w:rFonts w:ascii="ITC Avant Garde" w:hAnsi="ITC Avant Garde"/>
        </w:rPr>
        <w:t xml:space="preserve"> </w:t>
      </w:r>
      <w:r w:rsidR="00846FB3" w:rsidRPr="0095038B">
        <w:rPr>
          <w:rFonts w:ascii="ITC Avant Garde" w:hAnsi="ITC Avant Garde"/>
        </w:rPr>
        <w:t xml:space="preserve">la Disposición Técnica </w:t>
      </w:r>
      <w:r w:rsidR="00AE2A36" w:rsidRPr="0095038B">
        <w:rPr>
          <w:rFonts w:ascii="ITC Avant Garde" w:hAnsi="ITC Avant Garde"/>
        </w:rPr>
        <w:t>IFT-002-2016, “Especificaciones y Requerimientos para la Instalación y Operación de las Estaciones de Radiodifusión Sonora en Frecuencia Modulada en la Banda de 88 MHz a 108 MHz”</w:t>
      </w:r>
      <w:r w:rsidR="00846FB3" w:rsidRPr="0095038B">
        <w:rPr>
          <w:rFonts w:ascii="ITC Avant Garde" w:hAnsi="ITC Avant Garde"/>
        </w:rPr>
        <w:t>, fue publicada en el D</w:t>
      </w:r>
      <w:r w:rsidR="005E5BF0" w:rsidRPr="0095038B">
        <w:rPr>
          <w:rFonts w:ascii="ITC Avant Garde" w:hAnsi="ITC Avant Garde"/>
        </w:rPr>
        <w:t>OF</w:t>
      </w:r>
      <w:r w:rsidR="00846FB3" w:rsidRPr="0095038B">
        <w:rPr>
          <w:rFonts w:ascii="ITC Avant Garde" w:hAnsi="ITC Avant Garde"/>
        </w:rPr>
        <w:t xml:space="preserve"> el </w:t>
      </w:r>
      <w:r w:rsidR="00AE2A36" w:rsidRPr="0095038B">
        <w:rPr>
          <w:rFonts w:ascii="ITC Avant Garde" w:hAnsi="ITC Avant Garde"/>
        </w:rPr>
        <w:t>día 5 de abril de 2016, en la cual</w:t>
      </w:r>
      <w:r w:rsidR="006959E4" w:rsidRPr="0095038B">
        <w:rPr>
          <w:rFonts w:ascii="ITC Avant Garde" w:hAnsi="ITC Avant Garde"/>
        </w:rPr>
        <w:t xml:space="preserve"> se establece que “</w:t>
      </w:r>
      <w:r w:rsidR="00E04406" w:rsidRPr="0095038B">
        <w:rPr>
          <w:rFonts w:ascii="ITC Avant Garde" w:hAnsi="ITC Avant Garde"/>
        </w:rPr>
        <w:t xml:space="preserve"> (…)</w:t>
      </w:r>
      <w:r w:rsidR="00BA0B69" w:rsidRPr="0095038B">
        <w:rPr>
          <w:rFonts w:ascii="ITC Avant Garde" w:hAnsi="ITC Avant Garde"/>
        </w:rPr>
        <w:t xml:space="preserve">el Instituto podrá establecer una separación entre frecuencias portadoras adyacentes de 400 kHz como mínimo, siempre y cuando se garantice su operación conforme a los parámetros establecidos en la presente Disposición Técnica. </w:t>
      </w:r>
      <w:r w:rsidR="00E04406" w:rsidRPr="0095038B">
        <w:rPr>
          <w:rFonts w:ascii="ITC Avant Garde" w:hAnsi="ITC Avant Garde"/>
        </w:rPr>
        <w:t>(</w:t>
      </w:r>
      <w:r w:rsidR="006959E4" w:rsidRPr="0095038B">
        <w:rPr>
          <w:rFonts w:ascii="ITC Avant Garde" w:hAnsi="ITC Avant Garde"/>
        </w:rPr>
        <w:t>…</w:t>
      </w:r>
      <w:r w:rsidR="00E04406" w:rsidRPr="0095038B">
        <w:rPr>
          <w:rFonts w:ascii="ITC Avant Garde" w:hAnsi="ITC Avant Garde"/>
        </w:rPr>
        <w:t>)</w:t>
      </w:r>
      <w:r w:rsidR="006959E4" w:rsidRPr="0095038B">
        <w:rPr>
          <w:rFonts w:ascii="ITC Avant Garde" w:hAnsi="ITC Avant Garde"/>
        </w:rPr>
        <w:t>”</w:t>
      </w:r>
      <w:r w:rsidR="00BA0B69" w:rsidRPr="0095038B">
        <w:rPr>
          <w:rFonts w:ascii="ITC Avant Garde" w:hAnsi="ITC Avant Garde"/>
        </w:rPr>
        <w:t xml:space="preserve"> obteniendo, con esto, la posibilidad de disponer de un mayor número </w:t>
      </w:r>
      <w:r w:rsidR="00A67F59" w:rsidRPr="0095038B">
        <w:rPr>
          <w:rFonts w:ascii="ITC Avant Garde" w:hAnsi="ITC Avant Garde"/>
        </w:rPr>
        <w:t>de frecuencias</w:t>
      </w:r>
      <w:r w:rsidR="00E04406" w:rsidRPr="0095038B">
        <w:rPr>
          <w:rFonts w:ascii="ITC Avant Garde" w:hAnsi="ITC Avant Garde"/>
        </w:rPr>
        <w:t xml:space="preserve"> en </w:t>
      </w:r>
      <w:r w:rsidR="00BA0B69" w:rsidRPr="0095038B">
        <w:rPr>
          <w:rFonts w:ascii="ITC Avant Garde" w:hAnsi="ITC Avant Garde"/>
        </w:rPr>
        <w:t>dicha banda</w:t>
      </w:r>
      <w:r w:rsidR="006959E4" w:rsidRPr="0095038B">
        <w:rPr>
          <w:rFonts w:ascii="ITC Avant Garde" w:hAnsi="ITC Avant Garde"/>
        </w:rPr>
        <w:t xml:space="preserve">. </w:t>
      </w:r>
    </w:p>
    <w:p w14:paraId="72F05BC5" w14:textId="77777777" w:rsidR="0095038B" w:rsidRPr="0095038B" w:rsidRDefault="0095038B" w:rsidP="0095038B">
      <w:pPr>
        <w:spacing w:after="0" w:line="276" w:lineRule="auto"/>
        <w:jc w:val="both"/>
        <w:rPr>
          <w:rFonts w:ascii="ITC Avant Garde" w:hAnsi="ITC Avant Garde"/>
          <w:b/>
        </w:rPr>
      </w:pPr>
    </w:p>
    <w:p w14:paraId="6384CC64" w14:textId="513FB8D7" w:rsidR="006959E4" w:rsidRPr="0095038B" w:rsidRDefault="00A67F59" w:rsidP="0095038B">
      <w:pPr>
        <w:spacing w:after="0" w:line="276" w:lineRule="auto"/>
        <w:jc w:val="both"/>
        <w:rPr>
          <w:rFonts w:ascii="ITC Avant Garde" w:hAnsi="ITC Avant Garde"/>
        </w:rPr>
      </w:pPr>
      <w:r w:rsidRPr="0095038B">
        <w:rPr>
          <w:rFonts w:ascii="ITC Avant Garde" w:hAnsi="ITC Avant Garde"/>
        </w:rPr>
        <w:t xml:space="preserve">En </w:t>
      </w:r>
      <w:r w:rsidR="006959E4" w:rsidRPr="0095038B">
        <w:rPr>
          <w:rFonts w:ascii="ITC Avant Garde" w:hAnsi="ITC Avant Garde"/>
        </w:rPr>
        <w:t xml:space="preserve">virtud </w:t>
      </w:r>
      <w:r w:rsidR="00551119" w:rsidRPr="0095038B">
        <w:rPr>
          <w:rFonts w:ascii="ITC Avant Garde" w:hAnsi="ITC Avant Garde"/>
        </w:rPr>
        <w:t xml:space="preserve">del cambio </w:t>
      </w:r>
      <w:r w:rsidR="00BA0B69" w:rsidRPr="0095038B">
        <w:rPr>
          <w:rFonts w:ascii="ITC Avant Garde" w:hAnsi="ITC Avant Garde"/>
        </w:rPr>
        <w:t>mencionado</w:t>
      </w:r>
      <w:r w:rsidR="00AE2A36" w:rsidRPr="0095038B">
        <w:rPr>
          <w:rFonts w:ascii="ITC Avant Garde" w:hAnsi="ITC Avant Garde"/>
        </w:rPr>
        <w:t xml:space="preserve"> en la banda de radiodifusión sonora de F.M.</w:t>
      </w:r>
      <w:r w:rsidR="006959E4" w:rsidRPr="0095038B">
        <w:rPr>
          <w:rFonts w:ascii="ITC Avant Garde" w:hAnsi="ITC Avant Garde"/>
        </w:rPr>
        <w:t xml:space="preserve">, </w:t>
      </w:r>
      <w:r w:rsidR="00551119" w:rsidRPr="0095038B">
        <w:rPr>
          <w:rFonts w:ascii="ITC Avant Garde" w:hAnsi="ITC Avant Garde"/>
        </w:rPr>
        <w:t xml:space="preserve">el Instituto </w:t>
      </w:r>
      <w:r w:rsidR="00BA0B69" w:rsidRPr="0095038B">
        <w:rPr>
          <w:rFonts w:ascii="ITC Avant Garde" w:hAnsi="ITC Avant Garde"/>
        </w:rPr>
        <w:t xml:space="preserve">ha llevado </w:t>
      </w:r>
      <w:r w:rsidR="00551119" w:rsidRPr="0095038B">
        <w:rPr>
          <w:rFonts w:ascii="ITC Avant Garde" w:hAnsi="ITC Avant Garde"/>
        </w:rPr>
        <w:t xml:space="preserve">a cabo un análisis para identificar la disponibilidad de espectro en las localidades donde antes no existía y ha considerado </w:t>
      </w:r>
      <w:r w:rsidR="006959E4" w:rsidRPr="0095038B">
        <w:rPr>
          <w:rFonts w:ascii="ITC Avant Garde" w:hAnsi="ITC Avant Garde"/>
        </w:rPr>
        <w:t xml:space="preserve">viable </w:t>
      </w:r>
      <w:r w:rsidR="00551119" w:rsidRPr="0095038B">
        <w:rPr>
          <w:rFonts w:ascii="ITC Avant Garde" w:hAnsi="ITC Avant Garde"/>
        </w:rPr>
        <w:t>permitir</w:t>
      </w:r>
      <w:r w:rsidRPr="0095038B">
        <w:rPr>
          <w:rFonts w:ascii="ITC Avant Garde" w:hAnsi="ITC Avant Garde"/>
        </w:rPr>
        <w:t>,</w:t>
      </w:r>
      <w:r w:rsidR="006959E4" w:rsidRPr="0095038B">
        <w:rPr>
          <w:rFonts w:ascii="ITC Avant Garde" w:hAnsi="ITC Avant Garde"/>
        </w:rPr>
        <w:t xml:space="preserve"> a aquellos concesionarios</w:t>
      </w:r>
      <w:r w:rsidRPr="0095038B">
        <w:rPr>
          <w:rFonts w:ascii="ITC Avant Garde" w:hAnsi="ITC Avant Garde"/>
        </w:rPr>
        <w:t xml:space="preserve"> que operan en la banda de </w:t>
      </w:r>
      <w:r w:rsidR="00BA0B69" w:rsidRPr="0095038B">
        <w:rPr>
          <w:rFonts w:ascii="ITC Avant Garde" w:hAnsi="ITC Avant Garde"/>
        </w:rPr>
        <w:t xml:space="preserve">radiodifusión sonora de </w:t>
      </w:r>
      <w:r w:rsidRPr="0095038B">
        <w:rPr>
          <w:rFonts w:ascii="ITC Avant Garde" w:hAnsi="ITC Avant Garde"/>
        </w:rPr>
        <w:t>A.M.</w:t>
      </w:r>
      <w:r w:rsidR="00551119" w:rsidRPr="0095038B">
        <w:rPr>
          <w:rFonts w:ascii="ITC Avant Garde" w:hAnsi="ITC Avant Garde"/>
        </w:rPr>
        <w:t xml:space="preserve"> de dichas localidades y que así lo deseen</w:t>
      </w:r>
      <w:r w:rsidRPr="0095038B">
        <w:rPr>
          <w:rFonts w:ascii="ITC Avant Garde" w:hAnsi="ITC Avant Garde"/>
        </w:rPr>
        <w:t>,</w:t>
      </w:r>
      <w:r w:rsidR="006959E4" w:rsidRPr="0095038B">
        <w:rPr>
          <w:rFonts w:ascii="ITC Avant Garde" w:hAnsi="ITC Avant Garde"/>
        </w:rPr>
        <w:t xml:space="preserve"> </w:t>
      </w:r>
      <w:r w:rsidR="00551119" w:rsidRPr="0095038B">
        <w:rPr>
          <w:rFonts w:ascii="ITC Avant Garde" w:hAnsi="ITC Avant Garde"/>
        </w:rPr>
        <w:t>solicitar su cambio</w:t>
      </w:r>
      <w:r w:rsidR="00EB6F2B" w:rsidRPr="0095038B">
        <w:rPr>
          <w:rFonts w:ascii="ITC Avant Garde" w:hAnsi="ITC Avant Garde"/>
        </w:rPr>
        <w:t xml:space="preserve"> de frecuencia a F.M</w:t>
      </w:r>
      <w:r w:rsidRPr="0095038B">
        <w:rPr>
          <w:rFonts w:ascii="ITC Avant Garde" w:hAnsi="ITC Avant Garde"/>
        </w:rPr>
        <w:t>.</w:t>
      </w:r>
      <w:r w:rsidR="002F3220" w:rsidRPr="0095038B">
        <w:rPr>
          <w:rFonts w:ascii="ITC Avant Garde" w:hAnsi="ITC Avant Garde"/>
        </w:rPr>
        <w:t xml:space="preserve"> Lo anterior con la finalidad de fortalecer el desarrollo del sector de radiodifusión; promoviendo </w:t>
      </w:r>
      <w:proofErr w:type="gramStart"/>
      <w:r w:rsidR="002F3220" w:rsidRPr="0095038B">
        <w:rPr>
          <w:rFonts w:ascii="ITC Avant Garde" w:hAnsi="ITC Avant Garde"/>
        </w:rPr>
        <w:t>un  aprovechamiento</w:t>
      </w:r>
      <w:proofErr w:type="gramEnd"/>
      <w:r w:rsidR="002F3220" w:rsidRPr="0095038B">
        <w:rPr>
          <w:rFonts w:ascii="ITC Avant Garde" w:hAnsi="ITC Avant Garde"/>
        </w:rPr>
        <w:t xml:space="preserve"> </w:t>
      </w:r>
      <w:r w:rsidR="00920F08" w:rsidRPr="0095038B">
        <w:rPr>
          <w:rFonts w:ascii="ITC Avant Garde" w:hAnsi="ITC Avant Garde"/>
        </w:rPr>
        <w:t xml:space="preserve">eficiente </w:t>
      </w:r>
      <w:r w:rsidR="002F3220" w:rsidRPr="0095038B">
        <w:rPr>
          <w:rFonts w:ascii="ITC Avant Garde" w:hAnsi="ITC Avant Garde"/>
        </w:rPr>
        <w:t>del espectro en un entorno equitativo y de sana competencia</w:t>
      </w:r>
      <w:r w:rsidR="002734A4" w:rsidRPr="0095038B">
        <w:rPr>
          <w:rFonts w:ascii="ITC Avant Garde" w:hAnsi="ITC Avant Garde"/>
        </w:rPr>
        <w:t xml:space="preserve"> que beneficie a la audiencia</w:t>
      </w:r>
      <w:r w:rsidR="002F3220" w:rsidRPr="0095038B">
        <w:rPr>
          <w:rFonts w:ascii="ITC Avant Garde" w:hAnsi="ITC Avant Garde"/>
        </w:rPr>
        <w:t xml:space="preserve">. </w:t>
      </w:r>
    </w:p>
    <w:p w14:paraId="31C8F5DD" w14:textId="77777777" w:rsidR="004B3FDD" w:rsidRPr="0095038B" w:rsidRDefault="004B3FDD" w:rsidP="0095038B">
      <w:pPr>
        <w:spacing w:after="0" w:line="276" w:lineRule="auto"/>
        <w:jc w:val="both"/>
        <w:rPr>
          <w:rFonts w:ascii="ITC Avant Garde" w:hAnsi="ITC Avant Garde"/>
        </w:rPr>
      </w:pPr>
    </w:p>
    <w:p w14:paraId="7A3871BE" w14:textId="1E039003" w:rsidR="00406B2A" w:rsidRPr="0095038B" w:rsidRDefault="00E1613B" w:rsidP="0095038B">
      <w:pPr>
        <w:tabs>
          <w:tab w:val="num" w:pos="1220"/>
          <w:tab w:val="num" w:pos="1940"/>
        </w:tabs>
        <w:spacing w:after="0" w:line="276" w:lineRule="auto"/>
        <w:jc w:val="both"/>
        <w:rPr>
          <w:rFonts w:ascii="ITC Avant Garde" w:eastAsia="Arial" w:hAnsi="ITC Avant Garde" w:cs="Arial"/>
          <w:lang w:val="es-ES_tradnl"/>
        </w:rPr>
      </w:pPr>
      <w:r w:rsidRPr="0095038B">
        <w:rPr>
          <w:rFonts w:ascii="ITC Avant Garde" w:eastAsia="Arial" w:hAnsi="ITC Avant Garde" w:cs="Arial"/>
          <w:b/>
          <w:lang w:val="es-ES_tradnl"/>
        </w:rPr>
        <w:t xml:space="preserve">TERCERO.- </w:t>
      </w:r>
      <w:r w:rsidR="00926DB0" w:rsidRPr="0095038B">
        <w:rPr>
          <w:rFonts w:ascii="ITC Avant Garde" w:eastAsia="Arial" w:hAnsi="ITC Avant Garde" w:cs="Arial"/>
          <w:b/>
          <w:lang w:val="es-ES_tradnl"/>
        </w:rPr>
        <w:t>CONSULTA PÚBLICA</w:t>
      </w:r>
      <w:r w:rsidR="004331C5" w:rsidRPr="0095038B">
        <w:rPr>
          <w:rFonts w:ascii="ITC Avant Garde" w:eastAsia="Arial" w:hAnsi="ITC Avant Garde" w:cs="Arial"/>
          <w:b/>
          <w:lang w:val="es-ES_tradnl"/>
        </w:rPr>
        <w:t xml:space="preserve">.- </w:t>
      </w:r>
      <w:r w:rsidR="00926DB0" w:rsidRPr="0095038B">
        <w:rPr>
          <w:rFonts w:ascii="ITC Avant Garde" w:eastAsia="Arial" w:hAnsi="ITC Avant Garde" w:cs="Arial"/>
          <w:lang w:val="es-ES_tradnl"/>
        </w:rPr>
        <w:t>Que 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w:t>
      </w:r>
      <w:r w:rsidR="00406B2A" w:rsidRPr="0095038B">
        <w:rPr>
          <w:rFonts w:ascii="ITC Avant Garde" w:eastAsia="Arial" w:hAnsi="ITC Avant Garde" w:cs="Arial"/>
          <w:lang w:val="es-ES_tradnl"/>
        </w:rPr>
        <w:t>adana, en los términos que determine el Pleno, salvo que la publicidad pudiera comprometer los efectos que se pretender resolver o prevenir en una situación de emergencia.</w:t>
      </w:r>
    </w:p>
    <w:p w14:paraId="62708A6C" w14:textId="6E642EA0" w:rsidR="00BA0B69" w:rsidRPr="0095038B" w:rsidRDefault="00926DB0" w:rsidP="0095038B">
      <w:pPr>
        <w:tabs>
          <w:tab w:val="num" w:pos="1220"/>
          <w:tab w:val="num" w:pos="1940"/>
        </w:tabs>
        <w:spacing w:after="0" w:line="276" w:lineRule="auto"/>
        <w:jc w:val="both"/>
        <w:rPr>
          <w:rFonts w:ascii="ITC Avant Garde" w:eastAsia="Arial" w:hAnsi="ITC Avant Garde" w:cs="Arial"/>
          <w:lang w:val="es-ES_tradnl"/>
        </w:rPr>
      </w:pPr>
      <w:r w:rsidRPr="0095038B">
        <w:rPr>
          <w:rFonts w:ascii="ITC Avant Garde" w:eastAsia="Arial" w:hAnsi="ITC Avant Garde" w:cs="Arial"/>
          <w:lang w:val="es-ES_tradnl"/>
        </w:rPr>
        <w:lastRenderedPageBreak/>
        <w:t>Cabe mencionar que en el caso del Anteproyecto</w:t>
      </w:r>
      <w:r w:rsidR="00BA0B69" w:rsidRPr="0095038B">
        <w:rPr>
          <w:rFonts w:ascii="ITC Avant Garde" w:eastAsia="Arial" w:hAnsi="ITC Avant Garde" w:cs="Arial"/>
          <w:lang w:val="es-ES_tradnl"/>
        </w:rPr>
        <w:t xml:space="preserve">, se considera que su publicidad no compromete los efectos que se pretenden </w:t>
      </w:r>
      <w:r w:rsidR="00920F08" w:rsidRPr="0095038B">
        <w:rPr>
          <w:rFonts w:ascii="ITC Avant Garde" w:eastAsia="Arial" w:hAnsi="ITC Avant Garde" w:cs="Arial"/>
          <w:lang w:val="es-ES_tradnl"/>
        </w:rPr>
        <w:t>lograr</w:t>
      </w:r>
      <w:r w:rsidR="00BA0B69" w:rsidRPr="0095038B">
        <w:rPr>
          <w:rFonts w:ascii="ITC Avant Garde" w:eastAsia="Arial" w:hAnsi="ITC Avant Garde" w:cs="Arial"/>
          <w:lang w:val="es-ES_tradnl"/>
        </w:rPr>
        <w:t xml:space="preserve"> y tampoco </w:t>
      </w:r>
      <w:r w:rsidR="00920F08" w:rsidRPr="0095038B">
        <w:rPr>
          <w:rFonts w:ascii="ITC Avant Garde" w:eastAsia="Arial" w:hAnsi="ITC Avant Garde" w:cs="Arial"/>
          <w:lang w:val="es-ES_tradnl"/>
        </w:rPr>
        <w:t xml:space="preserve">se </w:t>
      </w:r>
      <w:proofErr w:type="spellStart"/>
      <w:r w:rsidR="00920F08" w:rsidRPr="0095038B">
        <w:rPr>
          <w:rFonts w:ascii="ITC Avant Garde" w:eastAsia="Arial" w:hAnsi="ITC Avant Garde" w:cs="Arial"/>
          <w:lang w:val="es-ES_tradnl"/>
        </w:rPr>
        <w:t>esta</w:t>
      </w:r>
      <w:proofErr w:type="spellEnd"/>
      <w:r w:rsidR="00920F08" w:rsidRPr="0095038B">
        <w:rPr>
          <w:rFonts w:ascii="ITC Avant Garde" w:eastAsia="Arial" w:hAnsi="ITC Avant Garde" w:cs="Arial"/>
          <w:lang w:val="es-ES_tradnl"/>
        </w:rPr>
        <w:t xml:space="preserve"> en presencia de </w:t>
      </w:r>
      <w:r w:rsidR="00BA0B69" w:rsidRPr="0095038B">
        <w:rPr>
          <w:rFonts w:ascii="ITC Avant Garde" w:eastAsia="Arial" w:hAnsi="ITC Avant Garde" w:cs="Arial"/>
          <w:lang w:val="es-ES_tradnl"/>
        </w:rPr>
        <w:t>alguna situación de emergencia</w:t>
      </w:r>
      <w:r w:rsidR="00920F08" w:rsidRPr="0095038B">
        <w:rPr>
          <w:rFonts w:ascii="ITC Avant Garde" w:eastAsia="Arial" w:hAnsi="ITC Avant Garde" w:cs="Arial"/>
          <w:lang w:val="es-ES_tradnl"/>
        </w:rPr>
        <w:t xml:space="preserve"> que se pretenda prevenir</w:t>
      </w:r>
      <w:r w:rsidR="00BA0B69" w:rsidRPr="0095038B">
        <w:rPr>
          <w:rFonts w:ascii="ITC Avant Garde" w:eastAsia="Arial" w:hAnsi="ITC Avant Garde" w:cs="Arial"/>
          <w:lang w:val="es-ES_tradnl"/>
        </w:rPr>
        <w:t>.</w:t>
      </w:r>
    </w:p>
    <w:p w14:paraId="127B2994" w14:textId="77777777" w:rsidR="00406B2A" w:rsidRDefault="00BA0B69" w:rsidP="0095038B">
      <w:pPr>
        <w:tabs>
          <w:tab w:val="num" w:pos="1220"/>
          <w:tab w:val="num" w:pos="1940"/>
        </w:tabs>
        <w:spacing w:after="0" w:line="276" w:lineRule="auto"/>
        <w:jc w:val="both"/>
        <w:rPr>
          <w:rFonts w:ascii="ITC Avant Garde" w:eastAsia="Arial" w:hAnsi="ITC Avant Garde" w:cs="Arial"/>
          <w:lang w:val="es-ES_tradnl"/>
        </w:rPr>
      </w:pPr>
      <w:r w:rsidRPr="0095038B">
        <w:rPr>
          <w:rFonts w:ascii="ITC Avant Garde" w:eastAsia="Arial" w:hAnsi="ITC Avant Garde" w:cs="Arial"/>
          <w:lang w:val="es-ES_tradnl"/>
        </w:rPr>
        <w:t>Que c</w:t>
      </w:r>
      <w:r w:rsidR="00406B2A" w:rsidRPr="0095038B">
        <w:rPr>
          <w:rFonts w:ascii="ITC Avant Garde" w:eastAsia="Arial" w:hAnsi="ITC Avant Garde" w:cs="Arial"/>
          <w:lang w:val="es-ES_tradnl"/>
        </w:rPr>
        <w:t xml:space="preserve">on la emisión de la consulta pública </w:t>
      </w:r>
      <w:r w:rsidRPr="0095038B">
        <w:rPr>
          <w:rFonts w:ascii="ITC Avant Garde" w:eastAsia="Arial" w:hAnsi="ITC Avant Garde" w:cs="Arial"/>
          <w:lang w:val="es-ES_tradnl"/>
        </w:rPr>
        <w:t xml:space="preserve">del Anteproyecto, </w:t>
      </w:r>
      <w:r w:rsidR="00406B2A" w:rsidRPr="0095038B">
        <w:rPr>
          <w:rFonts w:ascii="ITC Avant Garde" w:eastAsia="Arial" w:hAnsi="ITC Avant Garde" w:cs="Arial"/>
          <w:lang w:val="es-ES_tradnl"/>
        </w:rPr>
        <w:t xml:space="preserve">se alcanzan los siguientes objetivos: </w:t>
      </w:r>
    </w:p>
    <w:p w14:paraId="09FD875C" w14:textId="77777777" w:rsidR="0095038B" w:rsidRPr="0095038B" w:rsidRDefault="0095038B" w:rsidP="0095038B">
      <w:pPr>
        <w:tabs>
          <w:tab w:val="num" w:pos="1220"/>
          <w:tab w:val="num" w:pos="1940"/>
        </w:tabs>
        <w:spacing w:after="0" w:line="276" w:lineRule="auto"/>
        <w:jc w:val="both"/>
        <w:rPr>
          <w:rFonts w:ascii="ITC Avant Garde" w:eastAsia="Arial" w:hAnsi="ITC Avant Garde" w:cs="Arial"/>
          <w:lang w:val="es-ES_tradnl"/>
        </w:rPr>
      </w:pPr>
    </w:p>
    <w:p w14:paraId="19F6CC2A" w14:textId="7C84DAEF" w:rsidR="00406B2A" w:rsidRPr="0095038B" w:rsidRDefault="002E1040" w:rsidP="0095038B">
      <w:pPr>
        <w:pStyle w:val="Prrafodelista"/>
        <w:numPr>
          <w:ilvl w:val="0"/>
          <w:numId w:val="23"/>
        </w:numPr>
        <w:tabs>
          <w:tab w:val="num" w:pos="1220"/>
          <w:tab w:val="num" w:pos="1940"/>
        </w:tabs>
        <w:spacing w:after="0" w:line="276" w:lineRule="auto"/>
        <w:jc w:val="both"/>
        <w:rPr>
          <w:rFonts w:ascii="ITC Avant Garde" w:eastAsia="Arial" w:hAnsi="ITC Avant Garde" w:cs="Arial"/>
          <w:lang w:val="es-ES_tradnl"/>
        </w:rPr>
      </w:pPr>
      <w:r w:rsidRPr="0095038B">
        <w:rPr>
          <w:rFonts w:ascii="ITC Avant Garde" w:eastAsia="Arial" w:hAnsi="ITC Avant Garde" w:cs="Arial"/>
          <w:lang w:val="es-ES_tradnl"/>
        </w:rPr>
        <w:t xml:space="preserve">Observar </w:t>
      </w:r>
      <w:r w:rsidR="00406B2A" w:rsidRPr="0095038B">
        <w:rPr>
          <w:rFonts w:ascii="ITC Avant Garde" w:eastAsia="Arial" w:hAnsi="ITC Avant Garde" w:cs="Arial"/>
          <w:lang w:val="es-ES_tradnl"/>
        </w:rPr>
        <w:t xml:space="preserve">el principio de transparencia </w:t>
      </w:r>
      <w:r w:rsidR="004B3FDD" w:rsidRPr="0095038B">
        <w:rPr>
          <w:rFonts w:ascii="ITC Avant Garde" w:eastAsia="Arial" w:hAnsi="ITC Avant Garde" w:cs="Arial"/>
          <w:lang w:val="es-ES_tradnl"/>
        </w:rPr>
        <w:t xml:space="preserve">y participación ciudadana </w:t>
      </w:r>
      <w:r w:rsidR="00406B2A" w:rsidRPr="0095038B">
        <w:rPr>
          <w:rFonts w:ascii="ITC Avant Garde" w:eastAsia="Arial" w:hAnsi="ITC Avant Garde" w:cs="Arial"/>
          <w:lang w:val="es-ES_tradnl"/>
        </w:rPr>
        <w:t>en la emisión de</w:t>
      </w:r>
      <w:r w:rsidRPr="0095038B">
        <w:rPr>
          <w:rFonts w:ascii="ITC Avant Garde" w:eastAsia="Arial" w:hAnsi="ITC Avant Garde" w:cs="Arial"/>
          <w:lang w:val="es-ES_tradnl"/>
        </w:rPr>
        <w:t>l Anteproyecto</w:t>
      </w:r>
      <w:r w:rsidR="00406B2A" w:rsidRPr="0095038B">
        <w:rPr>
          <w:rFonts w:ascii="ITC Avant Garde" w:eastAsia="Arial" w:hAnsi="ITC Avant Garde" w:cs="Arial"/>
          <w:lang w:val="es-ES_tradnl"/>
        </w:rPr>
        <w:t>, y</w:t>
      </w:r>
    </w:p>
    <w:p w14:paraId="5E47984F" w14:textId="77777777" w:rsidR="007A59F7" w:rsidRPr="0095038B" w:rsidRDefault="007A59F7" w:rsidP="0095038B">
      <w:pPr>
        <w:pStyle w:val="Prrafodelista"/>
        <w:spacing w:after="0" w:line="276" w:lineRule="auto"/>
        <w:jc w:val="both"/>
        <w:rPr>
          <w:rFonts w:ascii="ITC Avant Garde" w:eastAsia="Arial" w:hAnsi="ITC Avant Garde" w:cs="Arial"/>
          <w:lang w:val="es-ES_tradnl"/>
        </w:rPr>
      </w:pPr>
    </w:p>
    <w:p w14:paraId="2C031FFB" w14:textId="49B0922E" w:rsidR="00406B2A" w:rsidRPr="0095038B" w:rsidRDefault="002E1040" w:rsidP="0095038B">
      <w:pPr>
        <w:pStyle w:val="Prrafodelista"/>
        <w:numPr>
          <w:ilvl w:val="0"/>
          <w:numId w:val="23"/>
        </w:numPr>
        <w:tabs>
          <w:tab w:val="num" w:pos="1220"/>
          <w:tab w:val="num" w:pos="1940"/>
        </w:tabs>
        <w:spacing w:after="0" w:line="276" w:lineRule="auto"/>
        <w:jc w:val="both"/>
        <w:rPr>
          <w:rFonts w:ascii="ITC Avant Garde" w:eastAsia="Arial" w:hAnsi="ITC Avant Garde" w:cs="Arial"/>
          <w:lang w:val="es-ES_tradnl"/>
        </w:rPr>
      </w:pPr>
      <w:r w:rsidRPr="0095038B">
        <w:rPr>
          <w:rFonts w:ascii="ITC Avant Garde" w:eastAsia="Arial" w:hAnsi="ITC Avant Garde" w:cs="Arial"/>
          <w:lang w:val="es-ES_tradnl"/>
        </w:rPr>
        <w:t>Identificar áreas de oportunidad de la regulación a través de</w:t>
      </w:r>
      <w:r w:rsidR="00406B2A" w:rsidRPr="0095038B">
        <w:rPr>
          <w:rFonts w:ascii="ITC Avant Garde" w:eastAsia="Arial" w:hAnsi="ITC Avant Garde" w:cs="Arial"/>
          <w:lang w:val="es-ES_tradnl"/>
        </w:rPr>
        <w:t xml:space="preserve"> los planteamientos </w:t>
      </w:r>
      <w:r w:rsidRPr="0095038B">
        <w:rPr>
          <w:rFonts w:ascii="ITC Avant Garde" w:hAnsi="ITC Avant Garde"/>
          <w:lang w:val="es-ES_tradnl"/>
        </w:rPr>
        <w:t xml:space="preserve">que se expongan mediante la participación ciudadana y generar, a través de su atención, un documento </w:t>
      </w:r>
      <w:r w:rsidR="00920F08" w:rsidRPr="0095038B">
        <w:rPr>
          <w:rFonts w:ascii="ITC Avant Garde" w:hAnsi="ITC Avant Garde"/>
          <w:lang w:val="es-ES_tradnl"/>
        </w:rPr>
        <w:t>con mayor solidez</w:t>
      </w:r>
      <w:r w:rsidRPr="0095038B">
        <w:rPr>
          <w:rFonts w:ascii="ITC Avant Garde" w:hAnsi="ITC Avant Garde"/>
          <w:lang w:val="es-ES_tradnl"/>
        </w:rPr>
        <w:t xml:space="preserve"> y efic</w:t>
      </w:r>
      <w:r w:rsidR="00920F08" w:rsidRPr="0095038B">
        <w:rPr>
          <w:rFonts w:ascii="ITC Avant Garde" w:hAnsi="ITC Avant Garde"/>
          <w:lang w:val="es-ES_tradnl"/>
        </w:rPr>
        <w:t>acia</w:t>
      </w:r>
      <w:r w:rsidRPr="0095038B">
        <w:rPr>
          <w:rFonts w:ascii="ITC Avant Garde" w:hAnsi="ITC Avant Garde"/>
          <w:lang w:val="es-ES_tradnl"/>
        </w:rPr>
        <w:t xml:space="preserve"> que </w:t>
      </w:r>
      <w:r w:rsidR="00920F08" w:rsidRPr="0095038B">
        <w:rPr>
          <w:rFonts w:ascii="ITC Avant Garde" w:hAnsi="ITC Avant Garde"/>
          <w:lang w:val="es-ES_tradnl"/>
        </w:rPr>
        <w:t>logre de mejor manera</w:t>
      </w:r>
      <w:r w:rsidRPr="0095038B">
        <w:rPr>
          <w:rFonts w:ascii="ITC Avant Garde" w:hAnsi="ITC Avant Garde"/>
          <w:lang w:val="es-ES_tradnl"/>
        </w:rPr>
        <w:t xml:space="preserve"> brindar una cobertura </w:t>
      </w:r>
      <w:r w:rsidR="0030269E" w:rsidRPr="0095038B">
        <w:rPr>
          <w:rFonts w:ascii="ITC Avant Garde" w:hAnsi="ITC Avant Garde"/>
          <w:lang w:val="es-ES_tradnl"/>
        </w:rPr>
        <w:t>ó</w:t>
      </w:r>
      <w:r w:rsidRPr="0095038B">
        <w:rPr>
          <w:rFonts w:ascii="ITC Avant Garde" w:hAnsi="ITC Avant Garde"/>
          <w:lang w:val="es-ES_tradnl"/>
        </w:rPr>
        <w:t xml:space="preserve">ptima a las necesidades y sugerencias en beneficio </w:t>
      </w:r>
      <w:r w:rsidR="00920F08" w:rsidRPr="0095038B">
        <w:rPr>
          <w:rFonts w:ascii="ITC Avant Garde" w:hAnsi="ITC Avant Garde"/>
          <w:lang w:val="es-ES_tradnl"/>
        </w:rPr>
        <w:t xml:space="preserve">tanto de los regulados como </w:t>
      </w:r>
      <w:r w:rsidR="002734A4" w:rsidRPr="0095038B">
        <w:rPr>
          <w:rFonts w:ascii="ITC Avant Garde" w:hAnsi="ITC Avant Garde"/>
          <w:lang w:val="es-ES_tradnl"/>
        </w:rPr>
        <w:t>de la audiencia</w:t>
      </w:r>
      <w:r w:rsidRPr="0095038B">
        <w:rPr>
          <w:rFonts w:ascii="ITC Avant Garde" w:hAnsi="ITC Avant Garde"/>
          <w:lang w:val="es-ES_tradnl"/>
        </w:rPr>
        <w:t>.</w:t>
      </w:r>
    </w:p>
    <w:p w14:paraId="276B667D" w14:textId="77777777" w:rsidR="007A59F7" w:rsidRPr="0095038B" w:rsidRDefault="007A59F7" w:rsidP="0095038B">
      <w:pPr>
        <w:pStyle w:val="Prrafodelista"/>
        <w:spacing w:after="0" w:line="276" w:lineRule="auto"/>
        <w:jc w:val="both"/>
        <w:rPr>
          <w:rFonts w:ascii="ITC Avant Garde" w:eastAsia="Arial" w:hAnsi="ITC Avant Garde" w:cs="Arial"/>
          <w:lang w:val="es-ES_tradnl"/>
        </w:rPr>
      </w:pPr>
    </w:p>
    <w:p w14:paraId="0EEEA6EB" w14:textId="18543F18" w:rsidR="00926DB0" w:rsidRPr="0095038B" w:rsidRDefault="00926DB0" w:rsidP="0095038B">
      <w:pPr>
        <w:tabs>
          <w:tab w:val="num" w:pos="1220"/>
          <w:tab w:val="num" w:pos="1940"/>
        </w:tabs>
        <w:spacing w:after="0" w:line="276" w:lineRule="auto"/>
        <w:jc w:val="both"/>
        <w:rPr>
          <w:rFonts w:ascii="ITC Avant Garde" w:eastAsia="Arial" w:hAnsi="ITC Avant Garde" w:cs="Arial"/>
          <w:lang w:val="es-ES_tradnl"/>
        </w:rPr>
      </w:pPr>
      <w:r w:rsidRPr="0095038B">
        <w:rPr>
          <w:rFonts w:ascii="ITC Avant Garde" w:eastAsia="Arial" w:hAnsi="ITC Avant Garde" w:cs="Arial"/>
          <w:lang w:val="es-ES_tradnl"/>
        </w:rPr>
        <w:t xml:space="preserve">En este sentido, el Pleno del Instituto estima conveniente someter a consulta pública el </w:t>
      </w:r>
      <w:r w:rsidR="002E1040" w:rsidRPr="0095038B">
        <w:rPr>
          <w:rFonts w:ascii="ITC Avant Garde" w:eastAsia="Arial" w:hAnsi="ITC Avant Garde" w:cs="Arial"/>
          <w:lang w:val="es-ES_tradnl"/>
        </w:rPr>
        <w:t>Anteproyecto</w:t>
      </w:r>
      <w:r w:rsidR="00920F08" w:rsidRPr="0095038B">
        <w:rPr>
          <w:rFonts w:ascii="ITC Avant Garde" w:eastAsia="Arial" w:hAnsi="ITC Avant Garde" w:cs="Arial"/>
          <w:lang w:val="es-ES_tradnl"/>
        </w:rPr>
        <w:t xml:space="preserve">, </w:t>
      </w:r>
      <w:r w:rsidR="00154662" w:rsidRPr="0095038B">
        <w:rPr>
          <w:rFonts w:ascii="ITC Avant Garde" w:eastAsia="Arial" w:hAnsi="ITC Avant Garde" w:cs="Arial"/>
          <w:lang w:val="es-ES_tradnl"/>
        </w:rPr>
        <w:t xml:space="preserve">mismo que </w:t>
      </w:r>
      <w:r w:rsidR="002E1040" w:rsidRPr="0095038B">
        <w:rPr>
          <w:rFonts w:ascii="ITC Avant Garde" w:hAnsi="ITC Avant Garde"/>
          <w:bCs/>
          <w:lang w:val="es-ES_tradnl"/>
        </w:rPr>
        <w:t>se adjunta al presente Acuerdo</w:t>
      </w:r>
      <w:r w:rsidRPr="0095038B">
        <w:rPr>
          <w:rFonts w:ascii="ITC Avant Garde" w:eastAsia="Arial" w:hAnsi="ITC Avant Garde" w:cs="Arial"/>
          <w:lang w:val="es-ES_tradnl"/>
        </w:rPr>
        <w:t xml:space="preserve">. </w:t>
      </w:r>
    </w:p>
    <w:p w14:paraId="74864AD4" w14:textId="77777777" w:rsidR="00926DB0" w:rsidRDefault="00926DB0" w:rsidP="0095038B">
      <w:pPr>
        <w:tabs>
          <w:tab w:val="num" w:pos="1220"/>
          <w:tab w:val="num" w:pos="1940"/>
        </w:tabs>
        <w:spacing w:after="0" w:line="276" w:lineRule="auto"/>
        <w:jc w:val="both"/>
        <w:rPr>
          <w:rFonts w:ascii="ITC Avant Garde" w:eastAsia="Arial" w:hAnsi="ITC Avant Garde" w:cs="Arial"/>
          <w:lang w:val="es-ES_tradnl"/>
        </w:rPr>
      </w:pPr>
      <w:r w:rsidRPr="0095038B">
        <w:rPr>
          <w:rFonts w:ascii="ITC Avant Garde" w:eastAsia="Arial" w:hAnsi="ITC Avant Garde" w:cs="Arial"/>
          <w:lang w:val="es-ES_tradnl"/>
        </w:rPr>
        <w:t>Lo anterior sin perjuicio de que, en su momento, el Instituto realice y haga público el correspondiente análisis de impacto regulatorio, conforme a lo dispuesto en el segundo párrafo del artículo 51 de la LFTR.</w:t>
      </w:r>
    </w:p>
    <w:p w14:paraId="5E3E9263" w14:textId="77777777" w:rsidR="0095038B" w:rsidRPr="0095038B" w:rsidRDefault="0095038B" w:rsidP="0095038B">
      <w:pPr>
        <w:tabs>
          <w:tab w:val="num" w:pos="1220"/>
          <w:tab w:val="num" w:pos="1940"/>
        </w:tabs>
        <w:spacing w:after="0" w:line="276" w:lineRule="auto"/>
        <w:jc w:val="both"/>
        <w:rPr>
          <w:rFonts w:ascii="ITC Avant Garde" w:eastAsia="Arial" w:hAnsi="ITC Avant Garde" w:cs="Arial"/>
          <w:lang w:val="es-ES_tradnl"/>
        </w:rPr>
      </w:pPr>
    </w:p>
    <w:p w14:paraId="5EF18F77" w14:textId="691DEC55" w:rsidR="00CC5D24" w:rsidRDefault="00E642D8" w:rsidP="0095038B">
      <w:pPr>
        <w:tabs>
          <w:tab w:val="num" w:pos="1220"/>
          <w:tab w:val="num" w:pos="1940"/>
        </w:tabs>
        <w:spacing w:after="0" w:line="276" w:lineRule="auto"/>
        <w:jc w:val="both"/>
        <w:rPr>
          <w:rFonts w:ascii="ITC Avant Garde" w:eastAsia="Arial" w:hAnsi="ITC Avant Garde" w:cs="Arial"/>
          <w:lang w:val="es-ES_tradnl"/>
        </w:rPr>
      </w:pPr>
      <w:r w:rsidRPr="0095038B">
        <w:rPr>
          <w:rFonts w:ascii="ITC Avant Garde" w:eastAsia="Arial" w:hAnsi="ITC Avant Garde" w:cs="Arial"/>
          <w:lang w:val="es-ES_tradnl"/>
        </w:rPr>
        <w:t>E</w:t>
      </w:r>
      <w:r w:rsidR="00926DB0" w:rsidRPr="0095038B">
        <w:rPr>
          <w:rFonts w:ascii="ITC Avant Garde" w:eastAsia="Arial" w:hAnsi="ITC Avant Garde" w:cs="Arial"/>
          <w:lang w:val="es-ES_tradnl"/>
        </w:rPr>
        <w:t>l Anteproyecto propuesto por la Unidad de Política Regulatoria estar</w:t>
      </w:r>
      <w:r w:rsidR="00154662" w:rsidRPr="0095038B">
        <w:rPr>
          <w:rFonts w:ascii="ITC Avant Garde" w:eastAsia="Arial" w:hAnsi="ITC Avant Garde" w:cs="Arial"/>
          <w:lang w:val="es-ES_tradnl"/>
        </w:rPr>
        <w:t>á</w:t>
      </w:r>
      <w:r w:rsidR="00926DB0" w:rsidRPr="0095038B">
        <w:rPr>
          <w:rFonts w:ascii="ITC Avant Garde" w:eastAsia="Arial" w:hAnsi="ITC Avant Garde" w:cs="Arial"/>
          <w:lang w:val="es-ES_tradnl"/>
        </w:rPr>
        <w:t xml:space="preserve"> sujeto a un proceso de consulta p</w:t>
      </w:r>
      <w:r w:rsidR="00406B2A" w:rsidRPr="0095038B">
        <w:rPr>
          <w:rFonts w:ascii="ITC Avant Garde" w:eastAsia="Arial" w:hAnsi="ITC Avant Garde" w:cs="Arial"/>
          <w:lang w:val="es-ES_tradnl"/>
        </w:rPr>
        <w:t>ública por un periodo de</w:t>
      </w:r>
      <w:r w:rsidR="00051250" w:rsidRPr="0095038B">
        <w:rPr>
          <w:rFonts w:ascii="ITC Avant Garde" w:eastAsia="Arial" w:hAnsi="ITC Avant Garde" w:cs="Arial"/>
          <w:lang w:val="es-ES_tradnl"/>
        </w:rPr>
        <w:t xml:space="preserve"> 20</w:t>
      </w:r>
      <w:r w:rsidR="00926DB0" w:rsidRPr="0095038B">
        <w:rPr>
          <w:rFonts w:ascii="ITC Avant Garde" w:eastAsia="Arial" w:hAnsi="ITC Avant Garde" w:cs="Arial"/>
          <w:lang w:val="es-ES_tradnl"/>
        </w:rPr>
        <w:t xml:space="preserve"> días hábiles a fin de transparentar y promover la participación ciudadana en los procesos de emisión de disposiciones de carácter general que genere el Instituto, a efecto de dar cabal cumplimiento a lo establecido en </w:t>
      </w:r>
      <w:r w:rsidR="00154662" w:rsidRPr="0095038B">
        <w:rPr>
          <w:rFonts w:ascii="ITC Avant Garde" w:eastAsia="Arial" w:hAnsi="ITC Avant Garde" w:cs="Arial"/>
          <w:lang w:val="es-ES_tradnl"/>
        </w:rPr>
        <w:t>la Ley</w:t>
      </w:r>
      <w:r w:rsidR="00926DB0" w:rsidRPr="0095038B">
        <w:rPr>
          <w:rFonts w:ascii="ITC Avant Garde" w:eastAsia="Arial" w:hAnsi="ITC Avant Garde" w:cs="Arial"/>
          <w:lang w:val="es-ES_tradnl"/>
        </w:rPr>
        <w:t xml:space="preserve">. </w:t>
      </w:r>
    </w:p>
    <w:p w14:paraId="2182C220" w14:textId="77777777" w:rsidR="0095038B" w:rsidRPr="0095038B" w:rsidRDefault="0095038B" w:rsidP="0095038B">
      <w:pPr>
        <w:tabs>
          <w:tab w:val="num" w:pos="1220"/>
          <w:tab w:val="num" w:pos="1940"/>
        </w:tabs>
        <w:spacing w:after="0" w:line="276" w:lineRule="auto"/>
        <w:jc w:val="both"/>
        <w:rPr>
          <w:rFonts w:ascii="ITC Avant Garde" w:eastAsia="Arial" w:hAnsi="ITC Avant Garde" w:cs="Arial"/>
          <w:lang w:val="es-ES_tradnl"/>
        </w:rPr>
      </w:pPr>
    </w:p>
    <w:p w14:paraId="7419AA29" w14:textId="0279E7D1" w:rsidR="00830162" w:rsidRPr="0095038B" w:rsidRDefault="00E642D8" w:rsidP="0095038B">
      <w:pPr>
        <w:tabs>
          <w:tab w:val="num" w:pos="1220"/>
          <w:tab w:val="num" w:pos="1940"/>
        </w:tabs>
        <w:spacing w:after="0" w:line="276" w:lineRule="auto"/>
        <w:jc w:val="both"/>
        <w:rPr>
          <w:rFonts w:ascii="ITC Avant Garde" w:eastAsia="Arial" w:hAnsi="ITC Avant Garde" w:cs="Arial"/>
          <w:lang w:val="es-ES_tradnl"/>
        </w:rPr>
      </w:pPr>
      <w:r w:rsidRPr="0095038B">
        <w:rPr>
          <w:rFonts w:ascii="ITC Avant Garde" w:eastAsia="Arial" w:hAnsi="ITC Avant Garde" w:cs="Arial"/>
          <w:lang w:val="es-ES_tradnl"/>
        </w:rPr>
        <w:t>Con</w:t>
      </w:r>
      <w:r w:rsidR="00CC5D24" w:rsidRPr="0095038B">
        <w:rPr>
          <w:rFonts w:ascii="ITC Avant Garde" w:eastAsia="Arial" w:hAnsi="ITC Avant Garde" w:cs="Arial"/>
          <w:lang w:val="es-ES_tradnl"/>
        </w:rPr>
        <w:t xml:space="preserve"> fundamento en los artículos 28 párrafos vigésimo fracción IV de la Constitución Política de los Estados Unidos Mexicanos; 1, 2</w:t>
      </w:r>
      <w:r w:rsidR="005E207F" w:rsidRPr="0095038B">
        <w:rPr>
          <w:rFonts w:ascii="ITC Avant Garde" w:eastAsia="Arial" w:hAnsi="ITC Avant Garde" w:cs="Arial"/>
          <w:lang w:val="es-ES_tradnl"/>
        </w:rPr>
        <w:t>, 7, 15 fracción I</w:t>
      </w:r>
      <w:r w:rsidR="00CC5D24" w:rsidRPr="0095038B">
        <w:rPr>
          <w:rFonts w:ascii="ITC Avant Garde" w:eastAsia="Arial" w:hAnsi="ITC Avant Garde" w:cs="Arial"/>
          <w:lang w:val="es-ES_tradnl"/>
        </w:rPr>
        <w:t xml:space="preserve">, </w:t>
      </w:r>
      <w:r w:rsidR="004B3FDD" w:rsidRPr="0095038B">
        <w:rPr>
          <w:rFonts w:ascii="ITC Avant Garde" w:eastAsia="Arial" w:hAnsi="ITC Avant Garde" w:cs="Arial"/>
          <w:lang w:val="es-ES_tradnl"/>
        </w:rPr>
        <w:t xml:space="preserve">17 fracción I, </w:t>
      </w:r>
      <w:r w:rsidR="005E207F" w:rsidRPr="0095038B">
        <w:rPr>
          <w:rFonts w:ascii="ITC Avant Garde" w:eastAsia="Arial" w:hAnsi="ITC Avant Garde" w:cs="Arial"/>
          <w:lang w:val="es-ES_tradnl"/>
        </w:rPr>
        <w:t xml:space="preserve">51, 52, </w:t>
      </w:r>
      <w:r w:rsidR="005E207F" w:rsidRPr="0095038B">
        <w:rPr>
          <w:rFonts w:ascii="ITC Avant Garde" w:hAnsi="ITC Avant Garde"/>
        </w:rPr>
        <w:t>54, 56 y Décimo Octavo transitorio</w:t>
      </w:r>
      <w:r w:rsidR="005E207F" w:rsidRPr="0095038B">
        <w:rPr>
          <w:rFonts w:ascii="ITC Avant Garde" w:eastAsia="Arial" w:hAnsi="ITC Avant Garde" w:cs="Arial"/>
          <w:lang w:val="es-ES_tradnl"/>
        </w:rPr>
        <w:t xml:space="preserve"> </w:t>
      </w:r>
      <w:r w:rsidR="00CC5D24" w:rsidRPr="0095038B">
        <w:rPr>
          <w:rFonts w:ascii="ITC Avant Garde" w:eastAsia="Arial" w:hAnsi="ITC Avant Garde" w:cs="Arial"/>
          <w:lang w:val="es-ES_tradnl"/>
        </w:rPr>
        <w:t>de la Ley Federal de Telecomunicaciones y Radiodifusi</w:t>
      </w:r>
      <w:r w:rsidR="00783FAE" w:rsidRPr="0095038B">
        <w:rPr>
          <w:rFonts w:ascii="ITC Avant Garde" w:eastAsia="Arial" w:hAnsi="ITC Avant Garde" w:cs="Arial"/>
          <w:lang w:val="es-ES_tradnl"/>
        </w:rPr>
        <w:t>ón, y</w:t>
      </w:r>
      <w:r w:rsidR="00CC5D24" w:rsidRPr="0095038B">
        <w:rPr>
          <w:rFonts w:ascii="ITC Avant Garde" w:eastAsia="Arial" w:hAnsi="ITC Avant Garde" w:cs="Arial"/>
          <w:lang w:val="es-ES_tradnl"/>
        </w:rPr>
        <w:t xml:space="preserve"> </w:t>
      </w:r>
      <w:r w:rsidR="00154662" w:rsidRPr="0095038B">
        <w:rPr>
          <w:rFonts w:ascii="ITC Avant Garde" w:eastAsia="Arial" w:hAnsi="ITC Avant Garde" w:cs="Arial"/>
          <w:lang w:val="es-ES_tradnl"/>
        </w:rPr>
        <w:t xml:space="preserve">6, fracción I, </w:t>
      </w:r>
      <w:r w:rsidR="00CC5D24" w:rsidRPr="0095038B">
        <w:rPr>
          <w:rFonts w:ascii="ITC Avant Garde" w:eastAsia="Arial" w:hAnsi="ITC Avant Garde" w:cs="Arial"/>
          <w:lang w:val="es-ES_tradnl"/>
        </w:rPr>
        <w:t xml:space="preserve">21, </w:t>
      </w:r>
      <w:r w:rsidR="00783FAE" w:rsidRPr="0095038B">
        <w:rPr>
          <w:rFonts w:ascii="ITC Avant Garde" w:eastAsia="Arial" w:hAnsi="ITC Avant Garde" w:cs="Arial"/>
          <w:lang w:val="es-ES_tradnl"/>
        </w:rPr>
        <w:t xml:space="preserve">22 fracción I, 24 fracción </w:t>
      </w:r>
      <w:r w:rsidR="00CC5D24" w:rsidRPr="0095038B">
        <w:rPr>
          <w:rFonts w:ascii="ITC Avant Garde" w:eastAsia="Arial" w:hAnsi="ITC Avant Garde" w:cs="Arial"/>
          <w:lang w:val="es-ES_tradnl"/>
        </w:rPr>
        <w:t>XXIV del Estatuto Orgánico del Instituto Federal de Telecomunicaciones, el Pleno</w:t>
      </w:r>
      <w:r w:rsidR="00783FAE" w:rsidRPr="0095038B">
        <w:rPr>
          <w:rFonts w:ascii="ITC Avant Garde" w:eastAsia="Arial" w:hAnsi="ITC Avant Garde" w:cs="Arial"/>
          <w:lang w:val="es-ES_tradnl"/>
        </w:rPr>
        <w:t xml:space="preserve"> del Instituto resuelve emitir el</w:t>
      </w:r>
      <w:r w:rsidR="00CC5D24" w:rsidRPr="0095038B">
        <w:rPr>
          <w:rFonts w:ascii="ITC Avant Garde" w:eastAsia="Arial" w:hAnsi="ITC Avant Garde" w:cs="Arial"/>
          <w:lang w:val="es-ES_tradnl"/>
        </w:rPr>
        <w:t xml:space="preserve"> siguiente:</w:t>
      </w:r>
    </w:p>
    <w:p w14:paraId="3D8DB655" w14:textId="77777777" w:rsidR="007A59F7" w:rsidRPr="0095038B" w:rsidRDefault="007A59F7" w:rsidP="0095038B">
      <w:pPr>
        <w:tabs>
          <w:tab w:val="num" w:pos="1220"/>
          <w:tab w:val="num" w:pos="1940"/>
        </w:tabs>
        <w:spacing w:after="0" w:line="276" w:lineRule="auto"/>
        <w:jc w:val="both"/>
        <w:rPr>
          <w:rFonts w:ascii="ITC Avant Garde" w:eastAsia="Arial" w:hAnsi="ITC Avant Garde" w:cs="Arial"/>
          <w:lang w:val="es-ES_tradnl"/>
        </w:rPr>
      </w:pPr>
    </w:p>
    <w:p w14:paraId="17A1D03F" w14:textId="77777777" w:rsidR="00923ECF" w:rsidRPr="0095038B" w:rsidRDefault="00926DB0" w:rsidP="0095038B">
      <w:pPr>
        <w:tabs>
          <w:tab w:val="num" w:pos="1220"/>
          <w:tab w:val="num" w:pos="1940"/>
        </w:tabs>
        <w:spacing w:after="0" w:line="276" w:lineRule="auto"/>
        <w:jc w:val="center"/>
        <w:rPr>
          <w:rFonts w:ascii="ITC Avant Garde" w:eastAsia="Arial" w:hAnsi="ITC Avant Garde" w:cs="Arial"/>
          <w:b/>
          <w:lang w:val="es-ES_tradnl"/>
        </w:rPr>
      </w:pPr>
      <w:r w:rsidRPr="0095038B">
        <w:rPr>
          <w:rFonts w:ascii="ITC Avant Garde" w:eastAsia="Arial" w:hAnsi="ITC Avant Garde" w:cs="Arial"/>
          <w:b/>
          <w:lang w:val="es-ES_tradnl"/>
        </w:rPr>
        <w:t>ACUERDO</w:t>
      </w:r>
    </w:p>
    <w:p w14:paraId="2BC761F2" w14:textId="77777777" w:rsidR="007A59F7" w:rsidRPr="0095038B" w:rsidRDefault="007A59F7" w:rsidP="0095038B">
      <w:pPr>
        <w:tabs>
          <w:tab w:val="num" w:pos="1220"/>
          <w:tab w:val="num" w:pos="1940"/>
        </w:tabs>
        <w:spacing w:after="0" w:line="276" w:lineRule="auto"/>
        <w:jc w:val="center"/>
        <w:rPr>
          <w:rFonts w:ascii="ITC Avant Garde" w:eastAsia="Arial" w:hAnsi="ITC Avant Garde" w:cs="Arial"/>
          <w:b/>
          <w:lang w:val="es-ES_tradnl"/>
        </w:rPr>
      </w:pPr>
    </w:p>
    <w:p w14:paraId="35BEC359" w14:textId="4F7D3A8B" w:rsidR="00923ECF" w:rsidRPr="0095038B" w:rsidRDefault="00926DB0" w:rsidP="0095038B">
      <w:pPr>
        <w:tabs>
          <w:tab w:val="num" w:pos="1220"/>
          <w:tab w:val="num" w:pos="1940"/>
        </w:tabs>
        <w:spacing w:after="0" w:line="276" w:lineRule="auto"/>
        <w:jc w:val="both"/>
        <w:rPr>
          <w:rFonts w:ascii="ITC Avant Garde" w:hAnsi="ITC Avant Garde"/>
          <w:bCs/>
        </w:rPr>
      </w:pPr>
      <w:r w:rsidRPr="0095038B">
        <w:rPr>
          <w:rFonts w:ascii="ITC Avant Garde" w:eastAsia="Arial" w:hAnsi="ITC Avant Garde" w:cs="Arial"/>
          <w:b/>
          <w:lang w:val="es-ES_tradnl"/>
        </w:rPr>
        <w:t>PRIMERO.-</w:t>
      </w:r>
      <w:r w:rsidRPr="0095038B">
        <w:rPr>
          <w:rFonts w:ascii="ITC Avant Garde" w:eastAsia="Arial" w:hAnsi="ITC Avant Garde" w:cs="Arial"/>
          <w:lang w:val="es-ES_tradnl"/>
        </w:rPr>
        <w:t xml:space="preserve"> Se determina someter a consulta pública el </w:t>
      </w:r>
      <w:r w:rsidR="0072786F" w:rsidRPr="0095038B">
        <w:rPr>
          <w:rFonts w:ascii="ITC Avant Garde" w:eastAsia="Arial" w:hAnsi="ITC Avant Garde" w:cs="Arial"/>
          <w:lang w:val="es-ES_tradnl"/>
        </w:rPr>
        <w:t>“Anteproyect</w:t>
      </w:r>
      <w:r w:rsidR="00F4274A" w:rsidRPr="0095038B">
        <w:rPr>
          <w:rFonts w:ascii="ITC Avant Garde" w:eastAsia="Arial" w:hAnsi="ITC Avant Garde" w:cs="Arial"/>
          <w:lang w:val="es-ES_tradnl"/>
        </w:rPr>
        <w:t>o de Lineamientos Mediante los c</w:t>
      </w:r>
      <w:r w:rsidR="0072786F" w:rsidRPr="0095038B">
        <w:rPr>
          <w:rFonts w:ascii="ITC Avant Garde" w:eastAsia="Arial" w:hAnsi="ITC Avant Garde" w:cs="Arial"/>
          <w:lang w:val="es-ES_tradnl"/>
        </w:rPr>
        <w:t xml:space="preserve">uales el Instituto Federal de Telecomunicaciones establece los Criterios para el Cambio de Frecuencias de Estaciones de Radiodifusión Sonora que Operan en la Banda de Amplitud Modulada a Frecuencia Modulada”, </w:t>
      </w:r>
      <w:r w:rsidRPr="0095038B">
        <w:rPr>
          <w:rFonts w:ascii="ITC Avant Garde" w:eastAsia="Arial" w:hAnsi="ITC Avant Garde" w:cs="Arial"/>
          <w:lang w:val="es-ES_tradnl"/>
        </w:rPr>
        <w:t xml:space="preserve">el cual se adjunta al </w:t>
      </w:r>
      <w:r w:rsidRPr="0095038B">
        <w:rPr>
          <w:rFonts w:ascii="ITC Avant Garde" w:eastAsia="Arial" w:hAnsi="ITC Avant Garde" w:cs="Arial"/>
          <w:lang w:val="es-ES_tradnl"/>
        </w:rPr>
        <w:lastRenderedPageBreak/>
        <w:t>presente como Anexo Único</w:t>
      </w:r>
      <w:r w:rsidR="0072786F" w:rsidRPr="0095038B">
        <w:rPr>
          <w:rFonts w:ascii="ITC Avant Garde" w:eastAsia="Arial" w:hAnsi="ITC Avant Garde" w:cs="Arial"/>
          <w:lang w:val="es-ES_tradnl"/>
        </w:rPr>
        <w:t xml:space="preserve"> del presente Acuerdo</w:t>
      </w:r>
      <w:r w:rsidRPr="0095038B">
        <w:rPr>
          <w:rFonts w:ascii="ITC Avant Garde" w:eastAsia="Arial" w:hAnsi="ITC Avant Garde" w:cs="Arial"/>
          <w:lang w:val="es-ES_tradnl"/>
        </w:rPr>
        <w:t xml:space="preserve">. </w:t>
      </w:r>
      <w:r w:rsidR="0072786F" w:rsidRPr="0095038B">
        <w:rPr>
          <w:rFonts w:ascii="ITC Avant Garde" w:hAnsi="ITC Avant Garde" w:cs="Tahoma"/>
          <w:bCs/>
          <w:color w:val="000000"/>
          <w:lang w:eastAsia="es-MX"/>
        </w:rPr>
        <w:t xml:space="preserve">Dicha consulta pública se realizará durante </w:t>
      </w:r>
      <w:r w:rsidR="0072786F" w:rsidRPr="0095038B">
        <w:rPr>
          <w:rFonts w:ascii="ITC Avant Garde" w:hAnsi="ITC Avant Garde"/>
          <w:bCs/>
        </w:rPr>
        <w:t>20 días hábiles a partir de su publicación en el portal de internet del Instituto Federal de Telecomunicaciones.</w:t>
      </w:r>
    </w:p>
    <w:p w14:paraId="68319616" w14:textId="77777777" w:rsidR="007A59F7" w:rsidRPr="0095038B" w:rsidRDefault="007A59F7" w:rsidP="0095038B">
      <w:pPr>
        <w:tabs>
          <w:tab w:val="num" w:pos="1220"/>
          <w:tab w:val="num" w:pos="1940"/>
        </w:tabs>
        <w:spacing w:after="0" w:line="276" w:lineRule="auto"/>
        <w:jc w:val="both"/>
        <w:rPr>
          <w:rFonts w:ascii="ITC Avant Garde" w:eastAsia="Arial" w:hAnsi="ITC Avant Garde" w:cs="Arial"/>
          <w:lang w:val="es-ES_tradnl"/>
        </w:rPr>
      </w:pPr>
    </w:p>
    <w:p w14:paraId="72590B97" w14:textId="77777777" w:rsidR="0072786F" w:rsidRPr="0095038B" w:rsidRDefault="00926DB0" w:rsidP="0095038B">
      <w:pPr>
        <w:tabs>
          <w:tab w:val="num" w:pos="1220"/>
          <w:tab w:val="num" w:pos="1940"/>
        </w:tabs>
        <w:spacing w:after="0" w:line="276" w:lineRule="auto"/>
        <w:jc w:val="both"/>
        <w:rPr>
          <w:rFonts w:ascii="ITC Avant Garde" w:hAnsi="ITC Avant Garde" w:cs="Tahoma"/>
          <w:bCs/>
          <w:color w:val="000000"/>
          <w:lang w:eastAsia="es-MX"/>
        </w:rPr>
      </w:pPr>
      <w:r w:rsidRPr="0095038B">
        <w:rPr>
          <w:rFonts w:ascii="ITC Avant Garde" w:eastAsia="Arial" w:hAnsi="ITC Avant Garde" w:cs="Arial"/>
          <w:b/>
          <w:lang w:val="es-ES_tradnl"/>
        </w:rPr>
        <w:t>SEGUNDO.-</w:t>
      </w:r>
      <w:r w:rsidRPr="0095038B">
        <w:rPr>
          <w:rFonts w:ascii="ITC Avant Garde" w:eastAsia="Arial" w:hAnsi="ITC Avant Garde" w:cs="Arial"/>
          <w:lang w:val="es-ES_tradnl"/>
        </w:rPr>
        <w:t xml:space="preserve"> Se instruye a la Unidad de Política Regulatoria, por conducto de la Dirección General de </w:t>
      </w:r>
      <w:r w:rsidR="00923ECF" w:rsidRPr="0095038B">
        <w:rPr>
          <w:rFonts w:ascii="ITC Avant Garde" w:eastAsia="Arial" w:hAnsi="ITC Avant Garde" w:cs="Arial"/>
          <w:lang w:val="es-ES_tradnl"/>
        </w:rPr>
        <w:t>Desarrollo de las Telecomunicaciones y la Radiodifusión</w:t>
      </w:r>
      <w:r w:rsidRPr="0095038B">
        <w:rPr>
          <w:rFonts w:ascii="ITC Avant Garde" w:eastAsia="Arial" w:hAnsi="ITC Avant Garde" w:cs="Arial"/>
          <w:lang w:val="es-ES_tradnl"/>
        </w:rPr>
        <w:t xml:space="preserve">, en su calidad de área proponente, </w:t>
      </w:r>
      <w:r w:rsidR="0072786F" w:rsidRPr="0095038B">
        <w:rPr>
          <w:rFonts w:ascii="ITC Avant Garde" w:hAnsi="ITC Avant Garde" w:cs="Tahoma"/>
          <w:bCs/>
          <w:color w:val="000000"/>
          <w:lang w:eastAsia="es-MX"/>
        </w:rPr>
        <w:t>ejecutar la consulta pública materia del presente Acuerdo, incluyendo la recepción y atención que corresponda a las opiniones que sean vertidas de la consulta pública materia del presente Acuerdo.</w:t>
      </w:r>
    </w:p>
    <w:p w14:paraId="7BAAF2CD" w14:textId="77777777" w:rsidR="007A59F7" w:rsidRPr="0095038B" w:rsidRDefault="007A59F7" w:rsidP="0095038B">
      <w:pPr>
        <w:tabs>
          <w:tab w:val="num" w:pos="1220"/>
          <w:tab w:val="num" w:pos="1940"/>
        </w:tabs>
        <w:spacing w:after="0" w:line="276" w:lineRule="auto"/>
        <w:jc w:val="both"/>
        <w:rPr>
          <w:rFonts w:ascii="ITC Avant Garde" w:hAnsi="ITC Avant Garde" w:cs="Tahoma"/>
          <w:bCs/>
          <w:color w:val="000000"/>
          <w:lang w:eastAsia="es-MX"/>
        </w:rPr>
      </w:pPr>
    </w:p>
    <w:p w14:paraId="7815120B" w14:textId="5EF84826" w:rsidR="00830162" w:rsidRPr="0095038B" w:rsidRDefault="00926DB0" w:rsidP="0095038B">
      <w:pPr>
        <w:tabs>
          <w:tab w:val="num" w:pos="1220"/>
          <w:tab w:val="num" w:pos="1940"/>
        </w:tabs>
        <w:spacing w:after="0" w:line="276" w:lineRule="auto"/>
        <w:jc w:val="both"/>
        <w:rPr>
          <w:rFonts w:ascii="ITC Avant Garde" w:eastAsia="Arial" w:hAnsi="ITC Avant Garde" w:cs="Arial"/>
          <w:lang w:val="es-ES_tradnl"/>
        </w:rPr>
      </w:pPr>
      <w:r w:rsidRPr="0095038B">
        <w:rPr>
          <w:rFonts w:ascii="ITC Avant Garde" w:eastAsia="Arial" w:hAnsi="ITC Avant Garde" w:cs="Arial"/>
          <w:b/>
          <w:lang w:val="es-ES_tradnl"/>
        </w:rPr>
        <w:t>TERCERO.-</w:t>
      </w:r>
      <w:r w:rsidRPr="0095038B">
        <w:rPr>
          <w:rFonts w:ascii="ITC Avant Garde" w:eastAsia="Arial" w:hAnsi="ITC Avant Garde" w:cs="Arial"/>
          <w:lang w:val="es-ES_tradnl"/>
        </w:rPr>
        <w:t xml:space="preserve"> Publíquese en el portal de Internet del Instituto F</w:t>
      </w:r>
      <w:r w:rsidR="00923ECF" w:rsidRPr="0095038B">
        <w:rPr>
          <w:rFonts w:ascii="ITC Avant Garde" w:eastAsia="Arial" w:hAnsi="ITC Avant Garde" w:cs="Arial"/>
          <w:lang w:val="es-ES_tradnl"/>
        </w:rPr>
        <w:t xml:space="preserve">ederal de Telecomunicaciones.  </w:t>
      </w:r>
    </w:p>
    <w:p w14:paraId="1B0558CF" w14:textId="77777777" w:rsidR="007A59F7" w:rsidRDefault="007A59F7" w:rsidP="0095038B">
      <w:pPr>
        <w:tabs>
          <w:tab w:val="num" w:pos="1220"/>
          <w:tab w:val="num" w:pos="1940"/>
        </w:tabs>
        <w:spacing w:after="0" w:line="240" w:lineRule="auto"/>
        <w:jc w:val="both"/>
        <w:rPr>
          <w:rFonts w:ascii="ITC Avant Garde" w:eastAsia="Arial" w:hAnsi="ITC Avant Garde" w:cs="Arial"/>
          <w:lang w:val="es-ES_tradnl"/>
        </w:rPr>
      </w:pPr>
    </w:p>
    <w:p w14:paraId="305DF727" w14:textId="77777777" w:rsidR="0095038B" w:rsidRDefault="0095038B" w:rsidP="0095038B">
      <w:pPr>
        <w:tabs>
          <w:tab w:val="num" w:pos="1220"/>
          <w:tab w:val="num" w:pos="1940"/>
        </w:tabs>
        <w:spacing w:after="0" w:line="240" w:lineRule="auto"/>
        <w:jc w:val="both"/>
        <w:rPr>
          <w:rFonts w:ascii="ITC Avant Garde" w:eastAsia="Arial" w:hAnsi="ITC Avant Garde" w:cs="Arial"/>
          <w:lang w:val="es-ES_tradnl"/>
        </w:rPr>
      </w:pPr>
    </w:p>
    <w:p w14:paraId="3DDEB53A" w14:textId="77777777" w:rsidR="0095038B" w:rsidRDefault="0095038B" w:rsidP="0095038B">
      <w:pPr>
        <w:tabs>
          <w:tab w:val="num" w:pos="1220"/>
          <w:tab w:val="num" w:pos="1940"/>
        </w:tabs>
        <w:spacing w:after="0" w:line="240" w:lineRule="auto"/>
        <w:jc w:val="both"/>
        <w:rPr>
          <w:rFonts w:ascii="ITC Avant Garde" w:eastAsia="Arial" w:hAnsi="ITC Avant Garde" w:cs="Arial"/>
          <w:lang w:val="es-ES_tradnl"/>
        </w:rPr>
      </w:pPr>
    </w:p>
    <w:p w14:paraId="23DB5A73" w14:textId="77777777" w:rsidR="0095038B" w:rsidRDefault="0095038B" w:rsidP="0095038B">
      <w:pPr>
        <w:tabs>
          <w:tab w:val="num" w:pos="1220"/>
          <w:tab w:val="num" w:pos="1940"/>
        </w:tabs>
        <w:spacing w:after="0" w:line="240" w:lineRule="auto"/>
        <w:jc w:val="both"/>
        <w:rPr>
          <w:rFonts w:ascii="ITC Avant Garde" w:eastAsia="Arial" w:hAnsi="ITC Avant Garde" w:cs="Arial"/>
          <w:lang w:val="es-ES_tradnl"/>
        </w:rPr>
      </w:pPr>
    </w:p>
    <w:p w14:paraId="3129A23A" w14:textId="77777777" w:rsidR="0095038B" w:rsidRDefault="0095038B" w:rsidP="0095038B">
      <w:pPr>
        <w:tabs>
          <w:tab w:val="num" w:pos="1220"/>
          <w:tab w:val="num" w:pos="1940"/>
        </w:tabs>
        <w:spacing w:after="0" w:line="240" w:lineRule="auto"/>
        <w:jc w:val="both"/>
        <w:rPr>
          <w:rFonts w:ascii="ITC Avant Garde" w:eastAsia="Arial" w:hAnsi="ITC Avant Garde" w:cs="Arial"/>
          <w:lang w:val="es-ES_tradnl"/>
        </w:rPr>
      </w:pPr>
    </w:p>
    <w:p w14:paraId="1FDF6F7B" w14:textId="77777777" w:rsidR="0095038B" w:rsidRPr="0095038B" w:rsidRDefault="0095038B" w:rsidP="0095038B">
      <w:pPr>
        <w:tabs>
          <w:tab w:val="num" w:pos="1220"/>
          <w:tab w:val="num" w:pos="1940"/>
        </w:tabs>
        <w:spacing w:after="0" w:line="240" w:lineRule="auto"/>
        <w:jc w:val="both"/>
        <w:rPr>
          <w:rFonts w:ascii="ITC Avant Garde" w:eastAsia="Arial" w:hAnsi="ITC Avant Garde" w:cs="Arial"/>
          <w:lang w:val="es-ES_tradnl"/>
        </w:rPr>
      </w:pPr>
    </w:p>
    <w:p w14:paraId="2371A2ED" w14:textId="77777777" w:rsidR="0095038B" w:rsidRPr="00CB43C6" w:rsidRDefault="0095038B" w:rsidP="0095038B">
      <w:pPr>
        <w:spacing w:after="0" w:line="240" w:lineRule="auto"/>
        <w:jc w:val="center"/>
        <w:rPr>
          <w:rFonts w:ascii="ITC Avant Garde" w:hAnsi="ITC Avant Garde" w:cs="Arial"/>
          <w:b/>
          <w:bCs/>
        </w:rPr>
      </w:pPr>
      <w:r w:rsidRPr="00CB43C6">
        <w:rPr>
          <w:rFonts w:ascii="ITC Avant Garde" w:hAnsi="ITC Avant Garde" w:cs="Arial"/>
          <w:b/>
          <w:bCs/>
        </w:rPr>
        <w:t>Gabriel Oswaldo Contreras Saldívar</w:t>
      </w:r>
    </w:p>
    <w:p w14:paraId="59841565" w14:textId="77777777" w:rsidR="0095038B" w:rsidRPr="00CB43C6" w:rsidRDefault="0095038B" w:rsidP="0095038B">
      <w:pPr>
        <w:spacing w:after="0" w:line="240" w:lineRule="auto"/>
        <w:jc w:val="center"/>
        <w:rPr>
          <w:rFonts w:ascii="ITC Avant Garde" w:hAnsi="ITC Avant Garde" w:cs="Arial"/>
          <w:b/>
          <w:bCs/>
        </w:rPr>
      </w:pPr>
      <w:r w:rsidRPr="00CB43C6">
        <w:rPr>
          <w:rFonts w:ascii="ITC Avant Garde" w:hAnsi="ITC Avant Garde" w:cs="Arial"/>
          <w:b/>
          <w:bCs/>
        </w:rPr>
        <w:t>Comisionado Presidente</w:t>
      </w:r>
    </w:p>
    <w:p w14:paraId="3B359F7B" w14:textId="77777777" w:rsidR="0095038B" w:rsidRPr="00CB43C6" w:rsidRDefault="0095038B" w:rsidP="0095038B">
      <w:pPr>
        <w:spacing w:after="0" w:line="240" w:lineRule="auto"/>
        <w:jc w:val="center"/>
        <w:rPr>
          <w:rFonts w:ascii="ITC Avant Garde" w:hAnsi="ITC Avant Garde" w:cs="Arial"/>
          <w:b/>
          <w:bCs/>
        </w:rPr>
      </w:pPr>
    </w:p>
    <w:p w14:paraId="1333F8B8" w14:textId="77777777" w:rsidR="0095038B" w:rsidRPr="00CB43C6" w:rsidRDefault="0095038B" w:rsidP="0095038B">
      <w:pPr>
        <w:spacing w:after="0" w:line="240" w:lineRule="auto"/>
        <w:jc w:val="center"/>
        <w:rPr>
          <w:rFonts w:ascii="ITC Avant Garde" w:hAnsi="ITC Avant Garde" w:cs="Arial"/>
          <w:b/>
          <w:bCs/>
        </w:rPr>
      </w:pPr>
    </w:p>
    <w:p w14:paraId="4BD965D0" w14:textId="77777777" w:rsidR="0095038B" w:rsidRPr="00CB43C6" w:rsidRDefault="0095038B" w:rsidP="0095038B">
      <w:pPr>
        <w:spacing w:after="0" w:line="240" w:lineRule="auto"/>
        <w:jc w:val="center"/>
        <w:rPr>
          <w:rFonts w:ascii="ITC Avant Garde" w:hAnsi="ITC Avant Garde" w:cs="Arial"/>
          <w:b/>
          <w:bCs/>
        </w:rPr>
      </w:pPr>
    </w:p>
    <w:p w14:paraId="6E23B487" w14:textId="77777777" w:rsidR="0095038B" w:rsidRPr="00CB43C6" w:rsidRDefault="0095038B" w:rsidP="0095038B">
      <w:pPr>
        <w:spacing w:after="0" w:line="240" w:lineRule="auto"/>
        <w:jc w:val="center"/>
        <w:rPr>
          <w:rFonts w:ascii="ITC Avant Garde" w:hAnsi="ITC Avant Garde" w:cs="Arial"/>
          <w:b/>
          <w:bCs/>
        </w:rPr>
      </w:pPr>
    </w:p>
    <w:tbl>
      <w:tblPr>
        <w:tblW w:w="4849" w:type="pct"/>
        <w:jc w:val="center"/>
        <w:tblCellMar>
          <w:left w:w="70" w:type="dxa"/>
          <w:right w:w="70" w:type="dxa"/>
        </w:tblCellMar>
        <w:tblLook w:val="04A0" w:firstRow="1" w:lastRow="0" w:firstColumn="1" w:lastColumn="0" w:noHBand="0" w:noVBand="1"/>
      </w:tblPr>
      <w:tblGrid>
        <w:gridCol w:w="4305"/>
        <w:gridCol w:w="744"/>
        <w:gridCol w:w="4023"/>
      </w:tblGrid>
      <w:tr w:rsidR="0095038B" w:rsidRPr="00CB43C6" w14:paraId="3F9FFDED" w14:textId="77777777" w:rsidTr="0035667A">
        <w:trPr>
          <w:trHeight w:val="1539"/>
          <w:jc w:val="center"/>
        </w:trPr>
        <w:tc>
          <w:tcPr>
            <w:tcW w:w="2373" w:type="pct"/>
            <w:hideMark/>
          </w:tcPr>
          <w:p w14:paraId="6AD18252" w14:textId="77777777" w:rsidR="0095038B" w:rsidRPr="00CB43C6" w:rsidRDefault="0095038B" w:rsidP="0095038B">
            <w:pPr>
              <w:spacing w:after="0" w:line="240" w:lineRule="auto"/>
              <w:jc w:val="center"/>
              <w:rPr>
                <w:rFonts w:ascii="ITC Avant Garde" w:hAnsi="ITC Avant Garde" w:cs="Arial"/>
                <w:b/>
                <w:bCs/>
              </w:rPr>
            </w:pPr>
            <w:r w:rsidRPr="00CB43C6">
              <w:rPr>
                <w:rFonts w:ascii="ITC Avant Garde" w:hAnsi="ITC Avant Garde" w:cs="Arial"/>
                <w:b/>
                <w:bCs/>
              </w:rPr>
              <w:t>Ernesto Estrada González</w:t>
            </w:r>
          </w:p>
          <w:p w14:paraId="0281778F" w14:textId="77777777" w:rsidR="0095038B" w:rsidRPr="00CB43C6" w:rsidRDefault="0095038B" w:rsidP="0095038B">
            <w:pPr>
              <w:spacing w:after="0" w:line="240" w:lineRule="auto"/>
              <w:jc w:val="center"/>
              <w:rPr>
                <w:rFonts w:ascii="ITC Avant Garde" w:hAnsi="ITC Avant Garde" w:cs="Arial"/>
                <w:b/>
                <w:bCs/>
              </w:rPr>
            </w:pPr>
            <w:r w:rsidRPr="00CB43C6">
              <w:rPr>
                <w:rFonts w:ascii="ITC Avant Garde" w:hAnsi="ITC Avant Garde" w:cs="Arial"/>
                <w:b/>
                <w:bCs/>
              </w:rPr>
              <w:t>Comisionado</w:t>
            </w:r>
          </w:p>
        </w:tc>
        <w:tc>
          <w:tcPr>
            <w:tcW w:w="410" w:type="pct"/>
          </w:tcPr>
          <w:p w14:paraId="3BD44E7D" w14:textId="77777777" w:rsidR="0095038B" w:rsidRPr="00CB43C6" w:rsidRDefault="0095038B" w:rsidP="0095038B">
            <w:pPr>
              <w:spacing w:before="200" w:after="0" w:line="240" w:lineRule="auto"/>
              <w:jc w:val="center"/>
              <w:rPr>
                <w:rFonts w:ascii="ITC Avant Garde" w:hAnsi="ITC Avant Garde" w:cs="Arial"/>
                <w:b/>
                <w:bCs/>
              </w:rPr>
            </w:pPr>
          </w:p>
        </w:tc>
        <w:tc>
          <w:tcPr>
            <w:tcW w:w="2217" w:type="pct"/>
          </w:tcPr>
          <w:p w14:paraId="5AD3EB53" w14:textId="77777777" w:rsidR="0095038B" w:rsidRPr="00CB43C6" w:rsidRDefault="0095038B" w:rsidP="0095038B">
            <w:pPr>
              <w:spacing w:after="0" w:line="240" w:lineRule="auto"/>
              <w:jc w:val="center"/>
              <w:rPr>
                <w:rFonts w:ascii="ITC Avant Garde" w:hAnsi="ITC Avant Garde" w:cs="Arial"/>
                <w:b/>
                <w:bCs/>
              </w:rPr>
            </w:pPr>
            <w:r w:rsidRPr="00CB43C6">
              <w:rPr>
                <w:rFonts w:ascii="ITC Avant Garde" w:hAnsi="ITC Avant Garde" w:cs="Arial"/>
                <w:b/>
                <w:bCs/>
              </w:rPr>
              <w:t>Adriana Sofía Labardini Inzunza</w:t>
            </w:r>
          </w:p>
          <w:p w14:paraId="0EF7BECC" w14:textId="77777777" w:rsidR="0095038B" w:rsidRPr="00CB43C6" w:rsidRDefault="0095038B" w:rsidP="0095038B">
            <w:pPr>
              <w:spacing w:after="0" w:line="240" w:lineRule="auto"/>
              <w:jc w:val="center"/>
              <w:rPr>
                <w:rFonts w:ascii="ITC Avant Garde" w:hAnsi="ITC Avant Garde" w:cs="Arial"/>
                <w:b/>
                <w:bCs/>
              </w:rPr>
            </w:pPr>
            <w:r w:rsidRPr="00CB43C6">
              <w:rPr>
                <w:rFonts w:ascii="ITC Avant Garde" w:hAnsi="ITC Avant Garde" w:cs="Arial"/>
                <w:b/>
                <w:bCs/>
              </w:rPr>
              <w:t>Comisionada</w:t>
            </w:r>
          </w:p>
          <w:p w14:paraId="515F6450" w14:textId="77777777" w:rsidR="0095038B" w:rsidRPr="00CB43C6" w:rsidRDefault="0095038B" w:rsidP="0095038B">
            <w:pPr>
              <w:spacing w:after="0" w:line="240" w:lineRule="auto"/>
              <w:jc w:val="center"/>
              <w:rPr>
                <w:rFonts w:ascii="ITC Avant Garde" w:hAnsi="ITC Avant Garde" w:cs="Arial"/>
                <w:b/>
                <w:bCs/>
              </w:rPr>
            </w:pPr>
          </w:p>
          <w:p w14:paraId="5398207C" w14:textId="77777777" w:rsidR="0095038B" w:rsidRPr="00CB43C6" w:rsidRDefault="0095038B" w:rsidP="0095038B">
            <w:pPr>
              <w:spacing w:after="0" w:line="240" w:lineRule="auto"/>
              <w:jc w:val="center"/>
              <w:rPr>
                <w:rFonts w:ascii="ITC Avant Garde" w:hAnsi="ITC Avant Garde" w:cs="Arial"/>
                <w:b/>
                <w:bCs/>
              </w:rPr>
            </w:pPr>
          </w:p>
          <w:p w14:paraId="0E232392" w14:textId="77777777" w:rsidR="0095038B" w:rsidRPr="00CB43C6" w:rsidRDefault="0095038B" w:rsidP="0095038B">
            <w:pPr>
              <w:spacing w:after="0" w:line="240" w:lineRule="auto"/>
              <w:jc w:val="center"/>
              <w:rPr>
                <w:rFonts w:ascii="ITC Avant Garde" w:hAnsi="ITC Avant Garde" w:cs="Arial"/>
                <w:b/>
                <w:bCs/>
              </w:rPr>
            </w:pPr>
          </w:p>
          <w:p w14:paraId="75184871" w14:textId="77777777" w:rsidR="0095038B" w:rsidRPr="00CB43C6" w:rsidRDefault="0095038B" w:rsidP="0095038B">
            <w:pPr>
              <w:spacing w:after="0" w:line="240" w:lineRule="auto"/>
              <w:jc w:val="center"/>
              <w:rPr>
                <w:rFonts w:ascii="ITC Avant Garde" w:hAnsi="ITC Avant Garde" w:cs="Arial"/>
                <w:b/>
                <w:bCs/>
              </w:rPr>
            </w:pPr>
          </w:p>
        </w:tc>
      </w:tr>
      <w:tr w:rsidR="0095038B" w:rsidRPr="00CB43C6" w14:paraId="208C0F7E" w14:textId="77777777" w:rsidTr="0035667A">
        <w:trPr>
          <w:trHeight w:val="1445"/>
          <w:jc w:val="center"/>
        </w:trPr>
        <w:tc>
          <w:tcPr>
            <w:tcW w:w="2373" w:type="pct"/>
            <w:hideMark/>
          </w:tcPr>
          <w:p w14:paraId="77DD5612" w14:textId="77777777" w:rsidR="0095038B" w:rsidRPr="00CB43C6" w:rsidRDefault="0095038B" w:rsidP="0095038B">
            <w:pPr>
              <w:spacing w:after="0" w:line="240" w:lineRule="auto"/>
              <w:jc w:val="center"/>
              <w:rPr>
                <w:rFonts w:ascii="ITC Avant Garde" w:hAnsi="ITC Avant Garde" w:cs="Arial"/>
                <w:b/>
                <w:bCs/>
              </w:rPr>
            </w:pPr>
            <w:r w:rsidRPr="00CB43C6">
              <w:rPr>
                <w:rFonts w:ascii="ITC Avant Garde" w:hAnsi="ITC Avant Garde" w:cs="Arial"/>
                <w:b/>
                <w:bCs/>
              </w:rPr>
              <w:t>María Elena Estavillo Flores</w:t>
            </w:r>
          </w:p>
          <w:p w14:paraId="013BDCBD" w14:textId="77777777" w:rsidR="0095038B" w:rsidRPr="00CB43C6" w:rsidRDefault="0095038B" w:rsidP="0095038B">
            <w:pPr>
              <w:spacing w:after="0" w:line="240" w:lineRule="auto"/>
              <w:jc w:val="center"/>
              <w:rPr>
                <w:rFonts w:ascii="ITC Avant Garde" w:hAnsi="ITC Avant Garde" w:cs="Arial"/>
                <w:b/>
                <w:bCs/>
              </w:rPr>
            </w:pPr>
            <w:r w:rsidRPr="00CB43C6">
              <w:rPr>
                <w:rFonts w:ascii="ITC Avant Garde" w:hAnsi="ITC Avant Garde" w:cs="Arial"/>
                <w:b/>
                <w:bCs/>
              </w:rPr>
              <w:t>Comisionada</w:t>
            </w:r>
          </w:p>
          <w:p w14:paraId="708FFD39" w14:textId="77777777" w:rsidR="0095038B" w:rsidRPr="00CB43C6" w:rsidRDefault="0095038B" w:rsidP="0095038B">
            <w:pPr>
              <w:spacing w:after="0" w:line="240" w:lineRule="auto"/>
              <w:jc w:val="center"/>
              <w:rPr>
                <w:rFonts w:ascii="ITC Avant Garde" w:hAnsi="ITC Avant Garde" w:cs="Arial"/>
                <w:b/>
                <w:bCs/>
              </w:rPr>
            </w:pPr>
          </w:p>
          <w:p w14:paraId="5EF2673F" w14:textId="77777777" w:rsidR="0095038B" w:rsidRPr="00CB43C6" w:rsidRDefault="0095038B" w:rsidP="0095038B">
            <w:pPr>
              <w:spacing w:after="0" w:line="240" w:lineRule="auto"/>
              <w:jc w:val="center"/>
              <w:rPr>
                <w:rFonts w:ascii="ITC Avant Garde" w:hAnsi="ITC Avant Garde" w:cs="Arial"/>
                <w:b/>
                <w:bCs/>
              </w:rPr>
            </w:pPr>
          </w:p>
          <w:p w14:paraId="146FC4B7" w14:textId="77777777" w:rsidR="0095038B" w:rsidRPr="00CB43C6" w:rsidRDefault="0095038B" w:rsidP="0095038B">
            <w:pPr>
              <w:spacing w:after="0" w:line="240" w:lineRule="auto"/>
              <w:jc w:val="center"/>
              <w:rPr>
                <w:rFonts w:ascii="ITC Avant Garde" w:hAnsi="ITC Avant Garde" w:cs="Arial"/>
                <w:b/>
                <w:bCs/>
              </w:rPr>
            </w:pPr>
          </w:p>
          <w:p w14:paraId="1EDA5861" w14:textId="77777777" w:rsidR="0095038B" w:rsidRPr="00CB43C6" w:rsidRDefault="0095038B" w:rsidP="0095038B">
            <w:pPr>
              <w:spacing w:after="0" w:line="240" w:lineRule="auto"/>
              <w:jc w:val="center"/>
              <w:rPr>
                <w:rFonts w:ascii="ITC Avant Garde" w:hAnsi="ITC Avant Garde" w:cs="Arial"/>
                <w:b/>
                <w:bCs/>
              </w:rPr>
            </w:pPr>
          </w:p>
        </w:tc>
        <w:tc>
          <w:tcPr>
            <w:tcW w:w="410" w:type="pct"/>
          </w:tcPr>
          <w:p w14:paraId="397D480C" w14:textId="77777777" w:rsidR="0095038B" w:rsidRPr="00CB43C6" w:rsidRDefault="0095038B" w:rsidP="0095038B">
            <w:pPr>
              <w:spacing w:before="200" w:after="0" w:line="240" w:lineRule="auto"/>
              <w:jc w:val="center"/>
              <w:rPr>
                <w:rFonts w:ascii="ITC Avant Garde" w:hAnsi="ITC Avant Garde" w:cs="Arial"/>
                <w:b/>
                <w:bCs/>
              </w:rPr>
            </w:pPr>
          </w:p>
        </w:tc>
        <w:tc>
          <w:tcPr>
            <w:tcW w:w="2217" w:type="pct"/>
          </w:tcPr>
          <w:p w14:paraId="1641C0CA" w14:textId="77777777" w:rsidR="0095038B" w:rsidRPr="00CB43C6" w:rsidRDefault="0095038B" w:rsidP="0095038B">
            <w:pPr>
              <w:spacing w:after="0" w:line="240" w:lineRule="auto"/>
              <w:jc w:val="center"/>
              <w:rPr>
                <w:rFonts w:ascii="ITC Avant Garde" w:hAnsi="ITC Avant Garde" w:cs="Arial"/>
                <w:b/>
                <w:bCs/>
              </w:rPr>
            </w:pPr>
            <w:r w:rsidRPr="00CB43C6">
              <w:rPr>
                <w:rFonts w:ascii="ITC Avant Garde" w:hAnsi="ITC Avant Garde" w:cs="Arial"/>
                <w:b/>
                <w:bCs/>
              </w:rPr>
              <w:t>Mario Germán Fromow Rangel</w:t>
            </w:r>
          </w:p>
          <w:p w14:paraId="738DC358" w14:textId="77777777" w:rsidR="0095038B" w:rsidRPr="00CB43C6" w:rsidRDefault="0095038B" w:rsidP="0095038B">
            <w:pPr>
              <w:spacing w:after="0" w:line="240" w:lineRule="auto"/>
              <w:jc w:val="center"/>
              <w:rPr>
                <w:rFonts w:ascii="ITC Avant Garde" w:hAnsi="ITC Avant Garde" w:cs="Arial"/>
                <w:b/>
                <w:bCs/>
              </w:rPr>
            </w:pPr>
            <w:r w:rsidRPr="00CB43C6">
              <w:rPr>
                <w:rFonts w:ascii="ITC Avant Garde" w:hAnsi="ITC Avant Garde" w:cs="Arial"/>
                <w:b/>
                <w:bCs/>
              </w:rPr>
              <w:t>Comisionado</w:t>
            </w:r>
          </w:p>
        </w:tc>
      </w:tr>
      <w:tr w:rsidR="0095038B" w:rsidRPr="00CB43C6" w14:paraId="226B59C0" w14:textId="77777777" w:rsidTr="0035667A">
        <w:trPr>
          <w:trHeight w:val="470"/>
          <w:jc w:val="center"/>
        </w:trPr>
        <w:tc>
          <w:tcPr>
            <w:tcW w:w="5000" w:type="pct"/>
            <w:gridSpan w:val="3"/>
            <w:hideMark/>
          </w:tcPr>
          <w:p w14:paraId="383B0674" w14:textId="77777777" w:rsidR="0095038B" w:rsidRPr="00CB43C6" w:rsidRDefault="0095038B" w:rsidP="0095038B">
            <w:pPr>
              <w:spacing w:after="0"/>
              <w:jc w:val="center"/>
              <w:rPr>
                <w:rFonts w:ascii="ITC Avant Garde" w:hAnsi="ITC Avant Garde" w:cs="Arial"/>
                <w:b/>
                <w:bCs/>
              </w:rPr>
            </w:pPr>
            <w:r w:rsidRPr="00CB43C6">
              <w:rPr>
                <w:rFonts w:ascii="ITC Avant Garde" w:hAnsi="ITC Avant Garde" w:cs="Arial"/>
                <w:b/>
                <w:bCs/>
              </w:rPr>
              <w:t>Adolfo Cuevas Teja</w:t>
            </w:r>
          </w:p>
          <w:p w14:paraId="4B735406" w14:textId="77777777" w:rsidR="0095038B" w:rsidRPr="00CB43C6" w:rsidRDefault="0095038B" w:rsidP="0095038B">
            <w:pPr>
              <w:spacing w:after="0"/>
              <w:jc w:val="center"/>
              <w:rPr>
                <w:rFonts w:ascii="ITC Avant Garde" w:hAnsi="ITC Avant Garde" w:cs="Arial"/>
                <w:b/>
                <w:bCs/>
              </w:rPr>
            </w:pPr>
            <w:r w:rsidRPr="00CB43C6">
              <w:rPr>
                <w:rFonts w:ascii="ITC Avant Garde" w:hAnsi="ITC Avant Garde" w:cs="Arial"/>
                <w:b/>
                <w:bCs/>
              </w:rPr>
              <w:t>Comisionado</w:t>
            </w:r>
          </w:p>
        </w:tc>
      </w:tr>
    </w:tbl>
    <w:p w14:paraId="00617573" w14:textId="77777777" w:rsidR="008B115B" w:rsidRDefault="008B115B" w:rsidP="008B115B">
      <w:pPr>
        <w:pStyle w:val="Sinespaciado"/>
        <w:jc w:val="both"/>
        <w:rPr>
          <w:rFonts w:ascii="ITC Avant Garde" w:hAnsi="ITC Avant Garde"/>
          <w:sz w:val="12"/>
        </w:rPr>
      </w:pPr>
    </w:p>
    <w:p w14:paraId="76F54840" w14:textId="77777777" w:rsidR="008B115B" w:rsidRPr="008B115B" w:rsidRDefault="008B115B" w:rsidP="008B115B">
      <w:pPr>
        <w:pStyle w:val="Sinespaciado"/>
        <w:jc w:val="both"/>
        <w:rPr>
          <w:rFonts w:ascii="ITC Avant Garde" w:hAnsi="ITC Avant Garde"/>
          <w:sz w:val="12"/>
        </w:rPr>
      </w:pPr>
      <w:r w:rsidRPr="008B115B">
        <w:rPr>
          <w:rFonts w:ascii="ITC Avant Garde" w:hAnsi="ITC Avant Garde"/>
          <w:sz w:val="12"/>
        </w:rPr>
        <w:t>La presente Resolución fue aprobada por el Pleno del Instituto Federal de Telecomunicaciones en su X Sesión Extraordinaria celebrada el 17 de junio de 2016, por unanimidad de votos de los Comisionados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P/IFT/EXT/170616/17.</w:t>
      </w:r>
    </w:p>
    <w:p w14:paraId="3AE1BDA8" w14:textId="77777777" w:rsidR="008B115B" w:rsidRPr="008B115B" w:rsidRDefault="008B115B" w:rsidP="008B115B">
      <w:pPr>
        <w:pStyle w:val="Normal1"/>
        <w:spacing w:after="0" w:line="240" w:lineRule="auto"/>
        <w:ind w:right="38"/>
        <w:jc w:val="both"/>
        <w:rPr>
          <w:rFonts w:ascii="ITC Avant Garde" w:hAnsi="ITC Avant Garde"/>
          <w:b/>
          <w:bCs/>
          <w:sz w:val="12"/>
        </w:rPr>
      </w:pPr>
    </w:p>
    <w:p w14:paraId="7F4F43C1" w14:textId="35E37DE4" w:rsidR="00B86E26" w:rsidRPr="0095038B" w:rsidRDefault="008B115B" w:rsidP="008B115B">
      <w:pPr>
        <w:pStyle w:val="Sinespaciado"/>
        <w:jc w:val="both"/>
        <w:rPr>
          <w:rFonts w:ascii="ITC Avant Garde" w:eastAsia="Arial" w:hAnsi="ITC Avant Garde" w:cs="Arial"/>
          <w:lang w:val="es-ES_tradnl"/>
        </w:rPr>
      </w:pPr>
      <w:r w:rsidRPr="008B115B">
        <w:rPr>
          <w:rFonts w:ascii="ITC Avant Garde" w:hAnsi="ITC Avant Garde"/>
          <w:sz w:val="12"/>
        </w:rPr>
        <w:t>El Comisionado Ernesto Estrada González,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bookmarkStart w:id="0" w:name="_GoBack"/>
      <w:bookmarkEnd w:id="0"/>
    </w:p>
    <w:sectPr w:rsidR="00B86E26" w:rsidRPr="0095038B" w:rsidSect="0095038B">
      <w:footerReference w:type="default" r:id="rId8"/>
      <w:pgSz w:w="12240" w:h="15840"/>
      <w:pgMar w:top="2127" w:right="1467" w:bottom="1135" w:left="1418" w:header="708"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5F47F" w14:textId="77777777" w:rsidR="00CE1B79" w:rsidRDefault="00CE1B79" w:rsidP="00153D6A">
      <w:pPr>
        <w:spacing w:after="0" w:line="240" w:lineRule="auto"/>
      </w:pPr>
      <w:r>
        <w:separator/>
      </w:r>
    </w:p>
  </w:endnote>
  <w:endnote w:type="continuationSeparator" w:id="0">
    <w:p w14:paraId="2EF9999B" w14:textId="77777777" w:rsidR="00CE1B79" w:rsidRDefault="00CE1B79" w:rsidP="0015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684098"/>
      <w:docPartObj>
        <w:docPartGallery w:val="Page Numbers (Bottom of Page)"/>
        <w:docPartUnique/>
      </w:docPartObj>
    </w:sdtPr>
    <w:sdtEndPr>
      <w:rPr>
        <w:rFonts w:ascii="ITC Avant Garde" w:hAnsi="ITC Avant Garde"/>
        <w:sz w:val="20"/>
        <w:szCs w:val="20"/>
      </w:rPr>
    </w:sdtEndPr>
    <w:sdtContent>
      <w:p w14:paraId="1693CBCE" w14:textId="416D6E9A" w:rsidR="0095038B" w:rsidRPr="0095038B" w:rsidRDefault="0095038B">
        <w:pPr>
          <w:pStyle w:val="Piedepgina"/>
          <w:jc w:val="right"/>
          <w:rPr>
            <w:rFonts w:ascii="ITC Avant Garde" w:hAnsi="ITC Avant Garde"/>
            <w:sz w:val="20"/>
            <w:szCs w:val="20"/>
          </w:rPr>
        </w:pPr>
        <w:r w:rsidRPr="0095038B">
          <w:rPr>
            <w:rFonts w:ascii="ITC Avant Garde" w:hAnsi="ITC Avant Garde"/>
            <w:sz w:val="20"/>
            <w:szCs w:val="20"/>
          </w:rPr>
          <w:fldChar w:fldCharType="begin"/>
        </w:r>
        <w:r w:rsidRPr="0095038B">
          <w:rPr>
            <w:rFonts w:ascii="ITC Avant Garde" w:hAnsi="ITC Avant Garde"/>
            <w:sz w:val="20"/>
            <w:szCs w:val="20"/>
          </w:rPr>
          <w:instrText>PAGE   \* MERGEFORMAT</w:instrText>
        </w:r>
        <w:r w:rsidRPr="0095038B">
          <w:rPr>
            <w:rFonts w:ascii="ITC Avant Garde" w:hAnsi="ITC Avant Garde"/>
            <w:sz w:val="20"/>
            <w:szCs w:val="20"/>
          </w:rPr>
          <w:fldChar w:fldCharType="separate"/>
        </w:r>
        <w:r w:rsidR="008B115B" w:rsidRPr="008B115B">
          <w:rPr>
            <w:rFonts w:ascii="ITC Avant Garde" w:hAnsi="ITC Avant Garde"/>
            <w:noProof/>
            <w:sz w:val="20"/>
            <w:szCs w:val="20"/>
            <w:lang w:val="es-ES"/>
          </w:rPr>
          <w:t>4</w:t>
        </w:r>
        <w:r w:rsidRPr="0095038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22E39" w14:textId="77777777" w:rsidR="00CE1B79" w:rsidRDefault="00CE1B79" w:rsidP="00153D6A">
      <w:pPr>
        <w:spacing w:after="0" w:line="240" w:lineRule="auto"/>
      </w:pPr>
      <w:r>
        <w:separator/>
      </w:r>
    </w:p>
  </w:footnote>
  <w:footnote w:type="continuationSeparator" w:id="0">
    <w:p w14:paraId="57D82EE6" w14:textId="77777777" w:rsidR="00CE1B79" w:rsidRDefault="00CE1B79" w:rsidP="00153D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52A9"/>
    <w:multiLevelType w:val="hybridMultilevel"/>
    <w:tmpl w:val="E09EC47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634E63"/>
    <w:multiLevelType w:val="hybridMultilevel"/>
    <w:tmpl w:val="DC44C88E"/>
    <w:lvl w:ilvl="0" w:tplc="377606B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D0528E5"/>
    <w:multiLevelType w:val="hybridMultilevel"/>
    <w:tmpl w:val="13D676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B81C73"/>
    <w:multiLevelType w:val="hybridMultilevel"/>
    <w:tmpl w:val="573AAB34"/>
    <w:lvl w:ilvl="0" w:tplc="5FDACB0C">
      <w:start w:val="1"/>
      <w:numFmt w:val="lowerRoman"/>
      <w:lvlText w:val="(%1)"/>
      <w:lvlJc w:val="left"/>
      <w:pPr>
        <w:ind w:left="1004" w:hanging="360"/>
      </w:pPr>
      <w:rPr>
        <w:rFonts w:hint="default"/>
      </w:rPr>
    </w:lvl>
    <w:lvl w:ilvl="1" w:tplc="5FDACB0C">
      <w:start w:val="1"/>
      <w:numFmt w:val="lowerRoman"/>
      <w:lvlText w:val="(%2)"/>
      <w:lvlJc w:val="left"/>
      <w:pPr>
        <w:ind w:left="1724" w:hanging="360"/>
      </w:pPr>
      <w:rPr>
        <w:rFonts w:hint="default"/>
      </w:r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16FF6CDB"/>
    <w:multiLevelType w:val="hybridMultilevel"/>
    <w:tmpl w:val="B97EB52E"/>
    <w:lvl w:ilvl="0" w:tplc="93B87D7E">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1CFA5FC8"/>
    <w:multiLevelType w:val="hybridMultilevel"/>
    <w:tmpl w:val="92429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611931"/>
    <w:multiLevelType w:val="hybridMultilevel"/>
    <w:tmpl w:val="406A8FD6"/>
    <w:lvl w:ilvl="0" w:tplc="5FDACB0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B74210"/>
    <w:multiLevelType w:val="hybridMultilevel"/>
    <w:tmpl w:val="17D6ED7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F82080"/>
    <w:multiLevelType w:val="hybridMultilevel"/>
    <w:tmpl w:val="531254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76202"/>
    <w:multiLevelType w:val="hybridMultilevel"/>
    <w:tmpl w:val="838E54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B66F65"/>
    <w:multiLevelType w:val="hybridMultilevel"/>
    <w:tmpl w:val="2C68F824"/>
    <w:lvl w:ilvl="0" w:tplc="C0C613B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A670B9"/>
    <w:multiLevelType w:val="hybridMultilevel"/>
    <w:tmpl w:val="73C48554"/>
    <w:lvl w:ilvl="0" w:tplc="5FDACB0C">
      <w:start w:val="1"/>
      <w:numFmt w:val="lowerRoman"/>
      <w:lvlText w:val="(%1)"/>
      <w:lvlJc w:val="left"/>
      <w:pPr>
        <w:ind w:left="1004" w:hanging="360"/>
      </w:pPr>
      <w:rPr>
        <w:rFonts w:hint="default"/>
      </w:r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2" w15:restartNumberingAfterBreak="0">
    <w:nsid w:val="3E94727C"/>
    <w:multiLevelType w:val="hybridMultilevel"/>
    <w:tmpl w:val="82F6A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4A74CE"/>
    <w:multiLevelType w:val="hybridMultilevel"/>
    <w:tmpl w:val="CBDEBD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D02179"/>
    <w:multiLevelType w:val="hybridMultilevel"/>
    <w:tmpl w:val="B1E8B34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CB3CC3"/>
    <w:multiLevelType w:val="hybridMultilevel"/>
    <w:tmpl w:val="AE347D32"/>
    <w:lvl w:ilvl="0" w:tplc="5FDACB0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1B6B84"/>
    <w:multiLevelType w:val="hybridMultilevel"/>
    <w:tmpl w:val="F2AC4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197EB6"/>
    <w:multiLevelType w:val="hybridMultilevel"/>
    <w:tmpl w:val="E55804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E26D42"/>
    <w:multiLevelType w:val="hybridMultilevel"/>
    <w:tmpl w:val="EC3E9F0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334AFA"/>
    <w:multiLevelType w:val="hybridMultilevel"/>
    <w:tmpl w:val="6888AA64"/>
    <w:lvl w:ilvl="0" w:tplc="080A0019">
      <w:start w:val="1"/>
      <w:numFmt w:val="lowerLetter"/>
      <w:lvlText w:val="%1."/>
      <w:lvlJc w:val="left"/>
      <w:pPr>
        <w:ind w:left="720" w:hanging="360"/>
      </w:pPr>
    </w:lvl>
    <w:lvl w:ilvl="1" w:tplc="531CCE02">
      <w:start w:val="1"/>
      <w:numFmt w:val="lowerRoman"/>
      <w:lvlText w:val="(%2)"/>
      <w:lvlJc w:val="left"/>
      <w:pPr>
        <w:ind w:left="1800" w:hanging="720"/>
      </w:pPr>
      <w:rPr>
        <w:rFonts w:cs="Arial,Bold"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325C66"/>
    <w:multiLevelType w:val="hybridMultilevel"/>
    <w:tmpl w:val="C7243D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AA3A2E"/>
    <w:multiLevelType w:val="multilevel"/>
    <w:tmpl w:val="4EB290F2"/>
    <w:lvl w:ilvl="0">
      <w:start w:val="1"/>
      <w:numFmt w:val="upperRoman"/>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75C00E5E"/>
    <w:multiLevelType w:val="hybridMultilevel"/>
    <w:tmpl w:val="E27AE2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
  </w:num>
  <w:num w:numId="3">
    <w:abstractNumId w:val="21"/>
  </w:num>
  <w:num w:numId="4">
    <w:abstractNumId w:val="16"/>
  </w:num>
  <w:num w:numId="5">
    <w:abstractNumId w:val="13"/>
  </w:num>
  <w:num w:numId="6">
    <w:abstractNumId w:val="17"/>
  </w:num>
  <w:num w:numId="7">
    <w:abstractNumId w:val="5"/>
  </w:num>
  <w:num w:numId="8">
    <w:abstractNumId w:val="4"/>
  </w:num>
  <w:num w:numId="9">
    <w:abstractNumId w:val="20"/>
  </w:num>
  <w:num w:numId="10">
    <w:abstractNumId w:val="19"/>
  </w:num>
  <w:num w:numId="11">
    <w:abstractNumId w:val="8"/>
  </w:num>
  <w:num w:numId="12">
    <w:abstractNumId w:val="11"/>
  </w:num>
  <w:num w:numId="13">
    <w:abstractNumId w:val="3"/>
  </w:num>
  <w:num w:numId="14">
    <w:abstractNumId w:val="0"/>
  </w:num>
  <w:num w:numId="15">
    <w:abstractNumId w:val="6"/>
  </w:num>
  <w:num w:numId="16">
    <w:abstractNumId w:val="10"/>
  </w:num>
  <w:num w:numId="17">
    <w:abstractNumId w:val="18"/>
  </w:num>
  <w:num w:numId="18">
    <w:abstractNumId w:val="15"/>
  </w:num>
  <w:num w:numId="19">
    <w:abstractNumId w:val="7"/>
  </w:num>
  <w:num w:numId="20">
    <w:abstractNumId w:val="1"/>
  </w:num>
  <w:num w:numId="21">
    <w:abstractNumId w:val="22"/>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A0"/>
    <w:rsid w:val="000065B4"/>
    <w:rsid w:val="00013CEF"/>
    <w:rsid w:val="000175F1"/>
    <w:rsid w:val="000228EC"/>
    <w:rsid w:val="00025A14"/>
    <w:rsid w:val="0002782D"/>
    <w:rsid w:val="00033842"/>
    <w:rsid w:val="00051250"/>
    <w:rsid w:val="00053C6D"/>
    <w:rsid w:val="000571C3"/>
    <w:rsid w:val="00073A1E"/>
    <w:rsid w:val="00082B70"/>
    <w:rsid w:val="000948CA"/>
    <w:rsid w:val="00096753"/>
    <w:rsid w:val="000C3C5D"/>
    <w:rsid w:val="000D6BF8"/>
    <w:rsid w:val="000E5CA8"/>
    <w:rsid w:val="000F5A8E"/>
    <w:rsid w:val="001075FF"/>
    <w:rsid w:val="00107AE9"/>
    <w:rsid w:val="00107B28"/>
    <w:rsid w:val="00150ACB"/>
    <w:rsid w:val="00153D6A"/>
    <w:rsid w:val="00154662"/>
    <w:rsid w:val="00155B2D"/>
    <w:rsid w:val="00167AC0"/>
    <w:rsid w:val="00174FB7"/>
    <w:rsid w:val="00176141"/>
    <w:rsid w:val="00176ECE"/>
    <w:rsid w:val="001901E2"/>
    <w:rsid w:val="001B20E7"/>
    <w:rsid w:val="001B660C"/>
    <w:rsid w:val="001B67EC"/>
    <w:rsid w:val="001C586A"/>
    <w:rsid w:val="001C67E8"/>
    <w:rsid w:val="001D321B"/>
    <w:rsid w:val="001D6E3A"/>
    <w:rsid w:val="001E18DD"/>
    <w:rsid w:val="001F2D0B"/>
    <w:rsid w:val="001F3E3E"/>
    <w:rsid w:val="0020212B"/>
    <w:rsid w:val="00212FBA"/>
    <w:rsid w:val="00217758"/>
    <w:rsid w:val="0022351C"/>
    <w:rsid w:val="00234FCD"/>
    <w:rsid w:val="002372E6"/>
    <w:rsid w:val="002373F8"/>
    <w:rsid w:val="0024195D"/>
    <w:rsid w:val="0025606F"/>
    <w:rsid w:val="002734A4"/>
    <w:rsid w:val="0029362C"/>
    <w:rsid w:val="00295AF6"/>
    <w:rsid w:val="002A70E0"/>
    <w:rsid w:val="002E1040"/>
    <w:rsid w:val="002E7CB1"/>
    <w:rsid w:val="002F1F06"/>
    <w:rsid w:val="002F3220"/>
    <w:rsid w:val="003021B6"/>
    <w:rsid w:val="0030269E"/>
    <w:rsid w:val="00324A71"/>
    <w:rsid w:val="00331626"/>
    <w:rsid w:val="0033320E"/>
    <w:rsid w:val="00342949"/>
    <w:rsid w:val="00344962"/>
    <w:rsid w:val="00372608"/>
    <w:rsid w:val="00373FB8"/>
    <w:rsid w:val="003B4DE9"/>
    <w:rsid w:val="003C5CCF"/>
    <w:rsid w:val="003D2991"/>
    <w:rsid w:val="003D7560"/>
    <w:rsid w:val="003E0315"/>
    <w:rsid w:val="003E3D7A"/>
    <w:rsid w:val="003E4570"/>
    <w:rsid w:val="003F1E60"/>
    <w:rsid w:val="00400F3F"/>
    <w:rsid w:val="00406B2A"/>
    <w:rsid w:val="004132B1"/>
    <w:rsid w:val="00416CB0"/>
    <w:rsid w:val="00417096"/>
    <w:rsid w:val="004273AF"/>
    <w:rsid w:val="004331C5"/>
    <w:rsid w:val="00473F0E"/>
    <w:rsid w:val="00481381"/>
    <w:rsid w:val="00485693"/>
    <w:rsid w:val="004B33A0"/>
    <w:rsid w:val="004B3FDD"/>
    <w:rsid w:val="004C19F9"/>
    <w:rsid w:val="004C2643"/>
    <w:rsid w:val="004C6FF5"/>
    <w:rsid w:val="004C7E24"/>
    <w:rsid w:val="004D5692"/>
    <w:rsid w:val="004E14DF"/>
    <w:rsid w:val="004E404B"/>
    <w:rsid w:val="00506BD2"/>
    <w:rsid w:val="00514D1B"/>
    <w:rsid w:val="005326D9"/>
    <w:rsid w:val="00534DEC"/>
    <w:rsid w:val="0054666F"/>
    <w:rsid w:val="00551119"/>
    <w:rsid w:val="005740AF"/>
    <w:rsid w:val="0058319C"/>
    <w:rsid w:val="005A0344"/>
    <w:rsid w:val="005C0499"/>
    <w:rsid w:val="005C47D6"/>
    <w:rsid w:val="005D5CE6"/>
    <w:rsid w:val="005E207F"/>
    <w:rsid w:val="005E5BF0"/>
    <w:rsid w:val="005F345A"/>
    <w:rsid w:val="005F62F7"/>
    <w:rsid w:val="00612ED1"/>
    <w:rsid w:val="006132C4"/>
    <w:rsid w:val="0061429E"/>
    <w:rsid w:val="00620C5B"/>
    <w:rsid w:val="00634657"/>
    <w:rsid w:val="006353B6"/>
    <w:rsid w:val="00644A14"/>
    <w:rsid w:val="006451B8"/>
    <w:rsid w:val="006947B8"/>
    <w:rsid w:val="006959E4"/>
    <w:rsid w:val="006A6526"/>
    <w:rsid w:val="006A6A46"/>
    <w:rsid w:val="006B2BDE"/>
    <w:rsid w:val="006E690A"/>
    <w:rsid w:val="006F130C"/>
    <w:rsid w:val="007075F1"/>
    <w:rsid w:val="00720445"/>
    <w:rsid w:val="0072786F"/>
    <w:rsid w:val="00742B54"/>
    <w:rsid w:val="007437F7"/>
    <w:rsid w:val="00746260"/>
    <w:rsid w:val="0075192A"/>
    <w:rsid w:val="00752BEE"/>
    <w:rsid w:val="00761888"/>
    <w:rsid w:val="007741CD"/>
    <w:rsid w:val="00783FAE"/>
    <w:rsid w:val="007A59F7"/>
    <w:rsid w:val="007B7532"/>
    <w:rsid w:val="007C15EE"/>
    <w:rsid w:val="007C7758"/>
    <w:rsid w:val="007D2BE9"/>
    <w:rsid w:val="007D5A4C"/>
    <w:rsid w:val="007E2066"/>
    <w:rsid w:val="007E75E2"/>
    <w:rsid w:val="007F1399"/>
    <w:rsid w:val="007F1E14"/>
    <w:rsid w:val="007F2A56"/>
    <w:rsid w:val="00804825"/>
    <w:rsid w:val="008148FB"/>
    <w:rsid w:val="008271AE"/>
    <w:rsid w:val="00830162"/>
    <w:rsid w:val="00846FB3"/>
    <w:rsid w:val="00854909"/>
    <w:rsid w:val="00855820"/>
    <w:rsid w:val="00871A84"/>
    <w:rsid w:val="008A5EDC"/>
    <w:rsid w:val="008A602A"/>
    <w:rsid w:val="008B115B"/>
    <w:rsid w:val="008C273E"/>
    <w:rsid w:val="008C32F1"/>
    <w:rsid w:val="008C406A"/>
    <w:rsid w:val="00920F08"/>
    <w:rsid w:val="00923ECF"/>
    <w:rsid w:val="00926DB0"/>
    <w:rsid w:val="00927808"/>
    <w:rsid w:val="00936207"/>
    <w:rsid w:val="0094514E"/>
    <w:rsid w:val="009463F7"/>
    <w:rsid w:val="0095038B"/>
    <w:rsid w:val="00951525"/>
    <w:rsid w:val="0095387A"/>
    <w:rsid w:val="00953BCE"/>
    <w:rsid w:val="009656CD"/>
    <w:rsid w:val="00977704"/>
    <w:rsid w:val="00992EE0"/>
    <w:rsid w:val="009961FD"/>
    <w:rsid w:val="009C0572"/>
    <w:rsid w:val="009C3BEE"/>
    <w:rsid w:val="009D2594"/>
    <w:rsid w:val="009E7706"/>
    <w:rsid w:val="009F02C9"/>
    <w:rsid w:val="009F7802"/>
    <w:rsid w:val="00A00693"/>
    <w:rsid w:val="00A01F32"/>
    <w:rsid w:val="00A1295B"/>
    <w:rsid w:val="00A14292"/>
    <w:rsid w:val="00A67F59"/>
    <w:rsid w:val="00A75CC8"/>
    <w:rsid w:val="00A96CE4"/>
    <w:rsid w:val="00AD36C1"/>
    <w:rsid w:val="00AE0A79"/>
    <w:rsid w:val="00AE2A36"/>
    <w:rsid w:val="00B23594"/>
    <w:rsid w:val="00B25E8C"/>
    <w:rsid w:val="00B26DE6"/>
    <w:rsid w:val="00B3574E"/>
    <w:rsid w:val="00B456D6"/>
    <w:rsid w:val="00B56B9F"/>
    <w:rsid w:val="00B614E2"/>
    <w:rsid w:val="00B673B6"/>
    <w:rsid w:val="00B7335A"/>
    <w:rsid w:val="00B75E1A"/>
    <w:rsid w:val="00B80B72"/>
    <w:rsid w:val="00B84B46"/>
    <w:rsid w:val="00B86E26"/>
    <w:rsid w:val="00B874A2"/>
    <w:rsid w:val="00B94E97"/>
    <w:rsid w:val="00BA0B69"/>
    <w:rsid w:val="00BA4A65"/>
    <w:rsid w:val="00BC058E"/>
    <w:rsid w:val="00BD25FF"/>
    <w:rsid w:val="00BD30B5"/>
    <w:rsid w:val="00BD4ABC"/>
    <w:rsid w:val="00BD5482"/>
    <w:rsid w:val="00BD71DB"/>
    <w:rsid w:val="00BE77B1"/>
    <w:rsid w:val="00C11B3E"/>
    <w:rsid w:val="00C16C7A"/>
    <w:rsid w:val="00C17502"/>
    <w:rsid w:val="00C21003"/>
    <w:rsid w:val="00C242F1"/>
    <w:rsid w:val="00C3370D"/>
    <w:rsid w:val="00C42646"/>
    <w:rsid w:val="00C475A3"/>
    <w:rsid w:val="00C5152F"/>
    <w:rsid w:val="00C63BC4"/>
    <w:rsid w:val="00C64943"/>
    <w:rsid w:val="00C66695"/>
    <w:rsid w:val="00C7197F"/>
    <w:rsid w:val="00C76A8E"/>
    <w:rsid w:val="00C86B8A"/>
    <w:rsid w:val="00CB3A0C"/>
    <w:rsid w:val="00CC2E21"/>
    <w:rsid w:val="00CC5D24"/>
    <w:rsid w:val="00CC6023"/>
    <w:rsid w:val="00CC6A21"/>
    <w:rsid w:val="00CC75D4"/>
    <w:rsid w:val="00CD6344"/>
    <w:rsid w:val="00CE1B79"/>
    <w:rsid w:val="00CE5B90"/>
    <w:rsid w:val="00CF0F41"/>
    <w:rsid w:val="00D07F9F"/>
    <w:rsid w:val="00D26796"/>
    <w:rsid w:val="00D56E0C"/>
    <w:rsid w:val="00D60685"/>
    <w:rsid w:val="00D630C2"/>
    <w:rsid w:val="00D64F40"/>
    <w:rsid w:val="00D665BB"/>
    <w:rsid w:val="00D81036"/>
    <w:rsid w:val="00D82BF3"/>
    <w:rsid w:val="00D90194"/>
    <w:rsid w:val="00D90366"/>
    <w:rsid w:val="00DB02B4"/>
    <w:rsid w:val="00DB0F05"/>
    <w:rsid w:val="00DB5A53"/>
    <w:rsid w:val="00DC03DC"/>
    <w:rsid w:val="00DC2CCF"/>
    <w:rsid w:val="00DC33F1"/>
    <w:rsid w:val="00DC629D"/>
    <w:rsid w:val="00DD1485"/>
    <w:rsid w:val="00DE34FE"/>
    <w:rsid w:val="00DF0E7A"/>
    <w:rsid w:val="00DF29CC"/>
    <w:rsid w:val="00E04406"/>
    <w:rsid w:val="00E06F95"/>
    <w:rsid w:val="00E1070C"/>
    <w:rsid w:val="00E11E70"/>
    <w:rsid w:val="00E150CC"/>
    <w:rsid w:val="00E15C27"/>
    <w:rsid w:val="00E1606D"/>
    <w:rsid w:val="00E1613B"/>
    <w:rsid w:val="00E1783A"/>
    <w:rsid w:val="00E44116"/>
    <w:rsid w:val="00E52F67"/>
    <w:rsid w:val="00E6182C"/>
    <w:rsid w:val="00E642D8"/>
    <w:rsid w:val="00E672F9"/>
    <w:rsid w:val="00E75C31"/>
    <w:rsid w:val="00E94371"/>
    <w:rsid w:val="00EB3C40"/>
    <w:rsid w:val="00EB6830"/>
    <w:rsid w:val="00EB6F2B"/>
    <w:rsid w:val="00EC1F1E"/>
    <w:rsid w:val="00EE4BF1"/>
    <w:rsid w:val="00EF4696"/>
    <w:rsid w:val="00EF5C0F"/>
    <w:rsid w:val="00F04F2A"/>
    <w:rsid w:val="00F07100"/>
    <w:rsid w:val="00F16178"/>
    <w:rsid w:val="00F211A1"/>
    <w:rsid w:val="00F21A15"/>
    <w:rsid w:val="00F351F1"/>
    <w:rsid w:val="00F36AB7"/>
    <w:rsid w:val="00F4274A"/>
    <w:rsid w:val="00F637C2"/>
    <w:rsid w:val="00F81237"/>
    <w:rsid w:val="00F86429"/>
    <w:rsid w:val="00FA4F40"/>
    <w:rsid w:val="00FC285D"/>
    <w:rsid w:val="00FC4797"/>
    <w:rsid w:val="00FD7C86"/>
    <w:rsid w:val="00FE5636"/>
    <w:rsid w:val="00FF04A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456F79"/>
  <w15:docId w15:val="{C16035DE-F4CD-42D9-8FF9-FD6A98F3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D36C1"/>
    <w:pPr>
      <w:ind w:left="720"/>
      <w:contextualSpacing/>
    </w:pPr>
  </w:style>
  <w:style w:type="character" w:styleId="Refdecomentario">
    <w:name w:val="annotation reference"/>
    <w:basedOn w:val="Fuentedeprrafopredeter"/>
    <w:uiPriority w:val="99"/>
    <w:semiHidden/>
    <w:unhideWhenUsed/>
    <w:rsid w:val="00953BCE"/>
    <w:rPr>
      <w:sz w:val="16"/>
      <w:szCs w:val="16"/>
    </w:rPr>
  </w:style>
  <w:style w:type="paragraph" w:styleId="Textocomentario">
    <w:name w:val="annotation text"/>
    <w:basedOn w:val="Normal"/>
    <w:link w:val="TextocomentarioCar"/>
    <w:uiPriority w:val="99"/>
    <w:semiHidden/>
    <w:unhideWhenUsed/>
    <w:rsid w:val="00953B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3BCE"/>
    <w:rPr>
      <w:sz w:val="20"/>
      <w:szCs w:val="20"/>
    </w:rPr>
  </w:style>
  <w:style w:type="paragraph" w:styleId="Asuntodelcomentario">
    <w:name w:val="annotation subject"/>
    <w:basedOn w:val="Textocomentario"/>
    <w:next w:val="Textocomentario"/>
    <w:link w:val="AsuntodelcomentarioCar"/>
    <w:uiPriority w:val="99"/>
    <w:semiHidden/>
    <w:unhideWhenUsed/>
    <w:rsid w:val="00953BCE"/>
    <w:rPr>
      <w:b/>
      <w:bCs/>
    </w:rPr>
  </w:style>
  <w:style w:type="character" w:customStyle="1" w:styleId="AsuntodelcomentarioCar">
    <w:name w:val="Asunto del comentario Car"/>
    <w:basedOn w:val="TextocomentarioCar"/>
    <w:link w:val="Asuntodelcomentario"/>
    <w:uiPriority w:val="99"/>
    <w:semiHidden/>
    <w:rsid w:val="00953BCE"/>
    <w:rPr>
      <w:b/>
      <w:bCs/>
      <w:sz w:val="20"/>
      <w:szCs w:val="20"/>
    </w:rPr>
  </w:style>
  <w:style w:type="paragraph" w:styleId="Textodeglobo">
    <w:name w:val="Balloon Text"/>
    <w:basedOn w:val="Normal"/>
    <w:link w:val="TextodegloboCar"/>
    <w:uiPriority w:val="99"/>
    <w:semiHidden/>
    <w:unhideWhenUsed/>
    <w:rsid w:val="00953B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3BCE"/>
    <w:rPr>
      <w:rFonts w:ascii="Segoe UI" w:hAnsi="Segoe UI" w:cs="Segoe UI"/>
      <w:sz w:val="18"/>
      <w:szCs w:val="18"/>
    </w:rPr>
  </w:style>
  <w:style w:type="paragraph" w:styleId="Encabezado">
    <w:name w:val="header"/>
    <w:basedOn w:val="Normal"/>
    <w:link w:val="EncabezadoCar"/>
    <w:uiPriority w:val="99"/>
    <w:unhideWhenUsed/>
    <w:rsid w:val="00153D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D6A"/>
  </w:style>
  <w:style w:type="paragraph" w:styleId="Piedepgina">
    <w:name w:val="footer"/>
    <w:basedOn w:val="Normal"/>
    <w:link w:val="PiedepginaCar"/>
    <w:uiPriority w:val="99"/>
    <w:unhideWhenUsed/>
    <w:rsid w:val="00153D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D6A"/>
  </w:style>
  <w:style w:type="character" w:styleId="Refdenotaalpie">
    <w:name w:val="footnote reference"/>
    <w:basedOn w:val="Fuentedeprrafopredeter"/>
    <w:uiPriority w:val="99"/>
    <w:semiHidden/>
    <w:unhideWhenUsed/>
    <w:rsid w:val="00153D6A"/>
    <w:rPr>
      <w:vertAlign w:val="superscript"/>
    </w:rPr>
  </w:style>
  <w:style w:type="paragraph" w:styleId="Textonotapie">
    <w:name w:val="footnote text"/>
    <w:basedOn w:val="Normal"/>
    <w:link w:val="TextonotapieCar"/>
    <w:uiPriority w:val="99"/>
    <w:semiHidden/>
    <w:unhideWhenUsed/>
    <w:rsid w:val="00153D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3D6A"/>
    <w:rPr>
      <w:sz w:val="20"/>
      <w:szCs w:val="20"/>
    </w:rPr>
  </w:style>
  <w:style w:type="character" w:customStyle="1" w:styleId="PrrafodelistaCar">
    <w:name w:val="Párrafo de lista Car"/>
    <w:link w:val="Prrafodelista"/>
    <w:uiPriority w:val="34"/>
    <w:locked/>
    <w:rsid w:val="00DF0E7A"/>
  </w:style>
  <w:style w:type="paragraph" w:customStyle="1" w:styleId="estilo30">
    <w:name w:val="estilo30"/>
    <w:basedOn w:val="Normal"/>
    <w:uiPriority w:val="99"/>
    <w:rsid w:val="00400F3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6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0269E"/>
    <w:pPr>
      <w:spacing w:after="0" w:line="240" w:lineRule="auto"/>
    </w:pPr>
  </w:style>
  <w:style w:type="character" w:customStyle="1" w:styleId="SinespaciadoCar">
    <w:name w:val="Sin espaciado Car"/>
    <w:basedOn w:val="Fuentedeprrafopredeter"/>
    <w:link w:val="Sinespaciado"/>
    <w:uiPriority w:val="1"/>
    <w:locked/>
    <w:rsid w:val="008B115B"/>
    <w:rPr>
      <w:rFonts w:ascii="Calibri" w:hAnsi="Calibri"/>
    </w:rPr>
  </w:style>
  <w:style w:type="paragraph" w:styleId="Sinespaciado">
    <w:name w:val="No Spacing"/>
    <w:basedOn w:val="Normal"/>
    <w:link w:val="SinespaciadoCar"/>
    <w:uiPriority w:val="1"/>
    <w:qFormat/>
    <w:rsid w:val="008B115B"/>
    <w:pPr>
      <w:spacing w:after="0" w:line="240" w:lineRule="auto"/>
    </w:pPr>
    <w:rPr>
      <w:rFonts w:ascii="Calibri" w:hAnsi="Calibri"/>
    </w:rPr>
  </w:style>
  <w:style w:type="paragraph" w:customStyle="1" w:styleId="Normal1">
    <w:name w:val="Normal1"/>
    <w:basedOn w:val="Normal"/>
    <w:rsid w:val="008B115B"/>
    <w:pPr>
      <w:spacing w:line="252" w:lineRule="auto"/>
    </w:pPr>
    <w:rPr>
      <w:rFonts w:ascii="Calibri" w:hAnsi="Calibri" w:cs="Times New Roman"/>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44699">
      <w:bodyDiv w:val="1"/>
      <w:marLeft w:val="0"/>
      <w:marRight w:val="0"/>
      <w:marTop w:val="0"/>
      <w:marBottom w:val="0"/>
      <w:divBdr>
        <w:top w:val="none" w:sz="0" w:space="0" w:color="auto"/>
        <w:left w:val="none" w:sz="0" w:space="0" w:color="auto"/>
        <w:bottom w:val="none" w:sz="0" w:space="0" w:color="auto"/>
        <w:right w:val="none" w:sz="0" w:space="0" w:color="auto"/>
      </w:divBdr>
    </w:div>
    <w:div w:id="1612665009">
      <w:bodyDiv w:val="1"/>
      <w:marLeft w:val="0"/>
      <w:marRight w:val="0"/>
      <w:marTop w:val="0"/>
      <w:marBottom w:val="0"/>
      <w:divBdr>
        <w:top w:val="none" w:sz="0" w:space="0" w:color="auto"/>
        <w:left w:val="none" w:sz="0" w:space="0" w:color="auto"/>
        <w:bottom w:val="none" w:sz="0" w:space="0" w:color="auto"/>
        <w:right w:val="none" w:sz="0" w:space="0" w:color="auto"/>
      </w:divBdr>
    </w:div>
    <w:div w:id="210083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28433-0439-45D8-8756-F6FE869F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1814</Words>
  <Characters>9979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Isaias Zacateco Rivero</dc:creator>
  <cp:keywords/>
  <dc:description/>
  <cp:lastModifiedBy>Karen Beatriz Martinez Munguia</cp:lastModifiedBy>
  <cp:revision>3</cp:revision>
  <cp:lastPrinted>2015-12-11T17:30:00Z</cp:lastPrinted>
  <dcterms:created xsi:type="dcterms:W3CDTF">2016-06-28T16:09:00Z</dcterms:created>
  <dcterms:modified xsi:type="dcterms:W3CDTF">2016-06-28T16:40:00Z</dcterms:modified>
</cp:coreProperties>
</file>