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4509" w14:textId="4DEEF76A" w:rsidR="00014BB7" w:rsidRPr="00D00E71" w:rsidRDefault="001211C1" w:rsidP="001211C1">
      <w:pPr>
        <w:jc w:val="both"/>
        <w:rPr>
          <w:rFonts w:ascii="ITC Avant Garde" w:hAnsi="ITC Avant Garde" w:cs="Tahoma"/>
          <w:b/>
          <w:bCs/>
          <w:color w:val="000000"/>
          <w:sz w:val="22"/>
          <w:szCs w:val="22"/>
          <w:lang w:val="es-ES_tradnl" w:eastAsia="es-MX"/>
        </w:rPr>
      </w:pPr>
      <w:r>
        <w:rPr>
          <w:rFonts w:ascii="ITC Avant Garde" w:hAnsi="ITC Avant Garde" w:cs="Tahoma"/>
          <w:b/>
          <w:bCs/>
          <w:color w:val="000000"/>
          <w:sz w:val="22"/>
          <w:szCs w:val="22"/>
          <w:lang w:val="es-ES_tradnl" w:eastAsia="es-MX"/>
        </w:rPr>
        <w:t>ACUERDO MEDIANTE EL CUAL</w:t>
      </w:r>
      <w:r w:rsidR="00AD55DE" w:rsidRPr="00866405">
        <w:rPr>
          <w:rFonts w:ascii="ITC Avant Garde" w:hAnsi="ITC Avant Garde" w:cs="Tahoma"/>
          <w:b/>
          <w:bCs/>
          <w:color w:val="000000"/>
          <w:sz w:val="22"/>
          <w:szCs w:val="22"/>
          <w:lang w:val="es-ES_tradnl" w:eastAsia="es-MX"/>
        </w:rPr>
        <w:t xml:space="preserve"> EL PLENO DEL INSTITUTO FEDERAL DE TELECOMUNICACIONES </w:t>
      </w:r>
      <w:r w:rsidR="006659C0">
        <w:rPr>
          <w:rFonts w:ascii="ITC Avant Garde" w:hAnsi="ITC Avant Garde" w:cs="Tahoma"/>
          <w:b/>
          <w:bCs/>
          <w:color w:val="000000"/>
          <w:sz w:val="22"/>
          <w:szCs w:val="22"/>
          <w:lang w:val="es-ES_tradnl" w:eastAsia="es-MX"/>
        </w:rPr>
        <w:t xml:space="preserve">DETERMINA </w:t>
      </w:r>
      <w:r w:rsidR="002C3AAE">
        <w:rPr>
          <w:rFonts w:ascii="ITC Avant Garde" w:hAnsi="ITC Avant Garde" w:cs="Tahoma"/>
          <w:b/>
          <w:bCs/>
          <w:color w:val="000000"/>
          <w:sz w:val="22"/>
          <w:szCs w:val="22"/>
          <w:lang w:val="es-ES_tradnl" w:eastAsia="es-MX"/>
        </w:rPr>
        <w:t xml:space="preserve">SOMETER A CONSULTA PÚBLICA EL </w:t>
      </w:r>
      <w:r w:rsidR="006659C0">
        <w:rPr>
          <w:rFonts w:ascii="ITC Avant Garde" w:hAnsi="ITC Avant Garde" w:cs="Tahoma"/>
          <w:b/>
          <w:bCs/>
          <w:color w:val="000000"/>
          <w:sz w:val="22"/>
          <w:szCs w:val="22"/>
          <w:lang w:val="es-ES_tradnl" w:eastAsia="es-MX"/>
        </w:rPr>
        <w:t>“</w:t>
      </w:r>
      <w:r w:rsidR="002C3AAE">
        <w:rPr>
          <w:rFonts w:ascii="ITC Avant Garde" w:hAnsi="ITC Avant Garde" w:cs="Tahoma"/>
          <w:b/>
          <w:bCs/>
          <w:color w:val="000000"/>
          <w:sz w:val="22"/>
          <w:szCs w:val="22"/>
          <w:lang w:val="es-ES_tradnl" w:eastAsia="es-MX"/>
        </w:rPr>
        <w:t>ANTEPROYECTO</w:t>
      </w:r>
      <w:r w:rsidR="00014BB7">
        <w:rPr>
          <w:rFonts w:ascii="ITC Avant Garde" w:hAnsi="ITC Avant Garde" w:cs="Tahoma"/>
          <w:b/>
          <w:bCs/>
          <w:color w:val="000000"/>
          <w:sz w:val="22"/>
          <w:szCs w:val="22"/>
          <w:lang w:val="es-ES_tradnl" w:eastAsia="es-MX"/>
        </w:rPr>
        <w:t xml:space="preserve"> DE </w:t>
      </w:r>
      <w:r w:rsidR="00D00E71" w:rsidRPr="00D00E71">
        <w:rPr>
          <w:rFonts w:ascii="ITC Avant Garde" w:hAnsi="ITC Avant Garde" w:cs="Tahoma"/>
          <w:b/>
          <w:bCs/>
          <w:color w:val="000000"/>
          <w:sz w:val="22"/>
          <w:szCs w:val="22"/>
          <w:lang w:val="es-ES_tradnl" w:eastAsia="es-MX"/>
        </w:rPr>
        <w:t>LINEAMIENTOS PARA LA ACRE</w:t>
      </w:r>
      <w:r w:rsidR="00D00E71">
        <w:rPr>
          <w:rFonts w:ascii="ITC Avant Garde" w:hAnsi="ITC Avant Garde" w:cs="Tahoma"/>
          <w:b/>
          <w:bCs/>
          <w:color w:val="000000"/>
          <w:sz w:val="22"/>
          <w:szCs w:val="22"/>
          <w:lang w:val="es-ES_tradnl" w:eastAsia="es-MX"/>
        </w:rPr>
        <w:t xml:space="preserve">DITACIÓN DE PERITOS EN MATERIA </w:t>
      </w:r>
      <w:r w:rsidR="00D00E71" w:rsidRPr="00D00E71">
        <w:rPr>
          <w:rFonts w:ascii="ITC Avant Garde" w:hAnsi="ITC Avant Garde" w:cs="Tahoma"/>
          <w:b/>
          <w:bCs/>
          <w:color w:val="000000"/>
          <w:sz w:val="22"/>
          <w:szCs w:val="22"/>
          <w:lang w:val="es-ES_tradnl" w:eastAsia="es-MX"/>
        </w:rPr>
        <w:t xml:space="preserve">DE TELECOMUNICACIONES Y </w:t>
      </w:r>
      <w:r w:rsidR="001D206B">
        <w:rPr>
          <w:rFonts w:ascii="ITC Avant Garde" w:hAnsi="ITC Avant Garde" w:cs="Tahoma"/>
          <w:b/>
          <w:bCs/>
          <w:color w:val="000000"/>
          <w:sz w:val="22"/>
          <w:szCs w:val="22"/>
          <w:lang w:val="es-ES_tradnl" w:eastAsia="es-MX"/>
        </w:rPr>
        <w:t xml:space="preserve">DE </w:t>
      </w:r>
      <w:r w:rsidR="00D00E71" w:rsidRPr="00D00E71">
        <w:rPr>
          <w:rFonts w:ascii="ITC Avant Garde" w:hAnsi="ITC Avant Garde" w:cs="Tahoma"/>
          <w:b/>
          <w:bCs/>
          <w:color w:val="000000"/>
          <w:sz w:val="22"/>
          <w:szCs w:val="22"/>
          <w:lang w:val="es-ES_tradnl" w:eastAsia="es-MX"/>
        </w:rPr>
        <w:t>RADIODIFUSIÓN</w:t>
      </w:r>
      <w:r w:rsidR="006659C0">
        <w:rPr>
          <w:rFonts w:ascii="ITC Avant Garde" w:hAnsi="ITC Avant Garde"/>
          <w:b/>
          <w:sz w:val="22"/>
          <w:szCs w:val="22"/>
        </w:rPr>
        <w:t>”</w:t>
      </w:r>
      <w:r w:rsidR="00546892">
        <w:rPr>
          <w:rFonts w:ascii="ITC Avant Garde" w:hAnsi="ITC Avant Garde"/>
          <w:b/>
          <w:sz w:val="22"/>
          <w:szCs w:val="22"/>
        </w:rPr>
        <w:t>.</w:t>
      </w:r>
    </w:p>
    <w:p w14:paraId="022E4529" w14:textId="77777777" w:rsidR="00014BB7" w:rsidRDefault="00014BB7" w:rsidP="001211C1">
      <w:pPr>
        <w:jc w:val="both"/>
        <w:rPr>
          <w:rFonts w:ascii="ITC Avant Garde" w:hAnsi="ITC Avant Garde"/>
          <w:b/>
          <w:sz w:val="22"/>
          <w:szCs w:val="22"/>
        </w:rPr>
      </w:pPr>
    </w:p>
    <w:p w14:paraId="441FF609" w14:textId="77777777" w:rsidR="00AD55DE" w:rsidRPr="00866405" w:rsidRDefault="00AD55DE" w:rsidP="001211C1">
      <w:pPr>
        <w:jc w:val="both"/>
        <w:rPr>
          <w:szCs w:val="18"/>
        </w:rPr>
      </w:pPr>
    </w:p>
    <w:p w14:paraId="192E7D55" w14:textId="77777777" w:rsidR="00AD55DE" w:rsidRDefault="00AD55DE" w:rsidP="001211C1">
      <w:pPr>
        <w:pStyle w:val="ANOTACION"/>
        <w:spacing w:line="240" w:lineRule="auto"/>
        <w:rPr>
          <w:rFonts w:ascii="ITC Avant Garde" w:hAnsi="ITC Avant Garde" w:cs="Arial"/>
          <w:bCs/>
          <w:sz w:val="22"/>
          <w:szCs w:val="22"/>
          <w:lang w:eastAsia="es-MX"/>
        </w:rPr>
      </w:pPr>
      <w:r w:rsidRPr="005972F2">
        <w:rPr>
          <w:rFonts w:ascii="ITC Avant Garde" w:hAnsi="ITC Avant Garde" w:cs="Arial"/>
          <w:bCs/>
          <w:sz w:val="22"/>
          <w:szCs w:val="22"/>
          <w:lang w:eastAsia="es-MX"/>
        </w:rPr>
        <w:t>ANTECEDENTES</w:t>
      </w:r>
    </w:p>
    <w:p w14:paraId="278AE9FE" w14:textId="77777777" w:rsidR="00014BB7" w:rsidRPr="005972F2" w:rsidRDefault="00014BB7" w:rsidP="001211C1">
      <w:pPr>
        <w:pStyle w:val="ANOTACION"/>
        <w:spacing w:line="240" w:lineRule="auto"/>
        <w:rPr>
          <w:rFonts w:ascii="ITC Avant Garde" w:hAnsi="ITC Avant Garde" w:cs="Arial"/>
          <w:bCs/>
          <w:sz w:val="22"/>
          <w:szCs w:val="22"/>
          <w:lang w:eastAsia="es-MX"/>
        </w:rPr>
      </w:pPr>
    </w:p>
    <w:p w14:paraId="173F6D06" w14:textId="77777777" w:rsidR="00D00E71" w:rsidRPr="00D00E71" w:rsidRDefault="00D00E71" w:rsidP="001211C1">
      <w:pPr>
        <w:pStyle w:val="ROMANOS"/>
        <w:numPr>
          <w:ilvl w:val="0"/>
          <w:numId w:val="10"/>
        </w:numPr>
        <w:spacing w:line="240" w:lineRule="auto"/>
        <w:rPr>
          <w:rFonts w:ascii="ITC Avant Garde" w:hAnsi="ITC Avant Garde"/>
          <w:bCs/>
          <w:sz w:val="22"/>
          <w:szCs w:val="22"/>
          <w:lang w:val="es-ES_tradnl" w:eastAsia="es-MX"/>
        </w:rPr>
      </w:pPr>
      <w:r w:rsidRPr="00D00E71">
        <w:rPr>
          <w:rFonts w:ascii="ITC Avant Garde" w:hAnsi="ITC Avant Garde"/>
          <w:bCs/>
          <w:sz w:val="22"/>
          <w:szCs w:val="22"/>
          <w:lang w:val="es-ES_tradnl" w:eastAsia="es-MX"/>
        </w:rPr>
        <w:t xml:space="preserve">El 11 de junio de 2013 se publicó en </w:t>
      </w:r>
      <w:r w:rsidR="008A5F01" w:rsidRPr="008A5F01">
        <w:rPr>
          <w:rFonts w:ascii="ITC Avant Garde" w:hAnsi="ITC Avant Garde"/>
          <w:bCs/>
          <w:sz w:val="22"/>
          <w:szCs w:val="22"/>
          <w:lang w:val="es-ES_tradnl" w:eastAsia="es-MX"/>
        </w:rPr>
        <w:t xml:space="preserve">el Diario Oficial de la Federación (en </w:t>
      </w:r>
      <w:r w:rsidR="008A5F01">
        <w:rPr>
          <w:rFonts w:ascii="ITC Avant Garde" w:hAnsi="ITC Avant Garde"/>
          <w:bCs/>
          <w:sz w:val="22"/>
          <w:szCs w:val="22"/>
          <w:lang w:val="es-ES_tradnl" w:eastAsia="es-MX"/>
        </w:rPr>
        <w:t xml:space="preserve">lo sucesivo, </w:t>
      </w:r>
      <w:r w:rsidRPr="00D00E71">
        <w:rPr>
          <w:rFonts w:ascii="ITC Avant Garde" w:hAnsi="ITC Avant Garde"/>
          <w:bCs/>
          <w:sz w:val="22"/>
          <w:szCs w:val="22"/>
          <w:lang w:val="es-ES_tradnl" w:eastAsia="es-MX"/>
        </w:rPr>
        <w:t xml:space="preserve">el </w:t>
      </w:r>
      <w:r w:rsidR="008A5F01">
        <w:rPr>
          <w:rFonts w:ascii="ITC Avant Garde" w:hAnsi="ITC Avant Garde"/>
          <w:bCs/>
          <w:sz w:val="22"/>
          <w:szCs w:val="22"/>
          <w:lang w:val="es-ES_tradnl" w:eastAsia="es-MX"/>
        </w:rPr>
        <w:t>“</w:t>
      </w:r>
      <w:r w:rsidRPr="00D00E71">
        <w:rPr>
          <w:rFonts w:ascii="ITC Avant Garde" w:hAnsi="ITC Avant Garde"/>
          <w:bCs/>
          <w:sz w:val="22"/>
          <w:szCs w:val="22"/>
          <w:lang w:val="es-ES_tradnl" w:eastAsia="es-MX"/>
        </w:rPr>
        <w:t>DOF</w:t>
      </w:r>
      <w:r w:rsidR="008A5F01">
        <w:rPr>
          <w:rFonts w:ascii="ITC Avant Garde" w:hAnsi="ITC Avant Garde"/>
          <w:bCs/>
          <w:sz w:val="22"/>
          <w:szCs w:val="22"/>
          <w:lang w:val="es-ES_tradnl" w:eastAsia="es-MX"/>
        </w:rPr>
        <w:t>”)</w:t>
      </w:r>
      <w:r w:rsidR="008D1966">
        <w:rPr>
          <w:rFonts w:ascii="ITC Avant Garde" w:hAnsi="ITC Avant Garde"/>
          <w:bCs/>
          <w:sz w:val="22"/>
          <w:szCs w:val="22"/>
          <w:lang w:val="es-ES_tradnl" w:eastAsia="es-MX"/>
        </w:rPr>
        <w:t xml:space="preserve"> </w:t>
      </w:r>
      <w:r w:rsidRPr="00D00E71">
        <w:rPr>
          <w:rFonts w:ascii="ITC Avant Garde" w:hAnsi="ITC Avant Garde"/>
          <w:bCs/>
          <w:sz w:val="22"/>
          <w:szCs w:val="22"/>
          <w:lang w:val="es-ES_tradnl" w:eastAsia="es-MX"/>
        </w:rPr>
        <w:t>el "Decreto por el que se reforman y adicionan diversas disposiciones de los artículos 6o., 7o., 27, 28, 73, 78, 94 y 105 de la Constitución Política de los Estados Unidos Mexicanos, en materia de telecomunicaciones", (en lo sucesivo, el "Decreto Constitucional"), mediante el cual se creó el Instituto Federal de Telecomunicaciones (en lo sucesivo, el "Instituto"), como un órgano autónomo con personalidad jurídica y patrimonio propio.</w:t>
      </w:r>
    </w:p>
    <w:p w14:paraId="7746380C" w14:textId="77777777" w:rsidR="00D00E71" w:rsidRPr="00D00E71" w:rsidRDefault="00D00E71" w:rsidP="001211C1">
      <w:pPr>
        <w:pStyle w:val="ROMANOS"/>
        <w:spacing w:line="240" w:lineRule="auto"/>
        <w:ind w:firstLine="0"/>
        <w:rPr>
          <w:rFonts w:ascii="ITC Avant Garde" w:hAnsi="ITC Avant Garde"/>
          <w:bCs/>
          <w:sz w:val="22"/>
          <w:szCs w:val="22"/>
          <w:lang w:val="es-ES_tradnl" w:eastAsia="es-MX"/>
        </w:rPr>
      </w:pPr>
    </w:p>
    <w:p w14:paraId="5BE11F64" w14:textId="77777777" w:rsidR="00D00E71" w:rsidRDefault="00D00E71" w:rsidP="001211C1">
      <w:pPr>
        <w:pStyle w:val="ROMANOS"/>
        <w:numPr>
          <w:ilvl w:val="0"/>
          <w:numId w:val="10"/>
        </w:numPr>
        <w:spacing w:line="240" w:lineRule="auto"/>
        <w:rPr>
          <w:rFonts w:ascii="ITC Avant Garde" w:hAnsi="ITC Avant Garde"/>
          <w:bCs/>
          <w:sz w:val="22"/>
          <w:szCs w:val="22"/>
          <w:lang w:val="es-ES_tradnl" w:eastAsia="es-MX"/>
        </w:rPr>
      </w:pPr>
      <w:r w:rsidRPr="00D00E71">
        <w:rPr>
          <w:rFonts w:ascii="ITC Avant Garde" w:hAnsi="ITC Avant Garde"/>
          <w:bCs/>
          <w:sz w:val="22"/>
          <w:szCs w:val="22"/>
          <w:lang w:val="es-ES_tradnl" w:eastAsia="es-MX"/>
        </w:rPr>
        <w:t xml:space="preserve">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 lo sucesivo, el "Decreto de Ley"), el cual, en términos de lo dispuesto por su artículo Primero transitorio, entró en vigor </w:t>
      </w:r>
      <w:r w:rsidR="008A5F01">
        <w:rPr>
          <w:rFonts w:ascii="ITC Avant Garde" w:hAnsi="ITC Avant Garde"/>
          <w:bCs/>
          <w:sz w:val="22"/>
          <w:szCs w:val="22"/>
          <w:lang w:val="es-ES_tradnl" w:eastAsia="es-MX"/>
        </w:rPr>
        <w:t xml:space="preserve">a los </w:t>
      </w:r>
      <w:r w:rsidRPr="00D00E71">
        <w:rPr>
          <w:rFonts w:ascii="ITC Avant Garde" w:hAnsi="ITC Avant Garde"/>
          <w:bCs/>
          <w:sz w:val="22"/>
          <w:szCs w:val="22"/>
          <w:lang w:val="es-ES_tradnl" w:eastAsia="es-MX"/>
        </w:rPr>
        <w:t xml:space="preserve">treinta días naturales siguientes a su publicación, esto es, el 13 de agosto de 2014. </w:t>
      </w:r>
    </w:p>
    <w:p w14:paraId="667E230E" w14:textId="77777777" w:rsidR="00D00E71" w:rsidRPr="00D00E71" w:rsidRDefault="00D00E71" w:rsidP="001211C1">
      <w:pPr>
        <w:pStyle w:val="ROMANOS"/>
        <w:spacing w:line="240" w:lineRule="auto"/>
        <w:ind w:firstLine="0"/>
        <w:rPr>
          <w:rFonts w:ascii="ITC Avant Garde" w:hAnsi="ITC Avant Garde"/>
          <w:bCs/>
          <w:sz w:val="22"/>
          <w:szCs w:val="22"/>
          <w:lang w:val="es-ES_tradnl" w:eastAsia="es-MX"/>
        </w:rPr>
      </w:pPr>
    </w:p>
    <w:p w14:paraId="1013C73A" w14:textId="77777777" w:rsidR="00D00E71" w:rsidRPr="00D00E71" w:rsidRDefault="00D00E71" w:rsidP="001211C1">
      <w:pPr>
        <w:pStyle w:val="ROMANOS"/>
        <w:numPr>
          <w:ilvl w:val="0"/>
          <w:numId w:val="10"/>
        </w:numPr>
        <w:spacing w:line="240" w:lineRule="auto"/>
        <w:rPr>
          <w:rFonts w:ascii="ITC Avant Garde" w:hAnsi="ITC Avant Garde"/>
          <w:bCs/>
          <w:sz w:val="22"/>
          <w:szCs w:val="22"/>
          <w:lang w:val="es-ES_tradnl" w:eastAsia="es-MX"/>
        </w:rPr>
      </w:pPr>
      <w:r w:rsidRPr="00D00E71">
        <w:rPr>
          <w:rFonts w:ascii="ITC Avant Garde" w:hAnsi="ITC Avant Garde"/>
          <w:bCs/>
          <w:sz w:val="22"/>
          <w:szCs w:val="22"/>
          <w:lang w:val="es-ES_tradnl" w:eastAsia="es-MX"/>
        </w:rPr>
        <w:t>El 4 de septiembre de 2014, se publicó en el DOF el Estatuto Orgánico del Instituto Federal de Telecomunicaciones (en lo sucesivo, el "Estatuto Orgánico"), mismo que entró en vigor el día 26 del mismo mes y año, el cual se modificó a través del “Acuerdo por el que se modifica el Estatuto Orgánico del Instituto Federal de Telecomunicaciones”, publicado en el DOF el 17 de octubre de 2014.</w:t>
      </w:r>
    </w:p>
    <w:p w14:paraId="61CEA834" w14:textId="77777777" w:rsidR="00F529BA" w:rsidRDefault="00F529BA" w:rsidP="001211C1">
      <w:pPr>
        <w:pStyle w:val="ROMANOS"/>
        <w:spacing w:after="0" w:line="240" w:lineRule="auto"/>
        <w:ind w:left="288" w:firstLine="0"/>
        <w:rPr>
          <w:rFonts w:ascii="ITC Avant Garde" w:hAnsi="ITC Avant Garde"/>
          <w:bCs/>
          <w:sz w:val="22"/>
          <w:szCs w:val="22"/>
          <w:lang w:eastAsia="es-MX"/>
        </w:rPr>
      </w:pPr>
    </w:p>
    <w:p w14:paraId="1A738415" w14:textId="20716BDE" w:rsidR="001211C1" w:rsidRPr="003D289D" w:rsidRDefault="00D00E71" w:rsidP="001211C1">
      <w:pPr>
        <w:pStyle w:val="Default"/>
        <w:tabs>
          <w:tab w:val="left" w:pos="0"/>
        </w:tabs>
        <w:rPr>
          <w:rFonts w:ascii="ITC Avant Garde" w:hAnsi="ITC Avant Garde"/>
          <w:bCs/>
          <w:sz w:val="22"/>
          <w:szCs w:val="22"/>
        </w:rPr>
      </w:pPr>
      <w:r w:rsidRPr="003D289D">
        <w:rPr>
          <w:rFonts w:ascii="ITC Avant Garde" w:hAnsi="ITC Avant Garde"/>
          <w:bCs/>
          <w:sz w:val="22"/>
          <w:szCs w:val="22"/>
        </w:rPr>
        <w:t xml:space="preserve">En atención a los </w:t>
      </w:r>
      <w:r w:rsidR="001211C1">
        <w:rPr>
          <w:rFonts w:ascii="ITC Avant Garde" w:hAnsi="ITC Avant Garde"/>
          <w:bCs/>
          <w:sz w:val="22"/>
          <w:szCs w:val="22"/>
        </w:rPr>
        <w:t xml:space="preserve">antecedentes anteriores y, </w:t>
      </w:r>
    </w:p>
    <w:p w14:paraId="37363483" w14:textId="77777777" w:rsidR="00F529BA" w:rsidRDefault="00F529BA" w:rsidP="001211C1">
      <w:pPr>
        <w:pStyle w:val="ANOTACION"/>
        <w:spacing w:line="240" w:lineRule="auto"/>
        <w:rPr>
          <w:rFonts w:ascii="ITC Avant Garde" w:hAnsi="ITC Avant Garde"/>
          <w:bCs/>
          <w:sz w:val="22"/>
          <w:szCs w:val="22"/>
          <w:lang w:eastAsia="es-MX"/>
        </w:rPr>
      </w:pPr>
    </w:p>
    <w:p w14:paraId="35895577" w14:textId="77777777" w:rsidR="00AD55DE" w:rsidRDefault="00AD55DE" w:rsidP="001211C1">
      <w:pPr>
        <w:pStyle w:val="ANOTACION"/>
        <w:spacing w:line="240" w:lineRule="auto"/>
        <w:rPr>
          <w:rFonts w:ascii="ITC Avant Garde" w:hAnsi="ITC Avant Garde" w:cs="Arial"/>
          <w:bCs/>
          <w:sz w:val="22"/>
          <w:szCs w:val="22"/>
          <w:lang w:eastAsia="es-MX"/>
        </w:rPr>
      </w:pPr>
      <w:r w:rsidRPr="005972F2">
        <w:rPr>
          <w:rFonts w:ascii="ITC Avant Garde" w:hAnsi="ITC Avant Garde" w:cs="Arial"/>
          <w:bCs/>
          <w:sz w:val="22"/>
          <w:szCs w:val="22"/>
          <w:lang w:eastAsia="es-MX"/>
        </w:rPr>
        <w:t>CONSIDERANDO</w:t>
      </w:r>
    </w:p>
    <w:p w14:paraId="70A081D5" w14:textId="77777777" w:rsidR="00AD55DE" w:rsidRPr="005972F2" w:rsidRDefault="00AD55DE" w:rsidP="001211C1">
      <w:pPr>
        <w:pStyle w:val="ANOTACION"/>
        <w:spacing w:line="240" w:lineRule="auto"/>
        <w:rPr>
          <w:rFonts w:ascii="ITC Avant Garde" w:hAnsi="ITC Avant Garde" w:cs="Arial"/>
          <w:bCs/>
          <w:sz w:val="22"/>
          <w:szCs w:val="22"/>
          <w:lang w:eastAsia="es-MX"/>
        </w:rPr>
      </w:pPr>
    </w:p>
    <w:p w14:paraId="58A1ACC8" w14:textId="77777777" w:rsidR="00110A96" w:rsidRDefault="00AD55DE" w:rsidP="001211C1">
      <w:pPr>
        <w:jc w:val="both"/>
        <w:rPr>
          <w:rFonts w:ascii="ITC Avant Garde" w:hAnsi="ITC Avant Garde" w:cs="Arial"/>
          <w:sz w:val="22"/>
          <w:szCs w:val="22"/>
        </w:rPr>
      </w:pPr>
      <w:r w:rsidRPr="00866405">
        <w:rPr>
          <w:rFonts w:ascii="ITC Avant Garde" w:hAnsi="ITC Avant Garde"/>
          <w:b/>
          <w:bCs/>
          <w:sz w:val="22"/>
          <w:szCs w:val="22"/>
          <w:lang w:val="es-ES_tradnl" w:eastAsia="es-MX"/>
        </w:rPr>
        <w:lastRenderedPageBreak/>
        <w:t xml:space="preserve">PRIMERO.- Competencia del Instituto. </w:t>
      </w:r>
      <w:r w:rsidR="00D00E71">
        <w:rPr>
          <w:rFonts w:ascii="ITC Avant Garde" w:hAnsi="ITC Avant Garde" w:cs="Arial"/>
          <w:sz w:val="22"/>
          <w:szCs w:val="22"/>
        </w:rPr>
        <w:t>D</w:t>
      </w:r>
      <w:r w:rsidR="00110A96" w:rsidRPr="00E42B4D">
        <w:rPr>
          <w:rFonts w:ascii="ITC Avant Garde" w:hAnsi="ITC Avant Garde" w:cs="Arial"/>
          <w:sz w:val="22"/>
          <w:szCs w:val="22"/>
        </w:rPr>
        <w:t xml:space="preserve">e conformidad con lo establecido en los artículos 28, párrafo décimo quinto de la Constitución Política de los Estados Unidos Mexicanos (en lo sucesivo, la “Constitución”), así como en los diversos 1, 2, 7 de la Ley Federal de Telecomunicaciones y Radiodifusión (en lo sucesivo, “LFTR”),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 </w:t>
      </w:r>
    </w:p>
    <w:p w14:paraId="4D6E5DC8" w14:textId="77777777" w:rsidR="00110A96" w:rsidRDefault="00110A96" w:rsidP="001211C1">
      <w:pPr>
        <w:jc w:val="both"/>
        <w:rPr>
          <w:rFonts w:ascii="ITC Avant Garde" w:hAnsi="ITC Avant Garde" w:cs="Arial"/>
          <w:sz w:val="22"/>
          <w:szCs w:val="22"/>
        </w:rPr>
      </w:pPr>
    </w:p>
    <w:p w14:paraId="1E10956E" w14:textId="77777777" w:rsidR="00110A96" w:rsidRDefault="00110A96" w:rsidP="001211C1">
      <w:pPr>
        <w:jc w:val="both"/>
        <w:rPr>
          <w:rFonts w:ascii="ITC Avant Garde" w:hAnsi="ITC Avant Garde" w:cs="Arial"/>
          <w:sz w:val="22"/>
          <w:szCs w:val="22"/>
        </w:rPr>
      </w:pPr>
      <w:r w:rsidRPr="00E42B4D">
        <w:rPr>
          <w:rFonts w:ascii="ITC Avant Garde" w:hAnsi="ITC Avant Garde" w:cs="Arial"/>
          <w:sz w:val="22"/>
          <w:szCs w:val="22"/>
        </w:rPr>
        <w:t xml:space="preserve">Asimismo, el Instituto cuenta con facultades y atribuciones para emitir el presente Acuerdo y realizar una consulta pública respecto del </w:t>
      </w:r>
      <w:r>
        <w:rPr>
          <w:rFonts w:ascii="ITC Avant Garde" w:hAnsi="ITC Avant Garde"/>
          <w:sz w:val="22"/>
          <w:szCs w:val="22"/>
        </w:rPr>
        <w:t xml:space="preserve">“Anteproyecto </w:t>
      </w:r>
      <w:r w:rsidR="00D00E71">
        <w:rPr>
          <w:rFonts w:ascii="ITC Avant Garde" w:hAnsi="ITC Avant Garde"/>
          <w:sz w:val="22"/>
          <w:szCs w:val="22"/>
        </w:rPr>
        <w:t>de Lineamientos para la Acreditación de Peritos en Materia de Telecomunicaciones y</w:t>
      </w:r>
      <w:r w:rsidR="00D00E71" w:rsidRPr="00D00E71">
        <w:rPr>
          <w:rFonts w:ascii="ITC Avant Garde" w:hAnsi="ITC Avant Garde"/>
          <w:sz w:val="22"/>
          <w:szCs w:val="22"/>
        </w:rPr>
        <w:t xml:space="preserve"> Radiodifusión</w:t>
      </w:r>
      <w:r w:rsidR="00D00E71">
        <w:rPr>
          <w:rFonts w:ascii="ITC Avant Garde" w:hAnsi="ITC Avant Garde"/>
          <w:sz w:val="22"/>
          <w:szCs w:val="22"/>
        </w:rPr>
        <w:t xml:space="preserve">” </w:t>
      </w:r>
      <w:r w:rsidRPr="00E42B4D">
        <w:rPr>
          <w:rFonts w:ascii="ITC Avant Garde" w:hAnsi="ITC Avant Garde" w:cs="Arial"/>
          <w:sz w:val="22"/>
          <w:szCs w:val="22"/>
        </w:rPr>
        <w:t>(en lo sucesivo, el “Anteproyecto”), propuesto por la Unidad de Política Regulatoria, conforme las atribuciones conferidas en los artículos 15 fracción I,</w:t>
      </w:r>
      <w:r w:rsidRPr="00110A96">
        <w:rPr>
          <w:rFonts w:ascii="ITC Avant Garde" w:hAnsi="ITC Avant Garde"/>
          <w:kern w:val="1"/>
          <w:sz w:val="22"/>
          <w:lang w:eastAsia="ar-SA"/>
        </w:rPr>
        <w:t xml:space="preserve"> </w:t>
      </w:r>
      <w:r w:rsidR="00D00E71">
        <w:rPr>
          <w:rFonts w:ascii="ITC Avant Garde" w:hAnsi="ITC Avant Garde" w:cs="Arial"/>
          <w:sz w:val="22"/>
          <w:szCs w:val="22"/>
        </w:rPr>
        <w:t>XXVI</w:t>
      </w:r>
      <w:r>
        <w:rPr>
          <w:rFonts w:ascii="ITC Avant Garde" w:hAnsi="ITC Avant Garde" w:cs="Arial"/>
          <w:sz w:val="22"/>
          <w:szCs w:val="22"/>
        </w:rPr>
        <w:t>,</w:t>
      </w:r>
      <w:r>
        <w:rPr>
          <w:rFonts w:ascii="ITC Avant Garde" w:hAnsi="ITC Avant Garde"/>
          <w:kern w:val="1"/>
          <w:sz w:val="22"/>
          <w:lang w:eastAsia="ar-SA"/>
        </w:rPr>
        <w:t xml:space="preserve"> LVI,</w:t>
      </w:r>
      <w:r w:rsidR="008C721F">
        <w:rPr>
          <w:rFonts w:ascii="ITC Avant Garde" w:hAnsi="ITC Avant Garde" w:cs="Arial"/>
          <w:sz w:val="22"/>
          <w:szCs w:val="22"/>
        </w:rPr>
        <w:t xml:space="preserve"> 51</w:t>
      </w:r>
      <w:r w:rsidRPr="00E42B4D">
        <w:rPr>
          <w:rFonts w:ascii="ITC Avant Garde" w:hAnsi="ITC Avant Garde" w:cs="Arial"/>
          <w:sz w:val="22"/>
          <w:szCs w:val="22"/>
        </w:rPr>
        <w:t xml:space="preserve">, </w:t>
      </w:r>
      <w:r w:rsidR="008C721F">
        <w:rPr>
          <w:rFonts w:ascii="ITC Avant Garde" w:hAnsi="ITC Avant Garde" w:cs="Arial"/>
          <w:sz w:val="22"/>
          <w:szCs w:val="22"/>
        </w:rPr>
        <w:t>289 y</w:t>
      </w:r>
      <w:r w:rsidR="008D1966">
        <w:rPr>
          <w:rFonts w:ascii="ITC Avant Garde" w:hAnsi="ITC Avant Garde" w:cs="Arial"/>
          <w:sz w:val="22"/>
          <w:szCs w:val="22"/>
        </w:rPr>
        <w:t xml:space="preserve"> </w:t>
      </w:r>
      <w:r w:rsidR="008C721F">
        <w:rPr>
          <w:rFonts w:ascii="ITC Avant Garde" w:hAnsi="ITC Avant Garde" w:cs="Arial"/>
          <w:sz w:val="22"/>
          <w:szCs w:val="22"/>
        </w:rPr>
        <w:t>290</w:t>
      </w:r>
      <w:r w:rsidR="008D1966">
        <w:rPr>
          <w:rFonts w:ascii="ITC Avant Garde" w:hAnsi="ITC Avant Garde" w:cs="Arial"/>
          <w:sz w:val="22"/>
          <w:szCs w:val="22"/>
        </w:rPr>
        <w:t xml:space="preserve"> </w:t>
      </w:r>
      <w:r w:rsidRPr="00E42B4D">
        <w:rPr>
          <w:rFonts w:ascii="ITC Avant Garde" w:hAnsi="ITC Avant Garde" w:cs="Arial"/>
          <w:sz w:val="22"/>
          <w:szCs w:val="22"/>
        </w:rPr>
        <w:fldChar w:fldCharType="begin"/>
      </w:r>
      <w:r w:rsidRPr="00E42B4D">
        <w:rPr>
          <w:rFonts w:ascii="ITC Avant Garde" w:hAnsi="ITC Avant Garde" w:cs="Arial"/>
          <w:sz w:val="22"/>
          <w:szCs w:val="22"/>
        </w:rPr>
        <w:instrText xml:space="preserve"> FILLIN   \* MERGEFORMAT </w:instrText>
      </w:r>
      <w:r w:rsidRPr="00E42B4D">
        <w:rPr>
          <w:rFonts w:ascii="ITC Avant Garde" w:hAnsi="ITC Avant Garde" w:cs="Arial"/>
          <w:sz w:val="22"/>
          <w:szCs w:val="22"/>
        </w:rPr>
        <w:fldChar w:fldCharType="end"/>
      </w:r>
      <w:r w:rsidRPr="00E42B4D">
        <w:rPr>
          <w:rFonts w:ascii="ITC Avant Garde" w:hAnsi="ITC Avant Garde" w:cs="Arial"/>
          <w:sz w:val="22"/>
          <w:szCs w:val="22"/>
        </w:rPr>
        <w:t xml:space="preserve">de la LFTR, 21, 22 fracción I y 23 </w:t>
      </w:r>
      <w:r w:rsidR="008C721F">
        <w:rPr>
          <w:rFonts w:ascii="ITC Avant Garde" w:hAnsi="ITC Avant Garde" w:cs="Arial"/>
          <w:sz w:val="22"/>
          <w:szCs w:val="22"/>
        </w:rPr>
        <w:t>fracción IV</w:t>
      </w:r>
      <w:r w:rsidRPr="00E42B4D">
        <w:rPr>
          <w:rFonts w:ascii="ITC Avant Garde" w:hAnsi="ITC Avant Garde" w:cs="Arial"/>
          <w:sz w:val="22"/>
          <w:szCs w:val="22"/>
        </w:rPr>
        <w:t xml:space="preserve"> del Estatuto Orgánico del Instituto. </w:t>
      </w:r>
    </w:p>
    <w:p w14:paraId="7D415348" w14:textId="77777777" w:rsidR="00900463" w:rsidRPr="00E42B4D" w:rsidRDefault="00900463" w:rsidP="001211C1">
      <w:pPr>
        <w:jc w:val="both"/>
        <w:rPr>
          <w:rFonts w:ascii="ITC Avant Garde" w:hAnsi="ITC Avant Garde" w:cs="Arial"/>
          <w:sz w:val="22"/>
          <w:szCs w:val="22"/>
        </w:rPr>
      </w:pPr>
    </w:p>
    <w:p w14:paraId="4E24E572" w14:textId="77777777" w:rsidR="00900463" w:rsidRPr="00E42B4D" w:rsidRDefault="00900463" w:rsidP="001211C1">
      <w:pPr>
        <w:jc w:val="both"/>
        <w:rPr>
          <w:rFonts w:ascii="ITC Avant Garde" w:hAnsi="ITC Avant Garde" w:cs="Arial"/>
          <w:sz w:val="22"/>
          <w:szCs w:val="22"/>
        </w:rPr>
      </w:pPr>
      <w:r w:rsidRPr="00E42B4D">
        <w:rPr>
          <w:rFonts w:ascii="ITC Avant Garde" w:hAnsi="ITC Avant Garde" w:cs="Arial"/>
          <w:sz w:val="22"/>
          <w:szCs w:val="22"/>
        </w:rPr>
        <w:t xml:space="preserve">Por su parte, de conformidad con el artículo 15, fracción I de la LFTR, el Instituto a través de su Órgano de Gobierno, resulta competente para conocer del presente asunto, al estar facultado para emitir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demás disposiciones para el cumplimiento de su función regulatoria en el sector de su competencia. </w:t>
      </w:r>
    </w:p>
    <w:p w14:paraId="78831CA7" w14:textId="77777777" w:rsidR="00900463" w:rsidRPr="00E42B4D" w:rsidRDefault="00900463" w:rsidP="001211C1">
      <w:pPr>
        <w:pStyle w:val="Default"/>
        <w:tabs>
          <w:tab w:val="left" w:pos="0"/>
        </w:tabs>
        <w:jc w:val="both"/>
        <w:rPr>
          <w:rFonts w:ascii="ITC Avant Garde" w:eastAsia="Times New Roman" w:hAnsi="ITC Avant Garde" w:cs="Arial"/>
          <w:color w:val="auto"/>
          <w:sz w:val="22"/>
          <w:szCs w:val="22"/>
          <w:lang w:eastAsia="es-ES"/>
        </w:rPr>
      </w:pPr>
    </w:p>
    <w:p w14:paraId="58EF357E" w14:textId="77777777" w:rsidR="00900463" w:rsidRDefault="00900463" w:rsidP="001211C1">
      <w:pPr>
        <w:pStyle w:val="Default"/>
        <w:tabs>
          <w:tab w:val="left" w:pos="0"/>
        </w:tabs>
        <w:jc w:val="both"/>
        <w:rPr>
          <w:rFonts w:ascii="ITC Avant Garde" w:hAnsi="ITC Avant Garde"/>
          <w:bCs/>
          <w:sz w:val="22"/>
          <w:szCs w:val="22"/>
          <w:lang w:val="es-ES_tradnl"/>
        </w:rPr>
      </w:pPr>
      <w:r w:rsidRPr="00E42B4D">
        <w:rPr>
          <w:rFonts w:ascii="ITC Avant Garde" w:eastAsia="Times New Roman" w:hAnsi="ITC Avant Garde" w:cs="Arial"/>
          <w:color w:val="auto"/>
          <w:sz w:val="22"/>
          <w:szCs w:val="22"/>
          <w:lang w:eastAsia="es-ES"/>
        </w:rPr>
        <w:t>Aunado a lo anterior, conforme a lo dispuesto en el artículo 7, párrafos primero y cuarto, de la LFTR, el Instituto es un órgano público autónomo, independiente en sus decisiones y funcionamiento, con personalidad jurídica y patrimonio propios,</w:t>
      </w:r>
      <w:r w:rsidRPr="00011B78">
        <w:rPr>
          <w:rFonts w:ascii="ITC Avant Garde" w:hAnsi="ITC Avant Garde"/>
          <w:bCs/>
          <w:sz w:val="22"/>
          <w:szCs w:val="22"/>
          <w:lang w:val="es-ES_tradnl"/>
        </w:rPr>
        <w:t xml:space="preserve"> que tiene por objeto regular y promover la competencia y el desarrollo eficiente de las telecomunicaciones y la radiodifusión en el ámbito de las atribuciones que le confieren la Constitución y en los términos que fijan esta Ley y demás disposiciones legales aplicables.</w:t>
      </w:r>
    </w:p>
    <w:p w14:paraId="6BE4024E" w14:textId="77777777" w:rsidR="00900463" w:rsidRPr="00011B78" w:rsidRDefault="00900463" w:rsidP="001211C1">
      <w:pPr>
        <w:pStyle w:val="Default"/>
        <w:tabs>
          <w:tab w:val="left" w:pos="0"/>
        </w:tabs>
        <w:jc w:val="both"/>
        <w:rPr>
          <w:rFonts w:ascii="ITC Avant Garde" w:hAnsi="ITC Avant Garde"/>
          <w:bCs/>
          <w:sz w:val="22"/>
          <w:szCs w:val="22"/>
          <w:lang w:val="es-ES_tradnl"/>
        </w:rPr>
      </w:pPr>
    </w:p>
    <w:p w14:paraId="25395AE1" w14:textId="5AC1F017" w:rsidR="00900463" w:rsidRDefault="00900463" w:rsidP="001211C1">
      <w:pPr>
        <w:pStyle w:val="Default"/>
        <w:tabs>
          <w:tab w:val="left" w:pos="0"/>
        </w:tabs>
        <w:jc w:val="both"/>
        <w:rPr>
          <w:rFonts w:ascii="ITC Avant Garde" w:hAnsi="ITC Avant Garde"/>
          <w:bCs/>
          <w:sz w:val="22"/>
          <w:szCs w:val="22"/>
          <w:lang w:val="es-ES_tradnl"/>
        </w:rPr>
      </w:pPr>
      <w:r>
        <w:rPr>
          <w:rFonts w:ascii="ITC Avant Garde" w:hAnsi="ITC Avant Garde"/>
          <w:bCs/>
          <w:sz w:val="22"/>
          <w:szCs w:val="22"/>
          <w:lang w:val="es-ES_tradnl"/>
        </w:rPr>
        <w:t>Asimismo, e</w:t>
      </w:r>
      <w:r w:rsidRPr="00011B78">
        <w:rPr>
          <w:rFonts w:ascii="ITC Avant Garde" w:hAnsi="ITC Avant Garde"/>
          <w:bCs/>
          <w:sz w:val="22"/>
          <w:szCs w:val="22"/>
          <w:lang w:val="es-ES_tradnl"/>
        </w:rPr>
        <w:t xml:space="preserve">l Instituto </w:t>
      </w:r>
      <w:r w:rsidR="00F90030">
        <w:rPr>
          <w:rFonts w:ascii="ITC Avant Garde" w:hAnsi="ITC Avant Garde"/>
          <w:bCs/>
          <w:sz w:val="22"/>
          <w:szCs w:val="22"/>
          <w:lang w:val="es-ES_tradnl"/>
        </w:rPr>
        <w:t>siendo</w:t>
      </w:r>
      <w:r w:rsidRPr="00011B78">
        <w:rPr>
          <w:rFonts w:ascii="ITC Avant Garde" w:hAnsi="ITC Avant Garde"/>
          <w:bCs/>
          <w:sz w:val="22"/>
          <w:szCs w:val="22"/>
          <w:lang w:val="es-ES_tradnl"/>
        </w:rPr>
        <w:t xml:space="preserve"> la autoridad en materia de lineamientos técnicos relativos a la infraestructura y los equipos que se conecten a las redes de </w:t>
      </w:r>
      <w:r w:rsidRPr="00011B78">
        <w:rPr>
          <w:rFonts w:ascii="ITC Avant Garde" w:hAnsi="ITC Avant Garde"/>
          <w:bCs/>
          <w:sz w:val="22"/>
          <w:szCs w:val="22"/>
          <w:lang w:val="es-ES_tradnl"/>
        </w:rPr>
        <w:lastRenderedPageBreak/>
        <w:t xml:space="preserve">telecomunicaciones, así como en materia de homologación y evaluación de la conformidad de </w:t>
      </w:r>
      <w:r w:rsidR="00F90030">
        <w:rPr>
          <w:rFonts w:ascii="ITC Avant Garde" w:hAnsi="ITC Avant Garde"/>
          <w:bCs/>
          <w:sz w:val="22"/>
          <w:szCs w:val="22"/>
          <w:lang w:val="es-ES_tradnl"/>
        </w:rPr>
        <w:t>dicha infraestructura y equipos, cuenta con la atribución de, conforme al artículo 15 fracción XXVI</w:t>
      </w:r>
      <w:r w:rsidR="00321952">
        <w:rPr>
          <w:rFonts w:ascii="ITC Avant Garde" w:hAnsi="ITC Avant Garde"/>
          <w:bCs/>
          <w:sz w:val="22"/>
          <w:szCs w:val="22"/>
          <w:lang w:val="es-ES_tradnl"/>
        </w:rPr>
        <w:t xml:space="preserve"> de la LFTR</w:t>
      </w:r>
      <w:r w:rsidR="00F90030">
        <w:rPr>
          <w:rFonts w:ascii="ITC Avant Garde" w:hAnsi="ITC Avant Garde"/>
          <w:bCs/>
          <w:sz w:val="22"/>
          <w:szCs w:val="22"/>
          <w:lang w:val="es-ES_tradnl"/>
        </w:rPr>
        <w:t xml:space="preserve">, </w:t>
      </w:r>
      <w:r w:rsidR="0096647C">
        <w:rPr>
          <w:rFonts w:ascii="ITC Avant Garde" w:hAnsi="ITC Avant Garde"/>
          <w:bCs/>
          <w:sz w:val="22"/>
          <w:szCs w:val="22"/>
          <w:lang w:val="es-ES_tradnl"/>
        </w:rPr>
        <w:t>acreditar</w:t>
      </w:r>
      <w:r w:rsidR="00F90030">
        <w:rPr>
          <w:rFonts w:ascii="ITC Avant Garde" w:hAnsi="ITC Avant Garde"/>
          <w:bCs/>
          <w:sz w:val="22"/>
          <w:szCs w:val="22"/>
          <w:lang w:val="es-ES_tradnl"/>
        </w:rPr>
        <w:t xml:space="preserve"> peritos y unidades de verificación en estos sectores.</w:t>
      </w:r>
    </w:p>
    <w:p w14:paraId="24603CFC" w14:textId="77777777" w:rsidR="00C95170" w:rsidRDefault="00C95170" w:rsidP="001211C1">
      <w:pPr>
        <w:jc w:val="both"/>
        <w:rPr>
          <w:rFonts w:ascii="ITC Avant Garde" w:hAnsi="ITC Avant Garde" w:cs="Arial"/>
          <w:sz w:val="22"/>
          <w:szCs w:val="22"/>
        </w:rPr>
      </w:pPr>
    </w:p>
    <w:p w14:paraId="147908A9" w14:textId="77777777" w:rsidR="001211C1" w:rsidRDefault="001211C1" w:rsidP="001211C1">
      <w:pPr>
        <w:jc w:val="both"/>
        <w:rPr>
          <w:rFonts w:ascii="ITC Avant Garde" w:hAnsi="ITC Avant Garde" w:cs="Arial"/>
          <w:sz w:val="22"/>
          <w:szCs w:val="22"/>
        </w:rPr>
      </w:pPr>
    </w:p>
    <w:p w14:paraId="1B1061D2" w14:textId="77777777" w:rsidR="00F90030" w:rsidRPr="00F90030" w:rsidRDefault="00C95170" w:rsidP="001211C1">
      <w:pPr>
        <w:jc w:val="both"/>
        <w:rPr>
          <w:rFonts w:ascii="ITC Avant Garde" w:hAnsi="ITC Avant Garde"/>
          <w:sz w:val="22"/>
          <w:szCs w:val="22"/>
        </w:rPr>
      </w:pPr>
      <w:r w:rsidRPr="00AE1C09">
        <w:rPr>
          <w:rFonts w:ascii="ITC Avant Garde" w:hAnsi="ITC Avant Garde" w:cs="Arial"/>
          <w:b/>
          <w:sz w:val="22"/>
          <w:szCs w:val="22"/>
        </w:rPr>
        <w:t>SEGUNDO</w:t>
      </w:r>
      <w:r>
        <w:rPr>
          <w:rFonts w:ascii="ITC Avant Garde" w:hAnsi="ITC Avant Garde" w:cs="Arial"/>
          <w:sz w:val="22"/>
          <w:szCs w:val="22"/>
        </w:rPr>
        <w:t>.-</w:t>
      </w:r>
      <w:r w:rsidR="00F90030">
        <w:rPr>
          <w:rFonts w:ascii="ITC Avant Garde" w:hAnsi="ITC Avant Garde"/>
          <w:b/>
          <w:sz w:val="22"/>
          <w:szCs w:val="22"/>
        </w:rPr>
        <w:t xml:space="preserve"> </w:t>
      </w:r>
      <w:r w:rsidR="00F90030" w:rsidRPr="00F90030">
        <w:rPr>
          <w:rFonts w:ascii="ITC Avant Garde" w:hAnsi="ITC Avant Garde"/>
          <w:b/>
          <w:sz w:val="22"/>
          <w:szCs w:val="22"/>
        </w:rPr>
        <w:t>Las telecomunicaciones y la radiodifusión como servic</w:t>
      </w:r>
      <w:r w:rsidR="00F90030">
        <w:rPr>
          <w:rFonts w:ascii="ITC Avant Garde" w:hAnsi="ITC Avant Garde"/>
          <w:b/>
          <w:sz w:val="22"/>
          <w:szCs w:val="22"/>
        </w:rPr>
        <w:t>ios públicos de interés general</w:t>
      </w:r>
      <w:r w:rsidR="00AD55DE" w:rsidRPr="00137D65">
        <w:rPr>
          <w:rFonts w:ascii="ITC Avant Garde" w:hAnsi="ITC Avant Garde"/>
          <w:sz w:val="22"/>
          <w:szCs w:val="22"/>
        </w:rPr>
        <w:t xml:space="preserve">. </w:t>
      </w:r>
      <w:r w:rsidR="00F90030" w:rsidRPr="00F90030">
        <w:rPr>
          <w:rFonts w:ascii="ITC Avant Garde" w:hAnsi="ITC Avant Garde"/>
          <w:sz w:val="22"/>
          <w:szCs w:val="22"/>
        </w:rPr>
        <w:t>Como lo ordena el artículo 28 de la Constitución, el Instituto tiene el mandato de garantizar lo establecido en los artículos 6o. y 7o. del mismo ordenamiento, los cuales prevén, entre otras cosas, el derecho</w:t>
      </w:r>
      <w:r w:rsidR="008D1966">
        <w:rPr>
          <w:rFonts w:ascii="ITC Avant Garde" w:hAnsi="ITC Avant Garde"/>
          <w:sz w:val="22"/>
          <w:szCs w:val="22"/>
        </w:rPr>
        <w:t xml:space="preserve"> </w:t>
      </w:r>
      <w:r w:rsidR="00F90030" w:rsidRPr="00F90030">
        <w:rPr>
          <w:rFonts w:ascii="ITC Avant Garde" w:hAnsi="ITC Avant Garde"/>
          <w:sz w:val="22"/>
          <w:szCs w:val="22"/>
        </w:rPr>
        <w:t>de acceso a las tecnologías de la información y comunicación, así como a los servicios de radiodifusión y telecomunicaciones y otorgan a dichos servicios la naturaleza de servicios públicos de interés general, respecto de los cuales el Estado señalará las condiciones de competencia efectiva para prestar los mismos. En ese orden de ideas, en términos de la fracción II del apartado B del artículo 6 de la Constitución y 2 de la LFTR, las telecomunicaciones son un servicio público de interés general, por lo que el Estado garantizará que sean prestadas en condiciones de competencia, calidad, pluralidad, cobertura universal, interconexión, convergencia, continuidad, acceso libre y sin injerencias arbitrarias.</w:t>
      </w:r>
    </w:p>
    <w:p w14:paraId="5E8579B2" w14:textId="77777777" w:rsidR="00F90030" w:rsidRPr="00F90030" w:rsidRDefault="00F90030" w:rsidP="001211C1">
      <w:pPr>
        <w:jc w:val="both"/>
        <w:rPr>
          <w:rFonts w:ascii="ITC Avant Garde" w:hAnsi="ITC Avant Garde"/>
          <w:sz w:val="22"/>
          <w:szCs w:val="22"/>
        </w:rPr>
      </w:pPr>
    </w:p>
    <w:p w14:paraId="419A9BA6" w14:textId="77777777" w:rsidR="00F90030" w:rsidRPr="00F90030" w:rsidRDefault="00F90030" w:rsidP="001211C1">
      <w:pPr>
        <w:jc w:val="both"/>
        <w:rPr>
          <w:rFonts w:ascii="ITC Avant Garde" w:hAnsi="ITC Avant Garde"/>
          <w:sz w:val="22"/>
          <w:szCs w:val="22"/>
        </w:rPr>
      </w:pPr>
      <w:r w:rsidRPr="00F90030">
        <w:rPr>
          <w:rFonts w:ascii="ITC Avant Garde" w:hAnsi="ITC Avant Garde"/>
          <w:sz w:val="22"/>
          <w:szCs w:val="22"/>
        </w:rPr>
        <w:t xml:space="preserve">Asimismo, de conformidad con la fracción III del apartado B del artículo 6 de la Constitución y 2 de la LFTR,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la Constitución. </w:t>
      </w:r>
    </w:p>
    <w:p w14:paraId="6351FE0D" w14:textId="77777777" w:rsidR="00F90030" w:rsidRPr="00F90030" w:rsidRDefault="00F90030" w:rsidP="001211C1">
      <w:pPr>
        <w:jc w:val="both"/>
        <w:rPr>
          <w:rFonts w:ascii="ITC Avant Garde" w:hAnsi="ITC Avant Garde"/>
          <w:sz w:val="22"/>
          <w:szCs w:val="22"/>
        </w:rPr>
      </w:pPr>
    </w:p>
    <w:p w14:paraId="5B8C3541" w14:textId="77777777" w:rsidR="002517B0" w:rsidRDefault="00F90030" w:rsidP="001211C1">
      <w:pPr>
        <w:jc w:val="both"/>
        <w:rPr>
          <w:rFonts w:ascii="ITC Avant Garde" w:hAnsi="ITC Avant Garde"/>
          <w:sz w:val="22"/>
          <w:szCs w:val="22"/>
        </w:rPr>
      </w:pPr>
      <w:r w:rsidRPr="00F90030">
        <w:rPr>
          <w:rFonts w:ascii="ITC Avant Garde" w:hAnsi="ITC Avant Garde"/>
          <w:sz w:val="22"/>
          <w:szCs w:val="22"/>
        </w:rPr>
        <w:t>De lo expuesto, es relevante contar con un instrumento normativo que permita establecer los</w:t>
      </w:r>
      <w:r w:rsidR="008D1966">
        <w:rPr>
          <w:rFonts w:ascii="ITC Avant Garde" w:hAnsi="ITC Avant Garde"/>
          <w:sz w:val="22"/>
          <w:szCs w:val="22"/>
        </w:rPr>
        <w:t xml:space="preserve"> </w:t>
      </w:r>
      <w:r w:rsidRPr="00F90030">
        <w:rPr>
          <w:rFonts w:ascii="ITC Avant Garde" w:hAnsi="ITC Avant Garde"/>
          <w:sz w:val="22"/>
          <w:szCs w:val="22"/>
        </w:rPr>
        <w:t>requisitos y procedimientos para la</w:t>
      </w:r>
      <w:r>
        <w:rPr>
          <w:rFonts w:ascii="ITC Avant Garde" w:hAnsi="ITC Avant Garde"/>
          <w:sz w:val="22"/>
          <w:szCs w:val="22"/>
        </w:rPr>
        <w:t xml:space="preserve"> Acreditación de Peritos en Materia de Telecomunicaciones y Radiodifusión</w:t>
      </w:r>
      <w:r w:rsidRPr="00F90030">
        <w:rPr>
          <w:rFonts w:ascii="ITC Avant Garde" w:hAnsi="ITC Avant Garde"/>
          <w:sz w:val="22"/>
          <w:szCs w:val="22"/>
        </w:rPr>
        <w:t xml:space="preserve">, ya que como se establece en el artículo </w:t>
      </w:r>
      <w:r>
        <w:rPr>
          <w:rFonts w:ascii="ITC Avant Garde" w:hAnsi="ITC Avant Garde"/>
          <w:sz w:val="22"/>
          <w:szCs w:val="22"/>
        </w:rPr>
        <w:t>289</w:t>
      </w:r>
      <w:r w:rsidRPr="00F90030">
        <w:rPr>
          <w:rFonts w:ascii="ITC Avant Garde" w:hAnsi="ITC Avant Garde"/>
          <w:sz w:val="22"/>
          <w:szCs w:val="22"/>
        </w:rPr>
        <w:t xml:space="preserve"> de la LFTR, los productos, equipos, dispositivos o aparatos destinados a telecomunicaciones o radiodifusión que puedan ser conectados a una red de telecomunicaciones o hacer uso del espectro radioeléctrico deberán homologarse conforme a las normas o disposiciones técnicas aplicables de conformidad con lo establecido en la Ley Federal sobre Metrología y Normalización.</w:t>
      </w:r>
      <w:r>
        <w:rPr>
          <w:rFonts w:ascii="ITC Avant Garde" w:hAnsi="ITC Avant Garde"/>
          <w:sz w:val="22"/>
          <w:szCs w:val="22"/>
        </w:rPr>
        <w:t xml:space="preserve"> </w:t>
      </w:r>
      <w:r w:rsidR="001E7E83">
        <w:rPr>
          <w:rFonts w:ascii="ITC Avant Garde" w:hAnsi="ITC Avant Garde"/>
          <w:sz w:val="22"/>
          <w:szCs w:val="22"/>
        </w:rPr>
        <w:t xml:space="preserve">Mientras que el artículo 290 mandata que el Instituto está facultado para acreditar peritos en materia de telecomunicaciones y de radiodifusión, como apoyo a los procedimientos de homologación. </w:t>
      </w:r>
    </w:p>
    <w:p w14:paraId="2CE3D41C" w14:textId="77777777" w:rsidR="00B76DDC" w:rsidRDefault="00B76DDC" w:rsidP="001211C1">
      <w:pPr>
        <w:pStyle w:val="Texto"/>
        <w:spacing w:line="240" w:lineRule="auto"/>
        <w:ind w:firstLine="0"/>
        <w:rPr>
          <w:rFonts w:ascii="ITC Avant Garde" w:hAnsi="ITC Avant Garde"/>
          <w:sz w:val="22"/>
          <w:szCs w:val="22"/>
        </w:rPr>
      </w:pPr>
    </w:p>
    <w:p w14:paraId="024DF4F2" w14:textId="77777777" w:rsidR="001211C1" w:rsidRPr="00B76DDC" w:rsidRDefault="001211C1" w:rsidP="001211C1">
      <w:pPr>
        <w:pStyle w:val="Texto"/>
        <w:spacing w:line="240" w:lineRule="auto"/>
        <w:ind w:firstLine="0"/>
        <w:rPr>
          <w:rFonts w:ascii="ITC Avant Garde" w:hAnsi="ITC Avant Garde"/>
          <w:sz w:val="22"/>
          <w:szCs w:val="22"/>
        </w:rPr>
      </w:pPr>
    </w:p>
    <w:p w14:paraId="3B4CF350" w14:textId="77777777" w:rsidR="00A06EBB" w:rsidRDefault="00A06EBB" w:rsidP="001211C1">
      <w:pPr>
        <w:autoSpaceDE w:val="0"/>
        <w:autoSpaceDN w:val="0"/>
        <w:adjustRightInd w:val="0"/>
        <w:jc w:val="both"/>
        <w:rPr>
          <w:rFonts w:ascii="ITC Avant Garde" w:hAnsi="ITC Avant Garde"/>
          <w:sz w:val="22"/>
          <w:szCs w:val="22"/>
          <w:lang w:val="es-ES_tradnl"/>
        </w:rPr>
      </w:pPr>
      <w:r>
        <w:rPr>
          <w:rFonts w:ascii="ITC Avant Garde" w:hAnsi="ITC Avant Garde"/>
          <w:b/>
          <w:sz w:val="22"/>
          <w:szCs w:val="22"/>
        </w:rPr>
        <w:lastRenderedPageBreak/>
        <w:t>TERCERO</w:t>
      </w:r>
      <w:r w:rsidR="00AD55DE" w:rsidRPr="00137D65">
        <w:rPr>
          <w:rFonts w:ascii="ITC Avant Garde" w:hAnsi="ITC Avant Garde"/>
          <w:sz w:val="22"/>
          <w:szCs w:val="22"/>
        </w:rPr>
        <w:t>.</w:t>
      </w:r>
      <w:r w:rsidR="002C3AAE">
        <w:rPr>
          <w:rFonts w:ascii="ITC Avant Garde" w:hAnsi="ITC Avant Garde"/>
          <w:sz w:val="22"/>
          <w:szCs w:val="22"/>
        </w:rPr>
        <w:t xml:space="preserve"> </w:t>
      </w:r>
      <w:r>
        <w:rPr>
          <w:rFonts w:ascii="ITC Avant Garde" w:hAnsi="ITC Avant Garde"/>
          <w:b/>
          <w:sz w:val="22"/>
          <w:szCs w:val="22"/>
          <w:lang w:val="es-ES_tradnl"/>
        </w:rPr>
        <w:t>Consulta pública.</w:t>
      </w:r>
      <w:r w:rsidRPr="00501D3C">
        <w:rPr>
          <w:rFonts w:ascii="ITC Avant Garde" w:hAnsi="ITC Avant Garde"/>
          <w:sz w:val="22"/>
          <w:szCs w:val="22"/>
          <w:lang w:val="es-ES_tradnl"/>
        </w:rPr>
        <w:t xml:space="preserve"> Que con la emisión de la consulta pública del Anteproyecto se alcanzan los siguientes objetivos:</w:t>
      </w:r>
    </w:p>
    <w:p w14:paraId="121F264C" w14:textId="77777777" w:rsidR="00A06EBB" w:rsidRDefault="00A06EBB" w:rsidP="001211C1">
      <w:pPr>
        <w:autoSpaceDE w:val="0"/>
        <w:autoSpaceDN w:val="0"/>
        <w:adjustRightInd w:val="0"/>
        <w:jc w:val="both"/>
        <w:rPr>
          <w:rFonts w:ascii="ITC Avant Garde" w:hAnsi="ITC Avant Garde"/>
          <w:sz w:val="22"/>
          <w:szCs w:val="22"/>
          <w:lang w:val="es-ES_tradnl"/>
        </w:rPr>
      </w:pPr>
    </w:p>
    <w:p w14:paraId="500CEA1B" w14:textId="64BA01A9" w:rsidR="002367EE" w:rsidRDefault="00A06EBB" w:rsidP="001211C1">
      <w:pPr>
        <w:pStyle w:val="Default"/>
        <w:numPr>
          <w:ilvl w:val="0"/>
          <w:numId w:val="11"/>
        </w:numPr>
        <w:tabs>
          <w:tab w:val="left" w:pos="0"/>
        </w:tabs>
        <w:ind w:left="851" w:hanging="425"/>
        <w:jc w:val="both"/>
        <w:rPr>
          <w:rFonts w:ascii="ITC Avant Garde" w:hAnsi="ITC Avant Garde"/>
          <w:sz w:val="22"/>
          <w:szCs w:val="22"/>
          <w:lang w:val="es-ES_tradnl"/>
        </w:rPr>
      </w:pPr>
      <w:r w:rsidRPr="00501D3C">
        <w:rPr>
          <w:rFonts w:ascii="ITC Avant Garde" w:hAnsi="ITC Avant Garde"/>
          <w:sz w:val="22"/>
          <w:szCs w:val="22"/>
          <w:lang w:val="es-ES_tradnl"/>
        </w:rPr>
        <w:t>Fortalecer el principio de</w:t>
      </w:r>
      <w:r w:rsidR="00110A96">
        <w:rPr>
          <w:rFonts w:ascii="ITC Avant Garde" w:hAnsi="ITC Avant Garde"/>
          <w:sz w:val="22"/>
          <w:szCs w:val="22"/>
          <w:lang w:val="es-ES_tradnl"/>
        </w:rPr>
        <w:t xml:space="preserve"> transparencia en la emisión del</w:t>
      </w:r>
      <w:r>
        <w:rPr>
          <w:rFonts w:ascii="ITC Avant Garde" w:hAnsi="ITC Avant Garde"/>
          <w:sz w:val="22"/>
          <w:szCs w:val="22"/>
          <w:lang w:val="es-ES_tradnl"/>
        </w:rPr>
        <w:t xml:space="preserve"> </w:t>
      </w:r>
      <w:r>
        <w:rPr>
          <w:rFonts w:ascii="ITC Avant Garde" w:hAnsi="ITC Avant Garde"/>
          <w:sz w:val="22"/>
          <w:szCs w:val="22"/>
        </w:rPr>
        <w:t>“</w:t>
      </w:r>
      <w:r w:rsidRPr="00321952">
        <w:rPr>
          <w:rFonts w:ascii="ITC Avant Garde" w:hAnsi="ITC Avant Garde"/>
          <w:b/>
          <w:sz w:val="22"/>
          <w:szCs w:val="22"/>
        </w:rPr>
        <w:t xml:space="preserve">Anteproyecto </w:t>
      </w:r>
      <w:r w:rsidR="002367EE" w:rsidRPr="00321952">
        <w:rPr>
          <w:rFonts w:ascii="ITC Avant Garde" w:hAnsi="ITC Avant Garde"/>
          <w:b/>
          <w:sz w:val="22"/>
          <w:szCs w:val="22"/>
        </w:rPr>
        <w:t>de</w:t>
      </w:r>
      <w:r w:rsidR="001E7E83" w:rsidRPr="00321952">
        <w:rPr>
          <w:rFonts w:ascii="ITC Avant Garde" w:hAnsi="ITC Avant Garde"/>
          <w:b/>
          <w:sz w:val="22"/>
          <w:szCs w:val="22"/>
        </w:rPr>
        <w:t xml:space="preserve"> Lineamientos para la Acreditación de Peritos en Materia de Telecomunicaciones y </w:t>
      </w:r>
      <w:r w:rsidR="006948E9">
        <w:rPr>
          <w:rFonts w:ascii="ITC Avant Garde" w:hAnsi="ITC Avant Garde"/>
          <w:b/>
          <w:sz w:val="22"/>
          <w:szCs w:val="22"/>
        </w:rPr>
        <w:t xml:space="preserve">de </w:t>
      </w:r>
      <w:r w:rsidR="001E7E83" w:rsidRPr="00321952">
        <w:rPr>
          <w:rFonts w:ascii="ITC Avant Garde" w:hAnsi="ITC Avant Garde"/>
          <w:b/>
          <w:sz w:val="22"/>
          <w:szCs w:val="22"/>
        </w:rPr>
        <w:t>Radiodifusión</w:t>
      </w:r>
      <w:r w:rsidR="001E7E83">
        <w:rPr>
          <w:rFonts w:ascii="ITC Avant Garde" w:hAnsi="ITC Avant Garde"/>
          <w:sz w:val="22"/>
          <w:szCs w:val="22"/>
        </w:rPr>
        <w:t>”.</w:t>
      </w:r>
      <w:r>
        <w:rPr>
          <w:rFonts w:ascii="ITC Avant Garde" w:hAnsi="ITC Avant Garde"/>
          <w:sz w:val="22"/>
          <w:szCs w:val="22"/>
          <w:lang w:val="es-ES_tradnl"/>
        </w:rPr>
        <w:t xml:space="preserve"> </w:t>
      </w:r>
    </w:p>
    <w:p w14:paraId="1A7DE600" w14:textId="77777777" w:rsidR="00F529BA" w:rsidRDefault="00F529BA" w:rsidP="001211C1">
      <w:pPr>
        <w:pStyle w:val="Default"/>
        <w:tabs>
          <w:tab w:val="left" w:pos="0"/>
        </w:tabs>
        <w:ind w:left="426"/>
        <w:jc w:val="both"/>
        <w:rPr>
          <w:rFonts w:ascii="ITC Avant Garde" w:hAnsi="ITC Avant Garde"/>
          <w:sz w:val="22"/>
          <w:szCs w:val="22"/>
          <w:lang w:val="es-ES_tradnl"/>
        </w:rPr>
      </w:pPr>
    </w:p>
    <w:p w14:paraId="6AED5FD2" w14:textId="77777777" w:rsidR="00A06EBB" w:rsidRDefault="002367EE" w:rsidP="001211C1">
      <w:pPr>
        <w:pStyle w:val="Default"/>
        <w:numPr>
          <w:ilvl w:val="0"/>
          <w:numId w:val="11"/>
        </w:numPr>
        <w:tabs>
          <w:tab w:val="left" w:pos="0"/>
        </w:tabs>
        <w:ind w:left="851" w:hanging="425"/>
        <w:jc w:val="both"/>
        <w:rPr>
          <w:rFonts w:ascii="ITC Avant Garde" w:hAnsi="ITC Avant Garde"/>
          <w:sz w:val="22"/>
          <w:szCs w:val="22"/>
          <w:lang w:val="es-ES_tradnl"/>
        </w:rPr>
      </w:pPr>
      <w:r w:rsidRPr="002367EE">
        <w:rPr>
          <w:rFonts w:ascii="ITC Avant Garde" w:hAnsi="ITC Avant Garde"/>
          <w:sz w:val="22"/>
          <w:szCs w:val="22"/>
          <w:lang w:val="es-ES_tradnl"/>
        </w:rPr>
        <w:t xml:space="preserve">Fortalecer los planteamientos expuestos en el Anteproyecto mediante la participación de la industria, así como de la ciudadanía, generando así un documento más robusto y eficiente que busque brindar una cobertura </w:t>
      </w:r>
      <w:r w:rsidR="00D259BD" w:rsidRPr="00C30790">
        <w:rPr>
          <w:rFonts w:ascii="ITC Avant Garde" w:hAnsi="ITC Avant Garde"/>
          <w:sz w:val="22"/>
          <w:szCs w:val="22"/>
          <w:lang w:val="es-ES_tradnl"/>
        </w:rPr>
        <w:t>ó</w:t>
      </w:r>
      <w:r w:rsidRPr="00C30790">
        <w:rPr>
          <w:rFonts w:ascii="ITC Avant Garde" w:hAnsi="ITC Avant Garde"/>
          <w:sz w:val="22"/>
          <w:szCs w:val="22"/>
          <w:lang w:val="es-ES_tradnl"/>
        </w:rPr>
        <w:t>p</w:t>
      </w:r>
      <w:r w:rsidRPr="002367EE">
        <w:rPr>
          <w:rFonts w:ascii="ITC Avant Garde" w:hAnsi="ITC Avant Garde"/>
          <w:sz w:val="22"/>
          <w:szCs w:val="22"/>
          <w:lang w:val="es-ES_tradnl"/>
        </w:rPr>
        <w:t>tima a las necesidades y sugerencias en beneficio de todo el sector</w:t>
      </w:r>
      <w:r w:rsidR="00F529BA">
        <w:rPr>
          <w:rFonts w:ascii="ITC Avant Garde" w:hAnsi="ITC Avant Garde"/>
          <w:sz w:val="22"/>
          <w:szCs w:val="22"/>
          <w:lang w:val="es-ES_tradnl"/>
        </w:rPr>
        <w:t>.</w:t>
      </w:r>
    </w:p>
    <w:p w14:paraId="2F81E29E" w14:textId="77777777" w:rsidR="00F529BA" w:rsidRPr="002367EE" w:rsidRDefault="00F529BA" w:rsidP="001211C1">
      <w:pPr>
        <w:pStyle w:val="Default"/>
        <w:tabs>
          <w:tab w:val="left" w:pos="0"/>
        </w:tabs>
        <w:ind w:left="426"/>
        <w:jc w:val="both"/>
        <w:rPr>
          <w:rFonts w:ascii="ITC Avant Garde" w:hAnsi="ITC Avant Garde"/>
          <w:sz w:val="22"/>
          <w:szCs w:val="22"/>
          <w:lang w:val="es-ES_tradnl"/>
        </w:rPr>
      </w:pPr>
    </w:p>
    <w:p w14:paraId="24DF8D75" w14:textId="77777777" w:rsidR="001E7E83" w:rsidRDefault="002367EE" w:rsidP="001211C1">
      <w:pPr>
        <w:autoSpaceDE w:val="0"/>
        <w:autoSpaceDN w:val="0"/>
        <w:adjustRightInd w:val="0"/>
        <w:jc w:val="both"/>
        <w:rPr>
          <w:rFonts w:ascii="ITC Avant Garde" w:hAnsi="ITC Avant Garde"/>
          <w:kern w:val="2"/>
          <w:sz w:val="22"/>
          <w:szCs w:val="22"/>
          <w:lang w:val="es-ES" w:eastAsia="ar-SA"/>
        </w:rPr>
      </w:pPr>
      <w:r w:rsidRPr="002367EE">
        <w:rPr>
          <w:rFonts w:ascii="ITC Avant Garde" w:hAnsi="ITC Avant Garde"/>
          <w:kern w:val="2"/>
          <w:sz w:val="22"/>
          <w:szCs w:val="22"/>
          <w:lang w:val="es-ES" w:eastAsia="ar-SA"/>
        </w:rPr>
        <w:t xml:space="preserve">El artículo 51 de la LFTR establece que para la emisión y modificación de reglas, lineamientos, o disposiciones administrativas de carácter general, así como en cualquier caso que determine el Pleno, el Instituto deberá realizar consultas públicas bajo los </w:t>
      </w:r>
      <w:r w:rsidR="001E7E83" w:rsidRPr="002367EE">
        <w:rPr>
          <w:rFonts w:ascii="ITC Avant Garde" w:hAnsi="ITC Avant Garde"/>
          <w:kern w:val="2"/>
          <w:sz w:val="22"/>
          <w:szCs w:val="22"/>
          <w:lang w:val="es-ES" w:eastAsia="ar-SA"/>
        </w:rPr>
        <w:t>principios de</w:t>
      </w:r>
      <w:r w:rsidRPr="002367EE">
        <w:rPr>
          <w:rFonts w:ascii="ITC Avant Garde" w:hAnsi="ITC Avant Garde"/>
          <w:kern w:val="2"/>
          <w:sz w:val="22"/>
          <w:szCs w:val="22"/>
          <w:lang w:val="es-ES" w:eastAsia="ar-SA"/>
        </w:rPr>
        <w:t xml:space="preserve"> transparencia y participación ciudadana.</w:t>
      </w:r>
    </w:p>
    <w:p w14:paraId="2F4294FA" w14:textId="77777777" w:rsidR="002367EE" w:rsidRDefault="002367EE" w:rsidP="001211C1">
      <w:pPr>
        <w:autoSpaceDE w:val="0"/>
        <w:autoSpaceDN w:val="0"/>
        <w:adjustRightInd w:val="0"/>
        <w:jc w:val="both"/>
        <w:rPr>
          <w:rFonts w:ascii="ITC Avant Garde" w:hAnsi="ITC Avant Garde"/>
          <w:sz w:val="22"/>
          <w:szCs w:val="22"/>
        </w:rPr>
      </w:pPr>
      <w:r w:rsidRPr="002367EE">
        <w:rPr>
          <w:rFonts w:ascii="ITC Avant Garde" w:hAnsi="ITC Avant Garde"/>
          <w:sz w:val="22"/>
          <w:szCs w:val="22"/>
        </w:rPr>
        <w:t xml:space="preserve"> </w:t>
      </w:r>
    </w:p>
    <w:p w14:paraId="1AC50C64" w14:textId="77777777" w:rsidR="001211C1" w:rsidRPr="002367EE" w:rsidRDefault="001211C1" w:rsidP="001211C1">
      <w:pPr>
        <w:autoSpaceDE w:val="0"/>
        <w:autoSpaceDN w:val="0"/>
        <w:adjustRightInd w:val="0"/>
        <w:jc w:val="both"/>
        <w:rPr>
          <w:rFonts w:ascii="ITC Avant Garde" w:hAnsi="ITC Avant Garde"/>
          <w:sz w:val="22"/>
          <w:szCs w:val="22"/>
        </w:rPr>
      </w:pPr>
    </w:p>
    <w:p w14:paraId="2859FBA3" w14:textId="5137CCD6" w:rsidR="00FD0F65" w:rsidRDefault="002C3AAE" w:rsidP="001211C1">
      <w:pPr>
        <w:autoSpaceDE w:val="0"/>
        <w:autoSpaceDN w:val="0"/>
        <w:adjustRightInd w:val="0"/>
        <w:jc w:val="both"/>
        <w:rPr>
          <w:rFonts w:ascii="ITC Avant Garde" w:hAnsi="ITC Avant Garde"/>
          <w:sz w:val="22"/>
          <w:szCs w:val="22"/>
        </w:rPr>
      </w:pPr>
      <w:r>
        <w:rPr>
          <w:rFonts w:ascii="ITC Avant Garde" w:hAnsi="ITC Avant Garde"/>
          <w:sz w:val="22"/>
          <w:szCs w:val="22"/>
        </w:rPr>
        <w:t xml:space="preserve">En este sentido, el Pleno del Instituto estima conveniente someter a consulta pública el </w:t>
      </w:r>
      <w:r w:rsidR="00A06EBB">
        <w:rPr>
          <w:rFonts w:ascii="ITC Avant Garde" w:hAnsi="ITC Avant Garde"/>
          <w:sz w:val="22"/>
          <w:szCs w:val="22"/>
        </w:rPr>
        <w:t>“</w:t>
      </w:r>
      <w:r w:rsidRPr="00321952">
        <w:rPr>
          <w:rFonts w:ascii="ITC Avant Garde" w:hAnsi="ITC Avant Garde"/>
          <w:b/>
          <w:sz w:val="22"/>
          <w:szCs w:val="22"/>
        </w:rPr>
        <w:t>Anteproyecto</w:t>
      </w:r>
      <w:r w:rsidR="002367EE" w:rsidRPr="00321952">
        <w:rPr>
          <w:rFonts w:ascii="ITC Avant Garde" w:hAnsi="ITC Avant Garde"/>
          <w:b/>
          <w:sz w:val="22"/>
          <w:szCs w:val="22"/>
        </w:rPr>
        <w:t xml:space="preserve"> de</w:t>
      </w:r>
      <w:r w:rsidRPr="00321952">
        <w:rPr>
          <w:rFonts w:ascii="ITC Avant Garde" w:hAnsi="ITC Avant Garde"/>
          <w:b/>
          <w:sz w:val="22"/>
          <w:szCs w:val="22"/>
        </w:rPr>
        <w:t xml:space="preserve"> </w:t>
      </w:r>
      <w:r w:rsidR="001E7E83" w:rsidRPr="00321952">
        <w:rPr>
          <w:rFonts w:ascii="ITC Avant Garde" w:hAnsi="ITC Avant Garde"/>
          <w:b/>
          <w:sz w:val="22"/>
          <w:szCs w:val="22"/>
        </w:rPr>
        <w:t xml:space="preserve">Lineamientos para la Acreditación de Peritos en Materia de Telecomunicaciones y </w:t>
      </w:r>
      <w:r w:rsidR="006948E9">
        <w:rPr>
          <w:rFonts w:ascii="ITC Avant Garde" w:hAnsi="ITC Avant Garde"/>
          <w:b/>
          <w:sz w:val="22"/>
          <w:szCs w:val="22"/>
        </w:rPr>
        <w:t xml:space="preserve">de </w:t>
      </w:r>
      <w:r w:rsidR="001E7E83" w:rsidRPr="00321952">
        <w:rPr>
          <w:rFonts w:ascii="ITC Avant Garde" w:hAnsi="ITC Avant Garde"/>
          <w:b/>
          <w:sz w:val="22"/>
          <w:szCs w:val="22"/>
        </w:rPr>
        <w:t>Radiodifusión</w:t>
      </w:r>
      <w:r w:rsidR="00A06EBB">
        <w:rPr>
          <w:rFonts w:ascii="ITC Avant Garde" w:hAnsi="ITC Avant Garde"/>
          <w:sz w:val="22"/>
          <w:szCs w:val="22"/>
        </w:rPr>
        <w:t>”</w:t>
      </w:r>
      <w:r w:rsidR="00121FDF">
        <w:rPr>
          <w:rFonts w:ascii="ITC Avant Garde" w:hAnsi="ITC Avant Garde"/>
          <w:b/>
          <w:sz w:val="22"/>
          <w:szCs w:val="22"/>
        </w:rPr>
        <w:t xml:space="preserve">, </w:t>
      </w:r>
      <w:r w:rsidR="00121FDF">
        <w:rPr>
          <w:rFonts w:ascii="ITC Avant Garde" w:hAnsi="ITC Avant Garde"/>
          <w:sz w:val="22"/>
          <w:szCs w:val="22"/>
        </w:rPr>
        <w:t xml:space="preserve">que a su vez le fue sometido a su consideración por la </w:t>
      </w:r>
      <w:r w:rsidR="001E7E83">
        <w:rPr>
          <w:rFonts w:ascii="ITC Avant Garde" w:hAnsi="ITC Avant Garde"/>
          <w:sz w:val="22"/>
          <w:szCs w:val="22"/>
        </w:rPr>
        <w:t>Unidad de Política Regulatoria</w:t>
      </w:r>
      <w:r w:rsidR="00121FDF">
        <w:rPr>
          <w:rFonts w:ascii="ITC Avant Garde" w:hAnsi="ITC Avant Garde"/>
          <w:sz w:val="22"/>
          <w:szCs w:val="22"/>
        </w:rPr>
        <w:t xml:space="preserve">. El Anteproyecto de </w:t>
      </w:r>
      <w:r w:rsidR="008D1966">
        <w:rPr>
          <w:rFonts w:ascii="ITC Avant Garde" w:hAnsi="ITC Avant Garde"/>
          <w:sz w:val="22"/>
          <w:szCs w:val="22"/>
        </w:rPr>
        <w:t>Lineamientos</w:t>
      </w:r>
      <w:r w:rsidR="00121FDF">
        <w:rPr>
          <w:rFonts w:ascii="ITC Avant Garde" w:hAnsi="ITC Avant Garde"/>
          <w:sz w:val="22"/>
          <w:szCs w:val="22"/>
        </w:rPr>
        <w:t xml:space="preserve"> se adjunta al presente Acuerdo como Anexo Único.</w:t>
      </w:r>
    </w:p>
    <w:p w14:paraId="1F175443" w14:textId="77777777" w:rsidR="00FD0F65" w:rsidRDefault="00FD0F65" w:rsidP="001211C1">
      <w:pPr>
        <w:autoSpaceDE w:val="0"/>
        <w:autoSpaceDN w:val="0"/>
        <w:adjustRightInd w:val="0"/>
        <w:jc w:val="both"/>
        <w:rPr>
          <w:rFonts w:ascii="ITC Avant Garde" w:hAnsi="ITC Avant Garde"/>
          <w:sz w:val="22"/>
          <w:szCs w:val="22"/>
        </w:rPr>
      </w:pPr>
    </w:p>
    <w:p w14:paraId="5D086315" w14:textId="77777777" w:rsidR="005E5830" w:rsidRDefault="00FD0F65" w:rsidP="001211C1">
      <w:pPr>
        <w:autoSpaceDE w:val="0"/>
        <w:autoSpaceDN w:val="0"/>
        <w:adjustRightInd w:val="0"/>
        <w:jc w:val="both"/>
        <w:rPr>
          <w:rFonts w:ascii="ITC Avant Garde" w:hAnsi="ITC Avant Garde" w:cs="Calibri"/>
          <w:b/>
          <w:sz w:val="22"/>
          <w:szCs w:val="22"/>
        </w:rPr>
      </w:pPr>
      <w:r>
        <w:rPr>
          <w:rFonts w:ascii="ITC Avant Garde" w:hAnsi="ITC Avant Garde"/>
          <w:sz w:val="22"/>
          <w:szCs w:val="22"/>
        </w:rPr>
        <w:t>Lo anterior sin perjuicio, de que, en su momento,</w:t>
      </w:r>
      <w:r w:rsidR="008D1966">
        <w:rPr>
          <w:rFonts w:ascii="ITC Avant Garde" w:hAnsi="ITC Avant Garde"/>
          <w:sz w:val="22"/>
          <w:szCs w:val="22"/>
        </w:rPr>
        <w:t xml:space="preserve"> </w:t>
      </w:r>
      <w:r>
        <w:rPr>
          <w:rFonts w:ascii="ITC Avant Garde" w:hAnsi="ITC Avant Garde"/>
          <w:sz w:val="22"/>
          <w:szCs w:val="22"/>
        </w:rPr>
        <w:t>el Instituto realice y haga público el</w:t>
      </w:r>
      <w:r w:rsidR="008D1966">
        <w:rPr>
          <w:rFonts w:ascii="ITC Avant Garde" w:hAnsi="ITC Avant Garde"/>
          <w:sz w:val="22"/>
          <w:szCs w:val="22"/>
        </w:rPr>
        <w:t xml:space="preserve"> </w:t>
      </w:r>
      <w:r>
        <w:rPr>
          <w:rFonts w:ascii="ITC Avant Garde" w:hAnsi="ITC Avant Garde"/>
          <w:sz w:val="22"/>
          <w:szCs w:val="22"/>
        </w:rPr>
        <w:t>correspondiente análisis de impacto regulatorio, conforme a lo dispuesto en el segundo párrafo del artículo</w:t>
      </w:r>
      <w:r w:rsidR="008D1966">
        <w:rPr>
          <w:rFonts w:ascii="ITC Avant Garde" w:hAnsi="ITC Avant Garde"/>
          <w:sz w:val="22"/>
          <w:szCs w:val="22"/>
        </w:rPr>
        <w:t xml:space="preserve"> </w:t>
      </w:r>
      <w:r>
        <w:rPr>
          <w:rFonts w:ascii="ITC Avant Garde" w:hAnsi="ITC Avant Garde"/>
          <w:sz w:val="22"/>
          <w:szCs w:val="22"/>
        </w:rPr>
        <w:t xml:space="preserve">51 de la </w:t>
      </w:r>
      <w:r w:rsidR="007B578D">
        <w:rPr>
          <w:rFonts w:ascii="ITC Avant Garde" w:hAnsi="ITC Avant Garde"/>
          <w:sz w:val="22"/>
          <w:szCs w:val="22"/>
        </w:rPr>
        <w:t>LFTR</w:t>
      </w:r>
      <w:r>
        <w:rPr>
          <w:rFonts w:ascii="ITC Avant Garde" w:hAnsi="ITC Avant Garde"/>
          <w:sz w:val="22"/>
          <w:szCs w:val="22"/>
        </w:rPr>
        <w:t xml:space="preserve">. </w:t>
      </w:r>
    </w:p>
    <w:p w14:paraId="25CE072E" w14:textId="77777777" w:rsidR="005E5830" w:rsidRDefault="005E5830" w:rsidP="001211C1">
      <w:pPr>
        <w:autoSpaceDE w:val="0"/>
        <w:autoSpaceDN w:val="0"/>
        <w:adjustRightInd w:val="0"/>
        <w:jc w:val="both"/>
        <w:rPr>
          <w:rFonts w:ascii="ITC Avant Garde" w:hAnsi="ITC Avant Garde" w:cs="Calibri"/>
          <w:b/>
          <w:sz w:val="22"/>
          <w:szCs w:val="22"/>
        </w:rPr>
      </w:pPr>
    </w:p>
    <w:p w14:paraId="6BF62E6C" w14:textId="77777777" w:rsidR="00900463" w:rsidRPr="001853A9" w:rsidRDefault="00900463" w:rsidP="001211C1">
      <w:pPr>
        <w:pStyle w:val="Default"/>
        <w:tabs>
          <w:tab w:val="left" w:pos="0"/>
        </w:tabs>
        <w:jc w:val="both"/>
        <w:rPr>
          <w:rFonts w:ascii="ITC Avant Garde" w:hAnsi="ITC Avant Garde"/>
          <w:bCs/>
          <w:color w:val="auto"/>
          <w:sz w:val="22"/>
          <w:szCs w:val="22"/>
          <w:lang w:val="es-ES_tradnl"/>
        </w:rPr>
      </w:pPr>
      <w:r w:rsidRPr="001853A9">
        <w:rPr>
          <w:rFonts w:ascii="ITC Avant Garde" w:hAnsi="ITC Avant Garde"/>
          <w:bCs/>
          <w:sz w:val="22"/>
          <w:szCs w:val="22"/>
          <w:lang w:val="es-ES_tradnl"/>
        </w:rPr>
        <w:t xml:space="preserve">Por lo anterior, el Anteproyecto propuesto por la Unidad de Política Regulatoria debe estar sujeto a un proceso de consulta pública por un periodo </w:t>
      </w:r>
      <w:r w:rsidRPr="0014291C">
        <w:rPr>
          <w:rFonts w:ascii="ITC Avant Garde" w:hAnsi="ITC Avant Garde"/>
          <w:bCs/>
          <w:sz w:val="22"/>
          <w:szCs w:val="22"/>
          <w:lang w:val="es-ES_tradnl"/>
        </w:rPr>
        <w:t xml:space="preserve">de </w:t>
      </w:r>
      <w:r w:rsidR="003605C6" w:rsidRPr="0014291C">
        <w:rPr>
          <w:rFonts w:ascii="ITC Avant Garde" w:hAnsi="ITC Avant Garde"/>
          <w:bCs/>
          <w:sz w:val="22"/>
          <w:szCs w:val="22"/>
          <w:lang w:val="es-ES_tradnl"/>
        </w:rPr>
        <w:t>veinte</w:t>
      </w:r>
      <w:r w:rsidRPr="0014291C">
        <w:rPr>
          <w:rFonts w:ascii="ITC Avant Garde" w:hAnsi="ITC Avant Garde"/>
          <w:bCs/>
          <w:sz w:val="22"/>
          <w:szCs w:val="22"/>
          <w:lang w:val="es-ES_tradnl"/>
        </w:rPr>
        <w:t xml:space="preserve"> días hábiles</w:t>
      </w:r>
      <w:r>
        <w:rPr>
          <w:rFonts w:ascii="ITC Avant Garde" w:hAnsi="ITC Avant Garde"/>
          <w:b/>
          <w:bCs/>
          <w:sz w:val="22"/>
          <w:szCs w:val="22"/>
          <w:lang w:val="es-ES_tradnl"/>
        </w:rPr>
        <w:t xml:space="preserve"> </w:t>
      </w:r>
      <w:r w:rsidRPr="001853A9">
        <w:rPr>
          <w:rFonts w:ascii="ITC Avant Garde" w:hAnsi="ITC Avant Garde"/>
          <w:bCs/>
          <w:sz w:val="22"/>
          <w:szCs w:val="22"/>
          <w:lang w:val="es-ES_tradnl"/>
        </w:rPr>
        <w:t xml:space="preserve">a fin de transparentar y promover la participación ciudadana en los procesos de emisión de disposiciones de carácter general que genere el Instituto, a efecto </w:t>
      </w:r>
      <w:r w:rsidRPr="001853A9">
        <w:rPr>
          <w:rFonts w:ascii="ITC Avant Garde" w:hAnsi="ITC Avant Garde"/>
          <w:bCs/>
          <w:color w:val="auto"/>
          <w:sz w:val="22"/>
          <w:szCs w:val="22"/>
          <w:lang w:val="es-ES_tradnl"/>
        </w:rPr>
        <w:t xml:space="preserve">de dar cabal cumplimiento a lo establecido en el dispositivo legal señalado. </w:t>
      </w:r>
    </w:p>
    <w:p w14:paraId="5E5FE6B5" w14:textId="77777777" w:rsidR="006E0437" w:rsidRPr="00A84A8A" w:rsidRDefault="006E0437" w:rsidP="001211C1">
      <w:pPr>
        <w:ind w:right="1183"/>
        <w:jc w:val="both"/>
        <w:rPr>
          <w:rFonts w:ascii="ITC Avant Garde" w:hAnsi="ITC Avant Garde" w:cs="Arial"/>
          <w:sz w:val="22"/>
          <w:szCs w:val="22"/>
          <w:lang w:eastAsia="es-MX"/>
        </w:rPr>
      </w:pPr>
    </w:p>
    <w:p w14:paraId="6CC069F3" w14:textId="5C9EE29C" w:rsidR="00F529BA" w:rsidRDefault="006E0437" w:rsidP="001211C1">
      <w:pPr>
        <w:jc w:val="both"/>
        <w:rPr>
          <w:rFonts w:ascii="ITC Avant Garde" w:hAnsi="ITC Avant Garde"/>
          <w:kern w:val="2"/>
          <w:sz w:val="22"/>
          <w:szCs w:val="22"/>
          <w:lang w:val="es-ES" w:eastAsia="ar-SA"/>
        </w:rPr>
      </w:pPr>
      <w:r w:rsidRPr="00A84A8A">
        <w:rPr>
          <w:rFonts w:ascii="ITC Avant Garde" w:hAnsi="ITC Avant Garde"/>
          <w:kern w:val="2"/>
          <w:sz w:val="22"/>
          <w:szCs w:val="22"/>
          <w:lang w:val="es-ES" w:eastAsia="ar-SA"/>
        </w:rPr>
        <w:t>Por lo anterior y con fundamento en los artículos 6o</w:t>
      </w:r>
      <w:r w:rsidR="00882E9E">
        <w:rPr>
          <w:rFonts w:ascii="ITC Avant Garde" w:hAnsi="ITC Avant Garde"/>
          <w:kern w:val="2"/>
          <w:sz w:val="22"/>
          <w:szCs w:val="22"/>
          <w:lang w:val="es-ES" w:eastAsia="ar-SA"/>
        </w:rPr>
        <w:t>.</w:t>
      </w:r>
      <w:r w:rsidRPr="00A84A8A">
        <w:rPr>
          <w:rFonts w:ascii="ITC Avant Garde" w:hAnsi="ITC Avant Garde"/>
          <w:kern w:val="2"/>
          <w:sz w:val="22"/>
          <w:szCs w:val="22"/>
          <w:lang w:val="es-ES" w:eastAsia="ar-SA"/>
        </w:rPr>
        <w:t xml:space="preserve"> y 28, párrafos décimo quinto y vigésimo, fracción IV, de la Constitución Política de los Estados Unidos Mexicanos; 1, 2, 7, 15, fracciones I,</w:t>
      </w:r>
      <w:r w:rsidR="00935532">
        <w:rPr>
          <w:rFonts w:ascii="ITC Avant Garde" w:hAnsi="ITC Avant Garde"/>
          <w:kern w:val="2"/>
          <w:sz w:val="22"/>
          <w:szCs w:val="22"/>
          <w:lang w:val="es-ES" w:eastAsia="ar-SA"/>
        </w:rPr>
        <w:t xml:space="preserve"> </w:t>
      </w:r>
      <w:r w:rsidR="001E7E83">
        <w:rPr>
          <w:rFonts w:ascii="ITC Avant Garde" w:hAnsi="ITC Avant Garde"/>
          <w:kern w:val="2"/>
          <w:sz w:val="22"/>
          <w:szCs w:val="22"/>
          <w:lang w:val="es-ES" w:eastAsia="ar-SA"/>
        </w:rPr>
        <w:t>XXVI</w:t>
      </w:r>
      <w:r w:rsidR="00935532">
        <w:rPr>
          <w:rFonts w:ascii="ITC Avant Garde" w:hAnsi="ITC Avant Garde"/>
          <w:kern w:val="2"/>
          <w:sz w:val="22"/>
          <w:szCs w:val="22"/>
          <w:lang w:val="es-ES" w:eastAsia="ar-SA"/>
        </w:rPr>
        <w:t>,</w:t>
      </w:r>
      <w:r w:rsidRPr="00A84A8A">
        <w:rPr>
          <w:rFonts w:ascii="ITC Avant Garde" w:hAnsi="ITC Avant Garde"/>
          <w:kern w:val="2"/>
          <w:sz w:val="22"/>
          <w:szCs w:val="22"/>
          <w:lang w:val="es-ES" w:eastAsia="ar-SA"/>
        </w:rPr>
        <w:t xml:space="preserve"> 51</w:t>
      </w:r>
      <w:r w:rsidR="001E7E83">
        <w:rPr>
          <w:rFonts w:ascii="ITC Avant Garde" w:hAnsi="ITC Avant Garde"/>
          <w:kern w:val="2"/>
          <w:sz w:val="22"/>
          <w:szCs w:val="22"/>
          <w:lang w:val="es-ES" w:eastAsia="ar-SA"/>
        </w:rPr>
        <w:t>, 289 y 290</w:t>
      </w:r>
      <w:r w:rsidRPr="00A84A8A">
        <w:rPr>
          <w:rFonts w:ascii="ITC Avant Garde" w:hAnsi="ITC Avant Garde"/>
          <w:kern w:val="2"/>
          <w:sz w:val="22"/>
          <w:szCs w:val="22"/>
          <w:lang w:val="es-ES" w:eastAsia="ar-SA"/>
        </w:rPr>
        <w:t xml:space="preserve"> de la </w:t>
      </w:r>
      <w:r w:rsidR="002367EE">
        <w:rPr>
          <w:rFonts w:ascii="ITC Avant Garde" w:hAnsi="ITC Avant Garde"/>
          <w:kern w:val="2"/>
          <w:sz w:val="22"/>
          <w:szCs w:val="22"/>
          <w:lang w:val="es-ES" w:eastAsia="ar-SA"/>
        </w:rPr>
        <w:t>Ley Federal de Telecomunicaciones y Radiodifusión</w:t>
      </w:r>
      <w:r w:rsidR="003B1B1B">
        <w:rPr>
          <w:rFonts w:ascii="ITC Avant Garde" w:hAnsi="ITC Avant Garde"/>
          <w:kern w:val="2"/>
          <w:sz w:val="22"/>
          <w:szCs w:val="22"/>
          <w:lang w:val="es-ES" w:eastAsia="ar-SA"/>
        </w:rPr>
        <w:t xml:space="preserve">, </w:t>
      </w:r>
      <w:r w:rsidR="00170158" w:rsidRPr="00680FA3">
        <w:rPr>
          <w:rFonts w:ascii="ITC Avant Garde" w:hAnsi="ITC Avant Garde" w:cs="Arial"/>
          <w:sz w:val="22"/>
          <w:szCs w:val="22"/>
        </w:rPr>
        <w:t xml:space="preserve">21, 22 fracción I y 23 </w:t>
      </w:r>
      <w:r w:rsidR="001E7E83">
        <w:rPr>
          <w:rFonts w:ascii="ITC Avant Garde" w:hAnsi="ITC Avant Garde" w:cs="Arial"/>
          <w:sz w:val="22"/>
          <w:szCs w:val="22"/>
        </w:rPr>
        <w:t>fracción IV</w:t>
      </w:r>
      <w:r w:rsidR="00170158" w:rsidRPr="00680FA3">
        <w:rPr>
          <w:rFonts w:ascii="ITC Avant Garde" w:hAnsi="ITC Avant Garde" w:cs="Arial"/>
          <w:sz w:val="22"/>
          <w:szCs w:val="22"/>
        </w:rPr>
        <w:t xml:space="preserve"> del Estatuto Orgánico del Instituto</w:t>
      </w:r>
      <w:r w:rsidR="00170158">
        <w:rPr>
          <w:rFonts w:ascii="ITC Avant Garde" w:hAnsi="ITC Avant Garde" w:cs="Arial"/>
          <w:sz w:val="22"/>
          <w:szCs w:val="22"/>
        </w:rPr>
        <w:t xml:space="preserve">, </w:t>
      </w:r>
      <w:r w:rsidRPr="00A84A8A">
        <w:rPr>
          <w:rFonts w:ascii="ITC Avant Garde" w:hAnsi="ITC Avant Garde"/>
          <w:kern w:val="2"/>
          <w:sz w:val="22"/>
          <w:szCs w:val="22"/>
          <w:lang w:val="es-ES" w:eastAsia="ar-SA"/>
        </w:rPr>
        <w:t>el Pleno del Instituto</w:t>
      </w:r>
      <w:r w:rsidR="002367EE">
        <w:rPr>
          <w:rFonts w:ascii="ITC Avant Garde" w:hAnsi="ITC Avant Garde"/>
          <w:kern w:val="2"/>
          <w:sz w:val="22"/>
          <w:szCs w:val="22"/>
          <w:lang w:val="es-ES" w:eastAsia="ar-SA"/>
        </w:rPr>
        <w:t xml:space="preserve"> Federal de Telecomunicaciones</w:t>
      </w:r>
      <w:r w:rsidRPr="00A84A8A">
        <w:rPr>
          <w:rFonts w:ascii="ITC Avant Garde" w:hAnsi="ITC Avant Garde"/>
          <w:kern w:val="2"/>
          <w:sz w:val="22"/>
          <w:szCs w:val="22"/>
          <w:lang w:val="es-ES" w:eastAsia="ar-SA"/>
        </w:rPr>
        <w:t xml:space="preserve"> emite el siguiente:</w:t>
      </w:r>
    </w:p>
    <w:p w14:paraId="43F14A88" w14:textId="77777777" w:rsidR="001211C1" w:rsidRDefault="001211C1" w:rsidP="001211C1">
      <w:pPr>
        <w:jc w:val="both"/>
        <w:rPr>
          <w:rFonts w:ascii="ITC Avant Garde" w:hAnsi="ITC Avant Garde"/>
          <w:kern w:val="2"/>
          <w:sz w:val="22"/>
          <w:szCs w:val="22"/>
          <w:lang w:val="es-ES" w:eastAsia="ar-SA"/>
        </w:rPr>
      </w:pPr>
    </w:p>
    <w:p w14:paraId="57787A1B" w14:textId="77777777" w:rsidR="001211C1" w:rsidRPr="00A84A8A" w:rsidRDefault="001211C1" w:rsidP="001211C1">
      <w:pPr>
        <w:jc w:val="both"/>
        <w:rPr>
          <w:rFonts w:ascii="ITC Avant Garde" w:hAnsi="ITC Avant Garde"/>
          <w:kern w:val="2"/>
          <w:sz w:val="22"/>
          <w:szCs w:val="22"/>
          <w:lang w:val="es-ES" w:eastAsia="ar-SA"/>
        </w:rPr>
      </w:pPr>
    </w:p>
    <w:p w14:paraId="2CAD8A3C" w14:textId="77777777" w:rsidR="00AD55DE" w:rsidRDefault="004475AB" w:rsidP="001211C1">
      <w:pPr>
        <w:pStyle w:val="ANOTACION"/>
        <w:spacing w:after="0" w:line="240" w:lineRule="auto"/>
        <w:rPr>
          <w:rFonts w:ascii="ITC Avant Garde" w:hAnsi="ITC Avant Garde" w:cs="Arial"/>
          <w:sz w:val="22"/>
          <w:szCs w:val="22"/>
          <w:lang w:val="es-MX"/>
        </w:rPr>
      </w:pPr>
      <w:r w:rsidRPr="00AE1C09">
        <w:rPr>
          <w:rFonts w:ascii="ITC Avant Garde" w:hAnsi="ITC Avant Garde" w:cs="Arial"/>
          <w:sz w:val="22"/>
          <w:szCs w:val="22"/>
          <w:lang w:val="es-MX"/>
        </w:rPr>
        <w:t>ACUERDO</w:t>
      </w:r>
    </w:p>
    <w:p w14:paraId="189CFC7C" w14:textId="77777777" w:rsidR="00AD55DE" w:rsidRDefault="00AD55DE" w:rsidP="001211C1">
      <w:pPr>
        <w:pStyle w:val="Texto"/>
        <w:spacing w:after="0" w:line="240" w:lineRule="auto"/>
        <w:ind w:firstLine="0"/>
        <w:rPr>
          <w:rFonts w:ascii="ITC Avant Garde" w:hAnsi="ITC Avant Garde"/>
          <w:sz w:val="22"/>
          <w:szCs w:val="22"/>
        </w:rPr>
      </w:pPr>
    </w:p>
    <w:p w14:paraId="03BA8836" w14:textId="77777777" w:rsidR="001211C1" w:rsidRPr="00137D65" w:rsidRDefault="001211C1" w:rsidP="001211C1">
      <w:pPr>
        <w:pStyle w:val="Texto"/>
        <w:spacing w:after="0" w:line="240" w:lineRule="auto"/>
        <w:ind w:firstLine="0"/>
        <w:rPr>
          <w:rFonts w:ascii="ITC Avant Garde" w:hAnsi="ITC Avant Garde"/>
          <w:sz w:val="22"/>
          <w:szCs w:val="22"/>
        </w:rPr>
      </w:pPr>
    </w:p>
    <w:p w14:paraId="598EEEF9" w14:textId="77777777" w:rsidR="002367EE" w:rsidRPr="00137D65" w:rsidRDefault="00AD55DE" w:rsidP="001211C1">
      <w:pPr>
        <w:pStyle w:val="Texto"/>
        <w:spacing w:after="0" w:line="240" w:lineRule="auto"/>
        <w:ind w:firstLine="0"/>
        <w:rPr>
          <w:rFonts w:ascii="ITC Avant Garde" w:hAnsi="ITC Avant Garde"/>
          <w:sz w:val="22"/>
          <w:szCs w:val="22"/>
        </w:rPr>
      </w:pPr>
      <w:r w:rsidRPr="00A84A8A">
        <w:rPr>
          <w:rFonts w:ascii="ITC Avant Garde" w:hAnsi="ITC Avant Garde"/>
          <w:b/>
          <w:sz w:val="22"/>
          <w:szCs w:val="22"/>
        </w:rPr>
        <w:t>PRIMERO</w:t>
      </w:r>
      <w:r w:rsidRPr="00137D65">
        <w:rPr>
          <w:rFonts w:ascii="ITC Avant Garde" w:hAnsi="ITC Avant Garde"/>
          <w:sz w:val="22"/>
          <w:szCs w:val="22"/>
        </w:rPr>
        <w:t xml:space="preserve">.- Se </w:t>
      </w:r>
      <w:r w:rsidR="006909B8">
        <w:rPr>
          <w:rFonts w:ascii="ITC Avant Garde" w:hAnsi="ITC Avant Garde"/>
          <w:sz w:val="22"/>
          <w:szCs w:val="22"/>
        </w:rPr>
        <w:t xml:space="preserve">determina </w:t>
      </w:r>
      <w:r w:rsidR="00FD0F65">
        <w:rPr>
          <w:rFonts w:ascii="ITC Avant Garde" w:hAnsi="ITC Avant Garde"/>
          <w:sz w:val="22"/>
          <w:szCs w:val="22"/>
        </w:rPr>
        <w:t xml:space="preserve">someter a consulta </w:t>
      </w:r>
      <w:r w:rsidR="001E7E83">
        <w:rPr>
          <w:rFonts w:ascii="ITC Avant Garde" w:hAnsi="ITC Avant Garde"/>
          <w:sz w:val="22"/>
          <w:szCs w:val="22"/>
        </w:rPr>
        <w:t>pública el</w:t>
      </w:r>
      <w:r w:rsidR="00FD0F65">
        <w:rPr>
          <w:rFonts w:ascii="ITC Avant Garde" w:hAnsi="ITC Avant Garde"/>
          <w:sz w:val="22"/>
          <w:szCs w:val="22"/>
        </w:rPr>
        <w:t xml:space="preserve"> </w:t>
      </w:r>
      <w:r w:rsidR="006909B8">
        <w:rPr>
          <w:rFonts w:ascii="ITC Avant Garde" w:hAnsi="ITC Avant Garde"/>
          <w:sz w:val="22"/>
          <w:szCs w:val="22"/>
        </w:rPr>
        <w:t>“</w:t>
      </w:r>
      <w:r w:rsidR="001E7E83" w:rsidRPr="001E7E83">
        <w:rPr>
          <w:rFonts w:ascii="ITC Avant Garde" w:hAnsi="ITC Avant Garde"/>
          <w:b/>
          <w:sz w:val="22"/>
          <w:szCs w:val="22"/>
        </w:rPr>
        <w:t>Anteproyecto de Lineamientos para la Acreditación de Peritos en Materia de Telecomunicaciones y Radiodifusión</w:t>
      </w:r>
      <w:r w:rsidR="002367EE">
        <w:rPr>
          <w:rFonts w:ascii="ITC Avant Garde" w:hAnsi="ITC Avant Garde"/>
          <w:sz w:val="22"/>
          <w:szCs w:val="22"/>
        </w:rPr>
        <w:t xml:space="preserve">”, </w:t>
      </w:r>
      <w:r w:rsidR="002367EE" w:rsidRPr="00137D65">
        <w:rPr>
          <w:rFonts w:ascii="ITC Avant Garde" w:hAnsi="ITC Avant Garde"/>
          <w:sz w:val="22"/>
          <w:szCs w:val="22"/>
        </w:rPr>
        <w:t>mism</w:t>
      </w:r>
      <w:r w:rsidR="002367EE">
        <w:rPr>
          <w:rFonts w:ascii="ITC Avant Garde" w:hAnsi="ITC Avant Garde"/>
          <w:sz w:val="22"/>
          <w:szCs w:val="22"/>
        </w:rPr>
        <w:t>o</w:t>
      </w:r>
      <w:r w:rsidR="002367EE" w:rsidRPr="00137D65">
        <w:rPr>
          <w:rFonts w:ascii="ITC Avant Garde" w:hAnsi="ITC Avant Garde"/>
          <w:sz w:val="22"/>
          <w:szCs w:val="22"/>
        </w:rPr>
        <w:t xml:space="preserve"> que se encuentra como Anexo Único del presente Acuerdo</w:t>
      </w:r>
      <w:r w:rsidR="002367EE">
        <w:rPr>
          <w:rFonts w:ascii="ITC Avant Garde" w:hAnsi="ITC Avant Garde"/>
          <w:sz w:val="22"/>
          <w:szCs w:val="22"/>
        </w:rPr>
        <w:t xml:space="preserve">. Dicha consulta pública se realizará </w:t>
      </w:r>
      <w:r w:rsidR="002367EE" w:rsidRPr="0014291C">
        <w:rPr>
          <w:rFonts w:ascii="ITC Avant Garde" w:hAnsi="ITC Avant Garde"/>
          <w:sz w:val="22"/>
          <w:szCs w:val="22"/>
        </w:rPr>
        <w:t>durante veinte días hábiles,</w:t>
      </w:r>
      <w:r w:rsidR="002367EE">
        <w:rPr>
          <w:rFonts w:ascii="ITC Avant Garde" w:hAnsi="ITC Avant Garde"/>
          <w:sz w:val="22"/>
          <w:szCs w:val="22"/>
        </w:rPr>
        <w:t xml:space="preserve"> contados </w:t>
      </w:r>
      <w:r w:rsidR="002367EE" w:rsidRPr="009026F6">
        <w:rPr>
          <w:rFonts w:ascii="ITC Avant Garde" w:hAnsi="ITC Avant Garde"/>
          <w:sz w:val="22"/>
          <w:szCs w:val="22"/>
        </w:rPr>
        <w:t xml:space="preserve">a partir de su publicación en el portal de </w:t>
      </w:r>
      <w:r w:rsidR="002367EE">
        <w:rPr>
          <w:rFonts w:ascii="ITC Avant Garde" w:hAnsi="ITC Avant Garde"/>
          <w:sz w:val="22"/>
          <w:szCs w:val="22"/>
        </w:rPr>
        <w:t>I</w:t>
      </w:r>
      <w:r w:rsidR="002367EE" w:rsidRPr="009026F6">
        <w:rPr>
          <w:rFonts w:ascii="ITC Avant Garde" w:hAnsi="ITC Avant Garde"/>
          <w:sz w:val="22"/>
          <w:szCs w:val="22"/>
        </w:rPr>
        <w:t>nternet del Instituto Federal de Telecomunicaciones</w:t>
      </w:r>
      <w:r w:rsidR="002367EE">
        <w:rPr>
          <w:rFonts w:ascii="ITC Avant Garde" w:hAnsi="ITC Avant Garde"/>
          <w:sz w:val="22"/>
          <w:szCs w:val="22"/>
        </w:rPr>
        <w:t>.</w:t>
      </w:r>
      <w:r w:rsidR="002367EE" w:rsidRPr="009026F6" w:rsidDel="009026F6">
        <w:rPr>
          <w:rFonts w:ascii="ITC Avant Garde" w:hAnsi="ITC Avant Garde"/>
          <w:sz w:val="22"/>
          <w:szCs w:val="22"/>
        </w:rPr>
        <w:t xml:space="preserve"> </w:t>
      </w:r>
    </w:p>
    <w:p w14:paraId="5B729CB3" w14:textId="77777777" w:rsidR="00AD55DE" w:rsidRDefault="00AD55DE" w:rsidP="001211C1">
      <w:pPr>
        <w:pStyle w:val="Texto"/>
        <w:spacing w:after="0" w:line="240" w:lineRule="auto"/>
        <w:ind w:firstLine="0"/>
        <w:rPr>
          <w:rFonts w:ascii="ITC Avant Garde" w:hAnsi="ITC Avant Garde"/>
          <w:sz w:val="22"/>
          <w:szCs w:val="22"/>
        </w:rPr>
      </w:pPr>
    </w:p>
    <w:p w14:paraId="4E83940E" w14:textId="77777777" w:rsidR="001211C1" w:rsidRPr="00137D65" w:rsidRDefault="001211C1" w:rsidP="001211C1">
      <w:pPr>
        <w:pStyle w:val="Texto"/>
        <w:spacing w:after="0" w:line="240" w:lineRule="auto"/>
        <w:ind w:firstLine="0"/>
        <w:rPr>
          <w:rFonts w:ascii="ITC Avant Garde" w:hAnsi="ITC Avant Garde"/>
          <w:sz w:val="22"/>
          <w:szCs w:val="22"/>
        </w:rPr>
      </w:pPr>
    </w:p>
    <w:p w14:paraId="56F25B7D" w14:textId="77777777" w:rsidR="00F51400" w:rsidRDefault="00A84A8A" w:rsidP="001211C1">
      <w:pPr>
        <w:autoSpaceDE w:val="0"/>
        <w:autoSpaceDN w:val="0"/>
        <w:adjustRightInd w:val="0"/>
        <w:jc w:val="both"/>
        <w:rPr>
          <w:rFonts w:ascii="ITC Avant Garde" w:hAnsi="ITC Avant Garde" w:cs="Arial"/>
          <w:sz w:val="22"/>
          <w:szCs w:val="22"/>
        </w:rPr>
      </w:pPr>
      <w:r w:rsidRPr="00A84A8A">
        <w:rPr>
          <w:rFonts w:ascii="ITC Avant Garde" w:hAnsi="ITC Avant Garde" w:cs="Arial"/>
          <w:b/>
          <w:sz w:val="22"/>
          <w:szCs w:val="22"/>
        </w:rPr>
        <w:t>SEGUNDO</w:t>
      </w:r>
      <w:r w:rsidR="00AD55DE" w:rsidRPr="00137D65">
        <w:rPr>
          <w:rFonts w:ascii="ITC Avant Garde" w:hAnsi="ITC Avant Garde" w:cs="Arial"/>
          <w:sz w:val="22"/>
          <w:szCs w:val="22"/>
        </w:rPr>
        <w:t xml:space="preserve">.- </w:t>
      </w:r>
      <w:r w:rsidR="00F51400">
        <w:rPr>
          <w:rFonts w:ascii="ITC Avant Garde" w:hAnsi="ITC Avant Garde" w:cs="Arial"/>
          <w:sz w:val="22"/>
          <w:szCs w:val="22"/>
        </w:rPr>
        <w:t xml:space="preserve">Se instruye a la Unidad de Política Regulatoria, por conducto de la Dirección General de Regulación </w:t>
      </w:r>
      <w:r w:rsidR="00EF3852">
        <w:rPr>
          <w:rFonts w:ascii="ITC Avant Garde" w:hAnsi="ITC Avant Garde" w:cs="Arial"/>
          <w:sz w:val="22"/>
          <w:szCs w:val="22"/>
        </w:rPr>
        <w:t>Técnica,</w:t>
      </w:r>
      <w:r w:rsidR="00EB228E">
        <w:rPr>
          <w:rFonts w:ascii="ITC Avant Garde" w:hAnsi="ITC Avant Garde" w:cs="Arial"/>
          <w:sz w:val="22"/>
          <w:szCs w:val="22"/>
        </w:rPr>
        <w:t xml:space="preserve"> </w:t>
      </w:r>
      <w:r w:rsidR="00EF3852">
        <w:rPr>
          <w:rFonts w:ascii="ITC Avant Garde" w:hAnsi="ITC Avant Garde" w:cs="Arial"/>
          <w:sz w:val="22"/>
          <w:szCs w:val="22"/>
        </w:rPr>
        <w:t>en su calidad de área proponente, ejecute la con</w:t>
      </w:r>
      <w:r w:rsidR="00F529BA">
        <w:rPr>
          <w:rFonts w:ascii="ITC Avant Garde" w:hAnsi="ITC Avant Garde" w:cs="Arial"/>
          <w:sz w:val="22"/>
          <w:szCs w:val="22"/>
        </w:rPr>
        <w:t>s</w:t>
      </w:r>
      <w:r w:rsidR="00EF3852">
        <w:rPr>
          <w:rFonts w:ascii="ITC Avant Garde" w:hAnsi="ITC Avant Garde" w:cs="Arial"/>
          <w:sz w:val="22"/>
          <w:szCs w:val="22"/>
        </w:rPr>
        <w:t>ulta pública materia del presente Acuerdo, incluyendo</w:t>
      </w:r>
      <w:r w:rsidR="00F51400">
        <w:rPr>
          <w:rFonts w:ascii="ITC Avant Garde" w:hAnsi="ITC Avant Garde" w:cs="Arial"/>
          <w:sz w:val="22"/>
          <w:szCs w:val="22"/>
        </w:rPr>
        <w:t xml:space="preserve"> </w:t>
      </w:r>
      <w:r w:rsidR="00EF3852">
        <w:rPr>
          <w:rFonts w:ascii="ITC Avant Garde" w:hAnsi="ITC Avant Garde" w:cs="Arial"/>
          <w:sz w:val="22"/>
          <w:szCs w:val="22"/>
        </w:rPr>
        <w:t>l</w:t>
      </w:r>
      <w:r w:rsidR="00F51400">
        <w:rPr>
          <w:rFonts w:ascii="ITC Avant Garde" w:hAnsi="ITC Avant Garde" w:cs="Arial"/>
          <w:sz w:val="22"/>
          <w:szCs w:val="22"/>
        </w:rPr>
        <w:t>a rec</w:t>
      </w:r>
      <w:r w:rsidR="00EF3852">
        <w:rPr>
          <w:rFonts w:ascii="ITC Avant Garde" w:hAnsi="ITC Avant Garde" w:cs="Arial"/>
          <w:sz w:val="22"/>
          <w:szCs w:val="22"/>
        </w:rPr>
        <w:t>epción</w:t>
      </w:r>
      <w:r w:rsidR="00F51400">
        <w:rPr>
          <w:rFonts w:ascii="ITC Avant Garde" w:hAnsi="ITC Avant Garde" w:cs="Arial"/>
          <w:sz w:val="22"/>
          <w:szCs w:val="22"/>
        </w:rPr>
        <w:t xml:space="preserve"> y</w:t>
      </w:r>
      <w:r w:rsidR="00EF3852">
        <w:rPr>
          <w:rFonts w:ascii="ITC Avant Garde" w:hAnsi="ITC Avant Garde" w:cs="Arial"/>
          <w:sz w:val="22"/>
          <w:szCs w:val="22"/>
        </w:rPr>
        <w:t xml:space="preserve"> </w:t>
      </w:r>
      <w:r w:rsidR="00F51400">
        <w:rPr>
          <w:rFonts w:ascii="ITC Avant Garde" w:hAnsi="ITC Avant Garde" w:cs="Arial"/>
          <w:sz w:val="22"/>
          <w:szCs w:val="22"/>
        </w:rPr>
        <w:t>la atención que corresponda a las opiniones que sean vertidas de la consulta pública materia del presente Acuerdo.</w:t>
      </w:r>
    </w:p>
    <w:p w14:paraId="2AACA9CC" w14:textId="77777777" w:rsidR="00F51400" w:rsidRDefault="00F51400" w:rsidP="001211C1">
      <w:pPr>
        <w:autoSpaceDE w:val="0"/>
        <w:autoSpaceDN w:val="0"/>
        <w:adjustRightInd w:val="0"/>
        <w:jc w:val="both"/>
        <w:rPr>
          <w:rFonts w:ascii="ITC Avant Garde" w:hAnsi="ITC Avant Garde" w:cs="Arial"/>
          <w:sz w:val="22"/>
          <w:szCs w:val="22"/>
        </w:rPr>
      </w:pPr>
    </w:p>
    <w:p w14:paraId="26083E1D" w14:textId="77777777" w:rsidR="001211C1" w:rsidRDefault="001211C1" w:rsidP="001211C1">
      <w:pPr>
        <w:autoSpaceDE w:val="0"/>
        <w:autoSpaceDN w:val="0"/>
        <w:adjustRightInd w:val="0"/>
        <w:jc w:val="both"/>
        <w:rPr>
          <w:rFonts w:ascii="ITC Avant Garde" w:hAnsi="ITC Avant Garde" w:cs="Arial"/>
          <w:sz w:val="22"/>
          <w:szCs w:val="22"/>
        </w:rPr>
      </w:pPr>
    </w:p>
    <w:p w14:paraId="25439560" w14:textId="77777777" w:rsidR="001211C1" w:rsidRDefault="001211C1" w:rsidP="001211C1">
      <w:pPr>
        <w:autoSpaceDE w:val="0"/>
        <w:autoSpaceDN w:val="0"/>
        <w:adjustRightInd w:val="0"/>
        <w:jc w:val="both"/>
        <w:rPr>
          <w:rFonts w:ascii="ITC Avant Garde" w:hAnsi="ITC Avant Garde" w:cs="Arial"/>
          <w:sz w:val="22"/>
          <w:szCs w:val="22"/>
        </w:rPr>
      </w:pPr>
    </w:p>
    <w:p w14:paraId="2CC64CF8" w14:textId="77777777" w:rsidR="001211C1" w:rsidRDefault="001211C1" w:rsidP="001211C1">
      <w:pPr>
        <w:autoSpaceDE w:val="0"/>
        <w:autoSpaceDN w:val="0"/>
        <w:adjustRightInd w:val="0"/>
        <w:jc w:val="both"/>
        <w:rPr>
          <w:rFonts w:ascii="ITC Avant Garde" w:hAnsi="ITC Avant Garde" w:cs="Arial"/>
          <w:sz w:val="22"/>
          <w:szCs w:val="22"/>
        </w:rPr>
      </w:pPr>
    </w:p>
    <w:p w14:paraId="3CFAB35A" w14:textId="77777777" w:rsidR="00AD55DE" w:rsidRPr="00137D65" w:rsidRDefault="00F51400" w:rsidP="001211C1">
      <w:pPr>
        <w:autoSpaceDE w:val="0"/>
        <w:autoSpaceDN w:val="0"/>
        <w:adjustRightInd w:val="0"/>
        <w:jc w:val="both"/>
        <w:rPr>
          <w:rFonts w:ascii="ITC Avant Garde" w:hAnsi="ITC Avant Garde" w:cs="Arial"/>
          <w:sz w:val="22"/>
          <w:szCs w:val="22"/>
        </w:rPr>
      </w:pPr>
      <w:r>
        <w:rPr>
          <w:rFonts w:ascii="ITC Avant Garde" w:hAnsi="ITC Avant Garde" w:cs="Arial"/>
          <w:b/>
          <w:sz w:val="22"/>
          <w:szCs w:val="22"/>
        </w:rPr>
        <w:t xml:space="preserve">TERCERO.- </w:t>
      </w:r>
      <w:r w:rsidR="00AD55DE" w:rsidRPr="00137D65">
        <w:rPr>
          <w:rFonts w:ascii="ITC Avant Garde" w:hAnsi="ITC Avant Garde" w:cs="Arial"/>
          <w:sz w:val="22"/>
          <w:szCs w:val="22"/>
        </w:rPr>
        <w:t xml:space="preserve">Publíquese </w:t>
      </w:r>
      <w:r w:rsidR="002367EE">
        <w:rPr>
          <w:rFonts w:ascii="ITC Avant Garde" w:hAnsi="ITC Avant Garde" w:cs="Arial"/>
          <w:sz w:val="22"/>
          <w:szCs w:val="22"/>
        </w:rPr>
        <w:t xml:space="preserve">en la página de Internet </w:t>
      </w:r>
      <w:r>
        <w:rPr>
          <w:rFonts w:ascii="ITC Avant Garde" w:hAnsi="ITC Avant Garde" w:cs="Arial"/>
          <w:sz w:val="22"/>
          <w:szCs w:val="22"/>
        </w:rPr>
        <w:t>del Instituto Federal de Telecomunicaciones.</w:t>
      </w:r>
    </w:p>
    <w:p w14:paraId="78BF5F08" w14:textId="77777777" w:rsidR="002517B0" w:rsidRDefault="002517B0" w:rsidP="001211C1">
      <w:pPr>
        <w:rPr>
          <w:rFonts w:ascii="ITC Avant Garde" w:hAnsi="ITC Avant Garde"/>
          <w:sz w:val="21"/>
          <w:szCs w:val="21"/>
        </w:rPr>
      </w:pPr>
    </w:p>
    <w:p w14:paraId="28D3C9FF" w14:textId="77777777" w:rsidR="001211C1" w:rsidRDefault="001211C1" w:rsidP="001211C1">
      <w:pPr>
        <w:rPr>
          <w:rFonts w:ascii="ITC Avant Garde" w:hAnsi="ITC Avant Garde"/>
          <w:sz w:val="21"/>
          <w:szCs w:val="21"/>
        </w:rPr>
      </w:pPr>
    </w:p>
    <w:p w14:paraId="5FF902D1" w14:textId="77777777" w:rsidR="001211C1" w:rsidRDefault="001211C1" w:rsidP="001211C1">
      <w:pPr>
        <w:rPr>
          <w:rFonts w:ascii="ITC Avant Garde" w:hAnsi="ITC Avant Garde"/>
          <w:sz w:val="21"/>
          <w:szCs w:val="21"/>
        </w:rPr>
      </w:pPr>
    </w:p>
    <w:p w14:paraId="6EEDFB31" w14:textId="77777777" w:rsidR="001211C1" w:rsidRDefault="001211C1" w:rsidP="001211C1">
      <w:pPr>
        <w:rPr>
          <w:rFonts w:ascii="ITC Avant Garde" w:hAnsi="ITC Avant Garde"/>
          <w:sz w:val="21"/>
          <w:szCs w:val="21"/>
        </w:rPr>
      </w:pPr>
    </w:p>
    <w:p w14:paraId="3ACA7CE3" w14:textId="77777777" w:rsidR="001211C1" w:rsidRDefault="001211C1" w:rsidP="001211C1">
      <w:pPr>
        <w:rPr>
          <w:rFonts w:ascii="ITC Avant Garde" w:hAnsi="ITC Avant Garde"/>
          <w:sz w:val="21"/>
          <w:szCs w:val="21"/>
        </w:rPr>
      </w:pPr>
    </w:p>
    <w:p w14:paraId="0525F47F" w14:textId="77777777" w:rsidR="001211C1" w:rsidRDefault="001211C1" w:rsidP="001211C1">
      <w:pPr>
        <w:rPr>
          <w:rFonts w:ascii="ITC Avant Garde" w:hAnsi="ITC Avant Garde"/>
          <w:sz w:val="21"/>
          <w:szCs w:val="21"/>
        </w:rPr>
      </w:pPr>
    </w:p>
    <w:p w14:paraId="1C21726C" w14:textId="77777777" w:rsidR="001211C1" w:rsidRDefault="001211C1" w:rsidP="001211C1">
      <w:pPr>
        <w:rPr>
          <w:rFonts w:ascii="ITC Avant Garde" w:hAnsi="ITC Avant Garde"/>
          <w:sz w:val="21"/>
          <w:szCs w:val="21"/>
        </w:rPr>
      </w:pPr>
    </w:p>
    <w:p w14:paraId="4A2F5B3F" w14:textId="77777777" w:rsidR="001211C1" w:rsidRPr="00F529BA" w:rsidRDefault="001211C1" w:rsidP="001211C1">
      <w:pPr>
        <w:rPr>
          <w:rFonts w:ascii="ITC Avant Garde" w:hAnsi="ITC Avant Garde"/>
          <w:sz w:val="21"/>
          <w:szCs w:val="21"/>
        </w:rPr>
      </w:pPr>
    </w:p>
    <w:p w14:paraId="3BBFBBE8" w14:textId="77777777" w:rsidR="00F529BA" w:rsidRDefault="00F529BA" w:rsidP="001211C1">
      <w:pPr>
        <w:rPr>
          <w:rFonts w:ascii="ITC Avant Garde" w:hAnsi="ITC Avant Garde"/>
          <w:sz w:val="20"/>
          <w:szCs w:val="20"/>
        </w:rPr>
      </w:pPr>
    </w:p>
    <w:p w14:paraId="22F0D62A"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Gabriel Oswaldo Contreras Saldívar</w:t>
      </w:r>
    </w:p>
    <w:p w14:paraId="0C54CEA5"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Comisionado Presidente</w:t>
      </w:r>
    </w:p>
    <w:p w14:paraId="2C884B10" w14:textId="77777777" w:rsidR="001211C1" w:rsidRPr="001211C1" w:rsidRDefault="001211C1" w:rsidP="001211C1">
      <w:pPr>
        <w:jc w:val="center"/>
        <w:rPr>
          <w:rFonts w:ascii="ITC Avant Garde" w:eastAsia="Calibri" w:hAnsi="ITC Avant Garde" w:cs="Arial"/>
          <w:b/>
          <w:bCs/>
          <w:sz w:val="22"/>
          <w:szCs w:val="22"/>
          <w:lang w:eastAsia="en-US"/>
        </w:rPr>
      </w:pPr>
    </w:p>
    <w:p w14:paraId="03B4645B" w14:textId="77777777" w:rsidR="001211C1" w:rsidRPr="001211C1" w:rsidRDefault="001211C1" w:rsidP="001211C1">
      <w:pPr>
        <w:jc w:val="center"/>
        <w:rPr>
          <w:rFonts w:ascii="ITC Avant Garde" w:eastAsia="Calibri" w:hAnsi="ITC Avant Garde" w:cs="Arial"/>
          <w:b/>
          <w:bCs/>
          <w:sz w:val="22"/>
          <w:szCs w:val="22"/>
          <w:lang w:eastAsia="en-US"/>
        </w:rPr>
      </w:pPr>
    </w:p>
    <w:p w14:paraId="3A7AABBC" w14:textId="77777777" w:rsidR="001211C1" w:rsidRPr="001211C1" w:rsidRDefault="001211C1" w:rsidP="001211C1">
      <w:pPr>
        <w:jc w:val="center"/>
        <w:rPr>
          <w:rFonts w:ascii="ITC Avant Garde" w:eastAsia="Calibri" w:hAnsi="ITC Avant Garde" w:cs="Arial"/>
          <w:b/>
          <w:bCs/>
          <w:sz w:val="22"/>
          <w:szCs w:val="22"/>
          <w:lang w:eastAsia="en-US"/>
        </w:rPr>
      </w:pPr>
    </w:p>
    <w:p w14:paraId="0F1B1960" w14:textId="77777777" w:rsidR="001211C1" w:rsidRPr="001211C1" w:rsidRDefault="001211C1" w:rsidP="001211C1">
      <w:pPr>
        <w:jc w:val="center"/>
        <w:rPr>
          <w:rFonts w:ascii="ITC Avant Garde" w:eastAsia="Calibri" w:hAnsi="ITC Avant Garde" w:cs="Arial"/>
          <w:b/>
          <w:bCs/>
          <w:sz w:val="22"/>
          <w:szCs w:val="22"/>
          <w:lang w:eastAsia="en-US"/>
        </w:rPr>
      </w:pPr>
    </w:p>
    <w:tbl>
      <w:tblPr>
        <w:tblW w:w="4849" w:type="pct"/>
        <w:tblInd w:w="142" w:type="dxa"/>
        <w:tblCellMar>
          <w:left w:w="70" w:type="dxa"/>
          <w:right w:w="70" w:type="dxa"/>
        </w:tblCellMar>
        <w:tblLook w:val="04A0" w:firstRow="1" w:lastRow="0" w:firstColumn="1" w:lastColumn="0" w:noHBand="0" w:noVBand="1"/>
      </w:tblPr>
      <w:tblGrid>
        <w:gridCol w:w="3819"/>
        <w:gridCol w:w="300"/>
        <w:gridCol w:w="4456"/>
      </w:tblGrid>
      <w:tr w:rsidR="001211C1" w:rsidRPr="001211C1" w14:paraId="13D5E5D2" w14:textId="77777777" w:rsidTr="003772D2">
        <w:trPr>
          <w:trHeight w:val="1355"/>
        </w:trPr>
        <w:tc>
          <w:tcPr>
            <w:tcW w:w="2227" w:type="pct"/>
            <w:hideMark/>
          </w:tcPr>
          <w:p w14:paraId="1DA935B1"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Ernesto Estrada González</w:t>
            </w:r>
          </w:p>
          <w:p w14:paraId="7F7D9B84"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Comisionado</w:t>
            </w:r>
          </w:p>
        </w:tc>
        <w:tc>
          <w:tcPr>
            <w:tcW w:w="175" w:type="pct"/>
          </w:tcPr>
          <w:p w14:paraId="10C41D74" w14:textId="77777777" w:rsidR="001211C1" w:rsidRPr="001211C1" w:rsidRDefault="001211C1" w:rsidP="001211C1">
            <w:pPr>
              <w:spacing w:before="200"/>
              <w:jc w:val="center"/>
              <w:rPr>
                <w:rFonts w:ascii="ITC Avant Garde" w:eastAsia="Calibri" w:hAnsi="ITC Avant Garde" w:cs="Arial"/>
                <w:b/>
                <w:bCs/>
                <w:sz w:val="22"/>
                <w:szCs w:val="22"/>
                <w:lang w:eastAsia="en-US"/>
              </w:rPr>
            </w:pPr>
          </w:p>
        </w:tc>
        <w:tc>
          <w:tcPr>
            <w:tcW w:w="2598" w:type="pct"/>
          </w:tcPr>
          <w:p w14:paraId="4EAAA06A"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Adriana Sofía Labardini Inzunza</w:t>
            </w:r>
          </w:p>
          <w:p w14:paraId="02D8E1F8"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Comisionada</w:t>
            </w:r>
          </w:p>
          <w:p w14:paraId="5561AA4E" w14:textId="77777777" w:rsidR="001211C1" w:rsidRPr="001211C1" w:rsidRDefault="001211C1" w:rsidP="001211C1">
            <w:pPr>
              <w:jc w:val="center"/>
              <w:rPr>
                <w:rFonts w:ascii="ITC Avant Garde" w:eastAsia="Calibri" w:hAnsi="ITC Avant Garde" w:cs="Arial"/>
                <w:b/>
                <w:bCs/>
                <w:sz w:val="22"/>
                <w:szCs w:val="22"/>
                <w:lang w:eastAsia="en-US"/>
              </w:rPr>
            </w:pPr>
          </w:p>
          <w:p w14:paraId="1ECF498F" w14:textId="77777777" w:rsidR="001211C1" w:rsidRPr="001211C1" w:rsidRDefault="001211C1" w:rsidP="001211C1">
            <w:pPr>
              <w:jc w:val="center"/>
              <w:rPr>
                <w:rFonts w:ascii="ITC Avant Garde" w:eastAsia="Calibri" w:hAnsi="ITC Avant Garde" w:cs="Arial"/>
                <w:b/>
                <w:bCs/>
                <w:sz w:val="22"/>
                <w:szCs w:val="22"/>
                <w:lang w:eastAsia="en-US"/>
              </w:rPr>
            </w:pPr>
          </w:p>
          <w:p w14:paraId="1145A78D" w14:textId="77777777" w:rsidR="001211C1" w:rsidRPr="001211C1" w:rsidRDefault="001211C1" w:rsidP="001211C1">
            <w:pPr>
              <w:jc w:val="center"/>
              <w:rPr>
                <w:rFonts w:ascii="ITC Avant Garde" w:eastAsia="Calibri" w:hAnsi="ITC Avant Garde" w:cs="Arial"/>
                <w:b/>
                <w:bCs/>
                <w:sz w:val="22"/>
                <w:szCs w:val="22"/>
                <w:lang w:eastAsia="en-US"/>
              </w:rPr>
            </w:pPr>
          </w:p>
          <w:p w14:paraId="38399355" w14:textId="77777777" w:rsidR="001211C1" w:rsidRPr="001211C1" w:rsidRDefault="001211C1" w:rsidP="001211C1">
            <w:pPr>
              <w:jc w:val="center"/>
              <w:rPr>
                <w:rFonts w:ascii="ITC Avant Garde" w:eastAsia="Calibri" w:hAnsi="ITC Avant Garde" w:cs="Arial"/>
                <w:b/>
                <w:bCs/>
                <w:sz w:val="22"/>
                <w:szCs w:val="22"/>
                <w:lang w:eastAsia="en-US"/>
              </w:rPr>
            </w:pPr>
          </w:p>
        </w:tc>
      </w:tr>
      <w:tr w:rsidR="001211C1" w:rsidRPr="001211C1" w14:paraId="7A22F1B6" w14:textId="77777777" w:rsidTr="003772D2">
        <w:trPr>
          <w:trHeight w:val="1261"/>
        </w:trPr>
        <w:tc>
          <w:tcPr>
            <w:tcW w:w="2227" w:type="pct"/>
          </w:tcPr>
          <w:p w14:paraId="0FDE56C6"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María Elena Estavillo Flores</w:t>
            </w:r>
          </w:p>
          <w:p w14:paraId="5FB3A738"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Comisionada</w:t>
            </w:r>
          </w:p>
        </w:tc>
        <w:tc>
          <w:tcPr>
            <w:tcW w:w="175" w:type="pct"/>
          </w:tcPr>
          <w:p w14:paraId="0A22FF84" w14:textId="77777777" w:rsidR="001211C1" w:rsidRPr="001211C1" w:rsidRDefault="001211C1" w:rsidP="001211C1">
            <w:pPr>
              <w:spacing w:before="200"/>
              <w:jc w:val="center"/>
              <w:rPr>
                <w:rFonts w:ascii="ITC Avant Garde" w:eastAsia="Calibri" w:hAnsi="ITC Avant Garde" w:cs="Arial"/>
                <w:b/>
                <w:bCs/>
                <w:sz w:val="22"/>
                <w:szCs w:val="22"/>
                <w:lang w:eastAsia="en-US"/>
              </w:rPr>
            </w:pPr>
          </w:p>
        </w:tc>
        <w:tc>
          <w:tcPr>
            <w:tcW w:w="2598" w:type="pct"/>
          </w:tcPr>
          <w:p w14:paraId="7BB11B34"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Mario Germán Fromow Rangel</w:t>
            </w:r>
          </w:p>
          <w:p w14:paraId="546D9931"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Comisionado</w:t>
            </w:r>
          </w:p>
          <w:p w14:paraId="0B9ADE05" w14:textId="77777777" w:rsidR="001211C1" w:rsidRPr="001211C1" w:rsidRDefault="001211C1" w:rsidP="001211C1">
            <w:pPr>
              <w:jc w:val="center"/>
              <w:rPr>
                <w:rFonts w:ascii="ITC Avant Garde" w:eastAsia="Calibri" w:hAnsi="ITC Avant Garde" w:cs="Arial"/>
                <w:b/>
                <w:bCs/>
                <w:sz w:val="22"/>
                <w:szCs w:val="22"/>
                <w:lang w:eastAsia="en-US"/>
              </w:rPr>
            </w:pPr>
          </w:p>
          <w:p w14:paraId="4F442AE6" w14:textId="77777777" w:rsidR="001211C1" w:rsidRPr="001211C1" w:rsidRDefault="001211C1" w:rsidP="001211C1">
            <w:pPr>
              <w:jc w:val="center"/>
              <w:rPr>
                <w:rFonts w:ascii="ITC Avant Garde" w:eastAsia="Calibri" w:hAnsi="ITC Avant Garde" w:cs="Arial"/>
                <w:b/>
                <w:bCs/>
                <w:sz w:val="22"/>
                <w:szCs w:val="22"/>
                <w:lang w:eastAsia="en-US"/>
              </w:rPr>
            </w:pPr>
          </w:p>
          <w:p w14:paraId="052EA588" w14:textId="77777777" w:rsidR="001211C1" w:rsidRPr="001211C1" w:rsidRDefault="001211C1" w:rsidP="001211C1">
            <w:pPr>
              <w:jc w:val="center"/>
              <w:rPr>
                <w:rFonts w:ascii="ITC Avant Garde" w:eastAsia="Calibri" w:hAnsi="ITC Avant Garde" w:cs="Arial"/>
                <w:b/>
                <w:bCs/>
                <w:sz w:val="22"/>
                <w:szCs w:val="22"/>
                <w:lang w:eastAsia="en-US"/>
              </w:rPr>
            </w:pPr>
          </w:p>
          <w:p w14:paraId="6990FC10" w14:textId="77777777" w:rsidR="001211C1" w:rsidRPr="001211C1" w:rsidRDefault="001211C1" w:rsidP="001211C1">
            <w:pPr>
              <w:spacing w:before="200"/>
              <w:jc w:val="center"/>
              <w:rPr>
                <w:rFonts w:ascii="ITC Avant Garde" w:eastAsia="Calibri" w:hAnsi="ITC Avant Garde" w:cs="Arial"/>
                <w:b/>
                <w:bCs/>
                <w:sz w:val="22"/>
                <w:szCs w:val="22"/>
                <w:lang w:eastAsia="en-US"/>
              </w:rPr>
            </w:pPr>
          </w:p>
        </w:tc>
      </w:tr>
      <w:tr w:rsidR="001211C1" w:rsidRPr="001211C1" w14:paraId="220F949C" w14:textId="77777777" w:rsidTr="003772D2">
        <w:trPr>
          <w:trHeight w:val="470"/>
        </w:trPr>
        <w:tc>
          <w:tcPr>
            <w:tcW w:w="5000" w:type="pct"/>
            <w:gridSpan w:val="3"/>
            <w:hideMark/>
          </w:tcPr>
          <w:p w14:paraId="299FD5A5"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Adolfo Cuevas Teja</w:t>
            </w:r>
          </w:p>
          <w:p w14:paraId="73D3DE99" w14:textId="77777777" w:rsidR="001211C1" w:rsidRPr="001211C1" w:rsidRDefault="001211C1" w:rsidP="001211C1">
            <w:pPr>
              <w:jc w:val="center"/>
              <w:rPr>
                <w:rFonts w:ascii="ITC Avant Garde" w:eastAsia="Calibri" w:hAnsi="ITC Avant Garde" w:cs="Arial"/>
                <w:b/>
                <w:bCs/>
                <w:sz w:val="22"/>
                <w:szCs w:val="22"/>
                <w:lang w:eastAsia="en-US"/>
              </w:rPr>
            </w:pPr>
            <w:r w:rsidRPr="001211C1">
              <w:rPr>
                <w:rFonts w:ascii="ITC Avant Garde" w:eastAsia="Calibri" w:hAnsi="ITC Avant Garde" w:cs="Arial"/>
                <w:b/>
                <w:bCs/>
                <w:sz w:val="22"/>
                <w:szCs w:val="22"/>
                <w:lang w:eastAsia="en-US"/>
              </w:rPr>
              <w:t>Comisionado</w:t>
            </w:r>
          </w:p>
        </w:tc>
      </w:tr>
    </w:tbl>
    <w:p w14:paraId="6A6FB455" w14:textId="77777777" w:rsidR="00DD4071" w:rsidRDefault="00DD4071" w:rsidP="00DD4071">
      <w:pPr>
        <w:pStyle w:val="Sinespaciado"/>
        <w:jc w:val="both"/>
        <w:rPr>
          <w:rFonts w:ascii="ITC Avant Garde" w:hAnsi="ITC Avant Garde"/>
          <w:sz w:val="16"/>
          <w:szCs w:val="16"/>
        </w:rPr>
      </w:pPr>
    </w:p>
    <w:p w14:paraId="5A662247" w14:textId="77777777" w:rsidR="00DD4071" w:rsidRDefault="00DD4071" w:rsidP="00DD4071">
      <w:pPr>
        <w:pStyle w:val="Sinespaciado"/>
        <w:jc w:val="both"/>
        <w:rPr>
          <w:rFonts w:ascii="ITC Avant Garde" w:hAnsi="ITC Avant Garde"/>
          <w:sz w:val="16"/>
          <w:szCs w:val="16"/>
        </w:rPr>
      </w:pPr>
    </w:p>
    <w:p w14:paraId="1B3DF23C" w14:textId="77777777" w:rsidR="00DD4071" w:rsidRDefault="00DD4071" w:rsidP="00DD4071">
      <w:pPr>
        <w:pStyle w:val="Sinespaciado"/>
        <w:jc w:val="both"/>
        <w:rPr>
          <w:rFonts w:ascii="ITC Avant Garde" w:hAnsi="ITC Avant Garde"/>
          <w:sz w:val="16"/>
          <w:szCs w:val="16"/>
        </w:rPr>
      </w:pPr>
    </w:p>
    <w:p w14:paraId="3282A59D" w14:textId="77777777" w:rsidR="00DD4071" w:rsidRDefault="00DD4071" w:rsidP="00DD4071">
      <w:pPr>
        <w:pStyle w:val="Sinespaciado"/>
        <w:jc w:val="both"/>
        <w:rPr>
          <w:rFonts w:ascii="ITC Avant Garde" w:hAnsi="ITC Avant Garde"/>
          <w:sz w:val="16"/>
          <w:szCs w:val="16"/>
        </w:rPr>
      </w:pPr>
    </w:p>
    <w:p w14:paraId="59184C41" w14:textId="77777777" w:rsidR="00DD4071" w:rsidRDefault="00DD4071" w:rsidP="00DD4071">
      <w:pPr>
        <w:pStyle w:val="Sinespaciado"/>
        <w:jc w:val="both"/>
        <w:rPr>
          <w:rFonts w:ascii="ITC Avant Garde" w:hAnsi="ITC Avant Garde"/>
          <w:sz w:val="16"/>
          <w:szCs w:val="16"/>
        </w:rPr>
      </w:pPr>
    </w:p>
    <w:p w14:paraId="143239C0" w14:textId="77777777" w:rsidR="00DD4071" w:rsidRDefault="00DD4071" w:rsidP="00DD4071">
      <w:pPr>
        <w:pStyle w:val="Sinespaciado"/>
        <w:jc w:val="both"/>
        <w:rPr>
          <w:rFonts w:ascii="ITC Avant Garde" w:hAnsi="ITC Avant Garde"/>
          <w:sz w:val="16"/>
          <w:szCs w:val="16"/>
        </w:rPr>
      </w:pPr>
    </w:p>
    <w:p w14:paraId="65DE2FF2" w14:textId="77777777" w:rsidR="00DD4071" w:rsidRDefault="00DD4071" w:rsidP="00DD4071">
      <w:pPr>
        <w:pStyle w:val="Sinespaciado"/>
        <w:jc w:val="both"/>
        <w:rPr>
          <w:rFonts w:ascii="ITC Avant Garde" w:hAnsi="ITC Avant Garde"/>
          <w:sz w:val="16"/>
          <w:szCs w:val="16"/>
        </w:rPr>
      </w:pPr>
    </w:p>
    <w:p w14:paraId="17E255C5" w14:textId="77777777" w:rsidR="00DD4071" w:rsidRDefault="00DD4071" w:rsidP="00DD4071">
      <w:pPr>
        <w:pStyle w:val="Sinespaciado"/>
        <w:jc w:val="both"/>
        <w:rPr>
          <w:rFonts w:ascii="ITC Avant Garde" w:hAnsi="ITC Avant Garde"/>
          <w:sz w:val="16"/>
          <w:szCs w:val="16"/>
        </w:rPr>
      </w:pPr>
    </w:p>
    <w:p w14:paraId="61012DE5" w14:textId="77777777" w:rsidR="00DD4071" w:rsidRDefault="00DD4071" w:rsidP="00DD4071">
      <w:pPr>
        <w:pStyle w:val="Sinespaciado"/>
        <w:jc w:val="both"/>
        <w:rPr>
          <w:rFonts w:ascii="ITC Avant Garde" w:hAnsi="ITC Avant Garde"/>
          <w:sz w:val="16"/>
          <w:szCs w:val="16"/>
        </w:rPr>
      </w:pPr>
    </w:p>
    <w:p w14:paraId="1C04BB8A" w14:textId="77777777" w:rsidR="00DD4071" w:rsidRDefault="00DD4071" w:rsidP="00DD4071">
      <w:pPr>
        <w:pStyle w:val="Sinespaciado"/>
        <w:jc w:val="both"/>
        <w:rPr>
          <w:rFonts w:ascii="ITC Avant Garde" w:hAnsi="ITC Avant Garde"/>
          <w:sz w:val="16"/>
          <w:szCs w:val="16"/>
        </w:rPr>
      </w:pPr>
      <w:bookmarkStart w:id="0" w:name="_GoBack"/>
      <w:bookmarkEnd w:id="0"/>
    </w:p>
    <w:p w14:paraId="054AA767" w14:textId="77777777" w:rsidR="00DD4071" w:rsidRDefault="00DD4071" w:rsidP="00DD4071">
      <w:pPr>
        <w:pStyle w:val="Sinespaciado"/>
        <w:jc w:val="both"/>
        <w:rPr>
          <w:rFonts w:ascii="ITC Avant Garde" w:hAnsi="ITC Avant Garde"/>
          <w:sz w:val="16"/>
          <w:szCs w:val="16"/>
        </w:rPr>
      </w:pPr>
    </w:p>
    <w:p w14:paraId="1F2F14E5" w14:textId="77777777" w:rsidR="00DD4071" w:rsidRPr="00DD4071" w:rsidRDefault="00DD4071" w:rsidP="00DD4071">
      <w:pPr>
        <w:pStyle w:val="Sinespaciado"/>
        <w:jc w:val="both"/>
        <w:rPr>
          <w:rFonts w:ascii="ITC Avant Garde" w:hAnsi="ITC Avant Garde"/>
          <w:sz w:val="16"/>
          <w:szCs w:val="16"/>
          <w:lang w:eastAsia="es-MX"/>
        </w:rPr>
      </w:pPr>
      <w:r w:rsidRPr="00DD4071">
        <w:rPr>
          <w:rFonts w:ascii="ITC Avant Garde" w:hAnsi="ITC Avant Garde"/>
          <w:sz w:val="16"/>
          <w:szCs w:val="16"/>
        </w:rPr>
        <w:t>El presente Acuerdo fue aprobado por el Pleno del Instituto Federal de Telecomunicaciones en su VIII Sesión Ordinaria celebrada el 17 de marzo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P/IFT/170316/104.</w:t>
      </w:r>
    </w:p>
    <w:p w14:paraId="45987F2F" w14:textId="77777777" w:rsidR="0082434B" w:rsidRPr="00F529BA" w:rsidRDefault="0082434B" w:rsidP="001211C1">
      <w:pPr>
        <w:rPr>
          <w:rFonts w:ascii="ITC Avant Garde" w:hAnsi="ITC Avant Garde"/>
          <w:sz w:val="20"/>
          <w:szCs w:val="20"/>
        </w:rPr>
      </w:pPr>
    </w:p>
    <w:sectPr w:rsidR="0082434B" w:rsidRPr="00F529BA" w:rsidSect="00F529BA">
      <w:footerReference w:type="default" r:id="rId8"/>
      <w:pgSz w:w="12240" w:h="15840"/>
      <w:pgMar w:top="1985" w:right="1699" w:bottom="1135" w:left="1699" w:header="706" w:footer="56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FAE80" w14:textId="77777777" w:rsidR="00807195" w:rsidRDefault="00807195">
      <w:r>
        <w:separator/>
      </w:r>
    </w:p>
  </w:endnote>
  <w:endnote w:type="continuationSeparator" w:id="0">
    <w:p w14:paraId="5862CD2D" w14:textId="77777777" w:rsidR="00807195" w:rsidRDefault="0080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 Avant Garde">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201925"/>
      <w:docPartObj>
        <w:docPartGallery w:val="Page Numbers (Bottom of Page)"/>
        <w:docPartUnique/>
      </w:docPartObj>
    </w:sdtPr>
    <w:sdtEndPr>
      <w:rPr>
        <w:rFonts w:ascii="ITC Avant Garde" w:hAnsi="ITC Avant Garde"/>
        <w:sz w:val="20"/>
        <w:szCs w:val="20"/>
      </w:rPr>
    </w:sdtEndPr>
    <w:sdtContent>
      <w:p w14:paraId="09234847" w14:textId="77777777" w:rsidR="00F529BA" w:rsidRPr="00F529BA" w:rsidRDefault="00F529BA">
        <w:pPr>
          <w:pStyle w:val="Piedepgina"/>
          <w:jc w:val="center"/>
          <w:rPr>
            <w:rFonts w:ascii="ITC Avant Garde" w:hAnsi="ITC Avant Garde"/>
            <w:sz w:val="20"/>
            <w:szCs w:val="20"/>
          </w:rPr>
        </w:pPr>
        <w:r w:rsidRPr="00F529BA">
          <w:rPr>
            <w:rFonts w:ascii="ITC Avant Garde" w:hAnsi="ITC Avant Garde"/>
            <w:sz w:val="20"/>
            <w:szCs w:val="20"/>
          </w:rPr>
          <w:fldChar w:fldCharType="begin"/>
        </w:r>
        <w:r w:rsidRPr="00F529BA">
          <w:rPr>
            <w:rFonts w:ascii="ITC Avant Garde" w:hAnsi="ITC Avant Garde"/>
            <w:sz w:val="20"/>
            <w:szCs w:val="20"/>
          </w:rPr>
          <w:instrText>PAGE   \* MERGEFORMAT</w:instrText>
        </w:r>
        <w:r w:rsidRPr="00F529BA">
          <w:rPr>
            <w:rFonts w:ascii="ITC Avant Garde" w:hAnsi="ITC Avant Garde"/>
            <w:sz w:val="20"/>
            <w:szCs w:val="20"/>
          </w:rPr>
          <w:fldChar w:fldCharType="separate"/>
        </w:r>
        <w:r w:rsidR="00DD4071" w:rsidRPr="00DD4071">
          <w:rPr>
            <w:rFonts w:ascii="ITC Avant Garde" w:hAnsi="ITC Avant Garde"/>
            <w:noProof/>
            <w:sz w:val="20"/>
            <w:szCs w:val="20"/>
            <w:lang w:val="es-ES"/>
          </w:rPr>
          <w:t>5</w:t>
        </w:r>
        <w:r w:rsidRPr="00F529BA">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0E8D0" w14:textId="77777777" w:rsidR="00807195" w:rsidRDefault="00807195">
      <w:r>
        <w:separator/>
      </w:r>
    </w:p>
  </w:footnote>
  <w:footnote w:type="continuationSeparator" w:id="0">
    <w:p w14:paraId="1F133F44" w14:textId="77777777" w:rsidR="00807195" w:rsidRDefault="00807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701"/>
    <w:multiLevelType w:val="hybridMultilevel"/>
    <w:tmpl w:val="8A1CF972"/>
    <w:lvl w:ilvl="0" w:tplc="4D4E41D0">
      <w:start w:val="1"/>
      <w:numFmt w:val="upperRoman"/>
      <w:lvlText w:val="%1."/>
      <w:lvlJc w:val="right"/>
      <w:pPr>
        <w:ind w:left="720" w:hanging="360"/>
      </w:pPr>
      <w:rPr>
        <w:rFonts w:ascii="ITC Avant Garde" w:hAnsi="ITC Avant Garde"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882630"/>
    <w:multiLevelType w:val="hybridMultilevel"/>
    <w:tmpl w:val="445CD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145DA"/>
    <w:multiLevelType w:val="hybridMultilevel"/>
    <w:tmpl w:val="7FC072CC"/>
    <w:lvl w:ilvl="0" w:tplc="8DBCFA1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02F7314"/>
    <w:multiLevelType w:val="hybridMultilevel"/>
    <w:tmpl w:val="36862C0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FC0198"/>
    <w:multiLevelType w:val="hybridMultilevel"/>
    <w:tmpl w:val="1CCE6D66"/>
    <w:lvl w:ilvl="0" w:tplc="D7764FF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49AC033A"/>
    <w:multiLevelType w:val="hybridMultilevel"/>
    <w:tmpl w:val="9E1E68C4"/>
    <w:lvl w:ilvl="0" w:tplc="91CCBE5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0A780C"/>
    <w:multiLevelType w:val="hybridMultilevel"/>
    <w:tmpl w:val="7B142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7876BB"/>
    <w:multiLevelType w:val="hybridMultilevel"/>
    <w:tmpl w:val="ED545A9E"/>
    <w:lvl w:ilvl="0" w:tplc="F6D619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994FE2"/>
    <w:multiLevelType w:val="hybridMultilevel"/>
    <w:tmpl w:val="F01E2EB4"/>
    <w:lvl w:ilvl="0" w:tplc="22B28C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8E6E27"/>
    <w:multiLevelType w:val="hybridMultilevel"/>
    <w:tmpl w:val="0FAA73FC"/>
    <w:lvl w:ilvl="0" w:tplc="0310BB6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49D0125"/>
    <w:multiLevelType w:val="hybridMultilevel"/>
    <w:tmpl w:val="5058C3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8"/>
  </w:num>
  <w:num w:numId="5">
    <w:abstractNumId w:val="4"/>
  </w:num>
  <w:num w:numId="6">
    <w:abstractNumId w:val="9"/>
  </w:num>
  <w:num w:numId="7">
    <w:abstractNumId w:val="7"/>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BE"/>
    <w:rsid w:val="00001CC1"/>
    <w:rsid w:val="00005B2B"/>
    <w:rsid w:val="00014BB7"/>
    <w:rsid w:val="00020680"/>
    <w:rsid w:val="00025B73"/>
    <w:rsid w:val="00032CE8"/>
    <w:rsid w:val="00051C56"/>
    <w:rsid w:val="000B2E4B"/>
    <w:rsid w:val="000D51BE"/>
    <w:rsid w:val="000E45A5"/>
    <w:rsid w:val="000F6509"/>
    <w:rsid w:val="000F70A1"/>
    <w:rsid w:val="000F7B64"/>
    <w:rsid w:val="00110A96"/>
    <w:rsid w:val="001211C1"/>
    <w:rsid w:val="00121FDF"/>
    <w:rsid w:val="00122663"/>
    <w:rsid w:val="00137D65"/>
    <w:rsid w:val="0014291C"/>
    <w:rsid w:val="00143654"/>
    <w:rsid w:val="00151463"/>
    <w:rsid w:val="00161065"/>
    <w:rsid w:val="00170158"/>
    <w:rsid w:val="00183EBB"/>
    <w:rsid w:val="001A4ACD"/>
    <w:rsid w:val="001A621F"/>
    <w:rsid w:val="001A6D56"/>
    <w:rsid w:val="001C31F6"/>
    <w:rsid w:val="001D206B"/>
    <w:rsid w:val="001D3E86"/>
    <w:rsid w:val="001E26AF"/>
    <w:rsid w:val="001E272C"/>
    <w:rsid w:val="001E2765"/>
    <w:rsid w:val="001E7E83"/>
    <w:rsid w:val="001F18DD"/>
    <w:rsid w:val="00220DA4"/>
    <w:rsid w:val="002367EE"/>
    <w:rsid w:val="00245EB0"/>
    <w:rsid w:val="002517B0"/>
    <w:rsid w:val="00266B27"/>
    <w:rsid w:val="00282A20"/>
    <w:rsid w:val="0029702A"/>
    <w:rsid w:val="002B0CE5"/>
    <w:rsid w:val="002B2594"/>
    <w:rsid w:val="002B336B"/>
    <w:rsid w:val="002C3AAE"/>
    <w:rsid w:val="002C4704"/>
    <w:rsid w:val="00317CE8"/>
    <w:rsid w:val="00321952"/>
    <w:rsid w:val="003274A9"/>
    <w:rsid w:val="00340DDC"/>
    <w:rsid w:val="003605C6"/>
    <w:rsid w:val="003B1B1B"/>
    <w:rsid w:val="003C0915"/>
    <w:rsid w:val="003D7511"/>
    <w:rsid w:val="003F0842"/>
    <w:rsid w:val="003F1808"/>
    <w:rsid w:val="00402396"/>
    <w:rsid w:val="00412C90"/>
    <w:rsid w:val="00443596"/>
    <w:rsid w:val="004475AB"/>
    <w:rsid w:val="004625B3"/>
    <w:rsid w:val="004813C6"/>
    <w:rsid w:val="004978D9"/>
    <w:rsid w:val="004D176E"/>
    <w:rsid w:val="00531DEE"/>
    <w:rsid w:val="00546892"/>
    <w:rsid w:val="0054691A"/>
    <w:rsid w:val="00553DC3"/>
    <w:rsid w:val="00565825"/>
    <w:rsid w:val="00565E88"/>
    <w:rsid w:val="005810AF"/>
    <w:rsid w:val="00587EC5"/>
    <w:rsid w:val="005A62AA"/>
    <w:rsid w:val="005D387D"/>
    <w:rsid w:val="005E5830"/>
    <w:rsid w:val="005E7BEB"/>
    <w:rsid w:val="00633649"/>
    <w:rsid w:val="0064104D"/>
    <w:rsid w:val="00644117"/>
    <w:rsid w:val="006520A1"/>
    <w:rsid w:val="00660800"/>
    <w:rsid w:val="006659C0"/>
    <w:rsid w:val="006909B8"/>
    <w:rsid w:val="006948E9"/>
    <w:rsid w:val="006C1BAE"/>
    <w:rsid w:val="006E0437"/>
    <w:rsid w:val="00722C39"/>
    <w:rsid w:val="00744EC1"/>
    <w:rsid w:val="00751213"/>
    <w:rsid w:val="0077173D"/>
    <w:rsid w:val="007816F1"/>
    <w:rsid w:val="00784F2B"/>
    <w:rsid w:val="007B578D"/>
    <w:rsid w:val="007E04F7"/>
    <w:rsid w:val="00807195"/>
    <w:rsid w:val="0082434B"/>
    <w:rsid w:val="00825E44"/>
    <w:rsid w:val="00852002"/>
    <w:rsid w:val="0086699E"/>
    <w:rsid w:val="008808B5"/>
    <w:rsid w:val="00882E9E"/>
    <w:rsid w:val="00891385"/>
    <w:rsid w:val="008A5F01"/>
    <w:rsid w:val="008B1A87"/>
    <w:rsid w:val="008B54F1"/>
    <w:rsid w:val="008B6CD1"/>
    <w:rsid w:val="008C5731"/>
    <w:rsid w:val="008C6C31"/>
    <w:rsid w:val="008C721F"/>
    <w:rsid w:val="008D1966"/>
    <w:rsid w:val="008F3699"/>
    <w:rsid w:val="00900463"/>
    <w:rsid w:val="009026F6"/>
    <w:rsid w:val="0090463B"/>
    <w:rsid w:val="00910588"/>
    <w:rsid w:val="00935532"/>
    <w:rsid w:val="0096647C"/>
    <w:rsid w:val="009D6690"/>
    <w:rsid w:val="009E74B3"/>
    <w:rsid w:val="009F53ED"/>
    <w:rsid w:val="00A06EBB"/>
    <w:rsid w:val="00A15D79"/>
    <w:rsid w:val="00A27745"/>
    <w:rsid w:val="00A80479"/>
    <w:rsid w:val="00A809F7"/>
    <w:rsid w:val="00A84A8A"/>
    <w:rsid w:val="00A9437E"/>
    <w:rsid w:val="00AC1CAC"/>
    <w:rsid w:val="00AC56A0"/>
    <w:rsid w:val="00AD486C"/>
    <w:rsid w:val="00AD55DE"/>
    <w:rsid w:val="00AD676E"/>
    <w:rsid w:val="00AE1C09"/>
    <w:rsid w:val="00AF3ACD"/>
    <w:rsid w:val="00AF50FF"/>
    <w:rsid w:val="00B004CA"/>
    <w:rsid w:val="00B02B73"/>
    <w:rsid w:val="00B07204"/>
    <w:rsid w:val="00B173DF"/>
    <w:rsid w:val="00B60197"/>
    <w:rsid w:val="00B76DDC"/>
    <w:rsid w:val="00BA7259"/>
    <w:rsid w:val="00BC1BA3"/>
    <w:rsid w:val="00BC64C2"/>
    <w:rsid w:val="00BD1096"/>
    <w:rsid w:val="00BD5B2E"/>
    <w:rsid w:val="00BF4B40"/>
    <w:rsid w:val="00C26F2C"/>
    <w:rsid w:val="00C30790"/>
    <w:rsid w:val="00C445DE"/>
    <w:rsid w:val="00C52E5B"/>
    <w:rsid w:val="00C67095"/>
    <w:rsid w:val="00C90116"/>
    <w:rsid w:val="00C933B7"/>
    <w:rsid w:val="00C95170"/>
    <w:rsid w:val="00CC6ED5"/>
    <w:rsid w:val="00CE0202"/>
    <w:rsid w:val="00CF3F00"/>
    <w:rsid w:val="00D00E71"/>
    <w:rsid w:val="00D259BD"/>
    <w:rsid w:val="00D54247"/>
    <w:rsid w:val="00D661D2"/>
    <w:rsid w:val="00D9006E"/>
    <w:rsid w:val="00DA38A4"/>
    <w:rsid w:val="00DA5C47"/>
    <w:rsid w:val="00DA660C"/>
    <w:rsid w:val="00DD0FD4"/>
    <w:rsid w:val="00DD2AA8"/>
    <w:rsid w:val="00DD4071"/>
    <w:rsid w:val="00DF3236"/>
    <w:rsid w:val="00DF3748"/>
    <w:rsid w:val="00E11CB5"/>
    <w:rsid w:val="00E14990"/>
    <w:rsid w:val="00E3650A"/>
    <w:rsid w:val="00E42B4D"/>
    <w:rsid w:val="00E55F50"/>
    <w:rsid w:val="00E729A4"/>
    <w:rsid w:val="00E803F7"/>
    <w:rsid w:val="00E84CAC"/>
    <w:rsid w:val="00E92887"/>
    <w:rsid w:val="00E92F0A"/>
    <w:rsid w:val="00E966D5"/>
    <w:rsid w:val="00EB228E"/>
    <w:rsid w:val="00EC14B1"/>
    <w:rsid w:val="00EC6A45"/>
    <w:rsid w:val="00EF3852"/>
    <w:rsid w:val="00F05404"/>
    <w:rsid w:val="00F33F91"/>
    <w:rsid w:val="00F4282C"/>
    <w:rsid w:val="00F51400"/>
    <w:rsid w:val="00F51A9F"/>
    <w:rsid w:val="00F529BA"/>
    <w:rsid w:val="00F63269"/>
    <w:rsid w:val="00F669BE"/>
    <w:rsid w:val="00F71D0E"/>
    <w:rsid w:val="00F7525F"/>
    <w:rsid w:val="00F75521"/>
    <w:rsid w:val="00F80866"/>
    <w:rsid w:val="00F8432C"/>
    <w:rsid w:val="00F86A8E"/>
    <w:rsid w:val="00F90030"/>
    <w:rsid w:val="00F95C41"/>
    <w:rsid w:val="00F96725"/>
    <w:rsid w:val="00FD0F6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5547AB"/>
  <w15:docId w15:val="{08244D1D-C6ED-4CC2-BC01-2D8A7861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D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D55DE"/>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rsid w:val="00AD55DE"/>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AD55DE"/>
    <w:pPr>
      <w:spacing w:before="101" w:after="101" w:line="216" w:lineRule="atLeast"/>
      <w:jc w:val="center"/>
    </w:pPr>
    <w:rPr>
      <w:b/>
      <w:sz w:val="18"/>
      <w:szCs w:val="20"/>
      <w:lang w:val="es-ES_tradnl"/>
    </w:rPr>
  </w:style>
  <w:style w:type="character" w:customStyle="1" w:styleId="TextoCar">
    <w:name w:val="Texto Car"/>
    <w:link w:val="Texto"/>
    <w:locked/>
    <w:rsid w:val="00AD55DE"/>
    <w:rPr>
      <w:rFonts w:ascii="Arial" w:eastAsia="Times New Roman" w:hAnsi="Arial" w:cs="Arial"/>
      <w:sz w:val="18"/>
      <w:szCs w:val="20"/>
      <w:lang w:eastAsia="es-ES"/>
    </w:rPr>
  </w:style>
  <w:style w:type="character" w:customStyle="1" w:styleId="ROMANOSCar">
    <w:name w:val="ROMANOS Car"/>
    <w:link w:val="ROMANOS"/>
    <w:locked/>
    <w:rsid w:val="00AD55DE"/>
    <w:rPr>
      <w:rFonts w:ascii="Arial" w:eastAsia="Times New Roman" w:hAnsi="Arial" w:cs="Arial"/>
      <w:sz w:val="18"/>
      <w:szCs w:val="18"/>
      <w:lang w:eastAsia="es-ES"/>
    </w:rPr>
  </w:style>
  <w:style w:type="character" w:customStyle="1" w:styleId="ANOTACIONCar">
    <w:name w:val="ANOTACION Car"/>
    <w:link w:val="ANOTACION"/>
    <w:locked/>
    <w:rsid w:val="00AD55DE"/>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uiPriority w:val="99"/>
    <w:rsid w:val="00AD55DE"/>
    <w:pPr>
      <w:tabs>
        <w:tab w:val="center" w:pos="4419"/>
        <w:tab w:val="right" w:pos="8838"/>
      </w:tabs>
    </w:pPr>
  </w:style>
  <w:style w:type="character" w:customStyle="1" w:styleId="PiedepginaCar">
    <w:name w:val="Pie de página Car"/>
    <w:basedOn w:val="Fuentedeprrafopredeter"/>
    <w:link w:val="Piedepgina"/>
    <w:uiPriority w:val="99"/>
    <w:rsid w:val="00AD55DE"/>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
    <w:uiPriority w:val="34"/>
    <w:locked/>
    <w:rsid w:val="00AD55DE"/>
    <w:rPr>
      <w:rFonts w:ascii="Arial" w:hAnsi="Arial" w:cs="Arial"/>
      <w:sz w:val="24"/>
      <w:lang w:val="es-MX" w:eastAsia="es-MX"/>
    </w:rPr>
  </w:style>
  <w:style w:type="paragraph" w:styleId="Prrafodelista">
    <w:name w:val="List Paragraph"/>
    <w:basedOn w:val="Normal"/>
    <w:uiPriority w:val="34"/>
    <w:qFormat/>
    <w:rsid w:val="00AD55DE"/>
    <w:pPr>
      <w:ind w:left="708"/>
    </w:pPr>
  </w:style>
  <w:style w:type="table" w:styleId="Listavistosa-nfasis1">
    <w:name w:val="Colorful List Accent 1"/>
    <w:basedOn w:val="Tablanormal"/>
    <w:link w:val="Listavistosa-nfasis1Car"/>
    <w:uiPriority w:val="34"/>
    <w:semiHidden/>
    <w:unhideWhenUsed/>
    <w:rsid w:val="00AD55DE"/>
    <w:pPr>
      <w:spacing w:after="0" w:line="240" w:lineRule="auto"/>
    </w:pPr>
    <w:rPr>
      <w:rFonts w:ascii="Arial" w:hAnsi="Arial" w:cs="Arial"/>
      <w:sz w:val="24"/>
      <w:lang w:eastAsia="es-MX"/>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unhideWhenUsed/>
    <w:rsid w:val="00A809F7"/>
    <w:rPr>
      <w:sz w:val="16"/>
      <w:szCs w:val="16"/>
    </w:rPr>
  </w:style>
  <w:style w:type="paragraph" w:styleId="Textocomentario">
    <w:name w:val="annotation text"/>
    <w:basedOn w:val="Normal"/>
    <w:link w:val="TextocomentarioCar"/>
    <w:uiPriority w:val="99"/>
    <w:unhideWhenUsed/>
    <w:rsid w:val="00A809F7"/>
    <w:rPr>
      <w:sz w:val="20"/>
      <w:szCs w:val="20"/>
    </w:rPr>
  </w:style>
  <w:style w:type="character" w:customStyle="1" w:styleId="TextocomentarioCar">
    <w:name w:val="Texto comentario Car"/>
    <w:basedOn w:val="Fuentedeprrafopredeter"/>
    <w:link w:val="Textocomentario"/>
    <w:uiPriority w:val="99"/>
    <w:rsid w:val="00A80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809F7"/>
    <w:rPr>
      <w:b/>
      <w:bCs/>
    </w:rPr>
  </w:style>
  <w:style w:type="character" w:customStyle="1" w:styleId="AsuntodelcomentarioCar">
    <w:name w:val="Asunto del comentario Car"/>
    <w:basedOn w:val="TextocomentarioCar"/>
    <w:link w:val="Asuntodelcomentario"/>
    <w:uiPriority w:val="99"/>
    <w:semiHidden/>
    <w:rsid w:val="00A809F7"/>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A809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9F7"/>
    <w:rPr>
      <w:rFonts w:ascii="Segoe UI" w:eastAsia="Times New Roman" w:hAnsi="Segoe UI" w:cs="Segoe UI"/>
      <w:sz w:val="18"/>
      <w:szCs w:val="18"/>
      <w:lang w:eastAsia="es-ES"/>
    </w:rPr>
  </w:style>
  <w:style w:type="paragraph" w:styleId="Revisin">
    <w:name w:val="Revision"/>
    <w:hidden/>
    <w:uiPriority w:val="99"/>
    <w:semiHidden/>
    <w:rsid w:val="00143654"/>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A06EBB"/>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paragraph" w:styleId="Encabezado">
    <w:name w:val="header"/>
    <w:basedOn w:val="Normal"/>
    <w:link w:val="EncabezadoCar"/>
    <w:uiPriority w:val="99"/>
    <w:unhideWhenUsed/>
    <w:rsid w:val="00F529BA"/>
    <w:pPr>
      <w:tabs>
        <w:tab w:val="center" w:pos="4419"/>
        <w:tab w:val="right" w:pos="8838"/>
      </w:tabs>
    </w:pPr>
  </w:style>
  <w:style w:type="character" w:customStyle="1" w:styleId="EncabezadoCar">
    <w:name w:val="Encabezado Car"/>
    <w:basedOn w:val="Fuentedeprrafopredeter"/>
    <w:link w:val="Encabezado"/>
    <w:uiPriority w:val="99"/>
    <w:rsid w:val="00F529BA"/>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locked/>
    <w:rsid w:val="00DD4071"/>
    <w:rPr>
      <w:rFonts w:ascii="Calibri" w:hAnsi="Calibri"/>
    </w:rPr>
  </w:style>
  <w:style w:type="paragraph" w:styleId="Sinespaciado">
    <w:name w:val="No Spacing"/>
    <w:basedOn w:val="Normal"/>
    <w:link w:val="SinespaciadoCar"/>
    <w:uiPriority w:val="1"/>
    <w:qFormat/>
    <w:rsid w:val="00DD4071"/>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1319">
      <w:bodyDiv w:val="1"/>
      <w:marLeft w:val="0"/>
      <w:marRight w:val="0"/>
      <w:marTop w:val="0"/>
      <w:marBottom w:val="0"/>
      <w:divBdr>
        <w:top w:val="none" w:sz="0" w:space="0" w:color="auto"/>
        <w:left w:val="none" w:sz="0" w:space="0" w:color="auto"/>
        <w:bottom w:val="none" w:sz="0" w:space="0" w:color="auto"/>
        <w:right w:val="none" w:sz="0" w:space="0" w:color="auto"/>
      </w:divBdr>
    </w:div>
    <w:div w:id="746264293">
      <w:bodyDiv w:val="1"/>
      <w:marLeft w:val="0"/>
      <w:marRight w:val="0"/>
      <w:marTop w:val="0"/>
      <w:marBottom w:val="0"/>
      <w:divBdr>
        <w:top w:val="none" w:sz="0" w:space="0" w:color="auto"/>
        <w:left w:val="none" w:sz="0" w:space="0" w:color="auto"/>
        <w:bottom w:val="none" w:sz="0" w:space="0" w:color="auto"/>
        <w:right w:val="none" w:sz="0" w:space="0" w:color="auto"/>
      </w:divBdr>
      <w:divsChild>
        <w:div w:id="764422325">
          <w:marLeft w:val="1080"/>
          <w:marRight w:val="0"/>
          <w:marTop w:val="0"/>
          <w:marBottom w:val="90"/>
          <w:divBdr>
            <w:top w:val="none" w:sz="0" w:space="0" w:color="auto"/>
            <w:left w:val="none" w:sz="0" w:space="0" w:color="auto"/>
            <w:bottom w:val="none" w:sz="0" w:space="0" w:color="auto"/>
            <w:right w:val="none" w:sz="0" w:space="0" w:color="auto"/>
          </w:divBdr>
        </w:div>
        <w:div w:id="986781242">
          <w:marLeft w:val="1080"/>
          <w:marRight w:val="0"/>
          <w:marTop w:val="0"/>
          <w:marBottom w:val="90"/>
          <w:divBdr>
            <w:top w:val="none" w:sz="0" w:space="0" w:color="auto"/>
            <w:left w:val="none" w:sz="0" w:space="0" w:color="auto"/>
            <w:bottom w:val="none" w:sz="0" w:space="0" w:color="auto"/>
            <w:right w:val="none" w:sz="0" w:space="0" w:color="auto"/>
          </w:divBdr>
        </w:div>
      </w:divsChild>
    </w:div>
    <w:div w:id="865218465">
      <w:bodyDiv w:val="1"/>
      <w:marLeft w:val="0"/>
      <w:marRight w:val="0"/>
      <w:marTop w:val="0"/>
      <w:marBottom w:val="0"/>
      <w:divBdr>
        <w:top w:val="none" w:sz="0" w:space="0" w:color="auto"/>
        <w:left w:val="none" w:sz="0" w:space="0" w:color="auto"/>
        <w:bottom w:val="none" w:sz="0" w:space="0" w:color="auto"/>
        <w:right w:val="none" w:sz="0" w:space="0" w:color="auto"/>
      </w:divBdr>
    </w:div>
    <w:div w:id="1445003718">
      <w:bodyDiv w:val="1"/>
      <w:marLeft w:val="0"/>
      <w:marRight w:val="0"/>
      <w:marTop w:val="0"/>
      <w:marBottom w:val="0"/>
      <w:divBdr>
        <w:top w:val="none" w:sz="0" w:space="0" w:color="auto"/>
        <w:left w:val="none" w:sz="0" w:space="0" w:color="auto"/>
        <w:bottom w:val="none" w:sz="0" w:space="0" w:color="auto"/>
        <w:right w:val="none" w:sz="0" w:space="0" w:color="auto"/>
      </w:divBdr>
    </w:div>
    <w:div w:id="1897163082">
      <w:bodyDiv w:val="1"/>
      <w:marLeft w:val="0"/>
      <w:marRight w:val="0"/>
      <w:marTop w:val="0"/>
      <w:marBottom w:val="0"/>
      <w:divBdr>
        <w:top w:val="none" w:sz="0" w:space="0" w:color="auto"/>
        <w:left w:val="none" w:sz="0" w:space="0" w:color="auto"/>
        <w:bottom w:val="none" w:sz="0" w:space="0" w:color="auto"/>
        <w:right w:val="none" w:sz="0" w:space="0" w:color="auto"/>
      </w:divBdr>
      <w:divsChild>
        <w:div w:id="1261447349">
          <w:marLeft w:val="1080"/>
          <w:marRight w:val="0"/>
          <w:marTop w:val="0"/>
          <w:marBottom w:val="90"/>
          <w:divBdr>
            <w:top w:val="none" w:sz="0" w:space="0" w:color="auto"/>
            <w:left w:val="none" w:sz="0" w:space="0" w:color="auto"/>
            <w:bottom w:val="none" w:sz="0" w:space="0" w:color="auto"/>
            <w:right w:val="none" w:sz="0" w:space="0" w:color="auto"/>
          </w:divBdr>
        </w:div>
        <w:div w:id="1119834868">
          <w:marLeft w:val="108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DFDAF64A-FEF2-4C75-8473-74C51CF9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Normatividad Técnica</dc:creator>
  <cp:lastModifiedBy>Arlene Ameneyro Tapia</cp:lastModifiedBy>
  <cp:revision>3</cp:revision>
  <cp:lastPrinted>2016-03-01T20:06:00Z</cp:lastPrinted>
  <dcterms:created xsi:type="dcterms:W3CDTF">2016-04-01T02:45:00Z</dcterms:created>
  <dcterms:modified xsi:type="dcterms:W3CDTF">2016-04-01T02:48:00Z</dcterms:modified>
</cp:coreProperties>
</file>