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7248F8" w14:paraId="320CBB41" w14:textId="77777777" w:rsidTr="0068307E">
        <w:trPr>
          <w:trHeight w:val="816"/>
        </w:trPr>
        <w:tc>
          <w:tcPr>
            <w:tcW w:w="3114" w:type="dxa"/>
            <w:shd w:val="clear" w:color="auto" w:fill="DBDBDB" w:themeFill="accent3" w:themeFillTint="66"/>
          </w:tcPr>
          <w:p w14:paraId="320CBB3B" w14:textId="77777777" w:rsidR="00501ADF" w:rsidRPr="007248F8" w:rsidRDefault="00501ADF" w:rsidP="00501ADF">
            <w:pPr>
              <w:jc w:val="both"/>
              <w:rPr>
                <w:rFonts w:ascii="ITC Avant Garde" w:hAnsi="ITC Avant Garde"/>
                <w:b/>
                <w:sz w:val="20"/>
              </w:rPr>
            </w:pPr>
            <w:r w:rsidRPr="007248F8">
              <w:rPr>
                <w:rFonts w:ascii="ITC Avant Garde" w:hAnsi="ITC Avant Garde"/>
                <w:b/>
                <w:sz w:val="20"/>
              </w:rPr>
              <w:t>Unidad administrativa:</w:t>
            </w:r>
          </w:p>
          <w:p w14:paraId="320CBB3C" w14:textId="77777777" w:rsidR="0068307E" w:rsidRPr="007248F8" w:rsidRDefault="00A72899" w:rsidP="00501ADF">
            <w:pPr>
              <w:jc w:val="both"/>
              <w:rPr>
                <w:rFonts w:ascii="ITC Avant Garde" w:hAnsi="ITC Avant Garde"/>
                <w:sz w:val="20"/>
              </w:rPr>
            </w:pPr>
            <w:r w:rsidRPr="007248F8">
              <w:rPr>
                <w:rFonts w:ascii="ITC Avant Garde" w:hAnsi="ITC Avant Garde"/>
                <w:sz w:val="20"/>
              </w:rPr>
              <w:t>Unidad de Espectro Radioeléctrico</w:t>
            </w:r>
          </w:p>
          <w:p w14:paraId="320CBB3D" w14:textId="77777777" w:rsidR="0068307E" w:rsidRPr="007248F8" w:rsidRDefault="0068307E" w:rsidP="00501ADF">
            <w:pPr>
              <w:jc w:val="both"/>
              <w:rPr>
                <w:rFonts w:ascii="ITC Avant Garde" w:hAnsi="ITC Avant Garde"/>
                <w:sz w:val="20"/>
              </w:rPr>
            </w:pPr>
          </w:p>
        </w:tc>
        <w:tc>
          <w:tcPr>
            <w:tcW w:w="5714" w:type="dxa"/>
            <w:gridSpan w:val="2"/>
            <w:shd w:val="clear" w:color="auto" w:fill="DBDBDB" w:themeFill="accent3" w:themeFillTint="66"/>
          </w:tcPr>
          <w:p w14:paraId="320CBB3E" w14:textId="77777777" w:rsidR="00501ADF" w:rsidRPr="007248F8" w:rsidRDefault="00501ADF" w:rsidP="00501ADF">
            <w:pPr>
              <w:jc w:val="both"/>
              <w:rPr>
                <w:rFonts w:ascii="ITC Avant Garde" w:hAnsi="ITC Avant Garde"/>
                <w:b/>
                <w:sz w:val="20"/>
              </w:rPr>
            </w:pPr>
            <w:r w:rsidRPr="007248F8">
              <w:rPr>
                <w:rFonts w:ascii="ITC Avant Garde" w:hAnsi="ITC Avant Garde"/>
                <w:b/>
                <w:sz w:val="20"/>
              </w:rPr>
              <w:t>Título del anteproyecto de regulación:</w:t>
            </w:r>
          </w:p>
          <w:p w14:paraId="320CBB3F" w14:textId="77777777" w:rsidR="0068307E" w:rsidRPr="007248F8" w:rsidRDefault="00652632" w:rsidP="00501ADF">
            <w:pPr>
              <w:jc w:val="both"/>
              <w:rPr>
                <w:rFonts w:ascii="ITC Avant Garde" w:hAnsi="ITC Avant Garde"/>
                <w:sz w:val="20"/>
              </w:rPr>
            </w:pPr>
            <w:r w:rsidRPr="007248F8">
              <w:rPr>
                <w:rFonts w:ascii="ITC Avant Garde" w:hAnsi="ITC Avant Garde"/>
                <w:sz w:val="20"/>
              </w:rPr>
              <w:t>Anteproyecto de Actualización del Cuadro Nacional de Atribución de Frecuencias.</w:t>
            </w:r>
          </w:p>
          <w:p w14:paraId="320CBB40" w14:textId="77777777" w:rsidR="0068307E" w:rsidRPr="007248F8" w:rsidRDefault="0068307E" w:rsidP="00501ADF">
            <w:pPr>
              <w:jc w:val="both"/>
              <w:rPr>
                <w:rFonts w:ascii="ITC Avant Garde" w:hAnsi="ITC Avant Garde"/>
                <w:sz w:val="20"/>
              </w:rPr>
            </w:pPr>
          </w:p>
        </w:tc>
      </w:tr>
      <w:tr w:rsidR="0068307E" w:rsidRPr="007248F8" w14:paraId="320CBB4B" w14:textId="77777777" w:rsidTr="0068307E">
        <w:tc>
          <w:tcPr>
            <w:tcW w:w="3114" w:type="dxa"/>
            <w:vMerge w:val="restart"/>
            <w:shd w:val="clear" w:color="auto" w:fill="DBDBDB" w:themeFill="accent3" w:themeFillTint="66"/>
          </w:tcPr>
          <w:p w14:paraId="320CBB42" w14:textId="77777777" w:rsidR="0068307E" w:rsidRPr="007248F8" w:rsidRDefault="0068307E" w:rsidP="00501ADF">
            <w:pPr>
              <w:jc w:val="both"/>
              <w:rPr>
                <w:rFonts w:ascii="ITC Avant Garde" w:hAnsi="ITC Avant Garde"/>
                <w:b/>
                <w:sz w:val="20"/>
              </w:rPr>
            </w:pPr>
            <w:r w:rsidRPr="007248F8">
              <w:rPr>
                <w:rFonts w:ascii="ITC Avant Garde" w:hAnsi="ITC Avant Garde"/>
                <w:b/>
                <w:sz w:val="20"/>
              </w:rPr>
              <w:t>Datos de contacto:</w:t>
            </w:r>
          </w:p>
          <w:p w14:paraId="320CBB43" w14:textId="77777777" w:rsidR="0068307E" w:rsidRPr="007248F8" w:rsidRDefault="0068307E" w:rsidP="00501ADF">
            <w:pPr>
              <w:jc w:val="both"/>
              <w:rPr>
                <w:rFonts w:ascii="ITC Avant Garde" w:hAnsi="ITC Avant Garde"/>
                <w:b/>
                <w:sz w:val="20"/>
              </w:rPr>
            </w:pPr>
          </w:p>
          <w:p w14:paraId="320CBB44" w14:textId="77777777" w:rsidR="0068307E" w:rsidRPr="007248F8" w:rsidRDefault="00A72899" w:rsidP="00501ADF">
            <w:pPr>
              <w:jc w:val="both"/>
              <w:rPr>
                <w:rFonts w:ascii="ITC Avant Garde" w:hAnsi="ITC Avant Garde"/>
                <w:sz w:val="20"/>
              </w:rPr>
            </w:pPr>
            <w:r w:rsidRPr="007248F8">
              <w:rPr>
                <w:rFonts w:ascii="ITC Avant Garde" w:hAnsi="ITC Avant Garde"/>
                <w:sz w:val="20"/>
              </w:rPr>
              <w:t>Ing. Juan Pablo Rocha López</w:t>
            </w:r>
            <w:r w:rsidR="0068307E" w:rsidRPr="007248F8">
              <w:rPr>
                <w:rFonts w:ascii="ITC Avant Garde" w:hAnsi="ITC Avant Garde"/>
                <w:sz w:val="20"/>
              </w:rPr>
              <w:t xml:space="preserve"> </w:t>
            </w:r>
          </w:p>
          <w:p w14:paraId="320CBB45" w14:textId="77777777" w:rsidR="0068307E" w:rsidRPr="007248F8" w:rsidRDefault="0068307E" w:rsidP="00501ADF">
            <w:pPr>
              <w:jc w:val="both"/>
              <w:rPr>
                <w:rFonts w:ascii="ITC Avant Garde" w:hAnsi="ITC Avant Garde"/>
                <w:sz w:val="20"/>
              </w:rPr>
            </w:pPr>
            <w:r w:rsidRPr="007248F8">
              <w:rPr>
                <w:rFonts w:ascii="ITC Avant Garde" w:hAnsi="ITC Avant Garde"/>
                <w:sz w:val="20"/>
              </w:rPr>
              <w:t>Teléfono: 5015-</w:t>
            </w:r>
            <w:r w:rsidR="00A72899" w:rsidRPr="007248F8">
              <w:rPr>
                <w:rFonts w:ascii="ITC Avant Garde" w:hAnsi="ITC Avant Garde"/>
                <w:sz w:val="20"/>
              </w:rPr>
              <w:t>4000 Ext. 2726</w:t>
            </w:r>
          </w:p>
          <w:p w14:paraId="320CBB46" w14:textId="77777777" w:rsidR="0068307E" w:rsidRPr="007248F8" w:rsidRDefault="0068307E" w:rsidP="00501ADF">
            <w:pPr>
              <w:jc w:val="both"/>
              <w:rPr>
                <w:rFonts w:ascii="ITC Avant Garde" w:hAnsi="ITC Avant Garde"/>
                <w:sz w:val="20"/>
              </w:rPr>
            </w:pPr>
            <w:r w:rsidRPr="007248F8">
              <w:rPr>
                <w:rFonts w:ascii="ITC Avant Garde" w:hAnsi="ITC Avant Garde"/>
                <w:sz w:val="20"/>
              </w:rPr>
              <w:t>Correo electrónico:</w:t>
            </w:r>
          </w:p>
          <w:p w14:paraId="320CBB47" w14:textId="77777777" w:rsidR="0068307E" w:rsidRPr="007248F8" w:rsidRDefault="00C304C4" w:rsidP="00A72899">
            <w:pPr>
              <w:jc w:val="both"/>
              <w:rPr>
                <w:rFonts w:ascii="ITC Avant Garde" w:hAnsi="ITC Avant Garde"/>
                <w:b/>
                <w:sz w:val="20"/>
              </w:rPr>
            </w:pPr>
            <w:hyperlink r:id="rId11" w:history="1">
              <w:r w:rsidR="00A72899" w:rsidRPr="007248F8">
                <w:rPr>
                  <w:rStyle w:val="Hipervnculo"/>
                  <w:rFonts w:ascii="ITC Avant Garde" w:hAnsi="ITC Avant Garde"/>
                  <w:sz w:val="20"/>
                </w:rPr>
                <w:t>juan.rocha@ift.org.mx</w:t>
              </w:r>
            </w:hyperlink>
            <w:r w:rsidR="0068307E" w:rsidRPr="007248F8">
              <w:rPr>
                <w:rFonts w:ascii="ITC Avant Garde" w:hAnsi="ITC Avant Garde"/>
                <w:sz w:val="20"/>
              </w:rPr>
              <w:t xml:space="preserve"> </w:t>
            </w:r>
          </w:p>
        </w:tc>
        <w:tc>
          <w:tcPr>
            <w:tcW w:w="3402" w:type="dxa"/>
            <w:shd w:val="clear" w:color="auto" w:fill="DBDBDB" w:themeFill="accent3" w:themeFillTint="66"/>
          </w:tcPr>
          <w:p w14:paraId="320CBB48" w14:textId="77777777" w:rsidR="0068307E" w:rsidRPr="007248F8" w:rsidRDefault="0068307E" w:rsidP="008A48B0">
            <w:pPr>
              <w:jc w:val="both"/>
              <w:rPr>
                <w:rFonts w:ascii="ITC Avant Garde" w:hAnsi="ITC Avant Garde"/>
                <w:b/>
                <w:sz w:val="20"/>
              </w:rPr>
            </w:pPr>
            <w:r w:rsidRPr="007248F8">
              <w:rPr>
                <w:rFonts w:ascii="ITC Avant Garde" w:hAnsi="ITC Avant Garde"/>
                <w:b/>
                <w:sz w:val="20"/>
              </w:rPr>
              <w:t>Fecha de elaboración:</w:t>
            </w:r>
          </w:p>
          <w:p w14:paraId="320CBB49" w14:textId="77777777" w:rsidR="0068307E" w:rsidRPr="007248F8" w:rsidRDefault="0068307E" w:rsidP="008A48B0">
            <w:pPr>
              <w:jc w:val="both"/>
              <w:rPr>
                <w:rFonts w:ascii="ITC Avant Garde" w:hAnsi="ITC Avant Garde"/>
                <w:b/>
                <w:sz w:val="20"/>
              </w:rPr>
            </w:pPr>
          </w:p>
        </w:tc>
        <w:tc>
          <w:tcPr>
            <w:tcW w:w="2312" w:type="dxa"/>
            <w:shd w:val="clear" w:color="auto" w:fill="DBDBDB" w:themeFill="accent3" w:themeFillTint="66"/>
          </w:tcPr>
          <w:p w14:paraId="320CBB4A" w14:textId="77777777" w:rsidR="0068307E" w:rsidRPr="007248F8" w:rsidRDefault="00A72899" w:rsidP="00A72899">
            <w:pPr>
              <w:jc w:val="center"/>
              <w:rPr>
                <w:rFonts w:ascii="ITC Avant Garde" w:hAnsi="ITC Avant Garde"/>
                <w:sz w:val="20"/>
              </w:rPr>
            </w:pPr>
            <w:r w:rsidRPr="007248F8">
              <w:rPr>
                <w:rFonts w:ascii="ITC Avant Garde" w:hAnsi="ITC Avant Garde"/>
                <w:sz w:val="20"/>
              </w:rPr>
              <w:t>09</w:t>
            </w:r>
            <w:r w:rsidR="0068307E" w:rsidRPr="007248F8">
              <w:rPr>
                <w:rFonts w:ascii="ITC Avant Garde" w:hAnsi="ITC Avant Garde"/>
                <w:sz w:val="20"/>
              </w:rPr>
              <w:t>/</w:t>
            </w:r>
            <w:r w:rsidRPr="007248F8">
              <w:rPr>
                <w:rFonts w:ascii="ITC Avant Garde" w:hAnsi="ITC Avant Garde"/>
                <w:sz w:val="20"/>
              </w:rPr>
              <w:t>11</w:t>
            </w:r>
            <w:r w:rsidR="0068307E" w:rsidRPr="007248F8">
              <w:rPr>
                <w:rFonts w:ascii="ITC Avant Garde" w:hAnsi="ITC Avant Garde"/>
                <w:sz w:val="20"/>
              </w:rPr>
              <w:t>/</w:t>
            </w:r>
            <w:r w:rsidRPr="007248F8">
              <w:rPr>
                <w:rFonts w:ascii="ITC Avant Garde" w:hAnsi="ITC Avant Garde"/>
                <w:sz w:val="20"/>
              </w:rPr>
              <w:t>2016</w:t>
            </w:r>
          </w:p>
        </w:tc>
      </w:tr>
      <w:tr w:rsidR="0068307E" w:rsidRPr="007248F8" w14:paraId="320CBB4F" w14:textId="77777777" w:rsidTr="0068307E">
        <w:trPr>
          <w:trHeight w:val="390"/>
        </w:trPr>
        <w:tc>
          <w:tcPr>
            <w:tcW w:w="3114" w:type="dxa"/>
            <w:vMerge/>
            <w:shd w:val="clear" w:color="auto" w:fill="DBDBDB" w:themeFill="accent3" w:themeFillTint="66"/>
          </w:tcPr>
          <w:p w14:paraId="320CBB4C" w14:textId="77777777" w:rsidR="0068307E" w:rsidRPr="007248F8" w:rsidRDefault="0068307E" w:rsidP="00501ADF">
            <w:pPr>
              <w:jc w:val="both"/>
              <w:rPr>
                <w:rFonts w:ascii="ITC Avant Garde" w:hAnsi="ITC Avant Garde"/>
                <w:sz w:val="20"/>
              </w:rPr>
            </w:pPr>
          </w:p>
        </w:tc>
        <w:tc>
          <w:tcPr>
            <w:tcW w:w="3402" w:type="dxa"/>
            <w:shd w:val="clear" w:color="auto" w:fill="DBDBDB" w:themeFill="accent3" w:themeFillTint="66"/>
          </w:tcPr>
          <w:p w14:paraId="320CBB4D" w14:textId="77777777" w:rsidR="0068307E" w:rsidRPr="007248F8" w:rsidRDefault="0068307E" w:rsidP="0068307E">
            <w:pPr>
              <w:jc w:val="both"/>
              <w:rPr>
                <w:rFonts w:ascii="ITC Avant Garde" w:hAnsi="ITC Avant Garde"/>
                <w:b/>
                <w:sz w:val="20"/>
              </w:rPr>
            </w:pPr>
            <w:r w:rsidRPr="007248F8">
              <w:rPr>
                <w:rFonts w:ascii="ITC Avant Garde" w:hAnsi="ITC Avant Garde"/>
                <w:b/>
                <w:sz w:val="20"/>
              </w:rPr>
              <w:t>Fecha de inicio de la consulta pública:</w:t>
            </w:r>
          </w:p>
        </w:tc>
        <w:tc>
          <w:tcPr>
            <w:tcW w:w="2312" w:type="dxa"/>
            <w:shd w:val="clear" w:color="auto" w:fill="DBDBDB" w:themeFill="accent3" w:themeFillTint="66"/>
          </w:tcPr>
          <w:p w14:paraId="320CBB4E" w14:textId="78BDD00D" w:rsidR="0068307E" w:rsidRPr="007248F8" w:rsidRDefault="00F15E46" w:rsidP="007248F8">
            <w:pPr>
              <w:jc w:val="center"/>
              <w:rPr>
                <w:rFonts w:ascii="ITC Avant Garde" w:hAnsi="ITC Avant Garde"/>
                <w:sz w:val="20"/>
              </w:rPr>
            </w:pPr>
            <w:r w:rsidRPr="007248F8">
              <w:rPr>
                <w:rFonts w:ascii="ITC Avant Garde" w:hAnsi="ITC Avant Garde"/>
                <w:sz w:val="20"/>
              </w:rPr>
              <w:t>1</w:t>
            </w:r>
            <w:r w:rsidR="007248F8">
              <w:rPr>
                <w:rFonts w:ascii="ITC Avant Garde" w:hAnsi="ITC Avant Garde"/>
                <w:sz w:val="20"/>
              </w:rPr>
              <w:t>1</w:t>
            </w:r>
            <w:r w:rsidR="0068307E" w:rsidRPr="007248F8">
              <w:rPr>
                <w:rFonts w:ascii="ITC Avant Garde" w:hAnsi="ITC Avant Garde"/>
                <w:sz w:val="20"/>
              </w:rPr>
              <w:t>/</w:t>
            </w:r>
            <w:r w:rsidRPr="007248F8">
              <w:rPr>
                <w:rFonts w:ascii="ITC Avant Garde" w:hAnsi="ITC Avant Garde"/>
                <w:sz w:val="20"/>
              </w:rPr>
              <w:t>11</w:t>
            </w:r>
            <w:r w:rsidR="0068307E" w:rsidRPr="007248F8">
              <w:rPr>
                <w:rFonts w:ascii="ITC Avant Garde" w:hAnsi="ITC Avant Garde"/>
                <w:sz w:val="20"/>
              </w:rPr>
              <w:t>/</w:t>
            </w:r>
            <w:r w:rsidRPr="007248F8">
              <w:rPr>
                <w:rFonts w:ascii="ITC Avant Garde" w:hAnsi="ITC Avant Garde"/>
                <w:sz w:val="20"/>
              </w:rPr>
              <w:t>2016</w:t>
            </w:r>
          </w:p>
        </w:tc>
      </w:tr>
      <w:tr w:rsidR="0068307E" w:rsidRPr="007248F8" w14:paraId="320CBB53" w14:textId="77777777" w:rsidTr="0068307E">
        <w:tc>
          <w:tcPr>
            <w:tcW w:w="3114" w:type="dxa"/>
            <w:vMerge/>
            <w:shd w:val="clear" w:color="auto" w:fill="DBDBDB" w:themeFill="accent3" w:themeFillTint="66"/>
          </w:tcPr>
          <w:p w14:paraId="320CBB50" w14:textId="77777777" w:rsidR="0068307E" w:rsidRPr="007248F8" w:rsidRDefault="0068307E" w:rsidP="00501ADF">
            <w:pPr>
              <w:jc w:val="both"/>
              <w:rPr>
                <w:rFonts w:ascii="ITC Avant Garde" w:hAnsi="ITC Avant Garde"/>
                <w:sz w:val="20"/>
              </w:rPr>
            </w:pPr>
          </w:p>
        </w:tc>
        <w:tc>
          <w:tcPr>
            <w:tcW w:w="3402" w:type="dxa"/>
            <w:shd w:val="clear" w:color="auto" w:fill="DBDBDB" w:themeFill="accent3" w:themeFillTint="66"/>
          </w:tcPr>
          <w:p w14:paraId="320CBB51" w14:textId="77777777" w:rsidR="0068307E" w:rsidRPr="007248F8" w:rsidRDefault="005A40FB" w:rsidP="0068307E">
            <w:pPr>
              <w:jc w:val="both"/>
              <w:rPr>
                <w:rFonts w:ascii="ITC Avant Garde" w:hAnsi="ITC Avant Garde"/>
                <w:b/>
                <w:sz w:val="20"/>
              </w:rPr>
            </w:pPr>
            <w:r w:rsidRPr="007248F8">
              <w:rPr>
                <w:rFonts w:ascii="ITC Avant Garde" w:hAnsi="ITC Avant Garde"/>
                <w:b/>
                <w:sz w:val="20"/>
              </w:rPr>
              <w:t xml:space="preserve">Fecha de </w:t>
            </w:r>
            <w:r w:rsidR="0068307E" w:rsidRPr="007248F8">
              <w:rPr>
                <w:rFonts w:ascii="ITC Avant Garde" w:hAnsi="ITC Avant Garde"/>
                <w:b/>
                <w:sz w:val="20"/>
              </w:rPr>
              <w:t>conclusión de la consulta pública:</w:t>
            </w:r>
          </w:p>
        </w:tc>
        <w:tc>
          <w:tcPr>
            <w:tcW w:w="2312" w:type="dxa"/>
            <w:shd w:val="clear" w:color="auto" w:fill="DBDBDB" w:themeFill="accent3" w:themeFillTint="66"/>
          </w:tcPr>
          <w:p w14:paraId="320CBB52" w14:textId="46A9D547" w:rsidR="0068307E" w:rsidRPr="007248F8" w:rsidRDefault="007248F8" w:rsidP="00F15E46">
            <w:pPr>
              <w:jc w:val="center"/>
              <w:rPr>
                <w:rFonts w:ascii="ITC Avant Garde" w:hAnsi="ITC Avant Garde"/>
                <w:sz w:val="20"/>
              </w:rPr>
            </w:pPr>
            <w:r>
              <w:rPr>
                <w:rFonts w:ascii="ITC Avant Garde" w:hAnsi="ITC Avant Garde"/>
                <w:sz w:val="20"/>
              </w:rPr>
              <w:t>09</w:t>
            </w:r>
            <w:r w:rsidR="0068307E" w:rsidRPr="007248F8">
              <w:rPr>
                <w:rFonts w:ascii="ITC Avant Garde" w:hAnsi="ITC Avant Garde"/>
                <w:sz w:val="20"/>
              </w:rPr>
              <w:t>/</w:t>
            </w:r>
            <w:r w:rsidR="00F15E46" w:rsidRPr="007248F8">
              <w:rPr>
                <w:rFonts w:ascii="ITC Avant Garde" w:hAnsi="ITC Avant Garde"/>
                <w:sz w:val="20"/>
              </w:rPr>
              <w:t>12</w:t>
            </w:r>
            <w:r w:rsidR="0068307E" w:rsidRPr="007248F8">
              <w:rPr>
                <w:rFonts w:ascii="ITC Avant Garde" w:hAnsi="ITC Avant Garde"/>
                <w:sz w:val="20"/>
              </w:rPr>
              <w:t>/</w:t>
            </w:r>
            <w:r w:rsidR="00F15E46" w:rsidRPr="007248F8">
              <w:rPr>
                <w:rFonts w:ascii="ITC Avant Garde" w:hAnsi="ITC Avant Garde"/>
                <w:sz w:val="20"/>
              </w:rPr>
              <w:t>2016</w:t>
            </w:r>
          </w:p>
        </w:tc>
      </w:tr>
    </w:tbl>
    <w:p w14:paraId="320CBB54" w14:textId="77777777" w:rsidR="00501ADF" w:rsidRPr="007248F8" w:rsidRDefault="00501ADF" w:rsidP="00501ADF">
      <w:pPr>
        <w:jc w:val="both"/>
        <w:rPr>
          <w:rFonts w:ascii="ITC Avant Garde" w:hAnsi="ITC Avant Garde"/>
        </w:rPr>
      </w:pPr>
    </w:p>
    <w:p w14:paraId="320CBB55" w14:textId="77777777" w:rsidR="001932FC" w:rsidRPr="007248F8" w:rsidRDefault="001932FC" w:rsidP="0068307E">
      <w:pPr>
        <w:shd w:val="clear" w:color="auto" w:fill="A8D08D" w:themeFill="accent6" w:themeFillTint="99"/>
        <w:jc w:val="both"/>
        <w:rPr>
          <w:rFonts w:ascii="ITC Avant Garde" w:hAnsi="ITC Avant Garde"/>
          <w:b/>
        </w:rPr>
      </w:pPr>
      <w:r w:rsidRPr="007248F8">
        <w:rPr>
          <w:rFonts w:ascii="ITC Avant Garde" w:hAnsi="ITC Avant Garde"/>
          <w:b/>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7248F8" w14:paraId="320CBB66" w14:textId="77777777" w:rsidTr="008A48B0">
        <w:tc>
          <w:tcPr>
            <w:tcW w:w="8828" w:type="dxa"/>
            <w:shd w:val="clear" w:color="auto" w:fill="FFFFFF" w:themeFill="background1"/>
          </w:tcPr>
          <w:p w14:paraId="320CBB56" w14:textId="0D862C87" w:rsidR="001932FC" w:rsidRPr="007248F8" w:rsidRDefault="001932FC" w:rsidP="008A48B0">
            <w:pPr>
              <w:shd w:val="clear" w:color="auto" w:fill="FFFFFF" w:themeFill="background1"/>
              <w:jc w:val="both"/>
              <w:rPr>
                <w:rFonts w:ascii="ITC Avant Garde" w:hAnsi="ITC Avant Garde"/>
                <w:b/>
                <w:sz w:val="20"/>
                <w:szCs w:val="20"/>
              </w:rPr>
            </w:pPr>
            <w:r w:rsidRPr="007248F8">
              <w:rPr>
                <w:rFonts w:ascii="ITC Avant Garde" w:hAnsi="ITC Avant Garde"/>
                <w:b/>
                <w:sz w:val="20"/>
                <w:szCs w:val="20"/>
              </w:rPr>
              <w:t>1.</w:t>
            </w:r>
            <w:r w:rsidR="00E6080B" w:rsidRPr="007248F8">
              <w:rPr>
                <w:rFonts w:ascii="ITC Avant Garde" w:hAnsi="ITC Avant Garde"/>
                <w:b/>
                <w:sz w:val="20"/>
                <w:szCs w:val="20"/>
              </w:rPr>
              <w:t>-</w:t>
            </w:r>
            <w:r w:rsidRPr="007248F8">
              <w:rPr>
                <w:rFonts w:ascii="ITC Avant Garde" w:hAnsi="ITC Avant Garde"/>
                <w:b/>
                <w:sz w:val="20"/>
                <w:szCs w:val="20"/>
              </w:rPr>
              <w:t xml:space="preserve"> </w:t>
            </w:r>
            <w:r w:rsidR="00D221B5" w:rsidRPr="007248F8">
              <w:rPr>
                <w:rFonts w:ascii="ITC Avant Garde" w:hAnsi="ITC Avant Garde"/>
                <w:b/>
                <w:sz w:val="20"/>
                <w:szCs w:val="20"/>
              </w:rPr>
              <w:t>Explique brevemente en qué consiste el anteproyecto de regulación propuesto</w:t>
            </w:r>
            <w:r w:rsidR="007248F8">
              <w:rPr>
                <w:rFonts w:ascii="ITC Avant Garde" w:hAnsi="ITC Avant Garde"/>
                <w:b/>
                <w:sz w:val="20"/>
                <w:szCs w:val="20"/>
              </w:rPr>
              <w:t>,</w:t>
            </w:r>
            <w:r w:rsidR="00D221B5" w:rsidRPr="007248F8">
              <w:rPr>
                <w:rFonts w:ascii="ITC Avant Garde" w:hAnsi="ITC Avant Garde"/>
                <w:b/>
                <w:sz w:val="20"/>
                <w:szCs w:val="20"/>
              </w:rPr>
              <w:t xml:space="preserve"> así como sus objetivos generales</w:t>
            </w:r>
            <w:r w:rsidRPr="007248F8">
              <w:rPr>
                <w:rFonts w:ascii="ITC Avant Garde" w:hAnsi="ITC Avant Garde"/>
                <w:b/>
                <w:sz w:val="20"/>
                <w:szCs w:val="20"/>
              </w:rPr>
              <w:t>:</w:t>
            </w:r>
          </w:p>
          <w:p w14:paraId="320CBB57" w14:textId="77777777" w:rsidR="001932FC" w:rsidRPr="007248F8" w:rsidRDefault="001932FC" w:rsidP="008A48B0">
            <w:pPr>
              <w:shd w:val="clear" w:color="auto" w:fill="FFFFFF" w:themeFill="background1"/>
              <w:jc w:val="both"/>
              <w:rPr>
                <w:rFonts w:ascii="ITC Avant Garde" w:hAnsi="ITC Avant Garde"/>
                <w:sz w:val="20"/>
                <w:szCs w:val="20"/>
              </w:rPr>
            </w:pPr>
          </w:p>
          <w:p w14:paraId="320CBB58" w14:textId="47DBAA7F" w:rsidR="005307EB" w:rsidRPr="007248F8" w:rsidRDefault="005307EB" w:rsidP="008A48B0">
            <w:pPr>
              <w:shd w:val="clear" w:color="auto" w:fill="FFFFFF" w:themeFill="background1"/>
              <w:jc w:val="both"/>
              <w:rPr>
                <w:rFonts w:ascii="ITC Avant Garde" w:hAnsi="ITC Avant Garde"/>
                <w:sz w:val="20"/>
                <w:szCs w:val="20"/>
              </w:rPr>
            </w:pPr>
            <w:r w:rsidRPr="007248F8">
              <w:rPr>
                <w:rFonts w:ascii="ITC Avant Garde" w:hAnsi="ITC Avant Garde"/>
                <w:sz w:val="20"/>
                <w:szCs w:val="20"/>
              </w:rPr>
              <w:t>El Cuadro Nacional de Atribución de Frecuencias (CNAF), es una disposición administrativa que indica el servicio o servicios de radiocomunicaciones a los que se encuentra atribuida una determinada banda de frecuencias del espectro radioeléctrico</w:t>
            </w:r>
            <w:r w:rsidR="00E6631C" w:rsidRPr="007248F8">
              <w:rPr>
                <w:rFonts w:ascii="ITC Avant Garde" w:hAnsi="ITC Avant Garde"/>
                <w:sz w:val="20"/>
                <w:szCs w:val="20"/>
              </w:rPr>
              <w:t>. A</w:t>
            </w:r>
            <w:r w:rsidRPr="007248F8">
              <w:rPr>
                <w:rFonts w:ascii="ITC Avant Garde" w:hAnsi="ITC Avant Garde"/>
                <w:sz w:val="20"/>
                <w:szCs w:val="20"/>
              </w:rPr>
              <w:t xml:space="preserve">dicionalmente, </w:t>
            </w:r>
            <w:r w:rsidR="00C76B03" w:rsidRPr="007248F8">
              <w:rPr>
                <w:rFonts w:ascii="ITC Avant Garde" w:hAnsi="ITC Avant Garde"/>
                <w:sz w:val="20"/>
                <w:szCs w:val="20"/>
              </w:rPr>
              <w:t>a través de</w:t>
            </w:r>
            <w:r w:rsidR="00E6631C" w:rsidRPr="007248F8">
              <w:rPr>
                <w:rFonts w:ascii="ITC Avant Garde" w:hAnsi="ITC Avant Garde"/>
                <w:sz w:val="20"/>
                <w:szCs w:val="20"/>
              </w:rPr>
              <w:t xml:space="preserve"> las notas nacionales se provee </w:t>
            </w:r>
            <w:r w:rsidRPr="007248F8">
              <w:rPr>
                <w:rFonts w:ascii="ITC Avant Garde" w:hAnsi="ITC Avant Garde"/>
                <w:sz w:val="20"/>
                <w:szCs w:val="20"/>
              </w:rPr>
              <w:t xml:space="preserve">información relevante respecto al uso actual de ciertas bandas de frecuencias, disposiciones o arreglos de frecuencias definidos para ciertos rangos de frecuencias, </w:t>
            </w:r>
            <w:r w:rsidR="000106BE" w:rsidRPr="007248F8">
              <w:rPr>
                <w:rFonts w:ascii="ITC Avant Garde" w:hAnsi="ITC Avant Garde"/>
                <w:sz w:val="20"/>
                <w:szCs w:val="20"/>
              </w:rPr>
              <w:t xml:space="preserve">disposiciones técnicas y acuerdos en materia de espectro radioeléctrico, </w:t>
            </w:r>
            <w:r w:rsidRPr="007248F8">
              <w:rPr>
                <w:rFonts w:ascii="ITC Avant Garde" w:hAnsi="ITC Avant Garde"/>
                <w:sz w:val="20"/>
                <w:szCs w:val="20"/>
              </w:rPr>
              <w:t xml:space="preserve">instrumentos bilaterales </w:t>
            </w:r>
            <w:r w:rsidR="00F941DC" w:rsidRPr="007248F8">
              <w:rPr>
                <w:rFonts w:ascii="ITC Avant Garde" w:hAnsi="ITC Avant Garde"/>
                <w:sz w:val="20"/>
                <w:szCs w:val="20"/>
              </w:rPr>
              <w:t xml:space="preserve">firmados </w:t>
            </w:r>
            <w:r w:rsidRPr="007248F8">
              <w:rPr>
                <w:rFonts w:ascii="ITC Avant Garde" w:hAnsi="ITC Avant Garde"/>
                <w:sz w:val="20"/>
                <w:szCs w:val="20"/>
              </w:rPr>
              <w:t>con otros países para el uso del espectro en la</w:t>
            </w:r>
            <w:r w:rsidR="000106BE" w:rsidRPr="007248F8">
              <w:rPr>
                <w:rFonts w:ascii="ITC Avant Garde" w:hAnsi="ITC Avant Garde"/>
                <w:sz w:val="20"/>
                <w:szCs w:val="20"/>
              </w:rPr>
              <w:t>s zonas fronterizas, así como</w:t>
            </w:r>
            <w:r w:rsidRPr="007248F8">
              <w:rPr>
                <w:rFonts w:ascii="ITC Avant Garde" w:hAnsi="ITC Avant Garde"/>
                <w:sz w:val="20"/>
                <w:szCs w:val="20"/>
              </w:rPr>
              <w:t xml:space="preserve"> acciones de planificación proyectadas para determinadas bandas de frecuencias en el corto y mediano plazo.</w:t>
            </w:r>
          </w:p>
          <w:p w14:paraId="320CBB59" w14:textId="77777777" w:rsidR="00F941DC" w:rsidRPr="007248F8" w:rsidRDefault="00F941DC" w:rsidP="008A48B0">
            <w:pPr>
              <w:shd w:val="clear" w:color="auto" w:fill="FFFFFF" w:themeFill="background1"/>
              <w:jc w:val="both"/>
              <w:rPr>
                <w:rFonts w:ascii="ITC Avant Garde" w:hAnsi="ITC Avant Garde"/>
                <w:sz w:val="20"/>
                <w:szCs w:val="20"/>
              </w:rPr>
            </w:pPr>
          </w:p>
          <w:p w14:paraId="320CBB5A" w14:textId="53C3A62C" w:rsidR="009A5DAE" w:rsidRPr="007248F8" w:rsidRDefault="00E6631C" w:rsidP="008A48B0">
            <w:pPr>
              <w:shd w:val="clear" w:color="auto" w:fill="FFFFFF" w:themeFill="background1"/>
              <w:jc w:val="both"/>
              <w:rPr>
                <w:rFonts w:ascii="ITC Avant Garde" w:hAnsi="ITC Avant Garde"/>
                <w:sz w:val="20"/>
                <w:szCs w:val="20"/>
              </w:rPr>
            </w:pPr>
            <w:r w:rsidRPr="007248F8">
              <w:rPr>
                <w:rFonts w:ascii="ITC Avant Garde" w:hAnsi="ITC Avant Garde"/>
                <w:sz w:val="20"/>
                <w:szCs w:val="20"/>
              </w:rPr>
              <w:t xml:space="preserve">Es así que, mediante </w:t>
            </w:r>
            <w:r w:rsidR="00F941DC" w:rsidRPr="007248F8">
              <w:rPr>
                <w:rFonts w:ascii="ITC Avant Garde" w:hAnsi="ITC Avant Garde"/>
                <w:sz w:val="20"/>
                <w:szCs w:val="20"/>
              </w:rPr>
              <w:t>el establecimiento de la atribución de una banda de frecuencias a uno o más servicios de radiocomunicaciones, el CNAF ofrece las bases para una eficiente gestión y administración del espectro radioeléctrico</w:t>
            </w:r>
            <w:r w:rsidR="000106BE" w:rsidRPr="007248F8">
              <w:rPr>
                <w:rFonts w:ascii="ITC Avant Garde" w:hAnsi="ITC Avant Garde"/>
                <w:sz w:val="20"/>
                <w:szCs w:val="20"/>
              </w:rPr>
              <w:t>.</w:t>
            </w:r>
          </w:p>
          <w:p w14:paraId="320CBB5B" w14:textId="77777777" w:rsidR="009A5DAE" w:rsidRPr="007248F8" w:rsidRDefault="009A5DAE" w:rsidP="008A48B0">
            <w:pPr>
              <w:shd w:val="clear" w:color="auto" w:fill="FFFFFF" w:themeFill="background1"/>
              <w:jc w:val="both"/>
              <w:rPr>
                <w:rFonts w:ascii="ITC Avant Garde" w:hAnsi="ITC Avant Garde"/>
                <w:sz w:val="20"/>
                <w:szCs w:val="20"/>
              </w:rPr>
            </w:pPr>
          </w:p>
          <w:p w14:paraId="320CBB5C" w14:textId="77777777" w:rsidR="00F941DC" w:rsidRPr="007248F8" w:rsidRDefault="009A5DAE" w:rsidP="008A48B0">
            <w:pPr>
              <w:shd w:val="clear" w:color="auto" w:fill="FFFFFF" w:themeFill="background1"/>
              <w:jc w:val="both"/>
              <w:rPr>
                <w:rFonts w:ascii="ITC Avant Garde" w:hAnsi="ITC Avant Garde"/>
                <w:sz w:val="20"/>
                <w:szCs w:val="20"/>
              </w:rPr>
            </w:pPr>
            <w:r w:rsidRPr="007248F8">
              <w:rPr>
                <w:rFonts w:ascii="ITC Avant Garde" w:hAnsi="ITC Avant Garde"/>
                <w:sz w:val="20"/>
                <w:szCs w:val="20"/>
              </w:rPr>
              <w:t>Adicionalmente</w:t>
            </w:r>
            <w:r w:rsidR="00F941DC" w:rsidRPr="007248F8">
              <w:rPr>
                <w:rFonts w:ascii="ITC Avant Garde" w:hAnsi="ITC Avant Garde"/>
                <w:sz w:val="20"/>
                <w:szCs w:val="20"/>
              </w:rPr>
              <w:t>, el desarrollo de nuevas tecnologías y la demanda de diferentes tipos de aplicaciones generan la necesidad de más y mejores servicios de comunicaciones inalámbricas en diferentes entornos y sectores, lo cual impacta directamente en el aumento en la demanda de recursos espectrales para satisfacer tales necesidades.</w:t>
            </w:r>
          </w:p>
          <w:p w14:paraId="320CBB5D" w14:textId="77777777" w:rsidR="00B6252D" w:rsidRPr="007248F8" w:rsidRDefault="00B6252D" w:rsidP="008A48B0">
            <w:pPr>
              <w:shd w:val="clear" w:color="auto" w:fill="FFFFFF" w:themeFill="background1"/>
              <w:jc w:val="both"/>
              <w:rPr>
                <w:rFonts w:ascii="ITC Avant Garde" w:hAnsi="ITC Avant Garde"/>
                <w:sz w:val="20"/>
                <w:szCs w:val="20"/>
              </w:rPr>
            </w:pPr>
          </w:p>
          <w:p w14:paraId="5F36A9E2" w14:textId="2B5EF441" w:rsidR="000106BE" w:rsidRPr="007248F8" w:rsidRDefault="00F941DC" w:rsidP="008A48B0">
            <w:pPr>
              <w:shd w:val="clear" w:color="auto" w:fill="FFFFFF" w:themeFill="background1"/>
              <w:jc w:val="both"/>
              <w:rPr>
                <w:rFonts w:ascii="ITC Avant Garde" w:hAnsi="ITC Avant Garde"/>
                <w:sz w:val="20"/>
                <w:szCs w:val="20"/>
              </w:rPr>
            </w:pPr>
            <w:r w:rsidRPr="007248F8">
              <w:rPr>
                <w:rFonts w:ascii="ITC Avant Garde" w:hAnsi="ITC Avant Garde"/>
                <w:sz w:val="20"/>
                <w:szCs w:val="20"/>
              </w:rPr>
              <w:t xml:space="preserve">En este sentido, </w:t>
            </w:r>
            <w:r w:rsidR="009A5DAE" w:rsidRPr="007248F8">
              <w:rPr>
                <w:rFonts w:ascii="ITC Avant Garde" w:hAnsi="ITC Avant Garde"/>
                <w:sz w:val="20"/>
                <w:szCs w:val="20"/>
              </w:rPr>
              <w:t xml:space="preserve">la Unión Internacional de Telecomunicaciones (UIT) organiza las Conferencias Mundiales de Radiocomunicaciones (CMR), con el objeto de revisar </w:t>
            </w:r>
            <w:r w:rsidR="00C25D9E" w:rsidRPr="007248F8">
              <w:rPr>
                <w:rFonts w:ascii="ITC Avant Garde" w:hAnsi="ITC Avant Garde"/>
                <w:sz w:val="20"/>
                <w:szCs w:val="20"/>
              </w:rPr>
              <w:t xml:space="preserve">el Reglamento de Radiocomunicaciones (RR). La Conferencia </w:t>
            </w:r>
            <w:r w:rsidR="000106BE" w:rsidRPr="007248F8">
              <w:rPr>
                <w:rFonts w:ascii="ITC Avant Garde" w:hAnsi="ITC Avant Garde"/>
                <w:sz w:val="20"/>
                <w:szCs w:val="20"/>
              </w:rPr>
              <w:t xml:space="preserve">más reciente </w:t>
            </w:r>
            <w:r w:rsidR="00C25D9E" w:rsidRPr="007248F8">
              <w:rPr>
                <w:rFonts w:ascii="ITC Avant Garde" w:hAnsi="ITC Avant Garde"/>
                <w:sz w:val="20"/>
                <w:szCs w:val="20"/>
              </w:rPr>
              <w:t>se celebró en noviembre del 2015 y como</w:t>
            </w:r>
            <w:r w:rsidR="00B6252D" w:rsidRPr="007248F8">
              <w:rPr>
                <w:rFonts w:ascii="ITC Avant Garde" w:hAnsi="ITC Avant Garde"/>
                <w:sz w:val="20"/>
                <w:szCs w:val="20"/>
              </w:rPr>
              <w:t xml:space="preserve"> resultado </w:t>
            </w:r>
            <w:r w:rsidR="00E6631C" w:rsidRPr="007248F8">
              <w:rPr>
                <w:rFonts w:ascii="ITC Avant Garde" w:hAnsi="ITC Avant Garde"/>
                <w:sz w:val="20"/>
                <w:szCs w:val="20"/>
              </w:rPr>
              <w:t>de</w:t>
            </w:r>
            <w:r w:rsidR="00B6252D" w:rsidRPr="007248F8">
              <w:rPr>
                <w:rFonts w:ascii="ITC Avant Garde" w:hAnsi="ITC Avant Garde"/>
                <w:sz w:val="20"/>
                <w:szCs w:val="20"/>
              </w:rPr>
              <w:t xml:space="preserve"> </w:t>
            </w:r>
            <w:r w:rsidR="00E6631C" w:rsidRPr="007248F8">
              <w:rPr>
                <w:rFonts w:ascii="ITC Avant Garde" w:hAnsi="ITC Avant Garde"/>
                <w:sz w:val="20"/>
                <w:szCs w:val="20"/>
              </w:rPr>
              <w:t xml:space="preserve">los acuerdos alcanzados durante </w:t>
            </w:r>
            <w:r w:rsidR="00C25D9E" w:rsidRPr="007248F8">
              <w:rPr>
                <w:rFonts w:ascii="ITC Avant Garde" w:hAnsi="ITC Avant Garde"/>
                <w:sz w:val="20"/>
                <w:szCs w:val="20"/>
              </w:rPr>
              <w:t xml:space="preserve">dicha </w:t>
            </w:r>
            <w:r w:rsidR="00B6252D" w:rsidRPr="007248F8">
              <w:rPr>
                <w:rFonts w:ascii="ITC Avant Garde" w:hAnsi="ITC Avant Garde"/>
                <w:sz w:val="20"/>
                <w:szCs w:val="20"/>
              </w:rPr>
              <w:t>Conferencia</w:t>
            </w:r>
            <w:r w:rsidR="000106BE" w:rsidRPr="007248F8">
              <w:rPr>
                <w:rFonts w:ascii="ITC Avant Garde" w:hAnsi="ITC Avant Garde"/>
                <w:sz w:val="20"/>
                <w:szCs w:val="20"/>
              </w:rPr>
              <w:t xml:space="preserve"> se modificó el RR, razón por la cual, dichas </w:t>
            </w:r>
            <w:r w:rsidR="00C25D9E" w:rsidRPr="007248F8">
              <w:rPr>
                <w:rFonts w:ascii="ITC Avant Garde" w:hAnsi="ITC Avant Garde"/>
                <w:sz w:val="20"/>
                <w:szCs w:val="20"/>
              </w:rPr>
              <w:t xml:space="preserve">modificaciones deben </w:t>
            </w:r>
            <w:r w:rsidR="000106BE" w:rsidRPr="007248F8">
              <w:rPr>
                <w:rFonts w:ascii="ITC Avant Garde" w:hAnsi="ITC Avant Garde"/>
                <w:sz w:val="20"/>
                <w:szCs w:val="20"/>
              </w:rPr>
              <w:t>trasladarse</w:t>
            </w:r>
            <w:r w:rsidR="00C25D9E" w:rsidRPr="007248F8">
              <w:rPr>
                <w:rFonts w:ascii="ITC Avant Garde" w:hAnsi="ITC Avant Garde"/>
                <w:sz w:val="20"/>
                <w:szCs w:val="20"/>
              </w:rPr>
              <w:t xml:space="preserve"> </w:t>
            </w:r>
            <w:r w:rsidR="000106BE" w:rsidRPr="007248F8">
              <w:rPr>
                <w:rFonts w:ascii="ITC Avant Garde" w:hAnsi="ITC Avant Garde"/>
                <w:sz w:val="20"/>
                <w:szCs w:val="20"/>
              </w:rPr>
              <w:t>al contexto nacional.</w:t>
            </w:r>
          </w:p>
          <w:p w14:paraId="320CBB5F" w14:textId="77777777" w:rsidR="00C25D9E" w:rsidRPr="007248F8" w:rsidRDefault="00C25D9E" w:rsidP="008A48B0">
            <w:pPr>
              <w:shd w:val="clear" w:color="auto" w:fill="FFFFFF" w:themeFill="background1"/>
              <w:jc w:val="both"/>
              <w:rPr>
                <w:rFonts w:ascii="ITC Avant Garde" w:hAnsi="ITC Avant Garde"/>
                <w:sz w:val="20"/>
                <w:szCs w:val="20"/>
              </w:rPr>
            </w:pPr>
          </w:p>
          <w:p w14:paraId="320CBB60" w14:textId="08933B93" w:rsidR="005307EB" w:rsidRPr="007248F8" w:rsidRDefault="000106BE" w:rsidP="008A48B0">
            <w:pPr>
              <w:shd w:val="clear" w:color="auto" w:fill="FFFFFF" w:themeFill="background1"/>
              <w:jc w:val="both"/>
              <w:rPr>
                <w:rFonts w:ascii="ITC Avant Garde" w:hAnsi="ITC Avant Garde"/>
                <w:sz w:val="20"/>
                <w:szCs w:val="20"/>
              </w:rPr>
            </w:pPr>
            <w:r w:rsidRPr="007248F8">
              <w:rPr>
                <w:rFonts w:ascii="ITC Avant Garde" w:hAnsi="ITC Avant Garde"/>
                <w:sz w:val="20"/>
                <w:szCs w:val="20"/>
              </w:rPr>
              <w:t>Por lo tanto,</w:t>
            </w:r>
            <w:r w:rsidR="00C25D9E" w:rsidRPr="007248F8">
              <w:rPr>
                <w:rFonts w:ascii="ITC Avant Garde" w:hAnsi="ITC Avant Garde"/>
                <w:sz w:val="20"/>
                <w:szCs w:val="20"/>
              </w:rPr>
              <w:t xml:space="preserve"> </w:t>
            </w:r>
            <w:r w:rsidR="00B6252D" w:rsidRPr="007248F8">
              <w:rPr>
                <w:rFonts w:ascii="ITC Avant Garde" w:hAnsi="ITC Avant Garde"/>
                <w:sz w:val="20"/>
                <w:szCs w:val="20"/>
              </w:rPr>
              <w:t xml:space="preserve">se estima </w:t>
            </w:r>
            <w:r w:rsidR="00F941DC" w:rsidRPr="007248F8">
              <w:rPr>
                <w:rFonts w:ascii="ITC Avant Garde" w:hAnsi="ITC Avant Garde"/>
                <w:sz w:val="20"/>
                <w:szCs w:val="20"/>
              </w:rPr>
              <w:t xml:space="preserve">necesario llevar a cabo la actualización del CNAF, con el fin de que los sectores de telecomunicaciones y radiodifusión, así como el público en general, tengan acceso a un instrumento ágil y actual, que incluya recomendaciones </w:t>
            </w:r>
            <w:r w:rsidR="00DB7DFC" w:rsidRPr="007248F8">
              <w:rPr>
                <w:rFonts w:ascii="ITC Avant Garde" w:hAnsi="ITC Avant Garde"/>
                <w:sz w:val="20"/>
                <w:szCs w:val="20"/>
              </w:rPr>
              <w:t>de</w:t>
            </w:r>
            <w:r w:rsidR="00F941DC" w:rsidRPr="007248F8">
              <w:rPr>
                <w:rFonts w:ascii="ITC Avant Garde" w:hAnsi="ITC Avant Garde"/>
                <w:sz w:val="20"/>
                <w:szCs w:val="20"/>
              </w:rPr>
              <w:t xml:space="preserve"> organismos internacionales, plasme la evolución tecnológica del mercado, la dinámica de uso del espectro radioeléctrico y la planeación espectral que sigue el Instituto.</w:t>
            </w:r>
          </w:p>
          <w:p w14:paraId="320CBB61" w14:textId="77777777" w:rsidR="00F941DC" w:rsidRPr="007248F8" w:rsidRDefault="00F941DC" w:rsidP="008A48B0">
            <w:pPr>
              <w:shd w:val="clear" w:color="auto" w:fill="FFFFFF" w:themeFill="background1"/>
              <w:jc w:val="both"/>
              <w:rPr>
                <w:rFonts w:ascii="ITC Avant Garde" w:hAnsi="ITC Avant Garde"/>
                <w:sz w:val="20"/>
                <w:szCs w:val="20"/>
              </w:rPr>
            </w:pPr>
          </w:p>
          <w:p w14:paraId="320CBB62" w14:textId="77777777" w:rsidR="005307EB" w:rsidRPr="007248F8" w:rsidRDefault="005307EB" w:rsidP="008A48B0">
            <w:pPr>
              <w:shd w:val="clear" w:color="auto" w:fill="FFFFFF" w:themeFill="background1"/>
              <w:jc w:val="both"/>
              <w:rPr>
                <w:rFonts w:ascii="ITC Avant Garde" w:hAnsi="ITC Avant Garde"/>
                <w:sz w:val="20"/>
                <w:szCs w:val="20"/>
              </w:rPr>
            </w:pPr>
            <w:r w:rsidRPr="007248F8">
              <w:rPr>
                <w:rFonts w:ascii="ITC Avant Garde" w:hAnsi="ITC Avant Garde"/>
                <w:sz w:val="20"/>
                <w:szCs w:val="20"/>
              </w:rPr>
              <w:t>Los objetivos principales del Anteproyecto</w:t>
            </w:r>
            <w:r w:rsidR="00B6252D" w:rsidRPr="007248F8">
              <w:rPr>
                <w:rFonts w:ascii="ITC Avant Garde" w:hAnsi="ITC Avant Garde"/>
                <w:sz w:val="20"/>
                <w:szCs w:val="20"/>
              </w:rPr>
              <w:t xml:space="preserve"> de actualización del CNAF</w:t>
            </w:r>
            <w:r w:rsidRPr="007248F8">
              <w:rPr>
                <w:rFonts w:ascii="ITC Avant Garde" w:hAnsi="ITC Avant Garde"/>
                <w:sz w:val="20"/>
                <w:szCs w:val="20"/>
              </w:rPr>
              <w:t xml:space="preserve"> consisten en: i) establecer las bases para efectuar la actualización del Cuadro Nacional de Atribución de Frecuencias; ii) </w:t>
            </w:r>
            <w:r w:rsidR="00E6631C" w:rsidRPr="007248F8">
              <w:rPr>
                <w:rFonts w:ascii="ITC Avant Garde" w:hAnsi="ITC Avant Garde"/>
                <w:sz w:val="20"/>
                <w:szCs w:val="20"/>
              </w:rPr>
              <w:t xml:space="preserve">reflejar </w:t>
            </w:r>
            <w:r w:rsidRPr="007248F8">
              <w:rPr>
                <w:rFonts w:ascii="ITC Avant Garde" w:hAnsi="ITC Avant Garde"/>
                <w:sz w:val="20"/>
                <w:szCs w:val="20"/>
              </w:rPr>
              <w:t xml:space="preserve">los cambios derivados de la modificación del Reglamento de Radiocomunicaciones de la Unión Internacional de Telecomunicaciones; y, iii) proporcionar un instrumento de consulta ágil, actual y eficiente acerca del </w:t>
            </w:r>
            <w:proofErr w:type="gramStart"/>
            <w:r w:rsidRPr="007248F8">
              <w:rPr>
                <w:rFonts w:ascii="ITC Avant Garde" w:hAnsi="ITC Avant Garde"/>
                <w:sz w:val="20"/>
                <w:szCs w:val="20"/>
              </w:rPr>
              <w:t>servicio</w:t>
            </w:r>
            <w:proofErr w:type="gramEnd"/>
            <w:r w:rsidRPr="007248F8">
              <w:rPr>
                <w:rFonts w:ascii="ITC Avant Garde" w:hAnsi="ITC Avant Garde"/>
                <w:sz w:val="20"/>
                <w:szCs w:val="20"/>
              </w:rPr>
              <w:t xml:space="preserve"> o servicios de radiocomunicaciones a los que se encuentra atribuidas determinadas bandas de frecuencias de espectro radioeléctrico, así como información adicional sobre el uso y planificación de las mismas.</w:t>
            </w:r>
          </w:p>
          <w:p w14:paraId="320CBB63" w14:textId="77777777" w:rsidR="00B6252D" w:rsidRPr="007248F8" w:rsidRDefault="00B6252D" w:rsidP="008A48B0">
            <w:pPr>
              <w:shd w:val="clear" w:color="auto" w:fill="FFFFFF" w:themeFill="background1"/>
              <w:jc w:val="both"/>
              <w:rPr>
                <w:rFonts w:ascii="ITC Avant Garde" w:hAnsi="ITC Avant Garde"/>
                <w:sz w:val="20"/>
                <w:szCs w:val="20"/>
              </w:rPr>
            </w:pPr>
          </w:p>
          <w:p w14:paraId="6F66FDD9" w14:textId="34EE55A2" w:rsidR="001932FC" w:rsidRDefault="00F941DC" w:rsidP="00BD73B5">
            <w:pPr>
              <w:shd w:val="clear" w:color="auto" w:fill="FFFFFF" w:themeFill="background1"/>
              <w:jc w:val="both"/>
              <w:rPr>
                <w:rFonts w:ascii="ITC Avant Garde" w:hAnsi="ITC Avant Garde"/>
                <w:sz w:val="20"/>
                <w:szCs w:val="20"/>
              </w:rPr>
            </w:pPr>
            <w:r w:rsidRPr="007248F8">
              <w:rPr>
                <w:rFonts w:ascii="ITC Avant Garde" w:hAnsi="ITC Avant Garde"/>
                <w:sz w:val="20"/>
                <w:szCs w:val="20"/>
              </w:rPr>
              <w:t>Dicha actualización se prevé en observancia de los artículos 15, fracción III y 56, párrafo primero de la Ley Federal de Telecomunicaciones y Radiodifusión, así como en cumplimiento del artículo 30, fracción I</w:t>
            </w:r>
            <w:r w:rsidR="007248F8">
              <w:rPr>
                <w:rFonts w:ascii="ITC Avant Garde" w:hAnsi="ITC Avant Garde"/>
                <w:sz w:val="20"/>
                <w:szCs w:val="20"/>
              </w:rPr>
              <w:t>,</w:t>
            </w:r>
            <w:r w:rsidRPr="007248F8">
              <w:rPr>
                <w:rFonts w:ascii="ITC Avant Garde" w:hAnsi="ITC Avant Garde"/>
                <w:sz w:val="20"/>
                <w:szCs w:val="20"/>
              </w:rPr>
              <w:t xml:space="preserve"> del Estatuto Orgánico del I</w:t>
            </w:r>
            <w:r w:rsidR="007248F8">
              <w:rPr>
                <w:rFonts w:ascii="ITC Avant Garde" w:hAnsi="ITC Avant Garde"/>
                <w:sz w:val="20"/>
                <w:szCs w:val="20"/>
              </w:rPr>
              <w:t>nstituto Federal de Telecomunicaciones (I</w:t>
            </w:r>
            <w:r w:rsidRPr="007248F8">
              <w:rPr>
                <w:rFonts w:ascii="ITC Avant Garde" w:hAnsi="ITC Avant Garde"/>
                <w:sz w:val="20"/>
                <w:szCs w:val="20"/>
              </w:rPr>
              <w:t>FT</w:t>
            </w:r>
            <w:r w:rsidR="007248F8">
              <w:rPr>
                <w:rFonts w:ascii="ITC Avant Garde" w:hAnsi="ITC Avant Garde"/>
                <w:sz w:val="20"/>
                <w:szCs w:val="20"/>
              </w:rPr>
              <w:t>)</w:t>
            </w:r>
            <w:r w:rsidRPr="007248F8">
              <w:rPr>
                <w:rFonts w:ascii="ITC Avant Garde" w:hAnsi="ITC Avant Garde"/>
                <w:sz w:val="20"/>
                <w:szCs w:val="20"/>
              </w:rPr>
              <w:t>.</w:t>
            </w:r>
          </w:p>
          <w:p w14:paraId="320CBB65" w14:textId="0CF04B5B" w:rsidR="007248F8" w:rsidRPr="007248F8" w:rsidRDefault="007248F8" w:rsidP="00BD73B5">
            <w:pPr>
              <w:shd w:val="clear" w:color="auto" w:fill="FFFFFF" w:themeFill="background1"/>
              <w:jc w:val="both"/>
              <w:rPr>
                <w:rFonts w:ascii="ITC Avant Garde" w:hAnsi="ITC Avant Garde"/>
                <w:sz w:val="20"/>
                <w:szCs w:val="20"/>
              </w:rPr>
            </w:pPr>
          </w:p>
        </w:tc>
      </w:tr>
    </w:tbl>
    <w:p w14:paraId="320CBB67" w14:textId="77777777" w:rsidR="001932FC" w:rsidRPr="007248F8" w:rsidRDefault="001932FC" w:rsidP="001932FC">
      <w:pPr>
        <w:jc w:val="both"/>
        <w:rPr>
          <w:rFonts w:ascii="ITC Avant Garde" w:hAnsi="ITC Avant Garde"/>
        </w:rPr>
      </w:pPr>
      <w:bookmarkStart w:id="0" w:name="_GoBack"/>
    </w:p>
    <w:bookmarkEnd w:id="0"/>
    <w:p w14:paraId="320CBB68" w14:textId="77777777" w:rsidR="001932FC" w:rsidRPr="007248F8" w:rsidRDefault="001932FC" w:rsidP="00A1622C">
      <w:pPr>
        <w:shd w:val="clear" w:color="auto" w:fill="A8D08D" w:themeFill="accent6" w:themeFillTint="99"/>
        <w:jc w:val="both"/>
        <w:rPr>
          <w:rFonts w:ascii="ITC Avant Garde" w:hAnsi="ITC Avant Garde"/>
          <w:b/>
        </w:rPr>
      </w:pPr>
      <w:r w:rsidRPr="007248F8">
        <w:rPr>
          <w:rFonts w:ascii="ITC Avant Garde" w:hAnsi="ITC Avant Garde"/>
          <w:b/>
        </w:rPr>
        <w:t xml:space="preserve">II. </w:t>
      </w:r>
      <w:r w:rsidR="00E21B49" w:rsidRPr="007248F8">
        <w:rPr>
          <w:rFonts w:ascii="ITC Avant Garde" w:hAnsi="ITC Avant Garde"/>
          <w:b/>
        </w:rPr>
        <w:t>IMPACTO DE LA REGULACIÓN</w:t>
      </w:r>
      <w:r w:rsidRPr="007248F8">
        <w:rPr>
          <w:rFonts w:ascii="ITC Avant Garde" w:hAnsi="ITC Avant Garde"/>
          <w:b/>
        </w:rPr>
        <w:t>.</w:t>
      </w:r>
    </w:p>
    <w:tbl>
      <w:tblPr>
        <w:tblStyle w:val="Tablaconcuadrcula"/>
        <w:tblW w:w="0" w:type="auto"/>
        <w:tblLook w:val="04A0" w:firstRow="1" w:lastRow="0" w:firstColumn="1" w:lastColumn="0" w:noHBand="0" w:noVBand="1"/>
      </w:tblPr>
      <w:tblGrid>
        <w:gridCol w:w="8828"/>
      </w:tblGrid>
      <w:tr w:rsidR="00E6080B" w:rsidRPr="007248F8" w14:paraId="320CBB70" w14:textId="77777777" w:rsidTr="00E6080B">
        <w:tc>
          <w:tcPr>
            <w:tcW w:w="8828" w:type="dxa"/>
          </w:tcPr>
          <w:p w14:paraId="320CBB69" w14:textId="77777777" w:rsidR="00801FED" w:rsidRPr="007248F8" w:rsidRDefault="00E35357" w:rsidP="00E6080B">
            <w:pPr>
              <w:jc w:val="both"/>
              <w:rPr>
                <w:rFonts w:ascii="ITC Avant Garde" w:hAnsi="ITC Avant Garde"/>
                <w:b/>
                <w:sz w:val="20"/>
              </w:rPr>
            </w:pPr>
            <w:r w:rsidRPr="007248F8">
              <w:rPr>
                <w:rFonts w:ascii="ITC Avant Garde" w:hAnsi="ITC Avant Garde"/>
                <w:b/>
                <w:sz w:val="20"/>
              </w:rPr>
              <w:t>2</w:t>
            </w:r>
            <w:r w:rsidR="00E6080B" w:rsidRPr="007248F8">
              <w:rPr>
                <w:rFonts w:ascii="ITC Avant Garde" w:hAnsi="ITC Avant Garde"/>
                <w:b/>
                <w:sz w:val="20"/>
              </w:rPr>
              <w:t xml:space="preserve">.- </w:t>
            </w:r>
            <w:r w:rsidR="00E21B49" w:rsidRPr="007248F8">
              <w:rPr>
                <w:rFonts w:ascii="ITC Avant Garde" w:hAnsi="ITC Avant Garde"/>
                <w:b/>
                <w:sz w:val="20"/>
              </w:rPr>
              <w:t>Justifique las razones por las que considera que el anteproyecto de regulación propuesto no genera costos de cumplimiento para los particulares, independientemente de los beneficios que éste genere</w:t>
            </w:r>
            <w:r w:rsidR="00801FED" w:rsidRPr="007248F8">
              <w:rPr>
                <w:rFonts w:ascii="ITC Avant Garde" w:hAnsi="ITC Avant Garde"/>
                <w:b/>
                <w:sz w:val="20"/>
              </w:rPr>
              <w:t>:</w:t>
            </w:r>
          </w:p>
          <w:p w14:paraId="320CBB6A" w14:textId="77777777" w:rsidR="00801FED" w:rsidRPr="007248F8" w:rsidRDefault="00801FED" w:rsidP="00E6080B">
            <w:pPr>
              <w:jc w:val="both"/>
              <w:rPr>
                <w:rFonts w:ascii="ITC Avant Garde" w:hAnsi="ITC Avant Garde"/>
                <w:sz w:val="20"/>
              </w:rPr>
            </w:pPr>
          </w:p>
          <w:p w14:paraId="320CBB6B" w14:textId="1869A62A" w:rsidR="00F941DC" w:rsidRPr="007248F8" w:rsidRDefault="00F941DC" w:rsidP="00F941DC">
            <w:pPr>
              <w:jc w:val="both"/>
              <w:rPr>
                <w:rFonts w:ascii="ITC Avant Garde" w:hAnsi="ITC Avant Garde"/>
                <w:sz w:val="20"/>
              </w:rPr>
            </w:pPr>
            <w:r w:rsidRPr="007248F8">
              <w:rPr>
                <w:rFonts w:ascii="ITC Avant Garde" w:hAnsi="ITC Avant Garde"/>
                <w:sz w:val="20"/>
              </w:rPr>
              <w:t>El CNAF constituye una guía para la eficiente administración y gestión del espectro radioeléctrico en los sectores de telecomunicaciones y radiodifusión</w:t>
            </w:r>
            <w:r w:rsidR="00C25D9E" w:rsidRPr="007248F8">
              <w:rPr>
                <w:rFonts w:ascii="ITC Avant Garde" w:hAnsi="ITC Avant Garde"/>
                <w:sz w:val="20"/>
              </w:rPr>
              <w:t xml:space="preserve">, con base en criterios objetivos, transparentes </w:t>
            </w:r>
            <w:r w:rsidR="00E41C4D" w:rsidRPr="007248F8">
              <w:rPr>
                <w:rFonts w:ascii="ITC Avant Garde" w:hAnsi="ITC Avant Garde"/>
                <w:sz w:val="20"/>
              </w:rPr>
              <w:t>y proporcionales</w:t>
            </w:r>
            <w:r w:rsidRPr="007248F8">
              <w:rPr>
                <w:rFonts w:ascii="ITC Avant Garde" w:hAnsi="ITC Avant Garde"/>
                <w:sz w:val="20"/>
              </w:rPr>
              <w:t xml:space="preserve">. </w:t>
            </w:r>
          </w:p>
          <w:p w14:paraId="320CBB6C" w14:textId="77777777" w:rsidR="00F941DC" w:rsidRPr="007248F8" w:rsidRDefault="00F941DC" w:rsidP="00F941DC">
            <w:pPr>
              <w:jc w:val="both"/>
              <w:rPr>
                <w:rFonts w:ascii="ITC Avant Garde" w:hAnsi="ITC Avant Garde"/>
                <w:sz w:val="20"/>
              </w:rPr>
            </w:pPr>
          </w:p>
          <w:p w14:paraId="320CBB6D" w14:textId="0A601FEB" w:rsidR="00F941DC" w:rsidRPr="007248F8" w:rsidRDefault="00E41C4D" w:rsidP="00F941DC">
            <w:pPr>
              <w:jc w:val="both"/>
              <w:rPr>
                <w:rFonts w:ascii="ITC Avant Garde" w:hAnsi="ITC Avant Garde"/>
                <w:sz w:val="20"/>
              </w:rPr>
            </w:pPr>
            <w:r w:rsidRPr="007248F8">
              <w:rPr>
                <w:rFonts w:ascii="ITC Avant Garde" w:hAnsi="ITC Avant Garde"/>
                <w:sz w:val="20"/>
              </w:rPr>
              <w:t>En concordancia con lo anterior</w:t>
            </w:r>
            <w:r w:rsidR="00F941DC" w:rsidRPr="007248F8">
              <w:rPr>
                <w:rFonts w:ascii="ITC Avant Garde" w:hAnsi="ITC Avant Garde"/>
                <w:sz w:val="20"/>
              </w:rPr>
              <w:t>, dicha disposición administrativa tiene como objeto indicar el servicio o servicios de radiocomunicaciones a los que se encuentra atribuida una determinada banda de frecuencias del espectro radioeléctrico, además de proporcionar información relevante respecto al uso actual de ciertas bandas de frecuencias, así como las acciones de planificación proyectadas para las mismas</w:t>
            </w:r>
            <w:r w:rsidR="00BD73B5" w:rsidRPr="007248F8">
              <w:rPr>
                <w:rFonts w:ascii="ITC Avant Garde" w:hAnsi="ITC Avant Garde"/>
                <w:sz w:val="20"/>
              </w:rPr>
              <w:t xml:space="preserve"> </w:t>
            </w:r>
            <w:r w:rsidR="00BD73B5" w:rsidRPr="007248F8">
              <w:rPr>
                <w:rFonts w:ascii="ITC Avant Garde" w:hAnsi="ITC Avant Garde"/>
                <w:sz w:val="20"/>
                <w:szCs w:val="20"/>
              </w:rPr>
              <w:t>en el corto y mediano plazo</w:t>
            </w:r>
            <w:r w:rsidR="00F941DC" w:rsidRPr="007248F8">
              <w:rPr>
                <w:rFonts w:ascii="ITC Avant Garde" w:hAnsi="ITC Avant Garde"/>
                <w:sz w:val="20"/>
              </w:rPr>
              <w:t>.</w:t>
            </w:r>
          </w:p>
          <w:p w14:paraId="320CBB6E" w14:textId="77777777" w:rsidR="00F941DC" w:rsidRPr="007248F8" w:rsidRDefault="00F941DC" w:rsidP="00F941DC">
            <w:pPr>
              <w:jc w:val="both"/>
              <w:rPr>
                <w:rFonts w:ascii="ITC Avant Garde" w:hAnsi="ITC Avant Garde"/>
                <w:sz w:val="20"/>
              </w:rPr>
            </w:pPr>
          </w:p>
          <w:p w14:paraId="3657EBBD" w14:textId="77777777" w:rsidR="00F941DC" w:rsidRDefault="00E41C4D" w:rsidP="00F83E16">
            <w:pPr>
              <w:jc w:val="both"/>
              <w:rPr>
                <w:rFonts w:ascii="ITC Avant Garde" w:hAnsi="ITC Avant Garde"/>
                <w:sz w:val="20"/>
              </w:rPr>
            </w:pPr>
            <w:r w:rsidRPr="007248F8">
              <w:rPr>
                <w:rFonts w:ascii="ITC Avant Garde" w:hAnsi="ITC Avant Garde"/>
                <w:sz w:val="20"/>
              </w:rPr>
              <w:t>C</w:t>
            </w:r>
            <w:r w:rsidR="00700307" w:rsidRPr="007248F8">
              <w:rPr>
                <w:rFonts w:ascii="ITC Avant Garde" w:hAnsi="ITC Avant Garde"/>
                <w:sz w:val="20"/>
              </w:rPr>
              <w:t xml:space="preserve">abe apuntar que la actualización del CNAF no genera efectos retroactivos a los concesionarios de las bandas de frecuencias que actualmente </w:t>
            </w:r>
            <w:r w:rsidR="001D6DFC" w:rsidRPr="007248F8">
              <w:rPr>
                <w:rFonts w:ascii="ITC Avant Garde" w:hAnsi="ITC Avant Garde"/>
                <w:sz w:val="20"/>
              </w:rPr>
              <w:t xml:space="preserve">utilizan el espectro radioeléctrico </w:t>
            </w:r>
            <w:r w:rsidR="00700307" w:rsidRPr="007248F8">
              <w:rPr>
                <w:rFonts w:ascii="ITC Avant Garde" w:hAnsi="ITC Avant Garde"/>
                <w:sz w:val="20"/>
              </w:rPr>
              <w:t>a través de un instrumento habilitante</w:t>
            </w:r>
            <w:r w:rsidR="00F83E16" w:rsidRPr="007248F8">
              <w:rPr>
                <w:rFonts w:ascii="ITC Avant Garde" w:hAnsi="ITC Avant Garde"/>
                <w:sz w:val="20"/>
              </w:rPr>
              <w:t>,</w:t>
            </w:r>
            <w:r w:rsidR="001D6DFC" w:rsidRPr="007248F8">
              <w:rPr>
                <w:rFonts w:ascii="ITC Avant Garde" w:hAnsi="ITC Avant Garde"/>
                <w:sz w:val="20"/>
              </w:rPr>
              <w:t xml:space="preserve"> </w:t>
            </w:r>
            <w:r w:rsidR="00F83E16" w:rsidRPr="007248F8">
              <w:rPr>
                <w:rFonts w:ascii="ITC Avant Garde" w:hAnsi="ITC Avant Garde"/>
                <w:sz w:val="20"/>
              </w:rPr>
              <w:t xml:space="preserve">de </w:t>
            </w:r>
            <w:r w:rsidR="001D6DFC" w:rsidRPr="007248F8">
              <w:rPr>
                <w:rFonts w:ascii="ITC Avant Garde" w:hAnsi="ITC Avant Garde"/>
                <w:sz w:val="20"/>
              </w:rPr>
              <w:t>tal forma</w:t>
            </w:r>
            <w:r w:rsidR="00700307" w:rsidRPr="007248F8">
              <w:rPr>
                <w:rFonts w:ascii="ITC Avant Garde" w:hAnsi="ITC Avant Garde"/>
                <w:sz w:val="20"/>
              </w:rPr>
              <w:t xml:space="preserve"> que</w:t>
            </w:r>
            <w:r w:rsidR="00F941DC" w:rsidRPr="007248F8">
              <w:rPr>
                <w:rFonts w:ascii="ITC Avant Garde" w:hAnsi="ITC Avant Garde"/>
                <w:sz w:val="20"/>
              </w:rPr>
              <w:t xml:space="preserve"> no conlleva ninguna obligación</w:t>
            </w:r>
            <w:r w:rsidR="00F83E16" w:rsidRPr="007248F8">
              <w:rPr>
                <w:rFonts w:ascii="ITC Avant Garde" w:hAnsi="ITC Avant Garde"/>
                <w:sz w:val="20"/>
              </w:rPr>
              <w:t>, ni</w:t>
            </w:r>
            <w:r w:rsidR="00F941DC" w:rsidRPr="007248F8">
              <w:rPr>
                <w:rFonts w:ascii="ITC Avant Garde" w:hAnsi="ITC Avant Garde"/>
                <w:sz w:val="20"/>
              </w:rPr>
              <w:t xml:space="preserve"> implica ningún cambio en trámites, derechos o carga regulatoria para los particulares</w:t>
            </w:r>
            <w:r w:rsidR="00F83E16" w:rsidRPr="007248F8">
              <w:rPr>
                <w:rFonts w:ascii="ITC Avant Garde" w:hAnsi="ITC Avant Garde"/>
                <w:sz w:val="20"/>
              </w:rPr>
              <w:t>.</w:t>
            </w:r>
          </w:p>
          <w:p w14:paraId="320CBB6F" w14:textId="77777777" w:rsidR="007248F8" w:rsidRPr="007248F8" w:rsidRDefault="007248F8" w:rsidP="00F83E16">
            <w:pPr>
              <w:jc w:val="both"/>
              <w:rPr>
                <w:rFonts w:ascii="ITC Avant Garde" w:hAnsi="ITC Avant Garde"/>
              </w:rPr>
            </w:pPr>
          </w:p>
        </w:tc>
      </w:tr>
    </w:tbl>
    <w:p w14:paraId="320CBB71" w14:textId="77777777" w:rsidR="00E21B49" w:rsidRPr="007248F8" w:rsidRDefault="00E21B49" w:rsidP="00E21B49">
      <w:pPr>
        <w:jc w:val="both"/>
        <w:rPr>
          <w:rFonts w:ascii="ITC Avant Garde" w:hAnsi="ITC Avant Garde"/>
        </w:rPr>
      </w:pPr>
    </w:p>
    <w:tbl>
      <w:tblPr>
        <w:tblStyle w:val="Tablaconcuadrcula"/>
        <w:tblW w:w="0" w:type="auto"/>
        <w:tblLook w:val="04A0" w:firstRow="1" w:lastRow="0" w:firstColumn="1" w:lastColumn="0" w:noHBand="0" w:noVBand="1"/>
      </w:tblPr>
      <w:tblGrid>
        <w:gridCol w:w="1729"/>
        <w:gridCol w:w="5638"/>
        <w:gridCol w:w="1461"/>
      </w:tblGrid>
      <w:tr w:rsidR="00804F49" w:rsidRPr="007248F8" w14:paraId="320CBB75" w14:textId="77777777" w:rsidTr="007D4E5B">
        <w:tc>
          <w:tcPr>
            <w:tcW w:w="1696" w:type="dxa"/>
            <w:vMerge w:val="restart"/>
          </w:tcPr>
          <w:p w14:paraId="320CBB72" w14:textId="77777777" w:rsidR="00804F49" w:rsidRPr="007248F8" w:rsidRDefault="00E35357" w:rsidP="00804F49">
            <w:pPr>
              <w:jc w:val="both"/>
              <w:rPr>
                <w:rFonts w:ascii="ITC Avant Garde" w:hAnsi="ITC Avant Garde"/>
                <w:b/>
                <w:sz w:val="20"/>
                <w:szCs w:val="20"/>
              </w:rPr>
            </w:pPr>
            <w:r w:rsidRPr="007248F8">
              <w:rPr>
                <w:rFonts w:ascii="ITC Avant Garde" w:hAnsi="ITC Avant Garde"/>
                <w:b/>
                <w:sz w:val="20"/>
                <w:szCs w:val="20"/>
              </w:rPr>
              <w:t>3</w:t>
            </w:r>
            <w:r w:rsidR="00804F49" w:rsidRPr="007248F8">
              <w:rPr>
                <w:rFonts w:ascii="ITC Avant Garde" w:hAnsi="ITC Avant Garde"/>
                <w:b/>
                <w:sz w:val="20"/>
                <w:szCs w:val="20"/>
              </w:rPr>
              <w:t xml:space="preserve">.- Indique cuál(es) de la(s) siguiente(s) acciones corresponde(n) </w:t>
            </w:r>
            <w:r w:rsidR="00804F49" w:rsidRPr="007248F8">
              <w:rPr>
                <w:rFonts w:ascii="ITC Avant Garde" w:hAnsi="ITC Avant Garde"/>
                <w:b/>
                <w:sz w:val="20"/>
                <w:szCs w:val="20"/>
              </w:rPr>
              <w:lastRenderedPageBreak/>
              <w:t>al anteproyecto de regulación propuesto.</w:t>
            </w:r>
          </w:p>
        </w:tc>
        <w:tc>
          <w:tcPr>
            <w:tcW w:w="5670" w:type="dxa"/>
            <w:shd w:val="clear" w:color="auto" w:fill="A8D08D" w:themeFill="accent6" w:themeFillTint="99"/>
          </w:tcPr>
          <w:p w14:paraId="320CBB73" w14:textId="77777777" w:rsidR="00804F49" w:rsidRPr="007248F8" w:rsidRDefault="00804F49" w:rsidP="00804F49">
            <w:pPr>
              <w:jc w:val="center"/>
              <w:rPr>
                <w:rFonts w:ascii="ITC Avant Garde" w:hAnsi="ITC Avant Garde"/>
                <w:b/>
                <w:sz w:val="20"/>
                <w:szCs w:val="20"/>
              </w:rPr>
            </w:pPr>
            <w:r w:rsidRPr="007248F8">
              <w:rPr>
                <w:rFonts w:ascii="ITC Avant Garde" w:hAnsi="ITC Avant Garde"/>
                <w:b/>
                <w:sz w:val="20"/>
                <w:szCs w:val="20"/>
              </w:rPr>
              <w:lastRenderedPageBreak/>
              <w:t>Acciones</w:t>
            </w:r>
          </w:p>
        </w:tc>
        <w:tc>
          <w:tcPr>
            <w:tcW w:w="1462" w:type="dxa"/>
            <w:shd w:val="clear" w:color="auto" w:fill="A8D08D" w:themeFill="accent6" w:themeFillTint="99"/>
          </w:tcPr>
          <w:p w14:paraId="320CBB74" w14:textId="77777777" w:rsidR="00804F49" w:rsidRPr="007248F8" w:rsidRDefault="00804F49" w:rsidP="00804F49">
            <w:pPr>
              <w:jc w:val="center"/>
              <w:rPr>
                <w:rFonts w:ascii="ITC Avant Garde" w:hAnsi="ITC Avant Garde"/>
                <w:b/>
                <w:sz w:val="20"/>
                <w:szCs w:val="20"/>
              </w:rPr>
            </w:pPr>
            <w:r w:rsidRPr="007248F8">
              <w:rPr>
                <w:rFonts w:ascii="ITC Avant Garde" w:hAnsi="ITC Avant Garde"/>
                <w:b/>
                <w:sz w:val="20"/>
                <w:szCs w:val="20"/>
              </w:rPr>
              <w:t>Seleccione</w:t>
            </w:r>
          </w:p>
        </w:tc>
      </w:tr>
      <w:tr w:rsidR="00804F49" w:rsidRPr="007248F8" w14:paraId="320CBB79" w14:textId="77777777" w:rsidTr="00804F49">
        <w:tc>
          <w:tcPr>
            <w:tcW w:w="1696" w:type="dxa"/>
            <w:vMerge/>
          </w:tcPr>
          <w:p w14:paraId="320CBB76" w14:textId="77777777" w:rsidR="00804F49" w:rsidRPr="007248F8" w:rsidRDefault="00804F49" w:rsidP="00E21B49">
            <w:pPr>
              <w:jc w:val="both"/>
              <w:rPr>
                <w:rFonts w:ascii="ITC Avant Garde" w:hAnsi="ITC Avant Garde"/>
                <w:sz w:val="20"/>
                <w:szCs w:val="20"/>
              </w:rPr>
            </w:pPr>
          </w:p>
        </w:tc>
        <w:tc>
          <w:tcPr>
            <w:tcW w:w="5670" w:type="dxa"/>
          </w:tcPr>
          <w:p w14:paraId="320CBB77" w14:textId="77777777" w:rsidR="00804F49" w:rsidRPr="007248F8" w:rsidRDefault="00804F49" w:rsidP="00E21B49">
            <w:pPr>
              <w:jc w:val="both"/>
              <w:rPr>
                <w:rFonts w:ascii="ITC Avant Garde" w:hAnsi="ITC Avant Garde"/>
                <w:sz w:val="20"/>
                <w:szCs w:val="20"/>
              </w:rPr>
            </w:pPr>
            <w:r w:rsidRPr="007248F8">
              <w:rPr>
                <w:rFonts w:ascii="ITC Avant Garde" w:hAnsi="ITC Avant Garde"/>
                <w:sz w:val="20"/>
                <w:szCs w:val="20"/>
              </w:rPr>
              <w:t>Crea nuevas obligaciones y/o sanciones para los particulares o hace más estrictas las existentes.</w:t>
            </w:r>
          </w:p>
        </w:tc>
        <w:tc>
          <w:tcPr>
            <w:tcW w:w="1462" w:type="dxa"/>
          </w:tcPr>
          <w:p w14:paraId="320CBB78" w14:textId="77777777" w:rsidR="00804F49" w:rsidRPr="007248F8" w:rsidRDefault="00804F49" w:rsidP="00804F49">
            <w:pPr>
              <w:jc w:val="center"/>
              <w:rPr>
                <w:rFonts w:ascii="ITC Avant Garde" w:hAnsi="ITC Avant Garde"/>
                <w:sz w:val="20"/>
                <w:szCs w:val="20"/>
              </w:rPr>
            </w:pPr>
            <w:r w:rsidRPr="007248F8">
              <w:rPr>
                <w:rFonts w:ascii="ITC Avant Garde" w:hAnsi="ITC Avant Garde"/>
                <w:sz w:val="20"/>
                <w:szCs w:val="20"/>
              </w:rPr>
              <w:t>Si ( ) No (</w:t>
            </w:r>
            <w:r w:rsidR="00652632" w:rsidRPr="007248F8">
              <w:rPr>
                <w:rFonts w:ascii="ITC Avant Garde" w:hAnsi="ITC Avant Garde"/>
                <w:sz w:val="20"/>
                <w:szCs w:val="20"/>
              </w:rPr>
              <w:t>X</w:t>
            </w:r>
            <w:r w:rsidRPr="007248F8">
              <w:rPr>
                <w:rFonts w:ascii="ITC Avant Garde" w:hAnsi="ITC Avant Garde"/>
                <w:sz w:val="20"/>
                <w:szCs w:val="20"/>
              </w:rPr>
              <w:t>)</w:t>
            </w:r>
          </w:p>
        </w:tc>
      </w:tr>
      <w:tr w:rsidR="00804F49" w:rsidRPr="007248F8" w14:paraId="320CBB7D" w14:textId="77777777" w:rsidTr="00804F49">
        <w:tc>
          <w:tcPr>
            <w:tcW w:w="1696" w:type="dxa"/>
            <w:vMerge/>
          </w:tcPr>
          <w:p w14:paraId="320CBB7A" w14:textId="77777777" w:rsidR="00804F49" w:rsidRPr="007248F8" w:rsidRDefault="00804F49" w:rsidP="00804F49">
            <w:pPr>
              <w:jc w:val="both"/>
              <w:rPr>
                <w:rFonts w:ascii="ITC Avant Garde" w:hAnsi="ITC Avant Garde"/>
                <w:sz w:val="20"/>
                <w:szCs w:val="20"/>
              </w:rPr>
            </w:pPr>
          </w:p>
        </w:tc>
        <w:tc>
          <w:tcPr>
            <w:tcW w:w="5670" w:type="dxa"/>
          </w:tcPr>
          <w:p w14:paraId="320CBB7B" w14:textId="77777777" w:rsidR="00804F49" w:rsidRPr="007248F8" w:rsidRDefault="00804F49" w:rsidP="00804F49">
            <w:pPr>
              <w:jc w:val="both"/>
              <w:rPr>
                <w:rFonts w:ascii="ITC Avant Garde" w:hAnsi="ITC Avant Garde"/>
                <w:sz w:val="20"/>
                <w:szCs w:val="20"/>
              </w:rPr>
            </w:pPr>
            <w:r w:rsidRPr="007248F8">
              <w:rPr>
                <w:rFonts w:ascii="ITC Avant Garde" w:hAnsi="ITC Avant Garde"/>
                <w:sz w:val="20"/>
                <w:szCs w:val="20"/>
              </w:rPr>
              <w:t>Modifica o crea trámites que signifiquen mayores cargas administrativas o costos de cumplimiento para los particulares.</w:t>
            </w:r>
          </w:p>
        </w:tc>
        <w:tc>
          <w:tcPr>
            <w:tcW w:w="1462" w:type="dxa"/>
          </w:tcPr>
          <w:p w14:paraId="320CBB7C" w14:textId="77777777" w:rsidR="00804F49" w:rsidRPr="007248F8" w:rsidRDefault="00652632" w:rsidP="00804F49">
            <w:pPr>
              <w:jc w:val="center"/>
              <w:rPr>
                <w:rFonts w:ascii="ITC Avant Garde" w:hAnsi="ITC Avant Garde"/>
              </w:rPr>
            </w:pPr>
            <w:r w:rsidRPr="007248F8">
              <w:rPr>
                <w:rFonts w:ascii="ITC Avant Garde" w:hAnsi="ITC Avant Garde"/>
                <w:sz w:val="20"/>
                <w:szCs w:val="20"/>
              </w:rPr>
              <w:t>Si ( ) No (X</w:t>
            </w:r>
            <w:r w:rsidR="00804F49" w:rsidRPr="007248F8">
              <w:rPr>
                <w:rFonts w:ascii="ITC Avant Garde" w:hAnsi="ITC Avant Garde"/>
                <w:sz w:val="20"/>
                <w:szCs w:val="20"/>
              </w:rPr>
              <w:t>)</w:t>
            </w:r>
          </w:p>
        </w:tc>
      </w:tr>
      <w:tr w:rsidR="00804F49" w:rsidRPr="007248F8" w14:paraId="320CBB81" w14:textId="77777777" w:rsidTr="00804F49">
        <w:tc>
          <w:tcPr>
            <w:tcW w:w="1696" w:type="dxa"/>
            <w:vMerge/>
          </w:tcPr>
          <w:p w14:paraId="320CBB7E" w14:textId="77777777" w:rsidR="00804F49" w:rsidRPr="007248F8" w:rsidRDefault="00804F49" w:rsidP="00804F49">
            <w:pPr>
              <w:jc w:val="both"/>
              <w:rPr>
                <w:rFonts w:ascii="ITC Avant Garde" w:hAnsi="ITC Avant Garde"/>
                <w:sz w:val="20"/>
                <w:szCs w:val="20"/>
              </w:rPr>
            </w:pPr>
          </w:p>
        </w:tc>
        <w:tc>
          <w:tcPr>
            <w:tcW w:w="5670" w:type="dxa"/>
          </w:tcPr>
          <w:p w14:paraId="320CBB7F" w14:textId="77777777" w:rsidR="00804F49" w:rsidRPr="007248F8" w:rsidRDefault="00804F49" w:rsidP="00804F49">
            <w:pPr>
              <w:jc w:val="both"/>
              <w:rPr>
                <w:rFonts w:ascii="ITC Avant Garde" w:hAnsi="ITC Avant Garde"/>
                <w:sz w:val="20"/>
                <w:szCs w:val="20"/>
              </w:rPr>
            </w:pPr>
            <w:r w:rsidRPr="007248F8">
              <w:rPr>
                <w:rFonts w:ascii="ITC Avant Garde" w:hAnsi="ITC Avant Garde"/>
                <w:sz w:val="20"/>
                <w:szCs w:val="20"/>
              </w:rPr>
              <w:t>Reduce o restringe prestaciones o derechos para los particulares.</w:t>
            </w:r>
          </w:p>
        </w:tc>
        <w:tc>
          <w:tcPr>
            <w:tcW w:w="1462" w:type="dxa"/>
          </w:tcPr>
          <w:p w14:paraId="320CBB80" w14:textId="77777777" w:rsidR="00804F49" w:rsidRPr="007248F8" w:rsidRDefault="00804F49" w:rsidP="00804F49">
            <w:pPr>
              <w:jc w:val="center"/>
              <w:rPr>
                <w:rFonts w:ascii="ITC Avant Garde" w:hAnsi="ITC Avant Garde"/>
              </w:rPr>
            </w:pPr>
            <w:r w:rsidRPr="007248F8">
              <w:rPr>
                <w:rFonts w:ascii="ITC Avant Garde" w:hAnsi="ITC Avant Garde"/>
                <w:sz w:val="20"/>
                <w:szCs w:val="20"/>
              </w:rPr>
              <w:t>Si</w:t>
            </w:r>
            <w:r w:rsidR="00652632" w:rsidRPr="007248F8">
              <w:rPr>
                <w:rFonts w:ascii="ITC Avant Garde" w:hAnsi="ITC Avant Garde"/>
                <w:sz w:val="20"/>
                <w:szCs w:val="20"/>
              </w:rPr>
              <w:t xml:space="preserve"> ( ) No (X</w:t>
            </w:r>
            <w:r w:rsidRPr="007248F8">
              <w:rPr>
                <w:rFonts w:ascii="ITC Avant Garde" w:hAnsi="ITC Avant Garde"/>
                <w:sz w:val="20"/>
                <w:szCs w:val="20"/>
              </w:rPr>
              <w:t>)</w:t>
            </w:r>
          </w:p>
        </w:tc>
      </w:tr>
      <w:tr w:rsidR="00804F49" w:rsidRPr="007248F8" w14:paraId="320CBB85" w14:textId="77777777" w:rsidTr="00804F49">
        <w:tc>
          <w:tcPr>
            <w:tcW w:w="1696" w:type="dxa"/>
            <w:vMerge/>
          </w:tcPr>
          <w:p w14:paraId="320CBB82" w14:textId="77777777" w:rsidR="00804F49" w:rsidRPr="007248F8" w:rsidRDefault="00804F49" w:rsidP="00804F49">
            <w:pPr>
              <w:jc w:val="both"/>
              <w:rPr>
                <w:rFonts w:ascii="ITC Avant Garde" w:hAnsi="ITC Avant Garde"/>
                <w:sz w:val="20"/>
                <w:szCs w:val="20"/>
              </w:rPr>
            </w:pPr>
          </w:p>
        </w:tc>
        <w:tc>
          <w:tcPr>
            <w:tcW w:w="5670" w:type="dxa"/>
          </w:tcPr>
          <w:p w14:paraId="320CBB83" w14:textId="77777777" w:rsidR="00804F49" w:rsidRPr="007248F8" w:rsidRDefault="00804F49" w:rsidP="00804F49">
            <w:pPr>
              <w:jc w:val="both"/>
              <w:rPr>
                <w:rFonts w:ascii="ITC Avant Garde" w:hAnsi="ITC Avant Garde"/>
                <w:sz w:val="20"/>
                <w:szCs w:val="20"/>
              </w:rPr>
            </w:pPr>
            <w:r w:rsidRPr="007248F8">
              <w:rPr>
                <w:rFonts w:ascii="ITC Avant Garde" w:hAnsi="ITC Avant Garde"/>
                <w:sz w:val="20"/>
                <w:szCs w:val="20"/>
              </w:rPr>
              <w:t>Establece o modifica definiciones, clasificaciones, metodologías, criterios, caracterizaciones o cualquier otro término de referencia, afectando derechos, obligaciones, prestaciones o trámites de los particulares.</w:t>
            </w:r>
          </w:p>
        </w:tc>
        <w:tc>
          <w:tcPr>
            <w:tcW w:w="1462" w:type="dxa"/>
          </w:tcPr>
          <w:p w14:paraId="320CBB84" w14:textId="77777777" w:rsidR="00804F49" w:rsidRPr="007248F8" w:rsidRDefault="00652632" w:rsidP="00804F49">
            <w:pPr>
              <w:jc w:val="center"/>
              <w:rPr>
                <w:rFonts w:ascii="ITC Avant Garde" w:hAnsi="ITC Avant Garde"/>
              </w:rPr>
            </w:pPr>
            <w:r w:rsidRPr="007248F8">
              <w:rPr>
                <w:rFonts w:ascii="ITC Avant Garde" w:hAnsi="ITC Avant Garde"/>
                <w:sz w:val="20"/>
                <w:szCs w:val="20"/>
              </w:rPr>
              <w:t>Si ( ) No (X</w:t>
            </w:r>
            <w:r w:rsidR="00804F49" w:rsidRPr="007248F8">
              <w:rPr>
                <w:rFonts w:ascii="ITC Avant Garde" w:hAnsi="ITC Avant Garde"/>
                <w:sz w:val="20"/>
                <w:szCs w:val="20"/>
              </w:rPr>
              <w:t>)</w:t>
            </w:r>
          </w:p>
        </w:tc>
      </w:tr>
    </w:tbl>
    <w:p w14:paraId="320CBB86" w14:textId="77777777" w:rsidR="00E21B49" w:rsidRPr="007248F8" w:rsidRDefault="00E21B49" w:rsidP="00E21B49">
      <w:pPr>
        <w:jc w:val="both"/>
        <w:rPr>
          <w:rFonts w:ascii="ITC Avant Garde" w:hAnsi="ITC Avant Garde"/>
        </w:rPr>
      </w:pPr>
    </w:p>
    <w:p w14:paraId="320CBB87" w14:textId="77777777" w:rsidR="00A73AD8" w:rsidRPr="007248F8" w:rsidRDefault="00A73AD8" w:rsidP="00A73AD8">
      <w:pPr>
        <w:shd w:val="clear" w:color="auto" w:fill="A8D08D" w:themeFill="accent6" w:themeFillTint="99"/>
        <w:jc w:val="both"/>
        <w:rPr>
          <w:rFonts w:ascii="ITC Avant Garde" w:hAnsi="ITC Avant Garde"/>
          <w:b/>
        </w:rPr>
      </w:pPr>
      <w:r w:rsidRPr="007248F8">
        <w:rPr>
          <w:rFonts w:ascii="ITC Avant Garde" w:hAnsi="ITC Avant Garde"/>
          <w:b/>
        </w:rPr>
        <w:t>I</w:t>
      </w:r>
      <w:r w:rsidR="00804F49" w:rsidRPr="007248F8">
        <w:rPr>
          <w:rFonts w:ascii="ITC Avant Garde" w:hAnsi="ITC Avant Garde"/>
          <w:b/>
        </w:rPr>
        <w:t>I</w:t>
      </w:r>
      <w:r w:rsidRPr="007248F8">
        <w:rPr>
          <w:rFonts w:ascii="ITC Avant Garde" w:hAnsi="ITC Avant Garde"/>
          <w:b/>
        </w:rPr>
        <w:t>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7248F8" w14:paraId="320CBB9D" w14:textId="77777777" w:rsidTr="00A73AD8">
        <w:tc>
          <w:tcPr>
            <w:tcW w:w="8828" w:type="dxa"/>
          </w:tcPr>
          <w:p w14:paraId="320CBB88" w14:textId="77777777" w:rsidR="00B74C55" w:rsidRPr="007248F8" w:rsidRDefault="00E35357" w:rsidP="00A73AD8">
            <w:pPr>
              <w:jc w:val="both"/>
              <w:rPr>
                <w:rFonts w:ascii="ITC Avant Garde" w:hAnsi="ITC Avant Garde"/>
                <w:b/>
                <w:sz w:val="20"/>
              </w:rPr>
            </w:pPr>
            <w:r w:rsidRPr="007248F8">
              <w:rPr>
                <w:rFonts w:ascii="ITC Avant Garde" w:hAnsi="ITC Avant Garde"/>
                <w:b/>
                <w:sz w:val="20"/>
              </w:rPr>
              <w:t>4</w:t>
            </w:r>
            <w:r w:rsidR="00A73AD8" w:rsidRPr="007248F8">
              <w:rPr>
                <w:rFonts w:ascii="ITC Avant Garde" w:hAnsi="ITC Avant Garde"/>
                <w:b/>
                <w:sz w:val="20"/>
              </w:rPr>
              <w:t xml:space="preserve">.- Enliste </w:t>
            </w:r>
            <w:r w:rsidR="00B74C55" w:rsidRPr="007248F8">
              <w:rPr>
                <w:rFonts w:ascii="ITC Avant Garde" w:hAnsi="ITC Avant Garde"/>
                <w:b/>
                <w:sz w:val="20"/>
              </w:rPr>
              <w:t>los datos bibliográficos o las direcciones electrónicas consultadas para el diseño y redacción</w:t>
            </w:r>
            <w:r w:rsidR="00804F49" w:rsidRPr="007248F8">
              <w:rPr>
                <w:rFonts w:ascii="ITC Avant Garde" w:hAnsi="ITC Avant Garde"/>
                <w:b/>
                <w:sz w:val="20"/>
              </w:rPr>
              <w:t xml:space="preserve"> del anteproyecto de regulación, así como cualquier otra documentación que se considere de interés.</w:t>
            </w:r>
          </w:p>
          <w:p w14:paraId="11C2C0A6" w14:textId="77777777" w:rsidR="007248F8" w:rsidRDefault="007248F8" w:rsidP="000E2517">
            <w:pPr>
              <w:pStyle w:val="Default"/>
              <w:jc w:val="both"/>
              <w:rPr>
                <w:rFonts w:ascii="ITC Avant Garde" w:hAnsi="ITC Avant Garde" w:cstheme="minorBidi"/>
                <w:color w:val="auto"/>
                <w:sz w:val="20"/>
                <w:szCs w:val="22"/>
              </w:rPr>
            </w:pPr>
          </w:p>
          <w:p w14:paraId="3F008583" w14:textId="0CA9F2E5" w:rsidR="007248F8" w:rsidRDefault="000E2517" w:rsidP="007248F8">
            <w:pPr>
              <w:pStyle w:val="Default"/>
              <w:numPr>
                <w:ilvl w:val="0"/>
                <w:numId w:val="6"/>
              </w:numPr>
              <w:ind w:left="596" w:right="503" w:hanging="425"/>
              <w:jc w:val="both"/>
              <w:rPr>
                <w:rFonts w:ascii="ITC Avant Garde" w:hAnsi="ITC Avant Garde"/>
                <w:sz w:val="20"/>
                <w:szCs w:val="20"/>
              </w:rPr>
            </w:pPr>
            <w:r w:rsidRPr="007248F8">
              <w:rPr>
                <w:rFonts w:ascii="ITC Avant Garde" w:hAnsi="ITC Avant Garde"/>
                <w:sz w:val="20"/>
                <w:szCs w:val="20"/>
              </w:rPr>
              <w:t>Actas Finales de la Conferencia Mundial de Radiocomunicaciones 2015</w:t>
            </w:r>
            <w:r w:rsidR="007248F8">
              <w:rPr>
                <w:rFonts w:ascii="ITC Avant Garde" w:hAnsi="ITC Avant Garde"/>
                <w:sz w:val="20"/>
                <w:szCs w:val="20"/>
              </w:rPr>
              <w:t xml:space="preserve"> </w:t>
            </w:r>
            <w:r w:rsidRPr="007248F8">
              <w:rPr>
                <w:rFonts w:ascii="ITC Avant Garde" w:hAnsi="ITC Avant Garde"/>
                <w:sz w:val="20"/>
                <w:szCs w:val="20"/>
              </w:rPr>
              <w:t>(</w:t>
            </w:r>
            <w:hyperlink r:id="rId12" w:history="1">
              <w:r w:rsidRPr="007248F8">
                <w:rPr>
                  <w:rStyle w:val="Hipervnculo"/>
                  <w:rFonts w:ascii="ITC Avant Garde" w:hAnsi="ITC Avant Garde"/>
                  <w:sz w:val="20"/>
                  <w:szCs w:val="20"/>
                </w:rPr>
                <w:t>http://www.itu.int/pub/R-ACT-WRC.12-2015/es</w:t>
              </w:r>
            </w:hyperlink>
            <w:r w:rsidRPr="007248F8">
              <w:rPr>
                <w:rFonts w:ascii="ITC Avant Garde" w:hAnsi="ITC Avant Garde"/>
                <w:sz w:val="20"/>
                <w:szCs w:val="20"/>
              </w:rPr>
              <w:t>)</w:t>
            </w:r>
            <w:r w:rsidR="007248F8">
              <w:rPr>
                <w:rFonts w:ascii="ITC Avant Garde" w:hAnsi="ITC Avant Garde"/>
                <w:sz w:val="20"/>
                <w:szCs w:val="20"/>
              </w:rPr>
              <w:t>.</w:t>
            </w:r>
          </w:p>
          <w:p w14:paraId="150A7E15" w14:textId="77777777" w:rsidR="007248F8" w:rsidRDefault="007248F8" w:rsidP="007248F8">
            <w:pPr>
              <w:pStyle w:val="Default"/>
              <w:ind w:left="596" w:right="503"/>
              <w:jc w:val="both"/>
              <w:rPr>
                <w:rFonts w:ascii="ITC Avant Garde" w:hAnsi="ITC Avant Garde"/>
                <w:sz w:val="20"/>
                <w:szCs w:val="20"/>
              </w:rPr>
            </w:pPr>
          </w:p>
          <w:p w14:paraId="281931CE" w14:textId="77777777" w:rsidR="007248F8" w:rsidRDefault="0080378A" w:rsidP="007248F8">
            <w:pPr>
              <w:pStyle w:val="Default"/>
              <w:numPr>
                <w:ilvl w:val="0"/>
                <w:numId w:val="6"/>
              </w:numPr>
              <w:ind w:left="596" w:right="503" w:hanging="425"/>
              <w:jc w:val="both"/>
              <w:rPr>
                <w:rFonts w:ascii="ITC Avant Garde" w:hAnsi="ITC Avant Garde"/>
                <w:sz w:val="20"/>
                <w:szCs w:val="20"/>
              </w:rPr>
            </w:pPr>
            <w:r w:rsidRPr="007248F8">
              <w:rPr>
                <w:rFonts w:ascii="ITC Avant Garde" w:hAnsi="ITC Avant Garde"/>
                <w:sz w:val="20"/>
                <w:szCs w:val="20"/>
              </w:rPr>
              <w:t>Reglamento de Radiocomunicaciones Edición de 2016 (</w:t>
            </w:r>
            <w:hyperlink r:id="rId13" w:history="1">
              <w:r w:rsidRPr="007248F8">
                <w:rPr>
                  <w:rStyle w:val="Hipervnculo"/>
                  <w:rFonts w:ascii="ITC Avant Garde" w:hAnsi="ITC Avant Garde"/>
                  <w:sz w:val="20"/>
                  <w:szCs w:val="20"/>
                </w:rPr>
                <w:t>https://www.itu.int/pub/R-REG-RR-2016/es</w:t>
              </w:r>
            </w:hyperlink>
            <w:r w:rsidRPr="007248F8">
              <w:rPr>
                <w:rFonts w:ascii="ITC Avant Garde" w:hAnsi="ITC Avant Garde"/>
                <w:sz w:val="20"/>
                <w:szCs w:val="20"/>
              </w:rPr>
              <w:t>)</w:t>
            </w:r>
            <w:r w:rsidR="007248F8">
              <w:rPr>
                <w:rFonts w:ascii="ITC Avant Garde" w:hAnsi="ITC Avant Garde"/>
                <w:sz w:val="20"/>
                <w:szCs w:val="20"/>
              </w:rPr>
              <w:t>.</w:t>
            </w:r>
          </w:p>
          <w:p w14:paraId="4E93B9C7" w14:textId="77777777" w:rsidR="007248F8" w:rsidRDefault="007248F8" w:rsidP="007248F8">
            <w:pPr>
              <w:pStyle w:val="Default"/>
              <w:ind w:right="503"/>
              <w:jc w:val="both"/>
              <w:rPr>
                <w:rFonts w:ascii="ITC Avant Garde" w:hAnsi="ITC Avant Garde"/>
                <w:sz w:val="20"/>
                <w:szCs w:val="20"/>
              </w:rPr>
            </w:pPr>
          </w:p>
          <w:p w14:paraId="78EB8197" w14:textId="77777777" w:rsidR="007248F8" w:rsidRDefault="0080378A" w:rsidP="007248F8">
            <w:pPr>
              <w:pStyle w:val="Default"/>
              <w:numPr>
                <w:ilvl w:val="0"/>
                <w:numId w:val="6"/>
              </w:numPr>
              <w:ind w:left="596" w:right="503" w:hanging="425"/>
              <w:jc w:val="both"/>
              <w:rPr>
                <w:rFonts w:ascii="ITC Avant Garde" w:hAnsi="ITC Avant Garde"/>
                <w:sz w:val="20"/>
                <w:szCs w:val="20"/>
              </w:rPr>
            </w:pPr>
            <w:r w:rsidRPr="007248F8">
              <w:rPr>
                <w:rFonts w:ascii="ITC Avant Garde" w:hAnsi="ITC Avant Garde"/>
                <w:sz w:val="20"/>
                <w:szCs w:val="20"/>
              </w:rPr>
              <w:t>Ley Federal de Telecomunicaciones y Radiodifusión (</w:t>
            </w:r>
            <w:hyperlink r:id="rId14" w:history="1">
              <w:r w:rsidRPr="007248F8">
                <w:rPr>
                  <w:rStyle w:val="Hipervnculo"/>
                  <w:rFonts w:ascii="ITC Avant Garde" w:hAnsi="ITC Avant Garde"/>
                  <w:sz w:val="20"/>
                  <w:szCs w:val="20"/>
                </w:rPr>
                <w:t>http://www.sct.gob.mx/comunicaciones/ley-federal-de-telecomunicaciones-y-radiodifusion/</w:t>
              </w:r>
            </w:hyperlink>
            <w:r w:rsidRPr="007248F8">
              <w:rPr>
                <w:rFonts w:ascii="ITC Avant Garde" w:hAnsi="ITC Avant Garde"/>
                <w:sz w:val="20"/>
                <w:szCs w:val="20"/>
              </w:rPr>
              <w:t>)</w:t>
            </w:r>
            <w:r w:rsidR="007248F8">
              <w:rPr>
                <w:rFonts w:ascii="ITC Avant Garde" w:hAnsi="ITC Avant Garde"/>
                <w:sz w:val="20"/>
                <w:szCs w:val="20"/>
              </w:rPr>
              <w:t>.</w:t>
            </w:r>
          </w:p>
          <w:p w14:paraId="1A43A927" w14:textId="77777777" w:rsidR="007248F8" w:rsidRDefault="007248F8" w:rsidP="007248F8">
            <w:pPr>
              <w:pStyle w:val="Default"/>
              <w:ind w:right="503"/>
              <w:jc w:val="both"/>
              <w:rPr>
                <w:rFonts w:ascii="ITC Avant Garde" w:hAnsi="ITC Avant Garde"/>
                <w:sz w:val="20"/>
                <w:szCs w:val="20"/>
              </w:rPr>
            </w:pPr>
          </w:p>
          <w:p w14:paraId="3193053E" w14:textId="36527976" w:rsidR="007248F8" w:rsidRDefault="0080378A" w:rsidP="007248F8">
            <w:pPr>
              <w:pStyle w:val="Default"/>
              <w:numPr>
                <w:ilvl w:val="0"/>
                <w:numId w:val="6"/>
              </w:numPr>
              <w:ind w:left="596" w:right="503" w:hanging="425"/>
              <w:jc w:val="both"/>
              <w:rPr>
                <w:rFonts w:ascii="ITC Avant Garde" w:hAnsi="ITC Avant Garde"/>
                <w:sz w:val="20"/>
                <w:szCs w:val="20"/>
              </w:rPr>
            </w:pPr>
            <w:r w:rsidRPr="007248F8">
              <w:rPr>
                <w:rFonts w:ascii="ITC Avant Garde" w:hAnsi="ITC Avant Garde"/>
                <w:sz w:val="20"/>
                <w:szCs w:val="20"/>
              </w:rPr>
              <w:t>Acuerdos Bilaterales con Estados Unidos de América (</w:t>
            </w:r>
            <w:hyperlink r:id="rId15" w:history="1">
              <w:r w:rsidRPr="007248F8">
                <w:rPr>
                  <w:rStyle w:val="Hipervnculo"/>
                  <w:rFonts w:ascii="ITC Avant Garde" w:hAnsi="ITC Avant Garde"/>
                  <w:sz w:val="20"/>
                  <w:szCs w:val="20"/>
                </w:rPr>
                <w:t>http://www.ift.org.mx/industria/asuntos-internacionales/acuerdos-bilaterales-con-estados-unidos-de-america</w:t>
              </w:r>
            </w:hyperlink>
            <w:r w:rsidRPr="007248F8">
              <w:rPr>
                <w:rFonts w:ascii="ITC Avant Garde" w:hAnsi="ITC Avant Garde"/>
                <w:sz w:val="20"/>
                <w:szCs w:val="20"/>
              </w:rPr>
              <w:t>)</w:t>
            </w:r>
            <w:r w:rsidR="007248F8">
              <w:rPr>
                <w:rFonts w:ascii="ITC Avant Garde" w:hAnsi="ITC Avant Garde"/>
                <w:sz w:val="20"/>
                <w:szCs w:val="20"/>
              </w:rPr>
              <w:t>.</w:t>
            </w:r>
          </w:p>
          <w:p w14:paraId="5C68901A" w14:textId="77777777" w:rsidR="007248F8" w:rsidRDefault="007248F8" w:rsidP="007248F8">
            <w:pPr>
              <w:pStyle w:val="Default"/>
              <w:ind w:right="503"/>
              <w:jc w:val="both"/>
              <w:rPr>
                <w:rFonts w:ascii="ITC Avant Garde" w:hAnsi="ITC Avant Garde"/>
                <w:sz w:val="20"/>
                <w:szCs w:val="20"/>
              </w:rPr>
            </w:pPr>
          </w:p>
          <w:p w14:paraId="20BEBD9F" w14:textId="77777777" w:rsidR="007248F8" w:rsidRDefault="0080378A" w:rsidP="007248F8">
            <w:pPr>
              <w:pStyle w:val="Default"/>
              <w:numPr>
                <w:ilvl w:val="0"/>
                <w:numId w:val="6"/>
              </w:numPr>
              <w:ind w:left="596" w:right="503" w:hanging="425"/>
              <w:jc w:val="both"/>
              <w:rPr>
                <w:rFonts w:ascii="ITC Avant Garde" w:hAnsi="ITC Avant Garde"/>
                <w:sz w:val="20"/>
                <w:szCs w:val="20"/>
              </w:rPr>
            </w:pPr>
            <w:r w:rsidRPr="007248F8">
              <w:rPr>
                <w:rFonts w:ascii="ITC Avant Garde" w:hAnsi="ITC Avant Garde"/>
                <w:sz w:val="20"/>
                <w:szCs w:val="20"/>
              </w:rPr>
              <w:t>Bandas de frecuencias del espectro radioeléctrico de uso libre (</w:t>
            </w:r>
            <w:hyperlink r:id="rId16" w:history="1">
              <w:r w:rsidRPr="007248F8">
                <w:rPr>
                  <w:rStyle w:val="Hipervnculo"/>
                  <w:rFonts w:ascii="ITC Avant Garde" w:hAnsi="ITC Avant Garde"/>
                  <w:sz w:val="20"/>
                  <w:szCs w:val="20"/>
                </w:rPr>
                <w:t>http://www.ift.org.mx/espectro-radioelectrico/bandas-de-frecuencias-del-espectro-radioelectrico-de-uso-libre</w:t>
              </w:r>
            </w:hyperlink>
            <w:r w:rsidRPr="007248F8">
              <w:rPr>
                <w:rFonts w:ascii="ITC Avant Garde" w:hAnsi="ITC Avant Garde"/>
                <w:sz w:val="20"/>
                <w:szCs w:val="20"/>
              </w:rPr>
              <w:t>)</w:t>
            </w:r>
            <w:r w:rsidR="007248F8">
              <w:rPr>
                <w:rFonts w:ascii="ITC Avant Garde" w:hAnsi="ITC Avant Garde"/>
                <w:sz w:val="20"/>
                <w:szCs w:val="20"/>
              </w:rPr>
              <w:t>.</w:t>
            </w:r>
          </w:p>
          <w:p w14:paraId="1F65B8DF" w14:textId="77777777" w:rsidR="007248F8" w:rsidRDefault="007248F8" w:rsidP="007248F8">
            <w:pPr>
              <w:pStyle w:val="Default"/>
              <w:ind w:right="503"/>
              <w:jc w:val="both"/>
              <w:rPr>
                <w:rFonts w:ascii="ITC Avant Garde" w:hAnsi="ITC Avant Garde"/>
                <w:sz w:val="20"/>
                <w:szCs w:val="20"/>
              </w:rPr>
            </w:pPr>
          </w:p>
          <w:p w14:paraId="647FDA5E" w14:textId="77777777" w:rsidR="007248F8" w:rsidRDefault="000E2517" w:rsidP="007248F8">
            <w:pPr>
              <w:pStyle w:val="Default"/>
              <w:numPr>
                <w:ilvl w:val="0"/>
                <w:numId w:val="6"/>
              </w:numPr>
              <w:ind w:left="596" w:right="503" w:hanging="425"/>
              <w:jc w:val="both"/>
              <w:rPr>
                <w:rFonts w:ascii="ITC Avant Garde" w:hAnsi="ITC Avant Garde"/>
                <w:sz w:val="20"/>
                <w:szCs w:val="20"/>
              </w:rPr>
            </w:pPr>
            <w:r w:rsidRPr="007248F8">
              <w:rPr>
                <w:rFonts w:ascii="ITC Avant Garde" w:hAnsi="ITC Avant Garde"/>
                <w:sz w:val="20"/>
                <w:szCs w:val="20"/>
              </w:rPr>
              <w:t>Disposiciones Técnicas Vigentes</w:t>
            </w:r>
            <w:r w:rsidR="007248F8">
              <w:rPr>
                <w:rFonts w:ascii="ITC Avant Garde" w:hAnsi="ITC Avant Garde"/>
                <w:sz w:val="20"/>
                <w:szCs w:val="20"/>
              </w:rPr>
              <w:t xml:space="preserve"> </w:t>
            </w:r>
            <w:r w:rsidRPr="007248F8">
              <w:rPr>
                <w:rFonts w:ascii="ITC Avant Garde" w:hAnsi="ITC Avant Garde"/>
                <w:sz w:val="20"/>
                <w:szCs w:val="20"/>
              </w:rPr>
              <w:t>(</w:t>
            </w:r>
            <w:hyperlink r:id="rId17" w:history="1">
              <w:r w:rsidRPr="007248F8">
                <w:rPr>
                  <w:rStyle w:val="Hipervnculo"/>
                  <w:rFonts w:ascii="ITC Avant Garde" w:hAnsi="ITC Avant Garde"/>
                  <w:sz w:val="20"/>
                  <w:szCs w:val="20"/>
                </w:rPr>
                <w:t>http://www.ift.org.mx/industria/politica-regulatoria/disposiciones-tecnicas</w:t>
              </w:r>
            </w:hyperlink>
            <w:r w:rsidRPr="007248F8">
              <w:rPr>
                <w:rFonts w:ascii="ITC Avant Garde" w:hAnsi="ITC Avant Garde"/>
                <w:sz w:val="20"/>
                <w:szCs w:val="20"/>
              </w:rPr>
              <w:t>)</w:t>
            </w:r>
            <w:r w:rsidR="007248F8">
              <w:rPr>
                <w:rFonts w:ascii="ITC Avant Garde" w:hAnsi="ITC Avant Garde"/>
                <w:sz w:val="20"/>
                <w:szCs w:val="20"/>
              </w:rPr>
              <w:t>.</w:t>
            </w:r>
          </w:p>
          <w:p w14:paraId="5DB32C6E" w14:textId="77777777" w:rsidR="007248F8" w:rsidRDefault="007248F8" w:rsidP="007248F8">
            <w:pPr>
              <w:pStyle w:val="Default"/>
              <w:ind w:right="503"/>
              <w:jc w:val="both"/>
              <w:rPr>
                <w:rFonts w:ascii="ITC Avant Garde" w:hAnsi="ITC Avant Garde"/>
                <w:sz w:val="20"/>
                <w:szCs w:val="20"/>
              </w:rPr>
            </w:pPr>
          </w:p>
          <w:p w14:paraId="65FB7ADD" w14:textId="6E0D37F5" w:rsidR="000E2517" w:rsidRPr="007248F8" w:rsidRDefault="000E2517" w:rsidP="007248F8">
            <w:pPr>
              <w:pStyle w:val="Default"/>
              <w:numPr>
                <w:ilvl w:val="0"/>
                <w:numId w:val="6"/>
              </w:numPr>
              <w:ind w:left="596" w:right="503" w:hanging="425"/>
              <w:jc w:val="both"/>
              <w:rPr>
                <w:rFonts w:ascii="ITC Avant Garde" w:hAnsi="ITC Avant Garde"/>
                <w:sz w:val="20"/>
                <w:szCs w:val="20"/>
              </w:rPr>
            </w:pPr>
            <w:r w:rsidRPr="007248F8">
              <w:rPr>
                <w:rFonts w:ascii="ITC Avant Garde" w:hAnsi="ITC Avant Garde"/>
                <w:sz w:val="20"/>
                <w:szCs w:val="20"/>
              </w:rPr>
              <w:t>Registro Público de Concesiones</w:t>
            </w:r>
            <w:r w:rsidR="007248F8">
              <w:rPr>
                <w:rFonts w:ascii="ITC Avant Garde" w:hAnsi="ITC Avant Garde"/>
                <w:sz w:val="20"/>
                <w:szCs w:val="20"/>
              </w:rPr>
              <w:t xml:space="preserve"> </w:t>
            </w:r>
            <w:r w:rsidRPr="007248F8">
              <w:rPr>
                <w:rFonts w:ascii="ITC Avant Garde" w:hAnsi="ITC Avant Garde"/>
                <w:sz w:val="20"/>
                <w:szCs w:val="20"/>
              </w:rPr>
              <w:t>(</w:t>
            </w:r>
            <w:hyperlink r:id="rId18" w:history="1">
              <w:r w:rsidRPr="007248F8">
                <w:rPr>
                  <w:rStyle w:val="Hipervnculo"/>
                  <w:rFonts w:ascii="ITC Avant Garde" w:hAnsi="ITC Avant Garde"/>
                  <w:sz w:val="20"/>
                  <w:szCs w:val="20"/>
                </w:rPr>
                <w:t>http://www.ift.org.mx/recursos-de-informacion/registro-publico-de-concesiones</w:t>
              </w:r>
            </w:hyperlink>
            <w:r w:rsidRPr="007248F8">
              <w:rPr>
                <w:rFonts w:ascii="ITC Avant Garde" w:hAnsi="ITC Avant Garde"/>
                <w:sz w:val="20"/>
                <w:szCs w:val="20"/>
              </w:rPr>
              <w:t>)</w:t>
            </w:r>
            <w:r w:rsidR="007248F8">
              <w:rPr>
                <w:rFonts w:ascii="ITC Avant Garde" w:hAnsi="ITC Avant Garde"/>
                <w:sz w:val="20"/>
                <w:szCs w:val="20"/>
              </w:rPr>
              <w:t>.</w:t>
            </w:r>
          </w:p>
          <w:p w14:paraId="320CBB9C" w14:textId="77777777" w:rsidR="007248F8" w:rsidRPr="007248F8" w:rsidRDefault="007248F8" w:rsidP="000E2517">
            <w:pPr>
              <w:jc w:val="both"/>
              <w:rPr>
                <w:rFonts w:ascii="ITC Avant Garde" w:hAnsi="ITC Avant Garde"/>
                <w:sz w:val="20"/>
                <w:szCs w:val="20"/>
              </w:rPr>
            </w:pPr>
          </w:p>
        </w:tc>
      </w:tr>
    </w:tbl>
    <w:p w14:paraId="320CBB9E" w14:textId="77777777" w:rsidR="0086684A" w:rsidRPr="007248F8" w:rsidRDefault="0086684A" w:rsidP="0086684A">
      <w:pPr>
        <w:jc w:val="both"/>
        <w:rPr>
          <w:rFonts w:ascii="ITC Avant Garde" w:hAnsi="ITC Avant Garde"/>
        </w:rPr>
      </w:pPr>
    </w:p>
    <w:sectPr w:rsidR="0086684A" w:rsidRPr="007248F8">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F845A" w14:textId="77777777" w:rsidR="00C304C4" w:rsidRDefault="00C304C4" w:rsidP="00501ADF">
      <w:pPr>
        <w:spacing w:after="0" w:line="240" w:lineRule="auto"/>
      </w:pPr>
      <w:r>
        <w:separator/>
      </w:r>
    </w:p>
  </w:endnote>
  <w:endnote w:type="continuationSeparator" w:id="0">
    <w:p w14:paraId="428D1412" w14:textId="77777777" w:rsidR="00C304C4" w:rsidRDefault="00C304C4"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EAD56" w14:textId="77777777" w:rsidR="00C304C4" w:rsidRDefault="00C304C4" w:rsidP="00501ADF">
      <w:pPr>
        <w:spacing w:after="0" w:line="240" w:lineRule="auto"/>
      </w:pPr>
      <w:r>
        <w:separator/>
      </w:r>
    </w:p>
  </w:footnote>
  <w:footnote w:type="continuationSeparator" w:id="0">
    <w:p w14:paraId="5CA89694" w14:textId="77777777" w:rsidR="00C304C4" w:rsidRDefault="00C304C4" w:rsidP="00501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CBBA3" w14:textId="77777777" w:rsidR="00501ADF" w:rsidRPr="00501ADF" w:rsidRDefault="00804F49"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320CBBA8" wp14:editId="320CBBA9">
              <wp:simplePos x="0" y="0"/>
              <wp:positionH relativeFrom="margin">
                <wp:posOffset>2301240</wp:posOffset>
              </wp:positionH>
              <wp:positionV relativeFrom="paragraph">
                <wp:posOffset>7620</wp:posOffset>
              </wp:positionV>
              <wp:extent cx="3343275" cy="590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90550"/>
                      </a:xfrm>
                      <a:prstGeom prst="rect">
                        <a:avLst/>
                      </a:prstGeom>
                      <a:solidFill>
                        <a:srgbClr val="FFFFFF"/>
                      </a:solidFill>
                      <a:ln w="9525">
                        <a:solidFill>
                          <a:schemeClr val="bg1"/>
                        </a:solidFill>
                        <a:miter lim="800000"/>
                        <a:headEnd/>
                        <a:tailEnd/>
                      </a:ln>
                    </wps:spPr>
                    <wps:txbx>
                      <w:txbxContent>
                        <w:p w14:paraId="320CBBB0" w14:textId="1C6C9B15" w:rsidR="00294941" w:rsidRPr="007248F8" w:rsidRDefault="00E35357" w:rsidP="007248F8">
                          <w:pPr>
                            <w:jc w:val="right"/>
                            <w:rPr>
                              <w:rFonts w:ascii="ITC Avant Garde" w:hAnsi="ITC Avant Garde"/>
                            </w:rPr>
                          </w:pPr>
                          <w:r w:rsidRPr="007248F8">
                            <w:rPr>
                              <w:rFonts w:ascii="ITC Avant Garde" w:hAnsi="ITC Avant Garde"/>
                            </w:rPr>
                            <w:t>ANÁ</w:t>
                          </w:r>
                          <w:r w:rsidR="00804F49" w:rsidRPr="007248F8">
                            <w:rPr>
                              <w:rFonts w:ascii="ITC Avant Garde" w:hAnsi="ITC Avant Garde"/>
                            </w:rPr>
                            <w:t xml:space="preserve">LISIS DE </w:t>
                          </w:r>
                          <w:r w:rsidRPr="007248F8">
                            <w:rPr>
                              <w:rFonts w:ascii="ITC Avant Garde" w:hAnsi="ITC Avant Garde"/>
                            </w:rPr>
                            <w:t xml:space="preserve">NULO </w:t>
                          </w:r>
                          <w:r w:rsidR="00804F49" w:rsidRPr="007248F8">
                            <w:rPr>
                              <w:rFonts w:ascii="ITC Avant Garde" w:hAnsi="ITC Avant Garde"/>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CBBA8" id="_x0000_t202" coordsize="21600,21600" o:spt="202" path="m,l,21600r21600,l21600,xe">
              <v:stroke joinstyle="miter"/>
              <v:path gradientshapeok="t" o:connecttype="rect"/>
            </v:shapetype>
            <v:shape id="Cuadro de texto 2" o:spid="_x0000_s1026" type="#_x0000_t202" style="position:absolute;margin-left:181.2pt;margin-top:.6pt;width:263.25pt;height: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" strokecolor="white [3212]">
              <v:textbox>
                <w:txbxContent>
                  <w:p w14:paraId="320CBBB0" w14:textId="1C6C9B15" w:rsidR="00294941" w:rsidRPr="007248F8" w:rsidRDefault="00E35357" w:rsidP="007248F8">
                    <w:pPr>
                      <w:jc w:val="right"/>
                      <w:rPr>
                        <w:rFonts w:ascii="ITC Avant Garde" w:hAnsi="ITC Avant Garde"/>
                      </w:rPr>
                    </w:pPr>
                    <w:r w:rsidRPr="007248F8">
                      <w:rPr>
                        <w:rFonts w:ascii="ITC Avant Garde" w:hAnsi="ITC Avant Garde"/>
                      </w:rPr>
                      <w:t>ANÁ</w:t>
                    </w:r>
                    <w:r w:rsidR="00804F49" w:rsidRPr="007248F8">
                      <w:rPr>
                        <w:rFonts w:ascii="ITC Avant Garde" w:hAnsi="ITC Avant Garde"/>
                      </w:rPr>
                      <w:t xml:space="preserve">LISIS DE </w:t>
                    </w:r>
                    <w:r w:rsidRPr="007248F8">
                      <w:rPr>
                        <w:rFonts w:ascii="ITC Avant Garde" w:hAnsi="ITC Avant Garde"/>
                      </w:rPr>
                      <w:t xml:space="preserve">NULO </w:t>
                    </w:r>
                    <w:r w:rsidR="00804F49" w:rsidRPr="007248F8">
                      <w:rPr>
                        <w:rFonts w:ascii="ITC Avant Garde" w:hAnsi="ITC Avant Garde"/>
                      </w:rPr>
                      <w:t>IMPACTO REGULATORIO</w:t>
                    </w:r>
                  </w:p>
                </w:txbxContent>
              </v:textbox>
              <w10:wrap type="square" anchorx="margin"/>
            </v:shape>
          </w:pict>
        </mc:Fallback>
      </mc:AlternateContent>
    </w:r>
    <w:r w:rsidR="00501ADF"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320CBBAA" wp14:editId="320CBBAB">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CBBA4" w14:textId="77777777" w:rsidR="00501ADF" w:rsidRDefault="00501ADF">
    <w:pPr>
      <w:pStyle w:val="Encabezado"/>
    </w:pPr>
  </w:p>
  <w:p w14:paraId="320CBBA5" w14:textId="77777777" w:rsidR="00804F49" w:rsidRDefault="00804F49">
    <w:pPr>
      <w:pStyle w:val="Encabezado"/>
    </w:pPr>
  </w:p>
  <w:p w14:paraId="320CBBA6"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320CBBAC" wp14:editId="320CBBAD">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D23FF1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320CBBA7" w14:textId="77777777" w:rsidR="00501ADF" w:rsidRDefault="00501A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F347C6"/>
    <w:multiLevelType w:val="hybridMultilevel"/>
    <w:tmpl w:val="009D89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4C70FD"/>
    <w:multiLevelType w:val="hybridMultilevel"/>
    <w:tmpl w:val="9DAC6750"/>
    <w:lvl w:ilvl="0" w:tplc="10EA5F4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45438E"/>
    <w:multiLevelType w:val="hybridMultilevel"/>
    <w:tmpl w:val="843C9552"/>
    <w:lvl w:ilvl="0" w:tplc="7F185C4E">
      <w:start w:val="1"/>
      <w:numFmt w:val="bullet"/>
      <w:lvlText w:val="-"/>
      <w:lvlJc w:val="left"/>
      <w:pPr>
        <w:ind w:left="720" w:hanging="360"/>
      </w:pPr>
      <w:rPr>
        <w:rFonts w:ascii="ITC Avant Garde" w:eastAsiaTheme="minorHAnsi" w:hAnsi="ITC Avant Garde" w:cstheme="minorBid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106BE"/>
    <w:rsid w:val="000E2517"/>
    <w:rsid w:val="001932FC"/>
    <w:rsid w:val="001D6DFC"/>
    <w:rsid w:val="00286496"/>
    <w:rsid w:val="00294941"/>
    <w:rsid w:val="00295E97"/>
    <w:rsid w:val="002D7B2B"/>
    <w:rsid w:val="0030055F"/>
    <w:rsid w:val="003039BF"/>
    <w:rsid w:val="003C037F"/>
    <w:rsid w:val="003F05E7"/>
    <w:rsid w:val="00456D6D"/>
    <w:rsid w:val="004B6836"/>
    <w:rsid w:val="004E0DA9"/>
    <w:rsid w:val="00501ADF"/>
    <w:rsid w:val="00507B7F"/>
    <w:rsid w:val="005307EB"/>
    <w:rsid w:val="005A40FB"/>
    <w:rsid w:val="005B6627"/>
    <w:rsid w:val="00652632"/>
    <w:rsid w:val="006717D5"/>
    <w:rsid w:val="0068307E"/>
    <w:rsid w:val="00696CD7"/>
    <w:rsid w:val="006D7A08"/>
    <w:rsid w:val="00700307"/>
    <w:rsid w:val="007248F8"/>
    <w:rsid w:val="007D4E5B"/>
    <w:rsid w:val="00801FED"/>
    <w:rsid w:val="0080378A"/>
    <w:rsid w:val="00804F49"/>
    <w:rsid w:val="0086684A"/>
    <w:rsid w:val="00870931"/>
    <w:rsid w:val="00876D05"/>
    <w:rsid w:val="008A48B0"/>
    <w:rsid w:val="008C76AF"/>
    <w:rsid w:val="008E3011"/>
    <w:rsid w:val="009A5DAE"/>
    <w:rsid w:val="009F72B2"/>
    <w:rsid w:val="00A1622C"/>
    <w:rsid w:val="00A204C3"/>
    <w:rsid w:val="00A72899"/>
    <w:rsid w:val="00A73AD8"/>
    <w:rsid w:val="00B6252D"/>
    <w:rsid w:val="00B6461E"/>
    <w:rsid w:val="00B74C55"/>
    <w:rsid w:val="00BA53A1"/>
    <w:rsid w:val="00BD73B5"/>
    <w:rsid w:val="00C10AB1"/>
    <w:rsid w:val="00C25D9E"/>
    <w:rsid w:val="00C304C4"/>
    <w:rsid w:val="00C370CF"/>
    <w:rsid w:val="00C76B03"/>
    <w:rsid w:val="00C917FC"/>
    <w:rsid w:val="00D221B5"/>
    <w:rsid w:val="00D30A94"/>
    <w:rsid w:val="00DB7DFC"/>
    <w:rsid w:val="00E21B49"/>
    <w:rsid w:val="00E27972"/>
    <w:rsid w:val="00E35357"/>
    <w:rsid w:val="00E41C4D"/>
    <w:rsid w:val="00E6080B"/>
    <w:rsid w:val="00E64FD3"/>
    <w:rsid w:val="00E6631C"/>
    <w:rsid w:val="00E7129C"/>
    <w:rsid w:val="00F1226C"/>
    <w:rsid w:val="00F15E46"/>
    <w:rsid w:val="00F7614B"/>
    <w:rsid w:val="00F83E16"/>
    <w:rsid w:val="00F941DC"/>
    <w:rsid w:val="00FB0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CBB3B"/>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Default">
    <w:name w:val="Default"/>
    <w:rsid w:val="0080378A"/>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80378A"/>
    <w:rPr>
      <w:color w:val="954F72" w:themeColor="followedHyperlink"/>
      <w:u w:val="single"/>
    </w:rPr>
  </w:style>
  <w:style w:type="paragraph" w:styleId="Textodeglobo">
    <w:name w:val="Balloon Text"/>
    <w:basedOn w:val="Normal"/>
    <w:link w:val="TextodegloboCar"/>
    <w:uiPriority w:val="99"/>
    <w:semiHidden/>
    <w:unhideWhenUsed/>
    <w:rsid w:val="000E25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2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G-RR-2016/es" TargetMode="External"/><Relationship Id="rId18" Type="http://schemas.openxmlformats.org/officeDocument/2006/relationships/hyperlink" Target="http://www.ift.org.mx/recursos-de-informacion/registro-publico-de-concesion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pub/R-ACT-WRC.12-2015/es" TargetMode="External"/><Relationship Id="rId17" Type="http://schemas.openxmlformats.org/officeDocument/2006/relationships/hyperlink" Target="http://www.ift.org.mx/industria/politica-regulatoria/disposiciones-tecnicas" TargetMode="External"/><Relationship Id="rId2" Type="http://schemas.openxmlformats.org/officeDocument/2006/relationships/customXml" Target="../customXml/item2.xml"/><Relationship Id="rId16" Type="http://schemas.openxmlformats.org/officeDocument/2006/relationships/hyperlink" Target="http://www.ift.org.mx/espectro-radioelectrico/bandas-de-frecuencias-del-espectro-radioelectrico-de-uso-lib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an.rocha@ift.org.mx" TargetMode="External"/><Relationship Id="rId5" Type="http://schemas.openxmlformats.org/officeDocument/2006/relationships/numbering" Target="numbering.xml"/><Relationship Id="rId15" Type="http://schemas.openxmlformats.org/officeDocument/2006/relationships/hyperlink" Target="http://www.ift.org.mx/industria/asuntos-internacionales/acuerdos-bilaterales-con-estados-unidos-de-americ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t.gob.mx/comunicaciones/ley-federal-de-telecomunicaciones-y-radiodifus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EC15-DD8F-4E55-B9DB-0FC8478D91EE}">
  <ds:schemaRefs>
    <ds:schemaRef ds:uri="http://schemas.microsoft.com/sharepoint/v3/contenttype/forms"/>
  </ds:schemaRefs>
</ds:datastoreItem>
</file>

<file path=customXml/itemProps2.xml><?xml version="1.0" encoding="utf-8"?>
<ds:datastoreItem xmlns:ds="http://schemas.openxmlformats.org/officeDocument/2006/customXml" ds:itemID="{C45722EA-4EAC-4F1C-8D94-11F44E82A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B4196-E36A-4630-A733-0FBD6D9BC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634484-7FA7-4A7C-8E3F-8447EA30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1165</Words>
  <Characters>6409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10</cp:revision>
  <dcterms:created xsi:type="dcterms:W3CDTF">2016-11-10T00:43:00Z</dcterms:created>
  <dcterms:modified xsi:type="dcterms:W3CDTF">2016-11-11T03:46:00Z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