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76A9F" w14:textId="57D86624" w:rsidR="00CA692D" w:rsidRPr="009F5FB5" w:rsidRDefault="00CA692D" w:rsidP="009F5FB5">
      <w:pPr>
        <w:pStyle w:val="Ttulo1"/>
        <w:jc w:val="center"/>
        <w:rPr>
          <w:rFonts w:ascii="ITC Avant Garde" w:hAnsi="ITC Avant Garde"/>
          <w:b/>
          <w:color w:val="000000" w:themeColor="text1"/>
          <w:sz w:val="22"/>
          <w:szCs w:val="22"/>
        </w:rPr>
      </w:pPr>
      <w:r w:rsidRPr="009F5FB5">
        <w:rPr>
          <w:rFonts w:ascii="ITC Avant Garde" w:hAnsi="ITC Avant Garde"/>
          <w:b/>
          <w:color w:val="000000" w:themeColor="text1"/>
          <w:sz w:val="22"/>
          <w:szCs w:val="22"/>
        </w:rPr>
        <w:t>ANEXO “III”</w:t>
      </w:r>
    </w:p>
    <w:p w14:paraId="6AA22868" w14:textId="4B44131C" w:rsidR="00CA692D" w:rsidRPr="009A615F" w:rsidRDefault="00CA692D" w:rsidP="00CA692D">
      <w:pPr>
        <w:spacing w:after="120" w:line="480" w:lineRule="auto"/>
        <w:jc w:val="center"/>
        <w:rPr>
          <w:rFonts w:ascii="ITC Avant Garde" w:eastAsia="Calibri" w:hAnsi="ITC Avant Garde" w:cs="Arial"/>
          <w:b/>
          <w:u w:val="single"/>
        </w:rPr>
      </w:pPr>
      <w:r w:rsidRPr="009A615F">
        <w:rPr>
          <w:rFonts w:ascii="ITC Avant Garde" w:eastAsia="Calibri" w:hAnsi="ITC Avant Garde" w:cs="Arial"/>
          <w:b/>
          <w:u w:val="single"/>
        </w:rPr>
        <w:t xml:space="preserve">Torres </w:t>
      </w:r>
      <w:r w:rsidR="00094C7A" w:rsidRPr="009A615F">
        <w:rPr>
          <w:rFonts w:ascii="ITC Avant Garde" w:eastAsia="Calibri" w:hAnsi="ITC Avant Garde" w:cs="Arial"/>
          <w:b/>
          <w:u w:val="single"/>
        </w:rPr>
        <w:t xml:space="preserve">y mástiles </w:t>
      </w:r>
      <w:r w:rsidRPr="009A615F">
        <w:rPr>
          <w:rFonts w:ascii="ITC Avant Garde" w:eastAsia="Calibri" w:hAnsi="ITC Avant Garde" w:cs="Arial"/>
          <w:b/>
          <w:u w:val="single"/>
        </w:rPr>
        <w:t>de telecomunicaciones y radiodifusión</w:t>
      </w:r>
    </w:p>
    <w:p w14:paraId="446D5C0C" w14:textId="59D4E558" w:rsidR="00CA692D" w:rsidRDefault="00CA692D" w:rsidP="00925B6B">
      <w:pPr>
        <w:pStyle w:val="IFTnormal"/>
      </w:pPr>
      <w:r w:rsidRPr="00265C93">
        <w:t xml:space="preserve">El presente documento constituye un </w:t>
      </w:r>
      <w:r w:rsidR="009A615F">
        <w:t>a</w:t>
      </w:r>
      <w:r w:rsidR="009A615F" w:rsidRPr="00265C93">
        <w:t xml:space="preserve">nexo </w:t>
      </w:r>
      <w:r w:rsidRPr="000E671D">
        <w:t xml:space="preserve">integrante de los </w:t>
      </w:r>
      <w:r w:rsidR="000E671D" w:rsidRPr="000E671D">
        <w:t>L</w:t>
      </w:r>
      <w:r w:rsidR="004171C9">
        <w:t>ineamientos</w:t>
      </w:r>
      <w:r w:rsidR="000E671D" w:rsidRPr="000E671D">
        <w:t>.</w:t>
      </w:r>
    </w:p>
    <w:p w14:paraId="259745FD" w14:textId="127D2284" w:rsidR="00CA692D" w:rsidRDefault="00CA692D" w:rsidP="00925B6B">
      <w:pPr>
        <w:pStyle w:val="IFTnormal"/>
      </w:pPr>
      <w:r w:rsidRPr="004805B8">
        <w:t xml:space="preserve">Los </w:t>
      </w:r>
      <w:r w:rsidR="00753566">
        <w:t>criterios</w:t>
      </w:r>
      <w:r w:rsidRPr="004805B8">
        <w:t xml:space="preserve"> técnicos establecidos en el pr</w:t>
      </w:r>
      <w:r>
        <w:t>esente anexo describen el uso de la i</w:t>
      </w:r>
      <w:r w:rsidRPr="004805B8">
        <w:t xml:space="preserve">nfraestructura </w:t>
      </w:r>
      <w:r>
        <w:t>d</w:t>
      </w:r>
      <w:bookmarkStart w:id="0" w:name="_GoBack"/>
      <w:bookmarkEnd w:id="0"/>
      <w:r>
        <w:t xml:space="preserve">e torres </w:t>
      </w:r>
      <w:r w:rsidRPr="004805B8">
        <w:t xml:space="preserve">designada </w:t>
      </w:r>
      <w:r>
        <w:t>para la prestación de servicios de telecomunicaciones y radiodifusión.</w:t>
      </w:r>
    </w:p>
    <w:p w14:paraId="103A206C" w14:textId="4DFFE3C3" w:rsidR="00094C7A" w:rsidRDefault="00094C7A" w:rsidP="00925B6B">
      <w:pPr>
        <w:pStyle w:val="IFTnormal"/>
      </w:pPr>
      <w:r w:rsidRPr="003F47E2">
        <w:t xml:space="preserve">Es responsabilidad de los </w:t>
      </w:r>
      <w:r w:rsidR="005E1105">
        <w:t>Interesados en Despliegue</w:t>
      </w:r>
      <w:r w:rsidRPr="003F47E2">
        <w:t xml:space="preserve"> y Proveedores de Infraestructura seguir la normatividad descrita en la NOM-001-SEDE-2012 o aquella normativa que resulte aplicable.</w:t>
      </w:r>
    </w:p>
    <w:p w14:paraId="370023A5" w14:textId="7433B8EE" w:rsidR="008E3E23" w:rsidRDefault="00205F00" w:rsidP="00205F00">
      <w:pPr>
        <w:pStyle w:val="IFTnormal"/>
        <w:numPr>
          <w:ilvl w:val="0"/>
          <w:numId w:val="13"/>
        </w:numPr>
        <w:rPr>
          <w:rStyle w:val="IFTnormalCar"/>
        </w:rPr>
      </w:pPr>
      <w:r>
        <w:rPr>
          <w:rStyle w:val="IFTnormalCar"/>
        </w:rPr>
        <w:t>T</w:t>
      </w:r>
      <w:r w:rsidRPr="00573CEF">
        <w:rPr>
          <w:rStyle w:val="IFTnormalCar"/>
        </w:rPr>
        <w:t xml:space="preserve">orres </w:t>
      </w:r>
      <w:r w:rsidR="00094C7A">
        <w:rPr>
          <w:rStyle w:val="IFTnormalCar"/>
        </w:rPr>
        <w:t xml:space="preserve">y mástiles </w:t>
      </w:r>
      <w:r w:rsidRPr="00573CEF">
        <w:rPr>
          <w:rStyle w:val="IFTnormalCar"/>
        </w:rPr>
        <w:t>de telecomunicaciones</w:t>
      </w:r>
      <w:r>
        <w:rPr>
          <w:rStyle w:val="IFTnormalCar"/>
        </w:rPr>
        <w:t xml:space="preserve"> y radiodifusión</w:t>
      </w:r>
    </w:p>
    <w:p w14:paraId="370023A6" w14:textId="28B9E78A" w:rsidR="00886DCF" w:rsidRDefault="00886DCF" w:rsidP="00925B6B">
      <w:pPr>
        <w:pStyle w:val="IFTnormal"/>
      </w:pPr>
      <w:r>
        <w:t xml:space="preserve">En el despliegue de infraestructura para la prestación de servicios de telecomunicaciones y radiodifusión </w:t>
      </w:r>
      <w:r w:rsidR="00094C7A">
        <w:t xml:space="preserve">uno de </w:t>
      </w:r>
      <w:r w:rsidR="008777C7">
        <w:t>l</w:t>
      </w:r>
      <w:r>
        <w:t xml:space="preserve">os elementos principales </w:t>
      </w:r>
      <w:r w:rsidRPr="006F4754">
        <w:t xml:space="preserve">que el proveedor de servicios debe desplegar o </w:t>
      </w:r>
      <w:r w:rsidR="009A615F">
        <w:t>disponibilidad para</w:t>
      </w:r>
      <w:r w:rsidRPr="006F4754">
        <w:t xml:space="preserve"> acceder </w:t>
      </w:r>
      <w:r w:rsidR="00415580">
        <w:t>son</w:t>
      </w:r>
      <w:r w:rsidR="005E6BD8">
        <w:t xml:space="preserve"> las </w:t>
      </w:r>
      <w:r w:rsidR="009A615F">
        <w:t xml:space="preserve">torres </w:t>
      </w:r>
      <w:r w:rsidR="00415580">
        <w:t>y mástiles</w:t>
      </w:r>
      <w:r w:rsidR="005E6BD8">
        <w:t xml:space="preserve">, </w:t>
      </w:r>
      <w:r w:rsidR="009A615F">
        <w:t>para cuya instalación</w:t>
      </w:r>
      <w:r w:rsidR="005E6BD8">
        <w:t xml:space="preserve"> se requiere </w:t>
      </w:r>
      <w:r w:rsidR="009A615F">
        <w:t xml:space="preserve">de </w:t>
      </w:r>
      <w:r w:rsidR="005E6BD8">
        <w:t xml:space="preserve">espacio en </w:t>
      </w:r>
      <w:r w:rsidR="009A615F">
        <w:t>piso</w:t>
      </w:r>
      <w:r w:rsidR="005E6BD8">
        <w:t xml:space="preserve">. </w:t>
      </w:r>
    </w:p>
    <w:p w14:paraId="370023A7" w14:textId="77777777" w:rsidR="00886DCF" w:rsidRDefault="00886DCF" w:rsidP="00886DCF">
      <w:pPr>
        <w:pStyle w:val="Default"/>
        <w:jc w:val="both"/>
        <w:rPr>
          <w:rFonts w:ascii="ITC Avant Garde" w:eastAsia="Calibri" w:hAnsi="ITC Avant Garde" w:cs="Calibri"/>
          <w:bCs/>
          <w:color w:val="auto"/>
          <w:sz w:val="22"/>
          <w:szCs w:val="22"/>
        </w:rPr>
      </w:pPr>
    </w:p>
    <w:p w14:paraId="370023B1" w14:textId="4EB2FE32" w:rsidR="00205F00" w:rsidRDefault="00205F00" w:rsidP="00205F00">
      <w:pPr>
        <w:pStyle w:val="IFTnormal"/>
        <w:numPr>
          <w:ilvl w:val="1"/>
          <w:numId w:val="13"/>
        </w:numPr>
      </w:pPr>
      <w:r>
        <w:t>Torres</w:t>
      </w:r>
    </w:p>
    <w:p w14:paraId="4F527581" w14:textId="7F98B268" w:rsidR="0005040B" w:rsidRPr="00925B6B" w:rsidRDefault="0005040B" w:rsidP="00925B6B">
      <w:pPr>
        <w:pStyle w:val="IFTnormal"/>
      </w:pPr>
      <w:r w:rsidRPr="00925B6B">
        <w:t>La torre es una estructura metálica</w:t>
      </w:r>
      <w:r w:rsidR="005A4A5B" w:rsidRPr="00925B6B">
        <w:t xml:space="preserve"> de altura considerable</w:t>
      </w:r>
      <w:r w:rsidRPr="00925B6B">
        <w:t xml:space="preserve">, instalada sobre una base de concreto. </w:t>
      </w:r>
      <w:r w:rsidR="009A615F">
        <w:t>S</w:t>
      </w:r>
      <w:r w:rsidR="005A4A5B" w:rsidRPr="00925B6B">
        <w:t>on</w:t>
      </w:r>
      <w:r w:rsidRPr="00925B6B">
        <w:t xml:space="preserve"> construida</w:t>
      </w:r>
      <w:r w:rsidR="005A4A5B" w:rsidRPr="00925B6B">
        <w:t>s</w:t>
      </w:r>
      <w:r w:rsidRPr="00925B6B">
        <w:t xml:space="preserve"> para soportar los equipos</w:t>
      </w:r>
      <w:r w:rsidR="005A4A5B" w:rsidRPr="00925B6B">
        <w:t xml:space="preserve"> o elementos</w:t>
      </w:r>
      <w:r w:rsidRPr="00925B6B">
        <w:t xml:space="preserve"> radiantes de telecomunicaciones o radiodifusión. </w:t>
      </w:r>
    </w:p>
    <w:p w14:paraId="370023B2" w14:textId="210C981E" w:rsidR="00886DCF" w:rsidRPr="00925B6B" w:rsidRDefault="00886DCF" w:rsidP="00925B6B">
      <w:pPr>
        <w:pStyle w:val="IFTnormal"/>
      </w:pPr>
      <w:r w:rsidRPr="00925B6B">
        <w:t>Dentro de las torres más comunes se encuen</w:t>
      </w:r>
      <w:r w:rsidR="007979C8" w:rsidRPr="00925B6B">
        <w:t xml:space="preserve">tran las </w:t>
      </w:r>
      <w:proofErr w:type="spellStart"/>
      <w:r w:rsidR="007979C8" w:rsidRPr="00925B6B">
        <w:t>autosoportadas</w:t>
      </w:r>
      <w:proofErr w:type="spellEnd"/>
      <w:r w:rsidR="007979C8" w:rsidRPr="00925B6B">
        <w:t xml:space="preserve">, </w:t>
      </w:r>
      <w:r w:rsidR="009A615F">
        <w:t xml:space="preserve">las </w:t>
      </w:r>
      <w:proofErr w:type="spellStart"/>
      <w:r w:rsidR="007979C8" w:rsidRPr="00925B6B">
        <w:t>monopolo</w:t>
      </w:r>
      <w:proofErr w:type="spellEnd"/>
      <w:r w:rsidR="007979C8" w:rsidRPr="00925B6B">
        <w:t xml:space="preserve"> y </w:t>
      </w:r>
      <w:r w:rsidR="009A615F">
        <w:t xml:space="preserve">las </w:t>
      </w:r>
      <w:r w:rsidR="007979C8" w:rsidRPr="00925B6B">
        <w:t>arriostradas.</w:t>
      </w:r>
      <w:r w:rsidRPr="00925B6B">
        <w:t xml:space="preserve"> </w:t>
      </w:r>
    </w:p>
    <w:p w14:paraId="370023B3" w14:textId="3819383D" w:rsidR="00886DCF" w:rsidRPr="00925B6B" w:rsidRDefault="00DE4ABB" w:rsidP="00925B6B">
      <w:pPr>
        <w:pStyle w:val="IFTnormal"/>
      </w:pPr>
      <w:proofErr w:type="spellStart"/>
      <w:r w:rsidRPr="00925B6B">
        <w:t>Autosoportada</w:t>
      </w:r>
      <w:proofErr w:type="spellEnd"/>
      <w:r w:rsidR="00886DCF" w:rsidRPr="00925B6B">
        <w:t xml:space="preserve">.- Son las más eficientes por su geometría. </w:t>
      </w:r>
      <w:r w:rsidR="009A615F">
        <w:t>A</w:t>
      </w:r>
      <w:r w:rsidR="009A615F" w:rsidRPr="00925B6B">
        <w:t>lcanza</w:t>
      </w:r>
      <w:r w:rsidR="009A615F">
        <w:t xml:space="preserve">n </w:t>
      </w:r>
      <w:r w:rsidR="00D82B26" w:rsidRPr="00925B6B">
        <w:t xml:space="preserve">alturas de </w:t>
      </w:r>
      <w:proofErr w:type="gramStart"/>
      <w:r w:rsidR="00D82B26" w:rsidRPr="00925B6B">
        <w:t>alrededor</w:t>
      </w:r>
      <w:proofErr w:type="gramEnd"/>
      <w:r w:rsidR="00D82B26" w:rsidRPr="00925B6B">
        <w:t xml:space="preserve"> de los 80 </w:t>
      </w:r>
      <w:r w:rsidR="00886DCF" w:rsidRPr="00925B6B">
        <w:t>m</w:t>
      </w:r>
      <w:r w:rsidR="00D82B26" w:rsidRPr="00925B6B">
        <w:t xml:space="preserve">etros </w:t>
      </w:r>
      <w:r w:rsidR="00886DCF" w:rsidRPr="00925B6B">
        <w:t xml:space="preserve">(se puede instalar alturas mayores si el proyecto lo requiere). Se fabrican en planta y se instalan o montan en campo. Por lo general se usan para </w:t>
      </w:r>
      <w:r w:rsidR="00AB051C">
        <w:t>Emplazamiento de Radiofrecuencia</w:t>
      </w:r>
      <w:r w:rsidR="00AB051C" w:rsidRPr="00925B6B">
        <w:t>s</w:t>
      </w:r>
      <w:r w:rsidR="00886DCF" w:rsidRPr="00925B6B">
        <w:t xml:space="preserve"> en terreno natural y para </w:t>
      </w:r>
      <w:r w:rsidR="00AB051C">
        <w:t>Emplazamiento de Radiofrecuencia</w:t>
      </w:r>
      <w:r w:rsidR="00AB051C" w:rsidRPr="00925B6B">
        <w:t xml:space="preserve">s </w:t>
      </w:r>
      <w:r w:rsidR="00886DCF" w:rsidRPr="00925B6B">
        <w:t>con difícil acceso en donde resul</w:t>
      </w:r>
      <w:r w:rsidR="00F52A6C" w:rsidRPr="00925B6B">
        <w:t>ta complicado el uso de grúa. Comúnmente su</w:t>
      </w:r>
      <w:r w:rsidR="00886DCF" w:rsidRPr="00925B6B">
        <w:t xml:space="preserve"> geometría en elevación es de forma piramidal y en planta triangular. </w:t>
      </w:r>
    </w:p>
    <w:p w14:paraId="7D1C2DE3" w14:textId="6E31EAD2" w:rsidR="00DE4ABB" w:rsidRDefault="00DE4ABB" w:rsidP="00DE4ABB">
      <w:pPr>
        <w:pStyle w:val="IFTnormal"/>
        <w:jc w:val="center"/>
      </w:pPr>
      <w:r>
        <w:rPr>
          <w:noProof/>
          <w:lang w:val="es-MX" w:eastAsia="es-MX"/>
        </w:rPr>
        <w:lastRenderedPageBreak/>
        <w:drawing>
          <wp:inline distT="0" distB="0" distL="0" distR="0" wp14:anchorId="349CAD5F" wp14:editId="4BDA33F4">
            <wp:extent cx="1623600" cy="3024000"/>
            <wp:effectExtent l="0" t="0" r="0" b="0"/>
            <wp:docPr id="4" name="Imagen 4"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3600" cy="3024000"/>
                    </a:xfrm>
                    <a:prstGeom prst="rect">
                      <a:avLst/>
                    </a:prstGeom>
                    <a:noFill/>
                  </pic:spPr>
                </pic:pic>
              </a:graphicData>
            </a:graphic>
          </wp:inline>
        </w:drawing>
      </w:r>
    </w:p>
    <w:p w14:paraId="74294466" w14:textId="29D983B3" w:rsidR="00DE4ABB" w:rsidRPr="007D4C6A" w:rsidRDefault="007D4C6A" w:rsidP="00DE4ABB">
      <w:pPr>
        <w:pStyle w:val="IFTnormal"/>
        <w:jc w:val="center"/>
        <w:rPr>
          <w:sz w:val="18"/>
        </w:rPr>
      </w:pPr>
      <w:r w:rsidRPr="007D4C6A">
        <w:rPr>
          <w:sz w:val="18"/>
        </w:rPr>
        <w:t xml:space="preserve">Figura 1. Torre </w:t>
      </w:r>
      <w:proofErr w:type="spellStart"/>
      <w:r w:rsidRPr="007D4C6A">
        <w:rPr>
          <w:sz w:val="18"/>
        </w:rPr>
        <w:t>autosoportada</w:t>
      </w:r>
      <w:proofErr w:type="spellEnd"/>
    </w:p>
    <w:p w14:paraId="1B6E6DA1" w14:textId="1935351D" w:rsidR="00C02B26" w:rsidRPr="00925B6B" w:rsidRDefault="00886DCF" w:rsidP="00925B6B">
      <w:pPr>
        <w:pStyle w:val="IFTnormal"/>
      </w:pPr>
      <w:proofErr w:type="spellStart"/>
      <w:r w:rsidRPr="00925B6B">
        <w:t>Monopolos</w:t>
      </w:r>
      <w:proofErr w:type="spellEnd"/>
      <w:r w:rsidRPr="00925B6B">
        <w:t>.</w:t>
      </w:r>
      <w:r w:rsidR="00F52A6C" w:rsidRPr="00925B6B">
        <w:t xml:space="preserve">- Regularmente </w:t>
      </w:r>
      <w:r w:rsidR="009A615F" w:rsidRPr="00925B6B">
        <w:t>s</w:t>
      </w:r>
      <w:r w:rsidR="009A615F">
        <w:t>e</w:t>
      </w:r>
      <w:r w:rsidR="00F52A6C" w:rsidRPr="00925B6B">
        <w:t xml:space="preserve"> fabrican para alturas alrededor de 40 metros (no se limita para mayores alturas). </w:t>
      </w:r>
      <w:r w:rsidRPr="00925B6B">
        <w:t>Se utilizan para sitios en terreno natural y cuando el espacio disponible</w:t>
      </w:r>
      <w:r w:rsidR="009B10ED" w:rsidRPr="00925B6B">
        <w:t xml:space="preserve"> para la torre no es muy grande.</w:t>
      </w:r>
      <w:r w:rsidRPr="00925B6B">
        <w:t xml:space="preserve"> </w:t>
      </w:r>
      <w:r w:rsidR="009B10ED" w:rsidRPr="00925B6B">
        <w:t>L</w:t>
      </w:r>
      <w:r w:rsidRPr="00925B6B">
        <w:t xml:space="preserve">a cimentación de estas estructuras es más pequeña que la requerida para torres </w:t>
      </w:r>
      <w:proofErr w:type="spellStart"/>
      <w:r w:rsidRPr="00925B6B">
        <w:t>autosoportadas</w:t>
      </w:r>
      <w:proofErr w:type="spellEnd"/>
      <w:r w:rsidR="00F52A6C" w:rsidRPr="00925B6B">
        <w:t xml:space="preserve">. Su estructura consiste en tubos de sección circular o poligonal, y en elevación puede ser de sección constante o cónica. </w:t>
      </w:r>
    </w:p>
    <w:p w14:paraId="370023B4" w14:textId="4EBD03AE" w:rsidR="00886DCF" w:rsidRPr="00925B6B" w:rsidRDefault="00886DCF" w:rsidP="00925B6B">
      <w:pPr>
        <w:pStyle w:val="IFTnormal"/>
      </w:pPr>
      <w:r w:rsidRPr="00925B6B">
        <w:t xml:space="preserve">Este tipo de estructura puede ser </w:t>
      </w:r>
      <w:r w:rsidR="009A615F">
        <w:t>m</w:t>
      </w:r>
      <w:r w:rsidR="009A615F" w:rsidRPr="00925B6B">
        <w:t xml:space="preserve">imetizada </w:t>
      </w:r>
      <w:r w:rsidRPr="00925B6B">
        <w:t xml:space="preserve">de manera que no cause un gran impacto visual; </w:t>
      </w:r>
      <w:r w:rsidR="00C446C8" w:rsidRPr="00925B6B">
        <w:t>la Mimetización</w:t>
      </w:r>
      <w:r w:rsidRPr="00925B6B">
        <w:t xml:space="preserve"> puede ser tipo árbol, palmera, pino, reloj monumental, poste de alumbrado, asta bandera, </w:t>
      </w:r>
      <w:proofErr w:type="spellStart"/>
      <w:r w:rsidRPr="00925B6B">
        <w:t>monopolo</w:t>
      </w:r>
      <w:proofErr w:type="spellEnd"/>
      <w:r w:rsidRPr="00925B6B">
        <w:t xml:space="preserve"> tipo cruz, campanario, entre otros. </w:t>
      </w:r>
    </w:p>
    <w:p w14:paraId="3BD551B6" w14:textId="2F78FE04" w:rsidR="00DE4ABB" w:rsidRDefault="004D4B74" w:rsidP="00DE4ABB">
      <w:pPr>
        <w:pStyle w:val="IFTnormal"/>
        <w:jc w:val="center"/>
      </w:pPr>
      <w:r>
        <w:rPr>
          <w:noProof/>
          <w:lang w:val="es-MX" w:eastAsia="es-MX"/>
        </w:rPr>
        <w:lastRenderedPageBreak/>
        <w:drawing>
          <wp:inline distT="0" distB="0" distL="0" distR="0" wp14:anchorId="17A34AFD" wp14:editId="06997869">
            <wp:extent cx="1216800" cy="2948400"/>
            <wp:effectExtent l="0" t="0" r="2540" b="0"/>
            <wp:docPr id="23" name="Imagen 23"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800" cy="2948400"/>
                    </a:xfrm>
                    <a:prstGeom prst="rect">
                      <a:avLst/>
                    </a:prstGeom>
                    <a:noFill/>
                  </pic:spPr>
                </pic:pic>
              </a:graphicData>
            </a:graphic>
          </wp:inline>
        </w:drawing>
      </w:r>
    </w:p>
    <w:p w14:paraId="069B15CF" w14:textId="05E7EFE5" w:rsidR="007D4C6A" w:rsidRPr="007D4C6A" w:rsidRDefault="007D4C6A" w:rsidP="00DE4ABB">
      <w:pPr>
        <w:pStyle w:val="IFTnormal"/>
        <w:jc w:val="center"/>
        <w:rPr>
          <w:sz w:val="18"/>
        </w:rPr>
      </w:pPr>
      <w:r w:rsidRPr="007D4C6A">
        <w:rPr>
          <w:sz w:val="18"/>
        </w:rPr>
        <w:t xml:space="preserve">Figura 2. Torre </w:t>
      </w:r>
      <w:proofErr w:type="spellStart"/>
      <w:r w:rsidRPr="007D4C6A">
        <w:rPr>
          <w:sz w:val="18"/>
        </w:rPr>
        <w:t>monopolo</w:t>
      </w:r>
      <w:proofErr w:type="spellEnd"/>
    </w:p>
    <w:p w14:paraId="370023B5" w14:textId="7472EBE0" w:rsidR="00886DCF" w:rsidRDefault="00886DCF" w:rsidP="00886DCF">
      <w:pPr>
        <w:pStyle w:val="IFTnormal"/>
      </w:pPr>
      <w:r>
        <w:t xml:space="preserve">Arriostradas.- </w:t>
      </w:r>
      <w:r w:rsidR="00C02B26">
        <w:t xml:space="preserve">Comúnmente se fabrican con alturas </w:t>
      </w:r>
      <w:r w:rsidR="009A615F">
        <w:t xml:space="preserve">cercanas a los </w:t>
      </w:r>
      <w:r w:rsidR="00C02B26">
        <w:t>60</w:t>
      </w:r>
      <w:r w:rsidR="009A615F">
        <w:t xml:space="preserve"> </w:t>
      </w:r>
      <w:r w:rsidR="00C02B26">
        <w:t>m</w:t>
      </w:r>
      <w:r w:rsidR="009A615F">
        <w:t>etros</w:t>
      </w:r>
      <w:r w:rsidR="00C02B26">
        <w:t xml:space="preserve">. </w:t>
      </w:r>
      <w:r>
        <w:t xml:space="preserve">Estas estructuras se instalan por lo general en las azoteas de los inmuebles, pudiéndose también considerar su instalación en terreno natural si el espacio disponible lo permite ya que requiere grandes claros por la posición de las retenidas. </w:t>
      </w:r>
      <w:r w:rsidR="00C32597">
        <w:t>En su</w:t>
      </w:r>
      <w:r>
        <w:t xml:space="preserve"> estructuras son esbeltas y una buena solución si el impacto visual  es relevante. </w:t>
      </w:r>
    </w:p>
    <w:p w14:paraId="562374CC" w14:textId="3D56E564" w:rsidR="00E4790A" w:rsidRDefault="00947952" w:rsidP="00947952">
      <w:pPr>
        <w:pStyle w:val="IFTnormal"/>
        <w:jc w:val="center"/>
      </w:pPr>
      <w:r>
        <w:rPr>
          <w:noProof/>
          <w:lang w:val="es-MX" w:eastAsia="es-MX"/>
        </w:rPr>
        <w:drawing>
          <wp:inline distT="0" distB="0" distL="0" distR="0" wp14:anchorId="05E4B8C3" wp14:editId="2EA8CBDA">
            <wp:extent cx="2685600" cy="3387600"/>
            <wp:effectExtent l="0" t="0" r="635" b="0"/>
            <wp:docPr id="8" name="Imagen 8"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5600" cy="3387600"/>
                    </a:xfrm>
                    <a:prstGeom prst="rect">
                      <a:avLst/>
                    </a:prstGeom>
                    <a:noFill/>
                  </pic:spPr>
                </pic:pic>
              </a:graphicData>
            </a:graphic>
          </wp:inline>
        </w:drawing>
      </w:r>
    </w:p>
    <w:p w14:paraId="379ED474" w14:textId="373B96FE" w:rsidR="007D4C6A" w:rsidRPr="007D4C6A" w:rsidRDefault="007D4C6A" w:rsidP="00947952">
      <w:pPr>
        <w:pStyle w:val="IFTnormal"/>
        <w:jc w:val="center"/>
        <w:rPr>
          <w:sz w:val="18"/>
        </w:rPr>
      </w:pPr>
      <w:r w:rsidRPr="007D4C6A">
        <w:rPr>
          <w:sz w:val="18"/>
        </w:rPr>
        <w:t>Figura 3. Torre arriostrada</w:t>
      </w:r>
    </w:p>
    <w:p w14:paraId="370023B6" w14:textId="7D3FA3D0" w:rsidR="00205F00" w:rsidRDefault="00205F00" w:rsidP="00205F00">
      <w:pPr>
        <w:pStyle w:val="IFTnormal"/>
        <w:numPr>
          <w:ilvl w:val="1"/>
          <w:numId w:val="13"/>
        </w:numPr>
      </w:pPr>
      <w:r>
        <w:lastRenderedPageBreak/>
        <w:t>Mástiles</w:t>
      </w:r>
    </w:p>
    <w:p w14:paraId="370023B7" w14:textId="3D37C979" w:rsidR="00886DCF" w:rsidRPr="00925B6B" w:rsidRDefault="0005040B" w:rsidP="00925B6B">
      <w:pPr>
        <w:pStyle w:val="IFTnormal"/>
      </w:pPr>
      <w:r w:rsidRPr="00925B6B">
        <w:t xml:space="preserve">Otro tipo de estructuras </w:t>
      </w:r>
      <w:r w:rsidR="00752FF4" w:rsidRPr="00925B6B">
        <w:t>construidas para soportar los equipos o elementos radiantes de telecomunicaciones son los má</w:t>
      </w:r>
      <w:r w:rsidR="00D3252F" w:rsidRPr="00925B6B">
        <w:t>s</w:t>
      </w:r>
      <w:r w:rsidR="00752FF4" w:rsidRPr="00925B6B">
        <w:t xml:space="preserve">tiles. </w:t>
      </w:r>
      <w:r w:rsidR="001633B4" w:rsidRPr="00925B6B">
        <w:t>Consiste en</w:t>
      </w:r>
      <w:r w:rsidR="00752FF4" w:rsidRPr="00925B6B">
        <w:t xml:space="preserve"> un</w:t>
      </w:r>
      <w:r w:rsidR="004901D5" w:rsidRPr="00925B6B">
        <w:t>a</w:t>
      </w:r>
      <w:r w:rsidR="00752FF4" w:rsidRPr="00925B6B">
        <w:t xml:space="preserve"> estructura pequeña y p</w:t>
      </w:r>
      <w:r w:rsidR="00886DCF" w:rsidRPr="00925B6B">
        <w:t>or sus características de ligereza, facilidad de instalación y bajo costo, son una excelente opci</w:t>
      </w:r>
      <w:r w:rsidR="00AC7693" w:rsidRPr="00925B6B">
        <w:t>ón para instalació</w:t>
      </w:r>
      <w:r w:rsidR="00886DCF" w:rsidRPr="00925B6B">
        <w:t>n</w:t>
      </w:r>
      <w:r w:rsidR="00AC7693" w:rsidRPr="00925B6B">
        <w:t xml:space="preserve"> en lugares elevados como por ejemplo azoteas de edificios en las que por la altura</w:t>
      </w:r>
      <w:r w:rsidR="00886DCF" w:rsidRPr="00925B6B">
        <w:t xml:space="preserve"> no se requiere </w:t>
      </w:r>
      <w:r w:rsidR="009A615F">
        <w:t xml:space="preserve">de </w:t>
      </w:r>
      <w:r w:rsidR="00886DCF" w:rsidRPr="00925B6B">
        <w:t>una torre. Los mástiles</w:t>
      </w:r>
      <w:r w:rsidR="009A615F">
        <w:t>,</w:t>
      </w:r>
      <w:r w:rsidR="00886DCF" w:rsidRPr="00925B6B">
        <w:t xml:space="preserve"> se</w:t>
      </w:r>
      <w:r w:rsidR="00432AF1" w:rsidRPr="00925B6B">
        <w:t>gún su topología</w:t>
      </w:r>
      <w:r w:rsidR="009A615F">
        <w:t>,</w:t>
      </w:r>
      <w:r w:rsidR="00432AF1" w:rsidRPr="00925B6B">
        <w:t xml:space="preserve"> se clasifican d</w:t>
      </w:r>
      <w:r w:rsidR="00886DCF" w:rsidRPr="00925B6B">
        <w:t>e la siguiente forma de acuerdo al proyecto:</w:t>
      </w:r>
    </w:p>
    <w:p w14:paraId="370023B8" w14:textId="08603991" w:rsidR="00886DCF" w:rsidRPr="00925B6B" w:rsidRDefault="00D3252F" w:rsidP="005E1105">
      <w:pPr>
        <w:pStyle w:val="IFTnormal"/>
        <w:numPr>
          <w:ilvl w:val="0"/>
          <w:numId w:val="34"/>
        </w:numPr>
      </w:pPr>
      <w:r w:rsidRPr="00925B6B">
        <w:t>Mástiles</w:t>
      </w:r>
      <w:r w:rsidR="00886DCF" w:rsidRPr="00925B6B">
        <w:t xml:space="preserve"> </w:t>
      </w:r>
      <w:proofErr w:type="spellStart"/>
      <w:r w:rsidR="009A615F">
        <w:t>a</w:t>
      </w:r>
      <w:r w:rsidR="009A615F" w:rsidRPr="00925B6B">
        <w:t>utosoportados</w:t>
      </w:r>
      <w:proofErr w:type="spellEnd"/>
      <w:r w:rsidR="00886DCF" w:rsidRPr="00925B6B">
        <w:t>.- La estabilidad al volteo causado por acciones accidentales, lo propor</w:t>
      </w:r>
      <w:r w:rsidR="00B8029E" w:rsidRPr="00925B6B">
        <w:t>cionara la estructura donde esté</w:t>
      </w:r>
      <w:r w:rsidR="00886DCF" w:rsidRPr="00925B6B">
        <w:t xml:space="preserve"> desplantado el fuste, ya sea en un dado de concreto armado, viga </w:t>
      </w:r>
      <w:r w:rsidR="000C3AB4" w:rsidRPr="00925B6B">
        <w:t>metálica</w:t>
      </w:r>
      <w:r w:rsidR="00886DCF" w:rsidRPr="00925B6B">
        <w:t xml:space="preserve">, etc., el cual dependerá de las </w:t>
      </w:r>
      <w:r w:rsidR="000C3AB4" w:rsidRPr="00925B6B">
        <w:t>características</w:t>
      </w:r>
      <w:r w:rsidR="00886DCF" w:rsidRPr="00925B6B">
        <w:t xml:space="preserve"> del inmueble.   </w:t>
      </w:r>
    </w:p>
    <w:p w14:paraId="370023B9" w14:textId="5498D5B5" w:rsidR="00886DCF" w:rsidRPr="00925B6B" w:rsidRDefault="00D3252F" w:rsidP="005E1105">
      <w:pPr>
        <w:pStyle w:val="IFTnormal"/>
        <w:numPr>
          <w:ilvl w:val="0"/>
          <w:numId w:val="34"/>
        </w:numPr>
      </w:pPr>
      <w:r w:rsidRPr="00925B6B">
        <w:t>Mástiles</w:t>
      </w:r>
      <w:r w:rsidR="00886DCF" w:rsidRPr="00925B6B">
        <w:t xml:space="preserve"> </w:t>
      </w:r>
      <w:r w:rsidR="009A615F">
        <w:t>a</w:t>
      </w:r>
      <w:r w:rsidR="009A615F" w:rsidRPr="00925B6B">
        <w:t>rriostrados</w:t>
      </w:r>
      <w:r w:rsidR="00886DCF" w:rsidRPr="00925B6B">
        <w:t xml:space="preserve">.- La estabilidad al volteo causado por acciones accidentales además de ser proporcionada por el elemento estructural donde este desplantado el </w:t>
      </w:r>
      <w:r w:rsidR="000C3AB4" w:rsidRPr="00925B6B">
        <w:t>mástil</w:t>
      </w:r>
      <w:r w:rsidR="00886DCF" w:rsidRPr="00925B6B">
        <w:t>, será a</w:t>
      </w:r>
      <w:r w:rsidR="000C3AB4" w:rsidRPr="00925B6B">
        <w:t xml:space="preserve"> través</w:t>
      </w:r>
      <w:r w:rsidR="00886DCF" w:rsidRPr="00925B6B">
        <w:t xml:space="preserve"> de cables, arriostrando uno o más niveles del fuste.</w:t>
      </w:r>
    </w:p>
    <w:p w14:paraId="370023BA" w14:textId="5F3F98FB" w:rsidR="00886DCF" w:rsidRDefault="00D3252F" w:rsidP="005E1105">
      <w:pPr>
        <w:pStyle w:val="IFTnormal"/>
        <w:numPr>
          <w:ilvl w:val="0"/>
          <w:numId w:val="34"/>
        </w:numPr>
      </w:pPr>
      <w:r>
        <w:t>Mástiles</w:t>
      </w:r>
      <w:r w:rsidR="00886DCF">
        <w:t xml:space="preserve"> </w:t>
      </w:r>
      <w:proofErr w:type="spellStart"/>
      <w:r w:rsidR="009A615F">
        <w:t>contraventeados</w:t>
      </w:r>
      <w:proofErr w:type="spellEnd"/>
      <w:r w:rsidR="009A615F">
        <w:t xml:space="preserve"> </w:t>
      </w:r>
      <w:r w:rsidR="00886DCF">
        <w:t xml:space="preserve">y/o </w:t>
      </w:r>
      <w:r w:rsidR="009A615F">
        <w:t>apuntalados</w:t>
      </w:r>
      <w:r w:rsidR="00886DCF">
        <w:t>.- Su estabilidad además de ser proporcionada por el elemento estructural donde se desplante el mástil, será a través de perfiles estructurales rígidos adosados a uno o más niveles del fuste.</w:t>
      </w:r>
    </w:p>
    <w:p w14:paraId="370023BC" w14:textId="1E4AFF66" w:rsidR="00732470" w:rsidRDefault="00C97B4A" w:rsidP="00C97B4A">
      <w:pPr>
        <w:pStyle w:val="IFTnormal"/>
        <w:jc w:val="center"/>
      </w:pPr>
      <w:r>
        <w:rPr>
          <w:noProof/>
          <w:lang w:val="es-MX" w:eastAsia="es-MX"/>
        </w:rPr>
        <w:drawing>
          <wp:inline distT="0" distB="0" distL="0" distR="0" wp14:anchorId="7B6427BD" wp14:editId="705D2EB7">
            <wp:extent cx="4219200" cy="3218400"/>
            <wp:effectExtent l="0" t="0" r="0" b="0"/>
            <wp:docPr id="9" name="Imagen 9"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200" cy="3218400"/>
                    </a:xfrm>
                    <a:prstGeom prst="rect">
                      <a:avLst/>
                    </a:prstGeom>
                    <a:noFill/>
                  </pic:spPr>
                </pic:pic>
              </a:graphicData>
            </a:graphic>
          </wp:inline>
        </w:drawing>
      </w:r>
    </w:p>
    <w:p w14:paraId="15AE8C30" w14:textId="0424D15B" w:rsidR="006B3828" w:rsidRPr="006B3828" w:rsidRDefault="006B3828" w:rsidP="00C97B4A">
      <w:pPr>
        <w:pStyle w:val="IFTnormal"/>
        <w:jc w:val="center"/>
        <w:rPr>
          <w:sz w:val="18"/>
        </w:rPr>
      </w:pPr>
      <w:r w:rsidRPr="006B3828">
        <w:rPr>
          <w:sz w:val="18"/>
        </w:rPr>
        <w:t>Figura 4. Mástiles</w:t>
      </w:r>
    </w:p>
    <w:p w14:paraId="5DBE0D29" w14:textId="77777777" w:rsidR="007B26FB" w:rsidRPr="001E0412" w:rsidRDefault="007B26FB" w:rsidP="00E03FCB">
      <w:pPr>
        <w:pStyle w:val="Prrafodelista"/>
        <w:numPr>
          <w:ilvl w:val="0"/>
          <w:numId w:val="13"/>
        </w:numPr>
        <w:jc w:val="both"/>
        <w:rPr>
          <w:rFonts w:ascii="ITC Avant Garde" w:eastAsia="Calibri" w:hAnsi="ITC Avant Garde" w:cs="Arial"/>
          <w:color w:val="000000"/>
          <w:lang w:val="es-ES_tradnl" w:eastAsia="es-ES"/>
        </w:rPr>
      </w:pPr>
      <w:r w:rsidRPr="001E0412">
        <w:rPr>
          <w:rFonts w:ascii="ITC Avant Garde" w:eastAsia="Calibri" w:hAnsi="ITC Avant Garde" w:cs="Arial"/>
          <w:color w:val="000000"/>
          <w:lang w:val="es-ES_tradnl" w:eastAsia="es-ES"/>
        </w:rPr>
        <w:t xml:space="preserve">Capacidad susceptible de utilización </w:t>
      </w:r>
    </w:p>
    <w:p w14:paraId="64551A36" w14:textId="25DCC1C2" w:rsidR="007B26FB" w:rsidRDefault="007B26FB" w:rsidP="00925B6B">
      <w:pPr>
        <w:pStyle w:val="IFTnormal"/>
      </w:pPr>
      <w:r w:rsidRPr="00B6548E">
        <w:lastRenderedPageBreak/>
        <w:t xml:space="preserve">Para la instalación </w:t>
      </w:r>
      <w:r>
        <w:t>de</w:t>
      </w:r>
      <w:r w:rsidRPr="00B6548E">
        <w:t xml:space="preserve"> </w:t>
      </w:r>
      <w:r w:rsidR="009A615F">
        <w:t xml:space="preserve">torres </w:t>
      </w:r>
      <w:r>
        <w:t xml:space="preserve">y mástiles </w:t>
      </w:r>
      <w:r w:rsidRPr="00B6548E">
        <w:t xml:space="preserve">se deberá tener en cuenta la capacidad de carga del </w:t>
      </w:r>
      <w:r>
        <w:t xml:space="preserve">mismo, así como todo lo aplicable descrito en la </w:t>
      </w:r>
      <w:r w:rsidRPr="00355CD5">
        <w:t>NOM-001-SEDE-2012</w:t>
      </w:r>
      <w:r w:rsidRPr="00B6548E">
        <w:t xml:space="preserve">. </w:t>
      </w:r>
    </w:p>
    <w:p w14:paraId="1F3B575C" w14:textId="5BFEB1D5" w:rsidR="00186F7E" w:rsidRDefault="007B26FB" w:rsidP="00925B6B">
      <w:pPr>
        <w:pStyle w:val="IFTnormal"/>
      </w:pPr>
      <w:r>
        <w:t>T</w:t>
      </w:r>
      <w:r w:rsidR="007A30C3">
        <w:t>oda</w:t>
      </w:r>
      <w:r>
        <w:t xml:space="preserve"> </w:t>
      </w:r>
      <w:r w:rsidR="007A30C3">
        <w:t xml:space="preserve">torre y </w:t>
      </w:r>
      <w:r w:rsidR="00F51571">
        <w:t>mástil instalado</w:t>
      </w:r>
      <w:r w:rsidR="007A30C3">
        <w:t xml:space="preserve"> </w:t>
      </w:r>
      <w:r w:rsidR="009A615F">
        <w:t xml:space="preserve">es </w:t>
      </w:r>
      <w:r>
        <w:t>susceptible de utilización por uno o más operadores siempre que no sobrepasen las cargas soportadas según lo estipulado en el párrafo anterior</w:t>
      </w:r>
      <w:r w:rsidR="009A615F">
        <w:t>.</w:t>
      </w:r>
      <w:r w:rsidR="00F51571">
        <w:t xml:space="preserve"> </w:t>
      </w:r>
      <w:r w:rsidR="009A615F">
        <w:t>D</w:t>
      </w:r>
      <w:r w:rsidR="00F51571">
        <w:t xml:space="preserve">e no soportarlas podría, siempre que sea técnicamente factible, llegar a un acuerdo </w:t>
      </w:r>
      <w:r w:rsidR="009A615F">
        <w:t xml:space="preserve">con el propietario </w:t>
      </w:r>
      <w:r w:rsidR="00F51571">
        <w:t xml:space="preserve">para su adecuación. </w:t>
      </w:r>
    </w:p>
    <w:p w14:paraId="4555065C" w14:textId="6AEDE253" w:rsidR="007B26FB" w:rsidRDefault="00186F7E" w:rsidP="00925B6B">
      <w:pPr>
        <w:pStyle w:val="IFTnormal"/>
      </w:pPr>
      <w:r>
        <w:t>Además</w:t>
      </w:r>
      <w:r w:rsidR="009A615F">
        <w:t>,</w:t>
      </w:r>
      <w:r>
        <w:t xml:space="preserve"> para que un sitio sea susceptible de utilización siempre debe contar con el espacio piso o suelo que permita la colocación e instalación de los elementos necesarios para el correcto funcionamiento de la infraestructura que servirá la prestación de servicios de telecomunicaciones y radiodifusión.</w:t>
      </w:r>
    </w:p>
    <w:p w14:paraId="5DD5F4CB" w14:textId="51367094" w:rsidR="00D27933" w:rsidRPr="00B44D53" w:rsidRDefault="002F05AC" w:rsidP="002F05AC">
      <w:pPr>
        <w:pStyle w:val="IFTnormal"/>
        <w:jc w:val="center"/>
      </w:pPr>
      <w:r>
        <w:rPr>
          <w:noProof/>
          <w:lang w:val="es-MX" w:eastAsia="es-MX"/>
        </w:rPr>
        <w:drawing>
          <wp:inline distT="0" distB="0" distL="0" distR="0" wp14:anchorId="07F12217" wp14:editId="4F875F1D">
            <wp:extent cx="4881600" cy="4244400"/>
            <wp:effectExtent l="0" t="0" r="0" b="3810"/>
            <wp:docPr id="11" name="Imagen 11"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1600" cy="4244400"/>
                    </a:xfrm>
                    <a:prstGeom prst="rect">
                      <a:avLst/>
                    </a:prstGeom>
                    <a:noFill/>
                  </pic:spPr>
                </pic:pic>
              </a:graphicData>
            </a:graphic>
          </wp:inline>
        </w:drawing>
      </w:r>
    </w:p>
    <w:p w14:paraId="3523B123" w14:textId="7182D9BE" w:rsidR="009D68DD" w:rsidRPr="006B3828" w:rsidRDefault="009D68DD" w:rsidP="009D68DD">
      <w:pPr>
        <w:pStyle w:val="IFTnormal"/>
        <w:jc w:val="center"/>
        <w:rPr>
          <w:sz w:val="18"/>
        </w:rPr>
      </w:pPr>
      <w:r>
        <w:rPr>
          <w:sz w:val="18"/>
        </w:rPr>
        <w:t>Figura 6.</w:t>
      </w:r>
      <w:r w:rsidRPr="006B3828">
        <w:rPr>
          <w:sz w:val="18"/>
        </w:rPr>
        <w:t xml:space="preserve"> </w:t>
      </w:r>
      <w:r>
        <w:rPr>
          <w:sz w:val="18"/>
        </w:rPr>
        <w:t>Espacio de compartición</w:t>
      </w:r>
    </w:p>
    <w:p w14:paraId="1A0B2E3B" w14:textId="7F4EB185" w:rsidR="007169C3" w:rsidRPr="00687FAB" w:rsidRDefault="007169C3" w:rsidP="007169C3">
      <w:pPr>
        <w:pStyle w:val="Prrafodelista"/>
        <w:numPr>
          <w:ilvl w:val="0"/>
          <w:numId w:val="13"/>
        </w:numPr>
        <w:autoSpaceDE w:val="0"/>
        <w:autoSpaceDN w:val="0"/>
        <w:adjustRightInd w:val="0"/>
        <w:spacing w:line="240" w:lineRule="auto"/>
        <w:jc w:val="both"/>
        <w:rPr>
          <w:rStyle w:val="IFTnormalCar"/>
          <w:lang w:val="es-MX"/>
        </w:rPr>
      </w:pPr>
      <w:r w:rsidRPr="00687FAB">
        <w:rPr>
          <w:rStyle w:val="IFTnormalCar"/>
        </w:rPr>
        <w:t xml:space="preserve">Capacidad Adicionada de </w:t>
      </w:r>
      <w:r w:rsidR="005F5BA7">
        <w:rPr>
          <w:rStyle w:val="IFTnormalCar"/>
        </w:rPr>
        <w:t>Emplazamiento de Radiofrecuencia</w:t>
      </w:r>
      <w:r w:rsidRPr="00687FAB">
        <w:rPr>
          <w:rStyle w:val="IFTnormalCar"/>
        </w:rPr>
        <w:t xml:space="preserve">s y Torres </w:t>
      </w:r>
    </w:p>
    <w:p w14:paraId="39F93DC3" w14:textId="08FD36CD" w:rsidR="007169C3" w:rsidRPr="00925B6B" w:rsidRDefault="007169C3" w:rsidP="00925B6B">
      <w:pPr>
        <w:pStyle w:val="IFTnormal"/>
      </w:pPr>
      <w:r w:rsidRPr="00925B6B">
        <w:t xml:space="preserve">Cuando los Interesados en Despliegue deban construir Capacidad Adicionada en </w:t>
      </w:r>
      <w:r w:rsidR="005F5BA7">
        <w:t>Emplazamiento de Radiofrecuencia</w:t>
      </w:r>
      <w:r w:rsidRPr="00925B6B">
        <w:t xml:space="preserve">s y </w:t>
      </w:r>
      <w:r w:rsidR="009A615F">
        <w:t>t</w:t>
      </w:r>
      <w:r w:rsidR="009A615F" w:rsidRPr="00925B6B">
        <w:t xml:space="preserve">orres </w:t>
      </w:r>
      <w:r w:rsidRPr="00925B6B">
        <w:t>para los servicios de telecomunicaciones y radiodifusión</w:t>
      </w:r>
      <w:r w:rsidR="0071416C" w:rsidRPr="00925B6B">
        <w:t>,</w:t>
      </w:r>
      <w:r w:rsidRPr="00925B6B">
        <w:t xml:space="preserve"> </w:t>
      </w:r>
      <w:r w:rsidR="0071416C" w:rsidRPr="00925B6B">
        <w:t xml:space="preserve">según lo estipulado en los presentes </w:t>
      </w:r>
      <w:r w:rsidR="007F48B4">
        <w:t>L</w:t>
      </w:r>
      <w:r w:rsidR="007F48B4" w:rsidRPr="00925B6B">
        <w:t>ineamientos</w:t>
      </w:r>
      <w:r w:rsidR="0071416C" w:rsidRPr="00925B6B">
        <w:t xml:space="preserve">, </w:t>
      </w:r>
      <w:r w:rsidRPr="00925B6B">
        <w:t xml:space="preserve">deberán reservar 3.0 metros lineales en el cuerpo vertical de la torre. </w:t>
      </w:r>
      <w:r w:rsidRPr="00925B6B">
        <w:lastRenderedPageBreak/>
        <w:t>Dicha reserva será a partir de la parte más alta utilizable (no incluyendo pararrayos) de la torre para la instalación de equipo de telecomunicaciones</w:t>
      </w:r>
      <w:r w:rsidR="007F48B4">
        <w:t xml:space="preserve"> o radiodifusión</w:t>
      </w:r>
      <w:r w:rsidRPr="00925B6B">
        <w:t>. También se deberá considerar espacio suficiente para la instalación de equipo en piso. Lo anterior aplica para todo tipo de torres.</w:t>
      </w:r>
    </w:p>
    <w:p w14:paraId="29C341C0" w14:textId="77777777" w:rsidR="007169C3" w:rsidRDefault="007169C3" w:rsidP="007169C3">
      <w:pPr>
        <w:pStyle w:val="IFTnormal"/>
        <w:jc w:val="center"/>
      </w:pPr>
      <w:r>
        <w:rPr>
          <w:noProof/>
          <w:lang w:val="es-MX" w:eastAsia="es-MX"/>
        </w:rPr>
        <w:drawing>
          <wp:inline distT="0" distB="0" distL="0" distR="0" wp14:anchorId="112CB66D" wp14:editId="414714A4">
            <wp:extent cx="4935600" cy="4467600"/>
            <wp:effectExtent l="0" t="0" r="0" b="9525"/>
            <wp:docPr id="10" name="Imagen 10"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5600" cy="4467600"/>
                    </a:xfrm>
                    <a:prstGeom prst="rect">
                      <a:avLst/>
                    </a:prstGeom>
                    <a:noFill/>
                  </pic:spPr>
                </pic:pic>
              </a:graphicData>
            </a:graphic>
          </wp:inline>
        </w:drawing>
      </w:r>
    </w:p>
    <w:p w14:paraId="42BE2968" w14:textId="64E1F5CB" w:rsidR="007169C3" w:rsidRPr="006B3828" w:rsidRDefault="007169C3" w:rsidP="007169C3">
      <w:pPr>
        <w:pStyle w:val="IFTnormal"/>
        <w:jc w:val="center"/>
        <w:rPr>
          <w:sz w:val="18"/>
        </w:rPr>
      </w:pPr>
      <w:r>
        <w:rPr>
          <w:sz w:val="18"/>
        </w:rPr>
        <w:t>Figura 5.</w:t>
      </w:r>
      <w:r w:rsidRPr="006B3828">
        <w:rPr>
          <w:sz w:val="18"/>
        </w:rPr>
        <w:t xml:space="preserve"> </w:t>
      </w:r>
      <w:r>
        <w:rPr>
          <w:sz w:val="18"/>
        </w:rPr>
        <w:t xml:space="preserve">Capacidad </w:t>
      </w:r>
      <w:r w:rsidR="00687FAB">
        <w:rPr>
          <w:sz w:val="18"/>
        </w:rPr>
        <w:t>Adicionada</w:t>
      </w:r>
    </w:p>
    <w:p w14:paraId="114F0F0F" w14:textId="3D6FD012" w:rsidR="007169C3" w:rsidRPr="007169C3" w:rsidRDefault="007169C3" w:rsidP="00925B6B">
      <w:pPr>
        <w:pStyle w:val="IFTnormal"/>
        <w:rPr>
          <w:rStyle w:val="IFTnormalCar"/>
        </w:rPr>
      </w:pPr>
      <w:r w:rsidRPr="007169C3">
        <w:rPr>
          <w:rStyle w:val="IFTnormalCar"/>
        </w:rPr>
        <w:t xml:space="preserve">En el caso de mástiles no se </w:t>
      </w:r>
      <w:r w:rsidR="0071416C">
        <w:rPr>
          <w:rStyle w:val="IFTnormalCar"/>
        </w:rPr>
        <w:t>deberá designar Capacidad Adicionada</w:t>
      </w:r>
      <w:r w:rsidR="009A2394">
        <w:rPr>
          <w:rStyle w:val="IFTnormalCar"/>
        </w:rPr>
        <w:t xml:space="preserve"> siempre que estos sean menores a 7 metros</w:t>
      </w:r>
      <w:r w:rsidRPr="007169C3">
        <w:rPr>
          <w:rStyle w:val="IFTnormalCar"/>
        </w:rPr>
        <w:t xml:space="preserve">, lo que no exime al elemento de ser susceptible de </w:t>
      </w:r>
      <w:r w:rsidR="009A2394">
        <w:rPr>
          <w:rStyle w:val="IFTnormalCar"/>
        </w:rPr>
        <w:t>utilización</w:t>
      </w:r>
      <w:r w:rsidRPr="007169C3">
        <w:rPr>
          <w:rStyle w:val="IFTnormalCar"/>
        </w:rPr>
        <w:t xml:space="preserve"> siempre que sea técnicamente factible.</w:t>
      </w:r>
    </w:p>
    <w:p w14:paraId="466047DB" w14:textId="2A2836F0" w:rsidR="003C03EA" w:rsidRDefault="003C03EA" w:rsidP="00632B7D">
      <w:pPr>
        <w:pStyle w:val="Prrafodelista"/>
        <w:numPr>
          <w:ilvl w:val="0"/>
          <w:numId w:val="13"/>
        </w:numPr>
        <w:autoSpaceDE w:val="0"/>
        <w:autoSpaceDN w:val="0"/>
        <w:adjustRightInd w:val="0"/>
        <w:spacing w:line="240" w:lineRule="auto"/>
        <w:jc w:val="both"/>
        <w:rPr>
          <w:rStyle w:val="IFTnormalCar"/>
        </w:rPr>
      </w:pPr>
      <w:r>
        <w:rPr>
          <w:rStyle w:val="IFTnormalCar"/>
        </w:rPr>
        <w:t>Mimetización</w:t>
      </w:r>
    </w:p>
    <w:p w14:paraId="370023C9" w14:textId="5FCCA3D5" w:rsidR="008E3E23" w:rsidRPr="00925B6B" w:rsidRDefault="008E3E23" w:rsidP="00925B6B">
      <w:pPr>
        <w:pStyle w:val="IFTnormal"/>
        <w:rPr>
          <w:rStyle w:val="IFTnormalCar"/>
        </w:rPr>
      </w:pPr>
      <w:r w:rsidRPr="00925B6B">
        <w:rPr>
          <w:rStyle w:val="IFTnormalCar"/>
        </w:rPr>
        <w:t xml:space="preserve">Con la finalidad de minimizar el impacto visual de la </w:t>
      </w:r>
      <w:r w:rsidR="009A615F">
        <w:rPr>
          <w:rStyle w:val="IFTnormalCar"/>
        </w:rPr>
        <w:t>i</w:t>
      </w:r>
      <w:r w:rsidR="009A615F" w:rsidRPr="00925B6B">
        <w:rPr>
          <w:rStyle w:val="IFTnormalCar"/>
        </w:rPr>
        <w:t xml:space="preserve">nfraestructura </w:t>
      </w:r>
      <w:r w:rsidRPr="00925B6B">
        <w:rPr>
          <w:rStyle w:val="IFTnormalCar"/>
        </w:rPr>
        <w:t xml:space="preserve">de </w:t>
      </w:r>
      <w:r w:rsidR="009A615F">
        <w:rPr>
          <w:rStyle w:val="IFTnormalCar"/>
        </w:rPr>
        <w:t>t</w:t>
      </w:r>
      <w:r w:rsidR="009A615F" w:rsidRPr="00925B6B">
        <w:rPr>
          <w:rStyle w:val="IFTnormalCar"/>
        </w:rPr>
        <w:t xml:space="preserve">elecomunicaciones </w:t>
      </w:r>
      <w:r w:rsidRPr="00925B6B">
        <w:rPr>
          <w:rStyle w:val="IFTnormalCar"/>
        </w:rPr>
        <w:t xml:space="preserve">y </w:t>
      </w:r>
      <w:r w:rsidR="009A615F">
        <w:rPr>
          <w:rStyle w:val="IFTnormalCar"/>
        </w:rPr>
        <w:t>r</w:t>
      </w:r>
      <w:r w:rsidR="009A615F" w:rsidRPr="00925B6B">
        <w:rPr>
          <w:rStyle w:val="IFTnormalCar"/>
        </w:rPr>
        <w:t>adiodifusión</w:t>
      </w:r>
      <w:r w:rsidRPr="00925B6B">
        <w:rPr>
          <w:rStyle w:val="IFTnormalCar"/>
        </w:rPr>
        <w:t xml:space="preserve">, los </w:t>
      </w:r>
      <w:r w:rsidR="005647AB">
        <w:rPr>
          <w:rStyle w:val="IFTnormalCar"/>
        </w:rPr>
        <w:t>Interesados en Despliegue</w:t>
      </w:r>
      <w:r w:rsidRPr="00925B6B">
        <w:rPr>
          <w:rStyle w:val="IFTnormalCar"/>
        </w:rPr>
        <w:t xml:space="preserve"> o en su caso el Proveedor de Infraestructura deberán privilegiar el uso de las alternativas </w:t>
      </w:r>
      <w:r w:rsidR="00032802" w:rsidRPr="00925B6B">
        <w:rPr>
          <w:rStyle w:val="IFTnormalCar"/>
        </w:rPr>
        <w:t>de M</w:t>
      </w:r>
      <w:r w:rsidRPr="00925B6B">
        <w:rPr>
          <w:rStyle w:val="IFTnormalCar"/>
        </w:rPr>
        <w:t>imetización que se describen a continuación o de similares características</w:t>
      </w:r>
      <w:r w:rsidR="00944572" w:rsidRPr="00925B6B">
        <w:rPr>
          <w:rStyle w:val="IFTnormalCar"/>
        </w:rPr>
        <w:t>,</w:t>
      </w:r>
      <w:r w:rsidRPr="00925B6B">
        <w:rPr>
          <w:rStyle w:val="IFTnormalCar"/>
        </w:rPr>
        <w:t xml:space="preserve"> aceptadas en materia de </w:t>
      </w:r>
      <w:r w:rsidR="00032802" w:rsidRPr="00925B6B">
        <w:rPr>
          <w:rStyle w:val="IFTnormalCar"/>
        </w:rPr>
        <w:t>M</w:t>
      </w:r>
      <w:r w:rsidRPr="00925B6B">
        <w:rPr>
          <w:rStyle w:val="IFTnormalCar"/>
        </w:rPr>
        <w:t>imetización, armonía estética con el entorno y edificaciones circundantes e integración al paisaje urbano.</w:t>
      </w:r>
    </w:p>
    <w:p w14:paraId="4A567F78" w14:textId="77777777" w:rsidR="00E6549D" w:rsidRPr="00925B6B" w:rsidRDefault="00032802" w:rsidP="00925B6B">
      <w:pPr>
        <w:pStyle w:val="IFTnormal"/>
        <w:rPr>
          <w:rStyle w:val="IFTnormalCar"/>
        </w:rPr>
      </w:pPr>
      <w:r w:rsidRPr="00925B6B">
        <w:rPr>
          <w:rStyle w:val="IFTnormalCar"/>
        </w:rPr>
        <w:lastRenderedPageBreak/>
        <w:t>La M</w:t>
      </w:r>
      <w:r w:rsidR="008E3E23" w:rsidRPr="00925B6B">
        <w:rPr>
          <w:rStyle w:val="IFTnormalCar"/>
        </w:rPr>
        <w:t>imetización de la infraestructura de telecomunicaciones</w:t>
      </w:r>
      <w:r w:rsidRPr="00925B6B">
        <w:rPr>
          <w:rStyle w:val="IFTnormalCar"/>
        </w:rPr>
        <w:t xml:space="preserve"> o radiodifusión</w:t>
      </w:r>
      <w:r w:rsidR="008E3E23" w:rsidRPr="00925B6B">
        <w:rPr>
          <w:rStyle w:val="IFTnormalCar"/>
        </w:rPr>
        <w:t xml:space="preserve"> </w:t>
      </w:r>
      <w:r w:rsidR="003674DD" w:rsidRPr="00925B6B">
        <w:rPr>
          <w:rStyle w:val="IFTnormalCar"/>
        </w:rPr>
        <w:t>normalmente es necesaria</w:t>
      </w:r>
      <w:r w:rsidR="008E3E23" w:rsidRPr="00925B6B">
        <w:rPr>
          <w:rStyle w:val="IFTnormalCar"/>
        </w:rPr>
        <w:t xml:space="preserve"> en aquellas zonas donde el despliegue de la </w:t>
      </w:r>
      <w:r w:rsidR="00923CED" w:rsidRPr="00925B6B">
        <w:rPr>
          <w:rStyle w:val="IFTnormalCar"/>
        </w:rPr>
        <w:t>infraestructura</w:t>
      </w:r>
      <w:r w:rsidR="008E3E23" w:rsidRPr="00925B6B">
        <w:rPr>
          <w:rStyle w:val="IFTnormalCar"/>
        </w:rPr>
        <w:t xml:space="preserve"> se encuentre restringido</w:t>
      </w:r>
      <w:r w:rsidR="00923CED" w:rsidRPr="00925B6B">
        <w:rPr>
          <w:rStyle w:val="IFTnormalCar"/>
        </w:rPr>
        <w:t xml:space="preserve"> o la autoridad local competente lo exija</w:t>
      </w:r>
      <w:r w:rsidR="008E3E23" w:rsidRPr="00925B6B">
        <w:rPr>
          <w:rStyle w:val="IFTnormalCar"/>
        </w:rPr>
        <w:t>.</w:t>
      </w:r>
    </w:p>
    <w:p w14:paraId="370023CB" w14:textId="185BF82F" w:rsidR="008E3E23" w:rsidRPr="00925B6B" w:rsidRDefault="00E6549D" w:rsidP="00925B6B">
      <w:pPr>
        <w:pStyle w:val="IFTnormal"/>
        <w:rPr>
          <w:rStyle w:val="IFTnormalCar"/>
        </w:rPr>
      </w:pPr>
      <w:r w:rsidRPr="00925B6B">
        <w:rPr>
          <w:rStyle w:val="IFTnormalCar"/>
        </w:rPr>
        <w:t xml:space="preserve">Cuando se realizan </w:t>
      </w:r>
      <w:r w:rsidR="00032802" w:rsidRPr="00925B6B">
        <w:rPr>
          <w:rStyle w:val="IFTnormalCar"/>
        </w:rPr>
        <w:t>trabajos de M</w:t>
      </w:r>
      <w:r w:rsidR="008E3E23" w:rsidRPr="00925B6B">
        <w:rPr>
          <w:rStyle w:val="IFTnormalCar"/>
        </w:rPr>
        <w:t>imetización de la</w:t>
      </w:r>
      <w:r w:rsidR="00032802" w:rsidRPr="00925B6B">
        <w:rPr>
          <w:rStyle w:val="IFTnormalCar"/>
        </w:rPr>
        <w:t>s</w:t>
      </w:r>
      <w:r w:rsidR="008E3E23" w:rsidRPr="00925B6B">
        <w:rPr>
          <w:rStyle w:val="IFTnormalCar"/>
        </w:rPr>
        <w:t xml:space="preserve"> torres de telecomunicaciones </w:t>
      </w:r>
      <w:r w:rsidRPr="00925B6B">
        <w:rPr>
          <w:rStyle w:val="IFTnormalCar"/>
        </w:rPr>
        <w:t xml:space="preserve">estos </w:t>
      </w:r>
      <w:r w:rsidR="008E3E23" w:rsidRPr="00925B6B">
        <w:rPr>
          <w:rStyle w:val="IFTnormalCar"/>
        </w:rPr>
        <w:t>deben garantizar una correcta emisión y recepción de la señal.</w:t>
      </w:r>
    </w:p>
    <w:p w14:paraId="370023CC" w14:textId="2405F716" w:rsidR="008E3E23" w:rsidRPr="00925B6B" w:rsidRDefault="00E6549D" w:rsidP="00925B6B">
      <w:pPr>
        <w:pStyle w:val="IFTnormal"/>
        <w:rPr>
          <w:rStyle w:val="IFTnormalCar"/>
        </w:rPr>
      </w:pPr>
      <w:r w:rsidRPr="00925B6B">
        <w:rPr>
          <w:rStyle w:val="IFTnormalCar"/>
        </w:rPr>
        <w:t>Comúnmente en l</w:t>
      </w:r>
      <w:r w:rsidR="008E3E23" w:rsidRPr="00925B6B">
        <w:rPr>
          <w:rStyle w:val="IFTnormalCar"/>
        </w:rPr>
        <w:t>as instalaciones en conjuntos histórico-artísticos, zonas arqueológicas, jardines y bienes declarados de interés cultural, así como cualquier otro protegido, incorporarán medidas de mimetización o soluciones específicas que reduzcan el impacto visual, sin perjuicio de la normativa de aplicación específica, o del instrumento que determine las condiciones de protección.</w:t>
      </w:r>
    </w:p>
    <w:p w14:paraId="370023D7" w14:textId="5E3F4E14" w:rsidR="008E3E23" w:rsidRDefault="00D22DB8" w:rsidP="00632B7D">
      <w:pPr>
        <w:pStyle w:val="IFTnormal"/>
        <w:numPr>
          <w:ilvl w:val="1"/>
          <w:numId w:val="13"/>
        </w:numPr>
        <w:jc w:val="left"/>
        <w:rPr>
          <w:rStyle w:val="IFTnormalCar"/>
        </w:rPr>
      </w:pPr>
      <w:r>
        <w:t>O</w:t>
      </w:r>
      <w:r w:rsidRPr="003C00CB">
        <w:t xml:space="preserve">pciones de </w:t>
      </w:r>
      <w:r w:rsidR="005E7935">
        <w:t>M</w:t>
      </w:r>
      <w:r w:rsidR="005E7935" w:rsidRPr="003C00CB">
        <w:t>imetización</w:t>
      </w:r>
    </w:p>
    <w:p w14:paraId="370023D8" w14:textId="3B674AAF" w:rsidR="00ED5128" w:rsidRDefault="00D22DB8" w:rsidP="00632B7D">
      <w:pPr>
        <w:pStyle w:val="IFTnormal"/>
        <w:numPr>
          <w:ilvl w:val="2"/>
          <w:numId w:val="13"/>
        </w:numPr>
      </w:pPr>
      <w:r>
        <w:t>E</w:t>
      </w:r>
      <w:r w:rsidRPr="00ED5128">
        <w:t xml:space="preserve">stándares de </w:t>
      </w:r>
      <w:r w:rsidR="005E7935">
        <w:t>M</w:t>
      </w:r>
      <w:r w:rsidR="005E7935" w:rsidRPr="00ED5128">
        <w:t xml:space="preserve">imetización </w:t>
      </w:r>
      <w:r w:rsidRPr="00ED5128">
        <w:t>entre dos y cinco metros de altura</w:t>
      </w:r>
    </w:p>
    <w:p w14:paraId="370023D9" w14:textId="77777777" w:rsidR="00ED5128" w:rsidRPr="00925B6B" w:rsidRDefault="00ED5128" w:rsidP="00925B6B">
      <w:pPr>
        <w:pStyle w:val="IFTnormal"/>
      </w:pPr>
      <w:r w:rsidRPr="00925B6B">
        <w:t>Cuando se requiera instalar antenas dentro de cercos perimetrales</w:t>
      </w:r>
      <w:r w:rsidR="00521CA8" w:rsidRPr="00925B6B">
        <w:t xml:space="preserve"> en edificios o azoteas y</w:t>
      </w:r>
      <w:r w:rsidRPr="00925B6B">
        <w:t xml:space="preserve"> se haga uso de mástiles arriostrados</w:t>
      </w:r>
      <w:r w:rsidR="001359B7" w:rsidRPr="00925B6B">
        <w:t xml:space="preserve"> </w:t>
      </w:r>
      <w:r w:rsidRPr="00925B6B">
        <w:t>se deberá considerar lo siguiente:</w:t>
      </w:r>
    </w:p>
    <w:p w14:paraId="370023DA" w14:textId="327C9309" w:rsidR="00B05CF3" w:rsidRDefault="00B05CF3" w:rsidP="00233925">
      <w:pPr>
        <w:pStyle w:val="IFTnormal"/>
        <w:numPr>
          <w:ilvl w:val="0"/>
          <w:numId w:val="6"/>
        </w:numPr>
      </w:pPr>
      <w:r>
        <w:t xml:space="preserve">Las antenas, equipos </w:t>
      </w:r>
      <w:r w:rsidR="00521CA8">
        <w:t>de transmisión</w:t>
      </w:r>
      <w:r>
        <w:t xml:space="preserve">, equipos de energía, antenas y demás equipos a instalar, no deben ser visibles desde fuera de la edificación, para tal fin, se construyen cercos perimétricos con </w:t>
      </w:r>
      <w:r w:rsidR="00521CA8">
        <w:t>placas de</w:t>
      </w:r>
      <w:r>
        <w:t xml:space="preserve"> </w:t>
      </w:r>
      <w:proofErr w:type="spellStart"/>
      <w:r>
        <w:t>de</w:t>
      </w:r>
      <w:proofErr w:type="spellEnd"/>
      <w:r w:rsidR="005E7935">
        <w:t xml:space="preserve"> </w:t>
      </w:r>
      <w:r>
        <w:t>poliéster reforzado de fibra de vidrio (PRFV) u otro material estructural. La altura del cerco perimétrico no es mayor a cinco metros.</w:t>
      </w:r>
    </w:p>
    <w:p w14:paraId="370023DB" w14:textId="77777777" w:rsidR="00B05CF3" w:rsidRDefault="00B05CF3" w:rsidP="00233925">
      <w:pPr>
        <w:pStyle w:val="IFTnormal"/>
        <w:numPr>
          <w:ilvl w:val="0"/>
          <w:numId w:val="6"/>
        </w:numPr>
      </w:pPr>
      <w:r>
        <w:t xml:space="preserve">El cerco perimétrico </w:t>
      </w:r>
      <w:r w:rsidR="00100F03">
        <w:t xml:space="preserve">debe </w:t>
      </w:r>
      <w:r>
        <w:t>guarda</w:t>
      </w:r>
      <w:r w:rsidR="00100F03">
        <w:t>r</w:t>
      </w:r>
      <w:r>
        <w:t xml:space="preserve"> armonía con la arquitectura de la edificación en forma, color y textura.</w:t>
      </w:r>
    </w:p>
    <w:p w14:paraId="370023DC" w14:textId="77777777" w:rsidR="00ED5128" w:rsidRDefault="00B05CF3" w:rsidP="00233925">
      <w:pPr>
        <w:pStyle w:val="IFTnormal"/>
        <w:numPr>
          <w:ilvl w:val="0"/>
          <w:numId w:val="6"/>
        </w:numPr>
      </w:pPr>
      <w:r>
        <w:t>Las antenas se instalan sobre mástiles arriostrados o similares, de altura conjunta (mástil y antena) no mayor a cinco metros de altura.</w:t>
      </w:r>
    </w:p>
    <w:p w14:paraId="6760FB67" w14:textId="730D9E13" w:rsidR="009E493A" w:rsidRDefault="009E493A" w:rsidP="00150BCC">
      <w:pPr>
        <w:pStyle w:val="IFTnormal"/>
        <w:jc w:val="center"/>
        <w:rPr>
          <w:noProof/>
          <w:lang w:eastAsia="es-MX"/>
        </w:rPr>
      </w:pPr>
      <w:r>
        <w:rPr>
          <w:noProof/>
          <w:lang w:val="es-MX" w:eastAsia="es-MX"/>
        </w:rPr>
        <w:drawing>
          <wp:inline distT="0" distB="0" distL="0" distR="0" wp14:anchorId="4309650E" wp14:editId="2DD1F7E5">
            <wp:extent cx="2974624" cy="2231136"/>
            <wp:effectExtent l="0" t="0" r="0" b="0"/>
            <wp:docPr id="12" name="Imagen 12"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ena-de-telefonia-en-Las-Tablas[1].jpg"/>
                    <pic:cNvPicPr/>
                  </pic:nvPicPr>
                  <pic:blipFill>
                    <a:blip r:embed="rId16">
                      <a:extLst>
                        <a:ext uri="{28A0092B-C50C-407E-A947-70E740481C1C}">
                          <a14:useLocalDpi xmlns:a14="http://schemas.microsoft.com/office/drawing/2010/main" val="0"/>
                        </a:ext>
                      </a:extLst>
                    </a:blip>
                    <a:stretch>
                      <a:fillRect/>
                    </a:stretch>
                  </pic:blipFill>
                  <pic:spPr>
                    <a:xfrm>
                      <a:off x="0" y="0"/>
                      <a:ext cx="2994971" cy="2246398"/>
                    </a:xfrm>
                    <a:prstGeom prst="rect">
                      <a:avLst/>
                    </a:prstGeom>
                  </pic:spPr>
                </pic:pic>
              </a:graphicData>
            </a:graphic>
          </wp:inline>
        </w:drawing>
      </w:r>
    </w:p>
    <w:p w14:paraId="370023DE" w14:textId="6FD1AE5F" w:rsidR="00405B8F" w:rsidRPr="008D21E6" w:rsidRDefault="009D68DD" w:rsidP="00405B8F">
      <w:pPr>
        <w:pStyle w:val="IFTnormal"/>
        <w:jc w:val="center"/>
        <w:rPr>
          <w:sz w:val="18"/>
        </w:rPr>
      </w:pPr>
      <w:r>
        <w:rPr>
          <w:noProof/>
          <w:sz w:val="18"/>
          <w:lang w:eastAsia="es-MX"/>
        </w:rPr>
        <w:t>Figura 7</w:t>
      </w:r>
      <w:r w:rsidR="00405B8F" w:rsidRPr="008D21E6">
        <w:rPr>
          <w:noProof/>
          <w:sz w:val="18"/>
          <w:lang w:eastAsia="es-MX"/>
        </w:rPr>
        <w:t>. Mime</w:t>
      </w:r>
      <w:r w:rsidR="005E1105">
        <w:rPr>
          <w:noProof/>
          <w:sz w:val="18"/>
          <w:lang w:eastAsia="es-MX"/>
        </w:rPr>
        <w:t>t</w:t>
      </w:r>
      <w:r w:rsidR="00405B8F" w:rsidRPr="008D21E6">
        <w:rPr>
          <w:noProof/>
          <w:sz w:val="18"/>
          <w:lang w:eastAsia="es-MX"/>
        </w:rPr>
        <w:t>i</w:t>
      </w:r>
      <w:r w:rsidR="005E1105">
        <w:rPr>
          <w:noProof/>
          <w:sz w:val="18"/>
          <w:lang w:eastAsia="es-MX"/>
        </w:rPr>
        <w:t>z</w:t>
      </w:r>
      <w:r w:rsidR="00405B8F" w:rsidRPr="008D21E6">
        <w:rPr>
          <w:noProof/>
          <w:sz w:val="18"/>
          <w:lang w:eastAsia="es-MX"/>
        </w:rPr>
        <w:t>ación de antenas instaladas entre dos y cinco metros.</w:t>
      </w:r>
    </w:p>
    <w:p w14:paraId="370023E0" w14:textId="3B42503D" w:rsidR="00054798" w:rsidRPr="00054798" w:rsidRDefault="00D22DB8" w:rsidP="00632B7D">
      <w:pPr>
        <w:pStyle w:val="IFTnormal"/>
        <w:numPr>
          <w:ilvl w:val="2"/>
          <w:numId w:val="13"/>
        </w:numPr>
      </w:pPr>
      <w:r w:rsidRPr="00D22DB8">
        <w:lastRenderedPageBreak/>
        <w:t xml:space="preserve">Estándares de </w:t>
      </w:r>
      <w:r w:rsidR="005E7935">
        <w:t>M</w:t>
      </w:r>
      <w:r w:rsidR="005E7935" w:rsidRPr="00D22DB8">
        <w:t xml:space="preserve">imetización </w:t>
      </w:r>
      <w:r w:rsidRPr="00D22DB8">
        <w:t>entre cinco y diez metros de altura</w:t>
      </w:r>
    </w:p>
    <w:p w14:paraId="370023E1" w14:textId="77777777" w:rsidR="00054798" w:rsidRDefault="00054798" w:rsidP="00925B6B">
      <w:pPr>
        <w:pStyle w:val="IFTnormal"/>
      </w:pPr>
      <w:r>
        <w:t xml:space="preserve">Para la instalación de antenas a alturas de entre cinco y diez metros de altura se podrá utilizar </w:t>
      </w:r>
      <w:proofErr w:type="spellStart"/>
      <w:r>
        <w:t>radomos</w:t>
      </w:r>
      <w:proofErr w:type="spellEnd"/>
      <w:r>
        <w:t xml:space="preserve"> c</w:t>
      </w:r>
      <w:r w:rsidRPr="00054798">
        <w:t xml:space="preserve">ilíndricos o </w:t>
      </w:r>
      <w:r>
        <w:t>r</w:t>
      </w:r>
      <w:r w:rsidRPr="00054798">
        <w:t>ectangulares</w:t>
      </w:r>
      <w:r>
        <w:t>, considerando lo siguiente</w:t>
      </w:r>
      <w:r w:rsidRPr="00054798">
        <w:t>:</w:t>
      </w:r>
    </w:p>
    <w:p w14:paraId="370023E3" w14:textId="219EBF21" w:rsidR="00054798" w:rsidRPr="00054798" w:rsidRDefault="00054798" w:rsidP="00054798">
      <w:pPr>
        <w:pStyle w:val="IFTnormal"/>
        <w:numPr>
          <w:ilvl w:val="0"/>
          <w:numId w:val="9"/>
        </w:numPr>
      </w:pPr>
      <w:r w:rsidRPr="00054798">
        <w:t xml:space="preserve">Las antenas son cubiertas con </w:t>
      </w:r>
      <w:proofErr w:type="spellStart"/>
      <w:r w:rsidRPr="00054798">
        <w:t>radomos</w:t>
      </w:r>
      <w:proofErr w:type="spellEnd"/>
      <w:r w:rsidRPr="00054798">
        <w:t xml:space="preserve"> cilíndricos o rectangulares, sin que ello afecte a sus propiedades de las antena</w:t>
      </w:r>
      <w:r w:rsidR="004B46B6">
        <w:t xml:space="preserve">s </w:t>
      </w:r>
      <w:r w:rsidRPr="00054798">
        <w:t>y afectando las señales.</w:t>
      </w:r>
    </w:p>
    <w:p w14:paraId="370023E4" w14:textId="77777777" w:rsidR="00054798" w:rsidRPr="00054798" w:rsidRDefault="00054798" w:rsidP="00054798">
      <w:pPr>
        <w:pStyle w:val="IFTnormal"/>
        <w:numPr>
          <w:ilvl w:val="0"/>
          <w:numId w:val="9"/>
        </w:numPr>
      </w:pPr>
      <w:r w:rsidRPr="00054798">
        <w:t>Las antenas son instaladas en mástiles de hasta 6 metros de altura.</w:t>
      </w:r>
    </w:p>
    <w:p w14:paraId="370023E5" w14:textId="6C0467A4" w:rsidR="00A44A77" w:rsidRDefault="00054798" w:rsidP="00A44A77">
      <w:pPr>
        <w:pStyle w:val="IFTnormal"/>
        <w:numPr>
          <w:ilvl w:val="0"/>
          <w:numId w:val="9"/>
        </w:numPr>
      </w:pPr>
      <w:r w:rsidRPr="00054798">
        <w:t>Los equipos de transmisión, equipos de energía y antenas, etc., no deben ser visibles desde fuera de la edificación, para tal fin se construirán casetas con muros u otro material estructural</w:t>
      </w:r>
      <w:r w:rsidR="004B46B6">
        <w:t xml:space="preserve"> que se encuentre en armonía con la edificación</w:t>
      </w:r>
      <w:r w:rsidRPr="00054798">
        <w:t>.</w:t>
      </w:r>
    </w:p>
    <w:p w14:paraId="779F9FFA" w14:textId="329FF0E9" w:rsidR="00F37ADE" w:rsidRDefault="00F37ADE" w:rsidP="00150BCC">
      <w:pPr>
        <w:pStyle w:val="IFTnormal"/>
        <w:jc w:val="center"/>
      </w:pPr>
      <w:r>
        <w:rPr>
          <w:noProof/>
          <w:lang w:val="es-MX" w:eastAsia="es-MX"/>
        </w:rPr>
        <w:drawing>
          <wp:inline distT="0" distB="0" distL="0" distR="0" wp14:anchorId="3CE9E101" wp14:editId="41BA333A">
            <wp:extent cx="2583231" cy="3444308"/>
            <wp:effectExtent l="0" t="0" r="7620" b="3810"/>
            <wp:docPr id="13" name="Imagen 13"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_000316[1].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89875" cy="3453166"/>
                    </a:xfrm>
                    <a:prstGeom prst="rect">
                      <a:avLst/>
                    </a:prstGeom>
                  </pic:spPr>
                </pic:pic>
              </a:graphicData>
            </a:graphic>
          </wp:inline>
        </w:drawing>
      </w:r>
    </w:p>
    <w:p w14:paraId="370023E7" w14:textId="3ACE148B" w:rsidR="00A44A77" w:rsidRPr="008D21E6" w:rsidRDefault="009D68DD" w:rsidP="00A44A77">
      <w:pPr>
        <w:pStyle w:val="IFTnormal"/>
        <w:jc w:val="center"/>
        <w:rPr>
          <w:sz w:val="18"/>
        </w:rPr>
      </w:pPr>
      <w:r>
        <w:rPr>
          <w:sz w:val="18"/>
        </w:rPr>
        <w:t>Figura 8</w:t>
      </w:r>
      <w:r w:rsidR="00A44A77" w:rsidRPr="008D21E6">
        <w:rPr>
          <w:sz w:val="18"/>
        </w:rPr>
        <w:t xml:space="preserve">. Mimetización tipo </w:t>
      </w:r>
      <w:proofErr w:type="spellStart"/>
      <w:r w:rsidR="00A44A77" w:rsidRPr="008D21E6">
        <w:rPr>
          <w:sz w:val="18"/>
        </w:rPr>
        <w:t>radomo</w:t>
      </w:r>
      <w:proofErr w:type="spellEnd"/>
    </w:p>
    <w:p w14:paraId="370023E9" w14:textId="77777777" w:rsidR="006B1EBF" w:rsidRDefault="00D22DB8" w:rsidP="00632B7D">
      <w:pPr>
        <w:pStyle w:val="IFTnormal"/>
        <w:numPr>
          <w:ilvl w:val="2"/>
          <w:numId w:val="13"/>
        </w:numPr>
      </w:pPr>
      <w:r>
        <w:t>Antenas integradas en fachadas</w:t>
      </w:r>
    </w:p>
    <w:p w14:paraId="370023EB" w14:textId="3FD2108A" w:rsidR="00233925" w:rsidRDefault="00233925" w:rsidP="00983535">
      <w:pPr>
        <w:pStyle w:val="IFTnormal"/>
      </w:pPr>
      <w:r w:rsidRPr="00233925">
        <w:t xml:space="preserve">Cuando </w:t>
      </w:r>
      <w:r>
        <w:t xml:space="preserve">se instalen </w:t>
      </w:r>
      <w:r w:rsidRPr="00233925">
        <w:t>antenas en fachadas de edificios</w:t>
      </w:r>
      <w:r>
        <w:t xml:space="preserve"> se deberá considerar lo siguiente:</w:t>
      </w:r>
    </w:p>
    <w:p w14:paraId="370023EC" w14:textId="77777777" w:rsidR="00233925" w:rsidRPr="00233925" w:rsidRDefault="00233925" w:rsidP="00233925">
      <w:pPr>
        <w:pStyle w:val="IFTnormal"/>
        <w:numPr>
          <w:ilvl w:val="0"/>
          <w:numId w:val="7"/>
        </w:numPr>
      </w:pPr>
      <w:r w:rsidRPr="00233925">
        <w:t>Las antenas son mimetizadas en armonía con la edificación pudiendo adoptar cualquier forma, color y múltiples texturas (forma de ladrillo, piedra natural, columna de la edificación, etc.).</w:t>
      </w:r>
    </w:p>
    <w:p w14:paraId="370023ED" w14:textId="7AEDF6ED" w:rsidR="00233925" w:rsidRPr="00233925" w:rsidRDefault="00233925" w:rsidP="00233925">
      <w:pPr>
        <w:pStyle w:val="IFTnormal"/>
        <w:numPr>
          <w:ilvl w:val="0"/>
          <w:numId w:val="7"/>
        </w:numPr>
      </w:pPr>
      <w:r w:rsidRPr="00233925">
        <w:lastRenderedPageBreak/>
        <w:t xml:space="preserve">El material a utilizar para el mimetizado será </w:t>
      </w:r>
      <w:r w:rsidR="004B46B6">
        <w:t xml:space="preserve">aquel </w:t>
      </w:r>
      <w:r w:rsidR="00E1649A">
        <w:t>que no degrade las señales</w:t>
      </w:r>
      <w:r w:rsidRPr="00233925">
        <w:t>.</w:t>
      </w:r>
    </w:p>
    <w:p w14:paraId="370023EE" w14:textId="3FAEFE3D" w:rsidR="006B1EBF" w:rsidRDefault="00233925" w:rsidP="00233925">
      <w:pPr>
        <w:pStyle w:val="IFTnormal"/>
        <w:numPr>
          <w:ilvl w:val="0"/>
          <w:numId w:val="7"/>
        </w:numPr>
      </w:pPr>
      <w:r w:rsidRPr="00233925">
        <w:t xml:space="preserve">Los equipos </w:t>
      </w:r>
      <w:r w:rsidR="00DB065F">
        <w:t>de transmisión</w:t>
      </w:r>
      <w:r w:rsidRPr="00233925">
        <w:t xml:space="preserve">, equipos de energía, antenas y demás equipos a instalar, no deben ser visibles desde fuera de la edificación, para tal fin se construyen cercos perimétricos </w:t>
      </w:r>
      <w:r w:rsidR="002D3DA8">
        <w:t xml:space="preserve">a base de </w:t>
      </w:r>
      <w:r w:rsidRPr="00233925">
        <w:t>material estructural</w:t>
      </w:r>
      <w:r w:rsidR="00E1649A">
        <w:t xml:space="preserve"> que no degrade las señales</w:t>
      </w:r>
      <w:r w:rsidRPr="00233925">
        <w:t>.</w:t>
      </w:r>
    </w:p>
    <w:p w14:paraId="370023EF" w14:textId="77777777" w:rsidR="00A06BCC" w:rsidRPr="00233925" w:rsidRDefault="00A06BCC" w:rsidP="00A06BCC">
      <w:pPr>
        <w:pStyle w:val="IFTnormal"/>
        <w:ind w:left="720"/>
        <w:jc w:val="center"/>
      </w:pPr>
      <w:r>
        <w:rPr>
          <w:noProof/>
          <w:lang w:val="es-MX" w:eastAsia="es-MX"/>
        </w:rPr>
        <w:drawing>
          <wp:inline distT="0" distB="0" distL="0" distR="0" wp14:anchorId="3700240D" wp14:editId="41A0489D">
            <wp:extent cx="5612130" cy="2334895"/>
            <wp:effectExtent l="0" t="0" r="7620" b="8255"/>
            <wp:docPr id="3" name="Imagen 3"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prstClr val="black"/>
                        <a:schemeClr val="accent3">
                          <a:tint val="45000"/>
                          <a:satMod val="400000"/>
                        </a:schemeClr>
                      </a:duotone>
                    </a:blip>
                    <a:stretch>
                      <a:fillRect/>
                    </a:stretch>
                  </pic:blipFill>
                  <pic:spPr>
                    <a:xfrm>
                      <a:off x="0" y="0"/>
                      <a:ext cx="5612130" cy="2334895"/>
                    </a:xfrm>
                    <a:prstGeom prst="rect">
                      <a:avLst/>
                    </a:prstGeom>
                  </pic:spPr>
                </pic:pic>
              </a:graphicData>
            </a:graphic>
          </wp:inline>
        </w:drawing>
      </w:r>
    </w:p>
    <w:p w14:paraId="370023F0" w14:textId="42175E5C" w:rsidR="00233925" w:rsidRPr="008D21E6" w:rsidRDefault="00A06BCC" w:rsidP="00A06BCC">
      <w:pPr>
        <w:autoSpaceDE w:val="0"/>
        <w:autoSpaceDN w:val="0"/>
        <w:adjustRightInd w:val="0"/>
        <w:spacing w:after="0" w:line="240" w:lineRule="auto"/>
        <w:jc w:val="center"/>
        <w:rPr>
          <w:rFonts w:ascii="ITC Avant Garde" w:eastAsia="Calibri" w:hAnsi="ITC Avant Garde" w:cs="Arial"/>
          <w:color w:val="000000"/>
          <w:sz w:val="18"/>
          <w:lang w:val="es-ES_tradnl" w:eastAsia="es-ES"/>
        </w:rPr>
      </w:pPr>
      <w:r w:rsidRPr="008D21E6">
        <w:rPr>
          <w:rFonts w:ascii="ITC Avant Garde" w:eastAsia="Calibri" w:hAnsi="ITC Avant Garde" w:cs="Arial"/>
          <w:color w:val="000000"/>
          <w:sz w:val="18"/>
          <w:lang w:val="es-ES_tradnl" w:eastAsia="es-ES"/>
        </w:rPr>
        <w:t xml:space="preserve">Figura </w:t>
      </w:r>
      <w:r w:rsidR="009D68DD">
        <w:rPr>
          <w:rFonts w:ascii="ITC Avant Garde" w:eastAsia="Calibri" w:hAnsi="ITC Avant Garde" w:cs="Arial"/>
          <w:color w:val="000000"/>
          <w:sz w:val="18"/>
          <w:lang w:val="es-ES_tradnl" w:eastAsia="es-ES"/>
        </w:rPr>
        <w:t>9</w:t>
      </w:r>
      <w:r w:rsidRPr="008D21E6">
        <w:rPr>
          <w:rFonts w:ascii="ITC Avant Garde" w:eastAsia="Calibri" w:hAnsi="ITC Avant Garde" w:cs="Arial"/>
          <w:color w:val="000000"/>
          <w:sz w:val="18"/>
          <w:lang w:val="es-ES_tradnl" w:eastAsia="es-ES"/>
        </w:rPr>
        <w:t>. Instalación de antenas en fachadas de edificio</w:t>
      </w:r>
    </w:p>
    <w:p w14:paraId="370023F1" w14:textId="77777777" w:rsidR="00A06BCC" w:rsidRPr="00233925" w:rsidRDefault="00A06BCC" w:rsidP="00233925">
      <w:pPr>
        <w:autoSpaceDE w:val="0"/>
        <w:autoSpaceDN w:val="0"/>
        <w:adjustRightInd w:val="0"/>
        <w:spacing w:after="0" w:line="240" w:lineRule="auto"/>
        <w:rPr>
          <w:rFonts w:ascii="ITC Avant Garde" w:eastAsia="Calibri" w:hAnsi="ITC Avant Garde" w:cs="Arial"/>
          <w:color w:val="000000"/>
          <w:lang w:val="es-ES_tradnl" w:eastAsia="es-ES"/>
        </w:rPr>
      </w:pPr>
    </w:p>
    <w:p w14:paraId="370023F3" w14:textId="77777777" w:rsidR="002047F3" w:rsidRDefault="00D22DB8" w:rsidP="00632B7D">
      <w:pPr>
        <w:pStyle w:val="IFTnormal"/>
        <w:numPr>
          <w:ilvl w:val="2"/>
          <w:numId w:val="13"/>
        </w:numPr>
      </w:pPr>
      <w:r>
        <w:t>Mimetización tipo tanque de agua</w:t>
      </w:r>
    </w:p>
    <w:p w14:paraId="370023F4" w14:textId="133B6BF6" w:rsidR="002047F3" w:rsidRDefault="002047F3" w:rsidP="002047F3">
      <w:pPr>
        <w:pStyle w:val="IFTnormal"/>
      </w:pPr>
      <w:r>
        <w:t xml:space="preserve">Este tipo de mimetización que puede constar de una estructura metálica arriostrada (mástil) que soporta las antenas, la cual </w:t>
      </w:r>
      <w:r w:rsidR="00EB2AA8">
        <w:t xml:space="preserve">puede ser </w:t>
      </w:r>
      <w:r>
        <w:t>no mayor a nueve metros de altura por enc</w:t>
      </w:r>
      <w:r w:rsidR="00EB2AA8">
        <w:t xml:space="preserve">ima de la edificación existente. Para dicha </w:t>
      </w:r>
      <w:r w:rsidR="005E7935">
        <w:t xml:space="preserve">Mimetización </w:t>
      </w:r>
      <w:r>
        <w:t>se debe considerar lo siguiente:</w:t>
      </w:r>
    </w:p>
    <w:p w14:paraId="370023F5" w14:textId="77777777" w:rsidR="002047F3" w:rsidRDefault="002047F3" w:rsidP="002047F3">
      <w:pPr>
        <w:pStyle w:val="IFTnormal"/>
        <w:numPr>
          <w:ilvl w:val="0"/>
          <w:numId w:val="10"/>
        </w:numPr>
      </w:pPr>
      <w:r>
        <w:t>Las antenas quedan cubiertas en su totalidad por una estructura de polímero tipo tanque de agua.</w:t>
      </w:r>
    </w:p>
    <w:p w14:paraId="370023F6" w14:textId="77777777" w:rsidR="002047F3" w:rsidRDefault="002047F3" w:rsidP="002047F3">
      <w:pPr>
        <w:pStyle w:val="IFTnormal"/>
        <w:numPr>
          <w:ilvl w:val="0"/>
          <w:numId w:val="10"/>
        </w:numPr>
      </w:pPr>
      <w:r>
        <w:t>La estructura de polímero tipo tanque de agua no tiene una altura superior a los tres metros.</w:t>
      </w:r>
    </w:p>
    <w:p w14:paraId="370023F7" w14:textId="1E7E4D5F" w:rsidR="002047F3" w:rsidRDefault="002047F3" w:rsidP="002047F3">
      <w:pPr>
        <w:pStyle w:val="IFTnormal"/>
        <w:numPr>
          <w:ilvl w:val="0"/>
          <w:numId w:val="10"/>
        </w:numPr>
      </w:pPr>
      <w:r>
        <w:t>Los equipos de transmisión, equipos de ene</w:t>
      </w:r>
      <w:r w:rsidR="00EB2AA8">
        <w:t>rgía,</w:t>
      </w:r>
      <w:r>
        <w:t xml:space="preserve"> antenas, etc., no deben ser visibles desde fuera de la edificación, para tal fin se construyen casetas con </w:t>
      </w:r>
      <w:r w:rsidR="00EB2AA8">
        <w:t xml:space="preserve">materiales estructurales como </w:t>
      </w:r>
      <w:r>
        <w:t xml:space="preserve">muros de </w:t>
      </w:r>
      <w:r w:rsidR="003027D1">
        <w:t>“</w:t>
      </w:r>
      <w:proofErr w:type="spellStart"/>
      <w:r>
        <w:t>drywall</w:t>
      </w:r>
      <w:proofErr w:type="spellEnd"/>
      <w:r w:rsidR="003027D1">
        <w:t>”</w:t>
      </w:r>
      <w:r w:rsidR="00EB2AA8">
        <w:t xml:space="preserve"> (</w:t>
      </w:r>
      <w:r w:rsidR="00EB2AA8">
        <w:rPr>
          <w:lang w:val="es-ES"/>
        </w:rPr>
        <w:t>muro seco</w:t>
      </w:r>
      <w:r w:rsidR="00EB2AA8">
        <w:t>)</w:t>
      </w:r>
      <w:r>
        <w:t>.</w:t>
      </w:r>
    </w:p>
    <w:p w14:paraId="370023F8" w14:textId="41AA1823" w:rsidR="00EF0A3A" w:rsidRDefault="00AD1EF3" w:rsidP="00EF0A3A">
      <w:pPr>
        <w:pStyle w:val="IFTnormal"/>
        <w:jc w:val="center"/>
      </w:pPr>
      <w:r>
        <w:rPr>
          <w:noProof/>
          <w:lang w:val="es-MX" w:eastAsia="es-MX"/>
        </w:rPr>
        <w:lastRenderedPageBreak/>
        <w:drawing>
          <wp:inline distT="0" distB="0" distL="0" distR="0" wp14:anchorId="7C22C622" wp14:editId="18A2666E">
            <wp:extent cx="2202180" cy="2874645"/>
            <wp:effectExtent l="0" t="0" r="7620" b="1905"/>
            <wp:docPr id="15" name="Imagen 15"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2180" cy="2874645"/>
                    </a:xfrm>
                    <a:prstGeom prst="rect">
                      <a:avLst/>
                    </a:prstGeom>
                    <a:noFill/>
                    <a:ln>
                      <a:noFill/>
                    </a:ln>
                  </pic:spPr>
                </pic:pic>
              </a:graphicData>
            </a:graphic>
          </wp:inline>
        </w:drawing>
      </w:r>
    </w:p>
    <w:p w14:paraId="370023F9" w14:textId="5348DFD8" w:rsidR="00EF0A3A" w:rsidRPr="008D21E6" w:rsidRDefault="00EF0A3A" w:rsidP="00EF0A3A">
      <w:pPr>
        <w:pStyle w:val="IFTnormal"/>
        <w:jc w:val="center"/>
        <w:rPr>
          <w:sz w:val="18"/>
        </w:rPr>
      </w:pPr>
      <w:r w:rsidRPr="008D21E6">
        <w:rPr>
          <w:sz w:val="18"/>
        </w:rPr>
        <w:t xml:space="preserve">Figura </w:t>
      </w:r>
      <w:r w:rsidR="009D68DD">
        <w:rPr>
          <w:sz w:val="18"/>
        </w:rPr>
        <w:t>10</w:t>
      </w:r>
      <w:r w:rsidRPr="008D21E6">
        <w:rPr>
          <w:sz w:val="18"/>
        </w:rPr>
        <w:t>. Mimetización tipo tanque de agua</w:t>
      </w:r>
    </w:p>
    <w:p w14:paraId="370023FA" w14:textId="77777777" w:rsidR="008E3E23" w:rsidRPr="009B1C94" w:rsidRDefault="009F25F8" w:rsidP="00632B7D">
      <w:pPr>
        <w:pStyle w:val="IFTnormal"/>
        <w:numPr>
          <w:ilvl w:val="2"/>
          <w:numId w:val="13"/>
        </w:numPr>
      </w:pPr>
      <w:r>
        <w:t xml:space="preserve">Camuflaje de torres </w:t>
      </w:r>
      <w:proofErr w:type="spellStart"/>
      <w:r>
        <w:t>monopolo</w:t>
      </w:r>
      <w:proofErr w:type="spellEnd"/>
    </w:p>
    <w:p w14:paraId="370023FD" w14:textId="24E6C4AE" w:rsidR="008E3E23" w:rsidRPr="00E85C90" w:rsidRDefault="003D485E" w:rsidP="005E1105">
      <w:pPr>
        <w:pStyle w:val="IFTnormal"/>
      </w:pPr>
      <w:r>
        <w:t>En este tipo de torres l</w:t>
      </w:r>
      <w:r w:rsidR="008E3E23">
        <w:t xml:space="preserve">as antenas están instaladas sobre estructuras de soporte tipo </w:t>
      </w:r>
      <w:proofErr w:type="spellStart"/>
      <w:r w:rsidR="008E3E23">
        <w:t>monopolo</w:t>
      </w:r>
      <w:proofErr w:type="spellEnd"/>
      <w:r w:rsidR="008E3E23">
        <w:t xml:space="preserve"> y </w:t>
      </w:r>
      <w:r>
        <w:t>la estructura puede ser cubierta</w:t>
      </w:r>
      <w:r w:rsidR="008E3E23">
        <w:t xml:space="preserve"> con </w:t>
      </w:r>
      <w:r>
        <w:t xml:space="preserve">alguna forma que forme parte del entorno visual, como pueden ser hojas de palma artificiales, ramas de árbol de material tipo polímero o </w:t>
      </w:r>
      <w:r w:rsidR="008E3E23">
        <w:t>paneles publicitarios.</w:t>
      </w:r>
      <w:r w:rsidR="005E1105">
        <w:t xml:space="preserve"> </w:t>
      </w:r>
      <w:r w:rsidR="008E3E23" w:rsidRPr="00E85C90">
        <w:t xml:space="preserve">Mimetizaciones </w:t>
      </w:r>
      <w:r w:rsidR="005E7935">
        <w:t>n</w:t>
      </w:r>
      <w:r w:rsidR="005E7935" w:rsidRPr="00E85C90">
        <w:t xml:space="preserve">aturales </w:t>
      </w:r>
      <w:r w:rsidR="008E3E23" w:rsidRPr="00E85C90">
        <w:t xml:space="preserve">tipo </w:t>
      </w:r>
      <w:r w:rsidR="008E3E23">
        <w:t>p</w:t>
      </w:r>
      <w:r w:rsidR="008E3E23" w:rsidRPr="00E85C90">
        <w:t xml:space="preserve">almera, </w:t>
      </w:r>
      <w:r w:rsidR="008E3E23">
        <w:t>p</w:t>
      </w:r>
      <w:r w:rsidR="008E3E23" w:rsidRPr="00E85C90">
        <w:t>ino,</w:t>
      </w:r>
      <w:r w:rsidR="008E3E23">
        <w:t xml:space="preserve"> ciprés.</w:t>
      </w:r>
      <w:r w:rsidR="005E1105">
        <w:t xml:space="preserve"> </w:t>
      </w:r>
      <w:r w:rsidR="008E3E23" w:rsidRPr="00E85C90">
        <w:t xml:space="preserve">La </w:t>
      </w:r>
      <w:r w:rsidR="005E7935">
        <w:t>M</w:t>
      </w:r>
      <w:r w:rsidR="005E7935" w:rsidRPr="00E85C90">
        <w:t xml:space="preserve">imetización </w:t>
      </w:r>
      <w:r w:rsidR="008E3E23" w:rsidRPr="00E85C90">
        <w:t>debe estar compuesta</w:t>
      </w:r>
      <w:r w:rsidR="008E3E23">
        <w:t xml:space="preserve"> </w:t>
      </w:r>
      <w:r w:rsidR="008E3E23" w:rsidRPr="00E85C90">
        <w:t>esencialmente por:</w:t>
      </w:r>
    </w:p>
    <w:p w14:paraId="370023FE" w14:textId="1389035A" w:rsidR="008E3E23" w:rsidRPr="00E85C90" w:rsidRDefault="008E3E23" w:rsidP="008E3E23">
      <w:pPr>
        <w:pStyle w:val="IFTnormal"/>
        <w:numPr>
          <w:ilvl w:val="0"/>
          <w:numId w:val="2"/>
        </w:numPr>
      </w:pPr>
      <w:r w:rsidRPr="00E85C90">
        <w:t>Tronco de la rama como elemento estructural</w:t>
      </w:r>
      <w:r w:rsidR="005E7935">
        <w:t>;</w:t>
      </w:r>
    </w:p>
    <w:p w14:paraId="370023FF" w14:textId="2B6C3B4A" w:rsidR="008E3E23" w:rsidRPr="00E85C90" w:rsidRDefault="008E3E23" w:rsidP="008E3E23">
      <w:pPr>
        <w:pStyle w:val="IFTnormal"/>
        <w:numPr>
          <w:ilvl w:val="0"/>
          <w:numId w:val="2"/>
        </w:numPr>
      </w:pPr>
      <w:r w:rsidRPr="00E85C90">
        <w:t>Hojas que conforman el follaje</w:t>
      </w:r>
      <w:r w:rsidR="005E7935">
        <w:t>; y</w:t>
      </w:r>
    </w:p>
    <w:p w14:paraId="37002400" w14:textId="722B6291" w:rsidR="008E3E23" w:rsidRDefault="008E3E23" w:rsidP="008E3E23">
      <w:pPr>
        <w:pStyle w:val="IFTnormal"/>
        <w:numPr>
          <w:ilvl w:val="0"/>
          <w:numId w:val="2"/>
        </w:numPr>
      </w:pPr>
      <w:r>
        <w:t>Base de la rama</w:t>
      </w:r>
      <w:r w:rsidR="005E7935">
        <w:t>.</w:t>
      </w:r>
    </w:p>
    <w:p w14:paraId="37002401" w14:textId="387276F0" w:rsidR="008E3E23" w:rsidRDefault="008E3E23" w:rsidP="005E1105">
      <w:pPr>
        <w:pStyle w:val="IFTnormal"/>
      </w:pPr>
      <w:r w:rsidRPr="00D5122A">
        <w:t xml:space="preserve">La </w:t>
      </w:r>
      <w:r w:rsidR="005E7935">
        <w:t>M</w:t>
      </w:r>
      <w:r w:rsidR="005E7935" w:rsidRPr="00D5122A">
        <w:t xml:space="preserve">imetización </w:t>
      </w:r>
      <w:r w:rsidRPr="00D5122A">
        <w:t>natural debe ser de acuerdo a vegetación existente en la zona en armonía con el</w:t>
      </w:r>
      <w:r>
        <w:t xml:space="preserve"> </w:t>
      </w:r>
      <w:r w:rsidRPr="00D5122A">
        <w:t>medio ambiente.</w:t>
      </w:r>
    </w:p>
    <w:p w14:paraId="37002402" w14:textId="77777777" w:rsidR="008E3E23" w:rsidRDefault="000A1D75" w:rsidP="00393E7A">
      <w:pPr>
        <w:pStyle w:val="IFTnormal"/>
        <w:jc w:val="center"/>
      </w:pPr>
      <w:r>
        <w:rPr>
          <w:noProof/>
          <w:lang w:val="es-MX" w:eastAsia="es-MX"/>
        </w:rPr>
        <w:lastRenderedPageBreak/>
        <w:drawing>
          <wp:inline distT="0" distB="0" distL="0" distR="0" wp14:anchorId="37002411" wp14:editId="718ECC14">
            <wp:extent cx="5612130" cy="4112260"/>
            <wp:effectExtent l="0" t="0" r="7620" b="2540"/>
            <wp:docPr id="7" name="Imagen 7"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5612130" cy="4112260"/>
                    </a:xfrm>
                    <a:prstGeom prst="rect">
                      <a:avLst/>
                    </a:prstGeom>
                  </pic:spPr>
                </pic:pic>
              </a:graphicData>
            </a:graphic>
          </wp:inline>
        </w:drawing>
      </w:r>
    </w:p>
    <w:p w14:paraId="37002403" w14:textId="5BB9E1D2" w:rsidR="008E3E23" w:rsidRPr="008D21E6" w:rsidRDefault="000A1D75" w:rsidP="000A1D75">
      <w:pPr>
        <w:jc w:val="center"/>
        <w:rPr>
          <w:rFonts w:ascii="ITC Avant Garde" w:eastAsia="Calibri" w:hAnsi="ITC Avant Garde" w:cs="Arial"/>
          <w:color w:val="000000"/>
          <w:sz w:val="18"/>
          <w:lang w:val="es-ES_tradnl" w:eastAsia="es-ES"/>
        </w:rPr>
      </w:pPr>
      <w:r w:rsidRPr="008D21E6">
        <w:rPr>
          <w:rFonts w:ascii="ITC Avant Garde" w:eastAsia="Calibri" w:hAnsi="ITC Avant Garde" w:cs="Arial"/>
          <w:color w:val="000000"/>
          <w:sz w:val="18"/>
          <w:lang w:val="es-ES_tradnl" w:eastAsia="es-ES"/>
        </w:rPr>
        <w:t xml:space="preserve">Figura </w:t>
      </w:r>
      <w:r w:rsidR="009D68DD">
        <w:rPr>
          <w:rFonts w:ascii="ITC Avant Garde" w:eastAsia="Calibri" w:hAnsi="ITC Avant Garde" w:cs="Arial"/>
          <w:color w:val="000000"/>
          <w:sz w:val="18"/>
          <w:lang w:val="es-ES_tradnl" w:eastAsia="es-ES"/>
        </w:rPr>
        <w:t>11</w:t>
      </w:r>
      <w:r w:rsidRPr="008D21E6">
        <w:rPr>
          <w:rFonts w:ascii="ITC Avant Garde" w:eastAsia="Calibri" w:hAnsi="ITC Avant Garde" w:cs="Arial"/>
          <w:color w:val="000000"/>
          <w:sz w:val="18"/>
          <w:lang w:val="es-ES_tradnl" w:eastAsia="es-ES"/>
        </w:rPr>
        <w:t>. Mimetización natural</w:t>
      </w:r>
    </w:p>
    <w:p w14:paraId="37002405" w14:textId="1D897E09" w:rsidR="000A1D75" w:rsidRDefault="000A1D75" w:rsidP="00925B6B">
      <w:pPr>
        <w:pStyle w:val="IFTnormal"/>
      </w:pPr>
      <w:r>
        <w:t xml:space="preserve">Las técnicas de </w:t>
      </w:r>
      <w:r w:rsidR="005E7935">
        <w:t xml:space="preserve">Mimetización </w:t>
      </w:r>
      <w:r>
        <w:t xml:space="preserve">antes indicadas son enunciativas </w:t>
      </w:r>
      <w:r w:rsidR="00112647">
        <w:t>más</w:t>
      </w:r>
      <w:r>
        <w:t xml:space="preserve"> </w:t>
      </w:r>
      <w:r w:rsidR="00D56D2B">
        <w:t>no limitativas. Su ejecución de</w:t>
      </w:r>
      <w:r>
        <w:t>penderá en gran medida de lo exigido por las autoridades locales y el entorno donde se desarrollen.</w:t>
      </w:r>
    </w:p>
    <w:p w14:paraId="37002406" w14:textId="0E9C99D9" w:rsidR="000A1D75" w:rsidRDefault="000A1D75" w:rsidP="00925B6B">
      <w:pPr>
        <w:pStyle w:val="IFTnormal"/>
      </w:pPr>
      <w:r>
        <w:t>Por último</w:t>
      </w:r>
      <w:r w:rsidR="003F39D0">
        <w:t>,</w:t>
      </w:r>
      <w:r>
        <w:t xml:space="preserve"> la Infraestructura de t</w:t>
      </w:r>
      <w:r w:rsidRPr="000A1D75">
        <w:t>elecomunicaciones</w:t>
      </w:r>
      <w:r>
        <w:t xml:space="preserve"> y radiodifusión</w:t>
      </w:r>
      <w:r w:rsidRPr="000A1D75">
        <w:t xml:space="preserve"> que se</w:t>
      </w:r>
      <w:r>
        <w:t xml:space="preserve"> </w:t>
      </w:r>
      <w:r w:rsidR="00D56D2B">
        <w:t>instalará</w:t>
      </w:r>
      <w:r w:rsidRPr="000A1D75">
        <w:t xml:space="preserve"> en cerros,</w:t>
      </w:r>
      <w:r>
        <w:t xml:space="preserve"> </w:t>
      </w:r>
      <w:r w:rsidRPr="000A1D75">
        <w:t>montañas, carreteras y en general fue</w:t>
      </w:r>
      <w:r w:rsidR="005E5959">
        <w:t>ra de zonas urbanas</w:t>
      </w:r>
      <w:r w:rsidR="00D943AE">
        <w:t xml:space="preserve"> o urbanas</w:t>
      </w:r>
      <w:r w:rsidR="005E5959">
        <w:t>, no requerirá</w:t>
      </w:r>
      <w:r w:rsidRPr="000A1D75">
        <w:t xml:space="preserve"> ser mimetizada.</w:t>
      </w:r>
    </w:p>
    <w:p w14:paraId="78F248D3" w14:textId="7E4899BE" w:rsidR="00632B7D" w:rsidRDefault="00632B7D" w:rsidP="00632B7D">
      <w:pPr>
        <w:pStyle w:val="Prrafodelista"/>
        <w:numPr>
          <w:ilvl w:val="0"/>
          <w:numId w:val="13"/>
        </w:numPr>
        <w:autoSpaceDE w:val="0"/>
        <w:autoSpaceDN w:val="0"/>
        <w:adjustRightInd w:val="0"/>
        <w:spacing w:line="240" w:lineRule="auto"/>
        <w:jc w:val="both"/>
        <w:rPr>
          <w:rStyle w:val="IFTnormalCar"/>
        </w:rPr>
      </w:pPr>
      <w:r w:rsidRPr="00632B7D">
        <w:rPr>
          <w:rStyle w:val="IFTnormalCar"/>
        </w:rPr>
        <w:t xml:space="preserve">Disposiciones para la instalación y operación de </w:t>
      </w:r>
      <w:r w:rsidR="00AB051C" w:rsidRPr="00AB051C">
        <w:rPr>
          <w:rFonts w:ascii="ITC Avant Garde" w:eastAsia="Calibri" w:hAnsi="ITC Avant Garde" w:cs="Arial"/>
          <w:color w:val="000000"/>
          <w:lang w:eastAsia="es-ES"/>
        </w:rPr>
        <w:t>Emplazamiento de Radiofrecuencias</w:t>
      </w:r>
      <w:r w:rsidRPr="00632B7D">
        <w:rPr>
          <w:rStyle w:val="IFTnormalCar"/>
        </w:rPr>
        <w:t xml:space="preserve"> próximos a Centros de Readaptación Social</w:t>
      </w:r>
    </w:p>
    <w:p w14:paraId="796BE313" w14:textId="5DBCA020" w:rsidR="00BB4A51" w:rsidRPr="00BB4A51" w:rsidRDefault="00BB4A51" w:rsidP="00BB4A51">
      <w:pPr>
        <w:pStyle w:val="IFTnormal"/>
        <w:numPr>
          <w:ilvl w:val="1"/>
          <w:numId w:val="13"/>
        </w:numPr>
        <w:jc w:val="left"/>
      </w:pPr>
      <w:r w:rsidRPr="00BB4A51">
        <w:t>Definiciones</w:t>
      </w:r>
    </w:p>
    <w:p w14:paraId="3380B3DE" w14:textId="77777777" w:rsid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lang w:val="es-ES_tradnl"/>
        </w:rPr>
        <w:t>3GPP:</w:t>
      </w:r>
      <w:r w:rsidRPr="00BB4A51">
        <w:rPr>
          <w:rFonts w:ascii="ITC Avant Garde" w:hAnsi="ITC Avant Garde"/>
          <w:color w:val="auto"/>
          <w:szCs w:val="22"/>
          <w:lang w:val="es-ES_tradnl"/>
        </w:rPr>
        <w:t xml:space="preserve"> Proyecto Asociación de Tercera Generación (</w:t>
      </w:r>
      <w:proofErr w:type="spellStart"/>
      <w:r w:rsidRPr="00BB4A51">
        <w:rPr>
          <w:rFonts w:ascii="ITC Avant Garde" w:hAnsi="ITC Avant Garde"/>
          <w:color w:val="auto"/>
          <w:szCs w:val="22"/>
          <w:lang w:val="es-ES_tradnl"/>
        </w:rPr>
        <w:t>Third</w:t>
      </w:r>
      <w:proofErr w:type="spellEnd"/>
      <w:r w:rsidRPr="00BB4A51">
        <w:rPr>
          <w:rFonts w:ascii="ITC Avant Garde" w:hAnsi="ITC Avant Garde"/>
          <w:color w:val="auto"/>
          <w:szCs w:val="22"/>
          <w:lang w:val="es-ES_tradnl"/>
        </w:rPr>
        <w:t xml:space="preserve"> </w:t>
      </w:r>
      <w:proofErr w:type="spellStart"/>
      <w:r w:rsidRPr="00BB4A51">
        <w:rPr>
          <w:rFonts w:ascii="ITC Avant Garde" w:hAnsi="ITC Avant Garde"/>
          <w:color w:val="auto"/>
          <w:szCs w:val="22"/>
          <w:lang w:val="es-ES_tradnl"/>
        </w:rPr>
        <w:t>Generation</w:t>
      </w:r>
      <w:proofErr w:type="spellEnd"/>
      <w:r w:rsidRPr="00BB4A51">
        <w:rPr>
          <w:rFonts w:ascii="ITC Avant Garde" w:hAnsi="ITC Avant Garde"/>
          <w:color w:val="auto"/>
          <w:szCs w:val="22"/>
          <w:lang w:val="es-ES_tradnl"/>
        </w:rPr>
        <w:t xml:space="preserve"> </w:t>
      </w:r>
      <w:proofErr w:type="spellStart"/>
      <w:r w:rsidRPr="00BB4A51">
        <w:rPr>
          <w:rFonts w:ascii="ITC Avant Garde" w:hAnsi="ITC Avant Garde"/>
          <w:color w:val="auto"/>
          <w:szCs w:val="22"/>
          <w:lang w:val="es-ES_tradnl"/>
        </w:rPr>
        <w:t>Partnership</w:t>
      </w:r>
      <w:proofErr w:type="spellEnd"/>
      <w:r w:rsidRPr="00BB4A51">
        <w:rPr>
          <w:rFonts w:ascii="ITC Avant Garde" w:hAnsi="ITC Avant Garde"/>
          <w:color w:val="auto"/>
          <w:szCs w:val="22"/>
          <w:lang w:val="es-ES_tradnl"/>
        </w:rPr>
        <w:t xml:space="preserve"> Project);</w:t>
      </w:r>
    </w:p>
    <w:p w14:paraId="51E39879" w14:textId="0861B723"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lang w:val="es-ES_tradnl"/>
        </w:rPr>
        <w:t>Área de Estudio</w:t>
      </w:r>
      <w:r w:rsidRPr="00BB4A51">
        <w:rPr>
          <w:rFonts w:ascii="ITC Avant Garde" w:hAnsi="ITC Avant Garde"/>
          <w:color w:val="auto"/>
          <w:szCs w:val="22"/>
          <w:lang w:val="es-ES_tradnl"/>
        </w:rPr>
        <w:t xml:space="preserve">: Zona geográfica en las inmediaciones de un Centro de </w:t>
      </w:r>
      <w:r w:rsidR="00BD0198">
        <w:rPr>
          <w:rFonts w:ascii="ITC Avant Garde" w:hAnsi="ITC Avant Garde"/>
          <w:color w:val="auto"/>
          <w:szCs w:val="22"/>
          <w:lang w:val="es-ES_tradnl"/>
        </w:rPr>
        <w:t>R</w:t>
      </w:r>
      <w:r w:rsidRPr="00BB4A51">
        <w:rPr>
          <w:rFonts w:ascii="ITC Avant Garde" w:hAnsi="ITC Avant Garde"/>
          <w:color w:val="auto"/>
          <w:szCs w:val="22"/>
          <w:lang w:val="es-ES_tradnl"/>
        </w:rPr>
        <w:t xml:space="preserve">eadaptación </w:t>
      </w:r>
      <w:r w:rsidR="00BD0198">
        <w:rPr>
          <w:rFonts w:ascii="ITC Avant Garde" w:hAnsi="ITC Avant Garde"/>
          <w:color w:val="auto"/>
          <w:szCs w:val="22"/>
          <w:lang w:val="es-ES_tradnl"/>
        </w:rPr>
        <w:t>S</w:t>
      </w:r>
      <w:r w:rsidRPr="00BB4A51">
        <w:rPr>
          <w:rFonts w:ascii="ITC Avant Garde" w:hAnsi="ITC Avant Garde"/>
          <w:color w:val="auto"/>
          <w:szCs w:val="22"/>
          <w:lang w:val="es-ES_tradnl"/>
        </w:rPr>
        <w:t xml:space="preserve">ocial que se extiende desde el Borde de </w:t>
      </w:r>
      <w:r w:rsidR="00BD0198">
        <w:rPr>
          <w:rFonts w:ascii="ITC Avant Garde" w:hAnsi="ITC Avant Garde"/>
          <w:color w:val="auto"/>
          <w:szCs w:val="22"/>
          <w:lang w:val="es-ES_tradnl"/>
        </w:rPr>
        <w:t>C</w:t>
      </w:r>
      <w:r w:rsidRPr="00BB4A51">
        <w:rPr>
          <w:rFonts w:ascii="ITC Avant Garde" w:hAnsi="ITC Avant Garde"/>
          <w:color w:val="auto"/>
          <w:szCs w:val="22"/>
          <w:lang w:val="es-ES_tradnl"/>
        </w:rPr>
        <w:t>umplimiento y hasta 15</w:t>
      </w:r>
      <w:r w:rsidR="005E1105">
        <w:rPr>
          <w:rFonts w:ascii="ITC Avant Garde" w:hAnsi="ITC Avant Garde"/>
          <w:color w:val="auto"/>
          <w:szCs w:val="22"/>
          <w:lang w:val="es-ES_tradnl"/>
        </w:rPr>
        <w:t xml:space="preserve"> </w:t>
      </w:r>
      <w:r w:rsidRPr="00BB4A51">
        <w:rPr>
          <w:rFonts w:ascii="ITC Avant Garde" w:hAnsi="ITC Avant Garde"/>
          <w:color w:val="auto"/>
          <w:szCs w:val="22"/>
          <w:lang w:val="es-ES_tradnl"/>
        </w:rPr>
        <w:t>kilómetros de distancia fuera de éste;</w:t>
      </w:r>
    </w:p>
    <w:p w14:paraId="4537731C" w14:textId="1B14B3D0"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lang w:val="es-ES_tradnl"/>
        </w:rPr>
        <w:t xml:space="preserve">Área de Evaluación: </w:t>
      </w:r>
      <w:r w:rsidRPr="00BB4A51">
        <w:rPr>
          <w:rFonts w:ascii="ITC Avant Garde" w:hAnsi="ITC Avant Garde"/>
          <w:color w:val="auto"/>
          <w:lang w:val="es-ES_tradnl"/>
        </w:rPr>
        <w:t xml:space="preserve">Zona geográfica ubicada sobre el Borde de Cumplimiento en la que se llevarán a cabo los ejercicios de medición. Se </w:t>
      </w:r>
      <w:r w:rsidRPr="00BB4A51">
        <w:rPr>
          <w:rFonts w:ascii="ITC Avant Garde" w:hAnsi="ITC Avant Garde"/>
          <w:color w:val="auto"/>
          <w:lang w:val="es-ES_tradnl"/>
        </w:rPr>
        <w:lastRenderedPageBreak/>
        <w:t>debe considera una tolerancia de más menos</w:t>
      </w:r>
      <w:r w:rsidR="005E1105">
        <w:rPr>
          <w:rFonts w:ascii="ITC Avant Garde" w:hAnsi="ITC Avant Garde"/>
          <w:color w:val="auto"/>
          <w:lang w:val="es-ES_tradnl"/>
        </w:rPr>
        <w:t xml:space="preserve"> 5</w:t>
      </w:r>
      <w:r w:rsidRPr="00BB4A51">
        <w:rPr>
          <w:rFonts w:ascii="ITC Avant Garde" w:hAnsi="ITC Avant Garde"/>
          <w:color w:val="auto"/>
          <w:lang w:val="es-ES_tradnl"/>
        </w:rPr>
        <w:t xml:space="preserve"> metros;</w:t>
      </w:r>
      <w:r w:rsidRPr="00BB4A51">
        <w:rPr>
          <w:rFonts w:ascii="ITC Avant Garde" w:hAnsi="ITC Avant Garde"/>
          <w:b/>
          <w:color w:val="auto"/>
          <w:lang w:val="es-ES_tradnl"/>
        </w:rPr>
        <w:t xml:space="preserve"> </w:t>
      </w:r>
    </w:p>
    <w:p w14:paraId="3F71F06C" w14:textId="7B47E032"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lang w:val="es-ES_tradnl"/>
        </w:rPr>
        <w:t>Bitácora de Pruebas</w:t>
      </w:r>
      <w:r w:rsidRPr="00BB4A51">
        <w:rPr>
          <w:rFonts w:ascii="ITC Avant Garde" w:hAnsi="ITC Avant Garde"/>
          <w:color w:val="auto"/>
          <w:szCs w:val="22"/>
        </w:rPr>
        <w:t>: Funcionalidad del Equipo de Medición para registrar, mediante notas textuales, todos los acontecimientos y situaciones extraordinarias definidas por el Instituto, por día y hora, en cada etapa del Ejercicio de Medición de manera georreferenciada;</w:t>
      </w:r>
    </w:p>
    <w:p w14:paraId="23689D66" w14:textId="0443037D"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lang w:val="es-ES_tradnl"/>
        </w:rPr>
        <w:t>Borde de Cumplimiento</w:t>
      </w:r>
      <w:r w:rsidRPr="00BB4A51">
        <w:rPr>
          <w:rFonts w:ascii="ITC Avant Garde" w:hAnsi="ITC Avant Garde"/>
          <w:color w:val="auto"/>
          <w:szCs w:val="22"/>
          <w:lang w:val="es-ES_tradnl"/>
        </w:rPr>
        <w:t xml:space="preserve">: Línea situada a </w:t>
      </w:r>
      <w:r w:rsidR="005E1105">
        <w:rPr>
          <w:rFonts w:ascii="ITC Avant Garde" w:hAnsi="ITC Avant Garde"/>
          <w:color w:val="auto"/>
          <w:szCs w:val="22"/>
          <w:lang w:val="es-ES_tradnl"/>
        </w:rPr>
        <w:t xml:space="preserve">20 </w:t>
      </w:r>
      <w:r w:rsidRPr="00BB4A51">
        <w:rPr>
          <w:rFonts w:ascii="ITC Avant Garde" w:hAnsi="ITC Avant Garde"/>
          <w:color w:val="auto"/>
          <w:szCs w:val="22"/>
          <w:lang w:val="es-ES_tradnl"/>
        </w:rPr>
        <w:t>metros, fuera de las instalaciones de los Centros de Readaptación Social que limita el Área de Estudio;</w:t>
      </w:r>
    </w:p>
    <w:p w14:paraId="12B7BEC5" w14:textId="7F6B2898"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lang w:val="es-ES_tradnl"/>
        </w:rPr>
        <w:t>Centros de Readaptación Social:</w:t>
      </w:r>
      <w:r w:rsidRPr="00BB4A51">
        <w:rPr>
          <w:rFonts w:ascii="ITC Avant Garde" w:hAnsi="ITC Avant Garde"/>
          <w:color w:val="auto"/>
          <w:szCs w:val="22"/>
          <w:lang w:val="es-ES_tradnl"/>
        </w:rPr>
        <w:t xml:space="preserve"> Establecimientos penitenciarios o centros de internamiento para menores, federales o de las entidades federativas, cualquiera que sea su denominación;</w:t>
      </w:r>
      <w:r w:rsidRPr="00BB4A51">
        <w:rPr>
          <w:rFonts w:ascii="ITC Avant Garde" w:hAnsi="ITC Avant Garde"/>
          <w:b/>
          <w:color w:val="auto"/>
        </w:rPr>
        <w:t xml:space="preserve"> </w:t>
      </w:r>
    </w:p>
    <w:p w14:paraId="1DC499CF" w14:textId="5F4700B8"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rPr>
        <w:t>Ejercicio de Medición</w:t>
      </w:r>
      <w:r w:rsidRPr="00BB4A51">
        <w:rPr>
          <w:rFonts w:ascii="ITC Avant Garde" w:hAnsi="ITC Avant Garde"/>
          <w:color w:val="auto"/>
          <w:szCs w:val="22"/>
        </w:rPr>
        <w:t xml:space="preserve">: Programa determinado por el Instituto para efectuar la evaluación, </w:t>
      </w:r>
      <w:proofErr w:type="spellStart"/>
      <w:r w:rsidRPr="00BB4A51">
        <w:rPr>
          <w:rFonts w:ascii="ITC Avant Garde" w:hAnsi="ITC Avant Garde"/>
          <w:color w:val="auto"/>
          <w:szCs w:val="22"/>
        </w:rPr>
        <w:t>posproceso</w:t>
      </w:r>
      <w:proofErr w:type="spellEnd"/>
      <w:r w:rsidRPr="00BB4A51">
        <w:rPr>
          <w:rFonts w:ascii="ITC Avant Garde" w:hAnsi="ITC Avant Garde"/>
          <w:color w:val="auto"/>
          <w:szCs w:val="22"/>
        </w:rPr>
        <w:t xml:space="preserve"> y análisis de la realización de llamadas y medición del nivel de intensidad de potencia de la señal recibida para cada Tecnología de Acceso en el Borde de </w:t>
      </w:r>
      <w:r w:rsidR="00BD0198">
        <w:rPr>
          <w:rFonts w:ascii="ITC Avant Garde" w:hAnsi="ITC Avant Garde"/>
          <w:color w:val="auto"/>
          <w:szCs w:val="22"/>
        </w:rPr>
        <w:t>C</w:t>
      </w:r>
      <w:r w:rsidRPr="00BB4A51">
        <w:rPr>
          <w:rFonts w:ascii="ITC Avant Garde" w:hAnsi="ITC Avant Garde"/>
          <w:color w:val="auto"/>
          <w:szCs w:val="22"/>
        </w:rPr>
        <w:t>umplimiento;</w:t>
      </w:r>
      <w:r w:rsidRPr="00BB4A51">
        <w:rPr>
          <w:rFonts w:ascii="ITC Avant Garde" w:hAnsi="ITC Avant Garde"/>
          <w:b/>
          <w:color w:val="auto"/>
        </w:rPr>
        <w:t xml:space="preserve"> </w:t>
      </w:r>
    </w:p>
    <w:p w14:paraId="5C689229" w14:textId="1A4D6E0C"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rPr>
        <w:t>Equipo de Medición</w:t>
      </w:r>
      <w:r w:rsidRPr="00BB4A51">
        <w:rPr>
          <w:rFonts w:ascii="ITC Avant Garde" w:hAnsi="ITC Avant Garde"/>
          <w:color w:val="auto"/>
          <w:szCs w:val="22"/>
        </w:rPr>
        <w:t>:  Instrumento automatizado capaz de llevar a cabo pruebas en campo para la medición del establecimiento de llamadas en las inmediaciones de los Centros de Readaptación Social y que debe cumplir con los estándares aplicables;</w:t>
      </w:r>
    </w:p>
    <w:p w14:paraId="185ADAA1" w14:textId="32BC0C2E"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BB4A51">
        <w:rPr>
          <w:rFonts w:ascii="ITC Avant Garde" w:hAnsi="ITC Avant Garde"/>
          <w:b/>
          <w:color w:val="auto"/>
          <w:szCs w:val="22"/>
        </w:rPr>
        <w:t>Equipo Terminal Móvil</w:t>
      </w:r>
      <w:r w:rsidRPr="00BB4A51">
        <w:rPr>
          <w:rFonts w:ascii="ITC Avant Garde" w:hAnsi="ITC Avant Garde"/>
          <w:color w:val="auto"/>
          <w:szCs w:val="22"/>
        </w:rPr>
        <w:t xml:space="preserve">: </w:t>
      </w:r>
      <w:r w:rsidRPr="00BB4A51">
        <w:rPr>
          <w:rFonts w:ascii="ITC Avant Garde" w:hAnsi="ITC Avant Garde"/>
          <w:szCs w:val="22"/>
        </w:rPr>
        <w:t>Equipo que utiliza el usuario final para conectarse a una red pública de telecomunicaciones y que hace uso del espectro radioeléctrico con el propósito de tener acceso y/o recibir el servicio móvil;</w:t>
      </w:r>
    </w:p>
    <w:p w14:paraId="5A3C7CEE" w14:textId="77777777"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lang w:val="es-ES_tradnl"/>
        </w:rPr>
      </w:pPr>
      <w:r w:rsidRPr="00BB4A51">
        <w:rPr>
          <w:rFonts w:ascii="ITC Avant Garde" w:hAnsi="ITC Avant Garde"/>
          <w:b/>
          <w:color w:val="auto"/>
          <w:szCs w:val="22"/>
          <w:lang w:val="es-ES_tradnl"/>
        </w:rPr>
        <w:t>Estación de Radiocomunicaciones:</w:t>
      </w:r>
      <w:r w:rsidRPr="00BB4A51">
        <w:rPr>
          <w:rFonts w:ascii="ITC Avant Garde" w:hAnsi="ITC Avant Garde"/>
          <w:color w:val="auto"/>
          <w:szCs w:val="22"/>
          <w:lang w:val="es-ES_tradnl"/>
        </w:rPr>
        <w:t xml:space="preserve"> Uno o más transmisores o una combinación de transmisores y en su caso receptores, incluyendo elementos radiadores, las instalaciones y equipos de soporte necesarios para asegurar un servicio de telecomunicaciones móviles;</w:t>
      </w:r>
    </w:p>
    <w:p w14:paraId="474E24DA" w14:textId="54A97887" w:rsidR="00BB4A51" w:rsidRPr="00BB4A51"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lang w:val="es-ES_tradnl"/>
        </w:rPr>
      </w:pPr>
      <w:r w:rsidRPr="00BB4A51">
        <w:rPr>
          <w:rFonts w:ascii="ITC Avant Garde" w:hAnsi="ITC Avant Garde"/>
          <w:b/>
          <w:color w:val="auto"/>
          <w:szCs w:val="22"/>
          <w:lang w:val="es-ES_tradnl"/>
        </w:rPr>
        <w:t>Estación Nueva:</w:t>
      </w:r>
      <w:r w:rsidRPr="00BB4A51">
        <w:rPr>
          <w:rStyle w:val="Refdecomentario"/>
          <w:rFonts w:ascii="ITC Avant Garde" w:hAnsi="ITC Avant Garde"/>
          <w:sz w:val="22"/>
          <w:szCs w:val="22"/>
        </w:rPr>
        <w:t xml:space="preserve"> </w:t>
      </w:r>
      <w:r w:rsidRPr="00BB4A51">
        <w:rPr>
          <w:rFonts w:ascii="ITC Avant Garde" w:hAnsi="ITC Avant Garde"/>
          <w:color w:val="auto"/>
          <w:szCs w:val="22"/>
          <w:lang w:val="es-ES_tradnl"/>
        </w:rPr>
        <w:t xml:space="preserve">Estación de Radiocomunicaciones que un </w:t>
      </w:r>
      <w:r w:rsidR="005647AB">
        <w:rPr>
          <w:rFonts w:ascii="ITC Avant Garde" w:hAnsi="ITC Avant Garde"/>
          <w:color w:val="auto"/>
          <w:szCs w:val="22"/>
          <w:lang w:val="es-ES_tradnl"/>
        </w:rPr>
        <w:t>Interesado en Despliegue</w:t>
      </w:r>
      <w:r w:rsidRPr="00BB4A51">
        <w:rPr>
          <w:rFonts w:ascii="ITC Avant Garde" w:hAnsi="ITC Avant Garde"/>
          <w:color w:val="auto"/>
          <w:szCs w:val="22"/>
          <w:lang w:val="es-ES_tradnl"/>
        </w:rPr>
        <w:t xml:space="preserve"> planea o proyecta instalar;</w:t>
      </w:r>
    </w:p>
    <w:p w14:paraId="1BE88DA6" w14:textId="77777777" w:rsidR="00BB4A51" w:rsidRPr="004A5D22"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szCs w:val="22"/>
          <w:lang w:val="es-ES_tradnl"/>
        </w:rPr>
      </w:pPr>
      <w:r w:rsidRPr="004A5D22">
        <w:rPr>
          <w:rFonts w:ascii="ITC Avant Garde" w:hAnsi="ITC Avant Garde"/>
          <w:b/>
          <w:color w:val="auto"/>
          <w:szCs w:val="22"/>
          <w:lang w:val="es-ES_tradnl"/>
        </w:rPr>
        <w:t xml:space="preserve">ETSI: </w:t>
      </w:r>
      <w:r w:rsidRPr="004A5D22">
        <w:rPr>
          <w:rFonts w:ascii="ITC Avant Garde" w:hAnsi="ITC Avant Garde"/>
          <w:color w:val="auto"/>
          <w:szCs w:val="22"/>
          <w:lang w:val="es-ES_tradnl"/>
        </w:rPr>
        <w:t>Instituto Europeo de Normas de Telecomunicaciones (</w:t>
      </w:r>
      <w:proofErr w:type="spellStart"/>
      <w:r w:rsidRPr="004A5D22">
        <w:rPr>
          <w:rFonts w:ascii="ITC Avant Garde" w:hAnsi="ITC Avant Garde"/>
          <w:color w:val="auto"/>
          <w:szCs w:val="22"/>
          <w:lang w:val="es-ES_tradnl"/>
        </w:rPr>
        <w:t>European</w:t>
      </w:r>
      <w:proofErr w:type="spellEnd"/>
      <w:r w:rsidRPr="004A5D22">
        <w:rPr>
          <w:rFonts w:ascii="ITC Avant Garde" w:hAnsi="ITC Avant Garde"/>
          <w:color w:val="auto"/>
          <w:szCs w:val="22"/>
          <w:lang w:val="es-ES_tradnl"/>
        </w:rPr>
        <w:t xml:space="preserve"> </w:t>
      </w:r>
      <w:proofErr w:type="spellStart"/>
      <w:r w:rsidRPr="004A5D22">
        <w:rPr>
          <w:rFonts w:ascii="ITC Avant Garde" w:hAnsi="ITC Avant Garde"/>
          <w:color w:val="auto"/>
          <w:szCs w:val="22"/>
          <w:lang w:val="es-ES_tradnl"/>
        </w:rPr>
        <w:t>Telecommunications</w:t>
      </w:r>
      <w:proofErr w:type="spellEnd"/>
      <w:r w:rsidRPr="004A5D22">
        <w:rPr>
          <w:rFonts w:ascii="ITC Avant Garde" w:hAnsi="ITC Avant Garde"/>
          <w:color w:val="auto"/>
          <w:szCs w:val="22"/>
          <w:lang w:val="es-ES_tradnl"/>
        </w:rPr>
        <w:t xml:space="preserve"> Standard </w:t>
      </w:r>
      <w:proofErr w:type="spellStart"/>
      <w:r w:rsidRPr="004A5D22">
        <w:rPr>
          <w:rFonts w:ascii="ITC Avant Garde" w:hAnsi="ITC Avant Garde"/>
          <w:color w:val="auto"/>
          <w:szCs w:val="22"/>
          <w:lang w:val="es-ES_tradnl"/>
        </w:rPr>
        <w:t>Institute</w:t>
      </w:r>
      <w:proofErr w:type="spellEnd"/>
      <w:r w:rsidRPr="004A5D22">
        <w:rPr>
          <w:rFonts w:ascii="ITC Avant Garde" w:hAnsi="ITC Avant Garde"/>
          <w:color w:val="auto"/>
          <w:szCs w:val="22"/>
          <w:lang w:val="es-ES_tradnl"/>
        </w:rPr>
        <w:t>);</w:t>
      </w:r>
      <w:r w:rsidRPr="004A5D22">
        <w:rPr>
          <w:rFonts w:ascii="ITC Avant Garde" w:hAnsi="ITC Avant Garde"/>
          <w:b/>
          <w:color w:val="auto"/>
        </w:rPr>
        <w:t xml:space="preserve"> </w:t>
      </w:r>
    </w:p>
    <w:p w14:paraId="438ED399" w14:textId="77777777" w:rsidR="00BB4A51" w:rsidRPr="004A5D22"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szCs w:val="22"/>
          <w:lang w:val="es-ES_tradnl"/>
        </w:rPr>
      </w:pPr>
      <w:r w:rsidRPr="004A5D22">
        <w:rPr>
          <w:rFonts w:ascii="ITC Avant Garde" w:hAnsi="ITC Avant Garde"/>
          <w:b/>
          <w:color w:val="auto"/>
          <w:szCs w:val="22"/>
        </w:rPr>
        <w:t xml:space="preserve">Evento: </w:t>
      </w:r>
      <w:r w:rsidRPr="004A5D22">
        <w:rPr>
          <w:rFonts w:ascii="ITC Avant Garde" w:hAnsi="ITC Avant Garde"/>
          <w:color w:val="auto"/>
          <w:szCs w:val="22"/>
          <w:lang w:val="es-ES_tradnl"/>
        </w:rPr>
        <w:t>Cada una de las llamadas programadas durante el Ejercicio de Medición;</w:t>
      </w:r>
      <w:r w:rsidRPr="004A5D22">
        <w:rPr>
          <w:rFonts w:ascii="ITC Avant Garde" w:hAnsi="ITC Avant Garde"/>
          <w:b/>
          <w:color w:val="auto"/>
          <w:lang w:val="es-ES_tradnl"/>
        </w:rPr>
        <w:t xml:space="preserve"> </w:t>
      </w:r>
    </w:p>
    <w:p w14:paraId="59587A8F" w14:textId="77777777" w:rsidR="00BB4A51" w:rsidRPr="004A5D22"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szCs w:val="22"/>
          <w:lang w:val="es-ES_tradnl"/>
        </w:rPr>
      </w:pPr>
      <w:r w:rsidRPr="004A5D22">
        <w:rPr>
          <w:rFonts w:ascii="ITC Avant Garde" w:hAnsi="ITC Avant Garde"/>
          <w:b/>
          <w:color w:val="auto"/>
          <w:szCs w:val="22"/>
          <w:lang w:val="es-ES_tradnl"/>
        </w:rPr>
        <w:t xml:space="preserve">GPS: </w:t>
      </w:r>
      <w:r w:rsidRPr="004A5D22">
        <w:rPr>
          <w:rFonts w:ascii="ITC Avant Garde" w:hAnsi="ITC Avant Garde"/>
          <w:color w:val="auto"/>
          <w:szCs w:val="22"/>
          <w:lang w:val="es-ES_tradnl"/>
        </w:rPr>
        <w:t>Sistema de posicionamiento global (</w:t>
      </w:r>
      <w:r w:rsidRPr="002D41B6">
        <w:rPr>
          <w:rFonts w:ascii="ITC Avant Garde" w:hAnsi="ITC Avant Garde"/>
          <w:color w:val="auto"/>
          <w:szCs w:val="22"/>
          <w:lang w:val="es-ES_tradnl"/>
        </w:rPr>
        <w:t xml:space="preserve">Global </w:t>
      </w:r>
      <w:proofErr w:type="spellStart"/>
      <w:r w:rsidRPr="002D41B6">
        <w:rPr>
          <w:rFonts w:ascii="ITC Avant Garde" w:hAnsi="ITC Avant Garde"/>
          <w:color w:val="auto"/>
          <w:szCs w:val="22"/>
          <w:lang w:val="es-ES_tradnl"/>
        </w:rPr>
        <w:t>Positioning</w:t>
      </w:r>
      <w:proofErr w:type="spellEnd"/>
      <w:r w:rsidRPr="002D41B6">
        <w:rPr>
          <w:rFonts w:ascii="ITC Avant Garde" w:hAnsi="ITC Avant Garde"/>
          <w:color w:val="auto"/>
          <w:szCs w:val="22"/>
          <w:lang w:val="es-ES_tradnl"/>
        </w:rPr>
        <w:t xml:space="preserve"> </w:t>
      </w:r>
      <w:proofErr w:type="spellStart"/>
      <w:r w:rsidRPr="002D41B6">
        <w:rPr>
          <w:rFonts w:ascii="ITC Avant Garde" w:hAnsi="ITC Avant Garde"/>
          <w:color w:val="auto"/>
          <w:szCs w:val="22"/>
          <w:lang w:val="es-ES_tradnl"/>
        </w:rPr>
        <w:t>System</w:t>
      </w:r>
      <w:proofErr w:type="spellEnd"/>
      <w:r w:rsidRPr="004A5D22">
        <w:rPr>
          <w:rFonts w:ascii="ITC Avant Garde" w:hAnsi="ITC Avant Garde"/>
          <w:color w:val="auto"/>
          <w:szCs w:val="22"/>
          <w:lang w:val="es-ES_tradnl"/>
        </w:rPr>
        <w:t>);</w:t>
      </w:r>
    </w:p>
    <w:p w14:paraId="3262A1F5" w14:textId="77777777" w:rsidR="00BB4A51" w:rsidRPr="002C26F2"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2C26F2">
        <w:rPr>
          <w:rFonts w:ascii="ITC Avant Garde" w:hAnsi="ITC Avant Garde"/>
          <w:b/>
          <w:color w:val="auto"/>
          <w:szCs w:val="22"/>
          <w:lang w:val="es-ES_tradnl"/>
        </w:rPr>
        <w:t>Predicción de Cobertura:</w:t>
      </w:r>
      <w:r w:rsidRPr="002C26F2">
        <w:rPr>
          <w:rFonts w:ascii="ITC Avant Garde" w:hAnsi="ITC Avant Garde"/>
          <w:color w:val="auto"/>
          <w:szCs w:val="22"/>
          <w:lang w:val="es-ES_tradnl"/>
        </w:rPr>
        <w:t xml:space="preserve"> Área en la que se planea ofrecer el servicio móvil por la Estación Nueva, calculada por una herramienta de planeación de redes, correspondiente a cierta Tecnología de Acceso;</w:t>
      </w:r>
    </w:p>
    <w:p w14:paraId="0CEBFDF6" w14:textId="77777777" w:rsidR="00BB4A51" w:rsidRPr="002C26F2"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2C26F2">
        <w:rPr>
          <w:rFonts w:ascii="ITC Avant Garde" w:hAnsi="ITC Avant Garde"/>
          <w:b/>
          <w:color w:val="auto"/>
          <w:szCs w:val="22"/>
          <w:lang w:val="es-ES_tradnl"/>
        </w:rPr>
        <w:t>RSCP:</w:t>
      </w:r>
      <w:r w:rsidRPr="002C26F2">
        <w:rPr>
          <w:rFonts w:ascii="ITC Avant Garde" w:hAnsi="ITC Avant Garde"/>
          <w:color w:val="auto"/>
          <w:szCs w:val="22"/>
          <w:lang w:val="es-ES_tradnl"/>
        </w:rPr>
        <w:t xml:space="preserve"> Potencia del código de la señal recibida (</w:t>
      </w:r>
      <w:proofErr w:type="spellStart"/>
      <w:r w:rsidRPr="002C26F2">
        <w:rPr>
          <w:rFonts w:ascii="ITC Avant Garde" w:hAnsi="ITC Avant Garde"/>
          <w:color w:val="auto"/>
          <w:szCs w:val="22"/>
          <w:lang w:val="es-ES_tradnl"/>
        </w:rPr>
        <w:t>Received</w:t>
      </w:r>
      <w:proofErr w:type="spellEnd"/>
      <w:r w:rsidRPr="002C26F2">
        <w:rPr>
          <w:rFonts w:ascii="ITC Avant Garde" w:hAnsi="ITC Avant Garde"/>
          <w:color w:val="auto"/>
          <w:szCs w:val="22"/>
          <w:lang w:val="es-ES_tradnl"/>
        </w:rPr>
        <w:t xml:space="preserve"> </w:t>
      </w:r>
      <w:proofErr w:type="spellStart"/>
      <w:r w:rsidRPr="002C26F2">
        <w:rPr>
          <w:rFonts w:ascii="ITC Avant Garde" w:hAnsi="ITC Avant Garde"/>
          <w:color w:val="auto"/>
          <w:szCs w:val="22"/>
          <w:lang w:val="es-ES_tradnl"/>
        </w:rPr>
        <w:t>Signal</w:t>
      </w:r>
      <w:proofErr w:type="spellEnd"/>
      <w:r w:rsidRPr="002C26F2">
        <w:rPr>
          <w:rFonts w:ascii="ITC Avant Garde" w:hAnsi="ITC Avant Garde"/>
          <w:color w:val="auto"/>
          <w:szCs w:val="22"/>
          <w:lang w:val="es-ES_tradnl"/>
        </w:rPr>
        <w:t xml:space="preserve"> </w:t>
      </w:r>
      <w:proofErr w:type="spellStart"/>
      <w:r w:rsidRPr="002C26F2">
        <w:rPr>
          <w:rFonts w:ascii="ITC Avant Garde" w:hAnsi="ITC Avant Garde"/>
          <w:color w:val="auto"/>
          <w:szCs w:val="22"/>
          <w:lang w:val="es-ES_tradnl"/>
        </w:rPr>
        <w:t>Code</w:t>
      </w:r>
      <w:proofErr w:type="spellEnd"/>
      <w:r w:rsidRPr="002C26F2">
        <w:rPr>
          <w:rFonts w:ascii="ITC Avant Garde" w:hAnsi="ITC Avant Garde"/>
          <w:color w:val="auto"/>
          <w:szCs w:val="22"/>
          <w:lang w:val="es-ES_tradnl"/>
        </w:rPr>
        <w:t xml:space="preserve"> </w:t>
      </w:r>
      <w:proofErr w:type="spellStart"/>
      <w:r w:rsidRPr="002C26F2">
        <w:rPr>
          <w:rFonts w:ascii="ITC Avant Garde" w:hAnsi="ITC Avant Garde"/>
          <w:color w:val="auto"/>
          <w:szCs w:val="22"/>
          <w:lang w:val="es-ES_tradnl"/>
        </w:rPr>
        <w:t>Power</w:t>
      </w:r>
      <w:proofErr w:type="spellEnd"/>
      <w:r w:rsidRPr="002C26F2">
        <w:rPr>
          <w:rFonts w:ascii="ITC Avant Garde" w:hAnsi="ITC Avant Garde"/>
          <w:color w:val="auto"/>
          <w:szCs w:val="22"/>
          <w:lang w:val="es-ES_tradnl"/>
        </w:rPr>
        <w:t>);</w:t>
      </w:r>
    </w:p>
    <w:p w14:paraId="547A848F" w14:textId="77777777" w:rsidR="00BB4A51" w:rsidRPr="002C26F2"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r w:rsidRPr="002C26F2">
        <w:rPr>
          <w:rFonts w:ascii="ITC Avant Garde" w:hAnsi="ITC Avant Garde"/>
          <w:b/>
          <w:color w:val="auto"/>
          <w:szCs w:val="22"/>
          <w:lang w:val="es-ES_tradnl"/>
        </w:rPr>
        <w:t>RSRP:</w:t>
      </w:r>
      <w:r w:rsidRPr="002C26F2">
        <w:rPr>
          <w:rFonts w:ascii="ITC Avant Garde" w:hAnsi="ITC Avant Garde"/>
          <w:color w:val="auto"/>
          <w:szCs w:val="22"/>
          <w:lang w:val="es-ES_tradnl"/>
        </w:rPr>
        <w:t xml:space="preserve"> Potencia recibida de la señal de referencia (Reference </w:t>
      </w:r>
      <w:proofErr w:type="spellStart"/>
      <w:r w:rsidRPr="002C26F2">
        <w:rPr>
          <w:rFonts w:ascii="ITC Avant Garde" w:hAnsi="ITC Avant Garde"/>
          <w:color w:val="auto"/>
          <w:szCs w:val="22"/>
          <w:lang w:val="es-ES_tradnl"/>
        </w:rPr>
        <w:t>Signal</w:t>
      </w:r>
      <w:proofErr w:type="spellEnd"/>
      <w:r w:rsidRPr="002C26F2">
        <w:rPr>
          <w:rFonts w:ascii="ITC Avant Garde" w:hAnsi="ITC Avant Garde"/>
          <w:color w:val="auto"/>
          <w:szCs w:val="22"/>
          <w:lang w:val="es-ES_tradnl"/>
        </w:rPr>
        <w:t xml:space="preserve"> </w:t>
      </w:r>
      <w:proofErr w:type="spellStart"/>
      <w:r w:rsidRPr="002C26F2">
        <w:rPr>
          <w:rFonts w:ascii="ITC Avant Garde" w:hAnsi="ITC Avant Garde"/>
          <w:color w:val="auto"/>
          <w:szCs w:val="22"/>
          <w:lang w:val="es-ES_tradnl"/>
        </w:rPr>
        <w:t>Received</w:t>
      </w:r>
      <w:proofErr w:type="spellEnd"/>
      <w:r w:rsidRPr="002C26F2">
        <w:rPr>
          <w:rFonts w:ascii="ITC Avant Garde" w:hAnsi="ITC Avant Garde"/>
          <w:color w:val="auto"/>
          <w:szCs w:val="22"/>
          <w:lang w:val="es-ES_tradnl"/>
        </w:rPr>
        <w:t xml:space="preserve"> </w:t>
      </w:r>
      <w:proofErr w:type="spellStart"/>
      <w:r w:rsidRPr="002C26F2">
        <w:rPr>
          <w:rFonts w:ascii="ITC Avant Garde" w:hAnsi="ITC Avant Garde"/>
          <w:color w:val="auto"/>
          <w:szCs w:val="22"/>
          <w:lang w:val="es-ES_tradnl"/>
        </w:rPr>
        <w:t>Power</w:t>
      </w:r>
      <w:proofErr w:type="spellEnd"/>
      <w:r w:rsidRPr="002C26F2">
        <w:rPr>
          <w:rFonts w:ascii="ITC Avant Garde" w:hAnsi="ITC Avant Garde"/>
          <w:color w:val="auto"/>
          <w:szCs w:val="22"/>
          <w:lang w:val="es-ES_tradnl"/>
        </w:rPr>
        <w:t>);</w:t>
      </w:r>
    </w:p>
    <w:p w14:paraId="7B3C32A5" w14:textId="5AB6016B" w:rsidR="00BB4A51" w:rsidRPr="002C26F2" w:rsidRDefault="00BB4A51" w:rsidP="00BB4A51">
      <w:pPr>
        <w:pStyle w:val="Normal1"/>
        <w:widowControl w:val="0"/>
        <w:numPr>
          <w:ilvl w:val="0"/>
          <w:numId w:val="30"/>
        </w:numPr>
        <w:spacing w:afterLines="200" w:after="480"/>
        <w:ind w:left="851" w:hanging="284"/>
        <w:contextualSpacing/>
        <w:jc w:val="both"/>
        <w:rPr>
          <w:rFonts w:ascii="ITC Avant Garde" w:hAnsi="ITC Avant Garde"/>
          <w:color w:val="auto"/>
          <w:szCs w:val="22"/>
          <w:lang w:val="es-ES_tradnl"/>
        </w:rPr>
      </w:pPr>
      <w:proofErr w:type="spellStart"/>
      <w:r w:rsidRPr="002C26F2">
        <w:rPr>
          <w:rFonts w:ascii="ITC Avant Garde" w:hAnsi="ITC Avant Garde"/>
          <w:b/>
          <w:color w:val="auto"/>
          <w:szCs w:val="22"/>
          <w:lang w:val="es-ES_tradnl"/>
        </w:rPr>
        <w:t>RxLev</w:t>
      </w:r>
      <w:proofErr w:type="spellEnd"/>
      <w:r w:rsidRPr="002C26F2">
        <w:rPr>
          <w:rFonts w:ascii="ITC Avant Garde" w:hAnsi="ITC Avant Garde"/>
          <w:b/>
          <w:color w:val="auto"/>
          <w:szCs w:val="22"/>
          <w:lang w:val="es-ES_tradnl"/>
        </w:rPr>
        <w:t>:</w:t>
      </w:r>
      <w:r w:rsidRPr="002C26F2">
        <w:rPr>
          <w:rFonts w:ascii="ITC Avant Garde" w:hAnsi="ITC Avant Garde"/>
          <w:color w:val="auto"/>
          <w:szCs w:val="22"/>
          <w:lang w:val="es-ES_tradnl"/>
        </w:rPr>
        <w:t xml:space="preserve"> Nivel de recepción del canal de control difundido (</w:t>
      </w:r>
      <w:proofErr w:type="spellStart"/>
      <w:r w:rsidRPr="002C26F2">
        <w:rPr>
          <w:rFonts w:ascii="ITC Avant Garde" w:hAnsi="ITC Avant Garde"/>
          <w:color w:val="auto"/>
          <w:szCs w:val="22"/>
          <w:lang w:val="es-ES_tradnl"/>
        </w:rPr>
        <w:t>Received</w:t>
      </w:r>
      <w:proofErr w:type="spellEnd"/>
      <w:r w:rsidRPr="002C26F2">
        <w:rPr>
          <w:rFonts w:ascii="ITC Avant Garde" w:hAnsi="ITC Avant Garde"/>
          <w:color w:val="auto"/>
          <w:szCs w:val="22"/>
          <w:lang w:val="es-ES_tradnl"/>
        </w:rPr>
        <w:t xml:space="preserve"> </w:t>
      </w:r>
      <w:r w:rsidR="002D41B6">
        <w:rPr>
          <w:rFonts w:ascii="ITC Avant Garde" w:hAnsi="ITC Avant Garde"/>
          <w:color w:val="auto"/>
          <w:szCs w:val="22"/>
          <w:lang w:val="es-ES_tradnl"/>
        </w:rPr>
        <w:t xml:space="preserve"> </w:t>
      </w:r>
      <w:proofErr w:type="spellStart"/>
      <w:r w:rsidR="002D41B6">
        <w:rPr>
          <w:rFonts w:ascii="ITC Avant Garde" w:hAnsi="ITC Avant Garde"/>
          <w:color w:val="auto"/>
          <w:szCs w:val="22"/>
          <w:lang w:val="es-ES_tradnl"/>
        </w:rPr>
        <w:t>L</w:t>
      </w:r>
      <w:r>
        <w:rPr>
          <w:rFonts w:ascii="ITC Avant Garde" w:hAnsi="ITC Avant Garde"/>
          <w:color w:val="auto"/>
          <w:szCs w:val="22"/>
          <w:lang w:val="es-ES_tradnl"/>
        </w:rPr>
        <w:t>evel</w:t>
      </w:r>
      <w:proofErr w:type="spellEnd"/>
      <w:r>
        <w:rPr>
          <w:rFonts w:ascii="ITC Avant Garde" w:hAnsi="ITC Avant Garde"/>
          <w:color w:val="auto"/>
          <w:szCs w:val="22"/>
          <w:lang w:val="es-ES_tradnl"/>
        </w:rPr>
        <w:t>);</w:t>
      </w:r>
    </w:p>
    <w:p w14:paraId="4F6FD5D5" w14:textId="7FE313F9" w:rsidR="00BB4A51" w:rsidRPr="004A5D22" w:rsidRDefault="00BB4A51" w:rsidP="00BB4A51">
      <w:pPr>
        <w:pStyle w:val="Normal1"/>
        <w:widowControl w:val="0"/>
        <w:numPr>
          <w:ilvl w:val="0"/>
          <w:numId w:val="30"/>
        </w:numPr>
        <w:spacing w:afterLines="200" w:after="480"/>
        <w:ind w:left="851" w:hanging="284"/>
        <w:contextualSpacing/>
        <w:jc w:val="both"/>
        <w:rPr>
          <w:rFonts w:ascii="ITC Avant Garde" w:hAnsi="ITC Avant Garde"/>
          <w:b/>
          <w:color w:val="auto"/>
          <w:szCs w:val="22"/>
        </w:rPr>
      </w:pPr>
      <w:r w:rsidRPr="004A5D22">
        <w:rPr>
          <w:rFonts w:ascii="ITC Avant Garde" w:hAnsi="ITC Avant Garde"/>
          <w:b/>
          <w:color w:val="auto"/>
          <w:szCs w:val="22"/>
          <w:lang w:val="es-ES_tradnl"/>
        </w:rPr>
        <w:lastRenderedPageBreak/>
        <w:t>Tecnología de Acceso</w:t>
      </w:r>
      <w:r w:rsidRPr="004A5D22">
        <w:rPr>
          <w:rFonts w:ascii="ITC Avant Garde" w:hAnsi="ITC Avant Garde"/>
          <w:color w:val="auto"/>
          <w:szCs w:val="22"/>
          <w:lang w:val="es-ES_tradnl"/>
        </w:rPr>
        <w:t>: Tipo de tecnología que se utiliza en las redes del servicio de telefonía móvil para que el usuario final acceda a los servicios que brindan l</w:t>
      </w:r>
      <w:r>
        <w:rPr>
          <w:rFonts w:ascii="ITC Avant Garde" w:hAnsi="ITC Avant Garde"/>
          <w:color w:val="auto"/>
          <w:szCs w:val="22"/>
          <w:lang w:val="es-ES_tradnl"/>
        </w:rPr>
        <w:t xml:space="preserve">os </w:t>
      </w:r>
      <w:r w:rsidR="005647AB">
        <w:rPr>
          <w:rFonts w:ascii="ITC Avant Garde" w:hAnsi="ITC Avant Garde"/>
          <w:color w:val="auto"/>
          <w:szCs w:val="22"/>
          <w:lang w:val="es-ES_tradnl"/>
        </w:rPr>
        <w:t>Interesados en Despliegue</w:t>
      </w:r>
      <w:r>
        <w:rPr>
          <w:rFonts w:ascii="ITC Avant Garde" w:hAnsi="ITC Avant Garde"/>
          <w:color w:val="auto"/>
          <w:szCs w:val="22"/>
          <w:lang w:val="es-ES_tradnl"/>
        </w:rPr>
        <w:t>;</w:t>
      </w:r>
      <w:r w:rsidR="002D41B6">
        <w:rPr>
          <w:rFonts w:ascii="ITC Avant Garde" w:hAnsi="ITC Avant Garde"/>
          <w:color w:val="auto"/>
          <w:szCs w:val="22"/>
          <w:lang w:val="es-ES_tradnl"/>
        </w:rPr>
        <w:t xml:space="preserve"> y</w:t>
      </w:r>
    </w:p>
    <w:p w14:paraId="1E28C199" w14:textId="02D0127A" w:rsidR="00BB4A51" w:rsidRPr="002D41B6" w:rsidRDefault="00BB4A51" w:rsidP="007A4964">
      <w:pPr>
        <w:pStyle w:val="Normal1"/>
        <w:widowControl w:val="0"/>
        <w:numPr>
          <w:ilvl w:val="0"/>
          <w:numId w:val="30"/>
        </w:numPr>
        <w:spacing w:afterLines="200" w:after="480"/>
        <w:ind w:left="851" w:hanging="284"/>
        <w:contextualSpacing/>
        <w:jc w:val="both"/>
        <w:rPr>
          <w:rFonts w:ascii="ITC Avant Garde" w:hAnsi="ITC Avant Garde"/>
          <w:b/>
          <w:color w:val="auto"/>
          <w:szCs w:val="22"/>
        </w:rPr>
      </w:pPr>
      <w:r w:rsidRPr="002D41B6">
        <w:rPr>
          <w:rFonts w:ascii="ITC Avant Garde" w:hAnsi="ITC Avant Garde"/>
          <w:b/>
          <w:color w:val="auto"/>
          <w:szCs w:val="22"/>
        </w:rPr>
        <w:t xml:space="preserve">Tiempo de Guarda: </w:t>
      </w:r>
      <w:r w:rsidRPr="002D41B6">
        <w:rPr>
          <w:rFonts w:ascii="ITC Avant Garde" w:hAnsi="ITC Avant Garde"/>
          <w:color w:val="auto"/>
          <w:szCs w:val="22"/>
        </w:rPr>
        <w:t>Intervalo de tiempo entre Eventos consecutivos durante el Ejercicio de Medición</w:t>
      </w:r>
      <w:r w:rsidRPr="002D41B6">
        <w:rPr>
          <w:rFonts w:ascii="ITC Avant Garde" w:hAnsi="ITC Avant Garde"/>
          <w:b/>
          <w:color w:val="auto"/>
          <w:szCs w:val="22"/>
        </w:rPr>
        <w:t>.</w:t>
      </w:r>
    </w:p>
    <w:p w14:paraId="14B25856" w14:textId="4AE8D046" w:rsidR="00BB4A51" w:rsidRPr="00BB4A51" w:rsidRDefault="00BB4A51" w:rsidP="00BB4A51">
      <w:pPr>
        <w:pStyle w:val="IFTnormal"/>
        <w:numPr>
          <w:ilvl w:val="1"/>
          <w:numId w:val="13"/>
        </w:numPr>
        <w:jc w:val="left"/>
      </w:pPr>
      <w:r w:rsidRPr="00BB4A51">
        <w:t>Predicción de Cobertura</w:t>
      </w:r>
      <w:r w:rsidR="00F8156F">
        <w:t xml:space="preserve"> y nivel esperado de intensidad de potencia</w:t>
      </w:r>
    </w:p>
    <w:p w14:paraId="59F00295" w14:textId="77777777" w:rsidR="00BD0198" w:rsidRDefault="00BB4A51" w:rsidP="00BB4A51">
      <w:pPr>
        <w:pStyle w:val="IFTnormal"/>
      </w:pPr>
      <w:r w:rsidRPr="002C26F2">
        <w:t xml:space="preserve">Con el fin de que se prevenga el establecimiento de comunicaciones desde el interior de Centros de </w:t>
      </w:r>
      <w:r>
        <w:t>Readaptación S</w:t>
      </w:r>
      <w:r w:rsidRPr="002C26F2">
        <w:t xml:space="preserve">ocial, previo al despliegue de cualquier Estación Nueva en las inmediaciones de los Centros de Readaptación Social, el </w:t>
      </w:r>
      <w:r w:rsidR="005647AB">
        <w:t>Interesado en Despliegue</w:t>
      </w:r>
      <w:r w:rsidRPr="002C26F2">
        <w:t xml:space="preserve"> deberá realizar una Predicción de Cobertura cuya zona de interés sea equivalente al Área de Estudio tal como se muestra esquemáticamente en la Figura 1</w:t>
      </w:r>
      <w:r w:rsidR="00BD0198">
        <w:t>2</w:t>
      </w:r>
      <w:r w:rsidRPr="002C26F2">
        <w:t xml:space="preserve">. </w:t>
      </w:r>
    </w:p>
    <w:p w14:paraId="513BAD9A" w14:textId="77777777" w:rsidR="00BD0198" w:rsidRPr="002C26F2" w:rsidRDefault="00BD0198" w:rsidP="00BD0198">
      <w:pPr>
        <w:pStyle w:val="Normal1"/>
        <w:widowControl w:val="0"/>
        <w:spacing w:afterLines="200" w:after="480"/>
        <w:ind w:left="1428"/>
        <w:contextualSpacing/>
        <w:jc w:val="center"/>
        <w:rPr>
          <w:rFonts w:ascii="ITC Avant Garde" w:hAnsi="ITC Avant Garde"/>
          <w:color w:val="auto"/>
          <w:szCs w:val="22"/>
          <w:lang w:val="es-ES_tradnl"/>
        </w:rPr>
      </w:pPr>
      <w:r>
        <w:rPr>
          <w:noProof/>
          <w:lang w:eastAsia="es-MX"/>
        </w:rPr>
        <w:drawing>
          <wp:anchor distT="0" distB="0" distL="114300" distR="114300" simplePos="0" relativeHeight="251659264" behindDoc="0" locked="0" layoutInCell="1" allowOverlap="1" wp14:anchorId="229567B1" wp14:editId="58B7BB67">
            <wp:simplePos x="0" y="0"/>
            <wp:positionH relativeFrom="column">
              <wp:align>center</wp:align>
            </wp:positionH>
            <wp:positionV relativeFrom="paragraph">
              <wp:posOffset>0</wp:posOffset>
            </wp:positionV>
            <wp:extent cx="2790825" cy="2390775"/>
            <wp:effectExtent l="0" t="0" r="9525" b="9525"/>
            <wp:wrapNone/>
            <wp:docPr id="1" name="Imagen 1" descr="C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FC9A1" w14:textId="77777777" w:rsidR="00BD0198" w:rsidRPr="002C26F2"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366719C7"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2C54BD89"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49F80D3B"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4C206FD1"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136E8789"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125247BF"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79972DF8"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37CB7D27" w14:textId="77777777" w:rsidR="00BD0198"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148D16F7" w14:textId="77777777" w:rsidR="00BD0198" w:rsidRPr="002C26F2" w:rsidRDefault="00BD0198" w:rsidP="00BD0198">
      <w:pPr>
        <w:pStyle w:val="Normal1"/>
        <w:widowControl w:val="0"/>
        <w:spacing w:afterLines="200" w:after="480"/>
        <w:ind w:left="1428"/>
        <w:contextualSpacing/>
        <w:jc w:val="both"/>
        <w:rPr>
          <w:rFonts w:ascii="ITC Avant Garde" w:hAnsi="ITC Avant Garde"/>
          <w:color w:val="auto"/>
          <w:szCs w:val="22"/>
          <w:lang w:val="es-ES_tradnl"/>
        </w:rPr>
      </w:pPr>
    </w:p>
    <w:p w14:paraId="03B6B463" w14:textId="77777777" w:rsidR="00BD0198" w:rsidRPr="002C26F2" w:rsidRDefault="00BD0198" w:rsidP="00BD0198">
      <w:pPr>
        <w:pStyle w:val="Normal1"/>
        <w:widowControl w:val="0"/>
        <w:spacing w:afterLines="200" w:after="480"/>
        <w:ind w:left="1068"/>
        <w:contextualSpacing/>
        <w:jc w:val="center"/>
        <w:rPr>
          <w:rFonts w:ascii="ITC Avant Garde" w:hAnsi="ITC Avant Garde"/>
          <w:color w:val="auto"/>
          <w:szCs w:val="22"/>
          <w:lang w:val="es-ES_tradnl"/>
        </w:rPr>
      </w:pPr>
      <w:r w:rsidRPr="002C26F2">
        <w:rPr>
          <w:rFonts w:ascii="ITC Avant Garde" w:hAnsi="ITC Avant Garde"/>
          <w:color w:val="auto"/>
          <w:szCs w:val="22"/>
          <w:lang w:val="es-ES_tradnl"/>
        </w:rPr>
        <w:t>Tabla 1</w:t>
      </w:r>
    </w:p>
    <w:p w14:paraId="1332E55A" w14:textId="77777777" w:rsidR="00BD0198" w:rsidRDefault="00BD0198" w:rsidP="00BD0198">
      <w:pPr>
        <w:pStyle w:val="Normal1"/>
        <w:widowControl w:val="0"/>
        <w:spacing w:afterLines="200" w:after="480"/>
        <w:contextualSpacing/>
        <w:jc w:val="center"/>
        <w:rPr>
          <w:rFonts w:ascii="ITC Avant Garde" w:hAnsi="ITC Avant Garde"/>
          <w:sz w:val="18"/>
          <w:szCs w:val="22"/>
        </w:rPr>
      </w:pPr>
      <w:r w:rsidRPr="004A5D22">
        <w:rPr>
          <w:rFonts w:ascii="ITC Avant Garde" w:hAnsi="ITC Avant Garde"/>
          <w:sz w:val="18"/>
          <w:szCs w:val="22"/>
        </w:rPr>
        <w:t xml:space="preserve">Figura </w:t>
      </w:r>
      <w:r w:rsidRPr="004A5D22">
        <w:rPr>
          <w:rFonts w:ascii="ITC Avant Garde" w:hAnsi="ITC Avant Garde"/>
          <w:sz w:val="18"/>
          <w:szCs w:val="22"/>
        </w:rPr>
        <w:fldChar w:fldCharType="begin"/>
      </w:r>
      <w:r w:rsidRPr="004A5D22">
        <w:rPr>
          <w:rFonts w:ascii="ITC Avant Garde" w:hAnsi="ITC Avant Garde"/>
          <w:sz w:val="18"/>
          <w:szCs w:val="22"/>
        </w:rPr>
        <w:instrText xml:space="preserve"> SEQ Figura \* ARABIC </w:instrText>
      </w:r>
      <w:r w:rsidRPr="004A5D22">
        <w:rPr>
          <w:rFonts w:ascii="ITC Avant Garde" w:hAnsi="ITC Avant Garde"/>
          <w:sz w:val="18"/>
          <w:szCs w:val="22"/>
        </w:rPr>
        <w:fldChar w:fldCharType="separate"/>
      </w:r>
      <w:r w:rsidRPr="004A5D22">
        <w:rPr>
          <w:rFonts w:ascii="ITC Avant Garde" w:hAnsi="ITC Avant Garde"/>
          <w:noProof/>
          <w:sz w:val="18"/>
          <w:szCs w:val="22"/>
        </w:rPr>
        <w:t>1</w:t>
      </w:r>
      <w:r w:rsidRPr="004A5D22">
        <w:rPr>
          <w:rFonts w:ascii="ITC Avant Garde" w:hAnsi="ITC Avant Garde"/>
          <w:noProof/>
          <w:sz w:val="18"/>
          <w:szCs w:val="22"/>
        </w:rPr>
        <w:fldChar w:fldCharType="end"/>
      </w:r>
      <w:r w:rsidRPr="004A5D22">
        <w:rPr>
          <w:rFonts w:ascii="ITC Avant Garde" w:hAnsi="ITC Avant Garde"/>
          <w:noProof/>
          <w:sz w:val="18"/>
          <w:szCs w:val="22"/>
        </w:rPr>
        <w:t>2</w:t>
      </w:r>
      <w:r w:rsidRPr="004A5D22">
        <w:rPr>
          <w:rFonts w:ascii="ITC Avant Garde" w:hAnsi="ITC Avant Garde"/>
          <w:sz w:val="18"/>
          <w:szCs w:val="22"/>
        </w:rPr>
        <w:t>: Área de Estudio</w:t>
      </w:r>
    </w:p>
    <w:p w14:paraId="055A4C01" w14:textId="679FEB0A" w:rsidR="00BB4A51" w:rsidRPr="00BB4A51" w:rsidRDefault="00BB4A51" w:rsidP="00BB4A51">
      <w:pPr>
        <w:pStyle w:val="IFTnormal"/>
      </w:pPr>
      <w:r w:rsidRPr="002C26F2">
        <w:t>Dicha Predicción de Cobertura deberá ser entregada al Instituto y contener las siguientes características:</w:t>
      </w:r>
    </w:p>
    <w:p w14:paraId="7BF9B7A7" w14:textId="71BE7000" w:rsidR="00BB4A51" w:rsidRPr="00BD0198" w:rsidRDefault="00BB4A51" w:rsidP="00BB4A51">
      <w:pPr>
        <w:pStyle w:val="Normal1"/>
        <w:widowControl w:val="0"/>
        <w:numPr>
          <w:ilvl w:val="0"/>
          <w:numId w:val="31"/>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Indicar el nivel esperado de intensidad de potencia </w:t>
      </w:r>
      <w:r w:rsidRPr="00F8156F" w:rsidDel="00E274E9">
        <w:rPr>
          <w:rFonts w:ascii="ITC Avant Garde" w:hAnsi="ITC Avant Garde"/>
          <w:color w:val="auto"/>
          <w:szCs w:val="22"/>
        </w:rPr>
        <w:t>recibida</w:t>
      </w:r>
      <w:r w:rsidRPr="00F8156F">
        <w:rPr>
          <w:rFonts w:ascii="ITC Avant Garde" w:hAnsi="ITC Avant Garde"/>
          <w:color w:val="auto"/>
          <w:szCs w:val="22"/>
        </w:rPr>
        <w:t xml:space="preserve"> que represente la contribución de todas las Estaciones de Radiocomunicación de telefonía móvil con la misma Tecnología de Acceso, en </w:t>
      </w:r>
      <w:proofErr w:type="spellStart"/>
      <w:r w:rsidRPr="00F8156F">
        <w:rPr>
          <w:rFonts w:ascii="ITC Avant Garde" w:hAnsi="ITC Avant Garde"/>
          <w:color w:val="auto"/>
          <w:szCs w:val="22"/>
        </w:rPr>
        <w:t>dBm</w:t>
      </w:r>
      <w:proofErr w:type="spellEnd"/>
      <w:r w:rsidRPr="00F8156F">
        <w:rPr>
          <w:rFonts w:ascii="ITC Avant Garde" w:hAnsi="ITC Avant Garde"/>
          <w:color w:val="auto"/>
          <w:szCs w:val="22"/>
        </w:rPr>
        <w:t xml:space="preserve">; </w:t>
      </w:r>
    </w:p>
    <w:p w14:paraId="679F9B54" w14:textId="77777777" w:rsidR="00BB4A51" w:rsidRDefault="00BB4A51" w:rsidP="00F8156F">
      <w:pPr>
        <w:pStyle w:val="Normal1"/>
        <w:widowControl w:val="0"/>
        <w:numPr>
          <w:ilvl w:val="0"/>
          <w:numId w:val="31"/>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Identificar con un color distinto cada uno de los rangos de cobertura de acuerdo a los rangos establecidos en la Tabla 1:</w:t>
      </w:r>
    </w:p>
    <w:p w14:paraId="01CD6616" w14:textId="77777777" w:rsidR="00983535" w:rsidRDefault="00983535" w:rsidP="00983535">
      <w:pPr>
        <w:pStyle w:val="Normal1"/>
        <w:widowControl w:val="0"/>
        <w:spacing w:afterLines="200" w:after="480"/>
        <w:ind w:left="360"/>
        <w:contextualSpacing/>
        <w:jc w:val="both"/>
        <w:rPr>
          <w:rFonts w:ascii="ITC Avant Garde" w:hAnsi="ITC Avant Garde"/>
          <w:color w:val="auto"/>
          <w:szCs w:val="22"/>
        </w:rPr>
      </w:pPr>
    </w:p>
    <w:p w14:paraId="00CDA826" w14:textId="77777777" w:rsidR="00983535" w:rsidRDefault="00983535" w:rsidP="00983535">
      <w:pPr>
        <w:pStyle w:val="Normal1"/>
        <w:widowControl w:val="0"/>
        <w:spacing w:afterLines="200" w:after="480"/>
        <w:ind w:left="360"/>
        <w:contextualSpacing/>
        <w:jc w:val="both"/>
        <w:rPr>
          <w:rFonts w:ascii="ITC Avant Garde" w:hAnsi="ITC Avant Garde"/>
          <w:color w:val="auto"/>
          <w:szCs w:val="22"/>
        </w:rPr>
      </w:pPr>
    </w:p>
    <w:p w14:paraId="6CB87C1D" w14:textId="77777777" w:rsidR="00983535" w:rsidRDefault="00983535" w:rsidP="00983535">
      <w:pPr>
        <w:pStyle w:val="Normal1"/>
        <w:widowControl w:val="0"/>
        <w:spacing w:afterLines="200" w:after="480"/>
        <w:ind w:left="360"/>
        <w:contextualSpacing/>
        <w:jc w:val="both"/>
        <w:rPr>
          <w:rFonts w:ascii="ITC Avant Garde" w:hAnsi="ITC Avant Garde"/>
          <w:color w:val="auto"/>
          <w:szCs w:val="22"/>
        </w:rPr>
      </w:pPr>
    </w:p>
    <w:p w14:paraId="7C7E5B38" w14:textId="77777777" w:rsidR="00983535" w:rsidRPr="00F8156F" w:rsidRDefault="00983535" w:rsidP="00983535">
      <w:pPr>
        <w:pStyle w:val="Normal1"/>
        <w:widowControl w:val="0"/>
        <w:spacing w:afterLines="200" w:after="480"/>
        <w:ind w:left="360"/>
        <w:contextualSpacing/>
        <w:jc w:val="both"/>
        <w:rPr>
          <w:rFonts w:ascii="ITC Avant Garde" w:hAnsi="ITC Avant Garde"/>
          <w:color w:val="auto"/>
          <w:szCs w:val="22"/>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665"/>
        <w:gridCol w:w="2074"/>
        <w:gridCol w:w="2025"/>
        <w:gridCol w:w="2095"/>
      </w:tblGrid>
      <w:tr w:rsidR="00983535" w:rsidRPr="00BB4A51" w14:paraId="244A8414" w14:textId="77777777" w:rsidTr="002D509F">
        <w:trPr>
          <w:cantSplit/>
          <w:jc w:val="center"/>
        </w:trPr>
        <w:tc>
          <w:tcPr>
            <w:tcW w:w="1665" w:type="dxa"/>
            <w:tcBorders>
              <w:top w:val="single" w:sz="4" w:space="0" w:color="5B9BD5"/>
              <w:left w:val="single" w:sz="4" w:space="0" w:color="5B9BD5"/>
              <w:bottom w:val="single" w:sz="4" w:space="0" w:color="5B9BD5"/>
              <w:right w:val="nil"/>
            </w:tcBorders>
            <w:shd w:val="clear" w:color="auto" w:fill="5B9BD5"/>
            <w:vAlign w:val="center"/>
          </w:tcPr>
          <w:p w14:paraId="0EBCF1A6"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p>
        </w:tc>
        <w:tc>
          <w:tcPr>
            <w:tcW w:w="2074" w:type="dxa"/>
            <w:tcBorders>
              <w:top w:val="single" w:sz="4" w:space="0" w:color="5B9BD5"/>
              <w:left w:val="nil"/>
              <w:bottom w:val="single" w:sz="4" w:space="0" w:color="5B9BD5"/>
              <w:right w:val="nil"/>
            </w:tcBorders>
            <w:shd w:val="clear" w:color="auto" w:fill="5B9BD5"/>
            <w:vAlign w:val="center"/>
          </w:tcPr>
          <w:p w14:paraId="018F1E3D"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GSM</w:t>
            </w:r>
          </w:p>
        </w:tc>
        <w:tc>
          <w:tcPr>
            <w:tcW w:w="2025" w:type="dxa"/>
            <w:tcBorders>
              <w:top w:val="single" w:sz="4" w:space="0" w:color="5B9BD5"/>
              <w:left w:val="nil"/>
              <w:bottom w:val="single" w:sz="4" w:space="0" w:color="5B9BD5"/>
              <w:right w:val="nil"/>
            </w:tcBorders>
            <w:shd w:val="clear" w:color="auto" w:fill="5B9BD5"/>
            <w:vAlign w:val="center"/>
          </w:tcPr>
          <w:p w14:paraId="6A87AEB9"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UMTS</w:t>
            </w:r>
          </w:p>
        </w:tc>
        <w:tc>
          <w:tcPr>
            <w:tcW w:w="2095" w:type="dxa"/>
            <w:tcBorders>
              <w:top w:val="single" w:sz="4" w:space="0" w:color="5B9BD5"/>
              <w:left w:val="nil"/>
              <w:bottom w:val="single" w:sz="4" w:space="0" w:color="5B9BD5"/>
              <w:right w:val="single" w:sz="4" w:space="0" w:color="5B9BD5"/>
            </w:tcBorders>
            <w:shd w:val="clear" w:color="auto" w:fill="5B9BD5"/>
            <w:vAlign w:val="center"/>
          </w:tcPr>
          <w:p w14:paraId="7246E19F"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LTE</w:t>
            </w:r>
          </w:p>
        </w:tc>
      </w:tr>
      <w:tr w:rsidR="00983535" w:rsidRPr="00BB4A51" w14:paraId="59A77122" w14:textId="77777777" w:rsidTr="002D509F">
        <w:trPr>
          <w:cantSplit/>
          <w:jc w:val="center"/>
        </w:trPr>
        <w:tc>
          <w:tcPr>
            <w:tcW w:w="1665" w:type="dxa"/>
            <w:shd w:val="clear" w:color="auto" w:fill="DEEAF6"/>
            <w:vAlign w:val="center"/>
          </w:tcPr>
          <w:p w14:paraId="59B9BBB8"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Rango 1 [</w:t>
            </w:r>
            <w:proofErr w:type="spellStart"/>
            <w:r w:rsidRPr="00983535">
              <w:rPr>
                <w:rFonts w:ascii="ITC Avant Garde" w:hAnsi="ITC Avant Garde"/>
                <w:b/>
                <w:bCs/>
                <w:color w:val="auto"/>
                <w:sz w:val="20"/>
                <w:szCs w:val="22"/>
                <w:lang w:val="es-ES_tradnl"/>
              </w:rPr>
              <w:t>dBm</w:t>
            </w:r>
            <w:proofErr w:type="spellEnd"/>
            <w:r w:rsidRPr="00983535">
              <w:rPr>
                <w:rFonts w:ascii="ITC Avant Garde" w:hAnsi="ITC Avant Garde"/>
                <w:b/>
                <w:bCs/>
                <w:color w:val="auto"/>
                <w:sz w:val="20"/>
                <w:szCs w:val="22"/>
                <w:lang w:val="es-ES_tradnl"/>
              </w:rPr>
              <w:t>]</w:t>
            </w:r>
          </w:p>
        </w:tc>
        <w:tc>
          <w:tcPr>
            <w:tcW w:w="2074" w:type="dxa"/>
            <w:shd w:val="clear" w:color="auto" w:fill="DEEAF6"/>
            <w:vAlign w:val="center"/>
          </w:tcPr>
          <w:p w14:paraId="4563747C"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proofErr w:type="spellStart"/>
            <w:r w:rsidRPr="00983535">
              <w:rPr>
                <w:rFonts w:ascii="ITC Avant Garde" w:hAnsi="ITC Avant Garde"/>
                <w:color w:val="auto"/>
                <w:sz w:val="20"/>
                <w:szCs w:val="22"/>
                <w:lang w:val="es-ES_tradnl"/>
              </w:rPr>
              <w:t>RxLev</w:t>
            </w:r>
            <w:proofErr w:type="spellEnd"/>
            <w:r w:rsidRPr="00983535">
              <w:rPr>
                <w:rFonts w:ascii="ITC Avant Garde" w:hAnsi="ITC Avant Garde"/>
                <w:color w:val="auto"/>
                <w:sz w:val="20"/>
                <w:szCs w:val="22"/>
                <w:lang w:val="es-ES_tradnl"/>
              </w:rPr>
              <w:t xml:space="preserve"> &gt; -75</w:t>
            </w:r>
          </w:p>
        </w:tc>
        <w:tc>
          <w:tcPr>
            <w:tcW w:w="2025" w:type="dxa"/>
            <w:shd w:val="clear" w:color="auto" w:fill="DEEAF6"/>
            <w:vAlign w:val="center"/>
          </w:tcPr>
          <w:p w14:paraId="13788F71"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RSCP &gt; -85</w:t>
            </w:r>
          </w:p>
        </w:tc>
        <w:tc>
          <w:tcPr>
            <w:tcW w:w="2095" w:type="dxa"/>
            <w:shd w:val="clear" w:color="auto" w:fill="DEEAF6"/>
            <w:vAlign w:val="center"/>
          </w:tcPr>
          <w:p w14:paraId="1323A617"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RSRP &gt; -100</w:t>
            </w:r>
          </w:p>
        </w:tc>
      </w:tr>
      <w:tr w:rsidR="00BB4A51" w:rsidRPr="00BB4A51" w14:paraId="77D73490" w14:textId="77777777" w:rsidTr="002D509F">
        <w:trPr>
          <w:cantSplit/>
          <w:jc w:val="center"/>
        </w:trPr>
        <w:tc>
          <w:tcPr>
            <w:tcW w:w="1665" w:type="dxa"/>
            <w:shd w:val="clear" w:color="auto" w:fill="auto"/>
            <w:vAlign w:val="center"/>
          </w:tcPr>
          <w:p w14:paraId="07AC08B6"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Rango 2 [</w:t>
            </w:r>
            <w:proofErr w:type="spellStart"/>
            <w:r w:rsidRPr="00983535">
              <w:rPr>
                <w:rFonts w:ascii="ITC Avant Garde" w:hAnsi="ITC Avant Garde"/>
                <w:b/>
                <w:bCs/>
                <w:color w:val="auto"/>
                <w:sz w:val="20"/>
                <w:szCs w:val="22"/>
                <w:lang w:val="es-ES_tradnl"/>
              </w:rPr>
              <w:t>dBm</w:t>
            </w:r>
            <w:proofErr w:type="spellEnd"/>
            <w:r w:rsidRPr="00983535">
              <w:rPr>
                <w:rFonts w:ascii="ITC Avant Garde" w:hAnsi="ITC Avant Garde"/>
                <w:b/>
                <w:bCs/>
                <w:color w:val="auto"/>
                <w:sz w:val="20"/>
                <w:szCs w:val="22"/>
                <w:lang w:val="es-ES_tradnl"/>
              </w:rPr>
              <w:t>]</w:t>
            </w:r>
          </w:p>
        </w:tc>
        <w:tc>
          <w:tcPr>
            <w:tcW w:w="2074" w:type="dxa"/>
            <w:shd w:val="clear" w:color="auto" w:fill="auto"/>
            <w:vAlign w:val="center"/>
          </w:tcPr>
          <w:p w14:paraId="6DD6DC0C"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 xml:space="preserve">-86 &lt; </w:t>
            </w:r>
            <w:proofErr w:type="spellStart"/>
            <w:r w:rsidRPr="00983535">
              <w:rPr>
                <w:rFonts w:ascii="ITC Avant Garde" w:hAnsi="ITC Avant Garde"/>
                <w:color w:val="auto"/>
                <w:sz w:val="20"/>
                <w:szCs w:val="22"/>
                <w:lang w:val="es-ES_tradnl"/>
              </w:rPr>
              <w:t>RxLev</w:t>
            </w:r>
            <w:proofErr w:type="spellEnd"/>
            <w:r w:rsidRPr="00983535">
              <w:rPr>
                <w:rFonts w:ascii="ITC Avant Garde" w:hAnsi="ITC Avant Garde"/>
                <w:color w:val="auto"/>
                <w:sz w:val="20"/>
                <w:szCs w:val="22"/>
                <w:lang w:val="es-ES_tradnl"/>
              </w:rPr>
              <w:t xml:space="preserve"> ≤ -75</w:t>
            </w:r>
          </w:p>
        </w:tc>
        <w:tc>
          <w:tcPr>
            <w:tcW w:w="2025" w:type="dxa"/>
            <w:shd w:val="clear" w:color="auto" w:fill="auto"/>
            <w:vAlign w:val="center"/>
          </w:tcPr>
          <w:p w14:paraId="66C49F75"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-96 &lt; RSCP ≤ -85</w:t>
            </w:r>
          </w:p>
        </w:tc>
        <w:tc>
          <w:tcPr>
            <w:tcW w:w="2095" w:type="dxa"/>
            <w:shd w:val="clear" w:color="auto" w:fill="auto"/>
            <w:vAlign w:val="center"/>
          </w:tcPr>
          <w:p w14:paraId="20264950"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-111 &lt; RSRP ≤ -100</w:t>
            </w:r>
          </w:p>
        </w:tc>
      </w:tr>
      <w:tr w:rsidR="00983535" w:rsidRPr="00BB4A51" w14:paraId="1ED0C82F" w14:textId="77777777" w:rsidTr="002D509F">
        <w:trPr>
          <w:cantSplit/>
          <w:jc w:val="center"/>
        </w:trPr>
        <w:tc>
          <w:tcPr>
            <w:tcW w:w="1665" w:type="dxa"/>
            <w:shd w:val="clear" w:color="auto" w:fill="DEEAF6"/>
            <w:vAlign w:val="center"/>
          </w:tcPr>
          <w:p w14:paraId="1608627D" w14:textId="77777777" w:rsidR="00BB4A51" w:rsidRPr="00983535" w:rsidRDefault="00BB4A51" w:rsidP="002D509F">
            <w:pPr>
              <w:pStyle w:val="Normal1"/>
              <w:spacing w:before="100" w:after="100"/>
              <w:jc w:val="center"/>
              <w:rPr>
                <w:rFonts w:ascii="ITC Avant Garde" w:hAnsi="ITC Avant Garde"/>
                <w:b/>
                <w:bCs/>
                <w:color w:val="auto"/>
                <w:sz w:val="20"/>
                <w:szCs w:val="22"/>
                <w:lang w:val="es-ES_tradnl"/>
              </w:rPr>
            </w:pPr>
            <w:r w:rsidRPr="00983535">
              <w:rPr>
                <w:rFonts w:ascii="ITC Avant Garde" w:hAnsi="ITC Avant Garde"/>
                <w:b/>
                <w:bCs/>
                <w:color w:val="auto"/>
                <w:sz w:val="20"/>
                <w:szCs w:val="22"/>
                <w:lang w:val="es-ES_tradnl"/>
              </w:rPr>
              <w:t>Rango 3 [</w:t>
            </w:r>
            <w:proofErr w:type="spellStart"/>
            <w:r w:rsidRPr="00983535">
              <w:rPr>
                <w:rFonts w:ascii="ITC Avant Garde" w:hAnsi="ITC Avant Garde"/>
                <w:b/>
                <w:bCs/>
                <w:color w:val="auto"/>
                <w:sz w:val="20"/>
                <w:szCs w:val="22"/>
                <w:lang w:val="es-ES_tradnl"/>
              </w:rPr>
              <w:t>dBm</w:t>
            </w:r>
            <w:proofErr w:type="spellEnd"/>
            <w:r w:rsidRPr="00983535">
              <w:rPr>
                <w:rFonts w:ascii="ITC Avant Garde" w:hAnsi="ITC Avant Garde"/>
                <w:b/>
                <w:bCs/>
                <w:color w:val="auto"/>
                <w:sz w:val="20"/>
                <w:szCs w:val="22"/>
                <w:lang w:val="es-ES_tradnl"/>
              </w:rPr>
              <w:t>]</w:t>
            </w:r>
          </w:p>
        </w:tc>
        <w:tc>
          <w:tcPr>
            <w:tcW w:w="2074" w:type="dxa"/>
            <w:shd w:val="clear" w:color="auto" w:fill="DEEAF6"/>
            <w:vAlign w:val="center"/>
          </w:tcPr>
          <w:p w14:paraId="5AB717B8"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 xml:space="preserve">-111 ≤ </w:t>
            </w:r>
            <w:proofErr w:type="spellStart"/>
            <w:r w:rsidRPr="00983535">
              <w:rPr>
                <w:rFonts w:ascii="ITC Avant Garde" w:hAnsi="ITC Avant Garde"/>
                <w:color w:val="auto"/>
                <w:sz w:val="20"/>
                <w:szCs w:val="22"/>
                <w:lang w:val="es-ES_tradnl"/>
              </w:rPr>
              <w:t>RxLev</w:t>
            </w:r>
            <w:proofErr w:type="spellEnd"/>
            <w:r w:rsidRPr="00983535">
              <w:rPr>
                <w:rFonts w:ascii="ITC Avant Garde" w:hAnsi="ITC Avant Garde"/>
                <w:color w:val="auto"/>
                <w:sz w:val="20"/>
                <w:szCs w:val="22"/>
                <w:lang w:val="es-ES_tradnl"/>
              </w:rPr>
              <w:t xml:space="preserve"> ≤ -86</w:t>
            </w:r>
          </w:p>
        </w:tc>
        <w:tc>
          <w:tcPr>
            <w:tcW w:w="2025" w:type="dxa"/>
            <w:shd w:val="clear" w:color="auto" w:fill="DEEAF6"/>
            <w:vAlign w:val="center"/>
          </w:tcPr>
          <w:p w14:paraId="3D15E488" w14:textId="77777777" w:rsidR="00BB4A51" w:rsidRPr="00983535" w:rsidRDefault="00BB4A51" w:rsidP="002D509F">
            <w:pPr>
              <w:pStyle w:val="Normal1"/>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-116 ≤ RSCP ≤ -96</w:t>
            </w:r>
          </w:p>
        </w:tc>
        <w:tc>
          <w:tcPr>
            <w:tcW w:w="2095" w:type="dxa"/>
            <w:shd w:val="clear" w:color="auto" w:fill="DEEAF6"/>
            <w:vAlign w:val="center"/>
          </w:tcPr>
          <w:p w14:paraId="0BED0476" w14:textId="77777777" w:rsidR="00BB4A51" w:rsidRPr="00983535" w:rsidRDefault="00BB4A51" w:rsidP="002D509F">
            <w:pPr>
              <w:pStyle w:val="Normal1"/>
              <w:keepNext/>
              <w:spacing w:before="100" w:after="100"/>
              <w:jc w:val="center"/>
              <w:rPr>
                <w:rFonts w:ascii="ITC Avant Garde" w:hAnsi="ITC Avant Garde"/>
                <w:color w:val="auto"/>
                <w:sz w:val="20"/>
                <w:szCs w:val="22"/>
                <w:lang w:val="es-ES_tradnl"/>
              </w:rPr>
            </w:pPr>
            <w:r w:rsidRPr="00983535">
              <w:rPr>
                <w:rFonts w:ascii="ITC Avant Garde" w:hAnsi="ITC Avant Garde"/>
                <w:color w:val="auto"/>
                <w:sz w:val="20"/>
                <w:szCs w:val="22"/>
                <w:lang w:val="es-ES_tradnl"/>
              </w:rPr>
              <w:t>-121 ≤ RSRP ≤ -111</w:t>
            </w:r>
          </w:p>
        </w:tc>
      </w:tr>
    </w:tbl>
    <w:p w14:paraId="4A9C7815" w14:textId="7FC56936" w:rsidR="00BB4A51" w:rsidRPr="004A5D22" w:rsidRDefault="00BB4A51" w:rsidP="00BB4A51">
      <w:pPr>
        <w:pStyle w:val="Descripcin"/>
        <w:keepNext/>
        <w:spacing w:afterLines="200" w:after="480" w:line="276" w:lineRule="auto"/>
        <w:contextualSpacing/>
        <w:jc w:val="center"/>
        <w:rPr>
          <w:rFonts w:ascii="ITC Avant Garde" w:hAnsi="ITC Avant Garde"/>
          <w:szCs w:val="22"/>
        </w:rPr>
      </w:pPr>
      <w:r w:rsidRPr="004A5D22">
        <w:rPr>
          <w:rFonts w:ascii="ITC Avant Garde" w:hAnsi="ITC Avant Garde"/>
          <w:szCs w:val="22"/>
        </w:rPr>
        <w:t>Tabla 1: Rangos de Cobertura</w:t>
      </w:r>
      <w:r w:rsidRPr="002C26F2">
        <w:rPr>
          <w:rStyle w:val="Refdenotaalpie"/>
          <w:rFonts w:ascii="ITC Avant Garde" w:hAnsi="ITC Avant Garde"/>
          <w:color w:val="auto"/>
          <w:sz w:val="22"/>
          <w:szCs w:val="22"/>
          <w:lang w:val="es-ES_tradnl"/>
        </w:rPr>
        <w:footnoteReference w:id="2"/>
      </w:r>
    </w:p>
    <w:p w14:paraId="2151B3E1" w14:textId="5198A97B" w:rsidR="00BB4A51" w:rsidRPr="00F8156F" w:rsidRDefault="00BB4A51" w:rsidP="00F8156F">
      <w:pPr>
        <w:pStyle w:val="Normal1"/>
        <w:widowControl w:val="0"/>
        <w:numPr>
          <w:ilvl w:val="0"/>
          <w:numId w:val="31"/>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Tener una resolución de al menos 5</w:t>
      </w:r>
      <w:r w:rsidR="005E1105">
        <w:rPr>
          <w:rFonts w:ascii="ITC Avant Garde" w:hAnsi="ITC Avant Garde"/>
          <w:color w:val="auto"/>
          <w:szCs w:val="22"/>
        </w:rPr>
        <w:t xml:space="preserve"> </w:t>
      </w:r>
      <w:r w:rsidRPr="00F8156F">
        <w:rPr>
          <w:rFonts w:ascii="ITC Avant Garde" w:hAnsi="ITC Avant Garde"/>
          <w:color w:val="auto"/>
          <w:szCs w:val="22"/>
        </w:rPr>
        <w:t>metros;</w:t>
      </w:r>
      <w:r w:rsidR="00F8156F">
        <w:rPr>
          <w:rFonts w:ascii="ITC Avant Garde" w:hAnsi="ITC Avant Garde"/>
          <w:color w:val="auto"/>
          <w:szCs w:val="22"/>
        </w:rPr>
        <w:t xml:space="preserve"> y</w:t>
      </w:r>
    </w:p>
    <w:p w14:paraId="566E7F1A" w14:textId="77777777" w:rsidR="00BB4A51" w:rsidRPr="00F8156F" w:rsidRDefault="00BB4A51" w:rsidP="00F8156F">
      <w:pPr>
        <w:pStyle w:val="Normal1"/>
        <w:widowControl w:val="0"/>
        <w:numPr>
          <w:ilvl w:val="0"/>
          <w:numId w:val="31"/>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Ser presentada en formato de </w:t>
      </w:r>
      <w:proofErr w:type="spellStart"/>
      <w:r w:rsidRPr="00F8156F">
        <w:rPr>
          <w:rFonts w:ascii="ITC Avant Garde" w:hAnsi="ITC Avant Garde"/>
          <w:color w:val="auto"/>
          <w:szCs w:val="22"/>
        </w:rPr>
        <w:t>Arcview</w:t>
      </w:r>
      <w:proofErr w:type="spellEnd"/>
      <w:r w:rsidRPr="00F8156F">
        <w:rPr>
          <w:rFonts w:ascii="ITC Avant Garde" w:hAnsi="ITC Avant Garde"/>
          <w:color w:val="auto"/>
          <w:szCs w:val="22"/>
        </w:rPr>
        <w:t xml:space="preserve"> (.</w:t>
      </w:r>
      <w:proofErr w:type="spellStart"/>
      <w:r w:rsidRPr="00F8156F">
        <w:rPr>
          <w:rFonts w:ascii="ITC Avant Garde" w:hAnsi="ITC Avant Garde"/>
          <w:color w:val="auto"/>
          <w:szCs w:val="22"/>
        </w:rPr>
        <w:t>shp</w:t>
      </w:r>
      <w:proofErr w:type="spellEnd"/>
      <w:r w:rsidRPr="00F8156F">
        <w:rPr>
          <w:rFonts w:ascii="ITC Avant Garde" w:hAnsi="ITC Avant Garde"/>
          <w:color w:val="auto"/>
          <w:szCs w:val="22"/>
        </w:rPr>
        <w:t xml:space="preserve">) o </w:t>
      </w:r>
      <w:proofErr w:type="spellStart"/>
      <w:r w:rsidRPr="00F8156F">
        <w:rPr>
          <w:rFonts w:ascii="ITC Avant Garde" w:hAnsi="ITC Avant Garde"/>
          <w:color w:val="auto"/>
          <w:szCs w:val="22"/>
        </w:rPr>
        <w:t>Mapinfo</w:t>
      </w:r>
      <w:proofErr w:type="spellEnd"/>
      <w:r w:rsidRPr="00F8156F">
        <w:rPr>
          <w:rFonts w:ascii="ITC Avant Garde" w:hAnsi="ITC Avant Garde"/>
          <w:color w:val="auto"/>
          <w:szCs w:val="22"/>
        </w:rPr>
        <w:t xml:space="preserve"> (.</w:t>
      </w:r>
      <w:proofErr w:type="spellStart"/>
      <w:r w:rsidRPr="00F8156F">
        <w:rPr>
          <w:rFonts w:ascii="ITC Avant Garde" w:hAnsi="ITC Avant Garde"/>
          <w:color w:val="auto"/>
          <w:szCs w:val="22"/>
        </w:rPr>
        <w:t>tab</w:t>
      </w:r>
      <w:proofErr w:type="spellEnd"/>
      <w:r w:rsidRPr="00F8156F">
        <w:rPr>
          <w:rFonts w:ascii="ITC Avant Garde" w:hAnsi="ITC Avant Garde"/>
          <w:color w:val="auto"/>
          <w:szCs w:val="22"/>
        </w:rPr>
        <w:t>).</w:t>
      </w:r>
    </w:p>
    <w:p w14:paraId="3E2B518D" w14:textId="1FC17AE9" w:rsidR="00BB4A51" w:rsidRPr="002C26F2" w:rsidRDefault="00BB4A51" w:rsidP="00F8156F">
      <w:pPr>
        <w:pStyle w:val="IFTnormal"/>
      </w:pPr>
      <w:r w:rsidRPr="002C26F2">
        <w:t xml:space="preserve">Los </w:t>
      </w:r>
      <w:r w:rsidR="005647AB">
        <w:t>Interesados en Despliegue</w:t>
      </w:r>
      <w:r w:rsidRPr="002C26F2">
        <w:t xml:space="preserve"> deberán asegurar un diseño de su red del servicio móvil en las inmediaciones de los Centros de Readaptación Social con un nivel esperado de intensidad de potencia recibida tal que prevenga el establecimiento de comunicaciones a partir del Borde de Cumplimiento. Dicho diseño deberá contemplar las Estaciones Nuevas así como la infraestructura instalada previamente.</w:t>
      </w:r>
    </w:p>
    <w:p w14:paraId="1EE46212" w14:textId="5632D380" w:rsidR="00BB4A51" w:rsidRPr="00F8156F" w:rsidRDefault="00BB4A51" w:rsidP="00F8156F">
      <w:pPr>
        <w:pStyle w:val="IFTnormal"/>
        <w:numPr>
          <w:ilvl w:val="1"/>
          <w:numId w:val="13"/>
        </w:numPr>
        <w:jc w:val="left"/>
      </w:pPr>
      <w:r w:rsidRPr="00F8156F">
        <w:t>Metodología para evaluar el despliegue de infraestructura del servicio móvil en las inmediaciones de los</w:t>
      </w:r>
      <w:r w:rsidR="00F8156F">
        <w:t xml:space="preserve"> Centros de Readaptación Social</w:t>
      </w:r>
    </w:p>
    <w:p w14:paraId="76E8BC39" w14:textId="0268A10D" w:rsidR="00F8156F" w:rsidRPr="00F8156F" w:rsidRDefault="00F8156F" w:rsidP="00F8156F">
      <w:pPr>
        <w:pStyle w:val="IFTnormal"/>
        <w:numPr>
          <w:ilvl w:val="2"/>
          <w:numId w:val="13"/>
        </w:numPr>
        <w:jc w:val="left"/>
      </w:pPr>
      <w:r>
        <w:t>Disposiciones Generales</w:t>
      </w:r>
    </w:p>
    <w:p w14:paraId="35ECFA2F" w14:textId="18319887" w:rsidR="00BB4A51" w:rsidRPr="00F8156F" w:rsidRDefault="00BB4A51" w:rsidP="00F8156F">
      <w:pPr>
        <w:pStyle w:val="IFTnormal"/>
      </w:pPr>
      <w:r w:rsidRPr="002C26F2">
        <w:t>Previo al Ejercicio de Medición, se debe considerar lo siguiente:</w:t>
      </w:r>
    </w:p>
    <w:p w14:paraId="5F46B3B1" w14:textId="59D51B09" w:rsidR="00BB4A51" w:rsidRPr="00BD0198" w:rsidRDefault="00BB4A51" w:rsidP="00F8156F">
      <w:pPr>
        <w:pStyle w:val="Normal1"/>
        <w:widowControl w:val="0"/>
        <w:numPr>
          <w:ilvl w:val="0"/>
          <w:numId w:val="32"/>
        </w:numPr>
        <w:spacing w:afterLines="200" w:after="480"/>
        <w:contextualSpacing/>
        <w:jc w:val="both"/>
        <w:rPr>
          <w:rFonts w:ascii="ITC Avant Garde" w:hAnsi="ITC Avant Garde"/>
          <w:color w:val="auto"/>
          <w:szCs w:val="22"/>
        </w:rPr>
      </w:pPr>
      <w:r w:rsidRPr="002C26F2">
        <w:rPr>
          <w:rFonts w:ascii="ITC Avant Garde" w:hAnsi="ITC Avant Garde"/>
          <w:color w:val="auto"/>
          <w:szCs w:val="22"/>
        </w:rPr>
        <w:t xml:space="preserve">Se utilizará un método estadístico para validar la incapacidad de establecer llamadas dentro del Área de Evaluación para cada </w:t>
      </w:r>
      <w:r w:rsidR="005647AB">
        <w:rPr>
          <w:rFonts w:ascii="ITC Avant Garde" w:hAnsi="ITC Avant Garde"/>
          <w:color w:val="auto"/>
          <w:szCs w:val="22"/>
        </w:rPr>
        <w:t xml:space="preserve">Interesado en </w:t>
      </w:r>
      <w:r w:rsidR="005647AB" w:rsidRPr="00BD0198">
        <w:rPr>
          <w:rFonts w:ascii="ITC Avant Garde" w:hAnsi="ITC Avant Garde"/>
          <w:color w:val="auto"/>
          <w:szCs w:val="22"/>
        </w:rPr>
        <w:t>Despliegue</w:t>
      </w:r>
      <w:r w:rsidRPr="00BD0198">
        <w:rPr>
          <w:rFonts w:ascii="ITC Avant Garde" w:hAnsi="ITC Avant Garde"/>
          <w:color w:val="auto"/>
          <w:szCs w:val="22"/>
        </w:rPr>
        <w:t xml:space="preserve"> y por cada Tecnología de Acceso.</w:t>
      </w:r>
    </w:p>
    <w:p w14:paraId="5E27234D" w14:textId="42A03DF3" w:rsidR="00BB4A51" w:rsidRPr="00BD0198" w:rsidRDefault="00BB4A51" w:rsidP="00F8156F">
      <w:pPr>
        <w:pStyle w:val="Normal1"/>
        <w:widowControl w:val="0"/>
        <w:numPr>
          <w:ilvl w:val="0"/>
          <w:numId w:val="32"/>
        </w:numPr>
        <w:spacing w:afterLines="200" w:after="480"/>
        <w:contextualSpacing/>
        <w:jc w:val="both"/>
        <w:rPr>
          <w:rFonts w:ascii="ITC Avant Garde" w:hAnsi="ITC Avant Garde"/>
          <w:color w:val="auto"/>
          <w:szCs w:val="22"/>
        </w:rPr>
      </w:pPr>
      <w:r w:rsidRPr="00BD0198">
        <w:rPr>
          <w:rFonts w:ascii="ITC Avant Garde" w:hAnsi="ITC Avant Garde"/>
          <w:color w:val="auto"/>
          <w:szCs w:val="22"/>
        </w:rPr>
        <w:t xml:space="preserve">El Instituto determinará las ubicaciones geográficas donde se llevará a cabo el Ejercicio de Medición de conformidad con el Área de Evaluación y el tamaño de muestra correspondiente a la que hace referencia el numeral </w:t>
      </w:r>
      <w:r w:rsidR="00BD0198" w:rsidRPr="00BD0198">
        <w:rPr>
          <w:rFonts w:ascii="ITC Avant Garde" w:hAnsi="ITC Avant Garde"/>
          <w:color w:val="auto"/>
          <w:szCs w:val="22"/>
        </w:rPr>
        <w:t>5.3.5</w:t>
      </w:r>
      <w:r w:rsidRPr="00BD0198">
        <w:rPr>
          <w:rFonts w:ascii="ITC Avant Garde" w:hAnsi="ITC Avant Garde"/>
          <w:color w:val="auto"/>
          <w:szCs w:val="22"/>
        </w:rPr>
        <w:t xml:space="preserve"> de la presente metodología.</w:t>
      </w:r>
    </w:p>
    <w:p w14:paraId="01E39CE0" w14:textId="77777777" w:rsidR="00BB4A51" w:rsidRPr="002C26F2" w:rsidRDefault="00BB4A51" w:rsidP="00F8156F">
      <w:pPr>
        <w:pStyle w:val="Normal1"/>
        <w:widowControl w:val="0"/>
        <w:numPr>
          <w:ilvl w:val="0"/>
          <w:numId w:val="32"/>
        </w:numPr>
        <w:spacing w:afterLines="200" w:after="480"/>
        <w:contextualSpacing/>
        <w:jc w:val="both"/>
        <w:rPr>
          <w:rFonts w:ascii="ITC Avant Garde" w:hAnsi="ITC Avant Garde"/>
          <w:color w:val="auto"/>
          <w:szCs w:val="22"/>
        </w:rPr>
      </w:pPr>
      <w:r w:rsidRPr="002C26F2">
        <w:rPr>
          <w:rFonts w:ascii="ITC Avant Garde" w:hAnsi="ITC Avant Garde"/>
          <w:color w:val="auto"/>
          <w:szCs w:val="22"/>
        </w:rPr>
        <w:t>Los Ejercicios de Medición se realizarán dentro del Área de Evaluación para cada Tecnología de Acceso.</w:t>
      </w:r>
    </w:p>
    <w:p w14:paraId="02F71D22" w14:textId="426FAE12" w:rsidR="00F8156F" w:rsidRPr="00F8156F" w:rsidRDefault="00BB4A51" w:rsidP="00F8156F">
      <w:pPr>
        <w:pStyle w:val="IFTnormal"/>
        <w:numPr>
          <w:ilvl w:val="2"/>
          <w:numId w:val="13"/>
        </w:numPr>
        <w:jc w:val="left"/>
      </w:pPr>
      <w:r w:rsidRPr="00F8156F">
        <w:t>Equipo de M</w:t>
      </w:r>
      <w:r w:rsidR="002D41B6">
        <w:t>edición</w:t>
      </w:r>
    </w:p>
    <w:p w14:paraId="416EBE75" w14:textId="4E41CF8E" w:rsidR="00BB4A51" w:rsidRPr="00F8156F" w:rsidRDefault="00F8156F" w:rsidP="00F8156F">
      <w:pPr>
        <w:pStyle w:val="IFTnormal"/>
        <w:rPr>
          <w:b/>
        </w:rPr>
      </w:pPr>
      <w:r>
        <w:t>El Equipo de Medición utilizado d</w:t>
      </w:r>
      <w:r w:rsidR="00BB4A51" w:rsidRPr="00F8156F">
        <w:t>ebe contar con las siguientes características:</w:t>
      </w:r>
    </w:p>
    <w:p w14:paraId="5D0B1C94" w14:textId="0DA7F6DD"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lastRenderedPageBreak/>
        <w:t>Capacidad de medición del nivel de intensidad de potencia de la señal recibida por tecnología (</w:t>
      </w:r>
      <w:proofErr w:type="spellStart"/>
      <w:r w:rsidRPr="00F8156F">
        <w:rPr>
          <w:rFonts w:ascii="ITC Avant Garde" w:hAnsi="ITC Avant Garde"/>
          <w:color w:val="auto"/>
          <w:szCs w:val="22"/>
        </w:rPr>
        <w:t>RxLev</w:t>
      </w:r>
      <w:proofErr w:type="spellEnd"/>
      <w:r w:rsidRPr="00F8156F">
        <w:rPr>
          <w:rFonts w:ascii="ITC Avant Garde" w:hAnsi="ITC Avant Garde"/>
          <w:color w:val="auto"/>
          <w:szCs w:val="22"/>
        </w:rPr>
        <w:t xml:space="preserve"> para GSM, RSCP para UMTS y RSRP para LTE), y por </w:t>
      </w:r>
      <w:r w:rsidR="005647AB">
        <w:rPr>
          <w:rFonts w:ascii="ITC Avant Garde" w:hAnsi="ITC Avant Garde"/>
          <w:color w:val="auto"/>
          <w:szCs w:val="22"/>
        </w:rPr>
        <w:t>Interesado en Despliegue</w:t>
      </w:r>
      <w:r w:rsidRPr="00F8156F">
        <w:rPr>
          <w:rFonts w:ascii="ITC Avant Garde" w:hAnsi="ITC Avant Garde"/>
          <w:color w:val="auto"/>
          <w:szCs w:val="22"/>
        </w:rPr>
        <w:t xml:space="preserve">; </w:t>
      </w:r>
    </w:p>
    <w:p w14:paraId="5018A9CC"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Almacenamiento automático de la información obtenida de los Eventos y contar con respaldo en dispositivos externos de mayor capacidad;</w:t>
      </w:r>
    </w:p>
    <w:p w14:paraId="1D0E9407"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Contar con un sistema de GPS que permita conocer y registrar la Ubicación geográfica para cada uno de los Eventos;</w:t>
      </w:r>
    </w:p>
    <w:p w14:paraId="79EC1DDB"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Estar en óptimas condiciones de operación y contar con programas de mantenimiento y calibración;</w:t>
      </w:r>
    </w:p>
    <w:p w14:paraId="749E33A8"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Estabilidad operativa, una vez iniciado el Ejercicio de Medición correspondiente, las características técnicas del software y hardware del Equipo de Medición se mantendrán sin cambios hasta la finalización del mismo;</w:t>
      </w:r>
    </w:p>
    <w:p w14:paraId="0CC12510" w14:textId="0C67111A"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El Equipo de Medición deberá tener la capacidad de realizar mediciones simultáneas a todos los </w:t>
      </w:r>
      <w:r w:rsidR="005647AB">
        <w:rPr>
          <w:rFonts w:ascii="ITC Avant Garde" w:hAnsi="ITC Avant Garde"/>
          <w:color w:val="auto"/>
          <w:szCs w:val="22"/>
        </w:rPr>
        <w:t>Interesados en Despliegue</w:t>
      </w:r>
      <w:r w:rsidRPr="00F8156F">
        <w:rPr>
          <w:rFonts w:ascii="ITC Avant Garde" w:hAnsi="ITC Avant Garde"/>
          <w:color w:val="auto"/>
          <w:szCs w:val="22"/>
        </w:rPr>
        <w:t>;</w:t>
      </w:r>
    </w:p>
    <w:p w14:paraId="6510013E" w14:textId="6869559D"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Soportar mediciones de todas las Tecnologías de Acceso ofrecidas por los </w:t>
      </w:r>
      <w:r w:rsidR="005647AB">
        <w:rPr>
          <w:rFonts w:ascii="ITC Avant Garde" w:hAnsi="ITC Avant Garde"/>
          <w:color w:val="auto"/>
          <w:szCs w:val="22"/>
        </w:rPr>
        <w:t>Interesados en Despliegue</w:t>
      </w:r>
      <w:r w:rsidRPr="00F8156F">
        <w:rPr>
          <w:rFonts w:ascii="ITC Avant Garde" w:hAnsi="ITC Avant Garde"/>
          <w:color w:val="auto"/>
          <w:szCs w:val="22"/>
        </w:rPr>
        <w:t xml:space="preserve"> en el país;</w:t>
      </w:r>
    </w:p>
    <w:p w14:paraId="26414DA6"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Permitir la creación flexible de los Eventos, y el uso de plantillas para la reutilización de los mismos; </w:t>
      </w:r>
    </w:p>
    <w:p w14:paraId="3DE424C7"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Deberá cumplir, en lo aplicable, con las últimas versiones de las especificaciones técnicas y de las recomendaciones emitidas por ETSI y 3GPP;</w:t>
      </w:r>
    </w:p>
    <w:p w14:paraId="3013FDF1"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En caso de falla del Equipo de Medición utilizados en el Ejercicio de Medición, se deberá reproducir una alarma visual y/o auditiva.</w:t>
      </w:r>
    </w:p>
    <w:p w14:paraId="02584D0B" w14:textId="77777777" w:rsidR="00BB4A51" w:rsidRPr="00F8156F" w:rsidRDefault="00BB4A51" w:rsidP="00F8156F">
      <w:pPr>
        <w:pStyle w:val="Normal1"/>
        <w:widowControl w:val="0"/>
        <w:numPr>
          <w:ilvl w:val="0"/>
          <w:numId w:val="33"/>
        </w:numPr>
        <w:spacing w:afterLines="200" w:after="480"/>
        <w:contextualSpacing/>
        <w:jc w:val="both"/>
        <w:rPr>
          <w:rFonts w:ascii="ITC Avant Garde" w:hAnsi="ITC Avant Garde"/>
          <w:color w:val="auto"/>
          <w:szCs w:val="22"/>
        </w:rPr>
      </w:pPr>
      <w:r w:rsidRPr="00F8156F">
        <w:rPr>
          <w:rFonts w:ascii="ITC Avant Garde" w:hAnsi="ITC Avant Garde"/>
          <w:color w:val="auto"/>
          <w:szCs w:val="22"/>
        </w:rPr>
        <w:t xml:space="preserve">Capacidad de evaluar de manera simultánea los Servicios de voz y de mensajes cortos; </w:t>
      </w:r>
    </w:p>
    <w:p w14:paraId="6367991E" w14:textId="2AF45457" w:rsidR="002D41B6" w:rsidRPr="002D41B6" w:rsidRDefault="002D41B6" w:rsidP="002D41B6">
      <w:pPr>
        <w:pStyle w:val="IFTnormal"/>
        <w:numPr>
          <w:ilvl w:val="2"/>
          <w:numId w:val="13"/>
        </w:numPr>
        <w:jc w:val="left"/>
      </w:pPr>
      <w:r w:rsidRPr="002D41B6">
        <w:t>Ejercicio de Medición</w:t>
      </w:r>
    </w:p>
    <w:p w14:paraId="0A658CE5" w14:textId="1869EFFD" w:rsidR="00BB4A51" w:rsidRPr="002C26F2" w:rsidRDefault="00BB4A51" w:rsidP="002D41B6">
      <w:pPr>
        <w:pStyle w:val="IFTnormal"/>
      </w:pPr>
      <w:r w:rsidRPr="002C26F2">
        <w:t>El desarrollo del Ejercicio de Medición estará sujeto a los siguientes criterios generales:</w:t>
      </w:r>
    </w:p>
    <w:p w14:paraId="74DAEAC8" w14:textId="68AAC2E0" w:rsidR="00BB4A51" w:rsidRPr="002C26F2"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lang w:val="es-ES_tradnl"/>
        </w:rPr>
      </w:pPr>
      <w:r w:rsidRPr="002C26F2">
        <w:rPr>
          <w:rFonts w:ascii="ITC Avant Garde" w:hAnsi="ITC Avant Garde"/>
          <w:color w:val="auto"/>
          <w:szCs w:val="22"/>
        </w:rPr>
        <w:t>Todos los Eventos se llevarán a cabo exclusivamente en exteriores, en el Área de Evaluación y a una altura de 1.5 metros sobre la superficie, cuando lo anterior sea técnicamente factible;</w:t>
      </w:r>
      <w:r w:rsidRPr="002C26F2">
        <w:rPr>
          <w:rFonts w:ascii="ITC Avant Garde" w:hAnsi="ITC Avant Garde"/>
          <w:color w:val="auto"/>
          <w:szCs w:val="22"/>
          <w:lang w:val="es-ES_tradnl"/>
        </w:rPr>
        <w:t xml:space="preserve"> </w:t>
      </w:r>
    </w:p>
    <w:p w14:paraId="0D6DE056" w14:textId="77777777" w:rsidR="00BB4A51" w:rsidRPr="002C26F2"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lang w:val="es-ES_tradnl"/>
        </w:rPr>
      </w:pPr>
      <w:r w:rsidRPr="002C26F2">
        <w:rPr>
          <w:rFonts w:ascii="ITC Avant Garde" w:hAnsi="ITC Avant Garde"/>
          <w:color w:val="auto"/>
          <w:szCs w:val="22"/>
          <w:lang w:val="es-ES_tradnl"/>
        </w:rPr>
        <w:t>Los Eventos se podrán realizar en cualquier horario, siempre y cuando éstas se realicen antes de las 20 horas del día (hora aplicable a la zona geográfica de realización del Evento), los siete días de la semana;</w:t>
      </w:r>
    </w:p>
    <w:p w14:paraId="4B440973" w14:textId="77777777" w:rsidR="00BB4A51" w:rsidRPr="002C26F2"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rPr>
      </w:pPr>
      <w:r w:rsidRPr="002C26F2">
        <w:rPr>
          <w:rFonts w:ascii="ITC Avant Garde" w:hAnsi="ITC Avant Garde"/>
          <w:color w:val="auto"/>
          <w:szCs w:val="22"/>
          <w:lang w:val="es-ES_tradnl"/>
        </w:rPr>
        <w:t>Se debe registrar la hora de inicio y fin del Ejercicio de Medición en la  Bitácora de Pruebas;</w:t>
      </w:r>
    </w:p>
    <w:p w14:paraId="0C2B6230" w14:textId="77777777" w:rsidR="00BB4A51"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rPr>
      </w:pPr>
      <w:r w:rsidRPr="002C26F2">
        <w:rPr>
          <w:rFonts w:ascii="ITC Avant Garde" w:hAnsi="ITC Avant Garde"/>
          <w:color w:val="auto"/>
          <w:szCs w:val="22"/>
        </w:rPr>
        <w:t xml:space="preserve">En caso de que el personal a cargo de la realización del Ejercicio de </w:t>
      </w:r>
      <w:r w:rsidRPr="002C26F2">
        <w:rPr>
          <w:rFonts w:ascii="ITC Avant Garde" w:hAnsi="ITC Avant Garde"/>
          <w:color w:val="auto"/>
          <w:szCs w:val="22"/>
        </w:rPr>
        <w:lastRenderedPageBreak/>
        <w:t xml:space="preserve">Medición, detecte fallas atribuibles al Equipo de Medición o en el Equipo Terminal Móvil,  las mismas se registrarán en la Bitácora de Pruebas para que los Eventos correspondientes sean descartados en la etapa de </w:t>
      </w:r>
      <w:proofErr w:type="spellStart"/>
      <w:r w:rsidRPr="002C26F2">
        <w:rPr>
          <w:rFonts w:ascii="ITC Avant Garde" w:hAnsi="ITC Avant Garde"/>
          <w:color w:val="auto"/>
          <w:szCs w:val="22"/>
        </w:rPr>
        <w:t>posproceso</w:t>
      </w:r>
      <w:proofErr w:type="spellEnd"/>
      <w:r w:rsidRPr="002C26F2">
        <w:rPr>
          <w:rFonts w:ascii="ITC Avant Garde" w:hAnsi="ITC Avant Garde"/>
          <w:color w:val="auto"/>
          <w:szCs w:val="22"/>
        </w:rPr>
        <w:t>;</w:t>
      </w:r>
    </w:p>
    <w:p w14:paraId="77628401" w14:textId="77777777" w:rsidR="00BB4A51" w:rsidRPr="002C26F2"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rPr>
      </w:pPr>
      <w:r w:rsidRPr="002C26F2">
        <w:rPr>
          <w:rFonts w:ascii="ITC Avant Garde" w:hAnsi="ITC Avant Garde"/>
          <w:color w:val="auto"/>
        </w:rPr>
        <w:t>Los Eventos del Ejercicio de Medición se llevarán a cabo utilizando Equipos Terminales Móviles que incorporen la funcionalidad de</w:t>
      </w:r>
      <w:r w:rsidRPr="002C26F2">
        <w:rPr>
          <w:rFonts w:ascii="ITC Avant Garde" w:hAnsi="ITC Avant Garde"/>
          <w:color w:val="auto"/>
          <w:lang w:val="es-ES"/>
        </w:rPr>
        <w:t xml:space="preserve"> GPS; </w:t>
      </w:r>
    </w:p>
    <w:p w14:paraId="196F1FE3" w14:textId="0A9517F6" w:rsidR="00BB4A51"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rPr>
      </w:pPr>
      <w:r w:rsidRPr="002C26F2">
        <w:rPr>
          <w:rFonts w:ascii="ITC Avant Garde" w:hAnsi="ITC Avant Garde"/>
          <w:color w:val="auto"/>
          <w:szCs w:val="22"/>
        </w:rPr>
        <w:t xml:space="preserve">La Tecnología de Acceso en los Equipos Terminales Móviles será forzada con el objetivo de evaluar de manera independiente cada una de las Tecnologías de Acceso ofrecidas por los </w:t>
      </w:r>
      <w:r w:rsidR="005647AB">
        <w:rPr>
          <w:rFonts w:ascii="ITC Avant Garde" w:hAnsi="ITC Avant Garde"/>
          <w:color w:val="auto"/>
          <w:szCs w:val="22"/>
        </w:rPr>
        <w:t>Interesados en Despliegue</w:t>
      </w:r>
      <w:r w:rsidRPr="002C26F2">
        <w:rPr>
          <w:rFonts w:ascii="ITC Avant Garde" w:hAnsi="ITC Avant Garde"/>
          <w:color w:val="auto"/>
          <w:szCs w:val="22"/>
        </w:rPr>
        <w:t>;</w:t>
      </w:r>
    </w:p>
    <w:p w14:paraId="57271550" w14:textId="51978C10" w:rsidR="00BB4A51" w:rsidRPr="002C26F2" w:rsidRDefault="00BB4A51" w:rsidP="00BD0198">
      <w:pPr>
        <w:pStyle w:val="Normal1"/>
        <w:widowControl w:val="0"/>
        <w:numPr>
          <w:ilvl w:val="0"/>
          <w:numId w:val="27"/>
        </w:numPr>
        <w:spacing w:afterLines="200" w:after="480"/>
        <w:ind w:left="709" w:right="-59"/>
        <w:contextualSpacing/>
        <w:jc w:val="both"/>
        <w:rPr>
          <w:rFonts w:ascii="ITC Avant Garde" w:hAnsi="ITC Avant Garde"/>
          <w:color w:val="auto"/>
          <w:szCs w:val="22"/>
        </w:rPr>
      </w:pPr>
      <w:r w:rsidRPr="002C26F2">
        <w:rPr>
          <w:rFonts w:ascii="ITC Avant Garde" w:hAnsi="ITC Avant Garde"/>
          <w:color w:val="auto"/>
          <w:szCs w:val="22"/>
        </w:rPr>
        <w:t xml:space="preserve">Para la evaluación de los Eventos, éstos deberán ser detonados desde el Equipo de Medición y desde los Equipos terminales móviles </w:t>
      </w:r>
      <w:r w:rsidRPr="002C26F2">
        <w:rPr>
          <w:rFonts w:ascii="ITC Avant Garde" w:hAnsi="ITC Avant Garde"/>
          <w:color w:val="auto"/>
          <w:szCs w:val="22"/>
          <w:lang w:val="es-ES_tradnl"/>
        </w:rPr>
        <w:t>en movimiento de caminata, a velocidades de hasta 5</w:t>
      </w:r>
      <w:r w:rsidR="005E1105">
        <w:rPr>
          <w:rFonts w:ascii="ITC Avant Garde" w:hAnsi="ITC Avant Garde"/>
          <w:color w:val="auto"/>
          <w:szCs w:val="22"/>
          <w:lang w:val="es-ES_tradnl"/>
        </w:rPr>
        <w:t xml:space="preserve"> </w:t>
      </w:r>
      <w:r w:rsidRPr="002C26F2">
        <w:rPr>
          <w:rFonts w:ascii="ITC Avant Garde" w:hAnsi="ITC Avant Garde"/>
          <w:color w:val="auto"/>
          <w:szCs w:val="22"/>
          <w:lang w:val="es-ES_tradnl"/>
        </w:rPr>
        <w:t xml:space="preserve">km/h, </w:t>
      </w:r>
      <w:r w:rsidRPr="002C26F2">
        <w:rPr>
          <w:rFonts w:ascii="ITC Avant Garde" w:hAnsi="ITC Avant Garde"/>
          <w:color w:val="auto"/>
          <w:szCs w:val="22"/>
        </w:rPr>
        <w:t xml:space="preserve">dentro del Área de Evaluación para cada Tecnología de Acceso. </w:t>
      </w:r>
    </w:p>
    <w:p w14:paraId="0A072BC0" w14:textId="7D912ECC" w:rsidR="002D41B6" w:rsidRPr="002D41B6" w:rsidRDefault="00BB4A51" w:rsidP="002D41B6">
      <w:pPr>
        <w:pStyle w:val="IFTnormal"/>
        <w:numPr>
          <w:ilvl w:val="2"/>
          <w:numId w:val="13"/>
        </w:numPr>
        <w:jc w:val="left"/>
      </w:pPr>
      <w:r w:rsidRPr="002D41B6">
        <w:t xml:space="preserve">Evaluación de los Eventos </w:t>
      </w:r>
    </w:p>
    <w:p w14:paraId="116993B4" w14:textId="102F01BD" w:rsidR="00BB4A51" w:rsidRPr="002C26F2" w:rsidRDefault="00BB4A51" w:rsidP="002D41B6">
      <w:pPr>
        <w:pStyle w:val="IFTnormal"/>
        <w:rPr>
          <w:b/>
        </w:rPr>
      </w:pPr>
      <w:r w:rsidRPr="002C26F2">
        <w:t xml:space="preserve">La evaluación del cumplimiento de la incapacidad de establecer llamadas en el perímetro de los </w:t>
      </w:r>
      <w:r w:rsidR="00BD0198">
        <w:t>Centros de Readaptación Social</w:t>
      </w:r>
      <w:r w:rsidRPr="002C26F2">
        <w:t xml:space="preserve"> se llevará a cabo bajo los siguientes criterios generales:</w:t>
      </w:r>
    </w:p>
    <w:p w14:paraId="1A541A9D" w14:textId="7887387D" w:rsidR="00BB4A51" w:rsidRPr="002C26F2" w:rsidRDefault="00BB4A51" w:rsidP="00BD0198">
      <w:pPr>
        <w:pStyle w:val="Prrafodelista"/>
        <w:numPr>
          <w:ilvl w:val="0"/>
          <w:numId w:val="29"/>
        </w:numPr>
        <w:spacing w:afterLines="200" w:after="480" w:line="276" w:lineRule="auto"/>
        <w:ind w:left="709"/>
        <w:jc w:val="both"/>
        <w:rPr>
          <w:rFonts w:ascii="ITC Avant Garde" w:hAnsi="ITC Avant Garde"/>
        </w:rPr>
      </w:pPr>
      <w:r w:rsidRPr="002C26F2">
        <w:rPr>
          <w:rFonts w:ascii="ITC Avant Garde" w:hAnsi="ITC Avant Garde"/>
        </w:rPr>
        <w:t xml:space="preserve">El tamaño de la muestra para la evaluación de los Eventos en  el Área de Evaluación, conforme a lo descrito en </w:t>
      </w:r>
      <w:r w:rsidRPr="00BD0198">
        <w:rPr>
          <w:rFonts w:ascii="ITC Avant Garde" w:hAnsi="ITC Avant Garde"/>
        </w:rPr>
        <w:t xml:space="preserve">el numeral </w:t>
      </w:r>
      <w:r w:rsidR="00BD0198" w:rsidRPr="00BD0198">
        <w:rPr>
          <w:rFonts w:ascii="ITC Avant Garde" w:hAnsi="ITC Avant Garde"/>
        </w:rPr>
        <w:t>5.3.5</w:t>
      </w:r>
      <w:r w:rsidRPr="00BD0198">
        <w:rPr>
          <w:rFonts w:ascii="ITC Avant Garde" w:hAnsi="ITC Avant Garde"/>
        </w:rPr>
        <w:t xml:space="preserve"> de la presente metodología, será de al menos de 753 Eventos, a fin de contar  con un nivel de confianza de 95% y un error de esti</w:t>
      </w:r>
      <w:r w:rsidRPr="002C26F2">
        <w:rPr>
          <w:rFonts w:ascii="ITC Avant Garde" w:hAnsi="ITC Avant Garde"/>
        </w:rPr>
        <w:t>mación menor o igual a 1% al considerar un valor de interés de 2% (llamadas establecidas exitosamente);</w:t>
      </w:r>
    </w:p>
    <w:p w14:paraId="278DB1AF" w14:textId="77777777" w:rsidR="00BB4A51" w:rsidRPr="002C26F2" w:rsidRDefault="00BB4A51" w:rsidP="00BD0198">
      <w:pPr>
        <w:pStyle w:val="Prrafodelista"/>
        <w:numPr>
          <w:ilvl w:val="0"/>
          <w:numId w:val="29"/>
        </w:numPr>
        <w:spacing w:afterLines="200" w:after="480" w:line="276" w:lineRule="auto"/>
        <w:ind w:left="709"/>
        <w:jc w:val="both"/>
        <w:rPr>
          <w:rFonts w:ascii="ITC Avant Garde" w:hAnsi="ITC Avant Garde"/>
        </w:rPr>
      </w:pPr>
      <w:r w:rsidRPr="002C26F2">
        <w:rPr>
          <w:rFonts w:ascii="ITC Avant Garde" w:hAnsi="ITC Avant Garde"/>
        </w:rPr>
        <w:t>El Tiempo de Establecimiento de Llamada máximo por Evento será de 20 segundos. Dicho tiempo será medido a partir de que se ejecuta el comando de intento de llamada (</w:t>
      </w:r>
      <w:proofErr w:type="spellStart"/>
      <w:r w:rsidRPr="002C26F2">
        <w:rPr>
          <w:rFonts w:ascii="ITC Avant Garde" w:hAnsi="ITC Avant Garde"/>
        </w:rPr>
        <w:t>call</w:t>
      </w:r>
      <w:proofErr w:type="spellEnd"/>
      <w:r w:rsidRPr="002C26F2">
        <w:rPr>
          <w:rFonts w:ascii="ITC Avant Garde" w:hAnsi="ITC Avant Garde"/>
        </w:rPr>
        <w:t xml:space="preserve"> </w:t>
      </w:r>
      <w:proofErr w:type="spellStart"/>
      <w:r w:rsidRPr="002C26F2">
        <w:rPr>
          <w:rFonts w:ascii="ITC Avant Garde" w:hAnsi="ITC Avant Garde"/>
        </w:rPr>
        <w:t>attempt</w:t>
      </w:r>
      <w:proofErr w:type="spellEnd"/>
      <w:r w:rsidRPr="002C26F2">
        <w:rPr>
          <w:rFonts w:ascii="ITC Avant Garde" w:hAnsi="ITC Avant Garde"/>
        </w:rPr>
        <w:t>) en el Equipo Terminal Móvil hasta que se establece la llamada (</w:t>
      </w:r>
      <w:proofErr w:type="spellStart"/>
      <w:r w:rsidRPr="002C26F2">
        <w:rPr>
          <w:rFonts w:ascii="ITC Avant Garde" w:hAnsi="ITC Avant Garde"/>
        </w:rPr>
        <w:t>call</w:t>
      </w:r>
      <w:proofErr w:type="spellEnd"/>
      <w:r w:rsidRPr="002C26F2">
        <w:rPr>
          <w:rFonts w:ascii="ITC Avant Garde" w:hAnsi="ITC Avant Garde"/>
        </w:rPr>
        <w:t xml:space="preserve"> </w:t>
      </w:r>
      <w:proofErr w:type="spellStart"/>
      <w:r w:rsidRPr="002C26F2">
        <w:rPr>
          <w:rFonts w:ascii="ITC Avant Garde" w:hAnsi="ITC Avant Garde"/>
        </w:rPr>
        <w:t>connect</w:t>
      </w:r>
      <w:proofErr w:type="spellEnd"/>
      <w:r w:rsidRPr="002C26F2">
        <w:rPr>
          <w:rFonts w:ascii="ITC Avant Garde" w:hAnsi="ITC Avant Garde"/>
        </w:rPr>
        <w:t xml:space="preserve">); </w:t>
      </w:r>
    </w:p>
    <w:p w14:paraId="01E64658" w14:textId="77777777" w:rsidR="00BB4A51" w:rsidRPr="002C26F2" w:rsidRDefault="00BB4A51" w:rsidP="00BD0198">
      <w:pPr>
        <w:pStyle w:val="Prrafodelista"/>
        <w:numPr>
          <w:ilvl w:val="0"/>
          <w:numId w:val="29"/>
        </w:numPr>
        <w:spacing w:afterLines="200" w:after="480" w:line="276" w:lineRule="auto"/>
        <w:ind w:left="709"/>
        <w:jc w:val="both"/>
        <w:rPr>
          <w:rFonts w:ascii="ITC Avant Garde" w:hAnsi="ITC Avant Garde"/>
        </w:rPr>
      </w:pPr>
      <w:r w:rsidRPr="002C26F2">
        <w:rPr>
          <w:rFonts w:ascii="ITC Avant Garde" w:hAnsi="ITC Avant Garde"/>
        </w:rPr>
        <w:t xml:space="preserve">La duración de las llamadas realizadas durante el Ejercicio de Medición será de 30 segundos medidos a partir de que se establezca la conexión de la misma. Aquellas llamadas que hayan sido establecidas pero que se interrumpan antes de los 30 segundos deberán ser consideradas como llamadas establecidas exitosamente; </w:t>
      </w:r>
    </w:p>
    <w:p w14:paraId="7A25412F" w14:textId="77777777" w:rsidR="00BB4A51" w:rsidRPr="002C26F2" w:rsidRDefault="00BB4A51" w:rsidP="00BD0198">
      <w:pPr>
        <w:pStyle w:val="Prrafodelista"/>
        <w:numPr>
          <w:ilvl w:val="0"/>
          <w:numId w:val="29"/>
        </w:numPr>
        <w:spacing w:afterLines="200" w:after="480" w:line="276" w:lineRule="auto"/>
        <w:ind w:left="709"/>
        <w:jc w:val="both"/>
        <w:rPr>
          <w:rFonts w:ascii="ITC Avant Garde" w:hAnsi="ITC Avant Garde"/>
        </w:rPr>
      </w:pPr>
      <w:r w:rsidRPr="002C26F2">
        <w:rPr>
          <w:rFonts w:ascii="ITC Avant Garde" w:hAnsi="ITC Avant Garde"/>
        </w:rPr>
        <w:t>El tiempo entre Eventos consecutivos, sin contar el Tiempo de Establecimiento de Llamada, será de 40 segundos, lo cual implica que el Tiempo de Guarda será de 10 segundos;</w:t>
      </w:r>
    </w:p>
    <w:p w14:paraId="02429028" w14:textId="6B858D78" w:rsidR="00BB4A51" w:rsidRPr="002C26F2" w:rsidRDefault="009F4CB1" w:rsidP="00BD0198">
      <w:pPr>
        <w:pStyle w:val="Prrafodelista"/>
        <w:numPr>
          <w:ilvl w:val="0"/>
          <w:numId w:val="29"/>
        </w:numPr>
        <w:spacing w:afterLines="200" w:after="480" w:line="276" w:lineRule="auto"/>
        <w:ind w:left="709"/>
        <w:jc w:val="both"/>
        <w:rPr>
          <w:rFonts w:ascii="ITC Avant Garde" w:hAnsi="ITC Avant Garde"/>
        </w:rPr>
      </w:pPr>
      <w:r>
        <w:rPr>
          <w:rFonts w:ascii="ITC Avant Garde" w:hAnsi="ITC Avant Garde"/>
        </w:rPr>
        <w:t>La Figura 13</w:t>
      </w:r>
      <w:r w:rsidR="00BB4A51" w:rsidRPr="002C26F2">
        <w:rPr>
          <w:rFonts w:ascii="ITC Avant Garde" w:hAnsi="ITC Avant Garde"/>
        </w:rPr>
        <w:t xml:space="preserve"> </w:t>
      </w:r>
      <w:r w:rsidR="00BD0198">
        <w:rPr>
          <w:rFonts w:ascii="ITC Avant Garde" w:hAnsi="ITC Avant Garde"/>
        </w:rPr>
        <w:t>presenta</w:t>
      </w:r>
      <w:r w:rsidR="00BB4A51" w:rsidRPr="002C26F2">
        <w:rPr>
          <w:rFonts w:ascii="ITC Avant Garde" w:hAnsi="ITC Avant Garde"/>
        </w:rPr>
        <w:t xml:space="preserve"> la secuencia de tiempos para la evaluación de la Precisión y Rendimiento:</w:t>
      </w:r>
    </w:p>
    <w:p w14:paraId="7CC48291" w14:textId="5EBD792C" w:rsidR="002D41B6" w:rsidRDefault="002D41B6" w:rsidP="009F4CB1">
      <w:pPr>
        <w:pStyle w:val="Normal1"/>
        <w:widowControl w:val="0"/>
        <w:spacing w:afterLines="200" w:after="480"/>
        <w:contextualSpacing/>
        <w:jc w:val="center"/>
        <w:rPr>
          <w:rFonts w:ascii="ITC Avant Garde" w:hAnsi="ITC Avant Garde"/>
          <w:sz w:val="18"/>
          <w:szCs w:val="22"/>
        </w:rPr>
      </w:pPr>
      <w:r>
        <w:rPr>
          <w:noProof/>
          <w:lang w:eastAsia="es-MX"/>
        </w:rPr>
        <w:lastRenderedPageBreak/>
        <w:drawing>
          <wp:inline distT="0" distB="0" distL="0" distR="0" wp14:anchorId="25DE87B8" wp14:editId="23A97F05">
            <wp:extent cx="3057897" cy="2022797"/>
            <wp:effectExtent l="0" t="0" r="0" b="0"/>
            <wp:docPr id="2" name="Imagen 2" descr="Figura"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1532" t="31414" r="19355" b="34346"/>
                    <a:stretch/>
                  </pic:blipFill>
                  <pic:spPr bwMode="auto">
                    <a:xfrm>
                      <a:off x="0" y="0"/>
                      <a:ext cx="3096122" cy="2048083"/>
                    </a:xfrm>
                    <a:prstGeom prst="rect">
                      <a:avLst/>
                    </a:prstGeom>
                    <a:ln>
                      <a:noFill/>
                    </a:ln>
                    <a:extLst>
                      <a:ext uri="{53640926-AAD7-44D8-BBD7-CCE9431645EC}">
                        <a14:shadowObscured xmlns:a14="http://schemas.microsoft.com/office/drawing/2010/main"/>
                      </a:ext>
                    </a:extLst>
                  </pic:spPr>
                </pic:pic>
              </a:graphicData>
            </a:graphic>
          </wp:inline>
        </w:drawing>
      </w:r>
    </w:p>
    <w:p w14:paraId="08F6987F" w14:textId="1AD0BEEF" w:rsidR="009F4CB1" w:rsidRDefault="009F4CB1" w:rsidP="009F4CB1">
      <w:pPr>
        <w:pStyle w:val="Normal1"/>
        <w:widowControl w:val="0"/>
        <w:spacing w:afterLines="200" w:after="480"/>
        <w:contextualSpacing/>
        <w:jc w:val="center"/>
        <w:rPr>
          <w:rFonts w:ascii="ITC Avant Garde" w:hAnsi="ITC Avant Garde"/>
          <w:sz w:val="18"/>
          <w:szCs w:val="22"/>
        </w:rPr>
      </w:pPr>
      <w:r w:rsidRPr="004A5D22">
        <w:rPr>
          <w:rFonts w:ascii="ITC Avant Garde" w:hAnsi="ITC Avant Garde"/>
          <w:sz w:val="18"/>
          <w:szCs w:val="22"/>
        </w:rPr>
        <w:t xml:space="preserve">Figura </w:t>
      </w:r>
      <w:r w:rsidRPr="004A5D22">
        <w:rPr>
          <w:rFonts w:ascii="ITC Avant Garde" w:hAnsi="ITC Avant Garde"/>
          <w:sz w:val="18"/>
          <w:szCs w:val="22"/>
        </w:rPr>
        <w:fldChar w:fldCharType="begin"/>
      </w:r>
      <w:r w:rsidRPr="004A5D22">
        <w:rPr>
          <w:rFonts w:ascii="ITC Avant Garde" w:hAnsi="ITC Avant Garde"/>
          <w:sz w:val="18"/>
          <w:szCs w:val="22"/>
        </w:rPr>
        <w:instrText xml:space="preserve"> SEQ Figura \* ARABIC </w:instrText>
      </w:r>
      <w:r w:rsidRPr="004A5D22">
        <w:rPr>
          <w:rFonts w:ascii="ITC Avant Garde" w:hAnsi="ITC Avant Garde"/>
          <w:sz w:val="18"/>
          <w:szCs w:val="22"/>
        </w:rPr>
        <w:fldChar w:fldCharType="separate"/>
      </w:r>
      <w:r w:rsidRPr="004A5D22">
        <w:rPr>
          <w:rFonts w:ascii="ITC Avant Garde" w:hAnsi="ITC Avant Garde"/>
          <w:noProof/>
          <w:sz w:val="18"/>
          <w:szCs w:val="22"/>
        </w:rPr>
        <w:t>1</w:t>
      </w:r>
      <w:r w:rsidRPr="004A5D22">
        <w:rPr>
          <w:rFonts w:ascii="ITC Avant Garde" w:hAnsi="ITC Avant Garde"/>
          <w:noProof/>
          <w:sz w:val="18"/>
          <w:szCs w:val="22"/>
        </w:rPr>
        <w:fldChar w:fldCharType="end"/>
      </w:r>
      <w:r>
        <w:rPr>
          <w:rFonts w:ascii="ITC Avant Garde" w:hAnsi="ITC Avant Garde"/>
          <w:noProof/>
          <w:sz w:val="18"/>
          <w:szCs w:val="22"/>
        </w:rPr>
        <w:t>3</w:t>
      </w:r>
      <w:r w:rsidRPr="004A5D22">
        <w:rPr>
          <w:rFonts w:ascii="ITC Avant Garde" w:hAnsi="ITC Avant Garde"/>
          <w:sz w:val="18"/>
          <w:szCs w:val="22"/>
        </w:rPr>
        <w:t xml:space="preserve">: </w:t>
      </w:r>
      <w:r>
        <w:rPr>
          <w:rFonts w:ascii="ITC Avant Garde" w:hAnsi="ITC Avant Garde"/>
          <w:sz w:val="18"/>
          <w:szCs w:val="22"/>
        </w:rPr>
        <w:t>Secuencia de Tiempos</w:t>
      </w:r>
    </w:p>
    <w:p w14:paraId="2AA3E327" w14:textId="0B0765BE" w:rsidR="002D41B6" w:rsidRPr="002D41B6" w:rsidRDefault="00BB4A51" w:rsidP="002D41B6">
      <w:pPr>
        <w:pStyle w:val="IFTnormal"/>
        <w:numPr>
          <w:ilvl w:val="2"/>
          <w:numId w:val="13"/>
        </w:numPr>
        <w:jc w:val="left"/>
      </w:pPr>
      <w:r w:rsidRPr="002D41B6">
        <w:t>Determin</w:t>
      </w:r>
      <w:r w:rsidR="00BD0198">
        <w:t>ación del tamaño de la muestra</w:t>
      </w:r>
    </w:p>
    <w:p w14:paraId="407C0365" w14:textId="6C4E11A1" w:rsidR="00BB4A51" w:rsidRPr="002C26F2" w:rsidRDefault="00BB4A51" w:rsidP="002D41B6">
      <w:pPr>
        <w:pStyle w:val="IFTnormal"/>
        <w:rPr>
          <w:b/>
        </w:rPr>
      </w:pPr>
      <w:r w:rsidRPr="002C26F2">
        <w:t>Para determinar el tamaño de la muestra se considera un muestreo aleatorio simple para obtener el número de Eventos, con el nivel de confianza y error de estimación de conformidad con las siguientes formulaciones:</w:t>
      </w:r>
      <w:r w:rsidRPr="002C26F2">
        <w:rPr>
          <w:b/>
        </w:rPr>
        <w:t xml:space="preserve"> </w:t>
      </w:r>
    </w:p>
    <w:p w14:paraId="709AFD93" w14:textId="77777777" w:rsidR="00BB4A51" w:rsidRPr="002C26F2" w:rsidRDefault="00297D8F" w:rsidP="00BB4A51">
      <w:pPr>
        <w:pStyle w:val="Normal1"/>
        <w:widowControl w:val="0"/>
        <w:spacing w:afterLines="200" w:after="480"/>
        <w:contextualSpacing/>
        <w:jc w:val="center"/>
        <w:rPr>
          <w:rFonts w:ascii="ITC Avant Garde" w:hAnsi="ITC Avant Garde"/>
          <w:color w:val="auto"/>
          <w:szCs w:val="22"/>
          <w:lang w:val="es-ES_tradnl"/>
        </w:rPr>
      </w:pPr>
      <m:oMathPara>
        <m:oMath>
          <m:sSub>
            <m:sSubPr>
              <m:ctrlPr>
                <w:rPr>
                  <w:rFonts w:ascii="Cambria Math" w:hAnsi="Cambria Math"/>
                  <w:color w:val="auto"/>
                  <w:szCs w:val="22"/>
                  <w:lang w:val="es-ES_tradnl"/>
                </w:rPr>
              </m:ctrlPr>
            </m:sSubPr>
            <m:e>
              <m:r>
                <w:rPr>
                  <w:rFonts w:ascii="Cambria Math" w:hAnsi="Cambria Math"/>
                  <w:color w:val="auto"/>
                  <w:szCs w:val="22"/>
                  <w:lang w:val="es-ES_tradnl"/>
                </w:rPr>
                <m:t>P</m:t>
              </m:r>
            </m:e>
            <m:sub>
              <m:r>
                <w:rPr>
                  <w:rFonts w:ascii="Cambria Math" w:hAnsi="Cambria Math"/>
                  <w:color w:val="auto"/>
                  <w:szCs w:val="22"/>
                  <w:lang w:val="es-ES_tradnl"/>
                </w:rPr>
                <m:t>r</m:t>
              </m:r>
            </m:sub>
          </m:sSub>
          <m:d>
            <m:dPr>
              <m:ctrlPr>
                <w:rPr>
                  <w:rFonts w:ascii="Cambria Math" w:hAnsi="Cambria Math"/>
                  <w:color w:val="auto"/>
                  <w:szCs w:val="22"/>
                  <w:lang w:val="es-ES_tradnl"/>
                </w:rPr>
              </m:ctrlPr>
            </m:dPr>
            <m:e>
              <m:d>
                <m:dPr>
                  <m:begChr m:val="|"/>
                  <m:endChr m:val="|"/>
                  <m:ctrlPr>
                    <w:rPr>
                      <w:rFonts w:ascii="Cambria Math" w:hAnsi="Cambria Math"/>
                      <w:color w:val="auto"/>
                      <w:szCs w:val="22"/>
                      <w:lang w:val="es-ES_tradnl"/>
                    </w:rPr>
                  </m:ctrlPr>
                </m:dPr>
                <m:e>
                  <m:r>
                    <w:rPr>
                      <w:rFonts w:ascii="Cambria Math" w:hAnsi="Cambria Math"/>
                      <w:color w:val="auto"/>
                      <w:szCs w:val="22"/>
                      <w:lang w:val="es-ES_tradnl"/>
                    </w:rPr>
                    <m:t>p-P</m:t>
                  </m:r>
                </m:e>
              </m:d>
              <m:r>
                <w:rPr>
                  <w:rFonts w:ascii="Cambria Math" w:hAnsi="Cambria Math"/>
                  <w:color w:val="auto"/>
                  <w:szCs w:val="22"/>
                  <w:lang w:val="es-ES_tradnl"/>
                </w:rPr>
                <m:t>≤d</m:t>
              </m:r>
            </m:e>
          </m:d>
          <m:r>
            <w:rPr>
              <w:rFonts w:ascii="Cambria Math" w:hAnsi="Cambria Math"/>
              <w:color w:val="auto"/>
              <w:szCs w:val="22"/>
              <w:lang w:val="es-ES_tradnl"/>
            </w:rPr>
            <m:t>≥1-α</m:t>
          </m:r>
          <m:r>
            <w:rPr>
              <w:rStyle w:val="Refdenotaalpie"/>
              <w:rFonts w:ascii="Cambria Math" w:hAnsi="Cambria Math"/>
              <w:i/>
              <w:color w:val="auto"/>
              <w:szCs w:val="22"/>
              <w:lang w:val="es-ES_tradnl"/>
            </w:rPr>
            <w:footnoteReference w:id="3"/>
          </m:r>
        </m:oMath>
      </m:oMathPara>
    </w:p>
    <w:p w14:paraId="04FEDFF9" w14:textId="77777777" w:rsidR="00BB4A51" w:rsidRPr="002C26F2" w:rsidRDefault="00BB4A51" w:rsidP="00BB4A51">
      <w:pPr>
        <w:pStyle w:val="Normal1"/>
        <w:widowControl w:val="0"/>
        <w:spacing w:afterLines="200" w:after="480"/>
        <w:contextualSpacing/>
        <w:jc w:val="center"/>
        <w:rPr>
          <w:rFonts w:ascii="ITC Avant Garde" w:hAnsi="ITC Avant Garde"/>
          <w:color w:val="auto"/>
          <w:szCs w:val="22"/>
          <w:lang w:val="es-ES_tradnl"/>
        </w:rPr>
      </w:pPr>
    </w:p>
    <w:p w14:paraId="40E318C4" w14:textId="77777777" w:rsidR="00BB4A51" w:rsidRPr="00F8156F" w:rsidRDefault="00BB4A51" w:rsidP="00BB4A51">
      <w:pPr>
        <w:pStyle w:val="Normal1"/>
        <w:widowControl w:val="0"/>
        <w:spacing w:afterLines="200" w:after="480"/>
        <w:ind w:left="708"/>
        <w:contextualSpacing/>
        <w:rPr>
          <w:rFonts w:ascii="ITC Avant Garde" w:hAnsi="ITC Avant Garde"/>
          <w:color w:val="auto"/>
          <w:szCs w:val="22"/>
          <w:lang w:val="es-ES_tradnl"/>
        </w:rPr>
      </w:pPr>
      <w:r w:rsidRPr="00F8156F">
        <w:rPr>
          <w:rFonts w:ascii="ITC Avant Garde" w:hAnsi="ITC Avant Garde"/>
          <w:color w:val="auto"/>
          <w:szCs w:val="22"/>
          <w:lang w:val="es-ES_tradnl"/>
        </w:rPr>
        <w:t>Donde:</w:t>
      </w:r>
    </w:p>
    <w:p w14:paraId="6339F1B7" w14:textId="77777777" w:rsidR="00BB4A51" w:rsidRPr="002C26F2" w:rsidRDefault="00297D8F" w:rsidP="00BB4A51">
      <w:pPr>
        <w:pStyle w:val="Normal1"/>
        <w:widowControl w:val="0"/>
        <w:spacing w:afterLines="200" w:after="480"/>
        <w:ind w:firstLine="708"/>
        <w:contextualSpacing/>
        <w:jc w:val="both"/>
        <w:rPr>
          <w:rFonts w:ascii="ITC Avant Garde" w:hAnsi="ITC Avant Garde"/>
          <w:color w:val="auto"/>
          <w:szCs w:val="22"/>
          <w:lang w:val="es-ES_tradnl"/>
        </w:rPr>
      </w:pPr>
      <m:oMath>
        <m:sSub>
          <m:sSubPr>
            <m:ctrlPr>
              <w:rPr>
                <w:rFonts w:ascii="Cambria Math" w:hAnsi="Cambria Math"/>
                <w:color w:val="auto"/>
                <w:szCs w:val="22"/>
                <w:lang w:val="es-ES_tradnl"/>
              </w:rPr>
            </m:ctrlPr>
          </m:sSubPr>
          <m:e>
            <m:r>
              <w:rPr>
                <w:rFonts w:ascii="Cambria Math" w:hAnsi="Cambria Math"/>
                <w:color w:val="auto"/>
                <w:szCs w:val="22"/>
                <w:lang w:val="es-ES_tradnl"/>
              </w:rPr>
              <m:t>P</m:t>
            </m:r>
          </m:e>
          <m:sub>
            <m:r>
              <w:rPr>
                <w:rFonts w:ascii="Cambria Math" w:hAnsi="Cambria Math"/>
                <w:color w:val="auto"/>
                <w:szCs w:val="22"/>
                <w:lang w:val="es-ES_tradnl"/>
              </w:rPr>
              <m:t>r</m:t>
            </m:r>
          </m:sub>
        </m:sSub>
      </m:oMath>
      <w:r w:rsidR="00BB4A51" w:rsidRPr="002C26F2">
        <w:rPr>
          <w:rFonts w:ascii="ITC Avant Garde" w:hAnsi="ITC Avant Garde"/>
          <w:color w:val="auto"/>
          <w:szCs w:val="22"/>
          <w:lang w:val="es-ES_tradnl"/>
        </w:rPr>
        <w:t xml:space="preserve"> = Probabilidad de que se cumpla la condición especificada</w:t>
      </w:r>
    </w:p>
    <w:p w14:paraId="40FAE381" w14:textId="77777777" w:rsidR="00BB4A51" w:rsidRPr="002C26F2" w:rsidRDefault="00BB4A51" w:rsidP="00BB4A51">
      <w:pPr>
        <w:pStyle w:val="Normal1"/>
        <w:widowControl w:val="0"/>
        <w:spacing w:afterLines="200" w:after="480"/>
        <w:ind w:firstLine="708"/>
        <w:contextualSpacing/>
        <w:jc w:val="both"/>
        <w:rPr>
          <w:rFonts w:ascii="ITC Avant Garde" w:hAnsi="ITC Avant Garde"/>
          <w:color w:val="auto"/>
          <w:szCs w:val="22"/>
          <w:lang w:val="es-ES_tradnl"/>
        </w:rPr>
      </w:pPr>
      <m:oMath>
        <m:r>
          <w:rPr>
            <w:rFonts w:ascii="Cambria Math" w:hAnsi="Cambria Math"/>
            <w:color w:val="auto"/>
            <w:szCs w:val="22"/>
            <w:lang w:val="es-ES_tradnl"/>
          </w:rPr>
          <m:t>P</m:t>
        </m:r>
      </m:oMath>
      <w:r w:rsidRPr="002C26F2">
        <w:rPr>
          <w:rFonts w:ascii="ITC Avant Garde" w:hAnsi="ITC Avant Garde"/>
          <w:color w:val="auto"/>
          <w:szCs w:val="22"/>
          <w:lang w:val="es-ES_tradnl"/>
        </w:rPr>
        <w:t>= Valor del porcentaje o proporción real de interés</w:t>
      </w:r>
    </w:p>
    <w:p w14:paraId="73F6A686" w14:textId="77777777" w:rsidR="00BB4A51" w:rsidRPr="002C26F2" w:rsidRDefault="00BB4A51" w:rsidP="00BB4A51">
      <w:pPr>
        <w:pStyle w:val="Normal1"/>
        <w:widowControl w:val="0"/>
        <w:spacing w:afterLines="200" w:after="480"/>
        <w:ind w:firstLine="708"/>
        <w:contextualSpacing/>
        <w:jc w:val="both"/>
        <w:rPr>
          <w:rFonts w:ascii="ITC Avant Garde" w:hAnsi="ITC Avant Garde"/>
          <w:color w:val="auto"/>
          <w:szCs w:val="22"/>
          <w:lang w:val="es-ES_tradnl"/>
        </w:rPr>
      </w:pPr>
      <m:oMath>
        <m:r>
          <w:rPr>
            <w:rFonts w:ascii="Cambria Math" w:hAnsi="Cambria Math"/>
            <w:color w:val="auto"/>
            <w:szCs w:val="22"/>
            <w:lang w:val="es-ES_tradnl"/>
          </w:rPr>
          <m:t>p</m:t>
        </m:r>
      </m:oMath>
      <w:r w:rsidRPr="002C26F2">
        <w:rPr>
          <w:rFonts w:ascii="ITC Avant Garde" w:hAnsi="ITC Avant Garde"/>
          <w:color w:val="auto"/>
          <w:szCs w:val="22"/>
          <w:lang w:val="es-ES_tradnl"/>
        </w:rPr>
        <w:t>= Valor del porcentaje o proporción que se estima</w:t>
      </w:r>
    </w:p>
    <w:p w14:paraId="585F5AA4" w14:textId="77777777" w:rsidR="00BB4A51" w:rsidRPr="002C26F2" w:rsidRDefault="00BB4A51" w:rsidP="00BB4A51">
      <w:pPr>
        <w:pStyle w:val="Normal1"/>
        <w:widowControl w:val="0"/>
        <w:spacing w:afterLines="200" w:after="480"/>
        <w:ind w:left="708"/>
        <w:contextualSpacing/>
        <w:jc w:val="both"/>
        <w:rPr>
          <w:rFonts w:ascii="ITC Avant Garde" w:hAnsi="ITC Avant Garde"/>
          <w:color w:val="auto"/>
          <w:szCs w:val="22"/>
          <w:lang w:val="es-ES_tradnl"/>
        </w:rPr>
      </w:pPr>
      <m:oMath>
        <m:r>
          <w:rPr>
            <w:rFonts w:ascii="Cambria Math" w:hAnsi="Cambria Math"/>
            <w:color w:val="auto"/>
            <w:szCs w:val="22"/>
            <w:lang w:val="es-ES_tradnl"/>
          </w:rPr>
          <m:t>d</m:t>
        </m:r>
      </m:oMath>
      <w:r w:rsidRPr="002C26F2">
        <w:rPr>
          <w:rFonts w:ascii="ITC Avant Garde" w:hAnsi="ITC Avant Garde"/>
          <w:color w:val="auto"/>
          <w:szCs w:val="22"/>
          <w:lang w:val="es-ES_tradnl"/>
        </w:rPr>
        <w:t xml:space="preserve">= Máxima diferencia aceptable (error de estimación) entre el valor real </w:t>
      </w:r>
      <m:oMath>
        <m:r>
          <w:rPr>
            <w:rFonts w:ascii="Cambria Math" w:hAnsi="Cambria Math"/>
            <w:color w:val="auto"/>
            <w:szCs w:val="22"/>
            <w:lang w:val="es-ES_tradnl"/>
          </w:rPr>
          <m:t>P</m:t>
        </m:r>
      </m:oMath>
      <w:r w:rsidRPr="002C26F2">
        <w:rPr>
          <w:rFonts w:ascii="ITC Avant Garde" w:hAnsi="ITC Avant Garde"/>
          <w:color w:val="auto"/>
          <w:szCs w:val="22"/>
          <w:lang w:val="es-ES_tradnl"/>
        </w:rPr>
        <w:t xml:space="preserve"> y su estimación </w:t>
      </w:r>
      <m:oMath>
        <m:r>
          <w:rPr>
            <w:rFonts w:ascii="Cambria Math" w:hAnsi="Cambria Math"/>
            <w:color w:val="auto"/>
            <w:szCs w:val="22"/>
            <w:lang w:val="es-ES_tradnl"/>
          </w:rPr>
          <m:t>p</m:t>
        </m:r>
      </m:oMath>
    </w:p>
    <w:p w14:paraId="5D251813" w14:textId="77777777" w:rsidR="00BB4A51" w:rsidRPr="002C26F2" w:rsidRDefault="00BB4A51" w:rsidP="00BB4A51">
      <w:pPr>
        <w:pStyle w:val="Normal1"/>
        <w:widowControl w:val="0"/>
        <w:spacing w:afterLines="200" w:after="480"/>
        <w:ind w:firstLine="708"/>
        <w:contextualSpacing/>
        <w:jc w:val="both"/>
        <w:rPr>
          <w:rFonts w:ascii="ITC Avant Garde" w:hAnsi="ITC Avant Garde"/>
          <w:color w:val="auto"/>
          <w:szCs w:val="22"/>
          <w:lang w:val="es-ES_tradnl"/>
        </w:rPr>
      </w:pPr>
      <m:oMath>
        <m:r>
          <w:rPr>
            <w:rFonts w:ascii="Cambria Math" w:hAnsi="Cambria Math"/>
            <w:color w:val="auto"/>
            <w:szCs w:val="22"/>
            <w:lang w:val="es-ES_tradnl"/>
          </w:rPr>
          <m:t>1-α</m:t>
        </m:r>
      </m:oMath>
      <w:r w:rsidRPr="002C26F2">
        <w:rPr>
          <w:rFonts w:ascii="ITC Avant Garde" w:hAnsi="ITC Avant Garde"/>
          <w:color w:val="auto"/>
          <w:szCs w:val="22"/>
          <w:lang w:val="es-ES_tradnl"/>
        </w:rPr>
        <w:t>= Nivel de confianza requerido</w:t>
      </w:r>
    </w:p>
    <w:p w14:paraId="73196A37" w14:textId="77777777" w:rsidR="00BB4A51" w:rsidRPr="002C26F2" w:rsidRDefault="00BB4A51" w:rsidP="00BB4A51">
      <w:pPr>
        <w:pStyle w:val="Normal1"/>
        <w:tabs>
          <w:tab w:val="left" w:pos="1336"/>
        </w:tabs>
        <w:spacing w:afterLines="200" w:after="480"/>
        <w:ind w:right="-59"/>
        <w:contextualSpacing/>
        <w:jc w:val="both"/>
        <w:rPr>
          <w:rFonts w:ascii="ITC Avant Garde" w:hAnsi="ITC Avant Garde"/>
          <w:color w:val="auto"/>
          <w:szCs w:val="22"/>
          <w:lang w:val="es-ES_tradnl"/>
        </w:rPr>
      </w:pPr>
    </w:p>
    <w:p w14:paraId="310CAD9A" w14:textId="77777777" w:rsidR="00BB4A51" w:rsidRPr="002C26F2" w:rsidRDefault="00BB4A51" w:rsidP="00BB4A51">
      <w:pPr>
        <w:pStyle w:val="Normal1"/>
        <w:widowControl w:val="0"/>
        <w:spacing w:afterLines="200" w:after="480"/>
        <w:contextualSpacing/>
        <w:jc w:val="center"/>
        <w:rPr>
          <w:rFonts w:ascii="ITC Avant Garde" w:hAnsi="ITC Avant Garde"/>
          <w:color w:val="auto"/>
          <w:szCs w:val="22"/>
          <w:lang w:val="es-ES_tradnl"/>
        </w:rPr>
      </w:pPr>
      <m:oMathPara>
        <m:oMath>
          <m:r>
            <w:rPr>
              <w:rFonts w:ascii="Cambria Math" w:hAnsi="Cambria Math"/>
              <w:color w:val="auto"/>
              <w:szCs w:val="22"/>
              <w:lang w:val="es-ES_tradnl"/>
            </w:rPr>
            <m:t>n≥</m:t>
          </m:r>
          <m:f>
            <m:fPr>
              <m:ctrlPr>
                <w:rPr>
                  <w:rFonts w:ascii="Cambria Math" w:hAnsi="Cambria Math"/>
                  <w:color w:val="auto"/>
                  <w:szCs w:val="22"/>
                  <w:lang w:val="es-ES_tradnl"/>
                </w:rPr>
              </m:ctrlPr>
            </m:fPr>
            <m:num>
              <m:sSup>
                <m:sSupPr>
                  <m:ctrlPr>
                    <w:rPr>
                      <w:rFonts w:ascii="Cambria Math" w:hAnsi="Cambria Math"/>
                      <w:color w:val="auto"/>
                      <w:szCs w:val="22"/>
                      <w:lang w:val="es-ES_tradnl"/>
                    </w:rPr>
                  </m:ctrlPr>
                </m:sSupPr>
                <m:e>
                  <m:r>
                    <w:rPr>
                      <w:rFonts w:ascii="Cambria Math" w:hAnsi="Cambria Math"/>
                      <w:color w:val="auto"/>
                      <w:szCs w:val="22"/>
                      <w:lang w:val="es-ES_tradnl"/>
                    </w:rPr>
                    <m:t>k</m:t>
                  </m:r>
                </m:e>
                <m:sup>
                  <m:r>
                    <w:rPr>
                      <w:rFonts w:ascii="Cambria Math" w:hAnsi="Cambria Math"/>
                      <w:color w:val="auto"/>
                      <w:szCs w:val="22"/>
                      <w:lang w:val="es-ES_tradnl"/>
                    </w:rPr>
                    <m:t>2</m:t>
                  </m:r>
                </m:sup>
              </m:sSup>
              <m:r>
                <w:rPr>
                  <w:rFonts w:ascii="Cambria Math" w:hAnsi="Cambria Math"/>
                  <w:color w:val="auto"/>
                  <w:szCs w:val="22"/>
                  <w:lang w:val="es-ES_tradnl"/>
                </w:rPr>
                <m:t>*P*</m:t>
              </m:r>
              <m:d>
                <m:dPr>
                  <m:ctrlPr>
                    <w:rPr>
                      <w:rFonts w:ascii="Cambria Math" w:hAnsi="Cambria Math"/>
                      <w:color w:val="auto"/>
                      <w:szCs w:val="22"/>
                      <w:lang w:val="es-ES_tradnl"/>
                    </w:rPr>
                  </m:ctrlPr>
                </m:dPr>
                <m:e>
                  <m:r>
                    <w:rPr>
                      <w:rFonts w:ascii="Cambria Math" w:hAnsi="Cambria Math"/>
                      <w:color w:val="auto"/>
                      <w:szCs w:val="22"/>
                      <w:lang w:val="es-ES_tradnl"/>
                    </w:rPr>
                    <m:t>1-P</m:t>
                  </m:r>
                </m:e>
              </m:d>
            </m:num>
            <m:den>
              <m:sSup>
                <m:sSupPr>
                  <m:ctrlPr>
                    <w:rPr>
                      <w:rFonts w:ascii="Cambria Math" w:hAnsi="Cambria Math"/>
                      <w:color w:val="auto"/>
                      <w:szCs w:val="22"/>
                      <w:lang w:val="es-ES_tradnl"/>
                    </w:rPr>
                  </m:ctrlPr>
                </m:sSupPr>
                <m:e>
                  <m:r>
                    <w:rPr>
                      <w:rFonts w:ascii="Cambria Math" w:hAnsi="Cambria Math"/>
                      <w:color w:val="auto"/>
                      <w:szCs w:val="22"/>
                      <w:lang w:val="es-ES_tradnl"/>
                    </w:rPr>
                    <m:t>d</m:t>
                  </m:r>
                </m:e>
                <m:sup>
                  <m:r>
                    <w:rPr>
                      <w:rFonts w:ascii="Cambria Math" w:hAnsi="Cambria Math"/>
                      <w:color w:val="auto"/>
                      <w:szCs w:val="22"/>
                      <w:lang w:val="es-ES_tradnl"/>
                    </w:rPr>
                    <m:t>2</m:t>
                  </m:r>
                </m:sup>
              </m:sSup>
            </m:den>
          </m:f>
        </m:oMath>
      </m:oMathPara>
    </w:p>
    <w:p w14:paraId="4E6CBCE5" w14:textId="77777777" w:rsidR="00BB4A51" w:rsidRPr="00F8156F" w:rsidRDefault="00BB4A51" w:rsidP="00BB4A51">
      <w:pPr>
        <w:pStyle w:val="Normal1"/>
        <w:widowControl w:val="0"/>
        <w:spacing w:afterLines="200" w:after="480"/>
        <w:ind w:firstLine="708"/>
        <w:contextualSpacing/>
        <w:rPr>
          <w:rFonts w:ascii="ITC Avant Garde" w:hAnsi="ITC Avant Garde"/>
          <w:color w:val="auto"/>
          <w:szCs w:val="22"/>
          <w:lang w:val="es-ES_tradnl"/>
        </w:rPr>
      </w:pPr>
      <w:r w:rsidRPr="00F8156F">
        <w:rPr>
          <w:rFonts w:ascii="ITC Avant Garde" w:hAnsi="ITC Avant Garde"/>
          <w:color w:val="auto"/>
          <w:szCs w:val="22"/>
          <w:lang w:val="es-ES_tradnl"/>
        </w:rPr>
        <w:t>Donde:</w:t>
      </w:r>
    </w:p>
    <w:p w14:paraId="3C976FC3" w14:textId="77777777" w:rsidR="00BB4A51" w:rsidRPr="002C26F2" w:rsidRDefault="00BB4A51" w:rsidP="00BB4A51">
      <w:pPr>
        <w:pStyle w:val="Normal1"/>
        <w:widowControl w:val="0"/>
        <w:spacing w:afterLines="200" w:after="480"/>
        <w:ind w:firstLine="708"/>
        <w:contextualSpacing/>
        <w:rPr>
          <w:rFonts w:ascii="ITC Avant Garde" w:hAnsi="ITC Avant Garde"/>
          <w:color w:val="auto"/>
          <w:szCs w:val="22"/>
          <w:lang w:val="es-ES_tradnl"/>
        </w:rPr>
      </w:pPr>
      <m:oMath>
        <m:r>
          <w:rPr>
            <w:rFonts w:ascii="Cambria Math" w:hAnsi="Cambria Math"/>
            <w:color w:val="auto"/>
            <w:szCs w:val="22"/>
            <w:lang w:val="es-ES_tradnl"/>
          </w:rPr>
          <m:t>n</m:t>
        </m:r>
      </m:oMath>
      <w:r w:rsidRPr="002C26F2">
        <w:rPr>
          <w:rFonts w:ascii="ITC Avant Garde" w:hAnsi="ITC Avant Garde"/>
          <w:color w:val="auto"/>
          <w:szCs w:val="22"/>
          <w:lang w:val="es-ES_tradnl"/>
        </w:rPr>
        <w:t>= Tamaño de la muestra</w:t>
      </w:r>
    </w:p>
    <w:p w14:paraId="18A76C20" w14:textId="77777777" w:rsidR="00BB4A51" w:rsidRPr="002C26F2" w:rsidRDefault="00BB4A51" w:rsidP="00BB4A51">
      <w:pPr>
        <w:pStyle w:val="Normal1"/>
        <w:widowControl w:val="0"/>
        <w:spacing w:afterLines="200" w:after="480"/>
        <w:ind w:firstLine="708"/>
        <w:contextualSpacing/>
        <w:rPr>
          <w:rFonts w:ascii="ITC Avant Garde" w:hAnsi="ITC Avant Garde"/>
          <w:color w:val="auto"/>
          <w:szCs w:val="22"/>
          <w:lang w:val="es-ES_tradnl"/>
        </w:rPr>
      </w:pPr>
      <m:oMath>
        <m:r>
          <w:rPr>
            <w:rFonts w:ascii="Cambria Math" w:hAnsi="Cambria Math"/>
            <w:color w:val="auto"/>
            <w:szCs w:val="22"/>
            <w:lang w:val="es-ES_tradnl"/>
          </w:rPr>
          <m:t>k</m:t>
        </m:r>
      </m:oMath>
      <w:r w:rsidRPr="002C26F2">
        <w:rPr>
          <w:rFonts w:ascii="ITC Avant Garde" w:hAnsi="ITC Avant Garde"/>
          <w:color w:val="auto"/>
          <w:szCs w:val="22"/>
          <w:lang w:val="es-ES_tradnl"/>
        </w:rPr>
        <w:t>= Límite de confianza (límite de la región de rechazo de la hipótesis nula)</w:t>
      </w:r>
    </w:p>
    <w:p w14:paraId="69EBCAC2" w14:textId="77777777" w:rsidR="00BB4A51" w:rsidRPr="002C26F2" w:rsidRDefault="00BB4A51" w:rsidP="00BB4A51">
      <w:pPr>
        <w:pStyle w:val="Normal1"/>
        <w:widowControl w:val="0"/>
        <w:spacing w:afterLines="200" w:after="480"/>
        <w:ind w:firstLine="708"/>
        <w:contextualSpacing/>
        <w:rPr>
          <w:rFonts w:ascii="ITC Avant Garde" w:hAnsi="ITC Avant Garde"/>
          <w:color w:val="auto"/>
          <w:szCs w:val="22"/>
          <w:lang w:val="es-ES_tradnl"/>
        </w:rPr>
      </w:pPr>
      <m:oMath>
        <m:r>
          <w:rPr>
            <w:rFonts w:ascii="Cambria Math" w:hAnsi="Cambria Math"/>
            <w:color w:val="auto"/>
            <w:szCs w:val="22"/>
            <w:lang w:val="es-ES_tradnl"/>
          </w:rPr>
          <m:t>P</m:t>
        </m:r>
      </m:oMath>
      <w:r w:rsidRPr="002C26F2">
        <w:rPr>
          <w:rFonts w:ascii="ITC Avant Garde" w:hAnsi="ITC Avant Garde"/>
          <w:color w:val="auto"/>
          <w:szCs w:val="22"/>
          <w:lang w:val="es-ES_tradnl"/>
        </w:rPr>
        <w:t>= Valor del porcentaje o proporción real de interés</w:t>
      </w:r>
    </w:p>
    <w:p w14:paraId="15CE6B17" w14:textId="77777777" w:rsidR="00BB4A51" w:rsidRPr="002C26F2" w:rsidRDefault="00BB4A51" w:rsidP="00BB4A51">
      <w:pPr>
        <w:pStyle w:val="Normal1"/>
        <w:widowControl w:val="0"/>
        <w:spacing w:afterLines="200" w:after="480"/>
        <w:ind w:left="708"/>
        <w:contextualSpacing/>
        <w:rPr>
          <w:rFonts w:ascii="ITC Avant Garde" w:hAnsi="ITC Avant Garde"/>
          <w:color w:val="auto"/>
          <w:szCs w:val="22"/>
          <w:lang w:val="es-ES_tradnl"/>
        </w:rPr>
      </w:pPr>
      <m:oMath>
        <m:r>
          <w:rPr>
            <w:rFonts w:ascii="Cambria Math" w:hAnsi="Cambria Math"/>
            <w:color w:val="auto"/>
            <w:szCs w:val="22"/>
            <w:lang w:val="es-ES_tradnl"/>
          </w:rPr>
          <m:t>d</m:t>
        </m:r>
      </m:oMath>
      <w:r w:rsidRPr="002C26F2">
        <w:rPr>
          <w:rFonts w:ascii="ITC Avant Garde" w:hAnsi="ITC Avant Garde"/>
          <w:color w:val="auto"/>
          <w:szCs w:val="22"/>
          <w:lang w:val="es-ES_tradnl"/>
        </w:rPr>
        <w:t xml:space="preserve">= Máxima diferencia aceptable (error de estimación) entre el valor real </w:t>
      </w:r>
      <m:oMath>
        <m:r>
          <w:rPr>
            <w:rFonts w:ascii="Cambria Math" w:hAnsi="Cambria Math"/>
            <w:color w:val="auto"/>
            <w:szCs w:val="22"/>
            <w:lang w:val="es-ES_tradnl"/>
          </w:rPr>
          <m:t>P</m:t>
        </m:r>
      </m:oMath>
      <w:r w:rsidRPr="002C26F2">
        <w:rPr>
          <w:rFonts w:ascii="ITC Avant Garde" w:hAnsi="ITC Avant Garde"/>
          <w:color w:val="auto"/>
          <w:szCs w:val="22"/>
          <w:lang w:val="es-ES_tradnl"/>
        </w:rPr>
        <w:t xml:space="preserve"> y su estimación </w:t>
      </w:r>
      <m:oMath>
        <m:r>
          <w:rPr>
            <w:rFonts w:ascii="Cambria Math" w:hAnsi="Cambria Math"/>
            <w:color w:val="auto"/>
            <w:szCs w:val="22"/>
            <w:lang w:val="es-ES_tradnl"/>
          </w:rPr>
          <m:t>p</m:t>
        </m:r>
      </m:oMath>
      <w:r w:rsidRPr="002C26F2">
        <w:rPr>
          <w:rFonts w:ascii="ITC Avant Garde" w:hAnsi="ITC Avant Garde"/>
          <w:color w:val="auto"/>
          <w:szCs w:val="22"/>
          <w:lang w:val="es-ES_tradnl"/>
        </w:rPr>
        <w:t>.</w:t>
      </w:r>
    </w:p>
    <w:p w14:paraId="5AAE331E" w14:textId="77777777" w:rsidR="00374A2C" w:rsidRPr="00632B7D" w:rsidRDefault="00374A2C" w:rsidP="00374A2C">
      <w:pPr>
        <w:autoSpaceDE w:val="0"/>
        <w:autoSpaceDN w:val="0"/>
        <w:adjustRightInd w:val="0"/>
        <w:spacing w:line="240" w:lineRule="auto"/>
        <w:jc w:val="both"/>
        <w:rPr>
          <w:rStyle w:val="IFTnormalCar"/>
        </w:rPr>
      </w:pPr>
    </w:p>
    <w:sectPr w:rsidR="00374A2C" w:rsidRPr="00632B7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9E4C4" w14:textId="77777777" w:rsidR="00297D8F" w:rsidRDefault="00297D8F" w:rsidP="007B26FB">
      <w:pPr>
        <w:spacing w:after="0" w:line="240" w:lineRule="auto"/>
      </w:pPr>
      <w:r>
        <w:separator/>
      </w:r>
    </w:p>
  </w:endnote>
  <w:endnote w:type="continuationSeparator" w:id="0">
    <w:p w14:paraId="0C76BE95" w14:textId="77777777" w:rsidR="00297D8F" w:rsidRDefault="00297D8F" w:rsidP="007B26FB">
      <w:pPr>
        <w:spacing w:after="0" w:line="240" w:lineRule="auto"/>
      </w:pPr>
      <w:r>
        <w:continuationSeparator/>
      </w:r>
    </w:p>
  </w:endnote>
  <w:endnote w:type="continuationNotice" w:id="1">
    <w:p w14:paraId="601DDCD5" w14:textId="77777777" w:rsidR="00297D8F" w:rsidRDefault="00297D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1C5DE" w14:textId="77777777" w:rsidR="00297D8F" w:rsidRDefault="00297D8F" w:rsidP="007B26FB">
      <w:pPr>
        <w:spacing w:after="0" w:line="240" w:lineRule="auto"/>
      </w:pPr>
      <w:r>
        <w:separator/>
      </w:r>
    </w:p>
  </w:footnote>
  <w:footnote w:type="continuationSeparator" w:id="0">
    <w:p w14:paraId="664858FC" w14:textId="77777777" w:rsidR="00297D8F" w:rsidRDefault="00297D8F" w:rsidP="007B26FB">
      <w:pPr>
        <w:spacing w:after="0" w:line="240" w:lineRule="auto"/>
      </w:pPr>
      <w:r>
        <w:continuationSeparator/>
      </w:r>
    </w:p>
  </w:footnote>
  <w:footnote w:type="continuationNotice" w:id="1">
    <w:p w14:paraId="610D3790" w14:textId="77777777" w:rsidR="00297D8F" w:rsidRDefault="00297D8F">
      <w:pPr>
        <w:spacing w:after="0" w:line="240" w:lineRule="auto"/>
      </w:pPr>
    </w:p>
  </w:footnote>
  <w:footnote w:id="2">
    <w:p w14:paraId="536236F9" w14:textId="77777777" w:rsidR="00BB4A51" w:rsidRPr="00BB4A51" w:rsidRDefault="00BB4A51" w:rsidP="00BB4A51">
      <w:pPr>
        <w:pStyle w:val="Textonotapie"/>
        <w:rPr>
          <w:rFonts w:ascii="ITC Avant Garde" w:hAnsi="ITC Avant Garde"/>
          <w:sz w:val="18"/>
          <w:szCs w:val="18"/>
        </w:rPr>
      </w:pPr>
      <w:r w:rsidRPr="00BB4A51">
        <w:rPr>
          <w:rStyle w:val="Refdenotaalpie"/>
          <w:rFonts w:ascii="ITC Avant Garde" w:hAnsi="ITC Avant Garde"/>
          <w:sz w:val="18"/>
          <w:szCs w:val="18"/>
        </w:rPr>
        <w:footnoteRef/>
      </w:r>
      <w:r w:rsidRPr="00BB4A51">
        <w:rPr>
          <w:rFonts w:ascii="ITC Avant Garde" w:hAnsi="ITC Avant Garde"/>
          <w:sz w:val="18"/>
          <w:szCs w:val="18"/>
        </w:rPr>
        <w:t xml:space="preserve"> Los valores de la Tabla 1 serán aquellos contenidos en las últimas versiones de las especificaciones técnicas y recomendaciones emitidas por ETSI y 3GPP.</w:t>
      </w:r>
    </w:p>
  </w:footnote>
  <w:footnote w:id="3">
    <w:p w14:paraId="31AFAD7D" w14:textId="77777777" w:rsidR="00BB4A51" w:rsidRPr="002C26F2" w:rsidRDefault="00BB4A51" w:rsidP="00BB4A51">
      <w:pPr>
        <w:pStyle w:val="Textonotapie"/>
        <w:rPr>
          <w:rFonts w:ascii="ITC Avant Garde" w:hAnsi="ITC Avant Garde"/>
        </w:rPr>
      </w:pPr>
      <w:r w:rsidRPr="002C26F2">
        <w:rPr>
          <w:rStyle w:val="Refdenotaalpie"/>
          <w:rFonts w:ascii="ITC Avant Garde" w:hAnsi="ITC Avant Garde"/>
        </w:rPr>
        <w:footnoteRef/>
      </w:r>
      <w:r w:rsidRPr="002C26F2">
        <w:rPr>
          <w:rFonts w:ascii="ITC Avant Garde" w:hAnsi="ITC Avant Garde"/>
        </w:rPr>
        <w:t xml:space="preserve"> Si se considera un nivel de confianza de 95% se obtiene un valor de </w:t>
      </w:r>
      <w:r w:rsidRPr="00F8156F">
        <w:rPr>
          <w:rFonts w:ascii="ITC Avant Garde" w:hAnsi="ITC Avant Garde"/>
          <w:i/>
        </w:rPr>
        <w:t>k</w:t>
      </w:r>
      <w:r w:rsidRPr="002C26F2">
        <w:rPr>
          <w:rFonts w:ascii="ITC Avant Garde" w:hAnsi="ITC Avant Garde"/>
        </w:rPr>
        <w:t xml:space="preserve"> igual a 1.96, que corresponde a una distribución normal estándar.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0C48"/>
    <w:multiLevelType w:val="hybridMultilevel"/>
    <w:tmpl w:val="5DE44F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B1262C6"/>
    <w:multiLevelType w:val="hybridMultilevel"/>
    <w:tmpl w:val="152A60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C607F95"/>
    <w:multiLevelType w:val="hybridMultilevel"/>
    <w:tmpl w:val="7034E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0139E"/>
    <w:multiLevelType w:val="hybridMultilevel"/>
    <w:tmpl w:val="83D035F8"/>
    <w:lvl w:ilvl="0" w:tplc="EE1EBA20">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5A47AF2"/>
    <w:multiLevelType w:val="hybridMultilevel"/>
    <w:tmpl w:val="16FABC50"/>
    <w:lvl w:ilvl="0" w:tplc="FD08B8DC">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7342FD"/>
    <w:multiLevelType w:val="hybridMultilevel"/>
    <w:tmpl w:val="3BC08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3002D6"/>
    <w:multiLevelType w:val="hybridMultilevel"/>
    <w:tmpl w:val="4572ABF6"/>
    <w:lvl w:ilvl="0" w:tplc="D786A91E">
      <w:start w:val="1"/>
      <w:numFmt w:val="decimal"/>
      <w:lvlText w:val="%1."/>
      <w:lvlJc w:val="left"/>
      <w:pPr>
        <w:ind w:left="720" w:hanging="360"/>
      </w:pPr>
      <w:rPr>
        <w:rFonts w:hint="default"/>
        <w:b/>
      </w:rPr>
    </w:lvl>
    <w:lvl w:ilvl="1" w:tplc="667869A2">
      <w:start w:val="1"/>
      <w:numFmt w:val="upperRoman"/>
      <w:lvlText w:val="%2."/>
      <w:lvlJc w:val="right"/>
      <w:pPr>
        <w:ind w:left="1440" w:hanging="360"/>
      </w:pPr>
      <w:rPr>
        <w:b w:val="0"/>
        <w:color w:val="000000" w:themeColor="text1"/>
        <w:lang w:val="es-ES_tradnl"/>
      </w:rPr>
    </w:lvl>
    <w:lvl w:ilvl="2" w:tplc="080A0001">
      <w:start w:val="1"/>
      <w:numFmt w:val="bullet"/>
      <w:lvlText w:val=""/>
      <w:lvlJc w:val="left"/>
      <w:pPr>
        <w:ind w:left="2160" w:hanging="180"/>
      </w:pPr>
      <w:rPr>
        <w:rFonts w:ascii="Symbol" w:hAnsi="Symbol" w:hint="default"/>
      </w:rPr>
    </w:lvl>
    <w:lvl w:ilvl="3" w:tplc="F85C961A">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D054C"/>
    <w:multiLevelType w:val="hybridMultilevel"/>
    <w:tmpl w:val="D276A2F6"/>
    <w:lvl w:ilvl="0" w:tplc="080A0013">
      <w:start w:val="1"/>
      <w:numFmt w:val="upp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091038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EB680E"/>
    <w:multiLevelType w:val="hybridMultilevel"/>
    <w:tmpl w:val="4C84B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AE3C4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AA659E"/>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15:restartNumberingAfterBreak="0">
    <w:nsid w:val="2E054017"/>
    <w:multiLevelType w:val="hybridMultilevel"/>
    <w:tmpl w:val="EB28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C579C1"/>
    <w:multiLevelType w:val="hybridMultilevel"/>
    <w:tmpl w:val="71AEBF2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33661A3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D248BC"/>
    <w:multiLevelType w:val="hybridMultilevel"/>
    <w:tmpl w:val="C47EAC2A"/>
    <w:lvl w:ilvl="0" w:tplc="65FC1384">
      <w:start w:val="1"/>
      <w:numFmt w:val="upperRoman"/>
      <w:lvlText w:val="%1."/>
      <w:lvlJc w:val="right"/>
      <w:pPr>
        <w:ind w:left="1428" w:hanging="360"/>
      </w:pPr>
      <w:rPr>
        <w:b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447C0E1F"/>
    <w:multiLevelType w:val="hybridMultilevel"/>
    <w:tmpl w:val="16FABC50"/>
    <w:lvl w:ilvl="0" w:tplc="FD08B8DC">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5071BE"/>
    <w:multiLevelType w:val="hybridMultilevel"/>
    <w:tmpl w:val="A546EE9A"/>
    <w:lvl w:ilvl="0" w:tplc="080A0013">
      <w:start w:val="1"/>
      <w:numFmt w:val="upp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E457FE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E74DBB"/>
    <w:multiLevelType w:val="hybridMultilevel"/>
    <w:tmpl w:val="7034E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F528CB"/>
    <w:multiLevelType w:val="hybridMultilevel"/>
    <w:tmpl w:val="55A65D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EF7380"/>
    <w:multiLevelType w:val="hybridMultilevel"/>
    <w:tmpl w:val="1D3627FC"/>
    <w:lvl w:ilvl="0" w:tplc="080A0013">
      <w:start w:val="1"/>
      <w:numFmt w:val="upperRoman"/>
      <w:lvlText w:val="%1."/>
      <w:lvlJc w:val="righ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609E4C11"/>
    <w:multiLevelType w:val="hybridMultilevel"/>
    <w:tmpl w:val="16FABC50"/>
    <w:lvl w:ilvl="0" w:tplc="FD08B8DC">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F4CFD"/>
    <w:multiLevelType w:val="hybridMultilevel"/>
    <w:tmpl w:val="A1BA0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27989"/>
    <w:multiLevelType w:val="hybridMultilevel"/>
    <w:tmpl w:val="4830C974"/>
    <w:lvl w:ilvl="0" w:tplc="DA1E5F10">
      <w:start w:val="1"/>
      <w:numFmt w:val="upperRoman"/>
      <w:lvlText w:val="%1."/>
      <w:lvlJc w:val="right"/>
      <w:pPr>
        <w:ind w:left="1428" w:hanging="360"/>
      </w:pPr>
      <w:rPr>
        <w:rFonts w:hint="default"/>
        <w:b w:val="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6B20774C"/>
    <w:multiLevelType w:val="hybridMultilevel"/>
    <w:tmpl w:val="D0E6A2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1D7230"/>
    <w:multiLevelType w:val="hybridMultilevel"/>
    <w:tmpl w:val="EB7C8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D03F1C"/>
    <w:multiLevelType w:val="hybridMultilevel"/>
    <w:tmpl w:val="A1560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77E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F160ED"/>
    <w:multiLevelType w:val="hybridMultilevel"/>
    <w:tmpl w:val="3E4E8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18430A"/>
    <w:multiLevelType w:val="hybridMultilevel"/>
    <w:tmpl w:val="2C8C3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D06CAC"/>
    <w:multiLevelType w:val="hybridMultilevel"/>
    <w:tmpl w:val="16FABC50"/>
    <w:lvl w:ilvl="0" w:tplc="FD08B8DC">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AD0819"/>
    <w:multiLevelType w:val="hybridMultilevel"/>
    <w:tmpl w:val="A4BE8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B51133"/>
    <w:multiLevelType w:val="hybridMultilevel"/>
    <w:tmpl w:val="7034E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6"/>
  </w:num>
  <w:num w:numId="4">
    <w:abstractNumId w:val="20"/>
  </w:num>
  <w:num w:numId="5">
    <w:abstractNumId w:val="12"/>
  </w:num>
  <w:num w:numId="6">
    <w:abstractNumId w:val="19"/>
  </w:num>
  <w:num w:numId="7">
    <w:abstractNumId w:val="2"/>
  </w:num>
  <w:num w:numId="8">
    <w:abstractNumId w:val="30"/>
  </w:num>
  <w:num w:numId="9">
    <w:abstractNumId w:val="33"/>
  </w:num>
  <w:num w:numId="10">
    <w:abstractNumId w:val="29"/>
  </w:num>
  <w:num w:numId="11">
    <w:abstractNumId w:val="32"/>
  </w:num>
  <w:num w:numId="12">
    <w:abstractNumId w:val="25"/>
  </w:num>
  <w:num w:numId="13">
    <w:abstractNumId w:val="14"/>
  </w:num>
  <w:num w:numId="14">
    <w:abstractNumId w:val="18"/>
  </w:num>
  <w:num w:numId="15">
    <w:abstractNumId w:val="11"/>
  </w:num>
  <w:num w:numId="16">
    <w:abstractNumId w:val="10"/>
  </w:num>
  <w:num w:numId="17">
    <w:abstractNumId w:val="8"/>
  </w:num>
  <w:num w:numId="18">
    <w:abstractNumId w:val="9"/>
  </w:num>
  <w:num w:numId="19">
    <w:abstractNumId w:val="28"/>
  </w:num>
  <w:num w:numId="20">
    <w:abstractNumId w:val="5"/>
  </w:num>
  <w:num w:numId="21">
    <w:abstractNumId w:val="23"/>
  </w:num>
  <w:num w:numId="22">
    <w:abstractNumId w:val="13"/>
  </w:num>
  <w:num w:numId="23">
    <w:abstractNumId w:val="15"/>
  </w:num>
  <w:num w:numId="24">
    <w:abstractNumId w:val="3"/>
  </w:num>
  <w:num w:numId="25">
    <w:abstractNumId w:val="6"/>
  </w:num>
  <w:num w:numId="26">
    <w:abstractNumId w:val="7"/>
  </w:num>
  <w:num w:numId="27">
    <w:abstractNumId w:val="24"/>
  </w:num>
  <w:num w:numId="28">
    <w:abstractNumId w:val="17"/>
  </w:num>
  <w:num w:numId="29">
    <w:abstractNumId w:val="21"/>
  </w:num>
  <w:num w:numId="30">
    <w:abstractNumId w:val="31"/>
  </w:num>
  <w:num w:numId="31">
    <w:abstractNumId w:val="4"/>
  </w:num>
  <w:num w:numId="32">
    <w:abstractNumId w:val="22"/>
  </w:num>
  <w:num w:numId="33">
    <w:abstractNumId w:val="1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3ED"/>
    <w:rsid w:val="000260F6"/>
    <w:rsid w:val="00032802"/>
    <w:rsid w:val="0005040B"/>
    <w:rsid w:val="00054798"/>
    <w:rsid w:val="000731F6"/>
    <w:rsid w:val="00076709"/>
    <w:rsid w:val="00076FB3"/>
    <w:rsid w:val="00084D13"/>
    <w:rsid w:val="00094C7A"/>
    <w:rsid w:val="000A1D75"/>
    <w:rsid w:val="000A68FE"/>
    <w:rsid w:val="000C3AB4"/>
    <w:rsid w:val="000E671D"/>
    <w:rsid w:val="000F094A"/>
    <w:rsid w:val="00100F03"/>
    <w:rsid w:val="00112647"/>
    <w:rsid w:val="00123DA5"/>
    <w:rsid w:val="001359B7"/>
    <w:rsid w:val="001448D9"/>
    <w:rsid w:val="00146347"/>
    <w:rsid w:val="00150BCC"/>
    <w:rsid w:val="00151405"/>
    <w:rsid w:val="001633B4"/>
    <w:rsid w:val="001706F4"/>
    <w:rsid w:val="0018468B"/>
    <w:rsid w:val="00184C36"/>
    <w:rsid w:val="001863ED"/>
    <w:rsid w:val="00186F7E"/>
    <w:rsid w:val="001A0FA6"/>
    <w:rsid w:val="001F08B8"/>
    <w:rsid w:val="002047F3"/>
    <w:rsid w:val="00205F00"/>
    <w:rsid w:val="00233925"/>
    <w:rsid w:val="00275B1E"/>
    <w:rsid w:val="00276823"/>
    <w:rsid w:val="00297D8F"/>
    <w:rsid w:val="002C259A"/>
    <w:rsid w:val="002C7A7C"/>
    <w:rsid w:val="002D3DA8"/>
    <w:rsid w:val="002D41B6"/>
    <w:rsid w:val="002D509F"/>
    <w:rsid w:val="002F05AC"/>
    <w:rsid w:val="003027D1"/>
    <w:rsid w:val="003045B2"/>
    <w:rsid w:val="0030676A"/>
    <w:rsid w:val="00315FF0"/>
    <w:rsid w:val="0032786D"/>
    <w:rsid w:val="003674DD"/>
    <w:rsid w:val="00374A2C"/>
    <w:rsid w:val="00380EC1"/>
    <w:rsid w:val="00393E7A"/>
    <w:rsid w:val="003B3309"/>
    <w:rsid w:val="003C03EA"/>
    <w:rsid w:val="003D485E"/>
    <w:rsid w:val="003E477D"/>
    <w:rsid w:val="003F39D0"/>
    <w:rsid w:val="003F7CC3"/>
    <w:rsid w:val="00405B8F"/>
    <w:rsid w:val="00406723"/>
    <w:rsid w:val="00415580"/>
    <w:rsid w:val="004171C9"/>
    <w:rsid w:val="00432AF1"/>
    <w:rsid w:val="00484DB1"/>
    <w:rsid w:val="004901D5"/>
    <w:rsid w:val="0049717F"/>
    <w:rsid w:val="004B46B6"/>
    <w:rsid w:val="004D4B74"/>
    <w:rsid w:val="004D5B20"/>
    <w:rsid w:val="004F5E2E"/>
    <w:rsid w:val="00521CA8"/>
    <w:rsid w:val="00541288"/>
    <w:rsid w:val="00544A39"/>
    <w:rsid w:val="005470D0"/>
    <w:rsid w:val="005558F9"/>
    <w:rsid w:val="005647AB"/>
    <w:rsid w:val="00570992"/>
    <w:rsid w:val="005A4A5B"/>
    <w:rsid w:val="005E1105"/>
    <w:rsid w:val="005E5959"/>
    <w:rsid w:val="005E6BD8"/>
    <w:rsid w:val="005E7935"/>
    <w:rsid w:val="005F5BA7"/>
    <w:rsid w:val="00600CD5"/>
    <w:rsid w:val="0061497C"/>
    <w:rsid w:val="00620EE0"/>
    <w:rsid w:val="00632B7D"/>
    <w:rsid w:val="00636CA2"/>
    <w:rsid w:val="00651EA9"/>
    <w:rsid w:val="00687FAB"/>
    <w:rsid w:val="006910A6"/>
    <w:rsid w:val="006B1EBF"/>
    <w:rsid w:val="006B3828"/>
    <w:rsid w:val="006F0EF2"/>
    <w:rsid w:val="006F7130"/>
    <w:rsid w:val="0071416C"/>
    <w:rsid w:val="007169C3"/>
    <w:rsid w:val="00732470"/>
    <w:rsid w:val="00737CB2"/>
    <w:rsid w:val="00752FF4"/>
    <w:rsid w:val="00753566"/>
    <w:rsid w:val="00796407"/>
    <w:rsid w:val="007979C8"/>
    <w:rsid w:val="007A30C3"/>
    <w:rsid w:val="007B26FB"/>
    <w:rsid w:val="007D4C6A"/>
    <w:rsid w:val="007F48B4"/>
    <w:rsid w:val="008110FF"/>
    <w:rsid w:val="0081156D"/>
    <w:rsid w:val="00841641"/>
    <w:rsid w:val="00841A93"/>
    <w:rsid w:val="008602D3"/>
    <w:rsid w:val="0086087F"/>
    <w:rsid w:val="008777C7"/>
    <w:rsid w:val="00886DCF"/>
    <w:rsid w:val="008900EE"/>
    <w:rsid w:val="008B4E8B"/>
    <w:rsid w:val="008D21E6"/>
    <w:rsid w:val="008E3E23"/>
    <w:rsid w:val="008E7DDA"/>
    <w:rsid w:val="00910C2D"/>
    <w:rsid w:val="00911354"/>
    <w:rsid w:val="00923CED"/>
    <w:rsid w:val="00925B6B"/>
    <w:rsid w:val="00930E5D"/>
    <w:rsid w:val="00944572"/>
    <w:rsid w:val="00947952"/>
    <w:rsid w:val="00965B90"/>
    <w:rsid w:val="00983535"/>
    <w:rsid w:val="009876B5"/>
    <w:rsid w:val="0099022B"/>
    <w:rsid w:val="009A2394"/>
    <w:rsid w:val="009A615F"/>
    <w:rsid w:val="009B10ED"/>
    <w:rsid w:val="009D68DD"/>
    <w:rsid w:val="009E3D8E"/>
    <w:rsid w:val="009E493A"/>
    <w:rsid w:val="009E5FB0"/>
    <w:rsid w:val="009F191A"/>
    <w:rsid w:val="009F25F8"/>
    <w:rsid w:val="009F4CB1"/>
    <w:rsid w:val="009F5FB5"/>
    <w:rsid w:val="00A06BCC"/>
    <w:rsid w:val="00A4003A"/>
    <w:rsid w:val="00A44A77"/>
    <w:rsid w:val="00A978A3"/>
    <w:rsid w:val="00AA24AF"/>
    <w:rsid w:val="00AB051C"/>
    <w:rsid w:val="00AC7693"/>
    <w:rsid w:val="00AD1EF3"/>
    <w:rsid w:val="00AD7F76"/>
    <w:rsid w:val="00AE1C19"/>
    <w:rsid w:val="00AE66EA"/>
    <w:rsid w:val="00B05CF3"/>
    <w:rsid w:val="00B30E7D"/>
    <w:rsid w:val="00B3186B"/>
    <w:rsid w:val="00B8029E"/>
    <w:rsid w:val="00BB4A51"/>
    <w:rsid w:val="00BD0198"/>
    <w:rsid w:val="00C02B26"/>
    <w:rsid w:val="00C057B7"/>
    <w:rsid w:val="00C20598"/>
    <w:rsid w:val="00C30CE1"/>
    <w:rsid w:val="00C32597"/>
    <w:rsid w:val="00C423F2"/>
    <w:rsid w:val="00C446C8"/>
    <w:rsid w:val="00C52E62"/>
    <w:rsid w:val="00C65DB2"/>
    <w:rsid w:val="00C97B4A"/>
    <w:rsid w:val="00C97E05"/>
    <w:rsid w:val="00CA4F59"/>
    <w:rsid w:val="00CA692D"/>
    <w:rsid w:val="00CA7612"/>
    <w:rsid w:val="00CB10B3"/>
    <w:rsid w:val="00D22DB8"/>
    <w:rsid w:val="00D27933"/>
    <w:rsid w:val="00D3252F"/>
    <w:rsid w:val="00D56D2B"/>
    <w:rsid w:val="00D82B26"/>
    <w:rsid w:val="00D900C4"/>
    <w:rsid w:val="00D943AE"/>
    <w:rsid w:val="00D96FF8"/>
    <w:rsid w:val="00DA4701"/>
    <w:rsid w:val="00DB065F"/>
    <w:rsid w:val="00DB6241"/>
    <w:rsid w:val="00DB633F"/>
    <w:rsid w:val="00DC620A"/>
    <w:rsid w:val="00DE4ABB"/>
    <w:rsid w:val="00E033D5"/>
    <w:rsid w:val="00E03FCB"/>
    <w:rsid w:val="00E1649A"/>
    <w:rsid w:val="00E3235F"/>
    <w:rsid w:val="00E4790A"/>
    <w:rsid w:val="00E6549D"/>
    <w:rsid w:val="00E703ED"/>
    <w:rsid w:val="00E83D03"/>
    <w:rsid w:val="00E84C45"/>
    <w:rsid w:val="00E924FC"/>
    <w:rsid w:val="00EB2AA8"/>
    <w:rsid w:val="00ED5128"/>
    <w:rsid w:val="00EE308F"/>
    <w:rsid w:val="00EF0A3A"/>
    <w:rsid w:val="00EF43DA"/>
    <w:rsid w:val="00F37ADE"/>
    <w:rsid w:val="00F51571"/>
    <w:rsid w:val="00F52A6C"/>
    <w:rsid w:val="00F8156F"/>
    <w:rsid w:val="00F83F71"/>
    <w:rsid w:val="00FA3B4E"/>
    <w:rsid w:val="00FD28C8"/>
    <w:rsid w:val="00FE2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023A3"/>
  <w15:chartTrackingRefBased/>
  <w15:docId w15:val="{256E3DD3-C23E-4354-A618-6BF214B0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3E23"/>
  </w:style>
  <w:style w:type="paragraph" w:styleId="Ttulo1">
    <w:name w:val="heading 1"/>
    <w:basedOn w:val="Normal"/>
    <w:next w:val="Normal"/>
    <w:link w:val="Ttulo1Car"/>
    <w:uiPriority w:val="9"/>
    <w:qFormat/>
    <w:rsid w:val="009F5F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Tnormal">
    <w:name w:val="IFT normal"/>
    <w:basedOn w:val="Normal"/>
    <w:link w:val="IFTnormalCar"/>
    <w:qFormat/>
    <w:rsid w:val="008E3E23"/>
    <w:pPr>
      <w:spacing w:after="200" w:line="276" w:lineRule="auto"/>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8E3E23"/>
    <w:rPr>
      <w:rFonts w:ascii="ITC Avant Garde" w:eastAsia="Calibri" w:hAnsi="ITC Avant Garde" w:cs="Arial"/>
      <w:color w:val="000000"/>
      <w:lang w:val="es-ES_tradnl" w:eastAsia="es-ES"/>
    </w:rPr>
  </w:style>
  <w:style w:type="paragraph" w:customStyle="1" w:styleId="Default">
    <w:name w:val="Default"/>
    <w:rsid w:val="00886DCF"/>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aliases w:val="prueba1"/>
    <w:basedOn w:val="Normal"/>
    <w:link w:val="PrrafodelistaCar"/>
    <w:uiPriority w:val="34"/>
    <w:qFormat/>
    <w:rsid w:val="00C057B7"/>
    <w:pPr>
      <w:ind w:left="720"/>
      <w:contextualSpacing/>
    </w:pPr>
  </w:style>
  <w:style w:type="character" w:customStyle="1" w:styleId="PrrafodelistaCar">
    <w:name w:val="Párrafo de lista Car"/>
    <w:aliases w:val="prueba1 Car"/>
    <w:link w:val="Prrafodelista"/>
    <w:uiPriority w:val="34"/>
    <w:qFormat/>
    <w:rsid w:val="006910A6"/>
  </w:style>
  <w:style w:type="paragraph" w:styleId="Textonotapie">
    <w:name w:val="footnote text"/>
    <w:basedOn w:val="Normal"/>
    <w:link w:val="TextonotapieCar"/>
    <w:uiPriority w:val="99"/>
    <w:semiHidden/>
    <w:unhideWhenUsed/>
    <w:rsid w:val="007B26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B26FB"/>
    <w:rPr>
      <w:sz w:val="20"/>
      <w:szCs w:val="20"/>
    </w:rPr>
  </w:style>
  <w:style w:type="character" w:styleId="Refdenotaalpie">
    <w:name w:val="footnote reference"/>
    <w:basedOn w:val="Fuentedeprrafopredeter"/>
    <w:uiPriority w:val="99"/>
    <w:semiHidden/>
    <w:unhideWhenUsed/>
    <w:rsid w:val="007B26FB"/>
    <w:rPr>
      <w:vertAlign w:val="superscript"/>
    </w:rPr>
  </w:style>
  <w:style w:type="paragraph" w:styleId="Encabezado">
    <w:name w:val="header"/>
    <w:basedOn w:val="Normal"/>
    <w:link w:val="EncabezadoCar"/>
    <w:uiPriority w:val="99"/>
    <w:semiHidden/>
    <w:unhideWhenUsed/>
    <w:rsid w:val="00D96F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96FF8"/>
  </w:style>
  <w:style w:type="paragraph" w:styleId="Piedepgina">
    <w:name w:val="footer"/>
    <w:basedOn w:val="Normal"/>
    <w:link w:val="PiedepginaCar"/>
    <w:uiPriority w:val="99"/>
    <w:semiHidden/>
    <w:unhideWhenUsed/>
    <w:rsid w:val="00D96F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96FF8"/>
  </w:style>
  <w:style w:type="character" w:styleId="Refdecomentario">
    <w:name w:val="annotation reference"/>
    <w:basedOn w:val="Fuentedeprrafopredeter"/>
    <w:uiPriority w:val="99"/>
    <w:semiHidden/>
    <w:unhideWhenUsed/>
    <w:rsid w:val="00D96FF8"/>
    <w:rPr>
      <w:sz w:val="16"/>
      <w:szCs w:val="16"/>
    </w:rPr>
  </w:style>
  <w:style w:type="paragraph" w:styleId="Textocomentario">
    <w:name w:val="annotation text"/>
    <w:basedOn w:val="Normal"/>
    <w:link w:val="TextocomentarioCar"/>
    <w:uiPriority w:val="99"/>
    <w:semiHidden/>
    <w:unhideWhenUsed/>
    <w:rsid w:val="00D96F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6FF8"/>
    <w:rPr>
      <w:sz w:val="20"/>
      <w:szCs w:val="20"/>
    </w:rPr>
  </w:style>
  <w:style w:type="paragraph" w:styleId="Asuntodelcomentario">
    <w:name w:val="annotation subject"/>
    <w:basedOn w:val="Textocomentario"/>
    <w:next w:val="Textocomentario"/>
    <w:link w:val="AsuntodelcomentarioCar"/>
    <w:uiPriority w:val="99"/>
    <w:semiHidden/>
    <w:unhideWhenUsed/>
    <w:rsid w:val="00D96FF8"/>
    <w:rPr>
      <w:b/>
      <w:bCs/>
    </w:rPr>
  </w:style>
  <w:style w:type="character" w:customStyle="1" w:styleId="AsuntodelcomentarioCar">
    <w:name w:val="Asunto del comentario Car"/>
    <w:basedOn w:val="TextocomentarioCar"/>
    <w:link w:val="Asuntodelcomentario"/>
    <w:uiPriority w:val="99"/>
    <w:semiHidden/>
    <w:rsid w:val="00D96FF8"/>
    <w:rPr>
      <w:b/>
      <w:bCs/>
      <w:sz w:val="20"/>
      <w:szCs w:val="20"/>
    </w:rPr>
  </w:style>
  <w:style w:type="paragraph" w:styleId="Textodeglobo">
    <w:name w:val="Balloon Text"/>
    <w:basedOn w:val="Normal"/>
    <w:link w:val="TextodegloboCar"/>
    <w:uiPriority w:val="99"/>
    <w:semiHidden/>
    <w:unhideWhenUsed/>
    <w:rsid w:val="00D96F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6FF8"/>
    <w:rPr>
      <w:rFonts w:ascii="Segoe UI" w:hAnsi="Segoe UI" w:cs="Segoe UI"/>
      <w:sz w:val="18"/>
      <w:szCs w:val="18"/>
    </w:rPr>
  </w:style>
  <w:style w:type="paragraph" w:customStyle="1" w:styleId="Normal1">
    <w:name w:val="Normal1"/>
    <w:rsid w:val="00BB4A51"/>
    <w:pPr>
      <w:spacing w:after="0" w:line="276" w:lineRule="auto"/>
    </w:pPr>
    <w:rPr>
      <w:rFonts w:ascii="Arial" w:eastAsia="Arial" w:hAnsi="Arial" w:cs="Arial"/>
      <w:color w:val="000000"/>
      <w:szCs w:val="24"/>
      <w:lang w:eastAsia="es-ES"/>
    </w:rPr>
  </w:style>
  <w:style w:type="paragraph" w:styleId="Descripcin">
    <w:name w:val="caption"/>
    <w:basedOn w:val="Normal"/>
    <w:next w:val="Normal"/>
    <w:uiPriority w:val="35"/>
    <w:unhideWhenUsed/>
    <w:qFormat/>
    <w:rsid w:val="00BB4A51"/>
    <w:pPr>
      <w:spacing w:after="200" w:line="240" w:lineRule="auto"/>
    </w:pPr>
    <w:rPr>
      <w:rFonts w:ascii="Arial" w:eastAsia="Arial" w:hAnsi="Arial" w:cs="Arial"/>
      <w:i/>
      <w:iCs/>
      <w:color w:val="44546A" w:themeColor="text2"/>
      <w:sz w:val="18"/>
      <w:szCs w:val="18"/>
      <w:lang w:eastAsia="es-MX"/>
    </w:rPr>
  </w:style>
  <w:style w:type="paragraph" w:styleId="Sinespaciado">
    <w:name w:val="No Spacing"/>
    <w:uiPriority w:val="1"/>
    <w:qFormat/>
    <w:rsid w:val="005E1105"/>
    <w:pPr>
      <w:spacing w:after="0" w:line="240" w:lineRule="auto"/>
    </w:pPr>
  </w:style>
  <w:style w:type="character" w:customStyle="1" w:styleId="Ttulo1Car">
    <w:name w:val="Título 1 Car"/>
    <w:basedOn w:val="Fuentedeprrafopredeter"/>
    <w:link w:val="Ttulo1"/>
    <w:uiPriority w:val="9"/>
    <w:rsid w:val="009F5FB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78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DD56C-954F-4AD5-8F92-43FFDB73E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08A51C-E33C-4DD6-AF7C-9B789E0EED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909A70-19FD-4991-BCAC-64210DDD88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3442</Words>
  <Characters>18937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Rodriguez Chavarria</dc:creator>
  <cp:keywords/>
  <dc:description/>
  <cp:lastModifiedBy>Cesar Zamora Martinez</cp:lastModifiedBy>
  <cp:revision>4</cp:revision>
  <dcterms:created xsi:type="dcterms:W3CDTF">2016-10-05T18:29:00Z</dcterms:created>
  <dcterms:modified xsi:type="dcterms:W3CDTF">2016-10-05T18:31:00Z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