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CF109" w14:textId="0C80BEE1" w:rsidR="00BC5DCE" w:rsidRPr="00B6100E" w:rsidRDefault="00BC09A3" w:rsidP="00B6100E">
      <w:pPr>
        <w:pStyle w:val="Ttulo1"/>
        <w:ind w:left="0"/>
        <w:jc w:val="both"/>
        <w:rPr>
          <w:rFonts w:ascii="ITC Avant Garde" w:eastAsia="Times New Roman" w:hAnsi="ITC Avant Garde"/>
          <w:b/>
          <w:bCs/>
          <w:i/>
          <w:sz w:val="22"/>
        </w:rPr>
      </w:pPr>
      <w:r w:rsidRPr="00B6100E">
        <w:rPr>
          <w:rFonts w:ascii="ITC Avant Garde" w:hAnsi="ITC Avant Garde"/>
          <w:b/>
          <w:sz w:val="22"/>
        </w:rPr>
        <w:t>RESPUESTAS GENERALES QUE BRINDA EL INSTITUTO FEDERAL DE TELECOMUNICACIONES A LAS MANIFESTACIONES, OPINIONES, COMENTARIOS Y PROPUESTAS CONCRETAS, PRESENTADAS DURANTE LA CONSULTA PÚBLICA DE</w:t>
      </w:r>
      <w:r w:rsidR="00BB163B" w:rsidRPr="00B6100E">
        <w:rPr>
          <w:rFonts w:ascii="ITC Avant Garde" w:hAnsi="ITC Avant Garde"/>
          <w:b/>
          <w:sz w:val="22"/>
        </w:rPr>
        <w:t xml:space="preserve"> </w:t>
      </w:r>
      <w:r w:rsidRPr="00B6100E">
        <w:rPr>
          <w:rFonts w:ascii="ITC Avant Garde" w:hAnsi="ITC Avant Garde"/>
          <w:b/>
          <w:sz w:val="22"/>
        </w:rPr>
        <w:t>L</w:t>
      </w:r>
      <w:r w:rsidR="00BB163B" w:rsidRPr="00B6100E">
        <w:rPr>
          <w:rFonts w:ascii="ITC Avant Garde" w:hAnsi="ITC Avant Garde"/>
          <w:b/>
          <w:sz w:val="22"/>
        </w:rPr>
        <w:t>AS</w:t>
      </w:r>
      <w:r w:rsidRPr="00B6100E">
        <w:rPr>
          <w:rFonts w:ascii="ITC Avant Garde" w:hAnsi="ITC Avant Garde"/>
          <w:b/>
          <w:sz w:val="22"/>
        </w:rPr>
        <w:t xml:space="preserve"> </w:t>
      </w:r>
      <w:r w:rsidRPr="00B6100E">
        <w:rPr>
          <w:rFonts w:ascii="ITC Avant Garde" w:eastAsia="Times New Roman" w:hAnsi="ITC Avant Garde"/>
          <w:b/>
          <w:bCs/>
          <w:i/>
          <w:sz w:val="22"/>
        </w:rPr>
        <w:t>“</w:t>
      </w:r>
      <w:r w:rsidR="00BB163B" w:rsidRPr="00B6100E">
        <w:rPr>
          <w:rFonts w:ascii="ITC Avant Garde" w:eastAsia="Times New Roman" w:hAnsi="ITC Avant Garde"/>
          <w:b/>
          <w:bCs/>
          <w:i/>
          <w:sz w:val="22"/>
        </w:rPr>
        <w:t>PROPUESTAS DE CONVENIO MARCO DE INTERCONEXIÓN PRESENTADAS POR EL AGENTE ECONÓMICO PREPONDERANTE EN EL SECTOR DE LAS TELECOMUNICACIONES</w:t>
      </w:r>
      <w:r w:rsidRPr="00B6100E">
        <w:rPr>
          <w:rFonts w:ascii="ITC Avant Garde" w:eastAsia="Times New Roman" w:hAnsi="ITC Avant Garde"/>
          <w:b/>
          <w:bCs/>
          <w:i/>
          <w:sz w:val="22"/>
        </w:rPr>
        <w:t>”.</w:t>
      </w:r>
    </w:p>
    <w:p w14:paraId="3807B4DF" w14:textId="77777777" w:rsidR="00BC09A3" w:rsidRPr="00100519" w:rsidRDefault="00BC09A3" w:rsidP="00100519">
      <w:pPr>
        <w:spacing w:after="1" w:line="276" w:lineRule="auto"/>
        <w:ind w:left="-6" w:right="0"/>
        <w:rPr>
          <w:rFonts w:ascii="ITC Avant Garde" w:hAnsi="ITC Avant Garde"/>
        </w:rPr>
      </w:pPr>
      <w:bookmarkStart w:id="0" w:name="_GoBack"/>
      <w:bookmarkEnd w:id="0"/>
    </w:p>
    <w:p w14:paraId="1AB2973F" w14:textId="2D24789C" w:rsidR="00BC09A3" w:rsidRPr="00100519" w:rsidRDefault="00BC09A3" w:rsidP="00100519">
      <w:pPr>
        <w:spacing w:line="276" w:lineRule="auto"/>
        <w:ind w:left="-6" w:right="0"/>
        <w:rPr>
          <w:rFonts w:ascii="ITC Avant Garde" w:hAnsi="ITC Avant Garde"/>
        </w:rPr>
      </w:pPr>
      <w:r w:rsidRPr="005A2C79">
        <w:rPr>
          <w:rFonts w:ascii="ITC Avant Garde" w:hAnsi="ITC Avant Garde"/>
        </w:rPr>
        <w:t xml:space="preserve">Con relación a las manifestaciones, opiniones, comentarios y propuestas concretas </w:t>
      </w:r>
      <w:r w:rsidR="000475CD" w:rsidRPr="005A2C79">
        <w:rPr>
          <w:rFonts w:ascii="ITC Avant Garde" w:hAnsi="ITC Avant Garde"/>
        </w:rPr>
        <w:t>sobre la Propuesta de Convenio Marco de Interconexión presentada por Teléfonos de México, S.A.B. de C.V. y Teléfonos del Noroeste, S.A. de C.V.</w:t>
      </w:r>
      <w:r w:rsidR="00E32604" w:rsidRPr="005A2C79">
        <w:rPr>
          <w:rFonts w:ascii="ITC Avant Garde" w:hAnsi="ITC Avant Garde"/>
        </w:rPr>
        <w:t xml:space="preserve"> materia de la consulta pública de mérito, </w:t>
      </w:r>
      <w:r w:rsidRPr="005A2C79">
        <w:rPr>
          <w:rFonts w:ascii="ITC Avant Garde" w:hAnsi="ITC Avant Garde"/>
        </w:rPr>
        <w:t xml:space="preserve">recibidas durante el </w:t>
      </w:r>
      <w:r w:rsidR="00E32604" w:rsidRPr="005A2C79">
        <w:rPr>
          <w:rFonts w:ascii="ITC Avant Garde" w:hAnsi="ITC Avant Garde"/>
        </w:rPr>
        <w:t>periodo comprendido</w:t>
      </w:r>
      <w:r w:rsidR="007A2802" w:rsidRPr="005A2C79">
        <w:rPr>
          <w:rFonts w:ascii="ITC Avant Garde" w:hAnsi="ITC Avant Garde"/>
        </w:rPr>
        <w:t xml:space="preserve"> del </w:t>
      </w:r>
      <w:r w:rsidR="00E00218" w:rsidRPr="005A2C79">
        <w:rPr>
          <w:rFonts w:ascii="ITC Avant Garde" w:hAnsi="ITC Avant Garde"/>
        </w:rPr>
        <w:t>12</w:t>
      </w:r>
      <w:r w:rsidR="00BB163B" w:rsidRPr="005A2C79">
        <w:rPr>
          <w:rFonts w:ascii="ITC Avant Garde" w:hAnsi="ITC Avant Garde"/>
        </w:rPr>
        <w:t xml:space="preserve"> </w:t>
      </w:r>
      <w:r w:rsidR="00E00218" w:rsidRPr="005A2C79">
        <w:rPr>
          <w:rFonts w:ascii="ITC Avant Garde" w:hAnsi="ITC Avant Garde"/>
        </w:rPr>
        <w:t xml:space="preserve">julio </w:t>
      </w:r>
      <w:r w:rsidR="00BB163B" w:rsidRPr="005A2C79">
        <w:rPr>
          <w:rFonts w:ascii="ITC Avant Garde" w:hAnsi="ITC Avant Garde"/>
        </w:rPr>
        <w:t xml:space="preserve">al </w:t>
      </w:r>
      <w:r w:rsidR="00E00218" w:rsidRPr="005A2C79">
        <w:rPr>
          <w:rFonts w:ascii="ITC Avant Garde" w:hAnsi="ITC Avant Garde"/>
        </w:rPr>
        <w:t>10</w:t>
      </w:r>
      <w:r w:rsidR="00BB163B" w:rsidRPr="005A2C79">
        <w:rPr>
          <w:rFonts w:ascii="ITC Avant Garde" w:hAnsi="ITC Avant Garde"/>
        </w:rPr>
        <w:t xml:space="preserve"> de </w:t>
      </w:r>
      <w:r w:rsidR="00E00218" w:rsidRPr="005A2C79">
        <w:rPr>
          <w:rFonts w:ascii="ITC Avant Garde" w:hAnsi="ITC Avant Garde"/>
        </w:rPr>
        <w:t>agosto</w:t>
      </w:r>
      <w:r w:rsidR="00BB163B" w:rsidRPr="005A2C79">
        <w:rPr>
          <w:rFonts w:ascii="ITC Avant Garde" w:hAnsi="ITC Avant Garde"/>
        </w:rPr>
        <w:t xml:space="preserve"> de 2016</w:t>
      </w:r>
      <w:r w:rsidRPr="005A2C79">
        <w:rPr>
          <w:rFonts w:ascii="ITC Avant Garde" w:hAnsi="ITC Avant Garde"/>
        </w:rPr>
        <w:t xml:space="preserve">, se informa que el Instituto Federal de Telecomunicaciones (el “Instituto”) </w:t>
      </w:r>
      <w:r w:rsidR="00E32604" w:rsidRPr="005A2C79">
        <w:rPr>
          <w:rFonts w:ascii="ITC Avant Garde" w:hAnsi="ITC Avant Garde"/>
        </w:rPr>
        <w:t>atendió los temas recibidos</w:t>
      </w:r>
      <w:r w:rsidR="005078D4" w:rsidRPr="005A2C79">
        <w:rPr>
          <w:rFonts w:ascii="ITC Avant Garde" w:hAnsi="ITC Avant Garde"/>
        </w:rPr>
        <w:t xml:space="preserve"> </w:t>
      </w:r>
      <w:r w:rsidR="00764DD4">
        <w:rPr>
          <w:rFonts w:ascii="ITC Avant Garde" w:hAnsi="ITC Avant Garde"/>
        </w:rPr>
        <w:t>y que</w:t>
      </w:r>
      <w:r w:rsidR="00A62960" w:rsidRPr="005A2C79">
        <w:rPr>
          <w:rFonts w:ascii="ITC Avant Garde" w:hAnsi="ITC Avant Garde"/>
        </w:rPr>
        <w:t xml:space="preserve"> </w:t>
      </w:r>
      <w:r w:rsidRPr="005A2C79">
        <w:rPr>
          <w:rFonts w:ascii="ITC Avant Garde" w:hAnsi="ITC Avant Garde"/>
        </w:rPr>
        <w:t>todas las opiniones y pronunciamientos recibidos, se encuentran disponibles para su consulta en la pá</w:t>
      </w:r>
      <w:r w:rsidR="00B148CC" w:rsidRPr="005A2C79">
        <w:rPr>
          <w:rFonts w:ascii="ITC Avant Garde" w:hAnsi="ITC Avant Garde"/>
        </w:rPr>
        <w:t>gina de internet del Instituto.</w:t>
      </w:r>
    </w:p>
    <w:p w14:paraId="4C353835" w14:textId="4B6055A1" w:rsidR="00D44461" w:rsidRPr="00100519" w:rsidRDefault="00BC09A3" w:rsidP="00100519">
      <w:pPr>
        <w:spacing w:after="0" w:line="276" w:lineRule="auto"/>
        <w:ind w:left="0" w:right="0" w:firstLine="0"/>
        <w:jc w:val="left"/>
        <w:rPr>
          <w:rFonts w:ascii="ITC Avant Garde" w:hAnsi="ITC Avant Garde"/>
        </w:rPr>
      </w:pPr>
      <w:r w:rsidRPr="00100519">
        <w:rPr>
          <w:rFonts w:ascii="ITC Avant Garde" w:hAnsi="ITC Avant Garde"/>
        </w:rPr>
        <w:t xml:space="preserve"> </w:t>
      </w:r>
    </w:p>
    <w:p w14:paraId="6268314B" w14:textId="1586BFFD" w:rsidR="00DD421A" w:rsidRDefault="00A62960" w:rsidP="00100519">
      <w:pPr>
        <w:spacing w:line="276" w:lineRule="auto"/>
        <w:ind w:left="-5" w:right="0"/>
        <w:rPr>
          <w:rFonts w:ascii="ITC Avant Garde" w:hAnsi="ITC Avant Garde"/>
        </w:rPr>
      </w:pPr>
      <w:r w:rsidRPr="004A73A8">
        <w:rPr>
          <w:rFonts w:ascii="ITC Avant Garde" w:hAnsi="ITC Avant Garde"/>
        </w:rPr>
        <w:t xml:space="preserve">Durante </w:t>
      </w:r>
      <w:r w:rsidR="00BC09A3" w:rsidRPr="004A73A8">
        <w:rPr>
          <w:rFonts w:ascii="ITC Avant Garde" w:hAnsi="ITC Avant Garde"/>
        </w:rPr>
        <w:t xml:space="preserve">el </w:t>
      </w:r>
      <w:r w:rsidR="001D50AC" w:rsidRPr="004A73A8">
        <w:rPr>
          <w:rFonts w:ascii="ITC Avant Garde" w:hAnsi="ITC Avant Garde"/>
        </w:rPr>
        <w:t>periodo</w:t>
      </w:r>
      <w:r w:rsidR="00BC09A3" w:rsidRPr="004A73A8">
        <w:rPr>
          <w:rFonts w:ascii="ITC Avant Garde" w:hAnsi="ITC Avant Garde"/>
        </w:rPr>
        <w:t xml:space="preserve"> de la consulta pú</w:t>
      </w:r>
      <w:r w:rsidR="00D44461" w:rsidRPr="004A73A8">
        <w:rPr>
          <w:rFonts w:ascii="ITC Avant Garde" w:hAnsi="ITC Avant Garde"/>
        </w:rPr>
        <w:t>bl</w:t>
      </w:r>
      <w:r w:rsidR="007E006A" w:rsidRPr="004A73A8">
        <w:rPr>
          <w:rFonts w:ascii="ITC Avant Garde" w:hAnsi="ITC Avant Garde"/>
        </w:rPr>
        <w:t xml:space="preserve">ica de mérito, se recibieron </w:t>
      </w:r>
      <w:r w:rsidR="00C30207">
        <w:rPr>
          <w:rFonts w:ascii="ITC Avant Garde" w:hAnsi="ITC Avant Garde"/>
        </w:rPr>
        <w:t>8</w:t>
      </w:r>
      <w:r w:rsidR="00ED31FF" w:rsidRPr="004A73A8">
        <w:rPr>
          <w:rFonts w:ascii="ITC Avant Garde" w:hAnsi="ITC Avant Garde"/>
        </w:rPr>
        <w:t xml:space="preserve"> </w:t>
      </w:r>
      <w:r w:rsidR="0076085E" w:rsidRPr="004A73A8">
        <w:rPr>
          <w:rFonts w:ascii="ITC Avant Garde" w:hAnsi="ITC Avant Garde"/>
        </w:rPr>
        <w:t>participaciones</w:t>
      </w:r>
      <w:r w:rsidR="00FF0C54" w:rsidRPr="004A73A8">
        <w:rPr>
          <w:rFonts w:ascii="ITC Avant Garde" w:hAnsi="ITC Avant Garde"/>
        </w:rPr>
        <w:t xml:space="preserve">, </w:t>
      </w:r>
      <w:r w:rsidR="003146CE">
        <w:rPr>
          <w:rFonts w:ascii="ITC Avant Garde" w:hAnsi="ITC Avant Garde"/>
        </w:rPr>
        <w:t>por parte de las siguientes personas morales:</w:t>
      </w:r>
    </w:p>
    <w:p w14:paraId="1B6ABAA8" w14:textId="77777777" w:rsidR="003146CE" w:rsidRDefault="003146CE" w:rsidP="00100519">
      <w:pPr>
        <w:spacing w:line="276" w:lineRule="auto"/>
        <w:ind w:left="-5" w:right="0"/>
        <w:rPr>
          <w:rFonts w:ascii="ITC Avant Garde" w:hAnsi="ITC Avant Garde"/>
        </w:rPr>
      </w:pPr>
    </w:p>
    <w:p w14:paraId="7847523B" w14:textId="2AC43288" w:rsidR="003146CE" w:rsidRDefault="003146CE" w:rsidP="003146CE">
      <w:pPr>
        <w:pStyle w:val="Prrafodelista"/>
        <w:numPr>
          <w:ilvl w:val="0"/>
          <w:numId w:val="1"/>
        </w:numPr>
        <w:spacing w:line="276" w:lineRule="auto"/>
        <w:ind w:right="0"/>
        <w:rPr>
          <w:rFonts w:ascii="ITC Avant Garde" w:hAnsi="ITC Avant Garde"/>
        </w:rPr>
      </w:pPr>
      <w:r w:rsidRPr="004A73A8">
        <w:rPr>
          <w:rFonts w:ascii="ITC Avant Garde" w:hAnsi="ITC Avant Garde"/>
        </w:rPr>
        <w:t>Grupo de Telecomunicaciones Mexicanas, S.A de C.V. y Pegaso PCS, S.A. de C.V. (“Telefónica”)</w:t>
      </w:r>
      <w:r>
        <w:rPr>
          <w:rFonts w:ascii="ITC Avant Garde" w:hAnsi="ITC Avant Garde"/>
        </w:rPr>
        <w:t>;</w:t>
      </w:r>
    </w:p>
    <w:p w14:paraId="1F1CB122" w14:textId="425763D9" w:rsidR="003146CE" w:rsidRPr="003146CE" w:rsidRDefault="003146CE" w:rsidP="003146CE">
      <w:pPr>
        <w:pStyle w:val="Prrafodelista"/>
        <w:numPr>
          <w:ilvl w:val="0"/>
          <w:numId w:val="1"/>
        </w:numPr>
        <w:spacing w:line="276" w:lineRule="auto"/>
        <w:ind w:right="0"/>
        <w:rPr>
          <w:rFonts w:ascii="ITC Avant Garde" w:hAnsi="ITC Avant Garde"/>
        </w:rPr>
      </w:pPr>
      <w:r w:rsidRPr="004A73A8">
        <w:rPr>
          <w:rFonts w:ascii="ITC Avant Garde" w:eastAsiaTheme="minorHAnsi" w:hAnsi="ITC Avant Garde" w:cs="ITC Avant Garde"/>
          <w:lang w:eastAsia="en-US"/>
        </w:rPr>
        <w:t>Cámara Nacional de la Industria Electrónica, de Telecomunicaciones y Tecnologías de la Información (“CANIETI”);</w:t>
      </w:r>
    </w:p>
    <w:p w14:paraId="2D9E6076" w14:textId="151EDA56" w:rsidR="003146CE" w:rsidRPr="003146CE" w:rsidRDefault="003146CE" w:rsidP="003146CE">
      <w:pPr>
        <w:pStyle w:val="Prrafodelista"/>
        <w:numPr>
          <w:ilvl w:val="0"/>
          <w:numId w:val="1"/>
        </w:numPr>
        <w:spacing w:line="276" w:lineRule="auto"/>
        <w:ind w:right="0"/>
        <w:rPr>
          <w:rFonts w:ascii="ITC Avant Garde" w:hAnsi="ITC Avant Garde"/>
        </w:rPr>
      </w:pPr>
      <w:r w:rsidRPr="004A73A8">
        <w:rPr>
          <w:rFonts w:ascii="ITC Avant Garde" w:eastAsiaTheme="minorHAnsi" w:hAnsi="ITC Avant Garde" w:cs="ITC Avant Garde"/>
          <w:lang w:eastAsia="en-US"/>
        </w:rPr>
        <w:t>AT&amp;T Comunicaciones Digitales, S. de R.L. de C.V., Grupo AT&amp;T Celullar, S. de R.L. de C.V., AT&amp;T Norte, S. de R.L. de C.V., AT&amp;T Comercialización Móvil, S. de R.L. de C.V. y AT&amp;T Desarrollo en Comunicaciones de México, S. de R.L. de C.V. (conjuntamente, “AT&amp;T”);</w:t>
      </w:r>
    </w:p>
    <w:p w14:paraId="3A9EE970" w14:textId="31D70744" w:rsidR="003146CE" w:rsidRPr="003146CE" w:rsidRDefault="003146CE" w:rsidP="003146CE">
      <w:pPr>
        <w:pStyle w:val="Prrafodelista"/>
        <w:numPr>
          <w:ilvl w:val="0"/>
          <w:numId w:val="1"/>
        </w:numPr>
        <w:spacing w:line="276" w:lineRule="auto"/>
        <w:ind w:right="0"/>
        <w:rPr>
          <w:rFonts w:ascii="ITC Avant Garde" w:hAnsi="ITC Avant Garde"/>
        </w:rPr>
      </w:pPr>
      <w:r w:rsidRPr="003146CE">
        <w:rPr>
          <w:rFonts w:ascii="ITC Avant Garde" w:eastAsiaTheme="minorHAnsi" w:hAnsi="ITC Avant Garde" w:cs="ITC Avant Garde"/>
          <w:lang w:eastAsia="en-US"/>
        </w:rPr>
        <w:t>Axtel, S.A.B. de C.V. (“Axtel”);</w:t>
      </w:r>
    </w:p>
    <w:p w14:paraId="7D6E49C5" w14:textId="77777777" w:rsidR="003146CE" w:rsidRPr="004A73A8" w:rsidRDefault="003146CE" w:rsidP="003146C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4A73A8">
        <w:rPr>
          <w:rFonts w:ascii="ITC Avant Garde" w:eastAsiaTheme="minorHAnsi" w:hAnsi="ITC Avant Garde" w:cs="ITC Avant Garde"/>
          <w:lang w:eastAsia="en-US"/>
        </w:rPr>
        <w:t>Alestra, S. de R.L. de C.V.</w:t>
      </w:r>
      <w:r w:rsidRPr="001813B4">
        <w:rPr>
          <w:rFonts w:ascii="ITC Avant Garde" w:eastAsiaTheme="minorHAnsi" w:hAnsi="ITC Avant Garde" w:cs="ITC Avant Garde"/>
          <w:lang w:eastAsia="en-US"/>
        </w:rPr>
        <w:t xml:space="preserve"> </w:t>
      </w:r>
      <w:r w:rsidRPr="004A73A8">
        <w:rPr>
          <w:rFonts w:ascii="ITC Avant Garde" w:eastAsiaTheme="minorHAnsi" w:hAnsi="ITC Avant Garde" w:cs="ITC Avant Garde"/>
          <w:lang w:eastAsia="en-US"/>
        </w:rPr>
        <w:t>(“</w:t>
      </w:r>
      <w:r>
        <w:rPr>
          <w:rFonts w:ascii="ITC Avant Garde" w:eastAsiaTheme="minorHAnsi" w:hAnsi="ITC Avant Garde" w:cs="ITC Avant Garde"/>
          <w:lang w:eastAsia="en-US"/>
        </w:rPr>
        <w:t>Alestra”</w:t>
      </w:r>
      <w:r w:rsidRPr="004A73A8">
        <w:rPr>
          <w:rFonts w:ascii="ITC Avant Garde" w:eastAsiaTheme="minorHAnsi" w:hAnsi="ITC Avant Garde" w:cs="ITC Avant Garde"/>
          <w:lang w:eastAsia="en-US"/>
        </w:rPr>
        <w:t>);</w:t>
      </w:r>
    </w:p>
    <w:p w14:paraId="0B1113D7" w14:textId="77777777" w:rsidR="003146CE" w:rsidRDefault="003146CE" w:rsidP="003146C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4A73A8">
        <w:rPr>
          <w:rFonts w:ascii="ITC Avant Garde" w:eastAsiaTheme="minorHAnsi" w:hAnsi="ITC Avant Garde" w:cs="ITC Avant Garde"/>
          <w:lang w:eastAsia="en-US"/>
        </w:rPr>
        <w:t>Operbes, S.A. de C.V, Bestphone, S.A. de C.V., Cablevisión, S.A. de C.V., Cablemás Telecomunicaciones, S.A. de C.V., Cable y Comunicación de Campeche, S.A. de C.V., TV Cable de Oriente, S.A. de C.</w:t>
      </w:r>
      <w:r>
        <w:rPr>
          <w:rFonts w:ascii="ITC Avant Garde" w:eastAsiaTheme="minorHAnsi" w:hAnsi="ITC Avant Garde" w:cs="ITC Avant Garde"/>
          <w:lang w:eastAsia="en-US"/>
        </w:rPr>
        <w:t>V. y Cablevisión Red, S.A. de C.V.</w:t>
      </w:r>
      <w:r w:rsidRPr="00100519">
        <w:rPr>
          <w:rFonts w:ascii="ITC Avant Garde" w:eastAsiaTheme="minorHAnsi" w:hAnsi="ITC Avant Garde" w:cs="ITC Avant Garde"/>
          <w:lang w:eastAsia="en-US"/>
        </w:rPr>
        <w:t xml:space="preserve"> (“</w:t>
      </w:r>
      <w:r>
        <w:rPr>
          <w:rFonts w:ascii="ITC Avant Garde" w:eastAsiaTheme="minorHAnsi" w:hAnsi="ITC Avant Garde" w:cs="ITC Avant Garde"/>
          <w:lang w:eastAsia="en-US"/>
        </w:rPr>
        <w:t xml:space="preserve">Grupo </w:t>
      </w:r>
      <w:r w:rsidRPr="00100519">
        <w:rPr>
          <w:rFonts w:ascii="ITC Avant Garde" w:eastAsiaTheme="minorHAnsi" w:hAnsi="ITC Avant Garde" w:cs="ITC Avant Garde"/>
          <w:lang w:eastAsia="en-US"/>
        </w:rPr>
        <w:t xml:space="preserve">Televisa”); </w:t>
      </w:r>
    </w:p>
    <w:p w14:paraId="2932C997" w14:textId="77777777" w:rsidR="003146CE" w:rsidRDefault="003146CE" w:rsidP="003146CE">
      <w:pPr>
        <w:pStyle w:val="Prrafodelista"/>
        <w:numPr>
          <w:ilvl w:val="0"/>
          <w:numId w:val="1"/>
        </w:numPr>
        <w:autoSpaceDE w:val="0"/>
        <w:autoSpaceDN w:val="0"/>
        <w:adjustRightInd w:val="0"/>
        <w:spacing w:after="0" w:line="276" w:lineRule="auto"/>
        <w:ind w:right="0"/>
        <w:rPr>
          <w:rFonts w:ascii="ITC Avant Garde" w:eastAsiaTheme="minorHAnsi" w:hAnsi="ITC Avant Garde" w:cs="ITC Avant Garde"/>
          <w:lang w:eastAsia="en-US"/>
        </w:rPr>
      </w:pPr>
      <w:r w:rsidRPr="00DE4EF1">
        <w:rPr>
          <w:rFonts w:ascii="ITC Avant Garde" w:eastAsiaTheme="minorHAnsi" w:hAnsi="ITC Avant Garde" w:cs="ITC Avant Garde"/>
          <w:lang w:eastAsia="en-US"/>
        </w:rPr>
        <w:t>Megacable Comunicaciones de México S.A. de C.V.</w:t>
      </w:r>
      <w:r>
        <w:rPr>
          <w:rFonts w:ascii="ITC Avant Garde" w:eastAsiaTheme="minorHAnsi" w:hAnsi="ITC Avant Garde" w:cs="ITC Avant Garde"/>
          <w:lang w:eastAsia="en-US"/>
        </w:rPr>
        <w:t xml:space="preserve"> (“MCM”);</w:t>
      </w:r>
    </w:p>
    <w:p w14:paraId="24BBA58D" w14:textId="1C6C7F53" w:rsidR="003146CE" w:rsidRPr="003146CE" w:rsidRDefault="003146CE" w:rsidP="003146CE">
      <w:pPr>
        <w:pStyle w:val="Prrafodelista"/>
        <w:numPr>
          <w:ilvl w:val="0"/>
          <w:numId w:val="1"/>
        </w:numPr>
        <w:spacing w:line="276" w:lineRule="auto"/>
        <w:ind w:right="0"/>
        <w:rPr>
          <w:rFonts w:ascii="ITC Avant Garde" w:hAnsi="ITC Avant Garde"/>
        </w:rPr>
      </w:pPr>
      <w:r w:rsidRPr="003146CE">
        <w:rPr>
          <w:rFonts w:ascii="ITC Avant Garde" w:eastAsiaTheme="minorHAnsi" w:hAnsi="ITC Avant Garde" w:cs="ITC Avant Garde"/>
          <w:lang w:eastAsia="en-US"/>
        </w:rPr>
        <w:t>Mega Cable, S.A. de C.V. (“Megacable”)</w:t>
      </w:r>
    </w:p>
    <w:p w14:paraId="6087127B" w14:textId="77777777" w:rsidR="00E425B9" w:rsidRPr="003146CE" w:rsidRDefault="00E425B9" w:rsidP="003146CE">
      <w:pPr>
        <w:autoSpaceDE w:val="0"/>
        <w:autoSpaceDN w:val="0"/>
        <w:adjustRightInd w:val="0"/>
        <w:spacing w:after="0" w:line="276" w:lineRule="auto"/>
        <w:ind w:left="0" w:right="0" w:firstLine="0"/>
        <w:rPr>
          <w:rFonts w:ascii="ITC Avant Garde" w:eastAsiaTheme="minorHAnsi" w:hAnsi="ITC Avant Garde" w:cs="ITC Avant Garde"/>
          <w:lang w:eastAsia="en-US"/>
        </w:rPr>
      </w:pPr>
    </w:p>
    <w:p w14:paraId="02A781AE" w14:textId="0B0EA57E" w:rsidR="00BC09A3" w:rsidRDefault="005C2139" w:rsidP="00100519">
      <w:pPr>
        <w:spacing w:line="276" w:lineRule="auto"/>
        <w:ind w:left="-5" w:right="0"/>
        <w:rPr>
          <w:rFonts w:ascii="ITC Avant Garde" w:hAnsi="ITC Avant Garde"/>
        </w:rPr>
      </w:pPr>
      <w:r w:rsidRPr="00100519">
        <w:rPr>
          <w:rFonts w:ascii="ITC Avant Garde" w:hAnsi="ITC Avant Garde"/>
        </w:rPr>
        <w:t>En este sentido, se señala que el orden en que son abordados cada uno de los temas y numerales genéricos mencionados, obedece primordialmente al orden en que cada uno de éstos aparece</w:t>
      </w:r>
      <w:r w:rsidR="001368EC">
        <w:rPr>
          <w:rFonts w:ascii="ITC Avant Garde" w:hAnsi="ITC Avant Garde"/>
        </w:rPr>
        <w:t>n</w:t>
      </w:r>
      <w:r w:rsidRPr="00100519">
        <w:rPr>
          <w:rFonts w:ascii="ITC Avant Garde" w:hAnsi="ITC Avant Garde"/>
        </w:rPr>
        <w:t xml:space="preserve"> en</w:t>
      </w:r>
      <w:r w:rsidR="001368EC">
        <w:rPr>
          <w:rFonts w:ascii="ITC Avant Garde" w:hAnsi="ITC Avant Garde"/>
        </w:rPr>
        <w:t xml:space="preserve"> las Propuestas de Convenio Marco de Interconexión presentadas por el Agente Económico Preponderante en el Sector de las Telecomunicaciones. </w:t>
      </w:r>
      <w:r w:rsidR="00BC09A3" w:rsidRPr="00100519">
        <w:rPr>
          <w:rFonts w:ascii="ITC Avant Garde" w:hAnsi="ITC Avant Garde"/>
        </w:rPr>
        <w:t>Por lo anterior, el Instituto emite las siguientes respuestas y con</w:t>
      </w:r>
      <w:r w:rsidR="007B0E47" w:rsidRPr="00100519">
        <w:rPr>
          <w:rFonts w:ascii="ITC Avant Garde" w:hAnsi="ITC Avant Garde"/>
        </w:rPr>
        <w:t>sideraciones para cada una de la</w:t>
      </w:r>
      <w:r w:rsidR="00BC09A3" w:rsidRPr="00100519">
        <w:rPr>
          <w:rFonts w:ascii="ITC Avant Garde" w:hAnsi="ITC Avant Garde"/>
        </w:rPr>
        <w:t>s</w:t>
      </w:r>
      <w:r w:rsidR="007B0E47" w:rsidRPr="00100519">
        <w:rPr>
          <w:rFonts w:ascii="ITC Avant Garde" w:hAnsi="ITC Avant Garde"/>
        </w:rPr>
        <w:t xml:space="preserve"> participaciones</w:t>
      </w:r>
      <w:r w:rsidR="004B5491" w:rsidRPr="00100519">
        <w:rPr>
          <w:rFonts w:ascii="ITC Avant Garde" w:hAnsi="ITC Avant Garde"/>
        </w:rPr>
        <w:t xml:space="preserve"> recibidas</w:t>
      </w:r>
      <w:r w:rsidR="00BC09A3" w:rsidRPr="00100519">
        <w:rPr>
          <w:rFonts w:ascii="ITC Avant Garde" w:hAnsi="ITC Avant Garde"/>
        </w:rPr>
        <w:t>:</w:t>
      </w:r>
    </w:p>
    <w:p w14:paraId="58C3731B" w14:textId="77777777" w:rsidR="00B71141" w:rsidRPr="003912EF" w:rsidRDefault="00B71141" w:rsidP="00100519">
      <w:pPr>
        <w:spacing w:line="276" w:lineRule="auto"/>
        <w:ind w:left="0" w:right="0" w:firstLine="0"/>
        <w:rPr>
          <w:rFonts w:ascii="ITC Avant Garde" w:hAnsi="ITC Avant Garde"/>
          <w:b/>
          <w:color w:val="auto"/>
          <w:u w:val="single"/>
        </w:rPr>
      </w:pPr>
    </w:p>
    <w:p w14:paraId="485DF2EA" w14:textId="66E62BC5" w:rsidR="003912EF" w:rsidRPr="003912EF" w:rsidRDefault="003912EF" w:rsidP="003912EF">
      <w:pPr>
        <w:spacing w:after="0" w:line="276" w:lineRule="auto"/>
        <w:ind w:left="-5" w:right="49"/>
        <w:rPr>
          <w:rFonts w:ascii="ITC Avant Garde" w:hAnsi="ITC Avant Garde"/>
          <w:b/>
          <w:color w:val="auto"/>
          <w:u w:val="single"/>
        </w:rPr>
      </w:pPr>
      <w:r w:rsidRPr="00F4796E">
        <w:rPr>
          <w:rFonts w:ascii="ITC Avant Garde" w:hAnsi="ITC Avant Garde"/>
          <w:b/>
          <w:color w:val="auto"/>
          <w:u w:val="single"/>
        </w:rPr>
        <w:t>Comentarios emitidos</w:t>
      </w:r>
      <w:r>
        <w:rPr>
          <w:rFonts w:ascii="ITC Avant Garde" w:hAnsi="ITC Avant Garde"/>
          <w:b/>
          <w:color w:val="auto"/>
          <w:u w:val="single"/>
        </w:rPr>
        <w:t xml:space="preserve"> </w:t>
      </w:r>
      <w:r w:rsidR="00C870D1" w:rsidRPr="003912EF">
        <w:rPr>
          <w:rFonts w:ascii="ITC Avant Garde" w:hAnsi="ITC Avant Garde"/>
          <w:b/>
          <w:color w:val="auto"/>
          <w:u w:val="single"/>
        </w:rPr>
        <w:t xml:space="preserve">a la sección </w:t>
      </w:r>
      <w:r w:rsidR="009667DE">
        <w:rPr>
          <w:rFonts w:ascii="ITC Avant Garde" w:hAnsi="ITC Avant Garde"/>
          <w:b/>
          <w:color w:val="auto"/>
          <w:u w:val="single"/>
        </w:rPr>
        <w:t>DECLARACIONES</w:t>
      </w:r>
      <w:r w:rsidR="00C870D1" w:rsidRPr="003912EF">
        <w:rPr>
          <w:rFonts w:ascii="ITC Avant Garde" w:hAnsi="ITC Avant Garde"/>
          <w:b/>
          <w:color w:val="auto"/>
          <w:u w:val="single"/>
        </w:rPr>
        <w:t xml:space="preserve"> </w:t>
      </w:r>
    </w:p>
    <w:p w14:paraId="5270E981" w14:textId="77777777" w:rsidR="003912EF" w:rsidRDefault="003912EF" w:rsidP="003912EF">
      <w:pPr>
        <w:spacing w:after="0" w:line="276" w:lineRule="auto"/>
        <w:ind w:left="-5" w:right="49"/>
        <w:rPr>
          <w:rFonts w:ascii="ITC Avant Garde" w:hAnsi="ITC Avant Garde"/>
          <w:b/>
          <w:color w:val="auto"/>
        </w:rPr>
      </w:pPr>
    </w:p>
    <w:p w14:paraId="7A1D60B2" w14:textId="573CCC27" w:rsidR="00C870D1" w:rsidRPr="003912EF" w:rsidRDefault="00C870D1" w:rsidP="003912EF">
      <w:pPr>
        <w:spacing w:after="0" w:line="276" w:lineRule="auto"/>
        <w:ind w:left="-5" w:right="49"/>
        <w:rPr>
          <w:rFonts w:ascii="ITC Avant Garde" w:hAnsi="ITC Avant Garde"/>
          <w:b/>
          <w:color w:val="auto"/>
          <w:u w:val="single"/>
        </w:rPr>
      </w:pPr>
      <w:r w:rsidRPr="00B56D15">
        <w:rPr>
          <w:rFonts w:ascii="ITC Avant Garde" w:hAnsi="ITC Avant Garde"/>
          <w:b/>
          <w:color w:val="auto"/>
        </w:rPr>
        <w:t>Grupo Televisa:</w:t>
      </w:r>
    </w:p>
    <w:p w14:paraId="54137689" w14:textId="77777777" w:rsidR="00C870D1" w:rsidRPr="00B56D15" w:rsidRDefault="00C870D1" w:rsidP="00C870D1">
      <w:pPr>
        <w:spacing w:line="276" w:lineRule="auto"/>
        <w:rPr>
          <w:rFonts w:ascii="ITC Avant Garde" w:hAnsi="ITC Avant Garde" w:cs="Times New Roman"/>
          <w:color w:val="auto"/>
        </w:rPr>
      </w:pPr>
    </w:p>
    <w:p w14:paraId="6B635BC7" w14:textId="7461976A" w:rsidR="00C870D1" w:rsidRPr="00B56D15" w:rsidRDefault="00B71141" w:rsidP="00F86EA1">
      <w:pPr>
        <w:spacing w:after="0" w:line="276" w:lineRule="auto"/>
        <w:ind w:left="0" w:right="0" w:firstLine="0"/>
        <w:rPr>
          <w:rFonts w:ascii="ITC Avant Garde" w:hAnsi="ITC Avant Garde" w:cs="Times New Roman"/>
          <w:i/>
          <w:color w:val="auto"/>
        </w:rPr>
      </w:pPr>
      <w:r>
        <w:rPr>
          <w:rFonts w:ascii="ITC Avant Garde" w:hAnsi="ITC Avant Garde" w:cs="Times New Roman"/>
          <w:i/>
          <w:color w:val="auto"/>
        </w:rPr>
        <w:t>E</w:t>
      </w:r>
      <w:r w:rsidR="00C870D1" w:rsidRPr="00B56D15">
        <w:rPr>
          <w:rFonts w:ascii="ITC Avant Garde" w:hAnsi="ITC Avant Garde" w:cs="Times New Roman"/>
          <w:i/>
          <w:color w:val="auto"/>
        </w:rPr>
        <w:t xml:space="preserve">l </w:t>
      </w:r>
      <w:r w:rsidR="002D6486">
        <w:rPr>
          <w:rFonts w:ascii="ITC Avant Garde" w:hAnsi="ITC Avant Garde" w:cs="Times New Roman"/>
          <w:i/>
          <w:color w:val="auto"/>
        </w:rPr>
        <w:t>Agente Económico Preponderante (en lo sucesivo, “AEP”)</w:t>
      </w:r>
      <w:r w:rsidR="00C870D1" w:rsidRPr="00B56D15">
        <w:rPr>
          <w:rFonts w:ascii="ITC Avant Garde" w:hAnsi="ITC Avant Garde" w:cs="Times New Roman"/>
          <w:i/>
          <w:color w:val="auto"/>
        </w:rPr>
        <w:t xml:space="preserve"> se reserva el derecho y establece la posibilidad de que en virtud de que tienen impugnados todos los actos realizados por el </w:t>
      </w:r>
      <w:r w:rsidR="002170E6">
        <w:rPr>
          <w:rFonts w:ascii="ITC Avant Garde" w:hAnsi="ITC Avant Garde" w:cs="Times New Roman"/>
          <w:i/>
          <w:color w:val="auto"/>
        </w:rPr>
        <w:t>Instituto</w:t>
      </w:r>
      <w:r w:rsidR="00C870D1" w:rsidRPr="00B56D15">
        <w:rPr>
          <w:rFonts w:ascii="ITC Avant Garde" w:hAnsi="ITC Avant Garde" w:cs="Times New Roman"/>
          <w:i/>
          <w:color w:val="auto"/>
        </w:rPr>
        <w:t xml:space="preserve">, por lo que firman el </w:t>
      </w:r>
      <w:r w:rsidR="00870E6F" w:rsidRPr="00B56D15">
        <w:rPr>
          <w:rFonts w:ascii="ITC Avant Garde" w:hAnsi="ITC Avant Garde" w:cs="Times New Roman"/>
          <w:i/>
          <w:color w:val="auto"/>
        </w:rPr>
        <w:t>contrato,</w:t>
      </w:r>
      <w:r w:rsidR="00C870D1" w:rsidRPr="00B56D15">
        <w:rPr>
          <w:rFonts w:ascii="ITC Avant Garde" w:hAnsi="ITC Avant Garde" w:cs="Times New Roman"/>
          <w:i/>
          <w:color w:val="auto"/>
        </w:rPr>
        <w:t xml:space="preserve"> pero en caso de que un juez llegara</w:t>
      </w:r>
      <w:r w:rsidR="005F4323">
        <w:rPr>
          <w:rFonts w:ascii="ITC Avant Garde" w:hAnsi="ITC Avant Garde" w:cs="Times New Roman"/>
          <w:i/>
          <w:color w:val="auto"/>
        </w:rPr>
        <w:t xml:space="preserve"> a fallar en su favor, </w:t>
      </w:r>
      <w:r w:rsidR="00C870D1" w:rsidRPr="00B56D15">
        <w:rPr>
          <w:rFonts w:ascii="ITC Avant Garde" w:hAnsi="ITC Avant Garde" w:cs="Times New Roman"/>
          <w:i/>
          <w:color w:val="auto"/>
        </w:rPr>
        <w:t xml:space="preserve">se reserva el derecho de no reconocer el acuerdo. </w:t>
      </w:r>
    </w:p>
    <w:p w14:paraId="12504B8F" w14:textId="77777777" w:rsidR="006262A8" w:rsidRDefault="006262A8" w:rsidP="006262A8">
      <w:pPr>
        <w:spacing w:line="276" w:lineRule="auto"/>
        <w:rPr>
          <w:rFonts w:ascii="ITC Avant Garde" w:eastAsia="Times New Roman" w:hAnsi="ITC Avant Garde" w:cs="Times New Roman"/>
          <w:color w:val="auto"/>
        </w:rPr>
      </w:pPr>
    </w:p>
    <w:p w14:paraId="778E29F0" w14:textId="3DEBFF97" w:rsidR="002B1ECF" w:rsidRPr="006552AF" w:rsidRDefault="002B1ECF" w:rsidP="002B1ECF">
      <w:pPr>
        <w:spacing w:after="0" w:line="276" w:lineRule="auto"/>
        <w:ind w:left="0" w:right="0" w:firstLine="0"/>
        <w:rPr>
          <w:rFonts w:ascii="ITC Avant Garde" w:eastAsia="Times New Roman" w:hAnsi="ITC Avant Garde" w:cs="Times New Roman"/>
          <w:color w:val="auto"/>
        </w:rPr>
      </w:pPr>
      <w:r w:rsidRPr="006552AF">
        <w:rPr>
          <w:rFonts w:ascii="ITC Avant Garde" w:eastAsia="Times New Roman" w:hAnsi="ITC Avant Garde" w:cs="Times New Roman"/>
          <w:color w:val="auto"/>
        </w:rPr>
        <w:t>Al respecto, toda vez que el propósito de revisar anualmente el ins</w:t>
      </w:r>
      <w:r w:rsidR="00764DD4" w:rsidRPr="006552AF">
        <w:rPr>
          <w:rFonts w:ascii="ITC Avant Garde" w:eastAsia="Times New Roman" w:hAnsi="ITC Avant Garde" w:cs="Times New Roman"/>
          <w:color w:val="auto"/>
        </w:rPr>
        <w:t>trumento regulatorio es mejorar</w:t>
      </w:r>
      <w:r w:rsidRPr="006552AF">
        <w:rPr>
          <w:rFonts w:ascii="ITC Avant Garde" w:eastAsia="Times New Roman" w:hAnsi="ITC Avant Garde" w:cs="Times New Roman"/>
          <w:color w:val="auto"/>
        </w:rPr>
        <w:t xml:space="preserve"> o precisar las condiciones, así como ajustarse a la evolución tecnológica del sector, no se consider</w:t>
      </w:r>
      <w:r w:rsidR="00B71141" w:rsidRPr="006552AF">
        <w:rPr>
          <w:rFonts w:ascii="ITC Avant Garde" w:eastAsia="Times New Roman" w:hAnsi="ITC Avant Garde" w:cs="Times New Roman"/>
          <w:color w:val="auto"/>
        </w:rPr>
        <w:t>ó</w:t>
      </w:r>
      <w:r w:rsidRPr="006552AF">
        <w:rPr>
          <w:rFonts w:ascii="ITC Avant Garde" w:eastAsia="Times New Roman" w:hAnsi="ITC Avant Garde" w:cs="Times New Roman"/>
          <w:color w:val="auto"/>
        </w:rPr>
        <w:t xml:space="preserve"> procedente que en una revisión posterior se plantearan términos y condiciones menos favorables que los ya autorizados por el Instituto, por lo anterior se eliminó el párrafo comentado de la sección Declaraciones.</w:t>
      </w:r>
    </w:p>
    <w:p w14:paraId="6148DC52" w14:textId="77777777" w:rsidR="00DD111C" w:rsidRPr="00B56D15" w:rsidRDefault="00DD111C" w:rsidP="007D5396">
      <w:pPr>
        <w:spacing w:line="276" w:lineRule="auto"/>
        <w:ind w:left="0" w:right="0" w:firstLine="0"/>
        <w:rPr>
          <w:rFonts w:ascii="ITC Avant Garde" w:hAnsi="ITC Avant Garde"/>
          <w:b/>
          <w:color w:val="auto"/>
        </w:rPr>
      </w:pPr>
    </w:p>
    <w:p w14:paraId="47A091D1" w14:textId="2CF2A770" w:rsidR="000F216A" w:rsidRPr="00740B17" w:rsidRDefault="00954FA4" w:rsidP="0020202A">
      <w:pPr>
        <w:spacing w:after="0" w:line="276" w:lineRule="auto"/>
        <w:ind w:left="-5" w:right="49"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sidR="009667DE">
        <w:rPr>
          <w:rFonts w:ascii="ITC Avant Garde" w:hAnsi="ITC Avant Garde"/>
          <w:b/>
          <w:color w:val="auto"/>
          <w:u w:val="single"/>
        </w:rPr>
        <w:t>CLÁUSULA PRIMERA</w:t>
      </w:r>
    </w:p>
    <w:p w14:paraId="7F496DC9" w14:textId="77777777" w:rsidR="000F216A" w:rsidRDefault="000F216A" w:rsidP="007D5396">
      <w:pPr>
        <w:spacing w:after="0" w:line="276" w:lineRule="auto"/>
        <w:ind w:left="-5" w:right="49" w:firstLine="0"/>
        <w:rPr>
          <w:rFonts w:ascii="ITC Avant Garde" w:hAnsi="ITC Avant Garde"/>
          <w:b/>
          <w:color w:val="auto"/>
        </w:rPr>
      </w:pPr>
    </w:p>
    <w:p w14:paraId="234CCE2D" w14:textId="7606D5EA" w:rsidR="00954FA4" w:rsidRDefault="009F1ABA"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r w:rsidR="00954FA4" w:rsidRPr="00B56D15">
        <w:rPr>
          <w:rFonts w:ascii="ITC Avant Garde" w:hAnsi="ITC Avant Garde"/>
          <w:b/>
          <w:color w:val="auto"/>
        </w:rPr>
        <w:t>:</w:t>
      </w:r>
    </w:p>
    <w:p w14:paraId="4772E252" w14:textId="77777777" w:rsidR="003A251C" w:rsidRPr="00F86EA1" w:rsidRDefault="003A251C" w:rsidP="007D5396">
      <w:pPr>
        <w:spacing w:after="0" w:line="276" w:lineRule="auto"/>
        <w:ind w:left="0" w:right="0" w:firstLine="0"/>
        <w:rPr>
          <w:rFonts w:ascii="ITC Avant Garde" w:hAnsi="ITC Avant Garde" w:cs="Times New Roman"/>
          <w:i/>
          <w:color w:val="auto"/>
        </w:rPr>
      </w:pPr>
    </w:p>
    <w:p w14:paraId="731E0789" w14:textId="19135DE3" w:rsidR="00954FA4" w:rsidRPr="00F86EA1" w:rsidRDefault="009F1ABA" w:rsidP="007D5396">
      <w:pPr>
        <w:spacing w:after="0" w:line="276" w:lineRule="auto"/>
        <w:ind w:left="0" w:right="0" w:firstLine="0"/>
        <w:rPr>
          <w:rFonts w:ascii="ITC Avant Garde" w:hAnsi="ITC Avant Garde" w:cs="Times New Roman"/>
          <w:i/>
          <w:color w:val="auto"/>
        </w:rPr>
      </w:pPr>
      <w:r w:rsidRPr="00F86EA1">
        <w:rPr>
          <w:rFonts w:ascii="ITC Avant Garde" w:hAnsi="ITC Avant Garde" w:cs="Times New Roman"/>
          <w:i/>
          <w:color w:val="auto"/>
        </w:rPr>
        <w:t xml:space="preserve">Se solicita restituir en </w:t>
      </w:r>
      <w:r w:rsidR="00B71141">
        <w:rPr>
          <w:rFonts w:ascii="ITC Avant Garde" w:hAnsi="ITC Avant Garde" w:cs="Times New Roman"/>
          <w:i/>
          <w:color w:val="auto"/>
        </w:rPr>
        <w:t>las definiciones de “</w:t>
      </w:r>
      <w:r w:rsidR="00B71141" w:rsidRPr="00F86EA1">
        <w:rPr>
          <w:rFonts w:ascii="ITC Avant Garde" w:hAnsi="ITC Avant Garde" w:cs="Times New Roman"/>
          <w:i/>
          <w:color w:val="auto"/>
        </w:rPr>
        <w:t>Interconexión</w:t>
      </w:r>
      <w:r w:rsidR="00B71141">
        <w:rPr>
          <w:rFonts w:ascii="ITC Avant Garde" w:hAnsi="ITC Avant Garde" w:cs="Times New Roman"/>
          <w:i/>
          <w:color w:val="auto"/>
        </w:rPr>
        <w:t>” y “</w:t>
      </w:r>
      <w:r w:rsidR="00B71141" w:rsidRPr="00F86EA1">
        <w:rPr>
          <w:rFonts w:ascii="ITC Avant Garde" w:hAnsi="ITC Avant Garde" w:cs="Times New Roman"/>
          <w:i/>
          <w:color w:val="auto"/>
        </w:rPr>
        <w:t>Punto de Interconexión</w:t>
      </w:r>
      <w:r w:rsidR="00B71141">
        <w:rPr>
          <w:rFonts w:ascii="ITC Avant Garde" w:hAnsi="ITC Avant Garde" w:cs="Times New Roman"/>
          <w:i/>
          <w:color w:val="auto"/>
        </w:rPr>
        <w:t>”</w:t>
      </w:r>
      <w:r w:rsidR="00B71141" w:rsidRPr="00F86EA1">
        <w:rPr>
          <w:rFonts w:ascii="ITC Avant Garde" w:hAnsi="ITC Avant Garde" w:cs="Times New Roman"/>
          <w:i/>
          <w:color w:val="auto"/>
        </w:rPr>
        <w:t xml:space="preserve"> </w:t>
      </w:r>
      <w:r w:rsidRPr="00F86EA1">
        <w:rPr>
          <w:rFonts w:ascii="ITC Avant Garde" w:hAnsi="ITC Avant Garde" w:cs="Times New Roman"/>
          <w:i/>
          <w:color w:val="auto"/>
        </w:rPr>
        <w:t xml:space="preserve">la palabra “virtual” y mantenerlas en iguales términos que el </w:t>
      </w:r>
      <w:r w:rsidR="00E94E05">
        <w:rPr>
          <w:rFonts w:ascii="ITC Avant Garde" w:hAnsi="ITC Avant Garde" w:cs="Times New Roman"/>
          <w:i/>
          <w:color w:val="auto"/>
        </w:rPr>
        <w:t>C</w:t>
      </w:r>
      <w:r w:rsidRPr="00F86EA1">
        <w:rPr>
          <w:rFonts w:ascii="ITC Avant Garde" w:hAnsi="ITC Avant Garde" w:cs="Times New Roman"/>
          <w:i/>
          <w:color w:val="auto"/>
        </w:rPr>
        <w:t xml:space="preserve">onvenio </w:t>
      </w:r>
      <w:r w:rsidR="00E94E05">
        <w:rPr>
          <w:rFonts w:ascii="ITC Avant Garde" w:hAnsi="ITC Avant Garde" w:cs="Times New Roman"/>
          <w:i/>
          <w:color w:val="auto"/>
        </w:rPr>
        <w:t>M</w:t>
      </w:r>
      <w:r w:rsidRPr="00F86EA1">
        <w:rPr>
          <w:rFonts w:ascii="ITC Avant Garde" w:hAnsi="ITC Avant Garde" w:cs="Times New Roman"/>
          <w:i/>
          <w:color w:val="auto"/>
        </w:rPr>
        <w:t xml:space="preserve">arco </w:t>
      </w:r>
      <w:r w:rsidR="00E94E05">
        <w:rPr>
          <w:rFonts w:ascii="ITC Avant Garde" w:hAnsi="ITC Avant Garde" w:cs="Times New Roman"/>
          <w:i/>
          <w:color w:val="auto"/>
        </w:rPr>
        <w:t xml:space="preserve">de </w:t>
      </w:r>
      <w:r w:rsidR="00E94E05" w:rsidRPr="00E94E05">
        <w:rPr>
          <w:rFonts w:ascii="ITC Avant Garde" w:hAnsi="ITC Avant Garde" w:cs="Times New Roman"/>
          <w:i/>
          <w:color w:val="auto"/>
        </w:rPr>
        <w:t xml:space="preserve">Interconexión </w:t>
      </w:r>
      <w:r w:rsidRPr="00E94E05">
        <w:rPr>
          <w:rFonts w:ascii="ITC Avant Garde" w:hAnsi="ITC Avant Garde" w:cs="Times New Roman"/>
          <w:i/>
          <w:color w:val="auto"/>
        </w:rPr>
        <w:t xml:space="preserve">del año 2016 </w:t>
      </w:r>
      <w:r w:rsidR="00E94E05" w:rsidRPr="00E94E05">
        <w:rPr>
          <w:rFonts w:ascii="ITC Avant Garde" w:hAnsi="ITC Avant Garde" w:cs="Times New Roman"/>
          <w:i/>
          <w:color w:val="auto"/>
        </w:rPr>
        <w:t xml:space="preserve">(en lo sucesivo, </w:t>
      </w:r>
      <w:r w:rsidRPr="00E94E05">
        <w:rPr>
          <w:rFonts w:ascii="ITC Avant Garde" w:hAnsi="ITC Avant Garde" w:cs="Times New Roman"/>
          <w:i/>
          <w:color w:val="auto"/>
        </w:rPr>
        <w:t>CMI 2016</w:t>
      </w:r>
      <w:r w:rsidR="00E94E05" w:rsidRPr="00E94E05">
        <w:rPr>
          <w:rFonts w:ascii="ITC Avant Garde" w:hAnsi="ITC Avant Garde" w:cs="Times New Roman"/>
          <w:i/>
          <w:color w:val="auto"/>
        </w:rPr>
        <w:t>)</w:t>
      </w:r>
      <w:r w:rsidR="0030210E" w:rsidRPr="00E94E05">
        <w:rPr>
          <w:rFonts w:ascii="ITC Avant Garde" w:hAnsi="ITC Avant Garde" w:cs="Times New Roman"/>
          <w:i/>
          <w:color w:val="auto"/>
        </w:rPr>
        <w:t>.</w:t>
      </w:r>
    </w:p>
    <w:p w14:paraId="3612DCFA" w14:textId="77777777" w:rsidR="000E2672" w:rsidRPr="006552AF" w:rsidRDefault="000E2672" w:rsidP="007D5396">
      <w:pPr>
        <w:spacing w:after="0" w:line="276" w:lineRule="auto"/>
        <w:ind w:right="49" w:firstLine="0"/>
        <w:rPr>
          <w:rFonts w:ascii="ITC Avant Garde" w:eastAsia="Times New Roman" w:hAnsi="ITC Avant Garde" w:cs="Times New Roman"/>
          <w:i/>
          <w:color w:val="auto"/>
        </w:rPr>
      </w:pPr>
    </w:p>
    <w:p w14:paraId="7AA48443" w14:textId="4CF54F20" w:rsidR="000E2672" w:rsidRPr="006552AF" w:rsidRDefault="000E2672" w:rsidP="007D5396">
      <w:pPr>
        <w:spacing w:after="0" w:line="276" w:lineRule="auto"/>
        <w:ind w:left="0" w:right="0" w:firstLine="0"/>
        <w:rPr>
          <w:rFonts w:ascii="ITC Avant Garde" w:eastAsia="Times New Roman" w:hAnsi="ITC Avant Garde" w:cs="Times New Roman"/>
          <w:color w:val="auto"/>
        </w:rPr>
      </w:pPr>
      <w:r w:rsidRPr="006552AF">
        <w:rPr>
          <w:rFonts w:ascii="ITC Avant Garde" w:eastAsia="Times New Roman" w:hAnsi="ITC Avant Garde" w:cs="Times New Roman"/>
          <w:color w:val="auto"/>
        </w:rPr>
        <w:t>R</w:t>
      </w:r>
      <w:r w:rsidR="00F86EA1" w:rsidRPr="006552AF">
        <w:rPr>
          <w:rFonts w:ascii="ITC Avant Garde" w:eastAsia="Times New Roman" w:hAnsi="ITC Avant Garde" w:cs="Times New Roman"/>
          <w:color w:val="auto"/>
        </w:rPr>
        <w:t xml:space="preserve">especto al comentario anterior y a efecto de que las definiciones se apeguen al marco legal y regulatorio vigente, esto es la </w:t>
      </w:r>
      <w:r w:rsidR="002170E6" w:rsidRPr="006552AF">
        <w:rPr>
          <w:rFonts w:ascii="ITC Avant Garde" w:eastAsia="Times New Roman" w:hAnsi="ITC Avant Garde" w:cs="Times New Roman"/>
          <w:color w:val="auto"/>
        </w:rPr>
        <w:t>Ley Federal de Telecomunicaciones y Radiodifusión (en lo sucesivo, “</w:t>
      </w:r>
      <w:r w:rsidR="00F86EA1" w:rsidRPr="006552AF">
        <w:rPr>
          <w:rFonts w:ascii="ITC Avant Garde" w:eastAsia="Times New Roman" w:hAnsi="ITC Avant Garde" w:cs="Times New Roman"/>
          <w:color w:val="auto"/>
        </w:rPr>
        <w:t>LFTyR</w:t>
      </w:r>
      <w:r w:rsidR="002170E6" w:rsidRPr="006552AF">
        <w:rPr>
          <w:rFonts w:ascii="ITC Avant Garde" w:eastAsia="Times New Roman" w:hAnsi="ITC Avant Garde" w:cs="Times New Roman"/>
          <w:color w:val="auto"/>
        </w:rPr>
        <w:t>”)</w:t>
      </w:r>
      <w:r w:rsidR="00F86EA1" w:rsidRPr="006552AF">
        <w:rPr>
          <w:rFonts w:ascii="ITC Avant Garde" w:eastAsia="Times New Roman" w:hAnsi="ITC Avant Garde" w:cs="Times New Roman"/>
          <w:color w:val="auto"/>
        </w:rPr>
        <w:t xml:space="preserve">, </w:t>
      </w:r>
      <w:r w:rsidR="00FB0740" w:rsidRPr="006552AF">
        <w:rPr>
          <w:rFonts w:ascii="ITC Avant Garde" w:eastAsia="Times New Roman" w:hAnsi="ITC Avant Garde" w:cs="Times New Roman"/>
          <w:color w:val="auto"/>
        </w:rPr>
        <w:t xml:space="preserve">el Plan de Técnico Fundamental de Interconexión e Interoperabilidad (en lo sucesivo, “Plan de Interconexión”) </w:t>
      </w:r>
      <w:r w:rsidR="00F86EA1" w:rsidRPr="006552AF">
        <w:rPr>
          <w:rFonts w:ascii="ITC Avant Garde" w:eastAsia="Times New Roman" w:hAnsi="ITC Avant Garde" w:cs="Times New Roman"/>
          <w:color w:val="auto"/>
        </w:rPr>
        <w:t xml:space="preserve"> y las </w:t>
      </w:r>
      <w:r w:rsidR="00B71141" w:rsidRPr="006552AF">
        <w:rPr>
          <w:rFonts w:ascii="ITC Avant Garde" w:eastAsia="Times New Roman" w:hAnsi="ITC Avant Garde" w:cs="Times New Roman"/>
          <w:color w:val="auto"/>
        </w:rPr>
        <w:t>“</w:t>
      </w:r>
      <w:r w:rsidR="00FB0740" w:rsidRPr="006552AF">
        <w:rPr>
          <w:rFonts w:ascii="ITC Avant Garde" w:eastAsia="Times New Roman" w:hAnsi="ITC Avant Garde" w:cs="Times New Roman"/>
          <w:i/>
          <w:color w:val="auto"/>
        </w:rPr>
        <w:t>MEDIDAS RELACIONADAS CON INFORMACIÓN, OFERTA Y CALIDAD DE SERVICIOS, ACUERDOS EN EXCLUSIVA, LIMITACIONES AL USO DE EQUIPOS TERMINALES ENTRE REDES, REGULACIÓN ASIMÉTRICA EN TARIFAS E INFRAESTRUCTURA DE RED, INCLUYENDO LA DESAGREGACIÓN DE SUS ELEMENTOS ESENCIALES Y, EN SU CASO, LA SEPARACIÓN CONTABLE, FUNCIONAL O ESTRUCTURAL AL AGENTE ECONÓMICO PREPONDERANTE EN LOS SERVICIOS DE TELECOMUNICACIONES FIJOS”</w:t>
      </w:r>
      <w:r w:rsidR="00FB0740" w:rsidRPr="006552AF">
        <w:rPr>
          <w:rFonts w:ascii="ITC Avant Garde" w:eastAsia="Times New Roman" w:hAnsi="ITC Avant Garde" w:cs="Times New Roman"/>
          <w:color w:val="auto"/>
        </w:rPr>
        <w:t xml:space="preserve"> (en lo sucesivo, las “Medidas Fijas”)</w:t>
      </w:r>
      <w:r w:rsidR="00F86EA1" w:rsidRPr="006552AF">
        <w:rPr>
          <w:rFonts w:ascii="ITC Avant Garde" w:eastAsia="Times New Roman" w:hAnsi="ITC Avant Garde" w:cs="Times New Roman"/>
          <w:color w:val="auto"/>
        </w:rPr>
        <w:t xml:space="preserve">, </w:t>
      </w:r>
      <w:r w:rsidR="00D647A3" w:rsidRPr="006552AF">
        <w:rPr>
          <w:rFonts w:ascii="ITC Avant Garde" w:eastAsia="Times New Roman" w:hAnsi="ITC Avant Garde" w:cs="Times New Roman"/>
          <w:color w:val="auto"/>
        </w:rPr>
        <w:t xml:space="preserve">las definiciones en comento se modificaron </w:t>
      </w:r>
      <w:r w:rsidR="00F86EA1" w:rsidRPr="006552AF">
        <w:rPr>
          <w:rFonts w:ascii="ITC Avant Garde" w:eastAsia="Times New Roman" w:hAnsi="ITC Avant Garde" w:cs="Times New Roman"/>
          <w:color w:val="auto"/>
        </w:rPr>
        <w:t>quedando en los términos siguientes</w:t>
      </w:r>
      <w:r w:rsidRPr="006552AF">
        <w:rPr>
          <w:rFonts w:ascii="ITC Avant Garde" w:eastAsia="Times New Roman" w:hAnsi="ITC Avant Garde" w:cs="Times New Roman"/>
          <w:color w:val="auto"/>
        </w:rPr>
        <w:t xml:space="preserve">: </w:t>
      </w:r>
    </w:p>
    <w:p w14:paraId="1472E5BE" w14:textId="77777777" w:rsidR="000E2672" w:rsidRPr="006552AF" w:rsidRDefault="000E2672" w:rsidP="007D5396">
      <w:pPr>
        <w:spacing w:after="0" w:line="276" w:lineRule="auto"/>
        <w:ind w:left="-5" w:right="49" w:firstLine="0"/>
        <w:rPr>
          <w:rFonts w:ascii="ITC Avant Garde" w:hAnsi="ITC Avant Garde"/>
          <w:color w:val="auto"/>
        </w:rPr>
      </w:pP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a"/>
        <w:tblDescription w:val="Definiciones de Interconexión y Punto de interconexión"/>
      </w:tblPr>
      <w:tblGrid>
        <w:gridCol w:w="1701"/>
        <w:gridCol w:w="5387"/>
      </w:tblGrid>
      <w:tr w:rsidR="006552AF" w:rsidRPr="006552AF" w14:paraId="2389940B" w14:textId="77777777" w:rsidTr="00B6100E">
        <w:trPr>
          <w:tblHeader/>
        </w:trPr>
        <w:tc>
          <w:tcPr>
            <w:tcW w:w="1701" w:type="dxa"/>
          </w:tcPr>
          <w:p w14:paraId="16E476FA" w14:textId="7F93CDB9" w:rsidR="000E2672" w:rsidRPr="006552AF" w:rsidRDefault="00F557E6" w:rsidP="007D5396">
            <w:pPr>
              <w:spacing w:line="276" w:lineRule="auto"/>
              <w:ind w:right="49" w:firstLine="0"/>
              <w:rPr>
                <w:rFonts w:ascii="ITC Avant Garde" w:hAnsi="ITC Avant Garde"/>
                <w:color w:val="auto"/>
              </w:rPr>
            </w:pPr>
            <w:r w:rsidRPr="006552AF">
              <w:rPr>
                <w:rFonts w:ascii="ITC Avant Garde" w:eastAsia="Times New Roman" w:hAnsi="ITC Avant Garde" w:cs="Times New Roman"/>
                <w:i/>
                <w:color w:val="auto"/>
                <w:sz w:val="18"/>
                <w:szCs w:val="18"/>
              </w:rPr>
              <w:lastRenderedPageBreak/>
              <w:t>“</w:t>
            </w:r>
            <w:r w:rsidR="000E2672" w:rsidRPr="006552AF">
              <w:rPr>
                <w:rFonts w:ascii="ITC Avant Garde" w:eastAsia="Times New Roman" w:hAnsi="ITC Avant Garde" w:cs="Times New Roman"/>
                <w:i/>
                <w:color w:val="auto"/>
                <w:sz w:val="18"/>
                <w:szCs w:val="18"/>
              </w:rPr>
              <w:t>Interconexión</w:t>
            </w:r>
          </w:p>
        </w:tc>
        <w:tc>
          <w:tcPr>
            <w:tcW w:w="5387" w:type="dxa"/>
          </w:tcPr>
          <w:p w14:paraId="55B51D33" w14:textId="06521D2D" w:rsidR="000E2672" w:rsidRPr="006552AF" w:rsidRDefault="00D647A3" w:rsidP="007D5396">
            <w:pPr>
              <w:spacing w:after="0" w:line="276" w:lineRule="auto"/>
              <w:ind w:left="181" w:right="312" w:firstLine="0"/>
              <w:rPr>
                <w:rFonts w:ascii="ITC Avant Garde" w:eastAsia="Times New Roman" w:hAnsi="ITC Avant Garde" w:cs="Times New Roman"/>
                <w:i/>
                <w:color w:val="auto"/>
                <w:sz w:val="18"/>
                <w:szCs w:val="18"/>
              </w:rPr>
            </w:pPr>
            <w:r w:rsidRPr="006552AF">
              <w:rPr>
                <w:rFonts w:ascii="ITC Avant Garde" w:eastAsia="Times New Roman" w:hAnsi="ITC Avant Garde" w:cs="Times New Roman"/>
                <w:i/>
                <w:color w:val="auto"/>
                <w:sz w:val="18"/>
                <w:szCs w:val="18"/>
              </w:rPr>
              <w:t>Conexión física o virtual, lógica y funcional entre Redes Públicas de Telecomunicaciones que permite la conducción de Tráfico Público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w:t>
            </w:r>
            <w:r w:rsidR="000E2672" w:rsidRPr="006552AF">
              <w:rPr>
                <w:rFonts w:ascii="ITC Avant Garde" w:eastAsia="Times New Roman" w:hAnsi="ITC Avant Garde" w:cs="Times New Roman"/>
                <w:i/>
                <w:color w:val="auto"/>
                <w:sz w:val="18"/>
                <w:szCs w:val="18"/>
              </w:rPr>
              <w:t>”</w:t>
            </w:r>
          </w:p>
          <w:p w14:paraId="202E1934" w14:textId="77777777" w:rsidR="000E2672" w:rsidRPr="006552AF" w:rsidRDefault="000E2672" w:rsidP="007D5396">
            <w:pPr>
              <w:spacing w:after="0" w:line="276" w:lineRule="auto"/>
              <w:ind w:right="49" w:firstLine="0"/>
              <w:rPr>
                <w:rFonts w:ascii="ITC Avant Garde" w:hAnsi="ITC Avant Garde"/>
                <w:color w:val="auto"/>
              </w:rPr>
            </w:pPr>
          </w:p>
        </w:tc>
      </w:tr>
      <w:tr w:rsidR="006552AF" w:rsidRPr="006552AF" w14:paraId="3BFE78EA" w14:textId="77777777" w:rsidTr="000E2672">
        <w:tc>
          <w:tcPr>
            <w:tcW w:w="1701" w:type="dxa"/>
          </w:tcPr>
          <w:p w14:paraId="70012DA7" w14:textId="025DBEF3" w:rsidR="000E2672" w:rsidRPr="006552AF" w:rsidRDefault="00F557E6" w:rsidP="007D5396">
            <w:pPr>
              <w:spacing w:line="276" w:lineRule="auto"/>
              <w:ind w:right="49" w:firstLine="0"/>
              <w:jc w:val="left"/>
              <w:rPr>
                <w:rFonts w:ascii="ITC Avant Garde" w:eastAsia="Times New Roman" w:hAnsi="ITC Avant Garde" w:cs="Times New Roman"/>
                <w:i/>
                <w:color w:val="auto"/>
                <w:sz w:val="18"/>
                <w:szCs w:val="18"/>
              </w:rPr>
            </w:pPr>
            <w:r w:rsidRPr="006552AF">
              <w:rPr>
                <w:rFonts w:ascii="ITC Avant Garde" w:eastAsia="Times New Roman" w:hAnsi="ITC Avant Garde" w:cs="Times New Roman"/>
                <w:i/>
                <w:color w:val="auto"/>
                <w:sz w:val="18"/>
                <w:szCs w:val="18"/>
              </w:rPr>
              <w:t>“</w:t>
            </w:r>
            <w:r w:rsidR="000E2672" w:rsidRPr="006552AF">
              <w:rPr>
                <w:rFonts w:ascii="ITC Avant Garde" w:eastAsia="Times New Roman" w:hAnsi="ITC Avant Garde" w:cs="Times New Roman"/>
                <w:i/>
                <w:color w:val="auto"/>
                <w:sz w:val="18"/>
                <w:szCs w:val="18"/>
              </w:rPr>
              <w:t xml:space="preserve">Punto de Interconexión </w:t>
            </w:r>
          </w:p>
        </w:tc>
        <w:tc>
          <w:tcPr>
            <w:tcW w:w="5387" w:type="dxa"/>
          </w:tcPr>
          <w:p w14:paraId="245DC294" w14:textId="6953E4DB" w:rsidR="000E2672" w:rsidRPr="006552AF" w:rsidRDefault="00D647A3" w:rsidP="007D5396">
            <w:pPr>
              <w:spacing w:after="0" w:line="276" w:lineRule="auto"/>
              <w:ind w:left="181" w:right="312" w:firstLine="0"/>
              <w:rPr>
                <w:rFonts w:ascii="ITC Avant Garde" w:eastAsia="Times New Roman" w:hAnsi="ITC Avant Garde" w:cs="Times New Roman"/>
                <w:i/>
                <w:color w:val="auto"/>
                <w:sz w:val="18"/>
                <w:szCs w:val="18"/>
              </w:rPr>
            </w:pPr>
            <w:r w:rsidRPr="006552AF">
              <w:rPr>
                <w:rFonts w:ascii="ITC Avant Garde" w:eastAsia="Times New Roman" w:hAnsi="ITC Avant Garde" w:cs="Times New Roman"/>
                <w:i/>
                <w:color w:val="auto"/>
                <w:sz w:val="18"/>
                <w:szCs w:val="18"/>
              </w:rPr>
              <w:t>Punto físico o virtual donde se establece la interconexión entre Redes Públicas de Telecomunicaciones.</w:t>
            </w:r>
            <w:r w:rsidR="00F557E6" w:rsidRPr="006552AF">
              <w:rPr>
                <w:rFonts w:ascii="ITC Avant Garde" w:eastAsia="Times New Roman" w:hAnsi="ITC Avant Garde" w:cs="Times New Roman"/>
                <w:i/>
                <w:color w:val="auto"/>
                <w:sz w:val="18"/>
                <w:szCs w:val="18"/>
              </w:rPr>
              <w:t>”</w:t>
            </w:r>
          </w:p>
        </w:tc>
      </w:tr>
    </w:tbl>
    <w:p w14:paraId="77BC5DA5" w14:textId="77777777" w:rsidR="002F1CC1" w:rsidRDefault="002F1CC1" w:rsidP="007D5396">
      <w:pPr>
        <w:spacing w:after="0" w:line="276" w:lineRule="auto"/>
        <w:ind w:right="49" w:firstLine="0"/>
        <w:rPr>
          <w:rFonts w:ascii="ITC Avant Garde" w:eastAsia="Times New Roman" w:hAnsi="ITC Avant Garde" w:cs="Times New Roman"/>
          <w:i/>
          <w:color w:val="auto"/>
        </w:rPr>
      </w:pPr>
    </w:p>
    <w:p w14:paraId="4785FAA9" w14:textId="31FE9E48" w:rsidR="007D26E0" w:rsidRPr="00B56D15" w:rsidRDefault="007D26E0"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 y CANIETI:</w:t>
      </w:r>
    </w:p>
    <w:p w14:paraId="79EDFA36" w14:textId="77777777" w:rsidR="007D26E0" w:rsidRPr="00B56D15" w:rsidRDefault="007D26E0" w:rsidP="007D5396">
      <w:pPr>
        <w:spacing w:after="0" w:line="276" w:lineRule="auto"/>
        <w:ind w:left="-5" w:right="49" w:firstLine="0"/>
        <w:rPr>
          <w:rFonts w:ascii="ITC Avant Garde" w:hAnsi="ITC Avant Garde"/>
          <w:b/>
          <w:color w:val="auto"/>
        </w:rPr>
      </w:pPr>
    </w:p>
    <w:p w14:paraId="39A4DB22" w14:textId="2D24E8A4" w:rsidR="007D26E0" w:rsidRPr="00F86EA1" w:rsidRDefault="007D26E0" w:rsidP="007D5396">
      <w:pPr>
        <w:spacing w:after="0" w:line="276" w:lineRule="auto"/>
        <w:ind w:left="0" w:right="0" w:firstLine="0"/>
        <w:rPr>
          <w:rFonts w:ascii="ITC Avant Garde" w:hAnsi="ITC Avant Garde" w:cs="Times New Roman"/>
          <w:i/>
          <w:color w:val="auto"/>
        </w:rPr>
      </w:pPr>
      <w:r w:rsidRPr="00F86EA1">
        <w:rPr>
          <w:rFonts w:ascii="ITC Avant Garde" w:hAnsi="ITC Avant Garde" w:cs="Times New Roman"/>
          <w:i/>
          <w:color w:val="auto"/>
        </w:rPr>
        <w:t>Incluir definición de filial</w:t>
      </w:r>
      <w:r w:rsidR="00B71141">
        <w:rPr>
          <w:rFonts w:ascii="ITC Avant Garde" w:hAnsi="ITC Avant Garde" w:cs="Times New Roman"/>
          <w:i/>
          <w:color w:val="auto"/>
        </w:rPr>
        <w:t>, en los siguientes términos: “</w:t>
      </w:r>
      <w:r w:rsidRPr="00F86EA1">
        <w:rPr>
          <w:rFonts w:ascii="ITC Avant Garde" w:hAnsi="ITC Avant Garde" w:cs="Times New Roman"/>
          <w:i/>
          <w:color w:val="auto"/>
        </w:rPr>
        <w:t xml:space="preserve">Con respecto a cualquiera de las Partes, cualquier persona, física o moral, que directa o indirectamente la controla, que es controlada por ella, o bien, que se encuentra bajo un control común con la Parte involucrada. Para efectos </w:t>
      </w:r>
      <w:r w:rsidR="00553673">
        <w:rPr>
          <w:rFonts w:ascii="ITC Avant Garde" w:hAnsi="ITC Avant Garde" w:cs="Times New Roman"/>
          <w:i/>
          <w:color w:val="auto"/>
        </w:rPr>
        <w:t>de esta definición, la palabra “control” (incluyendo “controla”, “controlada” y “</w:t>
      </w:r>
      <w:r w:rsidRPr="00F86EA1">
        <w:rPr>
          <w:rFonts w:ascii="ITC Avant Garde" w:hAnsi="ITC Avant Garde" w:cs="Times New Roman"/>
          <w:i/>
          <w:color w:val="auto"/>
        </w:rPr>
        <w:t>bajo un cont</w:t>
      </w:r>
      <w:r w:rsidR="00553673">
        <w:rPr>
          <w:rFonts w:ascii="ITC Avant Garde" w:hAnsi="ITC Avant Garde" w:cs="Times New Roman"/>
          <w:i/>
          <w:color w:val="auto"/>
        </w:rPr>
        <w:t>rol común con”</w:t>
      </w:r>
      <w:r w:rsidRPr="00F86EA1">
        <w:rPr>
          <w:rFonts w:ascii="ITC Avant Garde" w:hAnsi="ITC Avant Garde" w:cs="Times New Roman"/>
          <w:i/>
          <w:color w:val="auto"/>
        </w:rPr>
        <w:t>) significa el poder, directo o indirecto, de determinar la administración y políticas de cualquier persona, física o moral, ya sea a través de la titularidad de acciones con derecho a voto, mediante contra</w:t>
      </w:r>
      <w:r w:rsidR="0030210E" w:rsidRPr="00F86EA1">
        <w:rPr>
          <w:rFonts w:ascii="ITC Avant Garde" w:hAnsi="ITC Avant Garde" w:cs="Times New Roman"/>
          <w:i/>
          <w:color w:val="auto"/>
        </w:rPr>
        <w:t>to, o de cualquier otra manera.</w:t>
      </w:r>
    </w:p>
    <w:p w14:paraId="3391FE4D" w14:textId="77777777" w:rsidR="000E2672" w:rsidRDefault="000E2672" w:rsidP="007D5396">
      <w:pPr>
        <w:spacing w:after="0" w:line="276" w:lineRule="auto"/>
        <w:ind w:left="-5" w:right="49" w:firstLine="0"/>
        <w:rPr>
          <w:rFonts w:ascii="ITC Avant Garde" w:hAnsi="ITC Avant Garde"/>
          <w:i/>
          <w:color w:val="auto"/>
        </w:rPr>
      </w:pPr>
    </w:p>
    <w:p w14:paraId="04778863" w14:textId="2139F134" w:rsidR="007D26E0" w:rsidRPr="0083740B" w:rsidRDefault="00CA70A4" w:rsidP="007D5396">
      <w:pPr>
        <w:spacing w:line="276" w:lineRule="auto"/>
        <w:ind w:firstLine="0"/>
        <w:rPr>
          <w:rFonts w:ascii="ITC Avant Garde" w:eastAsia="Times New Roman" w:hAnsi="ITC Avant Garde" w:cs="Times New Roman"/>
          <w:color w:val="auto"/>
        </w:rPr>
      </w:pPr>
      <w:r w:rsidRPr="0083740B">
        <w:rPr>
          <w:rFonts w:ascii="ITC Avant Garde" w:eastAsia="Times New Roman" w:hAnsi="ITC Avant Garde" w:cs="Times New Roman"/>
          <w:color w:val="auto"/>
        </w:rPr>
        <w:t>Al respecto se señala que los términos y el significado de los mismos contenidos en la Propuesta de CMI consideran todos los términos requeridos para los fines y efectos del convenio, de lo cual se observa que dado que el convenio marco de interconexión tiene por objeto determinar los términos y condiciones bajo los cuales se prestarán los servicios de interconexión entre el AEP y el resto de los concesionarios la definición de filial no es necesaria para dicha determinación, es decir para los efectos del convenio.</w:t>
      </w:r>
    </w:p>
    <w:p w14:paraId="46E71495" w14:textId="77777777" w:rsidR="00CA70A4" w:rsidRDefault="00CA70A4" w:rsidP="007D5396">
      <w:pPr>
        <w:spacing w:line="276" w:lineRule="auto"/>
        <w:ind w:firstLine="0"/>
        <w:rPr>
          <w:b/>
          <w:color w:val="auto"/>
        </w:rPr>
      </w:pPr>
    </w:p>
    <w:p w14:paraId="78B7FA0E" w14:textId="38C7ECFF" w:rsidR="007D26E0" w:rsidRPr="00B56D15" w:rsidRDefault="00F86EA1" w:rsidP="007D5396">
      <w:pPr>
        <w:spacing w:after="0" w:line="276" w:lineRule="auto"/>
        <w:ind w:left="-5" w:right="49" w:firstLine="0"/>
        <w:rPr>
          <w:rFonts w:ascii="ITC Avant Garde" w:hAnsi="ITC Avant Garde"/>
          <w:b/>
          <w:color w:val="auto"/>
        </w:rPr>
      </w:pPr>
      <w:r>
        <w:rPr>
          <w:rFonts w:ascii="ITC Avant Garde" w:hAnsi="ITC Avant Garde"/>
          <w:b/>
          <w:color w:val="auto"/>
        </w:rPr>
        <w:t xml:space="preserve">MCM y </w:t>
      </w:r>
      <w:r w:rsidR="007D26E0" w:rsidRPr="00B56D15">
        <w:rPr>
          <w:rFonts w:ascii="ITC Avant Garde" w:hAnsi="ITC Avant Garde"/>
          <w:b/>
          <w:color w:val="auto"/>
        </w:rPr>
        <w:t>CANIETI:</w:t>
      </w:r>
    </w:p>
    <w:p w14:paraId="4500DEDA" w14:textId="77777777" w:rsidR="007D26E0" w:rsidRPr="00B56D15" w:rsidRDefault="007D26E0" w:rsidP="007D5396">
      <w:pPr>
        <w:spacing w:after="0" w:line="276" w:lineRule="auto"/>
        <w:ind w:left="-5" w:right="49" w:firstLine="0"/>
        <w:rPr>
          <w:rFonts w:ascii="ITC Avant Garde" w:hAnsi="ITC Avant Garde"/>
          <w:b/>
          <w:color w:val="auto"/>
        </w:rPr>
      </w:pPr>
    </w:p>
    <w:p w14:paraId="54B53A2F" w14:textId="432BF5BD" w:rsidR="007D26E0" w:rsidRPr="00F86EA1" w:rsidRDefault="008B5B27" w:rsidP="007D5396">
      <w:pPr>
        <w:spacing w:after="0" w:line="276" w:lineRule="auto"/>
        <w:ind w:left="0" w:right="0" w:firstLine="0"/>
        <w:rPr>
          <w:rFonts w:ascii="ITC Avant Garde" w:hAnsi="ITC Avant Garde" w:cs="Times New Roman"/>
          <w:i/>
          <w:color w:val="auto"/>
        </w:rPr>
      </w:pPr>
      <w:r w:rsidRPr="00F86EA1">
        <w:rPr>
          <w:rFonts w:ascii="ITC Avant Garde" w:hAnsi="ITC Avant Garde" w:cs="Times New Roman"/>
          <w:i/>
          <w:color w:val="auto"/>
        </w:rPr>
        <w:t xml:space="preserve">Se solicitó </w:t>
      </w:r>
      <w:r w:rsidR="007D26E0" w:rsidRPr="00F86EA1">
        <w:rPr>
          <w:rFonts w:ascii="ITC Avant Garde" w:hAnsi="ITC Avant Garde" w:cs="Times New Roman"/>
          <w:i/>
          <w:color w:val="auto"/>
        </w:rPr>
        <w:t>Incluir</w:t>
      </w:r>
      <w:r w:rsidRPr="00F86EA1">
        <w:rPr>
          <w:rFonts w:ascii="ITC Avant Garde" w:hAnsi="ITC Avant Garde" w:cs="Times New Roman"/>
          <w:i/>
          <w:color w:val="auto"/>
        </w:rPr>
        <w:t xml:space="preserve"> la</w:t>
      </w:r>
      <w:r w:rsidR="007D26E0" w:rsidRPr="00F86EA1">
        <w:rPr>
          <w:rFonts w:ascii="ITC Avant Garde" w:hAnsi="ITC Avant Garde" w:cs="Times New Roman"/>
          <w:i/>
          <w:color w:val="auto"/>
        </w:rPr>
        <w:t xml:space="preserve"> defi</w:t>
      </w:r>
      <w:r w:rsidRPr="00F86EA1">
        <w:rPr>
          <w:rFonts w:ascii="ITC Avant Garde" w:hAnsi="ITC Avant Garde" w:cs="Times New Roman"/>
          <w:i/>
          <w:color w:val="auto"/>
        </w:rPr>
        <w:t>nición de Interconexión Cruzada, y adicionalmente CANIETI solicitó incluir l</w:t>
      </w:r>
      <w:r w:rsidR="007D26E0" w:rsidRPr="00F86EA1">
        <w:rPr>
          <w:rFonts w:ascii="ITC Avant Garde" w:hAnsi="ITC Avant Garde" w:cs="Times New Roman"/>
          <w:i/>
          <w:color w:val="auto"/>
        </w:rPr>
        <w:t>os términos, condiciones y tarifas bajo las cuales el AEP prestará el servicio de interconexión cruzada</w:t>
      </w:r>
      <w:r w:rsidRPr="00F86EA1">
        <w:rPr>
          <w:rFonts w:ascii="ITC Avant Garde" w:hAnsi="ITC Avant Garde" w:cs="Times New Roman"/>
          <w:i/>
          <w:color w:val="auto"/>
        </w:rPr>
        <w:t>.</w:t>
      </w:r>
    </w:p>
    <w:p w14:paraId="591A5404" w14:textId="77777777" w:rsidR="00B707AB" w:rsidRDefault="00B707AB" w:rsidP="007D5396">
      <w:pPr>
        <w:spacing w:after="0" w:line="276" w:lineRule="auto"/>
        <w:ind w:left="0" w:right="49" w:firstLine="0"/>
        <w:rPr>
          <w:rFonts w:ascii="ITC Avant Garde" w:hAnsi="ITC Avant Garde"/>
          <w:color w:val="auto"/>
        </w:rPr>
      </w:pPr>
    </w:p>
    <w:p w14:paraId="54C0232C" w14:textId="02F48DB6" w:rsidR="00623045" w:rsidRPr="0083740B" w:rsidRDefault="00243709" w:rsidP="007D5396">
      <w:pPr>
        <w:pStyle w:val="IFTnormal"/>
        <w:tabs>
          <w:tab w:val="left" w:pos="426"/>
        </w:tabs>
        <w:spacing w:after="0"/>
        <w:ind w:left="0" w:right="49"/>
      </w:pPr>
      <w:r w:rsidRPr="0083740B">
        <w:lastRenderedPageBreak/>
        <w:t xml:space="preserve">Respecto </w:t>
      </w:r>
      <w:r w:rsidR="00F423AF" w:rsidRPr="0083740B">
        <w:t>al comentario anterior</w:t>
      </w:r>
      <w:r w:rsidRPr="0083740B">
        <w:t xml:space="preserve"> y c</w:t>
      </w:r>
      <w:r w:rsidR="00623045" w:rsidRPr="0083740B">
        <w:t xml:space="preserve">on el fin de proporcionar certeza sobre el término “Interconexión Cruzada” </w:t>
      </w:r>
      <w:r w:rsidRPr="0083740B">
        <w:t xml:space="preserve">se agregó </w:t>
      </w:r>
      <w:r w:rsidR="00623045" w:rsidRPr="0083740B">
        <w:t>la definición</w:t>
      </w:r>
      <w:r w:rsidR="00826397" w:rsidRPr="0083740B">
        <w:t xml:space="preserve"> correspondiente </w:t>
      </w:r>
      <w:r w:rsidRPr="0083740B">
        <w:t>en los términos siguientes</w:t>
      </w:r>
      <w:r w:rsidR="00623045" w:rsidRPr="0083740B">
        <w:t>:</w:t>
      </w:r>
    </w:p>
    <w:p w14:paraId="6A1244D8" w14:textId="77777777" w:rsidR="00623045" w:rsidRPr="0083740B" w:rsidRDefault="00623045" w:rsidP="007D5396">
      <w:pPr>
        <w:pStyle w:val="IFTnormal"/>
        <w:spacing w:after="0"/>
      </w:pPr>
    </w:p>
    <w:tbl>
      <w:tblPr>
        <w:tblW w:w="8222" w:type="dxa"/>
        <w:jc w:val="center"/>
        <w:tblCellMar>
          <w:top w:w="113" w:type="dxa"/>
          <w:bottom w:w="113" w:type="dxa"/>
        </w:tblCellMar>
        <w:tblLook w:val="01E0" w:firstRow="1" w:lastRow="1" w:firstColumn="1" w:lastColumn="1" w:noHBand="0" w:noVBand="0"/>
      </w:tblPr>
      <w:tblGrid>
        <w:gridCol w:w="2567"/>
        <w:gridCol w:w="5655"/>
      </w:tblGrid>
      <w:tr w:rsidR="00623045" w:rsidRPr="0083740B" w14:paraId="73D30B8E" w14:textId="77777777" w:rsidTr="00B71141">
        <w:trPr>
          <w:jc w:val="center"/>
        </w:trPr>
        <w:tc>
          <w:tcPr>
            <w:tcW w:w="2567" w:type="dxa"/>
          </w:tcPr>
          <w:p w14:paraId="59E807F4" w14:textId="56E9816A" w:rsidR="00623045" w:rsidRPr="0083740B" w:rsidRDefault="00F557E6" w:rsidP="00B71141">
            <w:pPr>
              <w:autoSpaceDE w:val="0"/>
              <w:autoSpaceDN w:val="0"/>
              <w:adjustRightInd w:val="0"/>
              <w:spacing w:after="0" w:line="276" w:lineRule="auto"/>
              <w:ind w:firstLine="0"/>
              <w:rPr>
                <w:rFonts w:ascii="ITC Avant Garde" w:hAnsi="ITC Avant Garde" w:cs="Arial"/>
                <w:i/>
                <w:color w:val="auto"/>
                <w:sz w:val="18"/>
                <w:szCs w:val="18"/>
              </w:rPr>
            </w:pPr>
            <w:r w:rsidRPr="0083740B">
              <w:rPr>
                <w:rFonts w:ascii="ITC Avant Garde" w:hAnsi="ITC Avant Garde" w:cs="Arial"/>
                <w:i/>
                <w:color w:val="auto"/>
                <w:sz w:val="18"/>
                <w:szCs w:val="18"/>
              </w:rPr>
              <w:t>“</w:t>
            </w:r>
            <w:r w:rsidR="00623045" w:rsidRPr="0083740B">
              <w:rPr>
                <w:rFonts w:ascii="ITC Avant Garde" w:hAnsi="ITC Avant Garde" w:cs="Arial"/>
                <w:i/>
                <w:color w:val="auto"/>
                <w:sz w:val="18"/>
                <w:szCs w:val="18"/>
              </w:rPr>
              <w:t>Interconexión Cruzada</w:t>
            </w:r>
          </w:p>
        </w:tc>
        <w:tc>
          <w:tcPr>
            <w:tcW w:w="5655" w:type="dxa"/>
          </w:tcPr>
          <w:p w14:paraId="358614A7" w14:textId="6A662662" w:rsidR="00623045" w:rsidRPr="0083740B" w:rsidRDefault="00B367B5" w:rsidP="00B71141">
            <w:pPr>
              <w:pStyle w:val="Textosinformato"/>
              <w:spacing w:line="276" w:lineRule="auto"/>
              <w:ind w:right="34"/>
              <w:jc w:val="both"/>
              <w:rPr>
                <w:rFonts w:ascii="ITC Avant Garde" w:hAnsi="ITC Avant Garde" w:cs="Arial"/>
                <w:i/>
                <w:sz w:val="18"/>
                <w:szCs w:val="18"/>
                <w:lang w:val="es-ES"/>
              </w:rPr>
            </w:pPr>
            <w:r w:rsidRPr="0083740B">
              <w:rPr>
                <w:rFonts w:ascii="ITC Avant Garde" w:hAnsi="ITC Avant Garde" w:cs="Arial"/>
                <w:i/>
                <w:sz w:val="18"/>
                <w:szCs w:val="18"/>
                <w:lang w:val="es-ES"/>
              </w:rPr>
              <w:t>Interconexión directa realizada entre concesionarios que tienen presencia y/o espacios de coubicación en el mismo punto de interconexión. Para lo cual el propietario de las instalaciones proveerá los enlaces de transmisión de interconexión entre coubicaciones del tipo gestionado o no gestionado.</w:t>
            </w:r>
            <w:r w:rsidR="00F557E6" w:rsidRPr="0083740B">
              <w:rPr>
                <w:rFonts w:ascii="ITC Avant Garde" w:hAnsi="ITC Avant Garde" w:cs="Arial"/>
                <w:i/>
                <w:sz w:val="18"/>
                <w:szCs w:val="18"/>
                <w:lang w:val="es-ES"/>
              </w:rPr>
              <w:t>”</w:t>
            </w:r>
          </w:p>
        </w:tc>
      </w:tr>
    </w:tbl>
    <w:p w14:paraId="361A8CF0" w14:textId="77777777" w:rsidR="00DE2BF5" w:rsidRPr="0083740B" w:rsidRDefault="00DE2BF5" w:rsidP="007D5396">
      <w:pPr>
        <w:pStyle w:val="IFTnormal"/>
        <w:tabs>
          <w:tab w:val="left" w:pos="426"/>
        </w:tabs>
        <w:spacing w:after="0"/>
        <w:ind w:left="0" w:right="49"/>
      </w:pPr>
    </w:p>
    <w:p w14:paraId="0469D534" w14:textId="727F0956" w:rsidR="009B1E7E" w:rsidRPr="0083740B" w:rsidRDefault="00DE2BF5" w:rsidP="007D5396">
      <w:pPr>
        <w:spacing w:after="0" w:line="276" w:lineRule="auto"/>
        <w:ind w:left="0" w:right="0" w:firstLine="0"/>
        <w:rPr>
          <w:rFonts w:ascii="ITC Avant Garde" w:eastAsia="Times New Roman" w:hAnsi="ITC Avant Garde" w:cs="Times New Roman"/>
          <w:color w:val="auto"/>
        </w:rPr>
      </w:pPr>
      <w:r w:rsidRPr="0083740B">
        <w:rPr>
          <w:rFonts w:ascii="ITC Avant Garde" w:eastAsia="Times New Roman" w:hAnsi="ITC Avant Garde" w:cs="Times New Roman"/>
          <w:color w:val="auto"/>
        </w:rPr>
        <w:t>Asimismo, respecto al comentario en el cual se solicita incluir los términos y condiciones mediante los cuales se prestará el servicio de interconexión cruzada, se señala que los mismos son especificados en la Cláusula Quinta, numeral 5.3.</w:t>
      </w:r>
    </w:p>
    <w:p w14:paraId="2EDAAB2C" w14:textId="15E58909" w:rsidR="00DE2BF5" w:rsidRPr="0083740B" w:rsidRDefault="00DE2BF5" w:rsidP="007D5396">
      <w:pPr>
        <w:spacing w:after="0" w:line="276" w:lineRule="auto"/>
        <w:ind w:right="49" w:firstLine="0"/>
        <w:rPr>
          <w:rFonts w:ascii="ITC Avant Garde" w:hAnsi="ITC Avant Garde"/>
          <w:i/>
          <w:color w:val="auto"/>
          <w:sz w:val="18"/>
          <w:szCs w:val="18"/>
        </w:rPr>
      </w:pPr>
    </w:p>
    <w:p w14:paraId="734CB48A" w14:textId="62CF9094" w:rsidR="006B0F62" w:rsidRDefault="009667DE" w:rsidP="007D5396">
      <w:pPr>
        <w:spacing w:after="0" w:line="276" w:lineRule="auto"/>
        <w:ind w:left="-5" w:right="49" w:firstLine="0"/>
        <w:rPr>
          <w:rFonts w:ascii="ITC Avant Garde" w:hAnsi="ITC Avant Garde"/>
          <w:b/>
          <w:color w:val="auto"/>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SEGUNDA </w:t>
      </w:r>
    </w:p>
    <w:p w14:paraId="7E4AF4EF" w14:textId="77777777" w:rsidR="009667DE" w:rsidRDefault="009667DE" w:rsidP="007D5396">
      <w:pPr>
        <w:spacing w:after="0" w:line="276" w:lineRule="auto"/>
        <w:ind w:left="-5" w:right="49" w:firstLine="0"/>
        <w:rPr>
          <w:rFonts w:ascii="ITC Avant Garde" w:hAnsi="ITC Avant Garde"/>
          <w:b/>
          <w:color w:val="auto"/>
        </w:rPr>
      </w:pPr>
    </w:p>
    <w:p w14:paraId="31C4923E" w14:textId="07F5DDCF" w:rsidR="00696EE6" w:rsidRPr="00B56D15" w:rsidRDefault="00696EE6"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5D2B2106" w14:textId="77777777" w:rsidR="00696EE6" w:rsidRPr="00B56D15" w:rsidRDefault="00696EE6" w:rsidP="007D5396">
      <w:pPr>
        <w:spacing w:after="0" w:line="276" w:lineRule="auto"/>
        <w:ind w:left="0" w:right="49" w:firstLine="0"/>
        <w:rPr>
          <w:rFonts w:ascii="ITC Avant Garde" w:hAnsi="ITC Avant Garde" w:cs="Times New Roman"/>
          <w:i/>
          <w:color w:val="auto"/>
        </w:rPr>
      </w:pPr>
    </w:p>
    <w:p w14:paraId="5A9ECE7A" w14:textId="1D520022" w:rsidR="00696EE6" w:rsidRPr="00B56D15" w:rsidRDefault="00F133AD" w:rsidP="007D5396">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S</w:t>
      </w:r>
      <w:r w:rsidRPr="00B56D15">
        <w:rPr>
          <w:rFonts w:ascii="ITC Avant Garde" w:hAnsi="ITC Avant Garde" w:cs="Times New Roman"/>
          <w:i/>
          <w:color w:val="auto"/>
        </w:rPr>
        <w:t xml:space="preserve">e solicita que el AEP cumpla con el plazo de 20 días para ofrecer la alternativa en caso de existir falta de punto de interconexión o saturación en el ASL correspondiente con independencia de que el </w:t>
      </w:r>
      <w:r w:rsidR="00036AD3" w:rsidRPr="00036AD3">
        <w:rPr>
          <w:rFonts w:ascii="ITC Avant Garde" w:hAnsi="ITC Avant Garde" w:cs="Times New Roman"/>
          <w:i/>
          <w:color w:val="auto"/>
        </w:rPr>
        <w:t xml:space="preserve">Concesionario Solicitante (en lo sucesivo, los “CS”) </w:t>
      </w:r>
      <w:r w:rsidRPr="00B56D15">
        <w:rPr>
          <w:rFonts w:ascii="ITC Avant Garde" w:hAnsi="ITC Avant Garde" w:cs="Times New Roman"/>
          <w:i/>
          <w:color w:val="auto"/>
        </w:rPr>
        <w:t>t</w:t>
      </w:r>
      <w:r>
        <w:rPr>
          <w:rFonts w:ascii="ITC Avant Garde" w:hAnsi="ITC Avant Garde" w:cs="Times New Roman"/>
          <w:i/>
          <w:color w:val="auto"/>
        </w:rPr>
        <w:t>enga lista su infraestructura.</w:t>
      </w:r>
    </w:p>
    <w:p w14:paraId="6E4D493C" w14:textId="77777777" w:rsidR="00696EE6" w:rsidRPr="000624F5" w:rsidRDefault="00696EE6" w:rsidP="007D5396">
      <w:pPr>
        <w:spacing w:after="0" w:line="276" w:lineRule="auto"/>
        <w:ind w:left="0" w:right="49" w:firstLine="0"/>
        <w:rPr>
          <w:rFonts w:ascii="ITC Avant Garde" w:hAnsi="ITC Avant Garde"/>
          <w:b/>
          <w:color w:val="auto"/>
        </w:rPr>
      </w:pPr>
    </w:p>
    <w:p w14:paraId="1B8DFD16" w14:textId="465C2D28" w:rsidR="005A7D7B" w:rsidRPr="000624F5" w:rsidRDefault="009A4527" w:rsidP="00B71141">
      <w:pPr>
        <w:spacing w:after="0" w:line="276" w:lineRule="auto"/>
        <w:ind w:left="-5" w:right="49" w:firstLine="0"/>
        <w:rPr>
          <w:rFonts w:ascii="ITC Avant Garde" w:hAnsi="ITC Avant Garde"/>
          <w:color w:val="auto"/>
        </w:rPr>
      </w:pPr>
      <w:r w:rsidRPr="000624F5">
        <w:rPr>
          <w:rFonts w:ascii="ITC Avant Garde" w:hAnsi="ITC Avant Garde"/>
          <w:color w:val="auto"/>
        </w:rPr>
        <w:t xml:space="preserve">Respecto al comentario anterior, </w:t>
      </w:r>
      <w:r w:rsidR="00B71141" w:rsidRPr="000624F5">
        <w:rPr>
          <w:rFonts w:ascii="ITC Avant Garde" w:hAnsi="ITC Avant Garde"/>
          <w:color w:val="auto"/>
        </w:rPr>
        <w:t>a efecto de cumplir con lo establecido en las Medidas Fijas sobre el plazo de 20 (veinte) días para contar con una alternativa de interconexión</w:t>
      </w:r>
      <w:r w:rsidR="00732359" w:rsidRPr="000624F5">
        <w:rPr>
          <w:rFonts w:ascii="ITC Avant Garde" w:hAnsi="ITC Avant Garde"/>
          <w:color w:val="auto"/>
        </w:rPr>
        <w:t xml:space="preserve"> y proporcionar un plazo cierto para contar con dicha alternativa</w:t>
      </w:r>
      <w:r w:rsidR="00B71141" w:rsidRPr="000624F5">
        <w:rPr>
          <w:rFonts w:ascii="ITC Avant Garde" w:hAnsi="ITC Avant Garde"/>
          <w:color w:val="auto"/>
        </w:rPr>
        <w:t xml:space="preserve">, </w:t>
      </w:r>
      <w:r w:rsidR="005A7D7B" w:rsidRPr="000624F5">
        <w:rPr>
          <w:rFonts w:ascii="ITC Avant Garde" w:hAnsi="ITC Avant Garde"/>
          <w:color w:val="auto"/>
        </w:rPr>
        <w:t xml:space="preserve">se modificó el </w:t>
      </w:r>
      <w:r w:rsidR="00F82023" w:rsidRPr="000624F5">
        <w:rPr>
          <w:rFonts w:ascii="ITC Avant Garde" w:hAnsi="ITC Avant Garde"/>
          <w:color w:val="auto"/>
        </w:rPr>
        <w:t>CMI</w:t>
      </w:r>
      <w:r w:rsidR="003602B7" w:rsidRPr="000624F5">
        <w:rPr>
          <w:rFonts w:ascii="ITC Avant Garde" w:hAnsi="ITC Avant Garde"/>
          <w:color w:val="auto"/>
        </w:rPr>
        <w:t xml:space="preserve"> </w:t>
      </w:r>
      <w:r w:rsidR="005A7D7B" w:rsidRPr="000624F5">
        <w:rPr>
          <w:rFonts w:ascii="ITC Avant Garde" w:hAnsi="ITC Avant Garde"/>
          <w:color w:val="auto"/>
        </w:rPr>
        <w:t>de la siguiente manera:</w:t>
      </w:r>
    </w:p>
    <w:p w14:paraId="6345E78A" w14:textId="77777777" w:rsidR="005A7D7B" w:rsidRPr="000624F5" w:rsidRDefault="005A7D7B" w:rsidP="007D5396">
      <w:pPr>
        <w:spacing w:after="0" w:line="276" w:lineRule="auto"/>
        <w:ind w:left="-5" w:right="49" w:firstLine="0"/>
        <w:rPr>
          <w:rFonts w:ascii="ITC Avant Garde" w:hAnsi="ITC Avant Garde"/>
          <w:color w:val="auto"/>
        </w:rPr>
      </w:pPr>
    </w:p>
    <w:p w14:paraId="227A30B9" w14:textId="57A3252D" w:rsidR="00740B17" w:rsidRPr="000624F5" w:rsidRDefault="00F557E6" w:rsidP="00DC0D3E">
      <w:pPr>
        <w:pStyle w:val="Textosinformato"/>
        <w:spacing w:line="276" w:lineRule="auto"/>
        <w:ind w:left="567" w:right="567"/>
        <w:jc w:val="both"/>
        <w:rPr>
          <w:rFonts w:ascii="ITC Avant Garde" w:hAnsi="ITC Avant Garde" w:cs="Arial"/>
          <w:i/>
          <w:sz w:val="18"/>
          <w:szCs w:val="18"/>
          <w:u w:val="single"/>
        </w:rPr>
      </w:pPr>
      <w:r w:rsidRPr="000624F5">
        <w:rPr>
          <w:rFonts w:ascii="ITC Avant Garde" w:hAnsi="ITC Avant Garde" w:cs="Arial"/>
          <w:i/>
          <w:sz w:val="18"/>
          <w:szCs w:val="18"/>
        </w:rPr>
        <w:t>“</w:t>
      </w:r>
      <w:r w:rsidR="005A7D7B" w:rsidRPr="000624F5">
        <w:rPr>
          <w:rFonts w:ascii="ITC Avant Garde" w:hAnsi="ITC Avant Garde" w:cs="Arial"/>
          <w:i/>
          <w:sz w:val="18"/>
          <w:szCs w:val="18"/>
        </w:rPr>
        <w:t xml:space="preserve">iv) En caso de que [ __________ ] no esté listo para recibir los servicios de interconexión en los 20 días hábiles referidos en el numeral anterior, las partes acordarán en conjunto una nueva fecha para la entrega de los servicios de interconexión </w:t>
      </w:r>
      <w:r w:rsidR="005A7D7B" w:rsidRPr="000624F5">
        <w:rPr>
          <w:rFonts w:ascii="ITC Avant Garde" w:hAnsi="ITC Avant Garde" w:cs="Arial"/>
          <w:i/>
          <w:sz w:val="18"/>
          <w:szCs w:val="18"/>
          <w:u w:val="single"/>
        </w:rPr>
        <w:t>de acuerdo al contenido aplicable del Anexo E “Calidad” del presente convenio.</w:t>
      </w:r>
      <w:r w:rsidRPr="000624F5">
        <w:rPr>
          <w:rFonts w:ascii="ITC Avant Garde" w:hAnsi="ITC Avant Garde" w:cs="Arial"/>
          <w:i/>
          <w:sz w:val="18"/>
          <w:szCs w:val="18"/>
          <w:u w:val="single"/>
        </w:rPr>
        <w:t>”</w:t>
      </w:r>
      <w:r w:rsidR="00740B17" w:rsidRPr="000624F5">
        <w:rPr>
          <w:rFonts w:ascii="ITC Avant Garde" w:hAnsi="ITC Avant Garde" w:cs="Arial"/>
          <w:i/>
          <w:sz w:val="18"/>
          <w:szCs w:val="18"/>
        </w:rPr>
        <w:t xml:space="preserve"> </w:t>
      </w:r>
    </w:p>
    <w:p w14:paraId="726026C8" w14:textId="144E93EF" w:rsidR="005A7D7B" w:rsidRPr="00740B17" w:rsidRDefault="00740B17" w:rsidP="007D5396">
      <w:pPr>
        <w:pStyle w:val="Textosinformato"/>
        <w:spacing w:line="276" w:lineRule="auto"/>
        <w:ind w:left="567" w:right="567"/>
        <w:jc w:val="right"/>
        <w:rPr>
          <w:rFonts w:ascii="ITC Avant Garde" w:hAnsi="ITC Avant Garde" w:cs="Arial"/>
          <w:i/>
          <w:color w:val="2E74B5" w:themeColor="accent1" w:themeShade="BF"/>
          <w:sz w:val="18"/>
          <w:szCs w:val="18"/>
        </w:rPr>
      </w:pPr>
      <w:r>
        <w:rPr>
          <w:rFonts w:ascii="ITC Avant Garde" w:hAnsi="ITC Avant Garde" w:cs="Arial"/>
          <w:i/>
          <w:color w:val="2E74B5" w:themeColor="accent1" w:themeShade="BF"/>
          <w:sz w:val="18"/>
          <w:szCs w:val="18"/>
        </w:rPr>
        <w:t>(Énfasis añadido)</w:t>
      </w:r>
    </w:p>
    <w:p w14:paraId="42FCCED5" w14:textId="77777777" w:rsidR="005A7D7B" w:rsidRDefault="005A7D7B" w:rsidP="007D5396">
      <w:pPr>
        <w:spacing w:after="0" w:line="276" w:lineRule="auto"/>
        <w:ind w:left="-5" w:right="49" w:firstLine="0"/>
        <w:rPr>
          <w:rFonts w:ascii="ITC Avant Garde" w:hAnsi="ITC Avant Garde"/>
          <w:color w:val="2E74B5" w:themeColor="accent1" w:themeShade="BF"/>
        </w:rPr>
      </w:pPr>
    </w:p>
    <w:p w14:paraId="50C976B0" w14:textId="008FAA05" w:rsidR="007D26E0" w:rsidRPr="00B56D15" w:rsidRDefault="007D26E0"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 y CANIETI:</w:t>
      </w:r>
    </w:p>
    <w:p w14:paraId="5BDB1FA5" w14:textId="77777777" w:rsidR="007D26E0" w:rsidRPr="00B56D15" w:rsidRDefault="007D26E0" w:rsidP="007D5396">
      <w:pPr>
        <w:spacing w:line="276" w:lineRule="auto"/>
        <w:ind w:firstLine="0"/>
        <w:rPr>
          <w:b/>
          <w:color w:val="auto"/>
        </w:rPr>
      </w:pPr>
    </w:p>
    <w:p w14:paraId="0059D164" w14:textId="45944D4A" w:rsidR="007D26E0" w:rsidRPr="00B56D15" w:rsidRDefault="007D26E0" w:rsidP="007D5396">
      <w:pPr>
        <w:spacing w:after="0" w:line="276" w:lineRule="auto"/>
        <w:ind w:left="-6" w:right="51" w:firstLine="0"/>
        <w:rPr>
          <w:rFonts w:ascii="ITC Avant Garde" w:hAnsi="ITC Avant Garde"/>
          <w:i/>
          <w:color w:val="auto"/>
        </w:rPr>
      </w:pPr>
      <w:r w:rsidRPr="00B56D15">
        <w:rPr>
          <w:rFonts w:ascii="ITC Avant Garde" w:hAnsi="ITC Avant Garde"/>
          <w:i/>
          <w:color w:val="auto"/>
        </w:rPr>
        <w:t>En el apartado de pronóstico de demanda de servicios de interconexión en el párrafo segundo se indica que “Sin que dicho pronóstico limite, el hecho de que las partes en el convenio puedan solicitar servicios de interconexión en adición a los comprendidos en dicha proyección durante la vigencia del presente convenio, los cuales serán entregados en la fecha que sea acordada por las partes</w:t>
      </w:r>
      <w:r w:rsidR="0030210E">
        <w:rPr>
          <w:rFonts w:ascii="ITC Avant Garde" w:hAnsi="ITC Avant Garde"/>
          <w:i/>
          <w:color w:val="auto"/>
        </w:rPr>
        <w:t>.</w:t>
      </w:r>
    </w:p>
    <w:p w14:paraId="10C291A5" w14:textId="77777777" w:rsidR="007D26E0" w:rsidRPr="00B56D15" w:rsidRDefault="007D26E0" w:rsidP="007D5396">
      <w:pPr>
        <w:spacing w:after="0" w:line="276" w:lineRule="auto"/>
        <w:ind w:left="-5" w:right="49" w:firstLine="0"/>
        <w:rPr>
          <w:rFonts w:ascii="ITC Avant Garde" w:hAnsi="ITC Avant Garde"/>
          <w:i/>
          <w:color w:val="auto"/>
        </w:rPr>
      </w:pPr>
    </w:p>
    <w:p w14:paraId="3101BC9D" w14:textId="12DB0356" w:rsidR="007D26E0" w:rsidRPr="00B56D15" w:rsidRDefault="007D26E0" w:rsidP="007D5396">
      <w:pPr>
        <w:spacing w:after="0" w:line="276" w:lineRule="auto"/>
        <w:ind w:left="-5" w:right="49" w:firstLine="0"/>
        <w:rPr>
          <w:rFonts w:ascii="ITC Avant Garde" w:hAnsi="ITC Avant Garde"/>
          <w:i/>
          <w:color w:val="auto"/>
        </w:rPr>
      </w:pPr>
      <w:r w:rsidRPr="00B56D15">
        <w:rPr>
          <w:rFonts w:ascii="ITC Avant Garde" w:hAnsi="ITC Avant Garde"/>
          <w:i/>
          <w:color w:val="auto"/>
        </w:rPr>
        <w:lastRenderedPageBreak/>
        <w:t>Se sugiere para el caso del AEP que la fecha de entrega tenga un plazo máximo.</w:t>
      </w:r>
      <w:r w:rsidR="00FC61E6">
        <w:rPr>
          <w:rFonts w:ascii="ITC Avant Garde" w:hAnsi="ITC Avant Garde"/>
          <w:i/>
          <w:color w:val="auto"/>
        </w:rPr>
        <w:t xml:space="preserve"> </w:t>
      </w:r>
      <w:r w:rsidRPr="00B56D15">
        <w:rPr>
          <w:rFonts w:ascii="ITC Avant Garde" w:hAnsi="ITC Avant Garde"/>
          <w:i/>
          <w:color w:val="auto"/>
        </w:rPr>
        <w:t>Los pronósticos no deben ser obligatorios</w:t>
      </w:r>
      <w:r w:rsidR="0030210E">
        <w:rPr>
          <w:rFonts w:ascii="ITC Avant Garde" w:hAnsi="ITC Avant Garde"/>
          <w:i/>
          <w:color w:val="auto"/>
        </w:rPr>
        <w:t xml:space="preserve"> para proporcionar el servicio.</w:t>
      </w:r>
    </w:p>
    <w:p w14:paraId="25FF7BCF" w14:textId="77777777" w:rsidR="00696EE6" w:rsidRPr="000624F5" w:rsidRDefault="00696EE6" w:rsidP="007D5396">
      <w:pPr>
        <w:spacing w:after="0" w:line="276" w:lineRule="auto"/>
        <w:ind w:left="-5" w:right="49" w:firstLine="0"/>
        <w:rPr>
          <w:rFonts w:ascii="ITC Avant Garde" w:hAnsi="ITC Avant Garde"/>
          <w:b/>
          <w:color w:val="auto"/>
        </w:rPr>
      </w:pPr>
    </w:p>
    <w:p w14:paraId="11709DC6" w14:textId="6AEC7359" w:rsidR="00E663DD" w:rsidRPr="000624F5" w:rsidRDefault="002D2268" w:rsidP="00E663DD">
      <w:pPr>
        <w:spacing w:after="0" w:line="276" w:lineRule="auto"/>
        <w:ind w:left="-5" w:right="49" w:firstLine="0"/>
        <w:rPr>
          <w:rFonts w:ascii="ITC Avant Garde" w:hAnsi="ITC Avant Garde"/>
          <w:color w:val="auto"/>
        </w:rPr>
      </w:pPr>
      <w:r w:rsidRPr="000624F5">
        <w:rPr>
          <w:rFonts w:ascii="ITC Avant Garde" w:hAnsi="ITC Avant Garde"/>
          <w:color w:val="auto"/>
        </w:rPr>
        <w:t>Respecto al comentario anterior, relativo a</w:t>
      </w:r>
      <w:r w:rsidR="00E663DD" w:rsidRPr="000624F5">
        <w:rPr>
          <w:rFonts w:ascii="ITC Avant Garde" w:hAnsi="ITC Avant Garde"/>
          <w:color w:val="auto"/>
        </w:rPr>
        <w:t xml:space="preserve"> la entrega de pronósticos se señala que de una revisión de la experiencia internacional se observa que en la prestación de servicios mayoristas los plazos de entrega de los servicios están vinculados a la presentación de pronósticos de demanda por parte del CS.</w:t>
      </w:r>
    </w:p>
    <w:p w14:paraId="2861688F" w14:textId="77777777" w:rsidR="00E663DD" w:rsidRPr="000624F5" w:rsidRDefault="00E663DD" w:rsidP="00E663DD">
      <w:pPr>
        <w:spacing w:after="0" w:line="276" w:lineRule="auto"/>
        <w:ind w:left="-5" w:right="49" w:firstLine="0"/>
        <w:rPr>
          <w:rFonts w:ascii="ITC Avant Garde" w:hAnsi="ITC Avant Garde"/>
          <w:color w:val="auto"/>
        </w:rPr>
      </w:pPr>
    </w:p>
    <w:p w14:paraId="3BF4EF32" w14:textId="77777777" w:rsidR="00E663DD" w:rsidRPr="000624F5" w:rsidRDefault="00E663DD" w:rsidP="00E663DD">
      <w:pPr>
        <w:spacing w:after="0" w:line="276" w:lineRule="auto"/>
        <w:ind w:left="-5" w:right="49" w:firstLine="0"/>
        <w:rPr>
          <w:rFonts w:ascii="ITC Avant Garde" w:hAnsi="ITC Avant Garde"/>
          <w:color w:val="auto"/>
        </w:rPr>
      </w:pPr>
      <w:r w:rsidRPr="000624F5">
        <w:rPr>
          <w:rFonts w:ascii="ITC Avant Garde" w:hAnsi="ITC Avant Garde"/>
          <w:color w:val="auto"/>
        </w:rPr>
        <w:t>Esto es así debido a que, se suelen garantizar los plazos de entrega previstos dentro de un margen de variabilidad entre la capacidad prevista y la efectiva; puesto que la utilidad de los pronósticos es el correcto dimensionamiento de las redes.</w:t>
      </w:r>
    </w:p>
    <w:p w14:paraId="3E892250" w14:textId="77777777" w:rsidR="00E663DD" w:rsidRPr="000624F5" w:rsidRDefault="00E663DD" w:rsidP="00E663DD">
      <w:pPr>
        <w:spacing w:after="0" w:line="276" w:lineRule="auto"/>
        <w:ind w:left="-5" w:right="49" w:firstLine="0"/>
        <w:rPr>
          <w:rFonts w:ascii="ITC Avant Garde" w:hAnsi="ITC Avant Garde"/>
          <w:color w:val="auto"/>
        </w:rPr>
      </w:pPr>
    </w:p>
    <w:p w14:paraId="2DF6260A" w14:textId="77777777" w:rsidR="00E663DD" w:rsidRPr="000624F5" w:rsidRDefault="00E663DD" w:rsidP="00E663DD">
      <w:pPr>
        <w:spacing w:after="0" w:line="276" w:lineRule="auto"/>
        <w:ind w:left="-5" w:right="49" w:firstLine="0"/>
        <w:rPr>
          <w:rFonts w:ascii="ITC Avant Garde" w:hAnsi="ITC Avant Garde"/>
          <w:color w:val="auto"/>
        </w:rPr>
      </w:pPr>
      <w:r w:rsidRPr="000624F5">
        <w:rPr>
          <w:rFonts w:ascii="ITC Avant Garde" w:hAnsi="ITC Avant Garde"/>
          <w:color w:val="auto"/>
        </w:rPr>
        <w:t xml:space="preserve">En el pronóstico de servicios que nos ocupa, se observa que el procedimiento para la presentación de pronósticos no establece ninguna penalización respecto de la exactitud de los mismos sino que dicho procedimiento tiene como finalidad la reserva de capacidad y el correcto dimensionamiento de la red. </w:t>
      </w:r>
    </w:p>
    <w:p w14:paraId="571E1257" w14:textId="77777777" w:rsidR="00E663DD" w:rsidRPr="000624F5" w:rsidRDefault="00E663DD" w:rsidP="00E663DD">
      <w:pPr>
        <w:spacing w:after="0" w:line="276" w:lineRule="auto"/>
        <w:ind w:left="-5" w:right="49" w:firstLine="0"/>
        <w:rPr>
          <w:rFonts w:ascii="ITC Avant Garde" w:hAnsi="ITC Avant Garde"/>
          <w:color w:val="auto"/>
        </w:rPr>
      </w:pPr>
    </w:p>
    <w:p w14:paraId="37B28319" w14:textId="77777777" w:rsidR="00E663DD" w:rsidRPr="000624F5" w:rsidRDefault="00E663DD" w:rsidP="00E663DD">
      <w:pPr>
        <w:spacing w:after="0" w:line="276" w:lineRule="auto"/>
        <w:ind w:left="-5" w:right="49" w:firstLine="0"/>
        <w:rPr>
          <w:rFonts w:ascii="ITC Avant Garde" w:hAnsi="ITC Avant Garde"/>
          <w:color w:val="auto"/>
        </w:rPr>
      </w:pPr>
      <w:r w:rsidRPr="000624F5">
        <w:rPr>
          <w:rFonts w:ascii="ITC Avant Garde" w:hAnsi="ITC Avant Garde"/>
          <w:color w:val="auto"/>
        </w:rPr>
        <w:t xml:space="preserve">Asimismo, el procedimiento de presentación de pronósticos es aplicable tanto para los CS como para Telcel por lo cual no es una condición ventajosa o desproporcionada sino recíproca. </w:t>
      </w:r>
    </w:p>
    <w:p w14:paraId="565C3AB6" w14:textId="77777777" w:rsidR="00E663DD" w:rsidRPr="000624F5" w:rsidRDefault="00E663DD" w:rsidP="00E663DD">
      <w:pPr>
        <w:spacing w:after="0" w:line="276" w:lineRule="auto"/>
        <w:ind w:left="-5" w:right="49" w:firstLine="0"/>
        <w:rPr>
          <w:rFonts w:ascii="ITC Avant Garde" w:hAnsi="ITC Avant Garde"/>
          <w:color w:val="auto"/>
        </w:rPr>
      </w:pPr>
    </w:p>
    <w:p w14:paraId="2064BDCC" w14:textId="2B452FC9" w:rsidR="00D24344" w:rsidRPr="000624F5" w:rsidRDefault="00E663DD" w:rsidP="00E663DD">
      <w:pPr>
        <w:spacing w:after="0" w:line="276" w:lineRule="auto"/>
        <w:ind w:left="-5" w:right="49" w:firstLine="0"/>
        <w:rPr>
          <w:rFonts w:ascii="ITC Avant Garde" w:hAnsi="ITC Avant Garde"/>
          <w:color w:val="auto"/>
        </w:rPr>
      </w:pPr>
      <w:r w:rsidRPr="000624F5">
        <w:rPr>
          <w:rFonts w:ascii="ITC Avant Garde" w:hAnsi="ITC Avant Garde"/>
          <w:color w:val="auto"/>
        </w:rPr>
        <w:t>Por otra parte, con relación al plazo máximo para la entrega de pronósticos por parte del AEP se indica que el numeral 2.4 señala el procedimiento para la entrega de pronósticos de demanda de servicios de interconexión, dicho procedimiento es aplicable al AEP y al CS, es así que el AEP está sujeto a dicho procedimiento por lo tanto el AEP deberá entregar dentro del mes siguiente a la fecha de firma del convenio el pronóstico de su demanda de servicios, por lo cual la Propuesta de CMI considera los plazos máximos para la entrega de pronósticos por parte del AEP por lo que se mantiene en los mismos términos.</w:t>
      </w:r>
    </w:p>
    <w:p w14:paraId="3DB82DA8" w14:textId="77777777" w:rsidR="00D24344" w:rsidRPr="000624F5" w:rsidRDefault="00D24344" w:rsidP="00E663DD">
      <w:pPr>
        <w:spacing w:after="0" w:line="276" w:lineRule="auto"/>
        <w:ind w:right="49"/>
        <w:rPr>
          <w:rFonts w:ascii="ITC Avant Garde" w:hAnsi="ITC Avant Garde"/>
          <w:color w:val="auto"/>
        </w:rPr>
      </w:pPr>
    </w:p>
    <w:p w14:paraId="37EEB5AF" w14:textId="4FEA5834" w:rsidR="00740B17" w:rsidRPr="000624F5" w:rsidRDefault="009667DE" w:rsidP="007D5396">
      <w:pPr>
        <w:spacing w:after="0" w:line="276" w:lineRule="auto"/>
        <w:ind w:left="-5" w:right="49" w:firstLine="0"/>
        <w:rPr>
          <w:rFonts w:ascii="ITC Avant Garde" w:hAnsi="ITC Avant Garde"/>
          <w:b/>
          <w:color w:val="auto"/>
        </w:rPr>
      </w:pPr>
      <w:r w:rsidRPr="000624F5">
        <w:rPr>
          <w:rFonts w:ascii="ITC Avant Garde" w:hAnsi="ITC Avant Garde"/>
          <w:b/>
          <w:color w:val="auto"/>
          <w:u w:val="single"/>
        </w:rPr>
        <w:t>Comentarios emitidos a la CLÁUSULA TERCERA</w:t>
      </w:r>
    </w:p>
    <w:p w14:paraId="6AFBD511" w14:textId="77777777" w:rsidR="009667DE" w:rsidRDefault="009667DE" w:rsidP="007D5396">
      <w:pPr>
        <w:spacing w:after="0" w:line="276" w:lineRule="auto"/>
        <w:ind w:left="-5" w:right="49" w:firstLine="0"/>
        <w:rPr>
          <w:rFonts w:ascii="ITC Avant Garde" w:hAnsi="ITC Avant Garde"/>
          <w:b/>
          <w:color w:val="auto"/>
        </w:rPr>
      </w:pPr>
    </w:p>
    <w:p w14:paraId="69C7DD27" w14:textId="7F1530BE" w:rsidR="007D26E0" w:rsidRPr="00B56D15" w:rsidRDefault="007D26E0"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 y CANIETI:</w:t>
      </w:r>
    </w:p>
    <w:p w14:paraId="337C0F04" w14:textId="77777777" w:rsidR="007D26E0" w:rsidRPr="00B56D15" w:rsidRDefault="007D26E0" w:rsidP="007D5396">
      <w:pPr>
        <w:spacing w:line="276" w:lineRule="auto"/>
        <w:ind w:firstLine="0"/>
        <w:rPr>
          <w:b/>
          <w:color w:val="auto"/>
        </w:rPr>
      </w:pPr>
    </w:p>
    <w:p w14:paraId="1EF058C8" w14:textId="66CCC5B1" w:rsidR="007D26E0" w:rsidRPr="00B56D15" w:rsidRDefault="007D26E0" w:rsidP="007D5396">
      <w:pPr>
        <w:spacing w:after="0" w:line="276" w:lineRule="auto"/>
        <w:ind w:left="-6" w:right="51" w:firstLine="0"/>
        <w:rPr>
          <w:rFonts w:ascii="ITC Avant Garde" w:hAnsi="ITC Avant Garde"/>
          <w:i/>
          <w:color w:val="auto"/>
        </w:rPr>
      </w:pPr>
      <w:r w:rsidRPr="00B56D15">
        <w:rPr>
          <w:rFonts w:ascii="ITC Avant Garde" w:hAnsi="ITC Avant Garde"/>
          <w:i/>
          <w:color w:val="auto"/>
        </w:rPr>
        <w:t>Se sugiere la eliminación de</w:t>
      </w:r>
      <w:r w:rsidR="00740B17">
        <w:rPr>
          <w:rFonts w:ascii="ITC Avant Garde" w:hAnsi="ITC Avant Garde"/>
          <w:i/>
          <w:color w:val="auto"/>
        </w:rPr>
        <w:t>l texto</w:t>
      </w:r>
      <w:r w:rsidRPr="00B56D15">
        <w:rPr>
          <w:rFonts w:ascii="ITC Avant Garde" w:hAnsi="ITC Avant Garde"/>
          <w:i/>
          <w:color w:val="auto"/>
        </w:rPr>
        <w:t xml:space="preserve"> “notificación inmediata” </w:t>
      </w:r>
      <w:r w:rsidR="00740B17">
        <w:rPr>
          <w:rFonts w:ascii="ITC Avant Garde" w:hAnsi="ITC Avant Garde"/>
          <w:i/>
          <w:color w:val="auto"/>
        </w:rPr>
        <w:t xml:space="preserve">del numeral 3.7 </w:t>
      </w:r>
      <w:r w:rsidRPr="00B56D15">
        <w:rPr>
          <w:rFonts w:ascii="ITC Avant Garde" w:hAnsi="ITC Avant Garde"/>
          <w:i/>
          <w:color w:val="auto"/>
        </w:rPr>
        <w:t xml:space="preserve">para que únicamente se considere notificación previa </w:t>
      </w:r>
      <w:r w:rsidR="00740B17">
        <w:rPr>
          <w:rFonts w:ascii="ITC Avant Garde" w:hAnsi="ITC Avant Garde"/>
          <w:i/>
          <w:color w:val="auto"/>
        </w:rPr>
        <w:t xml:space="preserve">a la entrega de la información </w:t>
      </w:r>
      <w:r w:rsidRPr="00B56D15">
        <w:rPr>
          <w:rFonts w:ascii="ITC Avant Garde" w:hAnsi="ITC Avant Garde"/>
          <w:i/>
          <w:color w:val="auto"/>
        </w:rPr>
        <w:t>notificando a su vez a la otra parte para que ésta tome las medidas que considere pertinentes, previo a la entrega que, por mandato judicial o acto administrativo, req</w:t>
      </w:r>
      <w:r w:rsidR="00740B17">
        <w:rPr>
          <w:rFonts w:ascii="ITC Avant Garde" w:hAnsi="ITC Avant Garde"/>
          <w:i/>
          <w:color w:val="auto"/>
        </w:rPr>
        <w:t>uiera ha</w:t>
      </w:r>
      <w:r w:rsidR="00D24D8B">
        <w:rPr>
          <w:rFonts w:ascii="ITC Avant Garde" w:hAnsi="ITC Avant Garde"/>
          <w:i/>
          <w:color w:val="auto"/>
        </w:rPr>
        <w:t>cer la parte receptora</w:t>
      </w:r>
      <w:r w:rsidR="000860A2">
        <w:rPr>
          <w:rFonts w:ascii="ITC Avant Garde" w:hAnsi="ITC Avant Garde"/>
          <w:i/>
          <w:color w:val="auto"/>
        </w:rPr>
        <w:t>.</w:t>
      </w:r>
    </w:p>
    <w:p w14:paraId="058AA8DB" w14:textId="77777777" w:rsidR="007D26E0" w:rsidRDefault="007D26E0" w:rsidP="007D5396">
      <w:pPr>
        <w:spacing w:line="276" w:lineRule="auto"/>
        <w:ind w:firstLine="0"/>
        <w:rPr>
          <w:rFonts w:ascii="ITC Avant Garde" w:hAnsi="ITC Avant Garde"/>
          <w:color w:val="auto"/>
        </w:rPr>
      </w:pPr>
    </w:p>
    <w:p w14:paraId="49C01A90" w14:textId="46AFFF14" w:rsidR="007D26E0" w:rsidRPr="000624F5" w:rsidRDefault="00CF41A7" w:rsidP="007D5396">
      <w:pPr>
        <w:spacing w:after="0" w:line="276" w:lineRule="auto"/>
        <w:ind w:left="0" w:right="49" w:firstLine="0"/>
        <w:rPr>
          <w:rFonts w:ascii="ITC Avant Garde" w:hAnsi="ITC Avant Garde"/>
          <w:color w:val="auto"/>
        </w:rPr>
      </w:pPr>
      <w:r w:rsidRPr="000624F5">
        <w:rPr>
          <w:rFonts w:ascii="ITC Avant Garde" w:hAnsi="ITC Avant Garde"/>
          <w:color w:val="auto"/>
        </w:rPr>
        <w:lastRenderedPageBreak/>
        <w:t xml:space="preserve">Al respecto, se considera que la notificación inmediata de una solicitud de entrega de información confidencial favorece que los concesionarios tomen las medidas que consideren necesarias en caso de que la autoridad judicial o administrativa competente requiera a su contraparte la entrega de información confidencial, asimismo, dicha notificación inmediata es una obligación recíproca para los concesionarios interconectados por lo que no resulta </w:t>
      </w:r>
      <w:r w:rsidR="000860A2" w:rsidRPr="000624F5">
        <w:rPr>
          <w:rFonts w:ascii="ITC Avant Garde" w:hAnsi="ITC Avant Garde"/>
          <w:color w:val="auto"/>
        </w:rPr>
        <w:t>como una condición ventajosa o desproporcionada</w:t>
      </w:r>
      <w:r w:rsidRPr="000624F5">
        <w:rPr>
          <w:rFonts w:ascii="ITC Avant Garde" w:hAnsi="ITC Avant Garde"/>
          <w:color w:val="auto"/>
        </w:rPr>
        <w:t>.</w:t>
      </w:r>
    </w:p>
    <w:p w14:paraId="329DB8C9" w14:textId="77777777" w:rsidR="00CF41A7" w:rsidRPr="00B56D15" w:rsidRDefault="00CF41A7" w:rsidP="007D5396">
      <w:pPr>
        <w:spacing w:after="0" w:line="276" w:lineRule="auto"/>
        <w:ind w:left="0" w:right="49" w:firstLine="0"/>
        <w:rPr>
          <w:rFonts w:ascii="ITC Avant Garde" w:hAnsi="ITC Avant Garde"/>
          <w:color w:val="auto"/>
        </w:rPr>
      </w:pPr>
    </w:p>
    <w:p w14:paraId="1F2370A0" w14:textId="6C46A5F2" w:rsidR="00867A79" w:rsidRDefault="009667DE" w:rsidP="0020202A">
      <w:pPr>
        <w:spacing w:line="276" w:lineRule="auto"/>
        <w:ind w:firstLine="0"/>
        <w:rPr>
          <w:rFonts w:ascii="ITC Avant Garde" w:hAnsi="ITC Avant Garde"/>
          <w:b/>
          <w:color w:val="auto"/>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w:t>
      </w:r>
      <w:r w:rsidR="002959C1">
        <w:rPr>
          <w:rFonts w:ascii="ITC Avant Garde" w:hAnsi="ITC Avant Garde"/>
          <w:b/>
          <w:color w:val="auto"/>
          <w:u w:val="single"/>
        </w:rPr>
        <w:t>CUARTA</w:t>
      </w:r>
      <w:r>
        <w:rPr>
          <w:rFonts w:ascii="ITC Avant Garde" w:hAnsi="ITC Avant Garde"/>
          <w:b/>
          <w:color w:val="auto"/>
          <w:u w:val="single"/>
        </w:rPr>
        <w:t xml:space="preserve"> </w:t>
      </w:r>
    </w:p>
    <w:p w14:paraId="3ACD680B" w14:textId="77777777" w:rsidR="002959C1" w:rsidRDefault="002959C1" w:rsidP="007D5396">
      <w:pPr>
        <w:spacing w:line="276" w:lineRule="auto"/>
        <w:ind w:firstLine="0"/>
        <w:rPr>
          <w:rFonts w:ascii="ITC Avant Garde" w:hAnsi="ITC Avant Garde"/>
          <w:b/>
          <w:color w:val="auto"/>
        </w:rPr>
      </w:pPr>
    </w:p>
    <w:p w14:paraId="22651DF0" w14:textId="7E270A91" w:rsidR="009D38AE" w:rsidRPr="00B56D15" w:rsidRDefault="00D90D99" w:rsidP="007D5396">
      <w:pPr>
        <w:spacing w:line="276" w:lineRule="auto"/>
        <w:ind w:firstLine="0"/>
        <w:rPr>
          <w:rFonts w:ascii="ITC Avant Garde" w:hAnsi="ITC Avant Garde"/>
          <w:b/>
          <w:color w:val="auto"/>
        </w:rPr>
      </w:pPr>
      <w:r>
        <w:rPr>
          <w:rFonts w:ascii="ITC Avant Garde" w:hAnsi="ITC Avant Garde"/>
          <w:b/>
          <w:color w:val="auto"/>
        </w:rPr>
        <w:t>Axtel,</w:t>
      </w:r>
      <w:r w:rsidR="009D38AE" w:rsidRPr="00B56D15">
        <w:rPr>
          <w:rFonts w:ascii="ITC Avant Garde" w:hAnsi="ITC Avant Garde"/>
          <w:b/>
          <w:color w:val="auto"/>
        </w:rPr>
        <w:t xml:space="preserve"> Alestra:</w:t>
      </w:r>
    </w:p>
    <w:p w14:paraId="1C3A42CD" w14:textId="77777777" w:rsidR="009D38AE" w:rsidRPr="00B56D15" w:rsidRDefault="009D38AE" w:rsidP="007D5396">
      <w:pPr>
        <w:spacing w:line="276" w:lineRule="auto"/>
        <w:ind w:firstLine="0"/>
        <w:rPr>
          <w:rFonts w:ascii="ITC Avant Garde" w:hAnsi="ITC Avant Garde"/>
          <w:color w:val="auto"/>
        </w:rPr>
      </w:pPr>
    </w:p>
    <w:p w14:paraId="030256E3" w14:textId="16C3CB33" w:rsidR="009D38AE" w:rsidRPr="00B56D15" w:rsidRDefault="00B443A6" w:rsidP="007D5396">
      <w:pPr>
        <w:spacing w:after="0" w:line="276" w:lineRule="auto"/>
        <w:ind w:left="0" w:right="0" w:firstLine="0"/>
        <w:rPr>
          <w:rFonts w:ascii="ITC Avant Garde" w:hAnsi="ITC Avant Garde"/>
          <w:i/>
          <w:color w:val="auto"/>
        </w:rPr>
      </w:pPr>
      <w:r>
        <w:rPr>
          <w:rFonts w:ascii="ITC Avant Garde" w:hAnsi="ITC Avant Garde"/>
          <w:i/>
          <w:color w:val="auto"/>
        </w:rPr>
        <w:t>En el numeral 4.1 se</w:t>
      </w:r>
      <w:r w:rsidR="009D38AE" w:rsidRPr="00B56D15">
        <w:rPr>
          <w:rFonts w:ascii="ITC Avant Garde" w:hAnsi="ITC Avant Garde"/>
          <w:i/>
          <w:color w:val="auto"/>
        </w:rPr>
        <w:t xml:space="preserve"> establece el principio de utilizar la metodología CIPLP plus para las tarifas aplicables a la interconexión, siendo que el </w:t>
      </w:r>
      <w:r w:rsidR="002170E6">
        <w:rPr>
          <w:rFonts w:ascii="ITC Avant Garde" w:hAnsi="ITC Avant Garde"/>
          <w:i/>
          <w:color w:val="auto"/>
        </w:rPr>
        <w:t>Instituto</w:t>
      </w:r>
      <w:r w:rsidR="009D38AE" w:rsidRPr="00B56D15">
        <w:rPr>
          <w:rFonts w:ascii="ITC Avant Garde" w:hAnsi="ITC Avant Garde"/>
          <w:i/>
          <w:color w:val="auto"/>
        </w:rPr>
        <w:t xml:space="preserve"> ha determinado recientemente una metodología de c</w:t>
      </w:r>
      <w:r>
        <w:rPr>
          <w:rFonts w:ascii="ITC Avant Garde" w:hAnsi="ITC Avant Garde"/>
          <w:i/>
          <w:color w:val="auto"/>
        </w:rPr>
        <w:t>ostos sobre base a CIPLP puro por lo cual e</w:t>
      </w:r>
      <w:r w:rsidR="009D38AE" w:rsidRPr="00B56D15">
        <w:rPr>
          <w:rFonts w:ascii="ITC Avant Garde" w:hAnsi="ITC Avant Garde"/>
          <w:i/>
          <w:color w:val="auto"/>
        </w:rPr>
        <w:t xml:space="preserve">l convenio debe modificarse para evitar la inconsistencia con los criterios definidos por el </w:t>
      </w:r>
      <w:r w:rsidR="002170E6">
        <w:rPr>
          <w:rFonts w:ascii="ITC Avant Garde" w:hAnsi="ITC Avant Garde"/>
          <w:i/>
          <w:color w:val="auto"/>
        </w:rPr>
        <w:t>Instituto</w:t>
      </w:r>
      <w:r w:rsidR="009D38AE" w:rsidRPr="00B56D15">
        <w:rPr>
          <w:rFonts w:ascii="ITC Avant Garde" w:hAnsi="ITC Avant Garde"/>
          <w:i/>
          <w:color w:val="auto"/>
        </w:rPr>
        <w:t>, ya sea que se establezca la opción de otras metodologías que resuelva la autoridad o se e</w:t>
      </w:r>
      <w:r>
        <w:rPr>
          <w:rFonts w:ascii="ITC Avant Garde" w:hAnsi="ITC Avant Garde"/>
          <w:i/>
          <w:color w:val="auto"/>
        </w:rPr>
        <w:t>limine la referencia específica.</w:t>
      </w:r>
    </w:p>
    <w:p w14:paraId="10607B4C" w14:textId="77777777" w:rsidR="007D26E0" w:rsidRDefault="007D26E0" w:rsidP="007D5396">
      <w:pPr>
        <w:spacing w:line="276" w:lineRule="auto"/>
        <w:ind w:left="0" w:firstLine="0"/>
        <w:rPr>
          <w:rFonts w:ascii="ITC Avant Garde" w:hAnsi="ITC Avant Garde"/>
          <w:color w:val="auto"/>
        </w:rPr>
      </w:pPr>
    </w:p>
    <w:p w14:paraId="6647CCFF" w14:textId="002097B4" w:rsidR="00D90D99" w:rsidRDefault="001C7D24" w:rsidP="007D5396">
      <w:pPr>
        <w:spacing w:line="276" w:lineRule="auto"/>
        <w:ind w:left="0" w:firstLine="0"/>
        <w:rPr>
          <w:rFonts w:ascii="ITC Avant Garde" w:hAnsi="ITC Avant Garde"/>
          <w:b/>
          <w:color w:val="auto"/>
        </w:rPr>
      </w:pPr>
      <w:r>
        <w:rPr>
          <w:rFonts w:ascii="ITC Avant Garde" w:hAnsi="ITC Avant Garde"/>
          <w:b/>
          <w:color w:val="auto"/>
        </w:rPr>
        <w:t>Telefónica</w:t>
      </w:r>
      <w:r w:rsidR="00E7525D">
        <w:rPr>
          <w:rFonts w:ascii="ITC Avant Garde" w:hAnsi="ITC Avant Garde"/>
          <w:b/>
          <w:color w:val="auto"/>
        </w:rPr>
        <w:t xml:space="preserve"> y</w:t>
      </w:r>
      <w:r w:rsidR="00E7525D" w:rsidRPr="00E7525D">
        <w:rPr>
          <w:rFonts w:ascii="ITC Avant Garde" w:hAnsi="ITC Avant Garde"/>
          <w:b/>
          <w:color w:val="auto"/>
        </w:rPr>
        <w:t xml:space="preserve"> </w:t>
      </w:r>
      <w:r w:rsidR="00E7525D" w:rsidRPr="00B56D15">
        <w:rPr>
          <w:rFonts w:ascii="ITC Avant Garde" w:hAnsi="ITC Avant Garde"/>
          <w:b/>
          <w:color w:val="auto"/>
        </w:rPr>
        <w:t>CANIETI</w:t>
      </w:r>
      <w:r w:rsidR="00D90D99">
        <w:rPr>
          <w:rFonts w:ascii="ITC Avant Garde" w:hAnsi="ITC Avant Garde"/>
          <w:b/>
          <w:color w:val="auto"/>
        </w:rPr>
        <w:t>:</w:t>
      </w:r>
    </w:p>
    <w:p w14:paraId="5F45CAB2" w14:textId="77777777" w:rsidR="00D90D99" w:rsidRPr="00B56D15" w:rsidRDefault="00D90D99" w:rsidP="007D5396">
      <w:pPr>
        <w:spacing w:line="276" w:lineRule="auto"/>
        <w:ind w:left="0" w:firstLine="0"/>
        <w:rPr>
          <w:rFonts w:ascii="ITC Avant Garde" w:hAnsi="ITC Avant Garde"/>
          <w:color w:val="auto"/>
        </w:rPr>
      </w:pPr>
    </w:p>
    <w:p w14:paraId="1EBEFAFA" w14:textId="6E00F36A" w:rsidR="007D26E0" w:rsidRDefault="00D90D99" w:rsidP="007D5396">
      <w:pPr>
        <w:spacing w:after="0" w:line="276" w:lineRule="auto"/>
        <w:ind w:left="0" w:right="0" w:firstLine="0"/>
        <w:rPr>
          <w:rFonts w:ascii="ITC Avant Garde" w:hAnsi="ITC Avant Garde"/>
          <w:i/>
          <w:color w:val="auto"/>
        </w:rPr>
      </w:pPr>
      <w:r>
        <w:rPr>
          <w:rFonts w:ascii="ITC Avant Garde" w:hAnsi="ITC Avant Garde"/>
          <w:i/>
          <w:color w:val="auto"/>
        </w:rPr>
        <w:t>En el numeral 4.1 s</w:t>
      </w:r>
      <w:r w:rsidR="007D26E0" w:rsidRPr="00B56D15">
        <w:rPr>
          <w:rFonts w:ascii="ITC Avant Garde" w:hAnsi="ITC Avant Garde"/>
          <w:i/>
          <w:color w:val="auto"/>
        </w:rPr>
        <w:t>e indica</w:t>
      </w:r>
      <w:r>
        <w:rPr>
          <w:rFonts w:ascii="ITC Avant Garde" w:hAnsi="ITC Avant Garde"/>
          <w:i/>
          <w:color w:val="auto"/>
        </w:rPr>
        <w:t>n</w:t>
      </w:r>
      <w:r w:rsidR="007D26E0" w:rsidRPr="00B56D15">
        <w:rPr>
          <w:rFonts w:ascii="ITC Avant Garde" w:hAnsi="ITC Avant Garde"/>
          <w:i/>
          <w:color w:val="auto"/>
        </w:rPr>
        <w:t xml:space="preserve"> que </w:t>
      </w:r>
      <w:r>
        <w:rPr>
          <w:rFonts w:ascii="ITC Avant Garde" w:hAnsi="ITC Avant Garde"/>
          <w:i/>
          <w:color w:val="auto"/>
        </w:rPr>
        <w:t>lo</w:t>
      </w:r>
      <w:r w:rsidR="007D26E0" w:rsidRPr="00B56D15">
        <w:rPr>
          <w:rFonts w:ascii="ITC Avant Garde" w:hAnsi="ITC Avant Garde"/>
          <w:i/>
          <w:color w:val="auto"/>
        </w:rPr>
        <w:t xml:space="preserve">s </w:t>
      </w:r>
      <w:r>
        <w:rPr>
          <w:rFonts w:ascii="ITC Avant Garde" w:hAnsi="ITC Avant Garde"/>
          <w:i/>
          <w:color w:val="auto"/>
        </w:rPr>
        <w:t xml:space="preserve">principios que las </w:t>
      </w:r>
      <w:r w:rsidR="007D26E0" w:rsidRPr="00B56D15">
        <w:rPr>
          <w:rFonts w:ascii="ITC Avant Garde" w:hAnsi="ITC Avant Garde"/>
          <w:i/>
          <w:color w:val="auto"/>
        </w:rPr>
        <w:t>tarifas aplicables a los servicios de interconexión que se pro</w:t>
      </w:r>
      <w:r>
        <w:rPr>
          <w:rFonts w:ascii="ITC Avant Garde" w:hAnsi="ITC Avant Garde"/>
          <w:i/>
          <w:color w:val="auto"/>
        </w:rPr>
        <w:t>vean las partes deberán cumplir, de lo cual s</w:t>
      </w:r>
      <w:r w:rsidR="007D26E0" w:rsidRPr="00B56D15">
        <w:rPr>
          <w:rFonts w:ascii="ITC Avant Garde" w:hAnsi="ITC Avant Garde"/>
          <w:i/>
          <w:color w:val="auto"/>
        </w:rPr>
        <w:t>e sugiere la eliminación de los principios establecidos para las tarifas</w:t>
      </w:r>
      <w:r w:rsidR="00B43A91">
        <w:rPr>
          <w:rFonts w:ascii="ITC Avant Garde" w:hAnsi="ITC Avant Garde"/>
          <w:i/>
          <w:color w:val="auto"/>
        </w:rPr>
        <w:t>,</w:t>
      </w:r>
      <w:r w:rsidR="007D26E0" w:rsidRPr="00B56D15">
        <w:rPr>
          <w:rFonts w:ascii="ITC Avant Garde" w:hAnsi="ITC Avant Garde"/>
          <w:i/>
          <w:color w:val="auto"/>
        </w:rPr>
        <w:t xml:space="preserve"> </w:t>
      </w:r>
      <w:r w:rsidR="00B43A91">
        <w:rPr>
          <w:rFonts w:ascii="ITC Avant Garde" w:hAnsi="ITC Avant Garde"/>
          <w:i/>
          <w:color w:val="auto"/>
        </w:rPr>
        <w:t>y</w:t>
      </w:r>
      <w:r w:rsidR="007D26E0" w:rsidRPr="00B56D15">
        <w:rPr>
          <w:rFonts w:ascii="ITC Avant Garde" w:hAnsi="ITC Avant Garde"/>
          <w:i/>
          <w:color w:val="auto"/>
        </w:rPr>
        <w:t>a que el hecho de que se basen en costos no debe estar previamente acordado pues limita la libertad de negociación de las partes y en su caso deberá atenderse a la forma de calcular las tarifas de acuerdo a lo establecido</w:t>
      </w:r>
      <w:r>
        <w:rPr>
          <w:rFonts w:ascii="ITC Avant Garde" w:hAnsi="ITC Avant Garde"/>
          <w:i/>
          <w:color w:val="auto"/>
        </w:rPr>
        <w:t xml:space="preserve"> en el artículo 131 de la LFT</w:t>
      </w:r>
      <w:r w:rsidR="00FB0740">
        <w:rPr>
          <w:rFonts w:ascii="ITC Avant Garde" w:hAnsi="ITC Avant Garde"/>
          <w:i/>
          <w:color w:val="auto"/>
        </w:rPr>
        <w:t>y</w:t>
      </w:r>
      <w:r>
        <w:rPr>
          <w:rFonts w:ascii="ITC Avant Garde" w:hAnsi="ITC Avant Garde"/>
          <w:i/>
          <w:color w:val="auto"/>
        </w:rPr>
        <w:t>R.</w:t>
      </w:r>
    </w:p>
    <w:p w14:paraId="051A5804" w14:textId="77777777" w:rsidR="0033732E" w:rsidRPr="000624F5" w:rsidRDefault="0033732E" w:rsidP="007D5396">
      <w:pPr>
        <w:spacing w:line="276" w:lineRule="auto"/>
        <w:ind w:left="0" w:firstLine="0"/>
        <w:rPr>
          <w:rFonts w:ascii="ITC Avant Garde" w:hAnsi="ITC Avant Garde"/>
          <w:i/>
          <w:color w:val="auto"/>
        </w:rPr>
      </w:pPr>
    </w:p>
    <w:p w14:paraId="79D2D64A" w14:textId="277F321F" w:rsidR="0033732E" w:rsidRPr="000624F5" w:rsidRDefault="0033732E" w:rsidP="007D5396">
      <w:pPr>
        <w:spacing w:after="0" w:line="276" w:lineRule="auto"/>
        <w:ind w:left="-5" w:right="49" w:firstLine="0"/>
        <w:rPr>
          <w:rFonts w:ascii="ITC Avant Garde" w:hAnsi="ITC Avant Garde"/>
          <w:color w:val="auto"/>
        </w:rPr>
      </w:pPr>
      <w:r w:rsidRPr="000624F5">
        <w:rPr>
          <w:rFonts w:ascii="ITC Avant Garde" w:eastAsia="Times New Roman" w:hAnsi="ITC Avant Garde" w:cs="Times New Roman"/>
          <w:color w:val="auto"/>
        </w:rPr>
        <w:t xml:space="preserve">Respecto a los comentarios anteriores, </w:t>
      </w:r>
      <w:r w:rsidR="00B43A91" w:rsidRPr="000624F5">
        <w:rPr>
          <w:rFonts w:ascii="ITC Avant Garde" w:eastAsia="Times New Roman" w:hAnsi="ITC Avant Garde" w:cs="Times New Roman"/>
          <w:color w:val="auto"/>
        </w:rPr>
        <w:t xml:space="preserve">se </w:t>
      </w:r>
      <w:r w:rsidR="000479BC" w:rsidRPr="000624F5">
        <w:rPr>
          <w:rFonts w:ascii="ITC Avant Garde" w:eastAsia="Times New Roman" w:hAnsi="ITC Avant Garde" w:cs="Times New Roman"/>
          <w:color w:val="auto"/>
        </w:rPr>
        <w:t>considera que los términos descritos en el numeral 4.1 deben ser acordes a lo establecido en el inciso b) del artículo 131 de la LFTyR el cual establece que los concesionarios estarán en libertad de negociar la tarifa de interconexión y para el tráfico que termine en la red de concesionarios distintos al AEP el Instituto resolverá cualquier disputa respecto de las tarifas, términos y condiciones con base en la metodología de costos que determine. Asimismo, se debe considerar lo determinado en el “</w:t>
      </w:r>
      <w:r w:rsidR="000479BC" w:rsidRPr="000624F5">
        <w:rPr>
          <w:rFonts w:ascii="ITC Avant Garde" w:eastAsia="Times New Roman" w:hAnsi="ITC Avant Garde" w:cs="Times New Roman"/>
          <w:i/>
          <w:color w:val="auto"/>
        </w:rPr>
        <w:t>ACUERDO mediante el cual el Pleno del Instituto Federal de Telecomunicaciones emite la metodología para el cálculo de costos de interconexión de conformidad con la Ley Federal de Telecomunicaciones y Radiodifusión”,</w:t>
      </w:r>
      <w:r w:rsidR="000479BC" w:rsidRPr="000624F5">
        <w:rPr>
          <w:rFonts w:ascii="ITC Avant Garde" w:eastAsia="Times New Roman" w:hAnsi="ITC Avant Garde" w:cs="Times New Roman"/>
          <w:color w:val="auto"/>
        </w:rPr>
        <w:t xml:space="preserve"> (en lo sucesivo la “Metodología de Costos”), publicado en el DOF el 18 de diciembre de 2014, en donde se establecen los principios bajo los cuales se construirán los modelos de costos con los que se determinan las tarifas aplicables a los servicios de </w:t>
      </w:r>
      <w:r w:rsidR="000479BC" w:rsidRPr="000624F5">
        <w:rPr>
          <w:rFonts w:ascii="ITC Avant Garde" w:eastAsia="Times New Roman" w:hAnsi="ITC Avant Garde" w:cs="Times New Roman"/>
          <w:color w:val="auto"/>
        </w:rPr>
        <w:lastRenderedPageBreak/>
        <w:t>interconexión como en caso de un diferendo entre concesionarios, en tal virtud se modific</w:t>
      </w:r>
      <w:r w:rsidR="00B43A91" w:rsidRPr="000624F5">
        <w:rPr>
          <w:rFonts w:ascii="ITC Avant Garde" w:eastAsia="Times New Roman" w:hAnsi="ITC Avant Garde" w:cs="Times New Roman"/>
          <w:color w:val="auto"/>
        </w:rPr>
        <w:t>ó</w:t>
      </w:r>
      <w:r w:rsidR="000479BC" w:rsidRPr="000624F5">
        <w:rPr>
          <w:rFonts w:ascii="ITC Avant Garde" w:eastAsia="Times New Roman" w:hAnsi="ITC Avant Garde" w:cs="Times New Roman"/>
          <w:color w:val="auto"/>
        </w:rPr>
        <w:t xml:space="preserve"> el contenido del Convenio quedando en los términos siguientes:</w:t>
      </w:r>
    </w:p>
    <w:p w14:paraId="3AAA4D43" w14:textId="77777777" w:rsidR="000479BC" w:rsidRPr="000624F5" w:rsidRDefault="000479BC" w:rsidP="007D5396">
      <w:pPr>
        <w:spacing w:after="0" w:line="276" w:lineRule="auto"/>
        <w:ind w:left="-5" w:right="49" w:firstLine="0"/>
        <w:rPr>
          <w:rFonts w:ascii="ITC Avant Garde" w:eastAsia="Times New Roman" w:hAnsi="ITC Avant Garde" w:cs="Times New Roman"/>
          <w:i/>
          <w:color w:val="auto"/>
        </w:rPr>
      </w:pPr>
    </w:p>
    <w:p w14:paraId="2873C474" w14:textId="77777777" w:rsidR="0033732E" w:rsidRPr="000624F5" w:rsidRDefault="0033732E" w:rsidP="007D5396">
      <w:pPr>
        <w:autoSpaceDE w:val="0"/>
        <w:autoSpaceDN w:val="0"/>
        <w:adjustRightInd w:val="0"/>
        <w:spacing w:after="0" w:line="276" w:lineRule="auto"/>
        <w:ind w:left="567" w:right="567" w:firstLine="0"/>
        <w:rPr>
          <w:rFonts w:ascii="ITC Avant Garde" w:hAnsi="ITC Avant Garde" w:cs="Arial"/>
          <w:i/>
          <w:color w:val="auto"/>
          <w:sz w:val="18"/>
          <w:szCs w:val="18"/>
        </w:rPr>
      </w:pPr>
      <w:r w:rsidRPr="000624F5">
        <w:rPr>
          <w:rFonts w:ascii="ITC Avant Garde" w:hAnsi="ITC Avant Garde" w:cs="Arial"/>
          <w:b/>
          <w:i/>
          <w:color w:val="auto"/>
          <w:sz w:val="18"/>
          <w:szCs w:val="18"/>
        </w:rPr>
        <w:t xml:space="preserve">“4.1 </w:t>
      </w:r>
      <w:r w:rsidRPr="000624F5">
        <w:rPr>
          <w:rFonts w:ascii="ITC Avant Garde" w:hAnsi="ITC Avant Garde" w:cs="Arial"/>
          <w:b/>
          <w:i/>
          <w:color w:val="auto"/>
          <w:sz w:val="18"/>
          <w:szCs w:val="18"/>
          <w:u w:val="single"/>
        </w:rPr>
        <w:t>TARIFAS Y FORMAS DE PAGO</w:t>
      </w:r>
      <w:r w:rsidRPr="000624F5">
        <w:rPr>
          <w:rFonts w:ascii="ITC Avant Garde" w:hAnsi="ITC Avant Garde" w:cs="Arial"/>
          <w:i/>
          <w:color w:val="auto"/>
          <w:sz w:val="18"/>
          <w:szCs w:val="18"/>
        </w:rPr>
        <w:t>.</w:t>
      </w:r>
    </w:p>
    <w:p w14:paraId="7C445B72" w14:textId="77777777" w:rsidR="0033732E" w:rsidRPr="000624F5" w:rsidRDefault="0033732E" w:rsidP="007D5396">
      <w:pPr>
        <w:autoSpaceDE w:val="0"/>
        <w:autoSpaceDN w:val="0"/>
        <w:adjustRightInd w:val="0"/>
        <w:spacing w:after="0" w:line="276" w:lineRule="auto"/>
        <w:ind w:left="567" w:right="567" w:firstLine="0"/>
        <w:rPr>
          <w:rFonts w:ascii="ITC Avant Garde" w:hAnsi="ITC Avant Garde" w:cs="Arial"/>
          <w:i/>
          <w:color w:val="auto"/>
          <w:sz w:val="18"/>
          <w:szCs w:val="18"/>
        </w:rPr>
      </w:pPr>
    </w:p>
    <w:p w14:paraId="6575254A" w14:textId="77777777" w:rsidR="0033732E" w:rsidRPr="000624F5" w:rsidRDefault="0033732E" w:rsidP="007D5396">
      <w:pPr>
        <w:pStyle w:val="Prrafodelista1"/>
        <w:spacing w:line="276" w:lineRule="auto"/>
        <w:ind w:left="1134" w:right="567"/>
        <w:jc w:val="both"/>
        <w:rPr>
          <w:rFonts w:ascii="ITC Avant Garde" w:hAnsi="ITC Avant Garde" w:cs="Arial"/>
          <w:i/>
          <w:sz w:val="18"/>
          <w:szCs w:val="18"/>
        </w:rPr>
      </w:pPr>
      <w:r w:rsidRPr="000624F5">
        <w:rPr>
          <w:rFonts w:ascii="ITC Avant Garde" w:hAnsi="ITC Avant Garde" w:cs="Arial"/>
          <w:i/>
          <w:sz w:val="18"/>
          <w:szCs w:val="18"/>
        </w:rPr>
        <w:t>(…)</w:t>
      </w:r>
    </w:p>
    <w:p w14:paraId="5A2471E8" w14:textId="77777777" w:rsidR="0033732E" w:rsidRPr="000624F5" w:rsidRDefault="0033732E" w:rsidP="007D5396">
      <w:pPr>
        <w:pStyle w:val="Prrafodelista"/>
        <w:numPr>
          <w:ilvl w:val="0"/>
          <w:numId w:val="16"/>
        </w:numPr>
        <w:autoSpaceDE w:val="0"/>
        <w:autoSpaceDN w:val="0"/>
        <w:adjustRightInd w:val="0"/>
        <w:spacing w:after="0" w:line="276" w:lineRule="auto"/>
        <w:ind w:left="1134" w:right="567" w:firstLine="0"/>
        <w:rPr>
          <w:rFonts w:ascii="ITC Avant Garde" w:hAnsi="ITC Avant Garde" w:cs="Arial"/>
          <w:i/>
          <w:color w:val="auto"/>
          <w:sz w:val="18"/>
          <w:szCs w:val="18"/>
        </w:rPr>
      </w:pPr>
      <w:r w:rsidRPr="000624F5">
        <w:rPr>
          <w:rFonts w:ascii="ITC Avant Garde" w:hAnsi="ITC Avant Garde" w:cs="Arial"/>
          <w:i/>
          <w:color w:val="auto"/>
          <w:sz w:val="18"/>
          <w:szCs w:val="18"/>
        </w:rPr>
        <w:t xml:space="preserve">Permitir recuperar al menos el costo incremental total promedio de largo plazo o </w:t>
      </w:r>
      <w:r w:rsidRPr="000624F5">
        <w:rPr>
          <w:rFonts w:ascii="ITC Avant Garde" w:hAnsi="ITC Avant Garde" w:cs="Arial"/>
          <w:i/>
          <w:color w:val="auto"/>
          <w:sz w:val="18"/>
          <w:szCs w:val="18"/>
          <w:u w:val="single"/>
        </w:rPr>
        <w:t>el costo incremental de largo plazo puro, según sea el servicio de interconexión de que se trate</w:t>
      </w:r>
      <w:r w:rsidRPr="000624F5">
        <w:rPr>
          <w:rFonts w:ascii="ITC Avant Garde" w:hAnsi="ITC Avant Garde" w:cs="Arial"/>
          <w:i/>
          <w:color w:val="auto"/>
          <w:sz w:val="18"/>
          <w:szCs w:val="18"/>
        </w:rPr>
        <w:t>.</w:t>
      </w:r>
    </w:p>
    <w:p w14:paraId="4332ABF2" w14:textId="77777777" w:rsidR="0033732E" w:rsidRPr="000624F5" w:rsidRDefault="0033732E" w:rsidP="007D5396">
      <w:pPr>
        <w:pStyle w:val="Prrafodelista"/>
        <w:autoSpaceDE w:val="0"/>
        <w:autoSpaceDN w:val="0"/>
        <w:adjustRightInd w:val="0"/>
        <w:spacing w:after="0" w:line="276" w:lineRule="auto"/>
        <w:ind w:left="1134" w:right="567" w:firstLine="0"/>
        <w:rPr>
          <w:rFonts w:ascii="ITC Avant Garde" w:hAnsi="ITC Avant Garde" w:cs="Arial"/>
          <w:i/>
          <w:color w:val="auto"/>
          <w:sz w:val="18"/>
          <w:szCs w:val="18"/>
        </w:rPr>
      </w:pPr>
      <w:r w:rsidRPr="000624F5">
        <w:rPr>
          <w:rFonts w:ascii="ITC Avant Garde" w:hAnsi="ITC Avant Garde" w:cs="Arial"/>
          <w:i/>
          <w:color w:val="auto"/>
          <w:sz w:val="18"/>
          <w:szCs w:val="18"/>
        </w:rPr>
        <w:t>(…)”</w:t>
      </w:r>
    </w:p>
    <w:p w14:paraId="09FB3484" w14:textId="77777777" w:rsidR="0033732E" w:rsidRPr="000624F5" w:rsidRDefault="0033732E" w:rsidP="007D5396">
      <w:pPr>
        <w:tabs>
          <w:tab w:val="left" w:pos="8222"/>
        </w:tabs>
        <w:spacing w:after="0" w:line="276" w:lineRule="auto"/>
        <w:ind w:left="-5" w:right="616" w:firstLine="0"/>
        <w:jc w:val="right"/>
        <w:rPr>
          <w:rFonts w:ascii="ITC Avant Garde" w:eastAsia="Times New Roman" w:hAnsi="ITC Avant Garde" w:cs="Times New Roman"/>
          <w:i/>
          <w:color w:val="auto"/>
        </w:rPr>
      </w:pPr>
      <w:r w:rsidRPr="000624F5">
        <w:rPr>
          <w:rFonts w:ascii="ITC Avant Garde" w:hAnsi="ITC Avant Garde"/>
          <w:i/>
          <w:color w:val="auto"/>
          <w:sz w:val="18"/>
          <w:szCs w:val="18"/>
        </w:rPr>
        <w:t>(Énfasis añadido)</w:t>
      </w:r>
    </w:p>
    <w:p w14:paraId="2A7617CC" w14:textId="77777777" w:rsidR="007D26E0" w:rsidRPr="000624F5" w:rsidRDefault="007D26E0" w:rsidP="007D5396">
      <w:pPr>
        <w:spacing w:line="276" w:lineRule="auto"/>
        <w:ind w:firstLine="0"/>
        <w:rPr>
          <w:rFonts w:ascii="ITC Avant Garde" w:hAnsi="ITC Avant Garde"/>
          <w:color w:val="auto"/>
        </w:rPr>
      </w:pPr>
    </w:p>
    <w:p w14:paraId="0F7BC53A" w14:textId="1C423FA1" w:rsidR="007D26E0" w:rsidRPr="00B56D15" w:rsidRDefault="007D26E0" w:rsidP="007D5396">
      <w:pPr>
        <w:spacing w:after="0" w:line="276" w:lineRule="auto"/>
        <w:ind w:left="-5" w:right="49" w:firstLine="0"/>
        <w:rPr>
          <w:rFonts w:ascii="ITC Avant Garde" w:hAnsi="ITC Avant Garde"/>
          <w:b/>
          <w:color w:val="auto"/>
        </w:rPr>
      </w:pPr>
      <w:r w:rsidRPr="001C7D24">
        <w:rPr>
          <w:rFonts w:ascii="ITC Avant Garde" w:hAnsi="ITC Avant Garde"/>
          <w:b/>
          <w:color w:val="auto"/>
        </w:rPr>
        <w:t>Telefónica y CANIETI:</w:t>
      </w:r>
    </w:p>
    <w:p w14:paraId="1A4A0CED" w14:textId="77777777" w:rsidR="007D26E0" w:rsidRPr="00B56D15" w:rsidRDefault="007D26E0" w:rsidP="007D5396">
      <w:pPr>
        <w:spacing w:after="0" w:line="276" w:lineRule="auto"/>
        <w:ind w:left="-5" w:right="49" w:firstLine="0"/>
        <w:rPr>
          <w:rFonts w:ascii="ITC Avant Garde" w:hAnsi="ITC Avant Garde"/>
          <w:b/>
          <w:color w:val="auto"/>
        </w:rPr>
      </w:pPr>
    </w:p>
    <w:p w14:paraId="25DEA52F" w14:textId="09E94235" w:rsidR="007D26E0" w:rsidRPr="00B56D15" w:rsidRDefault="001C7D24" w:rsidP="007D5396">
      <w:pPr>
        <w:spacing w:after="0" w:line="276" w:lineRule="auto"/>
        <w:ind w:left="-5" w:right="49" w:firstLine="0"/>
        <w:rPr>
          <w:rFonts w:ascii="ITC Avant Garde" w:hAnsi="ITC Avant Garde"/>
          <w:i/>
          <w:color w:val="auto"/>
        </w:rPr>
      </w:pPr>
      <w:r w:rsidRPr="00A1143A">
        <w:rPr>
          <w:rFonts w:ascii="ITC Avant Garde" w:hAnsi="ITC Avant Garde"/>
          <w:i/>
          <w:color w:val="auto"/>
        </w:rPr>
        <w:t>En el numeral 4.1.2 se señala que l</w:t>
      </w:r>
      <w:r w:rsidR="007D26E0" w:rsidRPr="00A1143A">
        <w:rPr>
          <w:rFonts w:ascii="ITC Avant Garde" w:hAnsi="ITC Avant Garde"/>
          <w:i/>
          <w:color w:val="auto"/>
        </w:rPr>
        <w:t>as nuevas contraprestaciones aplicables, no debieran surtir efecto a partir de la fecha de conclusión de vigencia de las anteriores. Es a partir de la fecha en que se acordaron y se firmaron, ya</w:t>
      </w:r>
      <w:r w:rsidRPr="00A1143A">
        <w:rPr>
          <w:rFonts w:ascii="ITC Avant Garde" w:hAnsi="ITC Avant Garde"/>
          <w:i/>
          <w:color w:val="auto"/>
        </w:rPr>
        <w:t xml:space="preserve"> que no deben ser retroactivas.</w:t>
      </w:r>
    </w:p>
    <w:p w14:paraId="2B2EC29F" w14:textId="77777777" w:rsidR="007D26E0" w:rsidRPr="000624F5" w:rsidRDefault="007D26E0" w:rsidP="007D5396">
      <w:pPr>
        <w:spacing w:after="0" w:line="276" w:lineRule="auto"/>
        <w:ind w:left="-5" w:right="49" w:firstLine="0"/>
        <w:rPr>
          <w:rFonts w:ascii="ITC Avant Garde" w:hAnsi="ITC Avant Garde"/>
          <w:b/>
          <w:color w:val="auto"/>
        </w:rPr>
      </w:pPr>
    </w:p>
    <w:p w14:paraId="2B9498DD" w14:textId="5D1986F8" w:rsidR="00B43A91" w:rsidRPr="000624F5" w:rsidRDefault="00B43A91" w:rsidP="00A1143A">
      <w:pPr>
        <w:spacing w:after="0" w:line="276" w:lineRule="auto"/>
        <w:rPr>
          <w:rFonts w:ascii="ITC Avant Garde" w:hAnsi="ITC Avant Garde" w:cs="Arial"/>
          <w:snapToGrid w:val="0"/>
          <w:color w:val="auto"/>
        </w:rPr>
      </w:pPr>
      <w:r w:rsidRPr="000624F5">
        <w:rPr>
          <w:rFonts w:ascii="ITC Avant Garde" w:eastAsia="Times New Roman" w:hAnsi="ITC Avant Garde" w:cs="Times New Roman"/>
          <w:color w:val="auto"/>
        </w:rPr>
        <w:t xml:space="preserve">Al respecto, </w:t>
      </w:r>
      <w:r w:rsidR="00A1143A" w:rsidRPr="000624F5">
        <w:rPr>
          <w:rFonts w:ascii="ITC Avant Garde" w:hAnsi="ITC Avant Garde" w:cs="Arial"/>
          <w:snapToGrid w:val="0"/>
          <w:color w:val="auto"/>
        </w:rPr>
        <w:t>se observa que la redacción no es acorde al marco legal aplicable</w:t>
      </w:r>
      <w:r w:rsidRPr="000624F5">
        <w:rPr>
          <w:rFonts w:ascii="ITC Avant Garde" w:eastAsia="Times New Roman" w:hAnsi="ITC Avant Garde" w:cs="Times New Roman"/>
          <w:color w:val="auto"/>
        </w:rPr>
        <w:t xml:space="preserve">, por lo anterior se modificó el </w:t>
      </w:r>
      <w:r w:rsidR="00E663DD" w:rsidRPr="000624F5">
        <w:rPr>
          <w:rFonts w:ascii="ITC Avant Garde" w:eastAsia="Times New Roman" w:hAnsi="ITC Avant Garde" w:cs="Times New Roman"/>
          <w:color w:val="auto"/>
        </w:rPr>
        <w:t>numeral 4.1.1</w:t>
      </w:r>
      <w:r w:rsidRPr="000624F5">
        <w:rPr>
          <w:rFonts w:ascii="ITC Avant Garde" w:eastAsia="Times New Roman" w:hAnsi="ITC Avant Garde" w:cs="Times New Roman"/>
          <w:color w:val="auto"/>
        </w:rPr>
        <w:t xml:space="preserve"> en el siguiente sentido:</w:t>
      </w:r>
    </w:p>
    <w:p w14:paraId="6740136E" w14:textId="77777777" w:rsidR="00B43A91" w:rsidRPr="000624F5" w:rsidRDefault="00B43A91" w:rsidP="00B43A91">
      <w:pPr>
        <w:spacing w:after="0" w:line="276" w:lineRule="auto"/>
        <w:ind w:left="0" w:right="0" w:firstLine="0"/>
        <w:rPr>
          <w:rFonts w:ascii="ITC Avant Garde" w:eastAsia="Times New Roman" w:hAnsi="ITC Avant Garde" w:cs="Times New Roman"/>
          <w:color w:val="auto"/>
        </w:rPr>
      </w:pPr>
    </w:p>
    <w:p w14:paraId="0C1FAA74" w14:textId="510024C1" w:rsidR="00B43A91" w:rsidRPr="000624F5" w:rsidRDefault="00B43A91" w:rsidP="0082414B">
      <w:pPr>
        <w:spacing w:line="276" w:lineRule="auto"/>
        <w:ind w:left="851" w:right="900" w:firstLine="0"/>
        <w:rPr>
          <w:rFonts w:ascii="ITC Avant Garde" w:hAnsi="ITC Avant Garde" w:cs="Times New Roman"/>
          <w:i/>
          <w:color w:val="auto"/>
          <w:sz w:val="18"/>
          <w:lang w:val="es-ES_tradnl"/>
        </w:rPr>
      </w:pPr>
      <w:r w:rsidRPr="000624F5">
        <w:rPr>
          <w:rFonts w:ascii="ITC Avant Garde" w:hAnsi="ITC Avant Garde" w:cs="Times New Roman"/>
          <w:i/>
          <w:color w:val="auto"/>
          <w:sz w:val="18"/>
          <w:lang w:val="es-ES_tradnl"/>
        </w:rPr>
        <w:t xml:space="preserve">“Las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w:t>
      </w:r>
      <w:r w:rsidRPr="000624F5">
        <w:rPr>
          <w:rFonts w:ascii="ITC Avant Garde" w:hAnsi="ITC Avant Garde" w:cs="Times New Roman"/>
          <w:i/>
          <w:color w:val="auto"/>
          <w:sz w:val="18"/>
          <w:u w:val="single"/>
          <w:lang w:val="es-ES_tradnl"/>
        </w:rPr>
        <w:t>la cual será aplicable en los términos en que determine el Instituto</w:t>
      </w:r>
      <w:r w:rsidRPr="000624F5">
        <w:rPr>
          <w:rFonts w:ascii="ITC Avant Garde" w:hAnsi="ITC Avant Garde" w:cs="Times New Roman"/>
          <w:i/>
          <w:color w:val="auto"/>
          <w:sz w:val="18"/>
          <w:lang w:val="es-ES_tradnl"/>
        </w:rPr>
        <w:t>. Dichas contraprestaciones se incorporarán en los términos de una modificación al Anexo "B" que al efecto suscribirán las Partes y que formará parte integrante de este Convenio.”</w:t>
      </w:r>
    </w:p>
    <w:p w14:paraId="5E48594E" w14:textId="12FFF9CA" w:rsidR="00B43A91" w:rsidRPr="000624F5" w:rsidRDefault="00A1143A" w:rsidP="00B6100E">
      <w:pPr>
        <w:spacing w:after="0" w:line="276" w:lineRule="auto"/>
        <w:ind w:left="0" w:right="616" w:firstLine="0"/>
        <w:jc w:val="right"/>
        <w:rPr>
          <w:rFonts w:ascii="ITC Avant Garde" w:eastAsia="Times New Roman" w:hAnsi="ITC Avant Garde" w:cs="Times New Roman"/>
          <w:i/>
          <w:color w:val="auto"/>
          <w:sz w:val="18"/>
          <w:szCs w:val="18"/>
        </w:rPr>
      </w:pPr>
      <w:r w:rsidRPr="000624F5">
        <w:rPr>
          <w:rFonts w:ascii="ITC Avant Garde" w:eastAsia="Times New Roman" w:hAnsi="ITC Avant Garde" w:cs="Times New Roman"/>
          <w:i/>
          <w:color w:val="auto"/>
          <w:sz w:val="18"/>
          <w:szCs w:val="18"/>
        </w:rPr>
        <w:t xml:space="preserve"> </w:t>
      </w:r>
      <w:r w:rsidR="00357CEA" w:rsidRPr="000624F5">
        <w:rPr>
          <w:rFonts w:ascii="ITC Avant Garde" w:eastAsia="Times New Roman" w:hAnsi="ITC Avant Garde" w:cs="Times New Roman"/>
          <w:i/>
          <w:color w:val="auto"/>
          <w:sz w:val="18"/>
          <w:szCs w:val="18"/>
        </w:rPr>
        <w:t>(Énfasis añadido)</w:t>
      </w:r>
    </w:p>
    <w:p w14:paraId="2021500F" w14:textId="77777777" w:rsidR="00A822B1" w:rsidRPr="000624F5" w:rsidRDefault="00A822B1" w:rsidP="00D70C4F">
      <w:pPr>
        <w:spacing w:after="0" w:line="276" w:lineRule="auto"/>
        <w:ind w:left="0" w:right="0" w:firstLine="0"/>
        <w:rPr>
          <w:rFonts w:ascii="ITC Avant Garde" w:hAnsi="ITC Avant Garde"/>
          <w:b/>
          <w:color w:val="auto"/>
        </w:rPr>
      </w:pPr>
    </w:p>
    <w:p w14:paraId="6EE7860C" w14:textId="2A479CF4" w:rsidR="00C870D1" w:rsidRPr="00B56D15" w:rsidRDefault="00C870D1"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Televisa</w:t>
      </w:r>
      <w:r w:rsidR="001C7D24">
        <w:rPr>
          <w:rFonts w:ascii="ITC Avant Garde" w:hAnsi="ITC Avant Garde"/>
          <w:b/>
          <w:color w:val="auto"/>
        </w:rPr>
        <w:t>, Telefónica</w:t>
      </w:r>
      <w:r w:rsidR="00E7525D" w:rsidRPr="00E7525D">
        <w:rPr>
          <w:rFonts w:ascii="ITC Avant Garde" w:hAnsi="ITC Avant Garde"/>
          <w:b/>
          <w:color w:val="auto"/>
        </w:rPr>
        <w:t xml:space="preserve"> </w:t>
      </w:r>
      <w:r w:rsidR="00E7525D">
        <w:rPr>
          <w:rFonts w:ascii="ITC Avant Garde" w:hAnsi="ITC Avant Garde"/>
          <w:b/>
          <w:color w:val="auto"/>
        </w:rPr>
        <w:t>y CANIETI</w:t>
      </w:r>
      <w:r w:rsidRPr="00B56D15">
        <w:rPr>
          <w:rFonts w:ascii="ITC Avant Garde" w:hAnsi="ITC Avant Garde"/>
          <w:b/>
          <w:color w:val="auto"/>
        </w:rPr>
        <w:t>:</w:t>
      </w:r>
    </w:p>
    <w:p w14:paraId="430E7AC9" w14:textId="77777777" w:rsidR="00C870D1" w:rsidRPr="00B56D15" w:rsidRDefault="00C870D1" w:rsidP="007D5396">
      <w:pPr>
        <w:spacing w:after="0" w:line="276" w:lineRule="auto"/>
        <w:ind w:left="-5" w:right="49" w:firstLine="0"/>
        <w:rPr>
          <w:rFonts w:ascii="ITC Avant Garde" w:hAnsi="ITC Avant Garde"/>
          <w:b/>
          <w:color w:val="auto"/>
        </w:rPr>
      </w:pPr>
    </w:p>
    <w:p w14:paraId="5819A3C6" w14:textId="0EC2F0B3" w:rsidR="00C870D1" w:rsidRPr="00B56D15" w:rsidRDefault="00C870D1" w:rsidP="007D5396">
      <w:pPr>
        <w:spacing w:line="276" w:lineRule="auto"/>
        <w:ind w:firstLine="0"/>
        <w:rPr>
          <w:rFonts w:ascii="ITC Avant Garde" w:hAnsi="ITC Avant Garde" w:cs="Times New Roman"/>
          <w:i/>
          <w:color w:val="auto"/>
        </w:rPr>
      </w:pPr>
      <w:r w:rsidRPr="00B56D15">
        <w:rPr>
          <w:rFonts w:ascii="ITC Avant Garde" w:hAnsi="ITC Avant Garde" w:cs="Times New Roman"/>
          <w:i/>
          <w:color w:val="auto"/>
        </w:rPr>
        <w:t>Las cláusulas 4.4.1</w:t>
      </w:r>
      <w:r w:rsidR="000A0137">
        <w:rPr>
          <w:rFonts w:ascii="ITC Avant Garde" w:hAnsi="ITC Avant Garde" w:cs="Times New Roman"/>
          <w:i/>
          <w:color w:val="auto"/>
        </w:rPr>
        <w:t xml:space="preserve"> </w:t>
      </w:r>
      <w:r w:rsidRPr="00B56D15">
        <w:rPr>
          <w:rFonts w:ascii="ITC Avant Garde" w:hAnsi="ITC Avant Garde" w:cs="Times New Roman"/>
          <w:i/>
          <w:color w:val="auto"/>
        </w:rPr>
        <w:t xml:space="preserve">y </w:t>
      </w:r>
      <w:r w:rsidR="00CD1CBD" w:rsidRPr="00B56D15">
        <w:rPr>
          <w:rFonts w:ascii="ITC Avant Garde" w:hAnsi="ITC Avant Garde" w:cs="Times New Roman"/>
          <w:i/>
          <w:color w:val="auto"/>
        </w:rPr>
        <w:t>4.4.2 contienen</w:t>
      </w:r>
      <w:r w:rsidRPr="00B56D15">
        <w:rPr>
          <w:rFonts w:ascii="ITC Avant Garde" w:hAnsi="ITC Avant Garde" w:cs="Times New Roman"/>
          <w:i/>
          <w:color w:val="auto"/>
        </w:rPr>
        <w:t xml:space="preserve"> </w:t>
      </w:r>
      <w:r w:rsidR="00357CEA">
        <w:rPr>
          <w:rFonts w:ascii="ITC Avant Garde" w:hAnsi="ITC Avant Garde" w:cs="Times New Roman"/>
          <w:i/>
          <w:color w:val="auto"/>
        </w:rPr>
        <w:t>plazos para el</w:t>
      </w:r>
      <w:r w:rsidRPr="00B56D15">
        <w:rPr>
          <w:rFonts w:ascii="ITC Avant Garde" w:hAnsi="ITC Avant Garde" w:cs="Times New Roman"/>
          <w:i/>
          <w:color w:val="auto"/>
        </w:rPr>
        <w:t xml:space="preserve"> pago </w:t>
      </w:r>
      <w:r w:rsidR="00357CEA">
        <w:rPr>
          <w:rFonts w:ascii="ITC Avant Garde" w:hAnsi="ITC Avant Garde" w:cs="Times New Roman"/>
          <w:i/>
          <w:color w:val="auto"/>
        </w:rPr>
        <w:t xml:space="preserve">de las contraprestaciones </w:t>
      </w:r>
      <w:r w:rsidRPr="00B56D15">
        <w:rPr>
          <w:rFonts w:ascii="ITC Avant Garde" w:hAnsi="ITC Avant Garde" w:cs="Times New Roman"/>
          <w:i/>
          <w:color w:val="auto"/>
        </w:rPr>
        <w:t>y objeción de facturas de 18 días</w:t>
      </w:r>
      <w:r w:rsidR="001C7D24">
        <w:rPr>
          <w:rFonts w:ascii="ITC Avant Garde" w:hAnsi="ITC Avant Garde" w:cs="Times New Roman"/>
          <w:i/>
          <w:color w:val="auto"/>
        </w:rPr>
        <w:t>, lo cual es un plazo muy corto</w:t>
      </w:r>
      <w:r w:rsidRPr="00B56D15">
        <w:rPr>
          <w:rFonts w:ascii="ITC Avant Garde" w:hAnsi="ITC Avant Garde" w:cs="Times New Roman"/>
          <w:i/>
          <w:color w:val="auto"/>
        </w:rPr>
        <w:t xml:space="preserve"> y menor al estándar de 30 días que se maneja en la industria.  Dicho plazo restringe la posibilidad de los CS de revisar las facturas a detalle y en su caso presentar las objeciones de forma adecuada </w:t>
      </w:r>
      <w:r w:rsidR="001C7D24">
        <w:rPr>
          <w:rFonts w:ascii="ITC Avant Garde" w:hAnsi="ITC Avant Garde" w:cs="Times New Roman"/>
          <w:i/>
          <w:color w:val="auto"/>
        </w:rPr>
        <w:t>de lo cual se solicita que se amplíe</w:t>
      </w:r>
      <w:r w:rsidRPr="00B56D15">
        <w:rPr>
          <w:rFonts w:ascii="ITC Avant Garde" w:hAnsi="ITC Avant Garde" w:cs="Times New Roman"/>
          <w:i/>
          <w:color w:val="auto"/>
        </w:rPr>
        <w:t xml:space="preserve"> el plazo de 18 días naturales a 30 días naturales tanto para el pago como para la objeción de facturas para que los CS tenga tiempo suficiente de revisar las facturas y presentar sus posibles</w:t>
      </w:r>
      <w:r w:rsidR="001C7D24">
        <w:rPr>
          <w:rFonts w:ascii="ITC Avant Garde" w:hAnsi="ITC Avant Garde" w:cs="Times New Roman"/>
          <w:i/>
          <w:color w:val="auto"/>
        </w:rPr>
        <w:t xml:space="preserve"> objeciones de manera adecuada.</w:t>
      </w:r>
    </w:p>
    <w:p w14:paraId="0D48B939" w14:textId="77777777" w:rsidR="007D26E0" w:rsidRDefault="007D26E0" w:rsidP="007D5396">
      <w:pPr>
        <w:spacing w:after="0" w:line="276" w:lineRule="auto"/>
        <w:ind w:left="-5" w:right="49" w:firstLine="0"/>
        <w:rPr>
          <w:rFonts w:ascii="ITC Avant Garde" w:hAnsi="ITC Avant Garde"/>
          <w:b/>
          <w:color w:val="auto"/>
        </w:rPr>
      </w:pPr>
    </w:p>
    <w:p w14:paraId="49588B3B" w14:textId="324E1272" w:rsidR="001C7D24" w:rsidRPr="00B56D15" w:rsidRDefault="001C7D24" w:rsidP="007D5396">
      <w:pPr>
        <w:spacing w:after="0" w:line="276" w:lineRule="auto"/>
        <w:ind w:left="-5" w:right="49" w:firstLine="0"/>
        <w:rPr>
          <w:rFonts w:ascii="ITC Avant Garde" w:hAnsi="ITC Avant Garde"/>
          <w:i/>
          <w:color w:val="auto"/>
        </w:rPr>
      </w:pPr>
      <w:r w:rsidRPr="001C7D24">
        <w:rPr>
          <w:rFonts w:ascii="ITC Avant Garde" w:hAnsi="ITC Avant Garde"/>
          <w:i/>
          <w:color w:val="auto"/>
        </w:rPr>
        <w:lastRenderedPageBreak/>
        <w:t>Asimismo, CANIETI y Telefónica señalaron que</w:t>
      </w:r>
      <w:r>
        <w:rPr>
          <w:rFonts w:ascii="ITC Avant Garde" w:hAnsi="ITC Avant Garde"/>
          <w:i/>
          <w:color w:val="auto"/>
        </w:rPr>
        <w:t xml:space="preserve"> e</w:t>
      </w:r>
      <w:r w:rsidRPr="00B56D15">
        <w:rPr>
          <w:rFonts w:ascii="ITC Avant Garde" w:hAnsi="ITC Avant Garde"/>
          <w:i/>
          <w:color w:val="auto"/>
        </w:rPr>
        <w:t>n la práctica la revisión de objeciones requiere mayor tiempo de anális</w:t>
      </w:r>
      <w:r>
        <w:rPr>
          <w:rFonts w:ascii="ITC Avant Garde" w:hAnsi="ITC Avant Garde"/>
          <w:i/>
          <w:color w:val="auto"/>
        </w:rPr>
        <w:t xml:space="preserve">is, </w:t>
      </w:r>
      <w:r w:rsidR="00F32B4C">
        <w:rPr>
          <w:rFonts w:ascii="ITC Avant Garde" w:hAnsi="ITC Avant Garde"/>
          <w:i/>
          <w:color w:val="auto"/>
        </w:rPr>
        <w:t xml:space="preserve">y sugirieron </w:t>
      </w:r>
      <w:r>
        <w:rPr>
          <w:rFonts w:ascii="ITC Avant Garde" w:hAnsi="ITC Avant Garde"/>
          <w:i/>
          <w:color w:val="auto"/>
        </w:rPr>
        <w:t>60 días hábiles.</w:t>
      </w:r>
    </w:p>
    <w:p w14:paraId="77017BFB" w14:textId="0EFE3589" w:rsidR="001C7D24" w:rsidRDefault="001C7D24" w:rsidP="007D5396">
      <w:pPr>
        <w:spacing w:after="0" w:line="276" w:lineRule="auto"/>
        <w:ind w:left="-5" w:right="49" w:firstLine="0"/>
        <w:rPr>
          <w:rFonts w:ascii="ITC Avant Garde" w:hAnsi="ITC Avant Garde"/>
          <w:b/>
          <w:color w:val="auto"/>
        </w:rPr>
      </w:pPr>
    </w:p>
    <w:p w14:paraId="52CC8BDB" w14:textId="62A9E228" w:rsidR="00616000" w:rsidRPr="000624F5" w:rsidRDefault="006F6416" w:rsidP="007D5396">
      <w:pPr>
        <w:spacing w:after="0" w:line="276" w:lineRule="auto"/>
        <w:ind w:firstLine="0"/>
        <w:rPr>
          <w:rFonts w:ascii="ITC Avant Garde" w:hAnsi="ITC Avant Garde"/>
          <w:b/>
          <w:color w:val="auto"/>
        </w:rPr>
      </w:pPr>
      <w:r w:rsidRPr="000624F5">
        <w:rPr>
          <w:rFonts w:ascii="ITC Avant Garde" w:hAnsi="ITC Avant Garde"/>
          <w:color w:val="auto"/>
        </w:rPr>
        <w:t>Respecto a los comentarios anteriores</w:t>
      </w:r>
      <w:r w:rsidR="00783AAD" w:rsidRPr="000624F5">
        <w:rPr>
          <w:rFonts w:ascii="ITC Avant Garde" w:hAnsi="ITC Avant Garde"/>
          <w:color w:val="auto"/>
        </w:rPr>
        <w:t xml:space="preserve">, </w:t>
      </w:r>
      <w:r w:rsidR="00357CEA" w:rsidRPr="000624F5">
        <w:rPr>
          <w:rFonts w:ascii="ITC Avant Garde" w:hAnsi="ITC Avant Garde"/>
          <w:color w:val="auto"/>
        </w:rPr>
        <w:t>se</w:t>
      </w:r>
      <w:r w:rsidR="00783AAD" w:rsidRPr="000624F5">
        <w:rPr>
          <w:rFonts w:ascii="ITC Avant Garde" w:hAnsi="ITC Avant Garde"/>
          <w:color w:val="auto"/>
        </w:rPr>
        <w:t xml:space="preserve"> considera que la finalidad de la cláusula en comento es agilizar el procedimiento de objeción de facturas para ambas partes; </w:t>
      </w:r>
      <w:r w:rsidR="005B1077" w:rsidRPr="000624F5">
        <w:rPr>
          <w:rFonts w:ascii="ITC Avant Garde" w:hAnsi="ITC Avant Garde"/>
          <w:color w:val="auto"/>
        </w:rPr>
        <w:t xml:space="preserve">asimismo, de una revisión de los convenios de interconexión que obran en el Registro Público de Concesiones se observa que el plazo de 18 (dieciocho) días naturales para la objeción de facturas es una práctica común en la industria, por lo cual no se considera procedente la modificación del </w:t>
      </w:r>
      <w:r w:rsidR="00783AAD" w:rsidRPr="000624F5">
        <w:rPr>
          <w:rFonts w:ascii="ITC Avant Garde" w:hAnsi="ITC Avant Garde"/>
          <w:color w:val="auto"/>
        </w:rPr>
        <w:t>numeral en comento</w:t>
      </w:r>
      <w:r w:rsidR="005B1077" w:rsidRPr="000624F5">
        <w:rPr>
          <w:rFonts w:ascii="ITC Avant Garde" w:hAnsi="ITC Avant Garde"/>
          <w:color w:val="auto"/>
        </w:rPr>
        <w:t>.</w:t>
      </w:r>
    </w:p>
    <w:p w14:paraId="0C1E29BA" w14:textId="77777777" w:rsidR="00616000" w:rsidRPr="00B56D15" w:rsidRDefault="00616000" w:rsidP="007D5396">
      <w:pPr>
        <w:spacing w:after="0" w:line="276" w:lineRule="auto"/>
        <w:ind w:left="-5" w:right="49" w:firstLine="0"/>
        <w:rPr>
          <w:rFonts w:ascii="ITC Avant Garde" w:hAnsi="ITC Avant Garde"/>
          <w:b/>
          <w:color w:val="auto"/>
        </w:rPr>
      </w:pPr>
    </w:p>
    <w:p w14:paraId="7EC1762D" w14:textId="66CE2421" w:rsidR="007D26E0" w:rsidRPr="00B56D15" w:rsidRDefault="007D26E0" w:rsidP="007D5396">
      <w:pPr>
        <w:spacing w:after="0" w:line="276" w:lineRule="auto"/>
        <w:ind w:left="-5" w:right="49" w:firstLine="0"/>
        <w:rPr>
          <w:rFonts w:ascii="ITC Avant Garde" w:hAnsi="ITC Avant Garde"/>
          <w:b/>
          <w:color w:val="auto"/>
        </w:rPr>
      </w:pPr>
      <w:r w:rsidRPr="008060D0">
        <w:rPr>
          <w:rFonts w:ascii="ITC Avant Garde" w:hAnsi="ITC Avant Garde"/>
          <w:b/>
          <w:color w:val="auto"/>
        </w:rPr>
        <w:t>Telefónica y CANIETI:</w:t>
      </w:r>
    </w:p>
    <w:p w14:paraId="5EDF87DE" w14:textId="77777777" w:rsidR="007D26E0" w:rsidRPr="00B56D15" w:rsidRDefault="007D26E0" w:rsidP="007D5396">
      <w:pPr>
        <w:spacing w:after="0" w:line="276" w:lineRule="auto"/>
        <w:ind w:left="-5" w:right="49" w:firstLine="0"/>
        <w:rPr>
          <w:rFonts w:ascii="ITC Avant Garde" w:hAnsi="ITC Avant Garde"/>
          <w:b/>
          <w:color w:val="auto"/>
        </w:rPr>
      </w:pPr>
    </w:p>
    <w:p w14:paraId="406C42AA" w14:textId="1F108055" w:rsidR="007D26E0" w:rsidRDefault="001C7D24" w:rsidP="007D5396">
      <w:pPr>
        <w:spacing w:after="0" w:line="276" w:lineRule="auto"/>
        <w:ind w:left="-5" w:right="49" w:firstLine="0"/>
        <w:rPr>
          <w:rFonts w:ascii="ITC Avant Garde" w:hAnsi="ITC Avant Garde"/>
          <w:i/>
          <w:color w:val="auto"/>
        </w:rPr>
      </w:pPr>
      <w:r w:rsidRPr="0044160B">
        <w:rPr>
          <w:rFonts w:ascii="ITC Avant Garde" w:hAnsi="ITC Avant Garde"/>
          <w:i/>
          <w:color w:val="auto"/>
        </w:rPr>
        <w:t xml:space="preserve">En el último párrafo del numeral 4.4.3 </w:t>
      </w:r>
      <w:r w:rsidR="007D26E0" w:rsidRPr="0044160B">
        <w:rPr>
          <w:rFonts w:ascii="ITC Avant Garde" w:hAnsi="ITC Avant Garde"/>
          <w:i/>
          <w:color w:val="auto"/>
        </w:rPr>
        <w:t>se señala que si las objeciones no reúnen los requisitos que previamente se enlistan en dicha cláusula no tendrán validez y por consecuencia las facturas y estados de cuenta correspondientes se tendrán por consentidos. Al respecto consideramos que se debe mencionar que las partes deberán conciliar y aclarar dicha</w:t>
      </w:r>
      <w:r w:rsidRPr="0044160B">
        <w:rPr>
          <w:rFonts w:ascii="ITC Avant Garde" w:hAnsi="ITC Avant Garde"/>
          <w:i/>
          <w:color w:val="auto"/>
        </w:rPr>
        <w:t>s facturas y estados de cuenta.</w:t>
      </w:r>
    </w:p>
    <w:p w14:paraId="01B31E23" w14:textId="77777777" w:rsidR="00D25DD9" w:rsidRPr="000624F5" w:rsidRDefault="00D25DD9" w:rsidP="007D5396">
      <w:pPr>
        <w:spacing w:after="0" w:line="276" w:lineRule="auto"/>
        <w:ind w:left="-5" w:right="49" w:firstLine="0"/>
        <w:rPr>
          <w:rFonts w:ascii="ITC Avant Garde" w:hAnsi="ITC Avant Garde"/>
          <w:b/>
          <w:color w:val="auto"/>
        </w:rPr>
      </w:pPr>
    </w:p>
    <w:p w14:paraId="68C6BB02" w14:textId="1D9F08AA" w:rsidR="003A3015" w:rsidRPr="000624F5" w:rsidRDefault="003A3015" w:rsidP="007D5396">
      <w:pPr>
        <w:spacing w:after="0" w:line="276" w:lineRule="auto"/>
        <w:ind w:left="0" w:right="0" w:firstLine="0"/>
        <w:rPr>
          <w:rFonts w:ascii="ITC Avant Garde" w:hAnsi="ITC Avant Garde"/>
          <w:color w:val="auto"/>
        </w:rPr>
      </w:pPr>
      <w:r w:rsidRPr="000624F5">
        <w:rPr>
          <w:rFonts w:ascii="ITC Avant Garde" w:hAnsi="ITC Avant Garde"/>
          <w:color w:val="auto"/>
        </w:rPr>
        <w:t>Respecto al comentario anterior</w:t>
      </w:r>
      <w:r w:rsidR="006A0378" w:rsidRPr="000624F5">
        <w:rPr>
          <w:rFonts w:ascii="ITC Avant Garde" w:hAnsi="ITC Avant Garde"/>
          <w:color w:val="auto"/>
        </w:rPr>
        <w:t xml:space="preserve">, </w:t>
      </w:r>
      <w:r w:rsidR="00357CEA" w:rsidRPr="000624F5">
        <w:rPr>
          <w:rFonts w:ascii="ITC Avant Garde" w:hAnsi="ITC Avant Garde"/>
          <w:color w:val="auto"/>
        </w:rPr>
        <w:t>se</w:t>
      </w:r>
      <w:r w:rsidR="006A0378" w:rsidRPr="000624F5">
        <w:rPr>
          <w:rFonts w:ascii="ITC Avant Garde" w:hAnsi="ITC Avant Garde"/>
          <w:color w:val="auto"/>
        </w:rPr>
        <w:t xml:space="preserve"> </w:t>
      </w:r>
      <w:r w:rsidRPr="000624F5">
        <w:rPr>
          <w:rFonts w:ascii="ITC Avant Garde" w:hAnsi="ITC Avant Garde"/>
          <w:color w:val="auto"/>
        </w:rPr>
        <w:t xml:space="preserve">considera que la redacción del numeral 4.4.3 </w:t>
      </w:r>
      <w:r w:rsidR="0044160B" w:rsidRPr="000624F5">
        <w:rPr>
          <w:rFonts w:ascii="ITC Avant Garde" w:hAnsi="ITC Avant Garde"/>
          <w:color w:val="auto"/>
        </w:rPr>
        <w:t>respecto a la Metodología para la aclaración de consumos no reconocidos así como el Anexo D “Formato de Facturación</w:t>
      </w:r>
      <w:r w:rsidR="00D51D94" w:rsidRPr="000624F5">
        <w:rPr>
          <w:rFonts w:ascii="ITC Avant Garde" w:hAnsi="ITC Avant Garde"/>
          <w:color w:val="auto"/>
        </w:rPr>
        <w:t>”</w:t>
      </w:r>
      <w:r w:rsidR="0044160B" w:rsidRPr="000624F5">
        <w:rPr>
          <w:rFonts w:ascii="ITC Avant Garde" w:hAnsi="ITC Avant Garde"/>
          <w:color w:val="auto"/>
        </w:rPr>
        <w:t xml:space="preserve"> </w:t>
      </w:r>
      <w:r w:rsidRPr="000624F5">
        <w:rPr>
          <w:rFonts w:ascii="ITC Avant Garde" w:hAnsi="ITC Avant Garde"/>
          <w:color w:val="auto"/>
        </w:rPr>
        <w:t xml:space="preserve">otorga certeza a </w:t>
      </w:r>
      <w:r w:rsidR="00044709" w:rsidRPr="000624F5">
        <w:rPr>
          <w:rFonts w:ascii="ITC Avant Garde" w:hAnsi="ITC Avant Garde"/>
          <w:color w:val="auto"/>
        </w:rPr>
        <w:t>ambas partes</w:t>
      </w:r>
      <w:r w:rsidRPr="000624F5">
        <w:rPr>
          <w:rFonts w:ascii="ITC Avant Garde" w:hAnsi="ITC Avant Garde"/>
          <w:color w:val="auto"/>
        </w:rPr>
        <w:t xml:space="preserve"> respecto del formato</w:t>
      </w:r>
      <w:r w:rsidR="005E4522" w:rsidRPr="000624F5">
        <w:rPr>
          <w:rFonts w:ascii="ITC Avant Garde" w:hAnsi="ITC Avant Garde"/>
          <w:color w:val="auto"/>
        </w:rPr>
        <w:t>, requisitos y procedimientos</w:t>
      </w:r>
      <w:r w:rsidRPr="000624F5">
        <w:rPr>
          <w:rFonts w:ascii="ITC Avant Garde" w:hAnsi="ITC Avant Garde"/>
          <w:color w:val="auto"/>
        </w:rPr>
        <w:t xml:space="preserve"> para la presentación de objeciones y validaciones</w:t>
      </w:r>
      <w:r w:rsidR="00935936" w:rsidRPr="000624F5">
        <w:rPr>
          <w:rFonts w:ascii="ITC Avant Garde" w:hAnsi="ITC Avant Garde"/>
          <w:color w:val="auto"/>
        </w:rPr>
        <w:t xml:space="preserve"> de una manera clara y puntual</w:t>
      </w:r>
      <w:r w:rsidRPr="000624F5">
        <w:rPr>
          <w:rFonts w:ascii="ITC Avant Garde" w:hAnsi="ITC Avant Garde"/>
          <w:color w:val="auto"/>
        </w:rPr>
        <w:t xml:space="preserve">, </w:t>
      </w:r>
      <w:r w:rsidR="006D704D" w:rsidRPr="000624F5">
        <w:rPr>
          <w:rFonts w:ascii="ITC Avant Garde" w:hAnsi="ITC Avant Garde"/>
          <w:color w:val="auto"/>
        </w:rPr>
        <w:t>asimismo dicha m</w:t>
      </w:r>
      <w:r w:rsidR="00A1143A" w:rsidRPr="000624F5">
        <w:rPr>
          <w:rFonts w:ascii="ITC Avant Garde" w:hAnsi="ITC Avant Garde"/>
          <w:color w:val="auto"/>
        </w:rPr>
        <w:t xml:space="preserve">etodología </w:t>
      </w:r>
      <w:r w:rsidR="006D704D" w:rsidRPr="000624F5">
        <w:rPr>
          <w:rFonts w:ascii="ITC Avant Garde" w:hAnsi="ITC Avant Garde"/>
          <w:color w:val="auto"/>
        </w:rPr>
        <w:t xml:space="preserve">considera la conciliación de facturas entre los concesionarios, es así que </w:t>
      </w:r>
      <w:r w:rsidRPr="000624F5">
        <w:rPr>
          <w:rFonts w:ascii="ITC Avant Garde" w:hAnsi="ITC Avant Garde"/>
          <w:color w:val="auto"/>
        </w:rPr>
        <w:t>se considera que el procedimiento para la objeción de facturas es adecuado</w:t>
      </w:r>
      <w:r w:rsidR="00935936" w:rsidRPr="000624F5">
        <w:rPr>
          <w:rFonts w:ascii="ITC Avant Garde" w:hAnsi="ITC Avant Garde"/>
          <w:color w:val="auto"/>
        </w:rPr>
        <w:t>.</w:t>
      </w:r>
      <w:r w:rsidR="004B7E72" w:rsidRPr="000624F5">
        <w:rPr>
          <w:rFonts w:ascii="ITC Avant Garde" w:hAnsi="ITC Avant Garde"/>
          <w:color w:val="auto"/>
        </w:rPr>
        <w:t xml:space="preserve"> </w:t>
      </w:r>
    </w:p>
    <w:p w14:paraId="2B011C63" w14:textId="77777777" w:rsidR="003A3015" w:rsidRPr="000624F5" w:rsidRDefault="003A3015" w:rsidP="007D5396">
      <w:pPr>
        <w:autoSpaceDE w:val="0"/>
        <w:autoSpaceDN w:val="0"/>
        <w:adjustRightInd w:val="0"/>
        <w:spacing w:after="0" w:line="276" w:lineRule="auto"/>
        <w:ind w:firstLine="0"/>
        <w:rPr>
          <w:rFonts w:ascii="ITC Avant Garde" w:hAnsi="ITC Avant Garde" w:cs="Arial"/>
          <w:color w:val="auto"/>
        </w:rPr>
      </w:pPr>
    </w:p>
    <w:p w14:paraId="30D64088" w14:textId="0DA516F4" w:rsidR="00AF304F" w:rsidRPr="00B56D15" w:rsidRDefault="00AF304F"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Televisa:</w:t>
      </w:r>
    </w:p>
    <w:p w14:paraId="267662E5" w14:textId="77777777" w:rsidR="00AF304F" w:rsidRPr="00B56D15" w:rsidRDefault="00AF304F" w:rsidP="007D5396">
      <w:pPr>
        <w:spacing w:line="276" w:lineRule="auto"/>
        <w:ind w:firstLine="0"/>
        <w:rPr>
          <w:rFonts w:ascii="ITC Avant Garde" w:hAnsi="ITC Avant Garde"/>
          <w:i/>
          <w:color w:val="auto"/>
        </w:rPr>
      </w:pPr>
    </w:p>
    <w:p w14:paraId="26BCBB97" w14:textId="2DCFF999" w:rsidR="00AF304F" w:rsidRPr="00B56D15" w:rsidRDefault="008060D0" w:rsidP="007D5396">
      <w:pPr>
        <w:spacing w:line="276" w:lineRule="auto"/>
        <w:ind w:firstLine="0"/>
        <w:rPr>
          <w:rFonts w:ascii="ITC Avant Garde" w:hAnsi="ITC Avant Garde" w:cs="Times New Roman"/>
          <w:i/>
          <w:color w:val="auto"/>
        </w:rPr>
      </w:pPr>
      <w:r w:rsidRPr="000624F5">
        <w:rPr>
          <w:rFonts w:ascii="ITC Avant Garde" w:hAnsi="ITC Avant Garde" w:cs="Times New Roman"/>
          <w:i/>
          <w:color w:val="auto"/>
        </w:rPr>
        <w:t>La Cláusula 4.4.5 diferencia</w:t>
      </w:r>
      <w:r w:rsidR="00AF304F" w:rsidRPr="000624F5">
        <w:rPr>
          <w:rFonts w:ascii="ITC Avant Garde" w:hAnsi="ITC Avant Garde" w:cs="Times New Roman"/>
          <w:i/>
          <w:color w:val="auto"/>
        </w:rPr>
        <w:t xml:space="preserve"> en el periodo de tiempo disponible para presentar facturas complementarias entre la parte prestadora y la receptora, 120 días para la primera y 60 días para la segunda. En nuestra opinión, esta diferenciación parece innecesaria y sugiere un trato desigual entre las partes.  Por lo tanto, se sugiere que ambos periodos se igualen a 90.</w:t>
      </w:r>
    </w:p>
    <w:p w14:paraId="2BF10EF1" w14:textId="77777777" w:rsidR="00AF304F" w:rsidRPr="00B56D15" w:rsidRDefault="00AF304F" w:rsidP="007D5396">
      <w:pPr>
        <w:spacing w:line="276" w:lineRule="auto"/>
        <w:ind w:firstLine="0"/>
        <w:rPr>
          <w:rFonts w:ascii="ITC Avant Garde" w:hAnsi="ITC Avant Garde" w:cs="Times New Roman"/>
          <w:i/>
          <w:color w:val="auto"/>
          <w:lang w:val="es-ES_tradnl"/>
        </w:rPr>
      </w:pPr>
    </w:p>
    <w:p w14:paraId="59D70658" w14:textId="0D5ED418" w:rsidR="00AF304F" w:rsidRDefault="00AF304F" w:rsidP="007D5396">
      <w:pPr>
        <w:spacing w:line="276" w:lineRule="auto"/>
        <w:ind w:firstLine="0"/>
        <w:rPr>
          <w:rFonts w:ascii="ITC Avant Garde" w:hAnsi="ITC Avant Garde" w:cs="Times New Roman"/>
          <w:i/>
          <w:color w:val="auto"/>
          <w:lang w:val="es-ES_tradnl"/>
        </w:rPr>
      </w:pPr>
      <w:r w:rsidRPr="00B56D15">
        <w:rPr>
          <w:rFonts w:ascii="ITC Avant Garde" w:hAnsi="ITC Avant Garde" w:cs="Times New Roman"/>
          <w:i/>
          <w:color w:val="auto"/>
          <w:lang w:val="es-ES_tradnl"/>
        </w:rPr>
        <w:t>Adicionalmente, se propone que, para evitar en la medida de lo posible la facturación extemporánea y reclamaciones tardías, se instaure un proceso específico de conciliación mensual de facturas siguiendo el modelo que se</w:t>
      </w:r>
      <w:r w:rsidR="008060D0">
        <w:rPr>
          <w:rFonts w:ascii="ITC Avant Garde" w:hAnsi="ITC Avant Garde" w:cs="Times New Roman"/>
          <w:i/>
          <w:color w:val="auto"/>
          <w:lang w:val="es-ES_tradnl"/>
        </w:rPr>
        <w:t xml:space="preserve"> sigue en Telefónica en su OIR.</w:t>
      </w:r>
    </w:p>
    <w:p w14:paraId="04068C9A" w14:textId="77777777" w:rsidR="002566F4" w:rsidRDefault="002566F4" w:rsidP="007D5396">
      <w:pPr>
        <w:spacing w:line="276" w:lineRule="auto"/>
        <w:ind w:firstLine="0"/>
        <w:rPr>
          <w:rFonts w:ascii="ITC Avant Garde" w:hAnsi="ITC Avant Garde" w:cs="Times New Roman"/>
          <w:i/>
          <w:color w:val="auto"/>
          <w:lang w:val="es-ES_tradnl"/>
        </w:rPr>
      </w:pPr>
    </w:p>
    <w:p w14:paraId="31FA4E79" w14:textId="26754C03" w:rsidR="00084072" w:rsidRPr="000624F5" w:rsidRDefault="002A70BE" w:rsidP="00D70C4F">
      <w:pPr>
        <w:spacing w:after="0" w:line="276" w:lineRule="auto"/>
        <w:ind w:firstLine="0"/>
        <w:rPr>
          <w:rFonts w:ascii="ITC Avant Garde" w:hAnsi="ITC Avant Garde"/>
          <w:color w:val="auto"/>
        </w:rPr>
      </w:pPr>
      <w:r w:rsidRPr="000624F5">
        <w:rPr>
          <w:rFonts w:ascii="ITC Avant Garde" w:hAnsi="ITC Avant Garde"/>
          <w:color w:val="auto"/>
        </w:rPr>
        <w:t xml:space="preserve">Respecto a los comentarios anteriores, se considera que la finalidad de la cláusula en comento es </w:t>
      </w:r>
      <w:r w:rsidR="003A4FC9" w:rsidRPr="000624F5">
        <w:rPr>
          <w:rFonts w:ascii="ITC Avant Garde" w:hAnsi="ITC Avant Garde"/>
          <w:color w:val="auto"/>
        </w:rPr>
        <w:t xml:space="preserve">el que las partes cuenten con el tiempo suficiente para </w:t>
      </w:r>
      <w:r w:rsidR="00084072" w:rsidRPr="000624F5">
        <w:rPr>
          <w:rFonts w:ascii="ITC Avant Garde" w:hAnsi="ITC Avant Garde"/>
          <w:color w:val="auto"/>
        </w:rPr>
        <w:t xml:space="preserve">la </w:t>
      </w:r>
      <w:r w:rsidR="00084072" w:rsidRPr="000624F5">
        <w:rPr>
          <w:rFonts w:ascii="ITC Avant Garde" w:hAnsi="ITC Avant Garde"/>
          <w:color w:val="auto"/>
        </w:rPr>
        <w:lastRenderedPageBreak/>
        <w:t>presentación de facturas complementarias</w:t>
      </w:r>
      <w:r w:rsidR="003A4FC9" w:rsidRPr="000624F5">
        <w:rPr>
          <w:rFonts w:ascii="ITC Avant Garde" w:hAnsi="ITC Avant Garde"/>
          <w:color w:val="auto"/>
        </w:rPr>
        <w:t xml:space="preserve">, donde la parte prestadora, dado su carácter de proveedor de servicios mayoristas a múltiples concesionarios, </w:t>
      </w:r>
      <w:r w:rsidR="00084072" w:rsidRPr="000624F5">
        <w:rPr>
          <w:rFonts w:ascii="ITC Avant Garde" w:hAnsi="ITC Avant Garde"/>
          <w:color w:val="auto"/>
        </w:rPr>
        <w:t xml:space="preserve">es la más susceptible a omitir o emitir imprecisiones en las mismas, </w:t>
      </w:r>
      <w:r w:rsidRPr="000624F5">
        <w:rPr>
          <w:rFonts w:ascii="ITC Avant Garde" w:hAnsi="ITC Avant Garde"/>
          <w:color w:val="auto"/>
        </w:rPr>
        <w:t>por lo cual no se considera procedente la modificación del numeral en comento.</w:t>
      </w:r>
    </w:p>
    <w:p w14:paraId="05E525CF" w14:textId="1E295579" w:rsidR="003A251C" w:rsidRPr="00D51D94" w:rsidRDefault="003A251C" w:rsidP="00D51D94">
      <w:pPr>
        <w:spacing w:after="0" w:line="276" w:lineRule="auto"/>
        <w:rPr>
          <w:rFonts w:ascii="ITC Avant Garde" w:hAnsi="ITC Avant Garde" w:cs="Times New Roman"/>
          <w:i/>
          <w:color w:val="auto"/>
          <w:lang w:val="es-ES_tradnl"/>
        </w:rPr>
      </w:pPr>
    </w:p>
    <w:p w14:paraId="0511AB3D" w14:textId="097563BE" w:rsidR="009D38AE" w:rsidRPr="00B56D15" w:rsidRDefault="009D38AE"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11E2F391" w14:textId="77777777" w:rsidR="009D38AE" w:rsidRPr="00B56D15" w:rsidRDefault="009D38AE" w:rsidP="007D5396">
      <w:pPr>
        <w:spacing w:line="276" w:lineRule="auto"/>
        <w:ind w:firstLine="0"/>
        <w:rPr>
          <w:rFonts w:ascii="ITC Avant Garde" w:hAnsi="ITC Avant Garde"/>
          <w:color w:val="auto"/>
        </w:rPr>
      </w:pPr>
    </w:p>
    <w:p w14:paraId="4AA6C230" w14:textId="57DDF5C0" w:rsidR="009D38AE" w:rsidRPr="00C55C3C" w:rsidRDefault="00A5321A" w:rsidP="007D5396">
      <w:pPr>
        <w:spacing w:line="276" w:lineRule="auto"/>
        <w:ind w:firstLine="0"/>
        <w:rPr>
          <w:rFonts w:ascii="ITC Avant Garde" w:hAnsi="ITC Avant Garde" w:cs="Times New Roman"/>
          <w:i/>
          <w:color w:val="auto"/>
        </w:rPr>
      </w:pPr>
      <w:r w:rsidRPr="00C55C3C">
        <w:rPr>
          <w:rFonts w:ascii="ITC Avant Garde" w:hAnsi="ITC Avant Garde" w:cs="Times New Roman"/>
          <w:i/>
          <w:color w:val="auto"/>
        </w:rPr>
        <w:t>En el numeral 4.5 e</w:t>
      </w:r>
      <w:r w:rsidR="009D38AE" w:rsidRPr="00C55C3C">
        <w:rPr>
          <w:rFonts w:ascii="ITC Avant Garde" w:hAnsi="ITC Avant Garde" w:cs="Times New Roman"/>
          <w:i/>
          <w:color w:val="auto"/>
        </w:rPr>
        <w:t xml:space="preserve">l convenio contempla la posibilidad de revisar los costos durante su vigencia, cuando se presenten circunstancias económicas no previstas, para acordar ajustes a las tarifas. La cláusula no reconoce, sin embargo, la facultad del </w:t>
      </w:r>
      <w:r w:rsidR="002170E6">
        <w:rPr>
          <w:rFonts w:ascii="ITC Avant Garde" w:hAnsi="ITC Avant Garde" w:cs="Times New Roman"/>
          <w:i/>
          <w:color w:val="auto"/>
        </w:rPr>
        <w:t>Instituto</w:t>
      </w:r>
      <w:r w:rsidR="009D38AE" w:rsidRPr="00C55C3C">
        <w:rPr>
          <w:rFonts w:ascii="ITC Avant Garde" w:hAnsi="ITC Avant Garde" w:cs="Times New Roman"/>
          <w:i/>
          <w:color w:val="auto"/>
        </w:rPr>
        <w:t xml:space="preserve"> para resolver los desacuerdos, ni para modificar las condiciones en cualquier momento, cuando pierdan efectividad en términos de competencia.</w:t>
      </w:r>
    </w:p>
    <w:p w14:paraId="7A749455" w14:textId="77777777" w:rsidR="009D38AE" w:rsidRPr="00B56D15" w:rsidRDefault="009D38AE" w:rsidP="007D5396">
      <w:pPr>
        <w:spacing w:line="276" w:lineRule="auto"/>
        <w:ind w:firstLine="0"/>
        <w:rPr>
          <w:rFonts w:ascii="ITC Avant Garde" w:hAnsi="ITC Avant Garde"/>
          <w:i/>
          <w:color w:val="auto"/>
        </w:rPr>
      </w:pPr>
    </w:p>
    <w:p w14:paraId="656B8C78" w14:textId="4E6CC23B" w:rsidR="009D38AE" w:rsidRPr="00C55C3C" w:rsidRDefault="00A5321A" w:rsidP="007D5396">
      <w:pPr>
        <w:spacing w:line="276" w:lineRule="auto"/>
        <w:ind w:firstLine="0"/>
        <w:rPr>
          <w:rFonts w:ascii="ITC Avant Garde" w:hAnsi="ITC Avant Garde" w:cs="Times New Roman"/>
          <w:i/>
          <w:color w:val="auto"/>
        </w:rPr>
      </w:pPr>
      <w:r w:rsidRPr="006D704D">
        <w:rPr>
          <w:rFonts w:ascii="ITC Avant Garde" w:hAnsi="ITC Avant Garde" w:cs="Times New Roman"/>
          <w:i/>
          <w:color w:val="auto"/>
        </w:rPr>
        <w:t xml:space="preserve">Se propone que el convenio </w:t>
      </w:r>
      <w:r w:rsidR="009D38AE" w:rsidRPr="006D704D">
        <w:rPr>
          <w:rFonts w:ascii="ITC Avant Garde" w:hAnsi="ITC Avant Garde" w:cs="Times New Roman"/>
          <w:i/>
          <w:color w:val="auto"/>
        </w:rPr>
        <w:t xml:space="preserve">reconozca la facultad del </w:t>
      </w:r>
      <w:r w:rsidR="002170E6" w:rsidRPr="006D704D">
        <w:rPr>
          <w:rFonts w:ascii="ITC Avant Garde" w:hAnsi="ITC Avant Garde" w:cs="Times New Roman"/>
          <w:i/>
          <w:color w:val="auto"/>
        </w:rPr>
        <w:t>Instituto</w:t>
      </w:r>
      <w:r w:rsidR="009D38AE" w:rsidRPr="006D704D">
        <w:rPr>
          <w:rFonts w:ascii="ITC Avant Garde" w:hAnsi="ITC Avant Garde" w:cs="Times New Roman"/>
          <w:i/>
          <w:color w:val="auto"/>
        </w:rPr>
        <w:t xml:space="preserve"> de cambiar las condiciones económicas y operativas, cuando así se lo solicite alguna de las partes por considerar que se ha perdido la efectividad o se han modificado las condiciones materiales en el mercado sobre las que se acordar</w:t>
      </w:r>
      <w:r w:rsidRPr="006D704D">
        <w:rPr>
          <w:rFonts w:ascii="ITC Avant Garde" w:hAnsi="ITC Avant Garde" w:cs="Times New Roman"/>
          <w:i/>
          <w:color w:val="auto"/>
        </w:rPr>
        <w:t>on o resolvieron en si momento.</w:t>
      </w:r>
    </w:p>
    <w:p w14:paraId="615FC7F1" w14:textId="77777777" w:rsidR="00B3529C" w:rsidRDefault="00B3529C" w:rsidP="007D5396">
      <w:pPr>
        <w:spacing w:line="276" w:lineRule="auto"/>
        <w:ind w:firstLine="0"/>
        <w:rPr>
          <w:rFonts w:ascii="ITC Avant Garde" w:hAnsi="ITC Avant Garde"/>
          <w:i/>
          <w:color w:val="auto"/>
        </w:rPr>
      </w:pPr>
    </w:p>
    <w:p w14:paraId="3174E04B" w14:textId="71B81FBB" w:rsidR="00B3529C" w:rsidRPr="000624F5" w:rsidRDefault="00B3529C" w:rsidP="007D5396">
      <w:pPr>
        <w:spacing w:after="0" w:line="276" w:lineRule="auto"/>
        <w:ind w:left="-5" w:right="49" w:firstLine="0"/>
        <w:rPr>
          <w:rFonts w:ascii="ITC Avant Garde" w:hAnsi="ITC Avant Garde" w:cs="Arial"/>
          <w:snapToGrid w:val="0"/>
          <w:color w:val="auto"/>
        </w:rPr>
      </w:pPr>
      <w:r w:rsidRPr="000624F5">
        <w:rPr>
          <w:rFonts w:ascii="ITC Avant Garde" w:hAnsi="ITC Avant Garde" w:cs="Arial"/>
          <w:snapToGrid w:val="0"/>
          <w:color w:val="auto"/>
        </w:rPr>
        <w:t xml:space="preserve">Al respecto </w:t>
      </w:r>
      <w:r w:rsidR="0028705A" w:rsidRPr="000624F5">
        <w:rPr>
          <w:rFonts w:ascii="ITC Avant Garde" w:hAnsi="ITC Avant Garde" w:cs="Arial"/>
          <w:snapToGrid w:val="0"/>
          <w:color w:val="auto"/>
        </w:rPr>
        <w:t>la cláusula en comento señala lo siguiente:</w:t>
      </w:r>
    </w:p>
    <w:p w14:paraId="0F7E0CA7" w14:textId="77777777" w:rsidR="0028705A" w:rsidRPr="000624F5" w:rsidRDefault="0028705A" w:rsidP="007D5396">
      <w:pPr>
        <w:spacing w:line="276" w:lineRule="auto"/>
        <w:ind w:firstLine="0"/>
        <w:rPr>
          <w:rFonts w:ascii="ITC Avant Garde" w:hAnsi="ITC Avant Garde" w:cs="Times New Roman"/>
          <w:color w:val="auto"/>
          <w:lang w:val="es-ES_tradnl"/>
        </w:rPr>
      </w:pPr>
    </w:p>
    <w:p w14:paraId="0EC596D7" w14:textId="1CFA1309" w:rsidR="0028705A" w:rsidRPr="000624F5" w:rsidRDefault="0028705A" w:rsidP="007D5396">
      <w:pPr>
        <w:spacing w:line="276" w:lineRule="auto"/>
        <w:ind w:left="851" w:right="900" w:firstLine="0"/>
        <w:rPr>
          <w:rFonts w:ascii="ITC Avant Garde" w:hAnsi="ITC Avant Garde" w:cs="Times New Roman"/>
          <w:color w:val="auto"/>
          <w:lang w:val="es-ES_tradnl"/>
        </w:rPr>
      </w:pPr>
      <w:r w:rsidRPr="000624F5">
        <w:rPr>
          <w:rFonts w:ascii="ITC Avant Garde" w:hAnsi="ITC Avant Garde" w:cs="Times New Roman"/>
          <w:b/>
          <w:i/>
          <w:color w:val="auto"/>
          <w:sz w:val="18"/>
          <w:lang w:val="es-ES_tradnl"/>
        </w:rPr>
        <w:t xml:space="preserve">“4.5 REVISIÓN DE COSTOS. </w:t>
      </w:r>
      <w:r w:rsidRPr="000624F5">
        <w:rPr>
          <w:rFonts w:ascii="ITC Avant Garde" w:hAnsi="ITC Avant Garde" w:cs="Times New Roman"/>
          <w:i/>
          <w:color w:val="auto"/>
          <w:sz w:val="18"/>
          <w:lang w:val="es-ES_tradnl"/>
        </w:rPr>
        <w:t xml:space="preserve">Cuando durante la vigencia de este Convenio ocurran circunstancias de orden económico no previstas en el mismo, pero que de hecho y sin dolo, culpa, negligencia o ineptitud de alguna de las Partes, determinen un aumento o reducción de los costos de los Servicios de interconexión aún no prestados, dichos costos y, en consecuencia, </w:t>
      </w:r>
      <w:r w:rsidRPr="000624F5">
        <w:rPr>
          <w:rFonts w:ascii="ITC Avant Garde" w:hAnsi="ITC Avant Garde" w:cs="Times New Roman"/>
          <w:i/>
          <w:color w:val="auto"/>
          <w:sz w:val="18"/>
          <w:u w:val="single"/>
          <w:lang w:val="es-ES_tradnl"/>
        </w:rPr>
        <w:t>las contraprestaciones respectivas, podrán ser revisadas en los términos que acuerden las Partes y en caso de no alcanzar un acuerdo, las Partes resolverán los mismos de conformidad con los procedimientos de resolución de controversias previstos en el presente Convenio</w:t>
      </w:r>
      <w:r w:rsidRPr="000624F5">
        <w:rPr>
          <w:rFonts w:ascii="ITC Avant Garde" w:hAnsi="ITC Avant Garde" w:cs="Times New Roman"/>
          <w:color w:val="auto"/>
          <w:lang w:val="es-ES_tradnl"/>
        </w:rPr>
        <w:t>.”</w:t>
      </w:r>
    </w:p>
    <w:p w14:paraId="4D386F93" w14:textId="7CEB0A7E" w:rsidR="0028705A" w:rsidRPr="000624F5" w:rsidRDefault="00EF7E76" w:rsidP="00D70C4F">
      <w:pPr>
        <w:spacing w:line="276" w:lineRule="auto"/>
        <w:ind w:right="900" w:firstLine="0"/>
        <w:jc w:val="right"/>
        <w:rPr>
          <w:rFonts w:ascii="ITC Avant Garde" w:hAnsi="ITC Avant Garde" w:cs="Times New Roman"/>
          <w:color w:val="auto"/>
          <w:lang w:val="es-ES_tradnl"/>
        </w:rPr>
      </w:pPr>
      <w:r w:rsidRPr="000624F5">
        <w:rPr>
          <w:rFonts w:ascii="ITC Avant Garde" w:eastAsia="Times New Roman" w:hAnsi="ITC Avant Garde" w:cs="Times New Roman"/>
          <w:i/>
          <w:color w:val="auto"/>
          <w:sz w:val="18"/>
          <w:szCs w:val="18"/>
        </w:rPr>
        <w:t>(Énfasis añadido)</w:t>
      </w:r>
    </w:p>
    <w:p w14:paraId="3F1A6B54" w14:textId="77777777" w:rsidR="00EF7E76" w:rsidRPr="000624F5" w:rsidRDefault="00EF7E76" w:rsidP="007D5396">
      <w:pPr>
        <w:spacing w:line="276" w:lineRule="auto"/>
        <w:ind w:firstLine="0"/>
        <w:rPr>
          <w:rFonts w:ascii="ITC Avant Garde" w:hAnsi="ITC Avant Garde" w:cs="Arial"/>
          <w:snapToGrid w:val="0"/>
          <w:color w:val="auto"/>
        </w:rPr>
      </w:pPr>
    </w:p>
    <w:p w14:paraId="40B8F3AC" w14:textId="55ACEB56" w:rsidR="0028705A" w:rsidRPr="000624F5" w:rsidRDefault="0028705A" w:rsidP="007D5396">
      <w:pPr>
        <w:spacing w:line="276" w:lineRule="auto"/>
        <w:ind w:firstLine="0"/>
        <w:rPr>
          <w:rFonts w:ascii="ITC Avant Garde" w:hAnsi="ITC Avant Garde" w:cs="Times New Roman"/>
          <w:color w:val="auto"/>
          <w:lang w:val="es-ES_tradnl"/>
        </w:rPr>
      </w:pPr>
      <w:r w:rsidRPr="000624F5">
        <w:rPr>
          <w:rFonts w:ascii="ITC Avant Garde" w:hAnsi="ITC Avant Garde" w:cs="Arial"/>
          <w:snapToGrid w:val="0"/>
          <w:color w:val="auto"/>
        </w:rPr>
        <w:t>Por su parte,</w:t>
      </w:r>
      <w:r w:rsidR="006D704D" w:rsidRPr="000624F5">
        <w:rPr>
          <w:rFonts w:ascii="ITC Avant Garde" w:hAnsi="ITC Avant Garde" w:cs="Arial"/>
          <w:snapToGrid w:val="0"/>
          <w:color w:val="auto"/>
        </w:rPr>
        <w:t xml:space="preserve"> en</w:t>
      </w:r>
      <w:r w:rsidRPr="000624F5">
        <w:rPr>
          <w:rFonts w:ascii="ITC Avant Garde" w:hAnsi="ITC Avant Garde" w:cs="Arial"/>
          <w:snapToGrid w:val="0"/>
          <w:color w:val="auto"/>
        </w:rPr>
        <w:t xml:space="preserve"> el numeral 18.2 </w:t>
      </w:r>
      <w:r w:rsidR="006D704D" w:rsidRPr="000624F5">
        <w:rPr>
          <w:rFonts w:ascii="ITC Avant Garde" w:hAnsi="ITC Avant Garde" w:cs="Arial"/>
          <w:snapToGrid w:val="0"/>
          <w:color w:val="auto"/>
        </w:rPr>
        <w:t>de la Propuesta de</w:t>
      </w:r>
      <w:r w:rsidR="00C55C3C" w:rsidRPr="000624F5">
        <w:rPr>
          <w:rFonts w:ascii="ITC Avant Garde" w:hAnsi="ITC Avant Garde" w:cs="Arial"/>
          <w:snapToGrid w:val="0"/>
          <w:color w:val="auto"/>
        </w:rPr>
        <w:t xml:space="preserve"> CMI</w:t>
      </w:r>
      <w:r w:rsidR="006D704D" w:rsidRPr="000624F5">
        <w:rPr>
          <w:rFonts w:ascii="ITC Avant Garde" w:hAnsi="ITC Avant Garde" w:cs="Arial"/>
          <w:snapToGrid w:val="0"/>
          <w:color w:val="auto"/>
        </w:rPr>
        <w:t xml:space="preserve"> se</w:t>
      </w:r>
      <w:r w:rsidR="00C55C3C" w:rsidRPr="000624F5">
        <w:rPr>
          <w:rFonts w:ascii="ITC Avant Garde" w:hAnsi="ITC Avant Garde" w:cs="Arial"/>
          <w:snapToGrid w:val="0"/>
          <w:color w:val="auto"/>
        </w:rPr>
        <w:t xml:space="preserve"> </w:t>
      </w:r>
      <w:r w:rsidRPr="000624F5">
        <w:rPr>
          <w:rFonts w:ascii="ITC Avant Garde" w:hAnsi="ITC Avant Garde" w:cs="Arial"/>
          <w:snapToGrid w:val="0"/>
          <w:color w:val="auto"/>
        </w:rPr>
        <w:t>establece:</w:t>
      </w:r>
    </w:p>
    <w:p w14:paraId="1268D831" w14:textId="77777777" w:rsidR="0028705A" w:rsidRPr="000624F5" w:rsidRDefault="0028705A" w:rsidP="007D5396">
      <w:pPr>
        <w:spacing w:line="276" w:lineRule="auto"/>
        <w:ind w:firstLine="0"/>
        <w:rPr>
          <w:rFonts w:ascii="ITC Avant Garde" w:hAnsi="ITC Avant Garde" w:cs="Times New Roman"/>
          <w:color w:val="auto"/>
          <w:lang w:val="es-ES_tradnl"/>
        </w:rPr>
      </w:pPr>
    </w:p>
    <w:p w14:paraId="1E6A7699" w14:textId="6D3C79B4" w:rsidR="0028705A" w:rsidRPr="000624F5" w:rsidRDefault="0028705A" w:rsidP="007D5396">
      <w:pPr>
        <w:spacing w:line="276" w:lineRule="auto"/>
        <w:ind w:left="851" w:right="900" w:firstLine="0"/>
        <w:rPr>
          <w:rFonts w:ascii="ITC Avant Garde" w:hAnsi="ITC Avant Garde" w:cs="Times New Roman"/>
          <w:i/>
          <w:color w:val="auto"/>
          <w:sz w:val="18"/>
          <w:u w:val="single"/>
          <w:lang w:val="es-ES_tradnl"/>
        </w:rPr>
      </w:pPr>
      <w:r w:rsidRPr="000624F5">
        <w:rPr>
          <w:rFonts w:ascii="ITC Avant Garde" w:hAnsi="ITC Avant Garde" w:cs="Times New Roman"/>
          <w:b/>
          <w:i/>
          <w:color w:val="auto"/>
          <w:sz w:val="18"/>
          <w:lang w:val="es-ES_tradnl"/>
        </w:rPr>
        <w:t>18.2 ARREGLO AMISTOSO DE DIFERENCIAS</w:t>
      </w:r>
      <w:r w:rsidRPr="000624F5">
        <w:rPr>
          <w:rFonts w:ascii="ITC Avant Garde" w:hAnsi="ITC Avant Garde" w:cs="Times New Roman"/>
          <w:i/>
          <w:color w:val="auto"/>
          <w:sz w:val="18"/>
          <w:lang w:val="es-ES_tradnl"/>
        </w:rPr>
        <w:t xml:space="preserve">. </w:t>
      </w:r>
      <w:r w:rsidRPr="000624F5">
        <w:rPr>
          <w:rFonts w:ascii="ITC Avant Garde" w:hAnsi="ITC Avant Garde" w:cs="Times New Roman"/>
          <w:i/>
          <w:color w:val="auto"/>
          <w:sz w:val="18"/>
          <w:u w:val="single"/>
          <w:lang w:val="es-ES_tradnl"/>
        </w:rPr>
        <w:t xml:space="preserve">Las Partes </w:t>
      </w:r>
      <w:r w:rsidRPr="000624F5">
        <w:rPr>
          <w:rFonts w:ascii="ITC Avant Garde" w:hAnsi="ITC Avant Garde" w:cs="Times New Roman"/>
          <w:i/>
          <w:color w:val="auto"/>
          <w:sz w:val="18"/>
          <w:lang w:val="es-ES_tradnl"/>
        </w:rPr>
        <w:t xml:space="preserve">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w:t>
      </w:r>
      <w:r w:rsidRPr="000624F5">
        <w:rPr>
          <w:rFonts w:ascii="ITC Avant Garde" w:hAnsi="ITC Avant Garde" w:cs="Times New Roman"/>
          <w:i/>
          <w:color w:val="auto"/>
          <w:sz w:val="18"/>
          <w:u w:val="single"/>
          <w:lang w:val="es-ES_tradnl"/>
        </w:rPr>
        <w:t xml:space="preserve">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w:t>
      </w:r>
      <w:r w:rsidRPr="000624F5">
        <w:rPr>
          <w:rFonts w:ascii="ITC Avant Garde" w:hAnsi="ITC Avant Garde" w:cs="Times New Roman"/>
          <w:i/>
          <w:color w:val="auto"/>
          <w:sz w:val="18"/>
          <w:u w:val="single"/>
          <w:lang w:val="es-ES_tradnl"/>
        </w:rPr>
        <w:lastRenderedPageBreak/>
        <w:t>intervención del Instituto en caso de existir términos y condiciones no convenidas entre las partes.</w:t>
      </w:r>
    </w:p>
    <w:p w14:paraId="6A48DD02" w14:textId="0853768A" w:rsidR="00EF7E76" w:rsidRPr="000624F5" w:rsidRDefault="00EF7E76" w:rsidP="00D70C4F">
      <w:pPr>
        <w:spacing w:line="276" w:lineRule="auto"/>
        <w:ind w:left="851" w:right="900" w:firstLine="0"/>
        <w:jc w:val="right"/>
        <w:rPr>
          <w:rFonts w:ascii="ITC Avant Garde" w:hAnsi="ITC Avant Garde" w:cs="Times New Roman"/>
          <w:i/>
          <w:color w:val="auto"/>
          <w:sz w:val="18"/>
          <w:lang w:val="es-ES_tradnl"/>
        </w:rPr>
      </w:pPr>
      <w:r w:rsidRPr="000624F5">
        <w:rPr>
          <w:rFonts w:ascii="ITC Avant Garde" w:eastAsia="Times New Roman" w:hAnsi="ITC Avant Garde" w:cs="Times New Roman"/>
          <w:i/>
          <w:color w:val="auto"/>
          <w:sz w:val="18"/>
          <w:szCs w:val="18"/>
        </w:rPr>
        <w:t>(Énfasis añadido)</w:t>
      </w:r>
    </w:p>
    <w:p w14:paraId="7B4F1FFF" w14:textId="77777777" w:rsidR="0028705A" w:rsidRPr="000624F5" w:rsidRDefault="0028705A" w:rsidP="007D5396">
      <w:pPr>
        <w:spacing w:line="276" w:lineRule="auto"/>
        <w:ind w:firstLine="0"/>
        <w:rPr>
          <w:rFonts w:ascii="ITC Avant Garde" w:hAnsi="ITC Avant Garde" w:cs="Times New Roman"/>
          <w:color w:val="auto"/>
          <w:lang w:val="es-ES_tradnl"/>
        </w:rPr>
      </w:pPr>
    </w:p>
    <w:p w14:paraId="69F8C0B7" w14:textId="3768BD8C" w:rsidR="009D38AE" w:rsidRPr="000624F5" w:rsidRDefault="00BB2B9D" w:rsidP="007D5396">
      <w:pPr>
        <w:spacing w:line="276" w:lineRule="auto"/>
        <w:ind w:left="0" w:firstLine="0"/>
        <w:rPr>
          <w:rFonts w:ascii="ITC Avant Garde" w:hAnsi="ITC Avant Garde" w:cs="Times New Roman"/>
          <w:color w:val="auto"/>
          <w:lang w:val="es-ES_tradnl"/>
        </w:rPr>
      </w:pPr>
      <w:r w:rsidRPr="000624F5">
        <w:rPr>
          <w:rFonts w:ascii="ITC Avant Garde" w:hAnsi="ITC Avant Garde" w:cs="Times New Roman"/>
          <w:color w:val="auto"/>
          <w:lang w:val="es-ES_tradnl"/>
        </w:rPr>
        <w:t>Por lo anterior</w:t>
      </w:r>
      <w:r w:rsidR="005F5BAC" w:rsidRPr="000624F5">
        <w:rPr>
          <w:rFonts w:ascii="ITC Avant Garde" w:hAnsi="ITC Avant Garde" w:cs="Times New Roman"/>
          <w:color w:val="auto"/>
          <w:lang w:val="es-ES_tradnl"/>
        </w:rPr>
        <w:t xml:space="preserve"> este Instituto considera que el numeral 4.5 de la Propuesta de Convenio </w:t>
      </w:r>
      <w:r w:rsidR="00060EEF" w:rsidRPr="000624F5">
        <w:rPr>
          <w:rFonts w:ascii="ITC Avant Garde" w:hAnsi="ITC Avant Garde" w:cs="Times New Roman"/>
          <w:color w:val="auto"/>
          <w:lang w:val="es-ES_tradnl"/>
        </w:rPr>
        <w:t>no contraviene</w:t>
      </w:r>
      <w:r w:rsidR="005F5BAC" w:rsidRPr="000624F5">
        <w:rPr>
          <w:rFonts w:ascii="ITC Avant Garde" w:hAnsi="ITC Avant Garde" w:cs="Times New Roman"/>
          <w:color w:val="auto"/>
          <w:lang w:val="es-ES_tradnl"/>
        </w:rPr>
        <w:t xml:space="preserve"> lo establecido en el artículo 129 de la </w:t>
      </w:r>
      <w:r w:rsidR="008A3D8D" w:rsidRPr="000624F5">
        <w:rPr>
          <w:rFonts w:ascii="ITC Avant Garde" w:hAnsi="ITC Avant Garde" w:cs="Times New Roman"/>
          <w:color w:val="auto"/>
          <w:lang w:val="es-ES_tradnl"/>
        </w:rPr>
        <w:t>LFT</w:t>
      </w:r>
      <w:r w:rsidR="000271BB" w:rsidRPr="000624F5">
        <w:rPr>
          <w:rFonts w:ascii="ITC Avant Garde" w:hAnsi="ITC Avant Garde" w:cs="Times New Roman"/>
          <w:color w:val="auto"/>
          <w:lang w:val="es-ES_tradnl"/>
        </w:rPr>
        <w:t>y</w:t>
      </w:r>
      <w:r w:rsidR="008A3D8D" w:rsidRPr="000624F5">
        <w:rPr>
          <w:rFonts w:ascii="ITC Avant Garde" w:hAnsi="ITC Avant Garde" w:cs="Times New Roman"/>
          <w:color w:val="auto"/>
          <w:lang w:val="es-ES_tradnl"/>
        </w:rPr>
        <w:t>R</w:t>
      </w:r>
      <w:r w:rsidR="005F5BAC" w:rsidRPr="000624F5">
        <w:rPr>
          <w:rFonts w:ascii="ITC Avant Garde" w:hAnsi="ITC Avant Garde" w:cs="Times New Roman"/>
          <w:color w:val="auto"/>
          <w:lang w:val="es-ES_tradnl"/>
        </w:rPr>
        <w:t>, por lo que no considera necesaria la modificación.</w:t>
      </w:r>
    </w:p>
    <w:p w14:paraId="6EEA4AB8" w14:textId="77777777" w:rsidR="00BB2B9D" w:rsidRPr="000624F5" w:rsidRDefault="00BB2B9D" w:rsidP="007D5396">
      <w:pPr>
        <w:spacing w:line="276" w:lineRule="auto"/>
        <w:ind w:left="0" w:firstLine="0"/>
        <w:rPr>
          <w:rFonts w:ascii="ITC Avant Garde" w:hAnsi="ITC Avant Garde"/>
          <w:i/>
          <w:color w:val="auto"/>
        </w:rPr>
      </w:pPr>
    </w:p>
    <w:p w14:paraId="0706269E" w14:textId="2E632057" w:rsidR="009D38AE" w:rsidRPr="00B56D15" w:rsidRDefault="009D38AE"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120431B9" w14:textId="0FE60361" w:rsidR="009D38AE" w:rsidRPr="00B56D15" w:rsidRDefault="009D38AE" w:rsidP="007D5396">
      <w:pPr>
        <w:spacing w:line="276" w:lineRule="auto"/>
        <w:ind w:firstLine="0"/>
        <w:rPr>
          <w:rFonts w:ascii="ITC Avant Garde" w:hAnsi="ITC Avant Garde"/>
          <w:color w:val="auto"/>
        </w:rPr>
      </w:pPr>
    </w:p>
    <w:p w14:paraId="14D50DAF" w14:textId="103F16E4" w:rsidR="009D38AE" w:rsidRPr="009C0B95" w:rsidRDefault="00077E39" w:rsidP="007D5396">
      <w:pPr>
        <w:spacing w:after="0" w:line="276" w:lineRule="auto"/>
        <w:ind w:left="0" w:right="0" w:firstLine="0"/>
        <w:rPr>
          <w:rFonts w:ascii="ITC Avant Garde" w:hAnsi="ITC Avant Garde" w:cs="Times New Roman"/>
          <w:i/>
          <w:color w:val="auto"/>
        </w:rPr>
      </w:pPr>
      <w:r w:rsidRPr="009C0B95">
        <w:rPr>
          <w:rFonts w:ascii="ITC Avant Garde" w:hAnsi="ITC Avant Garde" w:cs="Times New Roman"/>
          <w:i/>
          <w:color w:val="auto"/>
        </w:rPr>
        <w:t xml:space="preserve">Sobre la Cláusula 4.6 </w:t>
      </w:r>
      <w:r w:rsidR="00B51C63">
        <w:rPr>
          <w:rFonts w:ascii="ITC Avant Garde" w:hAnsi="ITC Avant Garde" w:cs="Times New Roman"/>
          <w:i/>
          <w:color w:val="auto"/>
        </w:rPr>
        <w:t xml:space="preserve">Axtel y Alestra señalan </w:t>
      </w:r>
      <w:r w:rsidRPr="009C0B95">
        <w:rPr>
          <w:rFonts w:ascii="ITC Avant Garde" w:hAnsi="ITC Avant Garde" w:cs="Times New Roman"/>
          <w:i/>
          <w:color w:val="auto"/>
        </w:rPr>
        <w:t>que l</w:t>
      </w:r>
      <w:r w:rsidR="009D38AE" w:rsidRPr="009C0B95">
        <w:rPr>
          <w:rFonts w:ascii="ITC Avant Garde" w:hAnsi="ITC Avant Garde" w:cs="Times New Roman"/>
          <w:i/>
          <w:color w:val="auto"/>
        </w:rPr>
        <w:t xml:space="preserve">a mayoría </w:t>
      </w:r>
      <w:r w:rsidRPr="009C0B95">
        <w:rPr>
          <w:rFonts w:ascii="ITC Avant Garde" w:hAnsi="ITC Avant Garde" w:cs="Times New Roman"/>
          <w:i/>
          <w:color w:val="auto"/>
        </w:rPr>
        <w:t xml:space="preserve">de los </w:t>
      </w:r>
      <w:r w:rsidR="009138DD" w:rsidRPr="009C0B95">
        <w:rPr>
          <w:rFonts w:ascii="ITC Avant Garde" w:hAnsi="ITC Avant Garde" w:cs="Times New Roman"/>
          <w:i/>
          <w:color w:val="auto"/>
        </w:rPr>
        <w:t>CS</w:t>
      </w:r>
      <w:r w:rsidR="009D38AE" w:rsidRPr="009C0B95">
        <w:rPr>
          <w:rFonts w:ascii="ITC Avant Garde" w:hAnsi="ITC Avant Garde" w:cs="Times New Roman"/>
          <w:i/>
          <w:color w:val="auto"/>
        </w:rPr>
        <w:t xml:space="preserve"> ha</w:t>
      </w:r>
      <w:r w:rsidR="009138DD" w:rsidRPr="009C0B95">
        <w:rPr>
          <w:rFonts w:ascii="ITC Avant Garde" w:hAnsi="ITC Avant Garde" w:cs="Times New Roman"/>
          <w:i/>
          <w:color w:val="auto"/>
        </w:rPr>
        <w:t>n</w:t>
      </w:r>
      <w:r w:rsidR="009D38AE" w:rsidRPr="009C0B95">
        <w:rPr>
          <w:rFonts w:ascii="ITC Avant Garde" w:hAnsi="ITC Avant Garde" w:cs="Times New Roman"/>
          <w:i/>
          <w:color w:val="auto"/>
        </w:rPr>
        <w:t xml:space="preserve"> celebrado un convenio marco diferente al que ha resultado de las Medidas de Preponderancia. En tanto decida</w:t>
      </w:r>
      <w:r w:rsidR="00357CEA" w:rsidRPr="009C0B95">
        <w:rPr>
          <w:rFonts w:ascii="ITC Avant Garde" w:hAnsi="ITC Avant Garde" w:cs="Times New Roman"/>
          <w:i/>
          <w:color w:val="auto"/>
        </w:rPr>
        <w:t>n</w:t>
      </w:r>
      <w:r w:rsidR="009D38AE" w:rsidRPr="009C0B95">
        <w:rPr>
          <w:rFonts w:ascii="ITC Avant Garde" w:hAnsi="ITC Avant Garde" w:cs="Times New Roman"/>
          <w:i/>
          <w:color w:val="auto"/>
        </w:rPr>
        <w:t xml:space="preserve"> no actualizarlo, la no aplicación de los acuerdos de compensación no est</w:t>
      </w:r>
      <w:r w:rsidRPr="009C0B95">
        <w:rPr>
          <w:rFonts w:ascii="ITC Avant Garde" w:hAnsi="ITC Avant Garde" w:cs="Times New Roman"/>
          <w:i/>
          <w:color w:val="auto"/>
        </w:rPr>
        <w:t>á formalizada. Por lo que solicita</w:t>
      </w:r>
      <w:r w:rsidR="00357CEA" w:rsidRPr="009C0B95">
        <w:rPr>
          <w:rFonts w:ascii="ITC Avant Garde" w:hAnsi="ITC Avant Garde" w:cs="Times New Roman"/>
          <w:i/>
          <w:color w:val="auto"/>
        </w:rPr>
        <w:t>ron</w:t>
      </w:r>
      <w:r w:rsidRPr="009C0B95">
        <w:rPr>
          <w:rFonts w:ascii="ITC Avant Garde" w:hAnsi="ITC Avant Garde" w:cs="Times New Roman"/>
          <w:i/>
          <w:color w:val="auto"/>
        </w:rPr>
        <w:t xml:space="preserve"> r</w:t>
      </w:r>
      <w:r w:rsidR="009D38AE" w:rsidRPr="009C0B95">
        <w:rPr>
          <w:rFonts w:ascii="ITC Avant Garde" w:hAnsi="ITC Avant Garde" w:cs="Times New Roman"/>
          <w:i/>
          <w:color w:val="auto"/>
        </w:rPr>
        <w:t xml:space="preserve">equerir a Telmex </w:t>
      </w:r>
      <w:r w:rsidR="00E7525D" w:rsidRPr="009C0B95">
        <w:rPr>
          <w:rFonts w:ascii="ITC Avant Garde" w:hAnsi="ITC Avant Garde" w:cs="Times New Roman"/>
          <w:i/>
          <w:color w:val="auto"/>
        </w:rPr>
        <w:t>que,</w:t>
      </w:r>
      <w:r w:rsidR="009D38AE" w:rsidRPr="009C0B95">
        <w:rPr>
          <w:rFonts w:ascii="ITC Avant Garde" w:hAnsi="ITC Avant Garde" w:cs="Times New Roman"/>
          <w:i/>
          <w:color w:val="auto"/>
        </w:rPr>
        <w:t xml:space="preserve"> a petición de los </w:t>
      </w:r>
      <w:r w:rsidR="009138DD" w:rsidRPr="009C0B95">
        <w:rPr>
          <w:rFonts w:ascii="ITC Avant Garde" w:hAnsi="ITC Avant Garde" w:cs="Times New Roman"/>
          <w:i/>
          <w:color w:val="auto"/>
        </w:rPr>
        <w:t>CS</w:t>
      </w:r>
      <w:r w:rsidR="009D38AE" w:rsidRPr="009C0B95">
        <w:rPr>
          <w:rFonts w:ascii="ITC Avant Garde" w:hAnsi="ITC Avant Garde" w:cs="Times New Roman"/>
          <w:i/>
          <w:color w:val="auto"/>
        </w:rPr>
        <w:t>, modifique los convenios celebrados para incluir que los acue</w:t>
      </w:r>
      <w:r w:rsidRPr="009C0B95">
        <w:rPr>
          <w:rFonts w:ascii="ITC Avant Garde" w:hAnsi="ITC Avant Garde" w:cs="Times New Roman"/>
          <w:i/>
          <w:color w:val="auto"/>
        </w:rPr>
        <w:t>rdos de compensación no aplicará</w:t>
      </w:r>
      <w:r w:rsidR="009D38AE" w:rsidRPr="009C0B95">
        <w:rPr>
          <w:rFonts w:ascii="ITC Avant Garde" w:hAnsi="ITC Avant Garde" w:cs="Times New Roman"/>
          <w:i/>
          <w:color w:val="auto"/>
        </w:rPr>
        <w:t>n, en tanto Telm</w:t>
      </w:r>
      <w:r w:rsidRPr="009C0B95">
        <w:rPr>
          <w:rFonts w:ascii="ITC Avant Garde" w:hAnsi="ITC Avant Garde" w:cs="Times New Roman"/>
          <w:i/>
          <w:color w:val="auto"/>
        </w:rPr>
        <w:t>ex mantenga el carácter de AEP.</w:t>
      </w:r>
    </w:p>
    <w:p w14:paraId="4C7AAB98" w14:textId="77777777" w:rsidR="009D38AE" w:rsidRPr="00B56D15" w:rsidRDefault="009D38AE" w:rsidP="009C0B95">
      <w:pPr>
        <w:spacing w:line="276" w:lineRule="auto"/>
        <w:ind w:left="0" w:firstLine="0"/>
        <w:rPr>
          <w:rFonts w:ascii="ITC Avant Garde" w:hAnsi="ITC Avant Garde"/>
          <w:i/>
          <w:color w:val="auto"/>
        </w:rPr>
      </w:pPr>
    </w:p>
    <w:p w14:paraId="7E5E54E2" w14:textId="5584264A" w:rsidR="007D26E0" w:rsidRPr="00B56D15" w:rsidRDefault="007D26E0"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CANIETI</w:t>
      </w:r>
      <w:r w:rsidR="00462311">
        <w:rPr>
          <w:rFonts w:ascii="ITC Avant Garde" w:hAnsi="ITC Avant Garde"/>
          <w:b/>
          <w:color w:val="auto"/>
        </w:rPr>
        <w:t>,</w:t>
      </w:r>
      <w:r w:rsidR="00077E39">
        <w:rPr>
          <w:rFonts w:ascii="ITC Avant Garde" w:hAnsi="ITC Avant Garde"/>
          <w:b/>
          <w:color w:val="auto"/>
        </w:rPr>
        <w:t xml:space="preserve"> Telefónica</w:t>
      </w:r>
      <w:r w:rsidR="00462311">
        <w:rPr>
          <w:rFonts w:ascii="ITC Avant Garde" w:hAnsi="ITC Avant Garde"/>
          <w:b/>
          <w:color w:val="auto"/>
        </w:rPr>
        <w:t xml:space="preserve"> y MCM</w:t>
      </w:r>
      <w:r w:rsidRPr="00B56D15">
        <w:rPr>
          <w:rFonts w:ascii="ITC Avant Garde" w:hAnsi="ITC Avant Garde"/>
          <w:b/>
          <w:color w:val="auto"/>
        </w:rPr>
        <w:t>:</w:t>
      </w:r>
      <w:r w:rsidR="00462311">
        <w:rPr>
          <w:rFonts w:ascii="ITC Avant Garde" w:hAnsi="ITC Avant Garde"/>
          <w:b/>
          <w:color w:val="auto"/>
        </w:rPr>
        <w:t xml:space="preserve"> </w:t>
      </w:r>
    </w:p>
    <w:p w14:paraId="03EB69CD" w14:textId="68D35EBA" w:rsidR="007D26E0" w:rsidRPr="00B56D15" w:rsidRDefault="007D26E0" w:rsidP="007D5396">
      <w:pPr>
        <w:spacing w:after="0" w:line="276" w:lineRule="auto"/>
        <w:ind w:left="-5" w:right="49" w:firstLine="0"/>
        <w:rPr>
          <w:rFonts w:ascii="ITC Avant Garde" w:hAnsi="ITC Avant Garde"/>
          <w:color w:val="auto"/>
        </w:rPr>
      </w:pPr>
    </w:p>
    <w:p w14:paraId="249B0D03" w14:textId="4977D019" w:rsidR="007D26E0" w:rsidRDefault="007D26E0" w:rsidP="007D5396">
      <w:pPr>
        <w:spacing w:after="0" w:line="276" w:lineRule="auto"/>
        <w:ind w:left="0" w:right="0" w:firstLine="0"/>
        <w:rPr>
          <w:rFonts w:ascii="ITC Avant Garde" w:hAnsi="ITC Avant Garde"/>
          <w:i/>
          <w:color w:val="auto"/>
        </w:rPr>
      </w:pPr>
      <w:r w:rsidRPr="00B56D15">
        <w:rPr>
          <w:rFonts w:ascii="ITC Avant Garde" w:hAnsi="ITC Avant Garde"/>
          <w:i/>
          <w:color w:val="auto"/>
        </w:rPr>
        <w:t xml:space="preserve">Eliminar </w:t>
      </w:r>
      <w:r w:rsidR="00077E39">
        <w:rPr>
          <w:rFonts w:ascii="ITC Avant Garde" w:hAnsi="ITC Avant Garde"/>
          <w:i/>
          <w:color w:val="auto"/>
        </w:rPr>
        <w:t>el numeral 4.6 d</w:t>
      </w:r>
      <w:r w:rsidRPr="00B56D15">
        <w:rPr>
          <w:rFonts w:ascii="ITC Avant Garde" w:hAnsi="ITC Avant Garde"/>
          <w:i/>
          <w:color w:val="auto"/>
        </w:rPr>
        <w:t>e otra manera, se obliga a la negociación del acuerdo compensatorio en tiempos límite que pueden no se</w:t>
      </w:r>
      <w:r w:rsidR="00077E39">
        <w:rPr>
          <w:rFonts w:ascii="ITC Avant Garde" w:hAnsi="ITC Avant Garde"/>
          <w:i/>
          <w:color w:val="auto"/>
        </w:rPr>
        <w:t>r convenientes para las Partes. Asimismo, l</w:t>
      </w:r>
      <w:r w:rsidRPr="00B56D15">
        <w:rPr>
          <w:rFonts w:ascii="ITC Avant Garde" w:hAnsi="ITC Avant Garde"/>
          <w:i/>
          <w:color w:val="auto"/>
        </w:rPr>
        <w:t xml:space="preserve">os acuerdos de compensación no son aplicables una vez que el </w:t>
      </w:r>
      <w:r w:rsidR="00077E39">
        <w:rPr>
          <w:rFonts w:ascii="ITC Avant Garde" w:hAnsi="ITC Avant Garde"/>
          <w:i/>
          <w:color w:val="auto"/>
        </w:rPr>
        <w:t>AEP</w:t>
      </w:r>
      <w:r w:rsidRPr="00B56D15">
        <w:rPr>
          <w:rFonts w:ascii="ITC Avant Garde" w:hAnsi="ITC Avant Garde"/>
          <w:i/>
          <w:color w:val="auto"/>
        </w:rPr>
        <w:t xml:space="preserve"> pierda tal carácter, sino que el </w:t>
      </w:r>
      <w:r w:rsidR="002170E6">
        <w:rPr>
          <w:rFonts w:ascii="ITC Avant Garde" w:hAnsi="ITC Avant Garde"/>
          <w:i/>
          <w:color w:val="auto"/>
        </w:rPr>
        <w:t>Instituto</w:t>
      </w:r>
      <w:r w:rsidRPr="00B56D15">
        <w:rPr>
          <w:rFonts w:ascii="ITC Avant Garde" w:hAnsi="ITC Avant Garde"/>
          <w:i/>
          <w:color w:val="auto"/>
        </w:rPr>
        <w:t xml:space="preserve"> debe de determinar previo a su aplicación que existen condiciones de comp</w:t>
      </w:r>
      <w:r w:rsidR="00077E39">
        <w:rPr>
          <w:rFonts w:ascii="ITC Avant Garde" w:hAnsi="ITC Avant Garde"/>
          <w:i/>
          <w:color w:val="auto"/>
        </w:rPr>
        <w:t>etencia efectiva en el mercado.</w:t>
      </w:r>
    </w:p>
    <w:p w14:paraId="024C6302" w14:textId="77777777" w:rsidR="0035148F" w:rsidRDefault="0035148F" w:rsidP="007D5396">
      <w:pPr>
        <w:spacing w:after="0" w:line="276" w:lineRule="auto"/>
        <w:ind w:left="0" w:right="0" w:firstLine="0"/>
        <w:rPr>
          <w:rFonts w:ascii="ITC Avant Garde" w:hAnsi="ITC Avant Garde"/>
          <w:i/>
          <w:color w:val="auto"/>
        </w:rPr>
      </w:pPr>
    </w:p>
    <w:p w14:paraId="6A72E36F" w14:textId="77777777" w:rsidR="0035148F" w:rsidRPr="00B56D15" w:rsidRDefault="0035148F" w:rsidP="0035148F">
      <w:pPr>
        <w:spacing w:line="276" w:lineRule="auto"/>
        <w:ind w:firstLine="0"/>
        <w:rPr>
          <w:rFonts w:ascii="ITC Avant Garde" w:hAnsi="ITC Avant Garde"/>
          <w:b/>
          <w:color w:val="auto"/>
        </w:rPr>
      </w:pPr>
      <w:r>
        <w:rPr>
          <w:rFonts w:ascii="ITC Avant Garde" w:hAnsi="ITC Avant Garde"/>
          <w:b/>
          <w:color w:val="auto"/>
        </w:rPr>
        <w:t xml:space="preserve">MCM, </w:t>
      </w:r>
      <w:r w:rsidRPr="00B56D15">
        <w:rPr>
          <w:rFonts w:ascii="ITC Avant Garde" w:hAnsi="ITC Avant Garde"/>
          <w:b/>
          <w:color w:val="auto"/>
        </w:rPr>
        <w:t>Telefónica y CANIETI:</w:t>
      </w:r>
    </w:p>
    <w:p w14:paraId="548BFC3B" w14:textId="77777777" w:rsidR="0035148F" w:rsidRDefault="0035148F" w:rsidP="0035148F">
      <w:pPr>
        <w:spacing w:after="0" w:line="276" w:lineRule="auto"/>
        <w:ind w:left="-5" w:right="49" w:firstLine="0"/>
        <w:rPr>
          <w:rFonts w:ascii="ITC Avant Garde" w:hAnsi="ITC Avant Garde"/>
          <w:b/>
          <w:color w:val="auto"/>
        </w:rPr>
      </w:pPr>
    </w:p>
    <w:p w14:paraId="19583449" w14:textId="7402518B" w:rsidR="0035148F" w:rsidRDefault="0035148F" w:rsidP="0035148F">
      <w:pPr>
        <w:spacing w:after="0" w:line="276" w:lineRule="auto"/>
        <w:ind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Asimismo, en el Anexo B MCM, Telefónica y CANIETI señalaron que s</w:t>
      </w:r>
      <w:r w:rsidRPr="00ED642D">
        <w:rPr>
          <w:rFonts w:ascii="ITC Avant Garde" w:eastAsia="Times New Roman" w:hAnsi="ITC Avant Garde" w:cs="Times New Roman"/>
          <w:i/>
          <w:color w:val="auto"/>
        </w:rPr>
        <w:t>e debe eliminar el punto 1.5 “Acuerdo Compensatorio” ya que la redacción es una simple interpretación de TELMEX y no puede aceptarse por los concesionarios, aunado a que el acuerdo compensatorio no aplica por el simple hecho de que Telmex deje de tener el carácter de AEP, sino que estos resultan aplicables cuando existen condiciones de competencia efectiva.</w:t>
      </w:r>
    </w:p>
    <w:p w14:paraId="3451D0A2" w14:textId="77777777" w:rsidR="003A60A5" w:rsidRPr="00ED020C" w:rsidRDefault="003A60A5" w:rsidP="007D5396">
      <w:pPr>
        <w:spacing w:after="0" w:line="276" w:lineRule="auto"/>
        <w:ind w:left="0" w:right="49" w:firstLine="0"/>
        <w:rPr>
          <w:rFonts w:ascii="ITC Avant Garde" w:eastAsia="Times New Roman" w:hAnsi="ITC Avant Garde" w:cs="Times New Roman"/>
          <w:i/>
          <w:color w:val="auto"/>
        </w:rPr>
      </w:pPr>
    </w:p>
    <w:p w14:paraId="24E2AEB5" w14:textId="17FF484B" w:rsidR="003A60A5" w:rsidRPr="00ED020C" w:rsidRDefault="003A60A5" w:rsidP="007D5396">
      <w:pPr>
        <w:spacing w:after="0" w:line="276" w:lineRule="auto"/>
        <w:ind w:right="49" w:firstLine="0"/>
        <w:rPr>
          <w:rFonts w:ascii="ITC Avant Garde" w:eastAsia="Times New Roman" w:hAnsi="ITC Avant Garde" w:cs="Times New Roman"/>
          <w:color w:val="auto"/>
        </w:rPr>
      </w:pPr>
      <w:r w:rsidRPr="00ED020C">
        <w:rPr>
          <w:rFonts w:ascii="ITC Avant Garde" w:eastAsia="Times New Roman" w:hAnsi="ITC Avant Garde" w:cs="Times New Roman"/>
          <w:color w:val="auto"/>
        </w:rPr>
        <w:t xml:space="preserve">Al respecto, el artículo 131 de la </w:t>
      </w:r>
      <w:r w:rsidR="008A3D8D" w:rsidRPr="00ED020C">
        <w:rPr>
          <w:rFonts w:ascii="ITC Avant Garde" w:eastAsia="Times New Roman" w:hAnsi="ITC Avant Garde" w:cs="Times New Roman"/>
          <w:color w:val="auto"/>
        </w:rPr>
        <w:t>LFT</w:t>
      </w:r>
      <w:r w:rsidR="000271BB" w:rsidRPr="00ED020C">
        <w:rPr>
          <w:rFonts w:ascii="ITC Avant Garde" w:eastAsia="Times New Roman" w:hAnsi="ITC Avant Garde" w:cs="Times New Roman"/>
          <w:color w:val="auto"/>
        </w:rPr>
        <w:t>y</w:t>
      </w:r>
      <w:r w:rsidR="008A3D8D" w:rsidRPr="00ED020C">
        <w:rPr>
          <w:rFonts w:ascii="ITC Avant Garde" w:eastAsia="Times New Roman" w:hAnsi="ITC Avant Garde" w:cs="Times New Roman"/>
          <w:color w:val="auto"/>
        </w:rPr>
        <w:t>R</w:t>
      </w:r>
      <w:r w:rsidRPr="00ED020C">
        <w:rPr>
          <w:rFonts w:ascii="ITC Avant Garde" w:eastAsia="Times New Roman" w:hAnsi="ITC Avant Garde" w:cs="Times New Roman"/>
          <w:color w:val="auto"/>
        </w:rPr>
        <w:t xml:space="preserve"> señala que previo a que el Instituto determine que un AEP ya no cuenta con dicho carácter debe determinar si dicho agente cuenta o no con poder substancial en el mercado, asimismo cuando el Instituto considere que existen condiciones de competencia efectiva en el sector de las telecomunicaciones, determinará los criterios conforme a los cuales los concesionarios de redes públicas de telecomunicaciones, fijas y móviles, celebrarán de manera obligatoria acuerdos de compensación recíproca de </w:t>
      </w:r>
      <w:r w:rsidRPr="00ED020C">
        <w:rPr>
          <w:rFonts w:ascii="ITC Avant Garde" w:eastAsia="Times New Roman" w:hAnsi="ITC Avant Garde" w:cs="Times New Roman"/>
          <w:color w:val="auto"/>
        </w:rPr>
        <w:lastRenderedPageBreak/>
        <w:t xml:space="preserve">tráfico, sin cargo alguno por terminación, incluyendo llamadas y mensajes cortos; por lo que </w:t>
      </w:r>
      <w:r w:rsidR="00357CEA" w:rsidRPr="00ED020C">
        <w:rPr>
          <w:rFonts w:ascii="ITC Avant Garde" w:eastAsia="Times New Roman" w:hAnsi="ITC Avant Garde" w:cs="Times New Roman"/>
          <w:color w:val="auto"/>
        </w:rPr>
        <w:t xml:space="preserve">el AEP </w:t>
      </w:r>
      <w:r w:rsidRPr="00ED020C">
        <w:rPr>
          <w:rFonts w:ascii="ITC Avant Garde" w:eastAsia="Times New Roman" w:hAnsi="ITC Avant Garde" w:cs="Times New Roman"/>
          <w:color w:val="auto"/>
        </w:rPr>
        <w:t>no puede obligar en los términos del CMI a otros concesionarios a celebrar convenios de compensación en los términos que dicho concesionario considere conveniente.</w:t>
      </w:r>
    </w:p>
    <w:p w14:paraId="5A19EF3A" w14:textId="77777777" w:rsidR="003A60A5" w:rsidRPr="00ED020C" w:rsidRDefault="003A60A5" w:rsidP="007D5396">
      <w:pPr>
        <w:spacing w:after="0" w:line="276" w:lineRule="auto"/>
        <w:ind w:right="49" w:firstLine="0"/>
        <w:rPr>
          <w:rFonts w:ascii="ITC Avant Garde" w:eastAsia="Times New Roman" w:hAnsi="ITC Avant Garde" w:cs="Times New Roman"/>
          <w:color w:val="auto"/>
        </w:rPr>
      </w:pPr>
    </w:p>
    <w:p w14:paraId="41BDAF7E" w14:textId="24F58223" w:rsidR="003A60A5" w:rsidRPr="00ED020C" w:rsidRDefault="003A60A5" w:rsidP="007D5396">
      <w:pPr>
        <w:spacing w:after="0" w:line="276" w:lineRule="auto"/>
        <w:ind w:right="49" w:firstLine="0"/>
        <w:rPr>
          <w:rFonts w:ascii="ITC Avant Garde" w:eastAsia="Times New Roman" w:hAnsi="ITC Avant Garde" w:cs="Times New Roman"/>
          <w:color w:val="auto"/>
        </w:rPr>
      </w:pPr>
      <w:r w:rsidRPr="00ED020C">
        <w:rPr>
          <w:rFonts w:ascii="ITC Avant Garde" w:eastAsia="Times New Roman" w:hAnsi="ITC Avant Garde" w:cs="Times New Roman"/>
          <w:color w:val="auto"/>
        </w:rPr>
        <w:t xml:space="preserve">En este sentido se </w:t>
      </w:r>
      <w:r w:rsidR="009C0B95" w:rsidRPr="00ED020C">
        <w:rPr>
          <w:rFonts w:ascii="ITC Avant Garde" w:eastAsia="Times New Roman" w:hAnsi="ITC Avant Garde" w:cs="Times New Roman"/>
          <w:color w:val="auto"/>
        </w:rPr>
        <w:t>eliminaron las</w:t>
      </w:r>
      <w:r w:rsidRPr="00ED020C">
        <w:rPr>
          <w:rFonts w:ascii="ITC Avant Garde" w:eastAsia="Times New Roman" w:hAnsi="ITC Avant Garde" w:cs="Times New Roman"/>
          <w:color w:val="auto"/>
        </w:rPr>
        <w:t xml:space="preserve"> referencias a un Acuerdo Compensat</w:t>
      </w:r>
      <w:r w:rsidR="009C0B95" w:rsidRPr="00ED020C">
        <w:rPr>
          <w:rFonts w:ascii="ITC Avant Garde" w:eastAsia="Times New Roman" w:hAnsi="ITC Avant Garde" w:cs="Times New Roman"/>
          <w:color w:val="auto"/>
        </w:rPr>
        <w:t>orio dentro del CMI y sus Anexos</w:t>
      </w:r>
      <w:r w:rsidRPr="00ED020C">
        <w:rPr>
          <w:rFonts w:ascii="ITC Avant Garde" w:eastAsia="Times New Roman" w:hAnsi="ITC Avant Garde" w:cs="Times New Roman"/>
          <w:color w:val="auto"/>
        </w:rPr>
        <w:t>.</w:t>
      </w:r>
    </w:p>
    <w:p w14:paraId="331FB5BF" w14:textId="77777777" w:rsidR="007D26E0" w:rsidRPr="00B56D15" w:rsidRDefault="007D26E0" w:rsidP="00A51826">
      <w:pPr>
        <w:spacing w:line="276" w:lineRule="auto"/>
        <w:ind w:left="0" w:firstLine="0"/>
        <w:rPr>
          <w:rFonts w:ascii="ITC Avant Garde" w:hAnsi="ITC Avant Garde"/>
          <w:i/>
          <w:color w:val="auto"/>
        </w:rPr>
      </w:pPr>
    </w:p>
    <w:p w14:paraId="40880AC8" w14:textId="4D33D935" w:rsidR="00981326" w:rsidRDefault="002959C1" w:rsidP="007D5396">
      <w:pPr>
        <w:spacing w:after="0" w:line="276" w:lineRule="auto"/>
        <w:ind w:left="-5" w:right="49"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Pr>
          <w:rFonts w:ascii="ITC Avant Garde" w:hAnsi="ITC Avant Garde"/>
          <w:b/>
          <w:color w:val="auto"/>
          <w:u w:val="single"/>
        </w:rPr>
        <w:t>CLÁUSULA QUINTA</w:t>
      </w:r>
    </w:p>
    <w:p w14:paraId="111D20F3" w14:textId="77777777" w:rsidR="002959C1" w:rsidRDefault="002959C1" w:rsidP="007D5396">
      <w:pPr>
        <w:spacing w:after="0" w:line="276" w:lineRule="auto"/>
        <w:ind w:left="-5" w:right="49" w:firstLine="0"/>
        <w:rPr>
          <w:rFonts w:ascii="ITC Avant Garde" w:hAnsi="ITC Avant Garde"/>
          <w:b/>
          <w:color w:val="auto"/>
        </w:rPr>
      </w:pPr>
    </w:p>
    <w:p w14:paraId="710F71DD" w14:textId="39AC8A83" w:rsidR="007D26E0" w:rsidRPr="00B56D15" w:rsidRDefault="007D26E0" w:rsidP="007D5396">
      <w:pPr>
        <w:spacing w:after="0" w:line="276" w:lineRule="auto"/>
        <w:ind w:left="0" w:right="49" w:firstLine="0"/>
        <w:rPr>
          <w:rFonts w:ascii="ITC Avant Garde" w:hAnsi="ITC Avant Garde"/>
          <w:b/>
          <w:color w:val="auto"/>
        </w:rPr>
      </w:pPr>
      <w:r w:rsidRPr="00B56D15">
        <w:rPr>
          <w:rFonts w:ascii="ITC Avant Garde" w:hAnsi="ITC Avant Garde"/>
          <w:b/>
          <w:color w:val="auto"/>
        </w:rPr>
        <w:t>CANIETI</w:t>
      </w:r>
      <w:r w:rsidR="00981326">
        <w:rPr>
          <w:rFonts w:ascii="ITC Avant Garde" w:hAnsi="ITC Avant Garde"/>
          <w:b/>
          <w:color w:val="auto"/>
        </w:rPr>
        <w:t xml:space="preserve"> y Telefónica</w:t>
      </w:r>
      <w:r w:rsidRPr="00B56D15">
        <w:rPr>
          <w:rFonts w:ascii="ITC Avant Garde" w:hAnsi="ITC Avant Garde"/>
          <w:b/>
          <w:color w:val="auto"/>
        </w:rPr>
        <w:t>:</w:t>
      </w:r>
    </w:p>
    <w:p w14:paraId="789027E3" w14:textId="77777777" w:rsidR="007D26E0" w:rsidRPr="004C65CF" w:rsidRDefault="007D26E0" w:rsidP="007D5396">
      <w:pPr>
        <w:spacing w:after="0" w:line="276" w:lineRule="auto"/>
        <w:ind w:left="0" w:right="0" w:firstLine="0"/>
        <w:rPr>
          <w:rFonts w:ascii="ITC Avant Garde" w:hAnsi="ITC Avant Garde"/>
          <w:i/>
          <w:color w:val="auto"/>
        </w:rPr>
      </w:pPr>
    </w:p>
    <w:p w14:paraId="4D57325D" w14:textId="63876D68" w:rsidR="007D26E0" w:rsidRPr="00B56D15" w:rsidRDefault="00981326" w:rsidP="007D5396">
      <w:pPr>
        <w:spacing w:after="0" w:line="276" w:lineRule="auto"/>
        <w:ind w:left="0" w:right="0" w:firstLine="0"/>
        <w:rPr>
          <w:rFonts w:ascii="ITC Avant Garde" w:hAnsi="ITC Avant Garde"/>
          <w:i/>
          <w:color w:val="auto"/>
        </w:rPr>
      </w:pPr>
      <w:r>
        <w:rPr>
          <w:rFonts w:ascii="ITC Avant Garde" w:hAnsi="ITC Avant Garde"/>
          <w:i/>
          <w:color w:val="auto"/>
        </w:rPr>
        <w:t xml:space="preserve">En el numeral 5.1 se señala </w:t>
      </w:r>
      <w:r w:rsidR="007D26E0" w:rsidRPr="00B56D15">
        <w:rPr>
          <w:rFonts w:ascii="ITC Avant Garde" w:hAnsi="ITC Avant Garde"/>
          <w:i/>
          <w:color w:val="auto"/>
        </w:rPr>
        <w:t>“Las partes o solo el Agente Económico Preponderante</w:t>
      </w:r>
      <w:r w:rsidR="006B0F62">
        <w:rPr>
          <w:rFonts w:ascii="ITC Avant Garde" w:hAnsi="ITC Avant Garde"/>
          <w:i/>
          <w:color w:val="auto"/>
        </w:rPr>
        <w:t>”</w:t>
      </w:r>
      <w:r>
        <w:rPr>
          <w:rFonts w:ascii="ITC Avant Garde" w:hAnsi="ITC Avant Garde"/>
          <w:i/>
          <w:color w:val="auto"/>
        </w:rPr>
        <w:t xml:space="preserve"> por lo que s</w:t>
      </w:r>
      <w:r w:rsidR="007D26E0" w:rsidRPr="00B56D15">
        <w:rPr>
          <w:rFonts w:ascii="ITC Avant Garde" w:hAnsi="ITC Avant Garde"/>
          <w:i/>
          <w:color w:val="auto"/>
        </w:rPr>
        <w:t>e sugiere: “Las Partes podrán acordar</w:t>
      </w:r>
      <w:r>
        <w:rPr>
          <w:rFonts w:ascii="ITC Avant Garde" w:hAnsi="ITC Avant Garde"/>
          <w:i/>
          <w:color w:val="auto"/>
        </w:rPr>
        <w:t>” no así: “Las Partes acuerdan”.</w:t>
      </w:r>
    </w:p>
    <w:p w14:paraId="1D7A9FCB" w14:textId="2B4A91AB" w:rsidR="007D26E0" w:rsidRDefault="007D26E0" w:rsidP="007D5396">
      <w:pPr>
        <w:spacing w:line="276" w:lineRule="auto"/>
        <w:ind w:left="0" w:firstLine="0"/>
        <w:rPr>
          <w:rFonts w:ascii="ITC Avant Garde" w:hAnsi="ITC Avant Garde"/>
          <w:i/>
          <w:color w:val="auto"/>
        </w:rPr>
      </w:pPr>
    </w:p>
    <w:p w14:paraId="30F22BF7" w14:textId="1FF996C0" w:rsidR="00376DD6" w:rsidRPr="00ED020C" w:rsidRDefault="00376DD6" w:rsidP="007D5396">
      <w:pPr>
        <w:spacing w:after="0" w:line="276" w:lineRule="auto"/>
        <w:ind w:right="49" w:firstLine="0"/>
        <w:rPr>
          <w:rFonts w:ascii="ITC Avant Garde" w:eastAsia="Times New Roman" w:hAnsi="ITC Avant Garde" w:cs="Times New Roman"/>
          <w:color w:val="auto"/>
        </w:rPr>
      </w:pPr>
      <w:r w:rsidRPr="00ED020C">
        <w:rPr>
          <w:rFonts w:ascii="ITC Avant Garde" w:eastAsia="Times New Roman" w:hAnsi="ITC Avant Garde" w:cs="Times New Roman"/>
          <w:color w:val="auto"/>
        </w:rPr>
        <w:t xml:space="preserve">Al respecto, el mencionado numeral es congruente con el artículo 124 de la </w:t>
      </w:r>
      <w:r w:rsidR="008A3D8D" w:rsidRPr="00ED020C">
        <w:rPr>
          <w:rFonts w:ascii="ITC Avant Garde" w:eastAsia="Times New Roman" w:hAnsi="ITC Avant Garde" w:cs="Times New Roman"/>
          <w:color w:val="auto"/>
        </w:rPr>
        <w:t>LFT</w:t>
      </w:r>
      <w:r w:rsidR="000271BB" w:rsidRPr="00ED020C">
        <w:rPr>
          <w:rFonts w:ascii="ITC Avant Garde" w:eastAsia="Times New Roman" w:hAnsi="ITC Avant Garde" w:cs="Times New Roman"/>
          <w:color w:val="auto"/>
        </w:rPr>
        <w:t>y</w:t>
      </w:r>
      <w:r w:rsidR="008A3D8D" w:rsidRPr="00ED020C">
        <w:rPr>
          <w:rFonts w:ascii="ITC Avant Garde" w:eastAsia="Times New Roman" w:hAnsi="ITC Avant Garde" w:cs="Times New Roman"/>
          <w:color w:val="auto"/>
        </w:rPr>
        <w:t>R</w:t>
      </w:r>
      <w:r w:rsidRPr="00ED020C">
        <w:rPr>
          <w:rFonts w:ascii="ITC Avant Garde" w:eastAsia="Times New Roman" w:hAnsi="ITC Avant Garde" w:cs="Times New Roman"/>
          <w:color w:val="auto"/>
        </w:rPr>
        <w:t xml:space="preserve"> en el sentido que los concesionarios que operen redes públicas de telecomunicaciones deberán adoptar diseños de arquitectura abierta de red para garantizar la interconexión e interoperabilidad de sus redes, por lo que no se considera necesaria la modificación.</w:t>
      </w:r>
    </w:p>
    <w:p w14:paraId="0450EA51" w14:textId="77777777" w:rsidR="007D26E0" w:rsidRPr="00B56D15" w:rsidRDefault="007D26E0" w:rsidP="007D5396">
      <w:pPr>
        <w:spacing w:line="276" w:lineRule="auto"/>
        <w:ind w:firstLine="0"/>
        <w:rPr>
          <w:rFonts w:ascii="ITC Avant Garde" w:hAnsi="ITC Avant Garde"/>
          <w:color w:val="auto"/>
        </w:rPr>
      </w:pPr>
    </w:p>
    <w:p w14:paraId="2F39E86A" w14:textId="0EA3B783" w:rsidR="007D26E0" w:rsidRPr="00B56D15" w:rsidRDefault="00AD2BED" w:rsidP="007D5396">
      <w:pPr>
        <w:spacing w:after="0" w:line="276" w:lineRule="auto"/>
        <w:ind w:left="-5" w:right="49" w:firstLine="0"/>
        <w:rPr>
          <w:rFonts w:ascii="ITC Avant Garde" w:hAnsi="ITC Avant Garde"/>
          <w:b/>
          <w:color w:val="auto"/>
        </w:rPr>
      </w:pPr>
      <w:r w:rsidRPr="00322EC6">
        <w:rPr>
          <w:rFonts w:ascii="ITC Avant Garde" w:hAnsi="ITC Avant Garde"/>
          <w:b/>
          <w:color w:val="auto"/>
        </w:rPr>
        <w:t>MCM</w:t>
      </w:r>
      <w:r w:rsidR="004C65CF" w:rsidRPr="00322EC6">
        <w:rPr>
          <w:rFonts w:ascii="ITC Avant Garde" w:hAnsi="ITC Avant Garde"/>
          <w:b/>
          <w:color w:val="auto"/>
        </w:rPr>
        <w:t xml:space="preserve"> y</w:t>
      </w:r>
      <w:r w:rsidRPr="00322EC6">
        <w:rPr>
          <w:rFonts w:ascii="ITC Avant Garde" w:hAnsi="ITC Avant Garde"/>
          <w:b/>
          <w:color w:val="auto"/>
        </w:rPr>
        <w:t xml:space="preserve"> </w:t>
      </w:r>
      <w:r w:rsidR="007D26E0" w:rsidRPr="00322EC6">
        <w:rPr>
          <w:rFonts w:ascii="ITC Avant Garde" w:hAnsi="ITC Avant Garde"/>
          <w:b/>
          <w:color w:val="auto"/>
        </w:rPr>
        <w:t>CANIETI:</w:t>
      </w:r>
    </w:p>
    <w:p w14:paraId="5B95ECD1" w14:textId="77777777" w:rsidR="007D26E0" w:rsidRPr="00B56D15" w:rsidRDefault="007D26E0" w:rsidP="007D5396">
      <w:pPr>
        <w:spacing w:after="0" w:line="276" w:lineRule="auto"/>
        <w:ind w:left="-5" w:right="49" w:firstLine="0"/>
        <w:rPr>
          <w:rFonts w:ascii="ITC Avant Garde" w:hAnsi="ITC Avant Garde"/>
          <w:b/>
          <w:color w:val="auto"/>
        </w:rPr>
      </w:pPr>
    </w:p>
    <w:p w14:paraId="13765659" w14:textId="2490BB74" w:rsidR="007D26E0" w:rsidRPr="00B56D15" w:rsidRDefault="004C65CF" w:rsidP="007930BF">
      <w:pPr>
        <w:spacing w:after="0" w:line="276" w:lineRule="auto"/>
        <w:ind w:left="-5" w:right="49" w:firstLine="0"/>
        <w:rPr>
          <w:rFonts w:ascii="ITC Avant Garde" w:hAnsi="ITC Avant Garde"/>
          <w:i/>
          <w:color w:val="auto"/>
        </w:rPr>
      </w:pPr>
      <w:r>
        <w:rPr>
          <w:rFonts w:ascii="ITC Avant Garde" w:hAnsi="ITC Avant Garde"/>
          <w:i/>
          <w:color w:val="auto"/>
        </w:rPr>
        <w:t xml:space="preserve">En el </w:t>
      </w:r>
      <w:r w:rsidR="00981326">
        <w:rPr>
          <w:rFonts w:ascii="ITC Avant Garde" w:hAnsi="ITC Avant Garde"/>
          <w:i/>
          <w:color w:val="auto"/>
        </w:rPr>
        <w:t xml:space="preserve">numeral 5.3 </w:t>
      </w:r>
      <w:r>
        <w:rPr>
          <w:rFonts w:ascii="ITC Avant Garde" w:hAnsi="ITC Avant Garde"/>
          <w:i/>
          <w:color w:val="auto"/>
        </w:rPr>
        <w:t>se requiere incluir que e</w:t>
      </w:r>
      <w:r w:rsidR="007D26E0" w:rsidRPr="00B56D15">
        <w:rPr>
          <w:rFonts w:ascii="ITC Avant Garde" w:hAnsi="ITC Avant Garde"/>
          <w:i/>
          <w:color w:val="auto"/>
        </w:rPr>
        <w:t xml:space="preserve">l servicio de interconexión cruzada se deberá ofrecer mediante la instalación de cable de fibra óptica entre la red de CS y la red cualquier tercer concesionario que cuente con una coubicación en </w:t>
      </w:r>
      <w:r w:rsidRPr="00B56D15">
        <w:rPr>
          <w:rFonts w:ascii="ITC Avant Garde" w:hAnsi="ITC Avant Garde"/>
          <w:i/>
          <w:color w:val="auto"/>
        </w:rPr>
        <w:t>la misma central telefónica</w:t>
      </w:r>
      <w:r w:rsidR="007D26E0" w:rsidRPr="00B56D15">
        <w:rPr>
          <w:rFonts w:ascii="ITC Avant Garde" w:hAnsi="ITC Avant Garde"/>
          <w:i/>
          <w:color w:val="auto"/>
        </w:rPr>
        <w:t xml:space="preserve"> del AEP (“Interconexión Cruzada No Gestionada”)</w:t>
      </w:r>
      <w:r w:rsidR="001A04B7">
        <w:rPr>
          <w:rFonts w:ascii="ITC Avant Garde" w:hAnsi="ITC Avant Garde"/>
          <w:i/>
          <w:color w:val="auto"/>
        </w:rPr>
        <w:t xml:space="preserve">. Asimismo, MCM y CANIETI </w:t>
      </w:r>
      <w:r w:rsidR="00D13FD7">
        <w:rPr>
          <w:rFonts w:ascii="ITC Avant Garde" w:hAnsi="ITC Avant Garde"/>
          <w:i/>
          <w:color w:val="auto"/>
        </w:rPr>
        <w:t>señalan</w:t>
      </w:r>
      <w:r w:rsidR="001A04B7">
        <w:rPr>
          <w:rFonts w:ascii="ITC Avant Garde" w:hAnsi="ITC Avant Garde"/>
          <w:i/>
          <w:color w:val="auto"/>
        </w:rPr>
        <w:t xml:space="preserve"> un procedimiento para la prestación del servicio de interconexión cruzada no gestionada.</w:t>
      </w:r>
      <w:r w:rsidR="007D26E0" w:rsidRPr="00B56D15">
        <w:rPr>
          <w:rFonts w:ascii="ITC Avant Garde" w:hAnsi="ITC Avant Garde"/>
          <w:i/>
          <w:color w:val="auto"/>
        </w:rPr>
        <w:t xml:space="preserve"> </w:t>
      </w:r>
    </w:p>
    <w:p w14:paraId="628C36A1" w14:textId="77777777" w:rsidR="007D26E0" w:rsidRPr="009D5CAD" w:rsidRDefault="007D26E0" w:rsidP="007D5396">
      <w:pPr>
        <w:spacing w:line="276" w:lineRule="auto"/>
        <w:ind w:firstLine="0"/>
        <w:rPr>
          <w:rFonts w:ascii="ITC Avant Garde" w:hAnsi="ITC Avant Garde"/>
          <w:color w:val="auto"/>
        </w:rPr>
      </w:pPr>
    </w:p>
    <w:p w14:paraId="22FDD197" w14:textId="47CADAFB" w:rsidR="007D26E0" w:rsidRPr="00ED020C" w:rsidRDefault="009D5CAD" w:rsidP="007D5396">
      <w:pPr>
        <w:spacing w:line="276" w:lineRule="auto"/>
        <w:ind w:firstLine="0"/>
        <w:rPr>
          <w:rFonts w:ascii="ITC Avant Garde" w:hAnsi="ITC Avant Garde" w:cs="Arial"/>
          <w:color w:val="auto"/>
        </w:rPr>
      </w:pPr>
      <w:r w:rsidRPr="00ED020C">
        <w:rPr>
          <w:rFonts w:ascii="ITC Avant Garde" w:hAnsi="ITC Avant Garde"/>
          <w:color w:val="auto"/>
        </w:rPr>
        <w:t xml:space="preserve">Al respecto, se </w:t>
      </w:r>
      <w:r w:rsidR="001A04B7" w:rsidRPr="00ED020C">
        <w:rPr>
          <w:rFonts w:ascii="ITC Avant Garde" w:hAnsi="ITC Avant Garde"/>
          <w:color w:val="auto"/>
        </w:rPr>
        <w:t>modificó el numeral 5.3</w:t>
      </w:r>
      <w:r w:rsidRPr="00ED020C">
        <w:rPr>
          <w:rFonts w:ascii="ITC Avant Garde" w:hAnsi="ITC Avant Garde"/>
          <w:color w:val="auto"/>
        </w:rPr>
        <w:t xml:space="preserve"> a fin de señalar que </w:t>
      </w:r>
      <w:r w:rsidRPr="00ED020C">
        <w:rPr>
          <w:rFonts w:ascii="ITC Avant Garde" w:hAnsi="ITC Avant Garde" w:cs="Arial"/>
          <w:color w:val="auto"/>
        </w:rPr>
        <w:t>la interconexión entre concesionarios que tengan presencia y/o espacios de coubicación en el mismo edificio de</w:t>
      </w:r>
      <w:r w:rsidR="001A04B7" w:rsidRPr="00ED020C">
        <w:rPr>
          <w:rFonts w:ascii="ITC Avant Garde" w:hAnsi="ITC Avant Garde" w:cs="Arial"/>
          <w:color w:val="auto"/>
        </w:rPr>
        <w:t xml:space="preserve">l AEP </w:t>
      </w:r>
      <w:r w:rsidRPr="00ED020C">
        <w:rPr>
          <w:rFonts w:ascii="ITC Avant Garde" w:hAnsi="ITC Avant Garde" w:cs="Arial"/>
          <w:color w:val="auto"/>
        </w:rPr>
        <w:t>se realizaría a través de un enlace de transmisión de interconexión gestionado o un enlace de interconexión no gestionado</w:t>
      </w:r>
      <w:r w:rsidR="001A04B7" w:rsidRPr="00ED020C">
        <w:rPr>
          <w:rFonts w:ascii="ITC Avant Garde" w:hAnsi="ITC Avant Garde" w:cs="Arial"/>
          <w:color w:val="auto"/>
        </w:rPr>
        <w:t xml:space="preserve">, </w:t>
      </w:r>
      <w:r w:rsidR="001549AF" w:rsidRPr="00ED020C">
        <w:rPr>
          <w:rFonts w:ascii="ITC Avant Garde" w:hAnsi="ITC Avant Garde" w:cs="Arial"/>
          <w:color w:val="auto"/>
        </w:rPr>
        <w:t>en los siguientes términos:</w:t>
      </w:r>
    </w:p>
    <w:p w14:paraId="145ECDFF" w14:textId="77777777" w:rsidR="009D5CAD" w:rsidRPr="00ED020C" w:rsidRDefault="009D5CAD" w:rsidP="007D5396">
      <w:pPr>
        <w:spacing w:line="276" w:lineRule="auto"/>
        <w:ind w:firstLine="0"/>
        <w:rPr>
          <w:rFonts w:ascii="ITC Avant Garde" w:hAnsi="ITC Avant Garde"/>
          <w:i/>
          <w:color w:val="auto"/>
        </w:rPr>
      </w:pPr>
    </w:p>
    <w:p w14:paraId="170C1DCA" w14:textId="4A640DAF" w:rsidR="009D5CAD" w:rsidRPr="00ED020C" w:rsidRDefault="000F40ED" w:rsidP="007D5396">
      <w:pPr>
        <w:spacing w:after="0" w:line="276" w:lineRule="auto"/>
        <w:ind w:left="567" w:right="567" w:firstLine="0"/>
        <w:rPr>
          <w:rFonts w:ascii="ITC Avant Garde" w:hAnsi="ITC Avant Garde"/>
          <w:i/>
          <w:color w:val="auto"/>
          <w:sz w:val="18"/>
          <w:szCs w:val="18"/>
        </w:rPr>
      </w:pPr>
      <w:r w:rsidRPr="00ED020C">
        <w:rPr>
          <w:rFonts w:ascii="ITC Avant Garde" w:hAnsi="ITC Avant Garde"/>
          <w:i/>
          <w:color w:val="auto"/>
          <w:sz w:val="18"/>
          <w:szCs w:val="18"/>
        </w:rPr>
        <w:t xml:space="preserve">“5.3 INTERCONEXION ENTRE OTROS CONCESIONARIOS. Telmex se obliga a atender a los principios de eficiencia y sana competencia en sus espacios de Coubicación, por lo que permitirá a la Parte Solicitante interconectar su red dentro de las instalaciones de Telmex con la Red Pública de Telecomunicaciones de otro Concesionario que tengan </w:t>
      </w:r>
      <w:r w:rsidR="009D5CAD" w:rsidRPr="00ED020C">
        <w:rPr>
          <w:rFonts w:ascii="ITC Avant Garde" w:hAnsi="ITC Avant Garde"/>
          <w:i/>
          <w:color w:val="auto"/>
          <w:sz w:val="18"/>
          <w:szCs w:val="18"/>
        </w:rPr>
        <w:t>presencia y/o espacios de coubicación en el mismo edificio de Telmex (Interconexión Cruzada), esto a través de:</w:t>
      </w:r>
    </w:p>
    <w:p w14:paraId="46DF969D" w14:textId="77777777" w:rsidR="009D5CAD" w:rsidRPr="00ED020C" w:rsidRDefault="009D5CAD" w:rsidP="007D5396">
      <w:pPr>
        <w:spacing w:after="0" w:line="276" w:lineRule="auto"/>
        <w:ind w:left="567" w:right="567" w:firstLine="0"/>
        <w:rPr>
          <w:rFonts w:ascii="ITC Avant Garde" w:hAnsi="ITC Avant Garde"/>
          <w:i/>
          <w:color w:val="auto"/>
          <w:sz w:val="18"/>
          <w:szCs w:val="18"/>
        </w:rPr>
      </w:pPr>
      <w:r w:rsidRPr="00ED020C">
        <w:rPr>
          <w:rFonts w:ascii="ITC Avant Garde" w:hAnsi="ITC Avant Garde"/>
          <w:i/>
          <w:color w:val="auto"/>
          <w:sz w:val="18"/>
          <w:szCs w:val="18"/>
        </w:rPr>
        <w:lastRenderedPageBreak/>
        <w:t>•</w:t>
      </w:r>
      <w:r w:rsidRPr="00ED020C">
        <w:rPr>
          <w:rFonts w:ascii="ITC Avant Garde" w:hAnsi="ITC Avant Garde"/>
          <w:i/>
          <w:color w:val="auto"/>
          <w:sz w:val="18"/>
          <w:szCs w:val="18"/>
        </w:rPr>
        <w:tab/>
        <w:t>Enlace de transmisión de Interconexión gestionado, el cual por cuestiones de seguridad y operabilidad, Telmex proveerá el servicio cubriendo la operación y el mantenimiento. Por su parte [ __________ ] deberá cubrir a Telmex las tarifas respectivas.</w:t>
      </w:r>
    </w:p>
    <w:p w14:paraId="0AA1E2C6" w14:textId="77777777" w:rsidR="009D5CAD" w:rsidRPr="00ED020C" w:rsidRDefault="009D5CAD" w:rsidP="007D5396">
      <w:pPr>
        <w:spacing w:after="0" w:line="276" w:lineRule="auto"/>
        <w:ind w:left="567" w:right="567" w:firstLine="0"/>
        <w:rPr>
          <w:rFonts w:ascii="ITC Avant Garde" w:hAnsi="ITC Avant Garde"/>
          <w:i/>
          <w:color w:val="auto"/>
          <w:sz w:val="18"/>
          <w:szCs w:val="18"/>
        </w:rPr>
      </w:pPr>
    </w:p>
    <w:p w14:paraId="7F858251" w14:textId="77777777" w:rsidR="009D5CAD" w:rsidRPr="00ED020C" w:rsidRDefault="009D5CAD" w:rsidP="007D5396">
      <w:pPr>
        <w:spacing w:after="0" w:line="276" w:lineRule="auto"/>
        <w:ind w:left="567" w:right="567" w:firstLine="0"/>
        <w:rPr>
          <w:rFonts w:ascii="ITC Avant Garde" w:hAnsi="ITC Avant Garde"/>
          <w:i/>
          <w:color w:val="auto"/>
          <w:sz w:val="18"/>
          <w:szCs w:val="18"/>
        </w:rPr>
      </w:pPr>
      <w:r w:rsidRPr="00ED020C">
        <w:rPr>
          <w:rFonts w:ascii="ITC Avant Garde" w:hAnsi="ITC Avant Garde"/>
          <w:i/>
          <w:color w:val="auto"/>
          <w:sz w:val="18"/>
          <w:szCs w:val="18"/>
        </w:rPr>
        <w:t>•</w:t>
      </w:r>
      <w:r w:rsidRPr="00ED020C">
        <w:rPr>
          <w:rFonts w:ascii="ITC Avant Garde" w:hAnsi="ITC Avant Garde"/>
          <w:i/>
          <w:color w:val="auto"/>
          <w:sz w:val="18"/>
          <w:szCs w:val="18"/>
        </w:rPr>
        <w:tab/>
        <w:t>Enlace de Interconexión no gestionado, consiste en un cable de conexión a través de herrajes de escalerillas que provee Telmex dejando las puntas en las coubicaciones de los concesionarios involucrados, este servicio no considera la operación, mantenimiento y supervisión del enlace dado que no cuenta con elementos que permitan llevar a cabo estas tareas de gestión del servicio. Cualquier tarea asociada a este servicio requerirá la presencia física de los concesionarios involucrados en sus respectivas Coubicaciones para garantizar el acceso del personal de Telmex. Para el caso de atención de una falla es indispensable contar con el acceso señalado y será en ese momento en el cual iniciará el cómputo del tiempo de falla. De no cumplirse esta condición, Telmex se deslinda de toda responsabilidad en caso de presentarse alguna falla en el cable de conexión. Por su parte [ __________ ] deberá cubrir a Telmex el costo del proyecto correspondiente.</w:t>
      </w:r>
      <w:r w:rsidRPr="00ED020C">
        <w:rPr>
          <w:rFonts w:ascii="ITC Avant Garde" w:hAnsi="ITC Avant Garde" w:cs="Arial"/>
          <w:i/>
          <w:color w:val="auto"/>
          <w:sz w:val="18"/>
          <w:szCs w:val="18"/>
        </w:rPr>
        <w:t xml:space="preserve"> </w:t>
      </w:r>
      <w:r w:rsidRPr="00ED020C">
        <w:rPr>
          <w:rFonts w:ascii="ITC Avant Garde" w:hAnsi="ITC Avant Garde"/>
          <w:i/>
          <w:color w:val="auto"/>
          <w:sz w:val="18"/>
          <w:szCs w:val="18"/>
        </w:rPr>
        <w:br/>
        <w:t>(…)”</w:t>
      </w:r>
    </w:p>
    <w:p w14:paraId="78C99014" w14:textId="77777777" w:rsidR="009D5CAD" w:rsidRDefault="009D5CAD" w:rsidP="007D5396">
      <w:pPr>
        <w:spacing w:line="276" w:lineRule="auto"/>
        <w:ind w:firstLine="0"/>
        <w:rPr>
          <w:rFonts w:ascii="ITC Avant Garde" w:hAnsi="ITC Avant Garde"/>
          <w:i/>
          <w:color w:val="auto"/>
        </w:rPr>
      </w:pPr>
    </w:p>
    <w:p w14:paraId="1915C8D4" w14:textId="54B67EFE" w:rsidR="009D38AE" w:rsidRPr="00B56D15" w:rsidRDefault="009D38AE"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73C621FD" w14:textId="77777777" w:rsidR="009D38AE" w:rsidRPr="00B56D15" w:rsidRDefault="009D38AE" w:rsidP="007D5396">
      <w:pPr>
        <w:spacing w:line="276" w:lineRule="auto"/>
        <w:ind w:firstLine="0"/>
        <w:rPr>
          <w:rFonts w:ascii="ITC Avant Garde" w:hAnsi="ITC Avant Garde"/>
          <w:color w:val="auto"/>
        </w:rPr>
      </w:pPr>
    </w:p>
    <w:p w14:paraId="1849AA6E" w14:textId="5222FF97" w:rsidR="00C40A9A" w:rsidRDefault="00C40A9A" w:rsidP="007D5396">
      <w:pPr>
        <w:spacing w:after="0" w:line="276" w:lineRule="auto"/>
        <w:ind w:left="0" w:right="0" w:firstLine="0"/>
        <w:rPr>
          <w:rFonts w:ascii="ITC Avant Garde" w:hAnsi="ITC Avant Garde"/>
          <w:i/>
          <w:color w:val="auto"/>
        </w:rPr>
      </w:pPr>
      <w:r>
        <w:rPr>
          <w:rFonts w:ascii="ITC Avant Garde" w:hAnsi="ITC Avant Garde"/>
          <w:i/>
          <w:color w:val="auto"/>
        </w:rPr>
        <w:t xml:space="preserve">En el numeral 5.3, </w:t>
      </w:r>
      <w:r w:rsidR="009D38AE" w:rsidRPr="00B56D15">
        <w:rPr>
          <w:rFonts w:ascii="ITC Avant Garde" w:hAnsi="ITC Avant Garde"/>
          <w:i/>
          <w:color w:val="auto"/>
        </w:rPr>
        <w:t xml:space="preserve">Telmex se deslinda de toda responsabilidad en caso de presentarse alguna falla en el cable en los enlaces de interconexión sin gestión. Que el contrato establezca que cualquier falla que se presente en los enlaces no gestionados, deberá atenderse por Telmex hasta deslindar las responsabilidades que correspondan a cada parte y, en su caso, realizar por su cuenta las reparaciones pertinentes. </w:t>
      </w:r>
    </w:p>
    <w:p w14:paraId="16268F0D" w14:textId="77777777" w:rsidR="00C40A9A" w:rsidRDefault="00C40A9A" w:rsidP="007D5396">
      <w:pPr>
        <w:spacing w:after="0" w:line="276" w:lineRule="auto"/>
        <w:ind w:left="0" w:right="0" w:firstLine="0"/>
        <w:rPr>
          <w:rFonts w:ascii="ITC Avant Garde" w:hAnsi="ITC Avant Garde"/>
          <w:i/>
          <w:color w:val="auto"/>
        </w:rPr>
      </w:pPr>
    </w:p>
    <w:p w14:paraId="4DDE6C30" w14:textId="0F200F1B" w:rsidR="009D38AE" w:rsidRDefault="009D38AE" w:rsidP="007D5396">
      <w:pPr>
        <w:spacing w:after="0" w:line="276" w:lineRule="auto"/>
        <w:ind w:left="0" w:right="0" w:firstLine="0"/>
        <w:rPr>
          <w:rFonts w:ascii="ITC Avant Garde" w:hAnsi="ITC Avant Garde"/>
          <w:i/>
          <w:color w:val="auto"/>
        </w:rPr>
      </w:pPr>
      <w:r w:rsidRPr="00B56D15">
        <w:rPr>
          <w:rFonts w:ascii="ITC Avant Garde" w:hAnsi="ITC Avant Garde"/>
          <w:i/>
          <w:color w:val="auto"/>
        </w:rPr>
        <w:t xml:space="preserve">Adicionalmente, los enlaces de interconexión entre </w:t>
      </w:r>
      <w:r w:rsidR="007F465A" w:rsidRPr="00B56D15">
        <w:rPr>
          <w:rFonts w:ascii="ITC Avant Garde" w:hAnsi="ITC Avant Garde"/>
          <w:i/>
          <w:color w:val="auto"/>
        </w:rPr>
        <w:t>los concesionarios</w:t>
      </w:r>
      <w:r w:rsidRPr="00B56D15">
        <w:rPr>
          <w:rFonts w:ascii="ITC Avant Garde" w:hAnsi="ITC Avant Garde"/>
          <w:i/>
          <w:color w:val="auto"/>
        </w:rPr>
        <w:t xml:space="preserve"> a través de las coubicaciones deberán brindarse por el AEP sin costo, con base en las diferentes resoluciones que ha emitido el </w:t>
      </w:r>
      <w:r w:rsidR="002170E6">
        <w:rPr>
          <w:rFonts w:ascii="ITC Avant Garde" w:hAnsi="ITC Avant Garde"/>
          <w:i/>
          <w:color w:val="auto"/>
        </w:rPr>
        <w:t>Instituto</w:t>
      </w:r>
      <w:r w:rsidRPr="00B56D15">
        <w:rPr>
          <w:rFonts w:ascii="ITC Avant Garde" w:hAnsi="ITC Avant Garde"/>
          <w:i/>
          <w:color w:val="auto"/>
        </w:rPr>
        <w:t xml:space="preserve"> para res</w:t>
      </w:r>
      <w:r w:rsidR="00C40A9A">
        <w:rPr>
          <w:rFonts w:ascii="ITC Avant Garde" w:hAnsi="ITC Avant Garde"/>
          <w:i/>
          <w:color w:val="auto"/>
        </w:rPr>
        <w:t>olver tarifas de interconexión.</w:t>
      </w:r>
    </w:p>
    <w:p w14:paraId="759DC4EB" w14:textId="77777777" w:rsidR="00F34B38" w:rsidRPr="00ED020C" w:rsidRDefault="00F34B38" w:rsidP="007D5396">
      <w:pPr>
        <w:spacing w:after="0" w:line="276" w:lineRule="auto"/>
        <w:ind w:left="-5" w:right="49" w:firstLine="0"/>
        <w:rPr>
          <w:rFonts w:ascii="ITC Avant Garde" w:hAnsi="ITC Avant Garde" w:cs="Arial"/>
          <w:snapToGrid w:val="0"/>
          <w:color w:val="auto"/>
        </w:rPr>
      </w:pPr>
    </w:p>
    <w:p w14:paraId="540A9711" w14:textId="489F9A7B" w:rsidR="00402FD6" w:rsidRPr="00ED020C" w:rsidRDefault="00767B60" w:rsidP="007D5396">
      <w:pPr>
        <w:spacing w:after="0" w:line="276" w:lineRule="auto"/>
        <w:ind w:left="-5" w:right="49" w:firstLine="0"/>
        <w:rPr>
          <w:rFonts w:ascii="ITC Avant Garde" w:hAnsi="ITC Avant Garde" w:cs="Arial"/>
          <w:snapToGrid w:val="0"/>
          <w:color w:val="auto"/>
        </w:rPr>
      </w:pPr>
      <w:r w:rsidRPr="00ED020C">
        <w:rPr>
          <w:rFonts w:ascii="ITC Avant Garde" w:hAnsi="ITC Avant Garde" w:cs="Arial"/>
          <w:snapToGrid w:val="0"/>
          <w:color w:val="auto"/>
        </w:rPr>
        <w:t>Al respecto</w:t>
      </w:r>
      <w:r w:rsidR="00F34B38" w:rsidRPr="00ED020C">
        <w:rPr>
          <w:rFonts w:ascii="ITC Avant Garde" w:hAnsi="ITC Avant Garde" w:cs="Arial"/>
          <w:snapToGrid w:val="0"/>
          <w:color w:val="auto"/>
        </w:rPr>
        <w:t xml:space="preserve">, se modificó el numeral en comento con el fin de señalar claramente las responsabilidades de ambas partes respecto a la atención de </w:t>
      </w:r>
      <w:r w:rsidRPr="00ED020C">
        <w:rPr>
          <w:rFonts w:ascii="ITC Avant Garde" w:hAnsi="ITC Avant Garde" w:cs="Arial"/>
          <w:snapToGrid w:val="0"/>
          <w:color w:val="auto"/>
        </w:rPr>
        <w:t xml:space="preserve">eventuales fallas y para la realización de </w:t>
      </w:r>
      <w:r w:rsidR="00F34B38" w:rsidRPr="00ED020C">
        <w:rPr>
          <w:rFonts w:ascii="ITC Avant Garde" w:hAnsi="ITC Avant Garde" w:cs="Arial"/>
          <w:snapToGrid w:val="0"/>
          <w:color w:val="auto"/>
        </w:rPr>
        <w:t xml:space="preserve">tareas asociadas al servicio de enlace de interconexión no gestionado, quedando en los términos siguientes: </w:t>
      </w:r>
    </w:p>
    <w:p w14:paraId="35085241" w14:textId="1B48638E" w:rsidR="00F34B38" w:rsidRPr="00ED020C" w:rsidRDefault="00F34B38" w:rsidP="007D5396">
      <w:pPr>
        <w:spacing w:after="0" w:line="276" w:lineRule="auto"/>
        <w:ind w:left="-5" w:right="49" w:firstLine="0"/>
        <w:rPr>
          <w:rFonts w:ascii="ITC Avant Garde" w:hAnsi="ITC Avant Garde" w:cs="Arial"/>
          <w:snapToGrid w:val="0"/>
          <w:color w:val="auto"/>
        </w:rPr>
      </w:pPr>
    </w:p>
    <w:p w14:paraId="07B918BD" w14:textId="311975B5" w:rsidR="00F34B38" w:rsidRPr="00ED020C" w:rsidRDefault="00F34B38" w:rsidP="007D5396">
      <w:pPr>
        <w:pStyle w:val="Prrafodelista"/>
        <w:numPr>
          <w:ilvl w:val="0"/>
          <w:numId w:val="16"/>
        </w:numPr>
        <w:spacing w:after="0" w:line="276" w:lineRule="auto"/>
        <w:ind w:right="567" w:firstLine="0"/>
        <w:rPr>
          <w:rFonts w:ascii="ITC Avant Garde" w:hAnsi="ITC Avant Garde"/>
          <w:i/>
          <w:color w:val="auto"/>
          <w:sz w:val="18"/>
          <w:szCs w:val="18"/>
        </w:rPr>
      </w:pPr>
      <w:r w:rsidRPr="00ED020C">
        <w:rPr>
          <w:rFonts w:ascii="ITC Avant Garde" w:hAnsi="ITC Avant Garde"/>
          <w:i/>
          <w:color w:val="auto"/>
          <w:sz w:val="18"/>
          <w:szCs w:val="18"/>
        </w:rPr>
        <w:t xml:space="preserve">“Enlace de Interconexión no gestionado, consiste en un cable de conexión a través de herrajes de escalerillas que provee Telmex dejando las puntas en las coubicaciones de los concesionarios involucrados, este servicio no considera la operación, mantenimiento y supervisión del enlace dado que no cuenta con elementos que permitan llevar a cabo estas tareas de gestión del servicio. </w:t>
      </w:r>
      <w:r w:rsidRPr="00ED020C">
        <w:rPr>
          <w:rFonts w:ascii="ITC Avant Garde" w:hAnsi="ITC Avant Garde"/>
          <w:i/>
          <w:color w:val="auto"/>
          <w:sz w:val="18"/>
          <w:szCs w:val="18"/>
          <w:u w:val="single"/>
        </w:rPr>
        <w:t>Cualquier tarea asociada a este servicio requerirá la presencia física de los concesionarios involucrados  en sus respectivas Coubicaciones para garantizar el acceso del personal de Telmex. Para el caso de atención de una falla es indispensable contar con el acceso señalado</w:t>
      </w:r>
      <w:r w:rsidRPr="00ED020C">
        <w:rPr>
          <w:rFonts w:ascii="ITC Avant Garde" w:hAnsi="ITC Avant Garde"/>
          <w:i/>
          <w:color w:val="auto"/>
          <w:sz w:val="18"/>
          <w:szCs w:val="18"/>
        </w:rPr>
        <w:t xml:space="preserve"> y será en ese momento en el cual iniciará el cómputo del tiempo de falla. De no cumplirse esta condición, Telmex </w:t>
      </w:r>
      <w:r w:rsidRPr="00ED020C">
        <w:rPr>
          <w:rFonts w:ascii="ITC Avant Garde" w:hAnsi="ITC Avant Garde"/>
          <w:i/>
          <w:color w:val="auto"/>
          <w:sz w:val="18"/>
          <w:szCs w:val="18"/>
        </w:rPr>
        <w:lastRenderedPageBreak/>
        <w:t>se deslinda de toda responsabilidad en caso de presentarse alguna falla en el cable de conexión. Por su parte [ _________ ] deberá cubrir a Telmex el costo del proyecto correspondiente.”</w:t>
      </w:r>
    </w:p>
    <w:p w14:paraId="0042F492" w14:textId="77777777" w:rsidR="00322EC6" w:rsidRPr="00ED020C" w:rsidRDefault="00322EC6" w:rsidP="007930BF">
      <w:pPr>
        <w:pStyle w:val="Prrafodelista"/>
        <w:spacing w:after="0" w:line="276" w:lineRule="auto"/>
        <w:ind w:left="6243" w:right="49" w:firstLine="0"/>
        <w:jc w:val="center"/>
        <w:rPr>
          <w:rFonts w:ascii="ITC Avant Garde" w:hAnsi="ITC Avant Garde"/>
          <w:i/>
          <w:color w:val="auto"/>
          <w:sz w:val="18"/>
          <w:szCs w:val="18"/>
        </w:rPr>
      </w:pPr>
      <w:r w:rsidRPr="00ED020C">
        <w:rPr>
          <w:rFonts w:ascii="ITC Avant Garde" w:hAnsi="ITC Avant Garde"/>
          <w:i/>
          <w:color w:val="auto"/>
          <w:sz w:val="18"/>
          <w:szCs w:val="18"/>
        </w:rPr>
        <w:t>(Énfasis añadido)</w:t>
      </w:r>
    </w:p>
    <w:p w14:paraId="09AE888C" w14:textId="77777777" w:rsidR="00F34B38" w:rsidRPr="00ED020C" w:rsidRDefault="00F34B38" w:rsidP="007D5396">
      <w:pPr>
        <w:spacing w:after="0" w:line="276" w:lineRule="auto"/>
        <w:ind w:left="-5" w:right="49" w:firstLine="0"/>
        <w:rPr>
          <w:rFonts w:ascii="ITC Avant Garde" w:hAnsi="ITC Avant Garde" w:cs="Arial"/>
          <w:snapToGrid w:val="0"/>
          <w:color w:val="auto"/>
        </w:rPr>
      </w:pPr>
    </w:p>
    <w:p w14:paraId="583DC204" w14:textId="14CF4BB2" w:rsidR="009D38AE" w:rsidRPr="00B56D15" w:rsidRDefault="009D38AE"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5448F7EE" w14:textId="77777777" w:rsidR="009D38AE" w:rsidRPr="00B56D15" w:rsidRDefault="009D38AE" w:rsidP="007D5396">
      <w:pPr>
        <w:spacing w:line="276" w:lineRule="auto"/>
        <w:ind w:firstLine="0"/>
        <w:rPr>
          <w:rFonts w:ascii="ITC Avant Garde" w:hAnsi="ITC Avant Garde"/>
          <w:color w:val="auto"/>
        </w:rPr>
      </w:pPr>
    </w:p>
    <w:p w14:paraId="4B6EAC53" w14:textId="4BEF8DAB" w:rsidR="009D38AE" w:rsidRDefault="00705989" w:rsidP="00B6100E">
      <w:pPr>
        <w:spacing w:after="0" w:line="276" w:lineRule="auto"/>
        <w:ind w:left="0" w:right="0" w:firstLine="0"/>
        <w:rPr>
          <w:rFonts w:ascii="ITC Avant Garde" w:hAnsi="ITC Avant Garde"/>
          <w:i/>
          <w:color w:val="auto"/>
        </w:rPr>
      </w:pPr>
      <w:r>
        <w:rPr>
          <w:rFonts w:ascii="ITC Avant Garde" w:hAnsi="ITC Avant Garde"/>
          <w:i/>
          <w:color w:val="auto"/>
        </w:rPr>
        <w:t>En el numeral 5.4, l</w:t>
      </w:r>
      <w:r w:rsidR="009D38AE" w:rsidRPr="00B56D15">
        <w:rPr>
          <w:rFonts w:ascii="ITC Avant Garde" w:hAnsi="ITC Avant Garde"/>
          <w:i/>
          <w:color w:val="auto"/>
        </w:rPr>
        <w:t>os puertos de acceso parecieran limitados en cuanto al tipo de tráfico que reciben, de acuerdo a la lista que se incluye entre paréntesis: “…de cualquier tipo (local, transito, móvil, fijo)…”. Lo anterior puede generar confusión y controversias.</w:t>
      </w:r>
      <w:r w:rsidR="00A51210">
        <w:rPr>
          <w:rFonts w:ascii="ITC Avant Garde" w:hAnsi="ITC Avant Garde"/>
          <w:i/>
          <w:color w:val="auto"/>
        </w:rPr>
        <w:t xml:space="preserve"> </w:t>
      </w:r>
      <w:r w:rsidR="009D38AE" w:rsidRPr="00B56D15">
        <w:rPr>
          <w:rFonts w:ascii="ITC Avant Garde" w:hAnsi="ITC Avant Garde"/>
          <w:i/>
          <w:color w:val="auto"/>
        </w:rPr>
        <w:t xml:space="preserve"> Eliminar los paréntesis o ampliar la lista y señalar que no es exhaustiva</w:t>
      </w:r>
      <w:r w:rsidR="00A51210">
        <w:rPr>
          <w:rFonts w:ascii="ITC Avant Garde" w:hAnsi="ITC Avant Garde"/>
          <w:i/>
          <w:color w:val="auto"/>
        </w:rPr>
        <w:t>.</w:t>
      </w:r>
    </w:p>
    <w:p w14:paraId="401AAA1E" w14:textId="77777777" w:rsidR="00B6100E" w:rsidRDefault="00B6100E" w:rsidP="00B6100E">
      <w:pPr>
        <w:spacing w:after="0" w:line="276" w:lineRule="auto"/>
        <w:ind w:left="0" w:right="0" w:firstLine="0"/>
        <w:rPr>
          <w:rFonts w:ascii="ITC Avant Garde" w:hAnsi="ITC Avant Garde"/>
          <w:i/>
          <w:color w:val="auto"/>
        </w:rPr>
      </w:pPr>
    </w:p>
    <w:p w14:paraId="524C6F91" w14:textId="6C595B78" w:rsidR="009D38AE" w:rsidRDefault="00A51210" w:rsidP="007D5396">
      <w:pPr>
        <w:spacing w:after="0" w:line="276" w:lineRule="auto"/>
        <w:ind w:left="0" w:right="0" w:firstLine="0"/>
        <w:rPr>
          <w:rFonts w:ascii="ITC Avant Garde" w:hAnsi="ITC Avant Garde"/>
          <w:i/>
          <w:color w:val="auto"/>
        </w:rPr>
      </w:pPr>
      <w:r>
        <w:rPr>
          <w:rFonts w:ascii="ITC Avant Garde" w:hAnsi="ITC Avant Garde"/>
          <w:i/>
          <w:color w:val="auto"/>
        </w:rPr>
        <w:t>Asimismo, e</w:t>
      </w:r>
      <w:r w:rsidR="009D38AE" w:rsidRPr="00B56D15">
        <w:rPr>
          <w:rFonts w:ascii="ITC Avant Garde" w:hAnsi="ITC Avant Garde"/>
          <w:i/>
          <w:color w:val="auto"/>
        </w:rPr>
        <w:t xml:space="preserve">l convenio establece que los nuevos puertos de acceso podrán permitir la entrega de </w:t>
      </w:r>
      <w:r w:rsidR="007D5396" w:rsidRPr="00B56D15">
        <w:rPr>
          <w:rFonts w:ascii="ITC Avant Garde" w:hAnsi="ITC Avant Garde"/>
          <w:i/>
          <w:color w:val="auto"/>
        </w:rPr>
        <w:t>tráfico</w:t>
      </w:r>
      <w:r w:rsidR="009D38AE" w:rsidRPr="00B56D15">
        <w:rPr>
          <w:rFonts w:ascii="ITC Avant Garde" w:hAnsi="ITC Avant Garde"/>
          <w:i/>
          <w:color w:val="auto"/>
        </w:rPr>
        <w:t xml:space="preserve"> de cualquier origen y cualquier destino, sin especificar el tipo de distribución que se deberá seguir sobre los enlaces de interconexión existentes.</w:t>
      </w:r>
      <w:r w:rsidR="00705989">
        <w:rPr>
          <w:rFonts w:ascii="ITC Avant Garde" w:hAnsi="ITC Avant Garde"/>
          <w:i/>
          <w:color w:val="auto"/>
        </w:rPr>
        <w:t xml:space="preserve"> </w:t>
      </w:r>
      <w:r w:rsidR="009D38AE" w:rsidRPr="00B56D15">
        <w:rPr>
          <w:rFonts w:ascii="ITC Avant Garde" w:hAnsi="ITC Avant Garde"/>
          <w:i/>
          <w:color w:val="auto"/>
        </w:rPr>
        <w:t>Los concesionarios interconectados deberán acordar el uso de los recursos de existentes para intercambiar tráfico en función de la arquitectura de sus redes y sus intereses de tráfico, siempre que ello les permita llevar a cabo una efectiva y eficaz interconexión e interoper</w:t>
      </w:r>
      <w:r w:rsidR="00705989">
        <w:rPr>
          <w:rFonts w:ascii="ITC Avant Garde" w:hAnsi="ITC Avant Garde"/>
          <w:i/>
          <w:color w:val="auto"/>
        </w:rPr>
        <w:t>abilidad de sus redes públicas.</w:t>
      </w:r>
    </w:p>
    <w:p w14:paraId="0244F498" w14:textId="77777777" w:rsidR="00402FD6" w:rsidRDefault="00402FD6" w:rsidP="007D5396">
      <w:pPr>
        <w:spacing w:line="276" w:lineRule="auto"/>
        <w:ind w:firstLine="0"/>
        <w:rPr>
          <w:rFonts w:ascii="ITC Avant Garde" w:hAnsi="ITC Avant Garde"/>
          <w:i/>
          <w:color w:val="auto"/>
        </w:rPr>
      </w:pPr>
    </w:p>
    <w:p w14:paraId="15BB2421" w14:textId="31895874" w:rsidR="007D26E0" w:rsidRPr="00B56D15" w:rsidRDefault="00705989" w:rsidP="007D5396">
      <w:pPr>
        <w:spacing w:after="0" w:line="276" w:lineRule="auto"/>
        <w:ind w:left="-5" w:right="49" w:firstLine="0"/>
        <w:rPr>
          <w:rFonts w:ascii="ITC Avant Garde" w:hAnsi="ITC Avant Garde"/>
          <w:b/>
          <w:color w:val="auto"/>
        </w:rPr>
      </w:pPr>
      <w:r>
        <w:rPr>
          <w:rFonts w:ascii="ITC Avant Garde" w:hAnsi="ITC Avant Garde"/>
          <w:b/>
          <w:color w:val="auto"/>
        </w:rPr>
        <w:t>MCM</w:t>
      </w:r>
      <w:r w:rsidR="008B496B">
        <w:rPr>
          <w:rFonts w:ascii="ITC Avant Garde" w:hAnsi="ITC Avant Garde"/>
          <w:b/>
          <w:color w:val="auto"/>
        </w:rPr>
        <w:t xml:space="preserve">, Telefónica </w:t>
      </w:r>
      <w:r>
        <w:rPr>
          <w:rFonts w:ascii="ITC Avant Garde" w:hAnsi="ITC Avant Garde"/>
          <w:b/>
          <w:color w:val="auto"/>
        </w:rPr>
        <w:t xml:space="preserve">y </w:t>
      </w:r>
      <w:r w:rsidR="007D26E0" w:rsidRPr="00B56D15">
        <w:rPr>
          <w:rFonts w:ascii="ITC Avant Garde" w:hAnsi="ITC Avant Garde"/>
          <w:b/>
          <w:color w:val="auto"/>
        </w:rPr>
        <w:t>CANIETI:</w:t>
      </w:r>
    </w:p>
    <w:p w14:paraId="4765C29B" w14:textId="77777777" w:rsidR="007D26E0" w:rsidRPr="00B56D15" w:rsidRDefault="007D26E0" w:rsidP="007D5396">
      <w:pPr>
        <w:spacing w:after="0" w:line="276" w:lineRule="auto"/>
        <w:ind w:left="-5" w:right="49" w:firstLine="0"/>
        <w:rPr>
          <w:rFonts w:ascii="ITC Avant Garde" w:hAnsi="ITC Avant Garde"/>
          <w:b/>
          <w:color w:val="auto"/>
        </w:rPr>
      </w:pPr>
    </w:p>
    <w:p w14:paraId="25E78C20" w14:textId="26D6C8A0" w:rsidR="007D26E0" w:rsidRPr="00B56D15" w:rsidRDefault="008B496B" w:rsidP="007D5396">
      <w:pPr>
        <w:spacing w:after="0" w:line="276" w:lineRule="auto"/>
        <w:ind w:left="-5" w:right="49" w:firstLine="0"/>
        <w:rPr>
          <w:rFonts w:ascii="ITC Avant Garde" w:hAnsi="ITC Avant Garde"/>
          <w:i/>
          <w:color w:val="auto"/>
        </w:rPr>
      </w:pPr>
      <w:r>
        <w:rPr>
          <w:rFonts w:ascii="ITC Avant Garde" w:hAnsi="ITC Avant Garde"/>
          <w:i/>
          <w:color w:val="auto"/>
        </w:rPr>
        <w:t>En el numeral 5.4, l</w:t>
      </w:r>
      <w:r w:rsidR="007D26E0" w:rsidRPr="00B56D15">
        <w:rPr>
          <w:rFonts w:ascii="ITC Avant Garde" w:hAnsi="ITC Avant Garde"/>
          <w:i/>
          <w:color w:val="auto"/>
        </w:rPr>
        <w:t>os Puertos de Acceso que debe proporcionar Telmex deberán permitir la entrega de Tráfico de cualquier origen, de cualquier tipo (local, transito, móvil y fijo) y con Terminación en cualquier destino nacional para clientes Telmex. Cuando la terminación sea para clientes diferentes de Telmex la entrega se realizará mediante el Servicio de Tránsito para redes fijas y móviles (precisar que también por los mismos puertos se podrá entregar el tráfico de tránsito al AEP “todo origen todo destino”)</w:t>
      </w:r>
      <w:r w:rsidR="00705989">
        <w:rPr>
          <w:rFonts w:ascii="ITC Avant Garde" w:hAnsi="ITC Avant Garde"/>
          <w:i/>
          <w:color w:val="auto"/>
        </w:rPr>
        <w:t>.</w:t>
      </w:r>
    </w:p>
    <w:p w14:paraId="3EF77CF8" w14:textId="77777777" w:rsidR="007D26E0" w:rsidRPr="00B56D15" w:rsidRDefault="007D26E0" w:rsidP="007D5396">
      <w:pPr>
        <w:spacing w:after="0" w:line="276" w:lineRule="auto"/>
        <w:ind w:left="-5" w:right="49" w:firstLine="0"/>
        <w:rPr>
          <w:rFonts w:ascii="ITC Avant Garde" w:hAnsi="ITC Avant Garde"/>
          <w:i/>
          <w:color w:val="auto"/>
        </w:rPr>
      </w:pPr>
    </w:p>
    <w:p w14:paraId="37820BAA" w14:textId="0EB2C8D3" w:rsidR="007D26E0" w:rsidRPr="00B56D15" w:rsidRDefault="007D26E0" w:rsidP="007D5396">
      <w:pPr>
        <w:spacing w:after="0" w:line="276" w:lineRule="auto"/>
        <w:ind w:left="-5" w:right="49" w:firstLine="0"/>
        <w:rPr>
          <w:rFonts w:ascii="ITC Avant Garde" w:hAnsi="ITC Avant Garde"/>
          <w:i/>
          <w:color w:val="auto"/>
        </w:rPr>
      </w:pPr>
      <w:r w:rsidRPr="00B56D15">
        <w:rPr>
          <w:rFonts w:ascii="ITC Avant Garde" w:hAnsi="ITC Avant Garde"/>
          <w:i/>
          <w:color w:val="auto"/>
        </w:rPr>
        <w:t xml:space="preserve">La obligación de puertos universales es para </w:t>
      </w:r>
      <w:r w:rsidR="001F10C3" w:rsidRPr="00B56D15">
        <w:rPr>
          <w:rFonts w:ascii="ITC Avant Garde" w:hAnsi="ITC Avant Garde"/>
          <w:i/>
          <w:color w:val="auto"/>
        </w:rPr>
        <w:t>tráfico</w:t>
      </w:r>
      <w:r w:rsidRPr="00B56D15">
        <w:rPr>
          <w:rFonts w:ascii="ITC Avant Garde" w:hAnsi="ITC Avant Garde"/>
          <w:i/>
          <w:color w:val="auto"/>
        </w:rPr>
        <w:t xml:space="preserve"> bidireccional por lo tanto el tráfico que se origina en Telmex se debe desbordar en caso de saturación por cualquier otro enlace disponible implementado entre ambas redes.</w:t>
      </w:r>
    </w:p>
    <w:p w14:paraId="13063CDF" w14:textId="77777777" w:rsidR="007D26E0" w:rsidRPr="00B56D15" w:rsidRDefault="007D26E0" w:rsidP="007D5396">
      <w:pPr>
        <w:spacing w:after="0" w:line="276" w:lineRule="auto"/>
        <w:ind w:left="-5" w:right="49" w:firstLine="0"/>
        <w:rPr>
          <w:rFonts w:ascii="ITC Avant Garde" w:hAnsi="ITC Avant Garde"/>
          <w:i/>
          <w:color w:val="auto"/>
        </w:rPr>
      </w:pPr>
    </w:p>
    <w:p w14:paraId="7159EEC1" w14:textId="0BEA1C58" w:rsidR="007D26E0" w:rsidRPr="00B56D15" w:rsidRDefault="007D26E0" w:rsidP="007D5396">
      <w:pPr>
        <w:spacing w:after="0" w:line="276" w:lineRule="auto"/>
        <w:ind w:left="-5" w:right="49" w:firstLine="0"/>
        <w:rPr>
          <w:rFonts w:ascii="ITC Avant Garde" w:hAnsi="ITC Avant Garde"/>
          <w:i/>
          <w:color w:val="auto"/>
        </w:rPr>
      </w:pPr>
      <w:r w:rsidRPr="00B56D15">
        <w:rPr>
          <w:rFonts w:ascii="ITC Avant Garde" w:hAnsi="ITC Avant Garde"/>
          <w:i/>
          <w:color w:val="auto"/>
        </w:rPr>
        <w:t>Se debe eliminar el cuarto párrafo ya que hace referencia al acuerdo compensatorio el cual resulta sin suste</w:t>
      </w:r>
      <w:r w:rsidR="00705989">
        <w:rPr>
          <w:rFonts w:ascii="ITC Avant Garde" w:hAnsi="ITC Avant Garde"/>
          <w:i/>
          <w:color w:val="auto"/>
        </w:rPr>
        <w:t>nto jurídico para establecerlo.</w:t>
      </w:r>
    </w:p>
    <w:p w14:paraId="3A0495D0" w14:textId="77777777" w:rsidR="001F10C3" w:rsidRDefault="001F10C3" w:rsidP="007D5396">
      <w:pPr>
        <w:spacing w:after="0" w:line="276" w:lineRule="auto"/>
        <w:ind w:left="-5" w:right="49" w:firstLine="0"/>
        <w:rPr>
          <w:rFonts w:ascii="ITC Avant Garde" w:hAnsi="ITC Avant Garde"/>
          <w:b/>
          <w:color w:val="auto"/>
        </w:rPr>
      </w:pPr>
    </w:p>
    <w:p w14:paraId="183FF86C" w14:textId="5A07BA29" w:rsidR="00234A35" w:rsidRPr="00ED020C" w:rsidRDefault="008B496B" w:rsidP="007D5396">
      <w:pPr>
        <w:spacing w:after="0" w:line="276" w:lineRule="auto"/>
        <w:ind w:left="-5" w:right="49" w:firstLine="0"/>
        <w:rPr>
          <w:rFonts w:ascii="ITC Avant Garde" w:hAnsi="ITC Avant Garde" w:cs="Arial"/>
          <w:snapToGrid w:val="0"/>
          <w:color w:val="auto"/>
        </w:rPr>
      </w:pPr>
      <w:r w:rsidRPr="00ED020C">
        <w:rPr>
          <w:rFonts w:ascii="ITC Avant Garde" w:hAnsi="ITC Avant Garde" w:cs="Arial"/>
          <w:snapToGrid w:val="0"/>
          <w:color w:val="auto"/>
        </w:rPr>
        <w:t>Respecto a los comentarios anteriores, e</w:t>
      </w:r>
      <w:r w:rsidR="00234A35" w:rsidRPr="00ED020C">
        <w:rPr>
          <w:rFonts w:ascii="ITC Avant Garde" w:hAnsi="ITC Avant Garde" w:cs="Arial"/>
          <w:snapToGrid w:val="0"/>
          <w:color w:val="auto"/>
        </w:rPr>
        <w:t xml:space="preserve">n relación al tipo de tráfico que permiten los puertos de acceso se </w:t>
      </w:r>
      <w:r w:rsidR="001A04B7" w:rsidRPr="00ED020C">
        <w:rPr>
          <w:rFonts w:ascii="ITC Avant Garde" w:hAnsi="ITC Avant Garde" w:cs="Arial"/>
          <w:snapToGrid w:val="0"/>
          <w:color w:val="auto"/>
        </w:rPr>
        <w:t>agregó al CMI</w:t>
      </w:r>
      <w:r w:rsidR="00234A35" w:rsidRPr="00ED020C">
        <w:rPr>
          <w:rFonts w:ascii="ITC Avant Garde" w:hAnsi="ITC Avant Garde" w:cs="Arial"/>
          <w:snapToGrid w:val="0"/>
          <w:color w:val="auto"/>
        </w:rPr>
        <w:t xml:space="preserve"> que los concesionarios interconectados </w:t>
      </w:r>
      <w:r w:rsidR="001A04B7" w:rsidRPr="00ED020C">
        <w:rPr>
          <w:rFonts w:ascii="ITC Avant Garde" w:hAnsi="ITC Avant Garde" w:cs="Arial"/>
          <w:snapToGrid w:val="0"/>
          <w:color w:val="auto"/>
        </w:rPr>
        <w:t xml:space="preserve">deberían </w:t>
      </w:r>
      <w:r w:rsidR="00234A35" w:rsidRPr="00ED020C">
        <w:rPr>
          <w:rFonts w:ascii="ITC Avant Garde" w:hAnsi="ITC Avant Garde" w:cs="Arial"/>
          <w:snapToGrid w:val="0"/>
          <w:color w:val="auto"/>
        </w:rPr>
        <w:t xml:space="preserve">acordar el uso de los recursos existentes para intercambiar el tráfico en función de la arquitectura de sus redes y su interés de tráfico, siempre que ello les </w:t>
      </w:r>
      <w:r w:rsidR="00234A35" w:rsidRPr="00ED020C">
        <w:rPr>
          <w:rFonts w:ascii="ITC Avant Garde" w:hAnsi="ITC Avant Garde" w:cs="Arial"/>
          <w:snapToGrid w:val="0"/>
          <w:color w:val="auto"/>
        </w:rPr>
        <w:lastRenderedPageBreak/>
        <w:t>permitiera llevar a cabo una efectiva y eficaz interconexión e interoperabilidad de sus redes públicas.</w:t>
      </w:r>
    </w:p>
    <w:p w14:paraId="6929FB9B" w14:textId="77777777" w:rsidR="00234A35" w:rsidRPr="00ED020C" w:rsidRDefault="00234A35" w:rsidP="007D5396">
      <w:pPr>
        <w:spacing w:after="0" w:line="276" w:lineRule="auto"/>
        <w:ind w:left="-5" w:right="49" w:firstLine="0"/>
        <w:rPr>
          <w:rFonts w:ascii="ITC Avant Garde" w:hAnsi="ITC Avant Garde" w:cs="Arial"/>
          <w:snapToGrid w:val="0"/>
          <w:color w:val="auto"/>
        </w:rPr>
      </w:pPr>
    </w:p>
    <w:p w14:paraId="0AA6683E" w14:textId="77777777" w:rsidR="00234A35" w:rsidRPr="00ED020C" w:rsidRDefault="00234A35" w:rsidP="007D5396">
      <w:pPr>
        <w:spacing w:after="0" w:line="276" w:lineRule="auto"/>
        <w:ind w:left="-5" w:right="49" w:firstLine="0"/>
        <w:rPr>
          <w:rFonts w:ascii="ITC Avant Garde" w:hAnsi="ITC Avant Garde" w:cs="Arial"/>
          <w:snapToGrid w:val="0"/>
          <w:color w:val="auto"/>
        </w:rPr>
      </w:pPr>
      <w:r w:rsidRPr="00ED020C">
        <w:rPr>
          <w:rFonts w:ascii="ITC Avant Garde" w:hAnsi="ITC Avant Garde" w:cs="Arial"/>
          <w:snapToGrid w:val="0"/>
          <w:color w:val="auto"/>
        </w:rPr>
        <w:t>El numeral en comento fue modificado en los siguientes términos:</w:t>
      </w:r>
    </w:p>
    <w:p w14:paraId="2CF9BA76" w14:textId="77777777" w:rsidR="00234A35" w:rsidRPr="00ED020C" w:rsidRDefault="00234A35" w:rsidP="007D5396">
      <w:pPr>
        <w:tabs>
          <w:tab w:val="left" w:pos="3015"/>
        </w:tabs>
        <w:spacing w:line="276" w:lineRule="auto"/>
        <w:ind w:firstLine="0"/>
        <w:rPr>
          <w:rFonts w:ascii="ITC Avant Garde" w:hAnsi="ITC Avant Garde"/>
          <w:color w:val="auto"/>
        </w:rPr>
      </w:pPr>
    </w:p>
    <w:p w14:paraId="03731398" w14:textId="14CCA230" w:rsidR="00234A35" w:rsidRPr="00ED020C" w:rsidRDefault="00234A35" w:rsidP="007D5396">
      <w:pPr>
        <w:spacing w:after="0" w:line="276" w:lineRule="auto"/>
        <w:ind w:left="567" w:right="616" w:firstLine="0"/>
        <w:rPr>
          <w:rFonts w:ascii="ITC Avant Garde" w:hAnsi="ITC Avant Garde"/>
          <w:i/>
          <w:color w:val="auto"/>
          <w:sz w:val="18"/>
          <w:szCs w:val="18"/>
        </w:rPr>
      </w:pPr>
      <w:r w:rsidRPr="00ED020C">
        <w:rPr>
          <w:rFonts w:ascii="ITC Avant Garde" w:hAnsi="ITC Avant Garde"/>
          <w:i/>
          <w:color w:val="auto"/>
          <w:sz w:val="18"/>
          <w:szCs w:val="18"/>
        </w:rPr>
        <w:t>“Los Puertos de Acceso que debe proporcionar Telmex deberán permitir la entrega de Tráfico de cualquier origen, de cualquier tipo (local, tr</w:t>
      </w:r>
      <w:r w:rsidR="00A96B18" w:rsidRPr="00ED020C">
        <w:rPr>
          <w:rFonts w:ascii="ITC Avant Garde" w:hAnsi="ITC Avant Garde"/>
          <w:i/>
          <w:color w:val="auto"/>
          <w:sz w:val="18"/>
          <w:szCs w:val="18"/>
        </w:rPr>
        <w:t>á</w:t>
      </w:r>
      <w:r w:rsidRPr="00ED020C">
        <w:rPr>
          <w:rFonts w:ascii="ITC Avant Garde" w:hAnsi="ITC Avant Garde"/>
          <w:i/>
          <w:color w:val="auto"/>
          <w:sz w:val="18"/>
          <w:szCs w:val="18"/>
        </w:rPr>
        <w:t xml:space="preserve">nsito, móvil y fijo) y con terminación en cualquier destino nacional para clientes Telmex. </w:t>
      </w:r>
      <w:r w:rsidR="00B840D4" w:rsidRPr="00ED020C">
        <w:rPr>
          <w:rFonts w:ascii="ITC Avant Garde" w:hAnsi="ITC Avant Garde"/>
          <w:i/>
          <w:color w:val="auto"/>
          <w:sz w:val="18"/>
          <w:szCs w:val="18"/>
        </w:rPr>
        <w:t>P</w:t>
      </w:r>
      <w:r w:rsidRPr="00ED020C">
        <w:rPr>
          <w:rFonts w:ascii="ITC Avant Garde" w:hAnsi="ITC Avant Garde"/>
          <w:i/>
          <w:color w:val="auto"/>
          <w:sz w:val="18"/>
          <w:szCs w:val="18"/>
        </w:rPr>
        <w:t>ara clientes diferentes de Telmex la entrega se realizará mediante el Servicio de Tránsito para redes fijas y móviles.</w:t>
      </w:r>
    </w:p>
    <w:p w14:paraId="70C34FB6" w14:textId="77777777" w:rsidR="00234A35" w:rsidRPr="00ED020C" w:rsidRDefault="00234A35" w:rsidP="007D5396">
      <w:pPr>
        <w:spacing w:after="0" w:line="276" w:lineRule="auto"/>
        <w:ind w:left="567" w:right="616" w:firstLine="0"/>
        <w:rPr>
          <w:rFonts w:ascii="ITC Avant Garde" w:hAnsi="ITC Avant Garde"/>
          <w:i/>
          <w:color w:val="auto"/>
          <w:sz w:val="18"/>
          <w:szCs w:val="18"/>
        </w:rPr>
      </w:pPr>
    </w:p>
    <w:p w14:paraId="0FD5DA61" w14:textId="77777777" w:rsidR="00234A35" w:rsidRPr="00ED020C" w:rsidRDefault="00234A35" w:rsidP="007D5396">
      <w:pPr>
        <w:spacing w:after="0" w:line="276" w:lineRule="auto"/>
        <w:ind w:left="567" w:right="616" w:firstLine="0"/>
        <w:rPr>
          <w:rFonts w:ascii="ITC Avant Garde" w:hAnsi="ITC Avant Garde"/>
          <w:i/>
          <w:color w:val="auto"/>
          <w:sz w:val="18"/>
          <w:szCs w:val="18"/>
          <w:u w:val="single"/>
        </w:rPr>
      </w:pPr>
      <w:r w:rsidRPr="00ED020C">
        <w:rPr>
          <w:rFonts w:ascii="ITC Avant Garde" w:hAnsi="ITC Avant Garde"/>
          <w:i/>
          <w:color w:val="auto"/>
          <w:sz w:val="18"/>
          <w:szCs w:val="18"/>
          <w:u w:val="single"/>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1A276606" w14:textId="47C982CB" w:rsidR="00234A35" w:rsidRPr="00ED020C" w:rsidRDefault="00B6100E" w:rsidP="007D5396">
      <w:pPr>
        <w:spacing w:after="0" w:line="276" w:lineRule="auto"/>
        <w:ind w:left="567" w:right="616" w:firstLine="0"/>
        <w:jc w:val="right"/>
        <w:rPr>
          <w:rFonts w:ascii="ITC Avant Garde" w:hAnsi="ITC Avant Garde"/>
          <w:i/>
          <w:color w:val="auto"/>
          <w:sz w:val="18"/>
          <w:szCs w:val="18"/>
        </w:rPr>
      </w:pPr>
      <w:r w:rsidRPr="00ED020C">
        <w:rPr>
          <w:rFonts w:ascii="ITC Avant Garde" w:hAnsi="ITC Avant Garde"/>
          <w:i/>
          <w:color w:val="auto"/>
          <w:sz w:val="18"/>
          <w:szCs w:val="18"/>
        </w:rPr>
        <w:t xml:space="preserve"> </w:t>
      </w:r>
      <w:r w:rsidR="00234A35" w:rsidRPr="00ED020C">
        <w:rPr>
          <w:rFonts w:ascii="ITC Avant Garde" w:hAnsi="ITC Avant Garde"/>
          <w:i/>
          <w:color w:val="auto"/>
          <w:sz w:val="18"/>
          <w:szCs w:val="18"/>
        </w:rPr>
        <w:t>(Énfasis añadido)</w:t>
      </w:r>
    </w:p>
    <w:p w14:paraId="7481C327" w14:textId="77777777" w:rsidR="00234A35" w:rsidRPr="00ED020C" w:rsidRDefault="00234A35" w:rsidP="007D5396">
      <w:pPr>
        <w:spacing w:line="276" w:lineRule="auto"/>
        <w:ind w:firstLine="0"/>
        <w:rPr>
          <w:rFonts w:ascii="ITC Avant Garde" w:hAnsi="ITC Avant Garde"/>
          <w:color w:val="auto"/>
        </w:rPr>
      </w:pPr>
    </w:p>
    <w:p w14:paraId="58BC6C77" w14:textId="2E38C9A5" w:rsidR="00B22AB2" w:rsidRPr="00ED020C" w:rsidRDefault="00B22AB2" w:rsidP="007D5396">
      <w:pPr>
        <w:spacing w:after="0" w:line="276" w:lineRule="auto"/>
        <w:ind w:left="-5" w:right="49" w:firstLine="0"/>
        <w:rPr>
          <w:rFonts w:ascii="ITC Avant Garde" w:hAnsi="ITC Avant Garde" w:cs="Arial"/>
          <w:snapToGrid w:val="0"/>
          <w:color w:val="auto"/>
        </w:rPr>
      </w:pPr>
      <w:r w:rsidRPr="00ED020C">
        <w:rPr>
          <w:rFonts w:ascii="ITC Avant Garde" w:hAnsi="ITC Avant Garde" w:cs="Arial"/>
          <w:snapToGrid w:val="0"/>
          <w:color w:val="auto"/>
        </w:rPr>
        <w:t xml:space="preserve">Por lo que hace al párrafo alusivo al acuerdo compensatorio, se </w:t>
      </w:r>
      <w:r w:rsidR="00A96B18" w:rsidRPr="00ED020C">
        <w:rPr>
          <w:rFonts w:ascii="ITC Avant Garde" w:hAnsi="ITC Avant Garde" w:cs="Arial"/>
          <w:snapToGrid w:val="0"/>
          <w:color w:val="auto"/>
        </w:rPr>
        <w:t>eliminó dicho párrafo</w:t>
      </w:r>
      <w:r w:rsidRPr="00ED020C">
        <w:rPr>
          <w:rFonts w:ascii="ITC Avant Garde" w:hAnsi="ITC Avant Garde" w:cs="Arial"/>
          <w:snapToGrid w:val="0"/>
          <w:color w:val="auto"/>
        </w:rPr>
        <w:t>.</w:t>
      </w:r>
    </w:p>
    <w:p w14:paraId="31D0EF66" w14:textId="77777777" w:rsidR="002506E4" w:rsidRDefault="002506E4" w:rsidP="007D5396">
      <w:pPr>
        <w:spacing w:line="276" w:lineRule="auto"/>
        <w:ind w:firstLine="0"/>
        <w:rPr>
          <w:rFonts w:ascii="ITC Avant Garde" w:hAnsi="ITC Avant Garde"/>
          <w:i/>
          <w:color w:val="auto"/>
        </w:rPr>
      </w:pPr>
    </w:p>
    <w:p w14:paraId="75C6C2D0" w14:textId="6D133E86" w:rsidR="009D38AE" w:rsidRPr="00B56D15" w:rsidRDefault="009D38AE" w:rsidP="007D5396">
      <w:pPr>
        <w:spacing w:line="276" w:lineRule="auto"/>
        <w:ind w:firstLine="0"/>
        <w:rPr>
          <w:rFonts w:ascii="ITC Avant Garde" w:hAnsi="ITC Avant Garde"/>
          <w:b/>
          <w:color w:val="auto"/>
        </w:rPr>
      </w:pPr>
      <w:r w:rsidRPr="0020202A">
        <w:rPr>
          <w:rFonts w:ascii="ITC Avant Garde" w:hAnsi="ITC Avant Garde"/>
          <w:b/>
          <w:color w:val="auto"/>
        </w:rPr>
        <w:t>Axtel y Alestra:</w:t>
      </w:r>
    </w:p>
    <w:p w14:paraId="652C91FB" w14:textId="77777777" w:rsidR="009D38AE" w:rsidRPr="00B56D15" w:rsidRDefault="009D38AE" w:rsidP="007D5396">
      <w:pPr>
        <w:spacing w:line="276" w:lineRule="auto"/>
        <w:ind w:firstLine="0"/>
        <w:rPr>
          <w:rFonts w:ascii="ITC Avant Garde" w:hAnsi="ITC Avant Garde"/>
          <w:color w:val="auto"/>
        </w:rPr>
      </w:pPr>
    </w:p>
    <w:p w14:paraId="09AD4CF1" w14:textId="7922079C" w:rsidR="009D38AE" w:rsidRDefault="002E3889" w:rsidP="007D5396">
      <w:pPr>
        <w:spacing w:after="0" w:line="276" w:lineRule="auto"/>
        <w:ind w:left="-5" w:right="49" w:firstLine="0"/>
        <w:rPr>
          <w:rFonts w:ascii="ITC Avant Garde" w:hAnsi="ITC Avant Garde"/>
          <w:i/>
          <w:color w:val="auto"/>
        </w:rPr>
      </w:pPr>
      <w:r>
        <w:rPr>
          <w:rFonts w:ascii="ITC Avant Garde" w:hAnsi="ITC Avant Garde"/>
          <w:i/>
          <w:color w:val="auto"/>
        </w:rPr>
        <w:t>En el numeral 5.5,</w:t>
      </w:r>
      <w:r w:rsidR="009D38AE" w:rsidRPr="00B56D15">
        <w:rPr>
          <w:rFonts w:ascii="ITC Avant Garde" w:hAnsi="ITC Avant Garde"/>
          <w:i/>
          <w:color w:val="auto"/>
        </w:rPr>
        <w:t xml:space="preserve"> </w:t>
      </w:r>
      <w:r w:rsidR="00A96B18">
        <w:rPr>
          <w:rFonts w:ascii="ITC Avant Garde" w:hAnsi="ITC Avant Garde"/>
          <w:i/>
          <w:color w:val="auto"/>
        </w:rPr>
        <w:t xml:space="preserve">se requirió </w:t>
      </w:r>
      <w:r>
        <w:rPr>
          <w:rFonts w:ascii="ITC Avant Garde" w:hAnsi="ITC Avant Garde"/>
          <w:i/>
          <w:color w:val="auto"/>
        </w:rPr>
        <w:t>m</w:t>
      </w:r>
      <w:r w:rsidR="009D38AE" w:rsidRPr="00B56D15">
        <w:rPr>
          <w:rFonts w:ascii="ITC Avant Garde" w:hAnsi="ITC Avant Garde"/>
          <w:i/>
          <w:color w:val="auto"/>
        </w:rPr>
        <w:t xml:space="preserve">odificar el convenio para que la interconexión TDM a distintas capacidades, se ofrezca con enlaces dedicados propios o arrendados y los puertos correspondan a </w:t>
      </w:r>
      <w:r>
        <w:rPr>
          <w:rFonts w:ascii="ITC Avant Garde" w:hAnsi="ITC Avant Garde"/>
          <w:i/>
          <w:color w:val="auto"/>
        </w:rPr>
        <w:t>las velocidades ofrecidas.</w:t>
      </w:r>
    </w:p>
    <w:p w14:paraId="62BD5BC8" w14:textId="77777777" w:rsidR="00076180" w:rsidRDefault="00076180" w:rsidP="007D5396">
      <w:pPr>
        <w:spacing w:after="0" w:line="276" w:lineRule="auto"/>
        <w:ind w:left="-5" w:right="49" w:firstLine="0"/>
        <w:rPr>
          <w:rFonts w:ascii="ITC Avant Garde" w:hAnsi="ITC Avant Garde"/>
          <w:i/>
          <w:color w:val="auto"/>
        </w:rPr>
      </w:pPr>
    </w:p>
    <w:p w14:paraId="1997687F" w14:textId="77777777" w:rsidR="00D84A39" w:rsidRDefault="00D84A39" w:rsidP="00D84A39">
      <w:pPr>
        <w:spacing w:after="0" w:line="276" w:lineRule="auto"/>
        <w:ind w:left="-5" w:right="49" w:firstLine="0"/>
        <w:rPr>
          <w:rFonts w:ascii="ITC Avant Garde" w:hAnsi="ITC Avant Garde"/>
          <w:b/>
          <w:color w:val="auto"/>
        </w:rPr>
      </w:pPr>
      <w:r w:rsidRPr="00B56D15">
        <w:rPr>
          <w:rFonts w:ascii="ITC Avant Garde" w:hAnsi="ITC Avant Garde"/>
          <w:b/>
          <w:color w:val="auto"/>
        </w:rPr>
        <w:t>Telefónica y CANIETI:</w:t>
      </w:r>
    </w:p>
    <w:p w14:paraId="60907EF7" w14:textId="77777777" w:rsidR="00D84A39" w:rsidRPr="00B56D15" w:rsidRDefault="00D84A39" w:rsidP="00D84A39">
      <w:pPr>
        <w:spacing w:after="0" w:line="276" w:lineRule="auto"/>
        <w:ind w:left="-5" w:right="49" w:firstLine="0"/>
        <w:rPr>
          <w:rFonts w:ascii="ITC Avant Garde" w:hAnsi="ITC Avant Garde"/>
          <w:b/>
          <w:color w:val="auto"/>
        </w:rPr>
      </w:pPr>
    </w:p>
    <w:p w14:paraId="2263B7BA" w14:textId="77777777" w:rsidR="00D84A39" w:rsidRDefault="00D84A39" w:rsidP="00D84A39">
      <w:pPr>
        <w:spacing w:after="0" w:line="276" w:lineRule="auto"/>
        <w:ind w:left="-5" w:right="49" w:firstLine="0"/>
        <w:rPr>
          <w:rFonts w:ascii="ITC Avant Garde" w:hAnsi="ITC Avant Garde"/>
          <w:i/>
          <w:color w:val="auto"/>
        </w:rPr>
      </w:pPr>
      <w:r>
        <w:rPr>
          <w:rFonts w:ascii="ITC Avant Garde" w:hAnsi="ITC Avant Garde"/>
          <w:i/>
          <w:color w:val="auto"/>
        </w:rPr>
        <w:t>En la Cláusula Quinta, numeral 5.7.1, l</w:t>
      </w:r>
      <w:r w:rsidRPr="00B56D15">
        <w:rPr>
          <w:rFonts w:ascii="ITC Avant Garde" w:hAnsi="ITC Avant Garde"/>
          <w:i/>
          <w:color w:val="auto"/>
        </w:rPr>
        <w:t>os enlaces dedicados de interconexión podrán ser propios, arrendados a Telmex, (agregar que TELMEX puede arrendar los enlaces al concesionario) o de un tercero y los costos correspondientes serán cubiertos por la parte que los requiera p</w:t>
      </w:r>
      <w:r>
        <w:rPr>
          <w:rFonts w:ascii="ITC Avant Garde" w:hAnsi="ITC Avant Garde"/>
          <w:i/>
          <w:color w:val="auto"/>
        </w:rPr>
        <w:t>ara terminar su Tráfico.</w:t>
      </w:r>
    </w:p>
    <w:p w14:paraId="668C26EC" w14:textId="77777777" w:rsidR="00D84A39" w:rsidRDefault="00D84A39" w:rsidP="00D84A39">
      <w:pPr>
        <w:spacing w:after="0" w:line="276" w:lineRule="auto"/>
        <w:ind w:left="-5" w:right="49" w:firstLine="0"/>
        <w:rPr>
          <w:rFonts w:ascii="ITC Avant Garde" w:hAnsi="ITC Avant Garde"/>
          <w:i/>
          <w:color w:val="auto"/>
        </w:rPr>
      </w:pPr>
    </w:p>
    <w:p w14:paraId="29BE0919" w14:textId="3269E901" w:rsidR="00D84A39" w:rsidRPr="00ED020C" w:rsidRDefault="00D84A39" w:rsidP="00D84A39">
      <w:pPr>
        <w:spacing w:after="0" w:line="276" w:lineRule="auto"/>
        <w:ind w:left="-5" w:right="49" w:firstLine="0"/>
        <w:rPr>
          <w:rFonts w:ascii="ITC Avant Garde" w:hAnsi="ITC Avant Garde" w:cs="Arial"/>
          <w:snapToGrid w:val="0"/>
          <w:color w:val="auto"/>
        </w:rPr>
      </w:pPr>
      <w:r w:rsidRPr="00ED020C">
        <w:rPr>
          <w:rFonts w:ascii="ITC Avant Garde" w:hAnsi="ITC Avant Garde" w:cs="Arial"/>
          <w:snapToGrid w:val="0"/>
          <w:color w:val="auto"/>
        </w:rPr>
        <w:t>Al respecto, de los dos comentarios anteriores se señala que el numeral 5.7.1 de la Cláusula Quinta establece que los cada una de las partes será responsable de los enlaces dedicados de interconexión los cuales podrán ser propios, arrendados a Telmex o de un tercero y los costos correspondientes serán cubiertos por la parte que los requiera para terminar su Tráfico, es así que lo requerido en dichos comentarios ya está establecido en la cláusula señalada.</w:t>
      </w:r>
    </w:p>
    <w:p w14:paraId="323AECB3" w14:textId="77777777" w:rsidR="00D84A39" w:rsidRPr="00ED020C" w:rsidRDefault="00D84A39" w:rsidP="007D5396">
      <w:pPr>
        <w:spacing w:after="0" w:line="276" w:lineRule="auto"/>
        <w:ind w:left="-5" w:right="49" w:firstLine="0"/>
        <w:rPr>
          <w:rFonts w:ascii="ITC Avant Garde" w:hAnsi="ITC Avant Garde"/>
          <w:i/>
          <w:color w:val="auto"/>
        </w:rPr>
      </w:pPr>
    </w:p>
    <w:p w14:paraId="1576FBDF" w14:textId="1F21DFCD" w:rsidR="00076180" w:rsidRPr="00ED020C" w:rsidRDefault="00076180" w:rsidP="007D5396">
      <w:pPr>
        <w:spacing w:after="0" w:line="276" w:lineRule="auto"/>
        <w:ind w:left="-5" w:right="49" w:firstLine="0"/>
        <w:rPr>
          <w:rFonts w:ascii="ITC Avant Garde" w:hAnsi="ITC Avant Garde"/>
          <w:color w:val="auto"/>
        </w:rPr>
      </w:pPr>
      <w:r w:rsidRPr="00ED020C">
        <w:rPr>
          <w:rFonts w:ascii="ITC Avant Garde" w:hAnsi="ITC Avant Garde"/>
          <w:color w:val="auto"/>
        </w:rPr>
        <w:t>S</w:t>
      </w:r>
      <w:r w:rsidR="00D84A39" w:rsidRPr="00ED020C">
        <w:rPr>
          <w:rFonts w:ascii="ITC Avant Garde" w:hAnsi="ITC Avant Garde"/>
          <w:color w:val="auto"/>
        </w:rPr>
        <w:t>obre la solicitud de Axtel y Alestra sobre que los puertos correspondan a las velocidades ofrecidas s</w:t>
      </w:r>
      <w:r w:rsidRPr="00ED020C">
        <w:rPr>
          <w:rFonts w:ascii="ITC Avant Garde" w:hAnsi="ITC Avant Garde"/>
          <w:color w:val="auto"/>
        </w:rPr>
        <w:t>e modificó el Tema 3 del Anexo A del CMI en los siguientes términos:</w:t>
      </w:r>
    </w:p>
    <w:p w14:paraId="732C53F6" w14:textId="77777777" w:rsidR="00076180" w:rsidRPr="00ED020C" w:rsidRDefault="00076180" w:rsidP="007D5396">
      <w:pPr>
        <w:spacing w:after="0" w:line="276" w:lineRule="auto"/>
        <w:ind w:left="-5" w:right="49" w:firstLine="0"/>
        <w:rPr>
          <w:rFonts w:ascii="ITC Avant Garde" w:hAnsi="ITC Avant Garde"/>
          <w:color w:val="auto"/>
        </w:rPr>
      </w:pPr>
    </w:p>
    <w:p w14:paraId="2DEEE659" w14:textId="33A1B1D5" w:rsidR="00076180" w:rsidRPr="00ED020C" w:rsidRDefault="00014926" w:rsidP="009E0D5C">
      <w:pPr>
        <w:autoSpaceDE w:val="0"/>
        <w:autoSpaceDN w:val="0"/>
        <w:adjustRightInd w:val="0"/>
        <w:spacing w:line="276" w:lineRule="auto"/>
        <w:ind w:left="567" w:right="616" w:firstLine="0"/>
        <w:rPr>
          <w:rFonts w:ascii="ITC Avant Garde" w:hAnsi="ITC Avant Garde"/>
          <w:i/>
          <w:color w:val="auto"/>
          <w:sz w:val="18"/>
          <w:szCs w:val="18"/>
        </w:rPr>
      </w:pPr>
      <w:r w:rsidRPr="00ED020C">
        <w:rPr>
          <w:rFonts w:ascii="ITC Avant Garde" w:hAnsi="ITC Avant Garde"/>
          <w:i/>
          <w:color w:val="auto"/>
          <w:sz w:val="18"/>
          <w:szCs w:val="18"/>
        </w:rPr>
        <w:t>“</w:t>
      </w:r>
      <w:r w:rsidR="00076180" w:rsidRPr="00ED020C">
        <w:rPr>
          <w:rFonts w:ascii="ITC Avant Garde" w:hAnsi="ITC Avant Garde"/>
          <w:i/>
          <w:color w:val="auto"/>
          <w:sz w:val="18"/>
          <w:szCs w:val="18"/>
        </w:rPr>
        <w:t>Los puertos de acceso que proporcione el Concesionario Solicitado serán de capacidades acordes a la capacidad del enlace de transmisión de interconexión</w:t>
      </w:r>
      <w:r w:rsidRPr="00ED020C">
        <w:rPr>
          <w:rFonts w:ascii="ITC Avant Garde" w:hAnsi="ITC Avant Garde"/>
          <w:i/>
          <w:color w:val="auto"/>
          <w:sz w:val="18"/>
          <w:szCs w:val="18"/>
        </w:rPr>
        <w:t>.”</w:t>
      </w:r>
    </w:p>
    <w:p w14:paraId="6AACC695" w14:textId="22A06389" w:rsidR="00C870D1" w:rsidRPr="00ED020C" w:rsidRDefault="00C870D1" w:rsidP="007D5396">
      <w:pPr>
        <w:spacing w:after="0" w:line="276" w:lineRule="auto"/>
        <w:ind w:left="0" w:right="49" w:firstLine="0"/>
        <w:rPr>
          <w:rFonts w:ascii="ITC Avant Garde" w:hAnsi="ITC Avant Garde"/>
          <w:b/>
          <w:color w:val="auto"/>
        </w:rPr>
      </w:pPr>
    </w:p>
    <w:p w14:paraId="60338FE7" w14:textId="6E32A0A6" w:rsidR="00984902" w:rsidRPr="00B56D15" w:rsidRDefault="00984902" w:rsidP="007D5396">
      <w:pPr>
        <w:spacing w:line="276" w:lineRule="auto"/>
        <w:ind w:firstLine="0"/>
        <w:rPr>
          <w:rFonts w:ascii="ITC Avant Garde" w:hAnsi="ITC Avant Garde"/>
          <w:b/>
          <w:color w:val="auto"/>
        </w:rPr>
      </w:pPr>
      <w:r>
        <w:rPr>
          <w:rFonts w:ascii="ITC Avant Garde" w:hAnsi="ITC Avant Garde"/>
          <w:b/>
          <w:color w:val="auto"/>
        </w:rPr>
        <w:t>MCM</w:t>
      </w:r>
      <w:r w:rsidRPr="002E3889">
        <w:rPr>
          <w:rFonts w:ascii="ITC Avant Garde" w:hAnsi="ITC Avant Garde"/>
          <w:b/>
          <w:color w:val="auto"/>
        </w:rPr>
        <w:t>:</w:t>
      </w:r>
    </w:p>
    <w:p w14:paraId="7E175562" w14:textId="77777777" w:rsidR="00984902" w:rsidRPr="00B56D15" w:rsidRDefault="00984902" w:rsidP="007D5396">
      <w:pPr>
        <w:spacing w:after="0" w:line="276" w:lineRule="auto"/>
        <w:ind w:left="0" w:right="49" w:firstLine="0"/>
        <w:rPr>
          <w:rFonts w:ascii="ITC Avant Garde" w:hAnsi="ITC Avant Garde"/>
          <w:b/>
          <w:color w:val="auto"/>
        </w:rPr>
      </w:pPr>
    </w:p>
    <w:p w14:paraId="1237F3B2" w14:textId="702EB392" w:rsidR="00D735A7" w:rsidRDefault="00984902" w:rsidP="007D5396">
      <w:pPr>
        <w:spacing w:after="0" w:line="276" w:lineRule="auto"/>
        <w:ind w:right="49" w:firstLine="0"/>
        <w:rPr>
          <w:rFonts w:ascii="ITC Avant Garde" w:eastAsia="Times New Roman" w:hAnsi="ITC Avant Garde" w:cs="Times New Roman"/>
          <w:i/>
          <w:color w:val="auto"/>
        </w:rPr>
      </w:pPr>
      <w:r>
        <w:rPr>
          <w:rFonts w:ascii="ITC Avant Garde" w:hAnsi="ITC Avant Garde"/>
          <w:i/>
          <w:color w:val="auto"/>
        </w:rPr>
        <w:t>En el numeral 5.5, p</w:t>
      </w:r>
      <w:r w:rsidR="00D735A7" w:rsidRPr="00C60E26">
        <w:rPr>
          <w:rFonts w:ascii="ITC Avant Garde" w:eastAsia="Times New Roman" w:hAnsi="ITC Avant Garde" w:cs="Times New Roman"/>
          <w:i/>
          <w:color w:val="auto"/>
        </w:rPr>
        <w:t xml:space="preserve">ara los enlaces tipo Ethernet y por lo que se refiere a la renta mensual, se debe establecer la obligación de Telmex de cobrar únicamente por el ancho de banda requerido por el </w:t>
      </w:r>
      <w:r w:rsidR="009138DD">
        <w:rPr>
          <w:rFonts w:ascii="ITC Avant Garde" w:eastAsia="Times New Roman" w:hAnsi="ITC Avant Garde" w:cs="Times New Roman"/>
          <w:i/>
          <w:color w:val="auto"/>
        </w:rPr>
        <w:t>CS</w:t>
      </w:r>
      <w:r w:rsidR="00D735A7" w:rsidRPr="00C60E26">
        <w:rPr>
          <w:rFonts w:ascii="ITC Avant Garde" w:eastAsia="Times New Roman" w:hAnsi="ITC Avant Garde" w:cs="Times New Roman"/>
          <w:i/>
          <w:color w:val="auto"/>
        </w:rPr>
        <w:t xml:space="preserve"> y no por la capacidad total de puerto, siendo la capacidad mínima 100 </w:t>
      </w:r>
      <w:r w:rsidRPr="00C60E26">
        <w:rPr>
          <w:rFonts w:ascii="ITC Avant Garde" w:eastAsia="Times New Roman" w:hAnsi="ITC Avant Garde" w:cs="Times New Roman"/>
          <w:i/>
          <w:color w:val="auto"/>
        </w:rPr>
        <w:t>Mbps</w:t>
      </w:r>
      <w:r w:rsidR="00D735A7" w:rsidRPr="00C60E26">
        <w:rPr>
          <w:rFonts w:ascii="ITC Avant Garde" w:eastAsia="Times New Roman" w:hAnsi="ITC Avant Garde" w:cs="Times New Roman"/>
          <w:i/>
          <w:color w:val="auto"/>
        </w:rPr>
        <w:t xml:space="preserve"> y pudiendo contratarse en múltiplos de 100 </w:t>
      </w:r>
      <w:r w:rsidRPr="00C60E26">
        <w:rPr>
          <w:rFonts w:ascii="ITC Avant Garde" w:eastAsia="Times New Roman" w:hAnsi="ITC Avant Garde" w:cs="Times New Roman"/>
          <w:i/>
          <w:color w:val="auto"/>
        </w:rPr>
        <w:t>Mbps</w:t>
      </w:r>
      <w:r w:rsidR="00D735A7" w:rsidRPr="00C60E26">
        <w:rPr>
          <w:rFonts w:ascii="ITC Avant Garde" w:eastAsia="Times New Roman" w:hAnsi="ITC Avant Garde" w:cs="Times New Roman"/>
          <w:i/>
          <w:color w:val="auto"/>
        </w:rPr>
        <w:t xml:space="preserve"> hasta la totalidad del puerto</w:t>
      </w:r>
      <w:r w:rsidR="00D735A7">
        <w:rPr>
          <w:rFonts w:ascii="ITC Avant Garde" w:eastAsia="Times New Roman" w:hAnsi="ITC Avant Garde" w:cs="Times New Roman"/>
          <w:i/>
          <w:color w:val="auto"/>
        </w:rPr>
        <w:t>.</w:t>
      </w:r>
    </w:p>
    <w:p w14:paraId="7F20341E" w14:textId="77777777" w:rsidR="006B0F62" w:rsidRDefault="006B0F62" w:rsidP="007D5396">
      <w:pPr>
        <w:spacing w:after="0" w:line="276" w:lineRule="auto"/>
        <w:ind w:right="49" w:firstLine="0"/>
        <w:rPr>
          <w:rFonts w:ascii="ITC Avant Garde" w:eastAsia="Times New Roman" w:hAnsi="ITC Avant Garde" w:cs="Times New Roman"/>
          <w:i/>
          <w:color w:val="auto"/>
        </w:rPr>
      </w:pPr>
    </w:p>
    <w:p w14:paraId="41251E30" w14:textId="1A203A4C" w:rsidR="00A76128" w:rsidRPr="00CD1697" w:rsidRDefault="00643C5D" w:rsidP="00354D78">
      <w:pPr>
        <w:spacing w:after="0" w:line="276" w:lineRule="auto"/>
        <w:ind w:left="-5" w:right="49" w:firstLine="0"/>
        <w:rPr>
          <w:rFonts w:ascii="ITC Avant Garde" w:hAnsi="ITC Avant Garde" w:cs="Arial"/>
          <w:snapToGrid w:val="0"/>
          <w:color w:val="auto"/>
        </w:rPr>
      </w:pPr>
      <w:r w:rsidRPr="00CD1697">
        <w:rPr>
          <w:rFonts w:ascii="ITC Avant Garde" w:hAnsi="ITC Avant Garde" w:cs="Arial"/>
          <w:snapToGrid w:val="0"/>
          <w:color w:val="auto"/>
        </w:rPr>
        <w:t>Al respecto, con la finalidad de que los concesionarios puedan solicitar</w:t>
      </w:r>
      <w:r w:rsidR="00354D78" w:rsidRPr="00CD1697">
        <w:rPr>
          <w:rFonts w:ascii="ITC Avant Garde" w:hAnsi="ITC Avant Garde" w:cs="Arial"/>
          <w:snapToGrid w:val="0"/>
          <w:color w:val="auto"/>
        </w:rPr>
        <w:t xml:space="preserve"> la capacidad</w:t>
      </w:r>
      <w:r w:rsidRPr="00CD1697">
        <w:rPr>
          <w:rFonts w:ascii="ITC Avant Garde" w:hAnsi="ITC Avant Garde" w:cs="Arial"/>
          <w:snapToGrid w:val="0"/>
          <w:color w:val="auto"/>
        </w:rPr>
        <w:t xml:space="preserve"> </w:t>
      </w:r>
      <w:r w:rsidR="00354D78" w:rsidRPr="00CD1697">
        <w:rPr>
          <w:rFonts w:ascii="ITC Avant Garde" w:hAnsi="ITC Avant Garde" w:cs="Arial"/>
          <w:snapToGrid w:val="0"/>
          <w:color w:val="auto"/>
        </w:rPr>
        <w:t>d</w:t>
      </w:r>
      <w:r w:rsidRPr="00CD1697">
        <w:rPr>
          <w:rFonts w:ascii="ITC Avant Garde" w:hAnsi="ITC Avant Garde" w:cs="Arial"/>
          <w:snapToGrid w:val="0"/>
          <w:color w:val="auto"/>
        </w:rPr>
        <w:t>el enlace dedicado de interconexión de acuerdo a la</w:t>
      </w:r>
      <w:r w:rsidR="00354D78" w:rsidRPr="00CD1697">
        <w:rPr>
          <w:rFonts w:ascii="ITC Avant Garde" w:hAnsi="ITC Avant Garde" w:cs="Arial"/>
          <w:snapToGrid w:val="0"/>
          <w:color w:val="auto"/>
        </w:rPr>
        <w:t xml:space="preserve">s necesidades particulares de sus redes y al volumen de tráfico que manejan, con </w:t>
      </w:r>
      <w:r w:rsidRPr="00CD1697">
        <w:rPr>
          <w:rFonts w:ascii="ITC Avant Garde" w:hAnsi="ITC Avant Garde" w:cs="Arial"/>
          <w:snapToGrid w:val="0"/>
          <w:color w:val="auto"/>
        </w:rPr>
        <w:t>independ</w:t>
      </w:r>
      <w:r w:rsidR="00354D78" w:rsidRPr="00CD1697">
        <w:rPr>
          <w:rFonts w:ascii="ITC Avant Garde" w:hAnsi="ITC Avant Garde" w:cs="Arial"/>
          <w:snapToGrid w:val="0"/>
          <w:color w:val="auto"/>
        </w:rPr>
        <w:t>encia</w:t>
      </w:r>
      <w:r w:rsidRPr="00CD1697">
        <w:rPr>
          <w:rFonts w:ascii="ITC Avant Garde" w:hAnsi="ITC Avant Garde" w:cs="Arial"/>
          <w:snapToGrid w:val="0"/>
          <w:color w:val="auto"/>
        </w:rPr>
        <w:t xml:space="preserve"> de la capacidad que las interfaces o el medio</w:t>
      </w:r>
      <w:r w:rsidR="00354D78" w:rsidRPr="00CD1697">
        <w:rPr>
          <w:rFonts w:ascii="ITC Avant Garde" w:hAnsi="ITC Avant Garde" w:cs="Arial"/>
          <w:snapToGrid w:val="0"/>
          <w:color w:val="auto"/>
        </w:rPr>
        <w:t xml:space="preserve"> físico</w:t>
      </w:r>
      <w:r w:rsidRPr="00CD1697">
        <w:rPr>
          <w:rFonts w:ascii="ITC Avant Garde" w:hAnsi="ITC Avant Garde" w:cs="Arial"/>
          <w:snapToGrid w:val="0"/>
          <w:color w:val="auto"/>
        </w:rPr>
        <w:t xml:space="preserve"> puedan soportar, </w:t>
      </w:r>
      <w:r w:rsidR="00337FD0" w:rsidRPr="00CD1697">
        <w:rPr>
          <w:rFonts w:ascii="ITC Avant Garde" w:hAnsi="ITC Avant Garde" w:cs="Arial"/>
          <w:snapToGrid w:val="0"/>
          <w:color w:val="auto"/>
        </w:rPr>
        <w:t>se modificó la redacción del CMI para señalar que Telmex deberá ofrecer Enlaces Dedicados de Interconexión mediante la tecnología Etherne</w:t>
      </w:r>
      <w:r w:rsidR="00F20B38" w:rsidRPr="00CD1697">
        <w:rPr>
          <w:rFonts w:ascii="ITC Avant Garde" w:hAnsi="ITC Avant Garde" w:cs="Arial"/>
          <w:snapToGrid w:val="0"/>
          <w:color w:val="auto"/>
        </w:rPr>
        <w:t>t en sus distintas capacidades, quedando dicha Cláusula en los términos siguientes:</w:t>
      </w:r>
    </w:p>
    <w:p w14:paraId="6DB50BEF" w14:textId="77777777" w:rsidR="00F20B38" w:rsidRPr="00CD1697" w:rsidRDefault="00F20B38" w:rsidP="007D5396">
      <w:pPr>
        <w:spacing w:after="0" w:line="276" w:lineRule="auto"/>
        <w:ind w:left="-5" w:right="49" w:firstLine="0"/>
        <w:rPr>
          <w:rFonts w:ascii="ITC Avant Garde" w:hAnsi="ITC Avant Garde" w:cs="Arial"/>
          <w:snapToGrid w:val="0"/>
          <w:color w:val="auto"/>
        </w:rPr>
      </w:pPr>
    </w:p>
    <w:p w14:paraId="5558F7BB" w14:textId="77777777" w:rsidR="00F20B38" w:rsidRPr="00CD1697" w:rsidRDefault="00F20B38" w:rsidP="007D5396">
      <w:pPr>
        <w:autoSpaceDE w:val="0"/>
        <w:autoSpaceDN w:val="0"/>
        <w:adjustRightInd w:val="0"/>
        <w:spacing w:after="0" w:line="276" w:lineRule="auto"/>
        <w:ind w:left="567" w:right="567" w:firstLine="0"/>
        <w:rPr>
          <w:rFonts w:ascii="ITC Avant Garde" w:hAnsi="ITC Avant Garde" w:cs="Arial"/>
          <w:i/>
          <w:color w:val="auto"/>
          <w:sz w:val="18"/>
          <w:szCs w:val="18"/>
        </w:rPr>
      </w:pPr>
      <w:r w:rsidRPr="00CD1697">
        <w:rPr>
          <w:rFonts w:ascii="ITC Avant Garde" w:hAnsi="ITC Avant Garde" w:cs="Arial"/>
          <w:i/>
          <w:color w:val="auto"/>
          <w:sz w:val="18"/>
          <w:szCs w:val="18"/>
        </w:rPr>
        <w:t>5.5. ENLACES DEDICADOS DE  INTERCONEXIÓN.</w:t>
      </w:r>
    </w:p>
    <w:p w14:paraId="512496F3" w14:textId="77777777" w:rsidR="00F20B38" w:rsidRPr="00CD1697" w:rsidRDefault="00F20B38" w:rsidP="007D5396">
      <w:pPr>
        <w:pStyle w:val="Citaift"/>
        <w:spacing w:after="0"/>
        <w:ind w:left="567" w:right="567"/>
        <w:rPr>
          <w:color w:val="auto"/>
        </w:rPr>
      </w:pPr>
      <w:r w:rsidRPr="00CD1697">
        <w:rPr>
          <w:color w:val="auto"/>
        </w:rPr>
        <w:t xml:space="preserve">Telmex deberá proporcionar a [ __________ ] los siguientes tipos de Enlaces Dedicados de  Interconexión: Enlaces E1, E3, STM1, así como Ethernet </w:t>
      </w:r>
      <w:r w:rsidRPr="00CD1697">
        <w:rPr>
          <w:color w:val="auto"/>
          <w:u w:val="single"/>
        </w:rPr>
        <w:t>en sus distintas capacidades</w:t>
      </w:r>
      <w:r w:rsidRPr="00CD1697">
        <w:rPr>
          <w:color w:val="auto"/>
        </w:rPr>
        <w:t>. Estos enlaces de transmisión de interconexión podrán ser utilizados para conducción de Tráfico Público Conmutado de cualquier tipo ya sea servicio fijo, móvil o de tránsito. (…)</w:t>
      </w:r>
    </w:p>
    <w:p w14:paraId="03BFD633" w14:textId="77777777" w:rsidR="00F20B38" w:rsidRPr="00CD1697" w:rsidRDefault="00F20B38" w:rsidP="007D5396">
      <w:pPr>
        <w:pStyle w:val="Citaift"/>
        <w:spacing w:after="0"/>
        <w:ind w:left="567" w:right="567"/>
        <w:jc w:val="right"/>
        <w:rPr>
          <w:i w:val="0"/>
          <w:color w:val="auto"/>
        </w:rPr>
      </w:pPr>
      <w:r w:rsidRPr="00CD1697">
        <w:rPr>
          <w:i w:val="0"/>
          <w:color w:val="auto"/>
        </w:rPr>
        <w:t xml:space="preserve"> </w:t>
      </w:r>
    </w:p>
    <w:p w14:paraId="718927E9" w14:textId="77777777" w:rsidR="00F20B38" w:rsidRPr="00CD1697" w:rsidRDefault="00F20B38" w:rsidP="007D5396">
      <w:pPr>
        <w:pStyle w:val="Citaift"/>
        <w:spacing w:after="0"/>
        <w:ind w:left="567" w:right="567"/>
        <w:jc w:val="right"/>
        <w:rPr>
          <w:color w:val="auto"/>
        </w:rPr>
      </w:pPr>
      <w:r w:rsidRPr="00CD1697">
        <w:rPr>
          <w:color w:val="auto"/>
        </w:rPr>
        <w:t>(Énfasis añadido)</w:t>
      </w:r>
    </w:p>
    <w:p w14:paraId="03075575" w14:textId="77777777" w:rsidR="00207D97" w:rsidRPr="00CD1697" w:rsidRDefault="00207D97" w:rsidP="00207D97">
      <w:pPr>
        <w:pStyle w:val="Citaift"/>
        <w:spacing w:after="0"/>
        <w:ind w:left="0" w:right="567"/>
        <w:rPr>
          <w:i w:val="0"/>
          <w:color w:val="auto"/>
          <w:sz w:val="22"/>
          <w:szCs w:val="22"/>
        </w:rPr>
      </w:pPr>
      <w:r w:rsidRPr="00CD1697">
        <w:rPr>
          <w:i w:val="0"/>
          <w:color w:val="auto"/>
          <w:sz w:val="22"/>
          <w:szCs w:val="22"/>
        </w:rPr>
        <w:t>Respecto a la contratación en múltiplos de 100 Mbps en el numeral 5.7.3 de la Propuesta de CMI se señala lo siguiente:</w:t>
      </w:r>
    </w:p>
    <w:p w14:paraId="28CB8B57" w14:textId="77777777" w:rsidR="00207D97" w:rsidRPr="00CD1697" w:rsidRDefault="00207D97" w:rsidP="00207D97">
      <w:pPr>
        <w:pStyle w:val="Citaift"/>
        <w:spacing w:after="0"/>
        <w:ind w:left="0" w:right="567"/>
        <w:rPr>
          <w:i w:val="0"/>
          <w:color w:val="auto"/>
          <w:sz w:val="22"/>
          <w:szCs w:val="22"/>
        </w:rPr>
      </w:pPr>
    </w:p>
    <w:p w14:paraId="4310E554" w14:textId="140C122C" w:rsidR="00207D97" w:rsidRPr="00CD1697" w:rsidRDefault="00207D97" w:rsidP="00207D97">
      <w:pPr>
        <w:pStyle w:val="Textosinformato"/>
        <w:ind w:left="720" w:right="616"/>
        <w:jc w:val="both"/>
        <w:rPr>
          <w:rFonts w:ascii="ITC Avant Garde" w:hAnsi="ITC Avant Garde"/>
          <w:sz w:val="22"/>
        </w:rPr>
      </w:pPr>
      <w:r w:rsidRPr="00CD1697">
        <w:rPr>
          <w:rFonts w:ascii="ITC Avant Garde" w:hAnsi="ITC Avant Garde" w:cs="Arial"/>
          <w:i/>
          <w:sz w:val="18"/>
          <w:szCs w:val="18"/>
        </w:rPr>
        <w:t>“Dentro de la interfaz activa se crecerá la capacidad de manejo de tráfico con incrementos de 10 Mbps o 100 Mbps. Los crecimientos se realizarán al llegar al 85% de ocupación de la interfaz.”</w:t>
      </w:r>
    </w:p>
    <w:p w14:paraId="5919DF19" w14:textId="4B6625F8" w:rsidR="00207D97" w:rsidRPr="00CD1697" w:rsidRDefault="00207D97" w:rsidP="00207D97">
      <w:pPr>
        <w:pStyle w:val="Citaift"/>
        <w:spacing w:after="0"/>
        <w:ind w:left="0" w:right="567"/>
        <w:rPr>
          <w:i w:val="0"/>
          <w:color w:val="auto"/>
          <w:sz w:val="22"/>
          <w:szCs w:val="22"/>
        </w:rPr>
      </w:pPr>
      <w:r w:rsidRPr="00CD1697">
        <w:rPr>
          <w:i w:val="0"/>
          <w:color w:val="auto"/>
          <w:sz w:val="22"/>
          <w:szCs w:val="22"/>
        </w:rPr>
        <w:t xml:space="preserve"> </w:t>
      </w:r>
    </w:p>
    <w:p w14:paraId="215035C0" w14:textId="0E34DE9C" w:rsidR="00207D97" w:rsidRPr="00CD1697" w:rsidRDefault="00207D97" w:rsidP="00207D97">
      <w:pPr>
        <w:pStyle w:val="Citaift"/>
        <w:spacing w:after="0"/>
        <w:ind w:left="0" w:right="567"/>
        <w:rPr>
          <w:i w:val="0"/>
          <w:color w:val="auto"/>
          <w:sz w:val="22"/>
          <w:szCs w:val="22"/>
        </w:rPr>
      </w:pPr>
      <w:r w:rsidRPr="00CD1697">
        <w:rPr>
          <w:i w:val="0"/>
          <w:color w:val="auto"/>
          <w:sz w:val="22"/>
          <w:szCs w:val="22"/>
        </w:rPr>
        <w:t>Es así que la Propuesta de CMI ya considera la contratación de capacidad en múltiplos de 100 Mbps.</w:t>
      </w:r>
    </w:p>
    <w:p w14:paraId="298B0559" w14:textId="77777777" w:rsidR="00F20B38" w:rsidRPr="000C7CB5" w:rsidRDefault="00F20B38" w:rsidP="007930BF">
      <w:pPr>
        <w:spacing w:after="0" w:line="276" w:lineRule="auto"/>
        <w:ind w:left="0" w:right="49" w:firstLine="0"/>
        <w:rPr>
          <w:rFonts w:ascii="ITC Avant Garde" w:eastAsia="Times New Roman" w:hAnsi="ITC Avant Garde" w:cs="Times New Roman"/>
          <w:i/>
          <w:color w:val="auto"/>
        </w:rPr>
      </w:pPr>
    </w:p>
    <w:p w14:paraId="00CD624C" w14:textId="76D79C12" w:rsidR="00995DC5" w:rsidRPr="00B56D15" w:rsidRDefault="00984902" w:rsidP="007D5396">
      <w:pPr>
        <w:spacing w:after="0" w:line="276" w:lineRule="auto"/>
        <w:ind w:left="-5" w:right="49" w:firstLine="0"/>
        <w:rPr>
          <w:rFonts w:ascii="ITC Avant Garde" w:hAnsi="ITC Avant Garde"/>
          <w:b/>
          <w:color w:val="auto"/>
        </w:rPr>
      </w:pPr>
      <w:r>
        <w:rPr>
          <w:rFonts w:ascii="ITC Avant Garde" w:hAnsi="ITC Avant Garde"/>
          <w:b/>
          <w:color w:val="auto"/>
        </w:rPr>
        <w:t xml:space="preserve">MCM y </w:t>
      </w:r>
      <w:r w:rsidR="00995DC5" w:rsidRPr="00B56D15">
        <w:rPr>
          <w:rFonts w:ascii="ITC Avant Garde" w:hAnsi="ITC Avant Garde"/>
          <w:b/>
          <w:color w:val="auto"/>
        </w:rPr>
        <w:t>CANIETI:</w:t>
      </w:r>
    </w:p>
    <w:p w14:paraId="62409F53" w14:textId="77777777" w:rsidR="00995DC5" w:rsidRPr="00B56D15" w:rsidRDefault="00995DC5" w:rsidP="007D5396">
      <w:pPr>
        <w:spacing w:line="276" w:lineRule="auto"/>
        <w:ind w:firstLine="0"/>
        <w:rPr>
          <w:rFonts w:ascii="ITC Avant Garde" w:hAnsi="ITC Avant Garde"/>
          <w:color w:val="auto"/>
        </w:rPr>
      </w:pPr>
    </w:p>
    <w:p w14:paraId="642D2950" w14:textId="5034A460" w:rsidR="00995DC5" w:rsidRDefault="00984902" w:rsidP="007D5396">
      <w:pPr>
        <w:spacing w:line="276" w:lineRule="auto"/>
        <w:ind w:firstLine="0"/>
        <w:rPr>
          <w:rFonts w:ascii="ITC Avant Garde" w:hAnsi="ITC Avant Garde"/>
          <w:i/>
          <w:color w:val="auto"/>
        </w:rPr>
      </w:pPr>
      <w:r>
        <w:rPr>
          <w:rFonts w:ascii="ITC Avant Garde" w:hAnsi="ITC Avant Garde"/>
          <w:i/>
          <w:color w:val="auto"/>
        </w:rPr>
        <w:t xml:space="preserve">En el numeral 5.6, </w:t>
      </w:r>
      <w:r w:rsidR="00995DC5" w:rsidRPr="00B56D15">
        <w:rPr>
          <w:rFonts w:ascii="ITC Avant Garde" w:hAnsi="ITC Avant Garde"/>
          <w:i/>
          <w:color w:val="auto"/>
        </w:rPr>
        <w:t>Telmex deberá ofrecer el Servicio de Tr</w:t>
      </w:r>
      <w:r w:rsidR="009E0D5C">
        <w:rPr>
          <w:rFonts w:ascii="ITC Avant Garde" w:hAnsi="ITC Avant Garde"/>
          <w:i/>
          <w:color w:val="auto"/>
        </w:rPr>
        <w:t>á</w:t>
      </w:r>
      <w:r w:rsidR="00995DC5" w:rsidRPr="00B56D15">
        <w:rPr>
          <w:rFonts w:ascii="ITC Avant Garde" w:hAnsi="ITC Avant Garde"/>
          <w:i/>
          <w:color w:val="auto"/>
        </w:rPr>
        <w:t>nsito ya sea para la Originación o Terminación de Tráfico, dentro del territorio nacional, a través de los puntos de interconexión definidos para todo origen y t</w:t>
      </w:r>
      <w:r w:rsidR="00D24D8B">
        <w:rPr>
          <w:rFonts w:ascii="ITC Avant Garde" w:hAnsi="ITC Avant Garde"/>
          <w:i/>
          <w:color w:val="auto"/>
        </w:rPr>
        <w:t>odo destino a otros operadores.</w:t>
      </w:r>
    </w:p>
    <w:p w14:paraId="11E83E7C" w14:textId="77777777" w:rsidR="00D735A7" w:rsidRDefault="00D735A7" w:rsidP="007D5396">
      <w:pPr>
        <w:spacing w:line="276" w:lineRule="auto"/>
        <w:ind w:firstLine="0"/>
        <w:rPr>
          <w:rFonts w:ascii="ITC Avant Garde" w:hAnsi="ITC Avant Garde"/>
          <w:i/>
          <w:color w:val="auto"/>
        </w:rPr>
      </w:pPr>
    </w:p>
    <w:p w14:paraId="15B1E4EE" w14:textId="40B749B7" w:rsidR="00D735A7" w:rsidRDefault="00984902" w:rsidP="007D5396">
      <w:pPr>
        <w:spacing w:line="276" w:lineRule="auto"/>
        <w:ind w:firstLine="0"/>
        <w:rPr>
          <w:rFonts w:ascii="ITC Avant Garde" w:hAnsi="ITC Avant Garde"/>
          <w:i/>
          <w:color w:val="auto"/>
        </w:rPr>
      </w:pPr>
      <w:r w:rsidRPr="00F20B38">
        <w:rPr>
          <w:rFonts w:ascii="ITC Avant Garde" w:hAnsi="ITC Avant Garde"/>
          <w:i/>
          <w:color w:val="auto"/>
        </w:rPr>
        <w:lastRenderedPageBreak/>
        <w:t>Adicionalmente, MCM señala que, e</w:t>
      </w:r>
      <w:r w:rsidR="00D735A7" w:rsidRPr="00F20B38">
        <w:rPr>
          <w:rFonts w:ascii="ITC Avant Garde" w:hAnsi="ITC Avant Garde"/>
          <w:i/>
          <w:color w:val="auto"/>
        </w:rPr>
        <w:t>n el caso de llamadas con origen y destino en la zona geográfica de Telnor, el AEP estará obligado a proporcionar la función de tránsito en llamadas originada por Telnor o cualquier tercer concesionario interconectado con Telnor, teniendo únicamente e</w:t>
      </w:r>
      <w:r w:rsidR="00D24D8B">
        <w:rPr>
          <w:rFonts w:ascii="ITC Avant Garde" w:hAnsi="ITC Avant Garde"/>
          <w:i/>
          <w:color w:val="auto"/>
        </w:rPr>
        <w:t>l derecho a cobrar un tránsito.</w:t>
      </w:r>
    </w:p>
    <w:p w14:paraId="38F9D3A0" w14:textId="77777777" w:rsidR="00BA56E3" w:rsidRDefault="00BA56E3" w:rsidP="007D5396">
      <w:pPr>
        <w:spacing w:line="276" w:lineRule="auto"/>
        <w:ind w:firstLine="0"/>
        <w:rPr>
          <w:rFonts w:ascii="ITC Avant Garde" w:hAnsi="ITC Avant Garde"/>
          <w:i/>
          <w:color w:val="auto"/>
        </w:rPr>
      </w:pPr>
    </w:p>
    <w:p w14:paraId="06654357" w14:textId="77777777" w:rsidR="00BA56E3" w:rsidRPr="00B56D15" w:rsidRDefault="00BA56E3" w:rsidP="00BA56E3">
      <w:pPr>
        <w:spacing w:after="0" w:line="276" w:lineRule="auto"/>
        <w:ind w:left="-5" w:right="49" w:firstLine="0"/>
        <w:rPr>
          <w:rFonts w:ascii="ITC Avant Garde" w:hAnsi="ITC Avant Garde"/>
          <w:b/>
          <w:color w:val="auto"/>
        </w:rPr>
      </w:pPr>
      <w:r w:rsidRPr="007930BF">
        <w:rPr>
          <w:rFonts w:ascii="ITC Avant Garde" w:hAnsi="ITC Avant Garde"/>
          <w:b/>
          <w:color w:val="auto"/>
        </w:rPr>
        <w:t>AT&amp;T y CANIETI:</w:t>
      </w:r>
    </w:p>
    <w:p w14:paraId="75D51B6C" w14:textId="77777777" w:rsidR="00BA56E3" w:rsidRPr="00B56D15" w:rsidRDefault="00BA56E3" w:rsidP="00BA56E3">
      <w:pPr>
        <w:spacing w:after="0" w:line="276" w:lineRule="auto"/>
        <w:ind w:right="49" w:firstLine="0"/>
        <w:rPr>
          <w:rFonts w:ascii="ITC Avant Garde" w:hAnsi="ITC Avant Garde"/>
          <w:color w:val="auto"/>
        </w:rPr>
      </w:pPr>
    </w:p>
    <w:p w14:paraId="0B89EEA1" w14:textId="77777777" w:rsidR="00BA56E3" w:rsidRPr="00B56D15" w:rsidRDefault="00BA56E3" w:rsidP="00BA56E3">
      <w:pPr>
        <w:spacing w:after="0" w:line="276" w:lineRule="auto"/>
        <w:ind w:right="49" w:firstLine="0"/>
        <w:rPr>
          <w:rFonts w:ascii="ITC Avant Garde" w:hAnsi="ITC Avant Garde"/>
          <w:i/>
          <w:color w:val="auto"/>
        </w:rPr>
      </w:pPr>
      <w:r w:rsidRPr="00B56D15">
        <w:rPr>
          <w:rFonts w:ascii="ITC Avant Garde" w:hAnsi="ITC Avant Garde"/>
          <w:i/>
          <w:color w:val="auto"/>
        </w:rPr>
        <w:t>En el numeral 5.7.3 se considera necesario aclarar la redacción de esta condición igual al CMI 2016 que contempla que los puntos de interconexión deberán ser capaces de atender a todas las regiones de México, ya que de lo contrario queda sin efecto la obligación de Telmex de prestar el servicio de tránsito hacia la zona de cobertura de Telnor.</w:t>
      </w:r>
    </w:p>
    <w:p w14:paraId="45945BA6" w14:textId="77777777" w:rsidR="00BA56E3" w:rsidRPr="00B56D15" w:rsidRDefault="00BA56E3" w:rsidP="00BA56E3">
      <w:pPr>
        <w:spacing w:after="0" w:line="276" w:lineRule="auto"/>
        <w:ind w:right="49" w:firstLine="0"/>
        <w:rPr>
          <w:rFonts w:ascii="ITC Avant Garde" w:hAnsi="ITC Avant Garde"/>
          <w:i/>
          <w:color w:val="auto"/>
        </w:rPr>
      </w:pPr>
    </w:p>
    <w:p w14:paraId="678CBBE1" w14:textId="77777777" w:rsidR="00BA56E3" w:rsidRDefault="00BA56E3" w:rsidP="00BA56E3">
      <w:pPr>
        <w:spacing w:after="0" w:line="276" w:lineRule="auto"/>
        <w:ind w:right="49" w:firstLine="0"/>
        <w:rPr>
          <w:rFonts w:ascii="ITC Avant Garde" w:hAnsi="ITC Avant Garde"/>
          <w:i/>
          <w:color w:val="auto"/>
        </w:rPr>
      </w:pPr>
      <w:r>
        <w:rPr>
          <w:rFonts w:ascii="ITC Avant Garde" w:hAnsi="ITC Avant Garde"/>
          <w:i/>
          <w:color w:val="auto"/>
        </w:rPr>
        <w:t>Se propone</w:t>
      </w:r>
      <w:r w:rsidRPr="00B56D15">
        <w:rPr>
          <w:rFonts w:ascii="ITC Avant Garde" w:hAnsi="ITC Avant Garde"/>
          <w:i/>
          <w:color w:val="auto"/>
        </w:rPr>
        <w:t xml:space="preserve"> la siguiente redacción:</w:t>
      </w:r>
    </w:p>
    <w:p w14:paraId="1D109902" w14:textId="77777777" w:rsidR="00BA56E3" w:rsidRPr="00B56D15" w:rsidRDefault="00BA56E3" w:rsidP="00BA56E3">
      <w:pPr>
        <w:spacing w:after="0" w:line="276" w:lineRule="auto"/>
        <w:ind w:right="49" w:firstLine="0"/>
        <w:rPr>
          <w:rFonts w:ascii="ITC Avant Garde" w:hAnsi="ITC Avant Garde"/>
          <w:i/>
          <w:color w:val="auto"/>
        </w:rPr>
      </w:pPr>
    </w:p>
    <w:p w14:paraId="63386AC7" w14:textId="20CA9548" w:rsidR="00BA56E3" w:rsidRPr="009E0D5C" w:rsidRDefault="00BA56E3" w:rsidP="009E0D5C">
      <w:pPr>
        <w:spacing w:line="276" w:lineRule="auto"/>
        <w:ind w:left="567" w:right="616" w:firstLine="0"/>
        <w:rPr>
          <w:rFonts w:ascii="ITC Avant Garde" w:hAnsi="ITC Avant Garde"/>
          <w:i/>
          <w:color w:val="auto"/>
          <w:sz w:val="18"/>
          <w:szCs w:val="18"/>
        </w:rPr>
      </w:pPr>
      <w:r w:rsidRPr="009E0D5C">
        <w:rPr>
          <w:rFonts w:ascii="ITC Avant Garde" w:hAnsi="ITC Avant Garde"/>
          <w:i/>
          <w:color w:val="auto"/>
          <w:sz w:val="18"/>
          <w:szCs w:val="18"/>
        </w:rPr>
        <w:t>“Telmex entrega en el Sub-Anexo A-1 los puntos de Interconexión IP, en donde pueden interconectar su Red Pública de Telecomunicaciones en protocolo SIP. Los puntos de interconexión deberán ser capaces de atender a todos los NIR de Telmex y a través del servicio de tránsito todos los NIR de México.”</w:t>
      </w:r>
    </w:p>
    <w:p w14:paraId="279CBE86" w14:textId="77777777" w:rsidR="00E115B1" w:rsidRDefault="00E115B1" w:rsidP="00BA56E3">
      <w:pPr>
        <w:spacing w:line="276" w:lineRule="auto"/>
        <w:ind w:firstLine="0"/>
        <w:rPr>
          <w:rFonts w:ascii="ITC Avant Garde" w:hAnsi="ITC Avant Garde"/>
          <w:i/>
          <w:color w:val="auto"/>
        </w:rPr>
      </w:pPr>
    </w:p>
    <w:p w14:paraId="6CE50DF2" w14:textId="77777777" w:rsidR="00E115B1" w:rsidRPr="00B56D15" w:rsidRDefault="00E115B1" w:rsidP="00E115B1">
      <w:pPr>
        <w:spacing w:line="276" w:lineRule="auto"/>
        <w:ind w:firstLine="0"/>
        <w:rPr>
          <w:rFonts w:ascii="ITC Avant Garde" w:hAnsi="ITC Avant Garde"/>
          <w:b/>
          <w:color w:val="auto"/>
        </w:rPr>
      </w:pPr>
      <w:r w:rsidRPr="001549AF">
        <w:rPr>
          <w:rFonts w:ascii="ITC Avant Garde" w:hAnsi="ITC Avant Garde"/>
          <w:b/>
          <w:color w:val="auto"/>
        </w:rPr>
        <w:t>MCM y CANIETI:</w:t>
      </w:r>
    </w:p>
    <w:p w14:paraId="2A54E0B8" w14:textId="77777777" w:rsidR="00E115B1" w:rsidRPr="00B56D15" w:rsidRDefault="00E115B1" w:rsidP="00E115B1">
      <w:pPr>
        <w:spacing w:line="276" w:lineRule="auto"/>
        <w:ind w:firstLine="0"/>
        <w:rPr>
          <w:rFonts w:ascii="ITC Avant Garde" w:hAnsi="ITC Avant Garde"/>
          <w:color w:val="auto"/>
        </w:rPr>
      </w:pPr>
    </w:p>
    <w:p w14:paraId="153DCA96" w14:textId="12BBE568" w:rsidR="00E115B1" w:rsidRPr="00B56D15" w:rsidRDefault="00E115B1" w:rsidP="00E115B1">
      <w:pPr>
        <w:spacing w:line="276" w:lineRule="auto"/>
        <w:ind w:firstLine="0"/>
        <w:rPr>
          <w:rFonts w:ascii="ITC Avant Garde" w:hAnsi="ITC Avant Garde"/>
          <w:i/>
          <w:color w:val="auto"/>
        </w:rPr>
      </w:pPr>
      <w:r>
        <w:rPr>
          <w:rFonts w:ascii="ITC Avant Garde" w:hAnsi="ITC Avant Garde"/>
          <w:i/>
          <w:color w:val="auto"/>
        </w:rPr>
        <w:t>Respecto al numeral 2.3</w:t>
      </w:r>
      <w:r w:rsidR="00D84A39">
        <w:rPr>
          <w:rFonts w:ascii="ITC Avant Garde" w:hAnsi="ITC Avant Garde"/>
          <w:i/>
          <w:color w:val="auto"/>
        </w:rPr>
        <w:t xml:space="preserve"> del Anexo A</w:t>
      </w:r>
      <w:r w:rsidR="00537A83">
        <w:rPr>
          <w:rFonts w:ascii="ITC Avant Garde" w:hAnsi="ITC Avant Garde"/>
          <w:i/>
          <w:color w:val="auto"/>
        </w:rPr>
        <w:t>.2</w:t>
      </w:r>
      <w:r>
        <w:rPr>
          <w:rFonts w:ascii="ITC Avant Garde" w:hAnsi="ITC Avant Garde"/>
          <w:i/>
          <w:color w:val="auto"/>
        </w:rPr>
        <w:t>, e</w:t>
      </w:r>
      <w:r w:rsidRPr="00B56D15">
        <w:rPr>
          <w:rFonts w:ascii="ITC Avant Garde" w:hAnsi="ITC Avant Garde"/>
          <w:i/>
          <w:color w:val="auto"/>
        </w:rPr>
        <w:t xml:space="preserve">l punto de interconexión en el cual se entregará este tipo de tráfico será el acordado entre los </w:t>
      </w:r>
      <w:r>
        <w:rPr>
          <w:rFonts w:ascii="ITC Avant Garde" w:hAnsi="ITC Avant Garde"/>
          <w:i/>
          <w:color w:val="auto"/>
        </w:rPr>
        <w:t>c</w:t>
      </w:r>
      <w:r w:rsidRPr="00B56D15">
        <w:rPr>
          <w:rFonts w:ascii="ITC Avant Garde" w:hAnsi="ITC Avant Garde"/>
          <w:i/>
          <w:color w:val="auto"/>
        </w:rPr>
        <w:t>oncesionarios. TELMEX debe estar en posibilidad de recibir tráfico de todo origen todo destino en su carácter de preponderante. Los demás concesionarios señalarán a TELMEX los puntos donde este último deberá entregar el tráfico al concesionario.</w:t>
      </w:r>
    </w:p>
    <w:p w14:paraId="7E91AADD" w14:textId="77777777" w:rsidR="00E115B1" w:rsidRPr="00B56D15" w:rsidRDefault="00E115B1" w:rsidP="00E115B1">
      <w:pPr>
        <w:spacing w:line="276" w:lineRule="auto"/>
        <w:ind w:firstLine="0"/>
        <w:rPr>
          <w:rFonts w:ascii="ITC Avant Garde" w:hAnsi="ITC Avant Garde"/>
          <w:i/>
          <w:color w:val="auto"/>
        </w:rPr>
      </w:pPr>
    </w:p>
    <w:p w14:paraId="3554E057" w14:textId="77777777" w:rsidR="00E115B1" w:rsidRPr="00B56D15" w:rsidRDefault="00E115B1" w:rsidP="00E115B1">
      <w:pPr>
        <w:spacing w:line="276" w:lineRule="auto"/>
        <w:ind w:firstLine="0"/>
        <w:rPr>
          <w:rFonts w:ascii="ITC Avant Garde" w:hAnsi="ITC Avant Garde"/>
          <w:i/>
          <w:color w:val="auto"/>
        </w:rPr>
      </w:pPr>
      <w:r w:rsidRPr="00B56D15">
        <w:rPr>
          <w:rFonts w:ascii="ITC Avant Garde" w:hAnsi="ITC Avant Garde"/>
          <w:i/>
          <w:color w:val="auto"/>
        </w:rPr>
        <w:t>Telmex y Telnor fueron declarados en forma conjunta como AEP fijo, por lo que las obligaciones establecidas en las medidas fijas deben ser aplicables a Telmex y Telnor como una sola entidad y no como concesionarios independientes.</w:t>
      </w:r>
    </w:p>
    <w:p w14:paraId="142F2D6B" w14:textId="77777777" w:rsidR="00E115B1" w:rsidRPr="00B56D15" w:rsidRDefault="00E115B1" w:rsidP="00E115B1">
      <w:pPr>
        <w:spacing w:line="276" w:lineRule="auto"/>
        <w:ind w:firstLine="0"/>
        <w:rPr>
          <w:rFonts w:ascii="ITC Avant Garde" w:hAnsi="ITC Avant Garde"/>
          <w:i/>
          <w:color w:val="auto"/>
        </w:rPr>
      </w:pPr>
    </w:p>
    <w:p w14:paraId="70EE241B" w14:textId="77777777" w:rsidR="00E115B1" w:rsidRPr="00B56D15" w:rsidRDefault="00E115B1" w:rsidP="00E115B1">
      <w:pPr>
        <w:spacing w:line="276" w:lineRule="auto"/>
        <w:ind w:firstLine="0"/>
        <w:rPr>
          <w:rFonts w:ascii="ITC Avant Garde" w:hAnsi="ITC Avant Garde"/>
          <w:i/>
          <w:color w:val="auto"/>
        </w:rPr>
      </w:pPr>
      <w:r w:rsidRPr="00B56D15">
        <w:rPr>
          <w:rFonts w:ascii="ITC Avant Garde" w:hAnsi="ITC Avant Garde"/>
          <w:i/>
          <w:color w:val="auto"/>
        </w:rPr>
        <w:t>Al actuar Telmex y Telnor como concesionarios independientes hace nugatorio para el CS el derecho que le confiere la medida quinta del Anexo 2 de la Resolución de Preponderancia, ya que quedaría sin efecto la obligación del AEP fijo de ofrecer puertos universales capaces de intercambiar tráfico todo origen, todo destino dentro del territorio nacional como se establece en las medidas de preponderancia y de acuerdo a la interpretación que se debe dar a dicha medida considerando el Acuerdo que elimina los cargos de Larga Distancia a partir del 1 de enero de 2015 y que establece que a partir de la entrada en vigor de dicho acuerdo todo el territorio nacional será un Área de Servicio Local.</w:t>
      </w:r>
    </w:p>
    <w:p w14:paraId="7AEC0F86" w14:textId="77777777" w:rsidR="00E115B1" w:rsidRPr="00B56D15" w:rsidRDefault="00E115B1" w:rsidP="00E115B1">
      <w:pPr>
        <w:spacing w:line="276" w:lineRule="auto"/>
        <w:ind w:firstLine="0"/>
        <w:rPr>
          <w:rFonts w:ascii="ITC Avant Garde" w:hAnsi="ITC Avant Garde"/>
          <w:i/>
          <w:color w:val="auto"/>
        </w:rPr>
      </w:pPr>
    </w:p>
    <w:p w14:paraId="4D1C814A" w14:textId="77777777" w:rsidR="00E115B1" w:rsidRPr="00B56D15" w:rsidRDefault="00E115B1" w:rsidP="00E115B1">
      <w:pPr>
        <w:spacing w:line="276" w:lineRule="auto"/>
        <w:ind w:firstLine="0"/>
        <w:rPr>
          <w:rFonts w:ascii="ITC Avant Garde" w:hAnsi="ITC Avant Garde"/>
          <w:i/>
          <w:color w:val="auto"/>
        </w:rPr>
      </w:pPr>
      <w:r w:rsidRPr="00B56D15">
        <w:rPr>
          <w:rFonts w:ascii="ITC Avant Garde" w:hAnsi="ITC Avant Garde"/>
          <w:i/>
          <w:color w:val="auto"/>
        </w:rPr>
        <w:lastRenderedPageBreak/>
        <w:t>La interconexión directa con Telnor generaría inversiones y gastos de operación innecesarios, además de no ser económicamente viable.</w:t>
      </w:r>
    </w:p>
    <w:p w14:paraId="5998C63A" w14:textId="77777777" w:rsidR="00E115B1" w:rsidRPr="00B56D15" w:rsidRDefault="00E115B1" w:rsidP="00E115B1">
      <w:pPr>
        <w:spacing w:line="276" w:lineRule="auto"/>
        <w:ind w:firstLine="0"/>
        <w:rPr>
          <w:rFonts w:ascii="ITC Avant Garde" w:hAnsi="ITC Avant Garde"/>
          <w:i/>
          <w:color w:val="auto"/>
        </w:rPr>
      </w:pPr>
    </w:p>
    <w:p w14:paraId="54F990CF" w14:textId="77777777" w:rsidR="00E115B1" w:rsidRDefault="00E115B1" w:rsidP="00E115B1">
      <w:pPr>
        <w:spacing w:line="276" w:lineRule="auto"/>
        <w:ind w:firstLine="0"/>
        <w:rPr>
          <w:rFonts w:ascii="ITC Avant Garde" w:hAnsi="ITC Avant Garde"/>
          <w:i/>
          <w:color w:val="auto"/>
        </w:rPr>
      </w:pPr>
      <w:r w:rsidRPr="00B56D15">
        <w:rPr>
          <w:rFonts w:ascii="ITC Avant Garde" w:hAnsi="ITC Avant Garde"/>
          <w:i/>
          <w:color w:val="auto"/>
        </w:rPr>
        <w:t>Al respecto, y a fin de que se dé solución a la interconexión directa con Telnor y se eviten imponer condiciones contrarias al marco regulatorio, CS propone se imponga la obligación a Telmex y Telnor de actuar como un solo tránsito (Propuesta 1), o bien, se obligue a Telnor a habilitar un puerto de interconexión virtual en cualquier central de Telmex en donde CS ya esté coubicado. (Propuesta 2).</w:t>
      </w:r>
    </w:p>
    <w:p w14:paraId="11C8F2DD" w14:textId="77777777" w:rsidR="0035148F" w:rsidRDefault="0035148F" w:rsidP="00E115B1">
      <w:pPr>
        <w:spacing w:line="276" w:lineRule="auto"/>
        <w:ind w:firstLine="0"/>
        <w:rPr>
          <w:rFonts w:ascii="ITC Avant Garde" w:hAnsi="ITC Avant Garde"/>
          <w:i/>
          <w:color w:val="auto"/>
        </w:rPr>
      </w:pPr>
    </w:p>
    <w:p w14:paraId="27DD52A9" w14:textId="77777777" w:rsidR="0035148F" w:rsidRPr="00B56D15" w:rsidRDefault="0035148F" w:rsidP="0035148F">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p>
    <w:p w14:paraId="70B8DC2F" w14:textId="77777777" w:rsidR="0035148F" w:rsidRPr="00B56D15" w:rsidRDefault="0035148F" w:rsidP="0035148F">
      <w:pPr>
        <w:spacing w:after="0" w:line="276" w:lineRule="auto"/>
        <w:ind w:right="49" w:firstLine="0"/>
        <w:rPr>
          <w:rFonts w:ascii="ITC Avant Garde" w:eastAsia="Times New Roman" w:hAnsi="ITC Avant Garde" w:cs="Times New Roman"/>
          <w:i/>
          <w:color w:val="auto"/>
        </w:rPr>
      </w:pPr>
    </w:p>
    <w:p w14:paraId="7EE3D927" w14:textId="7C47D76B" w:rsidR="0035148F" w:rsidRPr="00B56D15" w:rsidRDefault="0035148F" w:rsidP="0035148F">
      <w:pPr>
        <w:spacing w:after="0" w:line="276" w:lineRule="auto"/>
        <w:ind w:left="0" w:right="49" w:firstLine="0"/>
        <w:rPr>
          <w:rFonts w:ascii="ITC Avant Garde" w:eastAsia="Times New Roman" w:hAnsi="ITC Avant Garde" w:cs="Times New Roman"/>
          <w:i/>
          <w:color w:val="auto"/>
        </w:rPr>
      </w:pPr>
      <w:r>
        <w:rPr>
          <w:rFonts w:ascii="ITC Avant Garde" w:hAnsi="ITC Avant Garde"/>
          <w:i/>
          <w:color w:val="auto"/>
        </w:rPr>
        <w:t>En el Tema 1 Anexo A</w:t>
      </w:r>
      <w:r w:rsidR="00410CB3">
        <w:rPr>
          <w:rFonts w:ascii="ITC Avant Garde" w:hAnsi="ITC Avant Garde"/>
          <w:i/>
          <w:color w:val="auto"/>
        </w:rPr>
        <w:t>.2</w:t>
      </w:r>
      <w:r>
        <w:rPr>
          <w:rFonts w:ascii="ITC Avant Garde" w:hAnsi="ITC Avant Garde"/>
          <w:i/>
          <w:color w:val="auto"/>
        </w:rPr>
        <w:t>: Puntos de Interconexión</w:t>
      </w:r>
      <w:r>
        <w:rPr>
          <w:rFonts w:ascii="ITC Avant Garde" w:eastAsia="Times New Roman" w:hAnsi="ITC Avant Garde" w:cs="Times New Roman"/>
          <w:i/>
          <w:color w:val="auto"/>
        </w:rPr>
        <w:t>, s</w:t>
      </w:r>
      <w:r w:rsidRPr="00B56D15">
        <w:rPr>
          <w:rFonts w:ascii="ITC Avant Garde" w:eastAsia="Times New Roman" w:hAnsi="ITC Avant Garde" w:cs="Times New Roman"/>
          <w:i/>
          <w:color w:val="auto"/>
        </w:rPr>
        <w:t>e sugiere la siguiente redacción a fin de que no quede incomunicada la zona cubierta por Telnor:</w:t>
      </w:r>
    </w:p>
    <w:p w14:paraId="060EA488" w14:textId="77777777" w:rsidR="0035148F" w:rsidRPr="00B56D15" w:rsidRDefault="0035148F" w:rsidP="0035148F">
      <w:pPr>
        <w:spacing w:after="0" w:line="276" w:lineRule="auto"/>
        <w:ind w:left="0" w:right="49" w:firstLine="0"/>
        <w:rPr>
          <w:rFonts w:ascii="ITC Avant Garde" w:eastAsia="Times New Roman" w:hAnsi="ITC Avant Garde" w:cs="Times New Roman"/>
          <w:i/>
          <w:color w:val="auto"/>
        </w:rPr>
      </w:pPr>
    </w:p>
    <w:p w14:paraId="7ACAB684" w14:textId="77777777" w:rsidR="0035148F" w:rsidRPr="009E0D5C" w:rsidRDefault="0035148F" w:rsidP="009E0D5C">
      <w:pPr>
        <w:spacing w:after="0" w:line="276" w:lineRule="auto"/>
        <w:ind w:left="567" w:right="616" w:firstLine="0"/>
        <w:rPr>
          <w:rFonts w:ascii="ITC Avant Garde" w:eastAsia="Times New Roman" w:hAnsi="ITC Avant Garde" w:cs="Times New Roman"/>
          <w:i/>
          <w:color w:val="auto"/>
          <w:sz w:val="18"/>
          <w:szCs w:val="18"/>
          <w:u w:val="single"/>
        </w:rPr>
      </w:pPr>
      <w:r w:rsidRPr="009E0D5C">
        <w:rPr>
          <w:rFonts w:ascii="ITC Avant Garde" w:eastAsia="Times New Roman" w:hAnsi="ITC Avant Garde" w:cs="Times New Roman"/>
          <w:i/>
          <w:color w:val="auto"/>
          <w:sz w:val="18"/>
          <w:szCs w:val="18"/>
        </w:rPr>
        <w:t xml:space="preserve">“Telmex entrega en el SUB-Anexo A-1 los puntos de Interconexión IP, en donde [______________] pueda interconectar su Red Pública de Telecomunicaciones en protocolo SIP. Los Puntos de Interconexión deberán ser capaces de atender </w:t>
      </w:r>
      <w:r w:rsidRPr="009E0D5C">
        <w:rPr>
          <w:rFonts w:ascii="ITC Avant Garde" w:eastAsia="Times New Roman" w:hAnsi="ITC Avant Garde" w:cs="Times New Roman"/>
          <w:i/>
          <w:color w:val="auto"/>
          <w:sz w:val="18"/>
          <w:szCs w:val="18"/>
          <w:u w:val="single"/>
        </w:rPr>
        <w:t>todos los NIR de Telmex y a través del tránsito todos los NIR de México.”</w:t>
      </w:r>
    </w:p>
    <w:p w14:paraId="4DC8E03C" w14:textId="77777777" w:rsidR="0035148F" w:rsidRPr="00B56D15" w:rsidRDefault="0035148F" w:rsidP="0035148F">
      <w:pPr>
        <w:spacing w:after="0" w:line="276" w:lineRule="auto"/>
        <w:ind w:left="0" w:right="49" w:firstLine="0"/>
        <w:rPr>
          <w:rFonts w:ascii="ITC Avant Garde" w:eastAsia="Times New Roman" w:hAnsi="ITC Avant Garde" w:cs="Times New Roman"/>
          <w:i/>
          <w:color w:val="auto"/>
        </w:rPr>
      </w:pPr>
    </w:p>
    <w:p w14:paraId="2E4F486C" w14:textId="77777777" w:rsidR="0035148F" w:rsidRPr="001275ED" w:rsidRDefault="0035148F" w:rsidP="0035148F">
      <w:pPr>
        <w:spacing w:after="0" w:line="276" w:lineRule="auto"/>
        <w:ind w:left="0" w:right="49" w:firstLine="0"/>
        <w:rPr>
          <w:rFonts w:ascii="ITC Avant Garde" w:eastAsia="Times New Roman" w:hAnsi="ITC Avant Garde" w:cs="Times New Roman"/>
          <w:i/>
          <w:color w:val="auto"/>
        </w:rPr>
      </w:pPr>
      <w:r w:rsidRPr="001275ED">
        <w:rPr>
          <w:rFonts w:ascii="ITC Avant Garde" w:eastAsia="Times New Roman" w:hAnsi="ITC Avant Garde" w:cs="Times New Roman"/>
          <w:i/>
          <w:color w:val="auto"/>
        </w:rPr>
        <w:t>Asimismo, a fin de asegurar que no quede incomunicada la zona cubierta por Telnor, se recomienda la siguiente redacción:</w:t>
      </w:r>
    </w:p>
    <w:p w14:paraId="329A1CEB" w14:textId="77777777" w:rsidR="0035148F" w:rsidRPr="00B56D15" w:rsidRDefault="0035148F" w:rsidP="0035148F">
      <w:pPr>
        <w:spacing w:after="0" w:line="276" w:lineRule="auto"/>
        <w:ind w:left="0" w:right="49" w:firstLine="0"/>
        <w:rPr>
          <w:rFonts w:ascii="ITC Avant Garde" w:eastAsia="Times New Roman" w:hAnsi="ITC Avant Garde" w:cs="Times New Roman"/>
          <w:i/>
          <w:color w:val="auto"/>
        </w:rPr>
      </w:pPr>
    </w:p>
    <w:p w14:paraId="5D543A5D" w14:textId="77777777" w:rsidR="0035148F" w:rsidRPr="001549AF" w:rsidRDefault="0035148F" w:rsidP="001549AF">
      <w:pPr>
        <w:spacing w:after="0" w:line="276" w:lineRule="auto"/>
        <w:ind w:left="567" w:right="616" w:firstLine="0"/>
        <w:rPr>
          <w:rFonts w:ascii="ITC Avant Garde" w:eastAsia="Times New Roman" w:hAnsi="ITC Avant Garde" w:cs="Times New Roman"/>
          <w:i/>
          <w:color w:val="auto"/>
          <w:sz w:val="18"/>
          <w:szCs w:val="18"/>
        </w:rPr>
      </w:pPr>
      <w:r w:rsidRPr="001549AF">
        <w:rPr>
          <w:rFonts w:ascii="ITC Avant Garde" w:eastAsia="Times New Roman" w:hAnsi="ITC Avant Garde" w:cs="Times New Roman"/>
          <w:i/>
          <w:color w:val="auto"/>
          <w:sz w:val="18"/>
          <w:szCs w:val="18"/>
        </w:rPr>
        <w:t>“Los Puntos de Interconexión IP de la red pública de telecomunicaciones de Telmex para intercambiar tráfico de cualquier origen o destino dentro de la cobertura definida en el título de concesión de Telmex mediante el protocolo de internet (IP) y a través de tránsito con cualquier destino dentro de México, correspondientes a los servicios de telecomunicaciones fijos estarán ubicados en las ciudades indicadas en el Sub-Anexo A-1”.</w:t>
      </w:r>
    </w:p>
    <w:p w14:paraId="3183A47B" w14:textId="77777777" w:rsidR="00C05E66" w:rsidRDefault="00C05E66" w:rsidP="007930BF">
      <w:pPr>
        <w:spacing w:after="0" w:line="276" w:lineRule="auto"/>
        <w:ind w:left="0" w:right="49" w:firstLine="0"/>
        <w:rPr>
          <w:rFonts w:ascii="ITC Avant Garde" w:eastAsia="Times New Roman" w:hAnsi="ITC Avant Garde" w:cs="Times New Roman"/>
          <w:i/>
          <w:color w:val="auto"/>
        </w:rPr>
      </w:pPr>
    </w:p>
    <w:p w14:paraId="10A93AE7" w14:textId="77777777" w:rsidR="006B7697" w:rsidRDefault="006B7697" w:rsidP="006B7697">
      <w:pPr>
        <w:spacing w:after="0" w:line="276" w:lineRule="auto"/>
        <w:ind w:left="-5" w:right="49" w:firstLine="0"/>
        <w:rPr>
          <w:rFonts w:ascii="ITC Avant Garde" w:hAnsi="ITC Avant Garde"/>
          <w:b/>
          <w:color w:val="auto"/>
        </w:rPr>
      </w:pPr>
      <w:r>
        <w:rPr>
          <w:rFonts w:ascii="ITC Avant Garde" w:hAnsi="ITC Avant Garde"/>
          <w:b/>
          <w:color w:val="auto"/>
        </w:rPr>
        <w:t xml:space="preserve">MCM, Telefónica y CANIETI: </w:t>
      </w:r>
    </w:p>
    <w:p w14:paraId="47457740" w14:textId="77777777" w:rsidR="006B7697" w:rsidRPr="00EB0EE4" w:rsidRDefault="006B7697" w:rsidP="006B7697">
      <w:pPr>
        <w:spacing w:after="0" w:line="276" w:lineRule="auto"/>
        <w:ind w:left="-5" w:right="49" w:firstLine="0"/>
        <w:rPr>
          <w:rFonts w:ascii="ITC Avant Garde" w:hAnsi="ITC Avant Garde"/>
          <w:color w:val="auto"/>
        </w:rPr>
      </w:pPr>
    </w:p>
    <w:p w14:paraId="4EFCA917" w14:textId="77777777" w:rsidR="006B7697" w:rsidRDefault="006B7697" w:rsidP="006B7697">
      <w:pPr>
        <w:spacing w:line="276" w:lineRule="auto"/>
        <w:ind w:firstLine="0"/>
        <w:rPr>
          <w:rFonts w:ascii="ITC Avant Garde" w:hAnsi="ITC Avant Garde"/>
          <w:i/>
          <w:color w:val="auto"/>
        </w:rPr>
      </w:pPr>
      <w:r>
        <w:rPr>
          <w:rFonts w:ascii="ITC Avant Garde" w:hAnsi="ITC Avant Garde"/>
          <w:i/>
          <w:color w:val="auto"/>
        </w:rPr>
        <w:t>En el Tema 1: Puntos de Interconexión, s</w:t>
      </w:r>
      <w:r w:rsidRPr="00B56D15">
        <w:rPr>
          <w:rFonts w:ascii="ITC Avant Garde" w:hAnsi="ITC Avant Garde"/>
          <w:i/>
          <w:color w:val="auto"/>
        </w:rPr>
        <w:t>e propone modificar la redacción de la siguiente manera: “Los Puntos de interconexión lP de la red pública de telecomunicaciones de Telmex para RECIBIR tráfico de cualquier origen o destino dentro de la cobertura definida en el título de concesión de Telmex mediante el protocolo de internet (lP), correspondientes a los servicios de telecomunicaciones fijos estarán ubicados en las ciudades indicadas en el Sub-Anexo A-1”.</w:t>
      </w:r>
    </w:p>
    <w:p w14:paraId="18E7D37E" w14:textId="77777777" w:rsidR="006B7697" w:rsidRDefault="006B7697" w:rsidP="007930BF">
      <w:pPr>
        <w:spacing w:after="0" w:line="276" w:lineRule="auto"/>
        <w:ind w:left="0" w:right="49" w:firstLine="0"/>
        <w:rPr>
          <w:rFonts w:ascii="ITC Avant Garde" w:eastAsia="Times New Roman" w:hAnsi="ITC Avant Garde" w:cs="Times New Roman"/>
          <w:i/>
          <w:color w:val="auto"/>
        </w:rPr>
      </w:pPr>
    </w:p>
    <w:p w14:paraId="478F7736" w14:textId="1C910F9F" w:rsidR="00F537A6" w:rsidRPr="00EB0EE4" w:rsidRDefault="002B4812" w:rsidP="002B4812">
      <w:pPr>
        <w:spacing w:line="276" w:lineRule="auto"/>
        <w:ind w:firstLine="0"/>
        <w:rPr>
          <w:rFonts w:ascii="ITC Avant Garde" w:hAnsi="ITC Avant Garde"/>
          <w:color w:val="auto"/>
        </w:rPr>
      </w:pPr>
      <w:r w:rsidRPr="00EB0EE4">
        <w:rPr>
          <w:rFonts w:ascii="ITC Avant Garde" w:hAnsi="ITC Avant Garde"/>
          <w:color w:val="auto"/>
        </w:rPr>
        <w:t xml:space="preserve">Respecto de los comentarios anteriores se señala que </w:t>
      </w:r>
      <w:r w:rsidR="00F537A6" w:rsidRPr="00EB0EE4">
        <w:rPr>
          <w:rFonts w:ascii="ITC Avant Garde" w:hAnsi="ITC Avant Garde"/>
          <w:color w:val="auto"/>
        </w:rPr>
        <w:t xml:space="preserve">el artículo 4 del Plan Técnico Fundamental de Interconexión e Interoperabilidad establece </w:t>
      </w:r>
      <w:r w:rsidR="00FF7691" w:rsidRPr="00EB0EE4">
        <w:rPr>
          <w:rFonts w:ascii="ITC Avant Garde" w:hAnsi="ITC Avant Garde"/>
          <w:color w:val="auto"/>
        </w:rPr>
        <w:t>que los c</w:t>
      </w:r>
      <w:r w:rsidR="00F537A6" w:rsidRPr="00EB0EE4">
        <w:rPr>
          <w:rFonts w:ascii="ITC Avant Garde" w:hAnsi="ITC Avant Garde"/>
          <w:color w:val="auto"/>
        </w:rPr>
        <w:t xml:space="preserve">oncesionarios están obligados a entregar el Tráfico a su destino final o a un Concesionario o combinación de Concesionarios que puedan hacerlo y en tal sentido deberán proveer y tener acceso a los Servicios de Interconexión en </w:t>
      </w:r>
      <w:r w:rsidR="00F537A6" w:rsidRPr="00EB0EE4">
        <w:rPr>
          <w:rFonts w:ascii="ITC Avant Garde" w:hAnsi="ITC Avant Garde"/>
          <w:color w:val="auto"/>
        </w:rPr>
        <w:lastRenderedPageBreak/>
        <w:t>términos de lo dispuesto por la Ley, por el Plan, así como por las demás disposiciones que resulten aplicables.</w:t>
      </w:r>
    </w:p>
    <w:p w14:paraId="36382168" w14:textId="77777777" w:rsidR="00F537A6" w:rsidRPr="00EB0EE4" w:rsidRDefault="00F537A6" w:rsidP="002B4812">
      <w:pPr>
        <w:spacing w:line="276" w:lineRule="auto"/>
        <w:ind w:left="0" w:firstLine="0"/>
        <w:rPr>
          <w:rFonts w:ascii="ITC Avant Garde" w:hAnsi="ITC Avant Garde"/>
          <w:color w:val="auto"/>
        </w:rPr>
      </w:pPr>
    </w:p>
    <w:p w14:paraId="1606CB4F" w14:textId="3377CB3C" w:rsidR="00F537A6" w:rsidRPr="00EB0EE4" w:rsidRDefault="002B4812" w:rsidP="00E17A48">
      <w:pPr>
        <w:spacing w:line="276" w:lineRule="auto"/>
        <w:ind w:firstLine="0"/>
        <w:rPr>
          <w:rFonts w:ascii="ITC Avant Garde" w:hAnsi="ITC Avant Garde"/>
          <w:color w:val="auto"/>
        </w:rPr>
      </w:pPr>
      <w:r w:rsidRPr="00EB0EE4">
        <w:rPr>
          <w:rFonts w:ascii="ITC Avant Garde" w:hAnsi="ITC Avant Garde"/>
          <w:color w:val="auto"/>
        </w:rPr>
        <w:t>Asimismo</w:t>
      </w:r>
      <w:r w:rsidR="00F537A6" w:rsidRPr="00EB0EE4">
        <w:rPr>
          <w:rFonts w:ascii="ITC Avant Garde" w:hAnsi="ITC Avant Garde"/>
          <w:color w:val="auto"/>
        </w:rPr>
        <w:t>, la medida Sexta de las Medi</w:t>
      </w:r>
      <w:r w:rsidR="001549AF" w:rsidRPr="00EB0EE4">
        <w:rPr>
          <w:rFonts w:ascii="ITC Avant Garde" w:hAnsi="ITC Avant Garde"/>
          <w:color w:val="auto"/>
        </w:rPr>
        <w:t>das Fijas</w:t>
      </w:r>
      <w:r w:rsidR="00F537A6" w:rsidRPr="00EB0EE4">
        <w:rPr>
          <w:rFonts w:ascii="ITC Avant Garde" w:hAnsi="ITC Avant Garde"/>
          <w:color w:val="auto"/>
        </w:rPr>
        <w:t>, estableció la obligación a cargo del AEP de prestar a</w:t>
      </w:r>
      <w:r w:rsidR="00E17A48" w:rsidRPr="00EB0EE4">
        <w:rPr>
          <w:rFonts w:ascii="ITC Avant Garde" w:hAnsi="ITC Avant Garde"/>
          <w:color w:val="auto"/>
        </w:rPr>
        <w:t xml:space="preserve"> los CS el servicio de tránsito, es así que se modificó la redacción </w:t>
      </w:r>
      <w:r w:rsidR="00F537A6" w:rsidRPr="00EB0EE4">
        <w:rPr>
          <w:rFonts w:ascii="ITC Avant Garde" w:hAnsi="ITC Avant Garde"/>
          <w:color w:val="auto"/>
        </w:rPr>
        <w:t>de la Cláusula 5.7.3, en el siguiente sentido:</w:t>
      </w:r>
    </w:p>
    <w:p w14:paraId="1DB24582" w14:textId="77777777" w:rsidR="00F537A6" w:rsidRPr="00EB0EE4" w:rsidRDefault="00F537A6" w:rsidP="00F537A6">
      <w:pPr>
        <w:spacing w:line="276" w:lineRule="auto"/>
        <w:ind w:firstLine="0"/>
        <w:rPr>
          <w:rFonts w:ascii="ITC Avant Garde" w:hAnsi="ITC Avant Garde"/>
          <w:color w:val="auto"/>
        </w:rPr>
      </w:pPr>
    </w:p>
    <w:p w14:paraId="5B21525C" w14:textId="77777777" w:rsidR="00F537A6" w:rsidRPr="00EB0EE4" w:rsidRDefault="00F537A6" w:rsidP="006575A4">
      <w:pPr>
        <w:spacing w:line="276" w:lineRule="auto"/>
        <w:ind w:left="567" w:right="616" w:firstLine="0"/>
        <w:rPr>
          <w:rFonts w:ascii="ITC Avant Garde" w:hAnsi="ITC Avant Garde"/>
          <w:i/>
          <w:color w:val="auto"/>
          <w:sz w:val="18"/>
          <w:szCs w:val="18"/>
        </w:rPr>
      </w:pPr>
      <w:r w:rsidRPr="00EB0EE4">
        <w:rPr>
          <w:rFonts w:ascii="ITC Avant Garde" w:hAnsi="ITC Avant Garde"/>
          <w:i/>
          <w:color w:val="auto"/>
          <w:sz w:val="18"/>
          <w:szCs w:val="18"/>
        </w:rPr>
        <w:t xml:space="preserve">“5.7.3 Especificaciones Técnicas de los Enlaces Dedicados de Interconexión. </w:t>
      </w:r>
    </w:p>
    <w:p w14:paraId="28616DDD" w14:textId="77777777" w:rsidR="00F537A6" w:rsidRPr="00EB0EE4" w:rsidRDefault="00F537A6" w:rsidP="006575A4">
      <w:pPr>
        <w:spacing w:line="276" w:lineRule="auto"/>
        <w:ind w:left="567" w:right="616" w:firstLine="0"/>
        <w:rPr>
          <w:rFonts w:ascii="ITC Avant Garde" w:hAnsi="ITC Avant Garde"/>
          <w:i/>
          <w:color w:val="auto"/>
          <w:sz w:val="18"/>
          <w:szCs w:val="18"/>
        </w:rPr>
      </w:pPr>
      <w:r w:rsidRPr="00EB0EE4">
        <w:rPr>
          <w:rFonts w:ascii="ITC Avant Garde" w:hAnsi="ITC Avant Garde"/>
          <w:i/>
          <w:color w:val="auto"/>
          <w:sz w:val="18"/>
          <w:szCs w:val="18"/>
        </w:rPr>
        <w:t>(…)</w:t>
      </w:r>
    </w:p>
    <w:p w14:paraId="3CC073FA" w14:textId="77777777" w:rsidR="00F537A6" w:rsidRPr="00EB0EE4" w:rsidRDefault="00F537A6" w:rsidP="006575A4">
      <w:pPr>
        <w:spacing w:line="276" w:lineRule="auto"/>
        <w:ind w:left="567" w:right="616" w:firstLine="0"/>
        <w:rPr>
          <w:rFonts w:ascii="ITC Avant Garde" w:hAnsi="ITC Avant Garde"/>
          <w:i/>
          <w:color w:val="auto"/>
          <w:sz w:val="18"/>
          <w:szCs w:val="18"/>
        </w:rPr>
      </w:pPr>
      <w:r w:rsidRPr="00EB0EE4">
        <w:rPr>
          <w:rFonts w:ascii="ITC Avant Garde" w:hAnsi="ITC Avant Garde"/>
          <w:i/>
          <w:color w:val="auto"/>
          <w:sz w:val="18"/>
          <w:szCs w:val="18"/>
        </w:rPr>
        <w:t>Las condiciones mínimas requeridas para el intercambio de tráfico SIP deberán ser las siguientes:</w:t>
      </w:r>
    </w:p>
    <w:p w14:paraId="3E2E1C9B" w14:textId="77777777" w:rsidR="00F537A6" w:rsidRPr="00EB0EE4" w:rsidRDefault="00F537A6" w:rsidP="006575A4">
      <w:pPr>
        <w:spacing w:line="276" w:lineRule="auto"/>
        <w:ind w:left="567" w:right="616" w:firstLine="0"/>
        <w:rPr>
          <w:rFonts w:ascii="ITC Avant Garde" w:hAnsi="ITC Avant Garde"/>
          <w:i/>
          <w:color w:val="auto"/>
          <w:sz w:val="18"/>
          <w:szCs w:val="18"/>
        </w:rPr>
      </w:pPr>
    </w:p>
    <w:p w14:paraId="0A0C3789" w14:textId="7ACED654" w:rsidR="00F537A6" w:rsidRPr="00EB0EE4" w:rsidRDefault="00F537A6" w:rsidP="006575A4">
      <w:pPr>
        <w:spacing w:line="276" w:lineRule="auto"/>
        <w:ind w:left="567" w:right="616" w:firstLine="0"/>
        <w:rPr>
          <w:rFonts w:ascii="ITC Avant Garde" w:hAnsi="ITC Avant Garde"/>
          <w:i/>
          <w:color w:val="auto"/>
          <w:sz w:val="18"/>
          <w:szCs w:val="18"/>
        </w:rPr>
      </w:pPr>
      <w:r w:rsidRPr="00EB0EE4">
        <w:rPr>
          <w:rFonts w:ascii="ITC Avant Garde" w:hAnsi="ITC Avant Garde"/>
          <w:i/>
          <w:color w:val="auto"/>
          <w:sz w:val="18"/>
          <w:szCs w:val="18"/>
        </w:rPr>
        <w:t>•</w:t>
      </w:r>
      <w:r w:rsidRPr="00EB0EE4">
        <w:rPr>
          <w:rFonts w:ascii="ITC Avant Garde" w:hAnsi="ITC Avant Garde"/>
          <w:i/>
          <w:color w:val="auto"/>
          <w:sz w:val="18"/>
          <w:szCs w:val="18"/>
        </w:rPr>
        <w:tab/>
        <w:t xml:space="preserve">Telmex entrega en el Sub-Anexo A-1 los Puntos de Interconexión IP, en donde pueden interconectar su  Red Pública de Telecomunicaciones en protocolo SIP. </w:t>
      </w:r>
      <w:r w:rsidRPr="00EB0EE4">
        <w:rPr>
          <w:rFonts w:ascii="ITC Avant Garde" w:hAnsi="ITC Avant Garde"/>
          <w:i/>
          <w:color w:val="auto"/>
          <w:sz w:val="18"/>
          <w:szCs w:val="18"/>
          <w:u w:val="single"/>
        </w:rPr>
        <w:t>Los Puntos de Interconexión deberán ser capaces de atender a todas las regiones de México</w:t>
      </w:r>
      <w:r w:rsidRPr="00EB0EE4">
        <w:rPr>
          <w:rFonts w:ascii="ITC Avant Garde" w:hAnsi="ITC Avant Garde"/>
          <w:i/>
          <w:color w:val="auto"/>
          <w:sz w:val="18"/>
          <w:szCs w:val="18"/>
        </w:rPr>
        <w:t>.  ”</w:t>
      </w:r>
    </w:p>
    <w:p w14:paraId="11BB325A" w14:textId="77777777" w:rsidR="00F537A6" w:rsidRPr="00EB0EE4" w:rsidRDefault="00F537A6" w:rsidP="006575A4">
      <w:pPr>
        <w:spacing w:line="276" w:lineRule="auto"/>
        <w:ind w:left="567" w:right="616" w:firstLine="0"/>
        <w:rPr>
          <w:rFonts w:ascii="ITC Avant Garde" w:hAnsi="ITC Avant Garde"/>
          <w:i/>
          <w:color w:val="auto"/>
          <w:sz w:val="18"/>
          <w:szCs w:val="18"/>
        </w:rPr>
      </w:pPr>
    </w:p>
    <w:p w14:paraId="55876748" w14:textId="77777777" w:rsidR="00F537A6" w:rsidRPr="00EB0EE4" w:rsidRDefault="00F537A6" w:rsidP="006575A4">
      <w:pPr>
        <w:spacing w:line="276" w:lineRule="auto"/>
        <w:ind w:left="567" w:right="616" w:firstLine="0"/>
        <w:rPr>
          <w:rFonts w:ascii="ITC Avant Garde" w:hAnsi="ITC Avant Garde"/>
          <w:i/>
          <w:color w:val="auto"/>
          <w:sz w:val="18"/>
          <w:szCs w:val="18"/>
        </w:rPr>
      </w:pPr>
      <w:r w:rsidRPr="00EB0EE4">
        <w:rPr>
          <w:rFonts w:ascii="ITC Avant Garde" w:hAnsi="ITC Avant Garde"/>
          <w:i/>
          <w:color w:val="auto"/>
          <w:sz w:val="18"/>
          <w:szCs w:val="18"/>
        </w:rPr>
        <w:t>Asimismo, se modifica el Tema 1, numeral A.2 del Anexo A, para quedar en los siguientes términos:</w:t>
      </w:r>
    </w:p>
    <w:p w14:paraId="46922506" w14:textId="77777777" w:rsidR="00F537A6" w:rsidRPr="00EB0EE4" w:rsidRDefault="00F537A6" w:rsidP="006575A4">
      <w:pPr>
        <w:spacing w:line="276" w:lineRule="auto"/>
        <w:ind w:left="567" w:right="616" w:firstLine="0"/>
        <w:rPr>
          <w:rFonts w:ascii="ITC Avant Garde" w:hAnsi="ITC Avant Garde"/>
          <w:i/>
          <w:color w:val="auto"/>
          <w:sz w:val="18"/>
          <w:szCs w:val="18"/>
        </w:rPr>
      </w:pPr>
    </w:p>
    <w:p w14:paraId="6FA33849" w14:textId="77777777" w:rsidR="00F537A6" w:rsidRPr="00EB0EE4" w:rsidRDefault="00F537A6" w:rsidP="006575A4">
      <w:pPr>
        <w:spacing w:line="276" w:lineRule="auto"/>
        <w:ind w:left="567" w:right="616" w:firstLine="0"/>
        <w:rPr>
          <w:rFonts w:ascii="ITC Avant Garde" w:hAnsi="ITC Avant Garde"/>
          <w:i/>
          <w:color w:val="auto"/>
          <w:sz w:val="18"/>
          <w:szCs w:val="18"/>
        </w:rPr>
      </w:pPr>
      <w:r w:rsidRPr="00EB0EE4">
        <w:rPr>
          <w:rFonts w:ascii="ITC Avant Garde" w:hAnsi="ITC Avant Garde"/>
          <w:i/>
          <w:color w:val="auto"/>
          <w:sz w:val="18"/>
          <w:szCs w:val="18"/>
        </w:rPr>
        <w:t>“TEMA 1. Puntos de Interconexión</w:t>
      </w:r>
    </w:p>
    <w:p w14:paraId="63B331F1" w14:textId="77777777" w:rsidR="00F537A6" w:rsidRPr="00EB0EE4" w:rsidRDefault="00F537A6" w:rsidP="006575A4">
      <w:pPr>
        <w:spacing w:line="276" w:lineRule="auto"/>
        <w:ind w:left="567" w:right="616" w:firstLine="0"/>
        <w:rPr>
          <w:rFonts w:ascii="ITC Avant Garde" w:hAnsi="ITC Avant Garde"/>
          <w:i/>
          <w:color w:val="auto"/>
          <w:sz w:val="18"/>
          <w:szCs w:val="18"/>
        </w:rPr>
      </w:pPr>
      <w:r w:rsidRPr="00EB0EE4">
        <w:rPr>
          <w:rFonts w:ascii="ITC Avant Garde" w:hAnsi="ITC Avant Garde"/>
          <w:i/>
          <w:color w:val="auto"/>
          <w:sz w:val="18"/>
          <w:szCs w:val="18"/>
        </w:rPr>
        <w:t xml:space="preserve">TELMEX entrega en el Sub-Anexo A-1 los Puntos de Interconexión IP, en donde [ __________ ] pueda interconectar su Red Pública de Telecomunicaciones en protocolo SIP. </w:t>
      </w:r>
      <w:r w:rsidRPr="00EB0EE4">
        <w:rPr>
          <w:rFonts w:ascii="ITC Avant Garde" w:hAnsi="ITC Avant Garde"/>
          <w:i/>
          <w:color w:val="auto"/>
          <w:sz w:val="18"/>
          <w:szCs w:val="18"/>
          <w:u w:val="single"/>
        </w:rPr>
        <w:t>Los Puntos de Interconexión deberán ser capaces de atender a todas las regiones de México</w:t>
      </w:r>
      <w:r w:rsidRPr="00EB0EE4">
        <w:rPr>
          <w:rFonts w:ascii="ITC Avant Garde" w:hAnsi="ITC Avant Garde"/>
          <w:i/>
          <w:color w:val="auto"/>
          <w:sz w:val="18"/>
          <w:szCs w:val="18"/>
        </w:rPr>
        <w:t>. (…)”</w:t>
      </w:r>
    </w:p>
    <w:p w14:paraId="6C8FDA44" w14:textId="2F86A3EE" w:rsidR="00F537A6" w:rsidRPr="00EB0EE4" w:rsidRDefault="006B2E67" w:rsidP="006B2E67">
      <w:pPr>
        <w:spacing w:line="276" w:lineRule="auto"/>
        <w:ind w:left="567" w:right="616" w:firstLine="0"/>
        <w:jc w:val="right"/>
        <w:rPr>
          <w:rFonts w:ascii="ITC Avant Garde" w:hAnsi="ITC Avant Garde"/>
          <w:color w:val="auto"/>
          <w:sz w:val="18"/>
          <w:szCs w:val="18"/>
        </w:rPr>
      </w:pPr>
      <w:r w:rsidRPr="00EB0EE4">
        <w:rPr>
          <w:rFonts w:ascii="ITC Avant Garde" w:hAnsi="ITC Avant Garde"/>
          <w:color w:val="auto"/>
          <w:sz w:val="18"/>
          <w:szCs w:val="18"/>
        </w:rPr>
        <w:t>(Énfasis añadido)</w:t>
      </w:r>
    </w:p>
    <w:p w14:paraId="5B4BB96D" w14:textId="77777777" w:rsidR="006B2E67" w:rsidRPr="00EB0EE4" w:rsidRDefault="006B2E67" w:rsidP="001549AF">
      <w:pPr>
        <w:spacing w:line="276" w:lineRule="auto"/>
        <w:ind w:left="0" w:firstLine="0"/>
        <w:rPr>
          <w:rFonts w:ascii="ITC Avant Garde" w:hAnsi="ITC Avant Garde"/>
          <w:color w:val="auto"/>
        </w:rPr>
      </w:pPr>
    </w:p>
    <w:p w14:paraId="40198CA4" w14:textId="77777777" w:rsidR="00FF7691" w:rsidRPr="00EB0EE4" w:rsidRDefault="00F537A6" w:rsidP="001549AF">
      <w:pPr>
        <w:spacing w:line="276" w:lineRule="auto"/>
        <w:ind w:left="0" w:firstLine="0"/>
        <w:rPr>
          <w:rFonts w:ascii="ITC Avant Garde" w:hAnsi="ITC Avant Garde"/>
          <w:color w:val="auto"/>
        </w:rPr>
      </w:pPr>
      <w:r w:rsidRPr="00EB0EE4">
        <w:rPr>
          <w:rFonts w:ascii="ITC Avant Garde" w:hAnsi="ITC Avant Garde"/>
          <w:color w:val="auto"/>
        </w:rPr>
        <w:t>Con lo anterior, será posible que los puntos de interconexión IP de Telmex sean capaces de atender a todas las regiones de México incluyendo las llamadas que terminen en la red de Telnor.</w:t>
      </w:r>
    </w:p>
    <w:p w14:paraId="6738A3CF" w14:textId="77777777" w:rsidR="001549AF" w:rsidRPr="00EB0EE4" w:rsidRDefault="001549AF" w:rsidP="001549AF">
      <w:pPr>
        <w:spacing w:line="276" w:lineRule="auto"/>
        <w:ind w:left="0" w:firstLine="0"/>
        <w:rPr>
          <w:rFonts w:ascii="ITC Avant Garde" w:hAnsi="ITC Avant Garde"/>
          <w:color w:val="auto"/>
        </w:rPr>
      </w:pPr>
    </w:p>
    <w:p w14:paraId="4EFF59BA" w14:textId="05AE47AD" w:rsidR="001549AF" w:rsidRPr="00EB0EE4" w:rsidRDefault="001549AF" w:rsidP="00E17A48">
      <w:pPr>
        <w:spacing w:line="276" w:lineRule="auto"/>
        <w:ind w:left="0" w:firstLine="0"/>
        <w:rPr>
          <w:rFonts w:ascii="ITC Avant Garde" w:hAnsi="ITC Avant Garde"/>
          <w:color w:val="auto"/>
        </w:rPr>
      </w:pPr>
      <w:r w:rsidRPr="00EB0EE4">
        <w:rPr>
          <w:rFonts w:ascii="ITC Avant Garde" w:hAnsi="ITC Avant Garde"/>
          <w:color w:val="auto"/>
        </w:rPr>
        <w:t>Finalmente, sobre que Telmex y Telnor fueron declarados en forma conjunta como AEP fijo, por lo que las obligaciones establecidas en las medidas fijas deben ser aplicables a Telmex y Telnor como una sola entidad y no como concesionarios independientes, se señala que dicho comentario está fuera del alcance del documento sometido a consulta pública.</w:t>
      </w:r>
    </w:p>
    <w:p w14:paraId="0C0A4388" w14:textId="23460BCC" w:rsidR="00995DC5" w:rsidRPr="00B56D15" w:rsidRDefault="00995DC5" w:rsidP="006575A4">
      <w:pPr>
        <w:spacing w:after="0" w:line="276" w:lineRule="auto"/>
        <w:ind w:left="0" w:right="49" w:firstLine="0"/>
        <w:rPr>
          <w:rFonts w:ascii="ITC Avant Garde" w:hAnsi="ITC Avant Garde"/>
          <w:b/>
          <w:color w:val="auto"/>
        </w:rPr>
      </w:pPr>
    </w:p>
    <w:p w14:paraId="4DCCD501" w14:textId="64469CCC" w:rsidR="00954FA4" w:rsidRPr="00B56D15" w:rsidRDefault="009F1ABA"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r w:rsidR="00984902">
        <w:rPr>
          <w:rFonts w:ascii="ITC Avant Garde" w:hAnsi="ITC Avant Garde"/>
          <w:b/>
          <w:color w:val="auto"/>
        </w:rPr>
        <w:t xml:space="preserve"> y CANIETI</w:t>
      </w:r>
      <w:r w:rsidRPr="00B56D15">
        <w:rPr>
          <w:rFonts w:ascii="ITC Avant Garde" w:hAnsi="ITC Avant Garde"/>
          <w:b/>
          <w:color w:val="auto"/>
        </w:rPr>
        <w:t>:</w:t>
      </w:r>
    </w:p>
    <w:p w14:paraId="461463C0" w14:textId="77777777" w:rsidR="00954FA4" w:rsidRPr="00B56D15" w:rsidRDefault="00954FA4" w:rsidP="007D5396">
      <w:pPr>
        <w:spacing w:after="0" w:line="276" w:lineRule="auto"/>
        <w:ind w:left="0" w:right="49" w:firstLine="0"/>
        <w:rPr>
          <w:rFonts w:ascii="ITC Avant Garde" w:hAnsi="ITC Avant Garde"/>
          <w:b/>
          <w:color w:val="auto"/>
        </w:rPr>
      </w:pPr>
    </w:p>
    <w:p w14:paraId="63A70EB9" w14:textId="04AFE9C2" w:rsidR="00151228" w:rsidRPr="00B56D15" w:rsidRDefault="00984902" w:rsidP="007D5396">
      <w:pPr>
        <w:spacing w:after="0" w:line="276" w:lineRule="auto"/>
        <w:ind w:right="49" w:firstLine="0"/>
        <w:rPr>
          <w:rFonts w:ascii="ITC Avant Garde" w:hAnsi="ITC Avant Garde"/>
          <w:i/>
          <w:color w:val="auto"/>
        </w:rPr>
      </w:pPr>
      <w:r>
        <w:rPr>
          <w:rFonts w:ascii="ITC Avant Garde" w:hAnsi="ITC Avant Garde"/>
          <w:i/>
          <w:color w:val="auto"/>
        </w:rPr>
        <w:t>En la Cláusula Quinta numeral 5.7.2, s</w:t>
      </w:r>
      <w:r w:rsidR="009F1ABA" w:rsidRPr="00B56D15">
        <w:rPr>
          <w:rFonts w:ascii="ITC Avant Garde" w:hAnsi="ITC Avant Garde"/>
          <w:i/>
          <w:color w:val="auto"/>
        </w:rPr>
        <w:t>e solicita restituir la opción 3 “Instalación conjunta” en los términos previstos en el CMI 2016</w:t>
      </w:r>
      <w:r w:rsidR="00F20B38">
        <w:rPr>
          <w:rFonts w:ascii="ITC Avant Garde" w:hAnsi="ITC Avant Garde"/>
          <w:i/>
          <w:color w:val="auto"/>
        </w:rPr>
        <w:t>.</w:t>
      </w:r>
    </w:p>
    <w:p w14:paraId="604C1B0A" w14:textId="77777777" w:rsidR="009F1ABA" w:rsidRPr="00B56D15" w:rsidRDefault="009F1ABA" w:rsidP="007D5396">
      <w:pPr>
        <w:spacing w:after="0" w:line="276" w:lineRule="auto"/>
        <w:ind w:right="49" w:firstLine="0"/>
        <w:rPr>
          <w:rFonts w:ascii="ITC Avant Garde" w:hAnsi="ITC Avant Garde"/>
          <w:i/>
          <w:color w:val="auto"/>
        </w:rPr>
      </w:pPr>
    </w:p>
    <w:p w14:paraId="62B63F79" w14:textId="5782B864" w:rsidR="009F1ABA" w:rsidRDefault="009F1ABA" w:rsidP="007D5396">
      <w:pPr>
        <w:spacing w:after="0" w:line="276" w:lineRule="auto"/>
        <w:ind w:right="49" w:firstLine="0"/>
        <w:rPr>
          <w:rFonts w:ascii="ITC Avant Garde" w:hAnsi="ITC Avant Garde"/>
          <w:i/>
          <w:color w:val="auto"/>
        </w:rPr>
      </w:pPr>
      <w:r w:rsidRPr="00B56D15">
        <w:rPr>
          <w:rFonts w:ascii="ITC Avant Garde" w:hAnsi="ITC Avant Garde"/>
          <w:i/>
          <w:color w:val="auto"/>
        </w:rPr>
        <w:t xml:space="preserve">(iii)Opción 3 Instalación conjunta. Ambas partes determinarán, por común acuerdo, el dimensionamiento de Enlace Dedicado de Interconexión requeridos entre sus PDIC’s, y determinarán los tipos de equipos necesarios, así como cuál de </w:t>
      </w:r>
      <w:r w:rsidRPr="00B56D15">
        <w:rPr>
          <w:rFonts w:ascii="ITC Avant Garde" w:hAnsi="ITC Avant Garde"/>
          <w:i/>
          <w:color w:val="auto"/>
        </w:rPr>
        <w:lastRenderedPageBreak/>
        <w:t>las dos Partes instalará el Enlace Dedicado de Interconexión. Cada una de las Partes</w:t>
      </w:r>
      <w:r w:rsidR="00277614" w:rsidRPr="00B56D15">
        <w:rPr>
          <w:rFonts w:ascii="ITC Avant Garde" w:hAnsi="ITC Avant Garde"/>
          <w:i/>
          <w:color w:val="auto"/>
        </w:rPr>
        <w:t xml:space="preserve"> será propietaria de una porción del Enlace Dedicado de Interconexión, en forma proporcional a la capacidad asignada a cada una de ellas y el costo de instalación y mantenimiento correspondiente se compartirá en la misma proporción. Cada una de las Partes será responsable del equipo de terminación en su propio punto de interconexión.</w:t>
      </w:r>
    </w:p>
    <w:p w14:paraId="06A7B56E" w14:textId="77777777" w:rsidR="00C8365B" w:rsidRPr="00EB0EE4" w:rsidRDefault="00C8365B" w:rsidP="007D5396">
      <w:pPr>
        <w:spacing w:after="0" w:line="276" w:lineRule="auto"/>
        <w:ind w:right="49" w:firstLine="0"/>
        <w:rPr>
          <w:rFonts w:ascii="ITC Avant Garde" w:hAnsi="ITC Avant Garde"/>
          <w:i/>
          <w:color w:val="auto"/>
        </w:rPr>
      </w:pPr>
    </w:p>
    <w:p w14:paraId="0487B89D" w14:textId="714CEC71" w:rsidR="00E214A5" w:rsidRPr="00EB0EE4" w:rsidRDefault="00A348D5" w:rsidP="007D5396">
      <w:pPr>
        <w:spacing w:after="0" w:line="276" w:lineRule="auto"/>
        <w:ind w:right="49" w:firstLine="0"/>
        <w:rPr>
          <w:rFonts w:ascii="ITC Avant Garde" w:hAnsi="ITC Avant Garde"/>
          <w:color w:val="auto"/>
        </w:rPr>
      </w:pPr>
      <w:r w:rsidRPr="00EB0EE4">
        <w:rPr>
          <w:rFonts w:ascii="ITC Avant Garde" w:hAnsi="ITC Avant Garde"/>
          <w:color w:val="auto"/>
        </w:rPr>
        <w:t>Respecto a los comentarios anteriores,</w:t>
      </w:r>
      <w:r w:rsidR="004A72AC" w:rsidRPr="00EB0EE4">
        <w:rPr>
          <w:rFonts w:ascii="ITC Avant Garde" w:hAnsi="ITC Avant Garde"/>
          <w:color w:val="auto"/>
        </w:rPr>
        <w:t xml:space="preserve"> se señala que toda vez que la instalación conjunta únicamente puede realizarse de común acuerdo entre las partes, no resulta procedente obligar a</w:t>
      </w:r>
      <w:r w:rsidR="00BA56E3" w:rsidRPr="00EB0EE4">
        <w:rPr>
          <w:rFonts w:ascii="ITC Avant Garde" w:hAnsi="ITC Avant Garde"/>
          <w:color w:val="auto"/>
        </w:rPr>
        <w:t xml:space="preserve">l AEP </w:t>
      </w:r>
      <w:r w:rsidR="004A72AC" w:rsidRPr="00EB0EE4">
        <w:rPr>
          <w:rFonts w:ascii="ITC Avant Garde" w:hAnsi="ITC Avant Garde"/>
          <w:color w:val="auto"/>
        </w:rPr>
        <w:t xml:space="preserve">a </w:t>
      </w:r>
      <w:r w:rsidR="00BA56E3" w:rsidRPr="00EB0EE4">
        <w:rPr>
          <w:rFonts w:ascii="ITC Avant Garde" w:hAnsi="ITC Avant Garde"/>
          <w:color w:val="auto"/>
        </w:rPr>
        <w:t>ofrecer</w:t>
      </w:r>
      <w:r w:rsidR="004A72AC" w:rsidRPr="00EB0EE4">
        <w:rPr>
          <w:rFonts w:ascii="ITC Avant Garde" w:hAnsi="ITC Avant Garde"/>
          <w:color w:val="auto"/>
        </w:rPr>
        <w:t xml:space="preserve"> esta opción a los CS.</w:t>
      </w:r>
    </w:p>
    <w:p w14:paraId="2EF4B7E6" w14:textId="0A005DEA" w:rsidR="001B3B8E" w:rsidRPr="00EB0EE4" w:rsidRDefault="001B3B8E" w:rsidP="007D5396">
      <w:pPr>
        <w:spacing w:after="0" w:line="276" w:lineRule="auto"/>
        <w:ind w:right="49" w:firstLine="0"/>
        <w:rPr>
          <w:rFonts w:ascii="ITC Avant Garde" w:hAnsi="ITC Avant Garde"/>
          <w:i/>
          <w:color w:val="auto"/>
          <w:sz w:val="18"/>
        </w:rPr>
      </w:pPr>
    </w:p>
    <w:p w14:paraId="0DBDFD35" w14:textId="27128A63" w:rsidR="00376DD6" w:rsidRPr="00B56D15" w:rsidRDefault="00376DD6" w:rsidP="007D5396">
      <w:pPr>
        <w:spacing w:after="0" w:line="276" w:lineRule="auto"/>
        <w:ind w:left="-5" w:right="49" w:firstLine="0"/>
        <w:rPr>
          <w:rFonts w:ascii="ITC Avant Garde" w:hAnsi="ITC Avant Garde"/>
          <w:b/>
          <w:color w:val="auto"/>
        </w:rPr>
      </w:pPr>
      <w:r w:rsidRPr="006F0A2E">
        <w:rPr>
          <w:rFonts w:ascii="ITC Avant Garde" w:hAnsi="ITC Avant Garde"/>
          <w:b/>
          <w:color w:val="auto"/>
        </w:rPr>
        <w:t>CANIETI:</w:t>
      </w:r>
    </w:p>
    <w:p w14:paraId="62E9C5EA" w14:textId="77777777" w:rsidR="00BB3EA5" w:rsidRDefault="00BB3EA5" w:rsidP="007D5396">
      <w:pPr>
        <w:spacing w:after="0" w:line="276" w:lineRule="auto"/>
        <w:ind w:left="-5" w:right="49" w:firstLine="0"/>
        <w:rPr>
          <w:rFonts w:ascii="ITC Avant Garde" w:hAnsi="ITC Avant Garde"/>
          <w:i/>
          <w:color w:val="auto"/>
        </w:rPr>
      </w:pPr>
    </w:p>
    <w:p w14:paraId="0F8493C4" w14:textId="0C541A2A" w:rsidR="00376DD6" w:rsidRDefault="00BB3EA5" w:rsidP="007D5396">
      <w:pPr>
        <w:spacing w:after="0" w:line="276" w:lineRule="auto"/>
        <w:ind w:left="-5" w:right="49" w:firstLine="0"/>
        <w:rPr>
          <w:rFonts w:ascii="ITC Avant Garde" w:hAnsi="ITC Avant Garde"/>
          <w:i/>
          <w:color w:val="auto"/>
        </w:rPr>
      </w:pPr>
      <w:r>
        <w:rPr>
          <w:rFonts w:ascii="ITC Avant Garde" w:hAnsi="ITC Avant Garde"/>
          <w:i/>
          <w:color w:val="auto"/>
        </w:rPr>
        <w:t xml:space="preserve">En la Cláusula Quinta numeral </w:t>
      </w:r>
      <w:r w:rsidR="00376DD6" w:rsidRPr="00B56D15">
        <w:rPr>
          <w:rFonts w:ascii="ITC Avant Garde" w:hAnsi="ITC Avant Garde"/>
          <w:i/>
          <w:color w:val="auto"/>
        </w:rPr>
        <w:t>5.7.3</w:t>
      </w:r>
      <w:r>
        <w:rPr>
          <w:rFonts w:ascii="ITC Avant Garde" w:hAnsi="ITC Avant Garde"/>
          <w:i/>
          <w:color w:val="auto"/>
        </w:rPr>
        <w:t>,</w:t>
      </w:r>
      <w:r w:rsidR="00376DD6" w:rsidRPr="00B56D15">
        <w:rPr>
          <w:rFonts w:ascii="ITC Avant Garde" w:hAnsi="ITC Avant Garde"/>
          <w:i/>
          <w:color w:val="auto"/>
        </w:rPr>
        <w:t xml:space="preserve"> </w:t>
      </w:r>
      <w:r w:rsidR="007D47D4">
        <w:rPr>
          <w:rFonts w:ascii="ITC Avant Garde" w:hAnsi="ITC Avant Garde"/>
          <w:i/>
          <w:color w:val="auto"/>
        </w:rPr>
        <w:t>incluir que l</w:t>
      </w:r>
      <w:r w:rsidR="00376DD6" w:rsidRPr="00B56D15">
        <w:rPr>
          <w:rFonts w:ascii="ITC Avant Garde" w:hAnsi="ITC Avant Garde"/>
          <w:i/>
          <w:color w:val="auto"/>
        </w:rPr>
        <w:t>a interconexión se llevará a cabo a nivel de capa física mediante enlaces alámbricos y/o inalámbricos dedicados bajo el estándar Ethernet, por lo que las Partes se sujetarán a las características técnicas indicadas en el Anexo A.</w:t>
      </w:r>
    </w:p>
    <w:p w14:paraId="7D6159F8" w14:textId="77777777" w:rsidR="00BD6B4C" w:rsidRDefault="00BD6B4C" w:rsidP="007D5396">
      <w:pPr>
        <w:spacing w:after="0" w:line="276" w:lineRule="auto"/>
        <w:ind w:left="-5" w:right="49" w:firstLine="0"/>
        <w:rPr>
          <w:rFonts w:ascii="ITC Avant Garde" w:hAnsi="ITC Avant Garde"/>
          <w:i/>
          <w:color w:val="auto"/>
        </w:rPr>
      </w:pPr>
    </w:p>
    <w:p w14:paraId="24F680D7" w14:textId="77777777" w:rsidR="00BD6B4C" w:rsidRDefault="00BD6B4C" w:rsidP="00BD6B4C">
      <w:pPr>
        <w:spacing w:line="276" w:lineRule="auto"/>
        <w:ind w:firstLine="0"/>
        <w:rPr>
          <w:rFonts w:ascii="ITC Avant Garde" w:hAnsi="ITC Avant Garde"/>
          <w:i/>
          <w:color w:val="auto"/>
        </w:rPr>
      </w:pPr>
      <w:r>
        <w:rPr>
          <w:rFonts w:ascii="ITC Avant Garde" w:hAnsi="ITC Avant Garde"/>
          <w:i/>
          <w:color w:val="auto"/>
        </w:rPr>
        <w:t xml:space="preserve">En el inciso </w:t>
      </w:r>
      <w:r w:rsidRPr="00B56D15">
        <w:rPr>
          <w:rFonts w:ascii="ITC Avant Garde" w:hAnsi="ITC Avant Garde"/>
          <w:i/>
          <w:color w:val="auto"/>
        </w:rPr>
        <w:t>3.</w:t>
      </w:r>
      <w:r>
        <w:rPr>
          <w:rFonts w:ascii="ITC Avant Garde" w:hAnsi="ITC Avant Garde"/>
          <w:i/>
          <w:color w:val="auto"/>
        </w:rPr>
        <w:t>1 Realización física, señalar que l</w:t>
      </w:r>
      <w:r w:rsidRPr="00B56D15">
        <w:rPr>
          <w:rFonts w:ascii="ITC Avant Garde" w:hAnsi="ITC Avant Garde"/>
          <w:i/>
          <w:color w:val="auto"/>
        </w:rPr>
        <w:t>os concesionarios podrán establecer diferentes esquemas de interconexión física, ya sea alámbrica o inalámbrica, siempre que ello les permita llevar a cabo una efectiva y eficaz interconexión e interoperabilidad de sus redes pública</w:t>
      </w:r>
      <w:r>
        <w:rPr>
          <w:rFonts w:ascii="ITC Avant Garde" w:hAnsi="ITC Avant Garde"/>
          <w:i/>
          <w:color w:val="auto"/>
        </w:rPr>
        <w:t>s de telecomunicaciones.</w:t>
      </w:r>
    </w:p>
    <w:p w14:paraId="112B474A" w14:textId="77777777" w:rsidR="000F4004" w:rsidRPr="00EB0EE4" w:rsidRDefault="000F4004" w:rsidP="00BD6B4C">
      <w:pPr>
        <w:spacing w:after="0" w:line="276" w:lineRule="auto"/>
        <w:ind w:left="0" w:right="49" w:firstLine="0"/>
        <w:rPr>
          <w:rFonts w:ascii="ITC Avant Garde" w:hAnsi="ITC Avant Garde"/>
          <w:b/>
          <w:i/>
          <w:color w:val="auto"/>
        </w:rPr>
      </w:pPr>
    </w:p>
    <w:p w14:paraId="6E349804" w14:textId="4006EE45" w:rsidR="00DA4876" w:rsidRPr="00EB0EE4" w:rsidRDefault="00DA4876" w:rsidP="006575A4">
      <w:pPr>
        <w:spacing w:after="0" w:line="276" w:lineRule="auto"/>
        <w:ind w:left="-5" w:right="49" w:firstLine="0"/>
        <w:rPr>
          <w:rFonts w:ascii="ITC Avant Garde" w:hAnsi="ITC Avant Garde"/>
          <w:color w:val="auto"/>
        </w:rPr>
      </w:pPr>
      <w:r w:rsidRPr="00EB0EE4">
        <w:rPr>
          <w:rFonts w:ascii="ITC Avant Garde" w:hAnsi="ITC Avant Garde"/>
          <w:color w:val="auto"/>
        </w:rPr>
        <w:t>Al respecto, se considera que la redacción de dicha cláusula es acorde con lo establecido en el</w:t>
      </w:r>
      <w:r w:rsidR="00605E1F" w:rsidRPr="00EB0EE4">
        <w:rPr>
          <w:rFonts w:ascii="ITC Avant Garde" w:hAnsi="ITC Avant Garde"/>
          <w:color w:val="auto"/>
        </w:rPr>
        <w:t xml:space="preserve"> </w:t>
      </w:r>
      <w:r w:rsidR="006602DA" w:rsidRPr="00EB0EE4">
        <w:rPr>
          <w:rFonts w:ascii="ITC Avant Garde" w:hAnsi="ITC Avant Garde"/>
          <w:color w:val="auto"/>
        </w:rPr>
        <w:t>“</w:t>
      </w:r>
      <w:r w:rsidR="00605E1F" w:rsidRPr="00EB0EE4">
        <w:rPr>
          <w:rFonts w:ascii="ITC Avant Garde" w:hAnsi="ITC Avant Garde"/>
          <w:i/>
          <w:color w:val="auto"/>
        </w:rPr>
        <w:t xml:space="preserve">ACUERDO MEDIANTE EL CUAL EL PLENO DEL INSTITUTO FEDERAL </w:t>
      </w:r>
      <w:r w:rsidR="00EB0EE4" w:rsidRPr="00EB0EE4">
        <w:rPr>
          <w:rFonts w:ascii="ITC Avant Garde" w:hAnsi="ITC Avant Garde"/>
          <w:i/>
          <w:color w:val="auto"/>
        </w:rPr>
        <w:t xml:space="preserve">DE TELECOMUNICACIONES ESTABLECE </w:t>
      </w:r>
      <w:r w:rsidR="00605E1F" w:rsidRPr="00EB0EE4">
        <w:rPr>
          <w:rFonts w:ascii="ITC Avant Garde" w:hAnsi="ITC Avant Garde"/>
          <w:i/>
          <w:color w:val="auto"/>
        </w:rPr>
        <w:t>LAS CONDICIONES TÉCNICAS MÍNIMAS ENTRE CONCESIONARI</w:t>
      </w:r>
      <w:r w:rsidR="00EB0EE4" w:rsidRPr="00EB0EE4">
        <w:rPr>
          <w:rFonts w:ascii="ITC Avant Garde" w:hAnsi="ITC Avant Garde"/>
          <w:i/>
          <w:color w:val="auto"/>
        </w:rPr>
        <w:t xml:space="preserve">OS QUE OPEREN REDES PÚBLICAS DE </w:t>
      </w:r>
      <w:r w:rsidR="00605E1F" w:rsidRPr="00EB0EE4">
        <w:rPr>
          <w:rFonts w:ascii="ITC Avant Garde" w:hAnsi="ITC Avant Garde"/>
          <w:i/>
          <w:color w:val="auto"/>
        </w:rPr>
        <w:t>TELECOMUNICACIONES Y DETERMINA LAS TARIFAS DE INTERCONEX</w:t>
      </w:r>
      <w:r w:rsidR="00EB0EE4" w:rsidRPr="00EB0EE4">
        <w:rPr>
          <w:rFonts w:ascii="ITC Avant Garde" w:hAnsi="ITC Avant Garde"/>
          <w:i/>
          <w:color w:val="auto"/>
        </w:rPr>
        <w:t xml:space="preserve">IÓN RESULTADO DE LA METODOLOGÍA </w:t>
      </w:r>
      <w:r w:rsidR="00605E1F" w:rsidRPr="00EB0EE4">
        <w:rPr>
          <w:rFonts w:ascii="ITC Avant Garde" w:hAnsi="ITC Avant Garde"/>
          <w:i/>
          <w:color w:val="auto"/>
        </w:rPr>
        <w:t>PARA EL CÁLCULO DE COSTOS DE INTERCONEXIÓN QUE EST</w:t>
      </w:r>
      <w:r w:rsidR="00EB0EE4" w:rsidRPr="00EB0EE4">
        <w:rPr>
          <w:rFonts w:ascii="ITC Avant Garde" w:hAnsi="ITC Avant Garde"/>
          <w:i/>
          <w:color w:val="auto"/>
        </w:rPr>
        <w:t xml:space="preserve">ARÁN VIGENTES DEL 1 DE ENERO AL </w:t>
      </w:r>
      <w:r w:rsidR="00605E1F" w:rsidRPr="00EB0EE4">
        <w:rPr>
          <w:rFonts w:ascii="ITC Avant Garde" w:hAnsi="ITC Avant Garde"/>
          <w:i/>
          <w:color w:val="auto"/>
        </w:rPr>
        <w:t>31 DE DICIEMBRE DE 2017</w:t>
      </w:r>
      <w:r w:rsidR="00605E1F" w:rsidRPr="00EB0EE4">
        <w:rPr>
          <w:rFonts w:ascii="ITC Avant Garde" w:hAnsi="ITC Avant Garde"/>
          <w:color w:val="auto"/>
        </w:rPr>
        <w:t xml:space="preserve"> </w:t>
      </w:r>
      <w:r w:rsidR="006602DA" w:rsidRPr="00EB0EE4">
        <w:rPr>
          <w:rFonts w:ascii="ITC Avant Garde" w:hAnsi="ITC Avant Garde"/>
          <w:color w:val="auto"/>
        </w:rPr>
        <w:t>“</w:t>
      </w:r>
      <w:r w:rsidR="00605E1F" w:rsidRPr="00EB0EE4">
        <w:rPr>
          <w:rFonts w:ascii="ITC Avant Garde" w:hAnsi="ITC Avant Garde"/>
          <w:color w:val="auto"/>
        </w:rPr>
        <w:t>(en los sucesivo, el</w:t>
      </w:r>
      <w:r w:rsidRPr="00EB0EE4">
        <w:rPr>
          <w:rFonts w:ascii="ITC Avant Garde" w:hAnsi="ITC Avant Garde"/>
          <w:color w:val="auto"/>
        </w:rPr>
        <w:t xml:space="preserve"> </w:t>
      </w:r>
      <w:r w:rsidR="00605E1F" w:rsidRPr="00EB0EE4">
        <w:rPr>
          <w:rFonts w:ascii="ITC Avant Garde" w:hAnsi="ITC Avant Garde"/>
          <w:color w:val="auto"/>
        </w:rPr>
        <w:t>“</w:t>
      </w:r>
      <w:r w:rsidRPr="00EB0EE4">
        <w:rPr>
          <w:rFonts w:ascii="ITC Avant Garde" w:hAnsi="ITC Avant Garde"/>
          <w:color w:val="auto"/>
        </w:rPr>
        <w:t>Acuerdo de Condiciones Técnicas Mínimas</w:t>
      </w:r>
      <w:r w:rsidR="00605E1F" w:rsidRPr="00EB0EE4">
        <w:rPr>
          <w:rFonts w:ascii="ITC Avant Garde" w:hAnsi="ITC Avant Garde"/>
          <w:color w:val="auto"/>
        </w:rPr>
        <w:t>”)</w:t>
      </w:r>
      <w:r w:rsidR="002157E9" w:rsidRPr="00EB0EE4">
        <w:rPr>
          <w:rFonts w:ascii="ITC Avant Garde" w:hAnsi="ITC Avant Garde"/>
          <w:color w:val="auto"/>
        </w:rPr>
        <w:t>,</w:t>
      </w:r>
      <w:r w:rsidRPr="00EB0EE4">
        <w:rPr>
          <w:rFonts w:ascii="ITC Avant Garde" w:hAnsi="ITC Avant Garde"/>
          <w:color w:val="auto"/>
        </w:rPr>
        <w:t xml:space="preserve"> respecto a las características del medio a través del cual se establecerá el enlace dedicado para fines de interconexión, por lo cual, no es procedente realizar alguna modificación a la misma. </w:t>
      </w:r>
    </w:p>
    <w:p w14:paraId="72B8D0AE" w14:textId="77777777" w:rsidR="00DA4876" w:rsidRPr="00EB0EE4" w:rsidRDefault="00DA4876" w:rsidP="007D5396">
      <w:pPr>
        <w:spacing w:after="0" w:line="276" w:lineRule="auto"/>
        <w:ind w:right="49" w:firstLine="0"/>
        <w:rPr>
          <w:rFonts w:ascii="ITC Avant Garde" w:hAnsi="ITC Avant Garde"/>
          <w:color w:val="auto"/>
        </w:rPr>
      </w:pPr>
    </w:p>
    <w:p w14:paraId="372A8D89" w14:textId="741806C6" w:rsidR="00DA4876" w:rsidRPr="00EB0EE4" w:rsidRDefault="00DA4876" w:rsidP="007D5396">
      <w:pPr>
        <w:spacing w:after="0" w:line="276" w:lineRule="auto"/>
        <w:ind w:right="49" w:firstLine="0"/>
        <w:rPr>
          <w:rFonts w:ascii="ITC Avant Garde" w:hAnsi="ITC Avant Garde"/>
          <w:color w:val="auto"/>
        </w:rPr>
      </w:pPr>
      <w:r w:rsidRPr="00EB0EE4">
        <w:rPr>
          <w:rFonts w:ascii="ITC Avant Garde" w:hAnsi="ITC Avant Garde"/>
          <w:color w:val="auto"/>
        </w:rPr>
        <w:t>No obstante, se señala que la utilización de arquitecturas distintas a la señala en el contenido del presente CMI, podrán ser establecidas de común acuerdo entre los concesionarios, siempre que estas les permita llevar a cabo una efectiva y eficaz interconexión e interoperabilidad, lo anterior de conformidad con el artículo 126 de la LFT</w:t>
      </w:r>
      <w:r w:rsidR="008A3D8D" w:rsidRPr="00EB0EE4">
        <w:rPr>
          <w:rFonts w:ascii="ITC Avant Garde" w:hAnsi="ITC Avant Garde"/>
          <w:color w:val="auto"/>
        </w:rPr>
        <w:t>y</w:t>
      </w:r>
      <w:r w:rsidRPr="00EB0EE4">
        <w:rPr>
          <w:rFonts w:ascii="ITC Avant Garde" w:hAnsi="ITC Avant Garde"/>
          <w:color w:val="auto"/>
        </w:rPr>
        <w:t>R.</w:t>
      </w:r>
    </w:p>
    <w:p w14:paraId="42E4B916" w14:textId="77777777" w:rsidR="00C608D3" w:rsidRPr="00EB0EE4" w:rsidRDefault="00C608D3" w:rsidP="007D5396">
      <w:pPr>
        <w:spacing w:after="0" w:line="276" w:lineRule="auto"/>
        <w:ind w:right="49" w:firstLine="0"/>
        <w:rPr>
          <w:rFonts w:ascii="ITC Avant Garde" w:hAnsi="ITC Avant Garde"/>
          <w:color w:val="auto"/>
        </w:rPr>
      </w:pPr>
    </w:p>
    <w:p w14:paraId="437F8A3C" w14:textId="173172F2" w:rsidR="00CF704C" w:rsidRPr="00EB0EE4" w:rsidRDefault="00C608D3" w:rsidP="00CF704C">
      <w:pPr>
        <w:spacing w:after="0" w:line="276" w:lineRule="auto"/>
        <w:ind w:right="49" w:firstLine="0"/>
        <w:rPr>
          <w:rFonts w:ascii="ITC Avant Garde" w:hAnsi="ITC Avant Garde"/>
          <w:color w:val="auto"/>
        </w:rPr>
      </w:pPr>
      <w:r w:rsidRPr="00EB0EE4">
        <w:rPr>
          <w:rFonts w:ascii="ITC Avant Garde" w:hAnsi="ITC Avant Garde"/>
          <w:color w:val="auto"/>
        </w:rPr>
        <w:lastRenderedPageBreak/>
        <w:t>Asimismo,</w:t>
      </w:r>
      <w:r w:rsidR="00CF704C" w:rsidRPr="00EB0EE4">
        <w:rPr>
          <w:rFonts w:ascii="ITC Avant Garde" w:hAnsi="ITC Avant Garde"/>
          <w:color w:val="auto"/>
        </w:rPr>
        <w:t xml:space="preserve"> sobre la opción 3 Instalación C</w:t>
      </w:r>
      <w:r w:rsidRPr="00EB0EE4">
        <w:rPr>
          <w:rFonts w:ascii="ITC Avant Garde" w:hAnsi="ITC Avant Garde"/>
          <w:color w:val="auto"/>
        </w:rPr>
        <w:t>onjunta</w:t>
      </w:r>
      <w:r w:rsidR="00CF704C" w:rsidRPr="00EB0EE4">
        <w:rPr>
          <w:rFonts w:ascii="ITC Avant Garde" w:hAnsi="ITC Avant Garde"/>
          <w:color w:val="auto"/>
        </w:rPr>
        <w:t xml:space="preserve"> se señala que dicha opción únicamente será elegible siempre y cuando así lo convengan expresamente las Partes, es así que si Telmex no está de acuerdo en su utilización la misma no estará disponible en el CMI.</w:t>
      </w:r>
    </w:p>
    <w:p w14:paraId="4054A352" w14:textId="77777777" w:rsidR="0022799A" w:rsidRPr="00EB0EE4" w:rsidRDefault="0022799A" w:rsidP="007D5396">
      <w:pPr>
        <w:spacing w:line="276" w:lineRule="auto"/>
        <w:ind w:left="0" w:right="0" w:firstLine="0"/>
        <w:rPr>
          <w:rFonts w:ascii="ITC Avant Garde" w:hAnsi="ITC Avant Garde"/>
          <w:color w:val="auto"/>
        </w:rPr>
      </w:pPr>
    </w:p>
    <w:p w14:paraId="434862F0" w14:textId="77777777" w:rsidR="00F340BD" w:rsidRPr="00B56D15" w:rsidRDefault="005674D8"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Axtel</w:t>
      </w:r>
      <w:r w:rsidR="00F340BD">
        <w:rPr>
          <w:rFonts w:ascii="ITC Avant Garde" w:hAnsi="ITC Avant Garde"/>
          <w:b/>
          <w:color w:val="auto"/>
        </w:rPr>
        <w:t xml:space="preserve">, </w:t>
      </w:r>
      <w:r w:rsidRPr="00B56D15">
        <w:rPr>
          <w:rFonts w:ascii="ITC Avant Garde" w:hAnsi="ITC Avant Garde"/>
          <w:b/>
          <w:color w:val="auto"/>
        </w:rPr>
        <w:t>Alestra</w:t>
      </w:r>
      <w:r w:rsidR="00F340BD">
        <w:rPr>
          <w:rFonts w:ascii="ITC Avant Garde" w:hAnsi="ITC Avant Garde"/>
          <w:b/>
          <w:color w:val="auto"/>
        </w:rPr>
        <w:t xml:space="preserve">, MCM, </w:t>
      </w:r>
      <w:r w:rsidR="00F340BD" w:rsidRPr="00B56D15">
        <w:rPr>
          <w:rFonts w:ascii="ITC Avant Garde" w:hAnsi="ITC Avant Garde"/>
          <w:b/>
          <w:color w:val="auto"/>
        </w:rPr>
        <w:t>Telefónica y CANIETI:</w:t>
      </w:r>
    </w:p>
    <w:p w14:paraId="13C061D0" w14:textId="77777777" w:rsidR="005674D8" w:rsidRPr="00B56D15" w:rsidRDefault="005674D8" w:rsidP="007D5396">
      <w:pPr>
        <w:spacing w:line="276" w:lineRule="auto"/>
        <w:ind w:firstLine="0"/>
        <w:rPr>
          <w:rFonts w:ascii="ITC Avant Garde" w:hAnsi="ITC Avant Garde"/>
          <w:color w:val="auto"/>
        </w:rPr>
      </w:pPr>
    </w:p>
    <w:p w14:paraId="15C43066" w14:textId="7540EFD8" w:rsidR="005674D8" w:rsidRPr="00B56D15" w:rsidRDefault="007D47D4" w:rsidP="007D5396">
      <w:pPr>
        <w:spacing w:line="276" w:lineRule="auto"/>
        <w:ind w:firstLine="0"/>
        <w:rPr>
          <w:rFonts w:ascii="ITC Avant Garde" w:hAnsi="ITC Avant Garde"/>
          <w:i/>
          <w:color w:val="auto"/>
        </w:rPr>
      </w:pPr>
      <w:r>
        <w:rPr>
          <w:rFonts w:ascii="ITC Avant Garde" w:hAnsi="ITC Avant Garde"/>
          <w:i/>
          <w:color w:val="auto"/>
        </w:rPr>
        <w:t xml:space="preserve">En la Cláusula Quinta numeral 5.7.3, </w:t>
      </w:r>
      <w:r w:rsidR="00F340BD">
        <w:rPr>
          <w:rFonts w:ascii="ITC Avant Garde" w:hAnsi="ITC Avant Garde"/>
          <w:i/>
          <w:color w:val="auto"/>
        </w:rPr>
        <w:t>s</w:t>
      </w:r>
      <w:r>
        <w:rPr>
          <w:rFonts w:ascii="ITC Avant Garde" w:hAnsi="ITC Avant Garde"/>
          <w:i/>
          <w:color w:val="auto"/>
        </w:rPr>
        <w:t>e propone que</w:t>
      </w:r>
      <w:r w:rsidR="005674D8" w:rsidRPr="00B56D15">
        <w:rPr>
          <w:rFonts w:ascii="ITC Avant Garde" w:hAnsi="ITC Avant Garde"/>
          <w:i/>
          <w:color w:val="auto"/>
        </w:rPr>
        <w:t xml:space="preserve"> </w:t>
      </w:r>
      <w:r>
        <w:rPr>
          <w:rFonts w:ascii="ITC Avant Garde" w:hAnsi="ITC Avant Garde"/>
          <w:i/>
          <w:color w:val="auto"/>
        </w:rPr>
        <w:t>e</w:t>
      </w:r>
      <w:r w:rsidR="005674D8" w:rsidRPr="00B56D15">
        <w:rPr>
          <w:rFonts w:ascii="ITC Avant Garde" w:hAnsi="ITC Avant Garde"/>
          <w:i/>
          <w:color w:val="auto"/>
        </w:rPr>
        <w:t xml:space="preserve">l incremento de la capacidad se </w:t>
      </w:r>
      <w:r>
        <w:rPr>
          <w:rFonts w:ascii="ITC Avant Garde" w:hAnsi="ITC Avant Garde"/>
          <w:i/>
          <w:color w:val="auto"/>
        </w:rPr>
        <w:t>realice</w:t>
      </w:r>
      <w:r w:rsidR="005674D8" w:rsidRPr="00B56D15">
        <w:rPr>
          <w:rFonts w:ascii="ITC Avant Garde" w:hAnsi="ITC Avant Garde"/>
          <w:i/>
          <w:color w:val="auto"/>
        </w:rPr>
        <w:t xml:space="preserve"> al llegar al 60% de ocupación d</w:t>
      </w:r>
      <w:r>
        <w:rPr>
          <w:rFonts w:ascii="ITC Avant Garde" w:hAnsi="ITC Avant Garde"/>
          <w:i/>
          <w:color w:val="auto"/>
        </w:rPr>
        <w:t>e la interfaz para tráfico SIP.</w:t>
      </w:r>
    </w:p>
    <w:p w14:paraId="665ACB9A" w14:textId="77777777" w:rsidR="005674D8" w:rsidRDefault="005674D8" w:rsidP="007D5396">
      <w:pPr>
        <w:spacing w:line="276" w:lineRule="auto"/>
        <w:ind w:firstLine="0"/>
        <w:rPr>
          <w:rFonts w:ascii="ITC Avant Garde" w:hAnsi="ITC Avant Garde"/>
          <w:b/>
          <w:color w:val="auto"/>
        </w:rPr>
      </w:pPr>
    </w:p>
    <w:p w14:paraId="1E3AD501" w14:textId="32E33C89" w:rsidR="00A5203F" w:rsidRPr="0091524F" w:rsidRDefault="00A5203F" w:rsidP="007D5396">
      <w:pPr>
        <w:spacing w:line="276" w:lineRule="auto"/>
        <w:ind w:firstLine="0"/>
        <w:rPr>
          <w:rFonts w:ascii="ITC Avant Garde" w:hAnsi="ITC Avant Garde"/>
          <w:b/>
          <w:color w:val="auto"/>
        </w:rPr>
      </w:pPr>
      <w:r w:rsidRPr="0091524F">
        <w:rPr>
          <w:rFonts w:ascii="ITC Avant Garde" w:hAnsi="ITC Avant Garde"/>
          <w:b/>
          <w:color w:val="auto"/>
        </w:rPr>
        <w:t>Megacable:</w:t>
      </w:r>
    </w:p>
    <w:p w14:paraId="520A524A" w14:textId="77777777" w:rsidR="00A5203F" w:rsidRPr="00B56D15" w:rsidRDefault="00A5203F" w:rsidP="007D5396">
      <w:pPr>
        <w:spacing w:line="276" w:lineRule="auto"/>
        <w:ind w:left="0" w:right="0" w:firstLine="0"/>
        <w:rPr>
          <w:rFonts w:ascii="ITC Avant Garde" w:hAnsi="ITC Avant Garde"/>
          <w:b/>
          <w:color w:val="auto"/>
        </w:rPr>
      </w:pPr>
    </w:p>
    <w:p w14:paraId="7103D34C" w14:textId="338F7266" w:rsidR="00A5203F" w:rsidRPr="000F4004" w:rsidRDefault="00A5203F" w:rsidP="007D5396">
      <w:pPr>
        <w:spacing w:line="276" w:lineRule="auto"/>
        <w:ind w:left="0" w:right="0" w:firstLine="0"/>
        <w:rPr>
          <w:rFonts w:ascii="ITC Avant Garde" w:hAnsi="ITC Avant Garde"/>
          <w:i/>
          <w:color w:val="auto"/>
        </w:rPr>
      </w:pPr>
      <w:r w:rsidRPr="000F4004">
        <w:rPr>
          <w:rFonts w:ascii="ITC Avant Garde" w:hAnsi="ITC Avant Garde"/>
          <w:i/>
          <w:color w:val="auto"/>
        </w:rPr>
        <w:t>“Dentro de la interfaz acti</w:t>
      </w:r>
      <w:r w:rsidR="00FC050D" w:rsidRPr="000F4004">
        <w:rPr>
          <w:rFonts w:ascii="ITC Avant Garde" w:hAnsi="ITC Avant Garde"/>
          <w:i/>
          <w:color w:val="auto"/>
        </w:rPr>
        <w:t>v</w:t>
      </w:r>
      <w:r w:rsidRPr="000F4004">
        <w:rPr>
          <w:rFonts w:ascii="ITC Avant Garde" w:hAnsi="ITC Avant Garde"/>
          <w:i/>
          <w:color w:val="auto"/>
        </w:rPr>
        <w:t>a se crecerá la capacidad de manejo de tráfico con incrementos de 10 Mbps o 100 Mbps. Los crecimientos se realizarán al llegar al 85% de ocupación de la interfaz”</w:t>
      </w:r>
    </w:p>
    <w:p w14:paraId="3ACDF276" w14:textId="77777777" w:rsidR="00A5203F" w:rsidRPr="000F4004" w:rsidRDefault="00A5203F" w:rsidP="007D5396">
      <w:pPr>
        <w:spacing w:line="276" w:lineRule="auto"/>
        <w:ind w:left="0" w:right="0" w:firstLine="0"/>
        <w:rPr>
          <w:rFonts w:ascii="ITC Avant Garde" w:hAnsi="ITC Avant Garde"/>
          <w:b/>
          <w:i/>
          <w:color w:val="auto"/>
        </w:rPr>
      </w:pPr>
    </w:p>
    <w:p w14:paraId="09DB696B" w14:textId="272B9A05" w:rsidR="00A5203F" w:rsidRPr="000F4004" w:rsidRDefault="00A5203F" w:rsidP="007D5396">
      <w:pPr>
        <w:spacing w:line="276" w:lineRule="auto"/>
        <w:ind w:left="0" w:right="0" w:firstLine="0"/>
        <w:rPr>
          <w:rFonts w:ascii="ITC Avant Garde" w:hAnsi="ITC Avant Garde"/>
          <w:i/>
          <w:color w:val="auto"/>
        </w:rPr>
      </w:pPr>
      <w:r w:rsidRPr="000F4004">
        <w:rPr>
          <w:rFonts w:ascii="ITC Avant Garde" w:hAnsi="ITC Avant Garde"/>
          <w:i/>
          <w:color w:val="auto"/>
        </w:rPr>
        <w:t>Se solicita eliminar el último punto, lo anterior derivado a que en la misma se pretende limitar el crecimiento de capacidad a un porcentaje de ocupació</w:t>
      </w:r>
      <w:r w:rsidR="00011FD2">
        <w:rPr>
          <w:rFonts w:ascii="ITC Avant Garde" w:hAnsi="ITC Avant Garde"/>
          <w:i/>
          <w:color w:val="auto"/>
        </w:rPr>
        <w:t>n de</w:t>
      </w:r>
      <w:r w:rsidR="002B1C11">
        <w:rPr>
          <w:rFonts w:ascii="ITC Avant Garde" w:hAnsi="ITC Avant Garde"/>
          <w:i/>
          <w:color w:val="auto"/>
        </w:rPr>
        <w:t>l</w:t>
      </w:r>
      <w:r w:rsidR="00011FD2">
        <w:rPr>
          <w:rFonts w:ascii="ITC Avant Garde" w:hAnsi="ITC Avant Garde"/>
          <w:i/>
          <w:color w:val="auto"/>
        </w:rPr>
        <w:t xml:space="preserve"> </w:t>
      </w:r>
      <w:r w:rsidR="002B1C11">
        <w:rPr>
          <w:rFonts w:ascii="ITC Avant Garde" w:hAnsi="ITC Avant Garde"/>
          <w:i/>
          <w:color w:val="auto"/>
        </w:rPr>
        <w:t>CS</w:t>
      </w:r>
      <w:r w:rsidR="00011FD2">
        <w:rPr>
          <w:rFonts w:ascii="ITC Avant Garde" w:hAnsi="ITC Avant Garde"/>
          <w:i/>
          <w:color w:val="auto"/>
        </w:rPr>
        <w:t>.</w:t>
      </w:r>
    </w:p>
    <w:p w14:paraId="0B3756B5" w14:textId="77777777" w:rsidR="00FC050D" w:rsidRPr="00EB0EE4" w:rsidRDefault="00FC050D" w:rsidP="007D5396">
      <w:pPr>
        <w:spacing w:line="276" w:lineRule="auto"/>
        <w:ind w:left="0" w:right="0" w:firstLine="0"/>
        <w:rPr>
          <w:rFonts w:ascii="ITC Avant Garde" w:hAnsi="ITC Avant Garde"/>
          <w:color w:val="auto"/>
        </w:rPr>
      </w:pPr>
    </w:p>
    <w:p w14:paraId="0EE9E874" w14:textId="02816955" w:rsidR="00D5635C" w:rsidRPr="00EB0EE4" w:rsidRDefault="00D5635C" w:rsidP="007D5396">
      <w:pPr>
        <w:spacing w:after="0" w:line="276" w:lineRule="auto"/>
        <w:ind w:left="-5" w:right="49" w:firstLine="0"/>
        <w:rPr>
          <w:rFonts w:ascii="ITC Avant Garde" w:hAnsi="ITC Avant Garde"/>
          <w:color w:val="auto"/>
        </w:rPr>
      </w:pPr>
      <w:r w:rsidRPr="00EB0EE4">
        <w:rPr>
          <w:rFonts w:ascii="ITC Avant Garde" w:hAnsi="ITC Avant Garde"/>
          <w:color w:val="auto"/>
        </w:rPr>
        <w:t>Respecto a los comentarios anteriores, se observa que el contenido del numeral en comento, respecto a fijar en 85% el porcentaje máximo de ocupación de la interfaz de los enlaces de interconexión establecidos mediante tecnología Ethernet, es funcional con lo señalado en la misma Cláusula 5.7.3 del presente CMI, en los cuales se establece que los enlaces de transmisión y puertos de acceso deberán ser modulares en saltos de 10 Mbps o 100 Mbps.</w:t>
      </w:r>
    </w:p>
    <w:p w14:paraId="3E8766D6" w14:textId="77777777" w:rsidR="00D5635C" w:rsidRPr="00EB0EE4" w:rsidRDefault="00D5635C" w:rsidP="007D5396">
      <w:pPr>
        <w:spacing w:after="0" w:line="276" w:lineRule="auto"/>
        <w:ind w:left="-5" w:right="49" w:firstLine="0"/>
        <w:rPr>
          <w:rFonts w:ascii="ITC Avant Garde" w:hAnsi="ITC Avant Garde"/>
          <w:color w:val="auto"/>
        </w:rPr>
      </w:pPr>
    </w:p>
    <w:p w14:paraId="0E59CE7F" w14:textId="58FFA2A9" w:rsidR="00FC050D" w:rsidRPr="00EB0EE4" w:rsidRDefault="00D5635C" w:rsidP="007D5396">
      <w:pPr>
        <w:spacing w:after="0" w:line="276" w:lineRule="auto"/>
        <w:ind w:left="-5" w:right="49" w:firstLine="0"/>
        <w:rPr>
          <w:rFonts w:ascii="ITC Avant Garde" w:hAnsi="ITC Avant Garde"/>
          <w:color w:val="auto"/>
        </w:rPr>
      </w:pPr>
      <w:r w:rsidRPr="00EB0EE4">
        <w:rPr>
          <w:rFonts w:ascii="ITC Avant Garde" w:hAnsi="ITC Avant Garde"/>
          <w:color w:val="auto"/>
        </w:rPr>
        <w:t xml:space="preserve">Con lo anterior, se asegura que al llegar al 85% de capacidad de ocupación de la interfaz activa de un enlace de </w:t>
      </w:r>
      <w:r w:rsidR="00EB0EE4" w:rsidRPr="00EB0EE4">
        <w:rPr>
          <w:rFonts w:ascii="ITC Avant Garde" w:hAnsi="ITC Avant Garde"/>
          <w:color w:val="auto"/>
        </w:rPr>
        <w:t xml:space="preserve">transmisión, se podrá realizar </w:t>
      </w:r>
      <w:r w:rsidRPr="00EB0EE4">
        <w:rPr>
          <w:rFonts w:ascii="ITC Avant Garde" w:hAnsi="ITC Avant Garde"/>
          <w:color w:val="auto"/>
        </w:rPr>
        <w:t xml:space="preserve">un incremento modular de 10 Mbps o 100 Mbps, asegurando de esta manera la continuidad y eficiente prestación del servicio de interconexión, dado que la flexibilidad de los incrementos modulares señalados en el presente CMI, permite tanto al </w:t>
      </w:r>
      <w:r w:rsidR="00045A86" w:rsidRPr="00EB0EE4">
        <w:rPr>
          <w:rFonts w:ascii="ITC Avant Garde" w:hAnsi="ITC Avant Garde"/>
          <w:color w:val="auto"/>
        </w:rPr>
        <w:t>CS</w:t>
      </w:r>
      <w:r w:rsidRPr="00EB0EE4">
        <w:rPr>
          <w:rFonts w:ascii="ITC Avant Garde" w:hAnsi="ITC Avant Garde"/>
          <w:color w:val="auto"/>
        </w:rPr>
        <w:t xml:space="preserve"> como a Telmex, prevenir una eventual saturación total de la interfaz activa durante la hora pico de tráfico, así como evitar destinar recursos ociosos que no correspondan al volumen de tráfico cursado entre los concesionarios.</w:t>
      </w:r>
    </w:p>
    <w:p w14:paraId="4AAAD0AA" w14:textId="77777777" w:rsidR="00D5635C" w:rsidRDefault="00D5635C" w:rsidP="007D5396">
      <w:pPr>
        <w:spacing w:after="0" w:line="276" w:lineRule="auto"/>
        <w:ind w:left="-5" w:right="49" w:firstLine="0"/>
        <w:rPr>
          <w:rFonts w:ascii="ITC Avant Garde" w:hAnsi="ITC Avant Garde"/>
          <w:b/>
          <w:color w:val="auto"/>
        </w:rPr>
      </w:pPr>
    </w:p>
    <w:p w14:paraId="289A9D66" w14:textId="595BBCCE" w:rsidR="00995DC5" w:rsidRDefault="00995DC5" w:rsidP="007D5396">
      <w:pPr>
        <w:spacing w:after="0" w:line="276" w:lineRule="auto"/>
        <w:ind w:left="-5" w:right="49" w:firstLine="0"/>
        <w:rPr>
          <w:rFonts w:ascii="ITC Avant Garde" w:hAnsi="ITC Avant Garde"/>
          <w:b/>
          <w:color w:val="auto"/>
        </w:rPr>
      </w:pPr>
      <w:r w:rsidRPr="001323BC">
        <w:rPr>
          <w:rFonts w:ascii="ITC Avant Garde" w:hAnsi="ITC Avant Garde"/>
          <w:b/>
          <w:color w:val="auto"/>
        </w:rPr>
        <w:t>Telefónica:</w:t>
      </w:r>
    </w:p>
    <w:p w14:paraId="27CF6E5C" w14:textId="77777777" w:rsidR="00FC0B38" w:rsidRPr="00B56D15" w:rsidRDefault="00FC0B38" w:rsidP="007D5396">
      <w:pPr>
        <w:spacing w:after="0" w:line="276" w:lineRule="auto"/>
        <w:ind w:left="-5" w:right="49" w:firstLine="0"/>
        <w:rPr>
          <w:rFonts w:ascii="ITC Avant Garde" w:hAnsi="ITC Avant Garde"/>
          <w:b/>
          <w:color w:val="auto"/>
        </w:rPr>
      </w:pPr>
    </w:p>
    <w:p w14:paraId="468BFDDF" w14:textId="470319EE" w:rsidR="00995DC5" w:rsidRPr="00B56D15" w:rsidRDefault="00011FD2" w:rsidP="007D5396">
      <w:pPr>
        <w:spacing w:line="276" w:lineRule="auto"/>
        <w:ind w:firstLine="0"/>
        <w:rPr>
          <w:rFonts w:ascii="ITC Avant Garde" w:hAnsi="ITC Avant Garde"/>
          <w:i/>
          <w:color w:val="auto"/>
        </w:rPr>
      </w:pPr>
      <w:r>
        <w:rPr>
          <w:rFonts w:ascii="ITC Avant Garde" w:hAnsi="ITC Avant Garde"/>
          <w:i/>
          <w:color w:val="auto"/>
        </w:rPr>
        <w:t>En la Cláusula Quinta numeral 5.7.3, c</w:t>
      </w:r>
      <w:r w:rsidR="00995DC5" w:rsidRPr="00B56D15">
        <w:rPr>
          <w:rFonts w:ascii="ITC Avant Garde" w:hAnsi="ITC Avant Garde"/>
          <w:i/>
          <w:color w:val="auto"/>
        </w:rPr>
        <w:t>uando se utilice señalización número 7, la capacidad de enlaces dedicado</w:t>
      </w:r>
      <w:r w:rsidR="009E0A3F">
        <w:rPr>
          <w:rFonts w:ascii="ITC Avant Garde" w:hAnsi="ITC Avant Garde"/>
          <w:i/>
          <w:color w:val="auto"/>
        </w:rPr>
        <w:t>s</w:t>
      </w:r>
      <w:r w:rsidR="00995DC5" w:rsidRPr="00B56D15">
        <w:rPr>
          <w:rFonts w:ascii="ITC Avant Garde" w:hAnsi="ITC Avant Garde"/>
          <w:i/>
          <w:color w:val="auto"/>
        </w:rPr>
        <w:t xml:space="preserve"> de interconexión debe ser de nivel E1 y sus </w:t>
      </w:r>
      <w:r w:rsidR="00995DC5" w:rsidRPr="00B56D15">
        <w:rPr>
          <w:rFonts w:ascii="ITC Avant Garde" w:hAnsi="ITC Avant Garde"/>
          <w:i/>
          <w:color w:val="auto"/>
        </w:rPr>
        <w:lastRenderedPageBreak/>
        <w:t>múltiplos y/o STM1 y sus múltiplos si así lo requieren las partes y es técnicamente factible.</w:t>
      </w:r>
    </w:p>
    <w:p w14:paraId="03972769" w14:textId="77777777" w:rsidR="00995DC5" w:rsidRPr="00EB0EE4" w:rsidRDefault="00995DC5" w:rsidP="007D5396">
      <w:pPr>
        <w:spacing w:line="276" w:lineRule="auto"/>
        <w:ind w:firstLine="0"/>
        <w:rPr>
          <w:rFonts w:ascii="ITC Avant Garde" w:hAnsi="ITC Avant Garde"/>
          <w:color w:val="auto"/>
        </w:rPr>
      </w:pPr>
    </w:p>
    <w:p w14:paraId="5D635730" w14:textId="545D236D" w:rsidR="00C31BE0" w:rsidRPr="00EB0EE4" w:rsidRDefault="00C31BE0" w:rsidP="0020202A">
      <w:pPr>
        <w:spacing w:after="0" w:line="276" w:lineRule="auto"/>
        <w:ind w:left="-5" w:right="49" w:firstLine="0"/>
        <w:rPr>
          <w:rFonts w:ascii="ITC Avant Garde" w:hAnsi="ITC Avant Garde"/>
          <w:color w:val="auto"/>
        </w:rPr>
      </w:pPr>
      <w:r w:rsidRPr="00EB0EE4">
        <w:rPr>
          <w:rFonts w:ascii="ITC Avant Garde" w:hAnsi="ITC Avant Garde"/>
          <w:color w:val="auto"/>
        </w:rPr>
        <w:t xml:space="preserve">Respecto al comentario anterior, se observó que </w:t>
      </w:r>
      <w:r w:rsidR="001549AF" w:rsidRPr="00EB0EE4">
        <w:rPr>
          <w:rFonts w:ascii="ITC Avant Garde" w:hAnsi="ITC Avant Garde"/>
          <w:color w:val="auto"/>
        </w:rPr>
        <w:t xml:space="preserve">lo establecido en la Cláusula 5.7.3 </w:t>
      </w:r>
      <w:r w:rsidRPr="00EB0EE4">
        <w:rPr>
          <w:rFonts w:ascii="ITC Avant Garde" w:hAnsi="ITC Avant Garde"/>
          <w:color w:val="auto"/>
        </w:rPr>
        <w:t>refleja lo establecido en la Medida Séptima y el Plan Técnico Fundamental de Interconexión e Interoperabilidad en el sentido de que los enlaces de transmisión serán ofrecidos</w:t>
      </w:r>
      <w:r w:rsidR="00E61D00" w:rsidRPr="00EB0EE4">
        <w:rPr>
          <w:rFonts w:ascii="ITC Avant Garde" w:hAnsi="ITC Avant Garde"/>
          <w:color w:val="auto"/>
        </w:rPr>
        <w:t xml:space="preserve"> nivel E1 y sus múltiplos y/o STM1 y sus múltiplos</w:t>
      </w:r>
      <w:r w:rsidRPr="00EB0EE4">
        <w:rPr>
          <w:rFonts w:ascii="ITC Avant Garde" w:hAnsi="ITC Avant Garde"/>
          <w:color w:val="auto"/>
        </w:rPr>
        <w:t xml:space="preserve">. Por lo </w:t>
      </w:r>
      <w:r w:rsidR="00E61D00" w:rsidRPr="00EB0EE4">
        <w:rPr>
          <w:rFonts w:ascii="ITC Avant Garde" w:hAnsi="ITC Avant Garde"/>
          <w:color w:val="auto"/>
        </w:rPr>
        <w:t>anterior el numeral no fue modificado</w:t>
      </w:r>
      <w:r w:rsidRPr="00EB0EE4">
        <w:rPr>
          <w:rFonts w:ascii="ITC Avant Garde" w:hAnsi="ITC Avant Garde"/>
          <w:color w:val="auto"/>
        </w:rPr>
        <w:t>.</w:t>
      </w:r>
    </w:p>
    <w:p w14:paraId="44DE1344" w14:textId="77777777" w:rsidR="000F22F2" w:rsidRPr="00EB0EE4" w:rsidRDefault="000F22F2" w:rsidP="00BD6B4C">
      <w:pPr>
        <w:spacing w:after="0" w:line="276" w:lineRule="auto"/>
        <w:ind w:left="0" w:right="49" w:firstLine="0"/>
        <w:rPr>
          <w:rFonts w:ascii="ITC Avant Garde" w:eastAsia="Times New Roman" w:hAnsi="ITC Avant Garde" w:cs="Times New Roman"/>
          <w:i/>
          <w:color w:val="auto"/>
        </w:rPr>
      </w:pPr>
    </w:p>
    <w:p w14:paraId="000389F2" w14:textId="25310567" w:rsidR="00995DC5" w:rsidRDefault="002959C1" w:rsidP="007D5396">
      <w:pPr>
        <w:spacing w:line="276" w:lineRule="auto"/>
        <w:ind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OCTAVA </w:t>
      </w:r>
    </w:p>
    <w:p w14:paraId="235D37FB" w14:textId="77777777" w:rsidR="002959C1" w:rsidRDefault="002959C1" w:rsidP="007D5396">
      <w:pPr>
        <w:spacing w:line="276" w:lineRule="auto"/>
        <w:ind w:firstLine="0"/>
        <w:rPr>
          <w:rFonts w:ascii="ITC Avant Garde" w:hAnsi="ITC Avant Garde"/>
          <w:color w:val="auto"/>
        </w:rPr>
      </w:pPr>
    </w:p>
    <w:p w14:paraId="5C3B0586" w14:textId="648FA5E6" w:rsidR="00250D0C" w:rsidRPr="00250D0C" w:rsidRDefault="00250D0C" w:rsidP="007D5396">
      <w:pPr>
        <w:spacing w:line="276" w:lineRule="auto"/>
        <w:ind w:left="0" w:firstLine="0"/>
        <w:rPr>
          <w:rFonts w:ascii="ITC Avant Garde" w:hAnsi="ITC Avant Garde"/>
          <w:b/>
          <w:color w:val="auto"/>
        </w:rPr>
      </w:pPr>
      <w:r w:rsidRPr="00250D0C">
        <w:rPr>
          <w:rFonts w:ascii="ITC Avant Garde" w:hAnsi="ITC Avant Garde"/>
          <w:b/>
          <w:color w:val="auto"/>
        </w:rPr>
        <w:t>Telefónica y CANIETI:</w:t>
      </w:r>
    </w:p>
    <w:p w14:paraId="11377F0F" w14:textId="77777777" w:rsidR="00250D0C" w:rsidRPr="00B56D15" w:rsidRDefault="00250D0C" w:rsidP="007D5396">
      <w:pPr>
        <w:spacing w:line="276" w:lineRule="auto"/>
        <w:ind w:left="0" w:firstLine="0"/>
        <w:rPr>
          <w:rFonts w:ascii="ITC Avant Garde" w:hAnsi="ITC Avant Garde"/>
          <w:color w:val="auto"/>
        </w:rPr>
      </w:pPr>
    </w:p>
    <w:p w14:paraId="22CFBE31" w14:textId="543A2123" w:rsidR="00995DC5" w:rsidRPr="00B56D15" w:rsidRDefault="00F47775" w:rsidP="007D5396">
      <w:pPr>
        <w:spacing w:line="276" w:lineRule="auto"/>
        <w:ind w:firstLine="0"/>
        <w:rPr>
          <w:rFonts w:ascii="ITC Avant Garde" w:hAnsi="ITC Avant Garde"/>
          <w:i/>
          <w:color w:val="auto"/>
        </w:rPr>
      </w:pPr>
      <w:r>
        <w:rPr>
          <w:rFonts w:ascii="ITC Avant Garde" w:hAnsi="ITC Avant Garde"/>
          <w:i/>
          <w:color w:val="auto"/>
        </w:rPr>
        <w:t>En la Cláusula Octava, i</w:t>
      </w:r>
      <w:r w:rsidR="00995DC5" w:rsidRPr="00B56D15">
        <w:rPr>
          <w:rFonts w:ascii="ITC Avant Garde" w:hAnsi="ITC Avant Garde"/>
          <w:i/>
          <w:color w:val="auto"/>
        </w:rPr>
        <w:t>ncluir un último párrafo en los términos siguientes a efecto de brindar mayor seguridad jurídica a las partes:</w:t>
      </w:r>
    </w:p>
    <w:p w14:paraId="16C016E7" w14:textId="77777777" w:rsidR="00995DC5" w:rsidRPr="00B56D15" w:rsidRDefault="00995DC5" w:rsidP="007D5396">
      <w:pPr>
        <w:spacing w:line="276" w:lineRule="auto"/>
        <w:ind w:firstLine="0"/>
        <w:rPr>
          <w:rFonts w:ascii="ITC Avant Garde" w:hAnsi="ITC Avant Garde"/>
          <w:i/>
          <w:color w:val="auto"/>
        </w:rPr>
      </w:pPr>
    </w:p>
    <w:p w14:paraId="623B4696" w14:textId="0FDEAB46" w:rsidR="00995DC5" w:rsidRPr="006602DA" w:rsidRDefault="003A0208" w:rsidP="006602DA">
      <w:pPr>
        <w:spacing w:line="276" w:lineRule="auto"/>
        <w:ind w:left="567" w:right="616" w:firstLine="0"/>
        <w:rPr>
          <w:rFonts w:ascii="ITC Avant Garde" w:hAnsi="ITC Avant Garde"/>
          <w:i/>
          <w:color w:val="auto"/>
          <w:sz w:val="18"/>
          <w:szCs w:val="18"/>
        </w:rPr>
      </w:pPr>
      <w:r w:rsidRPr="006602DA">
        <w:rPr>
          <w:rFonts w:ascii="ITC Avant Garde" w:hAnsi="ITC Avant Garde"/>
          <w:i/>
          <w:color w:val="auto"/>
          <w:sz w:val="18"/>
          <w:szCs w:val="18"/>
        </w:rPr>
        <w:t>“</w:t>
      </w:r>
      <w:r w:rsidR="00995DC5" w:rsidRPr="006602DA">
        <w:rPr>
          <w:rFonts w:ascii="ITC Avant Garde" w:hAnsi="ITC Avant Garde"/>
          <w:i/>
          <w:color w:val="auto"/>
          <w:sz w:val="18"/>
          <w:szCs w:val="18"/>
        </w:rPr>
        <w:t>Las Partes establecen que cualquier cesión y/o transferencia realizada por cualquiera de ellas en contravención a los términos del presente Convenio constituirá incumplimiento del mismo. La Parte que incumpla deberá responder en forma ilimitada, mantener en paz y a salvo e indemnizar a la otra Parte (incluyendo a sus apoderados, agentes, representantes, directores, funcionarios y miembros del consejo de administración, de cualquier reclamo o responsabilidad en que pudieren incurrir ante cualquier persona o autoridad) como consecuencia de la cesión realizada en contravención a lo dispuesto en el presente Convenio. Dentro de los conceptos que deberá cubrir la Parte en incumplimiento, se incluye, a mero título enunciativo, el reembolso de todas y cada una de las cantidades que por tal motivo hubieren erogado (incluyendo, entre otros, honorarios de abogados) y cualquier otro gasto razonable que sea consecuencia del incumplim</w:t>
      </w:r>
      <w:r w:rsidR="001323BC" w:rsidRPr="006602DA">
        <w:rPr>
          <w:rFonts w:ascii="ITC Avant Garde" w:hAnsi="ITC Avant Garde"/>
          <w:i/>
          <w:color w:val="auto"/>
          <w:sz w:val="18"/>
          <w:szCs w:val="18"/>
        </w:rPr>
        <w:t>iento descrito en este numeral.</w:t>
      </w:r>
      <w:r w:rsidRPr="006602DA">
        <w:rPr>
          <w:rFonts w:ascii="ITC Avant Garde" w:hAnsi="ITC Avant Garde"/>
          <w:i/>
          <w:color w:val="auto"/>
          <w:sz w:val="18"/>
          <w:szCs w:val="18"/>
        </w:rPr>
        <w:t>”</w:t>
      </w:r>
    </w:p>
    <w:p w14:paraId="7D6D1CEB" w14:textId="77777777" w:rsidR="00E854F1" w:rsidRDefault="00E854F1" w:rsidP="007D5396">
      <w:pPr>
        <w:spacing w:after="0" w:line="276" w:lineRule="auto"/>
        <w:ind w:right="49" w:firstLine="0"/>
        <w:rPr>
          <w:rFonts w:ascii="ITC Avant Garde" w:hAnsi="ITC Avant Garde"/>
          <w:i/>
          <w:color w:val="auto"/>
        </w:rPr>
      </w:pPr>
    </w:p>
    <w:p w14:paraId="564B6BB2" w14:textId="3B54DB38" w:rsidR="00D450C5" w:rsidRPr="00EB0EE4" w:rsidRDefault="008B7869" w:rsidP="007D5396">
      <w:pPr>
        <w:spacing w:after="0" w:line="276" w:lineRule="auto"/>
        <w:ind w:right="49" w:firstLine="0"/>
        <w:rPr>
          <w:rFonts w:ascii="ITC Avant Garde" w:hAnsi="ITC Avant Garde"/>
          <w:color w:val="auto"/>
        </w:rPr>
      </w:pPr>
      <w:r w:rsidRPr="00EB0EE4">
        <w:rPr>
          <w:rFonts w:ascii="ITC Avant Garde" w:hAnsi="ITC Avant Garde"/>
          <w:color w:val="auto"/>
        </w:rPr>
        <w:t xml:space="preserve">Respecto al comentario anterior, y con el fin de proporcionar certeza sobre que la Parte que incumpla con los términos establecidos en el convenio al realizar una cesión o transferencia en contravención a los términos del Convenio deberá responder por cualquier reclamo o responsabilidad causada a la otra Parte por dicha acción, </w:t>
      </w:r>
      <w:r w:rsidR="00D450C5" w:rsidRPr="00EB0EE4">
        <w:rPr>
          <w:rFonts w:ascii="ITC Avant Garde" w:hAnsi="ITC Avant Garde"/>
          <w:color w:val="auto"/>
        </w:rPr>
        <w:t xml:space="preserve">se </w:t>
      </w:r>
      <w:r w:rsidR="006602DA" w:rsidRPr="00EB0EE4">
        <w:rPr>
          <w:rFonts w:ascii="ITC Avant Garde" w:hAnsi="ITC Avant Garde"/>
          <w:color w:val="auto"/>
        </w:rPr>
        <w:t xml:space="preserve">agregó </w:t>
      </w:r>
      <w:r w:rsidR="00D450C5" w:rsidRPr="00EB0EE4">
        <w:rPr>
          <w:rFonts w:ascii="ITC Avant Garde" w:hAnsi="ITC Avant Garde"/>
          <w:color w:val="auto"/>
        </w:rPr>
        <w:t>el siguiente texto a la Cláusula Octava:</w:t>
      </w:r>
    </w:p>
    <w:p w14:paraId="266F71B8" w14:textId="77777777" w:rsidR="00D450C5" w:rsidRPr="00EB0EE4" w:rsidRDefault="00D450C5" w:rsidP="007D5396">
      <w:pPr>
        <w:spacing w:after="0" w:line="276" w:lineRule="auto"/>
        <w:ind w:right="49" w:firstLine="0"/>
        <w:rPr>
          <w:rFonts w:ascii="ITC Avant Garde" w:hAnsi="ITC Avant Garde"/>
          <w:color w:val="auto"/>
        </w:rPr>
      </w:pPr>
    </w:p>
    <w:p w14:paraId="62C79429" w14:textId="6363FBC7" w:rsidR="00D450C5" w:rsidRPr="00EB0EE4" w:rsidRDefault="00D450C5" w:rsidP="007D5396">
      <w:pPr>
        <w:spacing w:after="0" w:line="276" w:lineRule="auto"/>
        <w:ind w:left="567" w:right="616" w:firstLine="0"/>
        <w:rPr>
          <w:rFonts w:ascii="ITC Avant Garde" w:hAnsi="ITC Avant Garde"/>
          <w:i/>
          <w:color w:val="auto"/>
          <w:sz w:val="18"/>
        </w:rPr>
      </w:pPr>
      <w:r w:rsidRPr="00EB0EE4">
        <w:rPr>
          <w:rFonts w:ascii="ITC Avant Garde" w:hAnsi="ITC Avant Garde"/>
          <w:i/>
          <w:color w:val="auto"/>
          <w:sz w:val="18"/>
        </w:rPr>
        <w:t>“</w:t>
      </w:r>
      <w:r w:rsidR="008002EB" w:rsidRPr="00EB0EE4">
        <w:rPr>
          <w:rFonts w:ascii="ITC Avant Garde" w:hAnsi="ITC Avant Garde"/>
          <w:i/>
          <w:color w:val="auto"/>
          <w:sz w:val="18"/>
        </w:rPr>
        <w:t>Las Partes establecen que cualquier cesión y/o transferencia realizada por cualquiera de ellas en contravención a los términos del presente Convenio constituirá incumplimiento del mismo. La Parte que incumpla deberá responder, mantener en paz y a salvo e indemnizar de los gastos razonables a la otra Parte de cualquier reclamo o responsabilidad en que pudieren incurrir como consecuencia de la cesión realizada en contravención a lo dispuesto en el presente Convenio</w:t>
      </w:r>
      <w:r w:rsidR="00FA30BF" w:rsidRPr="00EB0EE4">
        <w:rPr>
          <w:rFonts w:ascii="ITC Avant Garde" w:hAnsi="ITC Avant Garde"/>
          <w:i/>
          <w:color w:val="auto"/>
          <w:sz w:val="18"/>
        </w:rPr>
        <w:t>.”</w:t>
      </w:r>
    </w:p>
    <w:p w14:paraId="55880CF1" w14:textId="77777777" w:rsidR="00F47775" w:rsidRPr="000C7CB5" w:rsidRDefault="00F47775" w:rsidP="007D5396">
      <w:pPr>
        <w:spacing w:after="0" w:line="276" w:lineRule="auto"/>
        <w:ind w:right="49" w:firstLine="0"/>
        <w:rPr>
          <w:rFonts w:ascii="ITC Avant Garde" w:eastAsia="Times New Roman" w:hAnsi="ITC Avant Garde" w:cs="Times New Roman"/>
          <w:i/>
          <w:color w:val="auto"/>
        </w:rPr>
      </w:pPr>
    </w:p>
    <w:p w14:paraId="79E5E593" w14:textId="43A986F2" w:rsidR="002959C1" w:rsidRDefault="002959C1" w:rsidP="007D5396">
      <w:pPr>
        <w:spacing w:after="0" w:line="276" w:lineRule="auto"/>
        <w:ind w:left="-5" w:right="49"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DECIMA </w:t>
      </w:r>
    </w:p>
    <w:p w14:paraId="71ECE156" w14:textId="77777777" w:rsidR="002959C1" w:rsidRDefault="002959C1" w:rsidP="007D5396">
      <w:pPr>
        <w:spacing w:after="0" w:line="276" w:lineRule="auto"/>
        <w:ind w:left="-5" w:right="49" w:firstLine="0"/>
        <w:rPr>
          <w:rFonts w:ascii="ITC Avant Garde" w:hAnsi="ITC Avant Garde"/>
          <w:b/>
          <w:color w:val="auto"/>
          <w:u w:val="single"/>
        </w:rPr>
      </w:pPr>
    </w:p>
    <w:p w14:paraId="407B3B07" w14:textId="03A5279A" w:rsidR="00C870D1" w:rsidRPr="00B56D15" w:rsidRDefault="00C870D1"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lastRenderedPageBreak/>
        <w:t>Grupo Televisa:</w:t>
      </w:r>
    </w:p>
    <w:p w14:paraId="52945F0C" w14:textId="77777777" w:rsidR="00C870D1" w:rsidRPr="00B56D15" w:rsidRDefault="00C870D1" w:rsidP="007D5396">
      <w:pPr>
        <w:spacing w:after="0" w:line="276" w:lineRule="auto"/>
        <w:ind w:left="-5" w:right="49" w:firstLine="0"/>
        <w:rPr>
          <w:rFonts w:ascii="ITC Avant Garde" w:hAnsi="ITC Avant Garde"/>
          <w:b/>
          <w:color w:val="auto"/>
        </w:rPr>
      </w:pPr>
    </w:p>
    <w:p w14:paraId="1E14F84F" w14:textId="08E2D206" w:rsidR="00C870D1" w:rsidRDefault="00F47775" w:rsidP="007D5396">
      <w:pPr>
        <w:spacing w:line="276" w:lineRule="auto"/>
        <w:ind w:firstLine="0"/>
        <w:rPr>
          <w:rFonts w:ascii="ITC Avant Garde" w:hAnsi="ITC Avant Garde" w:cs="Times New Roman"/>
          <w:i/>
          <w:color w:val="auto"/>
        </w:rPr>
      </w:pPr>
      <w:r>
        <w:rPr>
          <w:rFonts w:ascii="ITC Avant Garde" w:hAnsi="ITC Avant Garde" w:cs="Times New Roman"/>
          <w:i/>
          <w:color w:val="auto"/>
        </w:rPr>
        <w:t>En la Cláusula Décima, s</w:t>
      </w:r>
      <w:r w:rsidR="00C870D1" w:rsidRPr="00B56D15">
        <w:rPr>
          <w:rFonts w:ascii="ITC Avant Garde" w:hAnsi="ITC Avant Garde" w:cs="Times New Roman"/>
          <w:i/>
          <w:color w:val="auto"/>
        </w:rPr>
        <w:t>e solicita que se elimine la obligatoriedad de establecer los seguros de responsabilidad civil por tratarse de servicios recíprocos y no ser práctica h</w:t>
      </w:r>
      <w:r>
        <w:rPr>
          <w:rFonts w:ascii="ITC Avant Garde" w:hAnsi="ITC Avant Garde" w:cs="Times New Roman"/>
          <w:i/>
          <w:color w:val="auto"/>
        </w:rPr>
        <w:t>abitual en el mercado mexicano.</w:t>
      </w:r>
    </w:p>
    <w:p w14:paraId="411B49A3" w14:textId="77777777" w:rsidR="008C6B6B" w:rsidRPr="00EB0EE4" w:rsidRDefault="008C6B6B" w:rsidP="007D5396">
      <w:pPr>
        <w:spacing w:line="276" w:lineRule="auto"/>
        <w:ind w:firstLine="0"/>
        <w:rPr>
          <w:rFonts w:ascii="ITC Avant Garde" w:hAnsi="ITC Avant Garde" w:cs="Times New Roman"/>
          <w:color w:val="auto"/>
        </w:rPr>
      </w:pPr>
    </w:p>
    <w:p w14:paraId="4EE4BE0B" w14:textId="1FB97865" w:rsidR="008C6B6B" w:rsidRPr="00EB0EE4" w:rsidRDefault="008C6B6B" w:rsidP="00353B69">
      <w:pPr>
        <w:spacing w:line="276" w:lineRule="auto"/>
        <w:ind w:left="0" w:firstLine="0"/>
        <w:rPr>
          <w:rFonts w:ascii="ITC Avant Garde" w:hAnsi="ITC Avant Garde" w:cs="Times New Roman"/>
          <w:color w:val="auto"/>
        </w:rPr>
      </w:pPr>
      <w:r w:rsidRPr="00EB0EE4">
        <w:rPr>
          <w:rFonts w:ascii="ITC Avant Garde" w:hAnsi="ITC Avant Garde" w:cs="Times New Roman"/>
          <w:color w:val="auto"/>
        </w:rPr>
        <w:t xml:space="preserve">Al respecto, este Instituto considera que la cláusula permite establecer claramente los términos que deberán cumplir con respecto a la contratación de seguros ante posibles riesgos derivado de actividades que puedan ocasionar un daño a las instalaciones de las partes, </w:t>
      </w:r>
      <w:r w:rsidR="00BA56E3" w:rsidRPr="00EB0EE4">
        <w:rPr>
          <w:rFonts w:ascii="ITC Avant Garde" w:hAnsi="ITC Avant Garde" w:cs="Times New Roman"/>
          <w:color w:val="auto"/>
        </w:rPr>
        <w:t>así mismo</w:t>
      </w:r>
      <w:r w:rsidR="008A1544" w:rsidRPr="00EB0EE4">
        <w:rPr>
          <w:rFonts w:ascii="ITC Avant Garde" w:hAnsi="ITC Avant Garde" w:cs="Times New Roman"/>
          <w:color w:val="auto"/>
        </w:rPr>
        <w:t xml:space="preserve">, se considera que </w:t>
      </w:r>
      <w:r w:rsidRPr="00EB0EE4">
        <w:rPr>
          <w:rFonts w:ascii="ITC Avant Garde" w:hAnsi="ITC Avant Garde" w:cs="Times New Roman"/>
          <w:color w:val="auto"/>
        </w:rPr>
        <w:t xml:space="preserve">una buena práctica </w:t>
      </w:r>
      <w:r w:rsidR="008A1544" w:rsidRPr="00EB0EE4">
        <w:rPr>
          <w:rFonts w:ascii="ITC Avant Garde" w:hAnsi="ITC Avant Garde" w:cs="Times New Roman"/>
          <w:color w:val="auto"/>
        </w:rPr>
        <w:t xml:space="preserve">es el </w:t>
      </w:r>
      <w:r w:rsidRPr="00EB0EE4">
        <w:rPr>
          <w:rFonts w:ascii="ITC Avant Garde" w:hAnsi="ITC Avant Garde" w:cs="Times New Roman"/>
          <w:color w:val="auto"/>
        </w:rPr>
        <w:t xml:space="preserve">que las partes se protejan de dichas eventualidades a efecto de no correr el riesgo de que una de ellas no pueda reparar el daño con los recursos que </w:t>
      </w:r>
      <w:r w:rsidR="008A1544" w:rsidRPr="00EB0EE4">
        <w:rPr>
          <w:rFonts w:ascii="ITC Avant Garde" w:hAnsi="ITC Avant Garde" w:cs="Times New Roman"/>
          <w:color w:val="auto"/>
        </w:rPr>
        <w:t xml:space="preserve">tenga disponibles, práctica que </w:t>
      </w:r>
      <w:r w:rsidRPr="00EB0EE4">
        <w:rPr>
          <w:rFonts w:ascii="ITC Avant Garde" w:hAnsi="ITC Avant Garde" w:cs="Times New Roman"/>
          <w:color w:val="auto"/>
        </w:rPr>
        <w:t xml:space="preserve">es común </w:t>
      </w:r>
      <w:r w:rsidR="00F47775" w:rsidRPr="00EB0EE4">
        <w:rPr>
          <w:rFonts w:ascii="ITC Avant Garde" w:hAnsi="ITC Avant Garde" w:cs="Times New Roman"/>
          <w:color w:val="auto"/>
        </w:rPr>
        <w:t>que,</w:t>
      </w:r>
      <w:r w:rsidRPr="00EB0EE4">
        <w:rPr>
          <w:rFonts w:ascii="ITC Avant Garde" w:hAnsi="ITC Avant Garde" w:cs="Times New Roman"/>
          <w:color w:val="auto"/>
        </w:rPr>
        <w:t xml:space="preserve"> en este tipo de convenios, por lo</w:t>
      </w:r>
      <w:r w:rsidR="008A1544" w:rsidRPr="00EB0EE4">
        <w:rPr>
          <w:rFonts w:ascii="ITC Avant Garde" w:hAnsi="ITC Avant Garde" w:cs="Times New Roman"/>
          <w:color w:val="auto"/>
        </w:rPr>
        <w:t xml:space="preserve"> cual se considera que la solicitud de eliminación de esta cláusula no es procedente. </w:t>
      </w:r>
    </w:p>
    <w:p w14:paraId="5DFB6751" w14:textId="77777777" w:rsidR="00E854F1" w:rsidRPr="00EB0EE4" w:rsidRDefault="00E854F1" w:rsidP="007D5396">
      <w:pPr>
        <w:spacing w:after="0" w:line="276" w:lineRule="auto"/>
        <w:ind w:right="49" w:firstLine="0"/>
        <w:rPr>
          <w:rFonts w:ascii="ITC Avant Garde" w:hAnsi="ITC Avant Garde"/>
          <w:color w:val="auto"/>
        </w:rPr>
      </w:pPr>
    </w:p>
    <w:p w14:paraId="704F5AF5" w14:textId="01216A61" w:rsidR="00E62CB9" w:rsidRDefault="002959C1" w:rsidP="007D5396">
      <w:pPr>
        <w:spacing w:after="0" w:line="276" w:lineRule="auto"/>
        <w:ind w:left="-5" w:right="49" w:firstLine="0"/>
        <w:rPr>
          <w:rFonts w:ascii="ITC Avant Garde" w:hAnsi="ITC Avant Garde"/>
          <w:b/>
          <w:color w:val="auto"/>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DECIMOPRIMERA </w:t>
      </w:r>
    </w:p>
    <w:p w14:paraId="0181DD66" w14:textId="77777777" w:rsidR="00E62CB9" w:rsidRDefault="00E62CB9" w:rsidP="007D5396">
      <w:pPr>
        <w:spacing w:after="0" w:line="276" w:lineRule="auto"/>
        <w:ind w:left="-5" w:right="49" w:firstLine="0"/>
        <w:rPr>
          <w:rFonts w:ascii="ITC Avant Garde" w:hAnsi="ITC Avant Garde"/>
          <w:b/>
          <w:color w:val="auto"/>
        </w:rPr>
      </w:pPr>
    </w:p>
    <w:p w14:paraId="18AF17BF" w14:textId="22751A62" w:rsidR="00995DC5" w:rsidRPr="00B56D15" w:rsidRDefault="00995DC5"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 y CANIETI:</w:t>
      </w:r>
    </w:p>
    <w:p w14:paraId="102EBA87" w14:textId="77777777" w:rsidR="00995DC5" w:rsidRPr="00B56D15" w:rsidRDefault="00995DC5" w:rsidP="007D5396">
      <w:pPr>
        <w:spacing w:line="276" w:lineRule="auto"/>
        <w:ind w:firstLine="0"/>
        <w:rPr>
          <w:rFonts w:ascii="ITC Avant Garde" w:hAnsi="ITC Avant Garde"/>
          <w:color w:val="auto"/>
        </w:rPr>
      </w:pPr>
    </w:p>
    <w:p w14:paraId="6BB69319" w14:textId="5EEEBE7E" w:rsidR="00995DC5" w:rsidRPr="00B56D15" w:rsidRDefault="00E62CB9" w:rsidP="007D5396">
      <w:pPr>
        <w:spacing w:line="276" w:lineRule="auto"/>
        <w:ind w:firstLine="0"/>
        <w:rPr>
          <w:rFonts w:ascii="ITC Avant Garde" w:hAnsi="ITC Avant Garde"/>
          <w:i/>
          <w:color w:val="auto"/>
        </w:rPr>
      </w:pPr>
      <w:r>
        <w:rPr>
          <w:rFonts w:ascii="ITC Avant Garde" w:hAnsi="ITC Avant Garde"/>
          <w:i/>
          <w:color w:val="auto"/>
        </w:rPr>
        <w:t>En la Cláusula Decimoprimera, s</w:t>
      </w:r>
      <w:r w:rsidR="00995DC5" w:rsidRPr="00B56D15">
        <w:rPr>
          <w:rFonts w:ascii="ITC Avant Garde" w:hAnsi="ITC Avant Garde"/>
          <w:i/>
          <w:color w:val="auto"/>
        </w:rPr>
        <w:t>e propone la incorporación de los siguientes párrafos a fin de brindar seguridad jurídica a las partes en el tema de conductas fraudulentas:</w:t>
      </w:r>
    </w:p>
    <w:p w14:paraId="56361FEA" w14:textId="77777777" w:rsidR="00995DC5" w:rsidRPr="00B56D15" w:rsidRDefault="00995DC5" w:rsidP="007D5396">
      <w:pPr>
        <w:spacing w:line="276" w:lineRule="auto"/>
        <w:ind w:firstLine="0"/>
        <w:rPr>
          <w:rFonts w:ascii="ITC Avant Garde" w:hAnsi="ITC Avant Garde"/>
          <w:i/>
          <w:color w:val="auto"/>
        </w:rPr>
      </w:pPr>
    </w:p>
    <w:p w14:paraId="75733B55" w14:textId="4E3BB3FE" w:rsidR="00995DC5" w:rsidRPr="00B56D15" w:rsidRDefault="008D61CE" w:rsidP="007D5396">
      <w:pPr>
        <w:spacing w:line="276" w:lineRule="auto"/>
        <w:ind w:firstLine="0"/>
        <w:rPr>
          <w:rFonts w:ascii="ITC Avant Garde" w:hAnsi="ITC Avant Garde"/>
          <w:i/>
          <w:color w:val="auto"/>
        </w:rPr>
      </w:pPr>
      <w:r>
        <w:rPr>
          <w:rFonts w:ascii="ITC Avant Garde" w:hAnsi="ITC Avant Garde"/>
          <w:i/>
          <w:color w:val="auto"/>
        </w:rPr>
        <w:t>“</w:t>
      </w:r>
      <w:r w:rsidR="00995DC5" w:rsidRPr="00B56D15">
        <w:rPr>
          <w:rFonts w:ascii="ITC Avant Garde" w:hAnsi="ITC Avant Garde"/>
          <w:i/>
          <w:color w:val="auto"/>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60B81839" w14:textId="77777777" w:rsidR="00995DC5" w:rsidRPr="00B56D15" w:rsidRDefault="00995DC5" w:rsidP="007D5396">
      <w:pPr>
        <w:spacing w:line="276" w:lineRule="auto"/>
        <w:ind w:firstLine="0"/>
        <w:rPr>
          <w:rFonts w:ascii="ITC Avant Garde" w:hAnsi="ITC Avant Garde"/>
          <w:i/>
          <w:color w:val="auto"/>
        </w:rPr>
      </w:pPr>
    </w:p>
    <w:p w14:paraId="118635BA" w14:textId="4005F302" w:rsidR="00995DC5" w:rsidRPr="00B56D15" w:rsidRDefault="00995DC5" w:rsidP="007D5396">
      <w:pPr>
        <w:spacing w:line="276" w:lineRule="auto"/>
        <w:ind w:firstLine="0"/>
        <w:rPr>
          <w:rFonts w:ascii="ITC Avant Garde" w:hAnsi="ITC Avant Garde"/>
          <w:i/>
          <w:color w:val="auto"/>
        </w:rPr>
      </w:pPr>
      <w:r w:rsidRPr="00B56D15">
        <w:rPr>
          <w:rFonts w:ascii="ITC Avant Garde" w:hAnsi="ITC Avant Garde"/>
          <w:i/>
          <w:color w:val="auto"/>
        </w:rPr>
        <w:t>Las Partes se obligan a no utilizar el Servicio de Terminación Conmutada en Usuarios de la Red Local de cualquiera de ellas, del tipo “El Que Llama Paga” ofrecido por las Partes bajo el presente Convenio, para la entrega de Tráfico Público Conmutado que le haya sido entregado en reventa o por cualquier otro medio por Concesionarios que no tengan celebrado un Convenio de Prestación de Servicios de Interconexión con la Parte destinataria del tráfico vigente y debi</w:t>
      </w:r>
      <w:r w:rsidR="00E62CB9">
        <w:rPr>
          <w:rFonts w:ascii="ITC Avant Garde" w:hAnsi="ITC Avant Garde"/>
          <w:i/>
          <w:color w:val="auto"/>
        </w:rPr>
        <w:t xml:space="preserve">damente registrado ante el </w:t>
      </w:r>
      <w:r w:rsidR="002170E6">
        <w:rPr>
          <w:rFonts w:ascii="ITC Avant Garde" w:hAnsi="ITC Avant Garde"/>
          <w:i/>
          <w:color w:val="auto"/>
        </w:rPr>
        <w:t>Instituto</w:t>
      </w:r>
      <w:r w:rsidR="00E62CB9">
        <w:rPr>
          <w:rFonts w:ascii="ITC Avant Garde" w:hAnsi="ITC Avant Garde"/>
          <w:i/>
          <w:color w:val="auto"/>
        </w:rPr>
        <w:t>.</w:t>
      </w:r>
      <w:r w:rsidR="008D61CE">
        <w:rPr>
          <w:rFonts w:ascii="ITC Avant Garde" w:hAnsi="ITC Avant Garde"/>
          <w:i/>
          <w:color w:val="auto"/>
        </w:rPr>
        <w:t>”</w:t>
      </w:r>
    </w:p>
    <w:p w14:paraId="78B163A3" w14:textId="77777777" w:rsidR="00995DC5" w:rsidRPr="00EB0EE4" w:rsidRDefault="00995DC5" w:rsidP="007D5396">
      <w:pPr>
        <w:spacing w:after="0" w:line="276" w:lineRule="auto"/>
        <w:ind w:right="49" w:firstLine="0"/>
        <w:rPr>
          <w:rFonts w:ascii="ITC Avant Garde" w:hAnsi="ITC Avant Garde"/>
          <w:i/>
          <w:color w:val="auto"/>
        </w:rPr>
      </w:pPr>
    </w:p>
    <w:p w14:paraId="1AABBA83" w14:textId="1C5EE144" w:rsidR="003861D6" w:rsidRPr="00EB0EE4" w:rsidRDefault="003861D6" w:rsidP="007D5396">
      <w:pPr>
        <w:spacing w:after="0" w:line="276" w:lineRule="auto"/>
        <w:ind w:firstLine="0"/>
        <w:rPr>
          <w:rFonts w:ascii="ITC Avant Garde" w:hAnsi="ITC Avant Garde"/>
          <w:color w:val="auto"/>
        </w:rPr>
      </w:pPr>
      <w:r w:rsidRPr="00EB0EE4">
        <w:rPr>
          <w:rFonts w:ascii="ITC Avant Garde" w:hAnsi="ITC Avant Garde"/>
          <w:color w:val="auto"/>
        </w:rPr>
        <w:t xml:space="preserve">Con respecto del comentario anterior, a efecto de que se manifieste el estricto cumplimiento con la regulación vigente en materia de manejo de tráfico público conmutado se </w:t>
      </w:r>
      <w:r w:rsidR="00BA56E3" w:rsidRPr="00EB0EE4">
        <w:rPr>
          <w:rFonts w:ascii="ITC Avant Garde" w:hAnsi="ITC Avant Garde"/>
          <w:color w:val="auto"/>
        </w:rPr>
        <w:t>modificó el convenio</w:t>
      </w:r>
      <w:r w:rsidR="008C58B9" w:rsidRPr="00EB0EE4">
        <w:rPr>
          <w:rFonts w:ascii="ITC Avant Garde" w:hAnsi="ITC Avant Garde"/>
          <w:color w:val="auto"/>
        </w:rPr>
        <w:t xml:space="preserve"> en los siguientes términos:</w:t>
      </w:r>
    </w:p>
    <w:p w14:paraId="16F1BDF6" w14:textId="77777777" w:rsidR="003861D6" w:rsidRPr="00EB0EE4" w:rsidRDefault="003861D6" w:rsidP="007D5396">
      <w:pPr>
        <w:spacing w:after="0" w:line="276" w:lineRule="auto"/>
        <w:ind w:right="49" w:firstLine="0"/>
        <w:rPr>
          <w:rFonts w:ascii="ITC Avant Garde" w:hAnsi="ITC Avant Garde"/>
          <w:color w:val="auto"/>
        </w:rPr>
      </w:pPr>
    </w:p>
    <w:p w14:paraId="37EAC3CE" w14:textId="77777777" w:rsidR="00CD1A2B" w:rsidRPr="00EB0EE4" w:rsidRDefault="00CD1A2B" w:rsidP="007D5396">
      <w:pPr>
        <w:autoSpaceDE w:val="0"/>
        <w:autoSpaceDN w:val="0"/>
        <w:adjustRightInd w:val="0"/>
        <w:spacing w:line="276" w:lineRule="auto"/>
        <w:ind w:left="567" w:right="567" w:firstLine="0"/>
        <w:rPr>
          <w:rFonts w:ascii="ITC Avant Garde" w:hAnsi="ITC Avant Garde" w:cs="Arial"/>
          <w:i/>
          <w:color w:val="auto"/>
          <w:sz w:val="18"/>
          <w:szCs w:val="18"/>
        </w:rPr>
      </w:pPr>
      <w:r w:rsidRPr="00EB0EE4">
        <w:rPr>
          <w:rFonts w:ascii="ITC Avant Garde" w:hAnsi="ITC Avant Garde" w:cs="Arial"/>
          <w:i/>
          <w:color w:val="auto"/>
          <w:sz w:val="18"/>
          <w:szCs w:val="18"/>
        </w:rPr>
        <w:t>“(…) 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(ii) la manipulación bajo cualquier modalidad de la señalización establecida para cada tipo de llamada permitida bajo el presente Convenio y sus Anexos, y (iii) la entrega en la Red de alguna de las Partes de cualquier tipo de Tráfico Público Conmutado bajo el control de la otra Parte, diferente al permitido bajo la legislación o reglamentación aplicable.”</w:t>
      </w:r>
    </w:p>
    <w:p w14:paraId="282F4159" w14:textId="77777777" w:rsidR="00CD1A2B" w:rsidRPr="00EB0EE4" w:rsidRDefault="00CD1A2B" w:rsidP="007D5396">
      <w:pPr>
        <w:spacing w:after="0" w:line="276" w:lineRule="auto"/>
        <w:ind w:right="49" w:firstLine="0"/>
        <w:rPr>
          <w:rFonts w:ascii="ITC Avant Garde" w:hAnsi="ITC Avant Garde"/>
          <w:color w:val="auto"/>
        </w:rPr>
      </w:pPr>
    </w:p>
    <w:p w14:paraId="1D599DF5" w14:textId="77777777" w:rsidR="001144FF" w:rsidRPr="00EB0EE4" w:rsidRDefault="003861D6" w:rsidP="007D5396">
      <w:pPr>
        <w:spacing w:after="0" w:line="276" w:lineRule="auto"/>
        <w:ind w:right="49" w:firstLine="0"/>
        <w:rPr>
          <w:rFonts w:ascii="ITC Avant Garde" w:hAnsi="ITC Avant Garde"/>
          <w:color w:val="auto"/>
        </w:rPr>
      </w:pPr>
      <w:r w:rsidRPr="00EB0EE4">
        <w:rPr>
          <w:rFonts w:ascii="ITC Avant Garde" w:hAnsi="ITC Avant Garde"/>
          <w:color w:val="auto"/>
        </w:rPr>
        <w:t>Por lo que hace al segundo párrafo,</w:t>
      </w:r>
      <w:r w:rsidR="001144FF" w:rsidRPr="00EB0EE4">
        <w:rPr>
          <w:rFonts w:ascii="ITC Avant Garde" w:hAnsi="ITC Avant Garde"/>
          <w:color w:val="auto"/>
        </w:rPr>
        <w:t xml:space="preserve"> la Cláusula en comento señala lo siguiente:</w:t>
      </w:r>
    </w:p>
    <w:p w14:paraId="2C0DC516" w14:textId="77777777" w:rsidR="001144FF" w:rsidRPr="00EB0EE4" w:rsidRDefault="001144FF" w:rsidP="007D5396">
      <w:pPr>
        <w:spacing w:after="0" w:line="276" w:lineRule="auto"/>
        <w:ind w:right="49" w:firstLine="0"/>
        <w:rPr>
          <w:rFonts w:ascii="ITC Avant Garde" w:hAnsi="ITC Avant Garde"/>
          <w:color w:val="auto"/>
        </w:rPr>
      </w:pPr>
    </w:p>
    <w:p w14:paraId="4E0D177B" w14:textId="6AC779FA" w:rsidR="003E1D46" w:rsidRPr="00EB0EE4" w:rsidRDefault="003E1D46" w:rsidP="007D5396">
      <w:pPr>
        <w:spacing w:after="0" w:line="276" w:lineRule="auto"/>
        <w:ind w:left="567" w:right="616" w:firstLine="0"/>
        <w:rPr>
          <w:rFonts w:ascii="ITC Avant Garde" w:hAnsi="ITC Avant Garde"/>
          <w:i/>
          <w:color w:val="auto"/>
          <w:sz w:val="18"/>
        </w:rPr>
      </w:pPr>
      <w:r w:rsidRPr="00EB0EE4">
        <w:rPr>
          <w:rFonts w:ascii="ITC Avant Garde" w:hAnsi="ITC Avant Garde"/>
          <w:i/>
          <w:color w:val="auto"/>
          <w:sz w:val="18"/>
        </w:rPr>
        <w:t>“</w:t>
      </w:r>
      <w:r w:rsidR="001144FF" w:rsidRPr="00EB0EE4">
        <w:rPr>
          <w:rFonts w:ascii="ITC Avant Garde" w:hAnsi="ITC Avant Garde"/>
          <w:i/>
          <w:color w:val="auto"/>
          <w:sz w:val="18"/>
        </w:rPr>
        <w:t xml:space="preserve">En caso de que alguna de las Partes detecte que un tercero se encuentra haciendo uso fraudulento de sus Redes Públicas </w:t>
      </w:r>
      <w:r w:rsidRPr="00EB0EE4">
        <w:rPr>
          <w:rFonts w:ascii="ITC Avant Garde" w:hAnsi="ITC Avant Garde"/>
          <w:i/>
          <w:color w:val="auto"/>
          <w:sz w:val="18"/>
        </w:rPr>
        <w:t>de Telecomunicaciones, l</w:t>
      </w:r>
      <w:r w:rsidR="001144FF" w:rsidRPr="00EB0EE4">
        <w:rPr>
          <w:rFonts w:ascii="ITC Avant Garde" w:hAnsi="ITC Avant Garde"/>
          <w:i/>
          <w:color w:val="auto"/>
          <w:sz w:val="18"/>
        </w:rPr>
        <w:t xml:space="preserve">a Parte que lo haya detectado se obliga a dar un aviso a la otra en un plazo no mayor a </w:t>
      </w:r>
      <w:r w:rsidRPr="00EB0EE4">
        <w:rPr>
          <w:rFonts w:ascii="ITC Avant Garde" w:hAnsi="ITC Avant Garde"/>
          <w:i/>
          <w:color w:val="auto"/>
          <w:sz w:val="18"/>
        </w:rPr>
        <w:t>5</w:t>
      </w:r>
      <w:r w:rsidR="001144FF" w:rsidRPr="00EB0EE4">
        <w:rPr>
          <w:rFonts w:ascii="ITC Avant Garde" w:hAnsi="ITC Avant Garde"/>
          <w:i/>
          <w:color w:val="auto"/>
          <w:sz w:val="18"/>
        </w:rPr>
        <w:t xml:space="preserve"> (cinco) días naturales a partir de la fecha en la que se tenga la sospecha de </w:t>
      </w:r>
      <w:r w:rsidRPr="00EB0EE4">
        <w:rPr>
          <w:rFonts w:ascii="ITC Avant Garde" w:hAnsi="ITC Avant Garde"/>
          <w:i/>
          <w:color w:val="auto"/>
          <w:sz w:val="18"/>
        </w:rPr>
        <w:t>d</w:t>
      </w:r>
      <w:r w:rsidR="001144FF" w:rsidRPr="00EB0EE4">
        <w:rPr>
          <w:rFonts w:ascii="ITC Avant Garde" w:hAnsi="ITC Avant Garde"/>
          <w:i/>
          <w:color w:val="auto"/>
          <w:sz w:val="18"/>
        </w:rPr>
        <w:t>icha</w:t>
      </w:r>
      <w:r w:rsidRPr="00EB0EE4">
        <w:rPr>
          <w:rFonts w:ascii="ITC Avant Garde" w:hAnsi="ITC Avant Garde"/>
          <w:i/>
          <w:color w:val="auto"/>
          <w:sz w:val="18"/>
        </w:rPr>
        <w:t xml:space="preserve"> </w:t>
      </w:r>
      <w:r w:rsidR="001144FF" w:rsidRPr="00EB0EE4">
        <w:rPr>
          <w:rFonts w:ascii="ITC Avant Garde" w:hAnsi="ITC Avant Garde"/>
          <w:i/>
          <w:color w:val="auto"/>
          <w:sz w:val="18"/>
        </w:rPr>
        <w:t>conducta. En este caso, la Parte receptora del aviso tendrá un plazo de 60</w:t>
      </w:r>
      <w:r w:rsidRPr="00EB0EE4">
        <w:rPr>
          <w:rFonts w:ascii="ITC Avant Garde" w:hAnsi="ITC Avant Garde"/>
          <w:i/>
          <w:color w:val="auto"/>
          <w:sz w:val="18"/>
        </w:rPr>
        <w:t xml:space="preserve"> </w:t>
      </w:r>
      <w:r w:rsidR="001144FF" w:rsidRPr="00EB0EE4">
        <w:rPr>
          <w:rFonts w:ascii="ITC Avant Garde" w:hAnsi="ITC Avant Garde"/>
          <w:i/>
          <w:color w:val="auto"/>
          <w:sz w:val="18"/>
        </w:rPr>
        <w:t>(sesenta) días naturales para allegarse la información necesaria para identificar y</w:t>
      </w:r>
      <w:r w:rsidRPr="00EB0EE4">
        <w:rPr>
          <w:rFonts w:ascii="ITC Avant Garde" w:hAnsi="ITC Avant Garde"/>
          <w:i/>
          <w:color w:val="auto"/>
          <w:sz w:val="18"/>
        </w:rPr>
        <w:t xml:space="preserve"> </w:t>
      </w:r>
      <w:r w:rsidR="001144FF" w:rsidRPr="00EB0EE4">
        <w:rPr>
          <w:rFonts w:ascii="ITC Avant Garde" w:hAnsi="ITC Avant Garde"/>
          <w:i/>
          <w:color w:val="auto"/>
          <w:sz w:val="18"/>
        </w:rPr>
        <w:t>acreditar las conductas que originaron el aviso y para entregar esta información a</w:t>
      </w:r>
      <w:r w:rsidRPr="00EB0EE4">
        <w:rPr>
          <w:rFonts w:ascii="ITC Avant Garde" w:hAnsi="ITC Avant Garde"/>
          <w:i/>
          <w:color w:val="auto"/>
          <w:sz w:val="18"/>
        </w:rPr>
        <w:t xml:space="preserve"> la parte solicitante. Este supuesto aplicara tanto para el tráfico de la Parte como para el tráfico de un operador tercero que transporte por Enlaces Dedicados de Interconexión o Tránsito de alguna de las Partes.”</w:t>
      </w:r>
    </w:p>
    <w:p w14:paraId="38E85564" w14:textId="77777777" w:rsidR="003E1D46" w:rsidRPr="00EB0EE4" w:rsidRDefault="003E1D46" w:rsidP="007D5396">
      <w:pPr>
        <w:spacing w:after="0" w:line="276" w:lineRule="auto"/>
        <w:ind w:right="49" w:firstLine="0"/>
        <w:rPr>
          <w:rFonts w:ascii="ITC Avant Garde" w:hAnsi="ITC Avant Garde"/>
          <w:color w:val="auto"/>
        </w:rPr>
      </w:pPr>
    </w:p>
    <w:p w14:paraId="593DAA1C" w14:textId="70065368" w:rsidR="003861D6" w:rsidRPr="00EB0EE4" w:rsidRDefault="003E1D46" w:rsidP="007D5396">
      <w:pPr>
        <w:spacing w:after="0" w:line="276" w:lineRule="auto"/>
        <w:ind w:right="49" w:firstLine="0"/>
        <w:rPr>
          <w:rFonts w:ascii="ITC Avant Garde" w:hAnsi="ITC Avant Garde"/>
          <w:color w:val="auto"/>
        </w:rPr>
      </w:pPr>
      <w:r w:rsidRPr="00EB0EE4">
        <w:rPr>
          <w:rFonts w:ascii="ITC Avant Garde" w:hAnsi="ITC Avant Garde"/>
          <w:color w:val="auto"/>
        </w:rPr>
        <w:t xml:space="preserve">En virtud de lo anterior, </w:t>
      </w:r>
      <w:r w:rsidR="000D5105" w:rsidRPr="00EB0EE4">
        <w:rPr>
          <w:rFonts w:ascii="ITC Avant Garde" w:hAnsi="ITC Avant Garde"/>
          <w:color w:val="auto"/>
        </w:rPr>
        <w:t xml:space="preserve">este Instituto considera que </w:t>
      </w:r>
      <w:r w:rsidRPr="00EB0EE4">
        <w:rPr>
          <w:rFonts w:ascii="ITC Avant Garde" w:hAnsi="ITC Avant Garde"/>
          <w:color w:val="auto"/>
        </w:rPr>
        <w:t>lo solicitado por Telefónica</w:t>
      </w:r>
      <w:r w:rsidR="00D647AC" w:rsidRPr="00EB0EE4">
        <w:rPr>
          <w:rFonts w:ascii="ITC Avant Garde" w:hAnsi="ITC Avant Garde"/>
          <w:color w:val="auto"/>
        </w:rPr>
        <w:t xml:space="preserve"> </w:t>
      </w:r>
      <w:r w:rsidR="00AF7983" w:rsidRPr="00EB0EE4">
        <w:rPr>
          <w:rFonts w:ascii="ITC Avant Garde" w:hAnsi="ITC Avant Garde"/>
          <w:color w:val="auto"/>
        </w:rPr>
        <w:t xml:space="preserve">y CANIETI </w:t>
      </w:r>
      <w:r w:rsidR="00D647AC" w:rsidRPr="00EB0EE4">
        <w:rPr>
          <w:rFonts w:ascii="ITC Avant Garde" w:hAnsi="ITC Avant Garde"/>
          <w:color w:val="auto"/>
        </w:rPr>
        <w:t>respecto a evitar escenarios fraudulentos respecto al manejo del tráfico que es intercambiado entre las redes,</w:t>
      </w:r>
      <w:r w:rsidRPr="00EB0EE4">
        <w:rPr>
          <w:rFonts w:ascii="ITC Avant Garde" w:hAnsi="ITC Avant Garde"/>
          <w:color w:val="auto"/>
        </w:rPr>
        <w:t xml:space="preserve"> ya se encuentra contemplado</w:t>
      </w:r>
      <w:r w:rsidR="00D647AC" w:rsidRPr="00EB0EE4">
        <w:rPr>
          <w:rFonts w:ascii="ITC Avant Garde" w:hAnsi="ITC Avant Garde"/>
          <w:color w:val="auto"/>
        </w:rPr>
        <w:t xml:space="preserve"> en el párrafo señalado de esta cláusula</w:t>
      </w:r>
      <w:r w:rsidRPr="00EB0EE4">
        <w:rPr>
          <w:rFonts w:ascii="ITC Avant Garde" w:hAnsi="ITC Avant Garde"/>
          <w:color w:val="auto"/>
        </w:rPr>
        <w:t xml:space="preserve">. </w:t>
      </w:r>
    </w:p>
    <w:p w14:paraId="48484C97" w14:textId="62F7025B" w:rsidR="00995DC5" w:rsidRDefault="00995DC5" w:rsidP="007D5396">
      <w:pPr>
        <w:spacing w:after="0" w:line="276" w:lineRule="auto"/>
        <w:ind w:right="49" w:firstLine="0"/>
        <w:rPr>
          <w:rFonts w:ascii="ITC Avant Garde" w:hAnsi="ITC Avant Garde"/>
          <w:i/>
          <w:color w:val="auto"/>
        </w:rPr>
      </w:pPr>
    </w:p>
    <w:p w14:paraId="19E05749" w14:textId="79FAC468" w:rsidR="00E62CB9" w:rsidRPr="00E62CB9" w:rsidRDefault="002959C1" w:rsidP="007D5396">
      <w:pPr>
        <w:spacing w:after="0" w:line="276" w:lineRule="auto"/>
        <w:ind w:right="49"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DECIMOSEGUNDA </w:t>
      </w:r>
    </w:p>
    <w:p w14:paraId="534AEB1E" w14:textId="77777777" w:rsidR="002959C1" w:rsidRDefault="002959C1" w:rsidP="007D5396">
      <w:pPr>
        <w:spacing w:line="276" w:lineRule="auto"/>
        <w:ind w:firstLine="0"/>
        <w:rPr>
          <w:rFonts w:ascii="ITC Avant Garde" w:hAnsi="ITC Avant Garde"/>
          <w:b/>
          <w:color w:val="auto"/>
        </w:rPr>
      </w:pPr>
    </w:p>
    <w:p w14:paraId="202C8513" w14:textId="7D58D0B0" w:rsidR="009D38AE" w:rsidRPr="00B56D15" w:rsidRDefault="009D38AE"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66F9E398" w14:textId="77777777" w:rsidR="009D38AE" w:rsidRPr="00B56D15" w:rsidRDefault="009D38AE" w:rsidP="007D5396">
      <w:pPr>
        <w:spacing w:line="276" w:lineRule="auto"/>
        <w:ind w:firstLine="0"/>
        <w:rPr>
          <w:rFonts w:ascii="ITC Avant Garde" w:hAnsi="ITC Avant Garde"/>
          <w:color w:val="auto"/>
        </w:rPr>
      </w:pPr>
    </w:p>
    <w:p w14:paraId="22B35754" w14:textId="3B0183B0" w:rsidR="009D38AE" w:rsidRDefault="00E62CB9" w:rsidP="007D5396">
      <w:pPr>
        <w:spacing w:line="276" w:lineRule="auto"/>
        <w:ind w:firstLine="0"/>
        <w:rPr>
          <w:rFonts w:ascii="ITC Avant Garde" w:hAnsi="ITC Avant Garde"/>
          <w:i/>
          <w:color w:val="auto"/>
        </w:rPr>
      </w:pPr>
      <w:r>
        <w:rPr>
          <w:rFonts w:ascii="ITC Avant Garde" w:hAnsi="ITC Avant Garde"/>
          <w:i/>
          <w:color w:val="auto"/>
        </w:rPr>
        <w:t>En el numeral 12.1, m</w:t>
      </w:r>
      <w:r w:rsidR="009D38AE" w:rsidRPr="00B56D15">
        <w:rPr>
          <w:rFonts w:ascii="ITC Avant Garde" w:hAnsi="ITC Avant Garde"/>
          <w:i/>
          <w:color w:val="auto"/>
        </w:rPr>
        <w:t>odificar el convenio asentando que la aplicación del trato no discriminatorio es obligatoria, sin</w:t>
      </w:r>
      <w:r>
        <w:rPr>
          <w:rFonts w:ascii="ITC Avant Garde" w:hAnsi="ITC Avant Garde"/>
          <w:i/>
          <w:color w:val="auto"/>
        </w:rPr>
        <w:t xml:space="preserve"> prejuicio de su formalización.</w:t>
      </w:r>
    </w:p>
    <w:p w14:paraId="44D468B1" w14:textId="77777777" w:rsidR="00B12C3E" w:rsidRDefault="00B12C3E" w:rsidP="007D5396">
      <w:pPr>
        <w:spacing w:line="276" w:lineRule="auto"/>
        <w:ind w:firstLine="0"/>
        <w:rPr>
          <w:rFonts w:ascii="ITC Avant Garde" w:hAnsi="ITC Avant Garde"/>
          <w:i/>
          <w:color w:val="auto"/>
        </w:rPr>
      </w:pPr>
    </w:p>
    <w:p w14:paraId="7E0E0B2C" w14:textId="0A4BA059" w:rsidR="00E0750E" w:rsidRPr="00B56D15" w:rsidRDefault="00431032" w:rsidP="007D5396">
      <w:pPr>
        <w:spacing w:after="0" w:line="276" w:lineRule="auto"/>
        <w:ind w:left="-5" w:right="49" w:firstLine="0"/>
        <w:rPr>
          <w:rFonts w:ascii="ITC Avant Garde" w:hAnsi="ITC Avant Garde"/>
          <w:b/>
          <w:color w:val="auto"/>
        </w:rPr>
      </w:pPr>
      <w:r>
        <w:rPr>
          <w:rFonts w:ascii="ITC Avant Garde" w:hAnsi="ITC Avant Garde"/>
          <w:b/>
          <w:color w:val="auto"/>
        </w:rPr>
        <w:t>Telefónica,</w:t>
      </w:r>
      <w:r w:rsidR="00E0750E" w:rsidRPr="00B56D15">
        <w:rPr>
          <w:rFonts w:ascii="ITC Avant Garde" w:hAnsi="ITC Avant Garde"/>
          <w:b/>
          <w:color w:val="auto"/>
        </w:rPr>
        <w:t xml:space="preserve"> CANIETI</w:t>
      </w:r>
      <w:r>
        <w:rPr>
          <w:rFonts w:ascii="ITC Avant Garde" w:hAnsi="ITC Avant Garde"/>
          <w:b/>
          <w:color w:val="auto"/>
        </w:rPr>
        <w:t xml:space="preserve"> y MCM</w:t>
      </w:r>
      <w:r w:rsidR="00E0750E" w:rsidRPr="00B56D15">
        <w:rPr>
          <w:rFonts w:ascii="ITC Avant Garde" w:hAnsi="ITC Avant Garde"/>
          <w:b/>
          <w:color w:val="auto"/>
        </w:rPr>
        <w:t>:</w:t>
      </w:r>
    </w:p>
    <w:p w14:paraId="7BCF8474" w14:textId="77777777" w:rsidR="00E0750E" w:rsidRPr="00B56D15" w:rsidRDefault="00E0750E" w:rsidP="007D5396">
      <w:pPr>
        <w:spacing w:line="276" w:lineRule="auto"/>
        <w:ind w:firstLine="0"/>
        <w:rPr>
          <w:rFonts w:ascii="ITC Avant Garde" w:hAnsi="ITC Avant Garde"/>
          <w:color w:val="auto"/>
        </w:rPr>
      </w:pPr>
    </w:p>
    <w:p w14:paraId="63193E84" w14:textId="1B1B89AA" w:rsidR="00E0750E" w:rsidRDefault="00E62CB9" w:rsidP="007D5396">
      <w:pPr>
        <w:spacing w:line="276" w:lineRule="auto"/>
        <w:ind w:firstLine="0"/>
        <w:rPr>
          <w:rFonts w:ascii="ITC Avant Garde" w:hAnsi="ITC Avant Garde"/>
          <w:i/>
          <w:color w:val="auto"/>
        </w:rPr>
      </w:pPr>
      <w:r>
        <w:rPr>
          <w:rFonts w:ascii="ITC Avant Garde" w:hAnsi="ITC Avant Garde"/>
          <w:i/>
          <w:color w:val="auto"/>
        </w:rPr>
        <w:t>En la Cláusula Decimosegunda, s</w:t>
      </w:r>
      <w:r w:rsidR="00E0750E" w:rsidRPr="00B56D15">
        <w:rPr>
          <w:rFonts w:ascii="ITC Avant Garde" w:hAnsi="ITC Avant Garde"/>
          <w:i/>
          <w:color w:val="auto"/>
        </w:rPr>
        <w:t xml:space="preserve">e sugiere sean 30 días naturales no así, 10 días hábiles la firma del convenio o modificatorio. Y debiera incluirse: “a petición de la </w:t>
      </w:r>
      <w:r w:rsidR="00E0750E" w:rsidRPr="00B56D15">
        <w:rPr>
          <w:rFonts w:ascii="ITC Avant Garde" w:hAnsi="ITC Avant Garde"/>
          <w:i/>
          <w:color w:val="auto"/>
        </w:rPr>
        <w:lastRenderedPageBreak/>
        <w:t>otra parte podrán celebrar el convenio o la modificación correspondiente”; por lo que no debe de entenderse que es una obligación para que se otorgue el trato no discriminatorio so</w:t>
      </w:r>
      <w:r w:rsidR="00D9547F">
        <w:rPr>
          <w:rFonts w:ascii="ITC Avant Garde" w:hAnsi="ITC Avant Garde"/>
          <w:i/>
          <w:color w:val="auto"/>
        </w:rPr>
        <w:t>licitado.</w:t>
      </w:r>
    </w:p>
    <w:p w14:paraId="48EDF22D" w14:textId="77777777" w:rsidR="007418D6" w:rsidRPr="00EB0EE4" w:rsidRDefault="007418D6" w:rsidP="00865999">
      <w:pPr>
        <w:spacing w:line="276" w:lineRule="auto"/>
        <w:ind w:left="0" w:firstLine="0"/>
        <w:rPr>
          <w:rFonts w:ascii="ITC Avant Garde" w:hAnsi="ITC Avant Garde"/>
          <w:color w:val="auto"/>
        </w:rPr>
      </w:pPr>
    </w:p>
    <w:p w14:paraId="2F6B0459" w14:textId="4DDD610C" w:rsidR="00284828" w:rsidRPr="00EB0EE4" w:rsidRDefault="00865999" w:rsidP="007D5396">
      <w:pPr>
        <w:spacing w:line="276" w:lineRule="auto"/>
        <w:ind w:firstLine="0"/>
        <w:rPr>
          <w:rFonts w:ascii="ITC Avant Garde" w:hAnsi="ITC Avant Garde"/>
          <w:color w:val="auto"/>
        </w:rPr>
      </w:pPr>
      <w:r w:rsidRPr="00EB0EE4">
        <w:rPr>
          <w:rFonts w:ascii="ITC Avant Garde" w:hAnsi="ITC Avant Garde" w:cs="Arial"/>
          <w:color w:val="auto"/>
        </w:rPr>
        <w:t>Al respecto</w:t>
      </w:r>
      <w:r w:rsidR="000A18EA" w:rsidRPr="00EB0EE4">
        <w:rPr>
          <w:rFonts w:ascii="ITC Avant Garde" w:hAnsi="ITC Avant Garde" w:cs="Arial"/>
          <w:color w:val="auto"/>
        </w:rPr>
        <w:t>,</w:t>
      </w:r>
      <w:r w:rsidR="00284828" w:rsidRPr="00EB0EE4">
        <w:rPr>
          <w:rFonts w:ascii="ITC Avant Garde" w:hAnsi="ITC Avant Garde" w:cs="Arial"/>
          <w:color w:val="auto"/>
        </w:rPr>
        <w:t xml:space="preserve"> se determinó que</w:t>
      </w:r>
      <w:r w:rsidR="00284828" w:rsidRPr="00EB0EE4">
        <w:rPr>
          <w:color w:val="auto"/>
        </w:rPr>
        <w:t xml:space="preserve"> </w:t>
      </w:r>
      <w:r w:rsidR="00284828" w:rsidRPr="00EB0EE4">
        <w:rPr>
          <w:rFonts w:ascii="ITC Avant Garde" w:hAnsi="ITC Avant Garde" w:cs="Arial"/>
          <w:color w:val="auto"/>
        </w:rPr>
        <w:t>con el fin de proporcionar un plazo de tiempo razonable para la celebración del convenio o modificación que incluyera las nuevas condiciones que alguna de las partes solicitara a la otra con motivo de que dichos términos y condiciones los haya otorgado a otro concesionario, el plazo propuesto se modificara a 20 (veinte) días hábiles.</w:t>
      </w:r>
    </w:p>
    <w:p w14:paraId="37929257" w14:textId="77777777" w:rsidR="00284828" w:rsidRPr="00EB0EE4" w:rsidRDefault="00284828" w:rsidP="007D5396">
      <w:pPr>
        <w:spacing w:line="276" w:lineRule="auto"/>
        <w:ind w:firstLine="0"/>
        <w:rPr>
          <w:rFonts w:ascii="ITC Avant Garde" w:hAnsi="ITC Avant Garde"/>
          <w:color w:val="auto"/>
        </w:rPr>
      </w:pPr>
    </w:p>
    <w:p w14:paraId="6B7077EB" w14:textId="2F6C29AC" w:rsidR="007418D6" w:rsidRPr="00EB0EE4" w:rsidRDefault="007418D6" w:rsidP="007D5396">
      <w:pPr>
        <w:spacing w:line="276" w:lineRule="auto"/>
        <w:ind w:firstLine="0"/>
        <w:rPr>
          <w:rFonts w:ascii="ITC Avant Garde" w:hAnsi="ITC Avant Garde"/>
          <w:color w:val="auto"/>
        </w:rPr>
      </w:pPr>
      <w:r w:rsidRPr="00EB0EE4">
        <w:rPr>
          <w:rFonts w:ascii="ITC Avant Garde" w:hAnsi="ITC Avant Garde"/>
          <w:color w:val="auto"/>
        </w:rPr>
        <w:t xml:space="preserve">En este tenor </w:t>
      </w:r>
      <w:r w:rsidR="00BA56E3" w:rsidRPr="00EB0EE4">
        <w:rPr>
          <w:rFonts w:ascii="ITC Avant Garde" w:hAnsi="ITC Avant Garde"/>
          <w:color w:val="auto"/>
        </w:rPr>
        <w:t xml:space="preserve">se modificó </w:t>
      </w:r>
      <w:r w:rsidRPr="00EB0EE4">
        <w:rPr>
          <w:rFonts w:ascii="ITC Avant Garde" w:hAnsi="ITC Avant Garde"/>
          <w:color w:val="auto"/>
        </w:rPr>
        <w:t>el numeral en los siguientes términos:</w:t>
      </w:r>
    </w:p>
    <w:p w14:paraId="435C87D7" w14:textId="77777777" w:rsidR="00771EC4" w:rsidRPr="00EB0EE4" w:rsidRDefault="00771EC4" w:rsidP="007D5396">
      <w:pPr>
        <w:spacing w:line="276" w:lineRule="auto"/>
        <w:ind w:firstLine="0"/>
        <w:rPr>
          <w:rFonts w:ascii="ITC Avant Garde" w:hAnsi="ITC Avant Garde"/>
          <w:color w:val="auto"/>
        </w:rPr>
      </w:pPr>
    </w:p>
    <w:p w14:paraId="6DD814B4" w14:textId="77777777" w:rsidR="00284828" w:rsidRPr="00EB0EE4" w:rsidRDefault="00771EC4" w:rsidP="007D5396">
      <w:pPr>
        <w:autoSpaceDE w:val="0"/>
        <w:autoSpaceDN w:val="0"/>
        <w:adjustRightInd w:val="0"/>
        <w:spacing w:after="0" w:line="276" w:lineRule="auto"/>
        <w:ind w:left="567" w:right="567" w:firstLine="0"/>
        <w:rPr>
          <w:rFonts w:ascii="ITC Avant Garde" w:hAnsi="ITC Avant Garde" w:cs="Arial"/>
          <w:i/>
          <w:color w:val="auto"/>
          <w:sz w:val="18"/>
          <w:szCs w:val="18"/>
        </w:rPr>
      </w:pPr>
      <w:r w:rsidRPr="00EB0EE4">
        <w:rPr>
          <w:rFonts w:ascii="ITC Avant Garde" w:hAnsi="ITC Avant Garde" w:cs="Arial"/>
          <w:i/>
          <w:color w:val="auto"/>
          <w:sz w:val="18"/>
          <w:szCs w:val="18"/>
        </w:rPr>
        <w:t>“</w:t>
      </w:r>
      <w:r w:rsidRPr="00EB0EE4">
        <w:rPr>
          <w:rFonts w:ascii="ITC Avant Garde" w:hAnsi="ITC Avant Garde" w:cs="Arial"/>
          <w:b/>
          <w:i/>
          <w:color w:val="auto"/>
          <w:sz w:val="18"/>
          <w:szCs w:val="18"/>
          <w:u w:val="single"/>
        </w:rPr>
        <w:t>12.1. TRATO NO DISCRIMINATORIO</w:t>
      </w:r>
      <w:r w:rsidRPr="00EB0EE4">
        <w:rPr>
          <w:rFonts w:ascii="ITC Avant Garde" w:hAnsi="ITC Avant Garde" w:cs="Arial"/>
          <w:i/>
          <w:color w:val="auto"/>
          <w:sz w:val="18"/>
          <w:szCs w:val="18"/>
        </w:rPr>
        <w:t xml:space="preserve">. </w:t>
      </w:r>
      <w:r w:rsidR="00284828" w:rsidRPr="00EB0EE4">
        <w:rPr>
          <w:rFonts w:ascii="ITC Avant Garde" w:hAnsi="ITC Avant Garde" w:cs="Arial"/>
          <w:i/>
          <w:color w:val="auto"/>
          <w:sz w:val="18"/>
          <w:szCs w:val="18"/>
        </w:rPr>
        <w:t>Telmex y el CS convienen en que deberán actuar sobre bases de Trato No Discriminatorio respecto de los servicios de interconexión que provean a otros concesionarios.</w:t>
      </w:r>
    </w:p>
    <w:p w14:paraId="159F3966" w14:textId="77777777" w:rsidR="00284828" w:rsidRPr="00EB0EE4" w:rsidRDefault="00284828" w:rsidP="007D5396">
      <w:pPr>
        <w:autoSpaceDE w:val="0"/>
        <w:autoSpaceDN w:val="0"/>
        <w:adjustRightInd w:val="0"/>
        <w:spacing w:after="0" w:line="276" w:lineRule="auto"/>
        <w:ind w:left="567" w:right="567" w:firstLine="0"/>
        <w:rPr>
          <w:rFonts w:ascii="ITC Avant Garde" w:hAnsi="ITC Avant Garde" w:cs="Arial"/>
          <w:i/>
          <w:color w:val="auto"/>
          <w:sz w:val="18"/>
          <w:szCs w:val="18"/>
        </w:rPr>
      </w:pPr>
    </w:p>
    <w:p w14:paraId="6D683F1C" w14:textId="3488BDF4" w:rsidR="00771EC4" w:rsidRPr="00EB0EE4" w:rsidRDefault="00284828" w:rsidP="007D5396">
      <w:pPr>
        <w:autoSpaceDE w:val="0"/>
        <w:autoSpaceDN w:val="0"/>
        <w:adjustRightInd w:val="0"/>
        <w:spacing w:after="0" w:line="276" w:lineRule="auto"/>
        <w:ind w:left="567" w:right="567" w:firstLine="0"/>
        <w:rPr>
          <w:rFonts w:ascii="ITC Avant Garde" w:hAnsi="ITC Avant Garde" w:cs="Arial"/>
          <w:i/>
          <w:color w:val="auto"/>
          <w:sz w:val="18"/>
          <w:szCs w:val="18"/>
        </w:rPr>
      </w:pPr>
      <w:r w:rsidRPr="00EB0EE4">
        <w:rPr>
          <w:rFonts w:ascii="ITC Avant Garde" w:hAnsi="ITC Avant Garde" w:cs="Arial"/>
          <w:i/>
          <w:color w:val="auto"/>
          <w:sz w:val="18"/>
          <w:szCs w:val="18"/>
        </w:rPr>
        <w:t xml:space="preserve">En caso de que Telmex haya otorgado u otorgue, ya sea por acuerdo o por resolución del Instituto, términos y condiciones distintos a otros CS, a sus propias operaciones, subsidiarias, filiales o empresas que pertenezcan al mismo grupo de interés económico respecto de servicios de interconexión, deberá hacer extensivos los mismos términos y condiciones al CS a partir de la fecha en que se lo soliciten. A petición del CS, podrán celebrar el convenio o la modificación correspondiente, </w:t>
      </w:r>
      <w:r w:rsidRPr="00EB0EE4">
        <w:rPr>
          <w:rFonts w:ascii="ITC Avant Garde" w:hAnsi="ITC Avant Garde" w:cs="Arial"/>
          <w:i/>
          <w:color w:val="auto"/>
          <w:sz w:val="18"/>
          <w:szCs w:val="18"/>
          <w:u w:val="single"/>
        </w:rPr>
        <w:t>en un plazo no mayor a 20 (veinte)</w:t>
      </w:r>
      <w:r w:rsidRPr="00EB0EE4">
        <w:rPr>
          <w:rFonts w:ascii="ITC Avant Garde" w:hAnsi="ITC Avant Garde" w:cs="Arial"/>
          <w:i/>
          <w:color w:val="auto"/>
          <w:sz w:val="18"/>
          <w:szCs w:val="18"/>
        </w:rPr>
        <w:t xml:space="preserve"> días hábiles contados a partir de la fecha de solicitud.”</w:t>
      </w:r>
    </w:p>
    <w:p w14:paraId="4FD4087D" w14:textId="534A0C75" w:rsidR="00771EC4" w:rsidRPr="002E0CB1" w:rsidRDefault="00771EC4" w:rsidP="007D5396">
      <w:pPr>
        <w:spacing w:line="276" w:lineRule="auto"/>
        <w:ind w:right="616" w:firstLine="0"/>
        <w:jc w:val="right"/>
        <w:rPr>
          <w:rFonts w:ascii="ITC Avant Garde" w:hAnsi="ITC Avant Garde"/>
          <w:color w:val="auto"/>
        </w:rPr>
      </w:pPr>
      <w:r w:rsidRPr="002E0CB1">
        <w:rPr>
          <w:rFonts w:ascii="ITC Avant Garde" w:hAnsi="ITC Avant Garde"/>
          <w:i/>
          <w:color w:val="auto"/>
          <w:sz w:val="18"/>
          <w:szCs w:val="18"/>
        </w:rPr>
        <w:t>(Énfasis añadido)</w:t>
      </w:r>
    </w:p>
    <w:p w14:paraId="0486AE34" w14:textId="77777777" w:rsidR="00A745BA" w:rsidRDefault="00A745BA" w:rsidP="007D5396">
      <w:pPr>
        <w:spacing w:line="276" w:lineRule="auto"/>
        <w:ind w:firstLine="0"/>
        <w:rPr>
          <w:rFonts w:ascii="ITC Avant Garde" w:hAnsi="ITC Avant Garde"/>
          <w:color w:val="538135" w:themeColor="accent6" w:themeShade="BF"/>
        </w:rPr>
      </w:pPr>
    </w:p>
    <w:p w14:paraId="7C2ACF69" w14:textId="244DBA54" w:rsidR="002959C1" w:rsidRPr="00E62CB9" w:rsidRDefault="002959C1" w:rsidP="007D5396">
      <w:pPr>
        <w:spacing w:after="0" w:line="276" w:lineRule="auto"/>
        <w:ind w:right="49"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DECIMOTERCERA </w:t>
      </w:r>
    </w:p>
    <w:p w14:paraId="5D6D2D6F" w14:textId="77777777" w:rsidR="00A745BA" w:rsidRDefault="00A745BA" w:rsidP="007D5396">
      <w:pPr>
        <w:spacing w:after="0" w:line="276" w:lineRule="auto"/>
        <w:ind w:left="-5" w:right="49" w:firstLine="0"/>
        <w:rPr>
          <w:rFonts w:ascii="ITC Avant Garde" w:hAnsi="ITC Avant Garde"/>
          <w:b/>
          <w:color w:val="auto"/>
        </w:rPr>
      </w:pPr>
    </w:p>
    <w:p w14:paraId="7DA6970B" w14:textId="0A9A52F5" w:rsidR="00A745BA" w:rsidRPr="000C7CB5" w:rsidRDefault="00A745BA" w:rsidP="007D5396">
      <w:pPr>
        <w:spacing w:after="0" w:line="276" w:lineRule="auto"/>
        <w:ind w:left="-5" w:right="49" w:firstLine="0"/>
        <w:rPr>
          <w:rFonts w:ascii="ITC Avant Garde" w:hAnsi="ITC Avant Garde"/>
          <w:b/>
          <w:color w:val="auto"/>
        </w:rPr>
      </w:pPr>
      <w:r>
        <w:rPr>
          <w:rFonts w:ascii="ITC Avant Garde" w:hAnsi="ITC Avant Garde"/>
          <w:b/>
          <w:color w:val="auto"/>
        </w:rPr>
        <w:t>MCM</w:t>
      </w:r>
      <w:r w:rsidRPr="000C7CB5">
        <w:rPr>
          <w:rFonts w:ascii="ITC Avant Garde" w:hAnsi="ITC Avant Garde"/>
          <w:b/>
          <w:color w:val="auto"/>
        </w:rPr>
        <w:t>:</w:t>
      </w:r>
    </w:p>
    <w:p w14:paraId="7AFD714F" w14:textId="77777777" w:rsidR="00A745BA" w:rsidRPr="000C7CB5" w:rsidRDefault="00A745BA" w:rsidP="007D5396">
      <w:pPr>
        <w:spacing w:after="0" w:line="276" w:lineRule="auto"/>
        <w:ind w:left="-5" w:right="49" w:firstLine="0"/>
        <w:rPr>
          <w:rFonts w:ascii="ITC Avant Garde" w:hAnsi="ITC Avant Garde"/>
          <w:b/>
          <w:color w:val="auto"/>
        </w:rPr>
      </w:pPr>
    </w:p>
    <w:p w14:paraId="67F0EEB0" w14:textId="47C2DD42" w:rsidR="00A745BA" w:rsidRDefault="00E62CB9" w:rsidP="007D5396">
      <w:pPr>
        <w:spacing w:after="0" w:line="276" w:lineRule="auto"/>
        <w:ind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En el numeral 13.2, se</w:t>
      </w:r>
      <w:r w:rsidR="00A745BA" w:rsidRPr="00EA2936">
        <w:rPr>
          <w:rFonts w:ascii="ITC Avant Garde" w:eastAsia="Times New Roman" w:hAnsi="ITC Avant Garde" w:cs="Times New Roman"/>
          <w:i/>
          <w:color w:val="auto"/>
        </w:rPr>
        <w:t xml:space="preserve"> propone modificar la cláusula para que quede redactada en los siguientes términos:</w:t>
      </w:r>
    </w:p>
    <w:p w14:paraId="2101D40B" w14:textId="77777777" w:rsidR="00A745BA" w:rsidRPr="00EA2936" w:rsidRDefault="00A745BA" w:rsidP="007D5396">
      <w:pPr>
        <w:spacing w:after="0" w:line="276" w:lineRule="auto"/>
        <w:ind w:right="49" w:firstLine="0"/>
        <w:rPr>
          <w:rFonts w:ascii="ITC Avant Garde" w:eastAsia="Times New Roman" w:hAnsi="ITC Avant Garde" w:cs="Times New Roman"/>
          <w:i/>
          <w:color w:val="auto"/>
        </w:rPr>
      </w:pPr>
    </w:p>
    <w:p w14:paraId="5E30785F" w14:textId="68386D88" w:rsidR="00A745BA" w:rsidRPr="007D7A78" w:rsidRDefault="00A745BA" w:rsidP="007D7A78">
      <w:pPr>
        <w:spacing w:after="0" w:line="276" w:lineRule="auto"/>
        <w:ind w:left="567" w:right="616" w:firstLine="0"/>
        <w:rPr>
          <w:rFonts w:ascii="ITC Avant Garde" w:eastAsia="Times New Roman" w:hAnsi="ITC Avant Garde" w:cs="Times New Roman"/>
          <w:i/>
          <w:color w:val="auto"/>
          <w:sz w:val="18"/>
          <w:szCs w:val="18"/>
        </w:rPr>
      </w:pPr>
      <w:r w:rsidRPr="007D7A78">
        <w:rPr>
          <w:rFonts w:ascii="ITC Avant Garde" w:eastAsia="Times New Roman" w:hAnsi="ITC Avant Garde" w:cs="Times New Roman"/>
          <w:i/>
          <w:color w:val="auto"/>
          <w:sz w:val="18"/>
          <w:szCs w:val="18"/>
        </w:rPr>
        <w:t>13.2 Uso compartido de infraestructura. Las partes acuerdan que Telmex se encuentra obligado a permitir el Uso Compartido de Infraestructura para fines de interconexión, lo anterior incluye el uso de sus centrales telefónicas y todos los elementos que la comprenden para la realización de interconexiones cruzadas entre los concesionarios que lo soliciten.</w:t>
      </w:r>
    </w:p>
    <w:p w14:paraId="3B4C6C7C" w14:textId="77777777" w:rsidR="007418D6" w:rsidRDefault="007418D6" w:rsidP="007D5396">
      <w:pPr>
        <w:spacing w:line="276" w:lineRule="auto"/>
        <w:ind w:firstLine="0"/>
        <w:rPr>
          <w:rFonts w:ascii="ITC Avant Garde" w:hAnsi="ITC Avant Garde"/>
          <w:color w:val="538135" w:themeColor="accent6" w:themeShade="BF"/>
        </w:rPr>
      </w:pPr>
    </w:p>
    <w:p w14:paraId="1E57CE4B" w14:textId="4074F083" w:rsidR="00E0750E" w:rsidRPr="00B56D15" w:rsidRDefault="00E0750E"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 y CANIETI:</w:t>
      </w:r>
    </w:p>
    <w:p w14:paraId="5B7856BC" w14:textId="77777777" w:rsidR="00E0750E" w:rsidRPr="00B56D15" w:rsidRDefault="00E0750E" w:rsidP="007D5396">
      <w:pPr>
        <w:spacing w:line="276" w:lineRule="auto"/>
        <w:ind w:firstLine="0"/>
        <w:rPr>
          <w:rFonts w:ascii="ITC Avant Garde" w:hAnsi="ITC Avant Garde"/>
          <w:color w:val="auto"/>
        </w:rPr>
      </w:pPr>
    </w:p>
    <w:p w14:paraId="4408E917" w14:textId="63DAA6EB" w:rsidR="00E0750E" w:rsidRPr="00B56D15" w:rsidRDefault="000611EE" w:rsidP="007D5396">
      <w:pPr>
        <w:spacing w:line="276" w:lineRule="auto"/>
        <w:ind w:firstLine="0"/>
        <w:rPr>
          <w:rFonts w:ascii="ITC Avant Garde" w:hAnsi="ITC Avant Garde"/>
          <w:i/>
          <w:color w:val="auto"/>
        </w:rPr>
      </w:pPr>
      <w:r>
        <w:rPr>
          <w:rFonts w:ascii="ITC Avant Garde" w:eastAsia="Times New Roman" w:hAnsi="ITC Avant Garde" w:cs="Times New Roman"/>
          <w:i/>
          <w:color w:val="auto"/>
        </w:rPr>
        <w:t>En el numeral 13.2</w:t>
      </w:r>
      <w:r>
        <w:rPr>
          <w:rFonts w:ascii="ITC Avant Garde" w:hAnsi="ITC Avant Garde"/>
          <w:i/>
          <w:color w:val="auto"/>
        </w:rPr>
        <w:t>, se propone que</w:t>
      </w:r>
      <w:r w:rsidR="00E0750E" w:rsidRPr="00B56D15">
        <w:rPr>
          <w:rFonts w:ascii="ITC Avant Garde" w:hAnsi="ITC Avant Garde"/>
          <w:i/>
          <w:color w:val="auto"/>
        </w:rPr>
        <w:t xml:space="preserve"> quede redactada en los siguientes términos:</w:t>
      </w:r>
    </w:p>
    <w:p w14:paraId="24E2E548" w14:textId="77777777" w:rsidR="00E0750E" w:rsidRPr="00B56D15" w:rsidRDefault="00E0750E" w:rsidP="007D5396">
      <w:pPr>
        <w:spacing w:line="276" w:lineRule="auto"/>
        <w:ind w:firstLine="0"/>
        <w:rPr>
          <w:rFonts w:ascii="ITC Avant Garde" w:hAnsi="ITC Avant Garde"/>
          <w:i/>
          <w:color w:val="auto"/>
        </w:rPr>
      </w:pPr>
    </w:p>
    <w:p w14:paraId="2F82D166" w14:textId="33D138C4" w:rsidR="00E0750E" w:rsidRPr="007D7A78" w:rsidRDefault="00E0750E" w:rsidP="007D7A78">
      <w:pPr>
        <w:spacing w:after="0" w:line="276" w:lineRule="auto"/>
        <w:ind w:left="567" w:right="616" w:firstLine="0"/>
        <w:rPr>
          <w:rFonts w:ascii="ITC Avant Garde" w:eastAsia="Times New Roman" w:hAnsi="ITC Avant Garde" w:cs="Times New Roman"/>
          <w:i/>
          <w:color w:val="auto"/>
          <w:sz w:val="18"/>
          <w:szCs w:val="18"/>
        </w:rPr>
      </w:pPr>
      <w:r w:rsidRPr="007D7A78">
        <w:rPr>
          <w:rFonts w:ascii="ITC Avant Garde" w:eastAsia="Times New Roman" w:hAnsi="ITC Avant Garde" w:cs="Times New Roman"/>
          <w:i/>
          <w:color w:val="auto"/>
          <w:sz w:val="18"/>
          <w:szCs w:val="18"/>
        </w:rPr>
        <w:t>13.2 Uso compartido de infraestructura. Las partes acuerdan que Telmex se encuentra obligado a permitir el Uso Compartido de Infraestructu</w:t>
      </w:r>
      <w:r w:rsidR="000611EE" w:rsidRPr="007D7A78">
        <w:rPr>
          <w:rFonts w:ascii="ITC Avant Garde" w:eastAsia="Times New Roman" w:hAnsi="ITC Avant Garde" w:cs="Times New Roman"/>
          <w:i/>
          <w:color w:val="auto"/>
          <w:sz w:val="18"/>
          <w:szCs w:val="18"/>
        </w:rPr>
        <w:t>ra para fines de interconexión.</w:t>
      </w:r>
    </w:p>
    <w:p w14:paraId="5CB6D1B2" w14:textId="77777777" w:rsidR="007E155B" w:rsidRDefault="007E155B" w:rsidP="007D5396">
      <w:pPr>
        <w:spacing w:line="276" w:lineRule="auto"/>
        <w:ind w:firstLine="0"/>
        <w:rPr>
          <w:rFonts w:ascii="ITC Avant Garde" w:hAnsi="ITC Avant Garde"/>
          <w:i/>
          <w:color w:val="auto"/>
        </w:rPr>
      </w:pPr>
    </w:p>
    <w:p w14:paraId="4A901593" w14:textId="332224DB" w:rsidR="00A745BA" w:rsidRPr="00CE2EEE" w:rsidRDefault="00A745BA" w:rsidP="007D5396">
      <w:pPr>
        <w:spacing w:line="276" w:lineRule="auto"/>
        <w:ind w:firstLine="0"/>
        <w:rPr>
          <w:rFonts w:ascii="ITC Avant Garde" w:hAnsi="ITC Avant Garde"/>
          <w:color w:val="auto"/>
        </w:rPr>
      </w:pPr>
      <w:r w:rsidRPr="00CE2EEE">
        <w:rPr>
          <w:rFonts w:ascii="ITC Avant Garde" w:hAnsi="ITC Avant Garde"/>
          <w:color w:val="auto"/>
        </w:rPr>
        <w:lastRenderedPageBreak/>
        <w:t xml:space="preserve">Al respecto, </w:t>
      </w:r>
      <w:r w:rsidR="002E76F2" w:rsidRPr="00CE2EEE">
        <w:rPr>
          <w:rFonts w:ascii="ITC Avant Garde" w:hAnsi="ITC Avant Garde"/>
          <w:color w:val="auto"/>
        </w:rPr>
        <w:t xml:space="preserve">considerando que </w:t>
      </w:r>
      <w:r w:rsidR="002E76F2" w:rsidRPr="00CE2EEE">
        <w:rPr>
          <w:rFonts w:ascii="ITC Avant Garde" w:hAnsi="ITC Avant Garde" w:cs="Arial"/>
          <w:color w:val="auto"/>
        </w:rPr>
        <w:t xml:space="preserve">la obligación de compartición de infraestructura debe ser para cualquier servicio de interconexión de los señalados en el artículo 127 de la LFTyR y que sea técnicamente factible </w:t>
      </w:r>
      <w:r w:rsidR="00BA56E3" w:rsidRPr="00CE2EEE">
        <w:rPr>
          <w:rFonts w:ascii="ITC Avant Garde" w:hAnsi="ITC Avant Garde" w:cs="Arial"/>
          <w:color w:val="auto"/>
        </w:rPr>
        <w:t>se</w:t>
      </w:r>
      <w:r w:rsidR="002E76F2" w:rsidRPr="00CE2EEE">
        <w:rPr>
          <w:rFonts w:ascii="ITC Avant Garde" w:hAnsi="ITC Avant Garde" w:cs="Arial"/>
          <w:color w:val="auto"/>
        </w:rPr>
        <w:t xml:space="preserve"> modific</w:t>
      </w:r>
      <w:r w:rsidR="00BA56E3" w:rsidRPr="00CE2EEE">
        <w:rPr>
          <w:rFonts w:ascii="ITC Avant Garde" w:hAnsi="ITC Avant Garde" w:cs="Arial"/>
          <w:color w:val="auto"/>
        </w:rPr>
        <w:t>ó</w:t>
      </w:r>
      <w:r w:rsidR="002E76F2" w:rsidRPr="00CE2EEE">
        <w:rPr>
          <w:rFonts w:ascii="ITC Avant Garde" w:hAnsi="ITC Avant Garde" w:cs="Arial"/>
          <w:color w:val="auto"/>
        </w:rPr>
        <w:t xml:space="preserve"> la redacción señalando que </w:t>
      </w:r>
      <w:r w:rsidR="00BA56E3" w:rsidRPr="00CE2EEE">
        <w:rPr>
          <w:rFonts w:ascii="ITC Avant Garde" w:hAnsi="ITC Avant Garde" w:cs="Arial"/>
          <w:color w:val="auto"/>
        </w:rPr>
        <w:t xml:space="preserve">el AEP </w:t>
      </w:r>
      <w:r w:rsidR="002E76F2" w:rsidRPr="00CE2EEE">
        <w:rPr>
          <w:rFonts w:ascii="ITC Avant Garde" w:hAnsi="ITC Avant Garde" w:cs="Arial"/>
          <w:color w:val="auto"/>
        </w:rPr>
        <w:t xml:space="preserve">se encuentra obligado a permitir el Uso Compartido de Infraestructura para fines de interconexión </w:t>
      </w:r>
      <w:r w:rsidRPr="00CE2EEE">
        <w:rPr>
          <w:rFonts w:ascii="ITC Avant Garde" w:hAnsi="ITC Avant Garde"/>
          <w:color w:val="auto"/>
        </w:rPr>
        <w:t>en los siguientes términos:</w:t>
      </w:r>
    </w:p>
    <w:p w14:paraId="149892F4" w14:textId="77777777" w:rsidR="00A745BA" w:rsidRPr="00CE2EEE" w:rsidRDefault="00A745BA" w:rsidP="007D5396">
      <w:pPr>
        <w:spacing w:line="276" w:lineRule="auto"/>
        <w:ind w:firstLine="0"/>
        <w:rPr>
          <w:rFonts w:ascii="ITC Avant Garde" w:hAnsi="ITC Avant Garde"/>
          <w:color w:val="auto"/>
        </w:rPr>
      </w:pPr>
    </w:p>
    <w:p w14:paraId="3C4A595B" w14:textId="21425978" w:rsidR="00A745BA" w:rsidRPr="00CE2EEE" w:rsidRDefault="00A745BA" w:rsidP="007D5396">
      <w:pPr>
        <w:spacing w:line="276" w:lineRule="auto"/>
        <w:ind w:left="567" w:right="616" w:firstLine="0"/>
        <w:rPr>
          <w:rFonts w:ascii="ITC Avant Garde" w:hAnsi="ITC Avant Garde"/>
          <w:i/>
          <w:color w:val="auto"/>
          <w:sz w:val="18"/>
        </w:rPr>
      </w:pPr>
      <w:r w:rsidRPr="00CE2EEE">
        <w:rPr>
          <w:rFonts w:ascii="ITC Avant Garde" w:hAnsi="ITC Avant Garde"/>
          <w:i/>
          <w:color w:val="auto"/>
          <w:sz w:val="18"/>
        </w:rPr>
        <w:t>“</w:t>
      </w:r>
      <w:r w:rsidR="00CC5564" w:rsidRPr="00CE2EEE">
        <w:rPr>
          <w:rFonts w:ascii="ITC Avant Garde" w:hAnsi="ITC Avant Garde"/>
          <w:i/>
          <w:color w:val="auto"/>
          <w:sz w:val="18"/>
        </w:rPr>
        <w:t>Las partes acuerdan que Telmex se encuentra obligado a permitir el Uso Compartido de Infraestructura, para fines de interconexión.”</w:t>
      </w:r>
    </w:p>
    <w:p w14:paraId="51C9ECD9" w14:textId="77777777" w:rsidR="00A745BA" w:rsidRDefault="00A745BA" w:rsidP="007D5396">
      <w:pPr>
        <w:spacing w:line="276" w:lineRule="auto"/>
        <w:ind w:firstLine="0"/>
        <w:rPr>
          <w:rFonts w:ascii="ITC Avant Garde" w:hAnsi="ITC Avant Garde"/>
          <w:color w:val="auto"/>
        </w:rPr>
      </w:pPr>
    </w:p>
    <w:p w14:paraId="6DA2F9B4" w14:textId="54F1E0C9" w:rsidR="002959C1" w:rsidRPr="00E62CB9" w:rsidRDefault="002959C1" w:rsidP="007D5396">
      <w:pPr>
        <w:spacing w:after="0" w:line="276" w:lineRule="auto"/>
        <w:ind w:right="49"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Pr>
          <w:rFonts w:ascii="ITC Avant Garde" w:hAnsi="ITC Avant Garde"/>
          <w:b/>
          <w:color w:val="auto"/>
          <w:u w:val="single"/>
        </w:rPr>
        <w:t xml:space="preserve">CLÁUSULA DECIMOCUARTA </w:t>
      </w:r>
    </w:p>
    <w:p w14:paraId="6C79B884" w14:textId="77777777" w:rsidR="000611EE" w:rsidRDefault="000611EE" w:rsidP="007D5396">
      <w:pPr>
        <w:spacing w:after="0" w:line="276" w:lineRule="auto"/>
        <w:ind w:left="-5" w:right="49" w:firstLine="0"/>
        <w:rPr>
          <w:rFonts w:ascii="ITC Avant Garde" w:hAnsi="ITC Avant Garde"/>
          <w:b/>
          <w:color w:val="auto"/>
        </w:rPr>
      </w:pPr>
    </w:p>
    <w:p w14:paraId="0F45CA81" w14:textId="2660D936" w:rsidR="00E0750E" w:rsidRPr="00B56D15" w:rsidRDefault="00E0750E"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w:t>
      </w:r>
    </w:p>
    <w:p w14:paraId="0376665F" w14:textId="77777777" w:rsidR="00E0750E" w:rsidRPr="00B56D15" w:rsidRDefault="00E0750E" w:rsidP="007D5396">
      <w:pPr>
        <w:spacing w:after="0" w:line="276" w:lineRule="auto"/>
        <w:ind w:left="-5" w:right="49" w:firstLine="0"/>
        <w:rPr>
          <w:rFonts w:ascii="ITC Avant Garde" w:hAnsi="ITC Avant Garde"/>
          <w:b/>
          <w:color w:val="auto"/>
        </w:rPr>
      </w:pPr>
    </w:p>
    <w:p w14:paraId="70420421" w14:textId="1E68029A" w:rsidR="00E0750E" w:rsidRPr="00B56D15" w:rsidRDefault="00E0750E" w:rsidP="007D5396">
      <w:pPr>
        <w:spacing w:line="276" w:lineRule="auto"/>
        <w:ind w:firstLine="0"/>
        <w:rPr>
          <w:rFonts w:ascii="ITC Avant Garde" w:hAnsi="ITC Avant Garde"/>
          <w:i/>
          <w:color w:val="auto"/>
        </w:rPr>
      </w:pPr>
      <w:r w:rsidRPr="00B56D15">
        <w:rPr>
          <w:rFonts w:ascii="ITC Avant Garde" w:hAnsi="ITC Avant Garde"/>
          <w:i/>
          <w:color w:val="auto"/>
        </w:rPr>
        <w:t>Se sugiere la inclusión de las siguientes líneas al final del numeral 14.1 para brindar seguridad jurídica y ser precisos en la redacción de la cláusula:</w:t>
      </w:r>
    </w:p>
    <w:p w14:paraId="2FA559FB" w14:textId="77777777" w:rsidR="00E0750E" w:rsidRPr="00B56D15" w:rsidRDefault="00E0750E" w:rsidP="007D5396">
      <w:pPr>
        <w:spacing w:line="276" w:lineRule="auto"/>
        <w:ind w:firstLine="0"/>
        <w:rPr>
          <w:rFonts w:ascii="ITC Avant Garde" w:hAnsi="ITC Avant Garde"/>
          <w:i/>
          <w:color w:val="auto"/>
        </w:rPr>
      </w:pPr>
    </w:p>
    <w:p w14:paraId="7579AC8D" w14:textId="48A898A9" w:rsidR="00E0750E" w:rsidRPr="007D7A78" w:rsidRDefault="000611EE" w:rsidP="007D7A78">
      <w:pPr>
        <w:spacing w:after="0" w:line="276" w:lineRule="auto"/>
        <w:ind w:left="567" w:right="616" w:firstLine="0"/>
        <w:rPr>
          <w:rFonts w:ascii="ITC Avant Garde" w:eastAsia="Times New Roman" w:hAnsi="ITC Avant Garde" w:cs="Times New Roman"/>
          <w:i/>
          <w:color w:val="auto"/>
          <w:sz w:val="18"/>
          <w:szCs w:val="18"/>
        </w:rPr>
      </w:pPr>
      <w:r w:rsidRPr="007D7A78">
        <w:rPr>
          <w:rFonts w:ascii="ITC Avant Garde" w:eastAsia="Times New Roman" w:hAnsi="ITC Avant Garde" w:cs="Times New Roman"/>
          <w:i/>
          <w:color w:val="auto"/>
          <w:sz w:val="18"/>
          <w:szCs w:val="18"/>
        </w:rPr>
        <w:t>“</w:t>
      </w:r>
      <w:r w:rsidR="00E0750E" w:rsidRPr="007D7A78">
        <w:rPr>
          <w:rFonts w:ascii="ITC Avant Garde" w:eastAsia="Times New Roman" w:hAnsi="ITC Avant Garde" w:cs="Times New Roman"/>
          <w:i/>
          <w:color w:val="auto"/>
          <w:sz w:val="18"/>
          <w:szCs w:val="18"/>
        </w:rPr>
        <w:t>En la medida en que dicha revocación o suspensión haga imposible para alguna de las Partes el legal cumplimiento del objeto del presente Convenio en un área geográfica determinada o respecto de algún Servicio Conmutado de Interconexión prestado, en el entendido de que dicha terminación será considera sólo en el ámbito de dicha revocación.”</w:t>
      </w:r>
    </w:p>
    <w:p w14:paraId="62F5EB03" w14:textId="77777777" w:rsidR="00E0750E" w:rsidRPr="00B56D15" w:rsidRDefault="00E0750E" w:rsidP="007D5396">
      <w:pPr>
        <w:spacing w:line="276" w:lineRule="auto"/>
        <w:ind w:firstLine="0"/>
        <w:rPr>
          <w:rFonts w:ascii="ITC Avant Garde" w:hAnsi="ITC Avant Garde"/>
          <w:color w:val="auto"/>
        </w:rPr>
      </w:pPr>
    </w:p>
    <w:p w14:paraId="44489F2D" w14:textId="61045900" w:rsidR="00C870D1" w:rsidRPr="00B56D15" w:rsidRDefault="00C870D1"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310F65AE" w14:textId="77777777" w:rsidR="00C870D1" w:rsidRPr="00B56D15" w:rsidRDefault="00C870D1" w:rsidP="007D5396">
      <w:pPr>
        <w:spacing w:line="276" w:lineRule="auto"/>
        <w:ind w:firstLine="0"/>
        <w:rPr>
          <w:rFonts w:ascii="ITC Avant Garde" w:hAnsi="ITC Avant Garde" w:cs="Times New Roman"/>
          <w:color w:val="auto"/>
        </w:rPr>
      </w:pPr>
    </w:p>
    <w:p w14:paraId="01035FEE" w14:textId="076C5428" w:rsidR="00C870D1" w:rsidRPr="00B56D15" w:rsidRDefault="000611EE" w:rsidP="007D5396">
      <w:pPr>
        <w:spacing w:line="276" w:lineRule="auto"/>
        <w:ind w:firstLine="0"/>
        <w:rPr>
          <w:rFonts w:ascii="ITC Avant Garde" w:hAnsi="ITC Avant Garde" w:cs="Times New Roman"/>
          <w:i/>
          <w:color w:val="auto"/>
          <w:lang w:val="es-ES_tradnl"/>
        </w:rPr>
      </w:pPr>
      <w:r>
        <w:rPr>
          <w:rFonts w:ascii="ITC Avant Garde" w:hAnsi="ITC Avant Garde" w:cs="Times New Roman"/>
          <w:color w:val="auto"/>
        </w:rPr>
        <w:t>En el numeral 14.2,</w:t>
      </w:r>
      <w:r w:rsidR="00C870D1" w:rsidRPr="00B56D15">
        <w:rPr>
          <w:rFonts w:ascii="ITC Avant Garde" w:hAnsi="ITC Avant Garde" w:cs="Times New Roman"/>
          <w:color w:val="auto"/>
        </w:rPr>
        <w:t xml:space="preserve"> </w:t>
      </w:r>
      <w:r>
        <w:rPr>
          <w:rFonts w:ascii="ITC Avant Garde" w:hAnsi="ITC Avant Garde" w:cs="Times New Roman"/>
          <w:color w:val="auto"/>
        </w:rPr>
        <w:t>se</w:t>
      </w:r>
      <w:r w:rsidR="00C870D1" w:rsidRPr="00B56D15">
        <w:rPr>
          <w:rFonts w:ascii="ITC Avant Garde" w:hAnsi="ITC Avant Garde" w:cs="Times New Roman"/>
          <w:i/>
          <w:color w:val="auto"/>
          <w:lang w:val="es-ES_tradnl"/>
        </w:rPr>
        <w:t xml:space="preserve"> solicita que se incluya que la rescisión por falta de pago solo es posible previa autorización del </w:t>
      </w:r>
      <w:r w:rsidR="002170E6">
        <w:rPr>
          <w:rFonts w:ascii="ITC Avant Garde" w:hAnsi="ITC Avant Garde" w:cs="Times New Roman"/>
          <w:i/>
          <w:color w:val="auto"/>
          <w:lang w:val="es-ES_tradnl"/>
        </w:rPr>
        <w:t>Instituto</w:t>
      </w:r>
      <w:r w:rsidR="00C870D1" w:rsidRPr="00B56D15">
        <w:rPr>
          <w:rFonts w:ascii="ITC Avant Garde" w:hAnsi="ITC Avant Garde" w:cs="Times New Roman"/>
          <w:i/>
          <w:color w:val="auto"/>
          <w:lang w:val="es-ES_tradnl"/>
        </w:rPr>
        <w:t xml:space="preserve"> y sólo cuando se haya determinado un plan de actuación</w:t>
      </w:r>
      <w:r>
        <w:rPr>
          <w:rFonts w:ascii="ITC Avant Garde" w:hAnsi="ITC Avant Garde" w:cs="Times New Roman"/>
          <w:i/>
          <w:color w:val="auto"/>
          <w:lang w:val="es-ES_tradnl"/>
        </w:rPr>
        <w:t xml:space="preserve"> para con los usuarios finales.</w:t>
      </w:r>
    </w:p>
    <w:p w14:paraId="19986ACB" w14:textId="77777777" w:rsidR="00C870D1" w:rsidRDefault="00C870D1" w:rsidP="007D5396">
      <w:pPr>
        <w:spacing w:after="0" w:line="276" w:lineRule="auto"/>
        <w:ind w:right="49" w:firstLine="0"/>
        <w:rPr>
          <w:rFonts w:ascii="ITC Avant Garde" w:hAnsi="ITC Avant Garde"/>
          <w:i/>
          <w:color w:val="auto"/>
        </w:rPr>
      </w:pPr>
    </w:p>
    <w:p w14:paraId="57D1ABE3" w14:textId="4394801A" w:rsidR="002C14DB" w:rsidRPr="00CE2EEE" w:rsidRDefault="002C14DB" w:rsidP="007D5396">
      <w:pPr>
        <w:spacing w:after="0" w:line="276" w:lineRule="auto"/>
        <w:ind w:right="49" w:firstLine="0"/>
        <w:rPr>
          <w:rFonts w:ascii="ITC Avant Garde" w:hAnsi="ITC Avant Garde"/>
          <w:color w:val="auto"/>
        </w:rPr>
      </w:pPr>
      <w:r w:rsidRPr="00CE2EEE">
        <w:rPr>
          <w:rFonts w:ascii="ITC Avant Garde" w:hAnsi="ITC Avant Garde"/>
          <w:color w:val="auto"/>
        </w:rPr>
        <w:t>Al respecto</w:t>
      </w:r>
      <w:r w:rsidR="001C4DE6" w:rsidRPr="00CE2EEE">
        <w:rPr>
          <w:rFonts w:ascii="ITC Avant Garde" w:hAnsi="ITC Avant Garde"/>
          <w:color w:val="auto"/>
        </w:rPr>
        <w:t>,</w:t>
      </w:r>
      <w:r w:rsidRPr="00CE2EEE">
        <w:rPr>
          <w:rFonts w:ascii="ITC Avant Garde" w:hAnsi="ITC Avant Garde"/>
          <w:color w:val="auto"/>
        </w:rPr>
        <w:t xml:space="preserve"> se señala que la Cláusula señalada establece el procedimiento para la ejecución de la re</w:t>
      </w:r>
      <w:r w:rsidR="001959A6" w:rsidRPr="00CE2EEE">
        <w:rPr>
          <w:rFonts w:ascii="ITC Avant Garde" w:hAnsi="ITC Avant Garde"/>
          <w:color w:val="auto"/>
        </w:rPr>
        <w:t>s</w:t>
      </w:r>
      <w:r w:rsidRPr="00CE2EEE">
        <w:rPr>
          <w:rFonts w:ascii="ITC Avant Garde" w:hAnsi="ITC Avant Garde"/>
          <w:color w:val="auto"/>
        </w:rPr>
        <w:t>cisión</w:t>
      </w:r>
      <w:r w:rsidR="001C4DE6" w:rsidRPr="00CE2EEE">
        <w:rPr>
          <w:rFonts w:ascii="ITC Avant Garde" w:hAnsi="ITC Avant Garde"/>
          <w:color w:val="auto"/>
        </w:rPr>
        <w:t xml:space="preserve"> del convenio, en la misma se reconoce</w:t>
      </w:r>
      <w:r w:rsidRPr="00CE2EEE">
        <w:rPr>
          <w:rFonts w:ascii="ITC Avant Garde" w:hAnsi="ITC Avant Garde"/>
          <w:color w:val="auto"/>
        </w:rPr>
        <w:t xml:space="preserve"> la facultad del Instituto para adoptar las medidas pertinentes para la protección de los intereses del público en general, de los Usuarios y de los Suscriptores de las Partes. Por lo anterior no se considera necesaria su modificación.</w:t>
      </w:r>
    </w:p>
    <w:p w14:paraId="21BC039A" w14:textId="77777777" w:rsidR="002C14DB" w:rsidRPr="00B56D15" w:rsidRDefault="002C14DB" w:rsidP="007D5396">
      <w:pPr>
        <w:spacing w:after="0" w:line="276" w:lineRule="auto"/>
        <w:ind w:right="49" w:firstLine="0"/>
        <w:rPr>
          <w:rFonts w:ascii="ITC Avant Garde" w:hAnsi="ITC Avant Garde"/>
          <w:i/>
          <w:color w:val="auto"/>
        </w:rPr>
      </w:pPr>
    </w:p>
    <w:p w14:paraId="57A6F58A" w14:textId="503588C7" w:rsidR="00E0750E" w:rsidRPr="00B56D15" w:rsidRDefault="00E0750E"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 y CANIETI:</w:t>
      </w:r>
    </w:p>
    <w:p w14:paraId="3B26A0CD" w14:textId="77777777" w:rsidR="00E0750E" w:rsidRPr="00B56D15" w:rsidRDefault="00E0750E" w:rsidP="007D5396">
      <w:pPr>
        <w:spacing w:line="276" w:lineRule="auto"/>
        <w:ind w:firstLine="0"/>
        <w:rPr>
          <w:rFonts w:ascii="ITC Avant Garde" w:hAnsi="ITC Avant Garde"/>
          <w:color w:val="auto"/>
        </w:rPr>
      </w:pPr>
    </w:p>
    <w:p w14:paraId="53F3A101" w14:textId="39D399F5" w:rsidR="00E0750E" w:rsidRDefault="00C25F88" w:rsidP="007D5396">
      <w:pPr>
        <w:spacing w:line="276" w:lineRule="auto"/>
        <w:ind w:firstLine="0"/>
        <w:rPr>
          <w:rFonts w:ascii="ITC Avant Garde" w:hAnsi="ITC Avant Garde"/>
          <w:i/>
          <w:color w:val="auto"/>
        </w:rPr>
      </w:pPr>
      <w:r>
        <w:rPr>
          <w:rFonts w:ascii="ITC Avant Garde" w:hAnsi="ITC Avant Garde"/>
          <w:i/>
          <w:color w:val="auto"/>
        </w:rPr>
        <w:t>En el numeral 14.2, e</w:t>
      </w:r>
      <w:r w:rsidR="00E0750E" w:rsidRPr="00B56D15">
        <w:rPr>
          <w:rFonts w:ascii="ITC Avant Garde" w:hAnsi="ITC Avant Garde"/>
          <w:i/>
          <w:color w:val="auto"/>
        </w:rPr>
        <w:t>n el segundo párrafo se habla de la fianza, pero en ninguna cláusula del convenio se establecen los términos y condiciones de la misma. Se propone definir los térm</w:t>
      </w:r>
      <w:r>
        <w:rPr>
          <w:rFonts w:ascii="ITC Avant Garde" w:hAnsi="ITC Avant Garde"/>
          <w:i/>
          <w:color w:val="auto"/>
        </w:rPr>
        <w:t>inos y condiciones de la misma.</w:t>
      </w:r>
    </w:p>
    <w:p w14:paraId="5D7913DA" w14:textId="77777777" w:rsidR="00512E29" w:rsidRDefault="00512E29" w:rsidP="007D5396">
      <w:pPr>
        <w:spacing w:line="276" w:lineRule="auto"/>
        <w:ind w:firstLine="0"/>
        <w:rPr>
          <w:rFonts w:ascii="ITC Avant Garde" w:hAnsi="ITC Avant Garde"/>
          <w:i/>
          <w:color w:val="auto"/>
        </w:rPr>
      </w:pPr>
    </w:p>
    <w:p w14:paraId="2CB30572" w14:textId="4DC96E2D" w:rsidR="002C14DB" w:rsidRPr="00524FAB" w:rsidRDefault="000A18EA" w:rsidP="007D5396">
      <w:pPr>
        <w:spacing w:after="0" w:line="276" w:lineRule="auto"/>
        <w:ind w:right="49" w:firstLine="0"/>
        <w:rPr>
          <w:color w:val="auto"/>
        </w:rPr>
      </w:pPr>
      <w:r w:rsidRPr="00524FAB">
        <w:rPr>
          <w:rFonts w:ascii="ITC Avant Garde" w:hAnsi="ITC Avant Garde"/>
          <w:color w:val="auto"/>
        </w:rPr>
        <w:t>Al respecto</w:t>
      </w:r>
      <w:r w:rsidR="00374FAA" w:rsidRPr="00524FAB">
        <w:rPr>
          <w:rFonts w:ascii="ITC Avant Garde" w:hAnsi="ITC Avant Garde"/>
          <w:color w:val="auto"/>
        </w:rPr>
        <w:t xml:space="preserve">, </w:t>
      </w:r>
      <w:r w:rsidR="001B560B" w:rsidRPr="00524FAB">
        <w:rPr>
          <w:rFonts w:ascii="ITC Avant Garde" w:hAnsi="ITC Avant Garde"/>
          <w:color w:val="auto"/>
        </w:rPr>
        <w:t xml:space="preserve">se modificó </w:t>
      </w:r>
      <w:r w:rsidR="002C14DB" w:rsidRPr="00524FAB">
        <w:rPr>
          <w:rFonts w:ascii="ITC Avant Garde" w:hAnsi="ITC Avant Garde"/>
          <w:color w:val="auto"/>
        </w:rPr>
        <w:t>la redacción</w:t>
      </w:r>
      <w:r w:rsidR="00A55BC8" w:rsidRPr="00524FAB">
        <w:rPr>
          <w:rFonts w:ascii="ITC Avant Garde" w:hAnsi="ITC Avant Garde"/>
          <w:color w:val="auto"/>
        </w:rPr>
        <w:t xml:space="preserve"> del CMI</w:t>
      </w:r>
      <w:r w:rsidR="002C14DB" w:rsidRPr="00524FAB">
        <w:rPr>
          <w:rFonts w:ascii="ITC Avant Garde" w:hAnsi="ITC Avant Garde"/>
          <w:color w:val="auto"/>
        </w:rPr>
        <w:t xml:space="preserve"> a efecto de eliminar las referencias</w:t>
      </w:r>
      <w:r w:rsidR="001959A6" w:rsidRPr="00524FAB">
        <w:rPr>
          <w:rFonts w:ascii="ITC Avant Garde" w:hAnsi="ITC Avant Garde"/>
          <w:color w:val="auto"/>
        </w:rPr>
        <w:t xml:space="preserve"> a las fianzas correspondientes</w:t>
      </w:r>
      <w:r w:rsidR="002C14DB" w:rsidRPr="00524FAB">
        <w:rPr>
          <w:rFonts w:ascii="ITC Avant Garde" w:hAnsi="ITC Avant Garde"/>
          <w:color w:val="auto"/>
        </w:rPr>
        <w:t xml:space="preserve"> dado que, al considerar que el servicio de </w:t>
      </w:r>
      <w:r w:rsidR="002C14DB" w:rsidRPr="00524FAB">
        <w:rPr>
          <w:rFonts w:ascii="ITC Avant Garde" w:hAnsi="ITC Avant Garde"/>
          <w:color w:val="auto"/>
        </w:rPr>
        <w:lastRenderedPageBreak/>
        <w:t>interconexión es un servicio recíproco no se considera necesario el establecimiento de fianzas, con lo que se considera</w:t>
      </w:r>
      <w:r w:rsidR="00374FAA" w:rsidRPr="00524FAB">
        <w:rPr>
          <w:rFonts w:ascii="ITC Avant Garde" w:hAnsi="ITC Avant Garde"/>
          <w:color w:val="auto"/>
        </w:rPr>
        <w:t>n</w:t>
      </w:r>
      <w:r w:rsidR="002C14DB" w:rsidRPr="00524FAB">
        <w:rPr>
          <w:rFonts w:ascii="ITC Avant Garde" w:hAnsi="ITC Avant Garde"/>
          <w:color w:val="auto"/>
        </w:rPr>
        <w:t xml:space="preserve"> atendido</w:t>
      </w:r>
      <w:r w:rsidR="00374FAA" w:rsidRPr="00524FAB">
        <w:rPr>
          <w:rFonts w:ascii="ITC Avant Garde" w:hAnsi="ITC Avant Garde"/>
          <w:color w:val="auto"/>
        </w:rPr>
        <w:t>s los comentarios anteriores</w:t>
      </w:r>
      <w:r w:rsidR="00A55BC8" w:rsidRPr="00524FAB">
        <w:rPr>
          <w:rFonts w:ascii="ITC Avant Garde" w:hAnsi="ITC Avant Garde"/>
          <w:color w:val="auto"/>
        </w:rPr>
        <w:t>.</w:t>
      </w:r>
    </w:p>
    <w:p w14:paraId="5A6182AB" w14:textId="77777777" w:rsidR="002C14DB" w:rsidRPr="00524FAB" w:rsidRDefault="002C14DB" w:rsidP="007D5396">
      <w:pPr>
        <w:spacing w:after="0" w:line="276" w:lineRule="auto"/>
        <w:ind w:right="49" w:firstLine="0"/>
        <w:rPr>
          <w:rFonts w:ascii="ITC Avant Garde" w:hAnsi="ITC Avant Garde"/>
          <w:color w:val="auto"/>
        </w:rPr>
      </w:pPr>
    </w:p>
    <w:p w14:paraId="5535095B" w14:textId="13F260E5" w:rsidR="00E0750E" w:rsidRPr="00B56D15" w:rsidRDefault="00E0750E"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Telefónica:</w:t>
      </w:r>
    </w:p>
    <w:p w14:paraId="6EB4CB56" w14:textId="77777777" w:rsidR="00E0750E" w:rsidRPr="00B56D15" w:rsidRDefault="00E0750E" w:rsidP="007D5396">
      <w:pPr>
        <w:spacing w:line="276" w:lineRule="auto"/>
        <w:ind w:firstLine="0"/>
        <w:rPr>
          <w:rFonts w:ascii="ITC Avant Garde" w:hAnsi="ITC Avant Garde"/>
          <w:color w:val="auto"/>
        </w:rPr>
      </w:pPr>
    </w:p>
    <w:p w14:paraId="28E995EF" w14:textId="76E761D7" w:rsidR="00E0750E" w:rsidRPr="00B56D15" w:rsidRDefault="007C4BF3" w:rsidP="007D5396">
      <w:pPr>
        <w:spacing w:line="276" w:lineRule="auto"/>
        <w:ind w:firstLine="0"/>
        <w:rPr>
          <w:rFonts w:ascii="ITC Avant Garde" w:hAnsi="ITC Avant Garde"/>
          <w:i/>
          <w:color w:val="auto"/>
        </w:rPr>
      </w:pPr>
      <w:r>
        <w:rPr>
          <w:rFonts w:ascii="ITC Avant Garde" w:hAnsi="ITC Avant Garde"/>
          <w:i/>
          <w:color w:val="auto"/>
        </w:rPr>
        <w:t>En la Cláusula Decimocuarta, se</w:t>
      </w:r>
      <w:r w:rsidR="00E0750E" w:rsidRPr="00B56D15">
        <w:rPr>
          <w:rFonts w:ascii="ITC Avant Garde" w:hAnsi="ITC Avant Garde"/>
          <w:i/>
          <w:color w:val="auto"/>
        </w:rPr>
        <w:t xml:space="preserve"> sugiere la precisión de indicar en el primer párrafo que se refiere a causales de terminación anticipada en lugar de causales de rescisión.</w:t>
      </w:r>
    </w:p>
    <w:p w14:paraId="2429B6AF" w14:textId="77777777" w:rsidR="00E0750E" w:rsidRPr="00B56D15" w:rsidRDefault="00E0750E" w:rsidP="007D5396">
      <w:pPr>
        <w:spacing w:line="276" w:lineRule="auto"/>
        <w:ind w:firstLine="0"/>
        <w:rPr>
          <w:rFonts w:ascii="ITC Avant Garde" w:hAnsi="ITC Avant Garde"/>
          <w:i/>
          <w:color w:val="auto"/>
        </w:rPr>
      </w:pPr>
    </w:p>
    <w:p w14:paraId="6F522EA3" w14:textId="05354B11" w:rsidR="00E0750E" w:rsidRPr="00B56D15" w:rsidRDefault="00E0750E" w:rsidP="007D5396">
      <w:pPr>
        <w:spacing w:line="276" w:lineRule="auto"/>
        <w:ind w:firstLine="0"/>
        <w:rPr>
          <w:rFonts w:ascii="ITC Avant Garde" w:hAnsi="ITC Avant Garde"/>
          <w:i/>
          <w:color w:val="auto"/>
        </w:rPr>
      </w:pPr>
      <w:r w:rsidRPr="00B56D15">
        <w:rPr>
          <w:rFonts w:ascii="ITC Avant Garde" w:hAnsi="ITC Avant Garde"/>
          <w:i/>
          <w:color w:val="auto"/>
        </w:rPr>
        <w:t>Adicionalmente, deberán incluirse como causales de rescisión las siguientes ya que es un</w:t>
      </w:r>
      <w:r w:rsidR="00A1309F">
        <w:rPr>
          <w:rFonts w:ascii="ITC Avant Garde" w:hAnsi="ITC Avant Garde"/>
          <w:i/>
          <w:color w:val="auto"/>
        </w:rPr>
        <w:t>a</w:t>
      </w:r>
      <w:r w:rsidRPr="00B56D15">
        <w:rPr>
          <w:rFonts w:ascii="ITC Avant Garde" w:hAnsi="ITC Avant Garde"/>
          <w:i/>
          <w:color w:val="auto"/>
        </w:rPr>
        <w:t xml:space="preserve"> práctica de la industria establecer tales causales:</w:t>
      </w:r>
      <w:r w:rsidR="007C4BF3">
        <w:rPr>
          <w:rFonts w:ascii="ITC Avant Garde" w:hAnsi="ITC Avant Garde"/>
          <w:i/>
          <w:color w:val="auto"/>
        </w:rPr>
        <w:t xml:space="preserve"> Conductas Fraudulentas, Liquidación, Insolvencia o Quie</w:t>
      </w:r>
      <w:r w:rsidR="00E115B1">
        <w:rPr>
          <w:rFonts w:ascii="ITC Avant Garde" w:hAnsi="ITC Avant Garde"/>
          <w:i/>
          <w:color w:val="auto"/>
        </w:rPr>
        <w:t>b</w:t>
      </w:r>
      <w:r w:rsidR="007C4BF3">
        <w:rPr>
          <w:rFonts w:ascii="ITC Avant Garde" w:hAnsi="ITC Avant Garde"/>
          <w:i/>
          <w:color w:val="auto"/>
        </w:rPr>
        <w:t>ra.</w:t>
      </w:r>
    </w:p>
    <w:p w14:paraId="3ED425F7" w14:textId="77777777" w:rsidR="00E0750E" w:rsidRPr="00524FAB" w:rsidRDefault="00E0750E" w:rsidP="007D5396">
      <w:pPr>
        <w:spacing w:line="276" w:lineRule="auto"/>
        <w:ind w:firstLine="0"/>
        <w:rPr>
          <w:rFonts w:ascii="ITC Avant Garde" w:hAnsi="ITC Avant Garde"/>
          <w:i/>
          <w:color w:val="auto"/>
        </w:rPr>
      </w:pPr>
    </w:p>
    <w:p w14:paraId="28CA01CF" w14:textId="65A679F8" w:rsidR="00A1309F" w:rsidRPr="00524FAB" w:rsidRDefault="00A1309F" w:rsidP="007D5396">
      <w:pPr>
        <w:spacing w:line="276" w:lineRule="auto"/>
        <w:ind w:firstLine="0"/>
        <w:rPr>
          <w:rFonts w:ascii="ITC Avant Garde" w:hAnsi="ITC Avant Garde"/>
          <w:color w:val="auto"/>
        </w:rPr>
      </w:pPr>
      <w:r w:rsidRPr="00524FAB">
        <w:rPr>
          <w:rFonts w:ascii="ITC Avant Garde" w:hAnsi="ITC Avant Garde"/>
          <w:color w:val="auto"/>
        </w:rPr>
        <w:t>En atención al comentario</w:t>
      </w:r>
      <w:r w:rsidR="00105207" w:rsidRPr="00524FAB">
        <w:rPr>
          <w:rFonts w:ascii="ITC Avant Garde" w:hAnsi="ITC Avant Garde"/>
          <w:color w:val="auto"/>
        </w:rPr>
        <w:t>, se</w:t>
      </w:r>
      <w:r w:rsidRPr="00524FAB">
        <w:rPr>
          <w:rFonts w:ascii="ITC Avant Garde" w:hAnsi="ITC Avant Garde"/>
          <w:color w:val="auto"/>
        </w:rPr>
        <w:t xml:space="preserve"> </w:t>
      </w:r>
      <w:r w:rsidR="00105207" w:rsidRPr="00524FAB">
        <w:rPr>
          <w:rFonts w:ascii="ITC Avant Garde" w:hAnsi="ITC Avant Garde"/>
          <w:color w:val="auto"/>
        </w:rPr>
        <w:t xml:space="preserve">observó que es práctica común en la industria la inclusión de causales de rescisión por conductas fraudulentas o quiebra, por lo que </w:t>
      </w:r>
      <w:r w:rsidR="001B560B" w:rsidRPr="00524FAB">
        <w:rPr>
          <w:rFonts w:ascii="ITC Avant Garde" w:hAnsi="ITC Avant Garde"/>
          <w:color w:val="auto"/>
        </w:rPr>
        <w:t>se</w:t>
      </w:r>
      <w:r w:rsidR="00105207" w:rsidRPr="00524FAB">
        <w:rPr>
          <w:rFonts w:ascii="ITC Avant Garde" w:hAnsi="ITC Avant Garde"/>
          <w:color w:val="auto"/>
        </w:rPr>
        <w:t xml:space="preserve"> agregar</w:t>
      </w:r>
      <w:r w:rsidR="001B560B" w:rsidRPr="00524FAB">
        <w:rPr>
          <w:rFonts w:ascii="ITC Avant Garde" w:hAnsi="ITC Avant Garde"/>
          <w:color w:val="auto"/>
        </w:rPr>
        <w:t>on</w:t>
      </w:r>
      <w:r w:rsidR="00105207" w:rsidRPr="00524FAB">
        <w:rPr>
          <w:rFonts w:ascii="ITC Avant Garde" w:hAnsi="ITC Avant Garde"/>
          <w:color w:val="auto"/>
        </w:rPr>
        <w:t xml:space="preserve"> dichas causales de rescisión</w:t>
      </w:r>
      <w:r w:rsidRPr="00524FAB">
        <w:rPr>
          <w:rFonts w:ascii="ITC Avant Garde" w:hAnsi="ITC Avant Garde"/>
          <w:color w:val="auto"/>
        </w:rPr>
        <w:t xml:space="preserve">: </w:t>
      </w:r>
    </w:p>
    <w:p w14:paraId="68B43D2A" w14:textId="77777777" w:rsidR="00A1309F" w:rsidRPr="00524FAB" w:rsidRDefault="00A1309F" w:rsidP="007D5396">
      <w:pPr>
        <w:spacing w:line="276" w:lineRule="auto"/>
        <w:ind w:firstLine="0"/>
        <w:rPr>
          <w:rFonts w:ascii="ITC Avant Garde" w:hAnsi="ITC Avant Garde"/>
          <w:color w:val="auto"/>
        </w:rPr>
      </w:pPr>
    </w:p>
    <w:p w14:paraId="6D6023C5" w14:textId="77777777" w:rsidR="00105207" w:rsidRPr="00524FAB" w:rsidRDefault="00105207" w:rsidP="007D5396">
      <w:pPr>
        <w:pStyle w:val="IFT1"/>
        <w:tabs>
          <w:tab w:val="left" w:pos="284"/>
          <w:tab w:val="left" w:pos="567"/>
        </w:tabs>
        <w:spacing w:after="0"/>
        <w:ind w:left="567" w:right="567"/>
        <w:rPr>
          <w:rFonts w:cs="Arial"/>
          <w:i/>
          <w:sz w:val="18"/>
          <w:szCs w:val="18"/>
          <w:lang w:eastAsia="es-MX"/>
        </w:rPr>
      </w:pPr>
      <w:r w:rsidRPr="00524FAB">
        <w:rPr>
          <w:rFonts w:cs="Arial"/>
          <w:i/>
          <w:sz w:val="18"/>
          <w:szCs w:val="18"/>
          <w:lang w:eastAsia="es-MX"/>
        </w:rPr>
        <w:t xml:space="preserve">“14.3 CONDUCTAS FRAUDULENTAS. Si alguna de las Partes incurre en alguna práctica a las que hace referencia la Cláusula Décima Primera –Conductas Fraudulentas- del presente Convenio. </w:t>
      </w:r>
    </w:p>
    <w:p w14:paraId="1C492F22" w14:textId="77777777" w:rsidR="00105207" w:rsidRPr="00524FAB" w:rsidRDefault="00105207" w:rsidP="007D5396">
      <w:pPr>
        <w:pStyle w:val="IFT1"/>
        <w:tabs>
          <w:tab w:val="left" w:pos="284"/>
          <w:tab w:val="left" w:pos="567"/>
        </w:tabs>
        <w:spacing w:after="0"/>
        <w:ind w:left="567" w:right="567"/>
        <w:rPr>
          <w:rFonts w:cs="Arial"/>
          <w:i/>
          <w:sz w:val="18"/>
          <w:szCs w:val="18"/>
          <w:lang w:eastAsia="es-MX"/>
        </w:rPr>
      </w:pPr>
    </w:p>
    <w:p w14:paraId="4658AE5B" w14:textId="77777777" w:rsidR="00105207" w:rsidRPr="00524FAB" w:rsidRDefault="00105207" w:rsidP="007D5396">
      <w:pPr>
        <w:pStyle w:val="IFT1"/>
        <w:tabs>
          <w:tab w:val="left" w:pos="284"/>
          <w:tab w:val="left" w:pos="567"/>
        </w:tabs>
        <w:spacing w:after="0"/>
        <w:ind w:left="567" w:right="567"/>
        <w:rPr>
          <w:rFonts w:cs="Arial"/>
          <w:i/>
          <w:sz w:val="18"/>
          <w:szCs w:val="18"/>
          <w:lang w:eastAsia="es-MX"/>
        </w:rPr>
      </w:pPr>
      <w:r w:rsidRPr="00524FAB">
        <w:rPr>
          <w:rFonts w:cs="Arial"/>
          <w:i/>
          <w:sz w:val="18"/>
          <w:szCs w:val="18"/>
          <w:lang w:eastAsia="es-MX"/>
        </w:rPr>
        <w:t>14.4 LIQUIDACIÓN, INSOLVENCIA O QUIEBRA. En caso de que: (a) se afecten todos o parte sustancial de bienes de cualquiera de las partes y/o sus Filiales contempladas bajo el supuesto establecido en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(ii) orden de embargo, ejecución o confiscación (en tanto no sea garantizada, desechada o dejada sin efectos, dentro de los 10 (diez) días hábiles siguientes a la fecha en que surta efectos dicha orden en lo que se resuelve de forma definitiva), en tanto haya causado ejecutoria. 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536D76D2" w14:textId="77777777" w:rsidR="00BC6D71" w:rsidRPr="00524FAB" w:rsidRDefault="00BC6D71" w:rsidP="007D7A78">
      <w:pPr>
        <w:pStyle w:val="IFT1"/>
        <w:tabs>
          <w:tab w:val="left" w:pos="284"/>
          <w:tab w:val="left" w:pos="567"/>
        </w:tabs>
        <w:spacing w:after="0"/>
        <w:ind w:right="567"/>
      </w:pPr>
    </w:p>
    <w:p w14:paraId="6CD8F041" w14:textId="5E4968AB" w:rsidR="002959C1" w:rsidRPr="00E62CB9" w:rsidRDefault="002959C1" w:rsidP="007D5396">
      <w:pPr>
        <w:spacing w:after="0" w:line="276" w:lineRule="auto"/>
        <w:ind w:right="49" w:firstLine="0"/>
        <w:rPr>
          <w:rFonts w:ascii="ITC Avant Garde" w:hAnsi="ITC Avant Garde"/>
          <w:b/>
          <w:color w:val="auto"/>
          <w:u w:val="single"/>
        </w:rPr>
      </w:pPr>
      <w:r w:rsidRPr="00740B17">
        <w:rPr>
          <w:rFonts w:ascii="ITC Avant Garde" w:hAnsi="ITC Avant Garde"/>
          <w:b/>
          <w:color w:val="auto"/>
          <w:u w:val="single"/>
        </w:rPr>
        <w:t xml:space="preserve">Comentarios emitidos a la </w:t>
      </w:r>
      <w:r>
        <w:rPr>
          <w:rFonts w:ascii="ITC Avant Garde" w:hAnsi="ITC Avant Garde"/>
          <w:b/>
          <w:color w:val="auto"/>
          <w:u w:val="single"/>
        </w:rPr>
        <w:t>CLÁUSULA DECIMOQUINTA</w:t>
      </w:r>
    </w:p>
    <w:p w14:paraId="024EA8E9" w14:textId="77777777" w:rsidR="0072622F" w:rsidRDefault="0072622F" w:rsidP="007D5396">
      <w:pPr>
        <w:spacing w:line="276" w:lineRule="auto"/>
        <w:ind w:firstLine="0"/>
        <w:rPr>
          <w:rFonts w:ascii="ITC Avant Garde" w:hAnsi="ITC Avant Garde"/>
          <w:b/>
          <w:color w:val="auto"/>
        </w:rPr>
      </w:pPr>
    </w:p>
    <w:p w14:paraId="5D8878CA" w14:textId="7B748FB8" w:rsidR="00E0750E" w:rsidRPr="00B56D15" w:rsidRDefault="00E0750E" w:rsidP="007D5396">
      <w:pPr>
        <w:spacing w:line="276" w:lineRule="auto"/>
        <w:ind w:firstLine="0"/>
        <w:rPr>
          <w:rFonts w:ascii="ITC Avant Garde" w:hAnsi="ITC Avant Garde"/>
          <w:b/>
          <w:color w:val="auto"/>
        </w:rPr>
      </w:pPr>
      <w:r w:rsidRPr="00B56D15">
        <w:rPr>
          <w:rFonts w:ascii="ITC Avant Garde" w:hAnsi="ITC Avant Garde"/>
          <w:b/>
          <w:color w:val="auto"/>
        </w:rPr>
        <w:t>Telefónica y CANIETI:</w:t>
      </w:r>
    </w:p>
    <w:p w14:paraId="578EC190" w14:textId="77777777" w:rsidR="00E0750E" w:rsidRPr="00B56D15" w:rsidRDefault="00E0750E" w:rsidP="007D5396">
      <w:pPr>
        <w:spacing w:line="276" w:lineRule="auto"/>
        <w:ind w:firstLine="0"/>
        <w:rPr>
          <w:rFonts w:ascii="ITC Avant Garde" w:hAnsi="ITC Avant Garde"/>
          <w:b/>
          <w:color w:val="auto"/>
        </w:rPr>
      </w:pPr>
    </w:p>
    <w:p w14:paraId="1AA48589" w14:textId="36EF540B" w:rsidR="00E0750E" w:rsidRPr="00B56D15" w:rsidRDefault="0072622F" w:rsidP="007D5396">
      <w:pPr>
        <w:spacing w:line="276" w:lineRule="auto"/>
        <w:ind w:firstLine="0"/>
        <w:rPr>
          <w:rFonts w:ascii="ITC Avant Garde" w:hAnsi="ITC Avant Garde"/>
          <w:i/>
          <w:color w:val="auto"/>
        </w:rPr>
      </w:pPr>
      <w:r>
        <w:rPr>
          <w:rFonts w:ascii="ITC Avant Garde" w:hAnsi="ITC Avant Garde"/>
          <w:i/>
          <w:color w:val="auto"/>
        </w:rPr>
        <w:t>En el numeral 15.2, s</w:t>
      </w:r>
      <w:r w:rsidR="00E0750E" w:rsidRPr="00B56D15">
        <w:rPr>
          <w:rFonts w:ascii="ITC Avant Garde" w:hAnsi="ITC Avant Garde"/>
          <w:i/>
          <w:color w:val="auto"/>
        </w:rPr>
        <w:t>e propone la siguiente redacción en lugar de la establecida por Telmex en el documento en consulta pública para homologarlo con la cláusula del convenio de Telcel.</w:t>
      </w:r>
    </w:p>
    <w:p w14:paraId="34A3928A" w14:textId="77777777" w:rsidR="00E0750E" w:rsidRPr="007D7A78" w:rsidRDefault="00E0750E" w:rsidP="007D7A78">
      <w:pPr>
        <w:spacing w:after="0" w:line="276" w:lineRule="auto"/>
        <w:ind w:left="567" w:right="616" w:firstLine="0"/>
        <w:rPr>
          <w:rFonts w:ascii="ITC Avant Garde" w:eastAsia="Times New Roman" w:hAnsi="ITC Avant Garde" w:cs="Times New Roman"/>
          <w:i/>
          <w:color w:val="auto"/>
          <w:sz w:val="18"/>
          <w:szCs w:val="18"/>
        </w:rPr>
      </w:pPr>
    </w:p>
    <w:p w14:paraId="023993B3" w14:textId="42B17B96" w:rsidR="00E0750E" w:rsidRPr="007D7A78" w:rsidRDefault="00E0750E" w:rsidP="00DF1DCF">
      <w:pPr>
        <w:spacing w:after="0" w:line="276" w:lineRule="auto"/>
        <w:ind w:left="567" w:right="616" w:firstLine="0"/>
        <w:rPr>
          <w:rFonts w:ascii="ITC Avant Garde" w:eastAsia="Times New Roman" w:hAnsi="ITC Avant Garde" w:cs="Times New Roman"/>
          <w:i/>
          <w:color w:val="auto"/>
          <w:sz w:val="18"/>
          <w:szCs w:val="18"/>
        </w:rPr>
      </w:pPr>
      <w:r w:rsidRPr="007D7A78">
        <w:rPr>
          <w:rFonts w:ascii="ITC Avant Garde" w:eastAsia="Times New Roman" w:hAnsi="ITC Avant Garde" w:cs="Times New Roman"/>
          <w:i/>
          <w:color w:val="auto"/>
          <w:sz w:val="18"/>
          <w:szCs w:val="18"/>
        </w:rPr>
        <w:t>“Telmex deberá p</w:t>
      </w:r>
      <w:r w:rsidR="00F82023" w:rsidRPr="007D7A78">
        <w:rPr>
          <w:rFonts w:ascii="ITC Avant Garde" w:eastAsia="Times New Roman" w:hAnsi="ITC Avant Garde" w:cs="Times New Roman"/>
          <w:i/>
          <w:color w:val="auto"/>
          <w:sz w:val="18"/>
          <w:szCs w:val="18"/>
        </w:rPr>
        <w:t>resentar para autorización del I</w:t>
      </w:r>
      <w:r w:rsidRPr="007D7A78">
        <w:rPr>
          <w:rFonts w:ascii="ITC Avant Garde" w:eastAsia="Times New Roman" w:hAnsi="ITC Avant Garde" w:cs="Times New Roman"/>
          <w:i/>
          <w:color w:val="auto"/>
          <w:sz w:val="18"/>
          <w:szCs w:val="18"/>
        </w:rPr>
        <w:t>nstituto un Convenio Marco de Interconexión dentro del término que establezca al e</w:t>
      </w:r>
      <w:r w:rsidR="0072622F" w:rsidRPr="007D7A78">
        <w:rPr>
          <w:rFonts w:ascii="ITC Avant Garde" w:eastAsia="Times New Roman" w:hAnsi="ITC Avant Garde" w:cs="Times New Roman"/>
          <w:i/>
          <w:color w:val="auto"/>
          <w:sz w:val="18"/>
          <w:szCs w:val="18"/>
        </w:rPr>
        <w:t>fecto la legislación aplicable.”</w:t>
      </w:r>
    </w:p>
    <w:p w14:paraId="61505023" w14:textId="77777777" w:rsidR="00607983" w:rsidRPr="00524FAB" w:rsidRDefault="00607983" w:rsidP="00DF1DCF">
      <w:pPr>
        <w:spacing w:after="0" w:line="276" w:lineRule="auto"/>
        <w:ind w:firstLine="0"/>
        <w:rPr>
          <w:rFonts w:ascii="ITC Avant Garde" w:hAnsi="ITC Avant Garde"/>
          <w:i/>
          <w:color w:val="auto"/>
        </w:rPr>
      </w:pPr>
    </w:p>
    <w:p w14:paraId="0640A049" w14:textId="0C83E46B" w:rsidR="00607983" w:rsidRPr="00524FAB" w:rsidRDefault="00607983" w:rsidP="007D5396">
      <w:pPr>
        <w:spacing w:after="0" w:line="276" w:lineRule="auto"/>
        <w:ind w:right="49" w:firstLine="0"/>
        <w:rPr>
          <w:rFonts w:ascii="ITC Avant Garde" w:hAnsi="ITC Avant Garde"/>
          <w:color w:val="auto"/>
        </w:rPr>
      </w:pPr>
      <w:r w:rsidRPr="00524FAB">
        <w:rPr>
          <w:rFonts w:ascii="ITC Avant Garde" w:hAnsi="ITC Avant Garde"/>
          <w:color w:val="auto"/>
        </w:rPr>
        <w:t xml:space="preserve">Respecto al comentario anterior, </w:t>
      </w:r>
      <w:r w:rsidR="0094056F" w:rsidRPr="00524FAB">
        <w:rPr>
          <w:rFonts w:ascii="ITC Avant Garde" w:hAnsi="ITC Avant Garde"/>
          <w:color w:val="auto"/>
        </w:rPr>
        <w:t>la redacción de dicha cláusula es acorde con lo señalado por la Medida Duodécima de las Medidas Fijas.</w:t>
      </w:r>
    </w:p>
    <w:p w14:paraId="611F3BA9" w14:textId="77777777" w:rsidR="00607983" w:rsidRPr="00B56D15" w:rsidRDefault="00607983" w:rsidP="007D5396">
      <w:pPr>
        <w:spacing w:line="276" w:lineRule="auto"/>
        <w:ind w:firstLine="0"/>
        <w:rPr>
          <w:rFonts w:ascii="ITC Avant Garde" w:hAnsi="ITC Avant Garde"/>
          <w:i/>
          <w:color w:val="auto"/>
        </w:rPr>
      </w:pPr>
    </w:p>
    <w:p w14:paraId="08246CBA" w14:textId="4141464E" w:rsidR="002959C1" w:rsidRPr="00E62CB9" w:rsidRDefault="003C5374" w:rsidP="007D5396">
      <w:pPr>
        <w:spacing w:after="0" w:line="276" w:lineRule="auto"/>
        <w:ind w:right="49" w:firstLine="0"/>
        <w:rPr>
          <w:rFonts w:ascii="ITC Avant Garde" w:hAnsi="ITC Avant Garde"/>
          <w:b/>
          <w:color w:val="auto"/>
          <w:u w:val="single"/>
        </w:rPr>
      </w:pPr>
      <w:r w:rsidRPr="004C65CF">
        <w:rPr>
          <w:rFonts w:ascii="ITC Avant Garde" w:hAnsi="ITC Avant Garde"/>
          <w:b/>
          <w:color w:val="auto"/>
          <w:u w:val="single"/>
        </w:rPr>
        <w:t xml:space="preserve">Comentarios emitidos a la </w:t>
      </w:r>
      <w:r>
        <w:rPr>
          <w:rFonts w:ascii="ITC Avant Garde" w:hAnsi="ITC Avant Garde"/>
          <w:b/>
          <w:color w:val="auto"/>
          <w:u w:val="single"/>
        </w:rPr>
        <w:t>CLÁUSULA</w:t>
      </w:r>
      <w:r w:rsidRPr="004C65CF">
        <w:rPr>
          <w:rFonts w:ascii="ITC Avant Garde" w:hAnsi="ITC Avant Garde"/>
          <w:b/>
          <w:color w:val="auto"/>
          <w:u w:val="single"/>
        </w:rPr>
        <w:t xml:space="preserve"> </w:t>
      </w:r>
      <w:r>
        <w:rPr>
          <w:rFonts w:ascii="ITC Avant Garde" w:hAnsi="ITC Avant Garde"/>
          <w:b/>
          <w:color w:val="auto"/>
          <w:u w:val="single"/>
        </w:rPr>
        <w:t>DECIMOCTAVA</w:t>
      </w:r>
      <w:r w:rsidR="002959C1">
        <w:rPr>
          <w:rFonts w:ascii="ITC Avant Garde" w:hAnsi="ITC Avant Garde"/>
          <w:b/>
          <w:color w:val="auto"/>
          <w:u w:val="single"/>
        </w:rPr>
        <w:t xml:space="preserve"> </w:t>
      </w:r>
    </w:p>
    <w:p w14:paraId="786BD81C" w14:textId="77777777" w:rsidR="002959C1" w:rsidRDefault="002959C1" w:rsidP="007D5396">
      <w:pPr>
        <w:spacing w:line="276" w:lineRule="auto"/>
        <w:ind w:firstLine="0"/>
        <w:rPr>
          <w:rFonts w:ascii="ITC Avant Garde" w:hAnsi="ITC Avant Garde"/>
          <w:b/>
          <w:color w:val="auto"/>
        </w:rPr>
      </w:pPr>
    </w:p>
    <w:p w14:paraId="43E781DE" w14:textId="319E9911" w:rsidR="00E0750E" w:rsidRPr="00B56D15" w:rsidRDefault="00E0750E" w:rsidP="007D5396">
      <w:pPr>
        <w:spacing w:line="276" w:lineRule="auto"/>
        <w:ind w:firstLine="0"/>
        <w:rPr>
          <w:rFonts w:ascii="ITC Avant Garde" w:hAnsi="ITC Avant Garde"/>
          <w:b/>
          <w:color w:val="auto"/>
        </w:rPr>
      </w:pPr>
      <w:r w:rsidRPr="00B56D15">
        <w:rPr>
          <w:rFonts w:ascii="ITC Avant Garde" w:hAnsi="ITC Avant Garde"/>
          <w:b/>
          <w:color w:val="auto"/>
        </w:rPr>
        <w:t>Telefónica y CANIETI:</w:t>
      </w:r>
    </w:p>
    <w:p w14:paraId="236DE935" w14:textId="77777777" w:rsidR="00E0750E" w:rsidRPr="00B56D15" w:rsidRDefault="00E0750E" w:rsidP="007D5396">
      <w:pPr>
        <w:spacing w:line="276" w:lineRule="auto"/>
        <w:ind w:firstLine="0"/>
        <w:rPr>
          <w:rFonts w:ascii="ITC Avant Garde" w:hAnsi="ITC Avant Garde"/>
          <w:b/>
          <w:color w:val="auto"/>
        </w:rPr>
      </w:pPr>
    </w:p>
    <w:p w14:paraId="4A985BA3" w14:textId="1231F6F8" w:rsidR="00E0750E" w:rsidRPr="00B56D15" w:rsidRDefault="00E0750E" w:rsidP="007D5396">
      <w:pPr>
        <w:spacing w:line="276" w:lineRule="auto"/>
        <w:ind w:firstLine="0"/>
        <w:rPr>
          <w:rFonts w:ascii="ITC Avant Garde" w:hAnsi="ITC Avant Garde"/>
          <w:i/>
          <w:color w:val="auto"/>
        </w:rPr>
      </w:pPr>
      <w:r w:rsidRPr="00B56D15">
        <w:rPr>
          <w:rFonts w:ascii="ITC Avant Garde" w:hAnsi="ITC Avant Garde"/>
          <w:i/>
          <w:color w:val="auto"/>
        </w:rPr>
        <w:t>La redacción del numeral 18.7 “Títulos” no es clara y a efecto de tener mayor certeza jurídica en la interpretación del documento se propone la siguiente redacción:</w:t>
      </w:r>
    </w:p>
    <w:p w14:paraId="52005DB2" w14:textId="77777777" w:rsidR="00E0750E" w:rsidRPr="00B56D15" w:rsidRDefault="00E0750E" w:rsidP="007D5396">
      <w:pPr>
        <w:spacing w:line="276" w:lineRule="auto"/>
        <w:ind w:firstLine="0"/>
        <w:rPr>
          <w:rFonts w:ascii="ITC Avant Garde" w:hAnsi="ITC Avant Garde"/>
          <w:i/>
          <w:color w:val="auto"/>
        </w:rPr>
      </w:pPr>
    </w:p>
    <w:p w14:paraId="1E7554E1" w14:textId="1753B3D2" w:rsidR="00B77F7A" w:rsidRDefault="00E0750E" w:rsidP="007D5396">
      <w:pPr>
        <w:spacing w:line="276" w:lineRule="auto"/>
        <w:ind w:firstLine="0"/>
        <w:rPr>
          <w:rFonts w:ascii="ITC Avant Garde" w:hAnsi="ITC Avant Garde"/>
          <w:i/>
          <w:color w:val="auto"/>
        </w:rPr>
      </w:pPr>
      <w:r w:rsidRPr="00B56D15">
        <w:rPr>
          <w:rFonts w:ascii="ITC Avant Garde" w:hAnsi="ITC Avant Garde"/>
          <w:i/>
          <w:color w:val="auto"/>
        </w:rPr>
        <w:t>Los títulos de las cláusulas y sub-títulos de los numerales, incisos y sub- incisos de este Convenio no tienen más fin que facilitar la lectura del mismo y no podrán afectar ni tendrán efecto alguno para la interpretación de este Conv</w:t>
      </w:r>
      <w:r w:rsidR="003C5374">
        <w:rPr>
          <w:rFonts w:ascii="ITC Avant Garde" w:hAnsi="ITC Avant Garde"/>
          <w:i/>
          <w:color w:val="auto"/>
        </w:rPr>
        <w:t>enio.</w:t>
      </w:r>
    </w:p>
    <w:p w14:paraId="14CE78F5" w14:textId="77777777" w:rsidR="00B77F7A" w:rsidRPr="00524FAB" w:rsidRDefault="00B77F7A" w:rsidP="007D5396">
      <w:pPr>
        <w:spacing w:line="276" w:lineRule="auto"/>
        <w:ind w:firstLine="0"/>
        <w:rPr>
          <w:rFonts w:ascii="ITC Avant Garde" w:hAnsi="ITC Avant Garde"/>
          <w:i/>
          <w:color w:val="auto"/>
        </w:rPr>
      </w:pPr>
    </w:p>
    <w:p w14:paraId="37A346C8" w14:textId="3D4673F3" w:rsidR="007C40E7" w:rsidRPr="00524FAB" w:rsidRDefault="007C40E7" w:rsidP="007D5396">
      <w:pPr>
        <w:spacing w:line="276" w:lineRule="auto"/>
        <w:ind w:firstLine="0"/>
        <w:rPr>
          <w:rFonts w:ascii="ITC Avant Garde" w:hAnsi="ITC Avant Garde"/>
          <w:color w:val="auto"/>
        </w:rPr>
      </w:pPr>
      <w:r w:rsidRPr="00524FAB">
        <w:rPr>
          <w:rFonts w:ascii="ITC Avant Garde" w:hAnsi="ITC Avant Garde"/>
          <w:color w:val="auto"/>
        </w:rPr>
        <w:t xml:space="preserve">Con el fin de proporcionar claridad y certeza jurídica en la lectura o interpretación del convenio, </w:t>
      </w:r>
      <w:r w:rsidR="0094056F" w:rsidRPr="00524FAB">
        <w:rPr>
          <w:rFonts w:ascii="ITC Avant Garde" w:hAnsi="ITC Avant Garde"/>
          <w:color w:val="auto"/>
        </w:rPr>
        <w:t xml:space="preserve">se </w:t>
      </w:r>
      <w:r w:rsidRPr="00524FAB">
        <w:rPr>
          <w:rFonts w:ascii="ITC Avant Garde" w:hAnsi="ITC Avant Garde"/>
          <w:color w:val="auto"/>
        </w:rPr>
        <w:t>modific</w:t>
      </w:r>
      <w:r w:rsidR="0094056F" w:rsidRPr="00524FAB">
        <w:rPr>
          <w:rFonts w:ascii="ITC Avant Garde" w:hAnsi="ITC Avant Garde"/>
          <w:color w:val="auto"/>
        </w:rPr>
        <w:t>ó</w:t>
      </w:r>
      <w:r w:rsidRPr="00524FAB">
        <w:rPr>
          <w:rFonts w:ascii="ITC Avant Garde" w:hAnsi="ITC Avant Garde"/>
          <w:color w:val="auto"/>
        </w:rPr>
        <w:t xml:space="preserve"> la cláusula en comento en el siguiente sentido:</w:t>
      </w:r>
    </w:p>
    <w:p w14:paraId="0DDF2BAB" w14:textId="77777777" w:rsidR="007C40E7" w:rsidRPr="00524FAB" w:rsidRDefault="007C40E7" w:rsidP="007D5396">
      <w:pPr>
        <w:spacing w:after="0" w:line="276" w:lineRule="auto"/>
        <w:ind w:right="49" w:firstLine="0"/>
        <w:rPr>
          <w:rFonts w:ascii="ITC Avant Garde" w:hAnsi="ITC Avant Garde"/>
          <w:color w:val="auto"/>
        </w:rPr>
      </w:pPr>
    </w:p>
    <w:p w14:paraId="15F071C0" w14:textId="687BBE4F" w:rsidR="00C870D1" w:rsidRPr="00524FAB" w:rsidRDefault="007C40E7" w:rsidP="007D5396">
      <w:pPr>
        <w:spacing w:after="0" w:line="276" w:lineRule="auto"/>
        <w:ind w:left="567" w:right="616" w:firstLine="0"/>
        <w:rPr>
          <w:rFonts w:ascii="ITC Avant Garde" w:hAnsi="ITC Avant Garde"/>
          <w:i/>
          <w:color w:val="auto"/>
          <w:sz w:val="18"/>
        </w:rPr>
      </w:pPr>
      <w:r w:rsidRPr="00524FAB">
        <w:rPr>
          <w:rFonts w:ascii="ITC Avant Garde" w:hAnsi="ITC Avant Garde"/>
          <w:i/>
          <w:color w:val="auto"/>
          <w:sz w:val="18"/>
        </w:rPr>
        <w:t>“</w:t>
      </w:r>
      <w:r w:rsidR="00B77F7A" w:rsidRPr="00524FAB">
        <w:rPr>
          <w:rFonts w:ascii="ITC Avant Garde" w:hAnsi="ITC Avant Garde"/>
          <w:i/>
          <w:color w:val="auto"/>
          <w:sz w:val="18"/>
        </w:rPr>
        <w:t xml:space="preserve">18.7 TÍTULOS. Los títulos de las Cláusulas y los subtítulos de los </w:t>
      </w:r>
      <w:r w:rsidR="00B77F7A" w:rsidRPr="00524FAB">
        <w:rPr>
          <w:rFonts w:ascii="ITC Avant Garde" w:hAnsi="ITC Avant Garde"/>
          <w:i/>
          <w:color w:val="auto"/>
          <w:sz w:val="18"/>
          <w:u w:val="single"/>
        </w:rPr>
        <w:t>numerales</w:t>
      </w:r>
      <w:r w:rsidR="00B77F7A" w:rsidRPr="00524FAB">
        <w:rPr>
          <w:rFonts w:ascii="ITC Avant Garde" w:hAnsi="ITC Avant Garde"/>
          <w:i/>
          <w:color w:val="auto"/>
          <w:sz w:val="18"/>
        </w:rPr>
        <w:t xml:space="preserve">, incisos y </w:t>
      </w:r>
      <w:r w:rsidR="00B77F7A" w:rsidRPr="00524FAB">
        <w:rPr>
          <w:rFonts w:ascii="ITC Avant Garde" w:hAnsi="ITC Avant Garde"/>
          <w:i/>
          <w:color w:val="auto"/>
          <w:sz w:val="18"/>
          <w:u w:val="single"/>
        </w:rPr>
        <w:t>subincisos</w:t>
      </w:r>
      <w:r w:rsidR="00B77F7A" w:rsidRPr="00524FAB">
        <w:rPr>
          <w:rFonts w:ascii="ITC Avant Garde" w:hAnsi="ITC Avant Garde"/>
          <w:i/>
          <w:color w:val="auto"/>
          <w:sz w:val="18"/>
        </w:rPr>
        <w:t xml:space="preserve"> de este Convenio no tienen más fin que la conveniencia de las Partes y no podrán afectar ni tendrán efecto alguno para la interpretación de este Convenio.</w:t>
      </w:r>
      <w:r w:rsidRPr="00524FAB">
        <w:rPr>
          <w:rFonts w:ascii="ITC Avant Garde" w:hAnsi="ITC Avant Garde"/>
          <w:i/>
          <w:color w:val="auto"/>
          <w:sz w:val="18"/>
        </w:rPr>
        <w:t>”</w:t>
      </w:r>
    </w:p>
    <w:p w14:paraId="57DB5C93" w14:textId="44EB8F11" w:rsidR="00EB5374" w:rsidRPr="00524FAB" w:rsidRDefault="00EB5374" w:rsidP="0030545A">
      <w:pPr>
        <w:spacing w:after="0" w:line="276" w:lineRule="auto"/>
        <w:ind w:left="567" w:right="616" w:firstLine="0"/>
        <w:jc w:val="right"/>
        <w:rPr>
          <w:rFonts w:ascii="ITC Avant Garde" w:hAnsi="ITC Avant Garde"/>
          <w:i/>
          <w:color w:val="auto"/>
          <w:sz w:val="18"/>
        </w:rPr>
      </w:pPr>
      <w:r w:rsidRPr="00524FAB">
        <w:rPr>
          <w:rFonts w:ascii="ITC Avant Garde" w:hAnsi="ITC Avant Garde"/>
          <w:i/>
          <w:color w:val="auto"/>
          <w:sz w:val="18"/>
        </w:rPr>
        <w:t>(Énfasis añadido)</w:t>
      </w:r>
    </w:p>
    <w:p w14:paraId="18AB7AB8" w14:textId="77777777" w:rsidR="00B6100E" w:rsidRDefault="00B6100E" w:rsidP="007D5396">
      <w:pPr>
        <w:spacing w:after="0" w:line="276" w:lineRule="auto"/>
        <w:ind w:right="49" w:firstLine="0"/>
        <w:rPr>
          <w:rFonts w:ascii="ITC Avant Garde" w:hAnsi="ITC Avant Garde"/>
          <w:b/>
          <w:color w:val="auto"/>
          <w:u w:val="single"/>
        </w:rPr>
      </w:pPr>
    </w:p>
    <w:p w14:paraId="4F920624" w14:textId="0033048B" w:rsidR="002959C1" w:rsidRPr="00E62CB9" w:rsidRDefault="003C5374" w:rsidP="007D5396">
      <w:pPr>
        <w:spacing w:after="0" w:line="276" w:lineRule="auto"/>
        <w:ind w:right="49" w:firstLine="0"/>
        <w:rPr>
          <w:rFonts w:ascii="ITC Avant Garde" w:hAnsi="ITC Avant Garde"/>
          <w:b/>
          <w:color w:val="auto"/>
          <w:u w:val="single"/>
        </w:rPr>
      </w:pPr>
      <w:r w:rsidRPr="004C65CF">
        <w:rPr>
          <w:rFonts w:ascii="ITC Avant Garde" w:hAnsi="ITC Avant Garde"/>
          <w:b/>
          <w:color w:val="auto"/>
          <w:u w:val="single"/>
        </w:rPr>
        <w:t xml:space="preserve">Comentarios emitidos a la </w:t>
      </w:r>
      <w:r>
        <w:rPr>
          <w:rFonts w:ascii="ITC Avant Garde" w:hAnsi="ITC Avant Garde"/>
          <w:b/>
          <w:color w:val="auto"/>
          <w:u w:val="single"/>
        </w:rPr>
        <w:t>CLÁUSULA</w:t>
      </w:r>
      <w:r w:rsidRPr="004C65CF">
        <w:rPr>
          <w:rFonts w:ascii="ITC Avant Garde" w:hAnsi="ITC Avant Garde"/>
          <w:b/>
          <w:color w:val="auto"/>
          <w:u w:val="single"/>
        </w:rPr>
        <w:t xml:space="preserve"> </w:t>
      </w:r>
      <w:r>
        <w:rPr>
          <w:rFonts w:ascii="ITC Avant Garde" w:hAnsi="ITC Avant Garde"/>
          <w:b/>
          <w:color w:val="auto"/>
          <w:u w:val="single"/>
        </w:rPr>
        <w:t>DECIMONOVENA</w:t>
      </w:r>
    </w:p>
    <w:p w14:paraId="30026F3E" w14:textId="77777777" w:rsidR="002959C1" w:rsidRDefault="002959C1" w:rsidP="007D5396">
      <w:pPr>
        <w:spacing w:line="276" w:lineRule="auto"/>
        <w:ind w:firstLine="0"/>
        <w:rPr>
          <w:rFonts w:ascii="ITC Avant Garde" w:hAnsi="ITC Avant Garde"/>
          <w:b/>
          <w:color w:val="auto"/>
        </w:rPr>
      </w:pPr>
    </w:p>
    <w:p w14:paraId="04E3C626" w14:textId="203B8581" w:rsidR="00785C21" w:rsidRPr="00B56D15" w:rsidRDefault="00785C21" w:rsidP="007D5396">
      <w:pPr>
        <w:spacing w:line="276" w:lineRule="auto"/>
        <w:ind w:firstLine="0"/>
        <w:rPr>
          <w:rFonts w:ascii="ITC Avant Garde" w:hAnsi="ITC Avant Garde"/>
          <w:b/>
          <w:color w:val="auto"/>
        </w:rPr>
      </w:pPr>
      <w:r w:rsidRPr="00B56D15">
        <w:rPr>
          <w:rFonts w:ascii="ITC Avant Garde" w:hAnsi="ITC Avant Garde"/>
          <w:b/>
          <w:color w:val="auto"/>
        </w:rPr>
        <w:t>Telefónica:</w:t>
      </w:r>
    </w:p>
    <w:p w14:paraId="31354C17" w14:textId="77777777" w:rsidR="00785C21" w:rsidRPr="00B56D15" w:rsidRDefault="00785C21" w:rsidP="007D5396">
      <w:pPr>
        <w:spacing w:line="276" w:lineRule="auto"/>
        <w:ind w:firstLine="0"/>
        <w:rPr>
          <w:rFonts w:ascii="ITC Avant Garde" w:hAnsi="ITC Avant Garde"/>
          <w:color w:val="auto"/>
        </w:rPr>
      </w:pPr>
    </w:p>
    <w:p w14:paraId="3D02088B" w14:textId="4E01E541" w:rsidR="00785C21" w:rsidRPr="00B56D15" w:rsidRDefault="00C521C0" w:rsidP="007D5396">
      <w:pPr>
        <w:spacing w:line="276" w:lineRule="auto"/>
        <w:ind w:firstLine="0"/>
        <w:rPr>
          <w:rFonts w:ascii="ITC Avant Garde" w:hAnsi="ITC Avant Garde"/>
          <w:i/>
          <w:color w:val="auto"/>
        </w:rPr>
      </w:pPr>
      <w:r>
        <w:rPr>
          <w:rFonts w:ascii="ITC Avant Garde" w:hAnsi="ITC Avant Garde"/>
          <w:i/>
          <w:color w:val="auto"/>
        </w:rPr>
        <w:t>Se solicita</w:t>
      </w:r>
      <w:r w:rsidR="003A72B3">
        <w:rPr>
          <w:rFonts w:ascii="ITC Avant Garde" w:hAnsi="ITC Avant Garde"/>
          <w:i/>
          <w:color w:val="auto"/>
        </w:rPr>
        <w:t xml:space="preserve"> i</w:t>
      </w:r>
      <w:r w:rsidR="00785C21" w:rsidRPr="00B56D15">
        <w:rPr>
          <w:rFonts w:ascii="ITC Avant Garde" w:hAnsi="ITC Avant Garde"/>
          <w:i/>
          <w:color w:val="auto"/>
        </w:rPr>
        <w:t>ncluir la siguiente disposición, toda vez que no se considera que se debe consentir una renuncia de derechos o acciones por el no ejercicio o demora en el reclamo de algún derecho que tenga a su favor el concesionario:</w:t>
      </w:r>
      <w:r w:rsidR="00D9547F">
        <w:rPr>
          <w:rFonts w:ascii="ITC Avant Garde" w:hAnsi="ITC Avant Garde"/>
          <w:i/>
          <w:color w:val="auto"/>
        </w:rPr>
        <w:t xml:space="preserve"> </w:t>
      </w:r>
      <w:r w:rsidR="00785C21" w:rsidRPr="00B56D15">
        <w:rPr>
          <w:rFonts w:ascii="ITC Avant Garde" w:hAnsi="ITC Avant Garde"/>
          <w:i/>
          <w:color w:val="auto"/>
        </w:rPr>
        <w:t xml:space="preserve">NO RENUNCIA DE DERECHOS Y ACCIONES. </w:t>
      </w:r>
    </w:p>
    <w:p w14:paraId="120E810F" w14:textId="77777777" w:rsidR="00785C21" w:rsidRPr="00D5554D" w:rsidRDefault="00785C21" w:rsidP="007D5396">
      <w:pPr>
        <w:spacing w:line="276" w:lineRule="auto"/>
        <w:ind w:firstLine="0"/>
        <w:rPr>
          <w:rFonts w:ascii="ITC Avant Garde" w:hAnsi="ITC Avant Garde"/>
          <w:color w:val="auto"/>
        </w:rPr>
      </w:pPr>
    </w:p>
    <w:p w14:paraId="5179D7A4" w14:textId="41BEE9B8" w:rsidR="00785C21" w:rsidRPr="00D5554D" w:rsidRDefault="00734718" w:rsidP="007D5396">
      <w:pPr>
        <w:spacing w:after="0" w:line="276" w:lineRule="auto"/>
        <w:ind w:right="49" w:firstLine="0"/>
        <w:rPr>
          <w:rFonts w:ascii="ITC Avant Garde" w:hAnsi="ITC Avant Garde"/>
          <w:color w:val="auto"/>
        </w:rPr>
      </w:pPr>
      <w:r w:rsidRPr="00D5554D">
        <w:rPr>
          <w:rFonts w:ascii="ITC Avant Garde" w:hAnsi="ITC Avant Garde"/>
          <w:color w:val="auto"/>
        </w:rPr>
        <w:t>En atención al comentario anterior y con</w:t>
      </w:r>
      <w:r w:rsidR="00785C21" w:rsidRPr="00D5554D">
        <w:rPr>
          <w:rFonts w:ascii="ITC Avant Garde" w:hAnsi="ITC Avant Garde"/>
          <w:color w:val="auto"/>
        </w:rPr>
        <w:t xml:space="preserve"> el fin de otorgar certeza jurídica al </w:t>
      </w:r>
      <w:r w:rsidR="00045A86" w:rsidRPr="00D5554D">
        <w:rPr>
          <w:rFonts w:ascii="ITC Avant Garde" w:hAnsi="ITC Avant Garde"/>
          <w:color w:val="auto"/>
        </w:rPr>
        <w:t>CS</w:t>
      </w:r>
      <w:r w:rsidR="00785C21" w:rsidRPr="00D5554D">
        <w:rPr>
          <w:rFonts w:ascii="ITC Avant Garde" w:hAnsi="ITC Avant Garde"/>
          <w:color w:val="auto"/>
        </w:rPr>
        <w:t xml:space="preserve"> </w:t>
      </w:r>
      <w:r w:rsidR="00007DEB" w:rsidRPr="00D5554D">
        <w:rPr>
          <w:rFonts w:ascii="ITC Avant Garde" w:hAnsi="ITC Avant Garde"/>
          <w:color w:val="auto"/>
        </w:rPr>
        <w:t xml:space="preserve">y al AEP respecto de la no preclusión de sus derechos se requirió incluir una sub cláusula de no renuncia de derechos y acciones, </w:t>
      </w:r>
      <w:r w:rsidR="00785C21" w:rsidRPr="00D5554D">
        <w:rPr>
          <w:rFonts w:ascii="ITC Avant Garde" w:hAnsi="ITC Avant Garde"/>
          <w:color w:val="auto"/>
        </w:rPr>
        <w:t>en los siguientes términos:</w:t>
      </w:r>
    </w:p>
    <w:p w14:paraId="4A529B73" w14:textId="77777777" w:rsidR="00785C21" w:rsidRPr="00D5554D" w:rsidRDefault="00785C21" w:rsidP="007D5396">
      <w:pPr>
        <w:spacing w:after="0" w:line="276" w:lineRule="auto"/>
        <w:ind w:right="49" w:firstLine="0"/>
        <w:rPr>
          <w:rFonts w:ascii="ITC Avant Garde" w:hAnsi="ITC Avant Garde"/>
          <w:color w:val="auto"/>
        </w:rPr>
      </w:pPr>
    </w:p>
    <w:p w14:paraId="680AB81D" w14:textId="73D2973D" w:rsidR="00785C21" w:rsidRPr="00D5554D" w:rsidRDefault="00785C21" w:rsidP="007D5396">
      <w:pPr>
        <w:spacing w:line="276" w:lineRule="auto"/>
        <w:ind w:left="851" w:right="900" w:firstLine="0"/>
        <w:rPr>
          <w:rFonts w:ascii="ITC Avant Garde" w:hAnsi="ITC Avant Garde"/>
          <w:i/>
          <w:color w:val="auto"/>
          <w:sz w:val="18"/>
        </w:rPr>
      </w:pPr>
      <w:r w:rsidRPr="00D5554D">
        <w:rPr>
          <w:rFonts w:ascii="ITC Avant Garde" w:hAnsi="ITC Avant Garde"/>
          <w:i/>
          <w:color w:val="auto"/>
          <w:sz w:val="18"/>
        </w:rPr>
        <w:t>“</w:t>
      </w:r>
      <w:r w:rsidR="002F6DDF" w:rsidRPr="00D5554D">
        <w:rPr>
          <w:rFonts w:ascii="ITC Avant Garde" w:hAnsi="ITC Avant Garde"/>
          <w:b/>
          <w:i/>
          <w:color w:val="auto"/>
          <w:sz w:val="18"/>
        </w:rPr>
        <w:t>18.11. NO RENUNCIA DE DERECHOS Y ACCIONES.</w:t>
      </w:r>
      <w:r w:rsidR="002F6DDF" w:rsidRPr="00D5554D">
        <w:rPr>
          <w:rFonts w:ascii="ITC Avant Garde" w:hAnsi="ITC Avant Garde"/>
          <w:i/>
          <w:color w:val="auto"/>
          <w:sz w:val="18"/>
        </w:rPr>
        <w:t xml:space="preserve"> Las Partes entienden y acuerdan que el no ejercicio o demora en el ejercicio de cualquier derecho, acción, facultad o privilegio establecido en este Convenio que no resulte en caducidad o preclusión por causa de ley, no operará como una renuncia, ni cualquier ejercicio único o parcial que exista precluirá a cualquier ejercicio futuro de acción, derecho, facultad o privilegio previsto.</w:t>
      </w:r>
      <w:r w:rsidRPr="00D5554D">
        <w:rPr>
          <w:rFonts w:ascii="ITC Avant Garde" w:hAnsi="ITC Avant Garde"/>
          <w:i/>
          <w:color w:val="auto"/>
          <w:sz w:val="18"/>
        </w:rPr>
        <w:t>”</w:t>
      </w:r>
    </w:p>
    <w:p w14:paraId="610E6AC7" w14:textId="77777777" w:rsidR="00785C21" w:rsidRDefault="00785C21" w:rsidP="007D5396">
      <w:pPr>
        <w:spacing w:after="0" w:line="276" w:lineRule="auto"/>
        <w:ind w:left="-5" w:right="49" w:firstLine="0"/>
        <w:rPr>
          <w:rFonts w:ascii="ITC Avant Garde" w:hAnsi="ITC Avant Garde"/>
          <w:b/>
          <w:color w:val="auto"/>
        </w:rPr>
      </w:pPr>
    </w:p>
    <w:p w14:paraId="35935FDC" w14:textId="0A1EC1F8" w:rsidR="00E4242E" w:rsidRPr="00B56D15" w:rsidRDefault="00E4242E"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r w:rsidR="003A72B3">
        <w:rPr>
          <w:rFonts w:ascii="ITC Avant Garde" w:hAnsi="ITC Avant Garde"/>
          <w:b/>
          <w:color w:val="auto"/>
        </w:rPr>
        <w:t xml:space="preserve"> y CANIETI</w:t>
      </w:r>
      <w:r w:rsidRPr="00B56D15">
        <w:rPr>
          <w:rFonts w:ascii="ITC Avant Garde" w:hAnsi="ITC Avant Garde"/>
          <w:b/>
          <w:color w:val="auto"/>
        </w:rPr>
        <w:t>:</w:t>
      </w:r>
    </w:p>
    <w:p w14:paraId="499C2A40" w14:textId="77777777" w:rsidR="00E4242E" w:rsidRPr="00B56D15" w:rsidRDefault="00E4242E" w:rsidP="007D5396">
      <w:pPr>
        <w:spacing w:after="0" w:line="276" w:lineRule="auto"/>
        <w:ind w:right="49" w:firstLine="0"/>
        <w:rPr>
          <w:rFonts w:ascii="ITC Avant Garde" w:hAnsi="ITC Avant Garde"/>
          <w:color w:val="auto"/>
        </w:rPr>
      </w:pPr>
    </w:p>
    <w:p w14:paraId="5EDB3235" w14:textId="183934B9" w:rsidR="000F23FD" w:rsidRPr="00B56D15" w:rsidRDefault="003A72B3" w:rsidP="007D5396">
      <w:pPr>
        <w:spacing w:after="0" w:line="276" w:lineRule="auto"/>
        <w:ind w:right="49" w:firstLine="0"/>
        <w:rPr>
          <w:rFonts w:ascii="ITC Avant Garde" w:hAnsi="ITC Avant Garde"/>
          <w:i/>
          <w:color w:val="auto"/>
        </w:rPr>
      </w:pPr>
      <w:r>
        <w:rPr>
          <w:rFonts w:ascii="ITC Avant Garde" w:hAnsi="ITC Avant Garde"/>
          <w:i/>
          <w:color w:val="auto"/>
        </w:rPr>
        <w:t xml:space="preserve">La Cláusula Decimonovena debe quedar en </w:t>
      </w:r>
      <w:r w:rsidR="000F23FD" w:rsidRPr="00B56D15">
        <w:rPr>
          <w:rFonts w:ascii="ITC Avant Garde" w:hAnsi="ITC Avant Garde"/>
          <w:i/>
          <w:color w:val="auto"/>
        </w:rPr>
        <w:t>los mismos términos de</w:t>
      </w:r>
      <w:r w:rsidR="00C65C1C">
        <w:rPr>
          <w:rFonts w:ascii="ITC Avant Garde" w:hAnsi="ITC Avant Garde"/>
          <w:i/>
          <w:color w:val="auto"/>
        </w:rPr>
        <w:t>l</w:t>
      </w:r>
      <w:r w:rsidR="000F23FD" w:rsidRPr="00B56D15">
        <w:rPr>
          <w:rFonts w:ascii="ITC Avant Garde" w:hAnsi="ITC Avant Garde"/>
          <w:i/>
          <w:color w:val="auto"/>
        </w:rPr>
        <w:t xml:space="preserve"> CMI 2016.</w:t>
      </w:r>
    </w:p>
    <w:p w14:paraId="04ADF3EE" w14:textId="77777777" w:rsidR="009F1ABA" w:rsidRPr="00B56D15" w:rsidRDefault="009F1ABA" w:rsidP="007D5396">
      <w:pPr>
        <w:spacing w:after="0" w:line="276" w:lineRule="auto"/>
        <w:ind w:right="49" w:firstLine="0"/>
        <w:rPr>
          <w:rFonts w:ascii="ITC Avant Garde" w:hAnsi="ITC Avant Garde"/>
          <w:b/>
          <w:color w:val="auto"/>
        </w:rPr>
      </w:pPr>
    </w:p>
    <w:p w14:paraId="14539906" w14:textId="48EEA994" w:rsidR="00C870D1" w:rsidRPr="00B56D15" w:rsidRDefault="00C870D1"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66222B35" w14:textId="77777777" w:rsidR="00C870D1" w:rsidRPr="00B56D15" w:rsidRDefault="00C870D1" w:rsidP="007D5396">
      <w:pPr>
        <w:spacing w:after="0" w:line="276" w:lineRule="auto"/>
        <w:ind w:left="-5" w:right="49" w:firstLine="0"/>
        <w:rPr>
          <w:rFonts w:ascii="ITC Avant Garde" w:hAnsi="ITC Avant Garde"/>
          <w:b/>
          <w:color w:val="auto"/>
        </w:rPr>
      </w:pPr>
    </w:p>
    <w:p w14:paraId="4F7C0157" w14:textId="0A57EC2F" w:rsidR="00C870D1" w:rsidRPr="00B56D15" w:rsidRDefault="003A72B3" w:rsidP="007D5396">
      <w:pPr>
        <w:spacing w:line="276" w:lineRule="auto"/>
        <w:ind w:firstLine="0"/>
        <w:rPr>
          <w:rFonts w:ascii="ITC Avant Garde" w:hAnsi="ITC Avant Garde" w:cs="Times New Roman"/>
          <w:i/>
          <w:color w:val="auto"/>
        </w:rPr>
      </w:pPr>
      <w:r>
        <w:rPr>
          <w:rFonts w:ascii="ITC Avant Garde" w:hAnsi="ITC Avant Garde" w:cs="Times New Roman"/>
          <w:i/>
          <w:color w:val="auto"/>
        </w:rPr>
        <w:t>S</w:t>
      </w:r>
      <w:r w:rsidR="00C870D1" w:rsidRPr="00B56D15">
        <w:rPr>
          <w:rFonts w:ascii="ITC Avant Garde" w:hAnsi="ITC Avant Garde" w:cs="Times New Roman"/>
          <w:i/>
          <w:color w:val="auto"/>
        </w:rPr>
        <w:t>e solicita eliminar la cláusula 19 y toda referencia en texto del Convenio donde se mencione que, en caso de que el AEP dejara de serlo, se tengan que negociar exclusivamente entre las parte</w:t>
      </w:r>
      <w:r w:rsidR="007D7A78">
        <w:rPr>
          <w:rFonts w:ascii="ITC Avant Garde" w:hAnsi="ITC Avant Garde" w:cs="Times New Roman"/>
          <w:i/>
          <w:color w:val="auto"/>
        </w:rPr>
        <w:t>s</w:t>
      </w:r>
      <w:r w:rsidR="00C870D1" w:rsidRPr="00B56D15">
        <w:rPr>
          <w:rFonts w:ascii="ITC Avant Garde" w:hAnsi="ITC Avant Garde" w:cs="Times New Roman"/>
          <w:i/>
          <w:color w:val="auto"/>
        </w:rPr>
        <w:t xml:space="preserve">. Se solicita que se añadan cláusulas en las partes relevantes del Convenio (que sustituyan a las anteriores) que especifiquen que, en el caso de que el AEP dejara de serlo, el </w:t>
      </w:r>
      <w:r w:rsidR="002170E6">
        <w:rPr>
          <w:rFonts w:ascii="ITC Avant Garde" w:hAnsi="ITC Avant Garde" w:cs="Times New Roman"/>
          <w:i/>
          <w:color w:val="auto"/>
        </w:rPr>
        <w:t>Instituto</w:t>
      </w:r>
      <w:r w:rsidR="00C870D1" w:rsidRPr="00B56D15">
        <w:rPr>
          <w:rFonts w:ascii="ITC Avant Garde" w:hAnsi="ITC Avant Garde" w:cs="Times New Roman"/>
          <w:i/>
          <w:color w:val="auto"/>
        </w:rPr>
        <w:t xml:space="preserve"> impondrá un plan de transición, con sus correspondientes características técnicas y comerciales, en el que se garantice que se tienen en cuenta las inversiones realizadas y su plazo de recuperación, la existencia de alternativas a la infraestructura del AEP, y la continuada prestación de los servici</w:t>
      </w:r>
      <w:r>
        <w:rPr>
          <w:rFonts w:ascii="ITC Avant Garde" w:hAnsi="ITC Avant Garde" w:cs="Times New Roman"/>
          <w:i/>
          <w:color w:val="auto"/>
        </w:rPr>
        <w:t>os a los usuarios finales, etc.</w:t>
      </w:r>
    </w:p>
    <w:p w14:paraId="0037BE47" w14:textId="77777777" w:rsidR="00E0750E" w:rsidRPr="00B56D15" w:rsidRDefault="00E0750E" w:rsidP="007D5396">
      <w:pPr>
        <w:spacing w:line="276" w:lineRule="auto"/>
        <w:ind w:firstLine="0"/>
        <w:rPr>
          <w:rFonts w:ascii="ITC Avant Garde" w:hAnsi="ITC Avant Garde"/>
          <w:color w:val="auto"/>
        </w:rPr>
      </w:pPr>
    </w:p>
    <w:p w14:paraId="758B69DB" w14:textId="38F23241" w:rsidR="00E0750E" w:rsidRPr="00B56D15" w:rsidRDefault="00C84205" w:rsidP="007D5396">
      <w:pPr>
        <w:spacing w:line="276" w:lineRule="auto"/>
        <w:ind w:firstLine="0"/>
        <w:rPr>
          <w:rFonts w:ascii="ITC Avant Garde" w:hAnsi="ITC Avant Garde"/>
          <w:b/>
          <w:color w:val="auto"/>
        </w:rPr>
      </w:pPr>
      <w:r>
        <w:rPr>
          <w:rFonts w:ascii="ITC Avant Garde" w:hAnsi="ITC Avant Garde"/>
          <w:b/>
          <w:color w:val="auto"/>
        </w:rPr>
        <w:t xml:space="preserve">Telefónica, </w:t>
      </w:r>
      <w:r w:rsidR="00E0750E" w:rsidRPr="00B56D15">
        <w:rPr>
          <w:rFonts w:ascii="ITC Avant Garde" w:hAnsi="ITC Avant Garde"/>
          <w:b/>
          <w:color w:val="auto"/>
        </w:rPr>
        <w:t>CANIETI</w:t>
      </w:r>
      <w:r>
        <w:rPr>
          <w:rFonts w:ascii="ITC Avant Garde" w:hAnsi="ITC Avant Garde"/>
          <w:b/>
          <w:color w:val="auto"/>
        </w:rPr>
        <w:t xml:space="preserve"> y MCM</w:t>
      </w:r>
      <w:r w:rsidR="00E0750E" w:rsidRPr="00B56D15">
        <w:rPr>
          <w:rFonts w:ascii="ITC Avant Garde" w:hAnsi="ITC Avant Garde"/>
          <w:b/>
          <w:color w:val="auto"/>
        </w:rPr>
        <w:t>:</w:t>
      </w:r>
    </w:p>
    <w:p w14:paraId="0068DC04" w14:textId="77777777" w:rsidR="00E0750E" w:rsidRPr="00B56D15" w:rsidRDefault="00E0750E" w:rsidP="007D5396">
      <w:pPr>
        <w:spacing w:line="276" w:lineRule="auto"/>
        <w:ind w:firstLine="0"/>
        <w:rPr>
          <w:rFonts w:ascii="ITC Avant Garde" w:hAnsi="ITC Avant Garde"/>
          <w:color w:val="auto"/>
        </w:rPr>
      </w:pPr>
    </w:p>
    <w:p w14:paraId="51CD4511" w14:textId="02C16213" w:rsidR="00E0750E" w:rsidRPr="00B56D15" w:rsidRDefault="00E0750E" w:rsidP="007D5396">
      <w:pPr>
        <w:spacing w:line="276" w:lineRule="auto"/>
        <w:ind w:firstLine="0"/>
        <w:rPr>
          <w:rFonts w:ascii="ITC Avant Garde" w:hAnsi="ITC Avant Garde"/>
          <w:i/>
          <w:color w:val="auto"/>
        </w:rPr>
      </w:pPr>
      <w:r w:rsidRPr="00B56D15">
        <w:rPr>
          <w:rFonts w:ascii="ITC Avant Garde" w:hAnsi="ITC Avant Garde"/>
          <w:i/>
          <w:color w:val="auto"/>
        </w:rPr>
        <w:t>Esta cláusula se debe eliminar ya que establece que las partes acuerdan que el convenio estará vigente mientras tenga el carácter de AEP y cuando deje de tenerlo se negociarán condiciones simétricas.</w:t>
      </w:r>
    </w:p>
    <w:p w14:paraId="4ADF7F2F" w14:textId="77777777" w:rsidR="00E0750E" w:rsidRPr="00B56D15" w:rsidRDefault="00E0750E" w:rsidP="007D5396">
      <w:pPr>
        <w:spacing w:line="276" w:lineRule="auto"/>
        <w:ind w:firstLine="0"/>
        <w:rPr>
          <w:rFonts w:ascii="ITC Avant Garde" w:hAnsi="ITC Avant Garde"/>
          <w:i/>
          <w:color w:val="auto"/>
        </w:rPr>
      </w:pPr>
    </w:p>
    <w:p w14:paraId="1F7A14B2" w14:textId="1885302D" w:rsidR="00785C21" w:rsidRPr="00D5554D" w:rsidRDefault="00FC4BA0" w:rsidP="00DF1DCF">
      <w:pPr>
        <w:spacing w:line="276" w:lineRule="auto"/>
        <w:ind w:firstLine="0"/>
        <w:rPr>
          <w:rFonts w:ascii="ITC Avant Garde" w:eastAsia="Times New Roman" w:hAnsi="ITC Avant Garde" w:cs="Times New Roman"/>
          <w:color w:val="auto"/>
        </w:rPr>
      </w:pPr>
      <w:r w:rsidRPr="00D5554D">
        <w:rPr>
          <w:rFonts w:ascii="ITC Avant Garde" w:eastAsia="Times New Roman" w:hAnsi="ITC Avant Garde" w:cs="Times New Roman"/>
          <w:color w:val="auto"/>
        </w:rPr>
        <w:t xml:space="preserve">Respecto a los comentarios anteriores, </w:t>
      </w:r>
      <w:r w:rsidR="00C521C0" w:rsidRPr="00D5554D">
        <w:rPr>
          <w:rFonts w:ascii="ITC Avant Garde" w:eastAsia="Times New Roman" w:hAnsi="ITC Avant Garde" w:cs="Times New Roman"/>
          <w:color w:val="auto"/>
        </w:rPr>
        <w:t>se</w:t>
      </w:r>
      <w:r w:rsidR="00B77134" w:rsidRPr="00D5554D">
        <w:rPr>
          <w:rFonts w:ascii="ITC Avant Garde" w:eastAsia="Times New Roman" w:hAnsi="ITC Avant Garde" w:cs="Times New Roman"/>
          <w:color w:val="auto"/>
        </w:rPr>
        <w:t xml:space="preserve"> consider</w:t>
      </w:r>
      <w:r w:rsidR="00C521C0" w:rsidRPr="00D5554D">
        <w:rPr>
          <w:rFonts w:ascii="ITC Avant Garde" w:eastAsia="Times New Roman" w:hAnsi="ITC Avant Garde" w:cs="Times New Roman"/>
          <w:color w:val="auto"/>
        </w:rPr>
        <w:t>ó</w:t>
      </w:r>
      <w:r w:rsidR="00B77134" w:rsidRPr="00D5554D">
        <w:rPr>
          <w:rFonts w:ascii="ITC Avant Garde" w:eastAsia="Times New Roman" w:hAnsi="ITC Avant Garde" w:cs="Times New Roman"/>
          <w:color w:val="auto"/>
        </w:rPr>
        <w:t xml:space="preserve"> necesario incluir en la redacción de dicha cláusula que las negociaciones que lleven a cabo con los concesionarios a efecto de acordar los nuevos términos y condiciones serán con independencia de las acciones que el Instituto pueda ejercer en el marco de sus facultades de acuerdo con la normatividad vigente,</w:t>
      </w:r>
      <w:r w:rsidR="00DF1DCF" w:rsidRPr="00D5554D">
        <w:rPr>
          <w:rFonts w:ascii="ITC Avant Garde" w:eastAsia="Times New Roman" w:hAnsi="ITC Avant Garde" w:cs="Times New Roman"/>
          <w:color w:val="auto"/>
        </w:rPr>
        <w:t xml:space="preserve"> e</w:t>
      </w:r>
      <w:r w:rsidRPr="00D5554D">
        <w:rPr>
          <w:rFonts w:ascii="ITC Avant Garde" w:eastAsia="Times New Roman" w:hAnsi="ITC Avant Garde" w:cs="Times New Roman"/>
          <w:color w:val="auto"/>
        </w:rPr>
        <w:t xml:space="preserve">s así que </w:t>
      </w:r>
      <w:r w:rsidRPr="00D5554D">
        <w:rPr>
          <w:rFonts w:ascii="ITC Avant Garde" w:hAnsi="ITC Avant Garde" w:cs="Arial"/>
          <w:color w:val="auto"/>
        </w:rPr>
        <w:t>la Cláusula Decimonovena</w:t>
      </w:r>
      <w:r w:rsidRPr="00D5554D">
        <w:rPr>
          <w:rFonts w:ascii="ITC Avant Garde" w:eastAsia="Times New Roman" w:hAnsi="ITC Avant Garde" w:cs="Times New Roman"/>
          <w:color w:val="auto"/>
        </w:rPr>
        <w:t xml:space="preserve"> se modificó </w:t>
      </w:r>
      <w:r w:rsidRPr="00D5554D">
        <w:rPr>
          <w:rFonts w:ascii="ITC Avant Garde" w:hAnsi="ITC Avant Garde" w:cs="Arial"/>
          <w:color w:val="auto"/>
        </w:rPr>
        <w:t>en los siguientes términos:</w:t>
      </w:r>
    </w:p>
    <w:p w14:paraId="4AE7B253" w14:textId="77777777" w:rsidR="00FC4BA0" w:rsidRPr="00D5554D" w:rsidRDefault="00FC4BA0" w:rsidP="007D5396">
      <w:pPr>
        <w:spacing w:line="276" w:lineRule="auto"/>
        <w:ind w:firstLine="0"/>
        <w:rPr>
          <w:rFonts w:ascii="ITC Avant Garde" w:hAnsi="ITC Avant Garde" w:cs="Arial"/>
          <w:color w:val="auto"/>
        </w:rPr>
      </w:pPr>
    </w:p>
    <w:p w14:paraId="702F86F9" w14:textId="549AE41E" w:rsidR="00FC4BA0" w:rsidRPr="00D5554D" w:rsidRDefault="00FC4BA0" w:rsidP="007D5396">
      <w:pPr>
        <w:spacing w:after="0" w:line="276" w:lineRule="auto"/>
        <w:ind w:left="567" w:right="567" w:firstLine="0"/>
        <w:rPr>
          <w:rFonts w:ascii="ITC Avant Garde" w:hAnsi="ITC Avant Garde" w:cs="Arial"/>
          <w:i/>
          <w:color w:val="auto"/>
          <w:sz w:val="18"/>
          <w:szCs w:val="18"/>
          <w:lang w:val="es-ES_tradnl"/>
        </w:rPr>
      </w:pPr>
      <w:r w:rsidRPr="00D5554D">
        <w:rPr>
          <w:rFonts w:ascii="ITC Avant Garde" w:hAnsi="ITC Avant Garde" w:cs="Arial"/>
          <w:bCs/>
          <w:i/>
          <w:color w:val="auto"/>
          <w:sz w:val="18"/>
          <w:szCs w:val="18"/>
        </w:rPr>
        <w:t>“</w:t>
      </w:r>
      <w:r w:rsidRPr="00D5554D">
        <w:rPr>
          <w:rFonts w:ascii="ITC Avant Garde" w:hAnsi="ITC Avant Garde" w:cs="Arial"/>
          <w:b/>
          <w:bCs/>
          <w:i/>
          <w:color w:val="auto"/>
          <w:sz w:val="18"/>
          <w:szCs w:val="18"/>
          <w:u w:val="single"/>
        </w:rPr>
        <w:t>CONDICIONES RESOLUTORIAS</w:t>
      </w:r>
      <w:r w:rsidRPr="00D5554D">
        <w:rPr>
          <w:rFonts w:ascii="ITC Avant Garde" w:hAnsi="ITC Avant Garde" w:cs="Arial"/>
          <w:i/>
          <w:color w:val="auto"/>
          <w:sz w:val="18"/>
          <w:szCs w:val="18"/>
          <w:lang w:val="es-ES_tradnl"/>
        </w:rPr>
        <w:t xml:space="preserve">. Las partes acuerdan que las condiciones establecidas en el cuerpo del presente Convenio y sus Anexos, estarán vigentes mientras Telmex tenga el carácter de agente económico preponderante que le fue determinado por el Instituto, sin embargo, en el momento en que Telmex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w:t>
      </w:r>
      <w:r w:rsidRPr="00D5554D">
        <w:rPr>
          <w:rFonts w:ascii="ITC Avant Garde" w:hAnsi="ITC Avant Garde" w:cs="Arial"/>
          <w:i/>
          <w:color w:val="auto"/>
          <w:sz w:val="18"/>
          <w:szCs w:val="18"/>
          <w:u w:val="single"/>
          <w:lang w:val="es-ES_tradnl"/>
        </w:rPr>
        <w:t>de conformidad con lo dispuesto en el artículo 129 de la Ley</w:t>
      </w:r>
      <w:r w:rsidR="00C65C1C" w:rsidRPr="00D5554D">
        <w:rPr>
          <w:rFonts w:ascii="ITC Avant Garde" w:hAnsi="ITC Avant Garde" w:cs="Arial"/>
          <w:i/>
          <w:color w:val="auto"/>
          <w:sz w:val="18"/>
          <w:szCs w:val="18"/>
          <w:u w:val="single"/>
          <w:lang w:val="es-ES_tradnl"/>
        </w:rPr>
        <w:t>, y una vez que se haya satisfecho el procedimiento establecido en el artículo 131 de la Ley.</w:t>
      </w:r>
    </w:p>
    <w:p w14:paraId="6A59F13F" w14:textId="77777777" w:rsidR="00FC4BA0" w:rsidRPr="00D5554D" w:rsidRDefault="00FC4BA0" w:rsidP="007D5396">
      <w:pPr>
        <w:spacing w:after="0" w:line="276" w:lineRule="auto"/>
        <w:ind w:left="567" w:right="567" w:firstLine="0"/>
        <w:rPr>
          <w:rFonts w:ascii="ITC Avant Garde" w:hAnsi="ITC Avant Garde" w:cs="Arial"/>
          <w:i/>
          <w:color w:val="auto"/>
          <w:sz w:val="18"/>
          <w:szCs w:val="18"/>
          <w:lang w:val="es-ES_tradnl"/>
        </w:rPr>
      </w:pPr>
    </w:p>
    <w:p w14:paraId="1788E238" w14:textId="77777777" w:rsidR="00FC4BA0" w:rsidRPr="00D5554D" w:rsidRDefault="00FC4BA0" w:rsidP="00605FEF">
      <w:pPr>
        <w:spacing w:after="0" w:line="276" w:lineRule="auto"/>
        <w:ind w:left="567" w:right="567" w:firstLine="0"/>
        <w:rPr>
          <w:rFonts w:ascii="ITC Avant Garde" w:hAnsi="ITC Avant Garde" w:cs="Arial"/>
          <w:i/>
          <w:color w:val="auto"/>
          <w:sz w:val="18"/>
          <w:szCs w:val="18"/>
          <w:lang w:val="es-ES_tradnl"/>
        </w:rPr>
      </w:pPr>
      <w:r w:rsidRPr="00D5554D">
        <w:rPr>
          <w:rFonts w:ascii="ITC Avant Garde" w:hAnsi="ITC Avant Garde" w:cs="Arial"/>
          <w:i/>
          <w:color w:val="auto"/>
          <w:sz w:val="18"/>
          <w:szCs w:val="18"/>
          <w:lang w:val="es-ES_tradnl"/>
        </w:rPr>
        <w:t xml:space="preserve">Las partes se obligan a </w:t>
      </w:r>
      <w:r w:rsidRPr="00D5554D">
        <w:rPr>
          <w:rFonts w:ascii="ITC Avant Garde" w:hAnsi="ITC Avant Garde" w:cs="Arial"/>
          <w:i/>
          <w:color w:val="auto"/>
          <w:sz w:val="18"/>
          <w:szCs w:val="18"/>
        </w:rPr>
        <w:t>negociar los términos, condiciones y tarifas que modificarán</w:t>
      </w:r>
      <w:r w:rsidRPr="00D5554D" w:rsidDel="00AD30E2">
        <w:rPr>
          <w:rFonts w:ascii="ITC Avant Garde" w:hAnsi="ITC Avant Garde" w:cs="Arial"/>
          <w:i/>
          <w:color w:val="auto"/>
          <w:sz w:val="18"/>
          <w:szCs w:val="18"/>
          <w:lang w:val="es-ES_tradnl"/>
        </w:rPr>
        <w:t xml:space="preserve"> </w:t>
      </w:r>
      <w:r w:rsidRPr="00D5554D">
        <w:rPr>
          <w:rFonts w:ascii="ITC Avant Garde" w:hAnsi="ITC Avant Garde" w:cs="Arial"/>
          <w:i/>
          <w:color w:val="auto"/>
          <w:sz w:val="18"/>
          <w:szCs w:val="18"/>
          <w:lang w:val="es-ES_tradnl"/>
        </w:rPr>
        <w:t xml:space="preserve">el presente Convenio en todo lo que sea necesario, en el momento en que Telmex deje de tener el carácter de agente económico preponderante en telecomunicaciones que le fue determinado por el Instituto, ya sea porque así le sea notificado a Telmex por el propio </w:t>
      </w:r>
      <w:r w:rsidRPr="00D5554D">
        <w:rPr>
          <w:rFonts w:ascii="ITC Avant Garde" w:hAnsi="ITC Avant Garde" w:cs="Arial"/>
          <w:i/>
          <w:color w:val="auto"/>
          <w:sz w:val="18"/>
          <w:szCs w:val="18"/>
          <w:lang w:val="es-ES_tradnl"/>
        </w:rPr>
        <w:lastRenderedPageBreak/>
        <w:t xml:space="preserve">Instituto o porque Telmex haya obtenido resolución favorable en cualesquiera de los litigios a que se hace mención en el inciso f) de las declaraciones de este Convenio, dentro de los </w:t>
      </w:r>
      <w:r w:rsidRPr="00D5554D">
        <w:rPr>
          <w:rFonts w:ascii="ITC Avant Garde" w:hAnsi="ITC Avant Garde" w:cs="Arial"/>
          <w:i/>
          <w:color w:val="auto"/>
          <w:sz w:val="18"/>
          <w:szCs w:val="18"/>
          <w:u w:val="single"/>
          <w:lang w:val="es-ES_tradnl"/>
        </w:rPr>
        <w:t>120 (ciento veinte)</w:t>
      </w:r>
      <w:r w:rsidRPr="00D5554D">
        <w:rPr>
          <w:rFonts w:ascii="ITC Avant Garde" w:hAnsi="ITC Avant Garde" w:cs="Arial"/>
          <w:i/>
          <w:color w:val="auto"/>
          <w:sz w:val="18"/>
          <w:szCs w:val="18"/>
          <w:lang w:val="es-ES_tradnl"/>
        </w:rPr>
        <w:t xml:space="preserve"> días naturales siguientes a la notificación de cualquiera de los supuestos anteriores, obligándose a aplicar, </w:t>
      </w:r>
      <w:r w:rsidRPr="00D5554D">
        <w:rPr>
          <w:rFonts w:ascii="ITC Avant Garde" w:hAnsi="ITC Avant Garde" w:cs="Arial"/>
          <w:i/>
          <w:color w:val="auto"/>
          <w:sz w:val="18"/>
          <w:szCs w:val="18"/>
          <w:u w:val="single"/>
          <w:lang w:val="es-ES_tradnl"/>
        </w:rPr>
        <w:t>las últimas tarifas, términos y condiciones suscritos entre las Partes</w:t>
      </w:r>
      <w:r w:rsidRPr="00D5554D">
        <w:rPr>
          <w:rFonts w:ascii="ITC Avant Garde" w:hAnsi="ITC Avant Garde" w:cs="Arial"/>
          <w:i/>
          <w:color w:val="auto"/>
          <w:sz w:val="18"/>
          <w:szCs w:val="18"/>
          <w:lang w:val="es-ES_tradnl"/>
        </w:rPr>
        <w:t xml:space="preserve">. </w:t>
      </w:r>
      <w:r w:rsidRPr="00D5554D">
        <w:rPr>
          <w:rFonts w:ascii="ITC Avant Garde" w:hAnsi="ITC Avant Garde" w:cs="Arial"/>
          <w:bCs/>
          <w:i/>
          <w:color w:val="auto"/>
          <w:sz w:val="18"/>
          <w:szCs w:val="18"/>
        </w:rPr>
        <w:t>[…]</w:t>
      </w:r>
      <w:r w:rsidRPr="00D5554D">
        <w:rPr>
          <w:rFonts w:ascii="ITC Avant Garde" w:hAnsi="ITC Avant Garde" w:cs="Arial"/>
          <w:i/>
          <w:color w:val="auto"/>
          <w:sz w:val="18"/>
          <w:szCs w:val="18"/>
          <w:lang w:val="es-ES_tradnl"/>
        </w:rPr>
        <w:t>”</w:t>
      </w:r>
    </w:p>
    <w:p w14:paraId="51D7D662" w14:textId="60485FF1" w:rsidR="00E3593E" w:rsidRPr="00D5554D" w:rsidRDefault="00E3593E" w:rsidP="00605FEF">
      <w:pPr>
        <w:spacing w:after="0" w:line="276" w:lineRule="auto"/>
        <w:ind w:left="567" w:right="567" w:firstLine="0"/>
        <w:jc w:val="right"/>
        <w:rPr>
          <w:rFonts w:ascii="ITC Avant Garde" w:hAnsi="ITC Avant Garde" w:cs="Arial"/>
          <w:i/>
          <w:color w:val="auto"/>
          <w:sz w:val="18"/>
          <w:szCs w:val="18"/>
          <w:u w:val="single"/>
          <w:lang w:val="es-ES_tradnl"/>
        </w:rPr>
      </w:pPr>
      <w:r w:rsidRPr="00D5554D">
        <w:rPr>
          <w:rFonts w:ascii="ITC Avant Garde" w:hAnsi="ITC Avant Garde"/>
          <w:i/>
          <w:color w:val="auto"/>
          <w:sz w:val="18"/>
          <w:szCs w:val="18"/>
        </w:rPr>
        <w:t>(Énfasis añadido)</w:t>
      </w:r>
    </w:p>
    <w:p w14:paraId="7045F043" w14:textId="77777777" w:rsidR="00E0750E" w:rsidRPr="00B56D15" w:rsidRDefault="00E0750E" w:rsidP="00605FEF">
      <w:pPr>
        <w:spacing w:line="276" w:lineRule="auto"/>
        <w:ind w:left="0" w:firstLine="0"/>
        <w:rPr>
          <w:rFonts w:ascii="ITC Avant Garde" w:hAnsi="ITC Avant Garde"/>
          <w:color w:val="auto"/>
        </w:rPr>
      </w:pPr>
    </w:p>
    <w:p w14:paraId="1AA230A3" w14:textId="2CB50CAE" w:rsidR="007001E9" w:rsidRDefault="007001E9" w:rsidP="007D5396">
      <w:pPr>
        <w:spacing w:after="0" w:line="276" w:lineRule="auto"/>
        <w:ind w:right="49" w:firstLine="0"/>
        <w:rPr>
          <w:rFonts w:ascii="ITC Avant Garde" w:hAnsi="ITC Avant Garde"/>
          <w:b/>
          <w:color w:val="auto"/>
          <w:u w:val="single"/>
        </w:rPr>
      </w:pPr>
      <w:r w:rsidRPr="004C65CF">
        <w:rPr>
          <w:rFonts w:ascii="ITC Avant Garde" w:hAnsi="ITC Avant Garde"/>
          <w:b/>
          <w:color w:val="auto"/>
          <w:u w:val="single"/>
        </w:rPr>
        <w:t>Comentarios emitidos a</w:t>
      </w:r>
      <w:r>
        <w:rPr>
          <w:rFonts w:ascii="ITC Avant Garde" w:hAnsi="ITC Avant Garde"/>
          <w:b/>
          <w:color w:val="auto"/>
          <w:u w:val="single"/>
        </w:rPr>
        <w:t>l ANEXO A ACUERDOS TÉCNICOS</w:t>
      </w:r>
    </w:p>
    <w:p w14:paraId="4BFAACB4" w14:textId="77777777" w:rsidR="007001E9" w:rsidRDefault="007001E9" w:rsidP="007D5396">
      <w:pPr>
        <w:spacing w:line="276" w:lineRule="auto"/>
        <w:ind w:firstLine="0"/>
        <w:rPr>
          <w:rFonts w:ascii="ITC Avant Garde" w:hAnsi="ITC Avant Garde"/>
          <w:b/>
          <w:color w:val="auto"/>
        </w:rPr>
      </w:pPr>
    </w:p>
    <w:p w14:paraId="0CD7A842" w14:textId="6AC04A22" w:rsidR="002E6853" w:rsidRPr="00B56D15" w:rsidRDefault="002E6853"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485E982F" w14:textId="77777777" w:rsidR="002E6853" w:rsidRPr="00B56D15" w:rsidRDefault="002E6853" w:rsidP="007D5396">
      <w:pPr>
        <w:spacing w:line="276" w:lineRule="auto"/>
        <w:ind w:firstLine="0"/>
        <w:rPr>
          <w:rFonts w:ascii="ITC Avant Garde" w:hAnsi="ITC Avant Garde"/>
          <w:color w:val="auto"/>
        </w:rPr>
      </w:pPr>
    </w:p>
    <w:p w14:paraId="7001235B" w14:textId="464111ED" w:rsidR="002E6853" w:rsidRPr="00B56D15" w:rsidRDefault="00C25232" w:rsidP="006B7697">
      <w:pPr>
        <w:spacing w:after="0" w:line="276" w:lineRule="auto"/>
        <w:ind w:left="11" w:right="0" w:firstLine="0"/>
        <w:rPr>
          <w:rFonts w:ascii="ITC Avant Garde" w:hAnsi="ITC Avant Garde"/>
          <w:i/>
          <w:color w:val="auto"/>
        </w:rPr>
      </w:pPr>
      <w:r>
        <w:rPr>
          <w:rFonts w:ascii="ITC Avant Garde" w:hAnsi="ITC Avant Garde"/>
          <w:i/>
          <w:color w:val="auto"/>
        </w:rPr>
        <w:t xml:space="preserve">En el </w:t>
      </w:r>
      <w:r w:rsidR="00B344A3">
        <w:rPr>
          <w:rFonts w:ascii="ITC Avant Garde" w:hAnsi="ITC Avant Garde"/>
          <w:i/>
          <w:color w:val="auto"/>
        </w:rPr>
        <w:t>inciso</w:t>
      </w:r>
      <w:r>
        <w:rPr>
          <w:rFonts w:ascii="ITC Avant Garde" w:hAnsi="ITC Avant Garde"/>
          <w:i/>
          <w:color w:val="auto"/>
        </w:rPr>
        <w:t xml:space="preserve"> 2.3, l</w:t>
      </w:r>
      <w:r w:rsidR="002E6853" w:rsidRPr="00B56D15">
        <w:rPr>
          <w:rFonts w:ascii="ITC Avant Garde" w:hAnsi="ITC Avant Garde"/>
          <w:i/>
          <w:color w:val="auto"/>
        </w:rPr>
        <w:t>a tabla de intercambio de dígitos que recibe Telmex en llam</w:t>
      </w:r>
      <w:r w:rsidR="00307709">
        <w:rPr>
          <w:rFonts w:ascii="ITC Avant Garde" w:hAnsi="ITC Avant Garde"/>
          <w:i/>
          <w:color w:val="auto"/>
        </w:rPr>
        <w:t>a</w:t>
      </w:r>
      <w:r w:rsidR="002E6853" w:rsidRPr="00B56D15">
        <w:rPr>
          <w:rFonts w:ascii="ITC Avant Garde" w:hAnsi="ITC Avant Garde"/>
          <w:i/>
          <w:color w:val="auto"/>
        </w:rPr>
        <w:t>das LD de origen nacional e internacional, omite el identificador de la red de origen (IDO).</w:t>
      </w:r>
    </w:p>
    <w:p w14:paraId="6C508ADE" w14:textId="77777777" w:rsidR="00CC0CFA" w:rsidRDefault="00CC0CFA" w:rsidP="006B7697">
      <w:pPr>
        <w:spacing w:after="0" w:line="276" w:lineRule="auto"/>
        <w:ind w:left="11" w:right="0" w:firstLine="0"/>
        <w:rPr>
          <w:rFonts w:ascii="ITC Avant Garde" w:hAnsi="ITC Avant Garde"/>
          <w:i/>
          <w:color w:val="auto"/>
        </w:rPr>
      </w:pPr>
    </w:p>
    <w:p w14:paraId="494A9532" w14:textId="31508F01" w:rsidR="002E6853" w:rsidRPr="00B56D15" w:rsidRDefault="002E6853" w:rsidP="006B7697">
      <w:pPr>
        <w:spacing w:after="0" w:line="276" w:lineRule="auto"/>
        <w:ind w:left="11" w:right="0" w:firstLine="0"/>
        <w:rPr>
          <w:rFonts w:ascii="ITC Avant Garde" w:hAnsi="ITC Avant Garde"/>
          <w:i/>
          <w:color w:val="auto"/>
        </w:rPr>
      </w:pPr>
      <w:r w:rsidRPr="00B56D15">
        <w:rPr>
          <w:rFonts w:ascii="ITC Avant Garde" w:hAnsi="ITC Avant Garde"/>
          <w:i/>
          <w:color w:val="auto"/>
        </w:rPr>
        <w:t>Modificar la tabla de intercambio de dígitos que recibe Telm</w:t>
      </w:r>
      <w:r w:rsidR="00307709">
        <w:rPr>
          <w:rFonts w:ascii="ITC Avant Garde" w:hAnsi="ITC Avant Garde"/>
          <w:i/>
          <w:color w:val="auto"/>
        </w:rPr>
        <w:t>e</w:t>
      </w:r>
      <w:r w:rsidRPr="00B56D15">
        <w:rPr>
          <w:rFonts w:ascii="ITC Avant Garde" w:hAnsi="ITC Avant Garde"/>
          <w:i/>
          <w:color w:val="auto"/>
        </w:rPr>
        <w:t>x en llamadas LD de origen nacional, internacional y mundial, para agregar</w:t>
      </w:r>
      <w:r w:rsidR="00C521C0">
        <w:rPr>
          <w:rFonts w:ascii="ITC Avant Garde" w:hAnsi="ITC Avant Garde"/>
          <w:i/>
          <w:color w:val="auto"/>
        </w:rPr>
        <w:t xml:space="preserve"> </w:t>
      </w:r>
      <w:r w:rsidRPr="00B56D15">
        <w:rPr>
          <w:rFonts w:ascii="ITC Avant Garde" w:hAnsi="ITC Avant Garde"/>
          <w:i/>
          <w:color w:val="auto"/>
        </w:rPr>
        <w:t>IDD+IDO+NN,</w:t>
      </w:r>
      <w:r w:rsidR="007001E9">
        <w:rPr>
          <w:rFonts w:ascii="ITC Avant Garde" w:hAnsi="ITC Avant Garde"/>
          <w:i/>
          <w:color w:val="auto"/>
        </w:rPr>
        <w:t xml:space="preserve"> IDD+IDO+045+NN y IDD+IDO+1+NN.</w:t>
      </w:r>
    </w:p>
    <w:p w14:paraId="4D4A8DAF" w14:textId="77777777" w:rsidR="002E6853" w:rsidRPr="00B56D15" w:rsidRDefault="002E6853" w:rsidP="006B7697">
      <w:pPr>
        <w:spacing w:after="0" w:line="276" w:lineRule="auto"/>
        <w:ind w:left="11" w:right="0" w:firstLine="0"/>
        <w:rPr>
          <w:rFonts w:ascii="ITC Avant Garde" w:hAnsi="ITC Avant Garde"/>
          <w:i/>
          <w:color w:val="auto"/>
        </w:rPr>
      </w:pPr>
    </w:p>
    <w:p w14:paraId="716A2CDE" w14:textId="43C72DEA" w:rsidR="005F025C" w:rsidRPr="00B56D15" w:rsidRDefault="00C84205" w:rsidP="007D5396">
      <w:pPr>
        <w:spacing w:line="276" w:lineRule="auto"/>
        <w:ind w:firstLine="0"/>
        <w:rPr>
          <w:rFonts w:ascii="ITC Avant Garde" w:hAnsi="ITC Avant Garde"/>
          <w:b/>
          <w:color w:val="auto"/>
        </w:rPr>
      </w:pPr>
      <w:r w:rsidRPr="0038327C">
        <w:rPr>
          <w:rFonts w:ascii="ITC Avant Garde" w:hAnsi="ITC Avant Garde"/>
          <w:b/>
          <w:color w:val="auto"/>
        </w:rPr>
        <w:t>Telefónica,</w:t>
      </w:r>
      <w:r w:rsidR="005F025C" w:rsidRPr="0038327C">
        <w:rPr>
          <w:rFonts w:ascii="ITC Avant Garde" w:hAnsi="ITC Avant Garde"/>
          <w:b/>
          <w:color w:val="auto"/>
        </w:rPr>
        <w:t xml:space="preserve"> CANIETI</w:t>
      </w:r>
      <w:r w:rsidRPr="0038327C">
        <w:rPr>
          <w:rFonts w:ascii="ITC Avant Garde" w:hAnsi="ITC Avant Garde"/>
          <w:b/>
          <w:color w:val="auto"/>
        </w:rPr>
        <w:t xml:space="preserve"> y MCM</w:t>
      </w:r>
      <w:r w:rsidR="005F025C" w:rsidRPr="0038327C">
        <w:rPr>
          <w:rFonts w:ascii="ITC Avant Garde" w:hAnsi="ITC Avant Garde"/>
          <w:b/>
          <w:color w:val="auto"/>
        </w:rPr>
        <w:t>:</w:t>
      </w:r>
    </w:p>
    <w:p w14:paraId="11483B4F" w14:textId="77777777" w:rsidR="005F025C" w:rsidRPr="00B56D15" w:rsidRDefault="005F025C" w:rsidP="007D5396">
      <w:pPr>
        <w:spacing w:line="276" w:lineRule="auto"/>
        <w:ind w:firstLine="0"/>
        <w:rPr>
          <w:rFonts w:ascii="ITC Avant Garde" w:hAnsi="ITC Avant Garde"/>
          <w:color w:val="auto"/>
        </w:rPr>
      </w:pPr>
    </w:p>
    <w:p w14:paraId="45260ABE" w14:textId="22FAA4CE" w:rsidR="005F025C" w:rsidRPr="00B56D15" w:rsidRDefault="00C25232" w:rsidP="007D5396">
      <w:pPr>
        <w:spacing w:line="276" w:lineRule="auto"/>
        <w:ind w:left="0" w:firstLine="0"/>
        <w:rPr>
          <w:rFonts w:ascii="ITC Avant Garde" w:hAnsi="ITC Avant Garde"/>
          <w:i/>
          <w:color w:val="auto"/>
        </w:rPr>
      </w:pPr>
      <w:r>
        <w:rPr>
          <w:rFonts w:ascii="ITC Avant Garde" w:hAnsi="ITC Avant Garde"/>
          <w:i/>
          <w:color w:val="auto"/>
        </w:rPr>
        <w:t xml:space="preserve">En el </w:t>
      </w:r>
      <w:r w:rsidR="00B344A3">
        <w:rPr>
          <w:rFonts w:ascii="ITC Avant Garde" w:hAnsi="ITC Avant Garde"/>
          <w:i/>
          <w:color w:val="auto"/>
        </w:rPr>
        <w:t>inciso</w:t>
      </w:r>
      <w:r>
        <w:rPr>
          <w:rFonts w:ascii="ITC Avant Garde" w:hAnsi="ITC Avant Garde"/>
          <w:i/>
          <w:color w:val="auto"/>
        </w:rPr>
        <w:t xml:space="preserve"> 2.3, l</w:t>
      </w:r>
      <w:r w:rsidR="005F025C" w:rsidRPr="00B56D15">
        <w:rPr>
          <w:rFonts w:ascii="ITC Avant Garde" w:hAnsi="ITC Avant Garde"/>
          <w:i/>
          <w:color w:val="auto"/>
        </w:rPr>
        <w:t xml:space="preserve">os dígitos que deberá </w:t>
      </w:r>
      <w:r w:rsidR="007001E9">
        <w:rPr>
          <w:rFonts w:ascii="ITC Avant Garde" w:hAnsi="ITC Avant Garde"/>
          <w:i/>
          <w:color w:val="auto"/>
        </w:rPr>
        <w:t>enviar el concesionario origen son: IDD+IDO+NN.</w:t>
      </w:r>
    </w:p>
    <w:p w14:paraId="5F770592" w14:textId="77777777" w:rsidR="005F025C" w:rsidRPr="00D5554D" w:rsidRDefault="005F025C" w:rsidP="007D5396">
      <w:pPr>
        <w:spacing w:line="276" w:lineRule="auto"/>
        <w:ind w:firstLine="0"/>
        <w:rPr>
          <w:rFonts w:ascii="ITC Avant Garde" w:hAnsi="ITC Avant Garde"/>
          <w:color w:val="auto"/>
        </w:rPr>
      </w:pPr>
    </w:p>
    <w:p w14:paraId="78189151" w14:textId="6F7B7238" w:rsidR="00564F21" w:rsidRPr="00D5554D" w:rsidRDefault="00564F21" w:rsidP="007D5396">
      <w:pPr>
        <w:spacing w:line="276" w:lineRule="auto"/>
        <w:ind w:firstLine="0"/>
        <w:rPr>
          <w:rFonts w:ascii="ITC Avant Garde" w:hAnsi="ITC Avant Garde"/>
          <w:color w:val="auto"/>
        </w:rPr>
      </w:pPr>
      <w:r w:rsidRPr="00D5554D">
        <w:rPr>
          <w:rFonts w:ascii="ITC Avant Garde" w:hAnsi="ITC Avant Garde"/>
          <w:color w:val="auto"/>
        </w:rPr>
        <w:t xml:space="preserve">Al respecto, el </w:t>
      </w:r>
      <w:r w:rsidRPr="00D5554D">
        <w:rPr>
          <w:rFonts w:ascii="ITC Avant Garde" w:hAnsi="ITC Avant Garde"/>
          <w:i/>
          <w:color w:val="auto"/>
        </w:rPr>
        <w:t>“Acuerdo mediante el cual el Pleno del Instituto Federal de Telecomunicaciones emite las Reglas de Portabilidad Numérica y modifica el Plan Técnico Fundamental de Numeración, el Plan Técnico Fundamental de Señalización y las especificaciones operativas para la implantación de portabilidad de números geográficos y no geográficos</w:t>
      </w:r>
      <w:r w:rsidRPr="00D5554D">
        <w:rPr>
          <w:rFonts w:ascii="ITC Avant Garde" w:hAnsi="ITC Avant Garde"/>
          <w:color w:val="auto"/>
        </w:rPr>
        <w:t>” (en lo sucesivo el “Acuerdo de Portabilidad”), publicado en el Diario Oficial de la Federación el 12 de noviembre de 2014 establece lo siguiente:</w:t>
      </w:r>
    </w:p>
    <w:p w14:paraId="10E35645" w14:textId="77777777" w:rsidR="00564F21" w:rsidRPr="00D5554D" w:rsidRDefault="00564F21" w:rsidP="007D5396">
      <w:pPr>
        <w:spacing w:line="276" w:lineRule="auto"/>
        <w:ind w:firstLine="0"/>
        <w:rPr>
          <w:rFonts w:ascii="ITC Avant Garde" w:hAnsi="ITC Avant Garde"/>
          <w:color w:val="auto"/>
        </w:rPr>
      </w:pPr>
    </w:p>
    <w:p w14:paraId="589ED98D" w14:textId="2CCEC21B"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w:t>
      </w:r>
      <w:r w:rsidRPr="00D5554D">
        <w:rPr>
          <w:rFonts w:ascii="ITC Avant Garde" w:hAnsi="ITC Avant Garde"/>
          <w:b/>
          <w:i/>
          <w:color w:val="auto"/>
          <w:sz w:val="18"/>
        </w:rPr>
        <w:t>8.12.</w:t>
      </w:r>
      <w:r w:rsidRPr="00D5554D">
        <w:rPr>
          <w:rFonts w:ascii="ITC Avant Garde" w:hAnsi="ITC Avant Garde"/>
          <w:i/>
          <w:color w:val="auto"/>
          <w:sz w:val="18"/>
        </w:rPr>
        <w:t xml:space="preserve"> Los operadores deberán adoptar los siguientes formatos para el intercambio de dígitos del Número de B en la señalización entre redes públicas de telecomunicaciones:</w:t>
      </w:r>
    </w:p>
    <w:p w14:paraId="4756DC4A" w14:textId="77777777" w:rsidR="00564F21" w:rsidRPr="00D5554D" w:rsidRDefault="00564F21" w:rsidP="007D5396">
      <w:pPr>
        <w:spacing w:line="276" w:lineRule="auto"/>
        <w:ind w:left="567" w:right="616" w:firstLine="0"/>
        <w:rPr>
          <w:rFonts w:ascii="ITC Avant Garde" w:hAnsi="ITC Avant Garde"/>
          <w:i/>
          <w:color w:val="auto"/>
          <w:sz w:val="18"/>
        </w:rPr>
      </w:pPr>
    </w:p>
    <w:p w14:paraId="23EB34C6" w14:textId="565FA7A0" w:rsidR="00564F21" w:rsidRPr="00D5554D" w:rsidRDefault="00564F21" w:rsidP="00EC40CE">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w:t>
      </w:r>
    </w:p>
    <w:p w14:paraId="6D58F50E"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b) Llamadas de larga distancia nacional:</w:t>
      </w:r>
    </w:p>
    <w:p w14:paraId="6BE69934" w14:textId="77777777" w:rsidR="00564F21" w:rsidRPr="00D5554D" w:rsidRDefault="00564F21" w:rsidP="007D5396">
      <w:pPr>
        <w:spacing w:line="276" w:lineRule="auto"/>
        <w:ind w:left="567" w:right="616" w:firstLine="0"/>
        <w:rPr>
          <w:rFonts w:ascii="ITC Avant Garde" w:hAnsi="ITC Avant Garde"/>
          <w:i/>
          <w:color w:val="auto"/>
          <w:sz w:val="18"/>
        </w:rPr>
      </w:pPr>
    </w:p>
    <w:p w14:paraId="08BE15F2"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b.1) Del operador que presta el servicio local al que presta el servicio de larga distancia, tratándose de llamadas con destino a:</w:t>
      </w:r>
    </w:p>
    <w:p w14:paraId="7F5CA220"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Números fijos y números móviles en la modalidad EQRP</w:t>
      </w:r>
    </w:p>
    <w:p w14:paraId="1FC4B531"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01+ABC+NN (longitud de 15 dígitos)</w:t>
      </w:r>
    </w:p>
    <w:p w14:paraId="5867CD2D"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Números móviles en la modalidad EQLLP</w:t>
      </w:r>
    </w:p>
    <w:p w14:paraId="21370FEA"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01+ABC+045+NN (longitud de 18 dígitos)</w:t>
      </w:r>
    </w:p>
    <w:p w14:paraId="586A524F"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lastRenderedPageBreak/>
        <w:t>Números No Geográficos.</w:t>
      </w:r>
    </w:p>
    <w:p w14:paraId="01E4736D"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01+ABC+IDO+NNG (longitud de 18 dígitos)</w:t>
      </w:r>
    </w:p>
    <w:p w14:paraId="63E06B3B" w14:textId="77777777" w:rsidR="00564F21" w:rsidRPr="00D5554D" w:rsidRDefault="00564F21" w:rsidP="007D5396">
      <w:pPr>
        <w:spacing w:line="276" w:lineRule="auto"/>
        <w:ind w:left="567" w:right="616" w:firstLine="0"/>
        <w:rPr>
          <w:rFonts w:ascii="ITC Avant Garde" w:hAnsi="ITC Avant Garde"/>
          <w:i/>
          <w:color w:val="auto"/>
          <w:sz w:val="18"/>
        </w:rPr>
      </w:pPr>
    </w:p>
    <w:p w14:paraId="342CBE17"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b.2) Del operador que presta el servicio de larga distancia al que presta el servicio local, tratándose de llamadas con destino a:</w:t>
      </w:r>
    </w:p>
    <w:p w14:paraId="3385599E"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Números fijos y números móviles en la modalidad EQRP</w:t>
      </w:r>
    </w:p>
    <w:p w14:paraId="1DCBC40A"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IDD + BCD + NN (longitud de 16 dígitos)</w:t>
      </w:r>
    </w:p>
    <w:p w14:paraId="2D2C6B9B" w14:textId="77777777"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Números móviles en la modalidad EQLLP</w:t>
      </w:r>
    </w:p>
    <w:p w14:paraId="1C28E716" w14:textId="6E0C31DE" w:rsidR="00564F21" w:rsidRPr="00D5554D" w:rsidRDefault="00564F21" w:rsidP="007D5396">
      <w:pPr>
        <w:spacing w:line="276" w:lineRule="auto"/>
        <w:ind w:left="567" w:right="616" w:firstLine="0"/>
        <w:rPr>
          <w:rFonts w:ascii="ITC Avant Garde" w:hAnsi="ITC Avant Garde"/>
          <w:i/>
          <w:color w:val="auto"/>
          <w:sz w:val="18"/>
        </w:rPr>
      </w:pPr>
      <w:r w:rsidRPr="00D5554D">
        <w:rPr>
          <w:rFonts w:ascii="ITC Avant Garde" w:hAnsi="ITC Avant Garde"/>
          <w:i/>
          <w:color w:val="auto"/>
          <w:sz w:val="18"/>
        </w:rPr>
        <w:t>IDD + BCD + 045 + NN (longitud de 19 dígitos)”</w:t>
      </w:r>
    </w:p>
    <w:p w14:paraId="2D8A8632" w14:textId="77777777" w:rsidR="00564F21" w:rsidRPr="00D5554D" w:rsidRDefault="00564F21" w:rsidP="007D5396">
      <w:pPr>
        <w:spacing w:line="276" w:lineRule="auto"/>
        <w:ind w:firstLine="0"/>
        <w:rPr>
          <w:rFonts w:ascii="ITC Avant Garde" w:hAnsi="ITC Avant Garde"/>
          <w:color w:val="auto"/>
        </w:rPr>
      </w:pPr>
    </w:p>
    <w:p w14:paraId="4A83636F" w14:textId="2349CD6E" w:rsidR="00564F21" w:rsidRPr="00D5554D" w:rsidRDefault="002F0087" w:rsidP="007D5396">
      <w:pPr>
        <w:spacing w:line="276" w:lineRule="auto"/>
        <w:ind w:firstLine="0"/>
        <w:rPr>
          <w:rFonts w:ascii="ITC Avant Garde" w:hAnsi="ITC Avant Garde"/>
          <w:color w:val="auto"/>
        </w:rPr>
      </w:pPr>
      <w:r w:rsidRPr="00D5554D">
        <w:rPr>
          <w:rFonts w:ascii="ITC Avant Garde" w:hAnsi="ITC Avant Garde"/>
          <w:color w:val="auto"/>
        </w:rPr>
        <w:t>De lo anterior se observa que el formato</w:t>
      </w:r>
      <w:r w:rsidR="00EC40CE" w:rsidRPr="00D5554D">
        <w:rPr>
          <w:rFonts w:ascii="ITC Avant Garde" w:hAnsi="ITC Avant Garde"/>
          <w:color w:val="auto"/>
        </w:rPr>
        <w:t xml:space="preserve"> para el intercambio de dígitos establecido en el numeral 2.3 del Anexo A de la Propuesta de CMI, para </w:t>
      </w:r>
      <w:r w:rsidRPr="00D5554D">
        <w:rPr>
          <w:rFonts w:ascii="ITC Avant Garde" w:hAnsi="ITC Avant Garde"/>
          <w:color w:val="auto"/>
        </w:rPr>
        <w:t>la señalización entre redes públicas de telecomunicaciones es ac</w:t>
      </w:r>
      <w:r w:rsidR="00EC40CE" w:rsidRPr="00D5554D">
        <w:rPr>
          <w:rFonts w:ascii="ITC Avant Garde" w:hAnsi="ITC Avant Garde"/>
          <w:color w:val="auto"/>
        </w:rPr>
        <w:t>orde con lo establecido en el Acuerdo de Portabilidad por lo que no resulta necesario modificar dicho formato.</w:t>
      </w:r>
    </w:p>
    <w:p w14:paraId="6CBE21EC" w14:textId="77777777" w:rsidR="00564F21" w:rsidRDefault="00564F21" w:rsidP="007D5396">
      <w:pPr>
        <w:spacing w:line="276" w:lineRule="auto"/>
        <w:ind w:firstLine="0"/>
        <w:rPr>
          <w:rFonts w:ascii="ITC Avant Garde" w:hAnsi="ITC Avant Garde"/>
          <w:b/>
          <w:color w:val="auto"/>
        </w:rPr>
      </w:pPr>
    </w:p>
    <w:p w14:paraId="741D971D" w14:textId="0C6DD2F7" w:rsidR="005F025C" w:rsidRPr="00B56D15" w:rsidRDefault="00C25232" w:rsidP="007D5396">
      <w:pPr>
        <w:spacing w:line="276" w:lineRule="auto"/>
        <w:ind w:firstLine="0"/>
        <w:rPr>
          <w:rFonts w:ascii="ITC Avant Garde" w:hAnsi="ITC Avant Garde"/>
          <w:b/>
          <w:color w:val="auto"/>
        </w:rPr>
      </w:pPr>
      <w:r>
        <w:rPr>
          <w:rFonts w:ascii="ITC Avant Garde" w:hAnsi="ITC Avant Garde"/>
          <w:b/>
          <w:color w:val="auto"/>
        </w:rPr>
        <w:t xml:space="preserve">Telefónica y </w:t>
      </w:r>
      <w:r w:rsidR="005F025C" w:rsidRPr="00B56D15">
        <w:rPr>
          <w:rFonts w:ascii="ITC Avant Garde" w:hAnsi="ITC Avant Garde"/>
          <w:b/>
          <w:color w:val="auto"/>
        </w:rPr>
        <w:t>CANIETI:</w:t>
      </w:r>
    </w:p>
    <w:p w14:paraId="2E3B3503" w14:textId="77777777" w:rsidR="005F025C" w:rsidRPr="00B56D15" w:rsidRDefault="005F025C" w:rsidP="007D5396">
      <w:pPr>
        <w:spacing w:line="276" w:lineRule="auto"/>
        <w:ind w:firstLine="0"/>
        <w:rPr>
          <w:rFonts w:ascii="ITC Avant Garde" w:hAnsi="ITC Avant Garde"/>
          <w:b/>
          <w:color w:val="auto"/>
        </w:rPr>
      </w:pPr>
    </w:p>
    <w:p w14:paraId="306D8922" w14:textId="4F6B4D19" w:rsidR="005F025C" w:rsidRPr="00B56D15" w:rsidRDefault="00C25232" w:rsidP="007D5396">
      <w:pPr>
        <w:spacing w:line="276" w:lineRule="auto"/>
        <w:ind w:firstLine="0"/>
        <w:rPr>
          <w:rFonts w:ascii="ITC Avant Garde" w:hAnsi="ITC Avant Garde"/>
          <w:i/>
          <w:color w:val="auto"/>
        </w:rPr>
      </w:pPr>
      <w:r>
        <w:rPr>
          <w:rFonts w:ascii="ITC Avant Garde" w:hAnsi="ITC Avant Garde"/>
          <w:i/>
          <w:color w:val="auto"/>
        </w:rPr>
        <w:t xml:space="preserve">En el </w:t>
      </w:r>
      <w:r w:rsidR="00B344A3">
        <w:rPr>
          <w:rFonts w:ascii="ITC Avant Garde" w:hAnsi="ITC Avant Garde"/>
          <w:i/>
          <w:color w:val="auto"/>
        </w:rPr>
        <w:t>inciso</w:t>
      </w:r>
      <w:r>
        <w:rPr>
          <w:rFonts w:ascii="ITC Avant Garde" w:hAnsi="ITC Avant Garde"/>
          <w:i/>
          <w:color w:val="auto"/>
        </w:rPr>
        <w:t xml:space="preserve"> 2.3, d</w:t>
      </w:r>
      <w:r w:rsidR="005F025C" w:rsidRPr="00B56D15">
        <w:rPr>
          <w:rFonts w:ascii="ITC Avant Garde" w:hAnsi="ITC Avant Garde"/>
          <w:i/>
          <w:color w:val="auto"/>
        </w:rPr>
        <w:t>ebe notarse que la larg</w:t>
      </w:r>
      <w:r>
        <w:rPr>
          <w:rFonts w:ascii="ITC Avant Garde" w:hAnsi="ITC Avant Garde"/>
          <w:i/>
          <w:color w:val="auto"/>
        </w:rPr>
        <w:t>a distancia nacional no existe.</w:t>
      </w:r>
    </w:p>
    <w:p w14:paraId="7532BD68" w14:textId="77777777" w:rsidR="005F025C" w:rsidRPr="00B56D15" w:rsidRDefault="005F025C" w:rsidP="007D5396">
      <w:pPr>
        <w:spacing w:line="276" w:lineRule="auto"/>
        <w:ind w:firstLine="0"/>
        <w:rPr>
          <w:rFonts w:ascii="ITC Avant Garde" w:hAnsi="ITC Avant Garde"/>
          <w:color w:val="auto"/>
        </w:rPr>
      </w:pPr>
    </w:p>
    <w:p w14:paraId="49037710" w14:textId="40A17268" w:rsidR="002F4FC7" w:rsidRPr="00D5554D" w:rsidRDefault="002F4FC7" w:rsidP="002F4FC7">
      <w:pPr>
        <w:spacing w:line="276" w:lineRule="auto"/>
        <w:ind w:firstLine="0"/>
        <w:rPr>
          <w:rFonts w:ascii="ITC Avant Garde" w:hAnsi="ITC Avant Garde"/>
          <w:color w:val="auto"/>
        </w:rPr>
      </w:pPr>
      <w:r w:rsidRPr="00D5554D">
        <w:rPr>
          <w:rFonts w:ascii="ITC Avant Garde" w:hAnsi="ITC Avant Garde"/>
          <w:color w:val="auto"/>
        </w:rPr>
        <w:t>De lo anterior se observa que los tipos de llamada establecidos en el numeral 2.3 del Anexo A de la Propuesta de CMI son acordes a lo establecido en el Acuerdo de Portabilidad por lo que no resulta necesario modificar dichos tipos de llamada.</w:t>
      </w:r>
    </w:p>
    <w:p w14:paraId="553BF935" w14:textId="77777777" w:rsidR="005F025C" w:rsidRPr="00B56D15" w:rsidRDefault="005F025C" w:rsidP="007D5396">
      <w:pPr>
        <w:spacing w:line="276" w:lineRule="auto"/>
        <w:ind w:firstLine="0"/>
        <w:rPr>
          <w:rFonts w:ascii="ITC Avant Garde" w:hAnsi="ITC Avant Garde"/>
          <w:color w:val="auto"/>
        </w:rPr>
      </w:pPr>
    </w:p>
    <w:p w14:paraId="78D454C5" w14:textId="17463BA1" w:rsidR="005F025C" w:rsidRPr="00B56D15" w:rsidRDefault="00B344A3" w:rsidP="007D5396">
      <w:pPr>
        <w:spacing w:line="276" w:lineRule="auto"/>
        <w:ind w:firstLine="0"/>
        <w:rPr>
          <w:rFonts w:ascii="ITC Avant Garde" w:hAnsi="ITC Avant Garde"/>
          <w:b/>
          <w:color w:val="auto"/>
        </w:rPr>
      </w:pPr>
      <w:r>
        <w:rPr>
          <w:rFonts w:ascii="ITC Avant Garde" w:hAnsi="ITC Avant Garde"/>
          <w:b/>
          <w:color w:val="auto"/>
        </w:rPr>
        <w:t xml:space="preserve">MCM, </w:t>
      </w:r>
      <w:r w:rsidR="009F10C3">
        <w:rPr>
          <w:rFonts w:ascii="ITC Avant Garde" w:hAnsi="ITC Avant Garde"/>
          <w:b/>
          <w:color w:val="auto"/>
        </w:rPr>
        <w:t>Telefónica</w:t>
      </w:r>
      <w:r>
        <w:rPr>
          <w:rFonts w:ascii="ITC Avant Garde" w:hAnsi="ITC Avant Garde"/>
          <w:b/>
          <w:color w:val="auto"/>
        </w:rPr>
        <w:t xml:space="preserve"> y</w:t>
      </w:r>
      <w:r w:rsidR="009F10C3">
        <w:rPr>
          <w:rFonts w:ascii="ITC Avant Garde" w:hAnsi="ITC Avant Garde"/>
          <w:b/>
          <w:color w:val="auto"/>
        </w:rPr>
        <w:t xml:space="preserve"> </w:t>
      </w:r>
      <w:r w:rsidR="005F025C" w:rsidRPr="00B56D15">
        <w:rPr>
          <w:rFonts w:ascii="ITC Avant Garde" w:hAnsi="ITC Avant Garde"/>
          <w:b/>
          <w:color w:val="auto"/>
        </w:rPr>
        <w:t>CANIETI:</w:t>
      </w:r>
    </w:p>
    <w:p w14:paraId="04C506B3" w14:textId="77777777" w:rsidR="005F025C" w:rsidRPr="00B56D15" w:rsidRDefault="005F025C" w:rsidP="007D5396">
      <w:pPr>
        <w:spacing w:line="276" w:lineRule="auto"/>
        <w:ind w:firstLine="0"/>
        <w:rPr>
          <w:rFonts w:ascii="ITC Avant Garde" w:hAnsi="ITC Avant Garde"/>
          <w:color w:val="auto"/>
        </w:rPr>
      </w:pPr>
    </w:p>
    <w:p w14:paraId="159EC1B2" w14:textId="21E2FE3C" w:rsidR="005F025C" w:rsidRDefault="00B344A3" w:rsidP="007D5396">
      <w:pPr>
        <w:spacing w:line="276" w:lineRule="auto"/>
        <w:ind w:firstLine="0"/>
        <w:rPr>
          <w:rFonts w:ascii="ITC Avant Garde" w:hAnsi="ITC Avant Garde"/>
          <w:i/>
          <w:color w:val="auto"/>
        </w:rPr>
      </w:pPr>
      <w:r>
        <w:rPr>
          <w:rFonts w:ascii="ITC Avant Garde" w:hAnsi="ITC Avant Garde"/>
          <w:i/>
          <w:color w:val="auto"/>
        </w:rPr>
        <w:t>En el inciso 2.4, señalar que l</w:t>
      </w:r>
      <w:r w:rsidR="005F025C" w:rsidRPr="00B56D15">
        <w:rPr>
          <w:rFonts w:ascii="ITC Avant Garde" w:hAnsi="ITC Avant Garde"/>
          <w:i/>
          <w:color w:val="auto"/>
        </w:rPr>
        <w:t>os canales de señalización se crecerán cuan</w:t>
      </w:r>
      <w:r>
        <w:rPr>
          <w:rFonts w:ascii="ITC Avant Garde" w:hAnsi="ITC Avant Garde"/>
          <w:i/>
          <w:color w:val="auto"/>
        </w:rPr>
        <w:t>do lleguen al 60% de ocupación.</w:t>
      </w:r>
    </w:p>
    <w:p w14:paraId="09E57D1F" w14:textId="77777777" w:rsidR="00C64CB7" w:rsidRPr="00D5554D" w:rsidRDefault="00C64CB7" w:rsidP="007D5396">
      <w:pPr>
        <w:spacing w:line="276" w:lineRule="auto"/>
        <w:ind w:firstLine="0"/>
        <w:rPr>
          <w:rFonts w:ascii="ITC Avant Garde" w:hAnsi="ITC Avant Garde"/>
          <w:i/>
          <w:color w:val="auto"/>
        </w:rPr>
      </w:pPr>
    </w:p>
    <w:p w14:paraId="38672DBD" w14:textId="2CE4E328" w:rsidR="00B57FCF" w:rsidRPr="00D5554D" w:rsidRDefault="00B57FCF" w:rsidP="007D5396">
      <w:pPr>
        <w:spacing w:line="276" w:lineRule="auto"/>
        <w:ind w:firstLine="0"/>
        <w:rPr>
          <w:rFonts w:ascii="ITC Avant Garde" w:hAnsi="ITC Avant Garde"/>
          <w:color w:val="auto"/>
        </w:rPr>
      </w:pPr>
      <w:r w:rsidRPr="00D5554D">
        <w:rPr>
          <w:rFonts w:ascii="ITC Avant Garde" w:hAnsi="ITC Avant Garde"/>
          <w:color w:val="auto"/>
        </w:rPr>
        <w:t xml:space="preserve">Al respecto, </w:t>
      </w:r>
      <w:r w:rsidR="00E115B1" w:rsidRPr="00D5554D">
        <w:rPr>
          <w:rFonts w:ascii="ITC Avant Garde" w:hAnsi="ITC Avant Garde"/>
          <w:color w:val="auto"/>
        </w:rPr>
        <w:t>se</w:t>
      </w:r>
      <w:r w:rsidRPr="00D5554D">
        <w:rPr>
          <w:rFonts w:ascii="ITC Avant Garde" w:hAnsi="ITC Avant Garde"/>
          <w:color w:val="auto"/>
        </w:rPr>
        <w:t xml:space="preserve"> considera que la medición propuesta de la ocupación de los enlaces de señalización en 0.4 Erlangs en operación normal y 0.8 Erlangs en caso de falla, garantiza que en operación normal, el enlace de señalización tenga 0.6 Erlangs de capacidad adicional y que, en caso de emergencia el enlace de señalización no tendrá una ocupación mayor al 80 por ciento durante el lapso de tiempo que dure la falla, por lo cual, </w:t>
      </w:r>
      <w:r w:rsidR="002F4FC7" w:rsidRPr="00D5554D">
        <w:rPr>
          <w:rFonts w:ascii="ITC Avant Garde" w:hAnsi="ITC Avant Garde"/>
          <w:color w:val="auto"/>
        </w:rPr>
        <w:t>se</w:t>
      </w:r>
      <w:r w:rsidRPr="00D5554D">
        <w:rPr>
          <w:rFonts w:ascii="ITC Avant Garde" w:hAnsi="ITC Avant Garde"/>
          <w:color w:val="auto"/>
        </w:rPr>
        <w:t xml:space="preserve"> considera que la ingeniería de los enlaces de señalización propuesta asegura contar con los recursos necesarios para señalizar entre las redes de los concesionarios a fin de realizar el intercambio de tráfico y es acorde con prácticas que permiten que la interconexión sea prestada de manera eficiente y con la capacidad suficiente para su correcta operación en situaciones de contingencia, así como en operación normal. </w:t>
      </w:r>
    </w:p>
    <w:p w14:paraId="43BC8398" w14:textId="77777777" w:rsidR="00B57FCF" w:rsidRPr="00D5554D" w:rsidRDefault="00B57FCF" w:rsidP="007D5396">
      <w:pPr>
        <w:spacing w:line="276" w:lineRule="auto"/>
        <w:ind w:firstLine="0"/>
        <w:rPr>
          <w:rFonts w:ascii="ITC Avant Garde" w:hAnsi="ITC Avant Garde"/>
          <w:color w:val="auto"/>
        </w:rPr>
      </w:pPr>
    </w:p>
    <w:p w14:paraId="402A4957" w14:textId="6279A8C6" w:rsidR="002E6853" w:rsidRPr="00B56D15" w:rsidRDefault="002E6853"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314C757C" w14:textId="77777777" w:rsidR="002E6853" w:rsidRPr="00B56D15" w:rsidRDefault="002E6853" w:rsidP="007D5396">
      <w:pPr>
        <w:spacing w:line="276" w:lineRule="auto"/>
        <w:ind w:firstLine="0"/>
        <w:rPr>
          <w:rFonts w:ascii="ITC Avant Garde" w:hAnsi="ITC Avant Garde"/>
          <w:color w:val="auto"/>
        </w:rPr>
      </w:pPr>
    </w:p>
    <w:p w14:paraId="3FE8932B" w14:textId="506AE027" w:rsidR="002E6853" w:rsidRPr="00B56D15" w:rsidRDefault="00B344A3" w:rsidP="007D5396">
      <w:pPr>
        <w:spacing w:line="276" w:lineRule="auto"/>
        <w:ind w:firstLine="0"/>
        <w:rPr>
          <w:rFonts w:ascii="ITC Avant Garde" w:hAnsi="ITC Avant Garde"/>
          <w:i/>
          <w:color w:val="auto"/>
        </w:rPr>
      </w:pPr>
      <w:r>
        <w:rPr>
          <w:rFonts w:ascii="ITC Avant Garde" w:hAnsi="ITC Avant Garde"/>
          <w:i/>
          <w:color w:val="auto"/>
        </w:rPr>
        <w:lastRenderedPageBreak/>
        <w:t xml:space="preserve">En el inciso 4.4, </w:t>
      </w:r>
      <w:r w:rsidR="004E48E0">
        <w:rPr>
          <w:rFonts w:ascii="ITC Avant Garde" w:hAnsi="ITC Avant Garde"/>
          <w:i/>
          <w:color w:val="auto"/>
        </w:rPr>
        <w:t>indicar que e</w:t>
      </w:r>
      <w:r w:rsidR="002E6853" w:rsidRPr="00B56D15">
        <w:rPr>
          <w:rFonts w:ascii="ITC Avant Garde" w:hAnsi="ITC Avant Garde"/>
          <w:i/>
          <w:color w:val="auto"/>
        </w:rPr>
        <w:t>n</w:t>
      </w:r>
      <w:r w:rsidR="004E48E0">
        <w:rPr>
          <w:rFonts w:ascii="ITC Avant Garde" w:hAnsi="ITC Avant Garde"/>
          <w:i/>
          <w:color w:val="auto"/>
        </w:rPr>
        <w:t xml:space="preserve"> el</w:t>
      </w:r>
      <w:r w:rsidR="002E6853" w:rsidRPr="00B56D15">
        <w:rPr>
          <w:rFonts w:ascii="ITC Avant Garde" w:hAnsi="ITC Avant Garde"/>
          <w:i/>
          <w:color w:val="auto"/>
        </w:rPr>
        <w:t xml:space="preserve"> caso de que el concesionario no cuente con el identificador del servicio, el concesionario podrá reportar el incidente con los datos suficientes para identificar el servicio, esto es: OPC, DPC y rango de CIC. Telmex no podrá negarse a recibir un reporte de falla, ni a establecer el servicio si el concesionario no cuenta con</w:t>
      </w:r>
      <w:r w:rsidR="004E48E0">
        <w:rPr>
          <w:rFonts w:ascii="ITC Avant Garde" w:hAnsi="ITC Avant Garde"/>
          <w:i/>
          <w:color w:val="auto"/>
        </w:rPr>
        <w:t xml:space="preserve"> el identificador del servicio.</w:t>
      </w:r>
    </w:p>
    <w:p w14:paraId="131D69A3" w14:textId="77777777" w:rsidR="002E6853" w:rsidRPr="00D5554D" w:rsidRDefault="002E6853" w:rsidP="007D5396">
      <w:pPr>
        <w:spacing w:after="0" w:line="276" w:lineRule="auto"/>
        <w:ind w:left="-5" w:right="49" w:firstLine="0"/>
        <w:rPr>
          <w:rFonts w:ascii="ITC Avant Garde" w:hAnsi="ITC Avant Garde"/>
          <w:b/>
          <w:color w:val="auto"/>
        </w:rPr>
      </w:pPr>
    </w:p>
    <w:p w14:paraId="611D21CE" w14:textId="1D80E104" w:rsidR="00A0354D" w:rsidRPr="00D5554D" w:rsidRDefault="00A0354D" w:rsidP="007D5396">
      <w:pPr>
        <w:spacing w:after="0" w:line="276" w:lineRule="auto"/>
        <w:ind w:left="-5" w:right="49" w:firstLine="0"/>
        <w:rPr>
          <w:rFonts w:ascii="ITC Avant Garde" w:hAnsi="ITC Avant Garde"/>
          <w:color w:val="auto"/>
        </w:rPr>
      </w:pPr>
      <w:r w:rsidRPr="00D5554D">
        <w:rPr>
          <w:rFonts w:ascii="ITC Avant Garde" w:hAnsi="ITC Avant Garde"/>
          <w:color w:val="auto"/>
        </w:rPr>
        <w:t>Al respecto</w:t>
      </w:r>
      <w:r w:rsidR="0093237F" w:rsidRPr="00D5554D">
        <w:rPr>
          <w:rFonts w:ascii="ITC Avant Garde" w:hAnsi="ITC Avant Garde"/>
          <w:color w:val="auto"/>
        </w:rPr>
        <w:t xml:space="preserve">, este Instituto considera </w:t>
      </w:r>
      <w:r w:rsidR="00B344A3" w:rsidRPr="00D5554D">
        <w:rPr>
          <w:rFonts w:ascii="ITC Avant Garde" w:hAnsi="ITC Avant Garde"/>
          <w:color w:val="auto"/>
        </w:rPr>
        <w:t>que,</w:t>
      </w:r>
      <w:r w:rsidR="0093237F" w:rsidRPr="00D5554D">
        <w:rPr>
          <w:rFonts w:ascii="ITC Avant Garde" w:hAnsi="ITC Avant Garde"/>
          <w:color w:val="auto"/>
        </w:rPr>
        <w:t xml:space="preserve"> en el establecimiento de servicios de telecomunicaciones, una práctica común e</w:t>
      </w:r>
      <w:r w:rsidR="005D7C9B" w:rsidRPr="00D5554D">
        <w:rPr>
          <w:rFonts w:ascii="ITC Avant Garde" w:hAnsi="ITC Avant Garde"/>
          <w:color w:val="auto"/>
        </w:rPr>
        <w:t>s e</w:t>
      </w:r>
      <w:r w:rsidR="0093237F" w:rsidRPr="00D5554D">
        <w:rPr>
          <w:rFonts w:ascii="ITC Avant Garde" w:hAnsi="ITC Avant Garde"/>
          <w:color w:val="auto"/>
        </w:rPr>
        <w:t xml:space="preserve">l asignar identificadores únicos para los circuitos y servicios que son </w:t>
      </w:r>
      <w:r w:rsidR="000B652D" w:rsidRPr="00D5554D">
        <w:rPr>
          <w:rFonts w:ascii="ITC Avant Garde" w:hAnsi="ITC Avant Garde"/>
          <w:color w:val="auto"/>
        </w:rPr>
        <w:t>pro</w:t>
      </w:r>
      <w:r w:rsidR="0093237F" w:rsidRPr="00D5554D">
        <w:rPr>
          <w:rFonts w:ascii="ITC Avant Garde" w:hAnsi="ITC Avant Garde"/>
          <w:color w:val="auto"/>
        </w:rPr>
        <w:t>vistos con el fin de tener un</w:t>
      </w:r>
      <w:r w:rsidR="005D7C9B" w:rsidRPr="00D5554D">
        <w:rPr>
          <w:rFonts w:ascii="ITC Avant Garde" w:hAnsi="ITC Avant Garde"/>
          <w:color w:val="auto"/>
        </w:rPr>
        <w:t xml:space="preserve"> control administrativo </w:t>
      </w:r>
      <w:r w:rsidR="000B652D" w:rsidRPr="00D5554D">
        <w:rPr>
          <w:rFonts w:ascii="ITC Avant Garde" w:hAnsi="ITC Avant Garde"/>
          <w:color w:val="auto"/>
        </w:rPr>
        <w:t>de los mismos. El concesionario que provee el servicio es responsable de asignar dichos identificadores al CS, por lo cual se considera que la redacción de este numeral no limita ni dificulta una posible notificación y r</w:t>
      </w:r>
      <w:r w:rsidR="00C37D27" w:rsidRPr="00D5554D">
        <w:rPr>
          <w:rFonts w:ascii="ITC Avant Garde" w:hAnsi="ITC Avant Garde"/>
          <w:color w:val="auto"/>
        </w:rPr>
        <w:t xml:space="preserve">ecepción de reportes de fallas o solicitudes de mantenimiento. </w:t>
      </w:r>
    </w:p>
    <w:p w14:paraId="15759596" w14:textId="77777777" w:rsidR="00356FBC" w:rsidRPr="00D5554D" w:rsidRDefault="00356FBC" w:rsidP="007D5396">
      <w:pPr>
        <w:spacing w:after="0" w:line="276" w:lineRule="auto"/>
        <w:ind w:left="0" w:right="49" w:firstLine="0"/>
        <w:rPr>
          <w:rFonts w:ascii="ITC Avant Garde" w:hAnsi="ITC Avant Garde"/>
          <w:b/>
          <w:color w:val="auto"/>
        </w:rPr>
      </w:pPr>
    </w:p>
    <w:p w14:paraId="40A5971E" w14:textId="33562AC5" w:rsidR="008729E4" w:rsidRDefault="008729E4" w:rsidP="007D5396">
      <w:pPr>
        <w:spacing w:after="0" w:line="276" w:lineRule="auto"/>
        <w:ind w:left="0" w:right="49" w:firstLine="0"/>
        <w:rPr>
          <w:rFonts w:ascii="ITC Avant Garde" w:hAnsi="ITC Avant Garde"/>
          <w:b/>
          <w:color w:val="auto"/>
        </w:rPr>
      </w:pPr>
      <w:r>
        <w:rPr>
          <w:rFonts w:ascii="ITC Avant Garde" w:hAnsi="ITC Avant Garde"/>
          <w:b/>
          <w:color w:val="auto"/>
        </w:rPr>
        <w:t>MCM</w:t>
      </w:r>
      <w:r w:rsidR="00422A14">
        <w:rPr>
          <w:rFonts w:ascii="ITC Avant Garde" w:hAnsi="ITC Avant Garde"/>
          <w:b/>
          <w:color w:val="auto"/>
        </w:rPr>
        <w:t xml:space="preserve">, </w:t>
      </w:r>
      <w:r w:rsidR="00422A14" w:rsidRPr="00B56D15">
        <w:rPr>
          <w:rFonts w:ascii="ITC Avant Garde" w:hAnsi="ITC Avant Garde"/>
          <w:b/>
          <w:color w:val="auto"/>
        </w:rPr>
        <w:t>Telefónica y CANIETI</w:t>
      </w:r>
      <w:r w:rsidRPr="000C7CB5">
        <w:rPr>
          <w:rFonts w:ascii="ITC Avant Garde" w:hAnsi="ITC Avant Garde"/>
          <w:b/>
          <w:color w:val="auto"/>
        </w:rPr>
        <w:t>:</w:t>
      </w:r>
    </w:p>
    <w:p w14:paraId="2BA33F21" w14:textId="77777777" w:rsidR="008729E4" w:rsidRDefault="008729E4" w:rsidP="007D5396">
      <w:pPr>
        <w:spacing w:after="0" w:line="276" w:lineRule="auto"/>
        <w:ind w:right="49" w:firstLine="0"/>
        <w:rPr>
          <w:rFonts w:ascii="ITC Avant Garde" w:eastAsia="Times New Roman" w:hAnsi="ITC Avant Garde" w:cs="Times New Roman"/>
          <w:i/>
          <w:color w:val="auto"/>
        </w:rPr>
      </w:pPr>
    </w:p>
    <w:p w14:paraId="5AFC94A6" w14:textId="56760F97" w:rsidR="008729E4" w:rsidRDefault="001E607F" w:rsidP="00422A14">
      <w:pPr>
        <w:spacing w:after="0" w:line="276" w:lineRule="auto"/>
        <w:ind w:left="0" w:right="49" w:firstLine="0"/>
        <w:rPr>
          <w:rFonts w:ascii="ITC Avant Garde" w:hAnsi="ITC Avant Garde"/>
          <w:i/>
          <w:color w:val="auto"/>
        </w:rPr>
      </w:pPr>
      <w:r>
        <w:rPr>
          <w:rFonts w:ascii="ITC Avant Garde" w:hAnsi="ITC Avant Garde"/>
          <w:i/>
          <w:color w:val="auto"/>
        </w:rPr>
        <w:t>En el inciso 6.1 Coubicación del Anexo A.2, l</w:t>
      </w:r>
      <w:r w:rsidRPr="00B56D15">
        <w:rPr>
          <w:rFonts w:ascii="ITC Avant Garde" w:hAnsi="ITC Avant Garde"/>
          <w:i/>
          <w:color w:val="auto"/>
        </w:rPr>
        <w:t xml:space="preserve">a propuesta del CMI establece que “En caso de que el CS requiera capacidad adicional de Corriente Directa, Corriente Alterna o clima, deberá solicitar ampliación y pagar por el consumo excedente bajo los términos y condiciones establecidas en el Anexo B de este Convenio”. Este cargo no existía previamente, con lo </w:t>
      </w:r>
      <w:r>
        <w:rPr>
          <w:rFonts w:ascii="ITC Avant Garde" w:hAnsi="ITC Avant Garde"/>
          <w:i/>
          <w:color w:val="auto"/>
        </w:rPr>
        <w:t>que la propuesta es eliminarlo.</w:t>
      </w:r>
    </w:p>
    <w:p w14:paraId="0BE5F14D" w14:textId="77777777" w:rsidR="00605FEF" w:rsidRPr="00D5554D" w:rsidRDefault="00605FEF" w:rsidP="001E607F">
      <w:pPr>
        <w:spacing w:after="0" w:line="276" w:lineRule="auto"/>
        <w:ind w:left="-5" w:right="49" w:firstLine="0"/>
        <w:rPr>
          <w:rFonts w:ascii="ITC Avant Garde" w:hAnsi="ITC Avant Garde"/>
          <w:b/>
          <w:color w:val="auto"/>
          <w:sz w:val="28"/>
        </w:rPr>
      </w:pPr>
    </w:p>
    <w:p w14:paraId="73E911C4" w14:textId="501F5104" w:rsidR="00AD4311" w:rsidRPr="00D5554D" w:rsidRDefault="00AD4311" w:rsidP="00AD4311">
      <w:pPr>
        <w:spacing w:after="0" w:line="276" w:lineRule="auto"/>
        <w:ind w:left="-5" w:right="49" w:firstLine="0"/>
        <w:rPr>
          <w:rFonts w:ascii="ITC Avant Garde" w:hAnsi="ITC Avant Garde"/>
          <w:color w:val="auto"/>
        </w:rPr>
      </w:pPr>
      <w:r w:rsidRPr="00D5554D">
        <w:rPr>
          <w:rFonts w:ascii="ITC Avant Garde" w:hAnsi="ITC Avant Garde"/>
          <w:color w:val="auto"/>
        </w:rPr>
        <w:t>Al respecto, se considera que las Coubicaciones, están diseñadas de acuerdo a un dimensionamiento que posee un límite máximo de consumo de corriente directa y alterna, características que se encuentran definidas en el inciso 6.1 Coubicación, numeral A.1 y A.2 del Anexo A.</w:t>
      </w:r>
    </w:p>
    <w:p w14:paraId="4F5B8CA1" w14:textId="77777777" w:rsidR="00AD4311" w:rsidRPr="00D5554D" w:rsidRDefault="00AD4311" w:rsidP="00AD4311">
      <w:pPr>
        <w:spacing w:after="0" w:line="276" w:lineRule="auto"/>
        <w:ind w:left="-5" w:right="49" w:firstLine="0"/>
        <w:rPr>
          <w:rFonts w:ascii="ITC Avant Garde" w:hAnsi="ITC Avant Garde"/>
          <w:color w:val="auto"/>
        </w:rPr>
      </w:pPr>
    </w:p>
    <w:p w14:paraId="062EE338" w14:textId="77777777" w:rsidR="00AD4311" w:rsidRPr="00D5554D" w:rsidRDefault="00AD4311" w:rsidP="00AD4311">
      <w:pPr>
        <w:spacing w:after="0" w:line="276" w:lineRule="auto"/>
        <w:ind w:left="-5" w:right="49" w:firstLine="0"/>
        <w:rPr>
          <w:rFonts w:ascii="ITC Avant Garde" w:hAnsi="ITC Avant Garde"/>
          <w:color w:val="auto"/>
        </w:rPr>
      </w:pPr>
      <w:r w:rsidRPr="00D5554D">
        <w:rPr>
          <w:rFonts w:ascii="ITC Avant Garde" w:hAnsi="ITC Avant Garde"/>
          <w:color w:val="auto"/>
        </w:rPr>
        <w:t xml:space="preserve">En este sentido, las Coubicaciones tendrán un límite para la alimentación de los equipos de telecomunicaciones que los CS instalen y que, en caso de requerirse una mayor cantidad se deberán realizar trabajos a efecto de expandir la capacidad y ofrecer la corriente adicional que se demanda. Por lo anterior dichos trabajos y alimentación eléctrica adicional involucran costos adicionales a los proyectados inicialmente para la prestación del servicio de Coubicación, por lo cual se considera que el comentario expuesto no es procedente. </w:t>
      </w:r>
    </w:p>
    <w:p w14:paraId="00196B3A" w14:textId="77777777" w:rsidR="008729E4" w:rsidRPr="00D5554D" w:rsidRDefault="008729E4" w:rsidP="007D5396">
      <w:pPr>
        <w:spacing w:after="0" w:line="276" w:lineRule="auto"/>
        <w:ind w:left="-5" w:right="49" w:firstLine="0"/>
        <w:rPr>
          <w:rFonts w:ascii="ITC Avant Garde" w:hAnsi="ITC Avant Garde"/>
          <w:color w:val="auto"/>
        </w:rPr>
      </w:pPr>
    </w:p>
    <w:p w14:paraId="2788E8C5" w14:textId="292B3E62" w:rsidR="000121FF" w:rsidRDefault="000121FF" w:rsidP="007D5396">
      <w:pPr>
        <w:autoSpaceDE w:val="0"/>
        <w:autoSpaceDN w:val="0"/>
        <w:adjustRightInd w:val="0"/>
        <w:spacing w:line="276" w:lineRule="auto"/>
        <w:ind w:firstLine="0"/>
        <w:jc w:val="left"/>
        <w:rPr>
          <w:rFonts w:ascii="ITC Avant Garde" w:hAnsi="ITC Avant Garde"/>
          <w:b/>
          <w:u w:val="single"/>
        </w:rPr>
      </w:pPr>
      <w:r w:rsidRPr="000121FF">
        <w:rPr>
          <w:rFonts w:ascii="ITC Avant Garde" w:hAnsi="ITC Avant Garde"/>
          <w:b/>
          <w:color w:val="auto"/>
          <w:u w:val="single"/>
        </w:rPr>
        <w:t xml:space="preserve">Comentarios emitidos al ANEXO </w:t>
      </w:r>
      <w:r w:rsidRPr="000121FF">
        <w:rPr>
          <w:rFonts w:ascii="ITC Avant Garde" w:hAnsi="ITC Avant Garde"/>
          <w:b/>
          <w:u w:val="single"/>
        </w:rPr>
        <w:t>A.2. ACUERDOS TÉCNICOS DE INTERCONEXIÓN PARA</w:t>
      </w:r>
      <w:r>
        <w:rPr>
          <w:rFonts w:ascii="ITC Avant Garde" w:hAnsi="ITC Avant Garde"/>
          <w:b/>
          <w:u w:val="single"/>
        </w:rPr>
        <w:t xml:space="preserve"> </w:t>
      </w:r>
      <w:r w:rsidRPr="000121FF">
        <w:rPr>
          <w:rFonts w:ascii="ITC Avant Garde" w:hAnsi="ITC Avant Garde"/>
          <w:b/>
          <w:u w:val="single"/>
        </w:rPr>
        <w:t>SEÑALIZACIÓN SIP</w:t>
      </w:r>
    </w:p>
    <w:p w14:paraId="7ABD3F9E" w14:textId="77777777" w:rsidR="00624F7E" w:rsidRPr="00624F7E" w:rsidRDefault="00624F7E" w:rsidP="006B7697">
      <w:pPr>
        <w:spacing w:after="0" w:line="276" w:lineRule="auto"/>
        <w:ind w:left="0" w:right="49" w:firstLine="0"/>
        <w:rPr>
          <w:rFonts w:ascii="ITC Avant Garde" w:hAnsi="ITC Avant Garde"/>
          <w:i/>
          <w:color w:val="2E74B5" w:themeColor="accent1" w:themeShade="BF"/>
        </w:rPr>
      </w:pPr>
    </w:p>
    <w:p w14:paraId="484AD469" w14:textId="77777777" w:rsidR="003457A4" w:rsidRPr="00B56D15" w:rsidRDefault="003457A4"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p>
    <w:p w14:paraId="79C390B0" w14:textId="77777777" w:rsidR="003457A4" w:rsidRPr="00B56D15" w:rsidRDefault="003457A4" w:rsidP="007D5396">
      <w:pPr>
        <w:spacing w:after="0" w:line="276" w:lineRule="auto"/>
        <w:ind w:left="0" w:right="49" w:firstLine="0"/>
        <w:rPr>
          <w:rFonts w:ascii="ITC Avant Garde" w:eastAsia="Times New Roman" w:hAnsi="ITC Avant Garde" w:cs="Times New Roman"/>
          <w:i/>
          <w:color w:val="auto"/>
        </w:rPr>
      </w:pPr>
    </w:p>
    <w:p w14:paraId="5E92BA41" w14:textId="77777777" w:rsidR="003457A4" w:rsidRPr="00B56D15" w:rsidRDefault="003457A4" w:rsidP="007D5396">
      <w:pPr>
        <w:spacing w:after="0" w:line="276" w:lineRule="auto"/>
        <w:ind w:left="0" w:right="49" w:firstLine="0"/>
        <w:rPr>
          <w:rFonts w:ascii="ITC Avant Garde" w:eastAsia="Times New Roman" w:hAnsi="ITC Avant Garde" w:cs="Times New Roman"/>
          <w:i/>
          <w:color w:val="auto"/>
        </w:rPr>
      </w:pPr>
      <w:r>
        <w:rPr>
          <w:rFonts w:ascii="ITC Avant Garde" w:hAnsi="ITC Avant Garde"/>
          <w:i/>
          <w:color w:val="auto"/>
        </w:rPr>
        <w:lastRenderedPageBreak/>
        <w:t>En el Tema 1: Puntos de Interconexión, d</w:t>
      </w:r>
      <w:r w:rsidRPr="00B56D15">
        <w:rPr>
          <w:rFonts w:ascii="ITC Avant Garde" w:eastAsia="Times New Roman" w:hAnsi="ITC Avant Garde" w:cs="Times New Roman"/>
          <w:i/>
          <w:color w:val="auto"/>
        </w:rPr>
        <w:t>ado que pueden existir varios SBC en un solo punto de interconexión, no es necesario que existan enlaces físicos diferentes, es suficiente con que existan puertos diferentes, por lo que se solicita eliminar la última parte de la propuesta, para quedar como sigue:</w:t>
      </w:r>
    </w:p>
    <w:p w14:paraId="3E003571" w14:textId="77777777" w:rsidR="003457A4" w:rsidRPr="00B56D15" w:rsidRDefault="003457A4" w:rsidP="007D5396">
      <w:pPr>
        <w:spacing w:after="0" w:line="276" w:lineRule="auto"/>
        <w:ind w:left="0" w:right="49" w:firstLine="0"/>
        <w:rPr>
          <w:rFonts w:ascii="ITC Avant Garde" w:eastAsia="Times New Roman" w:hAnsi="ITC Avant Garde" w:cs="Times New Roman"/>
          <w:i/>
          <w:color w:val="auto"/>
        </w:rPr>
      </w:pPr>
    </w:p>
    <w:p w14:paraId="290F041F" w14:textId="77777777" w:rsidR="003457A4" w:rsidRPr="003F734F" w:rsidRDefault="003457A4" w:rsidP="003F734F">
      <w:pPr>
        <w:spacing w:line="276" w:lineRule="auto"/>
        <w:ind w:left="567" w:right="616" w:firstLine="0"/>
        <w:rPr>
          <w:rFonts w:ascii="ITC Avant Garde" w:eastAsia="Times New Roman" w:hAnsi="ITC Avant Garde" w:cs="Times New Roman"/>
          <w:i/>
          <w:strike/>
          <w:color w:val="auto"/>
          <w:sz w:val="18"/>
          <w:szCs w:val="18"/>
        </w:rPr>
      </w:pPr>
      <w:r w:rsidRPr="003F734F">
        <w:rPr>
          <w:rFonts w:ascii="ITC Avant Garde" w:eastAsia="Times New Roman" w:hAnsi="ITC Avant Garde" w:cs="Times New Roman"/>
          <w:i/>
          <w:color w:val="auto"/>
          <w:sz w:val="18"/>
          <w:szCs w:val="18"/>
        </w:rPr>
        <w:t>“La interconexión lógica para el intercambio de tráfico de interconexión IP se establecerá empleando una topología SBC-SBC mediante un modelo peer-to-peer privado, esto es mediante el establecimiento de enlaces punto a punto entre los concesionarios que intercambian tráfico. Sin embargo, en función de la necesidad redundancia, cada una de las partes tendrá libertad de involucrar uno o varios SBC,</w:t>
      </w:r>
      <w:r w:rsidRPr="003F734F">
        <w:rPr>
          <w:rFonts w:ascii="ITC Avant Garde" w:eastAsia="Times New Roman" w:hAnsi="ITC Avant Garde" w:cs="Times New Roman"/>
          <w:i/>
          <w:strike/>
          <w:color w:val="auto"/>
          <w:sz w:val="18"/>
          <w:szCs w:val="18"/>
        </w:rPr>
        <w:t xml:space="preserve"> empleando un enlace físico privado adicional para cada SBC para un mismo Punto de Interconexión.”</w:t>
      </w:r>
    </w:p>
    <w:p w14:paraId="401DEB75" w14:textId="77777777" w:rsidR="003457A4" w:rsidRDefault="003457A4" w:rsidP="007D5396">
      <w:pPr>
        <w:spacing w:line="276" w:lineRule="auto"/>
        <w:ind w:firstLine="0"/>
        <w:rPr>
          <w:rFonts w:ascii="ITC Avant Garde" w:eastAsia="Times New Roman" w:hAnsi="ITC Avant Garde" w:cs="Times New Roman"/>
          <w:i/>
          <w:strike/>
          <w:color w:val="auto"/>
        </w:rPr>
      </w:pPr>
    </w:p>
    <w:p w14:paraId="56DECB4F" w14:textId="4EC0C338" w:rsidR="003457A4" w:rsidRPr="00D5554D" w:rsidRDefault="003457A4" w:rsidP="007D5396">
      <w:pPr>
        <w:pStyle w:val="IFT1"/>
        <w:tabs>
          <w:tab w:val="left" w:pos="284"/>
          <w:tab w:val="left" w:pos="567"/>
        </w:tabs>
        <w:spacing w:after="0"/>
        <w:rPr>
          <w:rFonts w:cs="Arial"/>
        </w:rPr>
      </w:pPr>
      <w:r w:rsidRPr="00D5554D">
        <w:rPr>
          <w:rFonts w:cs="Arial"/>
        </w:rPr>
        <w:t xml:space="preserve">Al respecto, </w:t>
      </w:r>
      <w:r w:rsidR="003F734F" w:rsidRPr="00D5554D">
        <w:rPr>
          <w:rFonts w:cs="Arial"/>
        </w:rPr>
        <w:t>se</w:t>
      </w:r>
      <w:r w:rsidRPr="00D5554D">
        <w:rPr>
          <w:rFonts w:cs="Arial"/>
        </w:rPr>
        <w:t xml:space="preserve"> observa la existencia de distintos esquemas de redundancia, físicos y lógicos, los cuales pueden ser establecidos mediante soluciones que involucren diferentes rutas de transmisión, arreglos de equipos de respaldo, configuraciones de balanceo de tráfico, protocolos lógicos para la restauración de servicios, entre otros elementos que dependerán de las arquitecturas específicas de los concesionarios que se interconectan, por lo que la solución de redundancia para servicios de interconexión no es única.</w:t>
      </w:r>
    </w:p>
    <w:p w14:paraId="3C2A6D71" w14:textId="77777777" w:rsidR="003457A4" w:rsidRPr="00D5554D" w:rsidRDefault="003457A4" w:rsidP="007D5396">
      <w:pPr>
        <w:pStyle w:val="IFT1"/>
        <w:tabs>
          <w:tab w:val="left" w:pos="284"/>
          <w:tab w:val="left" w:pos="567"/>
        </w:tabs>
        <w:spacing w:after="0"/>
        <w:rPr>
          <w:rFonts w:cs="Arial"/>
        </w:rPr>
      </w:pPr>
    </w:p>
    <w:p w14:paraId="42B5566D" w14:textId="353AEE88" w:rsidR="003457A4" w:rsidRPr="00D5554D" w:rsidRDefault="003457A4" w:rsidP="007D5396">
      <w:pPr>
        <w:pStyle w:val="IFT1"/>
        <w:tabs>
          <w:tab w:val="left" w:pos="284"/>
          <w:tab w:val="left" w:pos="567"/>
        </w:tabs>
        <w:spacing w:after="0"/>
        <w:rPr>
          <w:rFonts w:cs="Arial"/>
        </w:rPr>
      </w:pPr>
      <w:r w:rsidRPr="00D5554D">
        <w:rPr>
          <w:rFonts w:cs="Arial"/>
        </w:rPr>
        <w:t xml:space="preserve">Por lo anterior, </w:t>
      </w:r>
      <w:r w:rsidR="003F734F" w:rsidRPr="00D5554D">
        <w:rPr>
          <w:rFonts w:cs="Arial"/>
        </w:rPr>
        <w:t xml:space="preserve"> efecto de permitir la implementación de diferentes esquemas de redundancia </w:t>
      </w:r>
      <w:r w:rsidRPr="00D5554D">
        <w:rPr>
          <w:rFonts w:cs="Arial"/>
        </w:rPr>
        <w:t>se modifican los términos señalados por Telmex en el siguiente sentido:</w:t>
      </w:r>
    </w:p>
    <w:p w14:paraId="41C16D49" w14:textId="77777777" w:rsidR="003457A4" w:rsidRPr="00D5554D" w:rsidRDefault="003457A4" w:rsidP="007D5396">
      <w:pPr>
        <w:pStyle w:val="IFT1"/>
        <w:tabs>
          <w:tab w:val="left" w:pos="284"/>
          <w:tab w:val="left" w:pos="567"/>
        </w:tabs>
        <w:spacing w:after="0"/>
        <w:rPr>
          <w:rFonts w:cs="Arial"/>
        </w:rPr>
      </w:pPr>
    </w:p>
    <w:p w14:paraId="348A739E" w14:textId="64EEECC9" w:rsidR="003457A4" w:rsidRPr="00D5554D" w:rsidRDefault="003457A4" w:rsidP="007D5396">
      <w:pPr>
        <w:pStyle w:val="IFT1"/>
        <w:tabs>
          <w:tab w:val="left" w:pos="284"/>
          <w:tab w:val="left" w:pos="567"/>
        </w:tabs>
        <w:spacing w:after="0"/>
        <w:ind w:left="567" w:right="616"/>
        <w:rPr>
          <w:rFonts w:cs="Arial"/>
        </w:rPr>
      </w:pPr>
      <w:r w:rsidRPr="00D5554D">
        <w:rPr>
          <w:rFonts w:cs="Arial"/>
          <w:i/>
          <w:sz w:val="18"/>
          <w:szCs w:val="18"/>
        </w:rPr>
        <w:t>“La interconexión lógica para el intercambio de tráfico de interconexión lP se establecerá empleando una topología SBC-SBC mediante un modelo peer-to-peer privado, esto es mediante el establecimiento de enlaces punto a punto entre los concesionarios que intercambian tráfico. Sin embargo, en función de la necesidad de redundancia, cada una de las partes tendrá libertad de involucrar uno o varios SBC.”</w:t>
      </w:r>
    </w:p>
    <w:p w14:paraId="2D4F1CC1" w14:textId="77777777" w:rsidR="00C521C0" w:rsidRPr="00D5554D" w:rsidRDefault="00C521C0" w:rsidP="007D5396">
      <w:pPr>
        <w:spacing w:line="276" w:lineRule="auto"/>
        <w:ind w:firstLine="0"/>
        <w:rPr>
          <w:rFonts w:ascii="ITC Avant Garde" w:hAnsi="ITC Avant Garde"/>
          <w:i/>
          <w:color w:val="auto"/>
          <w:sz w:val="18"/>
          <w:szCs w:val="18"/>
        </w:rPr>
      </w:pPr>
    </w:p>
    <w:p w14:paraId="67BC9905" w14:textId="77777777" w:rsidR="003457A4" w:rsidRPr="00B56D15" w:rsidRDefault="003457A4"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49473938" w14:textId="77777777" w:rsidR="003457A4" w:rsidRPr="00B56D15" w:rsidRDefault="003457A4" w:rsidP="007D5396">
      <w:pPr>
        <w:spacing w:line="276" w:lineRule="auto"/>
        <w:ind w:firstLine="0"/>
        <w:rPr>
          <w:rFonts w:ascii="ITC Avant Garde" w:hAnsi="ITC Avant Garde"/>
          <w:color w:val="auto"/>
        </w:rPr>
      </w:pPr>
    </w:p>
    <w:p w14:paraId="4C6B0278" w14:textId="77777777" w:rsidR="003457A4" w:rsidRDefault="003457A4" w:rsidP="007D5396">
      <w:pPr>
        <w:spacing w:line="276" w:lineRule="auto"/>
        <w:ind w:firstLine="0"/>
        <w:rPr>
          <w:rFonts w:ascii="ITC Avant Garde" w:hAnsi="ITC Avant Garde"/>
          <w:i/>
          <w:color w:val="auto"/>
        </w:rPr>
      </w:pPr>
      <w:r>
        <w:rPr>
          <w:rFonts w:ascii="ITC Avant Garde" w:hAnsi="ITC Avant Garde"/>
          <w:i/>
          <w:color w:val="auto"/>
        </w:rPr>
        <w:t>En el inciso 2.1, se propone e</w:t>
      </w:r>
      <w:r w:rsidRPr="00B56D15">
        <w:rPr>
          <w:rFonts w:ascii="ITC Avant Garde" w:hAnsi="ITC Avant Garde"/>
          <w:i/>
          <w:color w:val="auto"/>
        </w:rPr>
        <w:t xml:space="preserve">stablecer </w:t>
      </w:r>
      <w:r>
        <w:rPr>
          <w:rFonts w:ascii="ITC Avant Garde" w:hAnsi="ITC Avant Garde"/>
          <w:i/>
          <w:color w:val="auto"/>
        </w:rPr>
        <w:t xml:space="preserve">el siguiente </w:t>
      </w:r>
      <w:r w:rsidRPr="00B56D15">
        <w:rPr>
          <w:rFonts w:ascii="ITC Avant Garde" w:hAnsi="ITC Avant Garde"/>
          <w:i/>
          <w:color w:val="auto"/>
        </w:rPr>
        <w:t>formato de INVITE estándar entre los operadores:</w:t>
      </w:r>
    </w:p>
    <w:p w14:paraId="404A895D" w14:textId="77777777" w:rsidR="003457A4" w:rsidRPr="00B56D15" w:rsidRDefault="003457A4" w:rsidP="00280780">
      <w:pPr>
        <w:spacing w:after="0" w:line="276" w:lineRule="auto"/>
        <w:ind w:left="11" w:right="0" w:firstLine="0"/>
        <w:rPr>
          <w:rFonts w:ascii="ITC Avant Garde" w:hAnsi="ITC Avant Garde"/>
          <w:i/>
          <w:color w:val="auto"/>
        </w:rPr>
      </w:pPr>
    </w:p>
    <w:p w14:paraId="0684917A" w14:textId="77777777" w:rsidR="003457A4" w:rsidRPr="00280780" w:rsidRDefault="003457A4" w:rsidP="007D5396">
      <w:pPr>
        <w:spacing w:line="276" w:lineRule="auto"/>
        <w:ind w:firstLine="0"/>
        <w:rPr>
          <w:rFonts w:ascii="ITC Avant Garde" w:hAnsi="ITC Avant Garde"/>
          <w:i/>
          <w:color w:val="auto"/>
          <w:sz w:val="18"/>
          <w:szCs w:val="18"/>
          <w:lang w:val="fr-FR"/>
        </w:rPr>
      </w:pPr>
      <w:r w:rsidRPr="00280780">
        <w:rPr>
          <w:rFonts w:ascii="ITC Avant Garde" w:hAnsi="ITC Avant Garde"/>
          <w:i/>
          <w:color w:val="auto"/>
          <w:sz w:val="18"/>
          <w:szCs w:val="18"/>
          <w:lang w:val="fr-FR"/>
        </w:rPr>
        <w:t>“Request: Invite</w:t>
      </w:r>
    </w:p>
    <w:p w14:paraId="26CD9CE2" w14:textId="77777777" w:rsidR="003457A4" w:rsidRPr="00280780" w:rsidRDefault="003457A4" w:rsidP="007D5396">
      <w:pPr>
        <w:spacing w:line="276" w:lineRule="auto"/>
        <w:ind w:firstLine="0"/>
        <w:rPr>
          <w:rFonts w:ascii="ITC Avant Garde" w:hAnsi="ITC Avant Garde"/>
          <w:i/>
          <w:color w:val="auto"/>
          <w:sz w:val="18"/>
          <w:szCs w:val="18"/>
          <w:lang w:val="fr-FR"/>
        </w:rPr>
      </w:pPr>
      <w:r w:rsidRPr="00280780">
        <w:rPr>
          <w:rFonts w:ascii="ITC Avant Garde" w:hAnsi="ITC Avant Garde"/>
          <w:i/>
          <w:color w:val="auto"/>
          <w:sz w:val="18"/>
          <w:szCs w:val="18"/>
          <w:lang w:val="fr-FR"/>
        </w:rPr>
        <w:t>Request URI: &lt;sip:nnnnnnnnnnnnnnnn@hostB:5060;user=phone&gt;</w:t>
      </w:r>
    </w:p>
    <w:p w14:paraId="39086058" w14:textId="77777777" w:rsidR="003457A4" w:rsidRPr="00280780" w:rsidRDefault="003457A4" w:rsidP="007D5396">
      <w:pPr>
        <w:spacing w:line="276" w:lineRule="auto"/>
        <w:ind w:left="718" w:firstLine="0"/>
        <w:rPr>
          <w:rFonts w:ascii="ITC Avant Garde" w:hAnsi="ITC Avant Garde"/>
          <w:i/>
          <w:color w:val="auto"/>
          <w:sz w:val="18"/>
          <w:szCs w:val="18"/>
          <w:lang w:val="en-US"/>
        </w:rPr>
      </w:pPr>
      <w:r w:rsidRPr="00280780">
        <w:rPr>
          <w:rFonts w:ascii="ITC Avant Garde" w:hAnsi="ITC Avant Garde"/>
          <w:i/>
          <w:color w:val="auto"/>
          <w:sz w:val="18"/>
          <w:szCs w:val="18"/>
          <w:lang w:val="en-US"/>
        </w:rPr>
        <w:t>From: &lt;sip:yyyyyyyyyy@hostA;cpc=ordinary&gt;;tag=gK02418ef</w:t>
      </w:r>
    </w:p>
    <w:p w14:paraId="1164EC6F" w14:textId="77777777" w:rsidR="003457A4" w:rsidRPr="00280780" w:rsidRDefault="003457A4" w:rsidP="007D5396">
      <w:pPr>
        <w:spacing w:line="276" w:lineRule="auto"/>
        <w:ind w:left="718" w:firstLine="0"/>
        <w:rPr>
          <w:rFonts w:ascii="ITC Avant Garde" w:hAnsi="ITC Avant Garde"/>
          <w:i/>
          <w:color w:val="auto"/>
          <w:sz w:val="18"/>
          <w:szCs w:val="18"/>
          <w:lang w:val="en-US"/>
        </w:rPr>
      </w:pPr>
      <w:r w:rsidRPr="00280780">
        <w:rPr>
          <w:rFonts w:ascii="ITC Avant Garde" w:hAnsi="ITC Avant Garde"/>
          <w:i/>
          <w:color w:val="auto"/>
          <w:sz w:val="18"/>
          <w:szCs w:val="18"/>
          <w:lang w:val="en-US"/>
        </w:rPr>
        <w:t>To: &lt;sip:nnnnnnnnnnnnnnnn@hostB&gt;</w:t>
      </w:r>
    </w:p>
    <w:p w14:paraId="67CF1758" w14:textId="77777777" w:rsidR="003457A4" w:rsidRPr="00280780" w:rsidRDefault="003457A4" w:rsidP="007D5396">
      <w:pPr>
        <w:spacing w:line="276" w:lineRule="auto"/>
        <w:ind w:left="718" w:firstLine="0"/>
        <w:rPr>
          <w:rFonts w:ascii="ITC Avant Garde" w:hAnsi="ITC Avant Garde"/>
          <w:i/>
          <w:color w:val="auto"/>
          <w:sz w:val="18"/>
          <w:szCs w:val="18"/>
          <w:lang w:val="en-US"/>
        </w:rPr>
      </w:pPr>
      <w:r w:rsidRPr="00280780">
        <w:rPr>
          <w:rFonts w:ascii="ITC Avant Garde" w:hAnsi="ITC Avant Garde"/>
          <w:i/>
          <w:color w:val="auto"/>
          <w:sz w:val="18"/>
          <w:szCs w:val="18"/>
          <w:lang w:val="en-US"/>
        </w:rPr>
        <w:t>Call-ID: 419567316_130976413@hostA</w:t>
      </w:r>
    </w:p>
    <w:p w14:paraId="0EBF6D94" w14:textId="77777777" w:rsidR="003457A4" w:rsidRPr="00280780" w:rsidRDefault="003457A4" w:rsidP="00280780">
      <w:pPr>
        <w:spacing w:line="276" w:lineRule="auto"/>
        <w:ind w:firstLine="698"/>
        <w:rPr>
          <w:rFonts w:ascii="ITC Avant Garde" w:hAnsi="ITC Avant Garde"/>
          <w:i/>
          <w:color w:val="auto"/>
          <w:sz w:val="18"/>
          <w:szCs w:val="18"/>
          <w:lang w:val="fr-FR"/>
        </w:rPr>
      </w:pPr>
      <w:r w:rsidRPr="00280780">
        <w:rPr>
          <w:rFonts w:ascii="ITC Avant Garde" w:hAnsi="ITC Avant Garde"/>
          <w:i/>
          <w:color w:val="auto"/>
          <w:sz w:val="18"/>
          <w:szCs w:val="18"/>
          <w:lang w:val="fr-FR"/>
        </w:rPr>
        <w:t>CSeq: 17974 INVITE</w:t>
      </w:r>
    </w:p>
    <w:p w14:paraId="60DB7BBD" w14:textId="77777777" w:rsidR="003457A4" w:rsidRPr="00280780" w:rsidRDefault="003457A4" w:rsidP="00280780">
      <w:pPr>
        <w:spacing w:line="276" w:lineRule="auto"/>
        <w:ind w:firstLine="698"/>
        <w:rPr>
          <w:rFonts w:ascii="ITC Avant Garde" w:hAnsi="ITC Avant Garde"/>
          <w:i/>
          <w:color w:val="auto"/>
          <w:sz w:val="18"/>
          <w:szCs w:val="18"/>
          <w:lang w:val="fr-FR"/>
        </w:rPr>
      </w:pPr>
      <w:r w:rsidRPr="00280780">
        <w:rPr>
          <w:rFonts w:ascii="ITC Avant Garde" w:hAnsi="ITC Avant Garde"/>
          <w:i/>
          <w:color w:val="auto"/>
          <w:sz w:val="18"/>
          <w:szCs w:val="18"/>
          <w:lang w:val="fr-FR"/>
        </w:rPr>
        <w:t>Contact: &lt;sip:yyyyyyyyyy@hostA:5060&gt;</w:t>
      </w:r>
    </w:p>
    <w:p w14:paraId="5F26EB9B" w14:textId="77777777" w:rsidR="003457A4" w:rsidRPr="00280780" w:rsidRDefault="003457A4" w:rsidP="00280780">
      <w:pPr>
        <w:spacing w:line="276" w:lineRule="auto"/>
        <w:ind w:firstLine="698"/>
        <w:rPr>
          <w:rFonts w:ascii="ITC Avant Garde" w:hAnsi="ITC Avant Garde"/>
          <w:i/>
          <w:color w:val="auto"/>
          <w:sz w:val="18"/>
          <w:szCs w:val="18"/>
          <w:lang w:val="fr-FR"/>
        </w:rPr>
      </w:pPr>
      <w:r w:rsidRPr="00280780">
        <w:rPr>
          <w:rFonts w:ascii="ITC Avant Garde" w:hAnsi="ITC Avant Garde"/>
          <w:i/>
          <w:color w:val="auto"/>
          <w:sz w:val="18"/>
          <w:szCs w:val="18"/>
          <w:lang w:val="fr-FR"/>
        </w:rPr>
        <w:t>P-Asserted-Identity: &lt;sip:yyyyyyyyyy@hostA;cpc=ordinary&gt;</w:t>
      </w:r>
    </w:p>
    <w:p w14:paraId="7329935D" w14:textId="3FA07CBC" w:rsidR="003457A4" w:rsidRPr="00280780" w:rsidRDefault="00280780" w:rsidP="007D5396">
      <w:pPr>
        <w:spacing w:line="276" w:lineRule="auto"/>
        <w:ind w:firstLine="0"/>
        <w:rPr>
          <w:rFonts w:ascii="ITC Avant Garde" w:hAnsi="ITC Avant Garde"/>
          <w:i/>
          <w:color w:val="auto"/>
          <w:sz w:val="18"/>
          <w:szCs w:val="18"/>
          <w:lang w:val="fr-FR"/>
        </w:rPr>
      </w:pPr>
      <w:r>
        <w:rPr>
          <w:rFonts w:ascii="ITC Avant Garde" w:hAnsi="ITC Avant Garde"/>
          <w:i/>
          <w:color w:val="auto"/>
          <w:sz w:val="18"/>
          <w:szCs w:val="18"/>
          <w:lang w:val="fr-FR"/>
        </w:rPr>
        <w:tab/>
      </w:r>
      <w:r w:rsidR="003457A4" w:rsidRPr="00280780">
        <w:rPr>
          <w:rFonts w:ascii="ITC Avant Garde" w:hAnsi="ITC Avant Garde"/>
          <w:i/>
          <w:color w:val="auto"/>
          <w:sz w:val="18"/>
          <w:szCs w:val="18"/>
          <w:lang w:val="fr-FR"/>
        </w:rPr>
        <w:t>SDP IP:</w:t>
      </w:r>
    </w:p>
    <w:p w14:paraId="3D02E0B2" w14:textId="036DA5C5" w:rsidR="003457A4" w:rsidRPr="00280780" w:rsidRDefault="00280780" w:rsidP="00280780">
      <w:pPr>
        <w:spacing w:line="276" w:lineRule="auto"/>
        <w:ind w:firstLine="0"/>
        <w:rPr>
          <w:rFonts w:ascii="ITC Avant Garde" w:hAnsi="ITC Avant Garde"/>
          <w:i/>
          <w:color w:val="auto"/>
          <w:sz w:val="18"/>
          <w:szCs w:val="18"/>
          <w:lang w:val="fr-FR"/>
        </w:rPr>
      </w:pPr>
      <w:r>
        <w:rPr>
          <w:rFonts w:ascii="ITC Avant Garde" w:hAnsi="ITC Avant Garde"/>
          <w:i/>
          <w:color w:val="auto"/>
          <w:sz w:val="18"/>
          <w:szCs w:val="18"/>
          <w:lang w:val="fr-FR"/>
        </w:rPr>
        <w:tab/>
      </w:r>
      <w:r w:rsidR="00856FFD" w:rsidRPr="00280780">
        <w:rPr>
          <w:rFonts w:ascii="ITC Avant Garde" w:hAnsi="ITC Avant Garde"/>
          <w:i/>
          <w:color w:val="auto"/>
          <w:sz w:val="18"/>
          <w:szCs w:val="18"/>
          <w:lang w:val="fr-FR"/>
        </w:rPr>
        <w:t>SDP Port: 10610”</w:t>
      </w:r>
    </w:p>
    <w:p w14:paraId="6EE203A9" w14:textId="0CB0FA1F" w:rsidR="00280780" w:rsidRPr="00D5554D" w:rsidRDefault="00280780" w:rsidP="00280780">
      <w:pPr>
        <w:pStyle w:val="IFT1"/>
        <w:tabs>
          <w:tab w:val="left" w:pos="2440"/>
        </w:tabs>
        <w:spacing w:after="0"/>
        <w:rPr>
          <w:rFonts w:cs="Arial"/>
        </w:rPr>
      </w:pPr>
    </w:p>
    <w:p w14:paraId="3272E288" w14:textId="4234BFEB" w:rsidR="003457A4" w:rsidRPr="00D5554D" w:rsidRDefault="003457A4" w:rsidP="007D5396">
      <w:pPr>
        <w:pStyle w:val="IFT1"/>
        <w:tabs>
          <w:tab w:val="left" w:pos="284"/>
          <w:tab w:val="left" w:pos="567"/>
        </w:tabs>
        <w:spacing w:after="0"/>
        <w:rPr>
          <w:rFonts w:cs="Arial"/>
        </w:rPr>
      </w:pPr>
      <w:r w:rsidRPr="00D5554D">
        <w:rPr>
          <w:rFonts w:cs="Arial"/>
        </w:rPr>
        <w:t xml:space="preserve">Al respecto, </w:t>
      </w:r>
      <w:r w:rsidR="00280780" w:rsidRPr="00D5554D">
        <w:rPr>
          <w:rFonts w:cs="Arial"/>
        </w:rPr>
        <w:t xml:space="preserve">se señala que el formato de INVITE se encuentra establecido en el Acuerdo de Condiciones Técnicas Mínimas. No obstante lo anterior, </w:t>
      </w:r>
      <w:r w:rsidRPr="00D5554D">
        <w:rPr>
          <w:rFonts w:cs="Arial"/>
        </w:rPr>
        <w:t xml:space="preserve">de conformidad con el artículo 126 de la LFTyR, los concesionarios </w:t>
      </w:r>
      <w:r w:rsidR="006163CD" w:rsidRPr="00D5554D">
        <w:rPr>
          <w:rFonts w:cs="Arial"/>
        </w:rPr>
        <w:t>de redes públicas de telecomunicaciones acordarán las condiciones bajo las cuales se llevará a cabo la interconexión de las mismas</w:t>
      </w:r>
      <w:r w:rsidRPr="00D5554D">
        <w:rPr>
          <w:rFonts w:cs="Arial"/>
        </w:rPr>
        <w:t>, y en caso de no convenir la</w:t>
      </w:r>
      <w:r w:rsidR="006163CD" w:rsidRPr="00D5554D">
        <w:rPr>
          <w:rFonts w:cs="Arial"/>
        </w:rPr>
        <w:t>s condiciones de interconexión, cualquiera de las partes podrá</w:t>
      </w:r>
      <w:r w:rsidRPr="00D5554D">
        <w:rPr>
          <w:rFonts w:cs="Arial"/>
        </w:rPr>
        <w:t xml:space="preserve"> solicitar la intervención del Instituto.</w:t>
      </w:r>
      <w:r w:rsidR="006163CD" w:rsidRPr="00D5554D">
        <w:rPr>
          <w:rFonts w:cs="Arial"/>
        </w:rPr>
        <w:t xml:space="preserve"> </w:t>
      </w:r>
    </w:p>
    <w:p w14:paraId="7675B413" w14:textId="77777777" w:rsidR="000121FF" w:rsidRPr="00B56D15" w:rsidRDefault="000121FF" w:rsidP="007D5396">
      <w:pPr>
        <w:spacing w:after="0" w:line="276" w:lineRule="auto"/>
        <w:ind w:left="-5" w:right="49" w:firstLine="0"/>
        <w:rPr>
          <w:rFonts w:ascii="ITC Avant Garde" w:hAnsi="ITC Avant Garde"/>
          <w:b/>
          <w:color w:val="auto"/>
        </w:rPr>
      </w:pPr>
    </w:p>
    <w:p w14:paraId="717A1631" w14:textId="1204B00C" w:rsidR="00470BE2" w:rsidRPr="00B56D15" w:rsidRDefault="00470BE2" w:rsidP="007D5396">
      <w:pPr>
        <w:spacing w:line="276" w:lineRule="auto"/>
        <w:ind w:firstLine="0"/>
        <w:rPr>
          <w:rFonts w:ascii="ITC Avant Garde" w:hAnsi="ITC Avant Garde"/>
          <w:b/>
          <w:color w:val="auto"/>
        </w:rPr>
      </w:pPr>
      <w:r w:rsidRPr="00B56D15">
        <w:rPr>
          <w:rFonts w:ascii="ITC Avant Garde" w:hAnsi="ITC Avant Garde"/>
          <w:b/>
          <w:color w:val="auto"/>
        </w:rPr>
        <w:t>Telefónica:</w:t>
      </w:r>
    </w:p>
    <w:p w14:paraId="73B25434" w14:textId="77777777" w:rsidR="00470BE2" w:rsidRPr="00B56D15" w:rsidRDefault="00470BE2" w:rsidP="007D5396">
      <w:pPr>
        <w:spacing w:line="276" w:lineRule="auto"/>
        <w:ind w:firstLine="0"/>
        <w:rPr>
          <w:rFonts w:ascii="ITC Avant Garde" w:hAnsi="ITC Avant Garde"/>
          <w:color w:val="auto"/>
        </w:rPr>
      </w:pPr>
    </w:p>
    <w:p w14:paraId="1B553937" w14:textId="0D821B9D" w:rsidR="00470BE2" w:rsidRDefault="000121FF" w:rsidP="007D5396">
      <w:pPr>
        <w:spacing w:line="276" w:lineRule="auto"/>
        <w:ind w:firstLine="0"/>
        <w:rPr>
          <w:rFonts w:ascii="ITC Avant Garde" w:hAnsi="ITC Avant Garde"/>
          <w:i/>
          <w:color w:val="auto"/>
        </w:rPr>
      </w:pPr>
      <w:r>
        <w:rPr>
          <w:rFonts w:ascii="ITC Avant Garde" w:hAnsi="ITC Avant Garde"/>
          <w:i/>
          <w:color w:val="auto"/>
        </w:rPr>
        <w:t xml:space="preserve">En el inciso 2.3, </w:t>
      </w:r>
      <w:r w:rsidR="00470BE2" w:rsidRPr="00B56D15">
        <w:rPr>
          <w:rFonts w:ascii="ITC Avant Garde" w:hAnsi="ITC Avant Garde"/>
          <w:i/>
          <w:color w:val="auto"/>
        </w:rPr>
        <w:t>debe redactarse en el sentido de que TELMEX debe aceptar el tráfico sin diferenciar puerto de entrada, siempre que exista un convenio de interconexión vigente entre esos operadores pertenecien</w:t>
      </w:r>
      <w:r>
        <w:rPr>
          <w:rFonts w:ascii="ITC Avant Garde" w:hAnsi="ITC Avant Garde"/>
          <w:i/>
          <w:color w:val="auto"/>
        </w:rPr>
        <w:t>tes a un mismo grupo económico.</w:t>
      </w:r>
    </w:p>
    <w:p w14:paraId="4FD0A89E" w14:textId="77777777" w:rsidR="00A87B9E" w:rsidRDefault="00A87B9E" w:rsidP="007D5396">
      <w:pPr>
        <w:spacing w:line="276" w:lineRule="auto"/>
        <w:ind w:firstLine="0"/>
        <w:rPr>
          <w:rFonts w:ascii="ITC Avant Garde" w:hAnsi="ITC Avant Garde"/>
          <w:i/>
          <w:color w:val="auto"/>
        </w:rPr>
      </w:pPr>
    </w:p>
    <w:p w14:paraId="12E1874C" w14:textId="30DE493A" w:rsidR="00A87B9E" w:rsidRPr="00D5554D" w:rsidRDefault="00A87B9E" w:rsidP="007D5396">
      <w:pPr>
        <w:pStyle w:val="IFT1"/>
        <w:tabs>
          <w:tab w:val="left" w:pos="284"/>
          <w:tab w:val="left" w:pos="567"/>
        </w:tabs>
        <w:spacing w:after="0"/>
        <w:rPr>
          <w:rFonts w:cs="Arial"/>
        </w:rPr>
      </w:pPr>
      <w:r w:rsidRPr="00D5554D">
        <w:rPr>
          <w:rFonts w:cs="Arial"/>
        </w:rPr>
        <w:t xml:space="preserve">Al respecto, </w:t>
      </w:r>
      <w:r w:rsidR="00111F64" w:rsidRPr="00D5554D">
        <w:rPr>
          <w:rFonts w:cs="Arial"/>
        </w:rPr>
        <w:t>se</w:t>
      </w:r>
      <w:r w:rsidRPr="00D5554D">
        <w:rPr>
          <w:rFonts w:cs="Arial"/>
        </w:rPr>
        <w:t xml:space="preserve"> considera que la redacción presentada en </w:t>
      </w:r>
      <w:r w:rsidR="00111F64" w:rsidRPr="00D5554D">
        <w:rPr>
          <w:rFonts w:cs="Arial"/>
        </w:rPr>
        <w:t>Anexo A.2 numeral 2.3, tiene como</w:t>
      </w:r>
      <w:r w:rsidRPr="00D5554D">
        <w:rPr>
          <w:rFonts w:cs="Arial"/>
        </w:rPr>
        <w:t xml:space="preserve"> finalidad que los concesionarios </w:t>
      </w:r>
      <w:r w:rsidR="00B57D54" w:rsidRPr="00D5554D">
        <w:rPr>
          <w:rFonts w:cs="Arial"/>
        </w:rPr>
        <w:t>tengan pleno conocimiento de los identificadores IDO y BCD del concesionario que origina la llamada y pueda verificar que el tráfico que recibe</w:t>
      </w:r>
      <w:r w:rsidR="004D1128" w:rsidRPr="00D5554D">
        <w:rPr>
          <w:rFonts w:cs="Arial"/>
        </w:rPr>
        <w:t xml:space="preserve"> en determinado puerto efectivamente </w:t>
      </w:r>
      <w:r w:rsidR="00B57D54" w:rsidRPr="00D5554D">
        <w:rPr>
          <w:rFonts w:cs="Arial"/>
        </w:rPr>
        <w:t xml:space="preserve">pertenece al concesionario con el cual se encuentra establecido el </w:t>
      </w:r>
      <w:r w:rsidR="004D1128" w:rsidRPr="00D5554D">
        <w:rPr>
          <w:rFonts w:cs="Arial"/>
        </w:rPr>
        <w:t xml:space="preserve">respectivo </w:t>
      </w:r>
      <w:r w:rsidR="00B57D54" w:rsidRPr="00D5554D">
        <w:rPr>
          <w:rFonts w:cs="Arial"/>
        </w:rPr>
        <w:t>convenio de interconexión.</w:t>
      </w:r>
    </w:p>
    <w:p w14:paraId="497CE6C5" w14:textId="77777777" w:rsidR="002D5A80" w:rsidRPr="00D5554D" w:rsidRDefault="002D5A80" w:rsidP="007D5396">
      <w:pPr>
        <w:pStyle w:val="IFT1"/>
        <w:tabs>
          <w:tab w:val="left" w:pos="284"/>
          <w:tab w:val="left" w:pos="567"/>
        </w:tabs>
        <w:spacing w:after="0"/>
        <w:rPr>
          <w:rFonts w:cs="Arial"/>
        </w:rPr>
      </w:pPr>
    </w:p>
    <w:p w14:paraId="3C6EECBF" w14:textId="072C321C" w:rsidR="002D5A80" w:rsidRPr="00D5554D" w:rsidRDefault="002D5A80" w:rsidP="002D5A80">
      <w:pPr>
        <w:pStyle w:val="IFT1"/>
        <w:tabs>
          <w:tab w:val="left" w:pos="284"/>
          <w:tab w:val="left" w:pos="567"/>
        </w:tabs>
        <w:spacing w:after="0"/>
        <w:rPr>
          <w:rFonts w:cs="Arial"/>
        </w:rPr>
      </w:pPr>
      <w:r w:rsidRPr="00D5554D">
        <w:rPr>
          <w:rFonts w:cs="Arial"/>
        </w:rPr>
        <w:t>Por otra parte, las disposiciones administrativas en materia de señalización, en específico el numeral 8.7 del Plan Técnico Fundamental de Señalización establece lo siguiente:</w:t>
      </w:r>
    </w:p>
    <w:p w14:paraId="067D208D" w14:textId="77777777" w:rsidR="002D5A80" w:rsidRPr="00D5554D" w:rsidRDefault="002D5A80" w:rsidP="002D5A80">
      <w:pPr>
        <w:spacing w:after="0" w:line="276" w:lineRule="auto"/>
        <w:rPr>
          <w:rFonts w:ascii="ITC Avant Garde" w:hAnsi="ITC Avant Garde"/>
          <w:color w:val="auto"/>
        </w:rPr>
      </w:pPr>
    </w:p>
    <w:p w14:paraId="09567E71" w14:textId="77777777" w:rsidR="002D5A80" w:rsidRPr="002C0759" w:rsidRDefault="002D5A80" w:rsidP="002D5A80">
      <w:pPr>
        <w:spacing w:after="0" w:line="276" w:lineRule="auto"/>
        <w:ind w:left="567" w:right="567"/>
        <w:rPr>
          <w:rFonts w:ascii="ITC Avant Garde" w:hAnsi="ITC Avant Garde"/>
          <w:i/>
          <w:sz w:val="18"/>
          <w:szCs w:val="18"/>
        </w:rPr>
      </w:pPr>
      <w:r w:rsidRPr="002C0759">
        <w:rPr>
          <w:rFonts w:ascii="ITC Avant Garde" w:hAnsi="ITC Avant Garde"/>
          <w:i/>
          <w:sz w:val="18"/>
          <w:szCs w:val="18"/>
        </w:rPr>
        <w:t>“8.7. Los operadores que ofrecen el servicio de tránsito local, sólo tramitarán llamadas en las que el IDO o el BCD que reciben, corresponda al concesionario de cuya troncal de interconexión estén recibiendo la llamada, y retransmitirán estos mismos códigos a la red de destino.”</w:t>
      </w:r>
    </w:p>
    <w:p w14:paraId="57ADE457" w14:textId="451DB01A" w:rsidR="002D5A80" w:rsidRPr="00D5554D" w:rsidRDefault="002D5A80" w:rsidP="007D5396">
      <w:pPr>
        <w:pStyle w:val="IFT1"/>
        <w:tabs>
          <w:tab w:val="left" w:pos="284"/>
          <w:tab w:val="left" w:pos="567"/>
        </w:tabs>
        <w:spacing w:after="0"/>
        <w:rPr>
          <w:rFonts w:cs="Arial"/>
        </w:rPr>
      </w:pPr>
    </w:p>
    <w:p w14:paraId="4280F0F7" w14:textId="42F513B1" w:rsidR="00111F64" w:rsidRPr="00D5554D" w:rsidRDefault="00111F64" w:rsidP="00EA38B3">
      <w:pPr>
        <w:pStyle w:val="IFT1"/>
        <w:tabs>
          <w:tab w:val="left" w:pos="284"/>
          <w:tab w:val="left" w:pos="567"/>
        </w:tabs>
        <w:spacing w:after="0"/>
        <w:rPr>
          <w:rFonts w:cs="Arial"/>
        </w:rPr>
      </w:pPr>
      <w:r w:rsidRPr="00D5554D">
        <w:rPr>
          <w:rFonts w:cs="Arial"/>
        </w:rPr>
        <w:t xml:space="preserve">Es así que lo establecido en la Propuesta de CMI es acorde a lo establecido en el Plan Técnico Fundamental de Señalización. </w:t>
      </w:r>
    </w:p>
    <w:p w14:paraId="374254CB" w14:textId="6F50F17A" w:rsidR="00470BE2" w:rsidRPr="00D5554D" w:rsidRDefault="00470BE2" w:rsidP="00EA38B3">
      <w:pPr>
        <w:spacing w:after="0" w:line="276" w:lineRule="auto"/>
        <w:ind w:left="0" w:firstLine="0"/>
        <w:rPr>
          <w:rFonts w:ascii="ITC Avant Garde" w:hAnsi="ITC Avant Garde"/>
          <w:color w:val="auto"/>
        </w:rPr>
      </w:pPr>
    </w:p>
    <w:p w14:paraId="6A17F4DB" w14:textId="306055CC" w:rsidR="00470BE2" w:rsidRPr="00446D69" w:rsidRDefault="00470BE2" w:rsidP="00EA38B3">
      <w:pPr>
        <w:spacing w:after="0" w:line="276" w:lineRule="auto"/>
        <w:ind w:firstLine="0"/>
        <w:rPr>
          <w:rFonts w:ascii="ITC Avant Garde" w:hAnsi="ITC Avant Garde"/>
          <w:b/>
          <w:color w:val="auto"/>
        </w:rPr>
      </w:pPr>
      <w:r w:rsidRPr="00EA38B3">
        <w:rPr>
          <w:rFonts w:ascii="ITC Avant Garde" w:hAnsi="ITC Avant Garde"/>
          <w:b/>
          <w:color w:val="auto"/>
        </w:rPr>
        <w:t>Telefónica:</w:t>
      </w:r>
    </w:p>
    <w:p w14:paraId="341967D3" w14:textId="77777777" w:rsidR="00470BE2" w:rsidRPr="00B56D15" w:rsidRDefault="00470BE2" w:rsidP="00EA38B3">
      <w:pPr>
        <w:spacing w:after="0" w:line="276" w:lineRule="auto"/>
        <w:ind w:firstLine="0"/>
        <w:rPr>
          <w:rFonts w:ascii="ITC Avant Garde" w:hAnsi="ITC Avant Garde"/>
          <w:color w:val="auto"/>
        </w:rPr>
      </w:pPr>
    </w:p>
    <w:p w14:paraId="4DB0E391" w14:textId="40803C6A" w:rsidR="00470BE2" w:rsidRDefault="00446D69" w:rsidP="00EA38B3">
      <w:pPr>
        <w:spacing w:after="0" w:line="276" w:lineRule="auto"/>
        <w:ind w:firstLine="0"/>
        <w:rPr>
          <w:rFonts w:ascii="ITC Avant Garde" w:hAnsi="ITC Avant Garde"/>
          <w:i/>
          <w:color w:val="auto"/>
        </w:rPr>
      </w:pPr>
      <w:r>
        <w:rPr>
          <w:rFonts w:ascii="ITC Avant Garde" w:hAnsi="ITC Avant Garde"/>
          <w:i/>
          <w:color w:val="auto"/>
        </w:rPr>
        <w:t>En el inciso 2.3</w:t>
      </w:r>
      <w:r w:rsidR="00A72EBA">
        <w:rPr>
          <w:rFonts w:ascii="ITC Avant Garde" w:hAnsi="ITC Avant Garde"/>
          <w:i/>
          <w:color w:val="auto"/>
        </w:rPr>
        <w:t xml:space="preserve"> del Anexo A</w:t>
      </w:r>
      <w:r>
        <w:rPr>
          <w:rFonts w:ascii="ITC Avant Garde" w:hAnsi="ITC Avant Garde"/>
          <w:i/>
          <w:color w:val="auto"/>
        </w:rPr>
        <w:t>, señalar que e</w:t>
      </w:r>
      <w:r w:rsidR="00470BE2" w:rsidRPr="00B56D15">
        <w:rPr>
          <w:rFonts w:ascii="ITC Avant Garde" w:hAnsi="ITC Avant Garde"/>
          <w:i/>
          <w:color w:val="auto"/>
        </w:rPr>
        <w:t xml:space="preserve">l punto de interconexión en el cual se entregará este tipo de tráfico será el acordado entre los </w:t>
      </w:r>
      <w:r w:rsidR="00930A66">
        <w:rPr>
          <w:rFonts w:ascii="ITC Avant Garde" w:hAnsi="ITC Avant Garde"/>
          <w:i/>
          <w:color w:val="auto"/>
        </w:rPr>
        <w:t>c</w:t>
      </w:r>
      <w:r w:rsidR="00470BE2" w:rsidRPr="00B56D15">
        <w:rPr>
          <w:rFonts w:ascii="ITC Avant Garde" w:hAnsi="ITC Avant Garde"/>
          <w:i/>
          <w:color w:val="auto"/>
        </w:rPr>
        <w:t>oncesionarios. TELMEX debe estar en posibilidad de recibir tráfico de todo origen todo destino en su carácter de preponderante. Los demás concesionarios señalarán a TELMEX los puntos donde este último deberá entreg</w:t>
      </w:r>
      <w:r>
        <w:rPr>
          <w:rFonts w:ascii="ITC Avant Garde" w:hAnsi="ITC Avant Garde"/>
          <w:i/>
          <w:color w:val="auto"/>
        </w:rPr>
        <w:t>ar el tráfico al concesionario.</w:t>
      </w:r>
    </w:p>
    <w:p w14:paraId="16170A52" w14:textId="77777777" w:rsidR="00470BE2" w:rsidRPr="00B56D15" w:rsidRDefault="00470BE2" w:rsidP="007D5396">
      <w:pPr>
        <w:spacing w:line="276" w:lineRule="auto"/>
        <w:ind w:firstLine="0"/>
        <w:rPr>
          <w:rFonts w:ascii="ITC Avant Garde" w:hAnsi="ITC Avant Garde"/>
          <w:i/>
          <w:color w:val="auto"/>
        </w:rPr>
      </w:pPr>
    </w:p>
    <w:p w14:paraId="2B0F03CE" w14:textId="7C7833E0" w:rsidR="00641665" w:rsidRPr="00D5554D" w:rsidRDefault="00641665" w:rsidP="00641665">
      <w:pPr>
        <w:spacing w:line="276" w:lineRule="auto"/>
        <w:ind w:firstLine="0"/>
        <w:rPr>
          <w:rFonts w:ascii="ITC Avant Garde" w:hAnsi="ITC Avant Garde"/>
          <w:color w:val="auto"/>
        </w:rPr>
      </w:pPr>
      <w:r w:rsidRPr="00D5554D">
        <w:rPr>
          <w:rFonts w:ascii="ITC Avant Garde" w:hAnsi="ITC Avant Garde"/>
          <w:color w:val="auto"/>
        </w:rPr>
        <w:lastRenderedPageBreak/>
        <w:t>Al respecto se señala que de acuerdo a lo establecido en la Condición Cuarta del Acuerdo de Condiciones Técnicas Mínimas los concesionarios de redes públicas de telecomunicaciones a elección del CS deberán permitir el intercambio de tráfico de cualquier origen o destino así como de cualquier tipo a través de sus puertos de acceso y enlaces de transmisión</w:t>
      </w:r>
      <w:r w:rsidR="00D5554D">
        <w:rPr>
          <w:rFonts w:ascii="ITC Avant Garde" w:hAnsi="ITC Avant Garde"/>
          <w:color w:val="auto"/>
        </w:rPr>
        <w:t>.</w:t>
      </w:r>
      <w:r w:rsidRPr="00D5554D">
        <w:rPr>
          <w:rFonts w:ascii="ITC Avant Garde" w:hAnsi="ITC Avant Garde"/>
          <w:color w:val="auto"/>
        </w:rPr>
        <w:t xml:space="preserve"> </w:t>
      </w:r>
    </w:p>
    <w:p w14:paraId="7A11AD21" w14:textId="77777777" w:rsidR="00641665" w:rsidRPr="00D5554D" w:rsidRDefault="00641665" w:rsidP="00641665">
      <w:pPr>
        <w:spacing w:line="276" w:lineRule="auto"/>
        <w:ind w:firstLine="0"/>
        <w:rPr>
          <w:rFonts w:ascii="ITC Avant Garde" w:hAnsi="ITC Avant Garde"/>
          <w:color w:val="auto"/>
        </w:rPr>
      </w:pPr>
    </w:p>
    <w:p w14:paraId="78826D43" w14:textId="132BCD24" w:rsidR="00470BE2" w:rsidRPr="00D5554D" w:rsidRDefault="00641665" w:rsidP="00641665">
      <w:pPr>
        <w:spacing w:line="276" w:lineRule="auto"/>
        <w:ind w:firstLine="0"/>
        <w:rPr>
          <w:rFonts w:ascii="ITC Avant Garde" w:hAnsi="ITC Avant Garde"/>
          <w:color w:val="auto"/>
        </w:rPr>
      </w:pPr>
      <w:r w:rsidRPr="00D5554D">
        <w:rPr>
          <w:rFonts w:ascii="ITC Avant Garde" w:hAnsi="ITC Avant Garde"/>
          <w:color w:val="auto"/>
        </w:rPr>
        <w:t>Por lo anterior se considera que la precisión solicitada es inexacta, toda vez que a elección del CS los concesionarios tienen la obligación de recibir el tráfico de todo origen y todo destino.</w:t>
      </w:r>
    </w:p>
    <w:p w14:paraId="2C181893" w14:textId="77777777" w:rsidR="00641665" w:rsidRPr="00D5554D" w:rsidRDefault="00641665" w:rsidP="00641665">
      <w:pPr>
        <w:spacing w:line="276" w:lineRule="auto"/>
        <w:ind w:firstLine="0"/>
        <w:rPr>
          <w:rFonts w:ascii="ITC Avant Garde" w:hAnsi="ITC Avant Garde"/>
          <w:color w:val="auto"/>
        </w:rPr>
      </w:pPr>
    </w:p>
    <w:p w14:paraId="40894CE7" w14:textId="77777777" w:rsidR="004D7CE3" w:rsidRPr="00B56D15" w:rsidRDefault="004D7CE3"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6E581DDF" w14:textId="77777777" w:rsidR="004D7CE3" w:rsidRPr="00B56D15" w:rsidRDefault="004D7CE3" w:rsidP="007D5396">
      <w:pPr>
        <w:spacing w:line="276" w:lineRule="auto"/>
        <w:ind w:firstLine="0"/>
        <w:rPr>
          <w:rFonts w:ascii="ITC Avant Garde" w:hAnsi="ITC Avant Garde"/>
          <w:color w:val="auto"/>
        </w:rPr>
      </w:pPr>
    </w:p>
    <w:p w14:paraId="457ED9B0" w14:textId="3236C0B7" w:rsidR="004D7CE3" w:rsidRPr="00B56D15" w:rsidRDefault="004D7CE3" w:rsidP="007D5396">
      <w:pPr>
        <w:spacing w:line="276" w:lineRule="auto"/>
        <w:ind w:firstLine="0"/>
        <w:rPr>
          <w:rFonts w:ascii="ITC Avant Garde" w:hAnsi="ITC Avant Garde"/>
          <w:i/>
          <w:color w:val="auto"/>
        </w:rPr>
      </w:pPr>
      <w:r>
        <w:rPr>
          <w:rFonts w:ascii="ITC Avant Garde" w:hAnsi="ITC Avant Garde"/>
          <w:i/>
          <w:color w:val="auto"/>
        </w:rPr>
        <w:t>En el inciso 3.1 Realización física, m</w:t>
      </w:r>
      <w:r w:rsidRPr="00B56D15">
        <w:rPr>
          <w:rFonts w:ascii="ITC Avant Garde" w:hAnsi="ITC Avant Garde"/>
          <w:i/>
          <w:color w:val="auto"/>
        </w:rPr>
        <w:t>odificar el convenio para que contemple como una alternativa, la utilización de la re</w:t>
      </w:r>
      <w:r w:rsidR="00E2507A">
        <w:rPr>
          <w:rFonts w:ascii="ITC Avant Garde" w:hAnsi="ITC Avant Garde"/>
          <w:i/>
          <w:color w:val="auto"/>
        </w:rPr>
        <w:t>d</w:t>
      </w:r>
      <w:r w:rsidRPr="00B56D15">
        <w:rPr>
          <w:rFonts w:ascii="ITC Avant Garde" w:hAnsi="ITC Avant Garde"/>
          <w:i/>
          <w:color w:val="auto"/>
        </w:rPr>
        <w:t xml:space="preserve"> de MPLS/VPN, utilizando VRF´s permitiendo en una solución redundante utilizando protocolos de ruteo. Definir el direccionamiento </w:t>
      </w:r>
      <w:r>
        <w:rPr>
          <w:rFonts w:ascii="ITC Avant Garde" w:hAnsi="ITC Avant Garde"/>
          <w:i/>
          <w:color w:val="auto"/>
        </w:rPr>
        <w:t>a utilizar (Público o Privado).</w:t>
      </w:r>
    </w:p>
    <w:p w14:paraId="2E722183" w14:textId="77777777" w:rsidR="004D7CE3" w:rsidRPr="00B56D15" w:rsidRDefault="004D7CE3" w:rsidP="007D5396">
      <w:pPr>
        <w:spacing w:line="276" w:lineRule="auto"/>
        <w:ind w:firstLine="0"/>
        <w:rPr>
          <w:rFonts w:ascii="ITC Avant Garde" w:hAnsi="ITC Avant Garde"/>
          <w:i/>
          <w:color w:val="auto"/>
        </w:rPr>
      </w:pPr>
    </w:p>
    <w:p w14:paraId="1C877ACA" w14:textId="77777777" w:rsidR="004D7CE3" w:rsidRPr="00D5554D" w:rsidRDefault="004D7CE3" w:rsidP="007D5396">
      <w:pPr>
        <w:spacing w:after="0" w:line="276" w:lineRule="auto"/>
        <w:ind w:left="-5" w:right="49" w:firstLine="0"/>
        <w:rPr>
          <w:rFonts w:ascii="ITC Avant Garde" w:hAnsi="ITC Avant Garde"/>
          <w:color w:val="auto"/>
        </w:rPr>
      </w:pPr>
      <w:r w:rsidRPr="00D5554D">
        <w:rPr>
          <w:rFonts w:ascii="ITC Avant Garde" w:hAnsi="ITC Avant Garde"/>
          <w:color w:val="auto"/>
        </w:rPr>
        <w:t xml:space="preserve">Al respecto, se considera que la redacción del numeral en comento es acorde con lo establecido en el Acuerdo de Condiciones Técnicas Mínimas respecto a las características técnicas y físicas del enlace mediante el cual se establecerá la interconexión, por lo cual, no es procedente realizar alguna modificación a la misma. </w:t>
      </w:r>
    </w:p>
    <w:p w14:paraId="147E5042" w14:textId="77777777" w:rsidR="004D7CE3" w:rsidRPr="00D5554D" w:rsidRDefault="004D7CE3" w:rsidP="007D5396">
      <w:pPr>
        <w:spacing w:after="0" w:line="276" w:lineRule="auto"/>
        <w:ind w:left="-5" w:right="49" w:firstLine="0"/>
        <w:rPr>
          <w:rFonts w:ascii="ITC Avant Garde" w:hAnsi="ITC Avant Garde"/>
          <w:color w:val="auto"/>
        </w:rPr>
      </w:pPr>
    </w:p>
    <w:p w14:paraId="4CD9A248" w14:textId="2D64F084" w:rsidR="004D7CE3" w:rsidRPr="00D5554D" w:rsidRDefault="004D7CE3" w:rsidP="007D5396">
      <w:pPr>
        <w:spacing w:after="0" w:line="276" w:lineRule="auto"/>
        <w:ind w:left="-5" w:right="49" w:firstLine="0"/>
        <w:rPr>
          <w:rFonts w:ascii="ITC Avant Garde" w:hAnsi="ITC Avant Garde"/>
          <w:color w:val="auto"/>
        </w:rPr>
      </w:pPr>
      <w:r w:rsidRPr="00D5554D">
        <w:rPr>
          <w:rFonts w:ascii="ITC Avant Garde" w:hAnsi="ITC Avant Garde"/>
          <w:color w:val="auto"/>
        </w:rPr>
        <w:t>No obstante, se señala que los concesionarios podrán de común acuerdo establecer los esquemas de interconexión que mejor convengan conforme a las arquitecturas de sus redes, siempre que estos esquemas les permita llevar a cabo una efectiva y eficaz interconexión e interoperabilidad, lo anterior de conformidad con el artículo 126 de la LFT</w:t>
      </w:r>
      <w:r w:rsidR="008A3D8D" w:rsidRPr="00D5554D">
        <w:rPr>
          <w:rFonts w:ascii="ITC Avant Garde" w:hAnsi="ITC Avant Garde"/>
          <w:color w:val="auto"/>
        </w:rPr>
        <w:t>y</w:t>
      </w:r>
      <w:r w:rsidRPr="00D5554D">
        <w:rPr>
          <w:rFonts w:ascii="ITC Avant Garde" w:hAnsi="ITC Avant Garde"/>
          <w:color w:val="auto"/>
        </w:rPr>
        <w:t>R.</w:t>
      </w:r>
    </w:p>
    <w:p w14:paraId="543387BC" w14:textId="77777777" w:rsidR="004D7CE3" w:rsidRPr="00D5554D" w:rsidRDefault="004D7CE3" w:rsidP="007D5396">
      <w:pPr>
        <w:spacing w:line="276" w:lineRule="auto"/>
        <w:ind w:firstLine="0"/>
        <w:rPr>
          <w:rFonts w:ascii="ITC Avant Garde" w:hAnsi="ITC Avant Garde"/>
          <w:i/>
          <w:color w:val="auto"/>
        </w:rPr>
      </w:pPr>
    </w:p>
    <w:p w14:paraId="57EB207F" w14:textId="77777777" w:rsidR="004D7CE3" w:rsidRPr="00C64CB7" w:rsidRDefault="004D7CE3" w:rsidP="007D5396">
      <w:pPr>
        <w:spacing w:after="0" w:line="276" w:lineRule="auto"/>
        <w:ind w:left="-5" w:right="49" w:firstLine="0"/>
        <w:rPr>
          <w:rFonts w:ascii="ITC Avant Garde" w:hAnsi="ITC Avant Garde"/>
          <w:b/>
          <w:color w:val="auto"/>
        </w:rPr>
      </w:pPr>
      <w:r w:rsidRPr="00C64CB7">
        <w:rPr>
          <w:rFonts w:ascii="ITC Avant Garde" w:hAnsi="ITC Avant Garde"/>
          <w:b/>
          <w:color w:val="auto"/>
        </w:rPr>
        <w:t>Megacable:</w:t>
      </w:r>
    </w:p>
    <w:p w14:paraId="724A82DF" w14:textId="77777777" w:rsidR="004D7CE3" w:rsidRPr="00C64CB7" w:rsidRDefault="004D7CE3" w:rsidP="007D5396">
      <w:pPr>
        <w:spacing w:after="0" w:line="276" w:lineRule="auto"/>
        <w:ind w:left="0" w:right="49" w:firstLine="0"/>
        <w:rPr>
          <w:rFonts w:ascii="ITC Avant Garde" w:eastAsia="Times New Roman" w:hAnsi="ITC Avant Garde" w:cs="Times New Roman"/>
          <w:color w:val="auto"/>
        </w:rPr>
      </w:pPr>
    </w:p>
    <w:p w14:paraId="2F8BA3F1" w14:textId="7700FE6F" w:rsidR="004D7CE3" w:rsidRDefault="004D7CE3" w:rsidP="007D5396">
      <w:pPr>
        <w:autoSpaceDE w:val="0"/>
        <w:autoSpaceDN w:val="0"/>
        <w:adjustRightInd w:val="0"/>
        <w:spacing w:after="0" w:line="276" w:lineRule="auto"/>
        <w:ind w:left="0" w:right="0" w:firstLine="0"/>
        <w:rPr>
          <w:rFonts w:ascii="ITC Avant Garde" w:eastAsiaTheme="minorHAnsi" w:hAnsi="ITC Avant Garde" w:cs="Century Gothic"/>
          <w:color w:val="auto"/>
          <w:lang w:eastAsia="en-US"/>
        </w:rPr>
      </w:pPr>
      <w:r>
        <w:rPr>
          <w:rFonts w:ascii="ITC Avant Garde" w:hAnsi="ITC Avant Garde"/>
          <w:i/>
          <w:color w:val="auto"/>
        </w:rPr>
        <w:t>En el inciso 3.1 Realización física, s</w:t>
      </w:r>
      <w:r w:rsidRPr="00C64CB7">
        <w:rPr>
          <w:rFonts w:ascii="ITC Avant Garde" w:eastAsiaTheme="minorHAnsi" w:hAnsi="ITC Avant Garde" w:cs="Century Gothic"/>
          <w:color w:val="auto"/>
          <w:lang w:eastAsia="en-US"/>
        </w:rPr>
        <w:t xml:space="preserve">e solicita eliminar el último punto, lo anterior derivado a que en la misma se pretende limitar el crecimiento de capacidad a un porcentaje de ocupación </w:t>
      </w:r>
      <w:r>
        <w:rPr>
          <w:rFonts w:ascii="ITC Avant Garde" w:eastAsiaTheme="minorHAnsi" w:hAnsi="ITC Avant Garde" w:cs="Century Gothic"/>
          <w:color w:val="auto"/>
          <w:lang w:eastAsia="en-US"/>
        </w:rPr>
        <w:t xml:space="preserve">del </w:t>
      </w:r>
      <w:r w:rsidR="00930A66">
        <w:rPr>
          <w:rFonts w:ascii="ITC Avant Garde" w:eastAsiaTheme="minorHAnsi" w:hAnsi="ITC Avant Garde" w:cs="Century Gothic"/>
          <w:color w:val="auto"/>
          <w:lang w:eastAsia="en-US"/>
        </w:rPr>
        <w:t>CS</w:t>
      </w:r>
      <w:r>
        <w:rPr>
          <w:rFonts w:ascii="ITC Avant Garde" w:eastAsiaTheme="minorHAnsi" w:hAnsi="ITC Avant Garde" w:cs="Century Gothic"/>
          <w:color w:val="auto"/>
          <w:lang w:eastAsia="en-US"/>
        </w:rPr>
        <w:t>.</w:t>
      </w:r>
    </w:p>
    <w:p w14:paraId="1B1D2301" w14:textId="77777777" w:rsidR="004D7CE3" w:rsidRPr="00C64CB7" w:rsidRDefault="004D7CE3" w:rsidP="007D5396">
      <w:pPr>
        <w:autoSpaceDE w:val="0"/>
        <w:autoSpaceDN w:val="0"/>
        <w:adjustRightInd w:val="0"/>
        <w:spacing w:after="0" w:line="276" w:lineRule="auto"/>
        <w:ind w:left="0" w:right="0" w:firstLine="0"/>
        <w:rPr>
          <w:rFonts w:ascii="ITC Avant Garde" w:eastAsiaTheme="minorHAnsi" w:hAnsi="ITC Avant Garde" w:cs="Century Gothic"/>
          <w:color w:val="auto"/>
          <w:lang w:eastAsia="en-US"/>
        </w:rPr>
      </w:pPr>
    </w:p>
    <w:p w14:paraId="47D497A8" w14:textId="77777777" w:rsidR="004D7CE3" w:rsidRPr="00B56D15" w:rsidRDefault="004D7CE3" w:rsidP="007D5396">
      <w:pPr>
        <w:spacing w:line="276" w:lineRule="auto"/>
        <w:ind w:firstLine="0"/>
        <w:rPr>
          <w:rFonts w:ascii="ITC Avant Garde" w:hAnsi="ITC Avant Garde"/>
          <w:b/>
          <w:color w:val="auto"/>
        </w:rPr>
      </w:pPr>
      <w:r w:rsidRPr="00B56D15">
        <w:rPr>
          <w:rFonts w:ascii="ITC Avant Garde" w:hAnsi="ITC Avant Garde"/>
          <w:b/>
          <w:color w:val="auto"/>
        </w:rPr>
        <w:t>CANIETI</w:t>
      </w:r>
      <w:r>
        <w:rPr>
          <w:rFonts w:ascii="ITC Avant Garde" w:hAnsi="ITC Avant Garde"/>
          <w:b/>
          <w:color w:val="auto"/>
        </w:rPr>
        <w:t xml:space="preserve"> y MCM</w:t>
      </w:r>
      <w:r w:rsidRPr="00B56D15">
        <w:rPr>
          <w:rFonts w:ascii="ITC Avant Garde" w:hAnsi="ITC Avant Garde"/>
          <w:b/>
          <w:color w:val="auto"/>
        </w:rPr>
        <w:t>:</w:t>
      </w:r>
    </w:p>
    <w:p w14:paraId="41CAEE02" w14:textId="77777777" w:rsidR="004D7CE3" w:rsidRPr="00B56D15" w:rsidRDefault="004D7CE3" w:rsidP="007D5396">
      <w:pPr>
        <w:spacing w:line="276" w:lineRule="auto"/>
        <w:ind w:firstLine="0"/>
        <w:rPr>
          <w:rFonts w:ascii="ITC Avant Garde" w:hAnsi="ITC Avant Garde"/>
          <w:color w:val="auto"/>
        </w:rPr>
      </w:pPr>
    </w:p>
    <w:p w14:paraId="2119A4BC" w14:textId="77777777" w:rsidR="004D7CE3" w:rsidRPr="00B56D15" w:rsidRDefault="004D7CE3" w:rsidP="007D5396">
      <w:pPr>
        <w:spacing w:line="276" w:lineRule="auto"/>
        <w:ind w:firstLine="0"/>
        <w:rPr>
          <w:rFonts w:ascii="ITC Avant Garde" w:hAnsi="ITC Avant Garde"/>
          <w:i/>
          <w:color w:val="auto"/>
        </w:rPr>
      </w:pPr>
      <w:r>
        <w:rPr>
          <w:rFonts w:ascii="ITC Avant Garde" w:hAnsi="ITC Avant Garde"/>
          <w:i/>
          <w:color w:val="auto"/>
        </w:rPr>
        <w:t>En el inciso 3.1 Realización física, c</w:t>
      </w:r>
      <w:r w:rsidRPr="00B56D15">
        <w:rPr>
          <w:rFonts w:ascii="ITC Avant Garde" w:hAnsi="ITC Avant Garde"/>
          <w:i/>
          <w:color w:val="auto"/>
        </w:rPr>
        <w:t xml:space="preserve">onsiderar crecimientos cuando el tráfico cursado en cualquier hora </w:t>
      </w:r>
      <w:r>
        <w:rPr>
          <w:rFonts w:ascii="ITC Avant Garde" w:hAnsi="ITC Avant Garde"/>
          <w:i/>
          <w:color w:val="auto"/>
        </w:rPr>
        <w:t>llegue al 60% de ocupación.</w:t>
      </w:r>
    </w:p>
    <w:p w14:paraId="6FD18A40" w14:textId="77777777" w:rsidR="004D7CE3" w:rsidRDefault="004D7CE3" w:rsidP="007D5396">
      <w:pPr>
        <w:spacing w:after="0" w:line="276" w:lineRule="auto"/>
        <w:ind w:left="0" w:right="49" w:firstLine="0"/>
        <w:rPr>
          <w:rFonts w:ascii="ITC Avant Garde" w:eastAsia="Times New Roman" w:hAnsi="ITC Avant Garde" w:cs="Times New Roman"/>
          <w:i/>
          <w:color w:val="auto"/>
        </w:rPr>
      </w:pPr>
    </w:p>
    <w:p w14:paraId="05609014" w14:textId="77777777" w:rsidR="00BD6B4C" w:rsidRPr="00B56D15" w:rsidRDefault="00BD6B4C" w:rsidP="00BD6B4C">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p>
    <w:p w14:paraId="648406EF" w14:textId="77777777" w:rsidR="00BD6B4C" w:rsidRDefault="00BD6B4C" w:rsidP="00BD6B4C">
      <w:pPr>
        <w:spacing w:after="0" w:line="276" w:lineRule="auto"/>
        <w:ind w:right="49" w:firstLine="0"/>
        <w:rPr>
          <w:rFonts w:ascii="ITC Avant Garde" w:hAnsi="ITC Avant Garde"/>
          <w:b/>
          <w:color w:val="auto"/>
        </w:rPr>
      </w:pPr>
    </w:p>
    <w:p w14:paraId="380AFD74" w14:textId="77777777" w:rsidR="00BD6B4C" w:rsidRPr="00A1047B" w:rsidRDefault="00BD6B4C" w:rsidP="00BD6B4C">
      <w:pPr>
        <w:spacing w:after="0" w:line="276" w:lineRule="auto"/>
        <w:ind w:right="49" w:firstLine="0"/>
        <w:rPr>
          <w:rFonts w:ascii="ITC Avant Garde" w:hAnsi="ITC Avant Garde"/>
          <w:i/>
          <w:color w:val="auto"/>
        </w:rPr>
      </w:pPr>
      <w:r w:rsidRPr="00A1047B">
        <w:rPr>
          <w:rFonts w:ascii="ITC Avant Garde" w:hAnsi="ITC Avant Garde"/>
          <w:i/>
          <w:color w:val="auto"/>
        </w:rPr>
        <w:t>En la Cláusula Sexta numeral 6.2, se solicita mantener en el CMI 2017 el siguiente párrafo que sí se incluía en el CMI 2016:</w:t>
      </w:r>
    </w:p>
    <w:p w14:paraId="18AA23EF" w14:textId="77777777" w:rsidR="00BD6B4C" w:rsidRPr="00A1047B" w:rsidRDefault="00BD6B4C" w:rsidP="00BD6B4C">
      <w:pPr>
        <w:spacing w:after="0" w:line="276" w:lineRule="auto"/>
        <w:ind w:right="49" w:firstLine="0"/>
        <w:rPr>
          <w:rFonts w:ascii="ITC Avant Garde" w:hAnsi="ITC Avant Garde"/>
          <w:i/>
          <w:color w:val="auto"/>
        </w:rPr>
      </w:pPr>
    </w:p>
    <w:p w14:paraId="523144AA" w14:textId="0C307E21" w:rsidR="00BD6B4C" w:rsidRPr="003F08F6" w:rsidRDefault="00BD6B4C" w:rsidP="003F08F6">
      <w:pPr>
        <w:spacing w:after="0" w:line="276" w:lineRule="auto"/>
        <w:ind w:left="567" w:right="616" w:firstLine="0"/>
        <w:rPr>
          <w:rFonts w:ascii="ITC Avant Garde" w:hAnsi="ITC Avant Garde"/>
          <w:i/>
          <w:color w:val="auto"/>
          <w:sz w:val="18"/>
          <w:szCs w:val="18"/>
        </w:rPr>
      </w:pPr>
      <w:r w:rsidRPr="003F08F6">
        <w:rPr>
          <w:rFonts w:ascii="ITC Avant Garde" w:hAnsi="ITC Avant Garde"/>
          <w:i/>
          <w:color w:val="auto"/>
          <w:sz w:val="18"/>
          <w:szCs w:val="18"/>
        </w:rPr>
        <w:t>“Telmex [y Telnor] se obliga a instalar la capacidad suficiente para satisfacer la demanda de tráfico de interconexión hacia la red (</w:t>
      </w:r>
      <w:r w:rsidR="00B6100E">
        <w:rPr>
          <w:rFonts w:ascii="ITC Avant Garde" w:hAnsi="ITC Avant Garde"/>
          <w:i/>
          <w:color w:val="auto"/>
          <w:sz w:val="18"/>
          <w:szCs w:val="18"/>
        </w:rPr>
        <w:tab/>
      </w:r>
      <w:r w:rsidRPr="003F08F6">
        <w:rPr>
          <w:rFonts w:ascii="ITC Avant Garde" w:hAnsi="ITC Avant Garde"/>
          <w:i/>
          <w:color w:val="auto"/>
          <w:sz w:val="18"/>
          <w:szCs w:val="18"/>
        </w:rPr>
        <w:t>), incrementando la capacidad una vez que ésta llegue a una ocupación del 60% en hora pico.”</w:t>
      </w:r>
    </w:p>
    <w:p w14:paraId="47241A7B" w14:textId="77777777" w:rsidR="00BD6B4C" w:rsidRPr="00B56D15" w:rsidRDefault="00BD6B4C" w:rsidP="00BD6B4C">
      <w:pPr>
        <w:spacing w:after="0" w:line="276" w:lineRule="auto"/>
        <w:ind w:right="49" w:firstLine="0"/>
        <w:rPr>
          <w:rFonts w:ascii="ITC Avant Garde" w:hAnsi="ITC Avant Garde"/>
          <w:i/>
          <w:color w:val="auto"/>
        </w:rPr>
      </w:pPr>
    </w:p>
    <w:p w14:paraId="4F18A9AA" w14:textId="77777777" w:rsidR="00BD6B4C" w:rsidRPr="00431032" w:rsidRDefault="00BD6B4C" w:rsidP="00BD6B4C">
      <w:pPr>
        <w:spacing w:after="0" w:line="276" w:lineRule="auto"/>
        <w:ind w:left="-5" w:right="49" w:firstLine="0"/>
        <w:rPr>
          <w:rFonts w:ascii="ITC Avant Garde" w:hAnsi="ITC Avant Garde"/>
          <w:b/>
          <w:color w:val="auto"/>
        </w:rPr>
      </w:pPr>
      <w:r w:rsidRPr="00431032">
        <w:rPr>
          <w:rFonts w:ascii="ITC Avant Garde" w:hAnsi="ITC Avant Garde"/>
          <w:b/>
          <w:color w:val="auto"/>
        </w:rPr>
        <w:t>Megacable:</w:t>
      </w:r>
    </w:p>
    <w:p w14:paraId="0031B574" w14:textId="77777777" w:rsidR="00BD6B4C" w:rsidRPr="00431032" w:rsidRDefault="00BD6B4C" w:rsidP="00BD6B4C">
      <w:pPr>
        <w:spacing w:after="0" w:line="276" w:lineRule="auto"/>
        <w:ind w:left="0" w:right="49" w:firstLine="0"/>
        <w:rPr>
          <w:rFonts w:ascii="ITC Avant Garde" w:eastAsia="Times New Roman" w:hAnsi="ITC Avant Garde" w:cs="Times New Roman"/>
          <w:color w:val="auto"/>
        </w:rPr>
      </w:pPr>
    </w:p>
    <w:p w14:paraId="0E0ADCB0" w14:textId="77777777" w:rsidR="00BD6B4C" w:rsidRPr="00A1047B" w:rsidRDefault="00BD6B4C" w:rsidP="00BD6B4C">
      <w:pPr>
        <w:spacing w:after="0" w:line="276" w:lineRule="auto"/>
        <w:ind w:left="0" w:right="49" w:firstLine="0"/>
        <w:rPr>
          <w:rFonts w:ascii="ITC Avant Garde" w:eastAsiaTheme="minorHAnsi" w:hAnsi="ITC Avant Garde" w:cs="Century Gothic"/>
          <w:i/>
          <w:color w:val="auto"/>
          <w:lang w:eastAsia="en-US"/>
        </w:rPr>
      </w:pPr>
      <w:r w:rsidRPr="00A1047B">
        <w:rPr>
          <w:rFonts w:ascii="ITC Avant Garde" w:hAnsi="ITC Avant Garde"/>
          <w:i/>
          <w:color w:val="auto"/>
        </w:rPr>
        <w:t>En la Cláusula Sexta numeral 6.2, s</w:t>
      </w:r>
      <w:r w:rsidRPr="00A1047B">
        <w:rPr>
          <w:rFonts w:ascii="ITC Avant Garde" w:eastAsiaTheme="minorHAnsi" w:hAnsi="ITC Avant Garde" w:cs="Century Gothic"/>
          <w:i/>
          <w:color w:val="auto"/>
          <w:lang w:eastAsia="en-US"/>
        </w:rPr>
        <w:t xml:space="preserve">e solicita se elimine la limitante de aumento de capacidad derivada del porcentaje de ocupación; o en su caso que respete el porcentaje establecido de 65% en el anterior CMI. </w:t>
      </w:r>
    </w:p>
    <w:p w14:paraId="51C11298" w14:textId="77777777" w:rsidR="00BD6B4C" w:rsidRDefault="00BD6B4C" w:rsidP="00BD6B4C">
      <w:pPr>
        <w:spacing w:line="276" w:lineRule="auto"/>
        <w:ind w:firstLine="0"/>
        <w:rPr>
          <w:rFonts w:ascii="ITC Avant Garde" w:hAnsi="ITC Avant Garde"/>
          <w:b/>
          <w:color w:val="auto"/>
        </w:rPr>
      </w:pPr>
    </w:p>
    <w:p w14:paraId="76F34470" w14:textId="77777777" w:rsidR="00BD6B4C" w:rsidRPr="00B56D15" w:rsidRDefault="00BD6B4C" w:rsidP="00BD6B4C">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6D956C54" w14:textId="77777777" w:rsidR="00BD6B4C" w:rsidRPr="00B56D15" w:rsidRDefault="00BD6B4C" w:rsidP="00BD6B4C">
      <w:pPr>
        <w:spacing w:line="276" w:lineRule="auto"/>
        <w:ind w:firstLine="0"/>
        <w:rPr>
          <w:rFonts w:ascii="ITC Avant Garde" w:hAnsi="ITC Avant Garde"/>
          <w:color w:val="auto"/>
        </w:rPr>
      </w:pPr>
    </w:p>
    <w:p w14:paraId="1869C53C" w14:textId="77777777" w:rsidR="00BD6B4C" w:rsidRPr="00A1047B" w:rsidRDefault="00BD6B4C" w:rsidP="00BD6B4C">
      <w:pPr>
        <w:spacing w:line="276" w:lineRule="auto"/>
        <w:ind w:firstLine="0"/>
        <w:rPr>
          <w:rFonts w:ascii="ITC Avant Garde" w:hAnsi="ITC Avant Garde"/>
          <w:i/>
          <w:color w:val="auto"/>
        </w:rPr>
      </w:pPr>
      <w:r w:rsidRPr="00A1047B">
        <w:rPr>
          <w:rFonts w:ascii="ITC Avant Garde" w:hAnsi="ITC Avant Garde"/>
          <w:i/>
          <w:color w:val="auto"/>
        </w:rPr>
        <w:t>En la Cláusula Sexta numeral 6.2, que el incremento de una ruta de interconexión se realice cuando se alcance el 70% de uso en TDM, basado en la tabla de Erlang B. Para interconexión SIP, el incremento será a un 60% de la capacidad de la interfaz.</w:t>
      </w:r>
    </w:p>
    <w:p w14:paraId="2CC045DF" w14:textId="77777777" w:rsidR="00BD6B4C" w:rsidRPr="00B56D15" w:rsidRDefault="00BD6B4C" w:rsidP="00BD6B4C">
      <w:pPr>
        <w:spacing w:after="0" w:line="276" w:lineRule="auto"/>
        <w:ind w:right="49" w:firstLine="0"/>
        <w:rPr>
          <w:rFonts w:ascii="ITC Avant Garde" w:hAnsi="ITC Avant Garde"/>
          <w:i/>
          <w:color w:val="auto"/>
        </w:rPr>
      </w:pPr>
    </w:p>
    <w:p w14:paraId="674542E4" w14:textId="77777777" w:rsidR="00BD6B4C" w:rsidRPr="00B56D15" w:rsidRDefault="00BD6B4C" w:rsidP="00BD6B4C">
      <w:pPr>
        <w:spacing w:after="0" w:line="276" w:lineRule="auto"/>
        <w:ind w:left="-5" w:right="49" w:firstLine="0"/>
        <w:rPr>
          <w:rFonts w:ascii="ITC Avant Garde" w:hAnsi="ITC Avant Garde"/>
          <w:b/>
          <w:color w:val="auto"/>
        </w:rPr>
      </w:pPr>
      <w:r>
        <w:rPr>
          <w:rFonts w:ascii="ITC Avant Garde" w:hAnsi="ITC Avant Garde"/>
          <w:b/>
          <w:color w:val="auto"/>
        </w:rPr>
        <w:t xml:space="preserve">MCM, </w:t>
      </w:r>
      <w:r w:rsidRPr="00B56D15">
        <w:rPr>
          <w:rFonts w:ascii="ITC Avant Garde" w:hAnsi="ITC Avant Garde"/>
          <w:b/>
          <w:color w:val="auto"/>
        </w:rPr>
        <w:t>Telefónica y CANIETI:</w:t>
      </w:r>
    </w:p>
    <w:p w14:paraId="67241E96" w14:textId="70B694C0" w:rsidR="00BD6B4C" w:rsidRPr="00B56D15" w:rsidRDefault="00BD6B4C" w:rsidP="00BD6B4C">
      <w:pPr>
        <w:tabs>
          <w:tab w:val="left" w:pos="1155"/>
        </w:tabs>
        <w:spacing w:line="276" w:lineRule="auto"/>
        <w:ind w:firstLine="0"/>
        <w:rPr>
          <w:rFonts w:ascii="ITC Avant Garde" w:hAnsi="ITC Avant Garde"/>
          <w:color w:val="auto"/>
        </w:rPr>
      </w:pPr>
    </w:p>
    <w:p w14:paraId="6FB640B3" w14:textId="77777777" w:rsidR="00BD6B4C" w:rsidRPr="003F08F6" w:rsidRDefault="00BD6B4C" w:rsidP="00BD6B4C">
      <w:pPr>
        <w:spacing w:line="276" w:lineRule="auto"/>
        <w:ind w:firstLine="0"/>
        <w:rPr>
          <w:rFonts w:ascii="ITC Avant Garde" w:hAnsi="ITC Avant Garde"/>
          <w:i/>
          <w:color w:val="auto"/>
        </w:rPr>
      </w:pPr>
      <w:r w:rsidRPr="003F08F6">
        <w:rPr>
          <w:rFonts w:ascii="ITC Avant Garde" w:hAnsi="ITC Avant Garde"/>
          <w:i/>
          <w:color w:val="auto"/>
        </w:rPr>
        <w:t>En la Cláusula Sexta numeral 6.2, señalar que los crecimientos de capacidad se realizarán al llegar al 60% de ocupación de la interfaz.</w:t>
      </w:r>
    </w:p>
    <w:p w14:paraId="3DDCF58F" w14:textId="77777777" w:rsidR="00BD6B4C" w:rsidRPr="00B56D15" w:rsidRDefault="00BD6B4C" w:rsidP="00BD6B4C">
      <w:pPr>
        <w:spacing w:line="276" w:lineRule="auto"/>
        <w:ind w:firstLine="0"/>
        <w:rPr>
          <w:rFonts w:ascii="ITC Avant Garde" w:hAnsi="ITC Avant Garde"/>
          <w:i/>
          <w:color w:val="auto"/>
        </w:rPr>
      </w:pPr>
    </w:p>
    <w:p w14:paraId="60C54364" w14:textId="77777777" w:rsidR="00BD6B4C" w:rsidRPr="00B56D15" w:rsidRDefault="00BD6B4C" w:rsidP="00BD6B4C">
      <w:pPr>
        <w:spacing w:line="276" w:lineRule="auto"/>
        <w:ind w:firstLine="0"/>
        <w:rPr>
          <w:rFonts w:ascii="ITC Avant Garde" w:hAnsi="ITC Avant Garde"/>
          <w:i/>
          <w:color w:val="auto"/>
        </w:rPr>
      </w:pPr>
      <w:r w:rsidRPr="00B56D15">
        <w:rPr>
          <w:rFonts w:ascii="ITC Avant Garde" w:hAnsi="ITC Avant Garde"/>
          <w:i/>
          <w:color w:val="auto"/>
        </w:rPr>
        <w:t>Agregar que TMX tramitará todas las llamadas que le sean entregadas independientemente de su origen y destino en las mismas condiciones de calidad que ofrece o sus filiales, afiliados, subsidiarios o empresas del mismo Grupo Económico. Cualquier impedimento para la correcta terminación de la llamada se considera una falla.</w:t>
      </w:r>
    </w:p>
    <w:p w14:paraId="0AB7485F" w14:textId="77777777" w:rsidR="00BD6B4C" w:rsidRPr="00B56D15" w:rsidRDefault="00BD6B4C" w:rsidP="00BD6B4C">
      <w:pPr>
        <w:spacing w:line="276" w:lineRule="auto"/>
        <w:ind w:firstLine="0"/>
        <w:rPr>
          <w:rFonts w:ascii="ITC Avant Garde" w:hAnsi="ITC Avant Garde"/>
          <w:i/>
          <w:color w:val="auto"/>
        </w:rPr>
      </w:pPr>
    </w:p>
    <w:p w14:paraId="34600D59" w14:textId="77777777" w:rsidR="00BD6B4C" w:rsidRPr="00431032" w:rsidRDefault="00BD6B4C" w:rsidP="00BD6B4C">
      <w:pPr>
        <w:spacing w:line="276" w:lineRule="auto"/>
        <w:ind w:firstLine="0"/>
        <w:rPr>
          <w:rFonts w:ascii="ITC Avant Garde" w:eastAsia="Times New Roman" w:hAnsi="ITC Avant Garde" w:cs="Times New Roman"/>
          <w:i/>
          <w:color w:val="auto"/>
        </w:rPr>
      </w:pPr>
      <w:r w:rsidRPr="00B56D15">
        <w:rPr>
          <w:rFonts w:ascii="ITC Avant Garde" w:hAnsi="ITC Avant Garde"/>
          <w:i/>
          <w:color w:val="auto"/>
        </w:rPr>
        <w:t xml:space="preserve">TELMEX no puede bloquear o degradar lo calidad de los servicios de una red interconectada y </w:t>
      </w:r>
      <w:r w:rsidRPr="00431032">
        <w:rPr>
          <w:rFonts w:ascii="ITC Avant Garde" w:eastAsia="Times New Roman" w:hAnsi="ITC Avant Garde" w:cs="Times New Roman"/>
          <w:i/>
          <w:color w:val="auto"/>
        </w:rPr>
        <w:t>en caso de que ofrezco prioridad y/o calidad de servicio o sus propios filiales, afiliados, subsidiarios, deberá ofrecerlo también a otros operadores en los mismos términos y condiciones.</w:t>
      </w:r>
    </w:p>
    <w:p w14:paraId="63ECE8F2" w14:textId="77777777" w:rsidR="00BD6B4C" w:rsidRPr="00431032" w:rsidRDefault="00BD6B4C" w:rsidP="00BD6B4C">
      <w:pPr>
        <w:spacing w:line="276" w:lineRule="auto"/>
        <w:ind w:firstLine="0"/>
        <w:rPr>
          <w:rFonts w:ascii="ITC Avant Garde" w:eastAsia="Times New Roman" w:hAnsi="ITC Avant Garde" w:cs="Times New Roman"/>
          <w:i/>
          <w:color w:val="auto"/>
        </w:rPr>
      </w:pPr>
    </w:p>
    <w:p w14:paraId="12B16F0C" w14:textId="77777777" w:rsidR="00BD6B4C" w:rsidRDefault="00BD6B4C" w:rsidP="00BD6B4C">
      <w:pPr>
        <w:spacing w:line="276" w:lineRule="auto"/>
        <w:ind w:firstLine="0"/>
        <w:rPr>
          <w:rFonts w:ascii="ITC Avant Garde" w:hAnsi="ITC Avant Garde"/>
          <w:i/>
          <w:color w:val="auto"/>
        </w:rPr>
      </w:pPr>
      <w:r w:rsidRPr="003F08F6">
        <w:rPr>
          <w:rFonts w:ascii="ITC Avant Garde" w:hAnsi="ITC Avant Garde"/>
          <w:i/>
          <w:color w:val="auto"/>
        </w:rPr>
        <w:t>TELMEX se obliga a mantener la calidad y realizar las acciones necesarias en su red para realizar las transcodificaciones necesarias entre redes IP y TDM que tenga conectadas con otros concesionarios, para el servicio de tránsito.</w:t>
      </w:r>
    </w:p>
    <w:p w14:paraId="4F337D73" w14:textId="77777777" w:rsidR="00BD6B4C" w:rsidRDefault="00BD6B4C" w:rsidP="007D5396">
      <w:pPr>
        <w:spacing w:after="0" w:line="276" w:lineRule="auto"/>
        <w:ind w:left="0" w:right="49" w:firstLine="0"/>
        <w:rPr>
          <w:rFonts w:ascii="ITC Avant Garde" w:eastAsia="Times New Roman" w:hAnsi="ITC Avant Garde" w:cs="Times New Roman"/>
          <w:i/>
          <w:color w:val="auto"/>
        </w:rPr>
      </w:pPr>
    </w:p>
    <w:p w14:paraId="7C798272" w14:textId="628AEEDC" w:rsidR="003F08F6" w:rsidRPr="002C0759" w:rsidRDefault="003F08F6" w:rsidP="003F08F6">
      <w:pPr>
        <w:spacing w:after="0" w:line="276" w:lineRule="auto"/>
        <w:rPr>
          <w:rFonts w:ascii="ITC Avant Garde" w:hAnsi="ITC Avant Garde"/>
        </w:rPr>
      </w:pPr>
      <w:r>
        <w:rPr>
          <w:rFonts w:ascii="ITC Avant Garde" w:hAnsi="ITC Avant Garde"/>
        </w:rPr>
        <w:lastRenderedPageBreak/>
        <w:t>Respecto a los comentarios anteriores se señala que l</w:t>
      </w:r>
      <w:r w:rsidRPr="002C0759">
        <w:rPr>
          <w:rFonts w:ascii="ITC Avant Garde" w:hAnsi="ITC Avant Garde"/>
        </w:rPr>
        <w:t xml:space="preserve">a propuesta </w:t>
      </w:r>
      <w:r>
        <w:rPr>
          <w:rFonts w:ascii="ITC Avant Garde" w:hAnsi="ITC Avant Garde"/>
        </w:rPr>
        <w:t xml:space="preserve">de incrementar </w:t>
      </w:r>
      <w:r w:rsidRPr="002C0759">
        <w:rPr>
          <w:rFonts w:ascii="ITC Avant Garde" w:hAnsi="ITC Avant Garde"/>
        </w:rPr>
        <w:t>la capacidad de los servicios de interconexión al alcanzar el 85% de ocupación de la misma en horario pico, al considerar el horario pico que representa la capacidad máxima demandada a la red durante un periodo de tiempo dado, lo cual permite asegurar que la red de Telmex será dimensionada para contar con la capacidad suficiente para el intercambio de la totalidad del tráfico de interconexión aún en el periodo de tiempo en que el tráfico cursado sea máximo por lo que también será suficiente para cursar el tráfico correspondiente a un día promedio del año en el que la demanda es menor, y adicionalmente establece un margen de seguridad del 15%  el cual permite el manejo de 15% más del tráfico máximo cursado en hora pico.</w:t>
      </w:r>
    </w:p>
    <w:p w14:paraId="5C8E48A6" w14:textId="77777777" w:rsidR="003F08F6" w:rsidRPr="002C0759" w:rsidRDefault="003F08F6" w:rsidP="003F08F6">
      <w:pPr>
        <w:spacing w:after="0" w:line="276" w:lineRule="auto"/>
        <w:rPr>
          <w:rFonts w:ascii="ITC Avant Garde" w:hAnsi="ITC Avant Garde"/>
        </w:rPr>
      </w:pPr>
    </w:p>
    <w:p w14:paraId="5985F52D" w14:textId="06FA57F3" w:rsidR="003F08F6" w:rsidRPr="002C0759" w:rsidRDefault="003F08F6" w:rsidP="003F08F6">
      <w:pPr>
        <w:spacing w:after="0" w:line="276" w:lineRule="auto"/>
        <w:rPr>
          <w:rFonts w:ascii="ITC Avant Garde" w:hAnsi="ITC Avant Garde"/>
        </w:rPr>
      </w:pPr>
      <w:r w:rsidRPr="002C0759">
        <w:rPr>
          <w:rFonts w:ascii="ITC Avant Garde" w:hAnsi="ITC Avant Garde"/>
        </w:rPr>
        <w:t>Es así que se considera que el incremento de capacidad de los servicios de interconexión al 85% de ocupación de la misma es suficiente para asegurar la prestación del servicio incluso en hora pico.</w:t>
      </w:r>
    </w:p>
    <w:p w14:paraId="47A82E7F" w14:textId="77777777" w:rsidR="001E607F" w:rsidRDefault="001E607F" w:rsidP="00BD6B4C">
      <w:pPr>
        <w:spacing w:line="276" w:lineRule="auto"/>
        <w:ind w:left="0" w:firstLine="0"/>
        <w:rPr>
          <w:rFonts w:ascii="ITC Avant Garde" w:hAnsi="ITC Avant Garde"/>
          <w:b/>
          <w:color w:val="auto"/>
        </w:rPr>
      </w:pPr>
    </w:p>
    <w:p w14:paraId="790A2DDE" w14:textId="3E22BE37" w:rsidR="003F08F6" w:rsidRDefault="003F08F6" w:rsidP="003F08F6">
      <w:pPr>
        <w:spacing w:after="0" w:line="276" w:lineRule="auto"/>
        <w:rPr>
          <w:rFonts w:ascii="ITC Avant Garde" w:hAnsi="ITC Avant Garde"/>
        </w:rPr>
      </w:pPr>
      <w:r w:rsidRPr="003F08F6">
        <w:rPr>
          <w:rFonts w:ascii="ITC Avant Garde" w:hAnsi="ITC Avant Garde"/>
        </w:rPr>
        <w:t>Finalmente, sobre la realización de transcodificaciones con el fin de reflejar lo establecido en el Acuerdo de Condiciones Técnicas Mínimas se modifica el inciso 2.1 del Tema 2 del Anexo A2</w:t>
      </w:r>
      <w:r>
        <w:rPr>
          <w:rFonts w:ascii="ITC Avant Garde" w:hAnsi="ITC Avant Garde"/>
        </w:rPr>
        <w:t xml:space="preserve"> de </w:t>
      </w:r>
      <w:r w:rsidRPr="003F08F6">
        <w:rPr>
          <w:rFonts w:ascii="ITC Avant Garde" w:hAnsi="ITC Avant Garde"/>
        </w:rPr>
        <w:t xml:space="preserve">la Propuesta de CMI </w:t>
      </w:r>
      <w:r>
        <w:rPr>
          <w:rFonts w:ascii="ITC Avant Garde" w:hAnsi="ITC Avant Garde"/>
        </w:rPr>
        <w:t>en el siguiente sentido:</w:t>
      </w:r>
    </w:p>
    <w:p w14:paraId="55E813A1" w14:textId="77777777" w:rsidR="003F08F6" w:rsidRPr="003F08F6" w:rsidRDefault="003F08F6" w:rsidP="003F08F6">
      <w:pPr>
        <w:spacing w:after="0" w:line="276" w:lineRule="auto"/>
        <w:rPr>
          <w:rFonts w:ascii="ITC Avant Garde" w:hAnsi="ITC Avant Garde"/>
        </w:rPr>
      </w:pPr>
    </w:p>
    <w:p w14:paraId="4D77C48D" w14:textId="4345E48D" w:rsidR="003F08F6" w:rsidRDefault="003F08F6" w:rsidP="003F08F6">
      <w:pPr>
        <w:spacing w:after="0"/>
        <w:ind w:left="567" w:right="851"/>
        <w:rPr>
          <w:rFonts w:ascii="ITC Avant Garde" w:hAnsi="ITC Avant Garde" w:cs="Arial"/>
          <w:i/>
          <w:sz w:val="18"/>
          <w:szCs w:val="18"/>
        </w:rPr>
      </w:pPr>
      <w:r w:rsidRPr="002C0759">
        <w:rPr>
          <w:rFonts w:ascii="ITC Avant Garde" w:hAnsi="ITC Avant Garde" w:cs="Arial"/>
          <w:i/>
          <w:sz w:val="18"/>
          <w:szCs w:val="18"/>
        </w:rPr>
        <w:t>“Si la red origen y la red destino están interconectadas a la red de tránsito mediante tecnologías diferentes, Telmex en su calidad de red de tránsito deberá realizar la conversión entre los protocolos de señalización SS7 y SIP, a fin de permitir la interoperabilidad entre ambas redes.”</w:t>
      </w:r>
    </w:p>
    <w:p w14:paraId="6B5DBFA0" w14:textId="77777777" w:rsidR="003F08F6" w:rsidRPr="002F06CB" w:rsidRDefault="003F08F6" w:rsidP="003F08F6">
      <w:pPr>
        <w:spacing w:after="0"/>
        <w:ind w:left="567" w:right="851"/>
        <w:rPr>
          <w:rFonts w:ascii="ITC Avant Garde" w:hAnsi="ITC Avant Garde" w:cs="Arial"/>
          <w:i/>
        </w:rPr>
      </w:pPr>
    </w:p>
    <w:p w14:paraId="18E37895" w14:textId="77777777" w:rsidR="001E607F" w:rsidRPr="00B56D15" w:rsidRDefault="001E607F" w:rsidP="003F08F6">
      <w:pPr>
        <w:spacing w:line="276" w:lineRule="auto"/>
        <w:ind w:left="0" w:firstLine="0"/>
        <w:rPr>
          <w:rFonts w:ascii="ITC Avant Garde" w:hAnsi="ITC Avant Garde"/>
          <w:b/>
          <w:color w:val="auto"/>
        </w:rPr>
      </w:pPr>
      <w:r w:rsidRPr="00B56D15">
        <w:rPr>
          <w:rFonts w:ascii="ITC Avant Garde" w:hAnsi="ITC Avant Garde"/>
          <w:b/>
          <w:color w:val="auto"/>
        </w:rPr>
        <w:t>Axtel y Alestra:</w:t>
      </w:r>
    </w:p>
    <w:p w14:paraId="69959D34" w14:textId="77777777" w:rsidR="001E607F" w:rsidRPr="00B56D15" w:rsidRDefault="001E607F" w:rsidP="001E607F">
      <w:pPr>
        <w:spacing w:line="276" w:lineRule="auto"/>
        <w:ind w:firstLine="0"/>
        <w:rPr>
          <w:rFonts w:ascii="ITC Avant Garde" w:hAnsi="ITC Avant Garde"/>
          <w:color w:val="auto"/>
        </w:rPr>
      </w:pPr>
    </w:p>
    <w:p w14:paraId="2BBCD31F" w14:textId="77777777" w:rsidR="001E607F" w:rsidRPr="00B56D15" w:rsidRDefault="001E607F" w:rsidP="001E607F">
      <w:pPr>
        <w:spacing w:line="276" w:lineRule="auto"/>
        <w:ind w:firstLine="0"/>
        <w:rPr>
          <w:rFonts w:ascii="ITC Avant Garde" w:hAnsi="ITC Avant Garde"/>
          <w:i/>
          <w:color w:val="auto"/>
        </w:rPr>
      </w:pPr>
      <w:r>
        <w:rPr>
          <w:rFonts w:ascii="ITC Avant Garde" w:hAnsi="ITC Avant Garde"/>
          <w:i/>
          <w:color w:val="auto"/>
        </w:rPr>
        <w:t>En el inciso 5.2 Mantenimiento programado, señalar que e</w:t>
      </w:r>
      <w:r w:rsidRPr="00B56D15">
        <w:rPr>
          <w:rFonts w:ascii="ITC Avant Garde" w:hAnsi="ITC Avant Garde"/>
          <w:i/>
          <w:color w:val="auto"/>
        </w:rPr>
        <w:t xml:space="preserve">n </w:t>
      </w:r>
      <w:r>
        <w:rPr>
          <w:rFonts w:ascii="ITC Avant Garde" w:hAnsi="ITC Avant Garde"/>
          <w:i/>
          <w:color w:val="auto"/>
        </w:rPr>
        <w:t xml:space="preserve">el </w:t>
      </w:r>
      <w:r w:rsidRPr="00B56D15">
        <w:rPr>
          <w:rFonts w:ascii="ITC Avant Garde" w:hAnsi="ITC Avant Garde"/>
          <w:i/>
          <w:color w:val="auto"/>
        </w:rPr>
        <w:t>caso de que el concesionario no cuente con el identificador del servicio, podrá reportar los incidentes con los datos suficientes para identificar el servicio, esto es: IP´s de la Interconexión. Telmex no podrán negarse a recibir un reporte de falla, ni a restablecer el servicio si el concesionario no cuenta con</w:t>
      </w:r>
      <w:r>
        <w:rPr>
          <w:rFonts w:ascii="ITC Avant Garde" w:hAnsi="ITC Avant Garde"/>
          <w:i/>
          <w:color w:val="auto"/>
        </w:rPr>
        <w:t xml:space="preserve"> el identificador del servicio.</w:t>
      </w:r>
    </w:p>
    <w:p w14:paraId="05FC1013" w14:textId="77777777" w:rsidR="001E607F" w:rsidRPr="00D5554D" w:rsidRDefault="001E607F" w:rsidP="001E607F">
      <w:pPr>
        <w:spacing w:after="0" w:line="276" w:lineRule="auto"/>
        <w:ind w:left="-5" w:right="49" w:firstLine="0"/>
        <w:rPr>
          <w:rFonts w:ascii="ITC Avant Garde" w:hAnsi="ITC Avant Garde"/>
          <w:color w:val="auto"/>
        </w:rPr>
      </w:pPr>
    </w:p>
    <w:p w14:paraId="32016B24" w14:textId="77777777" w:rsidR="001E607F" w:rsidRPr="00D5554D" w:rsidRDefault="001E607F" w:rsidP="001E607F">
      <w:pPr>
        <w:spacing w:line="276" w:lineRule="auto"/>
        <w:ind w:firstLine="0"/>
        <w:rPr>
          <w:rFonts w:ascii="ITC Avant Garde" w:hAnsi="ITC Avant Garde"/>
          <w:color w:val="auto"/>
        </w:rPr>
      </w:pPr>
      <w:r w:rsidRPr="00D5554D">
        <w:rPr>
          <w:rFonts w:ascii="ITC Avant Garde" w:hAnsi="ITC Avant Garde"/>
          <w:color w:val="auto"/>
        </w:rPr>
        <w:t xml:space="preserve">Al respecto, este Instituto considera que, en el establecimiento de servicios de telecomunicaciones, una práctica común es el asignar identificadores únicos para los circuitos y servicios que son provistos con el fin de tener un control administrativo de los mismos. El concesionario que provee el servicio es responsable de asignar dichos identificadores al CS, por lo cual se considera que la redacción de este numeral no limita ni dificulta una posible notificación y recepción de reportes de fallas o solicitudes de mantenimiento. </w:t>
      </w:r>
    </w:p>
    <w:p w14:paraId="7B780D6E" w14:textId="77777777" w:rsidR="001E607F" w:rsidRDefault="001E607F" w:rsidP="007D5396">
      <w:pPr>
        <w:spacing w:line="276" w:lineRule="auto"/>
        <w:ind w:firstLine="0"/>
        <w:rPr>
          <w:rFonts w:ascii="ITC Avant Garde" w:hAnsi="ITC Avant Garde"/>
          <w:b/>
          <w:color w:val="auto"/>
        </w:rPr>
      </w:pPr>
    </w:p>
    <w:p w14:paraId="41D4B093" w14:textId="139CBE83" w:rsidR="005F025C" w:rsidRPr="00B56D15" w:rsidRDefault="005F025C" w:rsidP="007D5396">
      <w:pPr>
        <w:spacing w:line="276" w:lineRule="auto"/>
        <w:ind w:firstLine="0"/>
        <w:rPr>
          <w:rFonts w:ascii="ITC Avant Garde" w:hAnsi="ITC Avant Garde"/>
          <w:b/>
          <w:color w:val="auto"/>
        </w:rPr>
      </w:pPr>
      <w:r w:rsidRPr="00B56D15">
        <w:rPr>
          <w:rFonts w:ascii="ITC Avant Garde" w:hAnsi="ITC Avant Garde"/>
          <w:b/>
          <w:color w:val="auto"/>
        </w:rPr>
        <w:t>CANIETI:</w:t>
      </w:r>
    </w:p>
    <w:p w14:paraId="1786BD77" w14:textId="77777777" w:rsidR="005F025C" w:rsidRPr="00B56D15" w:rsidRDefault="005F025C" w:rsidP="007D5396">
      <w:pPr>
        <w:spacing w:line="276" w:lineRule="auto"/>
        <w:ind w:firstLine="0"/>
        <w:rPr>
          <w:rFonts w:ascii="ITC Avant Garde" w:hAnsi="ITC Avant Garde"/>
          <w:color w:val="auto"/>
        </w:rPr>
      </w:pPr>
    </w:p>
    <w:p w14:paraId="16AF0C49" w14:textId="7382848F" w:rsidR="005F025C" w:rsidRPr="00B56D15" w:rsidRDefault="00446D69" w:rsidP="007D5396">
      <w:pPr>
        <w:spacing w:line="276" w:lineRule="auto"/>
        <w:ind w:firstLine="0"/>
        <w:rPr>
          <w:rFonts w:ascii="ITC Avant Garde" w:hAnsi="ITC Avant Garde"/>
          <w:i/>
          <w:color w:val="auto"/>
        </w:rPr>
      </w:pPr>
      <w:r>
        <w:rPr>
          <w:rFonts w:ascii="ITC Avant Garde" w:hAnsi="ITC Avant Garde"/>
          <w:i/>
          <w:color w:val="auto"/>
        </w:rPr>
        <w:lastRenderedPageBreak/>
        <w:t>El inciso 6.1 debe permanecer en los términos siguientes:</w:t>
      </w:r>
    </w:p>
    <w:p w14:paraId="5476FAE6" w14:textId="77777777" w:rsidR="005F025C" w:rsidRPr="00B56D15" w:rsidRDefault="005F025C" w:rsidP="007D5396">
      <w:pPr>
        <w:spacing w:line="276" w:lineRule="auto"/>
        <w:ind w:firstLine="0"/>
        <w:rPr>
          <w:rFonts w:ascii="ITC Avant Garde" w:hAnsi="ITC Avant Garde"/>
          <w:i/>
          <w:color w:val="auto"/>
        </w:rPr>
      </w:pPr>
    </w:p>
    <w:p w14:paraId="7384341A" w14:textId="42312424" w:rsidR="005F025C" w:rsidRPr="00BD6B4C" w:rsidRDefault="00446D69" w:rsidP="00BD6B4C">
      <w:pPr>
        <w:spacing w:line="276" w:lineRule="auto"/>
        <w:ind w:left="567" w:right="616" w:firstLine="0"/>
        <w:rPr>
          <w:rFonts w:ascii="ITC Avant Garde" w:hAnsi="ITC Avant Garde"/>
          <w:i/>
          <w:color w:val="auto"/>
          <w:sz w:val="18"/>
          <w:szCs w:val="18"/>
        </w:rPr>
      </w:pPr>
      <w:r w:rsidRPr="00BD6B4C">
        <w:rPr>
          <w:rFonts w:ascii="ITC Avant Garde" w:hAnsi="ITC Avant Garde"/>
          <w:i/>
          <w:color w:val="auto"/>
          <w:sz w:val="18"/>
          <w:szCs w:val="18"/>
        </w:rPr>
        <w:t>“</w:t>
      </w:r>
      <w:r w:rsidR="005F025C" w:rsidRPr="00BD6B4C">
        <w:rPr>
          <w:rFonts w:ascii="ITC Avant Garde" w:hAnsi="ITC Avant Garde"/>
          <w:i/>
          <w:color w:val="auto"/>
          <w:sz w:val="18"/>
          <w:szCs w:val="18"/>
        </w:rPr>
        <w:t xml:space="preserve">Telmex permitirá al </w:t>
      </w:r>
      <w:r w:rsidR="00930A66" w:rsidRPr="00BD6B4C">
        <w:rPr>
          <w:rFonts w:ascii="ITC Avant Garde" w:hAnsi="ITC Avant Garde"/>
          <w:i/>
          <w:color w:val="auto"/>
          <w:sz w:val="18"/>
          <w:szCs w:val="18"/>
        </w:rPr>
        <w:t>CS compartir con otros c</w:t>
      </w:r>
      <w:r w:rsidR="005F025C" w:rsidRPr="00BD6B4C">
        <w:rPr>
          <w:rFonts w:ascii="ITC Avant Garde" w:hAnsi="ITC Avant Garde"/>
          <w:i/>
          <w:color w:val="auto"/>
          <w:sz w:val="18"/>
          <w:szCs w:val="18"/>
        </w:rPr>
        <w:t xml:space="preserve">oncesionarios que se lo requieran, el gabinete que al efecto Telmex le haya proporcionado. En cuyo caso el responsable del gabinete seguirá siendo el </w:t>
      </w:r>
      <w:r w:rsidR="00930A66" w:rsidRPr="00BD6B4C">
        <w:rPr>
          <w:rFonts w:ascii="ITC Avant Garde" w:hAnsi="ITC Avant Garde"/>
          <w:i/>
          <w:color w:val="auto"/>
          <w:sz w:val="18"/>
          <w:szCs w:val="18"/>
        </w:rPr>
        <w:t>CS</w:t>
      </w:r>
      <w:r w:rsidR="005F025C" w:rsidRPr="00BD6B4C">
        <w:rPr>
          <w:rFonts w:ascii="ITC Avant Garde" w:hAnsi="ITC Avant Garde"/>
          <w:i/>
          <w:color w:val="auto"/>
          <w:sz w:val="18"/>
          <w:szCs w:val="18"/>
        </w:rPr>
        <w:t>.”</w:t>
      </w:r>
    </w:p>
    <w:p w14:paraId="1C65A091" w14:textId="77777777" w:rsidR="009F10C3" w:rsidRDefault="009F10C3" w:rsidP="007D5396">
      <w:pPr>
        <w:spacing w:line="276" w:lineRule="auto"/>
        <w:ind w:firstLine="0"/>
        <w:rPr>
          <w:rFonts w:ascii="ITC Avant Garde" w:hAnsi="ITC Avant Garde"/>
          <w:i/>
          <w:color w:val="auto"/>
        </w:rPr>
      </w:pPr>
    </w:p>
    <w:p w14:paraId="3A37B51B" w14:textId="4C1CC2BC" w:rsidR="00604C63" w:rsidRPr="00D5554D" w:rsidRDefault="00604C63" w:rsidP="007D5396">
      <w:pPr>
        <w:spacing w:line="276" w:lineRule="auto"/>
        <w:ind w:firstLine="0"/>
        <w:rPr>
          <w:rFonts w:ascii="ITC Avant Garde" w:hAnsi="ITC Avant Garde"/>
          <w:color w:val="auto"/>
        </w:rPr>
      </w:pPr>
      <w:r w:rsidRPr="00D5554D">
        <w:rPr>
          <w:rFonts w:ascii="ITC Avant Garde" w:hAnsi="ITC Avant Garde"/>
          <w:color w:val="auto"/>
        </w:rPr>
        <w:t xml:space="preserve">Respecto </w:t>
      </w:r>
      <w:r w:rsidR="00522091" w:rsidRPr="00D5554D">
        <w:rPr>
          <w:rFonts w:ascii="ITC Avant Garde" w:hAnsi="ITC Avant Garde"/>
          <w:color w:val="auto"/>
        </w:rPr>
        <w:t>al comentario anterior</w:t>
      </w:r>
      <w:r w:rsidRPr="00D5554D">
        <w:rPr>
          <w:rFonts w:ascii="ITC Avant Garde" w:hAnsi="ITC Avant Garde"/>
          <w:color w:val="auto"/>
        </w:rPr>
        <w:t xml:space="preserve">, </w:t>
      </w:r>
      <w:r w:rsidR="00E115B1" w:rsidRPr="00D5554D">
        <w:rPr>
          <w:rFonts w:ascii="ITC Avant Garde" w:hAnsi="ITC Avant Garde"/>
          <w:color w:val="auto"/>
        </w:rPr>
        <w:t>se</w:t>
      </w:r>
      <w:r w:rsidRPr="00D5554D">
        <w:rPr>
          <w:rFonts w:ascii="ITC Avant Garde" w:hAnsi="ITC Avant Garde"/>
          <w:color w:val="auto"/>
        </w:rPr>
        <w:t xml:space="preserve"> estimó improcedente </w:t>
      </w:r>
      <w:r w:rsidR="003F08F6" w:rsidRPr="00D5554D">
        <w:rPr>
          <w:rFonts w:ascii="ITC Avant Garde" w:hAnsi="ITC Avant Garde"/>
          <w:color w:val="auto"/>
        </w:rPr>
        <w:t xml:space="preserve">el planteamiento de </w:t>
      </w:r>
      <w:r w:rsidRPr="00D5554D">
        <w:rPr>
          <w:rFonts w:ascii="ITC Avant Garde" w:hAnsi="ITC Avant Garde"/>
          <w:color w:val="auto"/>
        </w:rPr>
        <w:t xml:space="preserve">términos y condiciones menos favorables </w:t>
      </w:r>
      <w:r w:rsidR="003F08F6" w:rsidRPr="00D5554D">
        <w:rPr>
          <w:rFonts w:ascii="ITC Avant Garde" w:hAnsi="ITC Avant Garde"/>
          <w:color w:val="auto"/>
        </w:rPr>
        <w:t>a</w:t>
      </w:r>
      <w:r w:rsidRPr="00D5554D">
        <w:rPr>
          <w:rFonts w:ascii="ITC Avant Garde" w:hAnsi="ITC Avant Garde"/>
          <w:color w:val="auto"/>
        </w:rPr>
        <w:t xml:space="preserve"> los ya autorizados y establecidos en el CMI</w:t>
      </w:r>
      <w:r w:rsidR="00522091" w:rsidRPr="00D5554D">
        <w:rPr>
          <w:rFonts w:ascii="ITC Avant Garde" w:hAnsi="ITC Avant Garde"/>
          <w:color w:val="auto"/>
        </w:rPr>
        <w:t xml:space="preserve"> 2016, </w:t>
      </w:r>
      <w:r w:rsidR="00A926BE" w:rsidRPr="00D5554D">
        <w:rPr>
          <w:rFonts w:ascii="ITC Avant Garde" w:hAnsi="ITC Avant Garde"/>
          <w:color w:val="auto"/>
        </w:rPr>
        <w:t>adicionalmente, los términos presentados inicialmente no favorecen la competencia y los términos bajo los cuales el Instituto ha determinado los lineamientos respecto a compartición de infraestructura. P</w:t>
      </w:r>
      <w:r w:rsidR="00522091" w:rsidRPr="00D5554D">
        <w:rPr>
          <w:rFonts w:ascii="ITC Avant Garde" w:hAnsi="ITC Avant Garde"/>
          <w:color w:val="auto"/>
        </w:rPr>
        <w:t xml:space="preserve">or lo anterior se </w:t>
      </w:r>
      <w:r w:rsidRPr="00D5554D">
        <w:rPr>
          <w:rFonts w:ascii="ITC Avant Garde" w:hAnsi="ITC Avant Garde"/>
          <w:color w:val="auto"/>
        </w:rPr>
        <w:t>requirió a Telmex la modificación del numeral en los siguientes términos:</w:t>
      </w:r>
    </w:p>
    <w:p w14:paraId="6388C26A" w14:textId="77777777" w:rsidR="00604C63" w:rsidRPr="00D5554D" w:rsidRDefault="00604C63" w:rsidP="007D5396">
      <w:pPr>
        <w:spacing w:line="276" w:lineRule="auto"/>
        <w:ind w:firstLine="0"/>
        <w:rPr>
          <w:rFonts w:ascii="ITC Avant Garde" w:hAnsi="ITC Avant Garde"/>
          <w:i/>
          <w:color w:val="auto"/>
        </w:rPr>
      </w:pPr>
    </w:p>
    <w:p w14:paraId="5A959882" w14:textId="5462C983" w:rsidR="00604C63" w:rsidRPr="00D5554D" w:rsidRDefault="00604C63" w:rsidP="007D5396">
      <w:pPr>
        <w:spacing w:after="0" w:line="276" w:lineRule="auto"/>
        <w:ind w:left="567" w:right="616" w:firstLine="0"/>
        <w:rPr>
          <w:rFonts w:ascii="ITC Avant Garde" w:eastAsia="Times New Roman" w:hAnsi="ITC Avant Garde" w:cs="Arial"/>
          <w:i/>
          <w:color w:val="auto"/>
          <w:sz w:val="18"/>
          <w:szCs w:val="18"/>
        </w:rPr>
      </w:pPr>
      <w:r w:rsidRPr="00D5554D">
        <w:rPr>
          <w:rFonts w:ascii="ITC Avant Garde" w:eastAsia="Times New Roman" w:hAnsi="ITC Avant Garde" w:cs="Arial"/>
          <w:i/>
          <w:color w:val="auto"/>
          <w:sz w:val="18"/>
          <w:szCs w:val="18"/>
        </w:rPr>
        <w:t>“</w:t>
      </w:r>
      <w:r w:rsidR="0009499D" w:rsidRPr="00D5554D">
        <w:rPr>
          <w:rFonts w:ascii="ITC Avant Garde" w:eastAsia="Times New Roman" w:hAnsi="ITC Avant Garde" w:cs="Arial"/>
          <w:i/>
          <w:color w:val="auto"/>
          <w:sz w:val="18"/>
          <w:szCs w:val="18"/>
        </w:rPr>
        <w:t xml:space="preserve">(…) </w:t>
      </w:r>
      <w:r w:rsidRPr="00D5554D">
        <w:rPr>
          <w:rFonts w:ascii="ITC Avant Garde" w:eastAsia="Times New Roman" w:hAnsi="ITC Avant Garde" w:cs="Arial"/>
          <w:i/>
          <w:color w:val="auto"/>
          <w:sz w:val="18"/>
          <w:szCs w:val="18"/>
        </w:rPr>
        <w:t>Telmex permitirá al Concesionario Solicitante compartir con otros Concesionarios que se lo requieran, el gabinete que al efecto Telmex le haya proporcionado. En cuyo caso el responsable del gabinete seguirá siendo el Concesionario Solicitante.”</w:t>
      </w:r>
    </w:p>
    <w:p w14:paraId="100C2BE4" w14:textId="77777777" w:rsidR="002E6853" w:rsidRPr="00B56D15" w:rsidRDefault="002E6853" w:rsidP="007D5396">
      <w:pPr>
        <w:spacing w:line="276" w:lineRule="auto"/>
        <w:ind w:firstLine="0"/>
        <w:rPr>
          <w:rFonts w:ascii="ITC Avant Garde" w:hAnsi="ITC Avant Garde"/>
          <w:i/>
          <w:color w:val="auto"/>
        </w:rPr>
      </w:pPr>
    </w:p>
    <w:p w14:paraId="1F28008F" w14:textId="4041F2AE" w:rsidR="00DD7A21" w:rsidRDefault="00DD7A21" w:rsidP="007D5396">
      <w:pPr>
        <w:spacing w:after="0" w:line="276" w:lineRule="auto"/>
        <w:ind w:right="49" w:firstLine="0"/>
        <w:rPr>
          <w:rFonts w:ascii="ITC Avant Garde" w:hAnsi="ITC Avant Garde"/>
          <w:b/>
          <w:color w:val="auto"/>
          <w:u w:val="single"/>
        </w:rPr>
      </w:pPr>
      <w:r w:rsidRPr="004C65CF">
        <w:rPr>
          <w:rFonts w:ascii="ITC Avant Garde" w:hAnsi="ITC Avant Garde"/>
          <w:b/>
          <w:color w:val="auto"/>
          <w:u w:val="single"/>
        </w:rPr>
        <w:t>Comentarios emitidos a</w:t>
      </w:r>
      <w:r>
        <w:rPr>
          <w:rFonts w:ascii="ITC Avant Garde" w:hAnsi="ITC Avant Garde"/>
          <w:b/>
          <w:color w:val="auto"/>
          <w:u w:val="single"/>
        </w:rPr>
        <w:t>l ANEXO B</w:t>
      </w:r>
      <w:r w:rsidR="000F3283">
        <w:rPr>
          <w:rFonts w:ascii="ITC Avant Garde" w:hAnsi="ITC Avant Garde"/>
          <w:b/>
          <w:color w:val="auto"/>
          <w:u w:val="single"/>
        </w:rPr>
        <w:t xml:space="preserve"> </w:t>
      </w:r>
    </w:p>
    <w:p w14:paraId="234813B0" w14:textId="77777777" w:rsidR="00DD7A21" w:rsidRPr="00B56D15" w:rsidRDefault="00DD7A21" w:rsidP="007D5396">
      <w:pPr>
        <w:spacing w:after="0" w:line="276" w:lineRule="auto"/>
        <w:ind w:left="-5" w:right="49" w:firstLine="0"/>
        <w:rPr>
          <w:rFonts w:ascii="ITC Avant Garde" w:hAnsi="ITC Avant Garde"/>
          <w:b/>
          <w:color w:val="auto"/>
        </w:rPr>
      </w:pPr>
    </w:p>
    <w:p w14:paraId="09DDC27B" w14:textId="3F75E9C6" w:rsidR="00E854F1" w:rsidRPr="00B56D15" w:rsidRDefault="00E854F1" w:rsidP="007D5396">
      <w:pPr>
        <w:spacing w:after="0" w:line="276" w:lineRule="auto"/>
        <w:ind w:left="-5" w:right="49" w:firstLine="0"/>
        <w:rPr>
          <w:rFonts w:ascii="ITC Avant Garde" w:hAnsi="ITC Avant Garde"/>
          <w:b/>
          <w:color w:val="auto"/>
        </w:rPr>
      </w:pPr>
      <w:r w:rsidRPr="00080AD0">
        <w:rPr>
          <w:rFonts w:ascii="ITC Avant Garde" w:hAnsi="ITC Avant Garde"/>
          <w:b/>
          <w:color w:val="auto"/>
        </w:rPr>
        <w:t>Megacable:</w:t>
      </w:r>
    </w:p>
    <w:p w14:paraId="1B7AAD78" w14:textId="77777777" w:rsidR="00E854F1" w:rsidRPr="00D06D0B" w:rsidRDefault="00E854F1" w:rsidP="007D5396">
      <w:pPr>
        <w:autoSpaceDE w:val="0"/>
        <w:autoSpaceDN w:val="0"/>
        <w:adjustRightInd w:val="0"/>
        <w:spacing w:after="0" w:line="276" w:lineRule="auto"/>
        <w:ind w:left="0" w:right="0" w:firstLine="0"/>
        <w:rPr>
          <w:rFonts w:ascii="ITC Avant Garde" w:eastAsiaTheme="minorHAnsi" w:hAnsi="ITC Avant Garde" w:cs="Arial"/>
          <w:color w:val="auto"/>
          <w:szCs w:val="20"/>
          <w:lang w:eastAsia="en-US"/>
        </w:rPr>
      </w:pPr>
    </w:p>
    <w:p w14:paraId="4C5DA4B1" w14:textId="7D33B75C" w:rsidR="00E854F1" w:rsidRPr="005945A4" w:rsidRDefault="00E854F1" w:rsidP="007D5396">
      <w:pPr>
        <w:autoSpaceDE w:val="0"/>
        <w:autoSpaceDN w:val="0"/>
        <w:adjustRightInd w:val="0"/>
        <w:spacing w:after="0" w:line="276" w:lineRule="auto"/>
        <w:ind w:left="0" w:right="0" w:firstLine="0"/>
        <w:rPr>
          <w:rFonts w:ascii="ITC Avant Garde" w:eastAsiaTheme="minorHAnsi" w:hAnsi="ITC Avant Garde" w:cs="Arial"/>
          <w:color w:val="auto"/>
          <w:szCs w:val="20"/>
          <w:lang w:eastAsia="en-US"/>
        </w:rPr>
      </w:pPr>
      <w:r w:rsidRPr="005945A4">
        <w:rPr>
          <w:rFonts w:ascii="ITC Avant Garde" w:eastAsiaTheme="minorHAnsi" w:hAnsi="ITC Avant Garde" w:cs="Arial"/>
          <w:color w:val="auto"/>
          <w:szCs w:val="20"/>
          <w:lang w:eastAsia="en-US"/>
        </w:rPr>
        <w:t xml:space="preserve">Se solicita que Telmex haga la incorporación de las tarifas que aplicarían a los servicios objeto del CMI, mismas a </w:t>
      </w:r>
      <w:r w:rsidR="00054404" w:rsidRPr="005945A4">
        <w:rPr>
          <w:rFonts w:ascii="ITC Avant Garde" w:eastAsiaTheme="minorHAnsi" w:hAnsi="ITC Avant Garde" w:cs="Arial"/>
          <w:color w:val="auto"/>
          <w:szCs w:val="20"/>
          <w:lang w:eastAsia="en-US"/>
        </w:rPr>
        <w:t xml:space="preserve">las encontradas en el </w:t>
      </w:r>
      <w:r w:rsidR="00E115B1" w:rsidRPr="005945A4">
        <w:rPr>
          <w:rFonts w:ascii="ITC Avant Garde" w:eastAsiaTheme="minorHAnsi" w:hAnsi="ITC Avant Garde" w:cs="Arial"/>
          <w:color w:val="auto"/>
          <w:szCs w:val="20"/>
          <w:lang w:eastAsia="en-US"/>
        </w:rPr>
        <w:t>m</w:t>
      </w:r>
      <w:r w:rsidR="00054404" w:rsidRPr="005945A4">
        <w:rPr>
          <w:rFonts w:ascii="ITC Avant Garde" w:eastAsiaTheme="minorHAnsi" w:hAnsi="ITC Avant Garde" w:cs="Arial"/>
          <w:color w:val="auto"/>
          <w:szCs w:val="20"/>
          <w:lang w:eastAsia="en-US"/>
        </w:rPr>
        <w:t xml:space="preserve">ercado. </w:t>
      </w:r>
    </w:p>
    <w:p w14:paraId="36E8E994" w14:textId="77777777" w:rsidR="00E0217C" w:rsidRPr="005945A4" w:rsidRDefault="00E0217C" w:rsidP="007D5396">
      <w:pPr>
        <w:autoSpaceDE w:val="0"/>
        <w:autoSpaceDN w:val="0"/>
        <w:adjustRightInd w:val="0"/>
        <w:spacing w:after="0" w:line="276" w:lineRule="auto"/>
        <w:ind w:left="0" w:right="0" w:firstLine="0"/>
        <w:rPr>
          <w:rFonts w:ascii="ITC Avant Garde" w:eastAsiaTheme="minorHAnsi" w:hAnsi="ITC Avant Garde" w:cs="Arial"/>
          <w:color w:val="auto"/>
          <w:szCs w:val="20"/>
          <w:lang w:eastAsia="en-US"/>
        </w:rPr>
      </w:pPr>
    </w:p>
    <w:p w14:paraId="201DEBB9" w14:textId="0411F050" w:rsidR="00E0217C" w:rsidRPr="005945A4" w:rsidRDefault="00E0217C" w:rsidP="007D5396">
      <w:pPr>
        <w:spacing w:after="0" w:line="276" w:lineRule="auto"/>
        <w:ind w:left="-5" w:right="49" w:firstLine="0"/>
        <w:rPr>
          <w:rFonts w:ascii="ITC Avant Garde" w:hAnsi="ITC Avant Garde"/>
          <w:color w:val="auto"/>
        </w:rPr>
      </w:pPr>
      <w:r w:rsidRPr="005945A4">
        <w:rPr>
          <w:rFonts w:ascii="ITC Avant Garde" w:hAnsi="ITC Avant Garde"/>
          <w:color w:val="auto"/>
        </w:rPr>
        <w:t xml:space="preserve">Al respecto, si bien las tarifas aplicables no han sido publicadas por Telmex, el Convenio señala que las partes podrán solicitar la intervención del Instituto en caso de condiciones no convenidas, con lo cual se apega a la legislación aplicable en particular al artículo 129 </w:t>
      </w:r>
      <w:r w:rsidR="00080AD0" w:rsidRPr="005945A4">
        <w:rPr>
          <w:rFonts w:ascii="ITC Avant Garde" w:hAnsi="ITC Avant Garde"/>
          <w:color w:val="auto"/>
        </w:rPr>
        <w:t xml:space="preserve">y 131 </w:t>
      </w:r>
      <w:r w:rsidRPr="005945A4">
        <w:rPr>
          <w:rFonts w:ascii="ITC Avant Garde" w:hAnsi="ITC Avant Garde"/>
          <w:color w:val="auto"/>
        </w:rPr>
        <w:t xml:space="preserve">de la </w:t>
      </w:r>
      <w:r w:rsidR="00080AD0" w:rsidRPr="005945A4">
        <w:rPr>
          <w:rFonts w:ascii="ITC Avant Garde" w:hAnsi="ITC Avant Garde"/>
          <w:color w:val="auto"/>
        </w:rPr>
        <w:t>LFT</w:t>
      </w:r>
      <w:r w:rsidR="008A3D8D" w:rsidRPr="005945A4">
        <w:rPr>
          <w:rFonts w:ascii="ITC Avant Garde" w:hAnsi="ITC Avant Garde"/>
          <w:color w:val="auto"/>
        </w:rPr>
        <w:t>y</w:t>
      </w:r>
      <w:r w:rsidR="00080AD0" w:rsidRPr="005945A4">
        <w:rPr>
          <w:rFonts w:ascii="ITC Avant Garde" w:hAnsi="ITC Avant Garde"/>
          <w:color w:val="auto"/>
        </w:rPr>
        <w:t>R, con lo cual el Instituto las resolverá de conformidad con la metodología de costos.</w:t>
      </w:r>
    </w:p>
    <w:p w14:paraId="37A8A2F4" w14:textId="77777777" w:rsidR="00080AD0" w:rsidRPr="005945A4" w:rsidRDefault="00080AD0" w:rsidP="007D5396">
      <w:pPr>
        <w:spacing w:line="276" w:lineRule="auto"/>
        <w:ind w:firstLine="0"/>
        <w:rPr>
          <w:rFonts w:ascii="ITC Avant Garde" w:hAnsi="ITC Avant Garde"/>
          <w:color w:val="auto"/>
        </w:rPr>
      </w:pPr>
    </w:p>
    <w:p w14:paraId="005082C2" w14:textId="7FEE11E7" w:rsidR="00BF7E27" w:rsidRPr="00B56D15" w:rsidRDefault="00BF7E27" w:rsidP="007D5396">
      <w:pPr>
        <w:spacing w:after="0" w:line="276" w:lineRule="auto"/>
        <w:ind w:left="-5" w:right="49" w:firstLine="0"/>
        <w:rPr>
          <w:rFonts w:ascii="ITC Avant Garde" w:hAnsi="ITC Avant Garde"/>
          <w:b/>
          <w:color w:val="auto"/>
        </w:rPr>
      </w:pPr>
      <w:r w:rsidRPr="00080AD0">
        <w:rPr>
          <w:rFonts w:ascii="ITC Avant Garde" w:hAnsi="ITC Avant Garde"/>
          <w:b/>
          <w:color w:val="auto"/>
        </w:rPr>
        <w:t>Grupo Televisa:</w:t>
      </w:r>
    </w:p>
    <w:p w14:paraId="14EC862A" w14:textId="53C9CDEE" w:rsidR="00BF7E27" w:rsidRPr="00B56D15" w:rsidRDefault="00BF7E27" w:rsidP="007D5396">
      <w:pPr>
        <w:spacing w:line="276" w:lineRule="auto"/>
        <w:ind w:left="0" w:firstLine="0"/>
        <w:rPr>
          <w:rFonts w:ascii="ITC Avant Garde" w:hAnsi="ITC Avant Garde"/>
          <w:u w:val="single"/>
        </w:rPr>
      </w:pPr>
    </w:p>
    <w:p w14:paraId="50E3B7F9" w14:textId="0F6AF6BC" w:rsidR="00BF7E27" w:rsidRDefault="00BF7E27" w:rsidP="007D5396">
      <w:pPr>
        <w:spacing w:line="276" w:lineRule="auto"/>
        <w:ind w:firstLine="0"/>
        <w:rPr>
          <w:rFonts w:ascii="ITC Avant Garde" w:hAnsi="ITC Avant Garde" w:cs="Times New Roman"/>
          <w:i/>
          <w:color w:val="auto"/>
        </w:rPr>
      </w:pPr>
      <w:r w:rsidRPr="00B87705">
        <w:rPr>
          <w:rFonts w:ascii="ITC Avant Garde" w:hAnsi="ITC Avant Garde" w:cs="Times New Roman"/>
          <w:i/>
          <w:color w:val="auto"/>
        </w:rPr>
        <w:t>El Anexo B debería incluir, en las secciones que resulten relevantes, una disposición por la cual un CS que se compromete a contratar un servicio por un periodo de 24 meses recibe un descuento sobr</w:t>
      </w:r>
      <w:r w:rsidR="00054404" w:rsidRPr="00B87705">
        <w:rPr>
          <w:rFonts w:ascii="ITC Avant Garde" w:hAnsi="ITC Avant Garde" w:cs="Times New Roman"/>
          <w:i/>
          <w:color w:val="auto"/>
        </w:rPr>
        <w:t>e los gastos de interconexión.</w:t>
      </w:r>
    </w:p>
    <w:p w14:paraId="0107EEED" w14:textId="77777777" w:rsidR="00E0217C" w:rsidRDefault="00E0217C" w:rsidP="007D5396">
      <w:pPr>
        <w:spacing w:line="276" w:lineRule="auto"/>
        <w:ind w:firstLine="0"/>
        <w:rPr>
          <w:rFonts w:ascii="ITC Avant Garde" w:hAnsi="ITC Avant Garde" w:cs="Times New Roman"/>
          <w:i/>
          <w:color w:val="auto"/>
        </w:rPr>
      </w:pPr>
    </w:p>
    <w:p w14:paraId="5FC951B0" w14:textId="5B559D77" w:rsidR="00E0217C" w:rsidRPr="005945A4" w:rsidRDefault="00080AD0" w:rsidP="00A120C0">
      <w:pPr>
        <w:spacing w:after="0" w:line="276" w:lineRule="auto"/>
        <w:ind w:left="-5" w:right="49" w:firstLine="0"/>
        <w:rPr>
          <w:rFonts w:ascii="ITC Avant Garde" w:hAnsi="ITC Avant Garde"/>
          <w:color w:val="auto"/>
        </w:rPr>
      </w:pPr>
      <w:r w:rsidRPr="005945A4">
        <w:rPr>
          <w:rFonts w:ascii="ITC Avant Garde" w:hAnsi="ITC Avant Garde"/>
          <w:color w:val="auto"/>
        </w:rPr>
        <w:t>Respecto a lo anterior, se señala que el</w:t>
      </w:r>
      <w:r w:rsidR="00E0217C" w:rsidRPr="005945A4">
        <w:rPr>
          <w:rFonts w:ascii="ITC Avant Garde" w:hAnsi="ITC Avant Garde"/>
          <w:color w:val="auto"/>
        </w:rPr>
        <w:t xml:space="preserve"> </w:t>
      </w:r>
      <w:r w:rsidRPr="005945A4">
        <w:rPr>
          <w:rFonts w:ascii="ITC Avant Garde" w:hAnsi="ITC Avant Garde"/>
          <w:color w:val="auto"/>
        </w:rPr>
        <w:t>n</w:t>
      </w:r>
      <w:r w:rsidR="00E0217C" w:rsidRPr="005945A4">
        <w:rPr>
          <w:rFonts w:ascii="ITC Avant Garde" w:hAnsi="ITC Avant Garde"/>
          <w:color w:val="auto"/>
        </w:rPr>
        <w:t xml:space="preserve">o cobrar los costos </w:t>
      </w:r>
      <w:r w:rsidRPr="005945A4">
        <w:rPr>
          <w:rFonts w:ascii="ITC Avant Garde" w:hAnsi="ITC Avant Garde"/>
          <w:color w:val="auto"/>
        </w:rPr>
        <w:t>incurridos por actividades de i</w:t>
      </w:r>
      <w:r w:rsidR="00E0217C" w:rsidRPr="005945A4">
        <w:rPr>
          <w:rFonts w:ascii="ITC Avant Garde" w:hAnsi="ITC Avant Garde"/>
          <w:color w:val="auto"/>
        </w:rPr>
        <w:t xml:space="preserve">nstalación </w:t>
      </w:r>
      <w:r w:rsidRPr="005945A4">
        <w:rPr>
          <w:rFonts w:ascii="ITC Avant Garde" w:hAnsi="ITC Avant Garde"/>
          <w:color w:val="auto"/>
        </w:rPr>
        <w:t xml:space="preserve">de un determinado servicio </w:t>
      </w:r>
      <w:r w:rsidR="00E0217C" w:rsidRPr="005945A4">
        <w:rPr>
          <w:rFonts w:ascii="ITC Avant Garde" w:hAnsi="ITC Avant Garde"/>
          <w:color w:val="auto"/>
        </w:rPr>
        <w:t>respecto a un t</w:t>
      </w:r>
      <w:r w:rsidR="009063DB" w:rsidRPr="005945A4">
        <w:rPr>
          <w:rFonts w:ascii="ITC Avant Garde" w:hAnsi="ITC Avant Garde"/>
          <w:color w:val="auto"/>
        </w:rPr>
        <w:t>iempo de permanencia concreto corresponde a una estrategia comercial</w:t>
      </w:r>
      <w:r w:rsidR="00A13461" w:rsidRPr="005945A4">
        <w:rPr>
          <w:rFonts w:ascii="ITC Avant Garde" w:hAnsi="ITC Avant Garde"/>
          <w:color w:val="auto"/>
        </w:rPr>
        <w:t xml:space="preserve"> para atraer clientes e incrementar la venta de determinados servicios.</w:t>
      </w:r>
      <w:r w:rsidR="00B87705" w:rsidRPr="005945A4">
        <w:rPr>
          <w:rFonts w:ascii="ITC Avant Garde" w:hAnsi="ITC Avant Garde"/>
          <w:color w:val="auto"/>
        </w:rPr>
        <w:t xml:space="preserve"> Es así que no resulta procedente la modificación de la Propuesta de CMI.</w:t>
      </w:r>
    </w:p>
    <w:p w14:paraId="2ABE9E85" w14:textId="77777777" w:rsidR="00256D40" w:rsidRPr="005945A4" w:rsidRDefault="00256D40" w:rsidP="007D5396">
      <w:pPr>
        <w:spacing w:line="276" w:lineRule="auto"/>
        <w:ind w:firstLine="0"/>
        <w:rPr>
          <w:rFonts w:ascii="ITC Avant Garde" w:hAnsi="ITC Avant Garde" w:cs="Times New Roman"/>
          <w:i/>
          <w:color w:val="auto"/>
        </w:rPr>
      </w:pPr>
    </w:p>
    <w:p w14:paraId="1E4440B8" w14:textId="3E6B895C" w:rsidR="00256D40" w:rsidRPr="00B56D15" w:rsidRDefault="00256D40" w:rsidP="007D5396">
      <w:pPr>
        <w:spacing w:line="276" w:lineRule="auto"/>
        <w:ind w:firstLine="0"/>
        <w:rPr>
          <w:rFonts w:ascii="ITC Avant Garde" w:hAnsi="ITC Avant Garde"/>
          <w:b/>
          <w:color w:val="auto"/>
        </w:rPr>
      </w:pPr>
      <w:r w:rsidRPr="00315CEB">
        <w:rPr>
          <w:rFonts w:ascii="ITC Avant Garde" w:hAnsi="ITC Avant Garde"/>
          <w:b/>
          <w:color w:val="auto"/>
        </w:rPr>
        <w:lastRenderedPageBreak/>
        <w:t>Telefónica:</w:t>
      </w:r>
    </w:p>
    <w:p w14:paraId="3B73A27E" w14:textId="77777777" w:rsidR="00256D40" w:rsidRPr="00B56D15" w:rsidRDefault="00256D40" w:rsidP="007D5396">
      <w:pPr>
        <w:spacing w:line="276" w:lineRule="auto"/>
        <w:ind w:firstLine="0"/>
        <w:rPr>
          <w:rFonts w:ascii="ITC Avant Garde" w:hAnsi="ITC Avant Garde"/>
          <w:color w:val="auto"/>
        </w:rPr>
      </w:pPr>
    </w:p>
    <w:p w14:paraId="6AE37B38" w14:textId="34186790" w:rsidR="00256D40" w:rsidRPr="00B56D15" w:rsidRDefault="00315CEB" w:rsidP="007D5396">
      <w:pPr>
        <w:spacing w:line="276" w:lineRule="auto"/>
        <w:ind w:firstLine="0"/>
        <w:rPr>
          <w:rFonts w:ascii="ITC Avant Garde" w:hAnsi="ITC Avant Garde"/>
          <w:i/>
          <w:color w:val="auto"/>
        </w:rPr>
      </w:pPr>
      <w:r>
        <w:rPr>
          <w:rFonts w:ascii="ITC Avant Garde" w:hAnsi="ITC Avant Garde"/>
          <w:i/>
          <w:color w:val="auto"/>
        </w:rPr>
        <w:t xml:space="preserve">Respecto al numeral 1.1 del </w:t>
      </w:r>
      <w:r w:rsidR="00256D40" w:rsidRPr="00B56D15">
        <w:rPr>
          <w:rFonts w:ascii="ITC Avant Garde" w:hAnsi="ITC Avant Garde"/>
          <w:i/>
          <w:color w:val="auto"/>
        </w:rPr>
        <w:t>Anexo B</w:t>
      </w:r>
      <w:r w:rsidR="00010FAF">
        <w:rPr>
          <w:rFonts w:ascii="ITC Avant Garde" w:hAnsi="ITC Avant Garde"/>
          <w:i/>
          <w:color w:val="auto"/>
        </w:rPr>
        <w:t>, se solicita i</w:t>
      </w:r>
      <w:r w:rsidR="00256D40" w:rsidRPr="00B56D15">
        <w:rPr>
          <w:rFonts w:ascii="ITC Avant Garde" w:hAnsi="ITC Avant Garde"/>
          <w:i/>
          <w:color w:val="auto"/>
        </w:rPr>
        <w:t>ncluir un factor de actualización por variaciones en el tipo de cambio y en el índice nacional de pr</w:t>
      </w:r>
      <w:r w:rsidR="00010FAF">
        <w:rPr>
          <w:rFonts w:ascii="ITC Avant Garde" w:hAnsi="ITC Avant Garde"/>
          <w:i/>
          <w:color w:val="auto"/>
        </w:rPr>
        <w:t>ecios al consumidor (INPC), e</w:t>
      </w:r>
      <w:r w:rsidR="00256D40" w:rsidRPr="00B56D15">
        <w:rPr>
          <w:rFonts w:ascii="ITC Avant Garde" w:hAnsi="ITC Avant Garde"/>
          <w:i/>
          <w:color w:val="auto"/>
        </w:rPr>
        <w:t>s decir, una cláusula de ajuste a la tarifa de interconexión por variaciones en l</w:t>
      </w:r>
      <w:r w:rsidR="00010FAF">
        <w:rPr>
          <w:rFonts w:ascii="ITC Avant Garde" w:hAnsi="ITC Avant Garde"/>
          <w:i/>
          <w:color w:val="auto"/>
        </w:rPr>
        <w:t>a inflación y el tipo de cambio.</w:t>
      </w:r>
    </w:p>
    <w:p w14:paraId="66D6F276" w14:textId="5F2096AC" w:rsidR="00315CEB" w:rsidRDefault="00315CEB" w:rsidP="007D5396">
      <w:pPr>
        <w:spacing w:line="276" w:lineRule="auto"/>
        <w:ind w:firstLine="0"/>
        <w:rPr>
          <w:rFonts w:ascii="ITC Avant Garde" w:hAnsi="ITC Avant Garde"/>
          <w:i/>
          <w:color w:val="auto"/>
        </w:rPr>
      </w:pPr>
    </w:p>
    <w:p w14:paraId="6FBA9394" w14:textId="6396233F" w:rsidR="00AF6871" w:rsidRPr="002F1284" w:rsidRDefault="00BD6B4C" w:rsidP="007D5396">
      <w:pPr>
        <w:spacing w:line="276" w:lineRule="auto"/>
        <w:ind w:firstLine="0"/>
        <w:rPr>
          <w:rFonts w:ascii="ITC Avant Garde" w:hAnsi="ITC Avant Garde"/>
          <w:color w:val="auto"/>
        </w:rPr>
      </w:pPr>
      <w:r w:rsidRPr="002F1284">
        <w:rPr>
          <w:rFonts w:ascii="ITC Avant Garde" w:hAnsi="ITC Avant Garde"/>
          <w:color w:val="auto"/>
        </w:rPr>
        <w:t xml:space="preserve">Al respecto se señala que </w:t>
      </w:r>
      <w:r w:rsidR="005945A4" w:rsidRPr="002F1284">
        <w:rPr>
          <w:rFonts w:ascii="ITC Avant Garde" w:hAnsi="ITC Avant Garde"/>
          <w:color w:val="auto"/>
        </w:rPr>
        <w:t>la determinación de la tarifa de interconexión se deberá sujetar a la legislación aplicable, incluyendo lo establecido en los artículos 129, 131 y 137 de la LFTyR.</w:t>
      </w:r>
    </w:p>
    <w:p w14:paraId="0CB47CE8" w14:textId="77777777" w:rsidR="00461905" w:rsidRDefault="00461905" w:rsidP="007D5396">
      <w:pPr>
        <w:spacing w:line="276" w:lineRule="auto"/>
        <w:ind w:firstLine="0"/>
        <w:rPr>
          <w:rFonts w:ascii="ITC Avant Garde" w:hAnsi="ITC Avant Garde" w:cs="Times New Roman"/>
          <w:i/>
          <w:color w:val="auto"/>
        </w:rPr>
      </w:pPr>
    </w:p>
    <w:p w14:paraId="651757AE" w14:textId="5A172839" w:rsidR="00CE7D0F" w:rsidRPr="00B56D15" w:rsidRDefault="00AF6871" w:rsidP="007D5396">
      <w:pPr>
        <w:spacing w:line="276" w:lineRule="auto"/>
        <w:ind w:firstLine="0"/>
        <w:rPr>
          <w:rFonts w:ascii="ITC Avant Garde" w:hAnsi="ITC Avant Garde"/>
          <w:b/>
          <w:color w:val="auto"/>
        </w:rPr>
      </w:pPr>
      <w:r>
        <w:rPr>
          <w:rFonts w:ascii="ITC Avant Garde" w:hAnsi="ITC Avant Garde"/>
          <w:b/>
          <w:color w:val="auto"/>
        </w:rPr>
        <w:t>MCM</w:t>
      </w:r>
      <w:r w:rsidR="00CE7D0F">
        <w:rPr>
          <w:rFonts w:ascii="ITC Avant Garde" w:hAnsi="ITC Avant Garde"/>
          <w:b/>
          <w:color w:val="auto"/>
        </w:rPr>
        <w:t>,</w:t>
      </w:r>
      <w:r w:rsidR="00CE7D0F" w:rsidRPr="00CE7D0F">
        <w:rPr>
          <w:rFonts w:ascii="ITC Avant Garde" w:hAnsi="ITC Avant Garde"/>
          <w:b/>
          <w:color w:val="auto"/>
        </w:rPr>
        <w:t xml:space="preserve"> </w:t>
      </w:r>
      <w:r w:rsidR="00CE7D0F" w:rsidRPr="00B56D15">
        <w:rPr>
          <w:rFonts w:ascii="ITC Avant Garde" w:hAnsi="ITC Avant Garde"/>
          <w:b/>
          <w:color w:val="auto"/>
        </w:rPr>
        <w:t>Telefónica y CANIETI:</w:t>
      </w:r>
    </w:p>
    <w:p w14:paraId="1E600148" w14:textId="05C1DFFB" w:rsidR="00AF6871" w:rsidRPr="000C7CB5" w:rsidRDefault="00AF6871" w:rsidP="007D5396">
      <w:pPr>
        <w:spacing w:after="0" w:line="276" w:lineRule="auto"/>
        <w:ind w:left="-5" w:right="49" w:firstLine="0"/>
        <w:rPr>
          <w:rFonts w:ascii="ITC Avant Garde" w:hAnsi="ITC Avant Garde"/>
          <w:b/>
          <w:color w:val="auto"/>
        </w:rPr>
      </w:pPr>
    </w:p>
    <w:p w14:paraId="2A4C6D3D" w14:textId="456EEDD2" w:rsidR="00256D40" w:rsidRPr="00B56D15" w:rsidRDefault="00256D40" w:rsidP="007D5396">
      <w:pPr>
        <w:spacing w:line="276" w:lineRule="auto"/>
        <w:ind w:firstLine="0"/>
        <w:rPr>
          <w:rFonts w:ascii="ITC Avant Garde" w:hAnsi="ITC Avant Garde"/>
          <w:i/>
          <w:color w:val="auto"/>
        </w:rPr>
      </w:pPr>
      <w:r w:rsidRPr="00B56D15">
        <w:rPr>
          <w:rFonts w:ascii="ITC Avant Garde" w:hAnsi="ITC Avant Garde"/>
          <w:i/>
          <w:color w:val="auto"/>
        </w:rPr>
        <w:t>En el numeral 1.3 se considera que las adiciones que realiza Telmex en dicho párrafo resultan de una interpretación que realiza el AEP previo a que pierda dicho carácter y se conozcan efectivamente los efectos que tenga dicha determinación, por lo que se propone la siguiente redacción:</w:t>
      </w:r>
    </w:p>
    <w:p w14:paraId="51077E32" w14:textId="77777777" w:rsidR="00256D40" w:rsidRPr="00B56D15" w:rsidRDefault="00256D40" w:rsidP="007D5396">
      <w:pPr>
        <w:spacing w:line="276" w:lineRule="auto"/>
        <w:ind w:firstLine="0"/>
        <w:rPr>
          <w:rFonts w:ascii="ITC Avant Garde" w:hAnsi="ITC Avant Garde"/>
          <w:i/>
          <w:color w:val="auto"/>
        </w:rPr>
      </w:pPr>
    </w:p>
    <w:p w14:paraId="2781377B" w14:textId="7C11CE1A" w:rsidR="00256D40" w:rsidRPr="00B84E01" w:rsidRDefault="00256D40" w:rsidP="00B84E01">
      <w:pPr>
        <w:spacing w:line="276" w:lineRule="auto"/>
        <w:ind w:left="567" w:right="616" w:firstLine="0"/>
        <w:rPr>
          <w:rFonts w:ascii="ITC Avant Garde" w:hAnsi="ITC Avant Garde"/>
          <w:i/>
          <w:color w:val="auto"/>
          <w:sz w:val="18"/>
          <w:szCs w:val="18"/>
        </w:rPr>
      </w:pPr>
      <w:r w:rsidRPr="00B84E01">
        <w:rPr>
          <w:rFonts w:ascii="ITC Avant Garde" w:hAnsi="ITC Avant Garde"/>
          <w:i/>
          <w:color w:val="auto"/>
          <w:sz w:val="18"/>
          <w:szCs w:val="18"/>
        </w:rPr>
        <w:t>“el Concesionario no pagará por servicios de terminación del servicio local en usuarios fijos de</w:t>
      </w:r>
      <w:r w:rsidR="00D24D8B" w:rsidRPr="00B84E01">
        <w:rPr>
          <w:rFonts w:ascii="ITC Avant Garde" w:hAnsi="ITC Avant Garde"/>
          <w:i/>
          <w:color w:val="auto"/>
          <w:sz w:val="18"/>
          <w:szCs w:val="18"/>
        </w:rPr>
        <w:t xml:space="preserve"> Telmex en términos de la ley”.</w:t>
      </w:r>
    </w:p>
    <w:p w14:paraId="7BC1E116" w14:textId="77777777" w:rsidR="00D06D0B" w:rsidRPr="008D5D65" w:rsidRDefault="00D06D0B" w:rsidP="007D5396">
      <w:pPr>
        <w:spacing w:line="276" w:lineRule="auto"/>
        <w:ind w:firstLine="0"/>
        <w:rPr>
          <w:rFonts w:ascii="ITC Avant Garde" w:eastAsia="Times New Roman" w:hAnsi="ITC Avant Garde" w:cs="Times New Roman"/>
          <w:i/>
          <w:color w:val="auto"/>
        </w:rPr>
      </w:pPr>
    </w:p>
    <w:p w14:paraId="5EB7D403" w14:textId="2758CBC0" w:rsidR="00713635" w:rsidRPr="008D5D65" w:rsidRDefault="002907B0" w:rsidP="007D5396">
      <w:pPr>
        <w:spacing w:after="0" w:line="276" w:lineRule="auto"/>
        <w:ind w:left="-5" w:right="49" w:firstLine="0"/>
        <w:rPr>
          <w:rFonts w:ascii="ITC Avant Garde" w:hAnsi="ITC Avant Garde"/>
          <w:color w:val="auto"/>
        </w:rPr>
      </w:pPr>
      <w:r w:rsidRPr="008D5D65">
        <w:rPr>
          <w:rFonts w:ascii="ITC Avant Garde" w:hAnsi="ITC Avant Garde"/>
          <w:color w:val="auto"/>
        </w:rPr>
        <w:t>Respecto a</w:t>
      </w:r>
      <w:r w:rsidR="00EC114A" w:rsidRPr="008D5D65">
        <w:rPr>
          <w:rFonts w:ascii="ITC Avant Garde" w:hAnsi="ITC Avant Garde"/>
          <w:color w:val="auto"/>
        </w:rPr>
        <w:t>l</w:t>
      </w:r>
      <w:r w:rsidRPr="008D5D65">
        <w:rPr>
          <w:rFonts w:ascii="ITC Avant Garde" w:hAnsi="ITC Avant Garde"/>
          <w:color w:val="auto"/>
        </w:rPr>
        <w:t xml:space="preserve"> </w:t>
      </w:r>
      <w:r w:rsidR="00EC114A" w:rsidRPr="008D5D65">
        <w:rPr>
          <w:rFonts w:ascii="ITC Avant Garde" w:hAnsi="ITC Avant Garde"/>
          <w:color w:val="auto"/>
        </w:rPr>
        <w:t>comentario anterior</w:t>
      </w:r>
      <w:r w:rsidRPr="008D5D65">
        <w:rPr>
          <w:rFonts w:ascii="ITC Avant Garde" w:hAnsi="ITC Avant Garde"/>
          <w:color w:val="auto"/>
        </w:rPr>
        <w:t xml:space="preserve">, </w:t>
      </w:r>
      <w:r w:rsidR="00EC114A" w:rsidRPr="008D5D65">
        <w:rPr>
          <w:rFonts w:ascii="ITC Avant Garde" w:hAnsi="ITC Avant Garde"/>
          <w:color w:val="auto"/>
        </w:rPr>
        <w:t>se</w:t>
      </w:r>
      <w:r w:rsidRPr="008D5D65">
        <w:rPr>
          <w:rFonts w:ascii="ITC Avant Garde" w:hAnsi="ITC Avant Garde"/>
          <w:color w:val="auto"/>
        </w:rPr>
        <w:t xml:space="preserve"> señala que</w:t>
      </w:r>
      <w:r w:rsidR="00713635" w:rsidRPr="008D5D65">
        <w:rPr>
          <w:rFonts w:ascii="ITC Avant Garde" w:hAnsi="ITC Avant Garde"/>
          <w:color w:val="auto"/>
        </w:rPr>
        <w:t xml:space="preserve"> el artículo 131 de la LFTyR </w:t>
      </w:r>
      <w:r w:rsidRPr="008D5D65">
        <w:rPr>
          <w:rFonts w:ascii="ITC Avant Garde" w:hAnsi="ITC Avant Garde"/>
          <w:color w:val="auto"/>
        </w:rPr>
        <w:t>establece</w:t>
      </w:r>
      <w:r w:rsidR="00713635" w:rsidRPr="008D5D65">
        <w:rPr>
          <w:rFonts w:ascii="ITC Avant Garde" w:hAnsi="ITC Avant Garde"/>
          <w:color w:val="auto"/>
        </w:rPr>
        <w:t xml:space="preserve"> que previo a determinar que un AEP ya no cuenta con dicho carácter</w:t>
      </w:r>
      <w:r w:rsidRPr="008D5D65">
        <w:rPr>
          <w:rFonts w:ascii="ITC Avant Garde" w:hAnsi="ITC Avant Garde"/>
          <w:color w:val="auto"/>
        </w:rPr>
        <w:t>, se</w:t>
      </w:r>
      <w:r w:rsidR="00713635" w:rsidRPr="008D5D65">
        <w:rPr>
          <w:rFonts w:ascii="ITC Avant Garde" w:hAnsi="ITC Avant Garde"/>
          <w:color w:val="auto"/>
        </w:rPr>
        <w:t xml:space="preserve"> deberá determinar si dicho agente cuenta con poder sustancial, y de ser así el Instituto deberá resolver acerca de la tarifa de interconexión aplicable esto es si continúa en el régimen asimétrico establecido en el inciso a) del artículo 131 de la LFTyR o si se le fija una tarifa asimétrica, por lo tanto la tarifa aplicable no puede sujetarse al régimen de negociación entre las partes si no se han satisfecho los supuestos antes señalados,  por lo que este Instituto modifica dicho numeral quedando </w:t>
      </w:r>
      <w:r w:rsidRPr="008D5D65">
        <w:rPr>
          <w:rFonts w:ascii="ITC Avant Garde" w:hAnsi="ITC Avant Garde"/>
          <w:color w:val="auto"/>
        </w:rPr>
        <w:t>en los términos siguientes</w:t>
      </w:r>
      <w:r w:rsidR="00713635" w:rsidRPr="008D5D65">
        <w:rPr>
          <w:rFonts w:ascii="ITC Avant Garde" w:hAnsi="ITC Avant Garde"/>
          <w:color w:val="auto"/>
        </w:rPr>
        <w:t xml:space="preserve">: </w:t>
      </w:r>
    </w:p>
    <w:p w14:paraId="114B08D9" w14:textId="77777777" w:rsidR="00713635" w:rsidRPr="008D5D65" w:rsidRDefault="00713635" w:rsidP="007D5396">
      <w:pPr>
        <w:spacing w:after="0" w:line="276" w:lineRule="auto"/>
        <w:ind w:left="-5" w:right="49" w:firstLine="0"/>
        <w:rPr>
          <w:rFonts w:ascii="ITC Avant Garde" w:hAnsi="ITC Avant Garde"/>
          <w:color w:val="auto"/>
        </w:rPr>
      </w:pPr>
    </w:p>
    <w:p w14:paraId="5A6441D9" w14:textId="1C0C79D5" w:rsidR="002907B0" w:rsidRPr="008D5D65" w:rsidRDefault="002907B0" w:rsidP="00335F0E">
      <w:pPr>
        <w:spacing w:after="0" w:line="276" w:lineRule="auto"/>
        <w:ind w:left="567" w:right="900" w:firstLine="0"/>
        <w:rPr>
          <w:rFonts w:ascii="ITC Avant Garde" w:hAnsi="ITC Avant Garde"/>
          <w:i/>
          <w:color w:val="auto"/>
          <w:sz w:val="18"/>
        </w:rPr>
      </w:pPr>
      <w:r w:rsidRPr="008D5D65">
        <w:rPr>
          <w:rFonts w:ascii="ITC Avant Garde" w:hAnsi="ITC Avant Garde"/>
          <w:i/>
          <w:color w:val="auto"/>
          <w:sz w:val="18"/>
        </w:rPr>
        <w:t>“[ __________ ] no pagará por servicios de terminación del servicio local en usuarios fijos mientras TELMEX tenga el carácter de agente económico preponderante que le fue determinado por el Instituto.”</w:t>
      </w:r>
    </w:p>
    <w:p w14:paraId="5D4874D6" w14:textId="77777777" w:rsidR="00C1333A" w:rsidRPr="00B56D15" w:rsidRDefault="00C1333A" w:rsidP="00BD6B4C">
      <w:pPr>
        <w:spacing w:line="276" w:lineRule="auto"/>
        <w:ind w:left="0" w:firstLine="0"/>
        <w:rPr>
          <w:rFonts w:ascii="ITC Avant Garde" w:hAnsi="ITC Avant Garde"/>
          <w:i/>
          <w:color w:val="auto"/>
        </w:rPr>
      </w:pPr>
    </w:p>
    <w:p w14:paraId="42864B43" w14:textId="275C5427" w:rsidR="001B0D9E" w:rsidRPr="00B56D15" w:rsidRDefault="001B0D9E" w:rsidP="007D5396">
      <w:pPr>
        <w:spacing w:line="276" w:lineRule="auto"/>
        <w:ind w:firstLine="0"/>
        <w:rPr>
          <w:rFonts w:ascii="ITC Avant Garde" w:hAnsi="ITC Avant Garde"/>
          <w:b/>
          <w:color w:val="auto"/>
        </w:rPr>
      </w:pPr>
      <w:r w:rsidRPr="00B56D15">
        <w:rPr>
          <w:rFonts w:ascii="ITC Avant Garde" w:hAnsi="ITC Avant Garde"/>
          <w:b/>
          <w:color w:val="auto"/>
        </w:rPr>
        <w:t>Telefónica y CANIETI:</w:t>
      </w:r>
    </w:p>
    <w:p w14:paraId="35021B3D" w14:textId="77777777" w:rsidR="001B0D9E" w:rsidRPr="00B56D15" w:rsidRDefault="001B0D9E" w:rsidP="007D5396">
      <w:pPr>
        <w:spacing w:line="276" w:lineRule="auto"/>
        <w:ind w:firstLine="0"/>
        <w:rPr>
          <w:rFonts w:ascii="ITC Avant Garde" w:hAnsi="ITC Avant Garde"/>
          <w:color w:val="auto"/>
        </w:rPr>
      </w:pPr>
    </w:p>
    <w:p w14:paraId="2CDBBB18" w14:textId="4F4D8578" w:rsidR="001B0D9E" w:rsidRDefault="001B0D9E" w:rsidP="007D5396">
      <w:pPr>
        <w:spacing w:line="276" w:lineRule="auto"/>
        <w:ind w:firstLine="0"/>
        <w:rPr>
          <w:rFonts w:ascii="ITC Avant Garde" w:hAnsi="ITC Avant Garde"/>
          <w:i/>
          <w:color w:val="auto"/>
        </w:rPr>
      </w:pPr>
      <w:r w:rsidRPr="00B56D15">
        <w:rPr>
          <w:rFonts w:ascii="ITC Avant Garde" w:hAnsi="ITC Avant Garde"/>
          <w:i/>
          <w:color w:val="auto"/>
        </w:rPr>
        <w:t xml:space="preserve">El </w:t>
      </w:r>
      <w:r w:rsidR="000F3283">
        <w:rPr>
          <w:rFonts w:ascii="ITC Avant Garde" w:hAnsi="ITC Avant Garde"/>
          <w:i/>
          <w:color w:val="auto"/>
        </w:rPr>
        <w:t>numeral</w:t>
      </w:r>
      <w:r w:rsidRPr="00B56D15">
        <w:rPr>
          <w:rFonts w:ascii="ITC Avant Garde" w:hAnsi="ITC Avant Garde"/>
          <w:i/>
          <w:color w:val="auto"/>
        </w:rPr>
        <w:t xml:space="preserve"> 4 </w:t>
      </w:r>
      <w:r w:rsidR="00EC67A0">
        <w:rPr>
          <w:rFonts w:ascii="ITC Avant Garde" w:hAnsi="ITC Avant Garde"/>
          <w:i/>
          <w:color w:val="auto"/>
        </w:rPr>
        <w:t xml:space="preserve">del Anexo B </w:t>
      </w:r>
      <w:r w:rsidRPr="00B56D15">
        <w:rPr>
          <w:rFonts w:ascii="ITC Avant Garde" w:hAnsi="ITC Avant Garde"/>
          <w:i/>
          <w:color w:val="auto"/>
        </w:rPr>
        <w:t>establece una forma de medición y en el punto dos</w:t>
      </w:r>
      <w:r w:rsidR="00EC67A0">
        <w:rPr>
          <w:rFonts w:ascii="ITC Avant Garde" w:hAnsi="ITC Avant Garde"/>
          <w:i/>
          <w:color w:val="auto"/>
        </w:rPr>
        <w:t>,</w:t>
      </w:r>
      <w:r w:rsidRPr="00B56D15">
        <w:rPr>
          <w:rFonts w:ascii="ITC Avant Garde" w:hAnsi="ITC Avant Garde"/>
          <w:i/>
          <w:color w:val="auto"/>
        </w:rPr>
        <w:t xml:space="preserve"> último párrafo se menciona otra. No e</w:t>
      </w:r>
      <w:r w:rsidR="00EC67A0">
        <w:rPr>
          <w:rFonts w:ascii="ITC Avant Garde" w:hAnsi="ITC Avant Garde"/>
          <w:i/>
          <w:color w:val="auto"/>
        </w:rPr>
        <w:t>s claro el proceso de medición.</w:t>
      </w:r>
    </w:p>
    <w:p w14:paraId="098B52CB" w14:textId="77777777" w:rsidR="0029526D" w:rsidRPr="008D5D65" w:rsidRDefault="0029526D" w:rsidP="007D5396">
      <w:pPr>
        <w:spacing w:line="276" w:lineRule="auto"/>
        <w:ind w:firstLine="0"/>
        <w:rPr>
          <w:rFonts w:ascii="ITC Avant Garde" w:hAnsi="ITC Avant Garde"/>
          <w:i/>
          <w:color w:val="auto"/>
        </w:rPr>
      </w:pPr>
    </w:p>
    <w:p w14:paraId="40F3DBBC" w14:textId="4B37124D" w:rsidR="0029526D" w:rsidRPr="008D5D65" w:rsidRDefault="0029526D" w:rsidP="007D5396">
      <w:pPr>
        <w:spacing w:after="0" w:line="276" w:lineRule="auto"/>
        <w:ind w:left="-5" w:right="49" w:firstLine="0"/>
        <w:rPr>
          <w:rFonts w:ascii="ITC Avant Garde" w:hAnsi="ITC Avant Garde"/>
          <w:color w:val="auto"/>
        </w:rPr>
      </w:pPr>
      <w:r w:rsidRPr="008D5D65">
        <w:rPr>
          <w:rFonts w:ascii="ITC Avant Garde" w:hAnsi="ITC Avant Garde"/>
          <w:color w:val="auto"/>
        </w:rPr>
        <w:t>Al respecto</w:t>
      </w:r>
      <w:r w:rsidR="00721BD9" w:rsidRPr="008D5D65">
        <w:rPr>
          <w:rFonts w:ascii="ITC Avant Garde" w:hAnsi="ITC Avant Garde"/>
          <w:color w:val="auto"/>
        </w:rPr>
        <w:t>, se señala que</w:t>
      </w:r>
      <w:r w:rsidRPr="008D5D65">
        <w:rPr>
          <w:rFonts w:ascii="ITC Avant Garde" w:hAnsi="ITC Avant Garde"/>
          <w:color w:val="auto"/>
        </w:rPr>
        <w:t xml:space="preserve"> a efecto de otorgar certeza sobre </w:t>
      </w:r>
      <w:r w:rsidR="00721BD9" w:rsidRPr="008D5D65">
        <w:rPr>
          <w:rFonts w:ascii="ITC Avant Garde" w:hAnsi="ITC Avant Garde"/>
          <w:color w:val="auto"/>
        </w:rPr>
        <w:t xml:space="preserve">la metodología para la medición de tráfico intercambiado entre las redes, </w:t>
      </w:r>
      <w:r w:rsidR="0035148F" w:rsidRPr="008D5D65">
        <w:rPr>
          <w:rFonts w:ascii="ITC Avant Garde" w:hAnsi="ITC Avant Garde"/>
          <w:color w:val="auto"/>
        </w:rPr>
        <w:t>se</w:t>
      </w:r>
      <w:r w:rsidRPr="008D5D65">
        <w:rPr>
          <w:rFonts w:ascii="ITC Avant Garde" w:hAnsi="ITC Avant Garde"/>
          <w:color w:val="auto"/>
        </w:rPr>
        <w:t xml:space="preserve"> homologar</w:t>
      </w:r>
      <w:r w:rsidR="0035148F" w:rsidRPr="008D5D65">
        <w:rPr>
          <w:rFonts w:ascii="ITC Avant Garde" w:hAnsi="ITC Avant Garde"/>
          <w:color w:val="auto"/>
        </w:rPr>
        <w:t>on</w:t>
      </w:r>
      <w:r w:rsidRPr="008D5D65">
        <w:rPr>
          <w:rFonts w:ascii="ITC Avant Garde" w:hAnsi="ITC Avant Garde"/>
          <w:color w:val="auto"/>
        </w:rPr>
        <w:t xml:space="preserve"> la</w:t>
      </w:r>
      <w:r w:rsidR="00721BD9" w:rsidRPr="008D5D65">
        <w:rPr>
          <w:rFonts w:ascii="ITC Avant Garde" w:hAnsi="ITC Avant Garde"/>
          <w:color w:val="auto"/>
        </w:rPr>
        <w:t xml:space="preserve">s </w:t>
      </w:r>
      <w:r w:rsidR="00721BD9" w:rsidRPr="008D5D65">
        <w:rPr>
          <w:rFonts w:ascii="ITC Avant Garde" w:hAnsi="ITC Avant Garde"/>
          <w:color w:val="auto"/>
        </w:rPr>
        <w:lastRenderedPageBreak/>
        <w:t xml:space="preserve">redacciones referentes a dicha metodología, precisando que la misma es la establecida en el numeral 4 “Medición del tráfico intercambiado entre las redes” del Anexo B, con lo cual se da atención al comentario recibido. </w:t>
      </w:r>
    </w:p>
    <w:p w14:paraId="1AC5EE57" w14:textId="77777777" w:rsidR="00BD6B4C" w:rsidRPr="008D5D65" w:rsidRDefault="00BD6B4C" w:rsidP="007D5396">
      <w:pPr>
        <w:spacing w:after="0" w:line="276" w:lineRule="auto"/>
        <w:ind w:left="-5" w:right="49" w:firstLine="0"/>
        <w:rPr>
          <w:rFonts w:ascii="ITC Avant Garde" w:hAnsi="ITC Avant Garde"/>
          <w:color w:val="auto"/>
        </w:rPr>
      </w:pPr>
    </w:p>
    <w:p w14:paraId="30337472" w14:textId="77777777" w:rsidR="00BD6B4C" w:rsidRPr="008D5D65" w:rsidRDefault="00BD6B4C" w:rsidP="00BD6B4C">
      <w:pPr>
        <w:spacing w:after="0" w:line="276" w:lineRule="auto"/>
        <w:ind w:left="1134" w:right="1467" w:firstLine="0"/>
        <w:rPr>
          <w:rFonts w:ascii="ITC Avant Garde" w:hAnsi="ITC Avant Garde"/>
          <w:i/>
          <w:color w:val="auto"/>
          <w:sz w:val="18"/>
        </w:rPr>
      </w:pPr>
      <w:r w:rsidRPr="008D5D65">
        <w:rPr>
          <w:rFonts w:ascii="ITC Avant Garde" w:hAnsi="ITC Avant Garde"/>
          <w:i/>
          <w:color w:val="auto"/>
          <w:sz w:val="18"/>
        </w:rPr>
        <w:t>4.</w:t>
      </w:r>
      <w:r w:rsidRPr="008D5D65">
        <w:rPr>
          <w:rFonts w:ascii="ITC Avant Garde" w:hAnsi="ITC Avant Garde"/>
          <w:i/>
          <w:color w:val="auto"/>
          <w:sz w:val="18"/>
        </w:rPr>
        <w:tab/>
        <w:t xml:space="preserve">Medición del Tráfico intercambiado entre las Redes. </w:t>
      </w:r>
    </w:p>
    <w:p w14:paraId="4107108E" w14:textId="77777777" w:rsidR="00BD6B4C" w:rsidRPr="008D5D65" w:rsidRDefault="00BD6B4C" w:rsidP="00BD6B4C">
      <w:pPr>
        <w:spacing w:after="0" w:line="276" w:lineRule="auto"/>
        <w:ind w:left="1134" w:right="1467" w:firstLine="0"/>
        <w:rPr>
          <w:rFonts w:ascii="ITC Avant Garde" w:hAnsi="ITC Avant Garde"/>
          <w:i/>
          <w:color w:val="auto"/>
          <w:sz w:val="18"/>
        </w:rPr>
      </w:pPr>
    </w:p>
    <w:p w14:paraId="36553554" w14:textId="4712FAF1" w:rsidR="00BD6B4C" w:rsidRPr="008D5D65" w:rsidRDefault="00BD6B4C" w:rsidP="00335F0E">
      <w:pPr>
        <w:spacing w:after="0" w:line="276" w:lineRule="auto"/>
        <w:ind w:left="567" w:right="616" w:firstLine="0"/>
        <w:rPr>
          <w:rFonts w:ascii="ITC Avant Garde" w:hAnsi="ITC Avant Garde"/>
          <w:i/>
          <w:color w:val="auto"/>
          <w:sz w:val="18"/>
        </w:rPr>
      </w:pPr>
      <w:r w:rsidRPr="008D5D65">
        <w:rPr>
          <w:rFonts w:ascii="ITC Avant Garde" w:hAnsi="ITC Avant Garde"/>
          <w:i/>
          <w:color w:val="auto"/>
          <w:sz w:val="18"/>
        </w:rPr>
        <w:t>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w:t>
      </w:r>
    </w:p>
    <w:p w14:paraId="6D39E1DE" w14:textId="77777777" w:rsidR="00502674" w:rsidRDefault="00502674" w:rsidP="007D5396">
      <w:pPr>
        <w:spacing w:line="276" w:lineRule="auto"/>
        <w:ind w:firstLine="0"/>
        <w:rPr>
          <w:rFonts w:ascii="ITC Avant Garde" w:hAnsi="ITC Avant Garde"/>
          <w:i/>
          <w:color w:val="auto"/>
        </w:rPr>
      </w:pPr>
    </w:p>
    <w:p w14:paraId="32108715" w14:textId="5CBDEC8E" w:rsidR="00502674" w:rsidRPr="000C7CB5" w:rsidRDefault="00502674" w:rsidP="007D5396">
      <w:pPr>
        <w:spacing w:after="0" w:line="276" w:lineRule="auto"/>
        <w:ind w:left="-5" w:right="49" w:firstLine="0"/>
        <w:rPr>
          <w:rFonts w:ascii="ITC Avant Garde" w:hAnsi="ITC Avant Garde"/>
          <w:b/>
          <w:color w:val="auto"/>
        </w:rPr>
      </w:pPr>
      <w:r>
        <w:rPr>
          <w:rFonts w:ascii="ITC Avant Garde" w:hAnsi="ITC Avant Garde"/>
          <w:b/>
          <w:color w:val="auto"/>
        </w:rPr>
        <w:t>MCM</w:t>
      </w:r>
      <w:r w:rsidR="00F252F6">
        <w:rPr>
          <w:rFonts w:ascii="ITC Avant Garde" w:hAnsi="ITC Avant Garde"/>
          <w:b/>
          <w:color w:val="auto"/>
        </w:rPr>
        <w:t xml:space="preserve">, </w:t>
      </w:r>
      <w:r w:rsidR="00F252F6" w:rsidRPr="00B56D15">
        <w:rPr>
          <w:rFonts w:ascii="ITC Avant Garde" w:hAnsi="ITC Avant Garde"/>
          <w:b/>
          <w:color w:val="auto"/>
        </w:rPr>
        <w:t>Telefónica y CANIETI:</w:t>
      </w:r>
    </w:p>
    <w:p w14:paraId="3F1B024D" w14:textId="77777777" w:rsidR="00502674" w:rsidRDefault="00502674" w:rsidP="007D5396">
      <w:pPr>
        <w:spacing w:after="0" w:line="276" w:lineRule="auto"/>
        <w:ind w:left="-5" w:right="49" w:firstLine="0"/>
        <w:rPr>
          <w:rFonts w:ascii="ITC Avant Garde" w:hAnsi="ITC Avant Garde"/>
          <w:b/>
          <w:color w:val="auto"/>
        </w:rPr>
      </w:pPr>
    </w:p>
    <w:p w14:paraId="0C574704" w14:textId="7C6D1112" w:rsidR="00502674" w:rsidRDefault="00EC67A0" w:rsidP="007D5396">
      <w:pPr>
        <w:spacing w:after="0" w:line="276" w:lineRule="auto"/>
        <w:ind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 xml:space="preserve">En el </w:t>
      </w:r>
      <w:r w:rsidR="000F3283">
        <w:rPr>
          <w:rFonts w:ascii="ITC Avant Garde" w:eastAsia="Times New Roman" w:hAnsi="ITC Avant Garde" w:cs="Times New Roman"/>
          <w:i/>
          <w:color w:val="auto"/>
        </w:rPr>
        <w:t>numeral</w:t>
      </w:r>
      <w:r>
        <w:rPr>
          <w:rFonts w:ascii="ITC Avant Garde" w:eastAsia="Times New Roman" w:hAnsi="ITC Avant Garde" w:cs="Times New Roman"/>
          <w:i/>
          <w:color w:val="auto"/>
        </w:rPr>
        <w:t xml:space="preserve"> 5, Servicios No conmutados de Interconexión, n</w:t>
      </w:r>
      <w:r w:rsidR="00502674" w:rsidRPr="00ED642D">
        <w:rPr>
          <w:rFonts w:ascii="ITC Avant Garde" w:eastAsia="Times New Roman" w:hAnsi="ITC Avant Garde" w:cs="Times New Roman"/>
          <w:i/>
          <w:color w:val="auto"/>
        </w:rPr>
        <w:t>o se deben establecer contraprestaciones por Servicios de Puertos de interconexión Local ya que estos forman parte de la tarifa de</w:t>
      </w:r>
      <w:r w:rsidR="00502674" w:rsidRPr="00ED642D">
        <w:t xml:space="preserve"> </w:t>
      </w:r>
      <w:r w:rsidR="00502674" w:rsidRPr="00ED642D">
        <w:rPr>
          <w:rFonts w:ascii="ITC Avant Garde" w:eastAsia="Times New Roman" w:hAnsi="ITC Avant Garde" w:cs="Times New Roman"/>
          <w:i/>
          <w:color w:val="auto"/>
        </w:rPr>
        <w:t>terminación y en este caso la LFT</w:t>
      </w:r>
      <w:r w:rsidR="00FB0740">
        <w:rPr>
          <w:rFonts w:ascii="ITC Avant Garde" w:eastAsia="Times New Roman" w:hAnsi="ITC Avant Garde" w:cs="Times New Roman"/>
          <w:i/>
          <w:color w:val="auto"/>
        </w:rPr>
        <w:t>y</w:t>
      </w:r>
      <w:r w:rsidR="00502674" w:rsidRPr="00ED642D">
        <w:rPr>
          <w:rFonts w:ascii="ITC Avant Garde" w:eastAsia="Times New Roman" w:hAnsi="ITC Avant Garde" w:cs="Times New Roman"/>
          <w:i/>
          <w:color w:val="auto"/>
        </w:rPr>
        <w:t>R consideró para el AEP que la terminación en su red no se cobraría, por lo que deben quedar comprendidos en este supuesto dichos puertos necesarios para la interconexión.</w:t>
      </w:r>
    </w:p>
    <w:p w14:paraId="71F5F406" w14:textId="77777777" w:rsidR="00C1333A" w:rsidRDefault="00C1333A" w:rsidP="007D5396">
      <w:pPr>
        <w:spacing w:after="0" w:line="276" w:lineRule="auto"/>
        <w:ind w:right="49" w:firstLine="0"/>
        <w:rPr>
          <w:rFonts w:ascii="ITC Avant Garde" w:eastAsia="Times New Roman" w:hAnsi="ITC Avant Garde" w:cs="Times New Roman"/>
          <w:i/>
          <w:color w:val="auto"/>
        </w:rPr>
      </w:pPr>
    </w:p>
    <w:p w14:paraId="583D1543" w14:textId="3FE59381" w:rsidR="00591300" w:rsidRPr="002C0759" w:rsidRDefault="00591300" w:rsidP="001C2F8A">
      <w:pPr>
        <w:spacing w:after="0" w:line="276" w:lineRule="auto"/>
        <w:rPr>
          <w:rFonts w:ascii="ITC Avant Garde" w:hAnsi="ITC Avant Garde"/>
        </w:rPr>
      </w:pPr>
      <w:r w:rsidRPr="002C0759">
        <w:rPr>
          <w:rFonts w:ascii="ITC Avant Garde" w:hAnsi="ITC Avant Garde"/>
        </w:rPr>
        <w:t xml:space="preserve">Al respecto se señala que en el cálculo de los costos de interconexión de tráfico público conmutado </w:t>
      </w:r>
      <w:r>
        <w:rPr>
          <w:rFonts w:ascii="ITC Avant Garde" w:hAnsi="ITC Avant Garde"/>
        </w:rPr>
        <w:t xml:space="preserve">es necesario </w:t>
      </w:r>
      <w:r w:rsidRPr="002C0759">
        <w:rPr>
          <w:rFonts w:ascii="ITC Avant Garde" w:hAnsi="ITC Avant Garde"/>
        </w:rPr>
        <w:t xml:space="preserve">establecer un punto de demarcación a partir del cual se costeará el servicio, </w:t>
      </w:r>
      <w:r w:rsidR="001C2F8A">
        <w:rPr>
          <w:rFonts w:ascii="ITC Avant Garde" w:hAnsi="ITC Avant Garde"/>
        </w:rPr>
        <w:t>es así que el</w:t>
      </w:r>
      <w:r w:rsidRPr="002C0759">
        <w:rPr>
          <w:rFonts w:ascii="ITC Avant Garde" w:hAnsi="ITC Avant Garde"/>
        </w:rPr>
        <w:t xml:space="preserve"> punto de demarcación en el extremo del concesionario que se interconecta </w:t>
      </w:r>
      <w:r w:rsidR="001C2F8A">
        <w:rPr>
          <w:rFonts w:ascii="ITC Avant Garde" w:hAnsi="ITC Avant Garde"/>
        </w:rPr>
        <w:t xml:space="preserve">son </w:t>
      </w:r>
      <w:r w:rsidRPr="002C0759">
        <w:rPr>
          <w:rFonts w:ascii="ITC Avant Garde" w:hAnsi="ITC Avant Garde"/>
        </w:rPr>
        <w:t>los puertos de interconexión; de este modo dichos puertos resultan inherentes a la prestación de los servicios de originación, terminación y tránsito; es decir, los puertos de interconexión constituyen un elemento de red necesario para la prestación del servicio de originación, terminación y tránsito, por lo tanto no es factible su desagregación como un servicio independiente.</w:t>
      </w:r>
    </w:p>
    <w:p w14:paraId="502B4153" w14:textId="334C375A" w:rsidR="00591300" w:rsidRDefault="00591300" w:rsidP="001C2F8A">
      <w:pPr>
        <w:spacing w:after="0" w:line="276" w:lineRule="auto"/>
        <w:rPr>
          <w:rFonts w:ascii="ITC Avant Garde" w:hAnsi="ITC Avant Garde"/>
        </w:rPr>
      </w:pPr>
    </w:p>
    <w:p w14:paraId="2675FBD3" w14:textId="77777777" w:rsidR="00591300" w:rsidRDefault="00591300" w:rsidP="00591300">
      <w:pPr>
        <w:spacing w:after="0" w:line="276" w:lineRule="auto"/>
        <w:rPr>
          <w:rFonts w:ascii="ITC Avant Garde" w:hAnsi="ITC Avant Garde"/>
        </w:rPr>
      </w:pPr>
      <w:r>
        <w:rPr>
          <w:rFonts w:ascii="ITC Avant Garde" w:hAnsi="ITC Avant Garde"/>
        </w:rPr>
        <w:t>Por lo anterior, a efecto de dar cumplimiento a  lo señalado en el artículo 131 inciso a) de la LFTyR no resulta procedente realizar el cobro por los puertos de interconexión, es así que se modifica el CMI eliminando el numeral 5.2 “Contraprestaciones por servicios de puertos de interconexión local” a efecto de reflejar lo anterior.</w:t>
      </w:r>
    </w:p>
    <w:p w14:paraId="083450AA" w14:textId="77777777" w:rsidR="0029526D" w:rsidRDefault="0029526D" w:rsidP="00DC59F0">
      <w:pPr>
        <w:spacing w:after="0" w:line="276" w:lineRule="auto"/>
        <w:ind w:left="11" w:right="0" w:firstLine="0"/>
        <w:rPr>
          <w:rFonts w:ascii="ITC Avant Garde" w:hAnsi="ITC Avant Garde"/>
          <w:b/>
          <w:color w:val="auto"/>
        </w:rPr>
      </w:pPr>
    </w:p>
    <w:p w14:paraId="5404A601" w14:textId="6C8D6A4F" w:rsidR="001B0D9E" w:rsidRPr="00B56D15" w:rsidRDefault="001B0D9E" w:rsidP="00DC59F0">
      <w:pPr>
        <w:spacing w:after="0" w:line="276" w:lineRule="auto"/>
        <w:ind w:left="11" w:right="0" w:firstLine="0"/>
        <w:rPr>
          <w:rFonts w:ascii="ITC Avant Garde" w:hAnsi="ITC Avant Garde"/>
          <w:b/>
          <w:color w:val="auto"/>
        </w:rPr>
      </w:pPr>
      <w:r w:rsidRPr="00B56D15">
        <w:rPr>
          <w:rFonts w:ascii="ITC Avant Garde" w:hAnsi="ITC Avant Garde"/>
          <w:b/>
          <w:color w:val="auto"/>
        </w:rPr>
        <w:t>CANIETI</w:t>
      </w:r>
      <w:r w:rsidR="00502674">
        <w:rPr>
          <w:rFonts w:ascii="ITC Avant Garde" w:hAnsi="ITC Avant Garde"/>
          <w:b/>
          <w:color w:val="auto"/>
        </w:rPr>
        <w:t xml:space="preserve"> y MCM</w:t>
      </w:r>
      <w:r w:rsidRPr="00B56D15">
        <w:rPr>
          <w:rFonts w:ascii="ITC Avant Garde" w:hAnsi="ITC Avant Garde"/>
          <w:b/>
          <w:color w:val="auto"/>
        </w:rPr>
        <w:t>:</w:t>
      </w:r>
    </w:p>
    <w:p w14:paraId="51615C23" w14:textId="77777777" w:rsidR="001B0D9E" w:rsidRPr="00B56D15" w:rsidRDefault="001B0D9E" w:rsidP="00DC59F0">
      <w:pPr>
        <w:spacing w:after="0" w:line="276" w:lineRule="auto"/>
        <w:ind w:left="11" w:right="0" w:firstLine="0"/>
        <w:rPr>
          <w:rFonts w:ascii="ITC Avant Garde" w:hAnsi="ITC Avant Garde"/>
          <w:color w:val="auto"/>
        </w:rPr>
      </w:pPr>
    </w:p>
    <w:p w14:paraId="3C7AA855" w14:textId="64167D22" w:rsidR="001B0D9E" w:rsidRPr="00B56D15" w:rsidRDefault="00401CDC" w:rsidP="00DC59F0">
      <w:pPr>
        <w:spacing w:after="0" w:line="276" w:lineRule="auto"/>
        <w:ind w:left="11" w:right="0" w:firstLine="0"/>
        <w:rPr>
          <w:rFonts w:ascii="ITC Avant Garde" w:hAnsi="ITC Avant Garde"/>
          <w:i/>
          <w:color w:val="auto"/>
        </w:rPr>
      </w:pPr>
      <w:r w:rsidRPr="008D5D65">
        <w:rPr>
          <w:rFonts w:ascii="ITC Avant Garde" w:hAnsi="ITC Avant Garde"/>
          <w:i/>
          <w:color w:val="auto"/>
        </w:rPr>
        <w:t>En el Anexo B f</w:t>
      </w:r>
      <w:r w:rsidR="001B0D9E" w:rsidRPr="008D5D65">
        <w:rPr>
          <w:rFonts w:ascii="ITC Avant Garde" w:hAnsi="ITC Avant Garde"/>
          <w:i/>
          <w:color w:val="auto"/>
        </w:rPr>
        <w:t xml:space="preserve">alta especificar los precios por conectar dos concesionarios en una </w:t>
      </w:r>
      <w:r w:rsidR="00C40D96" w:rsidRPr="008D5D65">
        <w:rPr>
          <w:rFonts w:ascii="ITC Avant Garde" w:hAnsi="ITC Avant Garde"/>
          <w:i/>
          <w:color w:val="auto"/>
        </w:rPr>
        <w:t>coubicación</w:t>
      </w:r>
      <w:r w:rsidR="001B0D9E" w:rsidRPr="008D5D65">
        <w:rPr>
          <w:rFonts w:ascii="ITC Avant Garde" w:hAnsi="ITC Avant Garde"/>
          <w:i/>
          <w:color w:val="auto"/>
        </w:rPr>
        <w:t>.</w:t>
      </w:r>
      <w:r w:rsidRPr="008D5D65">
        <w:rPr>
          <w:rFonts w:ascii="ITC Avant Garde" w:hAnsi="ITC Avant Garde"/>
          <w:i/>
          <w:color w:val="auto"/>
        </w:rPr>
        <w:t xml:space="preserve"> Se </w:t>
      </w:r>
      <w:r w:rsidR="001B0D9E" w:rsidRPr="008D5D65">
        <w:rPr>
          <w:rFonts w:ascii="ITC Avant Garde" w:hAnsi="ITC Avant Garde"/>
          <w:i/>
          <w:color w:val="auto"/>
        </w:rPr>
        <w:t>solicita a</w:t>
      </w:r>
      <w:r w:rsidRPr="008D5D65">
        <w:rPr>
          <w:rFonts w:ascii="ITC Avant Garde" w:hAnsi="ITC Avant Garde"/>
          <w:i/>
          <w:color w:val="auto"/>
        </w:rPr>
        <w:t xml:space="preserve">l </w:t>
      </w:r>
      <w:r w:rsidR="001B0D9E" w:rsidRPr="008D5D65">
        <w:rPr>
          <w:rFonts w:ascii="ITC Avant Garde" w:hAnsi="ITC Avant Garde"/>
          <w:i/>
          <w:color w:val="auto"/>
        </w:rPr>
        <w:t xml:space="preserve">Instituto que determine el precio del servicio de </w:t>
      </w:r>
      <w:r w:rsidR="001B0D9E" w:rsidRPr="008D5D65">
        <w:rPr>
          <w:rFonts w:ascii="ITC Avant Garde" w:hAnsi="ITC Avant Garde"/>
          <w:i/>
          <w:color w:val="auto"/>
        </w:rPr>
        <w:lastRenderedPageBreak/>
        <w:t>coubicación, tanto del costo de instalación, como de la renta mensual, con base en un modelo de costos evitados.</w:t>
      </w:r>
    </w:p>
    <w:p w14:paraId="48988DC9" w14:textId="77777777" w:rsidR="001B0D9E" w:rsidRPr="00B56D15" w:rsidRDefault="001B0D9E" w:rsidP="00DC59F0">
      <w:pPr>
        <w:spacing w:after="0" w:line="276" w:lineRule="auto"/>
        <w:ind w:left="11" w:right="0" w:firstLine="0"/>
        <w:rPr>
          <w:rFonts w:ascii="ITC Avant Garde" w:hAnsi="ITC Avant Garde"/>
          <w:i/>
          <w:color w:val="auto"/>
        </w:rPr>
      </w:pPr>
    </w:p>
    <w:p w14:paraId="0571475F" w14:textId="5A0735E4" w:rsidR="001B0D9E" w:rsidRPr="00B56D15" w:rsidRDefault="001B0D9E" w:rsidP="00DC59F0">
      <w:pPr>
        <w:spacing w:after="0" w:line="276" w:lineRule="auto"/>
        <w:ind w:left="11" w:right="0" w:firstLine="0"/>
        <w:rPr>
          <w:rFonts w:ascii="ITC Avant Garde" w:hAnsi="ITC Avant Garde"/>
          <w:b/>
          <w:color w:val="auto"/>
        </w:rPr>
      </w:pPr>
      <w:r w:rsidRPr="00B56D15">
        <w:rPr>
          <w:rFonts w:ascii="ITC Avant Garde" w:hAnsi="ITC Avant Garde"/>
          <w:b/>
          <w:color w:val="auto"/>
        </w:rPr>
        <w:t>Telefónica:</w:t>
      </w:r>
    </w:p>
    <w:p w14:paraId="65CBC986" w14:textId="77777777" w:rsidR="001B0D9E" w:rsidRPr="00B56D15" w:rsidRDefault="001B0D9E" w:rsidP="00DC59F0">
      <w:pPr>
        <w:spacing w:after="0" w:line="276" w:lineRule="auto"/>
        <w:ind w:left="11" w:right="0" w:firstLine="0"/>
        <w:rPr>
          <w:rFonts w:ascii="ITC Avant Garde" w:hAnsi="ITC Avant Garde"/>
          <w:color w:val="auto"/>
        </w:rPr>
      </w:pPr>
    </w:p>
    <w:p w14:paraId="55FEF47E" w14:textId="02F85328" w:rsidR="001B0D9E" w:rsidRDefault="00401CDC" w:rsidP="00DC59F0">
      <w:pPr>
        <w:spacing w:after="0" w:line="276" w:lineRule="auto"/>
        <w:ind w:left="11" w:right="0" w:firstLine="0"/>
        <w:rPr>
          <w:rFonts w:ascii="ITC Avant Garde" w:hAnsi="ITC Avant Garde"/>
          <w:i/>
          <w:color w:val="auto"/>
        </w:rPr>
      </w:pPr>
      <w:r>
        <w:rPr>
          <w:rFonts w:ascii="ITC Avant Garde" w:hAnsi="ITC Avant Garde"/>
          <w:i/>
          <w:color w:val="auto"/>
        </w:rPr>
        <w:t>En el Anexo B f</w:t>
      </w:r>
      <w:r w:rsidR="001B0D9E" w:rsidRPr="00B56D15">
        <w:rPr>
          <w:rFonts w:ascii="ITC Avant Garde" w:hAnsi="ITC Avant Garde"/>
          <w:i/>
          <w:color w:val="auto"/>
        </w:rPr>
        <w:t>alta especificar los precios por conectar dos concesionarios en una coubicaci</w:t>
      </w:r>
      <w:r>
        <w:rPr>
          <w:rFonts w:ascii="ITC Avant Garde" w:hAnsi="ITC Avant Garde"/>
          <w:i/>
          <w:color w:val="auto"/>
        </w:rPr>
        <w:t>ón.</w:t>
      </w:r>
    </w:p>
    <w:p w14:paraId="34CF9DC3" w14:textId="77777777" w:rsidR="006862B8" w:rsidRDefault="006862B8" w:rsidP="006862B8">
      <w:pPr>
        <w:spacing w:line="276" w:lineRule="auto"/>
        <w:ind w:firstLine="0"/>
        <w:rPr>
          <w:rFonts w:ascii="ITC Avant Garde" w:hAnsi="ITC Avant Garde"/>
          <w:b/>
          <w:color w:val="auto"/>
        </w:rPr>
      </w:pPr>
    </w:p>
    <w:p w14:paraId="3EC8B4DF" w14:textId="77777777" w:rsidR="006862B8" w:rsidRPr="003D1FA8" w:rsidRDefault="006862B8" w:rsidP="006862B8">
      <w:pPr>
        <w:spacing w:line="276" w:lineRule="auto"/>
        <w:ind w:firstLine="0"/>
        <w:rPr>
          <w:rFonts w:ascii="ITC Avant Garde" w:hAnsi="ITC Avant Garde"/>
          <w:b/>
          <w:color w:val="auto"/>
        </w:rPr>
      </w:pPr>
      <w:r w:rsidRPr="003D1FA8">
        <w:rPr>
          <w:rFonts w:ascii="ITC Avant Garde" w:hAnsi="ITC Avant Garde"/>
          <w:b/>
          <w:color w:val="auto"/>
        </w:rPr>
        <w:t>MCM, Telefónica, CANIETI:</w:t>
      </w:r>
    </w:p>
    <w:p w14:paraId="7A24B964" w14:textId="77777777" w:rsidR="006862B8" w:rsidRDefault="006862B8" w:rsidP="006862B8">
      <w:pPr>
        <w:spacing w:after="0" w:line="276" w:lineRule="auto"/>
        <w:ind w:left="0" w:right="0" w:firstLine="0"/>
        <w:rPr>
          <w:rFonts w:ascii="ITC Avant Garde" w:hAnsi="ITC Avant Garde"/>
          <w:i/>
          <w:color w:val="auto"/>
        </w:rPr>
      </w:pPr>
    </w:p>
    <w:p w14:paraId="23E4D9C3" w14:textId="77777777" w:rsidR="006862B8" w:rsidRPr="003D1FA8" w:rsidRDefault="006862B8" w:rsidP="006862B8">
      <w:pPr>
        <w:spacing w:line="276" w:lineRule="auto"/>
        <w:ind w:firstLine="0"/>
        <w:rPr>
          <w:rFonts w:ascii="ITC Avant Garde" w:hAnsi="ITC Avant Garde"/>
          <w:i/>
          <w:color w:val="auto"/>
        </w:rPr>
      </w:pPr>
      <w:r w:rsidRPr="008D5D65">
        <w:rPr>
          <w:rFonts w:ascii="ITC Avant Garde" w:hAnsi="ITC Avant Garde"/>
          <w:i/>
          <w:color w:val="auto"/>
        </w:rPr>
        <w:t>En los conceptos de enlaces dedicados de interconexión, puertos de señalización, enlaces de señalización, servicios de coubicación, capacidad adicional de corriente directa, corriente alterna o clima en la coubicación, deben incluirse precios.</w:t>
      </w:r>
    </w:p>
    <w:p w14:paraId="6DE922B1" w14:textId="77777777" w:rsidR="006862B8" w:rsidRPr="00B56D15" w:rsidRDefault="006862B8" w:rsidP="00DC59F0">
      <w:pPr>
        <w:spacing w:after="0" w:line="276" w:lineRule="auto"/>
        <w:ind w:left="11" w:right="0" w:firstLine="0"/>
        <w:rPr>
          <w:rFonts w:ascii="ITC Avant Garde" w:hAnsi="ITC Avant Garde"/>
          <w:i/>
          <w:color w:val="auto"/>
        </w:rPr>
      </w:pPr>
    </w:p>
    <w:p w14:paraId="22875907" w14:textId="6B2BFDBE" w:rsidR="008D5D65" w:rsidRPr="002F1284" w:rsidRDefault="008D5D65" w:rsidP="008D5D65">
      <w:pPr>
        <w:spacing w:line="276" w:lineRule="auto"/>
        <w:ind w:firstLine="0"/>
        <w:rPr>
          <w:rFonts w:ascii="ITC Avant Garde" w:hAnsi="ITC Avant Garde"/>
          <w:color w:val="auto"/>
        </w:rPr>
      </w:pPr>
      <w:r w:rsidRPr="002F1284">
        <w:rPr>
          <w:rFonts w:ascii="ITC Avant Garde" w:hAnsi="ITC Avant Garde"/>
          <w:color w:val="auto"/>
        </w:rPr>
        <w:t>Al respecto se señala que la determinación de la</w:t>
      </w:r>
      <w:r>
        <w:rPr>
          <w:rFonts w:ascii="ITC Avant Garde" w:hAnsi="ITC Avant Garde"/>
          <w:color w:val="auto"/>
        </w:rPr>
        <w:t>s</w:t>
      </w:r>
      <w:r w:rsidRPr="002F1284">
        <w:rPr>
          <w:rFonts w:ascii="ITC Avant Garde" w:hAnsi="ITC Avant Garde"/>
          <w:color w:val="auto"/>
        </w:rPr>
        <w:t xml:space="preserve"> tarifa</w:t>
      </w:r>
      <w:r>
        <w:rPr>
          <w:rFonts w:ascii="ITC Avant Garde" w:hAnsi="ITC Avant Garde"/>
          <w:color w:val="auto"/>
        </w:rPr>
        <w:t>s</w:t>
      </w:r>
      <w:r w:rsidRPr="002F1284">
        <w:rPr>
          <w:rFonts w:ascii="ITC Avant Garde" w:hAnsi="ITC Avant Garde"/>
          <w:color w:val="auto"/>
        </w:rPr>
        <w:t xml:space="preserve"> de interconexión se deberá sujetar a la legislación aplicable, incluyendo lo es</w:t>
      </w:r>
      <w:r>
        <w:rPr>
          <w:rFonts w:ascii="ITC Avant Garde" w:hAnsi="ITC Avant Garde"/>
          <w:color w:val="auto"/>
        </w:rPr>
        <w:t>tablecido en los artículos 129 y</w:t>
      </w:r>
      <w:r w:rsidRPr="002F1284">
        <w:rPr>
          <w:rFonts w:ascii="ITC Avant Garde" w:hAnsi="ITC Avant Garde"/>
          <w:color w:val="auto"/>
        </w:rPr>
        <w:t xml:space="preserve"> 131 de la LFTyR.</w:t>
      </w:r>
    </w:p>
    <w:p w14:paraId="2BB04C3D" w14:textId="77777777" w:rsidR="0029526D" w:rsidRPr="00B56D15" w:rsidRDefault="0029526D" w:rsidP="00DC59F0">
      <w:pPr>
        <w:spacing w:after="0" w:line="276" w:lineRule="auto"/>
        <w:ind w:left="11" w:right="0" w:firstLine="0"/>
        <w:rPr>
          <w:rFonts w:ascii="ITC Avant Garde" w:hAnsi="ITC Avant Garde"/>
          <w:color w:val="auto"/>
        </w:rPr>
      </w:pPr>
    </w:p>
    <w:p w14:paraId="3EEC4E61" w14:textId="63ECA467" w:rsidR="001B0D9E" w:rsidRPr="00B56D15" w:rsidRDefault="00401CDC" w:rsidP="00DC59F0">
      <w:pPr>
        <w:spacing w:after="0" w:line="276" w:lineRule="auto"/>
        <w:ind w:left="11" w:right="0" w:firstLine="0"/>
        <w:rPr>
          <w:rFonts w:ascii="ITC Avant Garde" w:hAnsi="ITC Avant Garde"/>
          <w:b/>
          <w:color w:val="auto"/>
        </w:rPr>
      </w:pPr>
      <w:r>
        <w:rPr>
          <w:rFonts w:ascii="ITC Avant Garde" w:hAnsi="ITC Avant Garde"/>
          <w:b/>
          <w:color w:val="auto"/>
        </w:rPr>
        <w:t xml:space="preserve">Telefónica y </w:t>
      </w:r>
      <w:r w:rsidR="001B0D9E" w:rsidRPr="00B56D15">
        <w:rPr>
          <w:rFonts w:ascii="ITC Avant Garde" w:hAnsi="ITC Avant Garde"/>
          <w:b/>
          <w:color w:val="auto"/>
        </w:rPr>
        <w:t>CANIETI:</w:t>
      </w:r>
    </w:p>
    <w:p w14:paraId="0A87B03D" w14:textId="77777777" w:rsidR="001B0D9E" w:rsidRPr="00B56D15" w:rsidRDefault="001B0D9E" w:rsidP="00DC59F0">
      <w:pPr>
        <w:spacing w:after="0" w:line="276" w:lineRule="auto"/>
        <w:ind w:left="11" w:right="0" w:firstLine="0"/>
        <w:rPr>
          <w:rFonts w:ascii="ITC Avant Garde" w:hAnsi="ITC Avant Garde"/>
          <w:color w:val="auto"/>
        </w:rPr>
      </w:pPr>
    </w:p>
    <w:p w14:paraId="1280D533" w14:textId="55EE71F5" w:rsidR="001B0D9E" w:rsidRPr="00B56D15" w:rsidRDefault="00401CDC" w:rsidP="00DC59F0">
      <w:pPr>
        <w:spacing w:after="0" w:line="276" w:lineRule="auto"/>
        <w:ind w:left="11" w:right="0" w:firstLine="0"/>
        <w:rPr>
          <w:rFonts w:ascii="ITC Avant Garde" w:hAnsi="ITC Avant Garde"/>
          <w:i/>
          <w:color w:val="auto"/>
        </w:rPr>
      </w:pPr>
      <w:r>
        <w:rPr>
          <w:rFonts w:ascii="ITC Avant Garde" w:hAnsi="ITC Avant Garde"/>
          <w:i/>
          <w:color w:val="auto"/>
        </w:rPr>
        <w:t>P</w:t>
      </w:r>
      <w:r w:rsidR="001B0D9E" w:rsidRPr="00B56D15">
        <w:rPr>
          <w:rFonts w:ascii="ITC Avant Garde" w:hAnsi="ITC Avant Garde"/>
          <w:i/>
          <w:color w:val="auto"/>
        </w:rPr>
        <w:t>ara los servicios establecidos en los numerales 1 y 2</w:t>
      </w:r>
      <w:r>
        <w:rPr>
          <w:rFonts w:ascii="ITC Avant Garde" w:hAnsi="ITC Avant Garde"/>
          <w:i/>
          <w:color w:val="auto"/>
        </w:rPr>
        <w:t xml:space="preserve"> indicar</w:t>
      </w:r>
      <w:r w:rsidR="001B0D9E" w:rsidRPr="00B56D15">
        <w:rPr>
          <w:rFonts w:ascii="ITC Avant Garde" w:hAnsi="ITC Avant Garde"/>
          <w:i/>
          <w:color w:val="auto"/>
        </w:rPr>
        <w:t xml:space="preserve"> que la vigencia de tarifas es del 1 de enero al 31 de diciembre de 2017. En su caso, actu</w:t>
      </w:r>
      <w:r>
        <w:rPr>
          <w:rFonts w:ascii="ITC Avant Garde" w:hAnsi="ITC Avant Garde"/>
          <w:i/>
          <w:color w:val="auto"/>
        </w:rPr>
        <w:t>alizar la fecha de vigencia.</w:t>
      </w:r>
    </w:p>
    <w:p w14:paraId="7D927585" w14:textId="77777777" w:rsidR="00E0217C" w:rsidRDefault="00E0217C" w:rsidP="007D5396">
      <w:pPr>
        <w:spacing w:line="276" w:lineRule="auto"/>
        <w:ind w:firstLine="0"/>
        <w:rPr>
          <w:rFonts w:ascii="ITC Avant Garde" w:hAnsi="ITC Avant Garde"/>
          <w:i/>
          <w:color w:val="auto"/>
        </w:rPr>
      </w:pPr>
    </w:p>
    <w:p w14:paraId="13AD8E85" w14:textId="056C4440" w:rsidR="00E0217C" w:rsidRPr="008D5D65" w:rsidRDefault="002F339F" w:rsidP="007D5396">
      <w:pPr>
        <w:spacing w:line="276" w:lineRule="auto"/>
        <w:ind w:firstLine="0"/>
        <w:rPr>
          <w:rFonts w:ascii="ITC Avant Garde" w:hAnsi="ITC Avant Garde"/>
          <w:color w:val="auto"/>
        </w:rPr>
      </w:pPr>
      <w:r w:rsidRPr="008D5D65">
        <w:rPr>
          <w:rFonts w:ascii="ITC Avant Garde" w:hAnsi="ITC Avant Garde"/>
          <w:color w:val="auto"/>
        </w:rPr>
        <w:t>En atención a</w:t>
      </w:r>
      <w:r w:rsidR="00057EEB" w:rsidRPr="008D5D65">
        <w:rPr>
          <w:rFonts w:ascii="ITC Avant Garde" w:hAnsi="ITC Avant Garde"/>
          <w:color w:val="auto"/>
        </w:rPr>
        <w:t>l</w:t>
      </w:r>
      <w:r w:rsidRPr="008D5D65">
        <w:rPr>
          <w:rFonts w:ascii="ITC Avant Garde" w:hAnsi="ITC Avant Garde"/>
          <w:color w:val="auto"/>
        </w:rPr>
        <w:t xml:space="preserve"> comentario</w:t>
      </w:r>
      <w:r w:rsidR="00057EEB" w:rsidRPr="008D5D65">
        <w:rPr>
          <w:rFonts w:ascii="ITC Avant Garde" w:hAnsi="ITC Avant Garde"/>
          <w:color w:val="auto"/>
        </w:rPr>
        <w:t xml:space="preserve"> ant</w:t>
      </w:r>
      <w:r w:rsidRPr="008D5D65">
        <w:rPr>
          <w:rFonts w:ascii="ITC Avant Garde" w:hAnsi="ITC Avant Garde"/>
          <w:color w:val="auto"/>
        </w:rPr>
        <w:t>erior</w:t>
      </w:r>
      <w:r w:rsidR="00057EEB" w:rsidRPr="008D5D65">
        <w:rPr>
          <w:rFonts w:ascii="ITC Avant Garde" w:hAnsi="ITC Avant Garde"/>
          <w:color w:val="auto"/>
        </w:rPr>
        <w:t>, s</w:t>
      </w:r>
      <w:r w:rsidR="00E0217C" w:rsidRPr="008D5D65">
        <w:rPr>
          <w:rFonts w:ascii="ITC Avant Garde" w:hAnsi="ITC Avant Garde"/>
          <w:color w:val="auto"/>
        </w:rPr>
        <w:t>e</w:t>
      </w:r>
      <w:r w:rsidR="00057EEB" w:rsidRPr="008D5D65">
        <w:rPr>
          <w:rFonts w:ascii="ITC Avant Garde" w:hAnsi="ITC Avant Garde"/>
          <w:color w:val="auto"/>
        </w:rPr>
        <w:t xml:space="preserve"> modificó </w:t>
      </w:r>
      <w:r w:rsidR="00E0217C" w:rsidRPr="008D5D65">
        <w:rPr>
          <w:rFonts w:ascii="ITC Avant Garde" w:hAnsi="ITC Avant Garde"/>
          <w:color w:val="auto"/>
        </w:rPr>
        <w:t>la redacción de</w:t>
      </w:r>
      <w:r w:rsidR="00057EEB" w:rsidRPr="008D5D65">
        <w:rPr>
          <w:rFonts w:ascii="ITC Avant Garde" w:hAnsi="ITC Avant Garde"/>
          <w:color w:val="auto"/>
        </w:rPr>
        <w:t xml:space="preserve"> </w:t>
      </w:r>
      <w:r w:rsidR="00E0217C" w:rsidRPr="008D5D65">
        <w:rPr>
          <w:rFonts w:ascii="ITC Avant Garde" w:hAnsi="ITC Avant Garde"/>
          <w:color w:val="auto"/>
        </w:rPr>
        <w:t>l</w:t>
      </w:r>
      <w:r w:rsidR="00057EEB" w:rsidRPr="008D5D65">
        <w:rPr>
          <w:rFonts w:ascii="ITC Avant Garde" w:hAnsi="ITC Avant Garde"/>
          <w:color w:val="auto"/>
        </w:rPr>
        <w:t>os</w:t>
      </w:r>
      <w:r w:rsidR="00E0217C" w:rsidRPr="008D5D65">
        <w:rPr>
          <w:rFonts w:ascii="ITC Avant Garde" w:hAnsi="ITC Avant Garde"/>
          <w:color w:val="auto"/>
        </w:rPr>
        <w:t xml:space="preserve"> numeral</w:t>
      </w:r>
      <w:r w:rsidR="00057EEB" w:rsidRPr="008D5D65">
        <w:rPr>
          <w:rFonts w:ascii="ITC Avant Garde" w:hAnsi="ITC Avant Garde"/>
          <w:color w:val="auto"/>
        </w:rPr>
        <w:t>es señalados</w:t>
      </w:r>
      <w:r w:rsidR="00E0217C" w:rsidRPr="008D5D65">
        <w:rPr>
          <w:rFonts w:ascii="ITC Avant Garde" w:hAnsi="ITC Avant Garde"/>
          <w:color w:val="auto"/>
        </w:rPr>
        <w:t xml:space="preserve">, </w:t>
      </w:r>
      <w:r w:rsidR="00057EEB" w:rsidRPr="008D5D65">
        <w:rPr>
          <w:rFonts w:ascii="ITC Avant Garde" w:hAnsi="ITC Avant Garde"/>
          <w:color w:val="auto"/>
        </w:rPr>
        <w:t>indicando que la vigencia de tarifas es del 1 de enero al 31 de diciembre de 2017.</w:t>
      </w:r>
    </w:p>
    <w:p w14:paraId="5411DA02" w14:textId="77777777" w:rsidR="008641E7" w:rsidRPr="003D1FA8" w:rsidRDefault="008641E7" w:rsidP="006862B8">
      <w:pPr>
        <w:spacing w:line="276" w:lineRule="auto"/>
        <w:ind w:left="0" w:firstLine="0"/>
        <w:rPr>
          <w:rFonts w:ascii="ITC Avant Garde" w:hAnsi="ITC Avant Garde"/>
          <w:color w:val="2E74B5" w:themeColor="accent1" w:themeShade="BF"/>
        </w:rPr>
      </w:pPr>
    </w:p>
    <w:p w14:paraId="141AB9B3" w14:textId="44522252" w:rsidR="002E61A3" w:rsidRPr="00435D92" w:rsidRDefault="007D3019" w:rsidP="007D5396">
      <w:pPr>
        <w:spacing w:line="276" w:lineRule="auto"/>
        <w:ind w:firstLine="0"/>
        <w:rPr>
          <w:rFonts w:ascii="ITC Avant Garde" w:hAnsi="ITC Avant Garde"/>
          <w:b/>
          <w:color w:val="auto"/>
        </w:rPr>
      </w:pPr>
      <w:r w:rsidRPr="003D1FA8">
        <w:rPr>
          <w:rFonts w:ascii="ITC Avant Garde" w:hAnsi="ITC Avant Garde"/>
          <w:b/>
          <w:color w:val="auto"/>
        </w:rPr>
        <w:t xml:space="preserve">MCM, Telefónica y </w:t>
      </w:r>
      <w:r w:rsidR="002E61A3" w:rsidRPr="003D1FA8">
        <w:rPr>
          <w:rFonts w:ascii="ITC Avant Garde" w:hAnsi="ITC Avant Garde"/>
          <w:b/>
          <w:color w:val="auto"/>
        </w:rPr>
        <w:t>CANIETI:</w:t>
      </w:r>
    </w:p>
    <w:p w14:paraId="6052CAF0" w14:textId="77777777" w:rsidR="002E61A3" w:rsidRPr="00435D92" w:rsidRDefault="002E61A3" w:rsidP="007D5396">
      <w:pPr>
        <w:spacing w:line="276" w:lineRule="auto"/>
        <w:ind w:firstLine="0"/>
        <w:rPr>
          <w:rFonts w:ascii="ITC Avant Garde" w:hAnsi="ITC Avant Garde"/>
          <w:b/>
          <w:color w:val="auto"/>
        </w:rPr>
      </w:pPr>
    </w:p>
    <w:p w14:paraId="409E1E28" w14:textId="3D668B40" w:rsidR="002E61A3" w:rsidRPr="00BD5801" w:rsidRDefault="002E61A3" w:rsidP="007D5396">
      <w:pPr>
        <w:spacing w:line="276" w:lineRule="auto"/>
        <w:ind w:firstLine="0"/>
        <w:rPr>
          <w:rFonts w:ascii="ITC Avant Garde" w:hAnsi="ITC Avant Garde"/>
          <w:i/>
          <w:color w:val="auto"/>
        </w:rPr>
      </w:pPr>
      <w:r w:rsidRPr="00BD5801">
        <w:rPr>
          <w:rFonts w:ascii="ITC Avant Garde" w:hAnsi="ITC Avant Garde"/>
          <w:i/>
          <w:color w:val="auto"/>
        </w:rPr>
        <w:t>Respecto a las tarifas de los servicios señalados en el numeral 5.2,</w:t>
      </w:r>
      <w:r w:rsidR="007D3019" w:rsidRPr="00BD5801">
        <w:rPr>
          <w:rFonts w:ascii="ITC Avant Garde" w:hAnsi="ITC Avant Garde"/>
          <w:i/>
          <w:color w:val="auto"/>
        </w:rPr>
        <w:t xml:space="preserve"> 6.2</w:t>
      </w:r>
      <w:r w:rsidR="00D44E2F" w:rsidRPr="00BD5801">
        <w:rPr>
          <w:rFonts w:ascii="ITC Avant Garde" w:hAnsi="ITC Avant Garde"/>
          <w:i/>
          <w:color w:val="auto"/>
        </w:rPr>
        <w:t>,</w:t>
      </w:r>
      <w:r w:rsidR="007D3019" w:rsidRPr="00BD5801">
        <w:rPr>
          <w:rFonts w:ascii="ITC Avant Garde" w:hAnsi="ITC Avant Garde"/>
          <w:i/>
          <w:color w:val="auto"/>
        </w:rPr>
        <w:t xml:space="preserve"> 7.2</w:t>
      </w:r>
      <w:r w:rsidR="00D44E2F" w:rsidRPr="00BD5801">
        <w:rPr>
          <w:rFonts w:ascii="ITC Avant Garde" w:hAnsi="ITC Avant Garde"/>
          <w:i/>
          <w:color w:val="auto"/>
        </w:rPr>
        <w:t xml:space="preserve"> y 9.1.4</w:t>
      </w:r>
      <w:r w:rsidRPr="00BD5801">
        <w:rPr>
          <w:rFonts w:ascii="ITC Avant Garde" w:hAnsi="ITC Avant Garde"/>
          <w:i/>
          <w:color w:val="auto"/>
        </w:rPr>
        <w:t xml:space="preserve"> no resulta procedente su actualización mensual ya que dichos servicios se prestan con una vigencia anual y co</w:t>
      </w:r>
      <w:r w:rsidR="007D3019" w:rsidRPr="00BD5801">
        <w:rPr>
          <w:rFonts w:ascii="ITC Avant Garde" w:hAnsi="ITC Avant Garde"/>
          <w:i/>
          <w:color w:val="auto"/>
        </w:rPr>
        <w:t>n tarifas actualizadas al 2017.</w:t>
      </w:r>
    </w:p>
    <w:p w14:paraId="0C193B7C" w14:textId="77777777" w:rsidR="00A96801" w:rsidRPr="00BD5801" w:rsidRDefault="00A96801" w:rsidP="00BD5801">
      <w:pPr>
        <w:spacing w:line="276" w:lineRule="auto"/>
        <w:ind w:left="0" w:firstLine="0"/>
        <w:rPr>
          <w:rFonts w:ascii="ITC Avant Garde" w:hAnsi="ITC Avant Garde"/>
          <w:b/>
          <w:color w:val="auto"/>
        </w:rPr>
      </w:pPr>
    </w:p>
    <w:p w14:paraId="0346D498" w14:textId="337F3632" w:rsidR="00871AD5" w:rsidRPr="00435D92" w:rsidRDefault="00871AD5" w:rsidP="007D5396">
      <w:pPr>
        <w:spacing w:line="276" w:lineRule="auto"/>
        <w:ind w:firstLine="0"/>
        <w:rPr>
          <w:rFonts w:ascii="ITC Avant Garde" w:hAnsi="ITC Avant Garde"/>
          <w:b/>
          <w:color w:val="auto"/>
        </w:rPr>
      </w:pPr>
      <w:r w:rsidRPr="00BD5801">
        <w:rPr>
          <w:rFonts w:ascii="ITC Avant Garde" w:hAnsi="ITC Avant Garde"/>
          <w:b/>
          <w:color w:val="auto"/>
        </w:rPr>
        <w:t>Telefónica y CANIETI:</w:t>
      </w:r>
    </w:p>
    <w:p w14:paraId="4F56801E" w14:textId="77777777" w:rsidR="00871AD5" w:rsidRPr="00435D92" w:rsidRDefault="00871AD5" w:rsidP="007D5396">
      <w:pPr>
        <w:spacing w:line="276" w:lineRule="auto"/>
        <w:ind w:firstLine="0"/>
        <w:rPr>
          <w:rFonts w:ascii="ITC Avant Garde" w:hAnsi="ITC Avant Garde"/>
          <w:color w:val="auto"/>
        </w:rPr>
      </w:pPr>
    </w:p>
    <w:p w14:paraId="447DE1E2" w14:textId="4B56ADF8" w:rsidR="00871AD5" w:rsidRPr="00435D92" w:rsidRDefault="007D3019" w:rsidP="007D5396">
      <w:pPr>
        <w:spacing w:line="276" w:lineRule="auto"/>
        <w:ind w:firstLine="0"/>
        <w:rPr>
          <w:rFonts w:ascii="ITC Avant Garde" w:hAnsi="ITC Avant Garde"/>
          <w:i/>
          <w:color w:val="auto"/>
        </w:rPr>
      </w:pPr>
      <w:r>
        <w:rPr>
          <w:rFonts w:ascii="ITC Avant Garde" w:hAnsi="ITC Avant Garde"/>
          <w:i/>
          <w:color w:val="auto"/>
        </w:rPr>
        <w:t>En el numeral 7 Servicios de Coubicación, s</w:t>
      </w:r>
      <w:r w:rsidR="00871AD5" w:rsidRPr="00435D92">
        <w:rPr>
          <w:rFonts w:ascii="ITC Avant Garde" w:hAnsi="ITC Avant Garde"/>
          <w:i/>
          <w:color w:val="auto"/>
        </w:rPr>
        <w:t>e debe eliminar el siguiente párrafo:</w:t>
      </w:r>
    </w:p>
    <w:p w14:paraId="2C4F638F" w14:textId="77777777" w:rsidR="00871AD5" w:rsidRPr="00435D92" w:rsidRDefault="00871AD5" w:rsidP="007D5396">
      <w:pPr>
        <w:spacing w:line="276" w:lineRule="auto"/>
        <w:ind w:firstLine="0"/>
        <w:rPr>
          <w:rFonts w:ascii="ITC Avant Garde" w:hAnsi="ITC Avant Garde"/>
          <w:i/>
          <w:color w:val="auto"/>
        </w:rPr>
      </w:pPr>
    </w:p>
    <w:p w14:paraId="7CAB3139" w14:textId="33859EFC" w:rsidR="00871AD5" w:rsidRPr="00A96801" w:rsidRDefault="00871AD5" w:rsidP="00A96801">
      <w:pPr>
        <w:spacing w:line="276" w:lineRule="auto"/>
        <w:ind w:left="567" w:right="616" w:firstLine="0"/>
        <w:rPr>
          <w:rFonts w:ascii="ITC Avant Garde" w:hAnsi="ITC Avant Garde"/>
          <w:i/>
          <w:color w:val="auto"/>
          <w:sz w:val="18"/>
          <w:szCs w:val="18"/>
        </w:rPr>
      </w:pPr>
      <w:r w:rsidRPr="00A96801">
        <w:rPr>
          <w:rFonts w:ascii="ITC Avant Garde" w:hAnsi="ITC Avant Garde"/>
          <w:i/>
          <w:color w:val="auto"/>
          <w:sz w:val="18"/>
          <w:szCs w:val="18"/>
        </w:rPr>
        <w:t xml:space="preserve">“Las cantidades descritas en las tarifas registradas en el presente Anexo, relativas a los servicios No conmutados objeto de la interconexión local, son las aplicables al mes de </w:t>
      </w:r>
      <w:r w:rsidRPr="00A96801">
        <w:rPr>
          <w:rFonts w:ascii="ITC Avant Garde" w:hAnsi="ITC Avant Garde"/>
          <w:i/>
          <w:color w:val="auto"/>
          <w:sz w:val="18"/>
          <w:szCs w:val="18"/>
        </w:rPr>
        <w:lastRenderedPageBreak/>
        <w:t>enero de 1999 por que están expresadas en unidades monetarias de valor constante</w:t>
      </w:r>
      <w:r w:rsidR="00D24D8B" w:rsidRPr="00A96801">
        <w:rPr>
          <w:rFonts w:ascii="ITC Avant Garde" w:hAnsi="ITC Avant Garde"/>
          <w:i/>
          <w:color w:val="auto"/>
          <w:sz w:val="18"/>
          <w:szCs w:val="18"/>
        </w:rPr>
        <w:t xml:space="preserve"> del mes de noviembre de 1998”.</w:t>
      </w:r>
    </w:p>
    <w:p w14:paraId="4E8C5476" w14:textId="77777777" w:rsidR="00871AD5" w:rsidRPr="00435D92" w:rsidRDefault="00871AD5" w:rsidP="007D5396">
      <w:pPr>
        <w:spacing w:line="276" w:lineRule="auto"/>
        <w:ind w:firstLine="0"/>
        <w:rPr>
          <w:rFonts w:ascii="ITC Avant Garde" w:hAnsi="ITC Avant Garde"/>
          <w:color w:val="auto"/>
        </w:rPr>
      </w:pPr>
    </w:p>
    <w:p w14:paraId="78911D56" w14:textId="064E2032" w:rsidR="00871AD5" w:rsidRPr="00893211" w:rsidRDefault="00871AD5" w:rsidP="007D5396">
      <w:pPr>
        <w:spacing w:line="276" w:lineRule="auto"/>
        <w:ind w:firstLine="0"/>
        <w:rPr>
          <w:rFonts w:ascii="ITC Avant Garde" w:hAnsi="ITC Avant Garde"/>
          <w:b/>
          <w:color w:val="auto"/>
        </w:rPr>
      </w:pPr>
      <w:r w:rsidRPr="00893211">
        <w:rPr>
          <w:rFonts w:ascii="ITC Avant Garde" w:hAnsi="ITC Avant Garde"/>
          <w:b/>
          <w:color w:val="auto"/>
        </w:rPr>
        <w:t>Telefónica y CANIETI:</w:t>
      </w:r>
    </w:p>
    <w:p w14:paraId="721F70B6" w14:textId="77777777" w:rsidR="00871AD5" w:rsidRPr="00893211" w:rsidRDefault="00871AD5" w:rsidP="007D5396">
      <w:pPr>
        <w:spacing w:line="276" w:lineRule="auto"/>
        <w:ind w:firstLine="0"/>
        <w:rPr>
          <w:rFonts w:ascii="ITC Avant Garde" w:hAnsi="ITC Avant Garde"/>
          <w:color w:val="auto"/>
        </w:rPr>
      </w:pPr>
    </w:p>
    <w:p w14:paraId="3B33FBB7" w14:textId="05002CC1" w:rsidR="00871AD5" w:rsidRPr="00435D92" w:rsidRDefault="007D3019" w:rsidP="007D5396">
      <w:pPr>
        <w:spacing w:line="276" w:lineRule="auto"/>
        <w:ind w:firstLine="0"/>
        <w:rPr>
          <w:rFonts w:ascii="ITC Avant Garde" w:hAnsi="ITC Avant Garde"/>
          <w:i/>
          <w:color w:val="auto"/>
        </w:rPr>
      </w:pPr>
      <w:r w:rsidRPr="00893211">
        <w:rPr>
          <w:rFonts w:ascii="ITC Avant Garde" w:hAnsi="ITC Avant Garde"/>
          <w:i/>
          <w:color w:val="auto"/>
        </w:rPr>
        <w:t>En el numeral 8, s</w:t>
      </w:r>
      <w:r w:rsidR="00871AD5" w:rsidRPr="00893211">
        <w:rPr>
          <w:rFonts w:ascii="ITC Avant Garde" w:hAnsi="ITC Avant Garde"/>
          <w:i/>
          <w:color w:val="auto"/>
        </w:rPr>
        <w:t>e considera se debe eliminar el tema de actualización de tarifa ya que no resulta procedente, pues se pactarán precios con una vigencia definida, actua</w:t>
      </w:r>
      <w:r w:rsidR="00610396" w:rsidRPr="00893211">
        <w:rPr>
          <w:rFonts w:ascii="ITC Avant Garde" w:hAnsi="ITC Avant Garde"/>
          <w:i/>
          <w:color w:val="auto"/>
        </w:rPr>
        <w:t>lizada y de manera anual.</w:t>
      </w:r>
    </w:p>
    <w:p w14:paraId="5770CE7F" w14:textId="77777777" w:rsidR="00D44E2F" w:rsidRDefault="00D44E2F" w:rsidP="00EF23C2">
      <w:pPr>
        <w:spacing w:line="276" w:lineRule="auto"/>
        <w:ind w:left="0" w:firstLine="0"/>
        <w:rPr>
          <w:rFonts w:ascii="ITC Avant Garde" w:hAnsi="ITC Avant Garde"/>
          <w:color w:val="auto"/>
        </w:rPr>
      </w:pPr>
    </w:p>
    <w:p w14:paraId="1DAED38D" w14:textId="22C67184" w:rsidR="00D44E2F" w:rsidRPr="00B77A50" w:rsidRDefault="00D44E2F" w:rsidP="00A526EB">
      <w:pPr>
        <w:spacing w:line="276" w:lineRule="auto"/>
        <w:ind w:firstLine="0"/>
        <w:rPr>
          <w:rFonts w:ascii="ITC Avant Garde" w:hAnsi="ITC Avant Garde"/>
          <w:color w:val="auto"/>
        </w:rPr>
      </w:pPr>
      <w:r w:rsidRPr="00B77A50">
        <w:rPr>
          <w:rFonts w:ascii="ITC Avant Garde" w:hAnsi="ITC Avant Garde"/>
          <w:color w:val="auto"/>
        </w:rPr>
        <w:t>Respecto a los comentarios anteriores, se señala que si bien los términos</w:t>
      </w:r>
      <w:r w:rsidR="00A10F85" w:rsidRPr="00B77A50">
        <w:rPr>
          <w:rFonts w:ascii="ITC Avant Garde" w:hAnsi="ITC Avant Garde"/>
          <w:color w:val="auto"/>
        </w:rPr>
        <w:t xml:space="preserve"> y condiciones</w:t>
      </w:r>
      <w:r w:rsidRPr="00B77A50">
        <w:rPr>
          <w:rFonts w:ascii="ITC Avant Garde" w:hAnsi="ITC Avant Garde"/>
          <w:color w:val="auto"/>
        </w:rPr>
        <w:t xml:space="preserve"> establecidos en el CMI tienen una vigencia anual, </w:t>
      </w:r>
      <w:r w:rsidR="00A10F85" w:rsidRPr="00B77A50">
        <w:rPr>
          <w:rFonts w:ascii="ITC Avant Garde" w:hAnsi="ITC Avant Garde"/>
          <w:color w:val="auto"/>
        </w:rPr>
        <w:t>dadas las características de los servicios señalados en los puntos 5, 6 y 7, las tarifas que les corresponden deben reflejar el crecimiento continuo y generalizado de los precios de los bienes y servicios</w:t>
      </w:r>
      <w:r w:rsidR="00015EB9" w:rsidRPr="00B77A50">
        <w:rPr>
          <w:rFonts w:ascii="ITC Avant Garde" w:hAnsi="ITC Avant Garde"/>
          <w:color w:val="auto"/>
        </w:rPr>
        <w:t xml:space="preserve"> del mercado mexicano</w:t>
      </w:r>
      <w:r w:rsidR="00A10F85" w:rsidRPr="00B77A50">
        <w:rPr>
          <w:rFonts w:ascii="ITC Avant Garde" w:hAnsi="ITC Avant Garde"/>
          <w:color w:val="auto"/>
        </w:rPr>
        <w:t xml:space="preserve">, </w:t>
      </w:r>
      <w:r w:rsidR="00015EB9" w:rsidRPr="00B77A50">
        <w:rPr>
          <w:rFonts w:ascii="ITC Avant Garde" w:hAnsi="ITC Avant Garde"/>
          <w:color w:val="auto"/>
        </w:rPr>
        <w:t>por l</w:t>
      </w:r>
      <w:r w:rsidR="00A10F85" w:rsidRPr="00B77A50">
        <w:rPr>
          <w:rFonts w:ascii="ITC Avant Garde" w:hAnsi="ITC Avant Garde"/>
          <w:color w:val="auto"/>
        </w:rPr>
        <w:t>o cual</w:t>
      </w:r>
      <w:r w:rsidR="00015EB9" w:rsidRPr="00B77A50">
        <w:rPr>
          <w:rFonts w:ascii="ITC Avant Garde" w:hAnsi="ITC Avant Garde"/>
          <w:color w:val="auto"/>
        </w:rPr>
        <w:t xml:space="preserve"> es utilizado un factor de actualización basado en el Índice Nacional de Precios al Consumidor (INPC). </w:t>
      </w:r>
      <w:r w:rsidR="00563734" w:rsidRPr="00B77A50">
        <w:rPr>
          <w:rFonts w:ascii="ITC Avant Garde" w:hAnsi="ITC Avant Garde"/>
          <w:color w:val="auto"/>
        </w:rPr>
        <w:t xml:space="preserve">Es así que la actualización de las tarifas es necesaria. </w:t>
      </w:r>
    </w:p>
    <w:p w14:paraId="4C88B2F2" w14:textId="77777777" w:rsidR="002E61A3" w:rsidRPr="00435D92" w:rsidRDefault="002E61A3" w:rsidP="007D5396">
      <w:pPr>
        <w:spacing w:line="276" w:lineRule="auto"/>
        <w:ind w:firstLine="0"/>
        <w:rPr>
          <w:rFonts w:ascii="ITC Avant Garde" w:hAnsi="ITC Avant Garde"/>
          <w:i/>
          <w:color w:val="auto"/>
        </w:rPr>
      </w:pPr>
    </w:p>
    <w:p w14:paraId="73C0A67E" w14:textId="1A51755D" w:rsidR="001B0D9E" w:rsidRPr="00B77A50" w:rsidRDefault="001B0D9E" w:rsidP="007D5396">
      <w:pPr>
        <w:spacing w:line="276" w:lineRule="auto"/>
        <w:ind w:firstLine="0"/>
        <w:rPr>
          <w:rFonts w:ascii="ITC Avant Garde" w:hAnsi="ITC Avant Garde"/>
          <w:b/>
          <w:color w:val="auto"/>
        </w:rPr>
      </w:pPr>
      <w:r w:rsidRPr="00B77A50">
        <w:rPr>
          <w:rFonts w:ascii="ITC Avant Garde" w:hAnsi="ITC Avant Garde"/>
          <w:b/>
          <w:color w:val="auto"/>
        </w:rPr>
        <w:t>Telefónica y CANIETI:</w:t>
      </w:r>
    </w:p>
    <w:p w14:paraId="40C02363" w14:textId="77777777" w:rsidR="001B0D9E" w:rsidRPr="00B77A50" w:rsidRDefault="001B0D9E" w:rsidP="007D5396">
      <w:pPr>
        <w:spacing w:line="276" w:lineRule="auto"/>
        <w:ind w:firstLine="0"/>
        <w:rPr>
          <w:rFonts w:ascii="ITC Avant Garde" w:hAnsi="ITC Avant Garde"/>
          <w:b/>
          <w:color w:val="auto"/>
        </w:rPr>
      </w:pPr>
    </w:p>
    <w:p w14:paraId="107F8687" w14:textId="5E171ED8" w:rsidR="00871AD5" w:rsidRDefault="001B0D9E" w:rsidP="007D5396">
      <w:pPr>
        <w:spacing w:line="276" w:lineRule="auto"/>
        <w:ind w:firstLine="0"/>
        <w:rPr>
          <w:rFonts w:ascii="ITC Avant Garde" w:hAnsi="ITC Avant Garde"/>
          <w:i/>
          <w:color w:val="auto"/>
        </w:rPr>
      </w:pPr>
      <w:r w:rsidRPr="00B77A50">
        <w:rPr>
          <w:rFonts w:ascii="ITC Avant Garde" w:hAnsi="ITC Avant Garde"/>
          <w:i/>
          <w:color w:val="auto"/>
        </w:rPr>
        <w:t>El numeral 11 se debe eliminar ya que obliga a las partes a negociar la modificación al anexo B cuando Telmex deje de tener el carácter de Agente económico Preponderante, lo cual no debe establecerse como una obligación contractual en razón de que los efectos que tengan las impugnaciones realizadas por el AEP dependerán de las sentencias correspondientes y no solamente por el hecho de que se establezca contractu</w:t>
      </w:r>
      <w:r w:rsidR="007D3019" w:rsidRPr="00B77A50">
        <w:rPr>
          <w:rFonts w:ascii="ITC Avant Garde" w:hAnsi="ITC Avant Garde"/>
          <w:i/>
          <w:color w:val="auto"/>
        </w:rPr>
        <w:t>almente.</w:t>
      </w:r>
    </w:p>
    <w:p w14:paraId="38DDAA71" w14:textId="77777777" w:rsidR="00871AD5" w:rsidRDefault="00871AD5" w:rsidP="00893211">
      <w:pPr>
        <w:spacing w:after="0" w:line="276" w:lineRule="auto"/>
        <w:ind w:left="0" w:right="49" w:firstLine="0"/>
        <w:rPr>
          <w:rFonts w:ascii="ITC Avant Garde" w:eastAsia="Times New Roman" w:hAnsi="ITC Avant Garde" w:cs="Times New Roman"/>
          <w:color w:val="538135" w:themeColor="accent6" w:themeShade="BF"/>
        </w:rPr>
      </w:pPr>
    </w:p>
    <w:p w14:paraId="1733FBCD" w14:textId="01BD1046" w:rsidR="00B77A50" w:rsidRPr="002F1284" w:rsidRDefault="00B77A50" w:rsidP="00B77A50">
      <w:pPr>
        <w:spacing w:line="276" w:lineRule="auto"/>
        <w:ind w:firstLine="0"/>
        <w:rPr>
          <w:rFonts w:ascii="ITC Avant Garde" w:hAnsi="ITC Avant Garde"/>
          <w:color w:val="auto"/>
        </w:rPr>
      </w:pPr>
      <w:r w:rsidRPr="002F1284">
        <w:rPr>
          <w:rFonts w:ascii="ITC Avant Garde" w:hAnsi="ITC Avant Garde"/>
          <w:color w:val="auto"/>
        </w:rPr>
        <w:t>Al respecto se señala que la determinación de la tarifa de interconexión se deberá sujetar a la legislación aplicable, incluyendo lo establecido en los artículos 129, 131 y 137 de la LFTyR.</w:t>
      </w:r>
    </w:p>
    <w:p w14:paraId="232F7637" w14:textId="77777777" w:rsidR="00DD4633" w:rsidRPr="00292DCA" w:rsidRDefault="00DD4633" w:rsidP="0030545A">
      <w:pPr>
        <w:spacing w:line="276" w:lineRule="auto"/>
        <w:ind w:firstLine="0"/>
        <w:rPr>
          <w:rFonts w:ascii="ITC Avant Garde" w:eastAsia="Times New Roman" w:hAnsi="ITC Avant Garde" w:cs="Times New Roman"/>
          <w:color w:val="538135" w:themeColor="accent6" w:themeShade="BF"/>
        </w:rPr>
      </w:pPr>
    </w:p>
    <w:p w14:paraId="34474FE6" w14:textId="14729F42" w:rsidR="007D3019" w:rsidRPr="007D3019" w:rsidRDefault="007D3019" w:rsidP="007D5396">
      <w:pPr>
        <w:spacing w:line="276" w:lineRule="auto"/>
        <w:ind w:firstLine="0"/>
        <w:jc w:val="left"/>
        <w:rPr>
          <w:rFonts w:ascii="ITC Avant Garde" w:hAnsi="ITC Avant Garde"/>
          <w:b/>
          <w:color w:val="auto"/>
          <w:u w:val="single"/>
        </w:rPr>
      </w:pPr>
      <w:r w:rsidRPr="007D3019">
        <w:rPr>
          <w:rFonts w:ascii="ITC Avant Garde" w:hAnsi="ITC Avant Garde"/>
          <w:b/>
          <w:color w:val="auto"/>
          <w:u w:val="single"/>
        </w:rPr>
        <w:t>Comentario</w:t>
      </w:r>
      <w:r>
        <w:rPr>
          <w:rFonts w:ascii="ITC Avant Garde" w:hAnsi="ITC Avant Garde"/>
          <w:b/>
          <w:color w:val="auto"/>
          <w:u w:val="single"/>
        </w:rPr>
        <w:t>s</w:t>
      </w:r>
      <w:r w:rsidRPr="007D3019">
        <w:rPr>
          <w:rFonts w:ascii="ITC Avant Garde" w:hAnsi="ITC Avant Garde"/>
          <w:b/>
          <w:color w:val="auto"/>
          <w:u w:val="single"/>
        </w:rPr>
        <w:t xml:space="preserve"> emitido</w:t>
      </w:r>
      <w:r>
        <w:rPr>
          <w:rFonts w:ascii="ITC Avant Garde" w:hAnsi="ITC Avant Garde"/>
          <w:b/>
          <w:color w:val="auto"/>
          <w:u w:val="single"/>
        </w:rPr>
        <w:t>s</w:t>
      </w:r>
      <w:r w:rsidRPr="007D3019">
        <w:rPr>
          <w:rFonts w:ascii="ITC Avant Garde" w:hAnsi="ITC Avant Garde"/>
          <w:b/>
          <w:color w:val="auto"/>
          <w:u w:val="single"/>
        </w:rPr>
        <w:t xml:space="preserve"> al </w:t>
      </w:r>
      <w:r w:rsidR="004D4214">
        <w:rPr>
          <w:rFonts w:ascii="ITC Avant Garde" w:hAnsi="ITC Avant Garde"/>
          <w:b/>
          <w:color w:val="auto"/>
          <w:u w:val="single"/>
        </w:rPr>
        <w:t>ANEXO D FORMATOS DE FACTURACIÓN</w:t>
      </w:r>
      <w:r w:rsidR="000F3283">
        <w:rPr>
          <w:rFonts w:ascii="ITC Avant Garde" w:hAnsi="ITC Avant Garde"/>
          <w:b/>
          <w:color w:val="auto"/>
          <w:u w:val="single"/>
        </w:rPr>
        <w:t xml:space="preserve"> </w:t>
      </w:r>
    </w:p>
    <w:p w14:paraId="20A1F569" w14:textId="77FC631C" w:rsidR="00BF7E27" w:rsidRDefault="00BF7E27" w:rsidP="007D5396">
      <w:pPr>
        <w:tabs>
          <w:tab w:val="left" w:pos="1050"/>
        </w:tabs>
        <w:spacing w:after="0" w:line="276" w:lineRule="auto"/>
        <w:ind w:left="0" w:right="49" w:firstLine="0"/>
        <w:rPr>
          <w:rFonts w:ascii="ITC Avant Garde" w:eastAsia="Times New Roman" w:hAnsi="ITC Avant Garde" w:cs="Times New Roman"/>
          <w:i/>
          <w:color w:val="auto"/>
        </w:rPr>
      </w:pPr>
    </w:p>
    <w:p w14:paraId="1DE8AD1F" w14:textId="76212523" w:rsidR="003B7045" w:rsidRPr="00B56D15" w:rsidRDefault="003B7045" w:rsidP="007D5396">
      <w:pPr>
        <w:spacing w:after="0" w:line="276" w:lineRule="auto"/>
        <w:ind w:left="-5" w:right="49" w:firstLine="0"/>
        <w:rPr>
          <w:rFonts w:ascii="ITC Avant Garde" w:hAnsi="ITC Avant Garde"/>
          <w:b/>
          <w:color w:val="auto"/>
        </w:rPr>
      </w:pPr>
      <w:r w:rsidRPr="009E1E06">
        <w:rPr>
          <w:rFonts w:ascii="ITC Avant Garde" w:hAnsi="ITC Avant Garde"/>
          <w:b/>
          <w:color w:val="auto"/>
        </w:rPr>
        <w:t>AT&amp;T:</w:t>
      </w:r>
    </w:p>
    <w:p w14:paraId="70E14A53" w14:textId="77777777" w:rsidR="00734C32" w:rsidRPr="00B56D15" w:rsidRDefault="00734C32" w:rsidP="007D5396">
      <w:pPr>
        <w:spacing w:after="0" w:line="276" w:lineRule="auto"/>
        <w:ind w:left="-5" w:right="49" w:firstLine="0"/>
        <w:rPr>
          <w:rFonts w:ascii="ITC Avant Garde" w:hAnsi="ITC Avant Garde"/>
          <w:b/>
          <w:color w:val="auto"/>
        </w:rPr>
      </w:pPr>
    </w:p>
    <w:p w14:paraId="76184D66" w14:textId="1E12EADB" w:rsidR="00914ACD" w:rsidRPr="00B56D15" w:rsidRDefault="004D4214" w:rsidP="007D5396">
      <w:pPr>
        <w:spacing w:after="0" w:line="276" w:lineRule="auto"/>
        <w:ind w:left="0"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M</w:t>
      </w:r>
      <w:r w:rsidR="00D9189B" w:rsidRPr="00B56D15">
        <w:rPr>
          <w:rFonts w:ascii="ITC Avant Garde" w:eastAsia="Times New Roman" w:hAnsi="ITC Avant Garde" w:cs="Times New Roman"/>
          <w:i/>
          <w:color w:val="auto"/>
        </w:rPr>
        <w:t>antener los formatos y la desagregación que se mencionan en la CMI 2016 y el detalle de la facturación por serie origen o destino para cada caso de tráfico</w:t>
      </w:r>
      <w:r>
        <w:rPr>
          <w:rFonts w:ascii="ITC Avant Garde" w:eastAsia="Times New Roman" w:hAnsi="ITC Avant Garde" w:cs="Times New Roman"/>
          <w:i/>
          <w:color w:val="auto"/>
        </w:rPr>
        <w:t>.</w:t>
      </w:r>
    </w:p>
    <w:p w14:paraId="413B1117" w14:textId="77777777" w:rsidR="00914ACD" w:rsidRPr="00E634EB" w:rsidRDefault="00914ACD" w:rsidP="007D5396">
      <w:pPr>
        <w:spacing w:after="0" w:line="276" w:lineRule="auto"/>
        <w:ind w:left="0" w:right="49" w:firstLine="0"/>
        <w:rPr>
          <w:rFonts w:ascii="ITC Avant Garde" w:eastAsia="Times New Roman" w:hAnsi="ITC Avant Garde" w:cs="Times New Roman"/>
          <w:i/>
          <w:color w:val="auto"/>
        </w:rPr>
      </w:pPr>
    </w:p>
    <w:p w14:paraId="61D6BE59" w14:textId="2CDD4B73" w:rsidR="009E1E06" w:rsidRPr="00E634EB" w:rsidRDefault="009E1E06" w:rsidP="007D5396">
      <w:pPr>
        <w:spacing w:line="276" w:lineRule="auto"/>
        <w:ind w:firstLine="0"/>
        <w:rPr>
          <w:rFonts w:ascii="ITC Avant Garde" w:hAnsi="ITC Avant Garde"/>
          <w:color w:val="auto"/>
        </w:rPr>
      </w:pPr>
      <w:r w:rsidRPr="00E634EB">
        <w:rPr>
          <w:rFonts w:ascii="ITC Avant Garde" w:hAnsi="ITC Avant Garde"/>
          <w:color w:val="auto"/>
        </w:rPr>
        <w:t xml:space="preserve">Al respecto, se señala que el Anexo D otorga certeza a los CS sobre el formato de conciliación de </w:t>
      </w:r>
      <w:r w:rsidR="004D4214" w:rsidRPr="00E634EB">
        <w:rPr>
          <w:rFonts w:ascii="ITC Avant Garde" w:hAnsi="ITC Avant Garde"/>
          <w:color w:val="auto"/>
        </w:rPr>
        <w:t>facturas,</w:t>
      </w:r>
      <w:r w:rsidRPr="00E634EB">
        <w:rPr>
          <w:rFonts w:ascii="ITC Avant Garde" w:hAnsi="ITC Avant Garde"/>
          <w:color w:val="auto"/>
        </w:rPr>
        <w:t xml:space="preserve"> así como sobre los campos que conforman la factura</w:t>
      </w:r>
      <w:r w:rsidR="003D1FA8" w:rsidRPr="00E634EB">
        <w:rPr>
          <w:rFonts w:ascii="ITC Avant Garde" w:hAnsi="ITC Avant Garde"/>
          <w:color w:val="auto"/>
        </w:rPr>
        <w:t xml:space="preserve"> y el significado de los mismos</w:t>
      </w:r>
      <w:r w:rsidRPr="00E634EB">
        <w:rPr>
          <w:rFonts w:ascii="ITC Avant Garde" w:hAnsi="ITC Avant Garde"/>
          <w:color w:val="auto"/>
        </w:rPr>
        <w:t>.</w:t>
      </w:r>
    </w:p>
    <w:p w14:paraId="26DE7728" w14:textId="3F8E0D60" w:rsidR="004D4214" w:rsidRDefault="004D4214" w:rsidP="007D5396">
      <w:pPr>
        <w:spacing w:after="0" w:line="276" w:lineRule="auto"/>
        <w:ind w:left="0" w:right="49" w:firstLine="0"/>
        <w:rPr>
          <w:rFonts w:ascii="ITC Avant Garde" w:eastAsia="Times New Roman" w:hAnsi="ITC Avant Garde" w:cs="Times New Roman"/>
          <w:i/>
          <w:color w:val="auto"/>
        </w:rPr>
      </w:pPr>
    </w:p>
    <w:p w14:paraId="798ECE35" w14:textId="0C545356" w:rsidR="004D4214" w:rsidRPr="007D3019" w:rsidRDefault="004D4214" w:rsidP="007D5396">
      <w:pPr>
        <w:spacing w:line="276" w:lineRule="auto"/>
        <w:ind w:firstLine="0"/>
        <w:rPr>
          <w:rFonts w:ascii="ITC Avant Garde" w:hAnsi="ITC Avant Garde"/>
          <w:b/>
          <w:color w:val="auto"/>
          <w:u w:val="single"/>
        </w:rPr>
      </w:pPr>
      <w:r w:rsidRPr="007D3019">
        <w:rPr>
          <w:rFonts w:ascii="ITC Avant Garde" w:hAnsi="ITC Avant Garde"/>
          <w:b/>
          <w:color w:val="auto"/>
          <w:u w:val="single"/>
        </w:rPr>
        <w:lastRenderedPageBreak/>
        <w:t>Comentario</w:t>
      </w:r>
      <w:r>
        <w:rPr>
          <w:rFonts w:ascii="ITC Avant Garde" w:hAnsi="ITC Avant Garde"/>
          <w:b/>
          <w:color w:val="auto"/>
          <w:u w:val="single"/>
        </w:rPr>
        <w:t>s</w:t>
      </w:r>
      <w:r w:rsidRPr="007D3019">
        <w:rPr>
          <w:rFonts w:ascii="ITC Avant Garde" w:hAnsi="ITC Avant Garde"/>
          <w:b/>
          <w:color w:val="auto"/>
          <w:u w:val="single"/>
        </w:rPr>
        <w:t xml:space="preserve"> emitido</w:t>
      </w:r>
      <w:r>
        <w:rPr>
          <w:rFonts w:ascii="ITC Avant Garde" w:hAnsi="ITC Avant Garde"/>
          <w:b/>
          <w:color w:val="auto"/>
          <w:u w:val="single"/>
        </w:rPr>
        <w:t>s</w:t>
      </w:r>
      <w:r w:rsidRPr="007D3019">
        <w:rPr>
          <w:rFonts w:ascii="ITC Avant Garde" w:hAnsi="ITC Avant Garde"/>
          <w:b/>
          <w:color w:val="auto"/>
          <w:u w:val="single"/>
        </w:rPr>
        <w:t xml:space="preserve"> al </w:t>
      </w:r>
      <w:r>
        <w:rPr>
          <w:rFonts w:ascii="ITC Avant Garde" w:hAnsi="ITC Avant Garde"/>
          <w:b/>
          <w:color w:val="auto"/>
          <w:u w:val="single"/>
        </w:rPr>
        <w:t>ANEXO E CALIDAD</w:t>
      </w:r>
      <w:r w:rsidR="000F3283">
        <w:rPr>
          <w:rFonts w:ascii="ITC Avant Garde" w:hAnsi="ITC Avant Garde"/>
          <w:b/>
          <w:color w:val="auto"/>
          <w:u w:val="single"/>
        </w:rPr>
        <w:t xml:space="preserve"> </w:t>
      </w:r>
    </w:p>
    <w:p w14:paraId="434A510D" w14:textId="77777777" w:rsidR="004D4214" w:rsidRDefault="004D4214" w:rsidP="007D5396">
      <w:pPr>
        <w:spacing w:after="0" w:line="276" w:lineRule="auto"/>
        <w:ind w:left="-5" w:right="49" w:firstLine="0"/>
        <w:rPr>
          <w:rFonts w:ascii="ITC Avant Garde" w:hAnsi="ITC Avant Garde"/>
          <w:b/>
          <w:color w:val="auto"/>
          <w:highlight w:val="yellow"/>
        </w:rPr>
      </w:pPr>
    </w:p>
    <w:p w14:paraId="1ED63488" w14:textId="77777777" w:rsidR="003260DF" w:rsidRPr="00602665" w:rsidRDefault="003260DF" w:rsidP="007D5396">
      <w:pPr>
        <w:spacing w:line="276" w:lineRule="auto"/>
        <w:ind w:firstLine="0"/>
        <w:rPr>
          <w:rFonts w:ascii="ITC Avant Garde" w:hAnsi="ITC Avant Garde"/>
          <w:b/>
          <w:color w:val="auto"/>
        </w:rPr>
      </w:pPr>
      <w:r w:rsidRPr="00602665">
        <w:rPr>
          <w:rFonts w:ascii="ITC Avant Garde" w:hAnsi="ITC Avant Garde"/>
          <w:b/>
          <w:color w:val="auto"/>
        </w:rPr>
        <w:t>Axtel y Alestra:</w:t>
      </w:r>
    </w:p>
    <w:p w14:paraId="1AAA12A9" w14:textId="77777777" w:rsidR="003260DF" w:rsidRPr="00602665" w:rsidRDefault="003260DF" w:rsidP="007D5396">
      <w:pPr>
        <w:spacing w:line="276" w:lineRule="auto"/>
        <w:ind w:firstLine="0"/>
        <w:rPr>
          <w:rFonts w:ascii="ITC Avant Garde" w:hAnsi="ITC Avant Garde"/>
          <w:color w:val="auto"/>
        </w:rPr>
      </w:pPr>
    </w:p>
    <w:p w14:paraId="099A9B4A" w14:textId="77777777" w:rsidR="003260DF" w:rsidRDefault="003260DF" w:rsidP="007D5396">
      <w:pPr>
        <w:spacing w:line="276" w:lineRule="auto"/>
        <w:ind w:firstLine="0"/>
        <w:rPr>
          <w:rFonts w:ascii="ITC Avant Garde" w:hAnsi="ITC Avant Garde"/>
          <w:i/>
          <w:color w:val="auto"/>
        </w:rPr>
      </w:pPr>
      <w:r>
        <w:rPr>
          <w:rFonts w:ascii="ITC Avant Garde" w:hAnsi="ITC Avant Garde"/>
          <w:i/>
          <w:color w:val="auto"/>
        </w:rPr>
        <w:t xml:space="preserve">Respecto al numeral 1 Suministro de Servicios, </w:t>
      </w:r>
      <w:r w:rsidRPr="00602665">
        <w:rPr>
          <w:rFonts w:ascii="ITC Avant Garde" w:hAnsi="ITC Avant Garde"/>
          <w:i/>
          <w:color w:val="auto"/>
        </w:rPr>
        <w:t xml:space="preserve">El uso indebido de claves de acceso al sistema SEG puede derivar en pérdida o robo de información confidencial. </w:t>
      </w:r>
      <w:r>
        <w:rPr>
          <w:rFonts w:ascii="ITC Avant Garde" w:hAnsi="ITC Avant Garde"/>
          <w:i/>
          <w:color w:val="auto"/>
        </w:rPr>
        <w:t>Se propone</w:t>
      </w:r>
      <w:r w:rsidRPr="00602665">
        <w:rPr>
          <w:rFonts w:ascii="ITC Avant Garde" w:hAnsi="ITC Avant Garde"/>
          <w:i/>
          <w:color w:val="auto"/>
        </w:rPr>
        <w:t xml:space="preserve"> contemplar que los concesionarios solicitantes puedan cambiar a las claves de acceso del sistema SEG c</w:t>
      </w:r>
      <w:r>
        <w:rPr>
          <w:rFonts w:ascii="ITC Avant Garde" w:hAnsi="ITC Avant Garde"/>
          <w:i/>
          <w:color w:val="auto"/>
        </w:rPr>
        <w:t>on la frecuencia que requieran.</w:t>
      </w:r>
    </w:p>
    <w:p w14:paraId="182B21D3" w14:textId="77777777" w:rsidR="003D1FA8" w:rsidRDefault="003D1FA8" w:rsidP="007D5396">
      <w:pPr>
        <w:spacing w:line="276" w:lineRule="auto"/>
        <w:ind w:firstLine="0"/>
        <w:rPr>
          <w:rFonts w:ascii="ITC Avant Garde" w:hAnsi="ITC Avant Garde"/>
          <w:i/>
          <w:color w:val="auto"/>
        </w:rPr>
      </w:pPr>
    </w:p>
    <w:p w14:paraId="7E74B7F3" w14:textId="77777777" w:rsidR="003D1FA8" w:rsidRPr="004E2586" w:rsidRDefault="003D1FA8" w:rsidP="003D1FA8">
      <w:pPr>
        <w:spacing w:line="276" w:lineRule="auto"/>
        <w:ind w:firstLine="0"/>
        <w:rPr>
          <w:rFonts w:ascii="ITC Avant Garde" w:hAnsi="ITC Avant Garde"/>
          <w:b/>
          <w:color w:val="auto"/>
        </w:rPr>
      </w:pPr>
      <w:r w:rsidRPr="004E2586">
        <w:rPr>
          <w:rFonts w:ascii="ITC Avant Garde" w:hAnsi="ITC Avant Garde"/>
          <w:b/>
          <w:color w:val="auto"/>
        </w:rPr>
        <w:t>Axtel y Alestra:</w:t>
      </w:r>
    </w:p>
    <w:p w14:paraId="5EC1E7E0" w14:textId="77777777" w:rsidR="003D1FA8" w:rsidRPr="004E2586" w:rsidRDefault="003D1FA8" w:rsidP="003D1FA8">
      <w:pPr>
        <w:spacing w:line="276" w:lineRule="auto"/>
        <w:ind w:firstLine="0"/>
        <w:rPr>
          <w:rFonts w:ascii="ITC Avant Garde" w:hAnsi="ITC Avant Garde"/>
          <w:color w:val="auto"/>
        </w:rPr>
      </w:pPr>
    </w:p>
    <w:p w14:paraId="4FE96D4B" w14:textId="77777777" w:rsidR="003D1FA8" w:rsidRPr="004E2586" w:rsidRDefault="003D1FA8" w:rsidP="003D1FA8">
      <w:pPr>
        <w:spacing w:line="276" w:lineRule="auto"/>
        <w:ind w:firstLine="0"/>
        <w:rPr>
          <w:rFonts w:ascii="ITC Avant Garde" w:hAnsi="ITC Avant Garde"/>
          <w:i/>
          <w:color w:val="auto"/>
        </w:rPr>
      </w:pPr>
      <w:r>
        <w:rPr>
          <w:rFonts w:ascii="ITC Avant Garde" w:hAnsi="ITC Avant Garde"/>
          <w:i/>
          <w:color w:val="auto"/>
        </w:rPr>
        <w:t>Respecto al numeral 3.1, se propone q</w:t>
      </w:r>
      <w:r w:rsidRPr="004E2586">
        <w:rPr>
          <w:rFonts w:ascii="ITC Avant Garde" w:hAnsi="ITC Avant Garde"/>
          <w:i/>
          <w:color w:val="auto"/>
        </w:rPr>
        <w:t>ue el sistema SEG cuente con un apartado actualizado del proceso de escalación, y que el proceso se pueda ingresar y dar segui</w:t>
      </w:r>
      <w:r>
        <w:rPr>
          <w:rFonts w:ascii="ITC Avant Garde" w:hAnsi="ITC Avant Garde"/>
          <w:i/>
          <w:color w:val="auto"/>
        </w:rPr>
        <w:t>miento desde la plataforma SEG.</w:t>
      </w:r>
    </w:p>
    <w:p w14:paraId="0B441AB6" w14:textId="77777777" w:rsidR="003260DF" w:rsidRPr="00E634EB" w:rsidRDefault="003260DF" w:rsidP="003D1FA8">
      <w:pPr>
        <w:spacing w:line="276" w:lineRule="auto"/>
        <w:ind w:left="0" w:firstLine="0"/>
        <w:rPr>
          <w:rFonts w:ascii="ITC Avant Garde" w:hAnsi="ITC Avant Garde"/>
          <w:i/>
          <w:color w:val="auto"/>
        </w:rPr>
      </w:pPr>
    </w:p>
    <w:p w14:paraId="4EC16DC4" w14:textId="4EFAB71C" w:rsidR="003260DF" w:rsidRPr="00E634EB" w:rsidRDefault="003260DF" w:rsidP="007D5396">
      <w:pPr>
        <w:spacing w:line="276" w:lineRule="auto"/>
        <w:ind w:firstLine="0"/>
        <w:rPr>
          <w:rFonts w:ascii="ITC Avant Garde" w:hAnsi="ITC Avant Garde"/>
          <w:color w:val="auto"/>
        </w:rPr>
      </w:pPr>
      <w:r w:rsidRPr="00E634EB">
        <w:rPr>
          <w:rFonts w:ascii="ITC Avant Garde" w:hAnsi="ITC Avant Garde"/>
          <w:color w:val="auto"/>
        </w:rPr>
        <w:t>Al respecto, se señala que el comentario versa sobre las características funcionales del Sistema Electrónico de Gestión</w:t>
      </w:r>
      <w:r w:rsidR="002D6486" w:rsidRPr="00E634EB">
        <w:rPr>
          <w:rFonts w:ascii="ITC Avant Garde" w:hAnsi="ITC Avant Garde"/>
          <w:color w:val="auto"/>
        </w:rPr>
        <w:t xml:space="preserve"> (en lo sucesivo, “SEG”)</w:t>
      </w:r>
      <w:r w:rsidRPr="00E634EB">
        <w:rPr>
          <w:rFonts w:ascii="ITC Avant Garde" w:hAnsi="ITC Avant Garde"/>
          <w:color w:val="auto"/>
        </w:rPr>
        <w:t xml:space="preserve">, no sobre el contenido del </w:t>
      </w:r>
      <w:r w:rsidR="00F82023" w:rsidRPr="00E634EB">
        <w:rPr>
          <w:rFonts w:ascii="ITC Avant Garde" w:hAnsi="ITC Avant Garde"/>
          <w:color w:val="auto"/>
        </w:rPr>
        <w:t>CMI</w:t>
      </w:r>
      <w:r w:rsidRPr="00E634EB">
        <w:rPr>
          <w:rFonts w:ascii="ITC Avant Garde" w:hAnsi="ITC Avant Garde"/>
          <w:color w:val="auto"/>
        </w:rPr>
        <w:t>, por lo que no se encuentra dentro del alcance de</w:t>
      </w:r>
      <w:r w:rsidR="003D1FA8" w:rsidRPr="00E634EB">
        <w:rPr>
          <w:rFonts w:ascii="ITC Avant Garde" w:hAnsi="ITC Avant Garde"/>
          <w:color w:val="auto"/>
        </w:rPr>
        <w:t>l documento sometido a</w:t>
      </w:r>
      <w:r w:rsidRPr="00E634EB">
        <w:rPr>
          <w:rFonts w:ascii="ITC Avant Garde" w:hAnsi="ITC Avant Garde"/>
          <w:color w:val="auto"/>
        </w:rPr>
        <w:t xml:space="preserve"> consulta</w:t>
      </w:r>
      <w:r w:rsidR="003D1FA8" w:rsidRPr="00E634EB">
        <w:rPr>
          <w:rFonts w:ascii="ITC Avant Garde" w:hAnsi="ITC Avant Garde"/>
          <w:color w:val="auto"/>
        </w:rPr>
        <w:t xml:space="preserve"> pública</w:t>
      </w:r>
      <w:r w:rsidRPr="00E634EB">
        <w:rPr>
          <w:rFonts w:ascii="ITC Avant Garde" w:hAnsi="ITC Avant Garde"/>
          <w:color w:val="auto"/>
        </w:rPr>
        <w:t>.</w:t>
      </w:r>
    </w:p>
    <w:p w14:paraId="70E51151" w14:textId="77777777" w:rsidR="003260DF" w:rsidRDefault="003260DF" w:rsidP="007D5396">
      <w:pPr>
        <w:spacing w:after="0" w:line="276" w:lineRule="auto"/>
        <w:ind w:left="-5" w:right="49" w:firstLine="0"/>
        <w:rPr>
          <w:rFonts w:ascii="ITC Avant Garde" w:hAnsi="ITC Avant Garde"/>
          <w:b/>
          <w:color w:val="auto"/>
        </w:rPr>
      </w:pPr>
    </w:p>
    <w:p w14:paraId="52955B0F" w14:textId="6A58EF66" w:rsidR="00767F7A" w:rsidRPr="00B56D15" w:rsidRDefault="00767F7A" w:rsidP="007D5396">
      <w:pPr>
        <w:spacing w:after="0" w:line="276" w:lineRule="auto"/>
        <w:ind w:left="-5" w:right="49" w:firstLine="0"/>
        <w:rPr>
          <w:rFonts w:ascii="ITC Avant Garde" w:hAnsi="ITC Avant Garde"/>
          <w:b/>
          <w:color w:val="auto"/>
        </w:rPr>
      </w:pPr>
      <w:r w:rsidRPr="004D4214">
        <w:rPr>
          <w:rFonts w:ascii="ITC Avant Garde" w:hAnsi="ITC Avant Garde"/>
          <w:b/>
          <w:color w:val="auto"/>
        </w:rPr>
        <w:t>Grupo Televisa:</w:t>
      </w:r>
    </w:p>
    <w:p w14:paraId="436CF7F0" w14:textId="77777777" w:rsidR="004D4214" w:rsidRDefault="004D4214" w:rsidP="007D5396">
      <w:pPr>
        <w:spacing w:after="0" w:line="276" w:lineRule="auto"/>
        <w:ind w:left="0" w:right="49" w:firstLine="0"/>
        <w:rPr>
          <w:rFonts w:ascii="ITC Avant Garde" w:hAnsi="ITC Avant Garde" w:cs="Times New Roman"/>
          <w:i/>
          <w:color w:val="auto"/>
        </w:rPr>
      </w:pPr>
    </w:p>
    <w:p w14:paraId="299834CF" w14:textId="60468928" w:rsidR="00767F7A" w:rsidRPr="00B56D15" w:rsidRDefault="004D4214" w:rsidP="007D5396">
      <w:pPr>
        <w:spacing w:after="0" w:line="276" w:lineRule="auto"/>
        <w:ind w:left="0" w:right="49" w:firstLine="0"/>
        <w:rPr>
          <w:rFonts w:ascii="ITC Avant Garde" w:hAnsi="ITC Avant Garde" w:cs="Times New Roman"/>
          <w:i/>
          <w:color w:val="auto"/>
        </w:rPr>
      </w:pPr>
      <w:r w:rsidRPr="00335F0E">
        <w:rPr>
          <w:rFonts w:ascii="ITC Avant Garde" w:hAnsi="ITC Avant Garde" w:cs="Times New Roman"/>
          <w:i/>
          <w:color w:val="auto"/>
        </w:rPr>
        <w:t>Respecto al numeral 1.1, s</w:t>
      </w:r>
      <w:r w:rsidR="00767F7A" w:rsidRPr="00335F0E">
        <w:rPr>
          <w:rFonts w:ascii="ITC Avant Garde" w:hAnsi="ITC Avant Garde" w:cs="Times New Roman"/>
          <w:i/>
          <w:color w:val="auto"/>
        </w:rPr>
        <w:t>e solicita el establecimiento de penalidades para los servicios prestados en los que sean relevantes. Entre otros, estas penalidades irían asociadas a los tiempos de entrega de los servicios de enlaces de interconexión (locales o de otro tipo), puertos de interconexión, instalación en coubicación, etc.</w:t>
      </w:r>
      <w:r w:rsidRPr="00335F0E">
        <w:rPr>
          <w:rFonts w:ascii="ITC Avant Garde" w:hAnsi="ITC Avant Garde" w:cs="Times New Roman"/>
          <w:i/>
          <w:color w:val="auto"/>
        </w:rPr>
        <w:t xml:space="preserve"> </w:t>
      </w:r>
      <w:r w:rsidR="00767F7A" w:rsidRPr="00335F0E">
        <w:rPr>
          <w:rFonts w:ascii="ITC Avant Garde" w:hAnsi="ITC Avant Garde" w:cs="Times New Roman"/>
          <w:i/>
          <w:color w:val="auto"/>
        </w:rPr>
        <w:t>En particular, para los servicios de enlaces dedicados se solicita adoptar la recomendación de “la declaratoria de poder sustancial” en cuanto a penalidades.</w:t>
      </w:r>
    </w:p>
    <w:p w14:paraId="4F2EA66A" w14:textId="77777777" w:rsidR="00767F7A" w:rsidRPr="00B56D15" w:rsidRDefault="00767F7A" w:rsidP="007D5396">
      <w:pPr>
        <w:spacing w:after="0" w:line="276" w:lineRule="auto"/>
        <w:ind w:left="0" w:right="49" w:firstLine="0"/>
        <w:rPr>
          <w:rFonts w:ascii="ITC Avant Garde" w:hAnsi="ITC Avant Garde" w:cs="Times New Roman"/>
          <w:i/>
          <w:color w:val="auto"/>
        </w:rPr>
      </w:pPr>
    </w:p>
    <w:p w14:paraId="4BB319B5" w14:textId="64F56E84" w:rsidR="00767F7A" w:rsidRDefault="00767F7A" w:rsidP="007D5396">
      <w:pPr>
        <w:spacing w:after="0" w:line="276" w:lineRule="auto"/>
        <w:ind w:left="0" w:right="49" w:firstLine="0"/>
        <w:rPr>
          <w:rFonts w:ascii="ITC Avant Garde" w:hAnsi="ITC Avant Garde" w:cs="Times New Roman"/>
          <w:i/>
          <w:color w:val="auto"/>
        </w:rPr>
      </w:pPr>
      <w:r w:rsidRPr="00B56D15">
        <w:rPr>
          <w:rFonts w:ascii="ITC Avant Garde" w:hAnsi="ITC Avant Garde" w:cs="Times New Roman"/>
          <w:i/>
          <w:color w:val="auto"/>
        </w:rPr>
        <w:t>Adicionalmente, se solicita la inclusión de lo explicitado en la página 99, Anexo E, 4.1 de la Declaratoria de Poder Sustancial en e</w:t>
      </w:r>
      <w:r w:rsidR="004D4214">
        <w:rPr>
          <w:rFonts w:ascii="ITC Avant Garde" w:hAnsi="ITC Avant Garde" w:cs="Times New Roman"/>
          <w:i/>
          <w:color w:val="auto"/>
        </w:rPr>
        <w:t>l mercado de enlaces dedicados.</w:t>
      </w:r>
    </w:p>
    <w:p w14:paraId="5915DC9A" w14:textId="77777777" w:rsidR="00076DA6" w:rsidRDefault="00076DA6" w:rsidP="007D5396">
      <w:pPr>
        <w:spacing w:after="0" w:line="276" w:lineRule="auto"/>
        <w:ind w:left="0" w:right="49" w:firstLine="0"/>
        <w:rPr>
          <w:rFonts w:ascii="ITC Avant Garde" w:hAnsi="ITC Avant Garde" w:cs="Times New Roman"/>
          <w:i/>
          <w:color w:val="auto"/>
        </w:rPr>
      </w:pPr>
    </w:p>
    <w:p w14:paraId="0E31AC30" w14:textId="7C35ED66" w:rsidR="00BE3706" w:rsidRPr="00B56D15" w:rsidRDefault="004D4214" w:rsidP="007D5396">
      <w:pPr>
        <w:spacing w:after="0" w:line="276" w:lineRule="auto"/>
        <w:ind w:left="-5" w:right="49" w:firstLine="0"/>
        <w:rPr>
          <w:rFonts w:ascii="ITC Avant Garde" w:hAnsi="ITC Avant Garde"/>
          <w:b/>
          <w:color w:val="auto"/>
        </w:rPr>
      </w:pPr>
      <w:r>
        <w:rPr>
          <w:rFonts w:ascii="ITC Avant Garde" w:hAnsi="ITC Avant Garde"/>
          <w:b/>
          <w:color w:val="auto"/>
        </w:rPr>
        <w:t>G</w:t>
      </w:r>
      <w:r w:rsidR="00BE3706" w:rsidRPr="00B56D15">
        <w:rPr>
          <w:rFonts w:ascii="ITC Avant Garde" w:hAnsi="ITC Avant Garde"/>
          <w:b/>
          <w:color w:val="auto"/>
        </w:rPr>
        <w:t>rupo Televisa:</w:t>
      </w:r>
    </w:p>
    <w:p w14:paraId="22A758AC" w14:textId="77777777" w:rsidR="00BE3706" w:rsidRPr="00B56D15" w:rsidRDefault="00BE3706" w:rsidP="007D5396">
      <w:pPr>
        <w:spacing w:line="276" w:lineRule="auto"/>
        <w:ind w:firstLine="0"/>
        <w:rPr>
          <w:rFonts w:ascii="ITC Avant Garde" w:hAnsi="ITC Avant Garde"/>
          <w:i/>
          <w:color w:val="auto"/>
        </w:rPr>
      </w:pPr>
    </w:p>
    <w:p w14:paraId="49B4BDEC" w14:textId="0FBF6815" w:rsidR="00BE3706" w:rsidRPr="00B56D15" w:rsidRDefault="004D4214" w:rsidP="007D5396">
      <w:pPr>
        <w:spacing w:line="276" w:lineRule="auto"/>
        <w:ind w:firstLine="0"/>
        <w:rPr>
          <w:rFonts w:ascii="ITC Avant Garde" w:hAnsi="ITC Avant Garde" w:cs="Times New Roman"/>
          <w:i/>
          <w:color w:val="auto"/>
        </w:rPr>
      </w:pPr>
      <w:r>
        <w:rPr>
          <w:rFonts w:ascii="ITC Avant Garde" w:hAnsi="ITC Avant Garde" w:cs="Times New Roman"/>
          <w:i/>
          <w:color w:val="auto"/>
        </w:rPr>
        <w:t>Respecto al numeral 1.1.1, s</w:t>
      </w:r>
      <w:r w:rsidR="00BE3706" w:rsidRPr="00B56D15">
        <w:rPr>
          <w:rFonts w:ascii="ITC Avant Garde" w:hAnsi="ITC Avant Garde" w:cs="Times New Roman"/>
          <w:i/>
          <w:color w:val="auto"/>
        </w:rPr>
        <w:t>e solicita que se elimine la obligatoriedad de contratar todos los servicios pronosticados.</w:t>
      </w:r>
      <w:r>
        <w:rPr>
          <w:rFonts w:ascii="ITC Avant Garde" w:hAnsi="ITC Avant Garde" w:cs="Times New Roman"/>
          <w:i/>
          <w:color w:val="auto"/>
        </w:rPr>
        <w:t xml:space="preserve"> </w:t>
      </w:r>
      <w:r w:rsidR="00BE3706" w:rsidRPr="00B56D15">
        <w:rPr>
          <w:rFonts w:ascii="ITC Avant Garde" w:hAnsi="ITC Avant Garde" w:cs="Times New Roman"/>
          <w:i/>
          <w:color w:val="auto"/>
        </w:rPr>
        <w:t>Se solicita que se incluya un único pronóstico de servicio en el CMI con tres meses de antelación para los seis meses siguientes, y eliminar el requerimiento de ratificar los pronósticos.</w:t>
      </w:r>
    </w:p>
    <w:p w14:paraId="35E6D9AC" w14:textId="77777777" w:rsidR="00BE3706" w:rsidRPr="00B56D15" w:rsidRDefault="00BE3706" w:rsidP="007D5396">
      <w:pPr>
        <w:spacing w:line="276" w:lineRule="auto"/>
        <w:ind w:firstLine="0"/>
        <w:rPr>
          <w:rFonts w:ascii="ITC Avant Garde" w:hAnsi="ITC Avant Garde" w:cs="Times New Roman"/>
          <w:i/>
          <w:color w:val="auto"/>
        </w:rPr>
      </w:pPr>
    </w:p>
    <w:p w14:paraId="743968F5" w14:textId="2BB3CE40" w:rsidR="00BE3706" w:rsidRPr="00B56D15" w:rsidRDefault="00BE3706" w:rsidP="007D5396">
      <w:pPr>
        <w:spacing w:line="276" w:lineRule="auto"/>
        <w:ind w:firstLine="0"/>
        <w:rPr>
          <w:rFonts w:ascii="ITC Avant Garde" w:hAnsi="ITC Avant Garde" w:cs="Times New Roman"/>
          <w:i/>
          <w:color w:val="auto"/>
        </w:rPr>
      </w:pPr>
      <w:r w:rsidRPr="00B56D15">
        <w:rPr>
          <w:rFonts w:ascii="ITC Avant Garde" w:hAnsi="ITC Avant Garde" w:cs="Times New Roman"/>
          <w:i/>
          <w:color w:val="auto"/>
        </w:rPr>
        <w:lastRenderedPageBreak/>
        <w:t>Un cambio en las prestaciones debería estar justificado únicamente cuando a) existe una demanda excepcional más allá de los pronósticos presentados por los CS (ej. superior al 20% para todos los concesionarios) y b) tras l</w:t>
      </w:r>
      <w:r w:rsidR="00610396">
        <w:rPr>
          <w:rFonts w:ascii="ITC Avant Garde" w:hAnsi="ITC Avant Garde" w:cs="Times New Roman"/>
          <w:i/>
          <w:color w:val="auto"/>
        </w:rPr>
        <w:t xml:space="preserve">a aceptación por parte del </w:t>
      </w:r>
      <w:r w:rsidR="002170E6">
        <w:rPr>
          <w:rFonts w:ascii="ITC Avant Garde" w:hAnsi="ITC Avant Garde" w:cs="Times New Roman"/>
          <w:i/>
          <w:color w:val="auto"/>
        </w:rPr>
        <w:t>Instituto</w:t>
      </w:r>
      <w:r w:rsidR="00610396">
        <w:rPr>
          <w:rFonts w:ascii="ITC Avant Garde" w:hAnsi="ITC Avant Garde" w:cs="Times New Roman"/>
          <w:i/>
          <w:color w:val="auto"/>
        </w:rPr>
        <w:t>.</w:t>
      </w:r>
    </w:p>
    <w:p w14:paraId="597C7829" w14:textId="77777777" w:rsidR="00BE3706" w:rsidRPr="00E634EB" w:rsidRDefault="00BE3706" w:rsidP="007D5396">
      <w:pPr>
        <w:spacing w:line="276" w:lineRule="auto"/>
        <w:ind w:firstLine="0"/>
        <w:rPr>
          <w:rFonts w:ascii="ITC Avant Garde" w:hAnsi="ITC Avant Garde"/>
          <w:i/>
          <w:color w:val="auto"/>
        </w:rPr>
      </w:pPr>
    </w:p>
    <w:p w14:paraId="0FAE60DB" w14:textId="7D1E25D0" w:rsidR="00143996" w:rsidRPr="00E634EB" w:rsidRDefault="00143996" w:rsidP="00A120C0">
      <w:pPr>
        <w:spacing w:line="276" w:lineRule="auto"/>
        <w:ind w:firstLine="0"/>
        <w:rPr>
          <w:rFonts w:ascii="ITC Avant Garde" w:hAnsi="ITC Avant Garde"/>
          <w:color w:val="auto"/>
        </w:rPr>
      </w:pPr>
      <w:r w:rsidRPr="00E634EB">
        <w:rPr>
          <w:rFonts w:ascii="ITC Avant Garde" w:hAnsi="ITC Avant Garde"/>
          <w:color w:val="auto"/>
        </w:rPr>
        <w:t xml:space="preserve">Con respecto de la entrega de pronósticos, el Instituto observó </w:t>
      </w:r>
      <w:r w:rsidR="004D4214" w:rsidRPr="00E634EB">
        <w:rPr>
          <w:rFonts w:ascii="ITC Avant Garde" w:hAnsi="ITC Avant Garde"/>
          <w:color w:val="auto"/>
        </w:rPr>
        <w:t>que,</w:t>
      </w:r>
      <w:r w:rsidRPr="00E634EB">
        <w:rPr>
          <w:rFonts w:ascii="ITC Avant Garde" w:hAnsi="ITC Avant Garde"/>
          <w:color w:val="auto"/>
        </w:rPr>
        <w:t xml:space="preserve"> si bien la entrega de pronósticos no debe ser una limitante para la contratación de los servicios del Convenio, también reconoce que presentación de los pronósticos es de gran importancia para ayudar a mantener los niveles de calidad de servicio requeridos.</w:t>
      </w:r>
    </w:p>
    <w:p w14:paraId="6C497778" w14:textId="77777777" w:rsidR="00143996" w:rsidRPr="00E634EB" w:rsidRDefault="00143996" w:rsidP="00A120C0">
      <w:pPr>
        <w:spacing w:line="276" w:lineRule="auto"/>
        <w:ind w:firstLine="0"/>
        <w:rPr>
          <w:rFonts w:ascii="ITC Avant Garde" w:hAnsi="ITC Avant Garde"/>
          <w:color w:val="auto"/>
        </w:rPr>
      </w:pPr>
    </w:p>
    <w:p w14:paraId="18779609" w14:textId="3A97CE37" w:rsidR="00143996" w:rsidRPr="00E634EB" w:rsidRDefault="00143996" w:rsidP="00A120C0">
      <w:pPr>
        <w:spacing w:line="276" w:lineRule="auto"/>
        <w:ind w:firstLine="0"/>
        <w:rPr>
          <w:rFonts w:ascii="ITC Avant Garde" w:hAnsi="ITC Avant Garde"/>
          <w:color w:val="auto"/>
        </w:rPr>
      </w:pPr>
      <w:r w:rsidRPr="00E634EB">
        <w:rPr>
          <w:rFonts w:ascii="ITC Avant Garde" w:hAnsi="ITC Avant Garde"/>
          <w:color w:val="auto"/>
        </w:rPr>
        <w:t xml:space="preserve">Asimismo, la ratificación periódica de los servicios pronosticados permite a los </w:t>
      </w:r>
      <w:r w:rsidR="00930A66" w:rsidRPr="00E634EB">
        <w:rPr>
          <w:rFonts w:ascii="ITC Avant Garde" w:hAnsi="ITC Avant Garde"/>
          <w:color w:val="auto"/>
        </w:rPr>
        <w:t xml:space="preserve">CS </w:t>
      </w:r>
      <w:r w:rsidRPr="00E634EB">
        <w:rPr>
          <w:rFonts w:ascii="ITC Avant Garde" w:hAnsi="ITC Avant Garde"/>
          <w:color w:val="auto"/>
        </w:rPr>
        <w:t xml:space="preserve"> realizar las modificaciones necesarias de acuerdo a los servicios que efectivamente requiere. En este tenor, dentro del mismo numeral se establece un plazo adicional de 30 días naturales dentro del cual el </w:t>
      </w:r>
      <w:r w:rsidR="00930A66" w:rsidRPr="00E634EB">
        <w:rPr>
          <w:rFonts w:ascii="ITC Avant Garde" w:hAnsi="ITC Avant Garde"/>
          <w:color w:val="auto"/>
        </w:rPr>
        <w:t>CS</w:t>
      </w:r>
      <w:r w:rsidRPr="00E634EB">
        <w:rPr>
          <w:rFonts w:ascii="ITC Avant Garde" w:hAnsi="ITC Avant Garde"/>
          <w:color w:val="auto"/>
        </w:rPr>
        <w:t xml:space="preserve"> podrá realizar m</w:t>
      </w:r>
      <w:r w:rsidR="00893211" w:rsidRPr="00E634EB">
        <w:rPr>
          <w:rFonts w:ascii="ITC Avant Garde" w:hAnsi="ITC Avant Garde"/>
          <w:color w:val="auto"/>
        </w:rPr>
        <w:t>odificaciones a los pronósticos, es así que no existe una obligatoriedad de contratar todos los servicios pronosticados.</w:t>
      </w:r>
    </w:p>
    <w:p w14:paraId="59792B1B" w14:textId="77777777" w:rsidR="00143996" w:rsidRPr="00E634EB" w:rsidRDefault="00143996" w:rsidP="00A120C0">
      <w:pPr>
        <w:spacing w:line="276" w:lineRule="auto"/>
        <w:ind w:firstLine="0"/>
        <w:rPr>
          <w:rFonts w:ascii="ITC Avant Garde" w:hAnsi="ITC Avant Garde"/>
          <w:color w:val="auto"/>
        </w:rPr>
      </w:pPr>
    </w:p>
    <w:p w14:paraId="26B42400" w14:textId="034F92DB" w:rsidR="00143996" w:rsidRPr="00E634EB" w:rsidRDefault="00EA10D9" w:rsidP="00A120C0">
      <w:pPr>
        <w:spacing w:line="276" w:lineRule="auto"/>
        <w:ind w:firstLine="0"/>
        <w:rPr>
          <w:rFonts w:ascii="ITC Avant Garde" w:hAnsi="ITC Avant Garde"/>
          <w:color w:val="auto"/>
        </w:rPr>
      </w:pPr>
      <w:r w:rsidRPr="00E634EB">
        <w:rPr>
          <w:rFonts w:ascii="ITC Avant Garde" w:hAnsi="ITC Avant Garde"/>
          <w:color w:val="auto"/>
        </w:rPr>
        <w:t>Es así que la ratificación de pronó</w:t>
      </w:r>
      <w:r w:rsidR="00A54DC4" w:rsidRPr="00E634EB">
        <w:rPr>
          <w:rFonts w:ascii="ITC Avant Garde" w:hAnsi="ITC Avant Garde"/>
          <w:color w:val="auto"/>
        </w:rPr>
        <w:t xml:space="preserve">sticos beneficia a ambas partes, toda vez que brinda certeza en la adecuación de las redes públicas de telecomunicaciones, no limita a los </w:t>
      </w:r>
      <w:r w:rsidR="00930A66" w:rsidRPr="00E634EB">
        <w:rPr>
          <w:rFonts w:ascii="ITC Avant Garde" w:hAnsi="ITC Avant Garde"/>
          <w:color w:val="auto"/>
        </w:rPr>
        <w:t>CS</w:t>
      </w:r>
      <w:r w:rsidR="00A54DC4" w:rsidRPr="00E634EB">
        <w:rPr>
          <w:rFonts w:ascii="ITC Avant Garde" w:hAnsi="ITC Avant Garde"/>
          <w:color w:val="auto"/>
        </w:rPr>
        <w:t xml:space="preserve"> la posibilidad de solicitar servicios adicionales y les permite realizar</w:t>
      </w:r>
      <w:r w:rsidR="00143996" w:rsidRPr="00E634EB">
        <w:rPr>
          <w:rFonts w:ascii="ITC Avant Garde" w:hAnsi="ITC Avant Garde"/>
          <w:color w:val="auto"/>
        </w:rPr>
        <w:t xml:space="preserve"> </w:t>
      </w:r>
      <w:r w:rsidR="00A54DC4" w:rsidRPr="00E634EB">
        <w:rPr>
          <w:rFonts w:ascii="ITC Avant Garde" w:hAnsi="ITC Avant Garde"/>
          <w:color w:val="auto"/>
        </w:rPr>
        <w:t xml:space="preserve">modificaciones a los servicios pronosticados previamente. </w:t>
      </w:r>
    </w:p>
    <w:p w14:paraId="253C0745" w14:textId="77777777" w:rsidR="00633749" w:rsidRPr="00E634EB" w:rsidRDefault="00633749" w:rsidP="00A120C0">
      <w:pPr>
        <w:spacing w:line="276" w:lineRule="auto"/>
        <w:ind w:firstLine="0"/>
        <w:rPr>
          <w:rFonts w:ascii="ITC Avant Garde" w:hAnsi="ITC Avant Garde"/>
          <w:color w:val="auto"/>
        </w:rPr>
      </w:pPr>
    </w:p>
    <w:p w14:paraId="0AEFA02F" w14:textId="25E0F4CE" w:rsidR="00633749" w:rsidRPr="00E634EB" w:rsidRDefault="00633749" w:rsidP="00A120C0">
      <w:pPr>
        <w:spacing w:line="276" w:lineRule="auto"/>
        <w:ind w:firstLine="0"/>
        <w:rPr>
          <w:rFonts w:ascii="ITC Avant Garde" w:hAnsi="ITC Avant Garde"/>
          <w:color w:val="auto"/>
        </w:rPr>
      </w:pPr>
      <w:r w:rsidRPr="00E634EB">
        <w:rPr>
          <w:rFonts w:ascii="ITC Avant Garde" w:hAnsi="ITC Avant Garde"/>
          <w:color w:val="auto"/>
        </w:rPr>
        <w:t>Asimismo, sobre las penalizaciones se señala que las mismas se encuentran establecidas en el Anexo G de la Propuesta de CMI.</w:t>
      </w:r>
    </w:p>
    <w:p w14:paraId="431E485F" w14:textId="77777777" w:rsidR="00143996" w:rsidRDefault="00143996" w:rsidP="00B74583">
      <w:pPr>
        <w:spacing w:after="0" w:line="276" w:lineRule="auto"/>
        <w:ind w:left="11" w:right="0" w:firstLine="0"/>
        <w:rPr>
          <w:rFonts w:ascii="ITC Avant Garde" w:hAnsi="ITC Avant Garde"/>
          <w:i/>
          <w:color w:val="auto"/>
        </w:rPr>
      </w:pPr>
    </w:p>
    <w:p w14:paraId="76318CA2" w14:textId="329EFC3F" w:rsidR="00BE3706" w:rsidRPr="00B56D15" w:rsidRDefault="00BE3706" w:rsidP="007D5396">
      <w:pPr>
        <w:spacing w:after="0" w:line="276" w:lineRule="auto"/>
        <w:ind w:left="-5" w:right="49" w:firstLine="0"/>
        <w:rPr>
          <w:rFonts w:ascii="ITC Avant Garde" w:hAnsi="ITC Avant Garde"/>
          <w:b/>
          <w:color w:val="auto"/>
        </w:rPr>
      </w:pPr>
      <w:r w:rsidRPr="006B6E59">
        <w:rPr>
          <w:rFonts w:ascii="ITC Avant Garde" w:hAnsi="ITC Avant Garde"/>
          <w:b/>
          <w:color w:val="auto"/>
        </w:rPr>
        <w:t>Grupo Televisa:</w:t>
      </w:r>
    </w:p>
    <w:p w14:paraId="65ED1677" w14:textId="77777777" w:rsidR="00BE3706" w:rsidRPr="00B56D15" w:rsidRDefault="00BE3706" w:rsidP="007D5396">
      <w:pPr>
        <w:spacing w:line="276" w:lineRule="auto"/>
        <w:ind w:firstLine="0"/>
        <w:rPr>
          <w:rFonts w:ascii="ITC Avant Garde" w:hAnsi="ITC Avant Garde"/>
          <w:i/>
          <w:color w:val="auto"/>
        </w:rPr>
      </w:pPr>
    </w:p>
    <w:p w14:paraId="44AF7FEC" w14:textId="57A01052" w:rsidR="00BE3706" w:rsidRDefault="004D4214" w:rsidP="007D5396">
      <w:pPr>
        <w:spacing w:line="276" w:lineRule="auto"/>
        <w:ind w:firstLine="0"/>
        <w:rPr>
          <w:rFonts w:ascii="ITC Avant Garde" w:hAnsi="ITC Avant Garde" w:cs="Times New Roman"/>
          <w:i/>
          <w:color w:val="auto"/>
        </w:rPr>
      </w:pPr>
      <w:r>
        <w:rPr>
          <w:rFonts w:ascii="ITC Avant Garde" w:hAnsi="ITC Avant Garde" w:cs="Times New Roman"/>
          <w:i/>
          <w:color w:val="auto"/>
        </w:rPr>
        <w:t>Respecto al numeral 1.1.1, s</w:t>
      </w:r>
      <w:r w:rsidR="00BE3706" w:rsidRPr="00B56D15">
        <w:rPr>
          <w:rFonts w:ascii="ITC Avant Garde" w:hAnsi="ITC Avant Garde" w:cs="Times New Roman"/>
          <w:i/>
          <w:color w:val="auto"/>
        </w:rPr>
        <w:t>e solicita eliminar la posibilidad de que la fecha de instalación pueda fijarse por “mutuo compromiso” pues ello significa, en los hechos, no fijar una fecha concreta cuyo incumplimiento esté sujeto a penalizaciones. Asimismo, se solicita eliminar la obligación de pagar “gastos de instalación</w:t>
      </w:r>
      <w:r>
        <w:rPr>
          <w:rFonts w:ascii="ITC Avant Garde" w:hAnsi="ITC Avant Garde" w:cs="Times New Roman"/>
          <w:i/>
          <w:color w:val="auto"/>
        </w:rPr>
        <w:t>” no previstos por las Medidas.</w:t>
      </w:r>
    </w:p>
    <w:p w14:paraId="35916FEB" w14:textId="77777777" w:rsidR="002A3FCE" w:rsidRDefault="002A3FCE" w:rsidP="007D5396">
      <w:pPr>
        <w:spacing w:line="276" w:lineRule="auto"/>
        <w:ind w:firstLine="0"/>
        <w:rPr>
          <w:rFonts w:ascii="ITC Avant Garde" w:hAnsi="ITC Avant Garde" w:cs="Times New Roman"/>
          <w:i/>
          <w:color w:val="auto"/>
        </w:rPr>
      </w:pPr>
    </w:p>
    <w:p w14:paraId="2663A517" w14:textId="7852E16D" w:rsidR="004501D8" w:rsidRPr="00E634EB" w:rsidRDefault="006B6E59" w:rsidP="007D5396">
      <w:pPr>
        <w:spacing w:line="276" w:lineRule="auto"/>
        <w:ind w:firstLine="0"/>
        <w:rPr>
          <w:rFonts w:ascii="ITC Avant Garde" w:hAnsi="ITC Avant Garde" w:cs="Times New Roman"/>
          <w:color w:val="auto"/>
        </w:rPr>
      </w:pPr>
      <w:r w:rsidRPr="00E634EB">
        <w:rPr>
          <w:rFonts w:ascii="ITC Avant Garde" w:hAnsi="ITC Avant Garde" w:cs="Times New Roman"/>
          <w:color w:val="auto"/>
        </w:rPr>
        <w:t xml:space="preserve">Respecto a los comentarios anteriores, se señala que el Anexo E establece la facultad del </w:t>
      </w:r>
      <w:r w:rsidR="00930A66" w:rsidRPr="00E634EB">
        <w:rPr>
          <w:rFonts w:ascii="ITC Avant Garde" w:hAnsi="ITC Avant Garde" w:cs="Times New Roman"/>
          <w:color w:val="auto"/>
        </w:rPr>
        <w:t>CS</w:t>
      </w:r>
      <w:r w:rsidRPr="00E634EB">
        <w:rPr>
          <w:rFonts w:ascii="ITC Avant Garde" w:hAnsi="ITC Avant Garde" w:cs="Times New Roman"/>
          <w:color w:val="auto"/>
        </w:rPr>
        <w:t xml:space="preserve"> para requerir servicios adicionales a los indicados en los pronósticos presentados por los CS, </w:t>
      </w:r>
      <w:r w:rsidR="004501D8" w:rsidRPr="00E634EB">
        <w:rPr>
          <w:rFonts w:ascii="ITC Avant Garde" w:hAnsi="ITC Avant Garde" w:cs="Times New Roman"/>
          <w:color w:val="auto"/>
        </w:rPr>
        <w:t>asimismo se señala la mecánica para determinar el plazo definido para la entrega de los mismos, con lo cual se otorga certeza a los concesionarios respecto a solicitudes de servicios adicionales a lo pronosticado inicialmente. En este sentido el numeral 1.1.1 del Anexo E del CMI, señala los siguientes términos:</w:t>
      </w:r>
    </w:p>
    <w:p w14:paraId="28199E15" w14:textId="77777777" w:rsidR="004501D8" w:rsidRPr="00E634EB" w:rsidRDefault="004501D8" w:rsidP="007D5396">
      <w:pPr>
        <w:spacing w:line="276" w:lineRule="auto"/>
        <w:ind w:firstLine="0"/>
        <w:rPr>
          <w:rFonts w:ascii="ITC Avant Garde" w:hAnsi="ITC Avant Garde" w:cs="Times New Roman"/>
          <w:color w:val="auto"/>
        </w:rPr>
      </w:pPr>
    </w:p>
    <w:p w14:paraId="2B9C0623" w14:textId="19683097" w:rsidR="004501D8" w:rsidRPr="00E634EB" w:rsidRDefault="004501D8" w:rsidP="007D5396">
      <w:pPr>
        <w:pStyle w:val="Textosinformato"/>
        <w:spacing w:line="276" w:lineRule="auto"/>
        <w:ind w:left="851" w:right="900"/>
        <w:jc w:val="both"/>
        <w:rPr>
          <w:rFonts w:ascii="ITC Avant Garde" w:hAnsi="ITC Avant Garde"/>
          <w:i/>
          <w:sz w:val="18"/>
        </w:rPr>
      </w:pPr>
      <w:r w:rsidRPr="00E634EB">
        <w:rPr>
          <w:rFonts w:ascii="ITC Avant Garde" w:hAnsi="ITC Avant Garde"/>
          <w:i/>
          <w:sz w:val="18"/>
        </w:rPr>
        <w:t>“En caso de que los servicios solicitados excedan un 20% o más de los pronosticados, los servicios excedentes serán instalados en un plazo definido por mutuo acuerdo bajo esquema fecha compromiso (Due Date). Situación que será informada al Instituto, junto con las nuevas fechas de entrega.”</w:t>
      </w:r>
    </w:p>
    <w:p w14:paraId="0AC11053" w14:textId="77777777" w:rsidR="004501D8" w:rsidRDefault="004501D8" w:rsidP="007D5396">
      <w:pPr>
        <w:spacing w:line="276" w:lineRule="auto"/>
        <w:ind w:firstLine="0"/>
        <w:rPr>
          <w:rFonts w:ascii="ITC Avant Garde" w:hAnsi="ITC Avant Garde" w:cs="Times New Roman"/>
          <w:color w:val="385623" w:themeColor="accent6" w:themeShade="80"/>
        </w:rPr>
      </w:pPr>
    </w:p>
    <w:p w14:paraId="120B74C7" w14:textId="183FCA4A" w:rsidR="00914ACD" w:rsidRDefault="00914ACD"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p>
    <w:p w14:paraId="331E648A" w14:textId="77777777" w:rsidR="00354A65" w:rsidRPr="00B56D15" w:rsidRDefault="00354A65" w:rsidP="007D5396">
      <w:pPr>
        <w:spacing w:after="0" w:line="276" w:lineRule="auto"/>
        <w:ind w:left="-5" w:right="49" w:firstLine="0"/>
        <w:rPr>
          <w:rFonts w:ascii="ITC Avant Garde" w:hAnsi="ITC Avant Garde"/>
          <w:b/>
          <w:color w:val="auto"/>
        </w:rPr>
      </w:pPr>
    </w:p>
    <w:p w14:paraId="7997DA38" w14:textId="6381D869" w:rsidR="00D9189B" w:rsidRPr="00B56D15" w:rsidRDefault="00650D31" w:rsidP="007D5396">
      <w:pPr>
        <w:spacing w:after="0" w:line="276" w:lineRule="auto"/>
        <w:ind w:left="0" w:right="49" w:firstLine="0"/>
        <w:rPr>
          <w:rFonts w:ascii="ITC Avant Garde" w:eastAsia="Times New Roman" w:hAnsi="ITC Avant Garde" w:cs="Times New Roman"/>
          <w:i/>
          <w:color w:val="auto"/>
        </w:rPr>
      </w:pPr>
      <w:r>
        <w:rPr>
          <w:rFonts w:ascii="ITC Avant Garde" w:hAnsi="ITC Avant Garde" w:cs="Times New Roman"/>
          <w:i/>
          <w:color w:val="auto"/>
        </w:rPr>
        <w:t>Respecto al numeral 1.1.1</w:t>
      </w:r>
      <w:r>
        <w:rPr>
          <w:rFonts w:ascii="ITC Avant Garde" w:eastAsia="Times New Roman" w:hAnsi="ITC Avant Garde" w:cs="Times New Roman"/>
          <w:i/>
          <w:color w:val="auto"/>
        </w:rPr>
        <w:t>, e</w:t>
      </w:r>
      <w:r w:rsidR="00D9189B" w:rsidRPr="00B56D15">
        <w:rPr>
          <w:rFonts w:ascii="ITC Avant Garde" w:eastAsia="Times New Roman" w:hAnsi="ITC Avant Garde" w:cs="Times New Roman"/>
          <w:i/>
          <w:color w:val="auto"/>
        </w:rPr>
        <w:t>n el CMI 2017 se proponen tiempos de calidad del servicio superiores a lo que actualmente AT&amp;T tiene firmados y registrados ante el Instituto. Por lo anterior, se solicita que para Telmex y Telnor se mantengan y respeten tiempos de calidad acor</w:t>
      </w:r>
      <w:r>
        <w:rPr>
          <w:rFonts w:ascii="ITC Avant Garde" w:eastAsia="Times New Roman" w:hAnsi="ITC Avant Garde" w:cs="Times New Roman"/>
          <w:i/>
          <w:color w:val="auto"/>
        </w:rPr>
        <w:t>dados en los convenios vigentes.</w:t>
      </w:r>
    </w:p>
    <w:p w14:paraId="4CAB0F7E" w14:textId="77777777" w:rsidR="00914ACD" w:rsidRPr="00E634EB" w:rsidRDefault="00914ACD" w:rsidP="007D5396">
      <w:pPr>
        <w:spacing w:after="0" w:line="276" w:lineRule="auto"/>
        <w:ind w:left="0" w:right="49" w:firstLine="0"/>
        <w:rPr>
          <w:rFonts w:ascii="ITC Avant Garde" w:eastAsia="Times New Roman" w:hAnsi="ITC Avant Garde" w:cs="Times New Roman"/>
          <w:b/>
          <w:i/>
          <w:color w:val="auto"/>
        </w:rPr>
      </w:pPr>
    </w:p>
    <w:p w14:paraId="4C966739" w14:textId="4EB0C0E0" w:rsidR="004E2586" w:rsidRPr="00E634EB" w:rsidRDefault="002E45B0" w:rsidP="00D15C03">
      <w:pPr>
        <w:spacing w:after="0" w:line="276" w:lineRule="auto"/>
        <w:ind w:left="-5" w:right="49" w:firstLine="0"/>
        <w:rPr>
          <w:rFonts w:ascii="ITC Avant Garde" w:hAnsi="ITC Avant Garde"/>
          <w:color w:val="auto"/>
        </w:rPr>
      </w:pPr>
      <w:r w:rsidRPr="00E634EB">
        <w:rPr>
          <w:rFonts w:ascii="ITC Avant Garde" w:hAnsi="ITC Avant Garde"/>
          <w:color w:val="auto"/>
        </w:rPr>
        <w:t xml:space="preserve">Al respecto </w:t>
      </w:r>
      <w:r w:rsidR="00D15C03" w:rsidRPr="00E634EB">
        <w:rPr>
          <w:rFonts w:ascii="ITC Avant Garde" w:hAnsi="ITC Avant Garde"/>
          <w:color w:val="auto"/>
        </w:rPr>
        <w:t xml:space="preserve">se señala que el comentario anterior resulta inexacto al mencionar tiempos de calidad de servicio superiores a los que actualmente AT&amp;T tiene firmados, porque el numeral 1.1.1 no se refiere a tiempos de calidad, sino a los plazos máximos para la entrega de servicios. </w:t>
      </w:r>
    </w:p>
    <w:p w14:paraId="6DE43D6B" w14:textId="77777777" w:rsidR="00D15C03" w:rsidRPr="003D1FA8" w:rsidRDefault="00D15C03" w:rsidP="00D15C03">
      <w:pPr>
        <w:spacing w:after="0" w:line="276" w:lineRule="auto"/>
        <w:ind w:left="-5" w:right="49" w:firstLine="0"/>
        <w:rPr>
          <w:rFonts w:ascii="ITC Avant Garde" w:hAnsi="ITC Avant Garde"/>
          <w:color w:val="538135" w:themeColor="accent6" w:themeShade="BF"/>
        </w:rPr>
      </w:pPr>
    </w:p>
    <w:p w14:paraId="68AF4DA2" w14:textId="6C437679" w:rsidR="00D72DC5" w:rsidRPr="004E2586" w:rsidRDefault="00D72DC5" w:rsidP="007D5396">
      <w:pPr>
        <w:spacing w:line="276" w:lineRule="auto"/>
        <w:ind w:firstLine="0"/>
        <w:rPr>
          <w:rFonts w:ascii="ITC Avant Garde" w:hAnsi="ITC Avant Garde"/>
          <w:b/>
          <w:color w:val="auto"/>
        </w:rPr>
      </w:pPr>
      <w:r w:rsidRPr="004E2586">
        <w:rPr>
          <w:rFonts w:ascii="ITC Avant Garde" w:hAnsi="ITC Avant Garde"/>
          <w:b/>
          <w:color w:val="auto"/>
        </w:rPr>
        <w:t>Axtel y Alestra:</w:t>
      </w:r>
    </w:p>
    <w:p w14:paraId="284222D5" w14:textId="77777777" w:rsidR="00D72DC5" w:rsidRPr="004E2586" w:rsidRDefault="00D72DC5" w:rsidP="007D5396">
      <w:pPr>
        <w:spacing w:line="276" w:lineRule="auto"/>
        <w:ind w:firstLine="0"/>
        <w:rPr>
          <w:rFonts w:ascii="ITC Avant Garde" w:hAnsi="ITC Avant Garde"/>
          <w:color w:val="auto"/>
        </w:rPr>
      </w:pPr>
    </w:p>
    <w:p w14:paraId="4ECB3CCB" w14:textId="5FB7B037" w:rsidR="00D72DC5" w:rsidRPr="004E2586" w:rsidRDefault="00D72DC5" w:rsidP="007D5396">
      <w:pPr>
        <w:spacing w:line="276" w:lineRule="auto"/>
        <w:ind w:firstLine="0"/>
        <w:rPr>
          <w:rFonts w:ascii="ITC Avant Garde" w:hAnsi="ITC Avant Garde"/>
          <w:i/>
          <w:color w:val="auto"/>
        </w:rPr>
      </w:pPr>
      <w:r>
        <w:rPr>
          <w:rFonts w:ascii="ITC Avant Garde" w:hAnsi="ITC Avant Garde"/>
          <w:i/>
          <w:color w:val="auto"/>
        </w:rPr>
        <w:t>En el numeral 3, i</w:t>
      </w:r>
      <w:r w:rsidRPr="004E2586">
        <w:rPr>
          <w:rFonts w:ascii="ITC Avant Garde" w:hAnsi="ITC Avant Garde"/>
          <w:i/>
          <w:color w:val="auto"/>
        </w:rPr>
        <w:t>ncluir las siguientes fallas, adicionales a las ya contempladas:</w:t>
      </w:r>
    </w:p>
    <w:p w14:paraId="65E8225E" w14:textId="77777777" w:rsidR="00D72DC5" w:rsidRPr="004E2586" w:rsidRDefault="00D72DC5" w:rsidP="007D5396">
      <w:pPr>
        <w:spacing w:line="276" w:lineRule="auto"/>
        <w:ind w:firstLine="0"/>
        <w:rPr>
          <w:rFonts w:ascii="ITC Avant Garde" w:hAnsi="ITC Avant Garde"/>
          <w:i/>
          <w:color w:val="auto"/>
        </w:rPr>
      </w:pPr>
    </w:p>
    <w:p w14:paraId="157B5C33" w14:textId="01DA4E4E" w:rsidR="00D72DC5" w:rsidRPr="004E2586" w:rsidRDefault="00335F0E" w:rsidP="007D5396">
      <w:pPr>
        <w:pStyle w:val="Prrafodelista"/>
        <w:numPr>
          <w:ilvl w:val="0"/>
          <w:numId w:val="5"/>
        </w:numPr>
        <w:spacing w:line="276" w:lineRule="auto"/>
        <w:ind w:firstLine="0"/>
        <w:rPr>
          <w:rFonts w:ascii="ITC Avant Garde" w:hAnsi="ITC Avant Garde"/>
          <w:i/>
          <w:color w:val="auto"/>
        </w:rPr>
      </w:pPr>
      <w:r>
        <w:rPr>
          <w:rFonts w:ascii="ITC Avant Garde" w:hAnsi="ITC Avant Garde"/>
          <w:i/>
          <w:color w:val="auto"/>
        </w:rPr>
        <w:t>Trá</w:t>
      </w:r>
      <w:r w:rsidR="00D72DC5" w:rsidRPr="004E2586">
        <w:rPr>
          <w:rFonts w:ascii="ITC Avant Garde" w:hAnsi="ITC Avant Garde"/>
          <w:i/>
          <w:color w:val="auto"/>
        </w:rPr>
        <w:t>fico no terminado</w:t>
      </w:r>
    </w:p>
    <w:p w14:paraId="388CC128" w14:textId="75104B00" w:rsidR="00D72DC5" w:rsidRPr="004E2586" w:rsidRDefault="00D72DC5" w:rsidP="007D5396">
      <w:pPr>
        <w:pStyle w:val="Prrafodelista"/>
        <w:numPr>
          <w:ilvl w:val="0"/>
          <w:numId w:val="5"/>
        </w:numPr>
        <w:spacing w:line="276" w:lineRule="auto"/>
        <w:ind w:firstLine="0"/>
        <w:rPr>
          <w:rFonts w:ascii="ITC Avant Garde" w:hAnsi="ITC Avant Garde"/>
          <w:i/>
          <w:color w:val="auto"/>
        </w:rPr>
      </w:pPr>
      <w:r w:rsidRPr="004E2586">
        <w:rPr>
          <w:rFonts w:ascii="ITC Avant Garde" w:hAnsi="ITC Avant Garde"/>
          <w:i/>
          <w:color w:val="auto"/>
        </w:rPr>
        <w:t>Pérdida parcial de llamadas e</w:t>
      </w:r>
      <w:r w:rsidR="00610396">
        <w:rPr>
          <w:rFonts w:ascii="ITC Avant Garde" w:hAnsi="ITC Avant Garde"/>
          <w:i/>
          <w:color w:val="auto"/>
        </w:rPr>
        <w:t>n algún punto entre ambas redes</w:t>
      </w:r>
    </w:p>
    <w:p w14:paraId="0ADAF0F4" w14:textId="77777777" w:rsidR="00D72DC5" w:rsidRPr="004E2586" w:rsidRDefault="00D72DC5" w:rsidP="007D5396">
      <w:pPr>
        <w:spacing w:line="276" w:lineRule="auto"/>
        <w:ind w:firstLine="0"/>
        <w:rPr>
          <w:rFonts w:ascii="ITC Avant Garde" w:hAnsi="ITC Avant Garde"/>
          <w:i/>
          <w:color w:val="auto"/>
        </w:rPr>
      </w:pPr>
    </w:p>
    <w:p w14:paraId="0C5A76D1" w14:textId="1417CB07" w:rsidR="00D72DC5" w:rsidRPr="00E634EB" w:rsidRDefault="00D72DC5" w:rsidP="007D5396">
      <w:pPr>
        <w:spacing w:line="276" w:lineRule="auto"/>
        <w:ind w:firstLine="0"/>
        <w:rPr>
          <w:rFonts w:ascii="ITC Avant Garde" w:hAnsi="ITC Avant Garde"/>
          <w:color w:val="auto"/>
        </w:rPr>
      </w:pPr>
      <w:r w:rsidRPr="00E634EB">
        <w:rPr>
          <w:rFonts w:ascii="ITC Avant Garde" w:hAnsi="ITC Avant Garde"/>
          <w:color w:val="auto"/>
        </w:rPr>
        <w:t>Al respecto</w:t>
      </w:r>
      <w:r w:rsidR="005A2C79" w:rsidRPr="00E634EB">
        <w:rPr>
          <w:rFonts w:ascii="ITC Avant Garde" w:hAnsi="ITC Avant Garde"/>
          <w:color w:val="auto"/>
        </w:rPr>
        <w:t>,</w:t>
      </w:r>
      <w:r w:rsidRPr="00E634EB">
        <w:rPr>
          <w:rFonts w:ascii="ITC Avant Garde" w:hAnsi="ITC Avant Garde"/>
          <w:color w:val="auto"/>
        </w:rPr>
        <w:t xml:space="preserve"> se observa que los casos de </w:t>
      </w:r>
      <w:r w:rsidR="005A2C79" w:rsidRPr="00E634EB">
        <w:rPr>
          <w:rFonts w:ascii="ITC Avant Garde" w:hAnsi="ITC Avant Garde"/>
          <w:color w:val="auto"/>
        </w:rPr>
        <w:t>falla</w:t>
      </w:r>
      <w:r w:rsidRPr="00E634EB">
        <w:rPr>
          <w:rFonts w:ascii="ITC Avant Garde" w:hAnsi="ITC Avant Garde"/>
          <w:color w:val="auto"/>
        </w:rPr>
        <w:t xml:space="preserve"> mencio</w:t>
      </w:r>
      <w:r w:rsidR="005A2C79" w:rsidRPr="00E634EB">
        <w:rPr>
          <w:rFonts w:ascii="ITC Avant Garde" w:hAnsi="ITC Avant Garde"/>
          <w:color w:val="auto"/>
        </w:rPr>
        <w:t>nados en el comentario anterior</w:t>
      </w:r>
      <w:r w:rsidRPr="00E634EB">
        <w:rPr>
          <w:rFonts w:ascii="ITC Avant Garde" w:hAnsi="ITC Avant Garde"/>
          <w:color w:val="auto"/>
        </w:rPr>
        <w:t xml:space="preserve"> se encuentran </w:t>
      </w:r>
      <w:r w:rsidR="005A2C79" w:rsidRPr="00E634EB">
        <w:rPr>
          <w:rFonts w:ascii="ITC Avant Garde" w:hAnsi="ITC Avant Garde"/>
          <w:color w:val="auto"/>
        </w:rPr>
        <w:t>considerados en el numeral 3 del Anexo E Calidad de la Propuesta de CMI, en el siguiente sentido:</w:t>
      </w:r>
    </w:p>
    <w:p w14:paraId="18DA91CB" w14:textId="77777777" w:rsidR="005A2C79" w:rsidRPr="00E634EB" w:rsidRDefault="005A2C79" w:rsidP="007D5396">
      <w:pPr>
        <w:spacing w:line="276" w:lineRule="auto"/>
        <w:ind w:firstLine="0"/>
        <w:rPr>
          <w:rFonts w:ascii="ITC Avant Garde" w:hAnsi="ITC Avant Garde"/>
          <w:color w:val="auto"/>
        </w:rPr>
      </w:pPr>
    </w:p>
    <w:p w14:paraId="456A5C61" w14:textId="77777777" w:rsidR="005A2C79" w:rsidRPr="005A2C79" w:rsidRDefault="005A2C79" w:rsidP="005A2C79">
      <w:pPr>
        <w:pStyle w:val="Textosinformato"/>
        <w:ind w:left="567" w:right="616"/>
        <w:jc w:val="both"/>
        <w:rPr>
          <w:rFonts w:ascii="ITC Avant Garde" w:hAnsi="ITC Avant Garde"/>
          <w:i/>
          <w:sz w:val="18"/>
          <w:szCs w:val="18"/>
        </w:rPr>
      </w:pPr>
      <w:r w:rsidRPr="005A2C79">
        <w:rPr>
          <w:rFonts w:ascii="ITC Avant Garde" w:hAnsi="ITC Avant Garde"/>
          <w:i/>
          <w:sz w:val="18"/>
          <w:szCs w:val="18"/>
        </w:rPr>
        <w:t>Se considerará como falla:</w:t>
      </w:r>
    </w:p>
    <w:p w14:paraId="1C66BD8C" w14:textId="77777777" w:rsidR="005A2C79" w:rsidRPr="005A2C79" w:rsidRDefault="005A2C79" w:rsidP="005A2C79">
      <w:pPr>
        <w:pStyle w:val="Textosinformato"/>
        <w:ind w:left="567" w:right="616"/>
        <w:jc w:val="both"/>
        <w:rPr>
          <w:rFonts w:ascii="ITC Avant Garde" w:hAnsi="ITC Avant Garde"/>
          <w:i/>
          <w:sz w:val="18"/>
          <w:szCs w:val="18"/>
        </w:rPr>
      </w:pPr>
    </w:p>
    <w:p w14:paraId="2C826234" w14:textId="77777777" w:rsidR="005A2C79" w:rsidRPr="005A2C79" w:rsidRDefault="005A2C79" w:rsidP="005A2C79">
      <w:pPr>
        <w:pStyle w:val="Textosinformato"/>
        <w:numPr>
          <w:ilvl w:val="0"/>
          <w:numId w:val="25"/>
        </w:numPr>
        <w:ind w:left="567" w:right="616" w:firstLine="0"/>
        <w:jc w:val="both"/>
        <w:rPr>
          <w:rFonts w:ascii="ITC Avant Garde" w:hAnsi="ITC Avant Garde"/>
          <w:i/>
          <w:sz w:val="18"/>
          <w:szCs w:val="18"/>
        </w:rPr>
      </w:pPr>
      <w:r w:rsidRPr="005A2C79">
        <w:rPr>
          <w:rFonts w:ascii="ITC Avant Garde" w:hAnsi="ITC Avant Garde"/>
          <w:i/>
          <w:sz w:val="18"/>
          <w:szCs w:val="18"/>
        </w:rPr>
        <w:t>Enlace o puerto de interconexión totalmente caído;</w:t>
      </w:r>
    </w:p>
    <w:p w14:paraId="20FE1D2A" w14:textId="77777777" w:rsidR="005A2C79" w:rsidRPr="005A2C79" w:rsidRDefault="005A2C79" w:rsidP="005A2C79">
      <w:pPr>
        <w:pStyle w:val="Textosinformato"/>
        <w:numPr>
          <w:ilvl w:val="0"/>
          <w:numId w:val="25"/>
        </w:numPr>
        <w:ind w:left="567" w:right="616" w:firstLine="0"/>
        <w:jc w:val="both"/>
        <w:rPr>
          <w:rFonts w:ascii="ITC Avant Garde" w:hAnsi="ITC Avant Garde"/>
          <w:i/>
          <w:sz w:val="18"/>
          <w:szCs w:val="18"/>
        </w:rPr>
      </w:pPr>
      <w:r w:rsidRPr="005A2C79">
        <w:rPr>
          <w:rFonts w:ascii="ITC Avant Garde" w:hAnsi="ITC Avant Garde"/>
          <w:i/>
          <w:sz w:val="18"/>
          <w:szCs w:val="18"/>
        </w:rPr>
        <w:t>Pérdida total de llamadas en algún punto entre ambas redes o grave deterioro de la calidad de servicio;</w:t>
      </w:r>
    </w:p>
    <w:p w14:paraId="4FB1978B" w14:textId="77777777" w:rsidR="005A2C79" w:rsidRPr="005A2C79" w:rsidRDefault="005A2C79" w:rsidP="005A2C79">
      <w:pPr>
        <w:pStyle w:val="Textosinformato"/>
        <w:numPr>
          <w:ilvl w:val="0"/>
          <w:numId w:val="25"/>
        </w:numPr>
        <w:ind w:left="567" w:right="616" w:firstLine="0"/>
        <w:jc w:val="both"/>
        <w:rPr>
          <w:rFonts w:ascii="ITC Avant Garde" w:hAnsi="ITC Avant Garde"/>
          <w:i/>
          <w:sz w:val="18"/>
          <w:szCs w:val="18"/>
        </w:rPr>
      </w:pPr>
      <w:r w:rsidRPr="005A2C79">
        <w:rPr>
          <w:rFonts w:ascii="ITC Avant Garde" w:hAnsi="ITC Avant Garde"/>
          <w:i/>
          <w:sz w:val="18"/>
          <w:szCs w:val="18"/>
        </w:rPr>
        <w:t>Corte permanente de circuito o puerto;</w:t>
      </w:r>
    </w:p>
    <w:p w14:paraId="6B0F8DAE" w14:textId="77777777" w:rsidR="005A2C79" w:rsidRPr="005A2C79" w:rsidRDefault="005A2C79" w:rsidP="005A2C79">
      <w:pPr>
        <w:pStyle w:val="Textosinformato"/>
        <w:numPr>
          <w:ilvl w:val="0"/>
          <w:numId w:val="25"/>
        </w:numPr>
        <w:ind w:left="567" w:right="616" w:firstLine="0"/>
        <w:jc w:val="both"/>
        <w:rPr>
          <w:rFonts w:ascii="ITC Avant Garde" w:hAnsi="ITC Avant Garde"/>
          <w:i/>
          <w:sz w:val="18"/>
          <w:szCs w:val="18"/>
        </w:rPr>
      </w:pPr>
      <w:r w:rsidRPr="005A2C79">
        <w:rPr>
          <w:rFonts w:ascii="ITC Avant Garde" w:hAnsi="ITC Avant Garde"/>
          <w:i/>
          <w:sz w:val="18"/>
          <w:szCs w:val="18"/>
        </w:rPr>
        <w:t>Cortes intermitentes o errores en circuito o puerto;</w:t>
      </w:r>
    </w:p>
    <w:p w14:paraId="4EBB326A" w14:textId="77777777" w:rsidR="005A2C79" w:rsidRPr="005A2C79" w:rsidRDefault="005A2C79" w:rsidP="005A2C79">
      <w:pPr>
        <w:pStyle w:val="Textosinformato"/>
        <w:numPr>
          <w:ilvl w:val="0"/>
          <w:numId w:val="25"/>
        </w:numPr>
        <w:ind w:left="567" w:right="616" w:firstLine="0"/>
        <w:jc w:val="both"/>
        <w:rPr>
          <w:rFonts w:ascii="ITC Avant Garde" w:hAnsi="ITC Avant Garde"/>
          <w:i/>
          <w:sz w:val="18"/>
          <w:szCs w:val="18"/>
        </w:rPr>
      </w:pPr>
      <w:r w:rsidRPr="005A2C79">
        <w:rPr>
          <w:rFonts w:ascii="ITC Avant Garde" w:hAnsi="ITC Avant Garde"/>
          <w:i/>
          <w:sz w:val="18"/>
          <w:szCs w:val="18"/>
        </w:rPr>
        <w:t>Degradación total del servicio;</w:t>
      </w:r>
    </w:p>
    <w:p w14:paraId="7E89DD0D" w14:textId="77777777" w:rsidR="005A2C79" w:rsidRPr="005A2C79" w:rsidRDefault="005A2C79" w:rsidP="005A2C79">
      <w:pPr>
        <w:pStyle w:val="Textosinformato"/>
        <w:numPr>
          <w:ilvl w:val="0"/>
          <w:numId w:val="25"/>
        </w:numPr>
        <w:ind w:left="567" w:right="616" w:firstLine="0"/>
        <w:jc w:val="both"/>
        <w:rPr>
          <w:rFonts w:ascii="ITC Avant Garde" w:hAnsi="ITC Avant Garde"/>
          <w:i/>
          <w:sz w:val="18"/>
          <w:szCs w:val="18"/>
        </w:rPr>
      </w:pPr>
      <w:r w:rsidRPr="005A2C79">
        <w:rPr>
          <w:rFonts w:ascii="ITC Avant Garde" w:hAnsi="ITC Avant Garde"/>
          <w:i/>
          <w:sz w:val="18"/>
          <w:szCs w:val="18"/>
        </w:rPr>
        <w:t>Cruces de llamadas en una ruta de interconexión;</w:t>
      </w:r>
    </w:p>
    <w:p w14:paraId="652AA894" w14:textId="5D84351E" w:rsidR="00C045C4" w:rsidRDefault="005A2C79" w:rsidP="005A2C79">
      <w:pPr>
        <w:pStyle w:val="Textosinformato"/>
        <w:numPr>
          <w:ilvl w:val="0"/>
          <w:numId w:val="25"/>
        </w:numPr>
        <w:ind w:left="567" w:right="616" w:firstLine="0"/>
        <w:jc w:val="both"/>
        <w:rPr>
          <w:rFonts w:ascii="ITC Avant Garde" w:hAnsi="ITC Avant Garde"/>
          <w:i/>
          <w:sz w:val="18"/>
          <w:szCs w:val="18"/>
        </w:rPr>
      </w:pPr>
      <w:r w:rsidRPr="005A2C79">
        <w:rPr>
          <w:rFonts w:ascii="ITC Avant Garde" w:hAnsi="ITC Avant Garde"/>
          <w:i/>
          <w:sz w:val="18"/>
          <w:szCs w:val="18"/>
        </w:rPr>
        <w:t>Corte parcial del servicio sin pérdida de tráfico;</w:t>
      </w:r>
    </w:p>
    <w:p w14:paraId="33F6A713" w14:textId="77777777" w:rsidR="005A2C79" w:rsidRPr="005A2C79" w:rsidRDefault="005A2C79" w:rsidP="005A2C79">
      <w:pPr>
        <w:pStyle w:val="Textosinformato"/>
        <w:ind w:left="567" w:right="616"/>
        <w:jc w:val="both"/>
        <w:rPr>
          <w:rFonts w:ascii="ITC Avant Garde" w:hAnsi="ITC Avant Garde"/>
          <w:i/>
          <w:sz w:val="18"/>
          <w:szCs w:val="18"/>
        </w:rPr>
      </w:pPr>
    </w:p>
    <w:p w14:paraId="6450D827" w14:textId="0A2C6BA7" w:rsidR="00C045C4" w:rsidRPr="00B56D15" w:rsidRDefault="00C045C4"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p>
    <w:p w14:paraId="0C814A14" w14:textId="77777777" w:rsidR="00C045C4" w:rsidRPr="00B56D15" w:rsidRDefault="00C045C4" w:rsidP="007D5396">
      <w:pPr>
        <w:spacing w:after="0" w:line="276" w:lineRule="auto"/>
        <w:ind w:left="0" w:right="49" w:firstLine="0"/>
        <w:rPr>
          <w:rFonts w:ascii="ITC Avant Garde" w:eastAsia="Times New Roman" w:hAnsi="ITC Avant Garde" w:cs="Times New Roman"/>
          <w:i/>
          <w:color w:val="auto"/>
        </w:rPr>
      </w:pPr>
    </w:p>
    <w:p w14:paraId="5703A90C" w14:textId="77777777" w:rsidR="00C045C4" w:rsidRPr="00B56D15" w:rsidRDefault="00C045C4" w:rsidP="007D5396">
      <w:pPr>
        <w:spacing w:after="0" w:line="276" w:lineRule="auto"/>
        <w:ind w:left="0"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Respecto al numeral 3.2, e</w:t>
      </w:r>
      <w:r w:rsidRPr="00B56D15">
        <w:rPr>
          <w:rFonts w:ascii="ITC Avant Garde" w:eastAsia="Times New Roman" w:hAnsi="ITC Avant Garde" w:cs="Times New Roman"/>
          <w:i/>
          <w:color w:val="auto"/>
        </w:rPr>
        <w:t xml:space="preserve">n el CMI 2017 se proponen tiempos para la solución de fallas superiores a lo que actualmente AT&amp;T tiene firmados con Telmex y registrados </w:t>
      </w:r>
      <w:r w:rsidRPr="00B56D15">
        <w:rPr>
          <w:rFonts w:ascii="ITC Avant Garde" w:eastAsia="Times New Roman" w:hAnsi="ITC Avant Garde" w:cs="Times New Roman"/>
          <w:i/>
          <w:color w:val="auto"/>
        </w:rPr>
        <w:lastRenderedPageBreak/>
        <w:t>ante el Instituto. Por lo anterior, se solicita que para Telmex y Telnor se mantengan y respeten los tiempos de solución de fallas firmados:</w:t>
      </w:r>
    </w:p>
    <w:p w14:paraId="42790BA6" w14:textId="77777777" w:rsidR="00C045C4" w:rsidRPr="00B56D15" w:rsidRDefault="00C045C4" w:rsidP="007D5396">
      <w:pPr>
        <w:spacing w:after="0" w:line="276" w:lineRule="auto"/>
        <w:ind w:left="0" w:right="49" w:firstLine="0"/>
        <w:rPr>
          <w:rFonts w:ascii="ITC Avant Garde" w:eastAsia="Times New Roman" w:hAnsi="ITC Avant Garde" w:cs="Times New Roman"/>
          <w:i/>
          <w:color w:val="auto"/>
        </w:rPr>
      </w:pPr>
    </w:p>
    <w:tbl>
      <w:tblPr>
        <w:tblStyle w:val="Tablaconcuadrcula"/>
        <w:tblW w:w="0" w:type="auto"/>
        <w:tblLook w:val="04A0" w:firstRow="1" w:lastRow="0" w:firstColumn="1" w:lastColumn="0" w:noHBand="0" w:noVBand="1"/>
        <w:tblCaption w:val="Tabla"/>
        <w:tblDescription w:val="Tiempos de solución de fallas"/>
      </w:tblPr>
      <w:tblGrid>
        <w:gridCol w:w="2207"/>
        <w:gridCol w:w="2207"/>
        <w:gridCol w:w="2207"/>
        <w:gridCol w:w="2207"/>
      </w:tblGrid>
      <w:tr w:rsidR="00C045C4" w:rsidRPr="00B56D15" w14:paraId="084D048D" w14:textId="77777777" w:rsidTr="00B6100E">
        <w:trPr>
          <w:tblHeader/>
        </w:trPr>
        <w:tc>
          <w:tcPr>
            <w:tcW w:w="2207" w:type="dxa"/>
          </w:tcPr>
          <w:p w14:paraId="38C0B46D" w14:textId="77777777" w:rsidR="00C045C4" w:rsidRPr="00B56D15" w:rsidRDefault="00C045C4"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Tipo de Servicio</w:t>
            </w:r>
          </w:p>
        </w:tc>
        <w:tc>
          <w:tcPr>
            <w:tcW w:w="4414" w:type="dxa"/>
            <w:gridSpan w:val="2"/>
          </w:tcPr>
          <w:p w14:paraId="53D67A43"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Prioridad 1 (Servicio Totalmente Afectado)</w:t>
            </w:r>
          </w:p>
        </w:tc>
        <w:tc>
          <w:tcPr>
            <w:tcW w:w="2207" w:type="dxa"/>
          </w:tcPr>
          <w:p w14:paraId="661D2CD0"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Prioridad 2 (Afectación Parcial)</w:t>
            </w:r>
          </w:p>
        </w:tc>
      </w:tr>
      <w:tr w:rsidR="00C045C4" w:rsidRPr="00B56D15" w14:paraId="1576DF6F" w14:textId="77777777" w:rsidTr="00C045C4">
        <w:tc>
          <w:tcPr>
            <w:tcW w:w="2207" w:type="dxa"/>
          </w:tcPr>
          <w:p w14:paraId="0DB458A9" w14:textId="77777777" w:rsidR="00C045C4" w:rsidRPr="00B56D15" w:rsidRDefault="00C045C4" w:rsidP="007D5396">
            <w:pPr>
              <w:spacing w:after="0" w:line="276" w:lineRule="auto"/>
              <w:ind w:left="0" w:right="49" w:firstLine="0"/>
              <w:rPr>
                <w:rFonts w:ascii="ITC Avant Garde" w:eastAsia="Times New Roman" w:hAnsi="ITC Avant Garde" w:cs="Times New Roman"/>
                <w:i/>
                <w:color w:val="auto"/>
              </w:rPr>
            </w:pPr>
          </w:p>
        </w:tc>
        <w:tc>
          <w:tcPr>
            <w:tcW w:w="2207" w:type="dxa"/>
          </w:tcPr>
          <w:p w14:paraId="5ABA1127"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80% resueltos</w:t>
            </w:r>
          </w:p>
        </w:tc>
        <w:tc>
          <w:tcPr>
            <w:tcW w:w="2207" w:type="dxa"/>
          </w:tcPr>
          <w:p w14:paraId="2F30E321"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100% resueltos</w:t>
            </w:r>
          </w:p>
        </w:tc>
        <w:tc>
          <w:tcPr>
            <w:tcW w:w="2207" w:type="dxa"/>
          </w:tcPr>
          <w:p w14:paraId="01863A4A"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100% resueltos</w:t>
            </w:r>
          </w:p>
        </w:tc>
      </w:tr>
      <w:tr w:rsidR="00C045C4" w:rsidRPr="00B56D15" w14:paraId="7B65C466" w14:textId="77777777" w:rsidTr="00C045C4">
        <w:tc>
          <w:tcPr>
            <w:tcW w:w="2207" w:type="dxa"/>
          </w:tcPr>
          <w:p w14:paraId="0C6661CC" w14:textId="77777777" w:rsidR="00C045C4" w:rsidRPr="00B56D15" w:rsidRDefault="00C045C4"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Interconexión</w:t>
            </w:r>
          </w:p>
        </w:tc>
        <w:tc>
          <w:tcPr>
            <w:tcW w:w="2207" w:type="dxa"/>
          </w:tcPr>
          <w:p w14:paraId="4EC27E20"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3 Hrs</w:t>
            </w:r>
          </w:p>
        </w:tc>
        <w:tc>
          <w:tcPr>
            <w:tcW w:w="2207" w:type="dxa"/>
          </w:tcPr>
          <w:p w14:paraId="166D7DDD"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4 Hrs</w:t>
            </w:r>
          </w:p>
        </w:tc>
        <w:tc>
          <w:tcPr>
            <w:tcW w:w="2207" w:type="dxa"/>
          </w:tcPr>
          <w:p w14:paraId="01823632" w14:textId="77777777" w:rsidR="00C045C4" w:rsidRPr="00B56D15" w:rsidRDefault="00C045C4"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6 Hrs</w:t>
            </w:r>
          </w:p>
        </w:tc>
      </w:tr>
    </w:tbl>
    <w:p w14:paraId="02F28EEC" w14:textId="77777777" w:rsidR="00C5272E" w:rsidRPr="004E2586" w:rsidRDefault="00C5272E" w:rsidP="00A7534A">
      <w:pPr>
        <w:spacing w:line="276" w:lineRule="auto"/>
        <w:ind w:left="0" w:firstLine="0"/>
        <w:rPr>
          <w:rFonts w:ascii="ITC Avant Garde" w:hAnsi="ITC Avant Garde"/>
          <w:i/>
          <w:color w:val="auto"/>
        </w:rPr>
      </w:pPr>
    </w:p>
    <w:p w14:paraId="5102022D" w14:textId="2B5EA16F" w:rsidR="002E6853" w:rsidRPr="004E2586" w:rsidRDefault="002E6853" w:rsidP="007D5396">
      <w:pPr>
        <w:spacing w:line="276" w:lineRule="auto"/>
        <w:ind w:firstLine="0"/>
        <w:rPr>
          <w:rFonts w:ascii="ITC Avant Garde" w:hAnsi="ITC Avant Garde"/>
          <w:b/>
          <w:color w:val="auto"/>
        </w:rPr>
      </w:pPr>
      <w:r w:rsidRPr="004E2586">
        <w:rPr>
          <w:rFonts w:ascii="ITC Avant Garde" w:hAnsi="ITC Avant Garde"/>
          <w:b/>
          <w:color w:val="auto"/>
        </w:rPr>
        <w:t>Axtel y Alestra:</w:t>
      </w:r>
    </w:p>
    <w:p w14:paraId="551A6C43" w14:textId="77777777" w:rsidR="002E6853" w:rsidRPr="004E2586" w:rsidRDefault="002E6853" w:rsidP="007D5396">
      <w:pPr>
        <w:spacing w:line="276" w:lineRule="auto"/>
        <w:ind w:firstLine="0"/>
        <w:rPr>
          <w:rFonts w:ascii="ITC Avant Garde" w:hAnsi="ITC Avant Garde"/>
          <w:color w:val="auto"/>
        </w:rPr>
      </w:pPr>
    </w:p>
    <w:p w14:paraId="09335D2E" w14:textId="6CEA96F7" w:rsidR="002E6853" w:rsidRPr="004E2586" w:rsidRDefault="00D72DC5" w:rsidP="007D5396">
      <w:pPr>
        <w:spacing w:line="276" w:lineRule="auto"/>
        <w:ind w:firstLine="0"/>
        <w:rPr>
          <w:rFonts w:ascii="ITC Avant Garde" w:hAnsi="ITC Avant Garde"/>
          <w:i/>
          <w:color w:val="auto"/>
        </w:rPr>
      </w:pPr>
      <w:r>
        <w:rPr>
          <w:rFonts w:ascii="ITC Avant Garde" w:hAnsi="ITC Avant Garde"/>
          <w:i/>
          <w:color w:val="auto"/>
        </w:rPr>
        <w:t>En el numeral 3.2, i</w:t>
      </w:r>
      <w:r w:rsidR="002E6853" w:rsidRPr="004E2586">
        <w:rPr>
          <w:rFonts w:ascii="ITC Avant Garde" w:hAnsi="ITC Avant Garde"/>
          <w:i/>
          <w:color w:val="auto"/>
        </w:rPr>
        <w:t>ncorporar los plazos de reparación siguientes:</w:t>
      </w:r>
    </w:p>
    <w:p w14:paraId="128A5C2B" w14:textId="77777777" w:rsidR="002E6853" w:rsidRPr="004E2586" w:rsidRDefault="002E6853" w:rsidP="007D5396">
      <w:pPr>
        <w:spacing w:line="276" w:lineRule="auto"/>
        <w:ind w:firstLine="0"/>
        <w:rPr>
          <w:rFonts w:ascii="ITC Avant Garde" w:hAnsi="ITC Avant Garde"/>
          <w:i/>
          <w:color w:val="auto"/>
        </w:rPr>
      </w:pPr>
    </w:p>
    <w:p w14:paraId="60FEA8C6" w14:textId="3CA6CC91" w:rsidR="002E6853" w:rsidRPr="004E2586" w:rsidRDefault="002E6853" w:rsidP="007D5396">
      <w:pPr>
        <w:pStyle w:val="Prrafodelista"/>
        <w:numPr>
          <w:ilvl w:val="0"/>
          <w:numId w:val="4"/>
        </w:numPr>
        <w:spacing w:line="276" w:lineRule="auto"/>
        <w:ind w:left="284" w:firstLine="0"/>
        <w:rPr>
          <w:rFonts w:ascii="ITC Avant Garde" w:hAnsi="ITC Avant Garde"/>
          <w:i/>
          <w:color w:val="auto"/>
        </w:rPr>
      </w:pPr>
      <w:r w:rsidRPr="004E2586">
        <w:rPr>
          <w:rFonts w:ascii="ITC Avant Garde" w:hAnsi="ITC Avant Garde"/>
          <w:i/>
          <w:color w:val="auto"/>
        </w:rPr>
        <w:t>Tiempos máxim</w:t>
      </w:r>
      <w:r w:rsidR="00B06B3C" w:rsidRPr="004E2586">
        <w:rPr>
          <w:rFonts w:ascii="ITC Avant Garde" w:hAnsi="ITC Avant Garde"/>
          <w:i/>
          <w:color w:val="auto"/>
        </w:rPr>
        <w:t xml:space="preserve">os de solución para tráfico no </w:t>
      </w:r>
      <w:r w:rsidRPr="004E2586">
        <w:rPr>
          <w:rFonts w:ascii="ITC Avant Garde" w:hAnsi="ITC Avant Garde"/>
          <w:i/>
          <w:color w:val="auto"/>
        </w:rPr>
        <w:t>terminado: 24 horas</w:t>
      </w:r>
    </w:p>
    <w:p w14:paraId="249D94E4" w14:textId="5FFB6B4F" w:rsidR="002E6853" w:rsidRPr="004E2586" w:rsidRDefault="002E6853" w:rsidP="007D5396">
      <w:pPr>
        <w:pStyle w:val="Prrafodelista"/>
        <w:numPr>
          <w:ilvl w:val="0"/>
          <w:numId w:val="4"/>
        </w:numPr>
        <w:spacing w:line="276" w:lineRule="auto"/>
        <w:ind w:left="284" w:firstLine="0"/>
        <w:rPr>
          <w:rFonts w:ascii="ITC Avant Garde" w:hAnsi="ITC Avant Garde"/>
          <w:i/>
          <w:color w:val="auto"/>
        </w:rPr>
      </w:pPr>
      <w:r w:rsidRPr="004E2586">
        <w:rPr>
          <w:rFonts w:ascii="ITC Avant Garde" w:hAnsi="ITC Avant Garde"/>
          <w:i/>
          <w:color w:val="auto"/>
        </w:rPr>
        <w:t>Tiempos máximos de solución para dismi</w:t>
      </w:r>
      <w:r w:rsidR="00C045C4">
        <w:rPr>
          <w:rFonts w:ascii="ITC Avant Garde" w:hAnsi="ITC Avant Garde"/>
          <w:i/>
          <w:color w:val="auto"/>
        </w:rPr>
        <w:t>nución de capacidades: 24 horas.</w:t>
      </w:r>
    </w:p>
    <w:p w14:paraId="4C65A3F4" w14:textId="77777777" w:rsidR="002E6853" w:rsidRPr="00E634EB" w:rsidRDefault="002E6853" w:rsidP="007D5396">
      <w:pPr>
        <w:spacing w:line="276" w:lineRule="auto"/>
        <w:ind w:firstLine="0"/>
        <w:rPr>
          <w:rFonts w:ascii="ITC Avant Garde" w:hAnsi="ITC Avant Garde"/>
          <w:i/>
          <w:color w:val="auto"/>
        </w:rPr>
      </w:pPr>
    </w:p>
    <w:p w14:paraId="2B2BD65C" w14:textId="2C5DE08C" w:rsidR="00834706" w:rsidRPr="00E634EB" w:rsidRDefault="00523100" w:rsidP="007D5396">
      <w:pPr>
        <w:spacing w:line="276" w:lineRule="auto"/>
        <w:ind w:firstLine="0"/>
        <w:rPr>
          <w:rFonts w:ascii="ITC Avant Garde" w:hAnsi="ITC Avant Garde"/>
          <w:color w:val="auto"/>
        </w:rPr>
      </w:pPr>
      <w:r w:rsidRPr="00E634EB">
        <w:rPr>
          <w:rFonts w:ascii="ITC Avant Garde" w:hAnsi="ITC Avant Garde"/>
          <w:color w:val="auto"/>
        </w:rPr>
        <w:t>Al respecto, se señala que los plazos máximos para la solución de fallas establecidos en la Propuesta de CMI son acordes a lo establecido en la Medida Vigésima de las Medidas Fijas.</w:t>
      </w:r>
    </w:p>
    <w:p w14:paraId="4BCB618F" w14:textId="77777777" w:rsidR="00834706" w:rsidRDefault="00834706" w:rsidP="007D5396">
      <w:pPr>
        <w:spacing w:line="276" w:lineRule="auto"/>
        <w:ind w:firstLine="0"/>
        <w:rPr>
          <w:rFonts w:ascii="ITC Avant Garde" w:hAnsi="ITC Avant Garde"/>
          <w:b/>
          <w:color w:val="auto"/>
        </w:rPr>
      </w:pPr>
    </w:p>
    <w:p w14:paraId="20BC8639" w14:textId="6863EE99" w:rsidR="002E6853" w:rsidRPr="00B56D15" w:rsidRDefault="002E6853"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7B75F180" w14:textId="77777777" w:rsidR="002E6853" w:rsidRPr="00B56D15" w:rsidRDefault="002E6853" w:rsidP="007D5396">
      <w:pPr>
        <w:spacing w:line="276" w:lineRule="auto"/>
        <w:ind w:firstLine="0"/>
        <w:rPr>
          <w:rFonts w:ascii="ITC Avant Garde" w:hAnsi="ITC Avant Garde"/>
          <w:color w:val="auto"/>
        </w:rPr>
      </w:pPr>
    </w:p>
    <w:p w14:paraId="76BEAF90" w14:textId="5CC5442A" w:rsidR="002E6853" w:rsidRPr="00B56D15" w:rsidRDefault="002E6853" w:rsidP="007D5396">
      <w:pPr>
        <w:spacing w:line="276" w:lineRule="auto"/>
        <w:ind w:firstLine="0"/>
        <w:rPr>
          <w:rFonts w:ascii="ITC Avant Garde" w:hAnsi="ITC Avant Garde"/>
          <w:i/>
          <w:color w:val="auto"/>
        </w:rPr>
      </w:pPr>
      <w:r w:rsidRPr="00B56D15">
        <w:rPr>
          <w:rFonts w:ascii="ITC Avant Garde" w:hAnsi="ITC Avant Garde"/>
          <w:i/>
          <w:color w:val="auto"/>
        </w:rPr>
        <w:t>Se aplican criterios distintos para atención y solución de fallas, entre los Anexos H (arrendamiento de enlaces dedicados de interconexión) y E (Calidad).</w:t>
      </w:r>
    </w:p>
    <w:p w14:paraId="0C620F17" w14:textId="77777777" w:rsidR="002E6853" w:rsidRPr="00B56D15" w:rsidRDefault="002E6853" w:rsidP="007D5396">
      <w:pPr>
        <w:spacing w:line="276" w:lineRule="auto"/>
        <w:ind w:firstLine="0"/>
        <w:rPr>
          <w:rFonts w:ascii="ITC Avant Garde" w:hAnsi="ITC Avant Garde"/>
          <w:i/>
          <w:color w:val="auto"/>
        </w:rPr>
      </w:pPr>
    </w:p>
    <w:p w14:paraId="28E9AEDD" w14:textId="2711EBFA" w:rsidR="002E6853" w:rsidRPr="00B56D15" w:rsidRDefault="002E6853" w:rsidP="007D5396">
      <w:pPr>
        <w:spacing w:line="276" w:lineRule="auto"/>
        <w:ind w:firstLine="0"/>
        <w:rPr>
          <w:rFonts w:ascii="ITC Avant Garde" w:hAnsi="ITC Avant Garde"/>
          <w:i/>
          <w:color w:val="auto"/>
        </w:rPr>
      </w:pPr>
      <w:r w:rsidRPr="00B56D15">
        <w:rPr>
          <w:rFonts w:ascii="ITC Avant Garde" w:hAnsi="ITC Avant Garde"/>
          <w:i/>
          <w:color w:val="auto"/>
        </w:rPr>
        <w:t xml:space="preserve">Unificar los criterios de los Anexos </w:t>
      </w:r>
      <w:r w:rsidR="002E06EC">
        <w:rPr>
          <w:rFonts w:ascii="ITC Avant Garde" w:hAnsi="ITC Avant Garde"/>
          <w:i/>
          <w:color w:val="auto"/>
        </w:rPr>
        <w:t>E</w:t>
      </w:r>
      <w:r w:rsidRPr="00B56D15">
        <w:rPr>
          <w:rFonts w:ascii="ITC Avant Garde" w:hAnsi="ITC Avant Garde"/>
          <w:i/>
          <w:color w:val="auto"/>
        </w:rPr>
        <w:t xml:space="preserve"> y </w:t>
      </w:r>
      <w:r w:rsidR="002E06EC">
        <w:rPr>
          <w:rFonts w:ascii="ITC Avant Garde" w:hAnsi="ITC Avant Garde"/>
          <w:i/>
          <w:color w:val="auto"/>
        </w:rPr>
        <w:t>H</w:t>
      </w:r>
      <w:r w:rsidRPr="00B56D15">
        <w:rPr>
          <w:rFonts w:ascii="ITC Avant Garde" w:hAnsi="ITC Avant Garde"/>
          <w:i/>
          <w:color w:val="auto"/>
        </w:rPr>
        <w:t>, con el que ofrezca el mejo</w:t>
      </w:r>
      <w:r w:rsidR="00856FFD">
        <w:rPr>
          <w:rFonts w:ascii="ITC Avant Garde" w:hAnsi="ITC Avant Garde"/>
          <w:i/>
          <w:color w:val="auto"/>
        </w:rPr>
        <w:t>r tiempo de solución de fallas.</w:t>
      </w:r>
    </w:p>
    <w:p w14:paraId="45BFED41" w14:textId="77777777" w:rsidR="00AD3591" w:rsidRPr="00E634EB" w:rsidRDefault="00AD3591" w:rsidP="007D5396">
      <w:pPr>
        <w:spacing w:after="0" w:line="276" w:lineRule="auto"/>
        <w:ind w:left="0" w:right="49" w:firstLine="0"/>
        <w:rPr>
          <w:rFonts w:ascii="ITC Avant Garde" w:eastAsia="Times New Roman" w:hAnsi="ITC Avant Garde" w:cs="Times New Roman"/>
          <w:b/>
          <w:i/>
          <w:color w:val="auto"/>
        </w:rPr>
      </w:pPr>
    </w:p>
    <w:p w14:paraId="51A5822D" w14:textId="393D9D57" w:rsidR="00785D45" w:rsidRPr="00E634EB" w:rsidRDefault="00523100" w:rsidP="00523100">
      <w:pPr>
        <w:spacing w:line="276" w:lineRule="auto"/>
        <w:ind w:firstLine="0"/>
        <w:rPr>
          <w:iCs/>
          <w:color w:val="auto"/>
        </w:rPr>
      </w:pPr>
      <w:r w:rsidRPr="00E634EB">
        <w:rPr>
          <w:rFonts w:ascii="ITC Avant Garde" w:hAnsi="ITC Avant Garde"/>
          <w:color w:val="auto"/>
        </w:rPr>
        <w:t>Al respecto, se señala que el Anexo H contiene los términos, condiciones y parámetros de calidad bajo los cuales se prestará el Servicio de Arrendamiento de Enlaces Dedicados de Interconexión cuyas características difieren de los servicios a los que hace referencia el Anexo E Calidad como lo son: puertos de señalización, coubicación, facturación y tránsito por lo que no es posible homologar los parámetros de calidad así como los términos y condiciones de dichos servicios.</w:t>
      </w:r>
    </w:p>
    <w:p w14:paraId="4A9CFA0C" w14:textId="77777777" w:rsidR="002E6853" w:rsidRPr="00B56D15" w:rsidRDefault="002E6853" w:rsidP="007D5396">
      <w:pPr>
        <w:spacing w:after="0" w:line="276" w:lineRule="auto"/>
        <w:ind w:left="-5" w:right="49" w:firstLine="0"/>
        <w:rPr>
          <w:rFonts w:ascii="ITC Avant Garde" w:hAnsi="ITC Avant Garde"/>
          <w:b/>
          <w:color w:val="auto"/>
        </w:rPr>
      </w:pPr>
    </w:p>
    <w:p w14:paraId="3AC70EF4" w14:textId="2E08E1C8" w:rsidR="002E6853" w:rsidRPr="00B56D15" w:rsidRDefault="002E6853" w:rsidP="007D5396">
      <w:pPr>
        <w:spacing w:line="276" w:lineRule="auto"/>
        <w:ind w:firstLine="0"/>
        <w:rPr>
          <w:rFonts w:ascii="ITC Avant Garde" w:hAnsi="ITC Avant Garde"/>
          <w:b/>
          <w:color w:val="auto"/>
        </w:rPr>
      </w:pPr>
      <w:r w:rsidRPr="003260DF">
        <w:rPr>
          <w:rFonts w:ascii="ITC Avant Garde" w:hAnsi="ITC Avant Garde"/>
          <w:b/>
          <w:color w:val="auto"/>
        </w:rPr>
        <w:t>Axtel y Alestra:</w:t>
      </w:r>
    </w:p>
    <w:p w14:paraId="01958A4D" w14:textId="77777777" w:rsidR="002E6853" w:rsidRPr="00B56D15" w:rsidRDefault="002E6853" w:rsidP="007D5396">
      <w:pPr>
        <w:spacing w:line="276" w:lineRule="auto"/>
        <w:ind w:firstLine="0"/>
        <w:rPr>
          <w:rFonts w:ascii="ITC Avant Garde" w:hAnsi="ITC Avant Garde"/>
          <w:color w:val="auto"/>
        </w:rPr>
      </w:pPr>
    </w:p>
    <w:p w14:paraId="03E6EC08" w14:textId="58676B38" w:rsidR="002E6853" w:rsidRDefault="003260DF" w:rsidP="007D5396">
      <w:pPr>
        <w:spacing w:line="276" w:lineRule="auto"/>
        <w:ind w:firstLine="0"/>
        <w:rPr>
          <w:rFonts w:ascii="ITC Avant Garde" w:hAnsi="ITC Avant Garde"/>
          <w:i/>
          <w:color w:val="auto"/>
        </w:rPr>
      </w:pPr>
      <w:r>
        <w:rPr>
          <w:rFonts w:ascii="ITC Avant Garde" w:hAnsi="ITC Avant Garde"/>
          <w:i/>
          <w:color w:val="auto"/>
        </w:rPr>
        <w:t>Respecto al numeral 4 Contingencias, s</w:t>
      </w:r>
      <w:r w:rsidR="002E6853" w:rsidRPr="00B56D15">
        <w:rPr>
          <w:rFonts w:ascii="ITC Avant Garde" w:hAnsi="ITC Avant Garde"/>
          <w:i/>
          <w:color w:val="auto"/>
        </w:rPr>
        <w:t>e especifica que el criterio para aplicar las medidas de contingencia, sea cuando una falla afecte más del 50% del tráfico de un NIR o no pueda ser resuelta en el plazo máximo establecido en el numeral 3.1.</w:t>
      </w:r>
      <w:r>
        <w:rPr>
          <w:rFonts w:ascii="ITC Avant Garde" w:hAnsi="ITC Avant Garde"/>
          <w:i/>
          <w:color w:val="auto"/>
        </w:rPr>
        <w:t xml:space="preserve"> </w:t>
      </w:r>
      <w:r>
        <w:rPr>
          <w:rFonts w:ascii="ITC Avant Garde" w:hAnsi="ITC Avant Garde"/>
          <w:i/>
          <w:color w:val="auto"/>
        </w:rPr>
        <w:lastRenderedPageBreak/>
        <w:t xml:space="preserve">Se propone aplicar </w:t>
      </w:r>
      <w:r w:rsidR="002E6853" w:rsidRPr="00B56D15">
        <w:rPr>
          <w:rFonts w:ascii="ITC Avant Garde" w:hAnsi="ITC Avant Garde"/>
          <w:i/>
          <w:color w:val="auto"/>
        </w:rPr>
        <w:t>la contingencia cuando se tenga cualquier tipo de afectación a petición de l</w:t>
      </w:r>
      <w:r>
        <w:rPr>
          <w:rFonts w:ascii="ITC Avant Garde" w:hAnsi="ITC Avant Garde"/>
          <w:i/>
          <w:color w:val="auto"/>
        </w:rPr>
        <w:t xml:space="preserve">os </w:t>
      </w:r>
      <w:r w:rsidR="00930A66">
        <w:rPr>
          <w:rFonts w:ascii="ITC Avant Garde" w:hAnsi="ITC Avant Garde"/>
          <w:i/>
          <w:color w:val="auto"/>
        </w:rPr>
        <w:t>CS</w:t>
      </w:r>
      <w:r>
        <w:rPr>
          <w:rFonts w:ascii="ITC Avant Garde" w:hAnsi="ITC Avant Garde"/>
          <w:i/>
          <w:color w:val="auto"/>
        </w:rPr>
        <w:t>.</w:t>
      </w:r>
    </w:p>
    <w:p w14:paraId="6D49E4C7" w14:textId="77777777" w:rsidR="009B1302" w:rsidRDefault="009B1302" w:rsidP="007D5396">
      <w:pPr>
        <w:spacing w:line="276" w:lineRule="auto"/>
        <w:ind w:firstLine="0"/>
        <w:rPr>
          <w:rFonts w:ascii="ITC Avant Garde" w:hAnsi="ITC Avant Garde"/>
          <w:i/>
          <w:color w:val="auto"/>
        </w:rPr>
      </w:pPr>
    </w:p>
    <w:p w14:paraId="6FF42AE8" w14:textId="77777777" w:rsidR="003D1FA8" w:rsidRPr="00E634EB" w:rsidRDefault="003D1FA8" w:rsidP="003D1FA8">
      <w:pPr>
        <w:pStyle w:val="IFT1"/>
        <w:tabs>
          <w:tab w:val="left" w:pos="426"/>
        </w:tabs>
        <w:spacing w:after="0"/>
        <w:rPr>
          <w:rFonts w:eastAsia="Avant Garde" w:cs="Avant Garde"/>
          <w:iCs w:val="0"/>
          <w:lang w:eastAsia="es-MX"/>
        </w:rPr>
      </w:pPr>
      <w:r w:rsidRPr="00E634EB">
        <w:rPr>
          <w:rFonts w:eastAsia="Avant Garde" w:cs="Avant Garde"/>
          <w:iCs w:val="0"/>
          <w:lang w:eastAsia="es-MX"/>
        </w:rPr>
        <w:t xml:space="preserve">Al respecto, se señala que con el fin de favorecer la prestación del servicio de forma eficiente deben establecerse criterios objetivos que proporcionen certeza sobre la forma de proceder en caso de falta de capacidad, incrementos de capacidad, esquemas de redundancia y, en el caso particular la aplicación de medidas de contingencia. </w:t>
      </w:r>
    </w:p>
    <w:p w14:paraId="051EFFBE" w14:textId="77777777" w:rsidR="003D1FA8" w:rsidRPr="00E634EB" w:rsidRDefault="003D1FA8" w:rsidP="003D1FA8">
      <w:pPr>
        <w:pStyle w:val="IFT1"/>
        <w:tabs>
          <w:tab w:val="left" w:pos="426"/>
        </w:tabs>
        <w:spacing w:after="0"/>
        <w:rPr>
          <w:rFonts w:eastAsia="Avant Garde" w:cs="Avant Garde"/>
          <w:iCs w:val="0"/>
          <w:lang w:eastAsia="es-MX"/>
        </w:rPr>
      </w:pPr>
    </w:p>
    <w:p w14:paraId="39E8A6DD" w14:textId="1145E070" w:rsidR="003260DF" w:rsidRPr="00E634EB" w:rsidRDefault="003D1FA8" w:rsidP="003D1FA8">
      <w:pPr>
        <w:pStyle w:val="IFT1"/>
        <w:tabs>
          <w:tab w:val="left" w:pos="426"/>
        </w:tabs>
        <w:spacing w:after="0"/>
        <w:rPr>
          <w:rFonts w:eastAsia="Avant Garde" w:cs="Avant Garde"/>
          <w:iCs w:val="0"/>
          <w:lang w:eastAsia="es-MX"/>
        </w:rPr>
      </w:pPr>
      <w:r w:rsidRPr="00E634EB">
        <w:rPr>
          <w:rFonts w:eastAsia="Avant Garde" w:cs="Avant Garde"/>
          <w:iCs w:val="0"/>
          <w:lang w:eastAsia="es-MX"/>
        </w:rPr>
        <w:t>Es así que dependiendo del tipo de falla, tiempo de solución, afectación y solución de la misma en algunos casos resultará más eficiente esperar a la solución de la falla que emplear el procedimiento establecido para la atención de contingencias, es así que no resulta factible que dicho procedimiento se emplee ante cualquier tipo de afectación y sin certeza sobre el momento en que se deberá emplear, es decir, sujeto únicamente a la petición del CS. Por lo anterior, a efecto de contar con criterios objetivos se mantienen los criterios en la Propuesta de CMI para la aplicación de contingencias.</w:t>
      </w:r>
    </w:p>
    <w:p w14:paraId="173C776B" w14:textId="77777777" w:rsidR="003D1FA8" w:rsidRPr="00E634EB" w:rsidRDefault="003D1FA8" w:rsidP="003D1FA8">
      <w:pPr>
        <w:pStyle w:val="IFT1"/>
        <w:tabs>
          <w:tab w:val="left" w:pos="426"/>
        </w:tabs>
        <w:spacing w:after="0"/>
        <w:rPr>
          <w:rFonts w:eastAsia="Avant Garde" w:cs="Avant Garde"/>
          <w:iCs w:val="0"/>
          <w:lang w:eastAsia="es-MX"/>
        </w:rPr>
      </w:pPr>
    </w:p>
    <w:p w14:paraId="34833E0C" w14:textId="22E9AA15" w:rsidR="003260DF" w:rsidRPr="007D3019" w:rsidRDefault="003260DF" w:rsidP="007D5396">
      <w:pPr>
        <w:spacing w:line="276" w:lineRule="auto"/>
        <w:ind w:firstLine="0"/>
        <w:rPr>
          <w:rFonts w:ascii="ITC Avant Garde" w:hAnsi="ITC Avant Garde"/>
          <w:b/>
          <w:color w:val="auto"/>
          <w:u w:val="single"/>
        </w:rPr>
      </w:pPr>
      <w:r w:rsidRPr="007D3019">
        <w:rPr>
          <w:rFonts w:ascii="ITC Avant Garde" w:hAnsi="ITC Avant Garde"/>
          <w:b/>
          <w:color w:val="auto"/>
          <w:u w:val="single"/>
        </w:rPr>
        <w:t>Comentario</w:t>
      </w:r>
      <w:r>
        <w:rPr>
          <w:rFonts w:ascii="ITC Avant Garde" w:hAnsi="ITC Avant Garde"/>
          <w:b/>
          <w:color w:val="auto"/>
          <w:u w:val="single"/>
        </w:rPr>
        <w:t>s</w:t>
      </w:r>
      <w:r w:rsidRPr="007D3019">
        <w:rPr>
          <w:rFonts w:ascii="ITC Avant Garde" w:hAnsi="ITC Avant Garde"/>
          <w:b/>
          <w:color w:val="auto"/>
          <w:u w:val="single"/>
        </w:rPr>
        <w:t xml:space="preserve"> emitido</w:t>
      </w:r>
      <w:r>
        <w:rPr>
          <w:rFonts w:ascii="ITC Avant Garde" w:hAnsi="ITC Avant Garde"/>
          <w:b/>
          <w:color w:val="auto"/>
          <w:u w:val="single"/>
        </w:rPr>
        <w:t>s</w:t>
      </w:r>
      <w:r w:rsidRPr="007D3019">
        <w:rPr>
          <w:rFonts w:ascii="ITC Avant Garde" w:hAnsi="ITC Avant Garde"/>
          <w:b/>
          <w:color w:val="auto"/>
          <w:u w:val="single"/>
        </w:rPr>
        <w:t xml:space="preserve"> al </w:t>
      </w:r>
      <w:r>
        <w:rPr>
          <w:rFonts w:ascii="ITC Avant Garde" w:hAnsi="ITC Avant Garde"/>
          <w:b/>
          <w:color w:val="auto"/>
          <w:u w:val="single"/>
        </w:rPr>
        <w:t xml:space="preserve">ANEXO </w:t>
      </w:r>
      <w:r w:rsidR="00836E2B">
        <w:rPr>
          <w:rFonts w:ascii="ITC Avant Garde" w:hAnsi="ITC Avant Garde"/>
          <w:b/>
          <w:color w:val="auto"/>
          <w:u w:val="single"/>
        </w:rPr>
        <w:t>G</w:t>
      </w:r>
    </w:p>
    <w:p w14:paraId="33B30F80" w14:textId="77777777" w:rsidR="00602665" w:rsidRDefault="00602665" w:rsidP="007D5396">
      <w:pPr>
        <w:spacing w:line="276" w:lineRule="auto"/>
        <w:ind w:firstLine="0"/>
        <w:rPr>
          <w:rFonts w:ascii="ITC Avant Garde" w:hAnsi="ITC Avant Garde"/>
          <w:i/>
          <w:color w:val="auto"/>
        </w:rPr>
      </w:pPr>
    </w:p>
    <w:p w14:paraId="45221244" w14:textId="7ACDBC2D" w:rsidR="00D43EFC" w:rsidRPr="00B56D15" w:rsidRDefault="00D43EFC"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47238C73" w14:textId="77777777" w:rsidR="00D43EFC" w:rsidRPr="00B56D15" w:rsidRDefault="00D43EFC" w:rsidP="007D5396">
      <w:pPr>
        <w:spacing w:line="276" w:lineRule="auto"/>
        <w:ind w:firstLine="0"/>
        <w:rPr>
          <w:rFonts w:ascii="ITC Avant Garde" w:hAnsi="ITC Avant Garde"/>
          <w:i/>
          <w:color w:val="auto"/>
        </w:rPr>
      </w:pPr>
    </w:p>
    <w:p w14:paraId="7A6F20D1" w14:textId="19911F6B" w:rsidR="00D43EFC" w:rsidRDefault="003260DF" w:rsidP="007D5396">
      <w:pPr>
        <w:spacing w:line="276" w:lineRule="auto"/>
        <w:ind w:firstLine="0"/>
        <w:rPr>
          <w:rFonts w:ascii="ITC Avant Garde" w:hAnsi="ITC Avant Garde" w:cs="Times New Roman"/>
          <w:i/>
          <w:color w:val="auto"/>
        </w:rPr>
      </w:pPr>
      <w:r>
        <w:rPr>
          <w:rFonts w:ascii="ITC Avant Garde" w:hAnsi="ITC Avant Garde" w:cs="Times New Roman"/>
          <w:i/>
          <w:color w:val="auto"/>
        </w:rPr>
        <w:t>Respecto al numeral 2.3 Capacidad de los Servicios, l</w:t>
      </w:r>
      <w:r w:rsidR="00D43EFC" w:rsidRPr="00B56D15">
        <w:rPr>
          <w:rFonts w:ascii="ITC Avant Garde" w:hAnsi="ITC Avant Garde" w:cs="Times New Roman"/>
          <w:i/>
          <w:color w:val="auto"/>
        </w:rPr>
        <w:t xml:space="preserve">a propuesta del AEP no incluye toda la gama de velocidades que está obligado a ofrecer a los CS de acuerdo a lo establecido en las Medidas de preponderancia. </w:t>
      </w:r>
    </w:p>
    <w:p w14:paraId="6F6F00FE" w14:textId="77777777" w:rsidR="003260DF" w:rsidRPr="00B56D15" w:rsidRDefault="003260DF" w:rsidP="007D5396">
      <w:pPr>
        <w:spacing w:line="276" w:lineRule="auto"/>
        <w:ind w:firstLine="0"/>
        <w:rPr>
          <w:rFonts w:ascii="ITC Avant Garde" w:hAnsi="ITC Avant Garde" w:cs="Times New Roman"/>
          <w:i/>
          <w:color w:val="auto"/>
        </w:rPr>
      </w:pPr>
    </w:p>
    <w:p w14:paraId="08954E1E" w14:textId="00F3D85A" w:rsidR="00D43EFC" w:rsidRPr="00B56D15" w:rsidRDefault="00D43EFC" w:rsidP="007D5396">
      <w:pPr>
        <w:spacing w:line="276" w:lineRule="auto"/>
        <w:ind w:firstLine="0"/>
        <w:rPr>
          <w:rFonts w:ascii="ITC Avant Garde" w:hAnsi="ITC Avant Garde" w:cs="Times New Roman"/>
          <w:i/>
          <w:color w:val="auto"/>
        </w:rPr>
      </w:pPr>
      <w:r w:rsidRPr="00B56D15">
        <w:rPr>
          <w:rFonts w:ascii="ITC Avant Garde" w:hAnsi="ITC Avant Garde" w:cs="Times New Roman"/>
          <w:i/>
          <w:color w:val="auto"/>
        </w:rPr>
        <w:t>Se solicita que las velocidades incluidas en el CMI sean las mismas que ya están establecidas en el Anexo 2 de</w:t>
      </w:r>
      <w:r w:rsidR="003260DF">
        <w:rPr>
          <w:rFonts w:ascii="ITC Avant Garde" w:hAnsi="ITC Avant Garde" w:cs="Times New Roman"/>
          <w:i/>
          <w:color w:val="auto"/>
        </w:rPr>
        <w:t xml:space="preserve"> las Medidas de Preponderancia.</w:t>
      </w:r>
    </w:p>
    <w:p w14:paraId="2B66702C" w14:textId="77777777" w:rsidR="00B97FDB" w:rsidRPr="00E634EB" w:rsidRDefault="00B97FDB" w:rsidP="007D5396">
      <w:pPr>
        <w:spacing w:line="276" w:lineRule="auto"/>
        <w:ind w:firstLine="0"/>
        <w:rPr>
          <w:rFonts w:ascii="ITC Avant Garde" w:hAnsi="ITC Avant Garde"/>
          <w:color w:val="auto"/>
        </w:rPr>
      </w:pPr>
    </w:p>
    <w:p w14:paraId="62E285AD" w14:textId="62F6FBEB" w:rsidR="00D43EFC" w:rsidRPr="00E634EB" w:rsidRDefault="00B97FDB" w:rsidP="007D5396">
      <w:pPr>
        <w:spacing w:line="276" w:lineRule="auto"/>
        <w:ind w:firstLine="0"/>
        <w:rPr>
          <w:rFonts w:ascii="ITC Avant Garde" w:hAnsi="ITC Avant Garde"/>
          <w:i/>
          <w:color w:val="auto"/>
        </w:rPr>
      </w:pPr>
      <w:r w:rsidRPr="00E634EB">
        <w:rPr>
          <w:rFonts w:ascii="ITC Avant Garde" w:hAnsi="ITC Avant Garde"/>
          <w:color w:val="auto"/>
        </w:rPr>
        <w:t xml:space="preserve">Respecto al comentario anterior y con el fin dar cabal cumplimiento a lo señalado en las Medidas Fijas, se modifica el contenido del anexo en comento para señalar las distintas capacidades y tecnologías mediante las cuales será ofrecido el Servicio Mayoristas de Arrendamientos de Enlaces Dedicados de Interconexión, quedando en los términos siguientes: </w:t>
      </w:r>
    </w:p>
    <w:p w14:paraId="2FEA3D8C" w14:textId="77777777" w:rsidR="00602665" w:rsidRPr="00E634EB" w:rsidRDefault="00602665" w:rsidP="007D5396">
      <w:pPr>
        <w:spacing w:line="276" w:lineRule="auto"/>
        <w:ind w:firstLine="0"/>
        <w:rPr>
          <w:rFonts w:ascii="ITC Avant Garde" w:hAnsi="ITC Avant Garde"/>
          <w:color w:val="auto"/>
        </w:rPr>
      </w:pPr>
    </w:p>
    <w:p w14:paraId="4847FD8C" w14:textId="380FE8CC" w:rsidR="00602665" w:rsidRPr="00E634EB" w:rsidRDefault="00B97FDB" w:rsidP="007D5396">
      <w:pPr>
        <w:spacing w:line="276" w:lineRule="auto"/>
        <w:ind w:left="851" w:right="900" w:firstLine="0"/>
        <w:rPr>
          <w:rFonts w:ascii="ITC Avant Garde" w:hAnsi="ITC Avant Garde"/>
          <w:i/>
          <w:color w:val="auto"/>
          <w:sz w:val="18"/>
        </w:rPr>
      </w:pPr>
      <w:r w:rsidRPr="00E634EB">
        <w:rPr>
          <w:rFonts w:ascii="ITC Avant Garde" w:eastAsia="Calibri" w:hAnsi="ITC Avant Garde"/>
          <w:i/>
          <w:color w:val="auto"/>
          <w:sz w:val="18"/>
          <w:lang w:val="es-ES_tradnl"/>
        </w:rPr>
        <w:t xml:space="preserve">“El servicio Mayorista de Arrendamiento de Enlaces Dedicados de Interconexión, será ofrecido con velocidad E1 </w:t>
      </w:r>
      <w:r w:rsidRPr="00E634EB">
        <w:rPr>
          <w:rFonts w:ascii="ITC Avant Garde" w:eastAsia="Calibri" w:hAnsi="ITC Avant Garde" w:cs="Arial"/>
          <w:i/>
          <w:color w:val="auto"/>
          <w:sz w:val="18"/>
          <w:lang w:val="es-ES_tradnl"/>
        </w:rPr>
        <w:t>y sus múltiplos,</w:t>
      </w:r>
      <w:r w:rsidRPr="00E634EB">
        <w:rPr>
          <w:rFonts w:ascii="ITC Avant Garde" w:eastAsia="Calibri" w:hAnsi="ITC Avant Garde"/>
          <w:i/>
          <w:color w:val="auto"/>
          <w:sz w:val="18"/>
          <w:lang w:val="es-ES_tradnl"/>
        </w:rPr>
        <w:t xml:space="preserve"> STM1 </w:t>
      </w:r>
      <w:r w:rsidRPr="00E634EB">
        <w:rPr>
          <w:rFonts w:ascii="ITC Avant Garde" w:eastAsia="Calibri" w:hAnsi="ITC Avant Garde" w:cs="Arial"/>
          <w:i/>
          <w:color w:val="auto"/>
          <w:sz w:val="18"/>
          <w:lang w:val="es-ES_tradnl"/>
        </w:rPr>
        <w:t>y sus múltiplos,</w:t>
      </w:r>
      <w:r w:rsidRPr="00E634EB">
        <w:rPr>
          <w:rFonts w:ascii="ITC Avant Garde" w:eastAsia="Calibri" w:hAnsi="ITC Avant Garde"/>
          <w:i/>
          <w:color w:val="auto"/>
          <w:sz w:val="18"/>
          <w:lang w:val="es-ES_tradnl"/>
        </w:rPr>
        <w:t xml:space="preserve"> así como Ethernet </w:t>
      </w:r>
      <w:r w:rsidRPr="00E634EB">
        <w:rPr>
          <w:rFonts w:ascii="ITC Avant Garde" w:eastAsia="Calibri" w:hAnsi="ITC Avant Garde" w:cs="Arial"/>
          <w:i/>
          <w:color w:val="auto"/>
          <w:sz w:val="18"/>
          <w:lang w:val="es-ES_tradnl"/>
        </w:rPr>
        <w:t>en sus distintas capacidades, y cualquier otro que defina el Instituto mediante disposiciones de carácter general, considerando de manera enunciativa más no limitativa como tipos de interface; (…)”</w:t>
      </w:r>
    </w:p>
    <w:p w14:paraId="782EC1FA" w14:textId="77777777" w:rsidR="00602665" w:rsidRDefault="00602665" w:rsidP="007D5396">
      <w:pPr>
        <w:spacing w:line="276" w:lineRule="auto"/>
        <w:ind w:firstLine="0"/>
        <w:rPr>
          <w:rFonts w:ascii="ITC Avant Garde" w:hAnsi="ITC Avant Garde"/>
          <w:color w:val="538135" w:themeColor="accent6" w:themeShade="BF"/>
        </w:rPr>
      </w:pPr>
    </w:p>
    <w:p w14:paraId="7C144749" w14:textId="15A70A06" w:rsidR="00FC7C50" w:rsidRPr="00B56D15" w:rsidRDefault="00FC7C50"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AT&amp;T:</w:t>
      </w:r>
    </w:p>
    <w:p w14:paraId="65218BDA" w14:textId="77777777" w:rsidR="006D72D6" w:rsidRPr="00B56D15" w:rsidRDefault="006D72D6" w:rsidP="007D5396">
      <w:pPr>
        <w:spacing w:after="0" w:line="276" w:lineRule="auto"/>
        <w:ind w:left="0" w:right="49" w:firstLine="0"/>
        <w:rPr>
          <w:rFonts w:ascii="ITC Avant Garde" w:eastAsia="Times New Roman" w:hAnsi="ITC Avant Garde" w:cs="Times New Roman"/>
          <w:i/>
          <w:color w:val="auto"/>
        </w:rPr>
      </w:pPr>
    </w:p>
    <w:p w14:paraId="7EFD9B9B" w14:textId="68F1EC89" w:rsidR="00D9189B" w:rsidRPr="00B56D15" w:rsidRDefault="00D81EA4" w:rsidP="007D5396">
      <w:pPr>
        <w:spacing w:after="0" w:line="276" w:lineRule="auto"/>
        <w:ind w:left="0"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Respecto al numeral 2.4.1, p</w:t>
      </w:r>
      <w:r w:rsidR="006D72D6" w:rsidRPr="00B56D15">
        <w:rPr>
          <w:rFonts w:ascii="ITC Avant Garde" w:eastAsia="Times New Roman" w:hAnsi="ITC Avant Garde" w:cs="Times New Roman"/>
          <w:i/>
          <w:color w:val="auto"/>
        </w:rPr>
        <w:t>ara la eficiente prestación de los servicios a usuarios finales, se requieren como máximo, los siguientes plazos de entrega y para la reparación de fallas:</w:t>
      </w:r>
    </w:p>
    <w:p w14:paraId="29AC52F3" w14:textId="77777777" w:rsidR="006D72D6" w:rsidRPr="00B56D15" w:rsidRDefault="006D72D6" w:rsidP="007D5396">
      <w:pPr>
        <w:spacing w:after="0" w:line="276" w:lineRule="auto"/>
        <w:ind w:left="0" w:right="49" w:firstLine="0"/>
        <w:rPr>
          <w:rFonts w:ascii="ITC Avant Garde" w:eastAsia="Times New Roman" w:hAnsi="ITC Avant Garde" w:cs="Times New Roman"/>
          <w:i/>
          <w:color w:val="auto"/>
        </w:rPr>
      </w:pPr>
    </w:p>
    <w:tbl>
      <w:tblPr>
        <w:tblStyle w:val="Tablaconcuadrcula"/>
        <w:tblW w:w="0" w:type="auto"/>
        <w:jc w:val="center"/>
        <w:tblLook w:val="04A0" w:firstRow="1" w:lastRow="0" w:firstColumn="1" w:lastColumn="0" w:noHBand="0" w:noVBand="1"/>
        <w:tblCaption w:val="Tabla"/>
        <w:tblDescription w:val="Plazos de entrega de enlaces dedicados"/>
      </w:tblPr>
      <w:tblGrid>
        <w:gridCol w:w="4610"/>
        <w:gridCol w:w="1392"/>
      </w:tblGrid>
      <w:tr w:rsidR="006D72D6" w:rsidRPr="003D1FA8" w14:paraId="12EDA2F2" w14:textId="77777777" w:rsidTr="00B6100E">
        <w:trPr>
          <w:tblHeader/>
          <w:jc w:val="center"/>
        </w:trPr>
        <w:tc>
          <w:tcPr>
            <w:tcW w:w="4610" w:type="dxa"/>
          </w:tcPr>
          <w:p w14:paraId="30412255" w14:textId="77777777" w:rsidR="006D72D6" w:rsidRPr="003D1FA8" w:rsidRDefault="006D72D6" w:rsidP="007D5396">
            <w:pPr>
              <w:spacing w:after="0" w:line="276" w:lineRule="auto"/>
              <w:ind w:left="0" w:right="49" w:firstLine="0"/>
              <w:rPr>
                <w:rFonts w:ascii="ITC Avant Garde" w:eastAsia="Times New Roman" w:hAnsi="ITC Avant Garde" w:cs="Times New Roman"/>
                <w:i/>
                <w:color w:val="auto"/>
                <w:sz w:val="18"/>
                <w:szCs w:val="18"/>
              </w:rPr>
            </w:pPr>
          </w:p>
        </w:tc>
        <w:tc>
          <w:tcPr>
            <w:tcW w:w="1392" w:type="dxa"/>
          </w:tcPr>
          <w:p w14:paraId="4DCED5D1" w14:textId="0CBB2A80"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Días hábiles</w:t>
            </w:r>
          </w:p>
        </w:tc>
      </w:tr>
      <w:tr w:rsidR="006D72D6" w:rsidRPr="003D1FA8" w14:paraId="5092D772" w14:textId="77777777" w:rsidTr="003D1FA8">
        <w:trPr>
          <w:jc w:val="center"/>
        </w:trPr>
        <w:tc>
          <w:tcPr>
            <w:tcW w:w="4610" w:type="dxa"/>
          </w:tcPr>
          <w:p w14:paraId="4190E698" w14:textId="0D065CAF" w:rsidR="006D72D6" w:rsidRPr="003D1FA8" w:rsidRDefault="006D72D6" w:rsidP="007D5396">
            <w:pPr>
              <w:spacing w:after="0" w:line="276" w:lineRule="auto"/>
              <w:ind w:left="0" w:right="49" w:firstLine="0"/>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Enlaces Dedicados de Interconexión Locales</w:t>
            </w:r>
          </w:p>
        </w:tc>
        <w:tc>
          <w:tcPr>
            <w:tcW w:w="1392" w:type="dxa"/>
          </w:tcPr>
          <w:p w14:paraId="6EEB3666" w14:textId="035A2EC5"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15</w:t>
            </w:r>
          </w:p>
        </w:tc>
      </w:tr>
      <w:tr w:rsidR="006D72D6" w:rsidRPr="003D1FA8" w14:paraId="2937351B" w14:textId="77777777" w:rsidTr="003D1FA8">
        <w:trPr>
          <w:jc w:val="center"/>
        </w:trPr>
        <w:tc>
          <w:tcPr>
            <w:tcW w:w="4610" w:type="dxa"/>
          </w:tcPr>
          <w:p w14:paraId="2C601BF0" w14:textId="51AC7DFA" w:rsidR="006D72D6" w:rsidRPr="003D1FA8" w:rsidRDefault="006D72D6" w:rsidP="007D5396">
            <w:pPr>
              <w:spacing w:after="0" w:line="276" w:lineRule="auto"/>
              <w:ind w:left="0" w:right="49" w:firstLine="0"/>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Enlaces Dedicados de Interconexión Nacionales</w:t>
            </w:r>
          </w:p>
        </w:tc>
        <w:tc>
          <w:tcPr>
            <w:tcW w:w="1392" w:type="dxa"/>
          </w:tcPr>
          <w:p w14:paraId="7E1C92C3" w14:textId="35C0ECDF"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15</w:t>
            </w:r>
          </w:p>
        </w:tc>
      </w:tr>
    </w:tbl>
    <w:p w14:paraId="6169C1E6" w14:textId="77777777" w:rsidR="006D72D6" w:rsidRPr="00B56D15" w:rsidRDefault="006D72D6" w:rsidP="007D5396">
      <w:pPr>
        <w:spacing w:after="0" w:line="276" w:lineRule="auto"/>
        <w:ind w:left="0" w:right="49" w:firstLine="0"/>
        <w:rPr>
          <w:rFonts w:ascii="ITC Avant Garde" w:eastAsia="Times New Roman" w:hAnsi="ITC Avant Garde" w:cs="Times New Roman"/>
          <w:i/>
          <w:color w:val="auto"/>
        </w:rPr>
      </w:pPr>
    </w:p>
    <w:tbl>
      <w:tblPr>
        <w:tblStyle w:val="Tablaconcuadrcula"/>
        <w:tblW w:w="0" w:type="auto"/>
        <w:tblInd w:w="1555" w:type="dxa"/>
        <w:tblLook w:val="04A0" w:firstRow="1" w:lastRow="0" w:firstColumn="1" w:lastColumn="0" w:noHBand="0" w:noVBand="1"/>
        <w:tblCaption w:val="Tabla"/>
        <w:tblDescription w:val="Plazos de atención a incidentes"/>
      </w:tblPr>
      <w:tblGrid>
        <w:gridCol w:w="2859"/>
        <w:gridCol w:w="2811"/>
      </w:tblGrid>
      <w:tr w:rsidR="006D72D6" w:rsidRPr="003D1FA8" w14:paraId="4E9743AB" w14:textId="77777777" w:rsidTr="00B6100E">
        <w:trPr>
          <w:tblHeader/>
        </w:trPr>
        <w:tc>
          <w:tcPr>
            <w:tcW w:w="2859" w:type="dxa"/>
            <w:vMerge w:val="restart"/>
          </w:tcPr>
          <w:p w14:paraId="07D2F0B4" w14:textId="6005377F"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Tipo de Incidencia</w:t>
            </w:r>
          </w:p>
        </w:tc>
        <w:tc>
          <w:tcPr>
            <w:tcW w:w="2811" w:type="dxa"/>
          </w:tcPr>
          <w:p w14:paraId="4268EEA0" w14:textId="7C6582D1"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Plazos máximos</w:t>
            </w:r>
          </w:p>
        </w:tc>
      </w:tr>
      <w:tr w:rsidR="006D72D6" w:rsidRPr="003D1FA8" w14:paraId="06755465" w14:textId="77777777" w:rsidTr="00B6100E">
        <w:trPr>
          <w:tblHeader/>
        </w:trPr>
        <w:tc>
          <w:tcPr>
            <w:tcW w:w="2859" w:type="dxa"/>
            <w:vMerge/>
          </w:tcPr>
          <w:p w14:paraId="1C0BE545" w14:textId="77777777"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p>
        </w:tc>
        <w:tc>
          <w:tcPr>
            <w:tcW w:w="2811" w:type="dxa"/>
          </w:tcPr>
          <w:p w14:paraId="0F673BFF" w14:textId="53434EC9"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Enlaces de Interconexión</w:t>
            </w:r>
          </w:p>
        </w:tc>
      </w:tr>
      <w:tr w:rsidR="006D72D6" w:rsidRPr="003D1FA8" w14:paraId="2335E465" w14:textId="77777777" w:rsidTr="00663000">
        <w:tc>
          <w:tcPr>
            <w:tcW w:w="2859" w:type="dxa"/>
          </w:tcPr>
          <w:p w14:paraId="5E33675A" w14:textId="7C1454C1"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Prioridad 1</w:t>
            </w:r>
          </w:p>
        </w:tc>
        <w:tc>
          <w:tcPr>
            <w:tcW w:w="2811" w:type="dxa"/>
          </w:tcPr>
          <w:p w14:paraId="7510DE87" w14:textId="33046022"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3 horas</w:t>
            </w:r>
          </w:p>
        </w:tc>
      </w:tr>
      <w:tr w:rsidR="006D72D6" w:rsidRPr="003D1FA8" w14:paraId="31EC6C3D" w14:textId="77777777" w:rsidTr="00663000">
        <w:tc>
          <w:tcPr>
            <w:tcW w:w="2859" w:type="dxa"/>
          </w:tcPr>
          <w:p w14:paraId="6587BA33" w14:textId="49E8C11B"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Prioridad 2</w:t>
            </w:r>
          </w:p>
        </w:tc>
        <w:tc>
          <w:tcPr>
            <w:tcW w:w="2811" w:type="dxa"/>
          </w:tcPr>
          <w:p w14:paraId="22FF299F" w14:textId="17668517"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4 horas</w:t>
            </w:r>
          </w:p>
        </w:tc>
      </w:tr>
      <w:tr w:rsidR="006D72D6" w:rsidRPr="003D1FA8" w14:paraId="16A200CB" w14:textId="77777777" w:rsidTr="00663000">
        <w:tc>
          <w:tcPr>
            <w:tcW w:w="2859" w:type="dxa"/>
          </w:tcPr>
          <w:p w14:paraId="560131D5" w14:textId="530C76FB"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Prioridad 3</w:t>
            </w:r>
          </w:p>
        </w:tc>
        <w:tc>
          <w:tcPr>
            <w:tcW w:w="2811" w:type="dxa"/>
          </w:tcPr>
          <w:p w14:paraId="06E191C6" w14:textId="203D5ACB" w:rsidR="006D72D6" w:rsidRPr="003D1FA8" w:rsidRDefault="006D72D6" w:rsidP="007D5396">
            <w:pPr>
              <w:spacing w:after="0" w:line="276" w:lineRule="auto"/>
              <w:ind w:left="0" w:right="49" w:firstLine="0"/>
              <w:jc w:val="center"/>
              <w:rPr>
                <w:rFonts w:ascii="ITC Avant Garde" w:eastAsia="Times New Roman" w:hAnsi="ITC Avant Garde" w:cs="Times New Roman"/>
                <w:i/>
                <w:color w:val="auto"/>
                <w:sz w:val="18"/>
                <w:szCs w:val="18"/>
              </w:rPr>
            </w:pPr>
            <w:r w:rsidRPr="003D1FA8">
              <w:rPr>
                <w:rFonts w:ascii="ITC Avant Garde" w:eastAsia="Times New Roman" w:hAnsi="ITC Avant Garde" w:cs="Times New Roman"/>
                <w:i/>
                <w:color w:val="auto"/>
                <w:sz w:val="18"/>
                <w:szCs w:val="18"/>
              </w:rPr>
              <w:t>6 horas</w:t>
            </w:r>
          </w:p>
        </w:tc>
      </w:tr>
    </w:tbl>
    <w:p w14:paraId="2961434D" w14:textId="77777777" w:rsidR="00D35C12" w:rsidRDefault="00D35C12" w:rsidP="00D35C12">
      <w:pPr>
        <w:spacing w:after="0" w:line="276" w:lineRule="auto"/>
        <w:ind w:left="-5" w:right="49" w:firstLine="0"/>
        <w:rPr>
          <w:rFonts w:ascii="ITC Avant Garde" w:hAnsi="ITC Avant Garde"/>
          <w:b/>
          <w:color w:val="auto"/>
        </w:rPr>
      </w:pPr>
    </w:p>
    <w:p w14:paraId="62A4EF3A" w14:textId="77777777" w:rsidR="00D35C12" w:rsidRPr="00B56D15" w:rsidRDefault="00D35C12" w:rsidP="00D35C12">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6C7A81F3" w14:textId="77777777" w:rsidR="00D35C12" w:rsidRPr="00B56D15" w:rsidRDefault="00D35C12" w:rsidP="00D35C12">
      <w:pPr>
        <w:spacing w:after="0" w:line="276" w:lineRule="auto"/>
        <w:ind w:left="0" w:right="49" w:firstLine="0"/>
        <w:rPr>
          <w:rFonts w:ascii="ITC Avant Garde" w:hAnsi="ITC Avant Garde" w:cs="Times New Roman"/>
          <w:i/>
          <w:color w:val="auto"/>
        </w:rPr>
      </w:pPr>
    </w:p>
    <w:p w14:paraId="32D8271D" w14:textId="77777777" w:rsidR="00D35C12" w:rsidRPr="00B56D15" w:rsidRDefault="00D35C12" w:rsidP="00D35C12">
      <w:pPr>
        <w:spacing w:after="0" w:line="276" w:lineRule="auto"/>
        <w:ind w:left="0" w:right="49" w:firstLine="0"/>
        <w:rPr>
          <w:rFonts w:ascii="ITC Avant Garde" w:eastAsia="Times New Roman" w:hAnsi="ITC Avant Garde" w:cs="Times New Roman"/>
          <w:i/>
          <w:color w:val="auto"/>
        </w:rPr>
      </w:pPr>
      <w:r>
        <w:rPr>
          <w:rFonts w:ascii="ITC Avant Garde" w:hAnsi="ITC Avant Garde" w:cs="Times New Roman"/>
          <w:i/>
          <w:color w:val="auto"/>
        </w:rPr>
        <w:t>En el numeral 2.6.4 del</w:t>
      </w:r>
      <w:r w:rsidRPr="00B56D15">
        <w:rPr>
          <w:rFonts w:ascii="ITC Avant Garde" w:hAnsi="ITC Avant Garde" w:cs="Times New Roman"/>
          <w:i/>
          <w:color w:val="auto"/>
        </w:rPr>
        <w:t xml:space="preserve"> CMI </w:t>
      </w:r>
      <w:r>
        <w:rPr>
          <w:rFonts w:ascii="ITC Avant Garde" w:hAnsi="ITC Avant Garde" w:cs="Times New Roman"/>
          <w:i/>
          <w:color w:val="auto"/>
        </w:rPr>
        <w:t xml:space="preserve">se </w:t>
      </w:r>
      <w:r w:rsidRPr="00B56D15">
        <w:rPr>
          <w:rFonts w:ascii="ITC Avant Garde" w:hAnsi="ITC Avant Garde" w:cs="Times New Roman"/>
          <w:i/>
          <w:color w:val="auto"/>
        </w:rPr>
        <w:t>viola la cláusula Vigésima del Anexo 2, que establece taxativamente los grados de prioridad de las fallas que determina, a su vez, el plazo máximo de reparación de las mismas.</w:t>
      </w:r>
      <w:r>
        <w:rPr>
          <w:rFonts w:ascii="ITC Avant Garde" w:hAnsi="ITC Avant Garde" w:cs="Times New Roman"/>
          <w:i/>
          <w:color w:val="auto"/>
        </w:rPr>
        <w:t xml:space="preserve"> </w:t>
      </w:r>
      <w:r w:rsidRPr="00B56D15">
        <w:rPr>
          <w:rFonts w:ascii="ITC Avant Garde" w:hAnsi="ITC Avant Garde" w:cs="Times New Roman"/>
          <w:i/>
          <w:color w:val="auto"/>
        </w:rPr>
        <w:t>Por lo anterior, se solicita retomar lo planteado en el anexo 2 de</w:t>
      </w:r>
      <w:r>
        <w:rPr>
          <w:rFonts w:ascii="ITC Avant Garde" w:hAnsi="ITC Avant Garde" w:cs="Times New Roman"/>
          <w:i/>
          <w:color w:val="auto"/>
        </w:rPr>
        <w:t xml:space="preserve"> las Medidas de Preponderancia.</w:t>
      </w:r>
    </w:p>
    <w:p w14:paraId="3EAF3584" w14:textId="77777777" w:rsidR="00D35C12" w:rsidRDefault="00D35C12" w:rsidP="00D35C12">
      <w:pPr>
        <w:spacing w:after="0" w:line="276" w:lineRule="auto"/>
        <w:ind w:left="0" w:right="49" w:firstLine="0"/>
        <w:rPr>
          <w:rFonts w:ascii="ITC Avant Garde" w:hAnsi="ITC Avant Garde"/>
          <w:b/>
          <w:color w:val="auto"/>
        </w:rPr>
      </w:pPr>
    </w:p>
    <w:p w14:paraId="34887765" w14:textId="77777777" w:rsidR="00A7534A" w:rsidRPr="00B56D15" w:rsidRDefault="00A7534A" w:rsidP="00A7534A">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7259240C" w14:textId="77777777" w:rsidR="00A7534A" w:rsidRPr="00B56D15" w:rsidRDefault="00A7534A" w:rsidP="00A7534A">
      <w:pPr>
        <w:spacing w:after="0" w:line="276" w:lineRule="auto"/>
        <w:ind w:left="0" w:right="49" w:firstLine="0"/>
        <w:rPr>
          <w:rFonts w:ascii="ITC Avant Garde" w:hAnsi="ITC Avant Garde" w:cs="Times New Roman"/>
          <w:i/>
          <w:color w:val="auto"/>
        </w:rPr>
      </w:pPr>
    </w:p>
    <w:p w14:paraId="60C8CFB3" w14:textId="77777777" w:rsidR="00A7534A" w:rsidRPr="00B56D15" w:rsidRDefault="00A7534A" w:rsidP="00A7534A">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Respecto al numeral 3.1, s</w:t>
      </w:r>
      <w:r w:rsidRPr="00B56D15">
        <w:rPr>
          <w:rFonts w:ascii="ITC Avant Garde" w:hAnsi="ITC Avant Garde" w:cs="Times New Roman"/>
          <w:i/>
          <w:color w:val="auto"/>
        </w:rPr>
        <w:t>e solicita que se adopten los plazos máximos de reparación de los enlaces de interconexión de las Medidas de Preponderancia Fijas, en concreto en su cláusula vigésima, como los plazos máximos de reparación de fallas en el servicio de interconexión. Es decir, para fallas de prioridad 1 el plazo máximo de reparación sería de 1 hora, mientras que para fallas de prioridad 2 el plazo máximo sería de 2 horas, todos ellos para el 100% de casos resueltos.</w:t>
      </w:r>
    </w:p>
    <w:p w14:paraId="12D5033C" w14:textId="77777777" w:rsidR="00A7534A" w:rsidRPr="00B56D15" w:rsidRDefault="00A7534A" w:rsidP="00A7534A">
      <w:pPr>
        <w:spacing w:after="0" w:line="276" w:lineRule="auto"/>
        <w:ind w:left="0" w:right="49" w:firstLine="0"/>
        <w:rPr>
          <w:rFonts w:ascii="ITC Avant Garde" w:hAnsi="ITC Avant Garde" w:cs="Times New Roman"/>
          <w:i/>
          <w:color w:val="auto"/>
        </w:rPr>
      </w:pPr>
    </w:p>
    <w:p w14:paraId="10E9DC48" w14:textId="77777777" w:rsidR="00A7534A" w:rsidRPr="00B56D15" w:rsidRDefault="00A7534A" w:rsidP="00A7534A">
      <w:pPr>
        <w:spacing w:after="0" w:line="276" w:lineRule="auto"/>
        <w:ind w:left="0" w:right="49" w:firstLine="0"/>
        <w:rPr>
          <w:rFonts w:ascii="ITC Avant Garde" w:eastAsia="Times New Roman" w:hAnsi="ITC Avant Garde" w:cs="Times New Roman"/>
          <w:i/>
          <w:color w:val="auto"/>
        </w:rPr>
      </w:pPr>
      <w:r w:rsidRPr="00B56D15">
        <w:rPr>
          <w:rFonts w:ascii="ITC Avant Garde" w:hAnsi="ITC Avant Garde" w:cs="Times New Roman"/>
          <w:i/>
          <w:color w:val="auto"/>
        </w:rPr>
        <w:t>Adicionalmente, se solicita que se introduzca una penalidad razonable por el incumplimiento de los plazos máximos de reparación. Recomendamos que dicha penalidad sea un mínimo del 10% de la renta mensual p</w:t>
      </w:r>
      <w:r>
        <w:rPr>
          <w:rFonts w:ascii="ITC Avant Garde" w:hAnsi="ITC Avant Garde" w:cs="Times New Roman"/>
          <w:i/>
          <w:color w:val="auto"/>
        </w:rPr>
        <w:t>or cada hora de incumplimiento.</w:t>
      </w:r>
    </w:p>
    <w:p w14:paraId="606241F0" w14:textId="77777777" w:rsidR="00A7534A" w:rsidRDefault="00A7534A" w:rsidP="00D35C12">
      <w:pPr>
        <w:spacing w:after="0" w:line="276" w:lineRule="auto"/>
        <w:ind w:left="0" w:right="49" w:firstLine="0"/>
        <w:rPr>
          <w:rFonts w:ascii="ITC Avant Garde" w:hAnsi="ITC Avant Garde"/>
          <w:b/>
          <w:color w:val="auto"/>
        </w:rPr>
      </w:pPr>
    </w:p>
    <w:p w14:paraId="19374F56" w14:textId="2EFAAB47" w:rsidR="00A5713C" w:rsidRPr="00E634EB" w:rsidRDefault="00505A4C" w:rsidP="007D5396">
      <w:pPr>
        <w:spacing w:line="276" w:lineRule="auto"/>
        <w:ind w:firstLine="0"/>
        <w:rPr>
          <w:rFonts w:ascii="ITC Avant Garde" w:hAnsi="ITC Avant Garde"/>
          <w:color w:val="auto"/>
        </w:rPr>
      </w:pPr>
      <w:r w:rsidRPr="00E634EB">
        <w:rPr>
          <w:rFonts w:ascii="ITC Avant Garde" w:hAnsi="ITC Avant Garde"/>
          <w:color w:val="auto"/>
        </w:rPr>
        <w:t xml:space="preserve">Al respecto se observó que </w:t>
      </w:r>
      <w:r w:rsidR="00A5713C" w:rsidRPr="00E634EB">
        <w:rPr>
          <w:rFonts w:ascii="ITC Avant Garde" w:hAnsi="ITC Avant Garde"/>
          <w:color w:val="auto"/>
        </w:rPr>
        <w:t>mencionado numeral no da cabal cumplimiento a lo señalado en la Medida Vigésima toda vez que los criterios de atención de fallas establecidos en la Propuesta de Convenio Marco, así como sus respectivos plazos de solución no se adecua</w:t>
      </w:r>
      <w:r w:rsidR="00335F0E" w:rsidRPr="00E634EB">
        <w:rPr>
          <w:rFonts w:ascii="ITC Avant Garde" w:hAnsi="ITC Avant Garde"/>
          <w:color w:val="auto"/>
        </w:rPr>
        <w:t>ba</w:t>
      </w:r>
      <w:r w:rsidR="00A5713C" w:rsidRPr="00E634EB">
        <w:rPr>
          <w:rFonts w:ascii="ITC Avant Garde" w:hAnsi="ITC Avant Garde"/>
          <w:color w:val="auto"/>
        </w:rPr>
        <w:t>n a lo establecido en la medida en comento, por lo que se requirió a Telmex su modificación</w:t>
      </w:r>
      <w:r w:rsidRPr="00E634EB">
        <w:rPr>
          <w:rFonts w:ascii="ITC Avant Garde" w:hAnsi="ITC Avant Garde"/>
          <w:color w:val="auto"/>
        </w:rPr>
        <w:t xml:space="preserve">. Asimismo, se modificaron los plazos de </w:t>
      </w:r>
      <w:r w:rsidRPr="00E634EB">
        <w:rPr>
          <w:rFonts w:ascii="ITC Avant Garde" w:hAnsi="ITC Avant Garde"/>
          <w:color w:val="auto"/>
        </w:rPr>
        <w:lastRenderedPageBreak/>
        <w:t>entrega para los distintos enlaces ofertados por Telmex quedando</w:t>
      </w:r>
      <w:r w:rsidR="00A5713C" w:rsidRPr="00E634EB">
        <w:rPr>
          <w:rFonts w:ascii="ITC Avant Garde" w:hAnsi="ITC Avant Garde"/>
          <w:color w:val="auto"/>
        </w:rPr>
        <w:t xml:space="preserve"> en los siguientes términos:</w:t>
      </w:r>
    </w:p>
    <w:p w14:paraId="5DC8D6E6" w14:textId="77777777" w:rsidR="00E724B2" w:rsidRPr="00E634EB" w:rsidRDefault="00E724B2" w:rsidP="007D5396">
      <w:pPr>
        <w:spacing w:line="276" w:lineRule="auto"/>
        <w:ind w:firstLine="0"/>
        <w:rPr>
          <w:rFonts w:ascii="ITC Avant Garde" w:hAnsi="ITC Avant Garde"/>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1344"/>
      </w:tblGrid>
      <w:tr w:rsidR="00E724B2" w:rsidRPr="00E634EB" w14:paraId="017FF276" w14:textId="77777777" w:rsidTr="003912EF">
        <w:trPr>
          <w:jc w:val="center"/>
        </w:trPr>
        <w:tc>
          <w:tcPr>
            <w:tcW w:w="4565" w:type="dxa"/>
            <w:shd w:val="clear" w:color="auto" w:fill="auto"/>
          </w:tcPr>
          <w:p w14:paraId="1AD7EA32" w14:textId="77777777" w:rsidR="00E724B2" w:rsidRPr="00E634EB" w:rsidRDefault="00E724B2" w:rsidP="007D5396">
            <w:pPr>
              <w:spacing w:line="276" w:lineRule="auto"/>
              <w:ind w:firstLine="0"/>
              <w:rPr>
                <w:rFonts w:ascii="ITC Avant Garde" w:hAnsi="ITC Avant Garde"/>
                <w:i/>
                <w:color w:val="auto"/>
                <w:sz w:val="18"/>
              </w:rPr>
            </w:pPr>
          </w:p>
        </w:tc>
        <w:tc>
          <w:tcPr>
            <w:tcW w:w="1344" w:type="dxa"/>
            <w:shd w:val="clear" w:color="auto" w:fill="auto"/>
          </w:tcPr>
          <w:p w14:paraId="6840300B" w14:textId="77777777" w:rsidR="00E724B2" w:rsidRPr="00E634EB" w:rsidRDefault="00E724B2" w:rsidP="007D5396">
            <w:pPr>
              <w:spacing w:line="276" w:lineRule="auto"/>
              <w:ind w:firstLine="0"/>
              <w:rPr>
                <w:rFonts w:ascii="ITC Avant Garde" w:hAnsi="ITC Avant Garde"/>
                <w:i/>
                <w:color w:val="auto"/>
                <w:sz w:val="18"/>
              </w:rPr>
            </w:pPr>
            <w:r w:rsidRPr="00E634EB">
              <w:rPr>
                <w:rFonts w:ascii="ITC Avant Garde" w:hAnsi="ITC Avant Garde"/>
                <w:i/>
                <w:color w:val="auto"/>
                <w:sz w:val="18"/>
              </w:rPr>
              <w:t>Días hábiles</w:t>
            </w:r>
          </w:p>
        </w:tc>
      </w:tr>
      <w:tr w:rsidR="00E724B2" w:rsidRPr="00E634EB" w14:paraId="79DD1D60" w14:textId="77777777" w:rsidTr="003912EF">
        <w:trPr>
          <w:jc w:val="center"/>
        </w:trPr>
        <w:tc>
          <w:tcPr>
            <w:tcW w:w="4565" w:type="dxa"/>
            <w:shd w:val="clear" w:color="auto" w:fill="auto"/>
          </w:tcPr>
          <w:p w14:paraId="248551E4" w14:textId="77777777" w:rsidR="00E724B2" w:rsidRPr="00E634EB" w:rsidRDefault="00E724B2" w:rsidP="007D5396">
            <w:pPr>
              <w:spacing w:line="276" w:lineRule="auto"/>
              <w:ind w:firstLine="0"/>
              <w:rPr>
                <w:rFonts w:ascii="ITC Avant Garde" w:hAnsi="ITC Avant Garde"/>
                <w:i/>
                <w:color w:val="auto"/>
                <w:sz w:val="18"/>
              </w:rPr>
            </w:pPr>
            <w:r w:rsidRPr="00E634EB">
              <w:rPr>
                <w:rFonts w:ascii="ITC Avant Garde" w:hAnsi="ITC Avant Garde"/>
                <w:i/>
                <w:color w:val="auto"/>
                <w:sz w:val="18"/>
              </w:rPr>
              <w:t>Enlaces Dedicados de Interconexión Locales</w:t>
            </w:r>
          </w:p>
        </w:tc>
        <w:tc>
          <w:tcPr>
            <w:tcW w:w="1344" w:type="dxa"/>
            <w:shd w:val="clear" w:color="auto" w:fill="auto"/>
          </w:tcPr>
          <w:p w14:paraId="29A35413" w14:textId="77777777" w:rsidR="00E724B2" w:rsidRPr="00E634EB" w:rsidRDefault="00E724B2" w:rsidP="007D5396">
            <w:pPr>
              <w:spacing w:line="276" w:lineRule="auto"/>
              <w:ind w:firstLine="0"/>
              <w:jc w:val="center"/>
              <w:rPr>
                <w:rFonts w:ascii="ITC Avant Garde" w:hAnsi="ITC Avant Garde"/>
                <w:i/>
                <w:color w:val="auto"/>
                <w:sz w:val="18"/>
              </w:rPr>
            </w:pPr>
            <w:r w:rsidRPr="00E634EB">
              <w:rPr>
                <w:rFonts w:ascii="ITC Avant Garde" w:hAnsi="ITC Avant Garde"/>
                <w:i/>
                <w:color w:val="auto"/>
                <w:sz w:val="18"/>
              </w:rPr>
              <w:t>15</w:t>
            </w:r>
          </w:p>
        </w:tc>
      </w:tr>
      <w:tr w:rsidR="00E724B2" w:rsidRPr="00E634EB" w14:paraId="7477209B" w14:textId="77777777" w:rsidTr="003912EF">
        <w:trPr>
          <w:jc w:val="center"/>
        </w:trPr>
        <w:tc>
          <w:tcPr>
            <w:tcW w:w="4565" w:type="dxa"/>
            <w:shd w:val="clear" w:color="auto" w:fill="auto"/>
          </w:tcPr>
          <w:p w14:paraId="32BCE479" w14:textId="77777777" w:rsidR="00E724B2" w:rsidRPr="00E634EB" w:rsidRDefault="00E724B2" w:rsidP="007D5396">
            <w:pPr>
              <w:spacing w:line="276" w:lineRule="auto"/>
              <w:ind w:firstLine="0"/>
              <w:rPr>
                <w:rFonts w:ascii="ITC Avant Garde" w:hAnsi="ITC Avant Garde"/>
                <w:i/>
                <w:color w:val="auto"/>
                <w:sz w:val="18"/>
              </w:rPr>
            </w:pPr>
            <w:r w:rsidRPr="00E634EB">
              <w:rPr>
                <w:rFonts w:ascii="ITC Avant Garde" w:hAnsi="ITC Avant Garde"/>
                <w:i/>
                <w:color w:val="auto"/>
                <w:sz w:val="18"/>
              </w:rPr>
              <w:t>Enlaces Dedicados de Interconexión Nacionales</w:t>
            </w:r>
          </w:p>
        </w:tc>
        <w:tc>
          <w:tcPr>
            <w:tcW w:w="1344" w:type="dxa"/>
            <w:shd w:val="clear" w:color="auto" w:fill="auto"/>
          </w:tcPr>
          <w:p w14:paraId="1395CA1B" w14:textId="77777777" w:rsidR="00E724B2" w:rsidRPr="00E634EB" w:rsidRDefault="00E724B2" w:rsidP="007D5396">
            <w:pPr>
              <w:spacing w:line="276" w:lineRule="auto"/>
              <w:ind w:firstLine="0"/>
              <w:jc w:val="center"/>
              <w:rPr>
                <w:rFonts w:ascii="ITC Avant Garde" w:hAnsi="ITC Avant Garde"/>
                <w:i/>
                <w:color w:val="auto"/>
                <w:sz w:val="18"/>
              </w:rPr>
            </w:pPr>
            <w:r w:rsidRPr="00E634EB">
              <w:rPr>
                <w:rFonts w:ascii="ITC Avant Garde" w:hAnsi="ITC Avant Garde"/>
                <w:i/>
                <w:color w:val="auto"/>
                <w:sz w:val="18"/>
              </w:rPr>
              <w:t>15</w:t>
            </w:r>
          </w:p>
        </w:tc>
      </w:tr>
      <w:tr w:rsidR="00E724B2" w:rsidRPr="00E634EB" w14:paraId="6C00F812" w14:textId="77777777" w:rsidTr="003912EF">
        <w:trPr>
          <w:jc w:val="center"/>
        </w:trPr>
        <w:tc>
          <w:tcPr>
            <w:tcW w:w="4565" w:type="dxa"/>
            <w:shd w:val="clear" w:color="auto" w:fill="auto"/>
          </w:tcPr>
          <w:p w14:paraId="192AE05C" w14:textId="77777777" w:rsidR="00E724B2" w:rsidRPr="00E634EB" w:rsidRDefault="00E724B2" w:rsidP="007D5396">
            <w:pPr>
              <w:spacing w:line="276" w:lineRule="auto"/>
              <w:ind w:firstLine="0"/>
              <w:rPr>
                <w:rFonts w:ascii="ITC Avant Garde" w:hAnsi="ITC Avant Garde"/>
                <w:i/>
                <w:color w:val="auto"/>
                <w:sz w:val="18"/>
              </w:rPr>
            </w:pPr>
            <w:r w:rsidRPr="00E634EB">
              <w:rPr>
                <w:rFonts w:ascii="ITC Avant Garde" w:hAnsi="ITC Avant Garde"/>
                <w:i/>
                <w:color w:val="auto"/>
                <w:sz w:val="18"/>
              </w:rPr>
              <w:t>Enlaces de Señalización Locales</w:t>
            </w:r>
          </w:p>
        </w:tc>
        <w:tc>
          <w:tcPr>
            <w:tcW w:w="1344" w:type="dxa"/>
            <w:shd w:val="clear" w:color="auto" w:fill="auto"/>
          </w:tcPr>
          <w:p w14:paraId="1CEDDB40" w14:textId="77777777" w:rsidR="00E724B2" w:rsidRPr="00E634EB" w:rsidRDefault="00E724B2" w:rsidP="007D5396">
            <w:pPr>
              <w:spacing w:line="276" w:lineRule="auto"/>
              <w:ind w:firstLine="0"/>
              <w:jc w:val="center"/>
              <w:rPr>
                <w:rFonts w:ascii="ITC Avant Garde" w:hAnsi="ITC Avant Garde"/>
                <w:i/>
                <w:color w:val="auto"/>
                <w:sz w:val="18"/>
              </w:rPr>
            </w:pPr>
            <w:r w:rsidRPr="00E634EB">
              <w:rPr>
                <w:rFonts w:ascii="ITC Avant Garde" w:hAnsi="ITC Avant Garde"/>
                <w:i/>
                <w:color w:val="auto"/>
                <w:sz w:val="18"/>
              </w:rPr>
              <w:t>15</w:t>
            </w:r>
          </w:p>
        </w:tc>
      </w:tr>
      <w:tr w:rsidR="00E724B2" w:rsidRPr="00E634EB" w14:paraId="00568E4E" w14:textId="77777777" w:rsidTr="003912EF">
        <w:trPr>
          <w:jc w:val="center"/>
        </w:trPr>
        <w:tc>
          <w:tcPr>
            <w:tcW w:w="4565" w:type="dxa"/>
            <w:shd w:val="clear" w:color="auto" w:fill="auto"/>
          </w:tcPr>
          <w:p w14:paraId="7C39B1DD" w14:textId="77777777" w:rsidR="00E724B2" w:rsidRPr="00E634EB" w:rsidRDefault="00E724B2" w:rsidP="007D5396">
            <w:pPr>
              <w:spacing w:line="276" w:lineRule="auto"/>
              <w:ind w:firstLine="0"/>
              <w:rPr>
                <w:rFonts w:ascii="ITC Avant Garde" w:hAnsi="ITC Avant Garde"/>
                <w:i/>
                <w:color w:val="auto"/>
                <w:sz w:val="18"/>
              </w:rPr>
            </w:pPr>
            <w:r w:rsidRPr="00E634EB">
              <w:rPr>
                <w:rFonts w:ascii="ITC Avant Garde" w:hAnsi="ITC Avant Garde"/>
                <w:i/>
                <w:color w:val="auto"/>
                <w:sz w:val="18"/>
              </w:rPr>
              <w:t>Enlaces de Señalización Nacionales</w:t>
            </w:r>
          </w:p>
        </w:tc>
        <w:tc>
          <w:tcPr>
            <w:tcW w:w="1344" w:type="dxa"/>
            <w:shd w:val="clear" w:color="auto" w:fill="auto"/>
          </w:tcPr>
          <w:p w14:paraId="4C6957B5" w14:textId="77777777" w:rsidR="00E724B2" w:rsidRPr="00E634EB" w:rsidRDefault="00E724B2" w:rsidP="007D5396">
            <w:pPr>
              <w:spacing w:line="276" w:lineRule="auto"/>
              <w:ind w:firstLine="0"/>
              <w:jc w:val="center"/>
              <w:rPr>
                <w:rFonts w:ascii="ITC Avant Garde" w:hAnsi="ITC Avant Garde"/>
                <w:i/>
                <w:color w:val="auto"/>
                <w:sz w:val="18"/>
              </w:rPr>
            </w:pPr>
            <w:r w:rsidRPr="00E634EB">
              <w:rPr>
                <w:rFonts w:ascii="ITC Avant Garde" w:hAnsi="ITC Avant Garde"/>
                <w:i/>
                <w:color w:val="auto"/>
                <w:sz w:val="18"/>
              </w:rPr>
              <w:t>15</w:t>
            </w:r>
          </w:p>
        </w:tc>
      </w:tr>
    </w:tbl>
    <w:p w14:paraId="18057911" w14:textId="77777777" w:rsidR="00E724B2" w:rsidRPr="00E634EB" w:rsidRDefault="00E724B2" w:rsidP="00D35C12">
      <w:pPr>
        <w:spacing w:line="276" w:lineRule="auto"/>
        <w:ind w:left="0" w:firstLine="0"/>
        <w:rPr>
          <w:rFonts w:ascii="ITC Avant Garde" w:hAnsi="ITC Avant Garde"/>
          <w:color w:val="auto"/>
        </w:rPr>
      </w:pPr>
    </w:p>
    <w:tbl>
      <w:tblPr>
        <w:tblpPr w:leftFromText="141" w:rightFromText="141" w:vertAnchor="text" w:horzAnchor="page" w:tblpX="3599" w:tblpY="-54"/>
        <w:tblW w:w="4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407"/>
        <w:gridCol w:w="2405"/>
      </w:tblGrid>
      <w:tr w:rsidR="00E724B2" w:rsidRPr="00E634EB" w14:paraId="2B64A172" w14:textId="77777777" w:rsidTr="00D81EA4">
        <w:trPr>
          <w:cantSplit/>
          <w:trHeight w:val="20"/>
        </w:trPr>
        <w:tc>
          <w:tcPr>
            <w:tcW w:w="2407" w:type="dxa"/>
            <w:vMerge w:val="restart"/>
            <w:noWrap/>
            <w:vAlign w:val="center"/>
          </w:tcPr>
          <w:p w14:paraId="0881310A" w14:textId="77777777" w:rsidR="00E724B2" w:rsidRPr="00E634EB" w:rsidRDefault="00E724B2" w:rsidP="007D5396">
            <w:pPr>
              <w:adjustRightInd w:val="0"/>
              <w:spacing w:line="276" w:lineRule="auto"/>
              <w:ind w:left="567" w:right="401" w:firstLine="0"/>
              <w:jc w:val="center"/>
              <w:rPr>
                <w:rFonts w:ascii="ITC Avant Garde" w:hAnsi="ITC Avant Garde" w:cs="Arial"/>
                <w:b/>
                <w:bCs/>
                <w:i/>
                <w:color w:val="auto"/>
                <w:sz w:val="18"/>
              </w:rPr>
            </w:pPr>
            <w:r w:rsidRPr="00E634EB">
              <w:rPr>
                <w:rFonts w:ascii="ITC Avant Garde" w:hAnsi="ITC Avant Garde" w:cs="Arial"/>
                <w:b/>
                <w:bCs/>
                <w:i/>
                <w:color w:val="auto"/>
                <w:sz w:val="18"/>
              </w:rPr>
              <w:t>Tipo de incidencia</w:t>
            </w:r>
          </w:p>
        </w:tc>
        <w:tc>
          <w:tcPr>
            <w:tcW w:w="2405" w:type="dxa"/>
            <w:vAlign w:val="center"/>
          </w:tcPr>
          <w:p w14:paraId="5F43140A" w14:textId="77777777" w:rsidR="00E724B2" w:rsidRPr="00E634EB" w:rsidRDefault="00E724B2" w:rsidP="007D5396">
            <w:pPr>
              <w:adjustRightInd w:val="0"/>
              <w:spacing w:line="276" w:lineRule="auto"/>
              <w:ind w:left="567" w:right="401" w:firstLine="0"/>
              <w:jc w:val="center"/>
              <w:rPr>
                <w:rFonts w:ascii="ITC Avant Garde" w:hAnsi="ITC Avant Garde" w:cs="Arial"/>
                <w:b/>
                <w:bCs/>
                <w:i/>
                <w:color w:val="auto"/>
                <w:sz w:val="18"/>
              </w:rPr>
            </w:pPr>
            <w:r w:rsidRPr="00E634EB">
              <w:rPr>
                <w:rFonts w:ascii="ITC Avant Garde" w:hAnsi="ITC Avant Garde" w:cs="Arial"/>
                <w:b/>
                <w:bCs/>
                <w:i/>
                <w:color w:val="auto"/>
                <w:sz w:val="18"/>
              </w:rPr>
              <w:t>Plazos máximos</w:t>
            </w:r>
          </w:p>
        </w:tc>
      </w:tr>
      <w:tr w:rsidR="00E724B2" w:rsidRPr="00E634EB" w14:paraId="6FB271B5" w14:textId="77777777" w:rsidTr="00D81EA4">
        <w:trPr>
          <w:cantSplit/>
          <w:trHeight w:val="20"/>
        </w:trPr>
        <w:tc>
          <w:tcPr>
            <w:tcW w:w="2407" w:type="dxa"/>
            <w:vMerge/>
            <w:vAlign w:val="center"/>
          </w:tcPr>
          <w:p w14:paraId="4E9255C6" w14:textId="77777777" w:rsidR="00E724B2" w:rsidRPr="00E634EB" w:rsidRDefault="00E724B2" w:rsidP="007D5396">
            <w:pPr>
              <w:adjustRightInd w:val="0"/>
              <w:spacing w:line="276" w:lineRule="auto"/>
              <w:ind w:left="567" w:right="401" w:firstLine="0"/>
              <w:jc w:val="center"/>
              <w:rPr>
                <w:rFonts w:ascii="ITC Avant Garde" w:hAnsi="ITC Avant Garde" w:cs="Arial"/>
                <w:b/>
                <w:bCs/>
                <w:i/>
                <w:color w:val="auto"/>
                <w:sz w:val="18"/>
              </w:rPr>
            </w:pPr>
          </w:p>
        </w:tc>
        <w:tc>
          <w:tcPr>
            <w:tcW w:w="2405" w:type="dxa"/>
            <w:vAlign w:val="center"/>
          </w:tcPr>
          <w:p w14:paraId="5EF17215" w14:textId="77777777" w:rsidR="00E724B2" w:rsidRPr="00E634EB" w:rsidRDefault="00E724B2" w:rsidP="007D5396">
            <w:pPr>
              <w:adjustRightInd w:val="0"/>
              <w:spacing w:line="276" w:lineRule="auto"/>
              <w:ind w:left="567" w:right="401" w:firstLine="0"/>
              <w:jc w:val="center"/>
              <w:rPr>
                <w:rFonts w:ascii="ITC Avant Garde" w:hAnsi="ITC Avant Garde" w:cs="Arial"/>
                <w:b/>
                <w:bCs/>
                <w:i/>
                <w:color w:val="auto"/>
                <w:sz w:val="18"/>
              </w:rPr>
            </w:pPr>
            <w:r w:rsidRPr="00E634EB">
              <w:rPr>
                <w:rFonts w:ascii="ITC Avant Garde" w:hAnsi="ITC Avant Garde" w:cs="Arial"/>
                <w:b/>
                <w:bCs/>
                <w:i/>
                <w:color w:val="auto"/>
                <w:sz w:val="18"/>
              </w:rPr>
              <w:t>Enlaces de Interconexión</w:t>
            </w:r>
          </w:p>
        </w:tc>
      </w:tr>
      <w:tr w:rsidR="00E724B2" w:rsidRPr="00E634EB" w14:paraId="5FC1813F" w14:textId="77777777" w:rsidTr="00D81EA4">
        <w:trPr>
          <w:cantSplit/>
          <w:trHeight w:val="20"/>
        </w:trPr>
        <w:tc>
          <w:tcPr>
            <w:tcW w:w="2407" w:type="dxa"/>
            <w:vAlign w:val="center"/>
          </w:tcPr>
          <w:p w14:paraId="2BC1240B" w14:textId="77777777" w:rsidR="00E724B2" w:rsidRPr="00E634EB" w:rsidRDefault="00E724B2" w:rsidP="007D5396">
            <w:pPr>
              <w:adjustRightInd w:val="0"/>
              <w:spacing w:line="276" w:lineRule="auto"/>
              <w:ind w:left="567" w:right="401" w:firstLine="0"/>
              <w:jc w:val="center"/>
              <w:rPr>
                <w:rFonts w:ascii="ITC Avant Garde" w:hAnsi="ITC Avant Garde" w:cs="Arial"/>
                <w:bCs/>
                <w:i/>
                <w:color w:val="auto"/>
                <w:sz w:val="18"/>
              </w:rPr>
            </w:pPr>
            <w:r w:rsidRPr="00E634EB">
              <w:rPr>
                <w:rFonts w:ascii="ITC Avant Garde" w:hAnsi="ITC Avant Garde" w:cs="Arial"/>
                <w:bCs/>
                <w:i/>
                <w:color w:val="auto"/>
                <w:sz w:val="18"/>
              </w:rPr>
              <w:t>Prioridad 1</w:t>
            </w:r>
          </w:p>
        </w:tc>
        <w:tc>
          <w:tcPr>
            <w:tcW w:w="2405" w:type="dxa"/>
            <w:vAlign w:val="center"/>
          </w:tcPr>
          <w:p w14:paraId="2B907411" w14:textId="77777777" w:rsidR="00E724B2" w:rsidRPr="00E634EB" w:rsidRDefault="00E724B2" w:rsidP="007D5396">
            <w:pPr>
              <w:adjustRightInd w:val="0"/>
              <w:spacing w:line="276" w:lineRule="auto"/>
              <w:ind w:left="567" w:right="401" w:firstLine="0"/>
              <w:jc w:val="center"/>
              <w:rPr>
                <w:rFonts w:ascii="ITC Avant Garde" w:hAnsi="ITC Avant Garde" w:cs="Arial"/>
                <w:bCs/>
                <w:i/>
                <w:color w:val="auto"/>
                <w:sz w:val="18"/>
              </w:rPr>
            </w:pPr>
            <w:r w:rsidRPr="00E634EB">
              <w:rPr>
                <w:rFonts w:ascii="ITC Avant Garde" w:hAnsi="ITC Avant Garde" w:cs="Arial"/>
                <w:bCs/>
                <w:i/>
                <w:color w:val="auto"/>
                <w:sz w:val="18"/>
              </w:rPr>
              <w:t>1 horas</w:t>
            </w:r>
          </w:p>
        </w:tc>
      </w:tr>
      <w:tr w:rsidR="00E724B2" w:rsidRPr="00E634EB" w14:paraId="583365F4" w14:textId="77777777" w:rsidTr="00D81EA4">
        <w:trPr>
          <w:cantSplit/>
          <w:trHeight w:val="20"/>
        </w:trPr>
        <w:tc>
          <w:tcPr>
            <w:tcW w:w="2407" w:type="dxa"/>
            <w:vAlign w:val="center"/>
          </w:tcPr>
          <w:p w14:paraId="1D883C42" w14:textId="77777777" w:rsidR="00E724B2" w:rsidRPr="00E634EB" w:rsidRDefault="00E724B2" w:rsidP="007D5396">
            <w:pPr>
              <w:adjustRightInd w:val="0"/>
              <w:spacing w:line="276" w:lineRule="auto"/>
              <w:ind w:left="567" w:right="401" w:firstLine="0"/>
              <w:jc w:val="center"/>
              <w:rPr>
                <w:rFonts w:ascii="ITC Avant Garde" w:hAnsi="ITC Avant Garde" w:cs="Arial"/>
                <w:bCs/>
                <w:i/>
                <w:color w:val="auto"/>
                <w:sz w:val="18"/>
              </w:rPr>
            </w:pPr>
            <w:r w:rsidRPr="00E634EB">
              <w:rPr>
                <w:rFonts w:ascii="ITC Avant Garde" w:hAnsi="ITC Avant Garde" w:cs="Arial"/>
                <w:bCs/>
                <w:i/>
                <w:color w:val="auto"/>
                <w:sz w:val="18"/>
              </w:rPr>
              <w:t>Prioridad 2</w:t>
            </w:r>
          </w:p>
        </w:tc>
        <w:tc>
          <w:tcPr>
            <w:tcW w:w="2405" w:type="dxa"/>
            <w:vAlign w:val="center"/>
          </w:tcPr>
          <w:p w14:paraId="0E7C78CF" w14:textId="77777777" w:rsidR="00E724B2" w:rsidRPr="00E634EB" w:rsidRDefault="00E724B2" w:rsidP="007D5396">
            <w:pPr>
              <w:adjustRightInd w:val="0"/>
              <w:spacing w:line="276" w:lineRule="auto"/>
              <w:ind w:left="567" w:right="401" w:firstLine="0"/>
              <w:jc w:val="center"/>
              <w:rPr>
                <w:rFonts w:ascii="ITC Avant Garde" w:hAnsi="ITC Avant Garde" w:cs="Arial"/>
                <w:bCs/>
                <w:i/>
                <w:color w:val="auto"/>
                <w:sz w:val="18"/>
              </w:rPr>
            </w:pPr>
            <w:r w:rsidRPr="00E634EB">
              <w:rPr>
                <w:rFonts w:ascii="ITC Avant Garde" w:hAnsi="ITC Avant Garde" w:cs="Arial"/>
                <w:bCs/>
                <w:i/>
                <w:color w:val="auto"/>
                <w:sz w:val="18"/>
              </w:rPr>
              <w:t>2 horas</w:t>
            </w:r>
          </w:p>
        </w:tc>
      </w:tr>
      <w:tr w:rsidR="00E724B2" w:rsidRPr="00E634EB" w14:paraId="6974F090" w14:textId="77777777" w:rsidTr="00D81EA4">
        <w:trPr>
          <w:cantSplit/>
          <w:trHeight w:val="20"/>
        </w:trPr>
        <w:tc>
          <w:tcPr>
            <w:tcW w:w="2407" w:type="dxa"/>
            <w:vAlign w:val="center"/>
          </w:tcPr>
          <w:p w14:paraId="46DB29CA" w14:textId="77777777" w:rsidR="00E724B2" w:rsidRPr="00E634EB" w:rsidRDefault="00E724B2" w:rsidP="007D5396">
            <w:pPr>
              <w:adjustRightInd w:val="0"/>
              <w:spacing w:line="276" w:lineRule="auto"/>
              <w:ind w:left="567" w:right="401" w:firstLine="0"/>
              <w:jc w:val="center"/>
              <w:rPr>
                <w:rFonts w:ascii="ITC Avant Garde" w:hAnsi="ITC Avant Garde" w:cs="Arial"/>
                <w:bCs/>
                <w:i/>
                <w:color w:val="auto"/>
                <w:sz w:val="18"/>
              </w:rPr>
            </w:pPr>
            <w:r w:rsidRPr="00E634EB">
              <w:rPr>
                <w:rFonts w:ascii="ITC Avant Garde" w:hAnsi="ITC Avant Garde" w:cs="Arial"/>
                <w:bCs/>
                <w:i/>
                <w:color w:val="auto"/>
                <w:sz w:val="18"/>
              </w:rPr>
              <w:t>Prioridad 3</w:t>
            </w:r>
          </w:p>
        </w:tc>
        <w:tc>
          <w:tcPr>
            <w:tcW w:w="2405" w:type="dxa"/>
            <w:vAlign w:val="center"/>
          </w:tcPr>
          <w:p w14:paraId="60DF16A7" w14:textId="77777777" w:rsidR="00E724B2" w:rsidRPr="00E634EB" w:rsidRDefault="00E724B2" w:rsidP="007D5396">
            <w:pPr>
              <w:adjustRightInd w:val="0"/>
              <w:spacing w:line="276" w:lineRule="auto"/>
              <w:ind w:left="567" w:right="401" w:firstLine="0"/>
              <w:jc w:val="center"/>
              <w:rPr>
                <w:rFonts w:ascii="ITC Avant Garde" w:hAnsi="ITC Avant Garde" w:cs="Arial"/>
                <w:bCs/>
                <w:i/>
                <w:color w:val="auto"/>
                <w:sz w:val="18"/>
              </w:rPr>
            </w:pPr>
            <w:r w:rsidRPr="00E634EB">
              <w:rPr>
                <w:rFonts w:ascii="ITC Avant Garde" w:hAnsi="ITC Avant Garde" w:cs="Arial"/>
                <w:bCs/>
                <w:i/>
                <w:color w:val="auto"/>
                <w:sz w:val="18"/>
              </w:rPr>
              <w:t>5 horas</w:t>
            </w:r>
          </w:p>
        </w:tc>
      </w:tr>
    </w:tbl>
    <w:p w14:paraId="39D3F294" w14:textId="77777777" w:rsidR="00E724B2" w:rsidRPr="00E634EB" w:rsidRDefault="00E724B2" w:rsidP="00B6100E">
      <w:pPr>
        <w:spacing w:before="2040" w:line="276" w:lineRule="auto"/>
        <w:ind w:firstLine="0"/>
        <w:rPr>
          <w:rFonts w:ascii="ITC Avant Garde" w:hAnsi="ITC Avant Garde"/>
          <w:color w:val="auto"/>
        </w:rPr>
      </w:pPr>
    </w:p>
    <w:p w14:paraId="1B089F64" w14:textId="16BFDB71" w:rsidR="000D5F43" w:rsidRPr="00B56D15" w:rsidRDefault="000D5F43" w:rsidP="007D5396">
      <w:pPr>
        <w:spacing w:after="0" w:line="276" w:lineRule="auto"/>
        <w:ind w:left="-5" w:right="49" w:firstLine="0"/>
        <w:rPr>
          <w:rFonts w:ascii="ITC Avant Garde" w:hAnsi="ITC Avant Garde"/>
          <w:b/>
          <w:color w:val="auto"/>
        </w:rPr>
      </w:pPr>
      <w:r w:rsidRPr="00FC293E">
        <w:rPr>
          <w:rFonts w:ascii="ITC Avant Garde" w:hAnsi="ITC Avant Garde"/>
          <w:b/>
          <w:color w:val="auto"/>
        </w:rPr>
        <w:t>Grupo Televisa:</w:t>
      </w:r>
    </w:p>
    <w:p w14:paraId="34D78204" w14:textId="77777777" w:rsidR="000D5F43" w:rsidRPr="00B56D15" w:rsidRDefault="000D5F43" w:rsidP="007D5396">
      <w:pPr>
        <w:spacing w:after="0" w:line="276" w:lineRule="auto"/>
        <w:ind w:left="0" w:right="49" w:firstLine="0"/>
        <w:rPr>
          <w:rFonts w:ascii="ITC Avant Garde" w:eastAsia="Times New Roman" w:hAnsi="ITC Avant Garde" w:cs="Times New Roman"/>
          <w:color w:val="auto"/>
        </w:rPr>
      </w:pPr>
    </w:p>
    <w:p w14:paraId="4AA3A041" w14:textId="34815F99" w:rsidR="000D5F43" w:rsidRPr="00B56D15" w:rsidRDefault="00FC293E" w:rsidP="007D5396">
      <w:pPr>
        <w:spacing w:line="276" w:lineRule="auto"/>
        <w:ind w:firstLine="0"/>
        <w:rPr>
          <w:rFonts w:ascii="ITC Avant Garde" w:hAnsi="ITC Avant Garde" w:cs="Times New Roman"/>
          <w:i/>
          <w:color w:val="auto"/>
        </w:rPr>
      </w:pPr>
      <w:r>
        <w:rPr>
          <w:rFonts w:ascii="ITC Avant Garde" w:hAnsi="ITC Avant Garde" w:cs="Times New Roman"/>
          <w:i/>
          <w:color w:val="auto"/>
        </w:rPr>
        <w:t>Respecto al numeral 2.4.2, e</w:t>
      </w:r>
      <w:r w:rsidR="000D5F43" w:rsidRPr="00B56D15">
        <w:rPr>
          <w:rFonts w:ascii="ITC Avant Garde" w:hAnsi="ITC Avant Garde" w:cs="Times New Roman"/>
          <w:i/>
          <w:color w:val="auto"/>
        </w:rPr>
        <w:t xml:space="preserve">l CMI viola la Medida décima sexta del Anexo 2 de la Resolución de Preponderancia, toda vez que dicha norma establece que el plazo de entrega de Enlaces Dedicados se computará desde el día que el </w:t>
      </w:r>
      <w:r w:rsidR="00930A66">
        <w:rPr>
          <w:rFonts w:ascii="ITC Avant Garde" w:hAnsi="ITC Avant Garde" w:cs="Times New Roman"/>
          <w:i/>
          <w:color w:val="auto"/>
        </w:rPr>
        <w:t>CS</w:t>
      </w:r>
      <w:r w:rsidR="000D5F43" w:rsidRPr="00B56D15">
        <w:rPr>
          <w:rFonts w:ascii="ITC Avant Garde" w:hAnsi="ITC Avant Garde" w:cs="Times New Roman"/>
          <w:i/>
          <w:color w:val="auto"/>
        </w:rPr>
        <w:t xml:space="preserve"> notifica al AEP del pedido. </w:t>
      </w:r>
    </w:p>
    <w:p w14:paraId="0247BE6D" w14:textId="77777777" w:rsidR="000D5F43" w:rsidRPr="00B56D15" w:rsidRDefault="000D5F43" w:rsidP="007D5396">
      <w:pPr>
        <w:spacing w:line="276" w:lineRule="auto"/>
        <w:ind w:firstLine="0"/>
        <w:rPr>
          <w:rFonts w:ascii="ITC Avant Garde" w:hAnsi="ITC Avant Garde" w:cs="Times New Roman"/>
          <w:i/>
          <w:color w:val="auto"/>
        </w:rPr>
      </w:pPr>
    </w:p>
    <w:p w14:paraId="54E94620" w14:textId="45A9A705" w:rsidR="000D5F43" w:rsidRPr="00B56D15" w:rsidRDefault="000D5F43" w:rsidP="007D5396">
      <w:pPr>
        <w:spacing w:line="276" w:lineRule="auto"/>
        <w:ind w:firstLine="0"/>
        <w:rPr>
          <w:rFonts w:ascii="ITC Avant Garde" w:hAnsi="ITC Avant Garde" w:cs="Times New Roman"/>
          <w:i/>
          <w:color w:val="auto"/>
        </w:rPr>
      </w:pPr>
      <w:r w:rsidRPr="00B56D15">
        <w:rPr>
          <w:rFonts w:ascii="ITC Avant Garde" w:hAnsi="ITC Avant Garde" w:cs="Times New Roman"/>
          <w:i/>
          <w:color w:val="auto"/>
        </w:rPr>
        <w:t>Se solicita modificar la intención del AEP de únicamente dar un aviso cuando rechaza una solicitud por las obligaciones ya establecidas en el párrafo citado de</w:t>
      </w:r>
      <w:r w:rsidR="00FC293E">
        <w:rPr>
          <w:rFonts w:ascii="ITC Avant Garde" w:hAnsi="ITC Avant Garde" w:cs="Times New Roman"/>
          <w:i/>
          <w:color w:val="auto"/>
        </w:rPr>
        <w:t xml:space="preserve"> las Medidas de Preponderancia.</w:t>
      </w:r>
    </w:p>
    <w:p w14:paraId="1202A1C8" w14:textId="77777777" w:rsidR="00BB681F" w:rsidRDefault="00BB681F" w:rsidP="00BB681F">
      <w:pPr>
        <w:spacing w:after="0" w:line="276" w:lineRule="auto"/>
        <w:ind w:left="-5" w:right="49" w:firstLine="0"/>
        <w:rPr>
          <w:rFonts w:ascii="ITC Avant Garde" w:hAnsi="ITC Avant Garde"/>
          <w:b/>
          <w:color w:val="auto"/>
        </w:rPr>
      </w:pPr>
    </w:p>
    <w:p w14:paraId="0C7E151D" w14:textId="77777777" w:rsidR="00BB681F" w:rsidRPr="009A65EB" w:rsidRDefault="00BB681F" w:rsidP="00BB681F">
      <w:pPr>
        <w:spacing w:after="0" w:line="276" w:lineRule="auto"/>
        <w:ind w:left="-5" w:right="49" w:firstLine="0"/>
        <w:rPr>
          <w:rFonts w:ascii="ITC Avant Garde" w:hAnsi="ITC Avant Garde"/>
          <w:b/>
          <w:color w:val="auto"/>
        </w:rPr>
      </w:pPr>
      <w:r w:rsidRPr="009A65EB">
        <w:rPr>
          <w:rFonts w:ascii="ITC Avant Garde" w:hAnsi="ITC Avant Garde"/>
          <w:b/>
          <w:color w:val="auto"/>
        </w:rPr>
        <w:t>Grupo Televisa:</w:t>
      </w:r>
    </w:p>
    <w:p w14:paraId="5BFCBBC5" w14:textId="77777777" w:rsidR="00BB681F" w:rsidRPr="009A65EB" w:rsidRDefault="00BB681F" w:rsidP="00BB681F">
      <w:pPr>
        <w:spacing w:after="0" w:line="276" w:lineRule="auto"/>
        <w:ind w:left="0" w:right="49" w:firstLine="0"/>
        <w:rPr>
          <w:rFonts w:ascii="ITC Avant Garde" w:eastAsia="Times New Roman" w:hAnsi="ITC Avant Garde" w:cs="Times New Roman"/>
          <w:color w:val="auto"/>
        </w:rPr>
      </w:pPr>
    </w:p>
    <w:p w14:paraId="09BC644A" w14:textId="77777777" w:rsidR="00BB681F" w:rsidRDefault="00BB681F" w:rsidP="00BB681F">
      <w:pPr>
        <w:spacing w:line="276" w:lineRule="auto"/>
        <w:ind w:firstLine="0"/>
        <w:rPr>
          <w:rFonts w:ascii="ITC Avant Garde" w:hAnsi="ITC Avant Garde" w:cs="Times New Roman"/>
          <w:i/>
          <w:color w:val="auto"/>
        </w:rPr>
      </w:pPr>
      <w:r>
        <w:rPr>
          <w:rFonts w:ascii="ITC Avant Garde" w:hAnsi="ITC Avant Garde" w:cs="Times New Roman"/>
          <w:i/>
          <w:color w:val="auto"/>
        </w:rPr>
        <w:t>Respecto al numeral 2.6.3, s</w:t>
      </w:r>
      <w:r w:rsidRPr="00424AB3">
        <w:rPr>
          <w:rFonts w:ascii="ITC Avant Garde" w:hAnsi="ITC Avant Garde" w:cs="Times New Roman"/>
          <w:i/>
          <w:color w:val="auto"/>
        </w:rPr>
        <w:t>e solicita eliminar de la propuesta la posibilidad de que el AEP mantenga soluciones de emergencia por tiempo indefinido en clara violación de</w:t>
      </w:r>
      <w:r>
        <w:rPr>
          <w:rFonts w:ascii="ITC Avant Garde" w:hAnsi="ITC Avant Garde" w:cs="Times New Roman"/>
          <w:i/>
          <w:color w:val="auto"/>
        </w:rPr>
        <w:t xml:space="preserve"> las Medidas de Preponderancia.</w:t>
      </w:r>
    </w:p>
    <w:p w14:paraId="1B6017B1" w14:textId="77777777" w:rsidR="00BB681F" w:rsidRDefault="00BB681F" w:rsidP="00BB681F">
      <w:pPr>
        <w:spacing w:line="276" w:lineRule="auto"/>
        <w:ind w:firstLine="0"/>
        <w:rPr>
          <w:rFonts w:ascii="ITC Avant Garde" w:hAnsi="ITC Avant Garde" w:cs="Times New Roman"/>
          <w:i/>
          <w:color w:val="auto"/>
        </w:rPr>
      </w:pPr>
    </w:p>
    <w:p w14:paraId="5079AC9A" w14:textId="2B726807" w:rsidR="00BB681F" w:rsidRPr="00E634EB" w:rsidRDefault="00BB681F" w:rsidP="00BB681F">
      <w:pPr>
        <w:spacing w:line="276" w:lineRule="auto"/>
        <w:ind w:left="0" w:right="0" w:firstLine="0"/>
        <w:rPr>
          <w:rFonts w:ascii="ITC Avant Garde" w:hAnsi="ITC Avant Garde"/>
          <w:color w:val="auto"/>
        </w:rPr>
      </w:pPr>
      <w:r w:rsidRPr="00E634EB">
        <w:rPr>
          <w:rFonts w:ascii="ITC Avant Garde" w:hAnsi="ITC Avant Garde"/>
          <w:color w:val="auto"/>
        </w:rPr>
        <w:t xml:space="preserve">Al respecto se observó que al instaurar instrumentos alternativos de conexión de manera indefinida en tanto se complete la reparación de la causa raíz de la falla, se permite el restablecimiento del Servicio de Interconexión, </w:t>
      </w:r>
      <w:r w:rsidR="003D1FA8" w:rsidRPr="00E634EB">
        <w:rPr>
          <w:rFonts w:ascii="ITC Avant Garde" w:hAnsi="ITC Avant Garde"/>
          <w:color w:val="auto"/>
        </w:rPr>
        <w:t>es así que la prestación del servicio no se ve interrumpida</w:t>
      </w:r>
      <w:r w:rsidRPr="00E634EB">
        <w:rPr>
          <w:rFonts w:ascii="ITC Avant Garde" w:hAnsi="ITC Avant Garde"/>
          <w:color w:val="auto"/>
        </w:rPr>
        <w:t>.</w:t>
      </w:r>
      <w:r w:rsidR="003D1FA8" w:rsidRPr="00E634EB">
        <w:rPr>
          <w:rFonts w:ascii="ITC Avant Garde" w:hAnsi="ITC Avant Garde"/>
          <w:color w:val="auto"/>
        </w:rPr>
        <w:t xml:space="preserve"> Por otra parte, el plazo de reparación de falla continúa contabilizándose por lo que las obligaciones establecidas en el convenio son completamente exigibles.</w:t>
      </w:r>
    </w:p>
    <w:p w14:paraId="3C75F18F" w14:textId="77777777" w:rsidR="00BB681F" w:rsidRPr="00B56D15" w:rsidRDefault="00BB681F" w:rsidP="00D35C12">
      <w:pPr>
        <w:spacing w:line="276" w:lineRule="auto"/>
        <w:ind w:left="0" w:firstLine="0"/>
        <w:rPr>
          <w:rFonts w:ascii="ITC Avant Garde" w:hAnsi="ITC Avant Garde"/>
          <w:i/>
          <w:color w:val="auto"/>
        </w:rPr>
      </w:pPr>
    </w:p>
    <w:p w14:paraId="6530708A" w14:textId="77777777" w:rsidR="00BB681F" w:rsidRPr="00B56D15" w:rsidRDefault="00BB681F" w:rsidP="00BB681F">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0E5A5D37" w14:textId="77777777" w:rsidR="00BB681F" w:rsidRPr="00B56D15" w:rsidRDefault="00BB681F" w:rsidP="00BB681F">
      <w:pPr>
        <w:spacing w:after="0" w:line="276" w:lineRule="auto"/>
        <w:ind w:left="0" w:right="49" w:firstLine="0"/>
        <w:rPr>
          <w:rFonts w:ascii="ITC Avant Garde" w:hAnsi="ITC Avant Garde" w:cs="Times New Roman"/>
          <w:i/>
          <w:color w:val="auto"/>
        </w:rPr>
      </w:pPr>
    </w:p>
    <w:p w14:paraId="3BB6BCDB" w14:textId="77777777" w:rsidR="00BB681F" w:rsidRDefault="00BB681F" w:rsidP="00BB681F">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Respecto al numerales 2.6.6 del Anexo H del</w:t>
      </w:r>
      <w:r w:rsidRPr="00B56D15">
        <w:rPr>
          <w:rFonts w:ascii="ITC Avant Garde" w:hAnsi="ITC Avant Garde" w:cs="Times New Roman"/>
          <w:i/>
          <w:color w:val="auto"/>
        </w:rPr>
        <w:t xml:space="preserve"> CMI</w:t>
      </w:r>
      <w:r>
        <w:rPr>
          <w:rFonts w:ascii="ITC Avant Garde" w:hAnsi="ITC Avant Garde" w:cs="Times New Roman"/>
          <w:i/>
          <w:color w:val="auto"/>
        </w:rPr>
        <w:t>, se</w:t>
      </w:r>
      <w:r w:rsidRPr="00B56D15">
        <w:rPr>
          <w:rFonts w:ascii="ITC Avant Garde" w:hAnsi="ITC Avant Garde" w:cs="Times New Roman"/>
          <w:i/>
          <w:color w:val="auto"/>
        </w:rPr>
        <w:t xml:space="preserve"> viola la cláusula Décimo Novena del Anexo 2, que establece taxativa</w:t>
      </w:r>
      <w:r>
        <w:rPr>
          <w:rFonts w:ascii="ITC Avant Garde" w:hAnsi="ITC Avant Garde" w:cs="Times New Roman"/>
          <w:i/>
          <w:color w:val="auto"/>
        </w:rPr>
        <w:t>mente los parámetros de calidad.</w:t>
      </w:r>
    </w:p>
    <w:p w14:paraId="6C77E809" w14:textId="77777777" w:rsidR="00BB681F" w:rsidRPr="00B56D15" w:rsidRDefault="00BB681F" w:rsidP="00BB681F">
      <w:pPr>
        <w:spacing w:after="0" w:line="276" w:lineRule="auto"/>
        <w:ind w:left="0" w:right="49" w:firstLine="0"/>
        <w:rPr>
          <w:rFonts w:ascii="ITC Avant Garde" w:hAnsi="ITC Avant Garde" w:cs="Times New Roman"/>
          <w:i/>
          <w:color w:val="auto"/>
        </w:rPr>
      </w:pPr>
    </w:p>
    <w:p w14:paraId="4F0D903D" w14:textId="77777777" w:rsidR="00BB681F" w:rsidRPr="00B56D15" w:rsidRDefault="00BB681F" w:rsidP="00BB681F">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Al respecto, e</w:t>
      </w:r>
      <w:r w:rsidRPr="00B56D15">
        <w:rPr>
          <w:rFonts w:ascii="ITC Avant Garde" w:hAnsi="ITC Avant Garde" w:cs="Times New Roman"/>
          <w:i/>
          <w:color w:val="auto"/>
        </w:rPr>
        <w:t>s evidente al efectuar la comparación que la alteración dolosa de la norma (pues debió, en rigor, sólo copiarse el texto legal) se ha realizado en claro perjuicio de los CS.  Por lo anterior, se solicita retomar los parámetros de calidad establecidos en el anexo 2 de</w:t>
      </w:r>
      <w:r>
        <w:rPr>
          <w:rFonts w:ascii="ITC Avant Garde" w:hAnsi="ITC Avant Garde" w:cs="Times New Roman"/>
          <w:i/>
          <w:color w:val="auto"/>
        </w:rPr>
        <w:t xml:space="preserve"> las Medidas de Preponderancia.</w:t>
      </w:r>
    </w:p>
    <w:p w14:paraId="14342F31" w14:textId="77777777" w:rsidR="000D5F43" w:rsidRPr="00B56D15" w:rsidRDefault="000D5F43" w:rsidP="00897A87">
      <w:pPr>
        <w:spacing w:after="0" w:line="276" w:lineRule="auto"/>
        <w:ind w:left="0" w:right="49" w:firstLine="0"/>
        <w:rPr>
          <w:rFonts w:ascii="ITC Avant Garde" w:hAnsi="ITC Avant Garde"/>
          <w:b/>
          <w:color w:val="auto"/>
        </w:rPr>
      </w:pPr>
    </w:p>
    <w:p w14:paraId="64677E1C" w14:textId="60B417EE" w:rsidR="00831D5B" w:rsidRPr="00B56D15" w:rsidRDefault="00831D5B" w:rsidP="007D5396">
      <w:pPr>
        <w:spacing w:after="0" w:line="276" w:lineRule="auto"/>
        <w:ind w:left="-5" w:right="49" w:firstLine="0"/>
        <w:rPr>
          <w:rFonts w:ascii="ITC Avant Garde" w:hAnsi="ITC Avant Garde"/>
          <w:b/>
          <w:color w:val="auto"/>
        </w:rPr>
      </w:pPr>
      <w:r w:rsidRPr="00A7534A">
        <w:rPr>
          <w:rFonts w:ascii="ITC Avant Garde" w:hAnsi="ITC Avant Garde"/>
          <w:b/>
          <w:color w:val="auto"/>
        </w:rPr>
        <w:t>AT&amp;T:</w:t>
      </w:r>
    </w:p>
    <w:p w14:paraId="1441978B" w14:textId="77777777" w:rsidR="006D72D6" w:rsidRPr="00B56D15" w:rsidRDefault="006D72D6" w:rsidP="007D5396">
      <w:pPr>
        <w:spacing w:after="0" w:line="276" w:lineRule="auto"/>
        <w:ind w:left="0" w:right="49" w:firstLine="0"/>
        <w:rPr>
          <w:rFonts w:ascii="ITC Avant Garde" w:eastAsia="Times New Roman" w:hAnsi="ITC Avant Garde" w:cs="Times New Roman"/>
          <w:i/>
          <w:color w:val="auto"/>
        </w:rPr>
      </w:pPr>
    </w:p>
    <w:p w14:paraId="640F5354" w14:textId="3D9F3742" w:rsidR="00D9189B" w:rsidRPr="00B56D15" w:rsidRDefault="0044395D" w:rsidP="007D5396">
      <w:pPr>
        <w:spacing w:after="0" w:line="276" w:lineRule="auto"/>
        <w:ind w:left="0"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En el numeral 2.6.6, s</w:t>
      </w:r>
      <w:r w:rsidR="006D72D6" w:rsidRPr="00B56D15">
        <w:rPr>
          <w:rFonts w:ascii="ITC Avant Garde" w:eastAsia="Times New Roman" w:hAnsi="ITC Avant Garde" w:cs="Times New Roman"/>
          <w:i/>
          <w:color w:val="auto"/>
        </w:rPr>
        <w:t>e solicita que la evaluación del cumplimiento de la calidad sea de forma mensual, no trimestral y en base en los siguientes porcentajes:</w:t>
      </w:r>
    </w:p>
    <w:p w14:paraId="19074C3C" w14:textId="77777777" w:rsidR="006D72D6" w:rsidRPr="00B56D15" w:rsidRDefault="006D72D6" w:rsidP="007D5396">
      <w:pPr>
        <w:spacing w:after="0" w:line="276" w:lineRule="auto"/>
        <w:ind w:left="0" w:right="49" w:firstLine="0"/>
        <w:rPr>
          <w:rFonts w:ascii="ITC Avant Garde" w:eastAsia="Times New Roman" w:hAnsi="ITC Avant Garde" w:cs="Times New Roman"/>
          <w:i/>
          <w:color w:val="auto"/>
        </w:rPr>
      </w:pPr>
    </w:p>
    <w:p w14:paraId="6B98FF9F" w14:textId="7D651682" w:rsidR="006D72D6" w:rsidRPr="00B56D15" w:rsidRDefault="00663000"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w:t>
      </w:r>
      <w:r w:rsidR="006D72D6" w:rsidRPr="00B56D15">
        <w:rPr>
          <w:rFonts w:ascii="ITC Avant Garde" w:eastAsia="Times New Roman" w:hAnsi="ITC Avant Garde" w:cs="Times New Roman"/>
          <w:i/>
          <w:color w:val="auto"/>
        </w:rPr>
        <w:t xml:space="preserve">2.6.6 Telmex garantizará el cumplimiento </w:t>
      </w:r>
      <w:r w:rsidR="006D72D6" w:rsidRPr="00B56D15">
        <w:rPr>
          <w:rFonts w:ascii="ITC Avant Garde" w:eastAsia="Times New Roman" w:hAnsi="ITC Avant Garde" w:cs="Times New Roman"/>
          <w:i/>
          <w:strike/>
          <w:color w:val="auto"/>
        </w:rPr>
        <w:t>trimestral</w:t>
      </w:r>
      <w:r w:rsidR="006D72D6" w:rsidRPr="00B56D15">
        <w:rPr>
          <w:rFonts w:ascii="ITC Avant Garde" w:eastAsia="Times New Roman" w:hAnsi="ITC Avant Garde" w:cs="Times New Roman"/>
          <w:i/>
          <w:color w:val="auto"/>
        </w:rPr>
        <w:t xml:space="preserve"> </w:t>
      </w:r>
      <w:r w:rsidR="006D72D6" w:rsidRPr="00B56D15">
        <w:rPr>
          <w:rFonts w:ascii="ITC Avant Garde" w:eastAsia="Times New Roman" w:hAnsi="ITC Avant Garde" w:cs="Times New Roman"/>
          <w:b/>
          <w:i/>
          <w:color w:val="auto"/>
          <w:u w:val="single"/>
        </w:rPr>
        <w:t>mensual</w:t>
      </w:r>
      <w:r w:rsidR="006D72D6" w:rsidRPr="00B56D15">
        <w:rPr>
          <w:rFonts w:ascii="ITC Avant Garde" w:eastAsia="Times New Roman" w:hAnsi="ITC Avant Garde" w:cs="Times New Roman"/>
          <w:i/>
          <w:color w:val="auto"/>
        </w:rPr>
        <w:t xml:space="preserve"> por servicio de los siguientes parámetros de calidad para los Enlaces Dedicados de Interconexión:</w:t>
      </w:r>
    </w:p>
    <w:p w14:paraId="235D04D6" w14:textId="77777777" w:rsidR="006D72D6" w:rsidRPr="00B56D15" w:rsidRDefault="006D72D6" w:rsidP="007D5396">
      <w:pPr>
        <w:spacing w:after="0" w:line="276" w:lineRule="auto"/>
        <w:ind w:left="0" w:right="49" w:firstLine="0"/>
        <w:jc w:val="center"/>
        <w:rPr>
          <w:rFonts w:ascii="ITC Avant Garde" w:eastAsia="Times New Roman" w:hAnsi="ITC Avant Garde" w:cs="Times New Roman"/>
          <w:i/>
          <w:color w:val="auto"/>
        </w:rPr>
      </w:pPr>
    </w:p>
    <w:p w14:paraId="52454EF4" w14:textId="7AA25B31" w:rsidR="006D72D6" w:rsidRPr="00B56D15" w:rsidRDefault="006D72D6" w:rsidP="007D5396">
      <w:pPr>
        <w:pStyle w:val="Prrafodelista"/>
        <w:numPr>
          <w:ilvl w:val="0"/>
          <w:numId w:val="2"/>
        </w:numPr>
        <w:spacing w:after="0" w:line="276" w:lineRule="auto"/>
        <w:ind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 xml:space="preserve">Sin redundancia: </w:t>
      </w:r>
      <w:r w:rsidRPr="00B56D15">
        <w:rPr>
          <w:rFonts w:ascii="ITC Avant Garde" w:eastAsia="Times New Roman" w:hAnsi="ITC Avant Garde" w:cs="Times New Roman"/>
          <w:i/>
          <w:strike/>
          <w:color w:val="auto"/>
        </w:rPr>
        <w:t>99.60% (noventa y nueve punto sesenta por ciento)</w:t>
      </w:r>
      <w:r w:rsidRPr="00B56D15">
        <w:rPr>
          <w:rFonts w:ascii="ITC Avant Garde" w:eastAsia="Times New Roman" w:hAnsi="ITC Avant Garde" w:cs="Times New Roman"/>
          <w:i/>
          <w:color w:val="auto"/>
        </w:rPr>
        <w:t xml:space="preserve"> </w:t>
      </w:r>
      <w:r w:rsidRPr="00B56D15">
        <w:rPr>
          <w:rFonts w:ascii="ITC Avant Garde" w:eastAsia="Times New Roman" w:hAnsi="ITC Avant Garde" w:cs="Times New Roman"/>
          <w:b/>
          <w:i/>
          <w:color w:val="auto"/>
          <w:u w:val="single"/>
        </w:rPr>
        <w:t>99.92% (noventa y nueve punto noventa y dos por ciento)</w:t>
      </w:r>
      <w:r w:rsidRPr="00B56D15">
        <w:rPr>
          <w:rFonts w:ascii="ITC Avant Garde" w:eastAsia="Times New Roman" w:hAnsi="ITC Avant Garde" w:cs="Times New Roman"/>
          <w:i/>
          <w:color w:val="auto"/>
          <w:u w:val="single"/>
        </w:rPr>
        <w:t>.</w:t>
      </w:r>
    </w:p>
    <w:p w14:paraId="27C2E39A" w14:textId="1F5DD4FC" w:rsidR="006D72D6" w:rsidRPr="00B56D15" w:rsidRDefault="006D72D6" w:rsidP="007D5396">
      <w:pPr>
        <w:pStyle w:val="Prrafodelista"/>
        <w:numPr>
          <w:ilvl w:val="0"/>
          <w:numId w:val="2"/>
        </w:numPr>
        <w:spacing w:after="0" w:line="276" w:lineRule="auto"/>
        <w:ind w:right="49" w:firstLine="0"/>
        <w:rPr>
          <w:rFonts w:ascii="ITC Avant Garde" w:eastAsia="Times New Roman" w:hAnsi="ITC Avant Garde" w:cs="Times New Roman"/>
          <w:b/>
          <w:i/>
          <w:color w:val="auto"/>
          <w:u w:val="single"/>
        </w:rPr>
      </w:pPr>
      <w:r w:rsidRPr="00B56D15">
        <w:rPr>
          <w:rFonts w:ascii="ITC Avant Garde" w:eastAsia="Times New Roman" w:hAnsi="ITC Avant Garde" w:cs="Times New Roman"/>
          <w:i/>
          <w:color w:val="auto"/>
        </w:rPr>
        <w:t xml:space="preserve">Con redundancia: </w:t>
      </w:r>
      <w:r w:rsidRPr="00B56D15">
        <w:rPr>
          <w:rFonts w:ascii="ITC Avant Garde" w:eastAsia="Times New Roman" w:hAnsi="ITC Avant Garde" w:cs="Times New Roman"/>
          <w:i/>
          <w:strike/>
          <w:color w:val="auto"/>
        </w:rPr>
        <w:t>99.95% (noventa y nueve punto noventa y cinco por ciento).</w:t>
      </w:r>
      <w:r w:rsidRPr="00B56D15">
        <w:rPr>
          <w:rFonts w:ascii="ITC Avant Garde" w:eastAsia="Times New Roman" w:hAnsi="ITC Avant Garde" w:cs="Times New Roman"/>
          <w:i/>
          <w:color w:val="auto"/>
        </w:rPr>
        <w:t xml:space="preserve"> </w:t>
      </w:r>
      <w:r w:rsidRPr="00B56D15">
        <w:rPr>
          <w:rFonts w:ascii="ITC Avant Garde" w:eastAsia="Times New Roman" w:hAnsi="ITC Avant Garde" w:cs="Times New Roman"/>
          <w:b/>
          <w:i/>
          <w:color w:val="auto"/>
          <w:u w:val="single"/>
        </w:rPr>
        <w:t>99.9595% (noventa y nueve punto nueve mil quinientos noventa y cinco por ciento).</w:t>
      </w:r>
    </w:p>
    <w:p w14:paraId="37D3A2B1" w14:textId="77777777" w:rsidR="006D72D6" w:rsidRPr="00B56D15" w:rsidRDefault="006D72D6" w:rsidP="007D5396">
      <w:pPr>
        <w:spacing w:after="0" w:line="276" w:lineRule="auto"/>
        <w:ind w:left="0" w:right="49" w:firstLine="0"/>
        <w:rPr>
          <w:rFonts w:ascii="ITC Avant Garde" w:eastAsia="Times New Roman" w:hAnsi="ITC Avant Garde" w:cs="Times New Roman"/>
          <w:i/>
          <w:color w:val="auto"/>
        </w:rPr>
      </w:pPr>
    </w:p>
    <w:p w14:paraId="7117DE6F" w14:textId="1202B5F3" w:rsidR="00C625C8" w:rsidRPr="00B56D15" w:rsidRDefault="006D72D6"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En ningún caso, la penalización debe ser menor a la afectación, por lo que se requiere que las penalizaciones por indisponibilidad sean más altas con el fin de incentivar su rápida atenc</w:t>
      </w:r>
      <w:r w:rsidR="002702AE" w:rsidRPr="00B56D15">
        <w:rPr>
          <w:rFonts w:ascii="ITC Avant Garde" w:eastAsia="Times New Roman" w:hAnsi="ITC Avant Garde" w:cs="Times New Roman"/>
          <w:i/>
          <w:color w:val="auto"/>
        </w:rPr>
        <w:t>ión y solución de forma definitiva dado que esto es un insumo crítico para la eficiente operación de las redes, se solicita que los parámetros de disponibilidad se calculen conforme a la siguiente tabla:</w:t>
      </w:r>
    </w:p>
    <w:p w14:paraId="68536B97" w14:textId="77777777" w:rsidR="002702AE" w:rsidRPr="00B56D15" w:rsidRDefault="002702AE" w:rsidP="007D5396">
      <w:pPr>
        <w:spacing w:after="0" w:line="276" w:lineRule="auto"/>
        <w:ind w:left="0" w:right="49" w:firstLine="0"/>
        <w:rPr>
          <w:rFonts w:ascii="ITC Avant Garde" w:eastAsia="Times New Roman" w:hAnsi="ITC Avant Garde" w:cs="Times New Roman"/>
          <w:i/>
          <w:color w:val="auto"/>
        </w:rPr>
      </w:pPr>
    </w:p>
    <w:p w14:paraId="6D668B81" w14:textId="64C7E647" w:rsidR="002702AE" w:rsidRPr="00B56D15" w:rsidRDefault="002F3CB2" w:rsidP="007D5396">
      <w:pPr>
        <w:spacing w:after="0" w:line="276" w:lineRule="auto"/>
        <w:ind w:left="0" w:right="49" w:firstLine="0"/>
        <w:rPr>
          <w:rFonts w:ascii="ITC Avant Garde" w:eastAsia="Times New Roman" w:hAnsi="ITC Avant Garde" w:cs="Times New Roman"/>
          <w:i/>
          <w:color w:val="auto"/>
        </w:rPr>
      </w:pPr>
      <w:r>
        <w:rPr>
          <w:rFonts w:ascii="ITC Avant Garde" w:eastAsia="Times New Roman" w:hAnsi="ITC Avant Garde" w:cs="Times New Roman"/>
          <w:i/>
          <w:color w:val="auto"/>
        </w:rPr>
        <w:t xml:space="preserve">Asimismo, los parámetros del numeral </w:t>
      </w:r>
      <w:r w:rsidR="002702AE" w:rsidRPr="00B56D15">
        <w:rPr>
          <w:rFonts w:ascii="ITC Avant Garde" w:eastAsia="Times New Roman" w:hAnsi="ITC Avant Garde" w:cs="Times New Roman"/>
          <w:i/>
          <w:color w:val="auto"/>
        </w:rPr>
        <w:t>2.7.2 Por incumplimiento en los parámetros de disponibilidad, se calculará</w:t>
      </w:r>
      <w:r>
        <w:rPr>
          <w:rFonts w:ascii="ITC Avant Garde" w:eastAsia="Times New Roman" w:hAnsi="ITC Avant Garde" w:cs="Times New Roman"/>
          <w:i/>
          <w:color w:val="auto"/>
        </w:rPr>
        <w:t>n</w:t>
      </w:r>
      <w:r w:rsidR="002702AE" w:rsidRPr="00B56D15">
        <w:rPr>
          <w:rFonts w:ascii="ITC Avant Garde" w:eastAsia="Times New Roman" w:hAnsi="ITC Avant Garde" w:cs="Times New Roman"/>
          <w:i/>
          <w:color w:val="auto"/>
        </w:rPr>
        <w:t xml:space="preserve"> de acuerdo a lo siguiente:</w:t>
      </w:r>
    </w:p>
    <w:p w14:paraId="71A40662" w14:textId="77777777" w:rsidR="002702AE" w:rsidRPr="00B56D15" w:rsidRDefault="002702AE" w:rsidP="007D5396">
      <w:pPr>
        <w:spacing w:after="0" w:line="276" w:lineRule="auto"/>
        <w:ind w:left="0" w:right="49" w:firstLine="0"/>
        <w:rPr>
          <w:rFonts w:ascii="ITC Avant Garde" w:eastAsia="Times New Roman" w:hAnsi="ITC Avant Garde" w:cs="Times New Roman"/>
          <w:i/>
          <w:color w:val="auto"/>
        </w:rPr>
      </w:pPr>
    </w:p>
    <w:p w14:paraId="5C6539D7" w14:textId="08D5E66D" w:rsidR="002702AE" w:rsidRPr="00B56D15" w:rsidRDefault="002702AE"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ab/>
        <w:t>Para Enlaces Dedicados de Interconexión:</w:t>
      </w:r>
    </w:p>
    <w:p w14:paraId="49B6E758" w14:textId="77777777" w:rsidR="002702AE" w:rsidRPr="00B56D15" w:rsidRDefault="002702AE" w:rsidP="007D5396">
      <w:pPr>
        <w:spacing w:after="0" w:line="276" w:lineRule="auto"/>
        <w:ind w:left="0" w:right="49" w:firstLine="0"/>
        <w:rPr>
          <w:rFonts w:ascii="ITC Avant Garde" w:eastAsia="Times New Roman" w:hAnsi="ITC Avant Garde" w:cs="Times New Roman"/>
          <w:i/>
          <w:color w:val="auto"/>
        </w:rPr>
      </w:pPr>
    </w:p>
    <w:tbl>
      <w:tblPr>
        <w:tblStyle w:val="Tablaconcuadrcula"/>
        <w:tblW w:w="0" w:type="auto"/>
        <w:tblInd w:w="988" w:type="dxa"/>
        <w:tblLook w:val="04A0" w:firstRow="1" w:lastRow="0" w:firstColumn="1" w:lastColumn="0" w:noHBand="0" w:noVBand="1"/>
        <w:tblCaption w:val="Tabla"/>
        <w:tblDescription w:val="Por incumplimiento en los parámetros de disponibilidad"/>
      </w:tblPr>
      <w:tblGrid>
        <w:gridCol w:w="1954"/>
        <w:gridCol w:w="2943"/>
        <w:gridCol w:w="1765"/>
      </w:tblGrid>
      <w:tr w:rsidR="002702AE" w:rsidRPr="00B56D15" w14:paraId="2395522D" w14:textId="77777777" w:rsidTr="00B6100E">
        <w:trPr>
          <w:tblHeader/>
        </w:trPr>
        <w:tc>
          <w:tcPr>
            <w:tcW w:w="1954" w:type="dxa"/>
          </w:tcPr>
          <w:p w14:paraId="6914FF7A" w14:textId="717BA3B5"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 xml:space="preserve">Rango disponibilidad </w:t>
            </w:r>
            <w:r w:rsidRPr="00B56D15">
              <w:rPr>
                <w:rFonts w:ascii="ITC Avant Garde" w:eastAsia="Times New Roman" w:hAnsi="ITC Avant Garde" w:cs="Times New Roman"/>
                <w:i/>
                <w:strike/>
                <w:color w:val="auto"/>
              </w:rPr>
              <w:t>trimestral</w:t>
            </w:r>
            <w:r w:rsidRPr="00B56D15">
              <w:rPr>
                <w:rFonts w:ascii="ITC Avant Garde" w:eastAsia="Times New Roman" w:hAnsi="ITC Avant Garde" w:cs="Times New Roman"/>
                <w:i/>
                <w:color w:val="auto"/>
              </w:rPr>
              <w:t xml:space="preserve"> </w:t>
            </w:r>
            <w:r w:rsidRPr="00B56D15">
              <w:rPr>
                <w:rFonts w:ascii="ITC Avant Garde" w:eastAsia="Times New Roman" w:hAnsi="ITC Avant Garde" w:cs="Times New Roman"/>
                <w:b/>
                <w:i/>
                <w:color w:val="auto"/>
              </w:rPr>
              <w:t>mensual</w:t>
            </w:r>
            <w:r w:rsidRPr="00B56D15">
              <w:rPr>
                <w:rFonts w:ascii="ITC Avant Garde" w:eastAsia="Times New Roman" w:hAnsi="ITC Avant Garde" w:cs="Times New Roman"/>
                <w:i/>
                <w:color w:val="auto"/>
              </w:rPr>
              <w:t xml:space="preserve"> sin redundancia</w:t>
            </w:r>
          </w:p>
        </w:tc>
        <w:tc>
          <w:tcPr>
            <w:tcW w:w="2943" w:type="dxa"/>
          </w:tcPr>
          <w:p w14:paraId="6599E12E" w14:textId="2F444DF7"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 xml:space="preserve">Rango disponibilidad </w:t>
            </w:r>
            <w:r w:rsidRPr="00B56D15">
              <w:rPr>
                <w:rFonts w:ascii="ITC Avant Garde" w:eastAsia="Times New Roman" w:hAnsi="ITC Avant Garde" w:cs="Times New Roman"/>
                <w:i/>
                <w:strike/>
                <w:color w:val="auto"/>
              </w:rPr>
              <w:t>trimestral</w:t>
            </w:r>
            <w:r w:rsidRPr="00B56D15">
              <w:rPr>
                <w:rFonts w:ascii="ITC Avant Garde" w:eastAsia="Times New Roman" w:hAnsi="ITC Avant Garde" w:cs="Times New Roman"/>
                <w:i/>
                <w:color w:val="auto"/>
              </w:rPr>
              <w:t xml:space="preserve"> </w:t>
            </w:r>
            <w:r w:rsidRPr="00B56D15">
              <w:rPr>
                <w:rFonts w:ascii="ITC Avant Garde" w:eastAsia="Times New Roman" w:hAnsi="ITC Avant Garde" w:cs="Times New Roman"/>
                <w:b/>
                <w:i/>
                <w:color w:val="auto"/>
              </w:rPr>
              <w:t>mensual</w:t>
            </w:r>
            <w:r w:rsidRPr="00B56D15">
              <w:rPr>
                <w:rFonts w:ascii="ITC Avant Garde" w:eastAsia="Times New Roman" w:hAnsi="ITC Avant Garde" w:cs="Times New Roman"/>
                <w:i/>
                <w:color w:val="auto"/>
              </w:rPr>
              <w:t xml:space="preserve"> con redundancia</w:t>
            </w:r>
          </w:p>
        </w:tc>
        <w:tc>
          <w:tcPr>
            <w:tcW w:w="1765" w:type="dxa"/>
          </w:tcPr>
          <w:p w14:paraId="5B609732" w14:textId="6F233BA3"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 xml:space="preserve">Porcentaje de la renta </w:t>
            </w:r>
            <w:r w:rsidRPr="00B56D15">
              <w:rPr>
                <w:rFonts w:ascii="ITC Avant Garde" w:eastAsia="Times New Roman" w:hAnsi="ITC Avant Garde" w:cs="Times New Roman"/>
                <w:i/>
                <w:strike/>
                <w:color w:val="auto"/>
              </w:rPr>
              <w:t>trimestral</w:t>
            </w:r>
            <w:r w:rsidRPr="00B56D15">
              <w:rPr>
                <w:rFonts w:ascii="ITC Avant Garde" w:eastAsia="Times New Roman" w:hAnsi="ITC Avant Garde" w:cs="Times New Roman"/>
                <w:i/>
                <w:color w:val="auto"/>
              </w:rPr>
              <w:t xml:space="preserve"> </w:t>
            </w:r>
            <w:r w:rsidRPr="00B56D15">
              <w:rPr>
                <w:rFonts w:ascii="ITC Avant Garde" w:eastAsia="Times New Roman" w:hAnsi="ITC Avant Garde" w:cs="Times New Roman"/>
                <w:b/>
                <w:i/>
                <w:color w:val="auto"/>
              </w:rPr>
              <w:t>mensual</w:t>
            </w:r>
            <w:r w:rsidRPr="00B56D15">
              <w:rPr>
                <w:rFonts w:ascii="ITC Avant Garde" w:eastAsia="Times New Roman" w:hAnsi="ITC Avant Garde" w:cs="Times New Roman"/>
                <w:i/>
                <w:color w:val="auto"/>
              </w:rPr>
              <w:t xml:space="preserve"> del servicio con falla</w:t>
            </w:r>
          </w:p>
        </w:tc>
      </w:tr>
      <w:tr w:rsidR="002702AE" w:rsidRPr="00B56D15" w14:paraId="72A65303" w14:textId="77777777" w:rsidTr="00663000">
        <w:tc>
          <w:tcPr>
            <w:tcW w:w="1954" w:type="dxa"/>
          </w:tcPr>
          <w:p w14:paraId="327E493D" w14:textId="35B3DC6B"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99% a 99.6%</w:t>
            </w:r>
          </w:p>
        </w:tc>
        <w:tc>
          <w:tcPr>
            <w:tcW w:w="2943" w:type="dxa"/>
          </w:tcPr>
          <w:p w14:paraId="31CC682D" w14:textId="501BC69E"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99% a 99.8%</w:t>
            </w:r>
          </w:p>
        </w:tc>
        <w:tc>
          <w:tcPr>
            <w:tcW w:w="1765" w:type="dxa"/>
          </w:tcPr>
          <w:p w14:paraId="09C556F9" w14:textId="549F7BC1"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2%</w:t>
            </w:r>
          </w:p>
        </w:tc>
      </w:tr>
      <w:tr w:rsidR="002702AE" w:rsidRPr="00B56D15" w14:paraId="7FC6CF99" w14:textId="77777777" w:rsidTr="00663000">
        <w:tc>
          <w:tcPr>
            <w:tcW w:w="1954" w:type="dxa"/>
          </w:tcPr>
          <w:p w14:paraId="71CBA202" w14:textId="055B8B96"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lastRenderedPageBreak/>
              <w:t>98% a &lt; 99%</w:t>
            </w:r>
          </w:p>
        </w:tc>
        <w:tc>
          <w:tcPr>
            <w:tcW w:w="2943" w:type="dxa"/>
          </w:tcPr>
          <w:p w14:paraId="2C1313C0" w14:textId="24069F42"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98% a &lt; 99%</w:t>
            </w:r>
          </w:p>
        </w:tc>
        <w:tc>
          <w:tcPr>
            <w:tcW w:w="1765" w:type="dxa"/>
          </w:tcPr>
          <w:p w14:paraId="72E96B50" w14:textId="2D186F6F"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4%</w:t>
            </w:r>
          </w:p>
        </w:tc>
      </w:tr>
      <w:tr w:rsidR="002702AE" w:rsidRPr="00B56D15" w14:paraId="137E5B27" w14:textId="77777777" w:rsidTr="00663000">
        <w:tc>
          <w:tcPr>
            <w:tcW w:w="1954" w:type="dxa"/>
          </w:tcPr>
          <w:p w14:paraId="09172462" w14:textId="1D77C19B"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&lt; 98%</w:t>
            </w:r>
          </w:p>
        </w:tc>
        <w:tc>
          <w:tcPr>
            <w:tcW w:w="2943" w:type="dxa"/>
          </w:tcPr>
          <w:p w14:paraId="57DB8A8F" w14:textId="164B0757"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&lt; 98%</w:t>
            </w:r>
          </w:p>
        </w:tc>
        <w:tc>
          <w:tcPr>
            <w:tcW w:w="1765" w:type="dxa"/>
          </w:tcPr>
          <w:p w14:paraId="1C5F6A51" w14:textId="576558A4" w:rsidR="002702AE" w:rsidRPr="00B56D15" w:rsidRDefault="002702AE" w:rsidP="007D5396">
            <w:pPr>
              <w:spacing w:after="0" w:line="276" w:lineRule="auto"/>
              <w:ind w:left="0" w:right="49" w:firstLine="0"/>
              <w:jc w:val="center"/>
              <w:rPr>
                <w:rFonts w:ascii="ITC Avant Garde" w:eastAsia="Times New Roman" w:hAnsi="ITC Avant Garde" w:cs="Times New Roman"/>
                <w:i/>
                <w:color w:val="auto"/>
              </w:rPr>
            </w:pPr>
            <w:r w:rsidRPr="00B56D15">
              <w:rPr>
                <w:rFonts w:ascii="ITC Avant Garde" w:eastAsia="Times New Roman" w:hAnsi="ITC Avant Garde" w:cs="Times New Roman"/>
                <w:i/>
                <w:color w:val="auto"/>
              </w:rPr>
              <w:t>50%</w:t>
            </w:r>
          </w:p>
        </w:tc>
      </w:tr>
    </w:tbl>
    <w:p w14:paraId="10F593B4" w14:textId="77777777" w:rsidR="002702AE" w:rsidRPr="00B56D15" w:rsidRDefault="002702AE" w:rsidP="007D5396">
      <w:pPr>
        <w:spacing w:after="0" w:line="276" w:lineRule="auto"/>
        <w:ind w:left="0" w:right="49" w:firstLine="0"/>
        <w:rPr>
          <w:rFonts w:ascii="ITC Avant Garde" w:eastAsia="Times New Roman" w:hAnsi="ITC Avant Garde" w:cs="Times New Roman"/>
          <w:i/>
          <w:color w:val="auto"/>
        </w:rPr>
      </w:pPr>
    </w:p>
    <w:p w14:paraId="0D0AD5EA" w14:textId="77FE8763" w:rsidR="002702AE" w:rsidRPr="00897A87" w:rsidRDefault="002702AE" w:rsidP="007D5396">
      <w:pPr>
        <w:spacing w:after="0" w:line="276" w:lineRule="auto"/>
        <w:ind w:left="0" w:right="49" w:firstLine="0"/>
        <w:rPr>
          <w:rFonts w:ascii="ITC Avant Garde" w:eastAsia="Times New Roman" w:hAnsi="ITC Avant Garde" w:cs="Times New Roman"/>
          <w:i/>
          <w:color w:val="auto"/>
        </w:rPr>
      </w:pPr>
      <w:r w:rsidRPr="00897A87">
        <w:rPr>
          <w:rFonts w:ascii="ITC Avant Garde" w:eastAsia="Times New Roman" w:hAnsi="ITC Avant Garde" w:cs="Times New Roman"/>
          <w:i/>
          <w:color w:val="auto"/>
        </w:rPr>
        <w:t>Asimismo, si ocurren 2 fallas de más de 20 horas al mes en el mismo enlace en un año calendario, Telmex deberá pagar una penalización de 12 veces la renta mensual.</w:t>
      </w:r>
    </w:p>
    <w:p w14:paraId="73BD330B" w14:textId="77777777" w:rsidR="002702AE" w:rsidRPr="00B56D15" w:rsidRDefault="002702AE" w:rsidP="007D5396">
      <w:pPr>
        <w:spacing w:after="0" w:line="276" w:lineRule="auto"/>
        <w:ind w:left="0" w:right="49" w:firstLine="0"/>
        <w:rPr>
          <w:rFonts w:ascii="ITC Avant Garde" w:eastAsia="Times New Roman" w:hAnsi="ITC Avant Garde" w:cs="Times New Roman"/>
          <w:i/>
          <w:color w:val="auto"/>
        </w:rPr>
      </w:pPr>
    </w:p>
    <w:p w14:paraId="7A9CDEC4" w14:textId="3520BE68" w:rsidR="002702AE" w:rsidRPr="00B56D15" w:rsidRDefault="002702AE"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Por otro lado, es inaceptable que Telmex [Telnor] pretenda cobrar por lo que denomina “falsos negativos” con hasta el 1.2% de la renta mensual del servicio reportado y que es tiempo sea retado de sus indisponibilidades en el servicio. Por lo anterior se requiere modificar dicho párrafo como sigue:</w:t>
      </w:r>
    </w:p>
    <w:p w14:paraId="52A61E28" w14:textId="77777777" w:rsidR="002702AE" w:rsidRPr="00B56D15" w:rsidRDefault="002702AE" w:rsidP="007D5396">
      <w:pPr>
        <w:spacing w:after="0" w:line="276" w:lineRule="auto"/>
        <w:ind w:left="0" w:right="49" w:firstLine="0"/>
        <w:rPr>
          <w:rFonts w:ascii="ITC Avant Garde" w:eastAsia="Times New Roman" w:hAnsi="ITC Avant Garde" w:cs="Times New Roman"/>
          <w:i/>
          <w:color w:val="auto"/>
        </w:rPr>
      </w:pPr>
    </w:p>
    <w:p w14:paraId="4B23BD44" w14:textId="6054F155" w:rsidR="002702AE" w:rsidRPr="00B56D15" w:rsidRDefault="002702AE"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eastAsia="Times New Roman" w:hAnsi="ITC Avant Garde" w:cs="Times New Roman"/>
          <w:i/>
          <w:color w:val="auto"/>
        </w:rPr>
        <w:t xml:space="preserve">2.7.3 En todos aquellos casos donde se demuestre que la falla es imputable al </w:t>
      </w:r>
      <w:r w:rsidR="00930A66">
        <w:rPr>
          <w:rFonts w:ascii="ITC Avant Garde" w:eastAsia="Times New Roman" w:hAnsi="ITC Avant Garde" w:cs="Times New Roman"/>
          <w:i/>
          <w:color w:val="auto"/>
        </w:rPr>
        <w:t>CS</w:t>
      </w:r>
      <w:r w:rsidRPr="00B56D15">
        <w:rPr>
          <w:rFonts w:ascii="ITC Avant Garde" w:eastAsia="Times New Roman" w:hAnsi="ITC Avant Garde" w:cs="Times New Roman"/>
          <w:i/>
          <w:color w:val="auto"/>
        </w:rPr>
        <w:t xml:space="preserve"> o a su cliente final, el tiempo de indisponibilidad se restará al final del periodo para efectos del cómputo de las penas del mes.</w:t>
      </w:r>
    </w:p>
    <w:p w14:paraId="080C9301" w14:textId="77777777" w:rsidR="00FC35B2" w:rsidRPr="00E634EB" w:rsidRDefault="00FC35B2" w:rsidP="00FC35B2">
      <w:pPr>
        <w:spacing w:line="276" w:lineRule="auto"/>
        <w:ind w:left="0" w:right="0" w:firstLine="0"/>
        <w:rPr>
          <w:rFonts w:ascii="ITC Avant Garde" w:hAnsi="ITC Avant Garde"/>
          <w:color w:val="auto"/>
        </w:rPr>
      </w:pPr>
    </w:p>
    <w:p w14:paraId="4EE55B1A" w14:textId="05427984" w:rsidR="00FC35B2" w:rsidRPr="00E634EB" w:rsidRDefault="00FC35B2" w:rsidP="00FC35B2">
      <w:pPr>
        <w:spacing w:line="276" w:lineRule="auto"/>
        <w:ind w:left="0" w:right="0" w:firstLine="0"/>
        <w:rPr>
          <w:rFonts w:ascii="ITC Avant Garde" w:hAnsi="ITC Avant Garde"/>
          <w:color w:val="auto"/>
        </w:rPr>
      </w:pPr>
      <w:r w:rsidRPr="00E634EB">
        <w:rPr>
          <w:rFonts w:ascii="ITC Avant Garde" w:hAnsi="ITC Avant Garde"/>
          <w:color w:val="auto"/>
        </w:rPr>
        <w:t>Al respecto</w:t>
      </w:r>
      <w:r w:rsidR="00897A87" w:rsidRPr="00E634EB">
        <w:rPr>
          <w:rFonts w:ascii="ITC Avant Garde" w:hAnsi="ITC Avant Garde"/>
          <w:color w:val="auto"/>
        </w:rPr>
        <w:t xml:space="preserve">, a fin de dar cumplimiento a lo señalado en las </w:t>
      </w:r>
      <w:r w:rsidRPr="00E634EB">
        <w:rPr>
          <w:rFonts w:ascii="ITC Avant Garde" w:hAnsi="ITC Avant Garde"/>
          <w:color w:val="auto"/>
        </w:rPr>
        <w:t xml:space="preserve">Medidas Decimonovena y Vigésima toda vez que los criterios de atención de fallas establecidos en </w:t>
      </w:r>
      <w:r w:rsidR="00897A87" w:rsidRPr="00E634EB">
        <w:rPr>
          <w:rFonts w:ascii="ITC Avant Garde" w:hAnsi="ITC Avant Garde"/>
          <w:color w:val="auto"/>
        </w:rPr>
        <w:t xml:space="preserve">la Propuesta de Convenio Marco </w:t>
      </w:r>
      <w:r w:rsidRPr="00E634EB">
        <w:rPr>
          <w:rFonts w:ascii="ITC Avant Garde" w:hAnsi="ITC Avant Garde"/>
          <w:color w:val="auto"/>
        </w:rPr>
        <w:t>se realizó la modificación en los siguientes términos:</w:t>
      </w:r>
    </w:p>
    <w:p w14:paraId="4FE4D8C6" w14:textId="77777777" w:rsidR="00FC35B2" w:rsidRPr="00E634EB" w:rsidRDefault="00FC35B2" w:rsidP="00FC35B2">
      <w:pPr>
        <w:spacing w:line="276" w:lineRule="auto"/>
        <w:ind w:left="0" w:right="0" w:firstLine="0"/>
        <w:rPr>
          <w:rFonts w:ascii="ITC Avant Garde" w:hAnsi="ITC Avant Garde"/>
          <w:i/>
          <w:color w:val="auto"/>
          <w:sz w:val="18"/>
        </w:rPr>
      </w:pPr>
    </w:p>
    <w:p w14:paraId="195D0617" w14:textId="77777777" w:rsidR="00FC35B2" w:rsidRPr="00E634EB" w:rsidRDefault="00FC35B2" w:rsidP="00FC35B2">
      <w:pPr>
        <w:autoSpaceDE w:val="0"/>
        <w:autoSpaceDN w:val="0"/>
        <w:adjustRightInd w:val="0"/>
        <w:spacing w:line="276" w:lineRule="auto"/>
        <w:ind w:left="567" w:right="401" w:firstLine="0"/>
        <w:rPr>
          <w:rFonts w:ascii="ITC Avant Garde" w:hAnsi="ITC Avant Garde"/>
          <w:i/>
          <w:color w:val="auto"/>
          <w:sz w:val="18"/>
        </w:rPr>
      </w:pPr>
      <w:r w:rsidRPr="00E634EB">
        <w:rPr>
          <w:rFonts w:ascii="ITC Avant Garde" w:hAnsi="ITC Avant Garde"/>
          <w:i/>
          <w:color w:val="auto"/>
          <w:sz w:val="18"/>
        </w:rPr>
        <w:t xml:space="preserve">“2.6.6 Telmex garantizará el cumplimiento trimestral por </w:t>
      </w:r>
      <w:r w:rsidRPr="00E634EB">
        <w:rPr>
          <w:rFonts w:ascii="ITC Avant Garde" w:hAnsi="ITC Avant Garde" w:cs="Arial"/>
          <w:i/>
          <w:color w:val="auto"/>
          <w:sz w:val="18"/>
          <w:lang w:eastAsia="en-US"/>
        </w:rPr>
        <w:t>servicio de los siguientes parámetros</w:t>
      </w:r>
      <w:r w:rsidRPr="00E634EB">
        <w:rPr>
          <w:rFonts w:ascii="ITC Avant Garde" w:hAnsi="ITC Avant Garde"/>
          <w:i/>
          <w:color w:val="auto"/>
          <w:sz w:val="18"/>
        </w:rPr>
        <w:t xml:space="preserve"> de calidad para los Enlaces Dedicados de Interconexión:</w:t>
      </w:r>
    </w:p>
    <w:p w14:paraId="20BF51E3" w14:textId="77777777" w:rsidR="00FC35B2" w:rsidRPr="00E634EB" w:rsidRDefault="00FC35B2" w:rsidP="00FC35B2">
      <w:pPr>
        <w:autoSpaceDE w:val="0"/>
        <w:autoSpaceDN w:val="0"/>
        <w:adjustRightInd w:val="0"/>
        <w:spacing w:line="276" w:lineRule="auto"/>
        <w:ind w:left="567" w:right="401" w:firstLine="0"/>
        <w:contextualSpacing/>
        <w:rPr>
          <w:rFonts w:ascii="ITC Avant Garde" w:hAnsi="ITC Avant Garde"/>
          <w:i/>
          <w:color w:val="auto"/>
          <w:sz w:val="18"/>
        </w:rPr>
      </w:pPr>
    </w:p>
    <w:p w14:paraId="66B52769" w14:textId="77777777" w:rsidR="00FC35B2" w:rsidRPr="00E634EB" w:rsidRDefault="00FC35B2" w:rsidP="00FC35B2">
      <w:pPr>
        <w:numPr>
          <w:ilvl w:val="1"/>
          <w:numId w:val="21"/>
        </w:numPr>
        <w:autoSpaceDE w:val="0"/>
        <w:autoSpaceDN w:val="0"/>
        <w:adjustRightInd w:val="0"/>
        <w:spacing w:after="200" w:line="276" w:lineRule="auto"/>
        <w:ind w:left="1276" w:right="401" w:firstLine="0"/>
        <w:contextualSpacing/>
        <w:jc w:val="left"/>
        <w:rPr>
          <w:rFonts w:ascii="ITC Avant Garde" w:hAnsi="ITC Avant Garde"/>
          <w:i/>
          <w:color w:val="auto"/>
          <w:sz w:val="18"/>
          <w:lang w:val="es-ES_tradnl"/>
        </w:rPr>
      </w:pPr>
      <w:r w:rsidRPr="00E634EB">
        <w:rPr>
          <w:rFonts w:ascii="ITC Avant Garde" w:hAnsi="ITC Avant Garde"/>
          <w:i/>
          <w:color w:val="auto"/>
          <w:sz w:val="18"/>
        </w:rPr>
        <w:t>Sin redundancia</w:t>
      </w:r>
      <w:r w:rsidRPr="00E634EB">
        <w:rPr>
          <w:rFonts w:ascii="ITC Avant Garde" w:hAnsi="ITC Avant Garde" w:cs="Arial"/>
          <w:i/>
          <w:color w:val="auto"/>
          <w:sz w:val="18"/>
          <w:lang w:eastAsia="en-US"/>
        </w:rPr>
        <w:t>:</w:t>
      </w:r>
      <w:r w:rsidRPr="00E634EB">
        <w:rPr>
          <w:rFonts w:ascii="ITC Avant Garde" w:hAnsi="ITC Avant Garde"/>
          <w:i/>
          <w:color w:val="auto"/>
          <w:sz w:val="18"/>
        </w:rPr>
        <w:t xml:space="preserve"> </w:t>
      </w:r>
      <w:r w:rsidRPr="00E634EB">
        <w:rPr>
          <w:rFonts w:ascii="ITC Avant Garde" w:hAnsi="ITC Avant Garde"/>
          <w:i/>
          <w:color w:val="auto"/>
          <w:sz w:val="18"/>
          <w:lang w:val="es-ES_tradnl"/>
        </w:rPr>
        <w:t>99.</w:t>
      </w:r>
      <w:r w:rsidRPr="00E634EB">
        <w:rPr>
          <w:rFonts w:ascii="ITC Avant Garde" w:hAnsi="ITC Avant Garde" w:cs="Arial"/>
          <w:bCs/>
          <w:i/>
          <w:color w:val="auto"/>
          <w:sz w:val="18"/>
          <w:lang w:val="es-ES_tradnl" w:eastAsia="en-US"/>
        </w:rPr>
        <w:t xml:space="preserve">92 </w:t>
      </w:r>
      <w:r w:rsidRPr="00E634EB">
        <w:rPr>
          <w:rFonts w:ascii="ITC Avant Garde" w:hAnsi="ITC Avant Garde"/>
          <w:i/>
          <w:color w:val="auto"/>
          <w:sz w:val="18"/>
          <w:lang w:val="es-ES_tradnl"/>
        </w:rPr>
        <w:t xml:space="preserve">% (noventa y nueve punto </w:t>
      </w:r>
      <w:r w:rsidRPr="00E634EB">
        <w:rPr>
          <w:rFonts w:ascii="ITC Avant Garde" w:hAnsi="ITC Avant Garde" w:cs="Arial"/>
          <w:bCs/>
          <w:i/>
          <w:color w:val="auto"/>
          <w:sz w:val="18"/>
          <w:lang w:val="es-ES_tradnl" w:eastAsia="en-US"/>
        </w:rPr>
        <w:t>noventa y dos</w:t>
      </w:r>
      <w:r w:rsidRPr="00E634EB">
        <w:rPr>
          <w:rFonts w:ascii="ITC Avant Garde" w:hAnsi="ITC Avant Garde"/>
          <w:i/>
          <w:color w:val="auto"/>
          <w:sz w:val="18"/>
          <w:lang w:val="es-ES_tradnl"/>
        </w:rPr>
        <w:t xml:space="preserve"> por ciento).</w:t>
      </w:r>
    </w:p>
    <w:p w14:paraId="4EB5DEF4" w14:textId="39F0BA57" w:rsidR="00FC35B2" w:rsidRPr="00E634EB" w:rsidRDefault="00FC35B2" w:rsidP="00FC35B2">
      <w:pPr>
        <w:autoSpaceDE w:val="0"/>
        <w:autoSpaceDN w:val="0"/>
        <w:adjustRightInd w:val="0"/>
        <w:spacing w:line="276" w:lineRule="auto"/>
        <w:ind w:left="1276" w:right="401" w:firstLine="0"/>
        <w:contextualSpacing/>
        <w:rPr>
          <w:rFonts w:ascii="ITC Avant Garde" w:hAnsi="ITC Avant Garde" w:cs="Arial"/>
          <w:i/>
          <w:color w:val="auto"/>
          <w:sz w:val="18"/>
          <w:lang w:eastAsia="en-US"/>
        </w:rPr>
      </w:pPr>
    </w:p>
    <w:p w14:paraId="7F94E5D7" w14:textId="7246FB8B" w:rsidR="00971B9B" w:rsidRPr="00E634EB" w:rsidRDefault="00FC35B2" w:rsidP="00897A87">
      <w:pPr>
        <w:numPr>
          <w:ilvl w:val="1"/>
          <w:numId w:val="21"/>
        </w:numPr>
        <w:spacing w:after="200" w:line="276" w:lineRule="auto"/>
        <w:ind w:left="1276" w:right="401" w:firstLine="0"/>
        <w:jc w:val="left"/>
        <w:rPr>
          <w:rFonts w:ascii="ITC Avant Garde" w:hAnsi="ITC Avant Garde"/>
          <w:i/>
          <w:color w:val="auto"/>
          <w:sz w:val="18"/>
        </w:rPr>
      </w:pPr>
      <w:r w:rsidRPr="00E634EB">
        <w:rPr>
          <w:rFonts w:ascii="ITC Avant Garde" w:hAnsi="ITC Avant Garde"/>
          <w:i/>
          <w:color w:val="auto"/>
          <w:sz w:val="18"/>
        </w:rPr>
        <w:t>Con redundancia</w:t>
      </w:r>
      <w:r w:rsidRPr="00E634EB">
        <w:rPr>
          <w:rFonts w:ascii="ITC Avant Garde" w:hAnsi="ITC Avant Garde" w:cs="Arial"/>
          <w:i/>
          <w:color w:val="auto"/>
          <w:sz w:val="18"/>
          <w:lang w:eastAsia="en-US"/>
        </w:rPr>
        <w:t>:</w:t>
      </w:r>
      <w:r w:rsidRPr="00E634EB">
        <w:rPr>
          <w:rFonts w:ascii="ITC Avant Garde" w:hAnsi="ITC Avant Garde"/>
          <w:i/>
          <w:color w:val="auto"/>
          <w:sz w:val="18"/>
        </w:rPr>
        <w:t xml:space="preserve"> 99.</w:t>
      </w:r>
      <w:r w:rsidRPr="00E634EB">
        <w:rPr>
          <w:rFonts w:ascii="ITC Avant Garde" w:hAnsi="ITC Avant Garde" w:cs="Arial"/>
          <w:i/>
          <w:color w:val="auto"/>
          <w:sz w:val="18"/>
          <w:lang w:eastAsia="en-US"/>
        </w:rPr>
        <w:t>9595</w:t>
      </w:r>
      <w:r w:rsidRPr="00E634EB">
        <w:rPr>
          <w:rFonts w:ascii="ITC Avant Garde" w:hAnsi="ITC Avant Garde"/>
          <w:i/>
          <w:color w:val="auto"/>
          <w:sz w:val="18"/>
        </w:rPr>
        <w:t xml:space="preserve">% (noventa y nueve punto </w:t>
      </w:r>
      <w:r w:rsidRPr="00E634EB">
        <w:rPr>
          <w:rFonts w:ascii="ITC Avant Garde" w:hAnsi="ITC Avant Garde" w:cs="Arial"/>
          <w:i/>
          <w:color w:val="auto"/>
          <w:sz w:val="18"/>
          <w:lang w:eastAsia="en-US"/>
        </w:rPr>
        <w:t xml:space="preserve">nueve mil quinientos </w:t>
      </w:r>
      <w:r w:rsidRPr="00E634EB">
        <w:rPr>
          <w:rFonts w:ascii="ITC Avant Garde" w:hAnsi="ITC Avant Garde"/>
          <w:i/>
          <w:color w:val="auto"/>
          <w:sz w:val="18"/>
        </w:rPr>
        <w:t>noventa y cinco por ciento).”</w:t>
      </w:r>
    </w:p>
    <w:p w14:paraId="4EEFD6A3" w14:textId="42C71969" w:rsidR="00834CCF" w:rsidRPr="00E634EB" w:rsidRDefault="006570B7" w:rsidP="00834CCF">
      <w:pPr>
        <w:spacing w:after="0" w:line="276" w:lineRule="auto"/>
        <w:ind w:right="49" w:firstLine="0"/>
        <w:rPr>
          <w:rFonts w:ascii="ITC Avant Garde" w:hAnsi="ITC Avant Garde"/>
          <w:color w:val="auto"/>
        </w:rPr>
      </w:pPr>
      <w:r w:rsidRPr="00E634EB">
        <w:rPr>
          <w:rFonts w:ascii="ITC Avant Garde" w:hAnsi="ITC Avant Garde"/>
          <w:color w:val="auto"/>
        </w:rPr>
        <w:t>E</w:t>
      </w:r>
      <w:r w:rsidR="00834CCF" w:rsidRPr="00E634EB">
        <w:rPr>
          <w:rFonts w:ascii="ITC Avant Garde" w:hAnsi="ITC Avant Garde"/>
          <w:color w:val="auto"/>
        </w:rPr>
        <w:t xml:space="preserve">n lo que concierne a la redacción de dicha cláusula sobre </w:t>
      </w:r>
      <w:r w:rsidR="002A7903" w:rsidRPr="00E634EB">
        <w:rPr>
          <w:rFonts w:ascii="ITC Avant Garde" w:hAnsi="ITC Avant Garde"/>
          <w:color w:val="auto"/>
        </w:rPr>
        <w:t>el</w:t>
      </w:r>
      <w:r w:rsidR="00834CCF" w:rsidRPr="00E634EB">
        <w:rPr>
          <w:rFonts w:ascii="ITC Avant Garde" w:hAnsi="ITC Avant Garde"/>
          <w:color w:val="auto"/>
        </w:rPr>
        <w:t xml:space="preserve"> cumplimiento de forma trimestral de los parámetros de calidad, </w:t>
      </w:r>
      <w:r w:rsidR="00BB78F4" w:rsidRPr="00E634EB">
        <w:rPr>
          <w:rFonts w:ascii="ITC Avant Garde" w:hAnsi="ITC Avant Garde"/>
          <w:color w:val="auto"/>
        </w:rPr>
        <w:t xml:space="preserve">se señala que la misma </w:t>
      </w:r>
      <w:r w:rsidR="00834CCF" w:rsidRPr="00E634EB">
        <w:rPr>
          <w:rFonts w:ascii="ITC Avant Garde" w:hAnsi="ITC Avant Garde"/>
          <w:color w:val="auto"/>
        </w:rPr>
        <w:t xml:space="preserve">es acorde con lo </w:t>
      </w:r>
      <w:r w:rsidR="00BB78F4" w:rsidRPr="00E634EB">
        <w:rPr>
          <w:rFonts w:ascii="ITC Avant Garde" w:hAnsi="ITC Avant Garde"/>
          <w:color w:val="auto"/>
        </w:rPr>
        <w:t>determinado en</w:t>
      </w:r>
      <w:r w:rsidR="00834CCF" w:rsidRPr="00E634EB">
        <w:rPr>
          <w:rFonts w:ascii="ITC Avant Garde" w:hAnsi="ITC Avant Garde"/>
          <w:color w:val="auto"/>
        </w:rPr>
        <w:t xml:space="preserve"> la Medida Decimoctava</w:t>
      </w:r>
      <w:r w:rsidR="00E9542B" w:rsidRPr="00E634EB">
        <w:rPr>
          <w:rFonts w:ascii="ITC Avant Garde" w:hAnsi="ITC Avant Garde"/>
          <w:color w:val="auto"/>
        </w:rPr>
        <w:t xml:space="preserve"> de las Medidas Fijas, por lo cual no es procedente su modificación.</w:t>
      </w:r>
    </w:p>
    <w:p w14:paraId="7FC504B2" w14:textId="77777777" w:rsidR="00834CCF" w:rsidRPr="00E634EB" w:rsidRDefault="00834CCF" w:rsidP="00834CCF">
      <w:pPr>
        <w:spacing w:after="0" w:line="276" w:lineRule="auto"/>
        <w:ind w:right="49" w:firstLine="0"/>
        <w:rPr>
          <w:rFonts w:ascii="ITC Avant Garde" w:hAnsi="ITC Avant Garde"/>
          <w:color w:val="auto"/>
        </w:rPr>
      </w:pPr>
    </w:p>
    <w:p w14:paraId="28F7CFEC" w14:textId="2EFF0800" w:rsidR="00834CCF" w:rsidRPr="00E634EB" w:rsidRDefault="00834CCF" w:rsidP="00834CCF">
      <w:pPr>
        <w:spacing w:after="0" w:line="276" w:lineRule="auto"/>
        <w:ind w:right="49" w:firstLine="0"/>
        <w:rPr>
          <w:rFonts w:ascii="ITC Avant Garde" w:hAnsi="ITC Avant Garde"/>
          <w:color w:val="auto"/>
        </w:rPr>
      </w:pPr>
      <w:r w:rsidRPr="00E634EB">
        <w:rPr>
          <w:rFonts w:ascii="ITC Avant Garde" w:hAnsi="ITC Avant Garde"/>
          <w:color w:val="auto"/>
        </w:rPr>
        <w:t xml:space="preserve">Asimismo, con el fin de dar certeza a los CS respecto al cobro de los denominados falsos negativos, se modificó la redacción del numeral 2.7.3, quedando en los términos siguientes: </w:t>
      </w:r>
    </w:p>
    <w:p w14:paraId="44522C08" w14:textId="77777777" w:rsidR="00834CCF" w:rsidRPr="00E634EB" w:rsidRDefault="00834CCF" w:rsidP="00834CCF">
      <w:pPr>
        <w:spacing w:after="0" w:line="276" w:lineRule="auto"/>
        <w:ind w:right="49" w:firstLine="0"/>
        <w:rPr>
          <w:rFonts w:ascii="ITC Avant Garde" w:hAnsi="ITC Avant Garde"/>
          <w:color w:val="auto"/>
        </w:rPr>
      </w:pPr>
    </w:p>
    <w:p w14:paraId="1F70030E" w14:textId="53383967" w:rsidR="00834CCF" w:rsidRPr="00E634EB" w:rsidRDefault="00834CCF" w:rsidP="00B4757F">
      <w:pPr>
        <w:spacing w:line="276" w:lineRule="auto"/>
        <w:ind w:left="851" w:right="900" w:firstLine="0"/>
        <w:rPr>
          <w:rFonts w:ascii="ITC Avant Garde" w:eastAsia="Calibri" w:hAnsi="ITC Avant Garde"/>
          <w:i/>
          <w:color w:val="auto"/>
          <w:sz w:val="18"/>
          <w:lang w:val="es-ES_tradnl"/>
        </w:rPr>
      </w:pPr>
      <w:r w:rsidRPr="00E634EB">
        <w:rPr>
          <w:rFonts w:ascii="ITC Avant Garde" w:eastAsia="Calibri" w:hAnsi="ITC Avant Garde"/>
          <w:i/>
          <w:color w:val="auto"/>
          <w:sz w:val="18"/>
          <w:lang w:val="es-ES_tradnl"/>
        </w:rPr>
        <w:lastRenderedPageBreak/>
        <w:t>“2.7.3 En todos aquellos casos donde se demuestre que la falla es imputable al Concesionario Solicitante o a su cliente final, el tiempo de indisponibilidad se restará al final del periodo para efectos del cómputo de las penas del trimestre.”</w:t>
      </w:r>
    </w:p>
    <w:p w14:paraId="217633FD" w14:textId="77777777" w:rsidR="00971B9B" w:rsidRPr="00B56D15" w:rsidRDefault="00971B9B" w:rsidP="007D5396">
      <w:pPr>
        <w:spacing w:after="0" w:line="276" w:lineRule="auto"/>
        <w:ind w:left="0" w:right="49" w:firstLine="0"/>
        <w:rPr>
          <w:rFonts w:ascii="ITC Avant Garde" w:eastAsia="Times New Roman" w:hAnsi="ITC Avant Garde" w:cs="Times New Roman"/>
          <w:i/>
          <w:color w:val="auto"/>
        </w:rPr>
      </w:pPr>
    </w:p>
    <w:p w14:paraId="356909A3" w14:textId="35341A4B" w:rsidR="00767F7A" w:rsidRPr="00B56D15" w:rsidRDefault="00767F7A" w:rsidP="007D5396">
      <w:pPr>
        <w:spacing w:after="0" w:line="276" w:lineRule="auto"/>
        <w:ind w:left="-5" w:right="49" w:firstLine="0"/>
        <w:rPr>
          <w:rFonts w:ascii="ITC Avant Garde" w:hAnsi="ITC Avant Garde"/>
          <w:b/>
          <w:color w:val="auto"/>
        </w:rPr>
      </w:pPr>
      <w:r w:rsidRPr="00B56D15">
        <w:rPr>
          <w:rFonts w:ascii="ITC Avant Garde" w:hAnsi="ITC Avant Garde"/>
          <w:b/>
          <w:color w:val="auto"/>
        </w:rPr>
        <w:t>Grupo Televisa:</w:t>
      </w:r>
    </w:p>
    <w:p w14:paraId="19A38324" w14:textId="77777777" w:rsidR="00767F7A" w:rsidRPr="00B56D15" w:rsidRDefault="00767F7A" w:rsidP="007D5396">
      <w:pPr>
        <w:spacing w:after="0" w:line="276" w:lineRule="auto"/>
        <w:ind w:left="0" w:right="49" w:firstLine="0"/>
        <w:rPr>
          <w:rFonts w:ascii="ITC Avant Garde" w:hAnsi="ITC Avant Garde" w:cs="Times New Roman"/>
          <w:i/>
          <w:color w:val="auto"/>
        </w:rPr>
      </w:pPr>
    </w:p>
    <w:p w14:paraId="4337C33C" w14:textId="6A8396EA" w:rsidR="00767F7A" w:rsidRPr="00B56D15" w:rsidRDefault="006F4D51" w:rsidP="007D5396">
      <w:pPr>
        <w:spacing w:after="0" w:line="276" w:lineRule="auto"/>
        <w:ind w:left="0" w:right="49" w:firstLine="0"/>
        <w:rPr>
          <w:rFonts w:ascii="ITC Avant Garde" w:hAnsi="ITC Avant Garde" w:cs="Times New Roman"/>
          <w:i/>
          <w:color w:val="auto"/>
        </w:rPr>
      </w:pPr>
      <w:r>
        <w:rPr>
          <w:rFonts w:ascii="ITC Avant Garde" w:hAnsi="ITC Avant Garde" w:cs="Times New Roman"/>
          <w:i/>
          <w:color w:val="auto"/>
        </w:rPr>
        <w:t>Respecto al numeral 2.7.1 del Anexo H del CMI, se observa que</w:t>
      </w:r>
      <w:r w:rsidR="00767F7A" w:rsidRPr="00B56D15">
        <w:rPr>
          <w:rFonts w:ascii="ITC Avant Garde" w:hAnsi="ITC Avant Garde" w:cs="Times New Roman"/>
          <w:i/>
          <w:color w:val="auto"/>
        </w:rPr>
        <w:t xml:space="preserve"> viola la cláusula </w:t>
      </w:r>
      <w:r w:rsidR="003D7F08">
        <w:rPr>
          <w:rFonts w:ascii="ITC Avant Garde" w:hAnsi="ITC Avant Garde" w:cs="Times New Roman"/>
          <w:i/>
          <w:color w:val="auto"/>
        </w:rPr>
        <w:t>Decimoctava</w:t>
      </w:r>
      <w:r w:rsidR="00767F7A" w:rsidRPr="00B56D15">
        <w:rPr>
          <w:rFonts w:ascii="ITC Avant Garde" w:hAnsi="ITC Avant Garde" w:cs="Times New Roman"/>
          <w:i/>
          <w:color w:val="auto"/>
        </w:rPr>
        <w:t xml:space="preserve">, que establece que el AEP deberá acordar las penalizaciones por violar determinadas medidas de la Resolución de Preponderancia, y que dichas penalizaciones deberán ser suficientes para resarcir al </w:t>
      </w:r>
      <w:r w:rsidR="00930A66">
        <w:rPr>
          <w:rFonts w:ascii="ITC Avant Garde" w:hAnsi="ITC Avant Garde" w:cs="Times New Roman"/>
          <w:i/>
          <w:color w:val="auto"/>
        </w:rPr>
        <w:t>CS</w:t>
      </w:r>
      <w:r w:rsidR="00767F7A" w:rsidRPr="00B56D15">
        <w:rPr>
          <w:rFonts w:ascii="ITC Avant Garde" w:hAnsi="ITC Avant Garde" w:cs="Times New Roman"/>
          <w:i/>
          <w:color w:val="auto"/>
        </w:rPr>
        <w:t xml:space="preserve"> los daños derivados del incumplimiento.</w:t>
      </w:r>
      <w:r>
        <w:rPr>
          <w:rFonts w:ascii="ITC Avant Garde" w:hAnsi="ITC Avant Garde" w:cs="Times New Roman"/>
          <w:i/>
          <w:color w:val="auto"/>
        </w:rPr>
        <w:t xml:space="preserve"> Dicho numeral,</w:t>
      </w:r>
      <w:r w:rsidR="00767F7A" w:rsidRPr="00B56D15">
        <w:rPr>
          <w:rFonts w:ascii="ITC Avant Garde" w:hAnsi="ITC Avant Garde" w:cs="Times New Roman"/>
          <w:i/>
          <w:color w:val="auto"/>
        </w:rPr>
        <w:t xml:space="preserve"> viola flagrantemente la obligación impuesta, al limitar arbitrariamente el monto de la indemnización a un monto fijo, esto es, independie</w:t>
      </w:r>
      <w:r w:rsidR="003D7F08">
        <w:rPr>
          <w:rFonts w:ascii="ITC Avant Garde" w:hAnsi="ITC Avant Garde" w:cs="Times New Roman"/>
          <w:i/>
          <w:color w:val="auto"/>
        </w:rPr>
        <w:t>nte de la cuantía del daño real.</w:t>
      </w:r>
    </w:p>
    <w:p w14:paraId="34579EFC" w14:textId="77777777" w:rsidR="006F4D51" w:rsidRDefault="006F4D51" w:rsidP="007D5396">
      <w:pPr>
        <w:spacing w:after="0" w:line="276" w:lineRule="auto"/>
        <w:ind w:left="0" w:right="49" w:firstLine="0"/>
        <w:rPr>
          <w:rFonts w:ascii="ITC Avant Garde" w:hAnsi="ITC Avant Garde" w:cs="Times New Roman"/>
          <w:i/>
          <w:color w:val="auto"/>
        </w:rPr>
      </w:pPr>
    </w:p>
    <w:p w14:paraId="101AA6DA" w14:textId="4FDB11D4" w:rsidR="00767F7A" w:rsidRPr="00B56D15" w:rsidRDefault="00767F7A" w:rsidP="007D5396">
      <w:pPr>
        <w:spacing w:after="0" w:line="276" w:lineRule="auto"/>
        <w:ind w:left="0" w:right="49" w:firstLine="0"/>
        <w:rPr>
          <w:rFonts w:ascii="ITC Avant Garde" w:eastAsia="Times New Roman" w:hAnsi="ITC Avant Garde" w:cs="Times New Roman"/>
          <w:i/>
          <w:color w:val="auto"/>
        </w:rPr>
      </w:pPr>
      <w:r w:rsidRPr="00B56D15">
        <w:rPr>
          <w:rFonts w:ascii="ITC Avant Garde" w:hAnsi="ITC Avant Garde" w:cs="Times New Roman"/>
          <w:i/>
          <w:color w:val="auto"/>
        </w:rPr>
        <w:t xml:space="preserve">Tomando en cuenta que la indemnización debe ser suficiente para cubrir los daños derivados del incumplimiento del AEP se solicita eliminar dicho </w:t>
      </w:r>
      <w:r w:rsidR="003D7F08">
        <w:rPr>
          <w:rFonts w:ascii="ITC Avant Garde" w:hAnsi="ITC Avant Garde" w:cs="Times New Roman"/>
          <w:i/>
          <w:color w:val="auto"/>
        </w:rPr>
        <w:t>límite de la propuesta del AEP.</w:t>
      </w:r>
    </w:p>
    <w:p w14:paraId="697FAE9E" w14:textId="77777777" w:rsidR="00767F7A" w:rsidRDefault="00767F7A" w:rsidP="007D5396">
      <w:pPr>
        <w:spacing w:line="276" w:lineRule="auto"/>
        <w:ind w:firstLine="0"/>
        <w:rPr>
          <w:rFonts w:ascii="ITC Avant Garde" w:hAnsi="ITC Avant Garde"/>
          <w:i/>
          <w:color w:val="auto"/>
        </w:rPr>
      </w:pPr>
    </w:p>
    <w:p w14:paraId="2CAF050F" w14:textId="6260F6DC" w:rsidR="00BE53BA" w:rsidRPr="00C509EB" w:rsidRDefault="00BE53BA" w:rsidP="007D5396">
      <w:pPr>
        <w:spacing w:line="276" w:lineRule="auto"/>
        <w:ind w:left="0" w:right="0" w:firstLine="0"/>
        <w:rPr>
          <w:rFonts w:ascii="ITC Avant Garde" w:hAnsi="ITC Avant Garde"/>
          <w:color w:val="auto"/>
        </w:rPr>
      </w:pPr>
      <w:r w:rsidRPr="00C509EB">
        <w:rPr>
          <w:rFonts w:ascii="ITC Avant Garde" w:hAnsi="ITC Avant Garde"/>
          <w:color w:val="auto"/>
        </w:rPr>
        <w:t>Al respecto de lo anterior</w:t>
      </w:r>
      <w:r w:rsidR="008F4D11" w:rsidRPr="00C509EB">
        <w:rPr>
          <w:rFonts w:ascii="ITC Avant Garde" w:hAnsi="ITC Avant Garde"/>
          <w:color w:val="auto"/>
        </w:rPr>
        <w:t>,</w:t>
      </w:r>
      <w:r w:rsidRPr="00C509EB">
        <w:rPr>
          <w:rFonts w:ascii="ITC Avant Garde" w:hAnsi="ITC Avant Garde"/>
          <w:color w:val="auto"/>
        </w:rPr>
        <w:t xml:space="preserve"> se apreció que la cláusula en comento</w:t>
      </w:r>
      <w:r w:rsidR="008F4D11" w:rsidRPr="00C509EB">
        <w:rPr>
          <w:rFonts w:ascii="ITC Avant Garde" w:hAnsi="ITC Avant Garde"/>
          <w:color w:val="auto"/>
        </w:rPr>
        <w:t xml:space="preserve"> no establece una condición de penalización por entregas tardías que pudiera resarcir adecuadamente al </w:t>
      </w:r>
      <w:r w:rsidR="00930A66" w:rsidRPr="00C509EB">
        <w:rPr>
          <w:rFonts w:ascii="ITC Avant Garde" w:hAnsi="ITC Avant Garde"/>
          <w:color w:val="auto"/>
        </w:rPr>
        <w:t>CS</w:t>
      </w:r>
      <w:r w:rsidR="008F4D11" w:rsidRPr="00C509EB">
        <w:rPr>
          <w:rFonts w:ascii="ITC Avant Garde" w:hAnsi="ITC Avant Garde"/>
          <w:color w:val="auto"/>
        </w:rPr>
        <w:t xml:space="preserve"> los daños derivados del incumplimiento de las fechas compromiso de entrega de los servicios. Por lo anterior y en </w:t>
      </w:r>
      <w:r w:rsidR="00897A87" w:rsidRPr="00C509EB">
        <w:rPr>
          <w:rFonts w:ascii="ITC Avant Garde" w:hAnsi="ITC Avant Garde"/>
          <w:color w:val="auto"/>
        </w:rPr>
        <w:t xml:space="preserve">aras </w:t>
      </w:r>
      <w:r w:rsidR="008F4D11" w:rsidRPr="00C509EB">
        <w:rPr>
          <w:rFonts w:ascii="ITC Avant Garde" w:hAnsi="ITC Avant Garde"/>
          <w:color w:val="auto"/>
        </w:rPr>
        <w:t xml:space="preserve">de otorgar una condición que brinde certeza y seguridad al </w:t>
      </w:r>
      <w:r w:rsidR="00930A66" w:rsidRPr="00C509EB">
        <w:rPr>
          <w:rFonts w:ascii="ITC Avant Garde" w:hAnsi="ITC Avant Garde"/>
          <w:color w:val="auto"/>
        </w:rPr>
        <w:t>CS</w:t>
      </w:r>
      <w:r w:rsidR="005857DA" w:rsidRPr="00C509EB">
        <w:rPr>
          <w:rFonts w:ascii="ITC Avant Garde" w:hAnsi="ITC Avant Garde"/>
          <w:color w:val="auto"/>
        </w:rPr>
        <w:t xml:space="preserve"> respecto al cumplimiento de las solicitudes que realiza a Telmex</w:t>
      </w:r>
      <w:r w:rsidR="008F4D11" w:rsidRPr="00C509EB">
        <w:rPr>
          <w:rFonts w:ascii="ITC Avant Garde" w:hAnsi="ITC Avant Garde"/>
          <w:color w:val="auto"/>
        </w:rPr>
        <w:t>, se modifica la redacción del numeral 2.7.1 quedando en los términos siguientes:</w:t>
      </w:r>
    </w:p>
    <w:p w14:paraId="568BAAAD" w14:textId="77777777" w:rsidR="008F4D11" w:rsidRPr="00C509EB" w:rsidRDefault="008F4D11" w:rsidP="007D5396">
      <w:pPr>
        <w:spacing w:line="276" w:lineRule="auto"/>
        <w:ind w:left="0" w:right="0" w:firstLine="0"/>
        <w:rPr>
          <w:rFonts w:ascii="ITC Avant Garde" w:hAnsi="ITC Avant Garde"/>
          <w:color w:val="auto"/>
        </w:rPr>
      </w:pPr>
    </w:p>
    <w:p w14:paraId="232FB28E" w14:textId="1D71D1D4" w:rsidR="008F4D11" w:rsidRPr="00C509EB" w:rsidRDefault="008F4D11" w:rsidP="007D5396">
      <w:pPr>
        <w:autoSpaceDE w:val="0"/>
        <w:autoSpaceDN w:val="0"/>
        <w:adjustRightInd w:val="0"/>
        <w:spacing w:line="276" w:lineRule="auto"/>
        <w:ind w:left="1134" w:right="900" w:firstLine="0"/>
        <w:rPr>
          <w:rFonts w:ascii="ITC Avant Garde" w:hAnsi="ITC Avant Garde"/>
          <w:i/>
          <w:color w:val="auto"/>
          <w:sz w:val="18"/>
        </w:rPr>
      </w:pPr>
      <w:r w:rsidRPr="00C509EB">
        <w:rPr>
          <w:rFonts w:ascii="ITC Avant Garde" w:hAnsi="ITC Avant Garde"/>
          <w:i/>
          <w:color w:val="auto"/>
          <w:sz w:val="18"/>
        </w:rPr>
        <w:t xml:space="preserve">“2.7.1 La penalización por entregas tardías se calculará considerando el monto económico correspondiente </w:t>
      </w:r>
      <w:r w:rsidRPr="00C509EB">
        <w:rPr>
          <w:rFonts w:ascii="ITC Avant Garde" w:hAnsi="ITC Avant Garde" w:cs="Arial"/>
          <w:i/>
          <w:color w:val="auto"/>
          <w:sz w:val="18"/>
          <w:lang w:eastAsia="en-US"/>
        </w:rPr>
        <w:t xml:space="preserve">al 10% </w:t>
      </w:r>
      <w:r w:rsidRPr="00C509EB">
        <w:rPr>
          <w:rFonts w:ascii="ITC Avant Garde" w:hAnsi="ITC Avant Garde"/>
          <w:i/>
          <w:color w:val="auto"/>
          <w:sz w:val="18"/>
        </w:rPr>
        <w:t xml:space="preserve">de </w:t>
      </w:r>
      <w:r w:rsidRPr="00C509EB">
        <w:rPr>
          <w:rFonts w:ascii="ITC Avant Garde" w:hAnsi="ITC Avant Garde" w:cs="Arial"/>
          <w:i/>
          <w:color w:val="auto"/>
          <w:sz w:val="18"/>
          <w:lang w:eastAsia="en-US"/>
        </w:rPr>
        <w:t xml:space="preserve"> </w:t>
      </w:r>
      <w:r w:rsidRPr="00C509EB">
        <w:rPr>
          <w:rFonts w:ascii="ITC Avant Garde" w:hAnsi="ITC Avant Garde"/>
          <w:i/>
          <w:color w:val="auto"/>
          <w:sz w:val="18"/>
        </w:rPr>
        <w:t xml:space="preserve">la renta </w:t>
      </w:r>
      <w:r w:rsidRPr="00C509EB">
        <w:rPr>
          <w:rFonts w:ascii="ITC Avant Garde" w:hAnsi="ITC Avant Garde" w:cs="Arial"/>
          <w:i/>
          <w:color w:val="auto"/>
          <w:sz w:val="18"/>
          <w:lang w:eastAsia="en-US"/>
        </w:rPr>
        <w:t>mensual del enlace por cada día (hábil)</w:t>
      </w:r>
      <w:r w:rsidRPr="00C509EB">
        <w:rPr>
          <w:rFonts w:ascii="ITC Avant Garde" w:hAnsi="ITC Avant Garde"/>
          <w:i/>
          <w:color w:val="auto"/>
          <w:sz w:val="18"/>
        </w:rPr>
        <w:t xml:space="preserve"> de retraso </w:t>
      </w:r>
      <w:r w:rsidRPr="00C509EB">
        <w:rPr>
          <w:rFonts w:ascii="ITC Avant Garde" w:hAnsi="ITC Avant Garde" w:cs="Arial"/>
          <w:i/>
          <w:color w:val="auto"/>
          <w:sz w:val="18"/>
          <w:lang w:eastAsia="en-US"/>
        </w:rPr>
        <w:t xml:space="preserve"> </w:t>
      </w:r>
      <w:r w:rsidRPr="00C509EB">
        <w:rPr>
          <w:rFonts w:ascii="ITC Avant Garde" w:hAnsi="ITC Avant Garde"/>
          <w:i/>
          <w:color w:val="auto"/>
          <w:sz w:val="18"/>
        </w:rPr>
        <w:t>en la entrega, respecto a las fechas comprometidas del servicio en cuestión</w:t>
      </w:r>
      <w:r w:rsidRPr="00C509EB">
        <w:rPr>
          <w:rFonts w:ascii="ITC Avant Garde" w:hAnsi="ITC Avant Garde" w:cs="Arial"/>
          <w:i/>
          <w:color w:val="auto"/>
          <w:sz w:val="18"/>
          <w:lang w:eastAsia="en-US"/>
        </w:rPr>
        <w:t>, hasta por un máximo de seis rentas mensuales</w:t>
      </w:r>
      <w:r w:rsidRPr="00C509EB">
        <w:rPr>
          <w:rFonts w:ascii="ITC Avant Garde" w:hAnsi="ITC Avant Garde"/>
          <w:i/>
          <w:color w:val="auto"/>
          <w:sz w:val="18"/>
        </w:rPr>
        <w:t>.”</w:t>
      </w:r>
    </w:p>
    <w:p w14:paraId="471F9F51" w14:textId="77777777" w:rsidR="008F4D11" w:rsidRPr="00C509EB" w:rsidRDefault="008F4D11" w:rsidP="007D5396">
      <w:pPr>
        <w:spacing w:line="276" w:lineRule="auto"/>
        <w:ind w:left="0" w:right="0" w:firstLine="0"/>
        <w:rPr>
          <w:rFonts w:ascii="ITC Avant Garde" w:hAnsi="ITC Avant Garde"/>
          <w:b/>
          <w:color w:val="auto"/>
        </w:rPr>
      </w:pPr>
    </w:p>
    <w:p w14:paraId="7C3EFE63" w14:textId="2746D3AD" w:rsidR="002E6853" w:rsidRPr="00B56D15" w:rsidRDefault="002E6853" w:rsidP="007D5396">
      <w:pPr>
        <w:spacing w:line="276" w:lineRule="auto"/>
        <w:ind w:firstLine="0"/>
        <w:rPr>
          <w:rFonts w:ascii="ITC Avant Garde" w:hAnsi="ITC Avant Garde"/>
          <w:b/>
          <w:color w:val="auto"/>
        </w:rPr>
      </w:pPr>
      <w:r w:rsidRPr="00B56D15">
        <w:rPr>
          <w:rFonts w:ascii="ITC Avant Garde" w:hAnsi="ITC Avant Garde"/>
          <w:b/>
          <w:color w:val="auto"/>
        </w:rPr>
        <w:t>Axtel y Alestra:</w:t>
      </w:r>
    </w:p>
    <w:p w14:paraId="17B22922" w14:textId="77777777" w:rsidR="002E6853" w:rsidRPr="00B56D15" w:rsidRDefault="002E6853" w:rsidP="007D5396">
      <w:pPr>
        <w:spacing w:line="276" w:lineRule="auto"/>
        <w:ind w:firstLine="0"/>
        <w:rPr>
          <w:rFonts w:ascii="ITC Avant Garde" w:hAnsi="ITC Avant Garde"/>
          <w:color w:val="auto"/>
        </w:rPr>
      </w:pPr>
    </w:p>
    <w:p w14:paraId="28E0B8EC" w14:textId="5A0359A5" w:rsidR="002E6853" w:rsidRPr="00B56D15" w:rsidRDefault="003D7F08" w:rsidP="007D5396">
      <w:pPr>
        <w:spacing w:line="276" w:lineRule="auto"/>
        <w:ind w:firstLine="0"/>
        <w:rPr>
          <w:rFonts w:ascii="ITC Avant Garde" w:hAnsi="ITC Avant Garde"/>
          <w:i/>
          <w:color w:val="auto"/>
        </w:rPr>
      </w:pPr>
      <w:r>
        <w:rPr>
          <w:rFonts w:ascii="ITC Avant Garde" w:hAnsi="ITC Avant Garde"/>
          <w:i/>
          <w:color w:val="auto"/>
        </w:rPr>
        <w:t>Respecto al numeral 2.7.4 del Anexo H del CMI, n</w:t>
      </w:r>
      <w:r w:rsidR="002E6853" w:rsidRPr="00B56D15">
        <w:rPr>
          <w:rFonts w:ascii="ITC Avant Garde" w:hAnsi="ITC Avant Garde"/>
          <w:i/>
          <w:color w:val="auto"/>
        </w:rPr>
        <w:t>o se menciona un compromiso de fechas para llevar a cabo la conciliación de los casos, para posteriormente poder facturar las penalizaciones</w:t>
      </w:r>
      <w:r>
        <w:rPr>
          <w:rFonts w:ascii="ITC Avant Garde" w:hAnsi="ITC Avant Garde"/>
          <w:i/>
          <w:color w:val="auto"/>
        </w:rPr>
        <w:t>.</w:t>
      </w:r>
    </w:p>
    <w:p w14:paraId="5022F8B8" w14:textId="77777777" w:rsidR="002E6853" w:rsidRPr="00B56D15" w:rsidRDefault="002E6853" w:rsidP="007D5396">
      <w:pPr>
        <w:spacing w:line="276" w:lineRule="auto"/>
        <w:ind w:firstLine="0"/>
        <w:rPr>
          <w:rFonts w:ascii="ITC Avant Garde" w:hAnsi="ITC Avant Garde"/>
          <w:i/>
          <w:color w:val="auto"/>
        </w:rPr>
      </w:pPr>
    </w:p>
    <w:p w14:paraId="68AC9384" w14:textId="2D695DF1" w:rsidR="002E6853" w:rsidRPr="00B56D15" w:rsidRDefault="002E6853" w:rsidP="007D5396">
      <w:pPr>
        <w:spacing w:line="276" w:lineRule="auto"/>
        <w:ind w:firstLine="0"/>
        <w:rPr>
          <w:rFonts w:ascii="ITC Avant Garde" w:hAnsi="ITC Avant Garde"/>
          <w:i/>
          <w:color w:val="auto"/>
        </w:rPr>
      </w:pPr>
      <w:r w:rsidRPr="00B56D15">
        <w:rPr>
          <w:rFonts w:ascii="ITC Avant Garde" w:hAnsi="ITC Avant Garde"/>
          <w:i/>
          <w:color w:val="auto"/>
        </w:rPr>
        <w:t>Señalar una fecha o número de días posteriores al iniciar un mes, en el que ambas partes se comprometan a llevar a cabo el proceso de conciliación de todos los casos. Estos debido a que actualmente no hay fecha compromiso, la información puede retrasarse al ser entregada a la otra parte y se retrase por lo tanto</w:t>
      </w:r>
      <w:r w:rsidR="003D7F08">
        <w:rPr>
          <w:rFonts w:ascii="ITC Avant Garde" w:hAnsi="ITC Avant Garde"/>
          <w:i/>
          <w:color w:val="auto"/>
        </w:rPr>
        <w:t xml:space="preserve"> la facturación correspondiente.</w:t>
      </w:r>
    </w:p>
    <w:p w14:paraId="625AD0CB" w14:textId="77777777" w:rsidR="00767F7A" w:rsidRPr="00B56D15" w:rsidRDefault="00767F7A" w:rsidP="007D5396">
      <w:pPr>
        <w:spacing w:after="0" w:line="276" w:lineRule="auto"/>
        <w:ind w:left="0" w:right="49" w:firstLine="0"/>
        <w:rPr>
          <w:rFonts w:ascii="ITC Avant Garde" w:eastAsia="Times New Roman" w:hAnsi="ITC Avant Garde" w:cs="Times New Roman"/>
          <w:color w:val="auto"/>
        </w:rPr>
      </w:pPr>
    </w:p>
    <w:p w14:paraId="09197CB5" w14:textId="2EE76F59" w:rsidR="005F3D55" w:rsidRPr="00C509EB" w:rsidRDefault="005F3D55" w:rsidP="007D5396">
      <w:pPr>
        <w:spacing w:line="276" w:lineRule="auto"/>
        <w:ind w:firstLine="0"/>
        <w:rPr>
          <w:rFonts w:ascii="ITC Avant Garde" w:eastAsia="Times New Roman" w:hAnsi="ITC Avant Garde" w:cs="Times New Roman"/>
          <w:color w:val="auto"/>
        </w:rPr>
      </w:pPr>
      <w:r w:rsidRPr="00C509EB">
        <w:rPr>
          <w:rFonts w:ascii="ITC Avant Garde" w:eastAsia="Times New Roman" w:hAnsi="ITC Avant Garde" w:cs="Times New Roman"/>
          <w:color w:val="auto"/>
        </w:rPr>
        <w:t xml:space="preserve">En atención al comentario anterior y con </w:t>
      </w:r>
      <w:r w:rsidR="007614E1" w:rsidRPr="00C509EB">
        <w:rPr>
          <w:rFonts w:ascii="ITC Avant Garde" w:eastAsia="Times New Roman" w:hAnsi="ITC Avant Garde" w:cs="Times New Roman"/>
          <w:color w:val="auto"/>
        </w:rPr>
        <w:t xml:space="preserve">la finalidad de brindar certeza a los </w:t>
      </w:r>
      <w:r w:rsidR="00930A66" w:rsidRPr="00C509EB">
        <w:rPr>
          <w:rFonts w:ascii="ITC Avant Garde" w:eastAsia="Times New Roman" w:hAnsi="ITC Avant Garde" w:cs="Times New Roman"/>
          <w:color w:val="auto"/>
        </w:rPr>
        <w:t>CS</w:t>
      </w:r>
      <w:r w:rsidR="007614E1" w:rsidRPr="00C509EB">
        <w:rPr>
          <w:rFonts w:ascii="ITC Avant Garde" w:eastAsia="Times New Roman" w:hAnsi="ITC Avant Garde" w:cs="Times New Roman"/>
          <w:color w:val="auto"/>
        </w:rPr>
        <w:t xml:space="preserve"> respecto a los plazos para llevar a cabo la conciliación y facturación de penalizaciones, </w:t>
      </w:r>
      <w:r w:rsidRPr="00C509EB">
        <w:rPr>
          <w:rFonts w:ascii="ITC Avant Garde" w:eastAsia="Times New Roman" w:hAnsi="ITC Avant Garde" w:cs="Times New Roman"/>
          <w:color w:val="auto"/>
        </w:rPr>
        <w:t>se señala que se modificó el presente numeral 2.7.4 con el fin de señalar que el procedimiento de liquidación de penalizaciones se sujetará a lo establecido en el numeral 4.4 del Convenio.</w:t>
      </w:r>
    </w:p>
    <w:p w14:paraId="3E6E4A90" w14:textId="77777777" w:rsidR="007614E1" w:rsidRDefault="007614E1" w:rsidP="007D5396">
      <w:pPr>
        <w:spacing w:after="0" w:line="276" w:lineRule="auto"/>
        <w:ind w:left="0" w:right="49" w:firstLine="0"/>
        <w:rPr>
          <w:rFonts w:ascii="ITC Avant Garde" w:eastAsia="Times New Roman" w:hAnsi="ITC Avant Garde" w:cs="Times New Roman"/>
          <w:color w:val="538135" w:themeColor="accent6" w:themeShade="BF"/>
        </w:rPr>
      </w:pPr>
    </w:p>
    <w:p w14:paraId="6648905B" w14:textId="77777777" w:rsidR="003328AF" w:rsidRPr="003328AF" w:rsidRDefault="00BF7E27" w:rsidP="007D5396">
      <w:pPr>
        <w:spacing w:after="0" w:line="276" w:lineRule="auto"/>
        <w:ind w:left="-5" w:right="49" w:firstLine="0"/>
        <w:rPr>
          <w:rFonts w:ascii="ITC Avant Garde" w:hAnsi="ITC Avant Garde"/>
          <w:b/>
          <w:color w:val="auto"/>
          <w:highlight w:val="yellow"/>
          <w:u w:val="single"/>
        </w:rPr>
      </w:pPr>
      <w:r w:rsidRPr="003328AF">
        <w:rPr>
          <w:rFonts w:ascii="ITC Avant Garde" w:hAnsi="ITC Avant Garde"/>
          <w:b/>
          <w:color w:val="auto"/>
          <w:u w:val="single"/>
        </w:rPr>
        <w:t xml:space="preserve">Comentarios generales emitidos al Convenio Marco de Interconexión </w:t>
      </w:r>
    </w:p>
    <w:p w14:paraId="34A777E8" w14:textId="77777777" w:rsidR="003328AF" w:rsidRPr="003328AF" w:rsidRDefault="003328AF" w:rsidP="007D5396">
      <w:pPr>
        <w:spacing w:after="0" w:line="276" w:lineRule="auto"/>
        <w:ind w:left="-5" w:right="49" w:firstLine="0"/>
        <w:rPr>
          <w:rFonts w:ascii="ITC Avant Garde" w:hAnsi="ITC Avant Garde"/>
          <w:b/>
          <w:color w:val="auto"/>
        </w:rPr>
      </w:pPr>
    </w:p>
    <w:p w14:paraId="4575267C" w14:textId="08D6D49E" w:rsidR="00BF7E27" w:rsidRPr="00B56D15" w:rsidRDefault="00BF7E27" w:rsidP="007D5396">
      <w:pPr>
        <w:spacing w:after="0" w:line="276" w:lineRule="auto"/>
        <w:ind w:left="-5" w:right="49" w:firstLine="0"/>
        <w:rPr>
          <w:rFonts w:ascii="ITC Avant Garde" w:hAnsi="ITC Avant Garde"/>
          <w:b/>
          <w:color w:val="auto"/>
        </w:rPr>
      </w:pPr>
      <w:r w:rsidRPr="003328AF">
        <w:rPr>
          <w:rFonts w:ascii="ITC Avant Garde" w:hAnsi="ITC Avant Garde"/>
          <w:b/>
          <w:color w:val="auto"/>
        </w:rPr>
        <w:t>Grupo Televisa:</w:t>
      </w:r>
    </w:p>
    <w:p w14:paraId="3A52359E" w14:textId="77777777" w:rsidR="00BF7E27" w:rsidRPr="00B56D15" w:rsidRDefault="00BF7E27" w:rsidP="007D5396">
      <w:pPr>
        <w:spacing w:after="0" w:line="276" w:lineRule="auto"/>
        <w:ind w:left="-5" w:right="49" w:firstLine="0"/>
        <w:rPr>
          <w:rFonts w:ascii="ITC Avant Garde" w:hAnsi="ITC Avant Garde"/>
          <w:b/>
          <w:color w:val="auto"/>
        </w:rPr>
      </w:pPr>
    </w:p>
    <w:p w14:paraId="7EDFCEAE" w14:textId="43BF0825" w:rsidR="00BF7E27" w:rsidRPr="00B56D15" w:rsidRDefault="00BF7E27" w:rsidP="007D5396">
      <w:pPr>
        <w:spacing w:line="276" w:lineRule="auto"/>
        <w:ind w:firstLine="0"/>
        <w:rPr>
          <w:rFonts w:ascii="ITC Avant Garde" w:hAnsi="ITC Avant Garde" w:cs="Times New Roman"/>
          <w:i/>
          <w:color w:val="auto"/>
        </w:rPr>
      </w:pPr>
      <w:r w:rsidRPr="00B56D15">
        <w:rPr>
          <w:rFonts w:ascii="ITC Avant Garde" w:hAnsi="ITC Avant Garde" w:cs="Times New Roman"/>
          <w:i/>
          <w:color w:val="auto"/>
        </w:rPr>
        <w:t>Se solicita que se incluya en el CMI de manera explícita la posibilidad de que un CS pueda contratar al AEP un enlace dedicado para interconectarse de manera directa con otro concesionario.</w:t>
      </w:r>
    </w:p>
    <w:p w14:paraId="6B08D2B5" w14:textId="77777777" w:rsidR="00BF7E27" w:rsidRPr="00B56D15" w:rsidRDefault="00BF7E27" w:rsidP="007D5396">
      <w:pPr>
        <w:spacing w:line="276" w:lineRule="auto"/>
        <w:ind w:firstLine="0"/>
        <w:rPr>
          <w:rFonts w:ascii="ITC Avant Garde" w:hAnsi="ITC Avant Garde" w:cs="Times New Roman"/>
          <w:i/>
          <w:color w:val="auto"/>
        </w:rPr>
      </w:pPr>
    </w:p>
    <w:p w14:paraId="4C88605D" w14:textId="77777777" w:rsidR="00BF7E27" w:rsidRPr="00B56D15" w:rsidRDefault="00BF7E27" w:rsidP="007D5396">
      <w:pPr>
        <w:spacing w:line="276" w:lineRule="auto"/>
        <w:ind w:firstLine="0"/>
        <w:rPr>
          <w:rFonts w:ascii="ITC Avant Garde" w:hAnsi="ITC Avant Garde" w:cs="Times New Roman"/>
          <w:i/>
          <w:color w:val="auto"/>
        </w:rPr>
      </w:pPr>
      <w:r w:rsidRPr="00B56D15">
        <w:rPr>
          <w:rFonts w:ascii="ITC Avant Garde" w:hAnsi="ITC Avant Garde" w:cs="Times New Roman"/>
          <w:i/>
          <w:color w:val="auto"/>
        </w:rPr>
        <w:t>Adicionalmente, se solicita que los detalles de prestación del servicio de enlaces dedicados de interconexión recogidos en la Oferta de Referencia de Enlaces Dedicados se recojan en el CMI, en particular, se considera que es relevante destacar los siguientes temas que no están cubiertos en tanto detalle aquí:</w:t>
      </w:r>
    </w:p>
    <w:p w14:paraId="26E5BE4E" w14:textId="77777777" w:rsidR="00BF7E27" w:rsidRPr="00B56D15" w:rsidRDefault="00BF7E27" w:rsidP="007D5396">
      <w:pPr>
        <w:spacing w:line="276" w:lineRule="auto"/>
        <w:ind w:firstLine="0"/>
        <w:rPr>
          <w:rFonts w:ascii="ITC Avant Garde" w:hAnsi="ITC Avant Garde" w:cs="Times New Roman"/>
          <w:i/>
          <w:color w:val="auto"/>
        </w:rPr>
      </w:pPr>
    </w:p>
    <w:p w14:paraId="56C28D1A" w14:textId="77777777" w:rsidR="00BF7E27" w:rsidRPr="00B56D15" w:rsidRDefault="00BF7E27" w:rsidP="007D5396">
      <w:pPr>
        <w:pStyle w:val="Prrafodelista"/>
        <w:numPr>
          <w:ilvl w:val="0"/>
          <w:numId w:val="3"/>
        </w:numPr>
        <w:spacing w:after="240" w:line="276" w:lineRule="auto"/>
        <w:ind w:right="0" w:firstLine="0"/>
        <w:rPr>
          <w:rFonts w:ascii="ITC Avant Garde" w:hAnsi="ITC Avant Garde" w:cs="Times New Roman"/>
          <w:i/>
          <w:color w:val="auto"/>
        </w:rPr>
      </w:pPr>
      <w:r w:rsidRPr="00B56D15">
        <w:rPr>
          <w:rFonts w:ascii="ITC Avant Garde" w:hAnsi="ITC Avant Garde" w:cs="Times New Roman"/>
          <w:i/>
          <w:color w:val="auto"/>
        </w:rPr>
        <w:t>Suministro de servicio, proceso de mantenimiento y plazos.</w:t>
      </w:r>
    </w:p>
    <w:p w14:paraId="00AC0553" w14:textId="77777777" w:rsidR="00BF7E27" w:rsidRPr="00B56D15" w:rsidRDefault="00BF7E27" w:rsidP="007D5396">
      <w:pPr>
        <w:pStyle w:val="Prrafodelista"/>
        <w:numPr>
          <w:ilvl w:val="0"/>
          <w:numId w:val="3"/>
        </w:numPr>
        <w:spacing w:after="240" w:line="276" w:lineRule="auto"/>
        <w:ind w:right="0" w:firstLine="0"/>
        <w:rPr>
          <w:rFonts w:ascii="ITC Avant Garde" w:hAnsi="ITC Avant Garde" w:cs="Times New Roman"/>
          <w:i/>
          <w:color w:val="auto"/>
        </w:rPr>
      </w:pPr>
      <w:r w:rsidRPr="00B56D15">
        <w:rPr>
          <w:rFonts w:ascii="ITC Avant Garde" w:hAnsi="ITC Avant Garde" w:cs="Times New Roman"/>
          <w:i/>
          <w:color w:val="auto"/>
        </w:rPr>
        <w:t>Calidad de servicio.</w:t>
      </w:r>
    </w:p>
    <w:p w14:paraId="625503B0" w14:textId="5B00537A" w:rsidR="00BF7E27" w:rsidRDefault="00856FFD" w:rsidP="007D5396">
      <w:pPr>
        <w:pStyle w:val="Prrafodelista"/>
        <w:numPr>
          <w:ilvl w:val="0"/>
          <w:numId w:val="3"/>
        </w:numPr>
        <w:spacing w:after="240" w:line="276" w:lineRule="auto"/>
        <w:ind w:right="0" w:firstLine="0"/>
        <w:rPr>
          <w:rFonts w:ascii="ITC Avant Garde" w:hAnsi="ITC Avant Garde" w:cs="Times New Roman"/>
          <w:i/>
          <w:color w:val="auto"/>
        </w:rPr>
      </w:pPr>
      <w:r>
        <w:rPr>
          <w:rFonts w:ascii="ITC Avant Garde" w:hAnsi="ITC Avant Garde" w:cs="Times New Roman"/>
          <w:i/>
          <w:color w:val="auto"/>
        </w:rPr>
        <w:t>Penalidades.</w:t>
      </w:r>
    </w:p>
    <w:p w14:paraId="210D8291" w14:textId="2E7DEA97" w:rsidR="00FC3152" w:rsidRPr="00C509EB" w:rsidRDefault="005C2456" w:rsidP="005F0A9E">
      <w:pPr>
        <w:spacing w:line="276" w:lineRule="auto"/>
        <w:ind w:left="0" w:right="0" w:firstLine="0"/>
        <w:rPr>
          <w:rFonts w:ascii="ITC Avant Garde" w:hAnsi="ITC Avant Garde"/>
          <w:color w:val="auto"/>
        </w:rPr>
      </w:pPr>
      <w:r w:rsidRPr="00C509EB">
        <w:rPr>
          <w:rFonts w:ascii="ITC Avant Garde" w:hAnsi="ITC Avant Garde"/>
          <w:color w:val="auto"/>
        </w:rPr>
        <w:t>Al respecto se señala que los detalles de la prestación del servicio de enlaces de interconexión están considerados en el Anexo G “ANEXO DE LA PRESTACIÓN DEL SERVICIO MAYORISTA DE ARRENDAMIENTO DE ENLACES DEDICADOS DE INTERCONEXIÓN LOCALES, NACIONALES PARA CONCESIONARIOS DE REDES PÚBLICAS DE TELECOMUNICACIONES”.</w:t>
      </w:r>
    </w:p>
    <w:p w14:paraId="4195E4F9" w14:textId="77777777" w:rsidR="005C2456" w:rsidRPr="00C509EB" w:rsidRDefault="005C2456" w:rsidP="005F0A9E">
      <w:pPr>
        <w:spacing w:line="276" w:lineRule="auto"/>
        <w:ind w:left="0" w:right="0" w:firstLine="0"/>
        <w:rPr>
          <w:rFonts w:ascii="ITC Avant Garde" w:hAnsi="ITC Avant Garde"/>
          <w:color w:val="auto"/>
        </w:rPr>
      </w:pPr>
    </w:p>
    <w:p w14:paraId="2F9D7D4C" w14:textId="406A395B" w:rsidR="005C2456" w:rsidRPr="00C509EB" w:rsidRDefault="005C2456" w:rsidP="005F0A9E">
      <w:pPr>
        <w:spacing w:line="276" w:lineRule="auto"/>
        <w:ind w:left="0" w:right="0" w:firstLine="0"/>
        <w:rPr>
          <w:rFonts w:ascii="ITC Avant Garde" w:hAnsi="ITC Avant Garde"/>
          <w:color w:val="auto"/>
        </w:rPr>
      </w:pPr>
      <w:r w:rsidRPr="00C509EB">
        <w:rPr>
          <w:rFonts w:ascii="ITC Avant Garde" w:hAnsi="ITC Avant Garde"/>
          <w:color w:val="auto"/>
        </w:rPr>
        <w:t>Dicho Anexo considera todos los aspectos para la prestación del servicio de Enlaces Dedicados de Interconexión.</w:t>
      </w:r>
    </w:p>
    <w:p w14:paraId="4FC5BDBF" w14:textId="77777777" w:rsidR="005F0A9E" w:rsidRDefault="005F0A9E" w:rsidP="007D5396">
      <w:pPr>
        <w:spacing w:after="0" w:line="276" w:lineRule="auto"/>
        <w:ind w:left="-5" w:right="49" w:firstLine="0"/>
        <w:rPr>
          <w:rFonts w:ascii="ITC Avant Garde" w:hAnsi="ITC Avant Garde"/>
          <w:b/>
          <w:color w:val="auto"/>
        </w:rPr>
      </w:pPr>
    </w:p>
    <w:p w14:paraId="6229E54D" w14:textId="17AFD633" w:rsidR="00502674" w:rsidRPr="000C7CB5" w:rsidRDefault="00502674" w:rsidP="007D5396">
      <w:pPr>
        <w:spacing w:after="0" w:line="276" w:lineRule="auto"/>
        <w:ind w:left="-5" w:right="49" w:firstLine="0"/>
        <w:rPr>
          <w:rFonts w:ascii="ITC Avant Garde" w:hAnsi="ITC Avant Garde"/>
          <w:b/>
          <w:color w:val="auto"/>
        </w:rPr>
      </w:pPr>
      <w:r w:rsidRPr="00A4663B">
        <w:rPr>
          <w:rFonts w:ascii="ITC Avant Garde" w:hAnsi="ITC Avant Garde"/>
          <w:b/>
          <w:color w:val="auto"/>
        </w:rPr>
        <w:t>MCM:</w:t>
      </w:r>
    </w:p>
    <w:p w14:paraId="10FA03C9" w14:textId="77777777" w:rsidR="00105BED" w:rsidRPr="00C509EB" w:rsidRDefault="00105BED" w:rsidP="007D5396">
      <w:pPr>
        <w:spacing w:after="0" w:line="276" w:lineRule="auto"/>
        <w:ind w:left="0" w:right="49" w:firstLine="0"/>
        <w:rPr>
          <w:rFonts w:ascii="ITC Avant Garde" w:hAnsi="ITC Avant Garde"/>
          <w:color w:val="auto"/>
        </w:rPr>
      </w:pPr>
    </w:p>
    <w:p w14:paraId="633830A0" w14:textId="77777777" w:rsidR="00105BED" w:rsidRPr="0067601C" w:rsidRDefault="00105BED" w:rsidP="007D5396">
      <w:pPr>
        <w:pStyle w:val="Prrafodelista"/>
        <w:spacing w:after="0" w:line="276" w:lineRule="auto"/>
        <w:ind w:left="0" w:right="49" w:firstLine="0"/>
        <w:rPr>
          <w:rFonts w:ascii="ITC Avant Garde" w:eastAsia="Times New Roman" w:hAnsi="ITC Avant Garde" w:cs="Times New Roman"/>
          <w:i/>
          <w:color w:val="auto"/>
        </w:rPr>
      </w:pPr>
      <w:r w:rsidRPr="0067601C">
        <w:rPr>
          <w:rFonts w:ascii="ITC Avant Garde" w:eastAsia="Times New Roman" w:hAnsi="ITC Avant Garde" w:cs="Times New Roman"/>
          <w:i/>
          <w:color w:val="auto"/>
        </w:rPr>
        <w:t xml:space="preserve">Se debe establecer en el CMI que la obligación establecida en el anexo 2 de la Resolución de Preponderancia es aplicable para tráfico en ambos sentidos, esto es, con origen en Telmex y destinos en la red de otro concesionario. </w:t>
      </w:r>
    </w:p>
    <w:p w14:paraId="7DAE5173" w14:textId="77777777" w:rsidR="00105BED" w:rsidRPr="0067601C" w:rsidRDefault="00105BED" w:rsidP="007D5396">
      <w:pPr>
        <w:pStyle w:val="Prrafodelista"/>
        <w:spacing w:after="0" w:line="276" w:lineRule="auto"/>
        <w:ind w:left="0" w:right="49" w:firstLine="0"/>
        <w:rPr>
          <w:rFonts w:ascii="ITC Avant Garde" w:eastAsia="Times New Roman" w:hAnsi="ITC Avant Garde" w:cs="Times New Roman"/>
          <w:i/>
          <w:color w:val="auto"/>
        </w:rPr>
      </w:pPr>
    </w:p>
    <w:p w14:paraId="23779520" w14:textId="77777777" w:rsidR="00105BED" w:rsidRPr="0067601C" w:rsidRDefault="00105BED" w:rsidP="007D5396">
      <w:pPr>
        <w:pStyle w:val="Prrafodelista"/>
        <w:spacing w:after="0" w:line="276" w:lineRule="auto"/>
        <w:ind w:left="0" w:right="49" w:firstLine="0"/>
        <w:rPr>
          <w:rFonts w:ascii="ITC Avant Garde" w:eastAsia="Times New Roman" w:hAnsi="ITC Avant Garde" w:cs="Times New Roman"/>
          <w:i/>
          <w:color w:val="auto"/>
        </w:rPr>
      </w:pPr>
      <w:r w:rsidRPr="0067601C">
        <w:rPr>
          <w:rFonts w:ascii="ITC Avant Garde" w:eastAsia="Times New Roman" w:hAnsi="ITC Avant Garde" w:cs="Times New Roman"/>
          <w:i/>
          <w:color w:val="auto"/>
        </w:rPr>
        <w:lastRenderedPageBreak/>
        <w:t xml:space="preserve">La interpretación realizada a la fecha por Telmex de la obligación citada es sólo en el sentido del tráfico originado en la red de un concesionario con destino a Telmex. </w:t>
      </w:r>
    </w:p>
    <w:p w14:paraId="3DA0B947" w14:textId="77777777" w:rsidR="00105BED" w:rsidRPr="0067601C" w:rsidRDefault="00105BED" w:rsidP="007D5396">
      <w:pPr>
        <w:pStyle w:val="Prrafodelista"/>
        <w:spacing w:after="0" w:line="276" w:lineRule="auto"/>
        <w:ind w:left="0" w:right="49" w:firstLine="0"/>
        <w:rPr>
          <w:rFonts w:ascii="ITC Avant Garde" w:eastAsia="Times New Roman" w:hAnsi="ITC Avant Garde" w:cs="Times New Roman"/>
          <w:i/>
          <w:color w:val="auto"/>
        </w:rPr>
      </w:pPr>
    </w:p>
    <w:p w14:paraId="59F0ABAA" w14:textId="77777777" w:rsidR="00105BED" w:rsidRPr="0067601C" w:rsidRDefault="00105BED" w:rsidP="007D5396">
      <w:pPr>
        <w:pStyle w:val="Prrafodelista"/>
        <w:spacing w:after="0" w:line="276" w:lineRule="auto"/>
        <w:ind w:left="0" w:right="49" w:firstLine="0"/>
        <w:rPr>
          <w:rFonts w:ascii="ITC Avant Garde" w:eastAsia="Times New Roman" w:hAnsi="ITC Avant Garde" w:cs="Times New Roman"/>
          <w:i/>
          <w:color w:val="auto"/>
        </w:rPr>
      </w:pPr>
      <w:r w:rsidRPr="0067601C">
        <w:rPr>
          <w:rFonts w:ascii="ITC Avant Garde" w:eastAsia="Times New Roman" w:hAnsi="ITC Avant Garde" w:cs="Times New Roman"/>
          <w:i/>
          <w:color w:val="auto"/>
        </w:rPr>
        <w:t xml:space="preserve">Como se ha informado a esa autoridad Telmex continua teniendo distintos enlaces para distinto tipo de tráfico con origen en su red con destino en la red de mí representada y aun cuando ciertos enlaces presentan congestión Telmex se ha negado a enrutar el tráfico por otros enlaces sin congestión. </w:t>
      </w:r>
    </w:p>
    <w:p w14:paraId="00F66E8E" w14:textId="77777777" w:rsidR="00105BED" w:rsidRPr="0067601C" w:rsidRDefault="00105BED" w:rsidP="007D5396">
      <w:pPr>
        <w:pStyle w:val="Prrafodelista"/>
        <w:spacing w:after="0" w:line="276" w:lineRule="auto"/>
        <w:ind w:left="0" w:right="49" w:firstLine="0"/>
        <w:rPr>
          <w:rFonts w:ascii="ITC Avant Garde" w:eastAsia="Times New Roman" w:hAnsi="ITC Avant Garde" w:cs="Times New Roman"/>
          <w:i/>
          <w:color w:val="auto"/>
        </w:rPr>
      </w:pPr>
    </w:p>
    <w:p w14:paraId="08FBF03E" w14:textId="0F11A061" w:rsidR="00105BED" w:rsidRPr="0067601C" w:rsidRDefault="00105BED" w:rsidP="007D5396">
      <w:pPr>
        <w:pStyle w:val="Prrafodelista"/>
        <w:spacing w:after="0" w:line="276" w:lineRule="auto"/>
        <w:ind w:left="0" w:right="49" w:firstLine="0"/>
        <w:rPr>
          <w:rFonts w:ascii="ITC Avant Garde" w:eastAsia="Times New Roman" w:hAnsi="ITC Avant Garde" w:cs="Times New Roman"/>
          <w:i/>
          <w:color w:val="auto"/>
        </w:rPr>
      </w:pPr>
      <w:r w:rsidRPr="0067601C">
        <w:rPr>
          <w:rFonts w:ascii="ITC Avant Garde" w:eastAsia="Times New Roman" w:hAnsi="ITC Avant Garde" w:cs="Times New Roman"/>
          <w:i/>
          <w:color w:val="auto"/>
        </w:rPr>
        <w:t>Por lo anterior se debe establecer en el CMI la obligación de Telmex de enrutar el tráfico por en</w:t>
      </w:r>
      <w:r w:rsidR="005F0A9E">
        <w:rPr>
          <w:rFonts w:ascii="ITC Avant Garde" w:eastAsia="Times New Roman" w:hAnsi="ITC Avant Garde" w:cs="Times New Roman"/>
          <w:i/>
          <w:color w:val="auto"/>
        </w:rPr>
        <w:t>laces con capacidad suficiente.</w:t>
      </w:r>
    </w:p>
    <w:p w14:paraId="443C25E8" w14:textId="77777777" w:rsidR="00105BED" w:rsidRPr="0067601C" w:rsidRDefault="00105BED" w:rsidP="007D5396">
      <w:pPr>
        <w:spacing w:after="0" w:line="276" w:lineRule="auto"/>
        <w:ind w:left="-5" w:right="49" w:firstLine="0"/>
        <w:rPr>
          <w:rFonts w:ascii="ITC Avant Garde" w:hAnsi="ITC Avant Garde"/>
          <w:color w:val="auto"/>
        </w:rPr>
      </w:pPr>
    </w:p>
    <w:p w14:paraId="31C2359D" w14:textId="11BA13DA" w:rsidR="00AA027D" w:rsidRPr="00C509EB" w:rsidRDefault="00AA027D" w:rsidP="00AA027D">
      <w:pPr>
        <w:spacing w:line="276" w:lineRule="auto"/>
        <w:ind w:left="0" w:right="0" w:firstLine="0"/>
        <w:rPr>
          <w:rFonts w:ascii="ITC Avant Garde" w:hAnsi="ITC Avant Garde"/>
          <w:color w:val="auto"/>
        </w:rPr>
      </w:pPr>
      <w:r w:rsidRPr="00C509EB">
        <w:rPr>
          <w:rFonts w:ascii="ITC Avant Garde" w:hAnsi="ITC Avant Garde"/>
          <w:color w:val="auto"/>
        </w:rPr>
        <w:t>Al respecto, la Cláusula Quinta numeral 5.7.2 del CMI, Realización Física, señala la facultad de los concesionarios para establecer enlaces dedicados de interconexión de acuerdo a las distintas opciones señaladas en dicho numeral, en el cual se incluyen diversos escenarios de bidireccionalidad.</w:t>
      </w:r>
    </w:p>
    <w:p w14:paraId="028F96F0" w14:textId="77777777" w:rsidR="00AA027D" w:rsidRPr="00C509EB" w:rsidRDefault="00AA027D" w:rsidP="00AA027D">
      <w:pPr>
        <w:pStyle w:val="Prrafodelista"/>
        <w:spacing w:after="0" w:line="276" w:lineRule="auto"/>
        <w:ind w:left="0" w:right="49" w:firstLine="0"/>
        <w:rPr>
          <w:rFonts w:ascii="ITC Avant Garde" w:eastAsia="Times New Roman" w:hAnsi="ITC Avant Garde" w:cs="Times New Roman"/>
          <w:i/>
          <w:color w:val="auto"/>
        </w:rPr>
      </w:pPr>
    </w:p>
    <w:p w14:paraId="599E32ED" w14:textId="77777777" w:rsidR="00AA027D" w:rsidRPr="00C509EB" w:rsidRDefault="00AA027D" w:rsidP="00AA027D">
      <w:pPr>
        <w:spacing w:line="276" w:lineRule="auto"/>
        <w:ind w:left="0" w:right="0" w:firstLine="0"/>
        <w:rPr>
          <w:rFonts w:ascii="ITC Avant Garde" w:hAnsi="ITC Avant Garde"/>
          <w:color w:val="auto"/>
        </w:rPr>
      </w:pPr>
      <w:r w:rsidRPr="00C509EB">
        <w:rPr>
          <w:rFonts w:ascii="ITC Avant Garde" w:hAnsi="ITC Avant Garde"/>
          <w:color w:val="auto"/>
        </w:rPr>
        <w:t xml:space="preserve">Asimismo, se señala que en la Cláusula Sexta numeral 6.2 del CMI, Calidad de los servicios de Interconexión, se determina la obligación de Telmex de asegurar la capacidad suficiente para satisfacer la demanda de los servicios de interconexión, así como el porcentaje de ocupación máximo durante la hora pico que conllevaría al incremento de la capacidad de los recursos asignados, a solicitud del CS. </w:t>
      </w:r>
    </w:p>
    <w:p w14:paraId="2514A1B7" w14:textId="77777777" w:rsidR="00AA027D" w:rsidRPr="00C509EB" w:rsidRDefault="00AA027D" w:rsidP="00AA027D">
      <w:pPr>
        <w:spacing w:line="276" w:lineRule="auto"/>
        <w:ind w:left="0" w:right="0" w:firstLine="0"/>
        <w:rPr>
          <w:rFonts w:ascii="ITC Avant Garde" w:hAnsi="ITC Avant Garde"/>
          <w:color w:val="auto"/>
        </w:rPr>
      </w:pPr>
    </w:p>
    <w:p w14:paraId="238CBE60" w14:textId="77777777" w:rsidR="00AA027D" w:rsidRPr="00C509EB" w:rsidRDefault="00AA027D" w:rsidP="00AA027D">
      <w:pPr>
        <w:spacing w:line="276" w:lineRule="auto"/>
        <w:ind w:left="0" w:right="0" w:firstLine="0"/>
        <w:rPr>
          <w:rFonts w:ascii="ITC Avant Garde" w:eastAsia="Times New Roman" w:hAnsi="ITC Avant Garde" w:cs="Times New Roman"/>
          <w:i/>
          <w:color w:val="auto"/>
        </w:rPr>
      </w:pPr>
      <w:r w:rsidRPr="00C509EB">
        <w:rPr>
          <w:rFonts w:ascii="ITC Avant Garde" w:hAnsi="ITC Avant Garde"/>
          <w:color w:val="auto"/>
        </w:rPr>
        <w:t>Por lo anterior, se considera que el CMI no limita o restringe la posibilidad de establecer escenarios de intercambio de tráfico bidireccional y contempla los mecanismos de calidad necesarios para asegurar que la capacidad de los enlaces sea suficiente de acuerdo a la demanda de los servicios de interconexión entre las redes de los concesionarios.</w:t>
      </w:r>
    </w:p>
    <w:p w14:paraId="700D3B2D" w14:textId="77777777" w:rsidR="005F0A9E" w:rsidRPr="00C509EB" w:rsidRDefault="005F0A9E" w:rsidP="007D5396">
      <w:pPr>
        <w:spacing w:after="0" w:line="276" w:lineRule="auto"/>
        <w:ind w:left="-5" w:right="49" w:firstLine="0"/>
        <w:rPr>
          <w:rFonts w:ascii="ITC Avant Garde" w:hAnsi="ITC Avant Garde"/>
          <w:b/>
          <w:color w:val="auto"/>
        </w:rPr>
      </w:pPr>
    </w:p>
    <w:p w14:paraId="250F3ACC" w14:textId="0721A93E" w:rsidR="00105BED" w:rsidRDefault="005F0A9E" w:rsidP="007D5396">
      <w:pPr>
        <w:spacing w:after="0" w:line="276" w:lineRule="auto"/>
        <w:ind w:left="-5" w:right="49" w:firstLine="0"/>
        <w:rPr>
          <w:rFonts w:ascii="ITC Avant Garde" w:hAnsi="ITC Avant Garde"/>
          <w:b/>
          <w:color w:val="auto"/>
        </w:rPr>
      </w:pPr>
      <w:r w:rsidRPr="00A4663B">
        <w:rPr>
          <w:rFonts w:ascii="ITC Avant Garde" w:hAnsi="ITC Avant Garde"/>
          <w:b/>
          <w:color w:val="auto"/>
        </w:rPr>
        <w:t>MCM:</w:t>
      </w:r>
    </w:p>
    <w:p w14:paraId="3CEB3322" w14:textId="77777777" w:rsidR="00897A87" w:rsidRPr="0067601C" w:rsidRDefault="00897A87" w:rsidP="007D5396">
      <w:pPr>
        <w:pStyle w:val="Prrafodelista"/>
        <w:spacing w:after="0" w:line="276" w:lineRule="auto"/>
        <w:ind w:left="0" w:right="49" w:firstLine="0"/>
        <w:rPr>
          <w:rFonts w:ascii="ITC Avant Garde" w:eastAsia="Times New Roman" w:hAnsi="ITC Avant Garde" w:cs="Times New Roman"/>
          <w:i/>
          <w:color w:val="auto"/>
        </w:rPr>
      </w:pPr>
    </w:p>
    <w:p w14:paraId="2B814C26" w14:textId="77777777" w:rsidR="00105BED" w:rsidRDefault="00105BED" w:rsidP="007D5396">
      <w:pPr>
        <w:pStyle w:val="Prrafodelista"/>
        <w:spacing w:after="0" w:line="276" w:lineRule="auto"/>
        <w:ind w:left="0" w:right="49" w:firstLine="0"/>
        <w:rPr>
          <w:rFonts w:ascii="ITC Avant Garde" w:eastAsia="Times New Roman" w:hAnsi="ITC Avant Garde" w:cs="Times New Roman"/>
          <w:i/>
          <w:color w:val="auto"/>
        </w:rPr>
      </w:pPr>
      <w:r w:rsidRPr="0067601C">
        <w:rPr>
          <w:rFonts w:ascii="ITC Avant Garde" w:eastAsia="Times New Roman" w:hAnsi="ITC Avant Garde" w:cs="Times New Roman"/>
          <w:i/>
          <w:color w:val="auto"/>
        </w:rPr>
        <w:t xml:space="preserve">Se debe establecer el CMI la obligación de Telmex de que una vez establecida una interconexión IP lleve a cabo la migración de tráfico, en el siguiente orden: </w:t>
      </w:r>
    </w:p>
    <w:p w14:paraId="7010CA74" w14:textId="77777777" w:rsidR="005F0A9E" w:rsidRPr="0067601C" w:rsidRDefault="005F0A9E" w:rsidP="007D5396">
      <w:pPr>
        <w:pStyle w:val="Prrafodelista"/>
        <w:spacing w:after="0" w:line="276" w:lineRule="auto"/>
        <w:ind w:left="0" w:right="49" w:firstLine="0"/>
        <w:rPr>
          <w:rFonts w:ascii="ITC Avant Garde" w:eastAsia="Times New Roman" w:hAnsi="ITC Avant Garde" w:cs="Times New Roman"/>
          <w:i/>
          <w:color w:val="auto"/>
        </w:rPr>
      </w:pPr>
    </w:p>
    <w:p w14:paraId="1A532806" w14:textId="77777777" w:rsidR="00105BED" w:rsidRPr="0067601C" w:rsidRDefault="00105BED" w:rsidP="007D5396">
      <w:pPr>
        <w:pStyle w:val="Prrafodelista"/>
        <w:numPr>
          <w:ilvl w:val="1"/>
          <w:numId w:val="6"/>
        </w:numPr>
        <w:spacing w:after="0" w:line="276" w:lineRule="auto"/>
        <w:ind w:left="284" w:right="49" w:firstLine="0"/>
        <w:rPr>
          <w:rFonts w:ascii="ITC Avant Garde" w:eastAsia="Times New Roman" w:hAnsi="ITC Avant Garde" w:cs="Times New Roman"/>
          <w:i/>
          <w:color w:val="auto"/>
        </w:rPr>
      </w:pPr>
      <w:r w:rsidRPr="0067601C">
        <w:rPr>
          <w:rFonts w:ascii="ITC Avant Garde" w:eastAsia="Times New Roman" w:hAnsi="ITC Avant Garde" w:cs="Times New Roman"/>
          <w:i/>
          <w:color w:val="auto"/>
        </w:rPr>
        <w:t xml:space="preserve">El tráfico de las troncales TDM congestionadas se debe de hacer en forma inmediata. </w:t>
      </w:r>
    </w:p>
    <w:p w14:paraId="03332CF9" w14:textId="77777777" w:rsidR="00105BED" w:rsidRPr="0067601C" w:rsidRDefault="00105BED" w:rsidP="007D5396">
      <w:pPr>
        <w:pStyle w:val="Prrafodelista"/>
        <w:spacing w:after="0" w:line="276" w:lineRule="auto"/>
        <w:ind w:left="284" w:right="49" w:firstLine="0"/>
        <w:rPr>
          <w:rFonts w:ascii="ITC Avant Garde" w:eastAsia="Times New Roman" w:hAnsi="ITC Avant Garde" w:cs="Times New Roman"/>
          <w:i/>
          <w:color w:val="auto"/>
        </w:rPr>
      </w:pPr>
    </w:p>
    <w:p w14:paraId="5D51082C" w14:textId="078F466C" w:rsidR="00105BED" w:rsidRPr="0067601C" w:rsidRDefault="00105BED" w:rsidP="007D5396">
      <w:pPr>
        <w:pStyle w:val="Prrafodelista"/>
        <w:numPr>
          <w:ilvl w:val="1"/>
          <w:numId w:val="6"/>
        </w:numPr>
        <w:spacing w:after="0" w:line="276" w:lineRule="auto"/>
        <w:ind w:left="284" w:right="49" w:firstLine="0"/>
        <w:rPr>
          <w:rFonts w:ascii="ITC Avant Garde" w:eastAsia="Times New Roman" w:hAnsi="ITC Avant Garde" w:cs="Times New Roman"/>
          <w:i/>
          <w:color w:val="auto"/>
        </w:rPr>
      </w:pPr>
      <w:r w:rsidRPr="0067601C">
        <w:rPr>
          <w:rFonts w:ascii="ITC Avant Garde" w:eastAsia="Times New Roman" w:hAnsi="ITC Avant Garde" w:cs="Times New Roman"/>
          <w:i/>
          <w:color w:val="auto"/>
        </w:rPr>
        <w:t>El tráfico restante deberá hacerse en un plazo máximo de 1 año debiendo enrutarse cada trimestre por lo menos el 25% del total del tráfico.</w:t>
      </w:r>
    </w:p>
    <w:p w14:paraId="08B37747" w14:textId="77777777" w:rsidR="00105BED" w:rsidRPr="0067601C" w:rsidRDefault="00105BED" w:rsidP="007D5396">
      <w:pPr>
        <w:spacing w:after="0" w:line="276" w:lineRule="auto"/>
        <w:ind w:left="-5" w:right="49" w:firstLine="0"/>
        <w:rPr>
          <w:rFonts w:ascii="ITC Avant Garde" w:hAnsi="ITC Avant Garde"/>
          <w:color w:val="auto"/>
        </w:rPr>
      </w:pPr>
    </w:p>
    <w:p w14:paraId="32415D10" w14:textId="77777777" w:rsidR="00AA027D" w:rsidRPr="00891335" w:rsidRDefault="00AA027D" w:rsidP="00AA027D">
      <w:pPr>
        <w:spacing w:line="276" w:lineRule="auto"/>
        <w:ind w:left="0" w:right="0" w:firstLine="0"/>
        <w:rPr>
          <w:rFonts w:ascii="ITC Avant Garde" w:hAnsi="ITC Avant Garde"/>
          <w:color w:val="auto"/>
        </w:rPr>
      </w:pPr>
      <w:r w:rsidRPr="00891335">
        <w:rPr>
          <w:rFonts w:ascii="ITC Avant Garde" w:hAnsi="ITC Avant Garde"/>
          <w:color w:val="auto"/>
        </w:rPr>
        <w:lastRenderedPageBreak/>
        <w:t>Respecto al comentario anterior, se señala que en la Cláusula Sexta numeral 6.2 del CMI, Calidad de los servicios de Interconexión, se determina la obligación de Telmex de asegurar la capacidad suficiente para satisfacer la demanda de los servicios de interconexión, así como el porcentaje de ocupación máximo durante la hora pico que conllevaría al incremento de la capacidad de los recursos asignados para los servicios de interconexión, a solicitud del CS.</w:t>
      </w:r>
    </w:p>
    <w:p w14:paraId="109C02E3" w14:textId="77777777" w:rsidR="00AA027D" w:rsidRPr="00891335" w:rsidRDefault="00AA027D" w:rsidP="00AA027D">
      <w:pPr>
        <w:spacing w:line="276" w:lineRule="auto"/>
        <w:ind w:left="0" w:right="0" w:firstLine="0"/>
        <w:rPr>
          <w:rFonts w:ascii="ITC Avant Garde" w:hAnsi="ITC Avant Garde"/>
          <w:color w:val="auto"/>
        </w:rPr>
      </w:pPr>
    </w:p>
    <w:p w14:paraId="4C276A4C" w14:textId="77777777" w:rsidR="00AA027D" w:rsidRPr="00891335" w:rsidRDefault="00AA027D" w:rsidP="00AA027D">
      <w:pPr>
        <w:spacing w:line="276" w:lineRule="auto"/>
        <w:ind w:left="0" w:right="0" w:firstLine="0"/>
        <w:rPr>
          <w:rFonts w:ascii="ITC Avant Garde" w:hAnsi="ITC Avant Garde"/>
          <w:color w:val="auto"/>
        </w:rPr>
      </w:pPr>
      <w:r w:rsidRPr="00891335">
        <w:rPr>
          <w:rFonts w:ascii="ITC Avant Garde" w:hAnsi="ITC Avant Garde"/>
          <w:color w:val="auto"/>
        </w:rPr>
        <w:t>Asimismo, se señala que los plazos planteados, así como los porcentajes de tráfico propuestos, corresponden a un plan de migración particular que debe ser acordado entre las partes, dado que no obedece necesariamente a las condiciones y necesidades generales de interconexión de todos los concesionarios de redes públicas de telecomunicaciones, por lo cual no forma parte del contenido y revisión del presente CMI.</w:t>
      </w:r>
    </w:p>
    <w:p w14:paraId="43CA7863" w14:textId="77777777" w:rsidR="005F0A9E" w:rsidRDefault="005F0A9E" w:rsidP="005F0A9E">
      <w:pPr>
        <w:spacing w:after="0" w:line="276" w:lineRule="auto"/>
        <w:ind w:left="-5" w:right="49" w:firstLine="0"/>
        <w:rPr>
          <w:rFonts w:ascii="ITC Avant Garde" w:hAnsi="ITC Avant Garde"/>
          <w:b/>
          <w:color w:val="auto"/>
        </w:rPr>
      </w:pPr>
    </w:p>
    <w:p w14:paraId="5E036870" w14:textId="77777777" w:rsidR="005F0A9E" w:rsidRDefault="005F0A9E" w:rsidP="005F0A9E">
      <w:pPr>
        <w:spacing w:after="0" w:line="276" w:lineRule="auto"/>
        <w:ind w:left="-5" w:right="49" w:firstLine="0"/>
        <w:rPr>
          <w:rFonts w:ascii="ITC Avant Garde" w:hAnsi="ITC Avant Garde"/>
          <w:b/>
          <w:color w:val="auto"/>
        </w:rPr>
      </w:pPr>
      <w:r w:rsidRPr="00EB6CED">
        <w:rPr>
          <w:rFonts w:ascii="ITC Avant Garde" w:hAnsi="ITC Avant Garde"/>
          <w:b/>
          <w:color w:val="auto"/>
        </w:rPr>
        <w:t>MCM:</w:t>
      </w:r>
    </w:p>
    <w:p w14:paraId="04EEE1E0" w14:textId="77777777" w:rsidR="00105BED" w:rsidRPr="00891335" w:rsidRDefault="00105BED" w:rsidP="007D5396">
      <w:pPr>
        <w:spacing w:after="0" w:line="276" w:lineRule="auto"/>
        <w:ind w:left="-5" w:right="49" w:firstLine="0"/>
        <w:rPr>
          <w:rFonts w:ascii="ITC Avant Garde" w:hAnsi="ITC Avant Garde"/>
          <w:color w:val="auto"/>
        </w:rPr>
      </w:pPr>
    </w:p>
    <w:p w14:paraId="59A60DDB" w14:textId="170C77F6" w:rsidR="00105BED" w:rsidRPr="00F177D4" w:rsidRDefault="00105BED" w:rsidP="007D5396">
      <w:pPr>
        <w:spacing w:after="0" w:line="276" w:lineRule="auto"/>
        <w:ind w:right="49" w:firstLine="0"/>
        <w:rPr>
          <w:rFonts w:ascii="ITC Avant Garde" w:eastAsia="Times New Roman" w:hAnsi="ITC Avant Garde" w:cs="Times New Roman"/>
          <w:i/>
          <w:color w:val="auto"/>
        </w:rPr>
      </w:pPr>
      <w:r w:rsidRPr="00F177D4">
        <w:rPr>
          <w:rFonts w:ascii="ITC Avant Garde" w:eastAsia="Times New Roman" w:hAnsi="ITC Avant Garde" w:cs="Times New Roman"/>
          <w:i/>
          <w:color w:val="auto"/>
        </w:rPr>
        <w:t xml:space="preserve">Se determine que en llamadas originadas en teléfonos públicos o casetas telefónicas públicas de Telmex con destino a CS, dicho concesionario tendrá derecho a cobrar la tarifa de originación que determine para el año 2017 ese Instituto, no pudiendo cobrar a CS ningún otro concepto por el uso de los teléfonos públicos o casetas </w:t>
      </w:r>
      <w:r w:rsidR="00D24D8B">
        <w:rPr>
          <w:rFonts w:ascii="ITC Avant Garde" w:eastAsia="Times New Roman" w:hAnsi="ITC Avant Garde" w:cs="Times New Roman"/>
          <w:i/>
          <w:color w:val="auto"/>
        </w:rPr>
        <w:t>telefónicas públicas de Telmex.</w:t>
      </w:r>
    </w:p>
    <w:p w14:paraId="526E76FB" w14:textId="77777777" w:rsidR="00105BED" w:rsidRPr="000C7CB5" w:rsidRDefault="00105BED" w:rsidP="007D5396">
      <w:pPr>
        <w:spacing w:after="0" w:line="276" w:lineRule="auto"/>
        <w:ind w:left="-5" w:right="49" w:firstLine="0"/>
        <w:rPr>
          <w:rFonts w:ascii="ITC Avant Garde" w:hAnsi="ITC Avant Garde"/>
          <w:color w:val="auto"/>
        </w:rPr>
      </w:pPr>
    </w:p>
    <w:p w14:paraId="081B40CC" w14:textId="4731281E" w:rsidR="00EB6CED" w:rsidRPr="00891335" w:rsidRDefault="00AA027D" w:rsidP="00AA027D">
      <w:pPr>
        <w:spacing w:line="276" w:lineRule="auto"/>
        <w:ind w:left="0" w:right="0" w:firstLine="0"/>
        <w:rPr>
          <w:rFonts w:ascii="ITC Avant Garde" w:hAnsi="ITC Avant Garde"/>
          <w:color w:val="auto"/>
        </w:rPr>
      </w:pPr>
      <w:r w:rsidRPr="00891335">
        <w:rPr>
          <w:rFonts w:ascii="ITC Avant Garde" w:hAnsi="ITC Avant Garde"/>
          <w:color w:val="auto"/>
        </w:rPr>
        <w:t>Al respecto, se señala que</w:t>
      </w:r>
      <w:r w:rsidR="00A4663B" w:rsidRPr="00891335">
        <w:rPr>
          <w:rFonts w:ascii="ITC Avant Garde" w:hAnsi="ITC Avant Garde"/>
          <w:color w:val="auto"/>
        </w:rPr>
        <w:t xml:space="preserve"> </w:t>
      </w:r>
      <w:r w:rsidRPr="00891335">
        <w:rPr>
          <w:rFonts w:ascii="ITC Avant Garde" w:hAnsi="ITC Avant Garde"/>
          <w:color w:val="auto"/>
        </w:rPr>
        <w:t xml:space="preserve"> de acuerdo a lo establecido en el artículo 131 de la LFTyR, durante el tiempo que exista un agente económico preponderante en el sector de las telecomunicaciones, las tarifas de terminación de tráfico fijo y móvil, serán asimétricas, siendo que dicho agente no cobrará a los demás concesionarios por el tráfico que termine en su red, mientras que los concesionarios estarán en libertad de negociar las tarifas de interconexión para el tráfico que termine en la red de concesionarios distintos al AEP. En este sentido, en el caso de existir una disputa respecto de las tarifas, términos y condiciones de los convenios de interconexión, el Instituto resolverá cualquiera con base en la metodología de costos que determine.</w:t>
      </w:r>
    </w:p>
    <w:p w14:paraId="23E0C498" w14:textId="77777777" w:rsidR="00EB6CED" w:rsidRPr="00891335" w:rsidRDefault="00EB6CED" w:rsidP="00AA027D">
      <w:pPr>
        <w:spacing w:line="276" w:lineRule="auto"/>
        <w:ind w:left="0" w:right="0" w:firstLine="0"/>
        <w:rPr>
          <w:rFonts w:ascii="ITC Avant Garde" w:hAnsi="ITC Avant Garde"/>
          <w:color w:val="auto"/>
        </w:rPr>
      </w:pPr>
    </w:p>
    <w:p w14:paraId="5C86AE07" w14:textId="18A0CD64" w:rsidR="00B8470E" w:rsidRPr="00891335" w:rsidRDefault="00A4663B" w:rsidP="00EB6CED">
      <w:pPr>
        <w:spacing w:line="276" w:lineRule="auto"/>
        <w:ind w:left="0" w:right="0" w:firstLine="0"/>
        <w:rPr>
          <w:rFonts w:ascii="ITC Avant Garde" w:hAnsi="ITC Avant Garde"/>
          <w:color w:val="auto"/>
        </w:rPr>
      </w:pPr>
      <w:r w:rsidRPr="00891335">
        <w:rPr>
          <w:rFonts w:ascii="ITC Avant Garde" w:hAnsi="ITC Avant Garde"/>
          <w:color w:val="auto"/>
        </w:rPr>
        <w:t xml:space="preserve">Asimismo, </w:t>
      </w:r>
      <w:r w:rsidRPr="00891335">
        <w:rPr>
          <w:rFonts w:ascii="ITC Avant Garde" w:eastAsia="Times New Roman" w:hAnsi="ITC Avant Garde" w:cs="Times New Roman"/>
          <w:color w:val="auto"/>
        </w:rPr>
        <w:t xml:space="preserve">se observa que dado que el convenio marco de interconexión tiene por objeto determinar los términos y condiciones bajo los cuales se prestarán los servicios de interconexión entre el AEP lo señalado en el comentario anterior </w:t>
      </w:r>
      <w:r w:rsidR="00EB6CED" w:rsidRPr="00891335">
        <w:rPr>
          <w:rFonts w:ascii="ITC Avant Garde" w:eastAsia="Times New Roman" w:hAnsi="ITC Avant Garde" w:cs="Times New Roman"/>
          <w:color w:val="auto"/>
        </w:rPr>
        <w:t>se encuentra fuera</w:t>
      </w:r>
      <w:r w:rsidRPr="00891335">
        <w:rPr>
          <w:rFonts w:ascii="ITC Avant Garde" w:eastAsia="Times New Roman" w:hAnsi="ITC Avant Garde" w:cs="Times New Roman"/>
          <w:color w:val="auto"/>
        </w:rPr>
        <w:t xml:space="preserve"> </w:t>
      </w:r>
      <w:r w:rsidR="00EB6CED" w:rsidRPr="00891335">
        <w:rPr>
          <w:rFonts w:ascii="ITC Avant Garde" w:eastAsia="Times New Roman" w:hAnsi="ITC Avant Garde" w:cs="Times New Roman"/>
          <w:color w:val="auto"/>
        </w:rPr>
        <w:t>d</w:t>
      </w:r>
      <w:r w:rsidRPr="00891335">
        <w:rPr>
          <w:rFonts w:ascii="ITC Avant Garde" w:eastAsia="Times New Roman" w:hAnsi="ITC Avant Garde" w:cs="Times New Roman"/>
          <w:color w:val="auto"/>
        </w:rPr>
        <w:t>el alcance de dicho convenio.</w:t>
      </w:r>
    </w:p>
    <w:p w14:paraId="4EB71836" w14:textId="77777777" w:rsidR="00B8470E" w:rsidRPr="00B56D15" w:rsidRDefault="00B8470E" w:rsidP="007D5396">
      <w:pPr>
        <w:spacing w:line="276" w:lineRule="auto"/>
        <w:ind w:firstLine="0"/>
        <w:rPr>
          <w:rFonts w:ascii="ITC Avant Garde" w:hAnsi="ITC Avant Garde"/>
          <w:i/>
          <w:color w:val="7030A0"/>
        </w:rPr>
      </w:pPr>
    </w:p>
    <w:sectPr w:rsidR="00B8470E" w:rsidRPr="00B56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8FE7A" w14:textId="77777777" w:rsidR="008B6ED5" w:rsidRDefault="008B6ED5" w:rsidP="00493685">
      <w:pPr>
        <w:spacing w:after="0" w:line="240" w:lineRule="auto"/>
      </w:pPr>
      <w:r>
        <w:separator/>
      </w:r>
    </w:p>
  </w:endnote>
  <w:endnote w:type="continuationSeparator" w:id="0">
    <w:p w14:paraId="5D38C7C3" w14:textId="77777777" w:rsidR="008B6ED5" w:rsidRDefault="008B6ED5" w:rsidP="0049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vant Garde">
    <w:panose1 w:val="00000000000000000000"/>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57A42C" w14:textId="77777777" w:rsidR="008B6ED5" w:rsidRDefault="008B6ED5" w:rsidP="00493685">
      <w:pPr>
        <w:spacing w:after="0" w:line="240" w:lineRule="auto"/>
      </w:pPr>
      <w:r>
        <w:separator/>
      </w:r>
    </w:p>
  </w:footnote>
  <w:footnote w:type="continuationSeparator" w:id="0">
    <w:p w14:paraId="10E38CF7" w14:textId="77777777" w:rsidR="008B6ED5" w:rsidRDefault="008B6ED5" w:rsidP="004936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1"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2"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D4F27"/>
    <w:multiLevelType w:val="hybridMultilevel"/>
    <w:tmpl w:val="07860C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816B36"/>
    <w:multiLevelType w:val="hybridMultilevel"/>
    <w:tmpl w:val="9E9A12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B32D8"/>
    <w:multiLevelType w:val="multilevel"/>
    <w:tmpl w:val="027CBE4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7" w15:restartNumberingAfterBreak="0">
    <w:nsid w:val="1DAF0B8E"/>
    <w:multiLevelType w:val="hybridMultilevel"/>
    <w:tmpl w:val="F9166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EB6706"/>
    <w:multiLevelType w:val="hybridMultilevel"/>
    <w:tmpl w:val="486E3A5E"/>
    <w:lvl w:ilvl="0" w:tplc="D9648308">
      <w:start w:val="3"/>
      <w:numFmt w:val="lowerLetter"/>
      <w:lvlText w:val="%1)"/>
      <w:lvlJc w:val="left"/>
      <w:pPr>
        <w:tabs>
          <w:tab w:val="num" w:pos="720"/>
        </w:tabs>
        <w:ind w:left="720" w:hanging="360"/>
      </w:pPr>
      <w:rPr>
        <w:rFonts w:cs="Times New Roman"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B5441B"/>
    <w:multiLevelType w:val="hybridMultilevel"/>
    <w:tmpl w:val="486E3A5E"/>
    <w:lvl w:ilvl="0" w:tplc="D9648308">
      <w:start w:val="3"/>
      <w:numFmt w:val="lowerLetter"/>
      <w:lvlText w:val="%1)"/>
      <w:lvlJc w:val="left"/>
      <w:pPr>
        <w:tabs>
          <w:tab w:val="num" w:pos="720"/>
        </w:tabs>
        <w:ind w:left="720" w:hanging="360"/>
      </w:pPr>
      <w:rPr>
        <w:rFonts w:cs="Times New Roman" w:hint="default"/>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67C126D"/>
    <w:multiLevelType w:val="hybridMultilevel"/>
    <w:tmpl w:val="88EC3132"/>
    <w:lvl w:ilvl="0" w:tplc="080A0017">
      <w:start w:val="1"/>
      <w:numFmt w:val="lowerLetter"/>
      <w:lvlText w:val="%1)"/>
      <w:lvlJc w:val="left"/>
      <w:pPr>
        <w:ind w:left="720" w:hanging="360"/>
      </w:pPr>
    </w:lvl>
    <w:lvl w:ilvl="1" w:tplc="C30AE992">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273220"/>
    <w:multiLevelType w:val="multilevel"/>
    <w:tmpl w:val="7292E08A"/>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2" w15:restartNumberingAfterBreak="0">
    <w:nsid w:val="3F1018F0"/>
    <w:multiLevelType w:val="hybridMultilevel"/>
    <w:tmpl w:val="C2A83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FB11A49"/>
    <w:multiLevelType w:val="hybridMultilevel"/>
    <w:tmpl w:val="56C08D56"/>
    <w:lvl w:ilvl="0" w:tplc="080A0001">
      <w:start w:val="1"/>
      <w:numFmt w:val="bullet"/>
      <w:lvlText w:val=""/>
      <w:lvlJc w:val="left"/>
      <w:pPr>
        <w:ind w:left="710" w:hanging="360"/>
      </w:pPr>
      <w:rPr>
        <w:rFonts w:ascii="Symbol" w:hAnsi="Symbol" w:hint="default"/>
      </w:rPr>
    </w:lvl>
    <w:lvl w:ilvl="1" w:tplc="080A0003" w:tentative="1">
      <w:start w:val="1"/>
      <w:numFmt w:val="bullet"/>
      <w:lvlText w:val="o"/>
      <w:lvlJc w:val="left"/>
      <w:pPr>
        <w:ind w:left="1430" w:hanging="360"/>
      </w:pPr>
      <w:rPr>
        <w:rFonts w:ascii="Courier New" w:hAnsi="Courier New" w:cs="Courier New" w:hint="default"/>
      </w:rPr>
    </w:lvl>
    <w:lvl w:ilvl="2" w:tplc="080A0005" w:tentative="1">
      <w:start w:val="1"/>
      <w:numFmt w:val="bullet"/>
      <w:lvlText w:val=""/>
      <w:lvlJc w:val="left"/>
      <w:pPr>
        <w:ind w:left="2150" w:hanging="360"/>
      </w:pPr>
      <w:rPr>
        <w:rFonts w:ascii="Wingdings" w:hAnsi="Wingdings" w:hint="default"/>
      </w:rPr>
    </w:lvl>
    <w:lvl w:ilvl="3" w:tplc="080A0001" w:tentative="1">
      <w:start w:val="1"/>
      <w:numFmt w:val="bullet"/>
      <w:lvlText w:val=""/>
      <w:lvlJc w:val="left"/>
      <w:pPr>
        <w:ind w:left="2870" w:hanging="360"/>
      </w:pPr>
      <w:rPr>
        <w:rFonts w:ascii="Symbol" w:hAnsi="Symbol" w:hint="default"/>
      </w:rPr>
    </w:lvl>
    <w:lvl w:ilvl="4" w:tplc="080A0003" w:tentative="1">
      <w:start w:val="1"/>
      <w:numFmt w:val="bullet"/>
      <w:lvlText w:val="o"/>
      <w:lvlJc w:val="left"/>
      <w:pPr>
        <w:ind w:left="3590" w:hanging="360"/>
      </w:pPr>
      <w:rPr>
        <w:rFonts w:ascii="Courier New" w:hAnsi="Courier New" w:cs="Courier New" w:hint="default"/>
      </w:rPr>
    </w:lvl>
    <w:lvl w:ilvl="5" w:tplc="080A0005" w:tentative="1">
      <w:start w:val="1"/>
      <w:numFmt w:val="bullet"/>
      <w:lvlText w:val=""/>
      <w:lvlJc w:val="left"/>
      <w:pPr>
        <w:ind w:left="4310" w:hanging="360"/>
      </w:pPr>
      <w:rPr>
        <w:rFonts w:ascii="Wingdings" w:hAnsi="Wingdings" w:hint="default"/>
      </w:rPr>
    </w:lvl>
    <w:lvl w:ilvl="6" w:tplc="080A0001" w:tentative="1">
      <w:start w:val="1"/>
      <w:numFmt w:val="bullet"/>
      <w:lvlText w:val=""/>
      <w:lvlJc w:val="left"/>
      <w:pPr>
        <w:ind w:left="5030" w:hanging="360"/>
      </w:pPr>
      <w:rPr>
        <w:rFonts w:ascii="Symbol" w:hAnsi="Symbol" w:hint="default"/>
      </w:rPr>
    </w:lvl>
    <w:lvl w:ilvl="7" w:tplc="080A0003" w:tentative="1">
      <w:start w:val="1"/>
      <w:numFmt w:val="bullet"/>
      <w:lvlText w:val="o"/>
      <w:lvlJc w:val="left"/>
      <w:pPr>
        <w:ind w:left="5750" w:hanging="360"/>
      </w:pPr>
      <w:rPr>
        <w:rFonts w:ascii="Courier New" w:hAnsi="Courier New" w:cs="Courier New" w:hint="default"/>
      </w:rPr>
    </w:lvl>
    <w:lvl w:ilvl="8" w:tplc="080A0005" w:tentative="1">
      <w:start w:val="1"/>
      <w:numFmt w:val="bullet"/>
      <w:lvlText w:val=""/>
      <w:lvlJc w:val="left"/>
      <w:pPr>
        <w:ind w:left="6470" w:hanging="360"/>
      </w:pPr>
      <w:rPr>
        <w:rFonts w:ascii="Wingdings" w:hAnsi="Wingdings" w:hint="default"/>
      </w:rPr>
    </w:lvl>
  </w:abstractNum>
  <w:abstractNum w:abstractNumId="14" w15:restartNumberingAfterBreak="0">
    <w:nsid w:val="401D4BCC"/>
    <w:multiLevelType w:val="hybridMultilevel"/>
    <w:tmpl w:val="4EC440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1650708"/>
    <w:multiLevelType w:val="hybridMultilevel"/>
    <w:tmpl w:val="D14029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B45551"/>
    <w:multiLevelType w:val="hybridMultilevel"/>
    <w:tmpl w:val="9B1C0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8F77C0"/>
    <w:multiLevelType w:val="hybridMultilevel"/>
    <w:tmpl w:val="9CD40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D824397"/>
    <w:multiLevelType w:val="hybridMultilevel"/>
    <w:tmpl w:val="6DBC1F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23E4BF4"/>
    <w:multiLevelType w:val="hybridMultilevel"/>
    <w:tmpl w:val="718A176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0"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F5D49F0"/>
    <w:multiLevelType w:val="multilevel"/>
    <w:tmpl w:val="A1D03B94"/>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22" w15:restartNumberingAfterBreak="0">
    <w:nsid w:val="66947B44"/>
    <w:multiLevelType w:val="hybridMultilevel"/>
    <w:tmpl w:val="6F8CEB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57339F"/>
    <w:multiLevelType w:val="hybridMultilevel"/>
    <w:tmpl w:val="8CC037F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C034FE"/>
    <w:multiLevelType w:val="hybridMultilevel"/>
    <w:tmpl w:val="29CAB858"/>
    <w:lvl w:ilvl="0" w:tplc="7A2EAAAC">
      <w:start w:val="5"/>
      <w:numFmt w:val="bullet"/>
      <w:lvlText w:val="-"/>
      <w:lvlJc w:val="left"/>
      <w:pPr>
        <w:ind w:left="720" w:hanging="360"/>
      </w:pPr>
      <w:rPr>
        <w:rFonts w:ascii="ITC Avant Garde" w:eastAsiaTheme="minorHAnsi" w:hAnsi="ITC Avant Gard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12"/>
  </w:num>
  <w:num w:numId="4">
    <w:abstractNumId w:val="16"/>
  </w:num>
  <w:num w:numId="5">
    <w:abstractNumId w:val="15"/>
  </w:num>
  <w:num w:numId="6">
    <w:abstractNumId w:val="10"/>
  </w:num>
  <w:num w:numId="7">
    <w:abstractNumId w:val="14"/>
  </w:num>
  <w:num w:numId="8">
    <w:abstractNumId w:val="13"/>
  </w:num>
  <w:num w:numId="9">
    <w:abstractNumId w:val="24"/>
  </w:num>
  <w:num w:numId="10">
    <w:abstractNumId w:val="17"/>
  </w:num>
  <w:num w:numId="11">
    <w:abstractNumId w:val="3"/>
  </w:num>
  <w:num w:numId="12">
    <w:abstractNumId w:val="18"/>
  </w:num>
  <w:num w:numId="13">
    <w:abstractNumId w:val="7"/>
  </w:num>
  <w:num w:numId="14">
    <w:abstractNumId w:val="22"/>
  </w:num>
  <w:num w:numId="15">
    <w:abstractNumId w:val="5"/>
  </w:num>
  <w:num w:numId="16">
    <w:abstractNumId w:val="19"/>
  </w:num>
  <w:num w:numId="17">
    <w:abstractNumId w:val="8"/>
  </w:num>
  <w:num w:numId="18">
    <w:abstractNumId w:val="9"/>
  </w:num>
  <w:num w:numId="19">
    <w:abstractNumId w:val="21"/>
  </w:num>
  <w:num w:numId="20">
    <w:abstractNumId w:val="0"/>
  </w:num>
  <w:num w:numId="21">
    <w:abstractNumId w:val="2"/>
  </w:num>
  <w:num w:numId="22">
    <w:abstractNumId w:val="25"/>
  </w:num>
  <w:num w:numId="23">
    <w:abstractNumId w:val="1"/>
  </w:num>
  <w:num w:numId="24">
    <w:abstractNumId w:val="11"/>
  </w:num>
  <w:num w:numId="25">
    <w:abstractNumId w:val="6"/>
  </w:num>
  <w:num w:numId="26">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A3"/>
    <w:rsid w:val="000006E1"/>
    <w:rsid w:val="000025BB"/>
    <w:rsid w:val="00002981"/>
    <w:rsid w:val="00002ED7"/>
    <w:rsid w:val="0000372C"/>
    <w:rsid w:val="000075FB"/>
    <w:rsid w:val="00007D66"/>
    <w:rsid w:val="00007DEB"/>
    <w:rsid w:val="00010FAF"/>
    <w:rsid w:val="00011186"/>
    <w:rsid w:val="000118E7"/>
    <w:rsid w:val="00011FD2"/>
    <w:rsid w:val="000120B1"/>
    <w:rsid w:val="000121FF"/>
    <w:rsid w:val="0001331B"/>
    <w:rsid w:val="00013BAC"/>
    <w:rsid w:val="00014926"/>
    <w:rsid w:val="00015889"/>
    <w:rsid w:val="00015EB9"/>
    <w:rsid w:val="0001660E"/>
    <w:rsid w:val="00021EB5"/>
    <w:rsid w:val="00022E01"/>
    <w:rsid w:val="00023182"/>
    <w:rsid w:val="00024B17"/>
    <w:rsid w:val="000252EF"/>
    <w:rsid w:val="00025C43"/>
    <w:rsid w:val="00026F99"/>
    <w:rsid w:val="000271BB"/>
    <w:rsid w:val="00030395"/>
    <w:rsid w:val="000318C7"/>
    <w:rsid w:val="00031A90"/>
    <w:rsid w:val="00033962"/>
    <w:rsid w:val="00034189"/>
    <w:rsid w:val="000346C1"/>
    <w:rsid w:val="00034F2E"/>
    <w:rsid w:val="00036AD3"/>
    <w:rsid w:val="00037219"/>
    <w:rsid w:val="00037DC7"/>
    <w:rsid w:val="0004079A"/>
    <w:rsid w:val="00041A70"/>
    <w:rsid w:val="000426D2"/>
    <w:rsid w:val="00044709"/>
    <w:rsid w:val="00045A86"/>
    <w:rsid w:val="00045FF3"/>
    <w:rsid w:val="0004645C"/>
    <w:rsid w:val="00046B10"/>
    <w:rsid w:val="000475CD"/>
    <w:rsid w:val="000475DB"/>
    <w:rsid w:val="0004775D"/>
    <w:rsid w:val="000479BC"/>
    <w:rsid w:val="000500CE"/>
    <w:rsid w:val="00050DEB"/>
    <w:rsid w:val="00051EE7"/>
    <w:rsid w:val="00052A87"/>
    <w:rsid w:val="00052E60"/>
    <w:rsid w:val="000532AA"/>
    <w:rsid w:val="00053A43"/>
    <w:rsid w:val="00054404"/>
    <w:rsid w:val="000557B1"/>
    <w:rsid w:val="00056469"/>
    <w:rsid w:val="00056649"/>
    <w:rsid w:val="000569DC"/>
    <w:rsid w:val="00056DC9"/>
    <w:rsid w:val="00057EEB"/>
    <w:rsid w:val="00060EEF"/>
    <w:rsid w:val="000611EE"/>
    <w:rsid w:val="00062045"/>
    <w:rsid w:val="000624F5"/>
    <w:rsid w:val="00062BC4"/>
    <w:rsid w:val="00067B66"/>
    <w:rsid w:val="00067CCA"/>
    <w:rsid w:val="00067D53"/>
    <w:rsid w:val="00067F68"/>
    <w:rsid w:val="000702E6"/>
    <w:rsid w:val="000713B2"/>
    <w:rsid w:val="00071815"/>
    <w:rsid w:val="00072DA7"/>
    <w:rsid w:val="000740E0"/>
    <w:rsid w:val="00074422"/>
    <w:rsid w:val="00074C2F"/>
    <w:rsid w:val="00075BCA"/>
    <w:rsid w:val="00076180"/>
    <w:rsid w:val="00076D97"/>
    <w:rsid w:val="00076DA6"/>
    <w:rsid w:val="00077DE8"/>
    <w:rsid w:val="00077E39"/>
    <w:rsid w:val="00080AD0"/>
    <w:rsid w:val="00083962"/>
    <w:rsid w:val="00084072"/>
    <w:rsid w:val="00085382"/>
    <w:rsid w:val="00085C21"/>
    <w:rsid w:val="000860A2"/>
    <w:rsid w:val="0008643B"/>
    <w:rsid w:val="00086FC2"/>
    <w:rsid w:val="0008739D"/>
    <w:rsid w:val="00090469"/>
    <w:rsid w:val="00091B17"/>
    <w:rsid w:val="00093D2F"/>
    <w:rsid w:val="0009499D"/>
    <w:rsid w:val="00095421"/>
    <w:rsid w:val="0009562E"/>
    <w:rsid w:val="000962FD"/>
    <w:rsid w:val="00097AE9"/>
    <w:rsid w:val="00097B7E"/>
    <w:rsid w:val="000A0137"/>
    <w:rsid w:val="000A18EA"/>
    <w:rsid w:val="000A2D8A"/>
    <w:rsid w:val="000A2FE6"/>
    <w:rsid w:val="000A4328"/>
    <w:rsid w:val="000A7644"/>
    <w:rsid w:val="000B0DDB"/>
    <w:rsid w:val="000B24A7"/>
    <w:rsid w:val="000B30D0"/>
    <w:rsid w:val="000B3495"/>
    <w:rsid w:val="000B3A7A"/>
    <w:rsid w:val="000B435A"/>
    <w:rsid w:val="000B46AC"/>
    <w:rsid w:val="000B53BD"/>
    <w:rsid w:val="000B5D25"/>
    <w:rsid w:val="000B652D"/>
    <w:rsid w:val="000C01BA"/>
    <w:rsid w:val="000C18A7"/>
    <w:rsid w:val="000C30F1"/>
    <w:rsid w:val="000C4AA9"/>
    <w:rsid w:val="000D151D"/>
    <w:rsid w:val="000D25F9"/>
    <w:rsid w:val="000D2D00"/>
    <w:rsid w:val="000D4EC6"/>
    <w:rsid w:val="000D5105"/>
    <w:rsid w:val="000D5F43"/>
    <w:rsid w:val="000D6C71"/>
    <w:rsid w:val="000E106A"/>
    <w:rsid w:val="000E2576"/>
    <w:rsid w:val="000E2672"/>
    <w:rsid w:val="000E32A8"/>
    <w:rsid w:val="000E353D"/>
    <w:rsid w:val="000E3E0E"/>
    <w:rsid w:val="000E47CD"/>
    <w:rsid w:val="000E64F4"/>
    <w:rsid w:val="000E6A0C"/>
    <w:rsid w:val="000F216A"/>
    <w:rsid w:val="000F22F2"/>
    <w:rsid w:val="000F23FD"/>
    <w:rsid w:val="000F3283"/>
    <w:rsid w:val="000F347C"/>
    <w:rsid w:val="000F4004"/>
    <w:rsid w:val="000F40ED"/>
    <w:rsid w:val="000F5C39"/>
    <w:rsid w:val="000F5C83"/>
    <w:rsid w:val="000F6E14"/>
    <w:rsid w:val="000F77F9"/>
    <w:rsid w:val="000F7DAE"/>
    <w:rsid w:val="00100519"/>
    <w:rsid w:val="00102828"/>
    <w:rsid w:val="00105207"/>
    <w:rsid w:val="00105BED"/>
    <w:rsid w:val="0010649B"/>
    <w:rsid w:val="00106D8A"/>
    <w:rsid w:val="00107206"/>
    <w:rsid w:val="00107A7F"/>
    <w:rsid w:val="00110D96"/>
    <w:rsid w:val="00111F64"/>
    <w:rsid w:val="001121F9"/>
    <w:rsid w:val="00112282"/>
    <w:rsid w:val="00112D38"/>
    <w:rsid w:val="00112DDF"/>
    <w:rsid w:val="00114092"/>
    <w:rsid w:val="001144FF"/>
    <w:rsid w:val="00115FF1"/>
    <w:rsid w:val="00116D92"/>
    <w:rsid w:val="0011794D"/>
    <w:rsid w:val="0012200F"/>
    <w:rsid w:val="0012302F"/>
    <w:rsid w:val="001239A7"/>
    <w:rsid w:val="00123CFC"/>
    <w:rsid w:val="001240DD"/>
    <w:rsid w:val="00124E0A"/>
    <w:rsid w:val="00124E68"/>
    <w:rsid w:val="00124E72"/>
    <w:rsid w:val="0012501E"/>
    <w:rsid w:val="001275ED"/>
    <w:rsid w:val="00127741"/>
    <w:rsid w:val="0012784A"/>
    <w:rsid w:val="00127BB4"/>
    <w:rsid w:val="00130481"/>
    <w:rsid w:val="0013172A"/>
    <w:rsid w:val="0013185B"/>
    <w:rsid w:val="001318EA"/>
    <w:rsid w:val="001323BC"/>
    <w:rsid w:val="00133A30"/>
    <w:rsid w:val="00135B8B"/>
    <w:rsid w:val="001368EC"/>
    <w:rsid w:val="00136D1D"/>
    <w:rsid w:val="001378A7"/>
    <w:rsid w:val="00143024"/>
    <w:rsid w:val="00143996"/>
    <w:rsid w:val="00143A99"/>
    <w:rsid w:val="00145020"/>
    <w:rsid w:val="00145B79"/>
    <w:rsid w:val="00151228"/>
    <w:rsid w:val="0015142D"/>
    <w:rsid w:val="0015149B"/>
    <w:rsid w:val="001523D2"/>
    <w:rsid w:val="00152517"/>
    <w:rsid w:val="00152D44"/>
    <w:rsid w:val="001532BB"/>
    <w:rsid w:val="00153AE3"/>
    <w:rsid w:val="00154285"/>
    <w:rsid w:val="001549AF"/>
    <w:rsid w:val="00154B61"/>
    <w:rsid w:val="00155155"/>
    <w:rsid w:val="00156451"/>
    <w:rsid w:val="00156804"/>
    <w:rsid w:val="00157C35"/>
    <w:rsid w:val="001632EF"/>
    <w:rsid w:val="001646A0"/>
    <w:rsid w:val="00166A7B"/>
    <w:rsid w:val="00170BCA"/>
    <w:rsid w:val="00172482"/>
    <w:rsid w:val="00173372"/>
    <w:rsid w:val="00173460"/>
    <w:rsid w:val="00174C34"/>
    <w:rsid w:val="0017518D"/>
    <w:rsid w:val="00176D5A"/>
    <w:rsid w:val="00177681"/>
    <w:rsid w:val="001813B4"/>
    <w:rsid w:val="00181646"/>
    <w:rsid w:val="001817AE"/>
    <w:rsid w:val="00181847"/>
    <w:rsid w:val="00182545"/>
    <w:rsid w:val="0018339C"/>
    <w:rsid w:val="00183694"/>
    <w:rsid w:val="00184811"/>
    <w:rsid w:val="0018652B"/>
    <w:rsid w:val="0018652E"/>
    <w:rsid w:val="0018654C"/>
    <w:rsid w:val="0019208E"/>
    <w:rsid w:val="001929AB"/>
    <w:rsid w:val="00193095"/>
    <w:rsid w:val="001945D8"/>
    <w:rsid w:val="001959A6"/>
    <w:rsid w:val="00195E3D"/>
    <w:rsid w:val="00196E1F"/>
    <w:rsid w:val="001A0303"/>
    <w:rsid w:val="001A04B7"/>
    <w:rsid w:val="001A0E2F"/>
    <w:rsid w:val="001A11A2"/>
    <w:rsid w:val="001A11C5"/>
    <w:rsid w:val="001A4642"/>
    <w:rsid w:val="001A64F3"/>
    <w:rsid w:val="001A6CC9"/>
    <w:rsid w:val="001A6DE0"/>
    <w:rsid w:val="001A7828"/>
    <w:rsid w:val="001A7FCB"/>
    <w:rsid w:val="001B0D9E"/>
    <w:rsid w:val="001B2F10"/>
    <w:rsid w:val="001B3B8E"/>
    <w:rsid w:val="001B3C65"/>
    <w:rsid w:val="001B4318"/>
    <w:rsid w:val="001B560B"/>
    <w:rsid w:val="001B5F12"/>
    <w:rsid w:val="001B61C6"/>
    <w:rsid w:val="001B7B33"/>
    <w:rsid w:val="001B7DD8"/>
    <w:rsid w:val="001C0572"/>
    <w:rsid w:val="001C1FE5"/>
    <w:rsid w:val="001C24C9"/>
    <w:rsid w:val="001C2B17"/>
    <w:rsid w:val="001C2DE2"/>
    <w:rsid w:val="001C2F8A"/>
    <w:rsid w:val="001C4DE6"/>
    <w:rsid w:val="001C5530"/>
    <w:rsid w:val="001C6AD8"/>
    <w:rsid w:val="001C7D24"/>
    <w:rsid w:val="001D0569"/>
    <w:rsid w:val="001D1731"/>
    <w:rsid w:val="001D2D3A"/>
    <w:rsid w:val="001D2D8A"/>
    <w:rsid w:val="001D50AC"/>
    <w:rsid w:val="001D5AEB"/>
    <w:rsid w:val="001D7A9C"/>
    <w:rsid w:val="001E0AA4"/>
    <w:rsid w:val="001E0C9C"/>
    <w:rsid w:val="001E20F2"/>
    <w:rsid w:val="001E5E2F"/>
    <w:rsid w:val="001E5E93"/>
    <w:rsid w:val="001E607F"/>
    <w:rsid w:val="001E6314"/>
    <w:rsid w:val="001F10C3"/>
    <w:rsid w:val="001F33A2"/>
    <w:rsid w:val="001F4098"/>
    <w:rsid w:val="001F48F6"/>
    <w:rsid w:val="001F4C39"/>
    <w:rsid w:val="001F628F"/>
    <w:rsid w:val="001F78C1"/>
    <w:rsid w:val="002000A2"/>
    <w:rsid w:val="0020202A"/>
    <w:rsid w:val="002038F5"/>
    <w:rsid w:val="002041A9"/>
    <w:rsid w:val="00206D64"/>
    <w:rsid w:val="00206DF8"/>
    <w:rsid w:val="00207D97"/>
    <w:rsid w:val="00210F65"/>
    <w:rsid w:val="002112F4"/>
    <w:rsid w:val="002114C3"/>
    <w:rsid w:val="0021194D"/>
    <w:rsid w:val="0021380F"/>
    <w:rsid w:val="00214A6E"/>
    <w:rsid w:val="002157E9"/>
    <w:rsid w:val="002168E1"/>
    <w:rsid w:val="00216C22"/>
    <w:rsid w:val="002170E6"/>
    <w:rsid w:val="00217E09"/>
    <w:rsid w:val="00220623"/>
    <w:rsid w:val="00220AA3"/>
    <w:rsid w:val="002218EB"/>
    <w:rsid w:val="00221F39"/>
    <w:rsid w:val="002258D1"/>
    <w:rsid w:val="0022799A"/>
    <w:rsid w:val="00227A48"/>
    <w:rsid w:val="0023025E"/>
    <w:rsid w:val="00231441"/>
    <w:rsid w:val="00231E1E"/>
    <w:rsid w:val="00234A35"/>
    <w:rsid w:val="002351B6"/>
    <w:rsid w:val="00240574"/>
    <w:rsid w:val="00241391"/>
    <w:rsid w:val="00241474"/>
    <w:rsid w:val="00243709"/>
    <w:rsid w:val="002439E1"/>
    <w:rsid w:val="00243FEA"/>
    <w:rsid w:val="002448ED"/>
    <w:rsid w:val="0024504B"/>
    <w:rsid w:val="00247051"/>
    <w:rsid w:val="00247864"/>
    <w:rsid w:val="002506E4"/>
    <w:rsid w:val="00250D0C"/>
    <w:rsid w:val="00254B5F"/>
    <w:rsid w:val="00254EC9"/>
    <w:rsid w:val="002551C4"/>
    <w:rsid w:val="002561F0"/>
    <w:rsid w:val="002566F4"/>
    <w:rsid w:val="00256900"/>
    <w:rsid w:val="00256D40"/>
    <w:rsid w:val="00262859"/>
    <w:rsid w:val="002702AE"/>
    <w:rsid w:val="002710E0"/>
    <w:rsid w:val="00271552"/>
    <w:rsid w:val="00271A36"/>
    <w:rsid w:val="00272D78"/>
    <w:rsid w:val="00272EDE"/>
    <w:rsid w:val="002732E2"/>
    <w:rsid w:val="00273B26"/>
    <w:rsid w:val="002742E3"/>
    <w:rsid w:val="002746A9"/>
    <w:rsid w:val="002746EB"/>
    <w:rsid w:val="00274CEF"/>
    <w:rsid w:val="00276697"/>
    <w:rsid w:val="00277614"/>
    <w:rsid w:val="00280421"/>
    <w:rsid w:val="00280780"/>
    <w:rsid w:val="00281DFC"/>
    <w:rsid w:val="00284828"/>
    <w:rsid w:val="0028567D"/>
    <w:rsid w:val="002856EC"/>
    <w:rsid w:val="0028705A"/>
    <w:rsid w:val="002878F1"/>
    <w:rsid w:val="002907B0"/>
    <w:rsid w:val="00291A24"/>
    <w:rsid w:val="00291AB7"/>
    <w:rsid w:val="002928B2"/>
    <w:rsid w:val="00292DCA"/>
    <w:rsid w:val="00294DDC"/>
    <w:rsid w:val="00295195"/>
    <w:rsid w:val="0029526D"/>
    <w:rsid w:val="002959C1"/>
    <w:rsid w:val="00296904"/>
    <w:rsid w:val="002A0167"/>
    <w:rsid w:val="002A38B3"/>
    <w:rsid w:val="002A3FCE"/>
    <w:rsid w:val="002A41A0"/>
    <w:rsid w:val="002A48BC"/>
    <w:rsid w:val="002A4B71"/>
    <w:rsid w:val="002A5610"/>
    <w:rsid w:val="002A5B98"/>
    <w:rsid w:val="002A67C9"/>
    <w:rsid w:val="002A70BE"/>
    <w:rsid w:val="002A71BB"/>
    <w:rsid w:val="002A7903"/>
    <w:rsid w:val="002A7B8E"/>
    <w:rsid w:val="002B058F"/>
    <w:rsid w:val="002B1C11"/>
    <w:rsid w:val="002B1ECF"/>
    <w:rsid w:val="002B2933"/>
    <w:rsid w:val="002B4812"/>
    <w:rsid w:val="002B64C9"/>
    <w:rsid w:val="002B6F88"/>
    <w:rsid w:val="002C14DB"/>
    <w:rsid w:val="002C1740"/>
    <w:rsid w:val="002C3451"/>
    <w:rsid w:val="002C375C"/>
    <w:rsid w:val="002C3A95"/>
    <w:rsid w:val="002C3EAC"/>
    <w:rsid w:val="002C4C54"/>
    <w:rsid w:val="002C50D0"/>
    <w:rsid w:val="002C6703"/>
    <w:rsid w:val="002C6811"/>
    <w:rsid w:val="002C7ECB"/>
    <w:rsid w:val="002D083F"/>
    <w:rsid w:val="002D2268"/>
    <w:rsid w:val="002D2818"/>
    <w:rsid w:val="002D5A80"/>
    <w:rsid w:val="002D6486"/>
    <w:rsid w:val="002D75B1"/>
    <w:rsid w:val="002E06EC"/>
    <w:rsid w:val="002E09C8"/>
    <w:rsid w:val="002E0CB1"/>
    <w:rsid w:val="002E144E"/>
    <w:rsid w:val="002E1DF9"/>
    <w:rsid w:val="002E2868"/>
    <w:rsid w:val="002E2C9D"/>
    <w:rsid w:val="002E3889"/>
    <w:rsid w:val="002E45B0"/>
    <w:rsid w:val="002E4DC8"/>
    <w:rsid w:val="002E5677"/>
    <w:rsid w:val="002E615F"/>
    <w:rsid w:val="002E61A3"/>
    <w:rsid w:val="002E6853"/>
    <w:rsid w:val="002E6DE0"/>
    <w:rsid w:val="002E76F2"/>
    <w:rsid w:val="002F0087"/>
    <w:rsid w:val="002F06CB"/>
    <w:rsid w:val="002F074E"/>
    <w:rsid w:val="002F1284"/>
    <w:rsid w:val="002F1CC1"/>
    <w:rsid w:val="002F339F"/>
    <w:rsid w:val="002F3CB2"/>
    <w:rsid w:val="002F4FC7"/>
    <w:rsid w:val="002F6DDF"/>
    <w:rsid w:val="002F71F0"/>
    <w:rsid w:val="002F7BB7"/>
    <w:rsid w:val="002F7D35"/>
    <w:rsid w:val="002F7F2F"/>
    <w:rsid w:val="0030210E"/>
    <w:rsid w:val="00303986"/>
    <w:rsid w:val="00304815"/>
    <w:rsid w:val="0030545A"/>
    <w:rsid w:val="0030587E"/>
    <w:rsid w:val="00307709"/>
    <w:rsid w:val="00307CAA"/>
    <w:rsid w:val="00311C2C"/>
    <w:rsid w:val="003120D8"/>
    <w:rsid w:val="0031216F"/>
    <w:rsid w:val="00313105"/>
    <w:rsid w:val="003141BE"/>
    <w:rsid w:val="003146CE"/>
    <w:rsid w:val="00315149"/>
    <w:rsid w:val="003152E6"/>
    <w:rsid w:val="0031565E"/>
    <w:rsid w:val="00315CEB"/>
    <w:rsid w:val="003203AE"/>
    <w:rsid w:val="00322348"/>
    <w:rsid w:val="003225F8"/>
    <w:rsid w:val="00322EC6"/>
    <w:rsid w:val="00323632"/>
    <w:rsid w:val="00323C80"/>
    <w:rsid w:val="00324E4C"/>
    <w:rsid w:val="003260DF"/>
    <w:rsid w:val="00327B44"/>
    <w:rsid w:val="003328AF"/>
    <w:rsid w:val="00333A7C"/>
    <w:rsid w:val="003340CA"/>
    <w:rsid w:val="00334E2D"/>
    <w:rsid w:val="00335F0E"/>
    <w:rsid w:val="00336D48"/>
    <w:rsid w:val="0033732E"/>
    <w:rsid w:val="00337FD0"/>
    <w:rsid w:val="0034000A"/>
    <w:rsid w:val="00340185"/>
    <w:rsid w:val="0034096C"/>
    <w:rsid w:val="00342A96"/>
    <w:rsid w:val="0034368A"/>
    <w:rsid w:val="00343D3E"/>
    <w:rsid w:val="0034470D"/>
    <w:rsid w:val="00344D7E"/>
    <w:rsid w:val="003457A4"/>
    <w:rsid w:val="00345D31"/>
    <w:rsid w:val="00347B01"/>
    <w:rsid w:val="00350666"/>
    <w:rsid w:val="00350AE0"/>
    <w:rsid w:val="0035148F"/>
    <w:rsid w:val="00352A0E"/>
    <w:rsid w:val="003535F8"/>
    <w:rsid w:val="00353B69"/>
    <w:rsid w:val="00354744"/>
    <w:rsid w:val="00354A65"/>
    <w:rsid w:val="00354D78"/>
    <w:rsid w:val="00355FE5"/>
    <w:rsid w:val="00356FBC"/>
    <w:rsid w:val="00357CEA"/>
    <w:rsid w:val="00357E91"/>
    <w:rsid w:val="003602B7"/>
    <w:rsid w:val="003602F1"/>
    <w:rsid w:val="00360BE0"/>
    <w:rsid w:val="00361B88"/>
    <w:rsid w:val="00362618"/>
    <w:rsid w:val="00363C01"/>
    <w:rsid w:val="00363D3E"/>
    <w:rsid w:val="00363E43"/>
    <w:rsid w:val="003665A4"/>
    <w:rsid w:val="0036712A"/>
    <w:rsid w:val="003726DF"/>
    <w:rsid w:val="0037286C"/>
    <w:rsid w:val="00373A37"/>
    <w:rsid w:val="00373BE9"/>
    <w:rsid w:val="00374DDC"/>
    <w:rsid w:val="00374FA6"/>
    <w:rsid w:val="00374FAA"/>
    <w:rsid w:val="003761D3"/>
    <w:rsid w:val="00376750"/>
    <w:rsid w:val="00376DD6"/>
    <w:rsid w:val="00377BFA"/>
    <w:rsid w:val="00377DDF"/>
    <w:rsid w:val="00381FE2"/>
    <w:rsid w:val="0038327C"/>
    <w:rsid w:val="00383F45"/>
    <w:rsid w:val="00384310"/>
    <w:rsid w:val="00384835"/>
    <w:rsid w:val="00384A18"/>
    <w:rsid w:val="00385389"/>
    <w:rsid w:val="00385529"/>
    <w:rsid w:val="0038564B"/>
    <w:rsid w:val="00385913"/>
    <w:rsid w:val="003861D6"/>
    <w:rsid w:val="00386614"/>
    <w:rsid w:val="0038718B"/>
    <w:rsid w:val="003908B0"/>
    <w:rsid w:val="00390E03"/>
    <w:rsid w:val="00390F37"/>
    <w:rsid w:val="003912EF"/>
    <w:rsid w:val="0039228A"/>
    <w:rsid w:val="00392711"/>
    <w:rsid w:val="00392B8C"/>
    <w:rsid w:val="00393FEC"/>
    <w:rsid w:val="00395D87"/>
    <w:rsid w:val="003A0208"/>
    <w:rsid w:val="003A1ABA"/>
    <w:rsid w:val="003A251C"/>
    <w:rsid w:val="003A3015"/>
    <w:rsid w:val="003A39F1"/>
    <w:rsid w:val="003A4568"/>
    <w:rsid w:val="003A4D98"/>
    <w:rsid w:val="003A4FC9"/>
    <w:rsid w:val="003A60A5"/>
    <w:rsid w:val="003A69F1"/>
    <w:rsid w:val="003A72B3"/>
    <w:rsid w:val="003A7FB4"/>
    <w:rsid w:val="003B07BE"/>
    <w:rsid w:val="003B2488"/>
    <w:rsid w:val="003B56CC"/>
    <w:rsid w:val="003B5E47"/>
    <w:rsid w:val="003B6BEE"/>
    <w:rsid w:val="003B7045"/>
    <w:rsid w:val="003B7672"/>
    <w:rsid w:val="003B783E"/>
    <w:rsid w:val="003C5374"/>
    <w:rsid w:val="003C6E8E"/>
    <w:rsid w:val="003D0922"/>
    <w:rsid w:val="003D0936"/>
    <w:rsid w:val="003D1FA8"/>
    <w:rsid w:val="003D203A"/>
    <w:rsid w:val="003D3931"/>
    <w:rsid w:val="003D3EA0"/>
    <w:rsid w:val="003D4A06"/>
    <w:rsid w:val="003D5155"/>
    <w:rsid w:val="003D7F08"/>
    <w:rsid w:val="003E0258"/>
    <w:rsid w:val="003E0B47"/>
    <w:rsid w:val="003E0D98"/>
    <w:rsid w:val="003E10D3"/>
    <w:rsid w:val="003E1D46"/>
    <w:rsid w:val="003E28EA"/>
    <w:rsid w:val="003E2BA4"/>
    <w:rsid w:val="003E2D3B"/>
    <w:rsid w:val="003E3AA6"/>
    <w:rsid w:val="003E3E34"/>
    <w:rsid w:val="003E74B1"/>
    <w:rsid w:val="003F08F6"/>
    <w:rsid w:val="003F305C"/>
    <w:rsid w:val="003F59DD"/>
    <w:rsid w:val="003F6159"/>
    <w:rsid w:val="003F734F"/>
    <w:rsid w:val="003F7C53"/>
    <w:rsid w:val="003F7F76"/>
    <w:rsid w:val="0040024E"/>
    <w:rsid w:val="00400B78"/>
    <w:rsid w:val="00400E24"/>
    <w:rsid w:val="00401C06"/>
    <w:rsid w:val="00401CDC"/>
    <w:rsid w:val="0040203F"/>
    <w:rsid w:val="00402FD6"/>
    <w:rsid w:val="00404E7F"/>
    <w:rsid w:val="004055AD"/>
    <w:rsid w:val="00405674"/>
    <w:rsid w:val="00405A85"/>
    <w:rsid w:val="00406DAD"/>
    <w:rsid w:val="00407B24"/>
    <w:rsid w:val="00407EF7"/>
    <w:rsid w:val="00410CB3"/>
    <w:rsid w:val="00412378"/>
    <w:rsid w:val="0041297C"/>
    <w:rsid w:val="00415C8F"/>
    <w:rsid w:val="004164AC"/>
    <w:rsid w:val="004174A4"/>
    <w:rsid w:val="004225BE"/>
    <w:rsid w:val="00422A14"/>
    <w:rsid w:val="004232D8"/>
    <w:rsid w:val="00424AB3"/>
    <w:rsid w:val="0042514D"/>
    <w:rsid w:val="00426811"/>
    <w:rsid w:val="0043012E"/>
    <w:rsid w:val="00430C44"/>
    <w:rsid w:val="00431032"/>
    <w:rsid w:val="004315E5"/>
    <w:rsid w:val="00431F67"/>
    <w:rsid w:val="00433000"/>
    <w:rsid w:val="004338C4"/>
    <w:rsid w:val="00435D92"/>
    <w:rsid w:val="004377BA"/>
    <w:rsid w:val="00440430"/>
    <w:rsid w:val="0044160B"/>
    <w:rsid w:val="0044348D"/>
    <w:rsid w:val="0044395D"/>
    <w:rsid w:val="00443E15"/>
    <w:rsid w:val="00444990"/>
    <w:rsid w:val="004455C8"/>
    <w:rsid w:val="004461CF"/>
    <w:rsid w:val="0044659A"/>
    <w:rsid w:val="00446D69"/>
    <w:rsid w:val="004501D8"/>
    <w:rsid w:val="00451DA7"/>
    <w:rsid w:val="00452433"/>
    <w:rsid w:val="00456437"/>
    <w:rsid w:val="004565FA"/>
    <w:rsid w:val="0045679C"/>
    <w:rsid w:val="00456AA1"/>
    <w:rsid w:val="00456FDA"/>
    <w:rsid w:val="00461905"/>
    <w:rsid w:val="00462311"/>
    <w:rsid w:val="00464910"/>
    <w:rsid w:val="00466BB7"/>
    <w:rsid w:val="0047077B"/>
    <w:rsid w:val="004709B2"/>
    <w:rsid w:val="00470BE2"/>
    <w:rsid w:val="0047148D"/>
    <w:rsid w:val="00472630"/>
    <w:rsid w:val="00472780"/>
    <w:rsid w:val="00473857"/>
    <w:rsid w:val="00474155"/>
    <w:rsid w:val="00474EA6"/>
    <w:rsid w:val="0047507D"/>
    <w:rsid w:val="00475107"/>
    <w:rsid w:val="00475645"/>
    <w:rsid w:val="004763DA"/>
    <w:rsid w:val="004800B2"/>
    <w:rsid w:val="004845CC"/>
    <w:rsid w:val="00485452"/>
    <w:rsid w:val="00487DF1"/>
    <w:rsid w:val="004909E7"/>
    <w:rsid w:val="0049122F"/>
    <w:rsid w:val="004912D6"/>
    <w:rsid w:val="00493001"/>
    <w:rsid w:val="00493685"/>
    <w:rsid w:val="00493BA3"/>
    <w:rsid w:val="00494096"/>
    <w:rsid w:val="004953E0"/>
    <w:rsid w:val="00495C6B"/>
    <w:rsid w:val="004962D3"/>
    <w:rsid w:val="0049711A"/>
    <w:rsid w:val="00497632"/>
    <w:rsid w:val="004A089B"/>
    <w:rsid w:val="004A2DF1"/>
    <w:rsid w:val="004A4882"/>
    <w:rsid w:val="004A59A7"/>
    <w:rsid w:val="004A72AC"/>
    <w:rsid w:val="004A73A8"/>
    <w:rsid w:val="004A74D2"/>
    <w:rsid w:val="004B07AC"/>
    <w:rsid w:val="004B1E82"/>
    <w:rsid w:val="004B4628"/>
    <w:rsid w:val="004B5491"/>
    <w:rsid w:val="004B68CA"/>
    <w:rsid w:val="004B7E72"/>
    <w:rsid w:val="004C2EEC"/>
    <w:rsid w:val="004C321C"/>
    <w:rsid w:val="004C338D"/>
    <w:rsid w:val="004C51E7"/>
    <w:rsid w:val="004C5977"/>
    <w:rsid w:val="004C65CF"/>
    <w:rsid w:val="004C6BDB"/>
    <w:rsid w:val="004C7048"/>
    <w:rsid w:val="004D1128"/>
    <w:rsid w:val="004D1155"/>
    <w:rsid w:val="004D1923"/>
    <w:rsid w:val="004D317E"/>
    <w:rsid w:val="004D3EA0"/>
    <w:rsid w:val="004D4214"/>
    <w:rsid w:val="004D45ED"/>
    <w:rsid w:val="004D50D7"/>
    <w:rsid w:val="004D5E34"/>
    <w:rsid w:val="004D6A4A"/>
    <w:rsid w:val="004D7385"/>
    <w:rsid w:val="004D7623"/>
    <w:rsid w:val="004D7CE3"/>
    <w:rsid w:val="004E1DFF"/>
    <w:rsid w:val="004E2586"/>
    <w:rsid w:val="004E2828"/>
    <w:rsid w:val="004E361A"/>
    <w:rsid w:val="004E36F1"/>
    <w:rsid w:val="004E48E0"/>
    <w:rsid w:val="004E4B10"/>
    <w:rsid w:val="004E5B94"/>
    <w:rsid w:val="004E6AB0"/>
    <w:rsid w:val="004E7363"/>
    <w:rsid w:val="004F039B"/>
    <w:rsid w:val="004F0D68"/>
    <w:rsid w:val="004F10CB"/>
    <w:rsid w:val="004F26E3"/>
    <w:rsid w:val="004F3310"/>
    <w:rsid w:val="004F3D93"/>
    <w:rsid w:val="004F7124"/>
    <w:rsid w:val="004F79BB"/>
    <w:rsid w:val="004F7B34"/>
    <w:rsid w:val="00501E30"/>
    <w:rsid w:val="00502674"/>
    <w:rsid w:val="00504EC8"/>
    <w:rsid w:val="0050524B"/>
    <w:rsid w:val="00505A4C"/>
    <w:rsid w:val="00506EC6"/>
    <w:rsid w:val="005078D4"/>
    <w:rsid w:val="00507F62"/>
    <w:rsid w:val="005106BB"/>
    <w:rsid w:val="00512408"/>
    <w:rsid w:val="00512E29"/>
    <w:rsid w:val="00514765"/>
    <w:rsid w:val="00515E11"/>
    <w:rsid w:val="00515F51"/>
    <w:rsid w:val="00516C4B"/>
    <w:rsid w:val="005202DF"/>
    <w:rsid w:val="00522091"/>
    <w:rsid w:val="00522DCF"/>
    <w:rsid w:val="00523100"/>
    <w:rsid w:val="0052352F"/>
    <w:rsid w:val="00523794"/>
    <w:rsid w:val="00524FAB"/>
    <w:rsid w:val="00525E2C"/>
    <w:rsid w:val="00526613"/>
    <w:rsid w:val="0053062A"/>
    <w:rsid w:val="005312F2"/>
    <w:rsid w:val="005318ED"/>
    <w:rsid w:val="00532911"/>
    <w:rsid w:val="0053526B"/>
    <w:rsid w:val="00535898"/>
    <w:rsid w:val="00536401"/>
    <w:rsid w:val="00536DFD"/>
    <w:rsid w:val="00536FE3"/>
    <w:rsid w:val="00537A83"/>
    <w:rsid w:val="00540E23"/>
    <w:rsid w:val="005435BE"/>
    <w:rsid w:val="005447EE"/>
    <w:rsid w:val="0054498D"/>
    <w:rsid w:val="00544A32"/>
    <w:rsid w:val="00545BC0"/>
    <w:rsid w:val="00545F5C"/>
    <w:rsid w:val="005461E1"/>
    <w:rsid w:val="005475E3"/>
    <w:rsid w:val="005479B7"/>
    <w:rsid w:val="00550ED3"/>
    <w:rsid w:val="00553673"/>
    <w:rsid w:val="00555EBB"/>
    <w:rsid w:val="005600F9"/>
    <w:rsid w:val="0056012C"/>
    <w:rsid w:val="0056039B"/>
    <w:rsid w:val="005606D7"/>
    <w:rsid w:val="00561CEC"/>
    <w:rsid w:val="00562D59"/>
    <w:rsid w:val="00563652"/>
    <w:rsid w:val="00563734"/>
    <w:rsid w:val="00564B24"/>
    <w:rsid w:val="00564F21"/>
    <w:rsid w:val="00566239"/>
    <w:rsid w:val="00566F61"/>
    <w:rsid w:val="005674D8"/>
    <w:rsid w:val="00570149"/>
    <w:rsid w:val="005701CA"/>
    <w:rsid w:val="0057502A"/>
    <w:rsid w:val="00575A1F"/>
    <w:rsid w:val="00576E3E"/>
    <w:rsid w:val="00580D17"/>
    <w:rsid w:val="005812E0"/>
    <w:rsid w:val="0058160F"/>
    <w:rsid w:val="00582FE8"/>
    <w:rsid w:val="005831A5"/>
    <w:rsid w:val="0058351D"/>
    <w:rsid w:val="00583623"/>
    <w:rsid w:val="005836B4"/>
    <w:rsid w:val="005857DA"/>
    <w:rsid w:val="0058797B"/>
    <w:rsid w:val="00590CF3"/>
    <w:rsid w:val="00590D4B"/>
    <w:rsid w:val="00591300"/>
    <w:rsid w:val="0059155B"/>
    <w:rsid w:val="005939A3"/>
    <w:rsid w:val="005945A4"/>
    <w:rsid w:val="005954FA"/>
    <w:rsid w:val="0059556E"/>
    <w:rsid w:val="00597C08"/>
    <w:rsid w:val="005A0159"/>
    <w:rsid w:val="005A0470"/>
    <w:rsid w:val="005A13C3"/>
    <w:rsid w:val="005A156C"/>
    <w:rsid w:val="005A2C79"/>
    <w:rsid w:val="005A2C95"/>
    <w:rsid w:val="005A4489"/>
    <w:rsid w:val="005A4824"/>
    <w:rsid w:val="005A4A67"/>
    <w:rsid w:val="005A7600"/>
    <w:rsid w:val="005A7D7B"/>
    <w:rsid w:val="005A7F25"/>
    <w:rsid w:val="005B083D"/>
    <w:rsid w:val="005B0897"/>
    <w:rsid w:val="005B0C61"/>
    <w:rsid w:val="005B0CCD"/>
    <w:rsid w:val="005B1077"/>
    <w:rsid w:val="005B265A"/>
    <w:rsid w:val="005B2A79"/>
    <w:rsid w:val="005B4B5E"/>
    <w:rsid w:val="005B7955"/>
    <w:rsid w:val="005B7968"/>
    <w:rsid w:val="005C0C70"/>
    <w:rsid w:val="005C1E2A"/>
    <w:rsid w:val="005C2139"/>
    <w:rsid w:val="005C2456"/>
    <w:rsid w:val="005C2AF9"/>
    <w:rsid w:val="005C5B1A"/>
    <w:rsid w:val="005C616B"/>
    <w:rsid w:val="005C63EC"/>
    <w:rsid w:val="005C6E03"/>
    <w:rsid w:val="005D1042"/>
    <w:rsid w:val="005D1252"/>
    <w:rsid w:val="005D1811"/>
    <w:rsid w:val="005D200F"/>
    <w:rsid w:val="005D42A4"/>
    <w:rsid w:val="005D46D5"/>
    <w:rsid w:val="005D61A6"/>
    <w:rsid w:val="005D676C"/>
    <w:rsid w:val="005D7C9B"/>
    <w:rsid w:val="005E1FF9"/>
    <w:rsid w:val="005E2651"/>
    <w:rsid w:val="005E29F7"/>
    <w:rsid w:val="005E3815"/>
    <w:rsid w:val="005E3C1B"/>
    <w:rsid w:val="005E4522"/>
    <w:rsid w:val="005E4581"/>
    <w:rsid w:val="005E5080"/>
    <w:rsid w:val="005E65B8"/>
    <w:rsid w:val="005E66B1"/>
    <w:rsid w:val="005E676D"/>
    <w:rsid w:val="005E6A02"/>
    <w:rsid w:val="005E6E71"/>
    <w:rsid w:val="005E6E8C"/>
    <w:rsid w:val="005E72FC"/>
    <w:rsid w:val="005E77D6"/>
    <w:rsid w:val="005F025C"/>
    <w:rsid w:val="005F0A9E"/>
    <w:rsid w:val="005F0AA6"/>
    <w:rsid w:val="005F0C02"/>
    <w:rsid w:val="005F0ED0"/>
    <w:rsid w:val="005F0F25"/>
    <w:rsid w:val="005F0FAA"/>
    <w:rsid w:val="005F0FBC"/>
    <w:rsid w:val="005F185D"/>
    <w:rsid w:val="005F1E25"/>
    <w:rsid w:val="005F22DA"/>
    <w:rsid w:val="005F2379"/>
    <w:rsid w:val="005F3D55"/>
    <w:rsid w:val="005F4323"/>
    <w:rsid w:val="005F4A3A"/>
    <w:rsid w:val="005F5BAC"/>
    <w:rsid w:val="005F5C68"/>
    <w:rsid w:val="005F7268"/>
    <w:rsid w:val="006007A0"/>
    <w:rsid w:val="00602665"/>
    <w:rsid w:val="00604C63"/>
    <w:rsid w:val="006051D9"/>
    <w:rsid w:val="00605E1F"/>
    <w:rsid w:val="00605FEF"/>
    <w:rsid w:val="00606A0F"/>
    <w:rsid w:val="00606B4E"/>
    <w:rsid w:val="00607983"/>
    <w:rsid w:val="00610396"/>
    <w:rsid w:val="00610D2B"/>
    <w:rsid w:val="00610F9E"/>
    <w:rsid w:val="00614061"/>
    <w:rsid w:val="00614D30"/>
    <w:rsid w:val="00614DD3"/>
    <w:rsid w:val="00615291"/>
    <w:rsid w:val="006158C1"/>
    <w:rsid w:val="00616000"/>
    <w:rsid w:val="006160CF"/>
    <w:rsid w:val="006163CD"/>
    <w:rsid w:val="00616B11"/>
    <w:rsid w:val="00617FA8"/>
    <w:rsid w:val="00623045"/>
    <w:rsid w:val="00623633"/>
    <w:rsid w:val="00624F7E"/>
    <w:rsid w:val="006262A8"/>
    <w:rsid w:val="006270DE"/>
    <w:rsid w:val="006300F5"/>
    <w:rsid w:val="00631456"/>
    <w:rsid w:val="00633749"/>
    <w:rsid w:val="006337F1"/>
    <w:rsid w:val="0063380B"/>
    <w:rsid w:val="00633EEB"/>
    <w:rsid w:val="00634364"/>
    <w:rsid w:val="00634E5A"/>
    <w:rsid w:val="006359BF"/>
    <w:rsid w:val="00636906"/>
    <w:rsid w:val="006376ED"/>
    <w:rsid w:val="00640A73"/>
    <w:rsid w:val="00641665"/>
    <w:rsid w:val="00642C58"/>
    <w:rsid w:val="00642FAD"/>
    <w:rsid w:val="0064323E"/>
    <w:rsid w:val="00643C5D"/>
    <w:rsid w:val="00644C9C"/>
    <w:rsid w:val="00645C6F"/>
    <w:rsid w:val="0064782E"/>
    <w:rsid w:val="00650096"/>
    <w:rsid w:val="00650D31"/>
    <w:rsid w:val="0065133F"/>
    <w:rsid w:val="00652EF5"/>
    <w:rsid w:val="006540C9"/>
    <w:rsid w:val="006549C2"/>
    <w:rsid w:val="006551C8"/>
    <w:rsid w:val="006552AF"/>
    <w:rsid w:val="006554B7"/>
    <w:rsid w:val="006555A3"/>
    <w:rsid w:val="006569BA"/>
    <w:rsid w:val="006570B7"/>
    <w:rsid w:val="006575A4"/>
    <w:rsid w:val="006602DA"/>
    <w:rsid w:val="006610E5"/>
    <w:rsid w:val="006613C5"/>
    <w:rsid w:val="00662CEF"/>
    <w:rsid w:val="00663000"/>
    <w:rsid w:val="00663E31"/>
    <w:rsid w:val="00667610"/>
    <w:rsid w:val="00670617"/>
    <w:rsid w:val="00671EB0"/>
    <w:rsid w:val="00672082"/>
    <w:rsid w:val="006732C7"/>
    <w:rsid w:val="0067601C"/>
    <w:rsid w:val="006764DC"/>
    <w:rsid w:val="006776ED"/>
    <w:rsid w:val="00677A1C"/>
    <w:rsid w:val="0068006E"/>
    <w:rsid w:val="00680C7E"/>
    <w:rsid w:val="00682A19"/>
    <w:rsid w:val="00682F41"/>
    <w:rsid w:val="006843F9"/>
    <w:rsid w:val="00684BD3"/>
    <w:rsid w:val="006862B8"/>
    <w:rsid w:val="00687E40"/>
    <w:rsid w:val="0069247E"/>
    <w:rsid w:val="00693982"/>
    <w:rsid w:val="006943B3"/>
    <w:rsid w:val="00694A02"/>
    <w:rsid w:val="00695418"/>
    <w:rsid w:val="00696EE6"/>
    <w:rsid w:val="00697172"/>
    <w:rsid w:val="006A0378"/>
    <w:rsid w:val="006A0EB6"/>
    <w:rsid w:val="006A0F7A"/>
    <w:rsid w:val="006A20A0"/>
    <w:rsid w:val="006A33DE"/>
    <w:rsid w:val="006A7FDE"/>
    <w:rsid w:val="006B02CB"/>
    <w:rsid w:val="006B0F62"/>
    <w:rsid w:val="006B0FC0"/>
    <w:rsid w:val="006B14BB"/>
    <w:rsid w:val="006B2E67"/>
    <w:rsid w:val="006B3B25"/>
    <w:rsid w:val="006B5D28"/>
    <w:rsid w:val="006B5E6B"/>
    <w:rsid w:val="006B68D9"/>
    <w:rsid w:val="006B6E59"/>
    <w:rsid w:val="006B7697"/>
    <w:rsid w:val="006C06C8"/>
    <w:rsid w:val="006C152C"/>
    <w:rsid w:val="006C47C3"/>
    <w:rsid w:val="006C49A3"/>
    <w:rsid w:val="006C4E80"/>
    <w:rsid w:val="006C675A"/>
    <w:rsid w:val="006D0E13"/>
    <w:rsid w:val="006D27BA"/>
    <w:rsid w:val="006D3E3C"/>
    <w:rsid w:val="006D435A"/>
    <w:rsid w:val="006D4C22"/>
    <w:rsid w:val="006D5781"/>
    <w:rsid w:val="006D704D"/>
    <w:rsid w:val="006D72D6"/>
    <w:rsid w:val="006D72E7"/>
    <w:rsid w:val="006E0CD7"/>
    <w:rsid w:val="006E1597"/>
    <w:rsid w:val="006E3C57"/>
    <w:rsid w:val="006E55B8"/>
    <w:rsid w:val="006E5922"/>
    <w:rsid w:val="006E657D"/>
    <w:rsid w:val="006E6CBC"/>
    <w:rsid w:val="006E6F98"/>
    <w:rsid w:val="006E7F30"/>
    <w:rsid w:val="006F0A2E"/>
    <w:rsid w:val="006F1011"/>
    <w:rsid w:val="006F40A1"/>
    <w:rsid w:val="006F4D51"/>
    <w:rsid w:val="006F50AF"/>
    <w:rsid w:val="006F5CB8"/>
    <w:rsid w:val="006F6416"/>
    <w:rsid w:val="006F6553"/>
    <w:rsid w:val="006F7E03"/>
    <w:rsid w:val="007001E9"/>
    <w:rsid w:val="00700273"/>
    <w:rsid w:val="007014FF"/>
    <w:rsid w:val="00704FB2"/>
    <w:rsid w:val="00705989"/>
    <w:rsid w:val="00706DB4"/>
    <w:rsid w:val="0071123F"/>
    <w:rsid w:val="00712F80"/>
    <w:rsid w:val="00713635"/>
    <w:rsid w:val="00713DB7"/>
    <w:rsid w:val="00715AE9"/>
    <w:rsid w:val="00716890"/>
    <w:rsid w:val="00721BD9"/>
    <w:rsid w:val="007238E9"/>
    <w:rsid w:val="00723C8F"/>
    <w:rsid w:val="0072427F"/>
    <w:rsid w:val="00724AC7"/>
    <w:rsid w:val="00726128"/>
    <w:rsid w:val="0072622F"/>
    <w:rsid w:val="00726486"/>
    <w:rsid w:val="00726896"/>
    <w:rsid w:val="0072756C"/>
    <w:rsid w:val="00730458"/>
    <w:rsid w:val="007310D9"/>
    <w:rsid w:val="00732359"/>
    <w:rsid w:val="00734659"/>
    <w:rsid w:val="00734718"/>
    <w:rsid w:val="00734C32"/>
    <w:rsid w:val="00735F36"/>
    <w:rsid w:val="00740B17"/>
    <w:rsid w:val="007418D6"/>
    <w:rsid w:val="007433D6"/>
    <w:rsid w:val="00743653"/>
    <w:rsid w:val="00743BE2"/>
    <w:rsid w:val="007459F9"/>
    <w:rsid w:val="0074780B"/>
    <w:rsid w:val="00747D9E"/>
    <w:rsid w:val="00751457"/>
    <w:rsid w:val="007516F5"/>
    <w:rsid w:val="00753619"/>
    <w:rsid w:val="00754CD2"/>
    <w:rsid w:val="00755BCF"/>
    <w:rsid w:val="00757E44"/>
    <w:rsid w:val="007601EB"/>
    <w:rsid w:val="0076085E"/>
    <w:rsid w:val="007614E1"/>
    <w:rsid w:val="00761E50"/>
    <w:rsid w:val="00762E91"/>
    <w:rsid w:val="0076343E"/>
    <w:rsid w:val="00764539"/>
    <w:rsid w:val="00764A2C"/>
    <w:rsid w:val="00764DD4"/>
    <w:rsid w:val="00766183"/>
    <w:rsid w:val="007670C5"/>
    <w:rsid w:val="00767491"/>
    <w:rsid w:val="00767B60"/>
    <w:rsid w:val="00767B61"/>
    <w:rsid w:val="00767F7A"/>
    <w:rsid w:val="007702AE"/>
    <w:rsid w:val="0077051C"/>
    <w:rsid w:val="00771EC4"/>
    <w:rsid w:val="00774037"/>
    <w:rsid w:val="0077410B"/>
    <w:rsid w:val="00774395"/>
    <w:rsid w:val="00774CD6"/>
    <w:rsid w:val="00776085"/>
    <w:rsid w:val="007767A0"/>
    <w:rsid w:val="00776907"/>
    <w:rsid w:val="0078035D"/>
    <w:rsid w:val="007816C1"/>
    <w:rsid w:val="0078278F"/>
    <w:rsid w:val="00783AAD"/>
    <w:rsid w:val="007840AF"/>
    <w:rsid w:val="0078503E"/>
    <w:rsid w:val="00785C21"/>
    <w:rsid w:val="00785D45"/>
    <w:rsid w:val="00787791"/>
    <w:rsid w:val="0078795A"/>
    <w:rsid w:val="007930BF"/>
    <w:rsid w:val="0079413F"/>
    <w:rsid w:val="007A068D"/>
    <w:rsid w:val="007A0FCA"/>
    <w:rsid w:val="007A17E7"/>
    <w:rsid w:val="007A236F"/>
    <w:rsid w:val="007A2802"/>
    <w:rsid w:val="007A2C24"/>
    <w:rsid w:val="007A2E8C"/>
    <w:rsid w:val="007A688C"/>
    <w:rsid w:val="007A70D6"/>
    <w:rsid w:val="007B0E47"/>
    <w:rsid w:val="007B1A17"/>
    <w:rsid w:val="007B31DC"/>
    <w:rsid w:val="007B4671"/>
    <w:rsid w:val="007C1E41"/>
    <w:rsid w:val="007C227F"/>
    <w:rsid w:val="007C2B54"/>
    <w:rsid w:val="007C3292"/>
    <w:rsid w:val="007C3939"/>
    <w:rsid w:val="007C40E7"/>
    <w:rsid w:val="007C4BF3"/>
    <w:rsid w:val="007C7179"/>
    <w:rsid w:val="007D26E0"/>
    <w:rsid w:val="007D3019"/>
    <w:rsid w:val="007D36B5"/>
    <w:rsid w:val="007D47D4"/>
    <w:rsid w:val="007D5396"/>
    <w:rsid w:val="007D5B30"/>
    <w:rsid w:val="007D5BCF"/>
    <w:rsid w:val="007D6112"/>
    <w:rsid w:val="007D6886"/>
    <w:rsid w:val="007D6A67"/>
    <w:rsid w:val="007D7A78"/>
    <w:rsid w:val="007E0059"/>
    <w:rsid w:val="007E006A"/>
    <w:rsid w:val="007E0152"/>
    <w:rsid w:val="007E0215"/>
    <w:rsid w:val="007E155B"/>
    <w:rsid w:val="007E2E74"/>
    <w:rsid w:val="007E462F"/>
    <w:rsid w:val="007E6191"/>
    <w:rsid w:val="007F1DC9"/>
    <w:rsid w:val="007F465A"/>
    <w:rsid w:val="007F69AB"/>
    <w:rsid w:val="007F718C"/>
    <w:rsid w:val="008002EB"/>
    <w:rsid w:val="00800C09"/>
    <w:rsid w:val="008015E0"/>
    <w:rsid w:val="00801C97"/>
    <w:rsid w:val="0080206D"/>
    <w:rsid w:val="00803E83"/>
    <w:rsid w:val="00804090"/>
    <w:rsid w:val="00804E73"/>
    <w:rsid w:val="00804F1A"/>
    <w:rsid w:val="0080577D"/>
    <w:rsid w:val="008060D0"/>
    <w:rsid w:val="00812E1E"/>
    <w:rsid w:val="008138FB"/>
    <w:rsid w:val="00814444"/>
    <w:rsid w:val="00816448"/>
    <w:rsid w:val="00817D79"/>
    <w:rsid w:val="00820AC6"/>
    <w:rsid w:val="00820DA5"/>
    <w:rsid w:val="008237D0"/>
    <w:rsid w:val="0082414B"/>
    <w:rsid w:val="00826397"/>
    <w:rsid w:val="00827E0C"/>
    <w:rsid w:val="00831D5B"/>
    <w:rsid w:val="00831E2A"/>
    <w:rsid w:val="0083233C"/>
    <w:rsid w:val="00834706"/>
    <w:rsid w:val="00834CCF"/>
    <w:rsid w:val="00836E2B"/>
    <w:rsid w:val="0083740B"/>
    <w:rsid w:val="00840195"/>
    <w:rsid w:val="008439D9"/>
    <w:rsid w:val="008442E0"/>
    <w:rsid w:val="008447D0"/>
    <w:rsid w:val="008448ED"/>
    <w:rsid w:val="008512D7"/>
    <w:rsid w:val="0085167E"/>
    <w:rsid w:val="00851D57"/>
    <w:rsid w:val="00851ECA"/>
    <w:rsid w:val="00852838"/>
    <w:rsid w:val="0085515E"/>
    <w:rsid w:val="008554FE"/>
    <w:rsid w:val="008556A5"/>
    <w:rsid w:val="00855769"/>
    <w:rsid w:val="00856CB3"/>
    <w:rsid w:val="00856FFD"/>
    <w:rsid w:val="00857929"/>
    <w:rsid w:val="00861FA6"/>
    <w:rsid w:val="008641E7"/>
    <w:rsid w:val="00864990"/>
    <w:rsid w:val="00865999"/>
    <w:rsid w:val="00867A79"/>
    <w:rsid w:val="00870E6F"/>
    <w:rsid w:val="00871AD5"/>
    <w:rsid w:val="00871D62"/>
    <w:rsid w:val="008729E4"/>
    <w:rsid w:val="0087300A"/>
    <w:rsid w:val="00873ACC"/>
    <w:rsid w:val="00874B3A"/>
    <w:rsid w:val="0087578E"/>
    <w:rsid w:val="00876737"/>
    <w:rsid w:val="00880B5A"/>
    <w:rsid w:val="008832D9"/>
    <w:rsid w:val="008852F2"/>
    <w:rsid w:val="00885523"/>
    <w:rsid w:val="0088597B"/>
    <w:rsid w:val="00886848"/>
    <w:rsid w:val="00891335"/>
    <w:rsid w:val="00893211"/>
    <w:rsid w:val="0089372D"/>
    <w:rsid w:val="008954E4"/>
    <w:rsid w:val="00895A11"/>
    <w:rsid w:val="0089635F"/>
    <w:rsid w:val="00896C55"/>
    <w:rsid w:val="00896C61"/>
    <w:rsid w:val="00897A87"/>
    <w:rsid w:val="008A02EE"/>
    <w:rsid w:val="008A0801"/>
    <w:rsid w:val="008A1544"/>
    <w:rsid w:val="008A3D8D"/>
    <w:rsid w:val="008B0AAD"/>
    <w:rsid w:val="008B1B3B"/>
    <w:rsid w:val="008B2C45"/>
    <w:rsid w:val="008B48DB"/>
    <w:rsid w:val="008B496B"/>
    <w:rsid w:val="008B508B"/>
    <w:rsid w:val="008B5B27"/>
    <w:rsid w:val="008B6125"/>
    <w:rsid w:val="008B6ED5"/>
    <w:rsid w:val="008B74DD"/>
    <w:rsid w:val="008B7869"/>
    <w:rsid w:val="008C0079"/>
    <w:rsid w:val="008C0A51"/>
    <w:rsid w:val="008C0C3D"/>
    <w:rsid w:val="008C2218"/>
    <w:rsid w:val="008C45F5"/>
    <w:rsid w:val="008C499F"/>
    <w:rsid w:val="008C4BDF"/>
    <w:rsid w:val="008C58B9"/>
    <w:rsid w:val="008C6B6B"/>
    <w:rsid w:val="008C79E5"/>
    <w:rsid w:val="008D0D0D"/>
    <w:rsid w:val="008D16D0"/>
    <w:rsid w:val="008D2188"/>
    <w:rsid w:val="008D2304"/>
    <w:rsid w:val="008D2D43"/>
    <w:rsid w:val="008D2FBB"/>
    <w:rsid w:val="008D3349"/>
    <w:rsid w:val="008D345A"/>
    <w:rsid w:val="008D3E7E"/>
    <w:rsid w:val="008D4388"/>
    <w:rsid w:val="008D45E9"/>
    <w:rsid w:val="008D4EBE"/>
    <w:rsid w:val="008D5D65"/>
    <w:rsid w:val="008D61CE"/>
    <w:rsid w:val="008D6C35"/>
    <w:rsid w:val="008E3071"/>
    <w:rsid w:val="008E5F21"/>
    <w:rsid w:val="008E6A63"/>
    <w:rsid w:val="008F1CCF"/>
    <w:rsid w:val="008F20D8"/>
    <w:rsid w:val="008F21D7"/>
    <w:rsid w:val="008F341F"/>
    <w:rsid w:val="008F370D"/>
    <w:rsid w:val="008F38F4"/>
    <w:rsid w:val="008F4D11"/>
    <w:rsid w:val="008F5CE9"/>
    <w:rsid w:val="00900D11"/>
    <w:rsid w:val="0090287F"/>
    <w:rsid w:val="00902AAC"/>
    <w:rsid w:val="00902F38"/>
    <w:rsid w:val="00902FA1"/>
    <w:rsid w:val="00903410"/>
    <w:rsid w:val="0090383A"/>
    <w:rsid w:val="00903EBE"/>
    <w:rsid w:val="009059D8"/>
    <w:rsid w:val="009063DB"/>
    <w:rsid w:val="00907E56"/>
    <w:rsid w:val="00907E99"/>
    <w:rsid w:val="00907EA3"/>
    <w:rsid w:val="009138DD"/>
    <w:rsid w:val="0091467C"/>
    <w:rsid w:val="00914ACD"/>
    <w:rsid w:val="0091524F"/>
    <w:rsid w:val="009153EA"/>
    <w:rsid w:val="009154C0"/>
    <w:rsid w:val="009200AF"/>
    <w:rsid w:val="00921FCD"/>
    <w:rsid w:val="009252E5"/>
    <w:rsid w:val="0092695B"/>
    <w:rsid w:val="00930A66"/>
    <w:rsid w:val="00930A91"/>
    <w:rsid w:val="0093160A"/>
    <w:rsid w:val="00931763"/>
    <w:rsid w:val="0093237F"/>
    <w:rsid w:val="009328A7"/>
    <w:rsid w:val="00934541"/>
    <w:rsid w:val="009347D5"/>
    <w:rsid w:val="00935936"/>
    <w:rsid w:val="00935E30"/>
    <w:rsid w:val="00935FFF"/>
    <w:rsid w:val="0093646F"/>
    <w:rsid w:val="0094056F"/>
    <w:rsid w:val="0094066A"/>
    <w:rsid w:val="0094115F"/>
    <w:rsid w:val="00943E10"/>
    <w:rsid w:val="00945E65"/>
    <w:rsid w:val="00946D0E"/>
    <w:rsid w:val="0094705A"/>
    <w:rsid w:val="0095184D"/>
    <w:rsid w:val="00953139"/>
    <w:rsid w:val="009537D9"/>
    <w:rsid w:val="00953C3F"/>
    <w:rsid w:val="00954FA4"/>
    <w:rsid w:val="00955B31"/>
    <w:rsid w:val="009563C8"/>
    <w:rsid w:val="00957CA8"/>
    <w:rsid w:val="00960C8B"/>
    <w:rsid w:val="00961864"/>
    <w:rsid w:val="009618D8"/>
    <w:rsid w:val="00962B42"/>
    <w:rsid w:val="00962B47"/>
    <w:rsid w:val="009638A6"/>
    <w:rsid w:val="0096656D"/>
    <w:rsid w:val="009667DE"/>
    <w:rsid w:val="00966D5B"/>
    <w:rsid w:val="00967EDC"/>
    <w:rsid w:val="00971B99"/>
    <w:rsid w:val="00971B9B"/>
    <w:rsid w:val="00971E06"/>
    <w:rsid w:val="00972349"/>
    <w:rsid w:val="0097286D"/>
    <w:rsid w:val="00973823"/>
    <w:rsid w:val="0097390B"/>
    <w:rsid w:val="00976729"/>
    <w:rsid w:val="0097686A"/>
    <w:rsid w:val="00981326"/>
    <w:rsid w:val="009818EE"/>
    <w:rsid w:val="00981B05"/>
    <w:rsid w:val="00983CD6"/>
    <w:rsid w:val="00984902"/>
    <w:rsid w:val="00985F3B"/>
    <w:rsid w:val="00990115"/>
    <w:rsid w:val="0099011B"/>
    <w:rsid w:val="0099177C"/>
    <w:rsid w:val="00991EBE"/>
    <w:rsid w:val="0099207D"/>
    <w:rsid w:val="00992506"/>
    <w:rsid w:val="00993C93"/>
    <w:rsid w:val="00994E04"/>
    <w:rsid w:val="00995BA4"/>
    <w:rsid w:val="00995DC5"/>
    <w:rsid w:val="00996052"/>
    <w:rsid w:val="009966C3"/>
    <w:rsid w:val="00996D6E"/>
    <w:rsid w:val="0099759B"/>
    <w:rsid w:val="0099786F"/>
    <w:rsid w:val="00997D3E"/>
    <w:rsid w:val="009A1664"/>
    <w:rsid w:val="009A25A4"/>
    <w:rsid w:val="009A2734"/>
    <w:rsid w:val="009A2E1D"/>
    <w:rsid w:val="009A449F"/>
    <w:rsid w:val="009A4527"/>
    <w:rsid w:val="009A5FFB"/>
    <w:rsid w:val="009A65EB"/>
    <w:rsid w:val="009B1302"/>
    <w:rsid w:val="009B136D"/>
    <w:rsid w:val="009B1E7E"/>
    <w:rsid w:val="009B1F0E"/>
    <w:rsid w:val="009B5892"/>
    <w:rsid w:val="009B5958"/>
    <w:rsid w:val="009C0B95"/>
    <w:rsid w:val="009C2177"/>
    <w:rsid w:val="009C23F0"/>
    <w:rsid w:val="009C2A14"/>
    <w:rsid w:val="009C61DB"/>
    <w:rsid w:val="009D07C2"/>
    <w:rsid w:val="009D2C65"/>
    <w:rsid w:val="009D2FB0"/>
    <w:rsid w:val="009D3358"/>
    <w:rsid w:val="009D38AE"/>
    <w:rsid w:val="009D5CAD"/>
    <w:rsid w:val="009D6703"/>
    <w:rsid w:val="009D6713"/>
    <w:rsid w:val="009D74EB"/>
    <w:rsid w:val="009D7CC1"/>
    <w:rsid w:val="009E0A3F"/>
    <w:rsid w:val="009E0D5C"/>
    <w:rsid w:val="009E1E06"/>
    <w:rsid w:val="009E20E5"/>
    <w:rsid w:val="009E360E"/>
    <w:rsid w:val="009E3733"/>
    <w:rsid w:val="009E3D70"/>
    <w:rsid w:val="009E3D91"/>
    <w:rsid w:val="009F034C"/>
    <w:rsid w:val="009F0449"/>
    <w:rsid w:val="009F10C3"/>
    <w:rsid w:val="009F1151"/>
    <w:rsid w:val="009F12B2"/>
    <w:rsid w:val="009F15CB"/>
    <w:rsid w:val="009F1ABA"/>
    <w:rsid w:val="009F5B63"/>
    <w:rsid w:val="009F6D92"/>
    <w:rsid w:val="00A013E1"/>
    <w:rsid w:val="00A01729"/>
    <w:rsid w:val="00A0305E"/>
    <w:rsid w:val="00A0354D"/>
    <w:rsid w:val="00A0648D"/>
    <w:rsid w:val="00A1042A"/>
    <w:rsid w:val="00A1047B"/>
    <w:rsid w:val="00A10F85"/>
    <w:rsid w:val="00A1143A"/>
    <w:rsid w:val="00A11E98"/>
    <w:rsid w:val="00A120C0"/>
    <w:rsid w:val="00A121AB"/>
    <w:rsid w:val="00A1309F"/>
    <w:rsid w:val="00A13461"/>
    <w:rsid w:val="00A14CB2"/>
    <w:rsid w:val="00A208E0"/>
    <w:rsid w:val="00A2258E"/>
    <w:rsid w:val="00A225EE"/>
    <w:rsid w:val="00A22897"/>
    <w:rsid w:val="00A22DFE"/>
    <w:rsid w:val="00A26BC2"/>
    <w:rsid w:val="00A27434"/>
    <w:rsid w:val="00A324D0"/>
    <w:rsid w:val="00A3353E"/>
    <w:rsid w:val="00A345FE"/>
    <w:rsid w:val="00A348D5"/>
    <w:rsid w:val="00A34D2F"/>
    <w:rsid w:val="00A36106"/>
    <w:rsid w:val="00A36C1B"/>
    <w:rsid w:val="00A41457"/>
    <w:rsid w:val="00A42E4C"/>
    <w:rsid w:val="00A45CA9"/>
    <w:rsid w:val="00A4663B"/>
    <w:rsid w:val="00A47D82"/>
    <w:rsid w:val="00A502AB"/>
    <w:rsid w:val="00A51210"/>
    <w:rsid w:val="00A51826"/>
    <w:rsid w:val="00A5203F"/>
    <w:rsid w:val="00A526EB"/>
    <w:rsid w:val="00A5321A"/>
    <w:rsid w:val="00A53334"/>
    <w:rsid w:val="00A53AA8"/>
    <w:rsid w:val="00A53E29"/>
    <w:rsid w:val="00A54DC4"/>
    <w:rsid w:val="00A5502B"/>
    <w:rsid w:val="00A55BC8"/>
    <w:rsid w:val="00A55E0B"/>
    <w:rsid w:val="00A569A4"/>
    <w:rsid w:val="00A5713C"/>
    <w:rsid w:val="00A57AF8"/>
    <w:rsid w:val="00A62960"/>
    <w:rsid w:val="00A63102"/>
    <w:rsid w:val="00A647C5"/>
    <w:rsid w:val="00A664C2"/>
    <w:rsid w:val="00A66A5E"/>
    <w:rsid w:val="00A66C26"/>
    <w:rsid w:val="00A70B83"/>
    <w:rsid w:val="00A72068"/>
    <w:rsid w:val="00A72EBA"/>
    <w:rsid w:val="00A745BA"/>
    <w:rsid w:val="00A747E4"/>
    <w:rsid w:val="00A74CE9"/>
    <w:rsid w:val="00A7534A"/>
    <w:rsid w:val="00A7537A"/>
    <w:rsid w:val="00A76128"/>
    <w:rsid w:val="00A81473"/>
    <w:rsid w:val="00A822B1"/>
    <w:rsid w:val="00A82BD8"/>
    <w:rsid w:val="00A83546"/>
    <w:rsid w:val="00A844E9"/>
    <w:rsid w:val="00A87B9E"/>
    <w:rsid w:val="00A9003E"/>
    <w:rsid w:val="00A9206A"/>
    <w:rsid w:val="00A926BE"/>
    <w:rsid w:val="00A93EF8"/>
    <w:rsid w:val="00A95CCD"/>
    <w:rsid w:val="00A95D52"/>
    <w:rsid w:val="00A95E7C"/>
    <w:rsid w:val="00A96801"/>
    <w:rsid w:val="00A96B18"/>
    <w:rsid w:val="00A97FEA"/>
    <w:rsid w:val="00AA0013"/>
    <w:rsid w:val="00AA027D"/>
    <w:rsid w:val="00AA02C2"/>
    <w:rsid w:val="00AA0AF4"/>
    <w:rsid w:val="00AA1E7D"/>
    <w:rsid w:val="00AA27D6"/>
    <w:rsid w:val="00AA46AD"/>
    <w:rsid w:val="00AA472F"/>
    <w:rsid w:val="00AB070A"/>
    <w:rsid w:val="00AB1F30"/>
    <w:rsid w:val="00AB2785"/>
    <w:rsid w:val="00AB2A36"/>
    <w:rsid w:val="00AB3411"/>
    <w:rsid w:val="00AB4179"/>
    <w:rsid w:val="00AB798D"/>
    <w:rsid w:val="00AC0D2A"/>
    <w:rsid w:val="00AC1A4D"/>
    <w:rsid w:val="00AC408E"/>
    <w:rsid w:val="00AC478D"/>
    <w:rsid w:val="00AC4ED3"/>
    <w:rsid w:val="00AD02E0"/>
    <w:rsid w:val="00AD0C46"/>
    <w:rsid w:val="00AD0F27"/>
    <w:rsid w:val="00AD1CAC"/>
    <w:rsid w:val="00AD2626"/>
    <w:rsid w:val="00AD2744"/>
    <w:rsid w:val="00AD2980"/>
    <w:rsid w:val="00AD2BED"/>
    <w:rsid w:val="00AD2F56"/>
    <w:rsid w:val="00AD3591"/>
    <w:rsid w:val="00AD4311"/>
    <w:rsid w:val="00AD6F5F"/>
    <w:rsid w:val="00AD73C8"/>
    <w:rsid w:val="00AD7834"/>
    <w:rsid w:val="00AE0AB7"/>
    <w:rsid w:val="00AE0B3F"/>
    <w:rsid w:val="00AE2B57"/>
    <w:rsid w:val="00AE2E25"/>
    <w:rsid w:val="00AE30F9"/>
    <w:rsid w:val="00AE32ED"/>
    <w:rsid w:val="00AE365B"/>
    <w:rsid w:val="00AE66E5"/>
    <w:rsid w:val="00AE7D04"/>
    <w:rsid w:val="00AF1380"/>
    <w:rsid w:val="00AF304F"/>
    <w:rsid w:val="00AF37A3"/>
    <w:rsid w:val="00AF426F"/>
    <w:rsid w:val="00AF44E0"/>
    <w:rsid w:val="00AF586E"/>
    <w:rsid w:val="00AF6871"/>
    <w:rsid w:val="00AF755F"/>
    <w:rsid w:val="00AF761E"/>
    <w:rsid w:val="00AF7983"/>
    <w:rsid w:val="00AF7B16"/>
    <w:rsid w:val="00B0068D"/>
    <w:rsid w:val="00B01F26"/>
    <w:rsid w:val="00B0275D"/>
    <w:rsid w:val="00B04081"/>
    <w:rsid w:val="00B06B3C"/>
    <w:rsid w:val="00B07F37"/>
    <w:rsid w:val="00B10774"/>
    <w:rsid w:val="00B10B14"/>
    <w:rsid w:val="00B12C3E"/>
    <w:rsid w:val="00B148CC"/>
    <w:rsid w:val="00B17814"/>
    <w:rsid w:val="00B17BB0"/>
    <w:rsid w:val="00B2180D"/>
    <w:rsid w:val="00B22AB2"/>
    <w:rsid w:val="00B26B9C"/>
    <w:rsid w:val="00B270EB"/>
    <w:rsid w:val="00B271E3"/>
    <w:rsid w:val="00B27CA0"/>
    <w:rsid w:val="00B31628"/>
    <w:rsid w:val="00B32209"/>
    <w:rsid w:val="00B344A3"/>
    <w:rsid w:val="00B345F4"/>
    <w:rsid w:val="00B3529C"/>
    <w:rsid w:val="00B367B5"/>
    <w:rsid w:val="00B37455"/>
    <w:rsid w:val="00B41A92"/>
    <w:rsid w:val="00B421E5"/>
    <w:rsid w:val="00B42840"/>
    <w:rsid w:val="00B42C0C"/>
    <w:rsid w:val="00B43A91"/>
    <w:rsid w:val="00B443A6"/>
    <w:rsid w:val="00B44803"/>
    <w:rsid w:val="00B4562D"/>
    <w:rsid w:val="00B45D81"/>
    <w:rsid w:val="00B46622"/>
    <w:rsid w:val="00B4689B"/>
    <w:rsid w:val="00B4757F"/>
    <w:rsid w:val="00B513EE"/>
    <w:rsid w:val="00B515F7"/>
    <w:rsid w:val="00B51C63"/>
    <w:rsid w:val="00B541AE"/>
    <w:rsid w:val="00B5506A"/>
    <w:rsid w:val="00B55B76"/>
    <w:rsid w:val="00B56D15"/>
    <w:rsid w:val="00B57D54"/>
    <w:rsid w:val="00B57FCF"/>
    <w:rsid w:val="00B6100E"/>
    <w:rsid w:val="00B616D6"/>
    <w:rsid w:val="00B61B33"/>
    <w:rsid w:val="00B62850"/>
    <w:rsid w:val="00B62F5A"/>
    <w:rsid w:val="00B632C3"/>
    <w:rsid w:val="00B6412B"/>
    <w:rsid w:val="00B67A7F"/>
    <w:rsid w:val="00B707AB"/>
    <w:rsid w:val="00B70C34"/>
    <w:rsid w:val="00B71141"/>
    <w:rsid w:val="00B71C05"/>
    <w:rsid w:val="00B71D1C"/>
    <w:rsid w:val="00B74583"/>
    <w:rsid w:val="00B77134"/>
    <w:rsid w:val="00B776DB"/>
    <w:rsid w:val="00B77A50"/>
    <w:rsid w:val="00B77F7A"/>
    <w:rsid w:val="00B80923"/>
    <w:rsid w:val="00B824E5"/>
    <w:rsid w:val="00B8408E"/>
    <w:rsid w:val="00B840D4"/>
    <w:rsid w:val="00B844E0"/>
    <w:rsid w:val="00B8470E"/>
    <w:rsid w:val="00B84E01"/>
    <w:rsid w:val="00B86AD3"/>
    <w:rsid w:val="00B87705"/>
    <w:rsid w:val="00B87FF8"/>
    <w:rsid w:val="00B90778"/>
    <w:rsid w:val="00B912FA"/>
    <w:rsid w:val="00B91781"/>
    <w:rsid w:val="00B918AB"/>
    <w:rsid w:val="00B91C1B"/>
    <w:rsid w:val="00B92C61"/>
    <w:rsid w:val="00B92F64"/>
    <w:rsid w:val="00B93110"/>
    <w:rsid w:val="00B933DD"/>
    <w:rsid w:val="00B94762"/>
    <w:rsid w:val="00B95532"/>
    <w:rsid w:val="00B975E1"/>
    <w:rsid w:val="00B977CA"/>
    <w:rsid w:val="00B97FDB"/>
    <w:rsid w:val="00BA0166"/>
    <w:rsid w:val="00BA1981"/>
    <w:rsid w:val="00BA1D6E"/>
    <w:rsid w:val="00BA39A8"/>
    <w:rsid w:val="00BA3C80"/>
    <w:rsid w:val="00BA56E3"/>
    <w:rsid w:val="00BA5A57"/>
    <w:rsid w:val="00BA5C92"/>
    <w:rsid w:val="00BB0862"/>
    <w:rsid w:val="00BB163B"/>
    <w:rsid w:val="00BB25D9"/>
    <w:rsid w:val="00BB2B9D"/>
    <w:rsid w:val="00BB383D"/>
    <w:rsid w:val="00BB3EA5"/>
    <w:rsid w:val="00BB5ACB"/>
    <w:rsid w:val="00BB608E"/>
    <w:rsid w:val="00BB681F"/>
    <w:rsid w:val="00BB6A48"/>
    <w:rsid w:val="00BB78F4"/>
    <w:rsid w:val="00BC051F"/>
    <w:rsid w:val="00BC0776"/>
    <w:rsid w:val="00BC08D3"/>
    <w:rsid w:val="00BC09A3"/>
    <w:rsid w:val="00BC0C4E"/>
    <w:rsid w:val="00BC0D8B"/>
    <w:rsid w:val="00BC0E40"/>
    <w:rsid w:val="00BC1450"/>
    <w:rsid w:val="00BC166A"/>
    <w:rsid w:val="00BC1D15"/>
    <w:rsid w:val="00BC2584"/>
    <w:rsid w:val="00BC48F3"/>
    <w:rsid w:val="00BC4AF9"/>
    <w:rsid w:val="00BC5DCE"/>
    <w:rsid w:val="00BC6D71"/>
    <w:rsid w:val="00BD0164"/>
    <w:rsid w:val="00BD0A1E"/>
    <w:rsid w:val="00BD0F95"/>
    <w:rsid w:val="00BD128A"/>
    <w:rsid w:val="00BD1403"/>
    <w:rsid w:val="00BD1E32"/>
    <w:rsid w:val="00BD2C1B"/>
    <w:rsid w:val="00BD31B8"/>
    <w:rsid w:val="00BD3408"/>
    <w:rsid w:val="00BD5801"/>
    <w:rsid w:val="00BD58E0"/>
    <w:rsid w:val="00BD60CB"/>
    <w:rsid w:val="00BD6B4C"/>
    <w:rsid w:val="00BD7D12"/>
    <w:rsid w:val="00BE323E"/>
    <w:rsid w:val="00BE35EE"/>
    <w:rsid w:val="00BE3706"/>
    <w:rsid w:val="00BE39AA"/>
    <w:rsid w:val="00BE3A35"/>
    <w:rsid w:val="00BE3B56"/>
    <w:rsid w:val="00BE433B"/>
    <w:rsid w:val="00BE46D0"/>
    <w:rsid w:val="00BE4A90"/>
    <w:rsid w:val="00BE53BA"/>
    <w:rsid w:val="00BE6EDD"/>
    <w:rsid w:val="00BE7E7F"/>
    <w:rsid w:val="00BF129D"/>
    <w:rsid w:val="00BF6B90"/>
    <w:rsid w:val="00BF7C11"/>
    <w:rsid w:val="00BF7E27"/>
    <w:rsid w:val="00C01C5C"/>
    <w:rsid w:val="00C01E01"/>
    <w:rsid w:val="00C03E9E"/>
    <w:rsid w:val="00C042D4"/>
    <w:rsid w:val="00C045C4"/>
    <w:rsid w:val="00C048D8"/>
    <w:rsid w:val="00C05E66"/>
    <w:rsid w:val="00C06541"/>
    <w:rsid w:val="00C07438"/>
    <w:rsid w:val="00C07835"/>
    <w:rsid w:val="00C10785"/>
    <w:rsid w:val="00C1105A"/>
    <w:rsid w:val="00C11F32"/>
    <w:rsid w:val="00C12B77"/>
    <w:rsid w:val="00C13139"/>
    <w:rsid w:val="00C1333A"/>
    <w:rsid w:val="00C13E68"/>
    <w:rsid w:val="00C140F9"/>
    <w:rsid w:val="00C177D3"/>
    <w:rsid w:val="00C25232"/>
    <w:rsid w:val="00C25F88"/>
    <w:rsid w:val="00C26EF8"/>
    <w:rsid w:val="00C30207"/>
    <w:rsid w:val="00C30CDE"/>
    <w:rsid w:val="00C31BE0"/>
    <w:rsid w:val="00C32E98"/>
    <w:rsid w:val="00C333E4"/>
    <w:rsid w:val="00C34380"/>
    <w:rsid w:val="00C347F5"/>
    <w:rsid w:val="00C3776B"/>
    <w:rsid w:val="00C37CC9"/>
    <w:rsid w:val="00C37D27"/>
    <w:rsid w:val="00C4030B"/>
    <w:rsid w:val="00C40A9A"/>
    <w:rsid w:val="00C40D96"/>
    <w:rsid w:val="00C4150E"/>
    <w:rsid w:val="00C41C71"/>
    <w:rsid w:val="00C430AB"/>
    <w:rsid w:val="00C43365"/>
    <w:rsid w:val="00C43C6A"/>
    <w:rsid w:val="00C44CF8"/>
    <w:rsid w:val="00C46E1A"/>
    <w:rsid w:val="00C505B0"/>
    <w:rsid w:val="00C509EB"/>
    <w:rsid w:val="00C513C7"/>
    <w:rsid w:val="00C51A43"/>
    <w:rsid w:val="00C521C0"/>
    <w:rsid w:val="00C5272E"/>
    <w:rsid w:val="00C528BB"/>
    <w:rsid w:val="00C55C3C"/>
    <w:rsid w:val="00C562A5"/>
    <w:rsid w:val="00C608D3"/>
    <w:rsid w:val="00C61077"/>
    <w:rsid w:val="00C612F2"/>
    <w:rsid w:val="00C625C8"/>
    <w:rsid w:val="00C62B78"/>
    <w:rsid w:val="00C6359B"/>
    <w:rsid w:val="00C63D92"/>
    <w:rsid w:val="00C641EC"/>
    <w:rsid w:val="00C64739"/>
    <w:rsid w:val="00C648E8"/>
    <w:rsid w:val="00C64CB7"/>
    <w:rsid w:val="00C65C1C"/>
    <w:rsid w:val="00C673F7"/>
    <w:rsid w:val="00C702C5"/>
    <w:rsid w:val="00C7076B"/>
    <w:rsid w:val="00C711FA"/>
    <w:rsid w:val="00C76E5F"/>
    <w:rsid w:val="00C77792"/>
    <w:rsid w:val="00C77AFC"/>
    <w:rsid w:val="00C8041E"/>
    <w:rsid w:val="00C80479"/>
    <w:rsid w:val="00C80798"/>
    <w:rsid w:val="00C8168A"/>
    <w:rsid w:val="00C819C7"/>
    <w:rsid w:val="00C82779"/>
    <w:rsid w:val="00C833E7"/>
    <w:rsid w:val="00C83613"/>
    <w:rsid w:val="00C8365B"/>
    <w:rsid w:val="00C84205"/>
    <w:rsid w:val="00C84EE1"/>
    <w:rsid w:val="00C870D1"/>
    <w:rsid w:val="00C876EF"/>
    <w:rsid w:val="00C90127"/>
    <w:rsid w:val="00C901EE"/>
    <w:rsid w:val="00C90A67"/>
    <w:rsid w:val="00C9400F"/>
    <w:rsid w:val="00C9477B"/>
    <w:rsid w:val="00C95585"/>
    <w:rsid w:val="00C958AC"/>
    <w:rsid w:val="00C96A15"/>
    <w:rsid w:val="00C97CDD"/>
    <w:rsid w:val="00CA295E"/>
    <w:rsid w:val="00CA3D26"/>
    <w:rsid w:val="00CA4E7E"/>
    <w:rsid w:val="00CA5512"/>
    <w:rsid w:val="00CA5739"/>
    <w:rsid w:val="00CA5EDF"/>
    <w:rsid w:val="00CA6515"/>
    <w:rsid w:val="00CA70A4"/>
    <w:rsid w:val="00CA7B14"/>
    <w:rsid w:val="00CA7CF3"/>
    <w:rsid w:val="00CB11F8"/>
    <w:rsid w:val="00CB1308"/>
    <w:rsid w:val="00CB16F9"/>
    <w:rsid w:val="00CB1EE3"/>
    <w:rsid w:val="00CB2F66"/>
    <w:rsid w:val="00CB3106"/>
    <w:rsid w:val="00CB43F2"/>
    <w:rsid w:val="00CB5CAF"/>
    <w:rsid w:val="00CB7632"/>
    <w:rsid w:val="00CC0407"/>
    <w:rsid w:val="00CC0A17"/>
    <w:rsid w:val="00CC0CFA"/>
    <w:rsid w:val="00CC0E2A"/>
    <w:rsid w:val="00CC24AA"/>
    <w:rsid w:val="00CC3A82"/>
    <w:rsid w:val="00CC5564"/>
    <w:rsid w:val="00CC55EF"/>
    <w:rsid w:val="00CC5F56"/>
    <w:rsid w:val="00CC67C5"/>
    <w:rsid w:val="00CC7339"/>
    <w:rsid w:val="00CD0B8B"/>
    <w:rsid w:val="00CD1697"/>
    <w:rsid w:val="00CD1A2B"/>
    <w:rsid w:val="00CD1CBD"/>
    <w:rsid w:val="00CD2DF3"/>
    <w:rsid w:val="00CD4718"/>
    <w:rsid w:val="00CD4AB4"/>
    <w:rsid w:val="00CD53C9"/>
    <w:rsid w:val="00CD5574"/>
    <w:rsid w:val="00CD66DD"/>
    <w:rsid w:val="00CD6DED"/>
    <w:rsid w:val="00CD7928"/>
    <w:rsid w:val="00CE02EA"/>
    <w:rsid w:val="00CE101F"/>
    <w:rsid w:val="00CE2EEE"/>
    <w:rsid w:val="00CE34FE"/>
    <w:rsid w:val="00CE35B2"/>
    <w:rsid w:val="00CE48BE"/>
    <w:rsid w:val="00CE4A00"/>
    <w:rsid w:val="00CE50AF"/>
    <w:rsid w:val="00CE5E24"/>
    <w:rsid w:val="00CE74AD"/>
    <w:rsid w:val="00CE76D3"/>
    <w:rsid w:val="00CE7D0F"/>
    <w:rsid w:val="00CF417A"/>
    <w:rsid w:val="00CF41A7"/>
    <w:rsid w:val="00CF48D9"/>
    <w:rsid w:val="00CF5B16"/>
    <w:rsid w:val="00CF704C"/>
    <w:rsid w:val="00D01716"/>
    <w:rsid w:val="00D033BD"/>
    <w:rsid w:val="00D03F69"/>
    <w:rsid w:val="00D048BD"/>
    <w:rsid w:val="00D048EA"/>
    <w:rsid w:val="00D0555B"/>
    <w:rsid w:val="00D05BDD"/>
    <w:rsid w:val="00D06101"/>
    <w:rsid w:val="00D06822"/>
    <w:rsid w:val="00D06D0B"/>
    <w:rsid w:val="00D07230"/>
    <w:rsid w:val="00D110FB"/>
    <w:rsid w:val="00D1241C"/>
    <w:rsid w:val="00D12EAF"/>
    <w:rsid w:val="00D13FD7"/>
    <w:rsid w:val="00D14D08"/>
    <w:rsid w:val="00D158E3"/>
    <w:rsid w:val="00D15C03"/>
    <w:rsid w:val="00D16316"/>
    <w:rsid w:val="00D173BF"/>
    <w:rsid w:val="00D20517"/>
    <w:rsid w:val="00D223B5"/>
    <w:rsid w:val="00D22B3E"/>
    <w:rsid w:val="00D2373C"/>
    <w:rsid w:val="00D24344"/>
    <w:rsid w:val="00D24D8B"/>
    <w:rsid w:val="00D25DD9"/>
    <w:rsid w:val="00D272C5"/>
    <w:rsid w:val="00D2731A"/>
    <w:rsid w:val="00D27EFA"/>
    <w:rsid w:val="00D3001E"/>
    <w:rsid w:val="00D326DD"/>
    <w:rsid w:val="00D35C12"/>
    <w:rsid w:val="00D362BA"/>
    <w:rsid w:val="00D36E45"/>
    <w:rsid w:val="00D4006D"/>
    <w:rsid w:val="00D401CD"/>
    <w:rsid w:val="00D41D16"/>
    <w:rsid w:val="00D42A72"/>
    <w:rsid w:val="00D43B16"/>
    <w:rsid w:val="00D43EFC"/>
    <w:rsid w:val="00D44461"/>
    <w:rsid w:val="00D44E13"/>
    <w:rsid w:val="00D44E2F"/>
    <w:rsid w:val="00D450C5"/>
    <w:rsid w:val="00D46F98"/>
    <w:rsid w:val="00D47A23"/>
    <w:rsid w:val="00D47CF7"/>
    <w:rsid w:val="00D508C6"/>
    <w:rsid w:val="00D51D94"/>
    <w:rsid w:val="00D52C33"/>
    <w:rsid w:val="00D52E98"/>
    <w:rsid w:val="00D53D0A"/>
    <w:rsid w:val="00D53EDF"/>
    <w:rsid w:val="00D54DB7"/>
    <w:rsid w:val="00D5544E"/>
    <w:rsid w:val="00D55538"/>
    <w:rsid w:val="00D5554D"/>
    <w:rsid w:val="00D5635C"/>
    <w:rsid w:val="00D56E3B"/>
    <w:rsid w:val="00D57F8E"/>
    <w:rsid w:val="00D60672"/>
    <w:rsid w:val="00D61A6D"/>
    <w:rsid w:val="00D61BF6"/>
    <w:rsid w:val="00D628F9"/>
    <w:rsid w:val="00D63860"/>
    <w:rsid w:val="00D647A3"/>
    <w:rsid w:val="00D647AC"/>
    <w:rsid w:val="00D65646"/>
    <w:rsid w:val="00D6606A"/>
    <w:rsid w:val="00D70C4F"/>
    <w:rsid w:val="00D71083"/>
    <w:rsid w:val="00D72A98"/>
    <w:rsid w:val="00D72DC5"/>
    <w:rsid w:val="00D735A7"/>
    <w:rsid w:val="00D73BAE"/>
    <w:rsid w:val="00D7407B"/>
    <w:rsid w:val="00D748C5"/>
    <w:rsid w:val="00D74D4C"/>
    <w:rsid w:val="00D75548"/>
    <w:rsid w:val="00D75AE1"/>
    <w:rsid w:val="00D77BA4"/>
    <w:rsid w:val="00D77E38"/>
    <w:rsid w:val="00D81657"/>
    <w:rsid w:val="00D81EA4"/>
    <w:rsid w:val="00D82287"/>
    <w:rsid w:val="00D82B84"/>
    <w:rsid w:val="00D837CB"/>
    <w:rsid w:val="00D84610"/>
    <w:rsid w:val="00D84A39"/>
    <w:rsid w:val="00D87560"/>
    <w:rsid w:val="00D90D99"/>
    <w:rsid w:val="00D9189B"/>
    <w:rsid w:val="00D93948"/>
    <w:rsid w:val="00D9541E"/>
    <w:rsid w:val="00D9547F"/>
    <w:rsid w:val="00D95568"/>
    <w:rsid w:val="00DA0A6C"/>
    <w:rsid w:val="00DA0FFE"/>
    <w:rsid w:val="00DA1394"/>
    <w:rsid w:val="00DA1780"/>
    <w:rsid w:val="00DA2289"/>
    <w:rsid w:val="00DA4876"/>
    <w:rsid w:val="00DA6233"/>
    <w:rsid w:val="00DB03E4"/>
    <w:rsid w:val="00DB1198"/>
    <w:rsid w:val="00DB13A8"/>
    <w:rsid w:val="00DB17E6"/>
    <w:rsid w:val="00DB3473"/>
    <w:rsid w:val="00DB3A63"/>
    <w:rsid w:val="00DB5E1E"/>
    <w:rsid w:val="00DC0D3E"/>
    <w:rsid w:val="00DC16C1"/>
    <w:rsid w:val="00DC59F0"/>
    <w:rsid w:val="00DC65AB"/>
    <w:rsid w:val="00DD075B"/>
    <w:rsid w:val="00DD111C"/>
    <w:rsid w:val="00DD2889"/>
    <w:rsid w:val="00DD421A"/>
    <w:rsid w:val="00DD4633"/>
    <w:rsid w:val="00DD46E1"/>
    <w:rsid w:val="00DD5B72"/>
    <w:rsid w:val="00DD656D"/>
    <w:rsid w:val="00DD6FC3"/>
    <w:rsid w:val="00DD7A21"/>
    <w:rsid w:val="00DE2BF5"/>
    <w:rsid w:val="00DE465D"/>
    <w:rsid w:val="00DE4EF1"/>
    <w:rsid w:val="00DE5239"/>
    <w:rsid w:val="00DE595A"/>
    <w:rsid w:val="00DE6A62"/>
    <w:rsid w:val="00DF1DCF"/>
    <w:rsid w:val="00DF2DCF"/>
    <w:rsid w:val="00DF34D0"/>
    <w:rsid w:val="00DF5023"/>
    <w:rsid w:val="00DF6158"/>
    <w:rsid w:val="00DF6AD0"/>
    <w:rsid w:val="00E00218"/>
    <w:rsid w:val="00E01101"/>
    <w:rsid w:val="00E01162"/>
    <w:rsid w:val="00E0153B"/>
    <w:rsid w:val="00E0217C"/>
    <w:rsid w:val="00E02875"/>
    <w:rsid w:val="00E03F29"/>
    <w:rsid w:val="00E04FA1"/>
    <w:rsid w:val="00E05285"/>
    <w:rsid w:val="00E05EDF"/>
    <w:rsid w:val="00E06B53"/>
    <w:rsid w:val="00E06C2F"/>
    <w:rsid w:val="00E06C8C"/>
    <w:rsid w:val="00E07387"/>
    <w:rsid w:val="00E0750E"/>
    <w:rsid w:val="00E10D05"/>
    <w:rsid w:val="00E115B1"/>
    <w:rsid w:val="00E161CE"/>
    <w:rsid w:val="00E17719"/>
    <w:rsid w:val="00E17A48"/>
    <w:rsid w:val="00E214A5"/>
    <w:rsid w:val="00E24241"/>
    <w:rsid w:val="00E2507A"/>
    <w:rsid w:val="00E25AB3"/>
    <w:rsid w:val="00E30EA8"/>
    <w:rsid w:val="00E313C4"/>
    <w:rsid w:val="00E3235C"/>
    <w:rsid w:val="00E32604"/>
    <w:rsid w:val="00E32F8E"/>
    <w:rsid w:val="00E333AF"/>
    <w:rsid w:val="00E3432C"/>
    <w:rsid w:val="00E3593E"/>
    <w:rsid w:val="00E35CF0"/>
    <w:rsid w:val="00E36FBF"/>
    <w:rsid w:val="00E40C33"/>
    <w:rsid w:val="00E41149"/>
    <w:rsid w:val="00E423B3"/>
    <w:rsid w:val="00E4242E"/>
    <w:rsid w:val="00E424E0"/>
    <w:rsid w:val="00E425B9"/>
    <w:rsid w:val="00E45043"/>
    <w:rsid w:val="00E47DF4"/>
    <w:rsid w:val="00E50A07"/>
    <w:rsid w:val="00E50BE7"/>
    <w:rsid w:val="00E51A73"/>
    <w:rsid w:val="00E51EAE"/>
    <w:rsid w:val="00E5335C"/>
    <w:rsid w:val="00E55BF8"/>
    <w:rsid w:val="00E55E0E"/>
    <w:rsid w:val="00E5691B"/>
    <w:rsid w:val="00E56C37"/>
    <w:rsid w:val="00E60044"/>
    <w:rsid w:val="00E61D00"/>
    <w:rsid w:val="00E62CB9"/>
    <w:rsid w:val="00E6322A"/>
    <w:rsid w:val="00E634EB"/>
    <w:rsid w:val="00E63713"/>
    <w:rsid w:val="00E63CBD"/>
    <w:rsid w:val="00E63D03"/>
    <w:rsid w:val="00E663DD"/>
    <w:rsid w:val="00E66C34"/>
    <w:rsid w:val="00E70081"/>
    <w:rsid w:val="00E709CC"/>
    <w:rsid w:val="00E71BD6"/>
    <w:rsid w:val="00E724B2"/>
    <w:rsid w:val="00E7410E"/>
    <w:rsid w:val="00E74195"/>
    <w:rsid w:val="00E7478C"/>
    <w:rsid w:val="00E748A4"/>
    <w:rsid w:val="00E7525D"/>
    <w:rsid w:val="00E7602C"/>
    <w:rsid w:val="00E76642"/>
    <w:rsid w:val="00E76894"/>
    <w:rsid w:val="00E768A2"/>
    <w:rsid w:val="00E76DFB"/>
    <w:rsid w:val="00E76F1C"/>
    <w:rsid w:val="00E77FDF"/>
    <w:rsid w:val="00E80802"/>
    <w:rsid w:val="00E80C9D"/>
    <w:rsid w:val="00E80F8E"/>
    <w:rsid w:val="00E854F1"/>
    <w:rsid w:val="00E85DB7"/>
    <w:rsid w:val="00E90E96"/>
    <w:rsid w:val="00E91533"/>
    <w:rsid w:val="00E9287A"/>
    <w:rsid w:val="00E94660"/>
    <w:rsid w:val="00E94E05"/>
    <w:rsid w:val="00E9542B"/>
    <w:rsid w:val="00E95BB5"/>
    <w:rsid w:val="00E95F6E"/>
    <w:rsid w:val="00E96FE8"/>
    <w:rsid w:val="00E97BEA"/>
    <w:rsid w:val="00EA10D9"/>
    <w:rsid w:val="00EA14C0"/>
    <w:rsid w:val="00EA29F2"/>
    <w:rsid w:val="00EA2CD3"/>
    <w:rsid w:val="00EA38B3"/>
    <w:rsid w:val="00EA45A9"/>
    <w:rsid w:val="00EA45FF"/>
    <w:rsid w:val="00EA5EC0"/>
    <w:rsid w:val="00EA622E"/>
    <w:rsid w:val="00EA7344"/>
    <w:rsid w:val="00EA7749"/>
    <w:rsid w:val="00EB0EE4"/>
    <w:rsid w:val="00EB27E8"/>
    <w:rsid w:val="00EB29FF"/>
    <w:rsid w:val="00EB5374"/>
    <w:rsid w:val="00EB68AC"/>
    <w:rsid w:val="00EB6CED"/>
    <w:rsid w:val="00EC1101"/>
    <w:rsid w:val="00EC114A"/>
    <w:rsid w:val="00EC1F39"/>
    <w:rsid w:val="00EC266D"/>
    <w:rsid w:val="00EC390C"/>
    <w:rsid w:val="00EC3C07"/>
    <w:rsid w:val="00EC40CE"/>
    <w:rsid w:val="00EC578A"/>
    <w:rsid w:val="00EC6436"/>
    <w:rsid w:val="00EC67A0"/>
    <w:rsid w:val="00EC7138"/>
    <w:rsid w:val="00ED020C"/>
    <w:rsid w:val="00ED31FF"/>
    <w:rsid w:val="00ED37D8"/>
    <w:rsid w:val="00ED5DF4"/>
    <w:rsid w:val="00ED75CF"/>
    <w:rsid w:val="00ED7679"/>
    <w:rsid w:val="00ED7961"/>
    <w:rsid w:val="00EE0823"/>
    <w:rsid w:val="00EE2EDC"/>
    <w:rsid w:val="00EE42A7"/>
    <w:rsid w:val="00EE4BD1"/>
    <w:rsid w:val="00EE50C5"/>
    <w:rsid w:val="00EF1EB8"/>
    <w:rsid w:val="00EF23C2"/>
    <w:rsid w:val="00EF6CF2"/>
    <w:rsid w:val="00EF6D65"/>
    <w:rsid w:val="00EF70A8"/>
    <w:rsid w:val="00EF7E76"/>
    <w:rsid w:val="00F0265C"/>
    <w:rsid w:val="00F06613"/>
    <w:rsid w:val="00F070CB"/>
    <w:rsid w:val="00F10909"/>
    <w:rsid w:val="00F11EBE"/>
    <w:rsid w:val="00F11F36"/>
    <w:rsid w:val="00F12F4C"/>
    <w:rsid w:val="00F133AD"/>
    <w:rsid w:val="00F142B6"/>
    <w:rsid w:val="00F16C8B"/>
    <w:rsid w:val="00F16F9B"/>
    <w:rsid w:val="00F20B38"/>
    <w:rsid w:val="00F20D46"/>
    <w:rsid w:val="00F21266"/>
    <w:rsid w:val="00F22A94"/>
    <w:rsid w:val="00F252F6"/>
    <w:rsid w:val="00F3094C"/>
    <w:rsid w:val="00F30B72"/>
    <w:rsid w:val="00F31C29"/>
    <w:rsid w:val="00F32784"/>
    <w:rsid w:val="00F32825"/>
    <w:rsid w:val="00F32857"/>
    <w:rsid w:val="00F32B4C"/>
    <w:rsid w:val="00F32C83"/>
    <w:rsid w:val="00F32CDF"/>
    <w:rsid w:val="00F32F79"/>
    <w:rsid w:val="00F33E55"/>
    <w:rsid w:val="00F340BD"/>
    <w:rsid w:val="00F34B38"/>
    <w:rsid w:val="00F35808"/>
    <w:rsid w:val="00F374C6"/>
    <w:rsid w:val="00F37A2F"/>
    <w:rsid w:val="00F4119B"/>
    <w:rsid w:val="00F423AF"/>
    <w:rsid w:val="00F43E16"/>
    <w:rsid w:val="00F43E29"/>
    <w:rsid w:val="00F4447B"/>
    <w:rsid w:val="00F44F3C"/>
    <w:rsid w:val="00F45748"/>
    <w:rsid w:val="00F45F1E"/>
    <w:rsid w:val="00F47057"/>
    <w:rsid w:val="00F47775"/>
    <w:rsid w:val="00F47A5D"/>
    <w:rsid w:val="00F51196"/>
    <w:rsid w:val="00F537A6"/>
    <w:rsid w:val="00F53F23"/>
    <w:rsid w:val="00F5450A"/>
    <w:rsid w:val="00F557E6"/>
    <w:rsid w:val="00F55D04"/>
    <w:rsid w:val="00F61DD4"/>
    <w:rsid w:val="00F639BA"/>
    <w:rsid w:val="00F639FC"/>
    <w:rsid w:val="00F64F4A"/>
    <w:rsid w:val="00F650E7"/>
    <w:rsid w:val="00F66015"/>
    <w:rsid w:val="00F70B13"/>
    <w:rsid w:val="00F72874"/>
    <w:rsid w:val="00F731AF"/>
    <w:rsid w:val="00F73470"/>
    <w:rsid w:val="00F73F02"/>
    <w:rsid w:val="00F7671F"/>
    <w:rsid w:val="00F76999"/>
    <w:rsid w:val="00F76C00"/>
    <w:rsid w:val="00F77090"/>
    <w:rsid w:val="00F77D7B"/>
    <w:rsid w:val="00F81AA6"/>
    <w:rsid w:val="00F82023"/>
    <w:rsid w:val="00F83091"/>
    <w:rsid w:val="00F84A3D"/>
    <w:rsid w:val="00F85C53"/>
    <w:rsid w:val="00F86A5C"/>
    <w:rsid w:val="00F86EA1"/>
    <w:rsid w:val="00F91A8B"/>
    <w:rsid w:val="00F91EFB"/>
    <w:rsid w:val="00F9244B"/>
    <w:rsid w:val="00F94080"/>
    <w:rsid w:val="00F94224"/>
    <w:rsid w:val="00F9422F"/>
    <w:rsid w:val="00F97E50"/>
    <w:rsid w:val="00FA30BF"/>
    <w:rsid w:val="00FA4128"/>
    <w:rsid w:val="00FA5A70"/>
    <w:rsid w:val="00FB0740"/>
    <w:rsid w:val="00FB18C9"/>
    <w:rsid w:val="00FB19F4"/>
    <w:rsid w:val="00FB1A31"/>
    <w:rsid w:val="00FB26F0"/>
    <w:rsid w:val="00FB5146"/>
    <w:rsid w:val="00FB52B2"/>
    <w:rsid w:val="00FB5C65"/>
    <w:rsid w:val="00FB60DF"/>
    <w:rsid w:val="00FB73F5"/>
    <w:rsid w:val="00FB7C82"/>
    <w:rsid w:val="00FC031A"/>
    <w:rsid w:val="00FC050D"/>
    <w:rsid w:val="00FC0B38"/>
    <w:rsid w:val="00FC0C44"/>
    <w:rsid w:val="00FC1DD3"/>
    <w:rsid w:val="00FC236B"/>
    <w:rsid w:val="00FC28DA"/>
    <w:rsid w:val="00FC293E"/>
    <w:rsid w:val="00FC3152"/>
    <w:rsid w:val="00FC35B2"/>
    <w:rsid w:val="00FC3BA8"/>
    <w:rsid w:val="00FC4BA0"/>
    <w:rsid w:val="00FC61E6"/>
    <w:rsid w:val="00FC7C50"/>
    <w:rsid w:val="00FD0549"/>
    <w:rsid w:val="00FD4701"/>
    <w:rsid w:val="00FD56D6"/>
    <w:rsid w:val="00FD5FEC"/>
    <w:rsid w:val="00FD782C"/>
    <w:rsid w:val="00FE11EE"/>
    <w:rsid w:val="00FE2F4C"/>
    <w:rsid w:val="00FE44DF"/>
    <w:rsid w:val="00FE45BC"/>
    <w:rsid w:val="00FE4D25"/>
    <w:rsid w:val="00FE5AF8"/>
    <w:rsid w:val="00FE60B2"/>
    <w:rsid w:val="00FE613B"/>
    <w:rsid w:val="00FE67A2"/>
    <w:rsid w:val="00FE78CA"/>
    <w:rsid w:val="00FF0692"/>
    <w:rsid w:val="00FF0C54"/>
    <w:rsid w:val="00FF1148"/>
    <w:rsid w:val="00FF1497"/>
    <w:rsid w:val="00FF22E3"/>
    <w:rsid w:val="00FF32E4"/>
    <w:rsid w:val="00FF4BF4"/>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A0CA"/>
  <w15:chartTrackingRefBased/>
  <w15:docId w15:val="{5AE79F1F-BB2D-4D43-BC71-8E3D8829B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FE"/>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BC09A3"/>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766183"/>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766183"/>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766183"/>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BC09A3"/>
    <w:rPr>
      <w:rFonts w:ascii="Avant Garde" w:eastAsia="Avant Garde" w:hAnsi="Avant Garde" w:cs="Avant Garde"/>
      <w:color w:val="000000"/>
      <w:sz w:val="24"/>
      <w:lang w:eastAsia="es-MX"/>
    </w:rPr>
  </w:style>
  <w:style w:type="paragraph" w:styleId="Prrafodelista">
    <w:name w:val="List Paragraph"/>
    <w:basedOn w:val="Normal"/>
    <w:link w:val="PrrafodelistaCar"/>
    <w:uiPriority w:val="34"/>
    <w:qFormat/>
    <w:rsid w:val="00D44461"/>
    <w:pPr>
      <w:ind w:left="720"/>
      <w:contextualSpacing/>
    </w:pPr>
  </w:style>
  <w:style w:type="paragraph" w:customStyle="1" w:styleId="Default">
    <w:name w:val="Default"/>
    <w:rsid w:val="00AA46AD"/>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semiHidden/>
    <w:unhideWhenUsed/>
    <w:rsid w:val="00AC1A4D"/>
    <w:rPr>
      <w:sz w:val="16"/>
      <w:szCs w:val="16"/>
    </w:rPr>
  </w:style>
  <w:style w:type="paragraph" w:styleId="Textocomentario">
    <w:name w:val="annotation text"/>
    <w:basedOn w:val="Normal"/>
    <w:link w:val="TextocomentarioCar"/>
    <w:uiPriority w:val="99"/>
    <w:unhideWhenUsed/>
    <w:rsid w:val="00AC1A4D"/>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uiPriority w:val="99"/>
    <w:rsid w:val="00AC1A4D"/>
    <w:rPr>
      <w:sz w:val="20"/>
      <w:szCs w:val="20"/>
    </w:rPr>
  </w:style>
  <w:style w:type="paragraph" w:styleId="Textodeglobo">
    <w:name w:val="Balloon Text"/>
    <w:basedOn w:val="Normal"/>
    <w:link w:val="TextodegloboCar"/>
    <w:uiPriority w:val="99"/>
    <w:unhideWhenUsed/>
    <w:rsid w:val="00AC1A4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C1A4D"/>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392711"/>
    <w:rPr>
      <w:color w:val="0563C1" w:themeColor="hyperlink"/>
      <w:u w:val="single"/>
    </w:rPr>
  </w:style>
  <w:style w:type="character" w:customStyle="1" w:styleId="apple-converted-space">
    <w:name w:val="apple-converted-space"/>
    <w:basedOn w:val="Fuentedeprrafopredeter"/>
    <w:rsid w:val="00D53D0A"/>
  </w:style>
  <w:style w:type="paragraph" w:styleId="Textoindependiente2">
    <w:name w:val="Body Text 2"/>
    <w:basedOn w:val="Normal"/>
    <w:link w:val="Textoindependiente2Car"/>
    <w:rsid w:val="00BD128A"/>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BD128A"/>
    <w:rPr>
      <w:rFonts w:ascii="Arial" w:eastAsia="Times New Roman" w:hAnsi="Arial" w:cs="Arial"/>
      <w:snapToGrid w:val="0"/>
      <w:szCs w:val="20"/>
    </w:rPr>
  </w:style>
  <w:style w:type="character" w:customStyle="1" w:styleId="PrrafodelistaCar">
    <w:name w:val="Párrafo de lista Car"/>
    <w:basedOn w:val="Fuentedeprrafopredeter"/>
    <w:link w:val="Prrafodelista"/>
    <w:uiPriority w:val="34"/>
    <w:rsid w:val="00BD128A"/>
    <w:rPr>
      <w:rFonts w:ascii="Avant Garde" w:eastAsia="Avant Garde" w:hAnsi="Avant Garde" w:cs="Avant Garde"/>
      <w:color w:val="000000"/>
      <w:lang w:eastAsia="es-MX"/>
    </w:rPr>
  </w:style>
  <w:style w:type="paragraph" w:customStyle="1" w:styleId="Ejemplo">
    <w:name w:val="Ejemplo"/>
    <w:basedOn w:val="Normal"/>
    <w:link w:val="EjemploChar"/>
    <w:qFormat/>
    <w:rsid w:val="00E94660"/>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E94660"/>
    <w:rPr>
      <w:rFonts w:ascii="ITC Avant Garde" w:eastAsia="Times New Roman" w:hAnsi="ITC Avant Garde" w:cs="Arial"/>
      <w:lang w:eastAsia="es-MX"/>
    </w:rPr>
  </w:style>
  <w:style w:type="paragraph" w:customStyle="1" w:styleId="Titulo2">
    <w:name w:val="Titulo 2"/>
    <w:basedOn w:val="Normal"/>
    <w:rsid w:val="00F0265C"/>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EB27E8"/>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493685"/>
    <w:rPr>
      <w:vertAlign w:val="superscript"/>
    </w:rPr>
  </w:style>
  <w:style w:type="paragraph" w:customStyle="1" w:styleId="Citas">
    <w:name w:val="Citas"/>
    <w:basedOn w:val="Normal"/>
    <w:link w:val="CitasChar"/>
    <w:qFormat/>
    <w:rsid w:val="00493685"/>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493685"/>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uiPriority w:val="99"/>
    <w:qFormat/>
    <w:rsid w:val="006551C8"/>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uiPriority w:val="99"/>
    <w:rsid w:val="006551C8"/>
    <w:rPr>
      <w:rFonts w:ascii="Arial" w:eastAsia="Times New Roman" w:hAnsi="Arial" w:cs="Times New Roman"/>
      <w:sz w:val="20"/>
      <w:szCs w:val="20"/>
      <w:lang w:val="es-ES" w:eastAsia="es-ES"/>
    </w:rPr>
  </w:style>
  <w:style w:type="paragraph" w:customStyle="1" w:styleId="s4">
    <w:name w:val="s4"/>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6551C8"/>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6551C8"/>
  </w:style>
  <w:style w:type="character" w:customStyle="1" w:styleId="s2">
    <w:name w:val="s2"/>
    <w:rsid w:val="006551C8"/>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766183"/>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766183"/>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766183"/>
    <w:rPr>
      <w:rFonts w:ascii="Times New Roman" w:eastAsia="Times New Roman" w:hAnsi="Times New Roman" w:cs="Times New Roman"/>
      <w:bCs/>
      <w:i/>
      <w:iCs/>
      <w:lang w:val="es-ES"/>
    </w:rPr>
  </w:style>
  <w:style w:type="paragraph" w:styleId="NormalWeb">
    <w:name w:val="Normal (Web)"/>
    <w:basedOn w:val="Normal"/>
    <w:uiPriority w:val="99"/>
    <w:semiHidden/>
    <w:unhideWhenUsed/>
    <w:rsid w:val="00CE35B2"/>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735F36"/>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44E13"/>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B80923"/>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C641EC"/>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C641EC"/>
    <w:rPr>
      <w:rFonts w:ascii="Arial" w:eastAsia="Batang" w:hAnsi="Arial" w:cs="Times New Roman"/>
      <w:sz w:val="18"/>
      <w:szCs w:val="20"/>
      <w:lang w:val="en-GB" w:eastAsia="es-ES"/>
    </w:rPr>
  </w:style>
  <w:style w:type="table" w:styleId="Tablaconcuadrcula">
    <w:name w:val="Table Grid"/>
    <w:basedOn w:val="Tablanormal"/>
    <w:uiPriority w:val="99"/>
    <w:rsid w:val="00D91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511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1196"/>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F511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196"/>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497632"/>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497632"/>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623045"/>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623045"/>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rsid w:val="00623045"/>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682F41"/>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2C14D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2C14DB"/>
    <w:rPr>
      <w:rFonts w:ascii="ITC Avant Garde" w:eastAsia="Times New Roman" w:hAnsi="ITC Avant Garde" w:cs="Times New Roman"/>
      <w:iCs/>
    </w:rPr>
  </w:style>
  <w:style w:type="paragraph" w:customStyle="1" w:styleId="Citaift">
    <w:name w:val="Cita ift"/>
    <w:basedOn w:val="Normal"/>
    <w:link w:val="CitaiftCar"/>
    <w:qFormat/>
    <w:rsid w:val="00F20B38"/>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F20B38"/>
    <w:rPr>
      <w:rFonts w:ascii="ITC Avant Garde" w:eastAsia="Times New Roman" w:hAnsi="ITC Avant Garde" w:cs="Arial"/>
      <w:i/>
      <w:color w:val="000000"/>
      <w:sz w:val="18"/>
      <w:szCs w:val="18"/>
      <w:lang w:eastAsia="es-ES"/>
    </w:rPr>
  </w:style>
  <w:style w:type="paragraph" w:styleId="Revisin">
    <w:name w:val="Revision"/>
    <w:hidden/>
    <w:uiPriority w:val="99"/>
    <w:semiHidden/>
    <w:rsid w:val="009E0D5C"/>
    <w:pPr>
      <w:spacing w:after="0" w:line="240" w:lineRule="auto"/>
    </w:pPr>
    <w:rPr>
      <w:rFonts w:ascii="Avant Garde" w:eastAsia="Avant Garde" w:hAnsi="Avant Garde" w:cs="Avant Garde"/>
      <w:color w:val="00000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02620">
      <w:bodyDiv w:val="1"/>
      <w:marLeft w:val="0"/>
      <w:marRight w:val="0"/>
      <w:marTop w:val="0"/>
      <w:marBottom w:val="0"/>
      <w:divBdr>
        <w:top w:val="none" w:sz="0" w:space="0" w:color="auto"/>
        <w:left w:val="none" w:sz="0" w:space="0" w:color="auto"/>
        <w:bottom w:val="none" w:sz="0" w:space="0" w:color="auto"/>
        <w:right w:val="none" w:sz="0" w:space="0" w:color="auto"/>
      </w:divBdr>
      <w:divsChild>
        <w:div w:id="1835488445">
          <w:marLeft w:val="0"/>
          <w:marRight w:val="0"/>
          <w:marTop w:val="0"/>
          <w:marBottom w:val="0"/>
          <w:divBdr>
            <w:top w:val="none" w:sz="0" w:space="0" w:color="auto"/>
            <w:left w:val="none" w:sz="0" w:space="0" w:color="auto"/>
            <w:bottom w:val="none" w:sz="0" w:space="0" w:color="auto"/>
            <w:right w:val="none" w:sz="0" w:space="0" w:color="auto"/>
          </w:divBdr>
          <w:divsChild>
            <w:div w:id="1793866252">
              <w:marLeft w:val="0"/>
              <w:marRight w:val="0"/>
              <w:marTop w:val="0"/>
              <w:marBottom w:val="0"/>
              <w:divBdr>
                <w:top w:val="none" w:sz="0" w:space="0" w:color="auto"/>
                <w:left w:val="none" w:sz="0" w:space="0" w:color="auto"/>
                <w:bottom w:val="none" w:sz="0" w:space="0" w:color="auto"/>
                <w:right w:val="none" w:sz="0" w:space="0" w:color="auto"/>
              </w:divBdr>
              <w:divsChild>
                <w:div w:id="98523359">
                  <w:marLeft w:val="0"/>
                  <w:marRight w:val="0"/>
                  <w:marTop w:val="0"/>
                  <w:marBottom w:val="0"/>
                  <w:divBdr>
                    <w:top w:val="none" w:sz="0" w:space="0" w:color="auto"/>
                    <w:left w:val="none" w:sz="0" w:space="0" w:color="auto"/>
                    <w:bottom w:val="none" w:sz="0" w:space="0" w:color="auto"/>
                    <w:right w:val="none" w:sz="0" w:space="0" w:color="auto"/>
                  </w:divBdr>
                </w:div>
                <w:div w:id="20042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916066">
      <w:bodyDiv w:val="1"/>
      <w:marLeft w:val="0"/>
      <w:marRight w:val="0"/>
      <w:marTop w:val="0"/>
      <w:marBottom w:val="0"/>
      <w:divBdr>
        <w:top w:val="none" w:sz="0" w:space="0" w:color="auto"/>
        <w:left w:val="none" w:sz="0" w:space="0" w:color="auto"/>
        <w:bottom w:val="none" w:sz="0" w:space="0" w:color="auto"/>
        <w:right w:val="none" w:sz="0" w:space="0" w:color="auto"/>
      </w:divBdr>
      <w:divsChild>
        <w:div w:id="1775588385">
          <w:marLeft w:val="0"/>
          <w:marRight w:val="0"/>
          <w:marTop w:val="0"/>
          <w:marBottom w:val="0"/>
          <w:divBdr>
            <w:top w:val="none" w:sz="0" w:space="0" w:color="auto"/>
            <w:left w:val="none" w:sz="0" w:space="0" w:color="auto"/>
            <w:bottom w:val="none" w:sz="0" w:space="0" w:color="auto"/>
            <w:right w:val="none" w:sz="0" w:space="0" w:color="auto"/>
          </w:divBdr>
          <w:divsChild>
            <w:div w:id="1775829578">
              <w:marLeft w:val="0"/>
              <w:marRight w:val="0"/>
              <w:marTop w:val="0"/>
              <w:marBottom w:val="0"/>
              <w:divBdr>
                <w:top w:val="none" w:sz="0" w:space="0" w:color="auto"/>
                <w:left w:val="none" w:sz="0" w:space="0" w:color="auto"/>
                <w:bottom w:val="none" w:sz="0" w:space="0" w:color="auto"/>
                <w:right w:val="none" w:sz="0" w:space="0" w:color="auto"/>
              </w:divBdr>
              <w:divsChild>
                <w:div w:id="349599588">
                  <w:marLeft w:val="0"/>
                  <w:marRight w:val="0"/>
                  <w:marTop w:val="0"/>
                  <w:marBottom w:val="0"/>
                  <w:divBdr>
                    <w:top w:val="none" w:sz="0" w:space="0" w:color="auto"/>
                    <w:left w:val="none" w:sz="0" w:space="0" w:color="auto"/>
                    <w:bottom w:val="none" w:sz="0" w:space="0" w:color="auto"/>
                    <w:right w:val="none" w:sz="0" w:space="0" w:color="auto"/>
                  </w:divBdr>
                  <w:divsChild>
                    <w:div w:id="15513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19663">
      <w:bodyDiv w:val="1"/>
      <w:marLeft w:val="0"/>
      <w:marRight w:val="0"/>
      <w:marTop w:val="0"/>
      <w:marBottom w:val="0"/>
      <w:divBdr>
        <w:top w:val="none" w:sz="0" w:space="0" w:color="auto"/>
        <w:left w:val="none" w:sz="0" w:space="0" w:color="auto"/>
        <w:bottom w:val="none" w:sz="0" w:space="0" w:color="auto"/>
        <w:right w:val="none" w:sz="0" w:space="0" w:color="auto"/>
      </w:divBdr>
    </w:div>
    <w:div w:id="335229364">
      <w:bodyDiv w:val="1"/>
      <w:marLeft w:val="0"/>
      <w:marRight w:val="0"/>
      <w:marTop w:val="0"/>
      <w:marBottom w:val="0"/>
      <w:divBdr>
        <w:top w:val="none" w:sz="0" w:space="0" w:color="auto"/>
        <w:left w:val="none" w:sz="0" w:space="0" w:color="auto"/>
        <w:bottom w:val="none" w:sz="0" w:space="0" w:color="auto"/>
        <w:right w:val="none" w:sz="0" w:space="0" w:color="auto"/>
      </w:divBdr>
      <w:divsChild>
        <w:div w:id="1430930737">
          <w:marLeft w:val="0"/>
          <w:marRight w:val="0"/>
          <w:marTop w:val="0"/>
          <w:marBottom w:val="80"/>
          <w:divBdr>
            <w:top w:val="none" w:sz="0" w:space="0" w:color="auto"/>
            <w:left w:val="none" w:sz="0" w:space="0" w:color="auto"/>
            <w:bottom w:val="none" w:sz="0" w:space="0" w:color="auto"/>
            <w:right w:val="none" w:sz="0" w:space="0" w:color="auto"/>
          </w:divBdr>
        </w:div>
      </w:divsChild>
    </w:div>
    <w:div w:id="363289737">
      <w:bodyDiv w:val="1"/>
      <w:marLeft w:val="0"/>
      <w:marRight w:val="0"/>
      <w:marTop w:val="0"/>
      <w:marBottom w:val="0"/>
      <w:divBdr>
        <w:top w:val="none" w:sz="0" w:space="0" w:color="auto"/>
        <w:left w:val="none" w:sz="0" w:space="0" w:color="auto"/>
        <w:bottom w:val="none" w:sz="0" w:space="0" w:color="auto"/>
        <w:right w:val="none" w:sz="0" w:space="0" w:color="auto"/>
      </w:divBdr>
    </w:div>
    <w:div w:id="372273828">
      <w:bodyDiv w:val="1"/>
      <w:marLeft w:val="0"/>
      <w:marRight w:val="0"/>
      <w:marTop w:val="0"/>
      <w:marBottom w:val="0"/>
      <w:divBdr>
        <w:top w:val="none" w:sz="0" w:space="0" w:color="auto"/>
        <w:left w:val="none" w:sz="0" w:space="0" w:color="auto"/>
        <w:bottom w:val="none" w:sz="0" w:space="0" w:color="auto"/>
        <w:right w:val="none" w:sz="0" w:space="0" w:color="auto"/>
      </w:divBdr>
    </w:div>
    <w:div w:id="534316587">
      <w:bodyDiv w:val="1"/>
      <w:marLeft w:val="0"/>
      <w:marRight w:val="0"/>
      <w:marTop w:val="0"/>
      <w:marBottom w:val="0"/>
      <w:divBdr>
        <w:top w:val="none" w:sz="0" w:space="0" w:color="auto"/>
        <w:left w:val="none" w:sz="0" w:space="0" w:color="auto"/>
        <w:bottom w:val="none" w:sz="0" w:space="0" w:color="auto"/>
        <w:right w:val="none" w:sz="0" w:space="0" w:color="auto"/>
      </w:divBdr>
    </w:div>
    <w:div w:id="826896944">
      <w:bodyDiv w:val="1"/>
      <w:marLeft w:val="0"/>
      <w:marRight w:val="0"/>
      <w:marTop w:val="0"/>
      <w:marBottom w:val="0"/>
      <w:divBdr>
        <w:top w:val="none" w:sz="0" w:space="0" w:color="auto"/>
        <w:left w:val="none" w:sz="0" w:space="0" w:color="auto"/>
        <w:bottom w:val="none" w:sz="0" w:space="0" w:color="auto"/>
        <w:right w:val="none" w:sz="0" w:space="0" w:color="auto"/>
      </w:divBdr>
    </w:div>
    <w:div w:id="886645315">
      <w:bodyDiv w:val="1"/>
      <w:marLeft w:val="0"/>
      <w:marRight w:val="0"/>
      <w:marTop w:val="0"/>
      <w:marBottom w:val="0"/>
      <w:divBdr>
        <w:top w:val="none" w:sz="0" w:space="0" w:color="auto"/>
        <w:left w:val="none" w:sz="0" w:space="0" w:color="auto"/>
        <w:bottom w:val="none" w:sz="0" w:space="0" w:color="auto"/>
        <w:right w:val="none" w:sz="0" w:space="0" w:color="auto"/>
      </w:divBdr>
    </w:div>
    <w:div w:id="1117916281">
      <w:bodyDiv w:val="1"/>
      <w:marLeft w:val="0"/>
      <w:marRight w:val="0"/>
      <w:marTop w:val="0"/>
      <w:marBottom w:val="0"/>
      <w:divBdr>
        <w:top w:val="none" w:sz="0" w:space="0" w:color="auto"/>
        <w:left w:val="none" w:sz="0" w:space="0" w:color="auto"/>
        <w:bottom w:val="none" w:sz="0" w:space="0" w:color="auto"/>
        <w:right w:val="none" w:sz="0" w:space="0" w:color="auto"/>
      </w:divBdr>
    </w:div>
    <w:div w:id="1307395197">
      <w:bodyDiv w:val="1"/>
      <w:marLeft w:val="0"/>
      <w:marRight w:val="0"/>
      <w:marTop w:val="0"/>
      <w:marBottom w:val="0"/>
      <w:divBdr>
        <w:top w:val="none" w:sz="0" w:space="0" w:color="auto"/>
        <w:left w:val="none" w:sz="0" w:space="0" w:color="auto"/>
        <w:bottom w:val="none" w:sz="0" w:space="0" w:color="auto"/>
        <w:right w:val="none" w:sz="0" w:space="0" w:color="auto"/>
      </w:divBdr>
    </w:div>
    <w:div w:id="1422524420">
      <w:bodyDiv w:val="1"/>
      <w:marLeft w:val="0"/>
      <w:marRight w:val="0"/>
      <w:marTop w:val="0"/>
      <w:marBottom w:val="0"/>
      <w:divBdr>
        <w:top w:val="none" w:sz="0" w:space="0" w:color="auto"/>
        <w:left w:val="none" w:sz="0" w:space="0" w:color="auto"/>
        <w:bottom w:val="none" w:sz="0" w:space="0" w:color="auto"/>
        <w:right w:val="none" w:sz="0" w:space="0" w:color="auto"/>
      </w:divBdr>
    </w:div>
    <w:div w:id="1545871144">
      <w:bodyDiv w:val="1"/>
      <w:marLeft w:val="0"/>
      <w:marRight w:val="0"/>
      <w:marTop w:val="0"/>
      <w:marBottom w:val="0"/>
      <w:divBdr>
        <w:top w:val="none" w:sz="0" w:space="0" w:color="auto"/>
        <w:left w:val="none" w:sz="0" w:space="0" w:color="auto"/>
        <w:bottom w:val="none" w:sz="0" w:space="0" w:color="auto"/>
        <w:right w:val="none" w:sz="0" w:space="0" w:color="auto"/>
      </w:divBdr>
    </w:div>
    <w:div w:id="1696612801">
      <w:bodyDiv w:val="1"/>
      <w:marLeft w:val="0"/>
      <w:marRight w:val="0"/>
      <w:marTop w:val="0"/>
      <w:marBottom w:val="0"/>
      <w:divBdr>
        <w:top w:val="none" w:sz="0" w:space="0" w:color="auto"/>
        <w:left w:val="none" w:sz="0" w:space="0" w:color="auto"/>
        <w:bottom w:val="none" w:sz="0" w:space="0" w:color="auto"/>
        <w:right w:val="none" w:sz="0" w:space="0" w:color="auto"/>
      </w:divBdr>
      <w:divsChild>
        <w:div w:id="1215240754">
          <w:marLeft w:val="0"/>
          <w:marRight w:val="0"/>
          <w:marTop w:val="0"/>
          <w:marBottom w:val="82"/>
          <w:divBdr>
            <w:top w:val="none" w:sz="0" w:space="0" w:color="auto"/>
            <w:left w:val="none" w:sz="0" w:space="0" w:color="auto"/>
            <w:bottom w:val="none" w:sz="0" w:space="0" w:color="auto"/>
            <w:right w:val="none" w:sz="0" w:space="0" w:color="auto"/>
          </w:divBdr>
        </w:div>
        <w:div w:id="256257503">
          <w:marLeft w:val="0"/>
          <w:marRight w:val="0"/>
          <w:marTop w:val="0"/>
          <w:marBottom w:val="82"/>
          <w:divBdr>
            <w:top w:val="none" w:sz="0" w:space="0" w:color="auto"/>
            <w:left w:val="none" w:sz="0" w:space="0" w:color="auto"/>
            <w:bottom w:val="none" w:sz="0" w:space="0" w:color="auto"/>
            <w:right w:val="none" w:sz="0" w:space="0" w:color="auto"/>
          </w:divBdr>
        </w:div>
        <w:div w:id="1759867614">
          <w:marLeft w:val="0"/>
          <w:marRight w:val="0"/>
          <w:marTop w:val="0"/>
          <w:marBottom w:val="82"/>
          <w:divBdr>
            <w:top w:val="none" w:sz="0" w:space="0" w:color="auto"/>
            <w:left w:val="none" w:sz="0" w:space="0" w:color="auto"/>
            <w:bottom w:val="none" w:sz="0" w:space="0" w:color="auto"/>
            <w:right w:val="none" w:sz="0" w:space="0" w:color="auto"/>
          </w:divBdr>
        </w:div>
      </w:divsChild>
    </w:div>
    <w:div w:id="1999264124">
      <w:bodyDiv w:val="1"/>
      <w:marLeft w:val="0"/>
      <w:marRight w:val="0"/>
      <w:marTop w:val="0"/>
      <w:marBottom w:val="0"/>
      <w:divBdr>
        <w:top w:val="none" w:sz="0" w:space="0" w:color="auto"/>
        <w:left w:val="none" w:sz="0" w:space="0" w:color="auto"/>
        <w:bottom w:val="none" w:sz="0" w:space="0" w:color="auto"/>
        <w:right w:val="none" w:sz="0" w:space="0" w:color="auto"/>
      </w:divBdr>
    </w:div>
    <w:div w:id="21438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F1BF7-0042-4945-8D51-32F996D6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54</Pages>
  <Words>18057</Words>
  <Characters>99317</Characters>
  <Application>Microsoft Office Word</Application>
  <DocSecurity>0</DocSecurity>
  <Lines>827</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Huichan</dc:creator>
  <cp:keywords/>
  <dc:description/>
  <cp:lastModifiedBy>Mario Alonso Cruz</cp:lastModifiedBy>
  <cp:revision>3</cp:revision>
  <cp:lastPrinted>2014-12-10T22:16:00Z</cp:lastPrinted>
  <dcterms:created xsi:type="dcterms:W3CDTF">2017-05-19T18:52:00Z</dcterms:created>
  <dcterms:modified xsi:type="dcterms:W3CDTF">2017-05-19T19:27:00Z</dcterms:modified>
</cp:coreProperties>
</file>