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B2103" w14:textId="77777777" w:rsidR="003464AF" w:rsidRPr="0067357D" w:rsidRDefault="003464AF" w:rsidP="00796879">
      <w:pPr>
        <w:jc w:val="center"/>
        <w:rPr>
          <w:rFonts w:ascii="ITC Avant Garde" w:hAnsi="ITC Avant Garde"/>
          <w:b/>
          <w:color w:val="000000"/>
          <w:sz w:val="72"/>
          <w:szCs w:val="72"/>
          <w:lang w:val="es-MX"/>
        </w:rPr>
      </w:pPr>
      <w:bookmarkStart w:id="0" w:name="_GoBack"/>
      <w:bookmarkEnd w:id="0"/>
    </w:p>
    <w:p w14:paraId="6E1E298F" w14:textId="77777777" w:rsidR="003464AF" w:rsidRPr="0067357D" w:rsidRDefault="003464AF" w:rsidP="00796879">
      <w:pPr>
        <w:jc w:val="center"/>
        <w:rPr>
          <w:rFonts w:ascii="ITC Avant Garde" w:hAnsi="ITC Avant Garde"/>
          <w:b/>
          <w:color w:val="000000"/>
          <w:sz w:val="72"/>
          <w:szCs w:val="72"/>
          <w:lang w:val="es-MX"/>
        </w:rPr>
      </w:pPr>
    </w:p>
    <w:p w14:paraId="162D3901" w14:textId="77777777" w:rsidR="003464AF" w:rsidRPr="0067357D" w:rsidRDefault="003464AF" w:rsidP="00796879">
      <w:pPr>
        <w:jc w:val="center"/>
        <w:rPr>
          <w:rFonts w:ascii="ITC Avant Garde" w:hAnsi="ITC Avant Garde"/>
          <w:b/>
          <w:color w:val="000000"/>
          <w:sz w:val="72"/>
          <w:szCs w:val="72"/>
          <w:lang w:val="es-MX"/>
        </w:rPr>
      </w:pPr>
      <w:r w:rsidRPr="0067357D">
        <w:rPr>
          <w:rFonts w:ascii="ITC Avant Garde" w:hAnsi="ITC Avant Garde"/>
          <w:b/>
          <w:color w:val="000000"/>
          <w:sz w:val="72"/>
          <w:szCs w:val="72"/>
          <w:lang w:val="es-MX"/>
        </w:rPr>
        <w:t>“Anexo C”</w:t>
      </w:r>
    </w:p>
    <w:p w14:paraId="5FF09E1F" w14:textId="77777777" w:rsidR="003464AF" w:rsidRPr="0067357D" w:rsidRDefault="003464AF" w:rsidP="00796879">
      <w:pPr>
        <w:jc w:val="center"/>
        <w:rPr>
          <w:rFonts w:ascii="ITC Avant Garde" w:hAnsi="ITC Avant Garde"/>
          <w:color w:val="000000"/>
          <w:sz w:val="22"/>
          <w:szCs w:val="22"/>
        </w:rPr>
      </w:pPr>
    </w:p>
    <w:p w14:paraId="2CEF0565" w14:textId="77777777" w:rsidR="003464AF" w:rsidRPr="0067357D" w:rsidRDefault="003464AF" w:rsidP="00796879">
      <w:pPr>
        <w:jc w:val="center"/>
        <w:rPr>
          <w:rFonts w:ascii="ITC Avant Garde" w:hAnsi="ITC Avant Garde"/>
          <w:color w:val="000000"/>
          <w:sz w:val="22"/>
          <w:szCs w:val="22"/>
        </w:rPr>
      </w:pPr>
    </w:p>
    <w:p w14:paraId="68AED060" w14:textId="77777777" w:rsidR="003464AF" w:rsidRPr="0067357D" w:rsidRDefault="003464AF" w:rsidP="00796879">
      <w:pPr>
        <w:jc w:val="center"/>
        <w:rPr>
          <w:rFonts w:ascii="ITC Avant Garde" w:hAnsi="ITC Avant Garde"/>
          <w:color w:val="000000"/>
          <w:sz w:val="22"/>
          <w:szCs w:val="22"/>
        </w:rPr>
      </w:pPr>
    </w:p>
    <w:p w14:paraId="157CE72B" w14:textId="77777777" w:rsidR="003464AF" w:rsidRPr="0067357D" w:rsidRDefault="001F0E45" w:rsidP="00796879">
      <w:pPr>
        <w:pStyle w:val="Ttulo1"/>
        <w:spacing w:line="240" w:lineRule="auto"/>
        <w:rPr>
          <w:rFonts w:ascii="ITC Avant Garde" w:hAnsi="ITC Avant Garde"/>
        </w:rPr>
      </w:pPr>
      <w:r w:rsidRPr="0067357D">
        <w:rPr>
          <w:rFonts w:ascii="ITC Avant Garde" w:hAnsi="ITC Avant Garde"/>
        </w:rPr>
        <w:t>Procedimiento de Atención</w:t>
      </w:r>
      <w:r w:rsidR="003464AF" w:rsidRPr="0067357D">
        <w:rPr>
          <w:rFonts w:ascii="ITC Avant Garde" w:hAnsi="ITC Avant Garde"/>
        </w:rPr>
        <w:t xml:space="preserve"> de Fallas</w:t>
      </w:r>
      <w:r w:rsidRPr="0067357D">
        <w:rPr>
          <w:rFonts w:ascii="ITC Avant Garde" w:hAnsi="ITC Avant Garde"/>
        </w:rPr>
        <w:t xml:space="preserve">, </w:t>
      </w:r>
      <w:r w:rsidR="003464AF" w:rsidRPr="0067357D">
        <w:rPr>
          <w:rFonts w:ascii="ITC Avant Garde" w:hAnsi="ITC Avant Garde"/>
        </w:rPr>
        <w:t>Continuidad del Servicio y Gestión de Incidencias.</w:t>
      </w:r>
    </w:p>
    <w:p w14:paraId="73BD0C7F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369566F6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C9BCAE7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FC3CA19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352CF42E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8A04D0C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58B89203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3BC64FF6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41F66629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24BA0BE9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067BB65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768CCBAF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26EE90B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43EF1733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35FED5D" w14:textId="77777777" w:rsidR="003464AF" w:rsidRPr="0067357D" w:rsidRDefault="009A21A5" w:rsidP="00475A17">
      <w:pPr>
        <w:spacing w:after="200" w:line="276" w:lineRule="auto"/>
        <w:jc w:val="center"/>
        <w:rPr>
          <w:rFonts w:ascii="ITC Avant Garde" w:hAnsi="ITC Avant Garde"/>
          <w:b/>
          <w:sz w:val="22"/>
          <w:szCs w:val="22"/>
        </w:rPr>
      </w:pPr>
      <w:r w:rsidRPr="0067357D">
        <w:rPr>
          <w:rFonts w:ascii="ITC Avant Garde" w:hAnsi="ITC Avant Garde"/>
          <w:b/>
          <w:sz w:val="22"/>
          <w:szCs w:val="22"/>
        </w:rPr>
        <w:t>Procedimiento de Atención de Fallas, Continuidad del Servicio y Gestión de Incidencias</w:t>
      </w:r>
    </w:p>
    <w:p w14:paraId="45FD8875" w14:textId="77777777" w:rsidR="002A694E" w:rsidRPr="00D1772F" w:rsidRDefault="002A694E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 xml:space="preserve">De conformidad con los </w:t>
      </w:r>
      <w:r w:rsidR="003C010C" w:rsidRPr="00D1772F">
        <w:rPr>
          <w:rFonts w:ascii="ITC Avant Garde" w:hAnsi="ITC Avant Garde"/>
          <w:sz w:val="22"/>
          <w:szCs w:val="22"/>
        </w:rPr>
        <w:t>términos</w:t>
      </w:r>
      <w:r w:rsidRPr="00D1772F">
        <w:rPr>
          <w:rFonts w:ascii="ITC Avant Garde" w:hAnsi="ITC Avant Garde"/>
          <w:sz w:val="22"/>
          <w:szCs w:val="22"/>
        </w:rPr>
        <w:t xml:space="preserve"> y condiciones que Telmex aplica en su operación para sus propios usuarios, a continuación se menciona el procedimiento de atención de fallas, continuidad de servicio y gesti</w:t>
      </w:r>
      <w:r w:rsidR="003C010C" w:rsidRPr="00D1772F">
        <w:rPr>
          <w:rFonts w:ascii="ITC Avant Garde" w:hAnsi="ITC Avant Garde"/>
          <w:sz w:val="22"/>
          <w:szCs w:val="22"/>
        </w:rPr>
        <w:t>ón de incidencias que tanto Telmex como los CS deberán consultar en caso de existencia de falla o incidencia en los servicios materia de la Oferta de Referencia.</w:t>
      </w:r>
    </w:p>
    <w:p w14:paraId="0FDFB263" w14:textId="6CB94998" w:rsidR="007F26B5" w:rsidRPr="00D1772F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 xml:space="preserve">Con la finalidad de atender las incidencias </w:t>
      </w:r>
      <w:r w:rsidR="0062297C" w:rsidRPr="00D1772F">
        <w:rPr>
          <w:rFonts w:ascii="ITC Avant Garde" w:hAnsi="ITC Avant Garde"/>
          <w:sz w:val="22"/>
          <w:szCs w:val="22"/>
        </w:rPr>
        <w:t>o</w:t>
      </w:r>
      <w:r w:rsidRPr="00D1772F">
        <w:rPr>
          <w:rFonts w:ascii="ITC Avant Garde" w:hAnsi="ITC Avant Garde"/>
          <w:sz w:val="22"/>
          <w:szCs w:val="22"/>
        </w:rPr>
        <w:t xml:space="preserve"> fallas </w:t>
      </w:r>
      <w:r w:rsidR="007F26B5" w:rsidRPr="00D1772F">
        <w:rPr>
          <w:rFonts w:ascii="ITC Avant Garde" w:hAnsi="ITC Avant Garde"/>
          <w:sz w:val="22"/>
          <w:szCs w:val="22"/>
        </w:rPr>
        <w:t>de servicios masivos de desagregación (SRL,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SRI,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SRP,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SAIB,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SDTB</w:t>
      </w:r>
      <w:r w:rsidR="00380592" w:rsidRPr="00D1772F">
        <w:rPr>
          <w:rFonts w:ascii="ITC Avant Garde" w:hAnsi="ITC Avant Garde"/>
          <w:sz w:val="22"/>
          <w:szCs w:val="22"/>
        </w:rPr>
        <w:t>L</w:t>
      </w:r>
      <w:r w:rsidR="007F26B5" w:rsidRPr="00D1772F">
        <w:rPr>
          <w:rFonts w:ascii="ITC Avant Garde" w:hAnsi="ITC Avant Garde"/>
          <w:sz w:val="22"/>
          <w:szCs w:val="22"/>
        </w:rPr>
        <w:t>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SDTSB</w:t>
      </w:r>
      <w:r w:rsidR="00380592" w:rsidRPr="00D1772F">
        <w:rPr>
          <w:rFonts w:ascii="ITC Avant Garde" w:hAnsi="ITC Avant Garde"/>
          <w:sz w:val="22"/>
          <w:szCs w:val="22"/>
        </w:rPr>
        <w:t>L</w:t>
      </w:r>
      <w:r w:rsidR="007F26B5" w:rsidRPr="00D1772F">
        <w:rPr>
          <w:rFonts w:ascii="ITC Avant Garde" w:hAnsi="ITC Avant Garde"/>
          <w:sz w:val="22"/>
          <w:szCs w:val="22"/>
        </w:rPr>
        <w:t>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SDCB</w:t>
      </w:r>
      <w:r w:rsidR="00380592" w:rsidRPr="00D1772F">
        <w:rPr>
          <w:rFonts w:ascii="ITC Avant Garde" w:hAnsi="ITC Avant Garde"/>
          <w:sz w:val="22"/>
          <w:szCs w:val="22"/>
        </w:rPr>
        <w:t>L</w:t>
      </w:r>
      <w:r w:rsidR="007F26B5" w:rsidRPr="00D1772F">
        <w:rPr>
          <w:rFonts w:ascii="ITC Avant Garde" w:hAnsi="ITC Avant Garde"/>
          <w:sz w:val="22"/>
          <w:szCs w:val="22"/>
        </w:rPr>
        <w:t xml:space="preserve"> Y SDCSB</w:t>
      </w:r>
      <w:r w:rsidR="00380592" w:rsidRPr="00D1772F">
        <w:rPr>
          <w:rFonts w:ascii="ITC Avant Garde" w:hAnsi="ITC Avant Garde"/>
          <w:sz w:val="22"/>
          <w:szCs w:val="22"/>
        </w:rPr>
        <w:t>L</w:t>
      </w:r>
      <w:r w:rsidR="00274111" w:rsidRPr="00D1772F">
        <w:rPr>
          <w:rFonts w:ascii="ITC Avant Garde" w:hAnsi="ITC Avant Garde"/>
          <w:sz w:val="22"/>
          <w:szCs w:val="22"/>
        </w:rPr>
        <w:t>, SCD y Servicios Auxiliares</w:t>
      </w:r>
      <w:r w:rsidR="007F26B5" w:rsidRPr="00D1772F">
        <w:rPr>
          <w:rFonts w:ascii="ITC Avant Garde" w:hAnsi="ITC Avant Garde"/>
          <w:sz w:val="22"/>
          <w:szCs w:val="22"/>
        </w:rPr>
        <w:t>)</w:t>
      </w:r>
      <w:r w:rsidRPr="00D1772F">
        <w:rPr>
          <w:rFonts w:ascii="ITC Avant Garde" w:hAnsi="ITC Avant Garde"/>
          <w:sz w:val="22"/>
          <w:szCs w:val="22"/>
        </w:rPr>
        <w:t xml:space="preserve"> que se presenten en los servicios de desagregación que Telmex suministre a los concesionarios de telecomunicaciones, se pone a disposición de estos </w:t>
      </w:r>
      <w:r w:rsidR="00CB6FDB" w:rsidRPr="00D1772F">
        <w:rPr>
          <w:rFonts w:ascii="ITC Avant Garde" w:hAnsi="ITC Avant Garde"/>
          <w:color w:val="000000"/>
          <w:sz w:val="22"/>
          <w:szCs w:val="22"/>
        </w:rPr>
        <w:t xml:space="preserve">el </w:t>
      </w:r>
      <w:r w:rsidRPr="00D1772F">
        <w:rPr>
          <w:rFonts w:ascii="ITC Avant Garde" w:hAnsi="ITC Avant Garde"/>
          <w:color w:val="000000"/>
          <w:sz w:val="22"/>
          <w:szCs w:val="22"/>
        </w:rPr>
        <w:t xml:space="preserve">número </w:t>
      </w:r>
      <w:r w:rsidR="00CB6FDB" w:rsidRPr="00D1772F">
        <w:rPr>
          <w:rFonts w:ascii="ITC Avant Garde" w:hAnsi="ITC Avant Garde"/>
          <w:color w:val="000000"/>
          <w:sz w:val="22"/>
          <w:szCs w:val="22"/>
        </w:rPr>
        <w:t xml:space="preserve">01 </w:t>
      </w:r>
      <w:r w:rsidRPr="00D1772F">
        <w:rPr>
          <w:rFonts w:ascii="ITC Avant Garde" w:hAnsi="ITC Avant Garde"/>
          <w:color w:val="000000"/>
          <w:sz w:val="22"/>
          <w:szCs w:val="22"/>
        </w:rPr>
        <w:t>800</w:t>
      </w:r>
      <w:r w:rsidR="00CB6FDB" w:rsidRPr="00D1772F">
        <w:rPr>
          <w:rFonts w:ascii="ITC Avant Garde" w:hAnsi="ITC Avant Garde"/>
          <w:color w:val="000000"/>
          <w:sz w:val="22"/>
          <w:szCs w:val="22"/>
        </w:rPr>
        <w:t xml:space="preserve"> 40 40 734</w:t>
      </w:r>
      <w:r w:rsidRPr="00D1772F">
        <w:rPr>
          <w:rFonts w:ascii="ITC Avant Garde" w:hAnsi="ITC Avant Garde"/>
          <w:color w:val="000000"/>
          <w:sz w:val="22"/>
          <w:szCs w:val="22"/>
        </w:rPr>
        <w:t xml:space="preserve"> con cobertura nacional</w:t>
      </w:r>
      <w:r w:rsidR="00BA4360" w:rsidRPr="00D1772F">
        <w:rPr>
          <w:rFonts w:ascii="ITC Avant Garde" w:hAnsi="ITC Avant Garde"/>
          <w:color w:val="000000"/>
          <w:sz w:val="22"/>
          <w:szCs w:val="22"/>
        </w:rPr>
        <w:t>, sólo cuando el número 800´s no esté disponible lo podrá realizar a través de correo electrónico OPERDES@telmex.com</w:t>
      </w:r>
      <w:r w:rsidR="00274111" w:rsidRPr="00D1772F">
        <w:rPr>
          <w:rFonts w:ascii="ITC Avant Garde" w:hAnsi="ITC Avant Garde"/>
          <w:color w:val="000000"/>
          <w:sz w:val="22"/>
          <w:szCs w:val="22"/>
        </w:rPr>
        <w:t>,</w:t>
      </w:r>
      <w:r w:rsidR="00BA4360" w:rsidRPr="00D1772F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274111" w:rsidRPr="00D1772F">
        <w:rPr>
          <w:rFonts w:ascii="ITC Avant Garde" w:hAnsi="ITC Avant Garde"/>
          <w:sz w:val="22"/>
          <w:szCs w:val="22"/>
        </w:rPr>
        <w:t xml:space="preserve">del Sistema de Captura o </w:t>
      </w:r>
      <w:r w:rsidR="00274111" w:rsidRPr="00D1772F">
        <w:rPr>
          <w:rFonts w:ascii="ITC Avant Garde" w:hAnsi="ITC Avant Garde"/>
          <w:color w:val="000000"/>
          <w:sz w:val="22"/>
          <w:szCs w:val="22"/>
        </w:rPr>
        <w:t xml:space="preserve">del </w:t>
      </w:r>
      <w:r w:rsidR="00BA4360" w:rsidRPr="00D1772F">
        <w:rPr>
          <w:rFonts w:ascii="ITC Avant Garde" w:hAnsi="ITC Avant Garde"/>
          <w:color w:val="000000"/>
          <w:sz w:val="22"/>
          <w:szCs w:val="22"/>
        </w:rPr>
        <w:t>SEG cuando entre en operació</w:t>
      </w:r>
      <w:r w:rsidR="00BA4360" w:rsidRPr="00D1772F">
        <w:rPr>
          <w:rFonts w:ascii="ITC Avant Garde" w:hAnsi="ITC Avant Garde"/>
          <w:sz w:val="22"/>
          <w:szCs w:val="22"/>
        </w:rPr>
        <w:t>n</w:t>
      </w:r>
      <w:r w:rsidR="000D2900" w:rsidRPr="00D1772F">
        <w:rPr>
          <w:rFonts w:ascii="ITC Avant Garde" w:hAnsi="ITC Avant Garde"/>
          <w:sz w:val="22"/>
          <w:szCs w:val="22"/>
        </w:rPr>
        <w:t>.</w:t>
      </w:r>
    </w:p>
    <w:p w14:paraId="373E1D37" w14:textId="77777777" w:rsidR="003464AF" w:rsidRPr="00D1772F" w:rsidRDefault="000D2900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>L</w:t>
      </w:r>
      <w:r w:rsidR="003464AF" w:rsidRPr="00D1772F">
        <w:rPr>
          <w:rFonts w:ascii="ITC Avant Garde" w:hAnsi="ITC Avant Garde"/>
          <w:sz w:val="22"/>
          <w:szCs w:val="22"/>
        </w:rPr>
        <w:t>os puntos de contacto anteriores estarán disponibles 7x24 horas los 365 días del año, a efecto de que e</w:t>
      </w:r>
      <w:r w:rsidR="003464AF" w:rsidRPr="00D1772F">
        <w:rPr>
          <w:rFonts w:ascii="ITC Avant Garde" w:hAnsi="ITC Avant Garde"/>
          <w:bCs/>
          <w:sz w:val="22"/>
          <w:szCs w:val="22"/>
        </w:rPr>
        <w:t xml:space="preserve">l </w:t>
      </w:r>
      <w:r w:rsidR="001F0E45" w:rsidRPr="00D1772F">
        <w:rPr>
          <w:rFonts w:ascii="ITC Avant Garde" w:hAnsi="ITC Avant Garde"/>
          <w:bCs/>
          <w:sz w:val="22"/>
          <w:szCs w:val="22"/>
        </w:rPr>
        <w:t>CS</w:t>
      </w:r>
      <w:r w:rsidR="003464AF" w:rsidRPr="00D1772F">
        <w:rPr>
          <w:rFonts w:ascii="ITC Avant Garde" w:hAnsi="ITC Avant Garde"/>
          <w:bCs/>
          <w:sz w:val="22"/>
          <w:szCs w:val="22"/>
        </w:rPr>
        <w:t xml:space="preserve"> pueda dar seguimiento a la reparación de fallas y gestión de incidencias</w:t>
      </w:r>
      <w:r w:rsidR="003464AF" w:rsidRPr="00D1772F">
        <w:rPr>
          <w:rFonts w:ascii="ITC Avant Garde" w:hAnsi="ITC Avant Garde"/>
          <w:sz w:val="22"/>
          <w:szCs w:val="22"/>
        </w:rPr>
        <w:t>.</w:t>
      </w:r>
    </w:p>
    <w:p w14:paraId="70455747" w14:textId="77777777" w:rsidR="007D7739" w:rsidRPr="00D1772F" w:rsidRDefault="007D7739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 xml:space="preserve">La solución de fallas </w:t>
      </w:r>
      <w:r w:rsidR="00551C64" w:rsidRPr="00D1772F">
        <w:rPr>
          <w:rFonts w:ascii="ITC Avant Garde" w:hAnsi="ITC Avant Garde"/>
          <w:sz w:val="22"/>
          <w:szCs w:val="22"/>
        </w:rPr>
        <w:t xml:space="preserve">e incidencias </w:t>
      </w:r>
      <w:r w:rsidRPr="00D1772F">
        <w:rPr>
          <w:rFonts w:ascii="ITC Avant Garde" w:hAnsi="ITC Avant Garde"/>
          <w:sz w:val="22"/>
          <w:szCs w:val="22"/>
        </w:rPr>
        <w:t>se ajustará a lo establecido en los correspondientes acuerdos de nivel de servicio. Los días hábiles para la atención de fallas</w:t>
      </w:r>
      <w:r w:rsidR="00551C64" w:rsidRPr="00D1772F">
        <w:rPr>
          <w:rFonts w:ascii="ITC Avant Garde" w:hAnsi="ITC Avant Garde"/>
          <w:sz w:val="22"/>
          <w:szCs w:val="22"/>
        </w:rPr>
        <w:t xml:space="preserve"> e incidencias</w:t>
      </w:r>
      <w:r w:rsidRPr="00D1772F">
        <w:rPr>
          <w:rFonts w:ascii="ITC Avant Garde" w:hAnsi="ITC Avant Garde"/>
          <w:sz w:val="22"/>
          <w:szCs w:val="22"/>
        </w:rPr>
        <w:t xml:space="preserve"> para servicios básicos de desagregación se consideran de lunes a viernes, de conformidad con lo que realiza Telmex en su propia operación.</w:t>
      </w:r>
    </w:p>
    <w:p w14:paraId="197E30E1" w14:textId="77777777" w:rsidR="003464AF" w:rsidRPr="00D1772F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 xml:space="preserve">La solución a estas </w:t>
      </w:r>
      <w:r w:rsidR="00551C64" w:rsidRPr="00D1772F">
        <w:rPr>
          <w:rFonts w:ascii="ITC Avant Garde" w:hAnsi="ITC Avant Garde"/>
          <w:sz w:val="22"/>
          <w:szCs w:val="22"/>
        </w:rPr>
        <w:t xml:space="preserve">fallas e </w:t>
      </w:r>
      <w:r w:rsidRPr="00D1772F">
        <w:rPr>
          <w:rFonts w:ascii="ITC Avant Garde" w:hAnsi="ITC Avant Garde"/>
          <w:sz w:val="22"/>
          <w:szCs w:val="22"/>
        </w:rPr>
        <w:t>incidencias puede o no ser responsabilidad de Telmex (circunstancia que se precisaría en el reporte que para tal efecto se levante mediante un identificador que defina al “concesionario responsable”).</w:t>
      </w:r>
    </w:p>
    <w:p w14:paraId="60A1AD40" w14:textId="77777777" w:rsidR="003464AF" w:rsidRPr="00551C64" w:rsidRDefault="003464AF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551C64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VERIFICACIÓN PREVIA A REPORTE DE </w:t>
      </w:r>
      <w:r w:rsidR="00551C64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FALLAS E </w:t>
      </w:r>
      <w:r w:rsidRPr="00551C64">
        <w:rPr>
          <w:rFonts w:ascii="ITC Avant Garde" w:hAnsi="ITC Avant Garde"/>
          <w:b/>
          <w:color w:val="000000"/>
          <w:sz w:val="22"/>
          <w:szCs w:val="22"/>
          <w:u w:val="single"/>
        </w:rPr>
        <w:t>INCIDENCIAS</w:t>
      </w:r>
    </w:p>
    <w:p w14:paraId="4D16818C" w14:textId="77777777" w:rsidR="008B5722" w:rsidRPr="008B5722" w:rsidRDefault="008B5722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>Para cualquier servicio de desagregación, antes de levantar un reporte de falla o Incidencia, el CS o Telmex, según aplique deberán comprobar previamente que la falla o incidencia no obedece a una falla o incidencia de su propia red, por ejemplo:</w:t>
      </w:r>
    </w:p>
    <w:p w14:paraId="7374ACC0" w14:textId="77777777" w:rsidR="008B5722" w:rsidRDefault="008B5722" w:rsidP="00475A17">
      <w:pPr>
        <w:pStyle w:val="CondicionesFinales"/>
        <w:numPr>
          <w:ilvl w:val="0"/>
          <w:numId w:val="17"/>
        </w:numPr>
      </w:pPr>
      <w:r>
        <w:lastRenderedPageBreak/>
        <w:t>Mal funcionamiento de los elementos de red del propio CS, o red de Telmex, según aplique.</w:t>
      </w:r>
    </w:p>
    <w:p w14:paraId="5E143A3C" w14:textId="77777777" w:rsidR="008B5722" w:rsidRDefault="008B5722" w:rsidP="00475A17">
      <w:pPr>
        <w:pStyle w:val="CondicionesFinales"/>
        <w:numPr>
          <w:ilvl w:val="0"/>
          <w:numId w:val="17"/>
        </w:numPr>
      </w:pPr>
      <w:r>
        <w:t>Defectos, anomalías o interferencias en la red o instalaciones del propio Telmex, CS o de sus clientes, según aplique.</w:t>
      </w:r>
    </w:p>
    <w:p w14:paraId="490AECA2" w14:textId="77777777" w:rsidR="008B5722" w:rsidRDefault="008B5722" w:rsidP="00475A17">
      <w:pPr>
        <w:pStyle w:val="CondicionesFinales"/>
        <w:numPr>
          <w:ilvl w:val="0"/>
          <w:numId w:val="17"/>
        </w:numPr>
      </w:pPr>
      <w:r>
        <w:t>Configuración incorrecta de los parámetros de red del propio Telmex o CS, según aplique.</w:t>
      </w:r>
    </w:p>
    <w:p w14:paraId="4324DEB7" w14:textId="77777777" w:rsidR="008B5722" w:rsidRDefault="008B5722" w:rsidP="00475A17">
      <w:pPr>
        <w:pStyle w:val="CondicionesFinales"/>
        <w:numPr>
          <w:ilvl w:val="0"/>
          <w:numId w:val="17"/>
        </w:numPr>
      </w:pPr>
      <w:r>
        <w:t>El CS y Telmex deberán asegurarse que sus equipos de fuerza estén encendidos y cuentan con energía eléctrica en el sitio.</w:t>
      </w:r>
    </w:p>
    <w:p w14:paraId="7880E07A" w14:textId="52356034" w:rsidR="008B5722" w:rsidRPr="008B5722" w:rsidRDefault="008B5722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>Al levantar el reporte de falla el CS o Telmex, según aplique, deberán informar concretamente la falla o incidencia y las comprobaciones realizadas en sus elementos de red que tengan relación con el servicio proporcionado por Telmex.</w:t>
      </w:r>
    </w:p>
    <w:p w14:paraId="0330ABE6" w14:textId="77777777" w:rsidR="008B5722" w:rsidRPr="008B5722" w:rsidRDefault="008B5722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>Es recomendable en el caso de los servicios de desagregación seguir una lista de puntos para la comprobación del estado de los equipos de red y los equipos e instalación en el domicilio del suscriptor, como mínimo se muestra a continuación una lista de puntos de acuerdo con cada uno de los servicios de desagregación:</w:t>
      </w:r>
    </w:p>
    <w:p w14:paraId="7D3F4887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 xml:space="preserve">Servicio de Reventa de Línea </w:t>
      </w:r>
    </w:p>
    <w:p w14:paraId="2CA5666C" w14:textId="77777777" w:rsidR="008B5722" w:rsidRDefault="008B5722" w:rsidP="00475A17">
      <w:pPr>
        <w:pStyle w:val="CondicionesFinales"/>
      </w:pPr>
      <w:r>
        <w:t>Línea Telefónica</w:t>
      </w:r>
    </w:p>
    <w:p w14:paraId="605701F1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El aparato telefónico está debidamente colgado y conectado al PCT (DIT).</w:t>
      </w:r>
    </w:p>
    <w:p w14:paraId="04F26A0C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Todas las extensiones estén colgadas y correctamente conectadas</w:t>
      </w:r>
    </w:p>
    <w:p w14:paraId="62DB0C9F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En el caso de teléfonos inalámbricos que éstos se encuentren conectados a la corriente eléctrica.</w:t>
      </w:r>
    </w:p>
    <w:p w14:paraId="08802DCB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Revisar que no existan fallas en el cableado interior en el domicilio del cliente.</w:t>
      </w:r>
    </w:p>
    <w:p w14:paraId="38698C27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Reventa de Infinitum y de Paquetes</w:t>
      </w:r>
    </w:p>
    <w:p w14:paraId="443291FA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lastRenderedPageBreak/>
        <w:t>Equipo terminal encendido y debidamente conectado a la corriente eléctrica y al PCT.</w:t>
      </w:r>
    </w:p>
    <w:p w14:paraId="63170D8B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Si la conexión es "alámbrica" (cable de red), revisar que está conectado debidamente al equipo de cómputo.</w:t>
      </w:r>
    </w:p>
    <w:p w14:paraId="066F72A7" w14:textId="64B8828E" w:rsidR="008B5722" w:rsidRDefault="008B5722" w:rsidP="00475A17">
      <w:pPr>
        <w:pStyle w:val="CondicionesFinales"/>
        <w:numPr>
          <w:ilvl w:val="0"/>
          <w:numId w:val="18"/>
        </w:numPr>
      </w:pPr>
      <w:r>
        <w:t>Configuración del navegador correcta.</w:t>
      </w:r>
    </w:p>
    <w:p w14:paraId="7C8E2C62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Revisar el equipo de cómputo (pc o laptop) y descartar problemas tales como: infección por virus, desempeño lento debido a falta de memoria o espacio disponible en su disco duro.</w:t>
      </w:r>
    </w:p>
    <w:p w14:paraId="7549A2E2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Si se emplea una computadora portátil, asegurarse que el indicador de la conexión inalámbrica esté encendido.</w:t>
      </w:r>
    </w:p>
    <w:p w14:paraId="24FABEE6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Si se utiliza una conexión alámbrica (cableado de red) revisar que esté en buenas condiciones.</w:t>
      </w:r>
    </w:p>
    <w:p w14:paraId="427A4EB4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El CS o Telmex, según aplique, podrán medir la tasa de transferencia, mediante la descarga de 3 sitios diferentes.</w:t>
      </w:r>
    </w:p>
    <w:p w14:paraId="692A1E5D" w14:textId="1728E73C" w:rsidR="008B5722" w:rsidRDefault="008B5722" w:rsidP="00475A17">
      <w:pPr>
        <w:pStyle w:val="CondicionesFinales"/>
        <w:numPr>
          <w:ilvl w:val="0"/>
          <w:numId w:val="18"/>
        </w:numPr>
      </w:pPr>
      <w:r>
        <w:t>El CS o Telmex, según aplique, deberán de realizar pruebas en la conexión de Wi</w:t>
      </w:r>
      <w:r w:rsidR="00D46FFC">
        <w:t>-</w:t>
      </w:r>
      <w:r>
        <w:t>fi del cliente, por ejemplo:</w:t>
      </w:r>
    </w:p>
    <w:p w14:paraId="0FDBC0DC" w14:textId="77777777" w:rsidR="008B5722" w:rsidRPr="00396DFC" w:rsidRDefault="008B5722" w:rsidP="00475A17">
      <w:pPr>
        <w:pStyle w:val="CondicionesFinales"/>
        <w:numPr>
          <w:ilvl w:val="0"/>
          <w:numId w:val="18"/>
        </w:numPr>
      </w:pPr>
      <w:r w:rsidRPr="00396DFC">
        <w:t>Verificar la cobertura.</w:t>
      </w:r>
    </w:p>
    <w:p w14:paraId="7C82810C" w14:textId="77777777" w:rsidR="008B5722" w:rsidRPr="00396DFC" w:rsidRDefault="008B5722" w:rsidP="00475A17">
      <w:pPr>
        <w:pStyle w:val="CondicionesFinales"/>
        <w:numPr>
          <w:ilvl w:val="0"/>
          <w:numId w:val="18"/>
        </w:numPr>
      </w:pPr>
      <w:r w:rsidRPr="00396DFC">
        <w:t>Validar las diferentes interferencias que pueden afectar la conexión.</w:t>
      </w:r>
    </w:p>
    <w:p w14:paraId="359DB45A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Revisar que no existan fallas en el cableado interior en el domicilio del cliente.</w:t>
      </w:r>
    </w:p>
    <w:p w14:paraId="22734CFC" w14:textId="27291FA8" w:rsidR="00A23BF3" w:rsidRPr="007C546C" w:rsidRDefault="008B5722" w:rsidP="00A23BF3">
      <w:pPr>
        <w:pStyle w:val="CondicionesFinales"/>
        <w:numPr>
          <w:ilvl w:val="0"/>
          <w:numId w:val="18"/>
        </w:numPr>
      </w:pPr>
      <w:r>
        <w:t xml:space="preserve">En caso de que el servicio se provea por fibra óptica el CS deberá probar la potencia, cuyo valor deberá ser </w:t>
      </w:r>
      <w:r>
        <w:rPr>
          <w:lang w:val="es-MX"/>
        </w:rPr>
        <w:t>&gt; -28 dBm</w:t>
      </w:r>
      <w:r w:rsidR="007A4DA2">
        <w:rPr>
          <w:lang w:val="es-MX"/>
        </w:rPr>
        <w:t xml:space="preserve"> </w:t>
      </w:r>
      <w:r w:rsidR="00A23BF3" w:rsidRPr="007C546C">
        <w:t xml:space="preserve">(como referencia </w:t>
      </w:r>
      <w:r w:rsidR="007A4DA2">
        <w:t>y de manera enunciativa mas no</w:t>
      </w:r>
      <w:r w:rsidR="0038557E">
        <w:t xml:space="preserve"> </w:t>
      </w:r>
      <w:r w:rsidR="007A4DA2">
        <w:t>limitativa podrá utilizar los equipos que Telmex usa en su operación actual como lo son el</w:t>
      </w:r>
      <w:r w:rsidR="00A23BF3" w:rsidRPr="007C546C">
        <w:t xml:space="preserve"> G</w:t>
      </w:r>
      <w:r w:rsidR="007A4DA2">
        <w:t>RP-450, HP3-60 ó EPM-53-PMA-54)</w:t>
      </w:r>
      <w:r w:rsidR="0038557E">
        <w:t xml:space="preserve">. Este </w:t>
      </w:r>
      <w:r w:rsidR="00A23BF3" w:rsidRPr="007C546C">
        <w:t>parámetro está basado en el estándar G.984.2 de la UIT-T y considera una prueba funcional entre la OLT y el PCT en la ONT.</w:t>
      </w:r>
    </w:p>
    <w:p w14:paraId="7626B174" w14:textId="691D280D" w:rsidR="00350243" w:rsidRDefault="00D46FFC" w:rsidP="00350243">
      <w:pPr>
        <w:pStyle w:val="CondicionesFinales"/>
        <w:ind w:left="1211"/>
        <w:rPr>
          <w:lang w:val="es-MX"/>
        </w:rPr>
      </w:pPr>
      <w:r>
        <w:rPr>
          <w:lang w:val="es-MX"/>
        </w:rPr>
        <w:lastRenderedPageBreak/>
        <w:t xml:space="preserve">Cualquier prueba realizada deberá atender cuando menos lo especificado en los estándares de la UIT bajo los cuales se regulan las tecnologías, medios y servicios sobre fibra óptica, por ejemplo, la recomendación </w:t>
      </w:r>
      <w:r>
        <w:t>ITU-T G.652, entre otras.</w:t>
      </w:r>
      <w:r>
        <w:rPr>
          <w:lang w:val="es-MX"/>
        </w:rPr>
        <w:t xml:space="preserve"> </w:t>
      </w:r>
    </w:p>
    <w:p w14:paraId="4269282A" w14:textId="77777777" w:rsidR="00350243" w:rsidRPr="00350243" w:rsidRDefault="00350243" w:rsidP="00350243">
      <w:pPr>
        <w:pStyle w:val="CondicionesFinales"/>
        <w:ind w:left="1211"/>
        <w:rPr>
          <w:lang w:val="es-MX"/>
        </w:rPr>
      </w:pPr>
      <w:r w:rsidRPr="00350243">
        <w:rPr>
          <w:lang w:val="es-MX"/>
        </w:rPr>
        <w:t xml:space="preserve">Cada prueba realizada que implique el uso de un equipo de medición deberá ser ejecutada una vez calibrado correctamente dicho equipo. </w:t>
      </w:r>
    </w:p>
    <w:p w14:paraId="2EDC6F10" w14:textId="38F29DEE" w:rsidR="008B5722" w:rsidRPr="00396DFC" w:rsidRDefault="008B5722" w:rsidP="00475A17">
      <w:pPr>
        <w:pStyle w:val="CondicionesFinales"/>
        <w:rPr>
          <w:b/>
          <w:color w:val="auto"/>
          <w:lang w:val="es-MX"/>
        </w:rPr>
      </w:pPr>
      <w:r w:rsidRPr="00396DFC">
        <w:rPr>
          <w:b/>
          <w:lang w:val="es-MX"/>
        </w:rPr>
        <w:t xml:space="preserve">Falla o incidencia por Módem </w:t>
      </w:r>
    </w:p>
    <w:p w14:paraId="599D92A6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 xml:space="preserve">En las soluciones en donde se requiera cambiar el modem, se proporcionara un número de Folio al concesionario para que realice el cambio en tienda Telmex o indicar si lo requiere por mensajería. </w:t>
      </w:r>
    </w:p>
    <w:p w14:paraId="0D0FE258" w14:textId="77777777" w:rsidR="008B5722" w:rsidRPr="00396DFC" w:rsidRDefault="008B5722" w:rsidP="00475A17">
      <w:pPr>
        <w:pStyle w:val="CondicionesFinales"/>
        <w:rPr>
          <w:b/>
          <w:color w:val="auto"/>
          <w:lang w:val="es-MX"/>
        </w:rPr>
      </w:pPr>
      <w:r w:rsidRPr="00396DFC">
        <w:rPr>
          <w:b/>
          <w:lang w:val="es-MX"/>
        </w:rPr>
        <w:t>Falla o incidencia por ONT</w:t>
      </w:r>
    </w:p>
    <w:p w14:paraId="356AFCFF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En las soluciones en donde se requiera cambiar la ONT, el cambio se realizara por un técnico Telmex en el domicilio del usuario final.</w:t>
      </w:r>
    </w:p>
    <w:p w14:paraId="647890DC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Acceso Indirecto al Bucle</w:t>
      </w:r>
    </w:p>
    <w:p w14:paraId="005A3A0B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la falla o incidencia no se deba a un problema en el cableado interior de usuario.</w:t>
      </w:r>
    </w:p>
    <w:p w14:paraId="20715D9D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Verificar que el Módem o la ONT esté encendido </w:t>
      </w:r>
    </w:p>
    <w:p w14:paraId="38210A8E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el Módem o la ONT esté conectado a la línea y a su vez la línea esté conectada al PCT.</w:t>
      </w:r>
    </w:p>
    <w:p w14:paraId="669ECC7D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El equipo terminal de usuario deberá tener sincronía y enlace; en caso de  que el medio de acceso sea cobre, deberá verificar que el led DSL este de color verde;</w:t>
      </w:r>
    </w:p>
    <w:p w14:paraId="7517CE9E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la configuración de su equipo terminal de usuario;</w:t>
      </w:r>
    </w:p>
    <w:p w14:paraId="2D5E833A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 el puerto en su equipo donde recibe el tráfico de datos;</w:t>
      </w:r>
    </w:p>
    <w:p w14:paraId="1DDD1D6B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lastRenderedPageBreak/>
        <w:t>Revisar que no existan fallas en el cableado interior en el domicilio del cliente.</w:t>
      </w:r>
    </w:p>
    <w:p w14:paraId="46BE4113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Desagregación Total del bucle y Compartida del Bucle</w:t>
      </w:r>
    </w:p>
    <w:p w14:paraId="0BD36061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Revisar que no existan fallas en el cableado interior en el domicilio del usuario.</w:t>
      </w:r>
    </w:p>
    <w:p w14:paraId="472520FC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la existencia de tono de voz.</w:t>
      </w:r>
    </w:p>
    <w:p w14:paraId="766F42C7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la configuración de su equipo terminal de usuario;</w:t>
      </w:r>
    </w:p>
    <w:p w14:paraId="2561C754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Probar la señal hacia su red del par de cobre en su Coubicación;</w:t>
      </w:r>
    </w:p>
    <w:p w14:paraId="33289EE2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el tendido de cableado multipar no tenga fallas.</w:t>
      </w:r>
    </w:p>
    <w:p w14:paraId="386414E0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Desagregación Total del Sub-Bucle y Compartida de Sub-Bucle</w:t>
      </w:r>
    </w:p>
    <w:p w14:paraId="7281A7DE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la falla no se deba a un problema en el cableado interior de usuario.</w:t>
      </w:r>
    </w:p>
    <w:p w14:paraId="7311EF53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Verificar la existencia de tono de voz </w:t>
      </w:r>
    </w:p>
    <w:p w14:paraId="121730C7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la configuración de su equipo terminal de usuario;</w:t>
      </w:r>
    </w:p>
    <w:p w14:paraId="1EB6EBE1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el servicio anexo de caja no tenga fallas.</w:t>
      </w:r>
    </w:p>
    <w:p w14:paraId="6A83E94F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Coubicación</w:t>
      </w:r>
    </w:p>
    <w:p w14:paraId="619A5BFB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En caso de Coubicación, Telmex atenderá las fallas, no obstante, si las fallas en energía o clima fueron ocasionadas por un mal uso de las instalaciones o por excesos de consumo de los equipos de concesionario, el CS deberá pagar las reparaciones correspondientes. </w:t>
      </w:r>
    </w:p>
    <w:p w14:paraId="15757AD3" w14:textId="77777777" w:rsidR="001E517E" w:rsidRDefault="001E517E" w:rsidP="001E517E">
      <w:pPr>
        <w:pStyle w:val="CondicionesFinales"/>
      </w:pPr>
    </w:p>
    <w:p w14:paraId="78C62AD2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Concentración y Distribución</w:t>
      </w:r>
    </w:p>
    <w:p w14:paraId="6565A8CE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lastRenderedPageBreak/>
        <w:t xml:space="preserve">Verificar que el estado de conexión del puerto de entrega del servicio esté Up-Up. En este caso las redes tienen conectividad y no existe falla en este punto del servicio.  </w:t>
      </w:r>
    </w:p>
    <w:p w14:paraId="0809E40B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Hacer un ping entre el pCAI y su red. Si el Ping es exitoso las redes tienen conectividad y no existe falla en este punto del servicio, de lo contrario el CS puede reportar el servicio.</w:t>
      </w:r>
    </w:p>
    <w:p w14:paraId="7E7E4179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En caso de que el puerto de entrega del servicio indique Up-Down o Down-Down se debe validar un loop desde el puerto del DFO-CS hasta su red. Si hay continuidad en el Loop el CS puede reportar falla en este punto del servicio</w:t>
      </w:r>
    </w:p>
    <w:p w14:paraId="4CA2CA19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Anexo de Caja de Distribución</w:t>
      </w:r>
    </w:p>
    <w:p w14:paraId="1C3006C3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Verificación física del anexo. </w:t>
      </w:r>
    </w:p>
    <w:p w14:paraId="79802CF8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Cableado Multipar entre DG</w:t>
      </w:r>
    </w:p>
    <w:p w14:paraId="454A26E5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el par se encuentre correctamente terminado.</w:t>
      </w:r>
    </w:p>
    <w:p w14:paraId="48C30252" w14:textId="77777777" w:rsidR="008B5722" w:rsidRDefault="008B5722" w:rsidP="00475A17">
      <w:pPr>
        <w:pStyle w:val="CondicionesFinales"/>
        <w:numPr>
          <w:ilvl w:val="0"/>
          <w:numId w:val="19"/>
        </w:numPr>
        <w:rPr>
          <w:color w:val="auto"/>
        </w:rPr>
      </w:pPr>
      <w:r>
        <w:t xml:space="preserve">En caso que aun después de la pre-verificación persista la incidencia, el CS deberá reportar la misma de acuerdo al siguiente procedimiento: </w:t>
      </w:r>
    </w:p>
    <w:p w14:paraId="7C3CE98A" w14:textId="77777777" w:rsidR="008B5722" w:rsidRPr="008B5722" w:rsidRDefault="008B5722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 xml:space="preserve">En caso que aun después de la pre-verificación persista la incidencia, el CS deberá reportar la misma de acuerdo al siguiente procedimiento: </w:t>
      </w:r>
    </w:p>
    <w:p w14:paraId="3CFAF9BA" w14:textId="77777777" w:rsidR="00475A17" w:rsidRDefault="00475A17" w:rsidP="00D1772F">
      <w:pPr>
        <w:pStyle w:val="Texto1"/>
        <w:spacing w:line="276" w:lineRule="auto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</w:p>
    <w:p w14:paraId="0AF43840" w14:textId="4DA371B0" w:rsidR="003464AF" w:rsidRDefault="003464AF" w:rsidP="00475A17">
      <w:pPr>
        <w:pStyle w:val="Texto1"/>
        <w:spacing w:after="200" w:line="276" w:lineRule="auto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551C64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PROCEDIMIENTO DE REPORTE DE </w:t>
      </w:r>
      <w:r w:rsidR="00551C64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FALLAS E </w:t>
      </w:r>
      <w:r w:rsidRPr="00551C64">
        <w:rPr>
          <w:rFonts w:ascii="ITC Avant Garde" w:hAnsi="ITC Avant Garde"/>
          <w:b/>
          <w:color w:val="000000"/>
          <w:sz w:val="22"/>
          <w:szCs w:val="22"/>
          <w:u w:val="single"/>
        </w:rPr>
        <w:t>INCIDENCIA</w:t>
      </w:r>
      <w:r w:rsidR="00551C64">
        <w:rPr>
          <w:rFonts w:ascii="ITC Avant Garde" w:hAnsi="ITC Avant Garde"/>
          <w:b/>
          <w:color w:val="000000"/>
          <w:sz w:val="22"/>
          <w:szCs w:val="22"/>
          <w:u w:val="single"/>
        </w:rPr>
        <w:t>S</w:t>
      </w:r>
    </w:p>
    <w:p w14:paraId="6F9AB3A5" w14:textId="77777777" w:rsidR="00C736B6" w:rsidRPr="00551C64" w:rsidRDefault="00C736B6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551C64">
        <w:rPr>
          <w:rFonts w:ascii="ITC Avant Garde" w:hAnsi="ITC Avant Garde"/>
          <w:sz w:val="22"/>
          <w:szCs w:val="22"/>
        </w:rPr>
        <w:t>Cualquier reporte de</w:t>
      </w:r>
      <w:r>
        <w:rPr>
          <w:rFonts w:ascii="ITC Avant Garde" w:hAnsi="ITC Avant Garde"/>
          <w:sz w:val="22"/>
          <w:szCs w:val="22"/>
        </w:rPr>
        <w:t xml:space="preserve"> falla o</w:t>
      </w:r>
      <w:r w:rsidRPr="00551C64">
        <w:rPr>
          <w:rFonts w:ascii="ITC Avant Garde" w:hAnsi="ITC Avant Garde"/>
          <w:sz w:val="22"/>
          <w:szCs w:val="22"/>
        </w:rPr>
        <w:t xml:space="preserve"> incidencia ajeno al alcance de los servicios de la Oferta de Desagregación que no esté relacionado con un daño en la infraestructura Telmex se considera una falla imputable al CS o de caso fortuito o fuerza mayor.</w:t>
      </w:r>
    </w:p>
    <w:p w14:paraId="74D55C0D" w14:textId="77777777" w:rsidR="00C736B6" w:rsidRPr="00551C64" w:rsidRDefault="00C736B6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551C64">
        <w:rPr>
          <w:rFonts w:ascii="ITC Avant Garde" w:hAnsi="ITC Avant Garde"/>
          <w:sz w:val="22"/>
          <w:szCs w:val="22"/>
        </w:rPr>
        <w:t xml:space="preserve">El concesionario que haya originado un aviso de incidencia </w:t>
      </w:r>
      <w:r w:rsidR="003170F4">
        <w:rPr>
          <w:rFonts w:ascii="ITC Avant Garde" w:hAnsi="ITC Avant Garde"/>
          <w:sz w:val="22"/>
          <w:szCs w:val="22"/>
        </w:rPr>
        <w:t xml:space="preserve">del cual derive la realización de actividades y pruebas que permitan que la falla o incidente </w:t>
      </w:r>
      <w:r w:rsidRPr="00551C64">
        <w:rPr>
          <w:rFonts w:ascii="ITC Avant Garde" w:hAnsi="ITC Avant Garde"/>
          <w:sz w:val="22"/>
          <w:szCs w:val="22"/>
        </w:rPr>
        <w:t>sea declarada imputable al mismo concesionario, deberá pagar a Telmex por los gastos incurridos durante la</w:t>
      </w:r>
      <w:r w:rsidR="003170F4">
        <w:rPr>
          <w:rFonts w:ascii="ITC Avant Garde" w:hAnsi="ITC Avant Garde"/>
          <w:sz w:val="22"/>
          <w:szCs w:val="22"/>
        </w:rPr>
        <w:t>s actividades realizadas para la</w:t>
      </w:r>
      <w:r w:rsidRPr="00551C64">
        <w:rPr>
          <w:rFonts w:ascii="ITC Avant Garde" w:hAnsi="ITC Avant Garde"/>
          <w:sz w:val="22"/>
          <w:szCs w:val="22"/>
        </w:rPr>
        <w:t xml:space="preserve"> atención de la falla.</w:t>
      </w:r>
    </w:p>
    <w:p w14:paraId="7B6B021C" w14:textId="02354653" w:rsidR="00F57A69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lastRenderedPageBreak/>
        <w:t xml:space="preserve">Los </w:t>
      </w:r>
      <w:r w:rsidR="00350243">
        <w:rPr>
          <w:rFonts w:ascii="ITC Avant Garde" w:hAnsi="ITC Avant Garde"/>
          <w:sz w:val="22"/>
          <w:szCs w:val="22"/>
        </w:rPr>
        <w:t>CS</w:t>
      </w:r>
      <w:r w:rsidRPr="008B5722">
        <w:rPr>
          <w:rFonts w:ascii="ITC Avant Garde" w:hAnsi="ITC Avant Garde"/>
          <w:sz w:val="22"/>
          <w:szCs w:val="22"/>
        </w:rPr>
        <w:t xml:space="preserve"> reportar</w:t>
      </w:r>
      <w:r w:rsidR="00F57A69" w:rsidRPr="008B5722">
        <w:rPr>
          <w:rFonts w:ascii="ITC Avant Garde" w:hAnsi="ITC Avant Garde"/>
          <w:sz w:val="22"/>
          <w:szCs w:val="22"/>
        </w:rPr>
        <w:t>án</w:t>
      </w:r>
      <w:r w:rsidRPr="008B5722">
        <w:rPr>
          <w:rFonts w:ascii="ITC Avant Garde" w:hAnsi="ITC Avant Garde"/>
          <w:sz w:val="22"/>
          <w:szCs w:val="22"/>
        </w:rPr>
        <w:t xml:space="preserve"> las Incidencias </w:t>
      </w:r>
      <w:r w:rsidR="00F57A69" w:rsidRPr="00551C64">
        <w:rPr>
          <w:rFonts w:ascii="ITC Avant Garde" w:hAnsi="ITC Avant Garde"/>
          <w:sz w:val="22"/>
          <w:szCs w:val="22"/>
        </w:rPr>
        <w:t>de servicios masivos de desagregación (SRL,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SRI,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SRP,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SAIB,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SDTB</w:t>
      </w:r>
      <w:r w:rsidR="001F0E45" w:rsidRPr="00551C64">
        <w:rPr>
          <w:rFonts w:ascii="ITC Avant Garde" w:hAnsi="ITC Avant Garde"/>
          <w:sz w:val="22"/>
          <w:szCs w:val="22"/>
        </w:rPr>
        <w:t>L</w:t>
      </w:r>
      <w:r w:rsidR="00F57A69" w:rsidRPr="00551C64">
        <w:rPr>
          <w:rFonts w:ascii="ITC Avant Garde" w:hAnsi="ITC Avant Garde"/>
          <w:sz w:val="22"/>
          <w:szCs w:val="22"/>
        </w:rPr>
        <w:t>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SDTSB</w:t>
      </w:r>
      <w:r w:rsidR="001F0E45" w:rsidRPr="00551C64">
        <w:rPr>
          <w:rFonts w:ascii="ITC Avant Garde" w:hAnsi="ITC Avant Garde"/>
          <w:sz w:val="22"/>
          <w:szCs w:val="22"/>
        </w:rPr>
        <w:t>L</w:t>
      </w:r>
      <w:r w:rsidR="00F57A69" w:rsidRPr="00551C64">
        <w:rPr>
          <w:rFonts w:ascii="ITC Avant Garde" w:hAnsi="ITC Avant Garde"/>
          <w:sz w:val="22"/>
          <w:szCs w:val="22"/>
        </w:rPr>
        <w:t>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SDCB</w:t>
      </w:r>
      <w:r w:rsidR="001F0E45" w:rsidRPr="00551C64">
        <w:rPr>
          <w:rFonts w:ascii="ITC Avant Garde" w:hAnsi="ITC Avant Garde"/>
          <w:sz w:val="22"/>
          <w:szCs w:val="22"/>
        </w:rPr>
        <w:t>L</w:t>
      </w:r>
      <w:r w:rsidR="00AD487C" w:rsidRPr="00551C64">
        <w:rPr>
          <w:rFonts w:ascii="ITC Avant Garde" w:hAnsi="ITC Avant Garde"/>
          <w:sz w:val="22"/>
          <w:szCs w:val="22"/>
        </w:rPr>
        <w:t xml:space="preserve"> y</w:t>
      </w:r>
      <w:r w:rsidR="00F57A69" w:rsidRPr="00551C64">
        <w:rPr>
          <w:rFonts w:ascii="ITC Avant Garde" w:hAnsi="ITC Avant Garde"/>
          <w:sz w:val="22"/>
          <w:szCs w:val="22"/>
        </w:rPr>
        <w:t xml:space="preserve"> SDCSB</w:t>
      </w:r>
      <w:r w:rsidR="001F0E45" w:rsidRPr="00551C64">
        <w:rPr>
          <w:rFonts w:ascii="ITC Avant Garde" w:hAnsi="ITC Avant Garde"/>
          <w:sz w:val="22"/>
          <w:szCs w:val="22"/>
        </w:rPr>
        <w:t>L</w:t>
      </w:r>
      <w:r w:rsidR="00082AAE">
        <w:rPr>
          <w:rFonts w:ascii="ITC Avant Garde" w:hAnsi="ITC Avant Garde"/>
          <w:sz w:val="22"/>
          <w:szCs w:val="22"/>
        </w:rPr>
        <w:t xml:space="preserve">, </w:t>
      </w:r>
      <w:r w:rsidR="00082AAE" w:rsidRPr="0015685A">
        <w:rPr>
          <w:rFonts w:ascii="ITC Avant Garde" w:hAnsi="ITC Avant Garde"/>
          <w:sz w:val="22"/>
          <w:szCs w:val="22"/>
        </w:rPr>
        <w:t>SCD y Servicios Auxiliares</w:t>
      </w:r>
      <w:r w:rsidR="00F57A69" w:rsidRPr="00551C64">
        <w:rPr>
          <w:rFonts w:ascii="ITC Avant Garde" w:hAnsi="ITC Avant Garde"/>
          <w:sz w:val="22"/>
          <w:szCs w:val="22"/>
        </w:rPr>
        <w:t xml:space="preserve">) que se presenten, a través </w:t>
      </w:r>
      <w:r w:rsidR="00A63C8E" w:rsidRPr="00551C64">
        <w:rPr>
          <w:rFonts w:ascii="ITC Avant Garde" w:hAnsi="ITC Avant Garde"/>
          <w:sz w:val="22"/>
          <w:szCs w:val="22"/>
        </w:rPr>
        <w:t>d</w:t>
      </w:r>
      <w:r w:rsidR="00F57A69" w:rsidRPr="00551C64">
        <w:rPr>
          <w:rFonts w:ascii="ITC Avant Garde" w:hAnsi="ITC Avant Garde"/>
          <w:color w:val="000000"/>
          <w:sz w:val="22"/>
          <w:szCs w:val="22"/>
        </w:rPr>
        <w:t xml:space="preserve">el número 01 800 40 40 734 con cobertura nacional, </w:t>
      </w:r>
      <w:r w:rsidR="005E5785" w:rsidRPr="00551C64">
        <w:rPr>
          <w:rFonts w:ascii="ITC Avant Garde" w:hAnsi="ITC Avant Garde"/>
          <w:color w:val="000000"/>
          <w:sz w:val="22"/>
          <w:szCs w:val="22"/>
        </w:rPr>
        <w:t xml:space="preserve">sólo </w:t>
      </w:r>
      <w:r w:rsidR="00A63C8E" w:rsidRPr="00551C64">
        <w:rPr>
          <w:rFonts w:ascii="ITC Avant Garde" w:hAnsi="ITC Avant Garde"/>
          <w:color w:val="000000"/>
          <w:sz w:val="22"/>
          <w:szCs w:val="22"/>
        </w:rPr>
        <w:t xml:space="preserve">cuando el número 800´s no </w:t>
      </w:r>
      <w:r w:rsidR="005E5785" w:rsidRPr="00551C64">
        <w:rPr>
          <w:rFonts w:ascii="ITC Avant Garde" w:hAnsi="ITC Avant Garde"/>
          <w:color w:val="000000"/>
          <w:sz w:val="22"/>
          <w:szCs w:val="22"/>
        </w:rPr>
        <w:t>esté</w:t>
      </w:r>
      <w:r w:rsidR="00A63C8E" w:rsidRPr="00551C64">
        <w:rPr>
          <w:rFonts w:ascii="ITC Avant Garde" w:hAnsi="ITC Avant Garde"/>
          <w:color w:val="000000"/>
          <w:sz w:val="22"/>
          <w:szCs w:val="22"/>
        </w:rPr>
        <w:t xml:space="preserve"> disponible </w:t>
      </w:r>
      <w:r w:rsidR="005E5785" w:rsidRPr="00551C64">
        <w:rPr>
          <w:rFonts w:ascii="ITC Avant Garde" w:hAnsi="ITC Avant Garde"/>
          <w:color w:val="000000"/>
          <w:sz w:val="22"/>
          <w:szCs w:val="22"/>
        </w:rPr>
        <w:t xml:space="preserve">lo podrá realizar </w:t>
      </w:r>
      <w:r w:rsidR="00F57A69" w:rsidRPr="00551C64">
        <w:rPr>
          <w:rFonts w:ascii="ITC Avant Garde" w:hAnsi="ITC Avant Garde"/>
          <w:color w:val="000000"/>
          <w:sz w:val="22"/>
          <w:szCs w:val="22"/>
        </w:rPr>
        <w:t xml:space="preserve">a través de correo electrónico </w:t>
      </w:r>
      <w:hyperlink r:id="rId11" w:history="1">
        <w:r w:rsidR="00082AAE" w:rsidRPr="00900DA8">
          <w:rPr>
            <w:rStyle w:val="Hipervnculo"/>
            <w:rFonts w:ascii="ITC Avant Garde" w:hAnsi="ITC Avant Garde"/>
            <w:sz w:val="22"/>
            <w:szCs w:val="22"/>
          </w:rPr>
          <w:t>OPERDES@telmex.com</w:t>
        </w:r>
      </w:hyperlink>
      <w:r w:rsidR="00082AAE">
        <w:rPr>
          <w:rFonts w:ascii="ITC Avant Garde" w:hAnsi="ITC Avant Garde"/>
          <w:color w:val="000000"/>
          <w:sz w:val="22"/>
          <w:szCs w:val="22"/>
        </w:rPr>
        <w:t>, del Sistema de Captura</w:t>
      </w:r>
      <w:r w:rsidR="00F57A69" w:rsidRPr="00551C64">
        <w:rPr>
          <w:rFonts w:ascii="ITC Avant Garde" w:hAnsi="ITC Avant Garde"/>
          <w:color w:val="000000"/>
          <w:sz w:val="22"/>
          <w:szCs w:val="22"/>
        </w:rPr>
        <w:t xml:space="preserve"> o del SEG cuando entre en operació</w:t>
      </w:r>
      <w:r w:rsidR="00F57A69" w:rsidRPr="00551C64">
        <w:rPr>
          <w:rFonts w:ascii="ITC Avant Garde" w:hAnsi="ITC Avant Garde"/>
          <w:sz w:val="22"/>
          <w:szCs w:val="22"/>
        </w:rPr>
        <w:t>n.</w:t>
      </w:r>
    </w:p>
    <w:p w14:paraId="60485305" w14:textId="00DE0123" w:rsidR="003464AF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La solución de</w:t>
      </w:r>
      <w:r w:rsidR="00BB57A7">
        <w:rPr>
          <w:rFonts w:ascii="ITC Avant Garde" w:hAnsi="ITC Avant Garde"/>
          <w:color w:val="000000"/>
          <w:sz w:val="22"/>
          <w:szCs w:val="22"/>
        </w:rPr>
        <w:t xml:space="preserve"> fallas o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incidencias se ajustará a lo establecido en los correspondientes acuerdos de nivel de servicio. </w:t>
      </w:r>
    </w:p>
    <w:p w14:paraId="6323ED6E" w14:textId="6DD8E4C0" w:rsidR="00082AAE" w:rsidRDefault="009F1D8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  <w:lang w:val="es-MX"/>
        </w:rPr>
      </w:pP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>Las fallas</w:t>
      </w:r>
      <w:r w:rsidR="00BB57A7">
        <w:rPr>
          <w:rFonts w:ascii="ITC Avant Garde" w:hAnsi="ITC Avant Garde"/>
          <w:color w:val="000000"/>
          <w:sz w:val="22"/>
          <w:szCs w:val="22"/>
          <w:lang w:val="es-MX"/>
        </w:rPr>
        <w:t xml:space="preserve"> o incidencias</w:t>
      </w: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 relacionadas con SRL serán reportadas por el usuario final al CS mediante una llamada a su centro de atención telefónico, a solicitud del CS, Telmex habilitará el Servicio 050 donde únicamente transferirá la llamada al CS, quien a su vez atenderá al cliente final, será responsable de levantar el reporte de la falla a Telmex </w:t>
      </w:r>
      <w:r w:rsidRPr="00551C64">
        <w:rPr>
          <w:rFonts w:ascii="ITC Avant Garde" w:hAnsi="ITC Avant Garde"/>
          <w:color w:val="000000"/>
          <w:sz w:val="22"/>
          <w:szCs w:val="22"/>
        </w:rPr>
        <w:t>en el 01800 40 40 734 o en el sistema de Captura o SEG según corresponda</w:t>
      </w: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 y podrá dar seguimiento a su atención y solución a través de los procedimientos establecidos en el </w:t>
      </w:r>
      <w:r w:rsidR="00082AAE">
        <w:rPr>
          <w:rFonts w:ascii="ITC Avant Garde" w:hAnsi="ITC Avant Garde"/>
          <w:color w:val="000000"/>
          <w:sz w:val="22"/>
          <w:szCs w:val="22"/>
          <w:lang w:val="es-MX"/>
        </w:rPr>
        <w:t>presente Anexo</w:t>
      </w: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. </w:t>
      </w:r>
    </w:p>
    <w:p w14:paraId="7458711F" w14:textId="77777777" w:rsidR="003464AF" w:rsidRPr="00551C64" w:rsidRDefault="009F1D8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  <w:lang w:val="es-MX"/>
        </w:rPr>
      </w:pP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>Cabe señalar que la atención de la llamada al 050 por parte de los clientes finales del CS se atenderá en las mismas condiciones de enrutamiento y encolamiento con que hoy se atienden los clientes de Telmex.</w:t>
      </w:r>
    </w:p>
    <w:p w14:paraId="7F8AB783" w14:textId="76C47E17" w:rsidR="003464AF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Cualquier Concesionario, incluido Telmex, podrá alertar sobre la existencia de alguna incidencia real o potencial que afecte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BB57A7">
        <w:rPr>
          <w:rFonts w:ascii="ITC Avant Garde" w:hAnsi="ITC Avant Garde"/>
          <w:color w:val="000000"/>
          <w:sz w:val="22"/>
          <w:szCs w:val="22"/>
        </w:rPr>
        <w:t xml:space="preserve">a todos los servicios materia de la Oferta de </w:t>
      </w:r>
      <w:r w:rsidR="008B5722">
        <w:rPr>
          <w:rFonts w:ascii="ITC Avant Garde" w:hAnsi="ITC Avant Garde"/>
          <w:color w:val="000000"/>
          <w:sz w:val="22"/>
          <w:szCs w:val="22"/>
        </w:rPr>
        <w:t>Referencia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, por tanto, se dará seguimiento a las incidencias detectadas y reportadas por los 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CS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y se advertirá a los operadores afectados sobre las incidencias detectada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s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. </w:t>
      </w:r>
    </w:p>
    <w:p w14:paraId="64FE9D56" w14:textId="77777777" w:rsidR="003464AF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Los datos obligatorios para reportar incidencias, son los siguientes:</w:t>
      </w:r>
    </w:p>
    <w:p w14:paraId="2EB44084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Nombre del concesionario.</w:t>
      </w:r>
    </w:p>
    <w:p w14:paraId="541BE251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Nombre de la persona que reporta el servicio.</w:t>
      </w:r>
    </w:p>
    <w:p w14:paraId="4CC61983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Teléfonos de contacto (principal y alternativo).</w:t>
      </w:r>
    </w:p>
    <w:p w14:paraId="66CD997E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Direcciones de correo electrónico (principal y alternativa).</w:t>
      </w:r>
    </w:p>
    <w:p w14:paraId="78866DFB" w14:textId="7A1E30B1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Tipo de falla.</w:t>
      </w:r>
    </w:p>
    <w:p w14:paraId="58363603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Referencia del servicio.</w:t>
      </w:r>
    </w:p>
    <w:p w14:paraId="32C2E66F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lastRenderedPageBreak/>
        <w:t>Descripción de la Incidencia.</w:t>
      </w:r>
    </w:p>
    <w:p w14:paraId="7A0F05E4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Identificador de Incidencia del concesionario.</w:t>
      </w:r>
    </w:p>
    <w:p w14:paraId="397A5EF9" w14:textId="77777777" w:rsidR="00475A17" w:rsidRDefault="00475A17" w:rsidP="00D1772F">
      <w:pPr>
        <w:pStyle w:val="Texto1"/>
        <w:spacing w:line="276" w:lineRule="auto"/>
        <w:ind w:left="720"/>
        <w:jc w:val="center"/>
        <w:rPr>
          <w:rFonts w:ascii="ITC Avant Garde" w:hAnsi="ITC Avant Garde"/>
          <w:b/>
          <w:color w:val="000000"/>
          <w:u w:val="single"/>
        </w:rPr>
      </w:pPr>
    </w:p>
    <w:p w14:paraId="1FCCF629" w14:textId="4EF5C237" w:rsidR="003464AF" w:rsidRPr="00551C64" w:rsidRDefault="003464AF" w:rsidP="00475A17">
      <w:pPr>
        <w:pStyle w:val="Texto1"/>
        <w:spacing w:after="200" w:line="276" w:lineRule="auto"/>
        <w:ind w:left="720"/>
        <w:jc w:val="center"/>
        <w:rPr>
          <w:rFonts w:ascii="ITC Avant Garde" w:hAnsi="ITC Avant Garde"/>
          <w:b/>
          <w:color w:val="000000"/>
          <w:u w:val="single"/>
        </w:rPr>
      </w:pPr>
      <w:r w:rsidRPr="00551C64">
        <w:rPr>
          <w:rFonts w:ascii="ITC Avant Garde" w:hAnsi="ITC Avant Garde"/>
          <w:b/>
          <w:color w:val="000000"/>
          <w:u w:val="single"/>
        </w:rPr>
        <w:t>SEGUIMIENTO A FALLA</w:t>
      </w:r>
      <w:r w:rsidR="00977EAC">
        <w:rPr>
          <w:rFonts w:ascii="ITC Avant Garde" w:hAnsi="ITC Avant Garde"/>
          <w:b/>
          <w:color w:val="000000"/>
          <w:u w:val="single"/>
        </w:rPr>
        <w:t>S O INCIDENCIAS</w:t>
      </w:r>
    </w:p>
    <w:p w14:paraId="1268F6D9" w14:textId="733EDD66" w:rsidR="003464AF" w:rsidRPr="00551C64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 xml:space="preserve">Una vez completados correctamente todos los campos obligatorios de la </w:t>
      </w:r>
      <w:r w:rsidR="00977EAC">
        <w:rPr>
          <w:rFonts w:ascii="ITC Avant Garde" w:hAnsi="ITC Avant Garde"/>
          <w:color w:val="000000"/>
          <w:sz w:val="22"/>
          <w:szCs w:val="22"/>
        </w:rPr>
        <w:t xml:space="preserve">falla o </w:t>
      </w:r>
      <w:r w:rsidRPr="00551C64">
        <w:rPr>
          <w:rFonts w:ascii="ITC Avant Garde" w:hAnsi="ITC Avant Garde"/>
          <w:color w:val="000000"/>
          <w:sz w:val="22"/>
          <w:szCs w:val="22"/>
        </w:rPr>
        <w:t>incidencia, ésta quedará registrada con fecha y hora del reporte, se l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 xml:space="preserve">e podrá dar seguimiento con el </w:t>
      </w:r>
      <w:r w:rsidRPr="00551C64">
        <w:rPr>
          <w:rFonts w:ascii="ITC Avant Garde" w:hAnsi="ITC Avant Garde"/>
          <w:color w:val="000000"/>
          <w:sz w:val="22"/>
          <w:szCs w:val="22"/>
        </w:rPr>
        <w:t>folio que asignará el sistema.</w:t>
      </w:r>
    </w:p>
    <w:p w14:paraId="2E6134EA" w14:textId="67856100" w:rsidR="000131F4" w:rsidRPr="00551C64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 xml:space="preserve">Los </w:t>
      </w:r>
      <w:r w:rsidR="00350243">
        <w:rPr>
          <w:rFonts w:ascii="ITC Avant Garde" w:hAnsi="ITC Avant Garde"/>
          <w:color w:val="000000"/>
          <w:sz w:val="22"/>
          <w:szCs w:val="22"/>
        </w:rPr>
        <w:t>CS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podrán realizar el seguimiento a las fallas</w:t>
      </w:r>
      <w:r w:rsidR="00977EAC">
        <w:rPr>
          <w:rFonts w:ascii="ITC Avant Garde" w:hAnsi="ITC Avant Garde"/>
          <w:color w:val="000000"/>
          <w:sz w:val="22"/>
          <w:szCs w:val="22"/>
        </w:rPr>
        <w:t xml:space="preserve"> o incidencias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hasta su solución a través del </w:t>
      </w:r>
      <w:r w:rsidR="00287BC1" w:rsidRPr="00551C64">
        <w:rPr>
          <w:rFonts w:ascii="ITC Avant Garde" w:hAnsi="ITC Avant Garde"/>
          <w:color w:val="000000"/>
          <w:sz w:val="22"/>
          <w:szCs w:val="22"/>
        </w:rPr>
        <w:t>Sistema de C</w:t>
      </w:r>
      <w:r w:rsidR="000F6C6B" w:rsidRPr="00551C64">
        <w:rPr>
          <w:rFonts w:ascii="ITC Avant Garde" w:hAnsi="ITC Avant Garde"/>
          <w:color w:val="000000"/>
          <w:sz w:val="22"/>
          <w:szCs w:val="22"/>
        </w:rPr>
        <w:t xml:space="preserve">aptura o </w:t>
      </w:r>
      <w:r w:rsidRPr="00551C64">
        <w:rPr>
          <w:rFonts w:ascii="ITC Avant Garde" w:hAnsi="ITC Avant Garde"/>
          <w:color w:val="000000"/>
          <w:sz w:val="22"/>
          <w:szCs w:val="22"/>
        </w:rPr>
        <w:t>SEG cuando entre en operación</w:t>
      </w:r>
      <w:r w:rsidR="00350243">
        <w:rPr>
          <w:rFonts w:ascii="ITC Avant Garde" w:hAnsi="ITC Avant Garde"/>
          <w:color w:val="000000"/>
          <w:sz w:val="22"/>
          <w:szCs w:val="22"/>
        </w:rPr>
        <w:t xml:space="preserve"> (e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>n caso de f</w:t>
      </w:r>
      <w:r w:rsidR="00747D5C" w:rsidRPr="00551C64">
        <w:rPr>
          <w:rFonts w:ascii="ITC Avant Garde" w:hAnsi="ITC Avant Garde"/>
          <w:color w:val="000000"/>
          <w:sz w:val="22"/>
          <w:szCs w:val="22"/>
        </w:rPr>
        <w:t>alla en el sistema se podrá realizar el seguimiento a través del 01800 4040 734)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. </w:t>
      </w:r>
    </w:p>
    <w:p w14:paraId="0F132E85" w14:textId="77777777" w:rsidR="009504F6" w:rsidRPr="00551C64" w:rsidRDefault="00571079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 xml:space="preserve">En los casos en donde sea necesario realizar alguna actividad en las instalaciones del 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usuario final y 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>é</w:t>
      </w:r>
      <w:r w:rsidRPr="00551C64">
        <w:rPr>
          <w:rFonts w:ascii="ITC Avant Garde" w:hAnsi="ITC Avant Garde"/>
          <w:color w:val="000000"/>
          <w:sz w:val="22"/>
          <w:szCs w:val="22"/>
        </w:rPr>
        <w:t>ste no sea localizado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>, se le llamara al CS para que solucione la situación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 xml:space="preserve"> con su usuario, Telmex esperará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 máximo 15 min, si en este tiempo no fue posible la atención de la falla el CS deberá indicar si desea realizar la reprogramación de la visita.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El </w:t>
      </w:r>
      <w:r w:rsidRPr="00551C64">
        <w:rPr>
          <w:rFonts w:ascii="ITC Avant Garde" w:hAnsi="ITC Avant Garde"/>
          <w:color w:val="000000"/>
          <w:sz w:val="22"/>
          <w:szCs w:val="22"/>
        </w:rPr>
        <w:t>CS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 deberá </w:t>
      </w:r>
      <w:r w:rsidRPr="00551C64">
        <w:rPr>
          <w:rFonts w:ascii="ITC Avant Garde" w:hAnsi="ITC Avant Garde"/>
          <w:color w:val="000000"/>
          <w:sz w:val="22"/>
          <w:szCs w:val="22"/>
        </w:rPr>
        <w:t>considera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>r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que las “visitas en falso”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 o bien las cancelaciones de atención del reporte de falla al momento de su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s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citarse la visita, </w:t>
      </w:r>
      <w:r w:rsidRPr="00551C64">
        <w:rPr>
          <w:rFonts w:ascii="ITC Avant Garde" w:hAnsi="ITC Avant Garde"/>
          <w:color w:val="000000"/>
          <w:sz w:val="22"/>
          <w:szCs w:val="22"/>
        </w:rPr>
        <w:t>tendrán un costo de acu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erdo a lo expuesto en el anexo A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de esta Oferta.</w:t>
      </w:r>
    </w:p>
    <w:p w14:paraId="29497E97" w14:textId="77777777" w:rsidR="00D1772F" w:rsidRDefault="00D1772F" w:rsidP="00D1772F">
      <w:pPr>
        <w:pStyle w:val="Texto1"/>
        <w:spacing w:line="276" w:lineRule="auto"/>
        <w:ind w:left="720"/>
        <w:jc w:val="center"/>
        <w:rPr>
          <w:rFonts w:ascii="ITC Avant Garde" w:hAnsi="ITC Avant Garde"/>
          <w:b/>
          <w:color w:val="000000"/>
          <w:u w:val="single"/>
        </w:rPr>
      </w:pPr>
    </w:p>
    <w:p w14:paraId="20526883" w14:textId="77777777" w:rsidR="003464AF" w:rsidRPr="00551C64" w:rsidRDefault="003464AF" w:rsidP="00475A17">
      <w:pPr>
        <w:pStyle w:val="Texto1"/>
        <w:spacing w:after="200" w:line="276" w:lineRule="auto"/>
        <w:ind w:left="720"/>
        <w:jc w:val="center"/>
        <w:rPr>
          <w:rFonts w:ascii="ITC Avant Garde" w:hAnsi="ITC Avant Garde"/>
          <w:b/>
          <w:color w:val="000000"/>
          <w:u w:val="single"/>
        </w:rPr>
      </w:pPr>
      <w:r w:rsidRPr="00551C64">
        <w:rPr>
          <w:rFonts w:ascii="ITC Avant Garde" w:hAnsi="ITC Avant Garde"/>
          <w:b/>
          <w:color w:val="000000"/>
          <w:u w:val="single"/>
        </w:rPr>
        <w:t>NIVELES DE SERVICIO</w:t>
      </w:r>
    </w:p>
    <w:p w14:paraId="165FF361" w14:textId="6F5BC3DC" w:rsidR="00291CE0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Como se ha mencionado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>,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los niveles de servicio serán acordados a la firma de contrato para la prestación 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de servicios de desagregación, c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omo ejemplo del nivel de servicio que se 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tendrá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en el Contrato se puede tener que l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>as fallas</w:t>
      </w:r>
      <w:r w:rsidR="00977EAC">
        <w:rPr>
          <w:rFonts w:ascii="ITC Avant Garde" w:hAnsi="ITC Avant Garde"/>
          <w:color w:val="000000"/>
          <w:sz w:val="22"/>
          <w:szCs w:val="22"/>
        </w:rPr>
        <w:t xml:space="preserve"> o incidencias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 se atenderán de acuerdo a lo siguiente:</w:t>
      </w:r>
    </w:p>
    <w:tbl>
      <w:tblPr>
        <w:tblW w:w="8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4126"/>
      </w:tblGrid>
      <w:tr w:rsidR="008B5722" w:rsidRPr="00D1772F" w14:paraId="26048A6C" w14:textId="77777777" w:rsidTr="00475A17">
        <w:trPr>
          <w:trHeight w:val="307"/>
          <w:jc w:val="center"/>
        </w:trPr>
        <w:tc>
          <w:tcPr>
            <w:tcW w:w="4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915BB" w14:textId="77777777" w:rsidR="008B5722" w:rsidRPr="00D1772F" w:rsidRDefault="008B5722" w:rsidP="00475A17">
            <w:pPr>
              <w:pStyle w:val="IFTnormal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1772F">
              <w:rPr>
                <w:b/>
                <w:sz w:val="20"/>
                <w:szCs w:val="20"/>
              </w:rPr>
              <w:t>Servicio</w:t>
            </w:r>
          </w:p>
        </w:tc>
        <w:tc>
          <w:tcPr>
            <w:tcW w:w="4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35445" w14:textId="77777777" w:rsidR="008B5722" w:rsidRPr="00D1772F" w:rsidRDefault="008B5722" w:rsidP="00475A17">
            <w:pPr>
              <w:pStyle w:val="CondicionesFinales"/>
              <w:spacing w:before="60" w:after="60"/>
              <w:ind w:left="284" w:right="284"/>
              <w:jc w:val="center"/>
              <w:rPr>
                <w:rFonts w:eastAsia="Calibri"/>
                <w:b/>
                <w:bCs w:val="0"/>
                <w:sz w:val="20"/>
                <w:szCs w:val="20"/>
              </w:rPr>
            </w:pPr>
            <w:r w:rsidRPr="00D1772F">
              <w:rPr>
                <w:rFonts w:eastAsia="Calibri"/>
                <w:b/>
                <w:bCs w:val="0"/>
                <w:sz w:val="20"/>
                <w:szCs w:val="20"/>
              </w:rPr>
              <w:t>Reparación de Fallas</w:t>
            </w:r>
          </w:p>
        </w:tc>
      </w:tr>
      <w:tr w:rsidR="008B5722" w:rsidRPr="00D1772F" w14:paraId="07C67FC9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F2349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Desagregación Total del Bucle Local</w:t>
            </w:r>
          </w:p>
        </w:tc>
        <w:tc>
          <w:tcPr>
            <w:tcW w:w="412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95706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85% de reparaciones el mismo día hábil.</w:t>
            </w:r>
          </w:p>
          <w:p w14:paraId="6ECC6129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95% de reparaciones en un plazo máximo de tres días hábiles</w:t>
            </w:r>
          </w:p>
          <w:p w14:paraId="31B855F6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El 5% restante no será mayor a 10 días hábiles</w:t>
            </w:r>
          </w:p>
        </w:tc>
      </w:tr>
      <w:tr w:rsidR="008B5722" w:rsidRPr="00D1772F" w14:paraId="60787A88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0E516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Desagregación Total en el Sub-Bucle Local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15722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5CFF4311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1A2AE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Desagregación Compartida del Bucle Local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A9693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3996BB92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CCFD2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lastRenderedPageBreak/>
              <w:t>Servicio de Desagregación Compartida en el Sub-Bucle Local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D93AA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5AE17B39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6AF92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Acceso Indirecto del Bucle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AA6495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60B25331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12468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Servicio de Reventa de Línea 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E766F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25FEAB91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E7AF5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Tendido de cableado Multipar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FE204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0E0E91E0" w14:textId="77777777" w:rsidTr="00475A17">
        <w:trPr>
          <w:trHeight w:val="332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893BF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Coubicación 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8D777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NA</w:t>
            </w:r>
          </w:p>
        </w:tc>
      </w:tr>
      <w:tr w:rsidR="008B5722" w:rsidRPr="00D1772F" w14:paraId="009A6A17" w14:textId="77777777" w:rsidTr="00475A17">
        <w:trPr>
          <w:trHeight w:val="483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F0735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Servicio de Concentración y Distribución  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45C03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90% de reparaciones del servicio Local en 24 hrs. </w:t>
            </w:r>
          </w:p>
          <w:p w14:paraId="690ABE2C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90% de reparaciones del servicio Regional en 16 hrs. </w:t>
            </w:r>
          </w:p>
          <w:p w14:paraId="5C2E8B14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90% de reparaciones del servicio Nacional en 12 hrs. </w:t>
            </w:r>
          </w:p>
        </w:tc>
      </w:tr>
      <w:tr w:rsidR="008B5722" w:rsidRPr="00D1772F" w14:paraId="67D24841" w14:textId="77777777" w:rsidTr="00475A17">
        <w:trPr>
          <w:trHeight w:val="483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4B671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Anexo de Caja de Distribución 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7EED5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90% de reparaciones del servicio en máximo 72 hrs. </w:t>
            </w:r>
          </w:p>
        </w:tc>
      </w:tr>
    </w:tbl>
    <w:p w14:paraId="1537B074" w14:textId="77777777" w:rsidR="008B5722" w:rsidRPr="008B5722" w:rsidRDefault="008B5722" w:rsidP="00796879">
      <w:pPr>
        <w:pStyle w:val="Texto1"/>
        <w:ind w:left="0"/>
        <w:contextualSpacing/>
        <w:jc w:val="center"/>
        <w:rPr>
          <w:rFonts w:ascii="ITC Avant Garde" w:hAnsi="ITC Avant Garde"/>
          <w:color w:val="000000"/>
          <w:sz w:val="18"/>
          <w:lang w:val="es-MX"/>
        </w:rPr>
      </w:pPr>
    </w:p>
    <w:p w14:paraId="3D0C9E64" w14:textId="77777777" w:rsidR="005C25A1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475A17">
        <w:rPr>
          <w:rFonts w:ascii="ITC Avant Garde" w:hAnsi="ITC Avant Garde"/>
          <w:sz w:val="22"/>
          <w:szCs w:val="22"/>
        </w:rPr>
        <w:t xml:space="preserve">Cualquier eventualidad relacionada con el </w:t>
      </w:r>
      <w:r w:rsidR="001F0E45" w:rsidRPr="00475A17">
        <w:rPr>
          <w:rFonts w:ascii="ITC Avant Garde" w:hAnsi="ITC Avant Garde"/>
          <w:sz w:val="22"/>
          <w:szCs w:val="22"/>
        </w:rPr>
        <w:t>CS</w:t>
      </w:r>
      <w:r w:rsidRPr="00475A17">
        <w:rPr>
          <w:rFonts w:ascii="ITC Avant Garde" w:hAnsi="ITC Avant Garde"/>
          <w:sz w:val="22"/>
          <w:szCs w:val="22"/>
        </w:rPr>
        <w:t xml:space="preserve"> o causas externas a Telmex mencionadas que impliquen detener la contabilización del tiempo de la falla en el proceso de solución de la misma, será comunicada al </w:t>
      </w:r>
      <w:r w:rsidR="003464AF" w:rsidRPr="00475A17">
        <w:rPr>
          <w:rFonts w:ascii="ITC Avant Garde" w:hAnsi="ITC Avant Garde"/>
          <w:sz w:val="22"/>
          <w:szCs w:val="22"/>
        </w:rPr>
        <w:t>c</w:t>
      </w:r>
      <w:r w:rsidRPr="00475A17">
        <w:rPr>
          <w:rFonts w:ascii="ITC Avant Garde" w:hAnsi="ITC Avant Garde"/>
          <w:sz w:val="22"/>
          <w:szCs w:val="22"/>
        </w:rPr>
        <w:t>oncesionario y no se contabilizará para el cálculo de índices de calidad.</w:t>
      </w:r>
    </w:p>
    <w:p w14:paraId="38AFE1B7" w14:textId="2E75C011" w:rsidR="003464AF" w:rsidRPr="00475A17" w:rsidRDefault="003464AF" w:rsidP="00475A17">
      <w:pPr>
        <w:pStyle w:val="Texto1"/>
        <w:spacing w:after="200" w:line="276" w:lineRule="auto"/>
        <w:ind w:left="360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PROCEDIMIENTO DE ESCALA</w:t>
      </w:r>
      <w:r w:rsidR="00594AA7"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CION</w:t>
      </w: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 DE FALLAS </w:t>
      </w:r>
      <w:r w:rsidR="00977EAC"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O INCIDENCIAS</w:t>
      </w:r>
    </w:p>
    <w:p w14:paraId="2BA6E5BB" w14:textId="77777777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Cuando el Concesionario que reportó</w:t>
      </w:r>
      <w:r w:rsidR="00594AA7" w:rsidRPr="00475A17">
        <w:rPr>
          <w:rFonts w:ascii="ITC Avant Garde" w:hAnsi="ITC Avant Garde"/>
          <w:color w:val="000000"/>
          <w:sz w:val="22"/>
          <w:szCs w:val="22"/>
        </w:rPr>
        <w:t xml:space="preserve"> la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incidencia considere que la solución o la respuesta no han sido satisfactorias, podrá iniciar el procedimiento de escalamiento, con el fin de resolver las posibles discrepancias que hayan surgido tras la apertura de la falla.</w:t>
      </w:r>
    </w:p>
    <w:p w14:paraId="622FADFD" w14:textId="0CB8FB75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El procedimiento de escalamiento podrá hacerse solo para fallas</w:t>
      </w:r>
      <w:r w:rsidR="00977EAC" w:rsidRPr="00475A17">
        <w:rPr>
          <w:rFonts w:ascii="ITC Avant Garde" w:hAnsi="ITC Avant Garde"/>
          <w:color w:val="000000"/>
          <w:sz w:val="22"/>
          <w:szCs w:val="22"/>
        </w:rPr>
        <w:t xml:space="preserve"> o incidencias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abiertas (activas/pendientes) independientemente del plazo transcurrido desde el reporte de apertura, el procedimiento de escalamiento se iniciará vía telefónica. </w:t>
      </w:r>
    </w:p>
    <w:p w14:paraId="647D4EDB" w14:textId="77777777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Los Concesionarios y Telmex proporcionarán sus correspondientes cuadros de escalamiento a los que deberán dirigirse para escalar según el procedimiento, los cuales deben incluir: teléfono</w:t>
      </w:r>
      <w:r w:rsidR="002B1640" w:rsidRPr="00475A17">
        <w:rPr>
          <w:rFonts w:ascii="ITC Avant Garde" w:hAnsi="ITC Avant Garde"/>
          <w:color w:val="000000"/>
          <w:sz w:val="22"/>
          <w:szCs w:val="22"/>
        </w:rPr>
        <w:t>,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correo electrónico </w:t>
      </w:r>
      <w:r w:rsidR="002B1640" w:rsidRPr="00475A17">
        <w:rPr>
          <w:rFonts w:ascii="ITC Avant Garde" w:hAnsi="ITC Avant Garde"/>
          <w:color w:val="000000"/>
          <w:sz w:val="22"/>
          <w:szCs w:val="22"/>
        </w:rPr>
        <w:t>y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puesto. Las personas </w:t>
      </w:r>
      <w:r w:rsidRPr="00475A17">
        <w:rPr>
          <w:rFonts w:ascii="ITC Avant Garde" w:hAnsi="ITC Avant Garde"/>
          <w:color w:val="000000"/>
          <w:sz w:val="22"/>
          <w:szCs w:val="22"/>
        </w:rPr>
        <w:lastRenderedPageBreak/>
        <w:t>responsables de cada nivel de escalamiento tendrán una disponibilidad de 24 horas.</w:t>
      </w:r>
    </w:p>
    <w:p w14:paraId="62461B97" w14:textId="77777777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Ambas partes podrán iniciar el procedimiento de escalamiento cuando se den situaciones que generen discrepancias, incluyendo las siguientes:</w:t>
      </w:r>
    </w:p>
    <w:p w14:paraId="369D4B1E" w14:textId="77777777" w:rsidR="003464AF" w:rsidRPr="00475A17" w:rsidRDefault="009504F6" w:rsidP="00475A17">
      <w:pPr>
        <w:pStyle w:val="Texto1"/>
        <w:numPr>
          <w:ilvl w:val="0"/>
          <w:numId w:val="9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Rechazos de cierre de reporte que alguna de las partes considere improcedente.</w:t>
      </w:r>
    </w:p>
    <w:p w14:paraId="4B57A0E1" w14:textId="77777777" w:rsidR="003464AF" w:rsidRPr="00475A17" w:rsidRDefault="009504F6" w:rsidP="00475A17">
      <w:pPr>
        <w:pStyle w:val="Texto1"/>
        <w:numPr>
          <w:ilvl w:val="0"/>
          <w:numId w:val="9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Respuesta reiterativa, insuficiente o no actualizada en una solicitud de información relativa a una falla.</w:t>
      </w:r>
    </w:p>
    <w:p w14:paraId="7BC3AF8D" w14:textId="77777777" w:rsidR="003464AF" w:rsidRPr="00475A17" w:rsidRDefault="009504F6" w:rsidP="00475A17">
      <w:pPr>
        <w:pStyle w:val="Texto1"/>
        <w:numPr>
          <w:ilvl w:val="0"/>
          <w:numId w:val="9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Expiración de los tiempos de atención o respuesta comprometidos.</w:t>
      </w:r>
    </w:p>
    <w:p w14:paraId="1D32AFEF" w14:textId="77777777" w:rsidR="003464AF" w:rsidRPr="00475A17" w:rsidRDefault="002211C1" w:rsidP="00475A17">
      <w:pPr>
        <w:pStyle w:val="Texto1"/>
        <w:numPr>
          <w:ilvl w:val="0"/>
          <w:numId w:val="9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Rei</w:t>
      </w:r>
      <w:r w:rsidR="009504F6" w:rsidRPr="00475A17">
        <w:rPr>
          <w:rFonts w:ascii="ITC Avant Garde" w:hAnsi="ITC Avant Garde"/>
          <w:color w:val="000000"/>
          <w:sz w:val="22"/>
          <w:szCs w:val="22"/>
        </w:rPr>
        <w:t xml:space="preserve">ncidencia de una falla. Se considera como </w:t>
      </w:r>
      <w:r w:rsidRPr="00475A17">
        <w:rPr>
          <w:rFonts w:ascii="ITC Avant Garde" w:hAnsi="ITC Avant Garde"/>
          <w:color w:val="000000"/>
          <w:sz w:val="22"/>
          <w:szCs w:val="22"/>
        </w:rPr>
        <w:t>re</w:t>
      </w:r>
      <w:r w:rsidR="009504F6" w:rsidRPr="00475A17">
        <w:rPr>
          <w:rFonts w:ascii="ITC Avant Garde" w:hAnsi="ITC Avant Garde"/>
          <w:color w:val="000000"/>
          <w:sz w:val="22"/>
          <w:szCs w:val="22"/>
        </w:rPr>
        <w:t>incidencia de una falla, cuando el mismo elemento de red presenta un mismo problema  por más de una ocasión en un periodo de 2 días.</w:t>
      </w:r>
    </w:p>
    <w:p w14:paraId="3C94131B" w14:textId="77777777" w:rsidR="003464AF" w:rsidRPr="00475A17" w:rsidRDefault="002A5CA7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Nota: P</w:t>
      </w:r>
      <w:r w:rsidR="00575306" w:rsidRPr="00475A17">
        <w:rPr>
          <w:rFonts w:ascii="ITC Avant Garde" w:hAnsi="ITC Avant Garde"/>
          <w:color w:val="000000"/>
          <w:sz w:val="22"/>
          <w:szCs w:val="22"/>
        </w:rPr>
        <w:t>or cuestiones de confidencial</w:t>
      </w:r>
      <w:r w:rsidR="00380592" w:rsidRPr="00475A17">
        <w:rPr>
          <w:rFonts w:ascii="ITC Avant Garde" w:hAnsi="ITC Avant Garde"/>
          <w:color w:val="000000"/>
          <w:sz w:val="22"/>
          <w:szCs w:val="22"/>
        </w:rPr>
        <w:t>idad del personal</w:t>
      </w:r>
      <w:r w:rsidRPr="00475A17">
        <w:rPr>
          <w:rFonts w:ascii="ITC Avant Garde" w:hAnsi="ITC Avant Garde"/>
          <w:color w:val="000000"/>
          <w:sz w:val="22"/>
          <w:szCs w:val="22"/>
        </w:rPr>
        <w:t>, la información real</w:t>
      </w:r>
      <w:r w:rsidR="00AD3D07" w:rsidRPr="00475A17">
        <w:rPr>
          <w:rFonts w:ascii="ITC Avant Garde" w:hAnsi="ITC Avant Garde"/>
          <w:color w:val="000000"/>
          <w:sz w:val="22"/>
          <w:szCs w:val="22"/>
        </w:rPr>
        <w:t xml:space="preserve"> de las matrices de escalamiento </w:t>
      </w:r>
      <w:r w:rsidRPr="00475A17">
        <w:rPr>
          <w:rFonts w:ascii="ITC Avant Garde" w:hAnsi="ITC Avant Garde"/>
          <w:color w:val="000000"/>
          <w:sz w:val="22"/>
          <w:szCs w:val="22"/>
        </w:rPr>
        <w:t>será proporcionado a los CS una vez firmado el convenio</w:t>
      </w:r>
      <w:r w:rsidR="00380592" w:rsidRPr="00475A17">
        <w:rPr>
          <w:rFonts w:ascii="ITC Avant Garde" w:hAnsi="ITC Avant Garde"/>
          <w:color w:val="000000"/>
          <w:sz w:val="22"/>
          <w:szCs w:val="22"/>
        </w:rPr>
        <w:t xml:space="preserve"> de Desagregación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. </w:t>
      </w:r>
    </w:p>
    <w:p w14:paraId="7EC9FABE" w14:textId="2F935E8B" w:rsidR="003464AF" w:rsidRPr="00475A17" w:rsidRDefault="009504F6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color w:val="000000"/>
          <w:sz w:val="22"/>
          <w:szCs w:val="22"/>
        </w:rPr>
      </w:pPr>
      <w:r w:rsidRPr="00475A17">
        <w:rPr>
          <w:rFonts w:ascii="ITC Avant Garde" w:hAnsi="ITC Avant Garde"/>
          <w:b/>
          <w:color w:val="000000"/>
          <w:sz w:val="22"/>
          <w:szCs w:val="22"/>
        </w:rPr>
        <w:t>Escalamiento de fallas</w:t>
      </w:r>
      <w:r w:rsidR="00977EAC" w:rsidRPr="00475A17">
        <w:rPr>
          <w:rFonts w:ascii="ITC Avant Garde" w:hAnsi="ITC Avant Garde"/>
          <w:b/>
          <w:color w:val="000000"/>
          <w:sz w:val="22"/>
          <w:szCs w:val="22"/>
        </w:rPr>
        <w:t xml:space="preserve"> e incidencias</w:t>
      </w:r>
      <w:r w:rsidRPr="00475A17">
        <w:rPr>
          <w:rFonts w:ascii="ITC Avant Garde" w:hAnsi="ITC Avant Garde"/>
          <w:b/>
          <w:color w:val="000000"/>
          <w:sz w:val="22"/>
          <w:szCs w:val="22"/>
        </w:rPr>
        <w:t xml:space="preserve"> de los servicios básicos de Desagregación</w:t>
      </w:r>
    </w:p>
    <w:p w14:paraId="25A534C0" w14:textId="77777777" w:rsidR="00291CE0" w:rsidRPr="00475A17" w:rsidRDefault="00291CE0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color w:val="000000"/>
          <w:sz w:val="22"/>
          <w:szCs w:val="22"/>
        </w:rPr>
      </w:pPr>
    </w:p>
    <w:p w14:paraId="4DE5689D" w14:textId="77777777" w:rsidR="009504F6" w:rsidRPr="00551C64" w:rsidRDefault="00611A97" w:rsidP="00796879">
      <w:pPr>
        <w:pStyle w:val="Texto1"/>
        <w:ind w:left="0"/>
        <w:contextualSpacing/>
        <w:jc w:val="center"/>
        <w:rPr>
          <w:rFonts w:ascii="ITC Avant Garde" w:hAnsi="ITC Avant Garde"/>
          <w:color w:val="000000"/>
        </w:rPr>
      </w:pPr>
      <w:r w:rsidRPr="00551C64">
        <w:rPr>
          <w:rFonts w:ascii="ITC Avant Garde" w:hAnsi="ITC Avant Garde"/>
          <w:noProof/>
          <w:color w:val="000000"/>
          <w:lang w:val="es-MX" w:eastAsia="es-MX"/>
        </w:rPr>
        <w:lastRenderedPageBreak/>
        <w:drawing>
          <wp:inline distT="0" distB="0" distL="0" distR="0" wp14:anchorId="57378703" wp14:editId="084357EF">
            <wp:extent cx="4924425" cy="3200400"/>
            <wp:effectExtent l="19050" t="0" r="0" b="0"/>
            <wp:docPr id="4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342081"/>
                      <a:chOff x="0" y="115888"/>
                      <a:chExt cx="9144000" cy="6342081"/>
                    </a:xfrm>
                  </a:grpSpPr>
                  <a:grpSp>
                    <a:nvGrpSpPr>
                      <a:cNvPr id="21" name="20 Grupo"/>
                      <a:cNvGrpSpPr/>
                    </a:nvGrpSpPr>
                    <a:grpSpPr>
                      <a:xfrm>
                        <a:off x="0" y="115888"/>
                        <a:ext cx="9144000" cy="6342081"/>
                        <a:chOff x="0" y="115888"/>
                        <a:chExt cx="9144000" cy="6342081"/>
                      </a:xfrm>
                    </a:grpSpPr>
                    <a:sp>
                      <a:nvSpPr>
                        <a:cNvPr id="1027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68313" y="115888"/>
                          <a:ext cx="8135937" cy="184666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s-ES_tradnl" sz="1200" b="1" dirty="0" smtClean="0"/>
                              <a:t>ASISTENCIA  A CS DESAGREGACION.</a:t>
                            </a:r>
                            <a:endParaRPr lang="es-ES_tradnl" sz="2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28" name="Line 3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476375" y="862013"/>
                          <a:ext cx="0" cy="55340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29" name="Line 6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68313" y="476250"/>
                          <a:ext cx="8135937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30" name="Line 6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476250"/>
                          <a:ext cx="914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32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4000504"/>
                          <a:ext cx="1214446" cy="50006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3" name="Rectangle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2489436"/>
                          <a:ext cx="1214446" cy="57150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4" name="Rectangle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1274991"/>
                          <a:ext cx="1214446" cy="642942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7" name="Rectangle 2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5720" y="4071942"/>
                          <a:ext cx="1143008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1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Supervisores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38" name="Rectangle 2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5720" y="2548732"/>
                          <a:ext cx="1033440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2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Subgerente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39" name="Rectangle 2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57158" y="1405724"/>
                          <a:ext cx="915987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3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Gerente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41" name="Line 3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4282" y="857232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42" name="Line 3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85720" y="2071678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44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85720" y="3286124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3" name="Text Box 5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940000" y="1142984"/>
                          <a:ext cx="2989455" cy="615553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Of</a:t>
                            </a:r>
                            <a:r>
                              <a:rPr lang="es-MX" sz="1000" b="1" dirty="0"/>
                              <a:t>. </a:t>
                            </a:r>
                            <a:r>
                              <a:rPr lang="es-MX" sz="1000" b="1" dirty="0" smtClean="0"/>
                              <a:t>(55) XXXX </a:t>
                            </a:r>
                            <a:r>
                              <a:rPr lang="es-MX" sz="1000" b="1" dirty="0" err="1" smtClean="0"/>
                              <a:t>XXXX</a:t>
                            </a:r>
                            <a:endParaRPr lang="es-MX" sz="10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err="1"/>
                              <a:t>Cel</a:t>
                            </a:r>
                            <a:r>
                              <a:rPr lang="es-MX" sz="1000" b="1" dirty="0"/>
                              <a:t> </a:t>
                            </a:r>
                            <a:r>
                              <a:rPr lang="es-MX" sz="1000" b="1" dirty="0" smtClean="0"/>
                              <a:t>55 XXXX </a:t>
                            </a:r>
                            <a:r>
                              <a:rPr lang="es-MX" sz="1000" b="1" dirty="0" err="1" smtClean="0"/>
                              <a:t>XXXX</a:t>
                            </a:r>
                            <a:endParaRPr lang="es-MX" sz="10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err="1" smtClean="0">
                                <a:latin typeface="+mn-lt"/>
                              </a:rPr>
                              <a:t>Email:XXXXX@telmexomsasi.com</a:t>
                            </a:r>
                            <a:endParaRPr lang="es-MX" sz="1000" b="1" dirty="0">
                              <a:latin typeface="+mn-lt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53" name="Text Box 6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214678" y="3929066"/>
                          <a:ext cx="4500594" cy="1569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sz="1000" dirty="0" smtClean="0"/>
                              <a:t>   Of: (55) XXXX </a:t>
                            </a:r>
                            <a:r>
                              <a:rPr lang="es-ES" sz="1000" dirty="0" err="1" smtClean="0"/>
                              <a:t>XXXX</a:t>
                            </a:r>
                            <a:endParaRPr lang="es-MX" sz="1000" dirty="0" smtClean="0"/>
                          </a:p>
                          <a:p>
                            <a:r>
                              <a:rPr lang="es-ES" sz="1000" dirty="0" smtClean="0"/>
                              <a:t> </a:t>
                            </a:r>
                            <a:endParaRPr lang="es-ES" sz="1000" b="1" dirty="0" smtClean="0"/>
                          </a:p>
                          <a:p>
                            <a:r>
                              <a:rPr lang="es-ES" sz="1000" dirty="0" smtClean="0"/>
                              <a:t>Of: (55) XXXX XXXXX</a:t>
                            </a:r>
                            <a:endParaRPr lang="es-MX" sz="1000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E-Mails: </a:t>
                            </a: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XXXXX@telmex.com</a:t>
                            </a: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ES" sz="1000" b="1" dirty="0" smtClean="0">
                                <a:hlinkClick r:id="rId12"/>
                              </a:rPr>
                              <a:t>XXXXX@telmex.com</a:t>
                            </a:r>
                            <a:endParaRPr lang="es-ES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dirty="0" smtClean="0"/>
                              <a:t>XXXXX</a:t>
                            </a:r>
                            <a:r>
                              <a:rPr lang="es-MX" sz="1000" b="1" dirty="0" smtClean="0"/>
                              <a:t>@telmex.com</a:t>
                            </a:r>
                            <a:endParaRPr lang="es-MX" sz="105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8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59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4282" y="5857892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44" name="Text Box 6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43240" y="2428868"/>
                          <a:ext cx="4500594" cy="615553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Of. (55) XXXX </a:t>
                            </a:r>
                            <a:r>
                              <a:rPr lang="es-MX" sz="1000" b="1" dirty="0" err="1" smtClean="0"/>
                              <a:t>XXXX</a:t>
                            </a:r>
                            <a:endParaRPr lang="es-MX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err="1" smtClean="0"/>
                              <a:t>Cel</a:t>
                            </a:r>
                            <a:r>
                              <a:rPr lang="es-MX" sz="1000" b="1" dirty="0" smtClean="0"/>
                              <a:t> 55 XXXX </a:t>
                            </a:r>
                            <a:r>
                              <a:rPr lang="es-MX" sz="1000" b="1" dirty="0" err="1" smtClean="0"/>
                              <a:t>XXXX</a:t>
                            </a:r>
                            <a:endParaRPr lang="es-MX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err="1" smtClean="0"/>
                              <a:t>Email:XXXXX@telmex.com</a:t>
                            </a:r>
                            <a:endParaRPr lang="es-MX" sz="1000" b="1" dirty="0">
                              <a:solidFill>
                                <a:srgbClr val="0D04BC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0" name="Text Box 6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643174" y="6143644"/>
                          <a:ext cx="5502289" cy="3143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s-MX" sz="1400" b="1" dirty="0" smtClean="0"/>
                              <a:t>01800XXXXXXX   55 XXXX </a:t>
                            </a:r>
                            <a:r>
                              <a:rPr lang="es-MX" sz="1400" b="1" dirty="0" err="1" smtClean="0"/>
                              <a:t>XXXX</a:t>
                            </a:r>
                            <a:endParaRPr lang="es-ES" sz="1400" b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14:paraId="74EB3815" w14:textId="77777777" w:rsidR="00AC45FF" w:rsidRPr="00551C64" w:rsidRDefault="00AC45FF" w:rsidP="00796879">
      <w:pPr>
        <w:pStyle w:val="Texto1"/>
        <w:ind w:left="0"/>
        <w:contextualSpacing/>
        <w:jc w:val="center"/>
        <w:rPr>
          <w:rFonts w:ascii="ITC Avant Garde" w:hAnsi="ITC Avant Garde"/>
          <w:b/>
          <w:color w:val="000000"/>
        </w:rPr>
      </w:pPr>
    </w:p>
    <w:p w14:paraId="7ED370CA" w14:textId="77777777" w:rsidR="003464AF" w:rsidRPr="00551C64" w:rsidRDefault="003464AF" w:rsidP="00796879">
      <w:pPr>
        <w:pStyle w:val="Texto1"/>
        <w:ind w:left="0"/>
        <w:contextualSpacing/>
        <w:jc w:val="center"/>
        <w:rPr>
          <w:rFonts w:ascii="ITC Avant Garde" w:hAnsi="ITC Avant Garde"/>
          <w:b/>
          <w:color w:val="000000"/>
        </w:rPr>
      </w:pPr>
      <w:r w:rsidRPr="00551C64">
        <w:rPr>
          <w:rFonts w:ascii="ITC Avant Garde" w:hAnsi="ITC Avant Garde"/>
          <w:b/>
          <w:color w:val="000000"/>
        </w:rPr>
        <w:t>Escalamiento de fallas de los servicios auxiliares para Desagregación</w:t>
      </w:r>
    </w:p>
    <w:p w14:paraId="109AFCA2" w14:textId="77777777" w:rsidR="00AC45FF" w:rsidRPr="00551C64" w:rsidRDefault="00AC45FF" w:rsidP="00796879">
      <w:pPr>
        <w:pStyle w:val="Texto1"/>
        <w:ind w:left="0"/>
        <w:contextualSpacing/>
        <w:jc w:val="center"/>
        <w:rPr>
          <w:rFonts w:ascii="ITC Avant Garde" w:hAnsi="ITC Avant Garde"/>
          <w:b/>
          <w:color w:val="000000"/>
        </w:rPr>
      </w:pPr>
    </w:p>
    <w:p w14:paraId="24DA8116" w14:textId="77777777" w:rsidR="003464AF" w:rsidRPr="00551C64" w:rsidRDefault="00611A97" w:rsidP="00796879">
      <w:pPr>
        <w:pStyle w:val="Texto1"/>
        <w:ind w:left="0"/>
        <w:contextualSpacing/>
        <w:jc w:val="right"/>
        <w:rPr>
          <w:rFonts w:ascii="ITC Avant Garde" w:hAnsi="ITC Avant Garde"/>
          <w:color w:val="000000"/>
        </w:rPr>
      </w:pPr>
      <w:r w:rsidRPr="00551C64">
        <w:rPr>
          <w:rFonts w:ascii="ITC Avant Garde" w:hAnsi="ITC Avant Garde"/>
          <w:noProof/>
          <w:color w:val="000000"/>
          <w:lang w:val="es-MX" w:eastAsia="es-MX"/>
        </w:rPr>
        <w:drawing>
          <wp:inline distT="0" distB="0" distL="0" distR="0" wp14:anchorId="1A911723" wp14:editId="4B314CBE">
            <wp:extent cx="5231130" cy="3095625"/>
            <wp:effectExtent l="19050" t="0" r="7620" b="0"/>
            <wp:docPr id="5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507162"/>
                      <a:chOff x="0" y="115888"/>
                      <a:chExt cx="9144000" cy="6507162"/>
                    </a:xfrm>
                  </a:grpSpPr>
                  <a:grpSp>
                    <a:nvGrpSpPr>
                      <a:cNvPr id="22" name="21 Grupo"/>
                      <a:cNvGrpSpPr/>
                    </a:nvGrpSpPr>
                    <a:grpSpPr>
                      <a:xfrm>
                        <a:off x="0" y="115888"/>
                        <a:ext cx="9144000" cy="6507162"/>
                        <a:chOff x="0" y="115888"/>
                        <a:chExt cx="9144000" cy="6507162"/>
                      </a:xfrm>
                    </a:grpSpPr>
                    <a:sp>
                      <a:nvSpPr>
                        <a:cNvPr id="1027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68313" y="115888"/>
                          <a:ext cx="8135937" cy="2317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s-ES_tradnl" sz="1200" b="1"/>
                              <a:t>CENTRO DE ATENCION TECNICA A OPERADORES (CAO)</a:t>
                            </a:r>
                          </a:p>
                          <a:p>
                            <a:pPr>
                              <a:spcBef>
                                <a:spcPct val="50000"/>
                              </a:spcBef>
                            </a:pPr>
                            <a:endParaRPr lang="es-ES_tradnl" sz="200" b="1"/>
                          </a:p>
                        </a:txBody>
                        <a:useSpRect/>
                      </a:txSp>
                    </a:sp>
                    <a:sp>
                      <a:nvSpPr>
                        <a:cNvPr id="1028" name="Line 3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476375" y="862013"/>
                          <a:ext cx="0" cy="55340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29" name="Line 6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68313" y="476250"/>
                          <a:ext cx="8135937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30" name="Line 6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476250"/>
                          <a:ext cx="914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32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4286256"/>
                          <a:ext cx="1214446" cy="85725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3" name="Rectangle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2571744"/>
                          <a:ext cx="1214446" cy="1357322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4" name="Rectangle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1285860"/>
                          <a:ext cx="1214446" cy="847717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7" name="Rectangle 2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5720" y="4286256"/>
                          <a:ext cx="1143008" cy="553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1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Supervisores</a:t>
                            </a:r>
                          </a:p>
                          <a:p>
                            <a:pPr eaLnBrk="0" hangingPunct="0"/>
                            <a:endParaRPr lang="es-ES_tradnl" sz="1200" b="1" dirty="0" smtClean="0">
                              <a:latin typeface="Berlin Sans FB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38" name="Rectangle 2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5720" y="2857496"/>
                          <a:ext cx="1033440" cy="553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2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Subgerente</a:t>
                            </a:r>
                          </a:p>
                          <a:p>
                            <a:pPr eaLnBrk="0" hangingPunct="0"/>
                            <a:endParaRPr lang="es-ES_tradnl" sz="1200" b="1" dirty="0" smtClean="0">
                              <a:latin typeface="Berlin Sans FB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39" name="Rectangle 2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28596" y="1500174"/>
                          <a:ext cx="915987" cy="553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3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Gerente</a:t>
                            </a:r>
                          </a:p>
                          <a:p>
                            <a:pPr eaLnBrk="0" hangingPunct="0"/>
                            <a:endParaRPr lang="es-ES_tradnl" sz="1200" b="1" dirty="0" smtClean="0">
                              <a:latin typeface="Berlin Sans FB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41" name="Line 3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4282" y="1071546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42" name="Line 3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01650" y="2285992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44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01650" y="4071942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3" name="Text Box 5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011437" y="1477549"/>
                          <a:ext cx="2989455" cy="665567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800" b="1" dirty="0" smtClean="0"/>
                              <a:t>Of</a:t>
                            </a:r>
                            <a:r>
                              <a:rPr lang="es-MX" sz="800" b="1" dirty="0"/>
                              <a:t>. 55 </a:t>
                            </a:r>
                            <a:r>
                              <a:rPr lang="es-MX" sz="800" b="1" dirty="0" err="1" smtClean="0"/>
                              <a:t>xxxx</a:t>
                            </a:r>
                            <a:r>
                              <a:rPr lang="es-MX" sz="800" b="1" dirty="0" smtClean="0"/>
                              <a:t> </a:t>
                            </a:r>
                            <a:r>
                              <a:rPr lang="es-MX" sz="800" b="1" dirty="0" err="1" smtClean="0"/>
                              <a:t>xxxx</a:t>
                            </a:r>
                            <a:endParaRPr lang="es-MX" sz="8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800" b="1" dirty="0" err="1"/>
                              <a:t>Cel</a:t>
                            </a:r>
                            <a:r>
                              <a:rPr lang="es-MX" sz="800" b="1" dirty="0"/>
                              <a:t> 55 </a:t>
                            </a:r>
                            <a:r>
                              <a:rPr lang="es-MX" sz="800" b="1" dirty="0" err="1" smtClean="0"/>
                              <a:t>xxxx</a:t>
                            </a:r>
                            <a:r>
                              <a:rPr lang="es-MX" sz="800" b="1" dirty="0" smtClean="0"/>
                              <a:t> </a:t>
                            </a:r>
                            <a:r>
                              <a:rPr lang="es-MX" sz="800" b="1" dirty="0" err="1" smtClean="0"/>
                              <a:t>xxxx</a:t>
                            </a:r>
                            <a:endParaRPr lang="es-MX" sz="8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50" b="1" dirty="0" err="1" smtClean="0">
                                <a:latin typeface="+mn-lt"/>
                              </a:rPr>
                              <a:t>Email:xxxxx@telmexomsasi.com</a:t>
                            </a:r>
                            <a:endParaRPr lang="es-MX" sz="1050" b="1" dirty="0">
                              <a:latin typeface="+mn-lt"/>
                            </a:endParaRP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500" b="1" dirty="0"/>
                              <a:t>1</a:t>
                            </a:r>
                            <a:endParaRPr lang="es-ES" sz="8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" name="Text Box 6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643174" y="6308725"/>
                          <a:ext cx="5502289" cy="3143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s-MX" sz="1400" b="1" dirty="0" smtClean="0"/>
                              <a:t>01800XXXXXXX   55 XXXX </a:t>
                            </a:r>
                            <a:r>
                              <a:rPr lang="es-MX" sz="1400" b="1" dirty="0" err="1" smtClean="0"/>
                              <a:t>XXXX</a:t>
                            </a:r>
                            <a:endParaRPr lang="es-ES" sz="14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53" name="Text Box 6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43240" y="4143380"/>
                          <a:ext cx="4500594" cy="9848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SUPERVISORES </a:t>
                            </a:r>
                            <a:r>
                              <a:rPr lang="es-MX" sz="1000" b="1" dirty="0"/>
                              <a:t>TEL. </a:t>
                            </a:r>
                            <a:r>
                              <a:rPr lang="es-MX" sz="1000" b="1" dirty="0" smtClean="0"/>
                              <a:t>55xxxxxxxx</a:t>
                            </a: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10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800" b="1" dirty="0"/>
                              <a:t>CORREO: </a:t>
                            </a:r>
                            <a:r>
                              <a:rPr lang="es-MX" sz="800" b="1" dirty="0" smtClean="0">
                                <a:solidFill>
                                  <a:srgbClr val="0D04BC"/>
                                </a:solidFill>
                              </a:rPr>
                              <a:t>XXXXX</a:t>
                            </a:r>
                            <a:r>
                              <a:rPr lang="es-MX" sz="800" b="1" dirty="0" smtClean="0">
                                <a:solidFill>
                                  <a:srgbClr val="0D04BC"/>
                                </a:solidFill>
                                <a:hlinkClick r:id="rId13"/>
                              </a:rPr>
                              <a:t>@TELMEX.COM</a:t>
                            </a:r>
                            <a:endParaRPr lang="es-MX" sz="800" b="1" dirty="0" smtClean="0">
                              <a:solidFill>
                                <a:srgbClr val="0D04BC"/>
                              </a:solidFill>
                            </a:endParaRP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8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59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4282" y="5286388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44" name="Text Box 6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43240" y="2771657"/>
                          <a:ext cx="4500594" cy="80021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SUBGERENTES </a:t>
                            </a:r>
                            <a:r>
                              <a:rPr lang="es-MX" sz="1000" b="1" dirty="0"/>
                              <a:t>TEL. </a:t>
                            </a:r>
                            <a:r>
                              <a:rPr lang="es-MX" sz="1000" b="1" dirty="0" smtClean="0"/>
                              <a:t>55xxxxxxxx</a:t>
                            </a:r>
                            <a:endParaRPr lang="es-MX" sz="1000" b="1" dirty="0" smtClean="0">
                              <a:solidFill>
                                <a:srgbClr val="0D04BC"/>
                              </a:solidFill>
                            </a:endParaRPr>
                          </a:p>
                          <a:p>
                            <a:pPr lvl="2" algn="l">
                              <a:spcBef>
                                <a:spcPct val="50000"/>
                              </a:spcBef>
                              <a:buFont typeface="Arial" pitchFamily="34" charset="0"/>
                              <a:buChar char="•"/>
                              <a:defRPr/>
                            </a:pPr>
                            <a:endParaRPr lang="es-MX" sz="1000" b="1" dirty="0" smtClean="0">
                              <a:solidFill>
                                <a:srgbClr val="0D04BC"/>
                              </a:solidFill>
                            </a:endParaRP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800" b="1" dirty="0">
                              <a:solidFill>
                                <a:srgbClr val="0D04BC"/>
                              </a:solidFill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14:paraId="6D96DF3D" w14:textId="77777777" w:rsidR="003464AF" w:rsidRPr="00551C64" w:rsidRDefault="003464AF" w:rsidP="00796879">
      <w:pPr>
        <w:pStyle w:val="Texto1"/>
        <w:contextualSpacing/>
        <w:rPr>
          <w:rFonts w:ascii="ITC Avant Garde" w:hAnsi="ITC Avant Garde"/>
          <w:color w:val="000000"/>
        </w:rPr>
      </w:pPr>
    </w:p>
    <w:p w14:paraId="4FFF147B" w14:textId="77777777" w:rsidR="00291CE0" w:rsidRPr="00551C64" w:rsidRDefault="00291CE0" w:rsidP="00796879">
      <w:pPr>
        <w:pStyle w:val="Texto1"/>
        <w:ind w:left="720"/>
        <w:contextualSpacing/>
        <w:jc w:val="center"/>
        <w:rPr>
          <w:rFonts w:ascii="ITC Avant Garde" w:hAnsi="ITC Avant Garde"/>
          <w:b/>
          <w:color w:val="000000"/>
          <w:u w:val="single"/>
        </w:rPr>
      </w:pPr>
    </w:p>
    <w:p w14:paraId="67922BD6" w14:textId="77777777" w:rsidR="00291CE0" w:rsidRPr="00551C64" w:rsidRDefault="00291CE0" w:rsidP="00796879">
      <w:pPr>
        <w:pStyle w:val="Texto1"/>
        <w:ind w:left="720"/>
        <w:contextualSpacing/>
        <w:jc w:val="center"/>
        <w:rPr>
          <w:rFonts w:ascii="ITC Avant Garde" w:hAnsi="ITC Avant Garde"/>
          <w:b/>
          <w:color w:val="000000"/>
          <w:u w:val="single"/>
        </w:rPr>
      </w:pPr>
    </w:p>
    <w:p w14:paraId="1E7AAA2A" w14:textId="77777777" w:rsidR="00D1772F" w:rsidRPr="00D1772F" w:rsidRDefault="00D1772F" w:rsidP="00D1772F">
      <w:pPr>
        <w:pStyle w:val="Texto1"/>
        <w:spacing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</w:p>
    <w:p w14:paraId="6DA8AD0C" w14:textId="77777777" w:rsidR="003464AF" w:rsidRPr="00475A17" w:rsidRDefault="003464AF" w:rsidP="00475A17">
      <w:pPr>
        <w:pStyle w:val="Texto1"/>
        <w:spacing w:after="200" w:line="276" w:lineRule="auto"/>
        <w:ind w:left="720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INTERVENCIONES PROGRAMADAS</w:t>
      </w:r>
    </w:p>
    <w:p w14:paraId="522AA2B7" w14:textId="124D4D4C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 xml:space="preserve">Tanto Telmex como el </w:t>
      </w:r>
      <w:r w:rsidR="001F0E45" w:rsidRPr="00475A17">
        <w:rPr>
          <w:rFonts w:ascii="ITC Avant Garde" w:hAnsi="ITC Avant Garde"/>
          <w:color w:val="000000"/>
          <w:sz w:val="22"/>
          <w:szCs w:val="22"/>
        </w:rPr>
        <w:t>CS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150F81" w:rsidRPr="00475A17">
        <w:rPr>
          <w:rFonts w:ascii="ITC Avant Garde" w:hAnsi="ITC Avant Garde"/>
          <w:color w:val="000000"/>
          <w:sz w:val="22"/>
          <w:szCs w:val="22"/>
        </w:rPr>
        <w:t>deberán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comunicar oportunamente los trabajos (acciones de mantenimiento preventivo u otros trabajos programados) que se vayan a realizar en su red y que afecten los servicios del </w:t>
      </w:r>
      <w:r w:rsidR="001F0E45" w:rsidRPr="00475A17">
        <w:rPr>
          <w:rFonts w:ascii="ITC Avant Garde" w:hAnsi="ITC Avant Garde"/>
          <w:color w:val="000000"/>
          <w:sz w:val="22"/>
          <w:szCs w:val="22"/>
        </w:rPr>
        <w:t>CS</w:t>
      </w:r>
      <w:r w:rsidRPr="00475A17">
        <w:rPr>
          <w:rFonts w:ascii="ITC Avant Garde" w:hAnsi="ITC Avant Garde"/>
          <w:color w:val="000000"/>
          <w:sz w:val="22"/>
          <w:szCs w:val="22"/>
        </w:rPr>
        <w:t>, así como acordar el horario de los trabajos, a fin de reducir en lo posible su impacto. Esta comunicación se realizará con un tiempo de antelación mínimo de 10 días hábiles.</w:t>
      </w:r>
    </w:p>
    <w:p w14:paraId="516216BB" w14:textId="4726E05E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 xml:space="preserve"> </w:t>
      </w:r>
      <w:r w:rsidRPr="00475A17">
        <w:rPr>
          <w:rFonts w:ascii="ITC Avant Garde" w:hAnsi="ITC Avant Garde"/>
          <w:sz w:val="22"/>
          <w:szCs w:val="22"/>
        </w:rPr>
        <w:t>Los concesionarios o sus contratistas que realicen trabajos de mantenimiento programados o por fallas en instalaciones y/o en infraestructura Telmex, deberán apegarse a los lineamientos de seguridad establecidos en las instalaciones en donde se realicen los trabajos.</w:t>
      </w:r>
    </w:p>
    <w:p w14:paraId="4721E6CA" w14:textId="439EC653" w:rsidR="003464AF" w:rsidRPr="00475A17" w:rsidRDefault="009504F6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FALLAS</w:t>
      </w:r>
      <w:r w:rsidR="00977EAC"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 O INCIDENCIAS</w:t>
      </w: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 IMPUTABLES A LAS PARTES</w:t>
      </w:r>
    </w:p>
    <w:p w14:paraId="58415259" w14:textId="3D2B3119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 xml:space="preserve">Un Concesionario podrá </w:t>
      </w:r>
      <w:r w:rsidR="002211C1" w:rsidRPr="00475A17">
        <w:rPr>
          <w:rFonts w:ascii="ITC Avant Garde" w:hAnsi="ITC Avant Garde"/>
          <w:color w:val="000000"/>
          <w:sz w:val="22"/>
          <w:szCs w:val="22"/>
        </w:rPr>
        <w:t xml:space="preserve">reportar 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una </w:t>
      </w:r>
      <w:r w:rsidR="002211C1" w:rsidRPr="00475A17">
        <w:rPr>
          <w:rFonts w:ascii="ITC Avant Garde" w:hAnsi="ITC Avant Garde"/>
          <w:color w:val="000000"/>
          <w:sz w:val="22"/>
          <w:szCs w:val="22"/>
        </w:rPr>
        <w:t>incidencia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una vez que haya realizado las pruebas necesarias y verificado que la falla </w:t>
      </w:r>
      <w:r w:rsidR="00977EAC" w:rsidRPr="00475A17">
        <w:rPr>
          <w:rFonts w:ascii="ITC Avant Garde" w:hAnsi="ITC Avant Garde"/>
          <w:color w:val="000000"/>
          <w:sz w:val="22"/>
          <w:szCs w:val="22"/>
        </w:rPr>
        <w:t xml:space="preserve">o incidencia </w:t>
      </w:r>
      <w:r w:rsidRPr="00475A17">
        <w:rPr>
          <w:rFonts w:ascii="ITC Avant Garde" w:hAnsi="ITC Avant Garde"/>
          <w:color w:val="000000"/>
          <w:sz w:val="22"/>
          <w:szCs w:val="22"/>
        </w:rPr>
        <w:t>no se encuentra en los equipos y servicios de su ámbito de responsabilidad, incluyendo en la reclamación los datos identificativos del servicio reclamado así como las anomalías detectadas que dan lugar a la reclamación y que permitan de forma eficiente para ambas partes, determinar la naturaleza u origen de la reclamación cursada.</w:t>
      </w:r>
    </w:p>
    <w:p w14:paraId="1B5DABE0" w14:textId="77777777" w:rsidR="00977EAC" w:rsidRPr="00475A17" w:rsidRDefault="00977EAC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475A17">
        <w:rPr>
          <w:rFonts w:ascii="ITC Avant Garde" w:hAnsi="ITC Avant Garde"/>
          <w:sz w:val="22"/>
          <w:szCs w:val="22"/>
        </w:rPr>
        <w:t>El concesionario que haya originado un aviso de incidencia del cual derive la realización de actividades y pruebas que permitan que la falla o incidente sea declarada imputable al mismo concesionario, deberá pagar a Telmex por los gastos incurridos durante las actividades realizadas para la atención de la falla.</w:t>
      </w:r>
    </w:p>
    <w:p w14:paraId="09414424" w14:textId="77777777" w:rsidR="002D1534" w:rsidRPr="00475A17" w:rsidRDefault="002D1534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Telmex será resp</w:t>
      </w:r>
      <w:r w:rsidR="002211C1" w:rsidRPr="00475A17">
        <w:rPr>
          <w:rFonts w:ascii="ITC Avant Garde" w:hAnsi="ITC Avant Garde"/>
          <w:color w:val="000000"/>
          <w:sz w:val="22"/>
          <w:szCs w:val="22"/>
        </w:rPr>
        <w:t>onsa</w:t>
      </w:r>
      <w:r w:rsidRPr="00475A17">
        <w:rPr>
          <w:rFonts w:ascii="ITC Avant Garde" w:hAnsi="ITC Avant Garde"/>
          <w:color w:val="000000"/>
          <w:sz w:val="22"/>
          <w:szCs w:val="22"/>
        </w:rPr>
        <w:t>ble de atender las fallas identificadas en su red conforme a los tiempos establecidos para cada servicio de Desagregación.</w:t>
      </w:r>
    </w:p>
    <w:p w14:paraId="5013311E" w14:textId="149054D5" w:rsidR="003464AF" w:rsidRPr="00475A17" w:rsidRDefault="009504F6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sz w:val="22"/>
          <w:szCs w:val="22"/>
          <w:u w:val="single"/>
        </w:rPr>
      </w:pPr>
      <w:r w:rsidRPr="00475A17">
        <w:rPr>
          <w:rFonts w:ascii="ITC Avant Garde" w:hAnsi="ITC Avant Garde"/>
          <w:b/>
          <w:sz w:val="22"/>
          <w:szCs w:val="22"/>
          <w:u w:val="single"/>
        </w:rPr>
        <w:t xml:space="preserve">CIERRE DE </w:t>
      </w:r>
      <w:r w:rsidR="00977EAC" w:rsidRPr="00475A17">
        <w:rPr>
          <w:rFonts w:ascii="ITC Avant Garde" w:hAnsi="ITC Avant Garde"/>
          <w:b/>
          <w:sz w:val="22"/>
          <w:szCs w:val="22"/>
          <w:u w:val="single"/>
        </w:rPr>
        <w:t xml:space="preserve">FALLAS O </w:t>
      </w:r>
      <w:r w:rsidRPr="00475A17">
        <w:rPr>
          <w:rFonts w:ascii="ITC Avant Garde" w:hAnsi="ITC Avant Garde"/>
          <w:b/>
          <w:sz w:val="22"/>
          <w:szCs w:val="22"/>
          <w:u w:val="single"/>
        </w:rPr>
        <w:t>INCIDENCIAS</w:t>
      </w:r>
    </w:p>
    <w:p w14:paraId="1FEF30DD" w14:textId="3A9B26B7" w:rsidR="003464AF" w:rsidRPr="00475A17" w:rsidRDefault="009504F6" w:rsidP="00475A17">
      <w:pPr>
        <w:spacing w:after="200" w:line="276" w:lineRule="auto"/>
        <w:jc w:val="both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Telmex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 xml:space="preserve"> procederá al cierre de</w:t>
      </w:r>
      <w:r w:rsidR="00977EAC" w:rsidRPr="00475A17">
        <w:rPr>
          <w:rFonts w:ascii="ITC Avant Garde" w:hAnsi="ITC Avant Garde"/>
          <w:color w:val="000000"/>
          <w:sz w:val="22"/>
          <w:szCs w:val="22"/>
        </w:rPr>
        <w:t xml:space="preserve"> fallas o incidencias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 xml:space="preserve"> una vez que haya solucionado la falla</w:t>
      </w:r>
      <w:r w:rsidR="007D64EE" w:rsidRPr="00475A17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977EAC" w:rsidRPr="00475A17">
        <w:rPr>
          <w:rFonts w:ascii="ITC Avant Garde" w:hAnsi="ITC Avant Garde"/>
          <w:color w:val="000000"/>
          <w:sz w:val="22"/>
          <w:szCs w:val="22"/>
        </w:rPr>
        <w:t>o incidencia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 xml:space="preserve"> y notificara </w:t>
      </w:r>
      <w:r w:rsidR="001F0E45" w:rsidRPr="00475A17">
        <w:rPr>
          <w:rFonts w:ascii="ITC Avant Garde" w:hAnsi="ITC Avant Garde"/>
          <w:color w:val="000000"/>
          <w:sz w:val="22"/>
          <w:szCs w:val="22"/>
        </w:rPr>
        <w:t>vía</w:t>
      </w:r>
      <w:r w:rsidR="006D77B7" w:rsidRPr="00475A17">
        <w:rPr>
          <w:rFonts w:ascii="ITC Avant Garde" w:hAnsi="ITC Avant Garde"/>
          <w:color w:val="000000"/>
          <w:sz w:val="22"/>
          <w:szCs w:val="22"/>
        </w:rPr>
        <w:t xml:space="preserve"> el Sistema de Captura o SEG cuando este en operación</w:t>
      </w:r>
      <w:r w:rsidR="00150F81" w:rsidRPr="00475A17">
        <w:rPr>
          <w:rFonts w:ascii="ITC Avant Garde" w:hAnsi="ITC Avant Garde"/>
          <w:color w:val="000000"/>
          <w:sz w:val="22"/>
          <w:szCs w:val="22"/>
        </w:rPr>
        <w:t xml:space="preserve"> </w:t>
      </w:r>
      <w:r w:rsidRPr="00475A17">
        <w:rPr>
          <w:rFonts w:ascii="ITC Avant Garde" w:hAnsi="ITC Avant Garde"/>
          <w:color w:val="000000"/>
          <w:sz w:val="22"/>
          <w:szCs w:val="22"/>
        </w:rPr>
        <w:t>al Concesionario</w:t>
      </w:r>
      <w:r w:rsidR="006D77B7" w:rsidRPr="00475A17">
        <w:rPr>
          <w:rFonts w:ascii="ITC Avant Garde" w:hAnsi="ITC Avant Garde"/>
          <w:color w:val="000000"/>
          <w:sz w:val="22"/>
          <w:szCs w:val="22"/>
        </w:rPr>
        <w:t xml:space="preserve"> Solicitante 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>para que este valide</w:t>
      </w:r>
      <w:r w:rsidR="006535CD" w:rsidRPr="00475A17">
        <w:rPr>
          <w:rFonts w:ascii="ITC Avant Garde" w:hAnsi="ITC Avant Garde"/>
          <w:color w:val="000000"/>
          <w:sz w:val="22"/>
          <w:szCs w:val="22"/>
        </w:rPr>
        <w:t xml:space="preserve"> la solución de la misma con el 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>suscriptor.</w:t>
      </w:r>
    </w:p>
    <w:sectPr w:rsidR="003464AF" w:rsidRPr="00475A17" w:rsidSect="001E517E">
      <w:headerReference w:type="default" r:id="rId14"/>
      <w:footerReference w:type="default" r:id="rId15"/>
      <w:pgSz w:w="12240" w:h="15840"/>
      <w:pgMar w:top="2127" w:right="1701" w:bottom="1417" w:left="1701" w:header="708" w:footer="10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24B43" w14:textId="77777777" w:rsidR="002F7C68" w:rsidRDefault="002F7C68" w:rsidP="00AC7D16">
      <w:r>
        <w:separator/>
      </w:r>
    </w:p>
  </w:endnote>
  <w:endnote w:type="continuationSeparator" w:id="0">
    <w:p w14:paraId="6F58696D" w14:textId="77777777" w:rsidR="002F7C68" w:rsidRDefault="002F7C68" w:rsidP="00AC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ITC Avant Garde" w:eastAsia="Calibri" w:hAnsi="ITC Avant Garde" w:cs="Arial"/>
        <w:color w:val="000000"/>
        <w:sz w:val="22"/>
        <w:szCs w:val="22"/>
      </w:rPr>
      <w:id w:val="747469413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eastAsia="Calibri" w:hAnsi="ITC Avant Garde" w:cs="Arial"/>
            <w:color w:val="000000"/>
            <w:sz w:val="22"/>
            <w:szCs w:val="22"/>
          </w:rPr>
          <w:id w:val="-623226136"/>
          <w:docPartObj>
            <w:docPartGallery w:val="Page Numbers (Top of Page)"/>
            <w:docPartUnique/>
          </w:docPartObj>
        </w:sdtPr>
        <w:sdtEndPr/>
        <w:sdtContent>
          <w:p w14:paraId="56E17A5E" w14:textId="1151D35A" w:rsidR="009E7E0A" w:rsidRPr="008B5722" w:rsidRDefault="009E7E0A" w:rsidP="00475A17">
            <w:pPr>
              <w:pStyle w:val="Piedepgina"/>
              <w:jc w:val="center"/>
              <w:rPr>
                <w:rFonts w:ascii="ITC Avant Garde" w:hAnsi="ITC Avant Garde"/>
                <w:sz w:val="22"/>
                <w:szCs w:val="22"/>
              </w:rPr>
            </w:pPr>
          </w:p>
          <w:p w14:paraId="23203D6B" w14:textId="3BA91B0D" w:rsidR="009E7E0A" w:rsidRPr="00475A17" w:rsidRDefault="005C394C" w:rsidP="00DA6A6E">
            <w:pPr>
              <w:pStyle w:val="IFTnormal"/>
              <w:jc w:val="right"/>
            </w:pPr>
            <w:r w:rsidRPr="00ED4BE5">
              <w:rPr>
                <w:b/>
                <w:sz w:val="18"/>
              </w:rPr>
              <w:fldChar w:fldCharType="begin"/>
            </w:r>
            <w:r w:rsidR="009504F6" w:rsidRPr="00ED4BE5">
              <w:rPr>
                <w:b/>
                <w:sz w:val="18"/>
              </w:rPr>
              <w:instrText>PAGE</w:instrText>
            </w:r>
            <w:r w:rsidRPr="00ED4BE5">
              <w:rPr>
                <w:b/>
                <w:sz w:val="18"/>
              </w:rPr>
              <w:fldChar w:fldCharType="separate"/>
            </w:r>
            <w:r w:rsidR="00B23E13">
              <w:rPr>
                <w:b/>
                <w:noProof/>
                <w:sz w:val="18"/>
              </w:rPr>
              <w:t>1</w:t>
            </w:r>
            <w:r w:rsidRPr="00ED4BE5">
              <w:rPr>
                <w:b/>
                <w:sz w:val="18"/>
              </w:rPr>
              <w:fldChar w:fldCharType="end"/>
            </w:r>
            <w:r w:rsidR="009504F6" w:rsidRPr="00ED4BE5">
              <w:rPr>
                <w:b/>
                <w:sz w:val="18"/>
              </w:rPr>
              <w:t xml:space="preserve"> de </w:t>
            </w:r>
            <w:r w:rsidRPr="00ED4BE5">
              <w:rPr>
                <w:b/>
                <w:sz w:val="18"/>
              </w:rPr>
              <w:fldChar w:fldCharType="begin"/>
            </w:r>
            <w:r w:rsidR="009504F6" w:rsidRPr="00ED4BE5">
              <w:rPr>
                <w:b/>
                <w:sz w:val="18"/>
              </w:rPr>
              <w:instrText>NUMPAGES</w:instrText>
            </w:r>
            <w:r w:rsidRPr="00ED4BE5">
              <w:rPr>
                <w:b/>
                <w:sz w:val="18"/>
              </w:rPr>
              <w:fldChar w:fldCharType="separate"/>
            </w:r>
            <w:r w:rsidR="00B23E13">
              <w:rPr>
                <w:b/>
                <w:noProof/>
                <w:sz w:val="18"/>
              </w:rPr>
              <w:t>13</w:t>
            </w:r>
            <w:r w:rsidRPr="00ED4BE5">
              <w:rPr>
                <w:b/>
                <w:sz w:val="18"/>
              </w:rPr>
              <w:fldChar w:fldCharType="end"/>
            </w:r>
          </w:p>
        </w:sdtContent>
      </w:sdt>
    </w:sdtContent>
  </w:sdt>
  <w:p w14:paraId="26E10079" w14:textId="0DE4BE8A" w:rsidR="009E7E0A" w:rsidRPr="008B5722" w:rsidRDefault="00475A17" w:rsidP="00475A17">
    <w:pPr>
      <w:pStyle w:val="Piedepgina"/>
      <w:tabs>
        <w:tab w:val="clear" w:pos="4419"/>
        <w:tab w:val="clear" w:pos="8838"/>
        <w:tab w:val="left" w:pos="7965"/>
      </w:tabs>
      <w:rPr>
        <w:rFonts w:ascii="ITC Avant Garde" w:hAnsi="ITC Avant Garde"/>
        <w:sz w:val="22"/>
        <w:szCs w:val="22"/>
      </w:rPr>
    </w:pPr>
    <w:r>
      <w:rPr>
        <w:rFonts w:ascii="ITC Avant Garde" w:hAnsi="ITC Avant Garde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6E8C7" w14:textId="77777777" w:rsidR="002F7C68" w:rsidRDefault="002F7C68" w:rsidP="00AC7D16">
      <w:r>
        <w:separator/>
      </w:r>
    </w:p>
  </w:footnote>
  <w:footnote w:type="continuationSeparator" w:id="0">
    <w:p w14:paraId="24AC5A5F" w14:textId="77777777" w:rsidR="002F7C68" w:rsidRDefault="002F7C68" w:rsidP="00AC7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DAEBC" w14:textId="77777777" w:rsidR="001E517E" w:rsidRDefault="001E517E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  <w:bookmarkStart w:id="1" w:name="_Hlk254855680"/>
  </w:p>
  <w:p w14:paraId="4DD520B6" w14:textId="77777777" w:rsidR="001E517E" w:rsidRDefault="001E517E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</w:p>
  <w:p w14:paraId="0454CBB9" w14:textId="77777777" w:rsidR="001E517E" w:rsidRDefault="001E517E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</w:p>
  <w:p w14:paraId="4418375F" w14:textId="77777777" w:rsidR="001E517E" w:rsidRDefault="001E517E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</w:p>
  <w:p w14:paraId="58164464" w14:textId="743E7539" w:rsidR="003464AF" w:rsidRPr="0067357D" w:rsidRDefault="003464AF">
    <w:pPr>
      <w:pStyle w:val="Encabezado"/>
      <w:rPr>
        <w:rFonts w:ascii="ITC Avant Garde" w:hAnsi="ITC Avant Garde"/>
        <w:color w:val="000000" w:themeColor="text1"/>
        <w:sz w:val="20"/>
      </w:rPr>
    </w:pPr>
    <w:r w:rsidRPr="0067357D">
      <w:rPr>
        <w:rFonts w:ascii="ITC Avant Garde" w:hAnsi="ITC Avant Garde"/>
        <w:color w:val="000000" w:themeColor="text1"/>
        <w:sz w:val="20"/>
        <w:lang w:val="es-ES"/>
      </w:rPr>
      <w:t xml:space="preserve">Oferta de Referencia para la Desagregación Bucle Local                                         Anexo </w:t>
    </w:r>
    <w:bookmarkEnd w:id="1"/>
    <w:r w:rsidRPr="0067357D">
      <w:rPr>
        <w:rFonts w:ascii="ITC Avant Garde" w:hAnsi="ITC Avant Garde"/>
        <w:color w:val="000000" w:themeColor="text1"/>
        <w:sz w:val="20"/>
        <w:lang w:val="es-ES"/>
      </w:rPr>
      <w:t>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4F7"/>
    <w:multiLevelType w:val="hybridMultilevel"/>
    <w:tmpl w:val="9C14286E"/>
    <w:lvl w:ilvl="0" w:tplc="59F0DE7A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F05DB"/>
    <w:multiLevelType w:val="hybridMultilevel"/>
    <w:tmpl w:val="4E9291D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1319"/>
    <w:multiLevelType w:val="hybridMultilevel"/>
    <w:tmpl w:val="47B0B5B8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9973F6"/>
    <w:multiLevelType w:val="hybridMultilevel"/>
    <w:tmpl w:val="79C610FE"/>
    <w:lvl w:ilvl="0" w:tplc="781C42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8262624"/>
    <w:multiLevelType w:val="hybridMultilevel"/>
    <w:tmpl w:val="C96E3E8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4A61"/>
    <w:multiLevelType w:val="hybridMultilevel"/>
    <w:tmpl w:val="6CAA5744"/>
    <w:lvl w:ilvl="0" w:tplc="080A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 w15:restartNumberingAfterBreak="0">
    <w:nsid w:val="1E210570"/>
    <w:multiLevelType w:val="hybridMultilevel"/>
    <w:tmpl w:val="3D0414EE"/>
    <w:lvl w:ilvl="0" w:tplc="702476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F680B01"/>
    <w:multiLevelType w:val="hybridMultilevel"/>
    <w:tmpl w:val="D098F40E"/>
    <w:lvl w:ilvl="0" w:tplc="BFF0D60A">
      <w:numFmt w:val="bullet"/>
      <w:lvlText w:val="-"/>
      <w:lvlJc w:val="left"/>
      <w:pPr>
        <w:ind w:left="1432" w:hanging="360"/>
      </w:pPr>
      <w:rPr>
        <w:rFonts w:ascii="Comic Sans MS" w:eastAsia="Times New Roman" w:hAnsi="Comic Sans MS" w:hint="default"/>
      </w:rPr>
    </w:lvl>
    <w:lvl w:ilvl="1" w:tplc="080A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 w15:restartNumberingAfterBreak="0">
    <w:nsid w:val="23CA3617"/>
    <w:multiLevelType w:val="hybridMultilevel"/>
    <w:tmpl w:val="A0CA06E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024E8"/>
    <w:multiLevelType w:val="hybridMultilevel"/>
    <w:tmpl w:val="503C752A"/>
    <w:lvl w:ilvl="0" w:tplc="E1DC7242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5599E"/>
    <w:multiLevelType w:val="hybridMultilevel"/>
    <w:tmpl w:val="92A41A66"/>
    <w:lvl w:ilvl="0" w:tplc="08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6701B1B"/>
    <w:multiLevelType w:val="hybridMultilevel"/>
    <w:tmpl w:val="42E6D04E"/>
    <w:lvl w:ilvl="0" w:tplc="781C42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3863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941057"/>
    <w:multiLevelType w:val="hybridMultilevel"/>
    <w:tmpl w:val="2F368370"/>
    <w:lvl w:ilvl="0" w:tplc="782A8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C6C39CD"/>
    <w:multiLevelType w:val="hybridMultilevel"/>
    <w:tmpl w:val="4806745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E4864"/>
    <w:multiLevelType w:val="hybridMultilevel"/>
    <w:tmpl w:val="DFE056E4"/>
    <w:lvl w:ilvl="0" w:tplc="080A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F1A62A9"/>
    <w:multiLevelType w:val="hybridMultilevel"/>
    <w:tmpl w:val="50A41D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62286"/>
    <w:multiLevelType w:val="hybridMultilevel"/>
    <w:tmpl w:val="6A6E59C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E5765"/>
    <w:multiLevelType w:val="hybridMultilevel"/>
    <w:tmpl w:val="16CE53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E4AE1"/>
    <w:multiLevelType w:val="hybridMultilevel"/>
    <w:tmpl w:val="C4708194"/>
    <w:lvl w:ilvl="0" w:tplc="080A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95757A2"/>
    <w:multiLevelType w:val="hybridMultilevel"/>
    <w:tmpl w:val="AA503430"/>
    <w:lvl w:ilvl="0" w:tplc="88D859B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D6C25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9"/>
  </w:num>
  <w:num w:numId="9">
    <w:abstractNumId w:val="16"/>
  </w:num>
  <w:num w:numId="10">
    <w:abstractNumId w:val="6"/>
  </w:num>
  <w:num w:numId="11">
    <w:abstractNumId w:val="12"/>
  </w:num>
  <w:num w:numId="12">
    <w:abstractNumId w:val="11"/>
  </w:num>
  <w:num w:numId="13">
    <w:abstractNumId w:val="15"/>
  </w:num>
  <w:num w:numId="14">
    <w:abstractNumId w:val="19"/>
  </w:num>
  <w:num w:numId="15">
    <w:abstractNumId w:val="3"/>
  </w:num>
  <w:num w:numId="16">
    <w:abstractNumId w:val="5"/>
  </w:num>
  <w:num w:numId="17">
    <w:abstractNumId w:val="10"/>
  </w:num>
  <w:num w:numId="18">
    <w:abstractNumId w:val="18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A86"/>
    <w:rsid w:val="00007F9E"/>
    <w:rsid w:val="000131F4"/>
    <w:rsid w:val="0002639A"/>
    <w:rsid w:val="00056692"/>
    <w:rsid w:val="00064221"/>
    <w:rsid w:val="00071AC0"/>
    <w:rsid w:val="00072A22"/>
    <w:rsid w:val="00082AAE"/>
    <w:rsid w:val="00087B21"/>
    <w:rsid w:val="000A6C14"/>
    <w:rsid w:val="000B02BB"/>
    <w:rsid w:val="000B53D2"/>
    <w:rsid w:val="000C2676"/>
    <w:rsid w:val="000D1B8D"/>
    <w:rsid w:val="000D2900"/>
    <w:rsid w:val="000D5505"/>
    <w:rsid w:val="000D7F12"/>
    <w:rsid w:val="000F3A4F"/>
    <w:rsid w:val="000F6C6B"/>
    <w:rsid w:val="0013296F"/>
    <w:rsid w:val="001471A8"/>
    <w:rsid w:val="00150F81"/>
    <w:rsid w:val="001578C5"/>
    <w:rsid w:val="00164068"/>
    <w:rsid w:val="001A707C"/>
    <w:rsid w:val="001C477A"/>
    <w:rsid w:val="001D578B"/>
    <w:rsid w:val="001E517E"/>
    <w:rsid w:val="001F0E45"/>
    <w:rsid w:val="001F41FE"/>
    <w:rsid w:val="00215E11"/>
    <w:rsid w:val="002211C1"/>
    <w:rsid w:val="0025571D"/>
    <w:rsid w:val="00274111"/>
    <w:rsid w:val="0028073A"/>
    <w:rsid w:val="00287BC1"/>
    <w:rsid w:val="00291CE0"/>
    <w:rsid w:val="002A55E5"/>
    <w:rsid w:val="002A5B73"/>
    <w:rsid w:val="002A5CA7"/>
    <w:rsid w:val="002A694E"/>
    <w:rsid w:val="002A7577"/>
    <w:rsid w:val="002B1640"/>
    <w:rsid w:val="002B4A43"/>
    <w:rsid w:val="002C3A47"/>
    <w:rsid w:val="002C7A86"/>
    <w:rsid w:val="002D1534"/>
    <w:rsid w:val="002E4D1A"/>
    <w:rsid w:val="002F7C68"/>
    <w:rsid w:val="003170F4"/>
    <w:rsid w:val="0032101E"/>
    <w:rsid w:val="003279FC"/>
    <w:rsid w:val="00336145"/>
    <w:rsid w:val="003414F2"/>
    <w:rsid w:val="003464AF"/>
    <w:rsid w:val="00350243"/>
    <w:rsid w:val="00354239"/>
    <w:rsid w:val="00375FB5"/>
    <w:rsid w:val="00380592"/>
    <w:rsid w:val="0038557E"/>
    <w:rsid w:val="003B0809"/>
    <w:rsid w:val="003C010C"/>
    <w:rsid w:val="003E571E"/>
    <w:rsid w:val="004177B1"/>
    <w:rsid w:val="00436858"/>
    <w:rsid w:val="00454FEF"/>
    <w:rsid w:val="004616A9"/>
    <w:rsid w:val="00471FF8"/>
    <w:rsid w:val="004754E3"/>
    <w:rsid w:val="00475A17"/>
    <w:rsid w:val="004B312C"/>
    <w:rsid w:val="004C4FA1"/>
    <w:rsid w:val="004D4A3C"/>
    <w:rsid w:val="004F6A14"/>
    <w:rsid w:val="00504E02"/>
    <w:rsid w:val="00531EDB"/>
    <w:rsid w:val="005446D6"/>
    <w:rsid w:val="00551C64"/>
    <w:rsid w:val="00555743"/>
    <w:rsid w:val="00562788"/>
    <w:rsid w:val="00571079"/>
    <w:rsid w:val="00575306"/>
    <w:rsid w:val="00594AA7"/>
    <w:rsid w:val="005A16C1"/>
    <w:rsid w:val="005C1259"/>
    <w:rsid w:val="005C25A1"/>
    <w:rsid w:val="005C394C"/>
    <w:rsid w:val="005E2F16"/>
    <w:rsid w:val="005E3582"/>
    <w:rsid w:val="005E5785"/>
    <w:rsid w:val="005F3F54"/>
    <w:rsid w:val="005F59A0"/>
    <w:rsid w:val="005F6161"/>
    <w:rsid w:val="00603BC7"/>
    <w:rsid w:val="00611A97"/>
    <w:rsid w:val="0062297C"/>
    <w:rsid w:val="00637F0E"/>
    <w:rsid w:val="00640EFB"/>
    <w:rsid w:val="006535CD"/>
    <w:rsid w:val="006563CE"/>
    <w:rsid w:val="0066597F"/>
    <w:rsid w:val="0067357D"/>
    <w:rsid w:val="006861DA"/>
    <w:rsid w:val="006A43AE"/>
    <w:rsid w:val="006A5943"/>
    <w:rsid w:val="006B6443"/>
    <w:rsid w:val="006D77B7"/>
    <w:rsid w:val="006E2D6C"/>
    <w:rsid w:val="006E7D40"/>
    <w:rsid w:val="006E7DCA"/>
    <w:rsid w:val="00707B9B"/>
    <w:rsid w:val="00747D5C"/>
    <w:rsid w:val="00782B13"/>
    <w:rsid w:val="00785CD7"/>
    <w:rsid w:val="00796879"/>
    <w:rsid w:val="007A4DA2"/>
    <w:rsid w:val="007B026D"/>
    <w:rsid w:val="007B6E7E"/>
    <w:rsid w:val="007D64EE"/>
    <w:rsid w:val="007D7739"/>
    <w:rsid w:val="007E4E85"/>
    <w:rsid w:val="007F26B5"/>
    <w:rsid w:val="00801D3B"/>
    <w:rsid w:val="008139F6"/>
    <w:rsid w:val="00820B93"/>
    <w:rsid w:val="0083788D"/>
    <w:rsid w:val="00845ADF"/>
    <w:rsid w:val="00863E57"/>
    <w:rsid w:val="008654A8"/>
    <w:rsid w:val="00871939"/>
    <w:rsid w:val="00873A00"/>
    <w:rsid w:val="00894584"/>
    <w:rsid w:val="008B5722"/>
    <w:rsid w:val="008D37D6"/>
    <w:rsid w:val="008D7D68"/>
    <w:rsid w:val="00935D1F"/>
    <w:rsid w:val="009504F6"/>
    <w:rsid w:val="00951516"/>
    <w:rsid w:val="00977EAC"/>
    <w:rsid w:val="009913B4"/>
    <w:rsid w:val="00991664"/>
    <w:rsid w:val="00991C1B"/>
    <w:rsid w:val="00993379"/>
    <w:rsid w:val="00993B5C"/>
    <w:rsid w:val="00994BCF"/>
    <w:rsid w:val="009A21A5"/>
    <w:rsid w:val="009B0DB7"/>
    <w:rsid w:val="009E7E0A"/>
    <w:rsid w:val="009F1D8A"/>
    <w:rsid w:val="00A23BF3"/>
    <w:rsid w:val="00A2608D"/>
    <w:rsid w:val="00A41B50"/>
    <w:rsid w:val="00A63C8E"/>
    <w:rsid w:val="00A64BE5"/>
    <w:rsid w:val="00AA7F60"/>
    <w:rsid w:val="00AC45FF"/>
    <w:rsid w:val="00AC7D16"/>
    <w:rsid w:val="00AD2AD4"/>
    <w:rsid w:val="00AD3D07"/>
    <w:rsid w:val="00AD487C"/>
    <w:rsid w:val="00AE767B"/>
    <w:rsid w:val="00B23E13"/>
    <w:rsid w:val="00B44E93"/>
    <w:rsid w:val="00B83663"/>
    <w:rsid w:val="00BA4360"/>
    <w:rsid w:val="00BB3CB4"/>
    <w:rsid w:val="00BB57A7"/>
    <w:rsid w:val="00BB7635"/>
    <w:rsid w:val="00BC12B0"/>
    <w:rsid w:val="00BD7DB6"/>
    <w:rsid w:val="00C41195"/>
    <w:rsid w:val="00C52420"/>
    <w:rsid w:val="00C52585"/>
    <w:rsid w:val="00C61A28"/>
    <w:rsid w:val="00C651AA"/>
    <w:rsid w:val="00C6785D"/>
    <w:rsid w:val="00C736B6"/>
    <w:rsid w:val="00C74230"/>
    <w:rsid w:val="00C90F2C"/>
    <w:rsid w:val="00CB6BA2"/>
    <w:rsid w:val="00CB6FDB"/>
    <w:rsid w:val="00CC7A91"/>
    <w:rsid w:val="00CD3B3A"/>
    <w:rsid w:val="00CF6D20"/>
    <w:rsid w:val="00D1772F"/>
    <w:rsid w:val="00D30429"/>
    <w:rsid w:val="00D465CE"/>
    <w:rsid w:val="00D46FFC"/>
    <w:rsid w:val="00D7075E"/>
    <w:rsid w:val="00DA352D"/>
    <w:rsid w:val="00DA6A6E"/>
    <w:rsid w:val="00DB7169"/>
    <w:rsid w:val="00DC0F61"/>
    <w:rsid w:val="00DE19C7"/>
    <w:rsid w:val="00DF424F"/>
    <w:rsid w:val="00E152ED"/>
    <w:rsid w:val="00E21DB9"/>
    <w:rsid w:val="00E26B06"/>
    <w:rsid w:val="00E3032A"/>
    <w:rsid w:val="00E35C63"/>
    <w:rsid w:val="00E47768"/>
    <w:rsid w:val="00E60FBE"/>
    <w:rsid w:val="00E757BB"/>
    <w:rsid w:val="00E76C64"/>
    <w:rsid w:val="00ED4BE5"/>
    <w:rsid w:val="00EE632B"/>
    <w:rsid w:val="00F104D4"/>
    <w:rsid w:val="00F15D40"/>
    <w:rsid w:val="00F177E8"/>
    <w:rsid w:val="00F56C69"/>
    <w:rsid w:val="00F57A69"/>
    <w:rsid w:val="00F6045E"/>
    <w:rsid w:val="00FB5712"/>
    <w:rsid w:val="00FD3098"/>
    <w:rsid w:val="00FD3C85"/>
    <w:rsid w:val="00FF1EC7"/>
    <w:rsid w:val="00FF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157D4D3D"/>
  <w15:docId w15:val="{FFF3657B-ADD3-436D-B358-51D82D88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A86"/>
    <w:rPr>
      <w:rFonts w:ascii="Arial" w:eastAsia="Times New Roman" w:hAnsi="Arial"/>
      <w:sz w:val="24"/>
      <w:szCs w:val="24"/>
      <w:lang w:val="es-ES_tradnl" w:eastAsia="es-ES"/>
    </w:rPr>
  </w:style>
  <w:style w:type="paragraph" w:styleId="Ttulo1">
    <w:name w:val="heading 1"/>
    <w:aliases w:val="h:1,h:1app,H1,H11,Level 1,app heading 1,l1,h1,ITT t1,PA Chapter,Section Head,II+,I,Chapter Heading,1,Title1,H12,H111,H13,H112,H14,H113,H15,H114,H16,H115,H17,H116,H18,H117,H19,H118,H110,H119,H120,H1110,H121,H1111,H131,H1121,H141,H1131,H151,11"/>
    <w:basedOn w:val="Normal"/>
    <w:next w:val="Normal"/>
    <w:link w:val="Ttulo1Car"/>
    <w:autoRedefine/>
    <w:uiPriority w:val="99"/>
    <w:qFormat/>
    <w:rsid w:val="00991C1B"/>
    <w:pPr>
      <w:keepNext/>
      <w:spacing w:before="240" w:after="60" w:line="360" w:lineRule="auto"/>
      <w:ind w:left="708" w:hanging="708"/>
      <w:contextualSpacing/>
      <w:jc w:val="center"/>
      <w:outlineLvl w:val="0"/>
    </w:pPr>
    <w:rPr>
      <w:rFonts w:ascii="Calibri" w:hAnsi="Calibri"/>
      <w:b/>
      <w:color w:val="000000"/>
      <w:sz w:val="72"/>
      <w:szCs w:val="72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104D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:1 Car,h:1app Car,H1 Car,H11 Car,Level 1 Car,app heading 1 Car,l1 Car,h1 Car,ITT t1 Car,PA Chapter Car,Section Head Car,II+ Car,I Car,Chapter Heading Car,1 Car,Title1 Car,H12 Car,H111 Car,H13 Car,H112 Car,H14 Car,H113 Car,H15 Car,H114 Car"/>
    <w:basedOn w:val="Fuentedeprrafopredeter"/>
    <w:link w:val="Ttulo1"/>
    <w:uiPriority w:val="99"/>
    <w:locked/>
    <w:rsid w:val="00991C1B"/>
    <w:rPr>
      <w:rFonts w:eastAsia="Times New Roman" w:cs="Times New Roman"/>
      <w:b/>
      <w:color w:val="000000"/>
      <w:sz w:val="72"/>
      <w:szCs w:val="72"/>
      <w:lang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104D4"/>
    <w:rPr>
      <w:rFonts w:ascii="Cambria" w:hAnsi="Cambria" w:cs="Times New Roman"/>
      <w:b/>
      <w:bCs/>
      <w:i/>
      <w:iCs/>
      <w:color w:val="4F81BD"/>
      <w:sz w:val="24"/>
      <w:szCs w:val="24"/>
      <w:lang w:val="es-ES_tradnl" w:eastAsia="es-ES"/>
    </w:rPr>
  </w:style>
  <w:style w:type="paragraph" w:styleId="Mapadeldocumento">
    <w:name w:val="Document Map"/>
    <w:basedOn w:val="Normal"/>
    <w:link w:val="MapadeldocumentoCar"/>
    <w:uiPriority w:val="99"/>
    <w:semiHidden/>
    <w:rsid w:val="002C7A86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2C7A86"/>
    <w:rPr>
      <w:rFonts w:ascii="Tahoma" w:hAnsi="Tahoma" w:cs="Tahoma"/>
      <w:sz w:val="16"/>
      <w:szCs w:val="16"/>
      <w:lang w:val="es-ES_tradnl" w:eastAsia="es-ES"/>
    </w:rPr>
  </w:style>
  <w:style w:type="paragraph" w:customStyle="1" w:styleId="Texto1">
    <w:name w:val="Texto 1"/>
    <w:basedOn w:val="Normal"/>
    <w:uiPriority w:val="99"/>
    <w:rsid w:val="002C7A86"/>
    <w:pPr>
      <w:ind w:left="352"/>
      <w:jc w:val="both"/>
    </w:pPr>
    <w:rPr>
      <w:sz w:val="20"/>
      <w:szCs w:val="20"/>
    </w:rPr>
  </w:style>
  <w:style w:type="paragraph" w:styleId="Prrafodelista">
    <w:name w:val="List Paragraph"/>
    <w:basedOn w:val="Normal"/>
    <w:uiPriority w:val="99"/>
    <w:qFormat/>
    <w:rsid w:val="002C7A86"/>
    <w:pPr>
      <w:ind w:left="708"/>
    </w:pPr>
  </w:style>
  <w:style w:type="paragraph" w:styleId="Textocomentario">
    <w:name w:val="annotation text"/>
    <w:basedOn w:val="Normal"/>
    <w:link w:val="TextocomentarioCar"/>
    <w:uiPriority w:val="99"/>
    <w:rsid w:val="00D7075E"/>
    <w:pPr>
      <w:tabs>
        <w:tab w:val="left" w:pos="794"/>
        <w:tab w:val="left" w:pos="1191"/>
        <w:tab w:val="left" w:pos="1588"/>
        <w:tab w:val="left" w:pos="1985"/>
      </w:tabs>
      <w:spacing w:before="136"/>
      <w:jc w:val="both"/>
    </w:p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D7075E"/>
    <w:rPr>
      <w:rFonts w:ascii="Arial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rsid w:val="00D7075E"/>
    <w:rPr>
      <w:rFonts w:cs="Times New Roman"/>
      <w:sz w:val="16"/>
    </w:rPr>
  </w:style>
  <w:style w:type="table" w:styleId="Tablaconcuadrcula">
    <w:name w:val="Table Grid"/>
    <w:basedOn w:val="Tablanormal"/>
    <w:uiPriority w:val="99"/>
    <w:rsid w:val="000D7F12"/>
    <w:rPr>
      <w:rFonts w:ascii="Arial" w:eastAsia="Times New Roman" w:hAnsi="Arial"/>
      <w:sz w:val="24"/>
      <w:szCs w:val="24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991C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991C1B"/>
    <w:rPr>
      <w:rFonts w:ascii="Tahoma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AC7D1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C7D16"/>
    <w:rPr>
      <w:rFonts w:ascii="Arial" w:hAnsi="Arial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AC7D1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C7D16"/>
    <w:rPr>
      <w:rFonts w:ascii="Arial" w:hAnsi="Arial" w:cs="Times New Roman"/>
      <w:sz w:val="24"/>
      <w:szCs w:val="24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1C64"/>
    <w:pPr>
      <w:tabs>
        <w:tab w:val="clear" w:pos="794"/>
        <w:tab w:val="clear" w:pos="1191"/>
        <w:tab w:val="clear" w:pos="1588"/>
        <w:tab w:val="clear" w:pos="1985"/>
      </w:tabs>
      <w:spacing w:before="0"/>
      <w:jc w:val="left"/>
    </w:pPr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1C64"/>
    <w:rPr>
      <w:rFonts w:ascii="Arial" w:eastAsia="Times New Roman" w:hAnsi="Arial" w:cs="Times New Roman"/>
      <w:b/>
      <w:bCs/>
      <w:sz w:val="2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082AAE"/>
    <w:rPr>
      <w:color w:val="0000FF" w:themeColor="hyperlink"/>
      <w:u w:val="single"/>
    </w:rPr>
  </w:style>
  <w:style w:type="paragraph" w:customStyle="1" w:styleId="CondicionesFinales">
    <w:name w:val="CondicionesFinales"/>
    <w:basedOn w:val="Normal"/>
    <w:qFormat/>
    <w:rsid w:val="008B5722"/>
    <w:pPr>
      <w:adjustRightInd w:val="0"/>
      <w:spacing w:after="200" w:line="276" w:lineRule="auto"/>
      <w:ind w:left="851" w:right="760"/>
      <w:jc w:val="both"/>
    </w:pPr>
    <w:rPr>
      <w:rFonts w:ascii="ITC Avant Garde" w:hAnsi="ITC Avant Garde" w:cs="Arial"/>
      <w:bCs/>
      <w:color w:val="000000"/>
      <w:sz w:val="22"/>
      <w:szCs w:val="22"/>
    </w:rPr>
  </w:style>
  <w:style w:type="paragraph" w:customStyle="1" w:styleId="IFTnormal">
    <w:name w:val="IFT normal"/>
    <w:basedOn w:val="Normal"/>
    <w:link w:val="IFTnormalCar"/>
    <w:qFormat/>
    <w:rsid w:val="008B5722"/>
    <w:pPr>
      <w:spacing w:after="200" w:line="276" w:lineRule="auto"/>
      <w:jc w:val="both"/>
    </w:pPr>
    <w:rPr>
      <w:rFonts w:ascii="ITC Avant Garde" w:eastAsia="Calibri" w:hAnsi="ITC Avant Garde" w:cs="Arial"/>
      <w:color w:val="000000"/>
      <w:sz w:val="22"/>
      <w:szCs w:val="22"/>
    </w:rPr>
  </w:style>
  <w:style w:type="character" w:customStyle="1" w:styleId="IFTnormalCar">
    <w:name w:val="IFT normal Car"/>
    <w:basedOn w:val="Fuentedeprrafopredeter"/>
    <w:link w:val="IFTnormal"/>
    <w:qFormat/>
    <w:rsid w:val="008B5722"/>
    <w:rPr>
      <w:rFonts w:ascii="ITC Avant Garde" w:hAnsi="ITC Avant Garde" w:cs="Arial"/>
      <w:color w:val="00000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OSUPER@TELMEX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XXXXX@telmex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PERDES@telmex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aa9e511fcafbab5f2ef084e2d0bf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92A4E-5B1E-487F-8D53-BB0C4ED927FA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748AA4-9628-4B9D-88F1-11547C169D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F4A79C-8A98-40D3-961D-17E9771AB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2BCA2C-7F16-4D0B-A7CF-882DA82A7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2656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“Anexo C”</vt:lpstr>
    </vt:vector>
  </TitlesOfParts>
  <Company>IFT</Company>
  <LinksUpToDate>false</LinksUpToDate>
  <CharactersWithSpaces>17232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“Anexo C”</dc:title>
  <dc:creator>jose.cazares@ift.org.mx</dc:creator>
  <cp:lastModifiedBy>Fernando Rojas Castaneda</cp:lastModifiedBy>
  <cp:revision>6</cp:revision>
  <cp:lastPrinted>2015-11-10T19:39:00Z</cp:lastPrinted>
  <dcterms:created xsi:type="dcterms:W3CDTF">2015-12-10T23:24:00Z</dcterms:created>
  <dcterms:modified xsi:type="dcterms:W3CDTF">2016-07-11T22:12:00Z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