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FB7B" w14:textId="77777777" w:rsidR="00EB1FDE" w:rsidRPr="00092A03" w:rsidRDefault="00EB1FDE" w:rsidP="00EB1FDE">
      <w:pPr>
        <w:spacing w:after="0" w:line="276" w:lineRule="auto"/>
        <w:rPr>
          <w:rFonts w:ascii="ITC Avant Garde" w:eastAsia="Times New Roman" w:hAnsi="ITC Avant Garde"/>
          <w:b/>
          <w:bCs/>
          <w:lang w:val="es-MX"/>
        </w:rPr>
      </w:pPr>
      <w:r w:rsidRPr="00092A03">
        <w:rPr>
          <w:rFonts w:ascii="ITC Avant Garde" w:hAnsi="ITC Avant Garde"/>
          <w:b/>
          <w:lang w:val="es-MX"/>
        </w:rPr>
        <w:t xml:space="preserve">RESPUESTAS GENERALES QUE BRINDA EL INSTITUTO FEDERAL DE TELECOMUNICACIONES A LAS MANIFESTACIONES, OPINIONES, COMENTARIOS Y PROPUESTAS CONCRETAS, PRESENTADAS DURANTE LA CONSULTA PÚBLICA SOBRE LOS </w:t>
      </w:r>
      <w:r w:rsidRPr="00092A03">
        <w:rPr>
          <w:rFonts w:ascii="ITC Avant Garde" w:eastAsia="Times New Roman" w:hAnsi="ITC Avant Garde"/>
          <w:b/>
          <w:bCs/>
          <w:lang w:val="es-MX"/>
        </w:rPr>
        <w:t>“MODELOS DE COSTOS DE SERVICIOS DE INTERCONEXIÓN PARA EL PERIODO 2018-2020”.</w:t>
      </w:r>
    </w:p>
    <w:p w14:paraId="0B2A5881" w14:textId="77777777" w:rsidR="00EB1FDE" w:rsidRPr="00092A03" w:rsidRDefault="00EB1FDE" w:rsidP="00EB1FDE">
      <w:pPr>
        <w:spacing w:after="0" w:line="276" w:lineRule="auto"/>
        <w:rPr>
          <w:rFonts w:ascii="ITC Avant Garde" w:eastAsia="Times New Roman" w:hAnsi="ITC Avant Garde"/>
          <w:b/>
          <w:bCs/>
          <w:lang w:val="es-MX"/>
        </w:rPr>
      </w:pPr>
    </w:p>
    <w:p w14:paraId="729216E4" w14:textId="4A9A5967" w:rsidR="00EB1FDE" w:rsidRPr="00092A03" w:rsidRDefault="00EB1FDE" w:rsidP="00EB1FDE">
      <w:pPr>
        <w:spacing w:after="0" w:line="276" w:lineRule="auto"/>
        <w:rPr>
          <w:rFonts w:ascii="ITC Avant Garde" w:eastAsia="Avant Garde" w:hAnsi="ITC Avant Garde" w:cs="Avant Garde"/>
          <w:lang w:val="es-MX" w:eastAsia="es-MX"/>
        </w:rPr>
      </w:pPr>
      <w:r w:rsidRPr="00092A03">
        <w:rPr>
          <w:rFonts w:ascii="ITC Avant Garde" w:eastAsia="Avant Garde" w:hAnsi="ITC Avant Garde" w:cs="Avant Garde"/>
          <w:lang w:val="es-MX" w:eastAsia="es-MX"/>
        </w:rPr>
        <w:t xml:space="preserve">Con relación a las manifestaciones, opiniones, comentarios y propuestas concretas sobre </w:t>
      </w:r>
      <w:r w:rsidR="002947BC">
        <w:rPr>
          <w:rFonts w:ascii="ITC Avant Garde" w:eastAsia="Avant Garde" w:hAnsi="ITC Avant Garde" w:cs="Avant Garde"/>
          <w:lang w:val="es-MX" w:eastAsia="es-MX"/>
        </w:rPr>
        <w:t xml:space="preserve">los </w:t>
      </w:r>
      <w:r w:rsidR="002947BC">
        <w:rPr>
          <w:rFonts w:ascii="ITC Avant Garde" w:eastAsia="Avant Garde" w:hAnsi="ITC Avant Garde" w:cs="Avant Garde"/>
          <w:color w:val="000000"/>
          <w:lang w:val="es-MX" w:eastAsia="es-MX"/>
        </w:rPr>
        <w:t>Modelos de Costos de Servicios de Intercone</w:t>
      </w:r>
      <w:r w:rsidR="002947BC">
        <w:rPr>
          <w:rFonts w:ascii="ITC Avant Garde" w:eastAsia="Avant Garde" w:hAnsi="ITC Avant Garde" w:cs="Avant Garde"/>
          <w:color w:val="000000"/>
          <w:lang w:val="es-MX" w:eastAsia="es-MX"/>
        </w:rPr>
        <w:t xml:space="preserve">xión para el periodo 2018-2020 </w:t>
      </w:r>
      <w:bookmarkStart w:id="0" w:name="_GoBack"/>
      <w:bookmarkEnd w:id="0"/>
      <w:r w:rsidRPr="00092A03">
        <w:rPr>
          <w:rFonts w:ascii="ITC Avant Garde" w:eastAsia="Avant Garde" w:hAnsi="ITC Avant Garde" w:cs="Avant Garde"/>
          <w:lang w:val="es-MX" w:eastAsia="es-MX"/>
        </w:rPr>
        <w:t xml:space="preserve"> materia de la consulta pública de mérito, recibidas durante el periodo comprendido del 26 de octubre de</w:t>
      </w:r>
      <w:r w:rsidR="008249C4" w:rsidRPr="00092A03">
        <w:rPr>
          <w:rFonts w:ascii="ITC Avant Garde" w:eastAsia="Avant Garde" w:hAnsi="ITC Avant Garde" w:cs="Avant Garde"/>
          <w:lang w:val="es-MX" w:eastAsia="es-MX"/>
        </w:rPr>
        <w:t xml:space="preserve"> 2016 al 21 de diciembre de 2016</w:t>
      </w:r>
      <w:r w:rsidRPr="00092A03">
        <w:rPr>
          <w:rFonts w:ascii="ITC Avant Garde" w:eastAsia="Avant Garde" w:hAnsi="ITC Avant Garde" w:cs="Avant Garde"/>
          <w:lang w:val="es-MX" w:eastAsia="es-MX"/>
        </w:rPr>
        <w:t>, se informa que el Instituto Federal de Telecomunicaciones (el “Instituto”</w:t>
      </w:r>
      <w:r w:rsidR="00E80985">
        <w:rPr>
          <w:rFonts w:ascii="ITC Avant Garde" w:eastAsia="Avant Garde" w:hAnsi="ITC Avant Garde" w:cs="Avant Garde"/>
          <w:lang w:val="es-MX" w:eastAsia="es-MX"/>
        </w:rPr>
        <w:t xml:space="preserve"> o “IFT”</w:t>
      </w:r>
      <w:r w:rsidRPr="00092A03">
        <w:rPr>
          <w:rFonts w:ascii="ITC Avant Garde" w:eastAsia="Avant Garde" w:hAnsi="ITC Avant Garde" w:cs="Avant Garde"/>
          <w:lang w:val="es-MX" w:eastAsia="es-MX"/>
        </w:rPr>
        <w:t>) atendió los temas recibidos y que, todas las opiniones y pronunciamientos recibidos, se encuentran disponibles para su consulta en la página de internet del Instituto.</w:t>
      </w:r>
    </w:p>
    <w:p w14:paraId="69851459" w14:textId="77777777" w:rsidR="00EB1FDE" w:rsidRPr="00092A03" w:rsidRDefault="00EB1FDE" w:rsidP="00EB1FDE">
      <w:pPr>
        <w:spacing w:after="0" w:line="276" w:lineRule="auto"/>
        <w:rPr>
          <w:rFonts w:ascii="ITC Avant Garde" w:eastAsia="Avant Garde" w:hAnsi="ITC Avant Garde" w:cs="Avant Garde"/>
          <w:lang w:val="es-MX" w:eastAsia="es-MX"/>
        </w:rPr>
      </w:pPr>
    </w:p>
    <w:p w14:paraId="316A8D59" w14:textId="77777777" w:rsidR="00EB1FDE" w:rsidRPr="00092A03" w:rsidRDefault="00EB1FDE" w:rsidP="00EB1FDE">
      <w:pPr>
        <w:spacing w:after="0" w:line="276" w:lineRule="auto"/>
        <w:rPr>
          <w:rFonts w:ascii="ITC Avant Garde" w:hAnsi="ITC Avant Garde"/>
          <w:lang w:val="es-MX"/>
        </w:rPr>
      </w:pPr>
      <w:r w:rsidRPr="00092A03">
        <w:rPr>
          <w:rFonts w:ascii="ITC Avant Garde" w:hAnsi="ITC Avant Garde"/>
          <w:lang w:val="es-MX"/>
        </w:rPr>
        <w:t xml:space="preserve">Las personas morales que participaron son las siguientes: </w:t>
      </w:r>
    </w:p>
    <w:p w14:paraId="5FBD6233" w14:textId="77777777" w:rsidR="00EB1FDE" w:rsidRPr="00092A03" w:rsidRDefault="00EB1FDE" w:rsidP="00EB1FDE">
      <w:pPr>
        <w:spacing w:after="0" w:line="276" w:lineRule="auto"/>
        <w:rPr>
          <w:rFonts w:ascii="ITC Avant Garde" w:hAnsi="ITC Avant Garde"/>
          <w:lang w:val="es-MX"/>
        </w:rPr>
      </w:pPr>
    </w:p>
    <w:p w14:paraId="7F6D3AAE"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Teléfonos de México S.A.B. de C.V. y Teléfonos del Noroeste S.A. de C.V. </w:t>
      </w:r>
      <w:r w:rsidRPr="00092A03">
        <w:rPr>
          <w:rFonts w:ascii="ITC Avant Garde" w:hAnsi="ITC Avant Garde" w:cs="ITC Avant Garde"/>
          <w:lang w:val="es-MX"/>
        </w:rPr>
        <w:t>(en lo sucesivo conjuntamente, “Telmex/Telnor”);</w:t>
      </w:r>
    </w:p>
    <w:p w14:paraId="1C712497"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Radiomóvil Dipsa, S.A. de C.V </w:t>
      </w:r>
      <w:r w:rsidRPr="00092A03">
        <w:rPr>
          <w:rFonts w:ascii="ITC Avant Garde" w:hAnsi="ITC Avant Garde" w:cs="ITC Avant Garde"/>
          <w:lang w:val="es-MX"/>
        </w:rPr>
        <w:t>(en lo sucesivo, “Telcel”);</w:t>
      </w:r>
    </w:p>
    <w:p w14:paraId="3B95869A"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Axtel, S.A.B. de C.V., </w:t>
      </w:r>
      <w:proofErr w:type="spellStart"/>
      <w:r w:rsidRPr="00092A03">
        <w:rPr>
          <w:rFonts w:ascii="ITC Avant Garde" w:hAnsi="ITC Avant Garde"/>
          <w:lang w:val="es-MX"/>
        </w:rPr>
        <w:t>Avantel</w:t>
      </w:r>
      <w:proofErr w:type="spellEnd"/>
      <w:r w:rsidRPr="00092A03">
        <w:rPr>
          <w:rFonts w:ascii="ITC Avant Garde" w:hAnsi="ITC Avant Garde"/>
          <w:lang w:val="es-MX"/>
        </w:rPr>
        <w:t xml:space="preserve">, S. de R.L. de C.V. y </w:t>
      </w:r>
      <w:proofErr w:type="spellStart"/>
      <w:r w:rsidRPr="00092A03">
        <w:rPr>
          <w:rFonts w:ascii="ITC Avant Garde" w:hAnsi="ITC Avant Garde"/>
          <w:lang w:val="es-MX"/>
        </w:rPr>
        <w:t>Alestra</w:t>
      </w:r>
      <w:proofErr w:type="spellEnd"/>
      <w:r w:rsidRPr="00092A03">
        <w:rPr>
          <w:rFonts w:ascii="ITC Avant Garde" w:hAnsi="ITC Avant Garde"/>
          <w:lang w:val="es-MX"/>
        </w:rPr>
        <w:t xml:space="preserve">, S. de R.L. de C.V. </w:t>
      </w:r>
      <w:r w:rsidRPr="00092A03">
        <w:rPr>
          <w:rFonts w:ascii="ITC Avant Garde" w:hAnsi="ITC Avant Garde" w:cs="ITC Avant Garde"/>
          <w:lang w:val="es-MX"/>
        </w:rPr>
        <w:t>(en lo sucesivo conjuntamente, “Axtel”)</w:t>
      </w:r>
    </w:p>
    <w:p w14:paraId="7259A24D"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Grupo de Telecomunicaciones Mexicanas, S.A. de C.V. y Pegaso PCS, S.A. de C.V. </w:t>
      </w:r>
      <w:r w:rsidRPr="00092A03">
        <w:rPr>
          <w:rFonts w:ascii="ITC Avant Garde" w:hAnsi="ITC Avant Garde" w:cs="ITC Avant Garde"/>
          <w:lang w:val="es-MX"/>
        </w:rPr>
        <w:t>(en lo sucesivo conjuntamente, “Telefónica”);</w:t>
      </w:r>
    </w:p>
    <w:p w14:paraId="73B45470"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Mega Cable, S.A. de C.V. </w:t>
      </w:r>
      <w:r w:rsidRPr="00092A03">
        <w:rPr>
          <w:rFonts w:ascii="ITC Avant Garde" w:hAnsi="ITC Avant Garde" w:cs="ITC Avant Garde"/>
          <w:lang w:val="es-MX"/>
        </w:rPr>
        <w:t>(en lo sucesivo, “</w:t>
      </w:r>
      <w:proofErr w:type="spellStart"/>
      <w:r w:rsidRPr="00092A03">
        <w:rPr>
          <w:rFonts w:ascii="ITC Avant Garde" w:hAnsi="ITC Avant Garde" w:cs="ITC Avant Garde"/>
          <w:lang w:val="es-MX"/>
        </w:rPr>
        <w:t>Megacable</w:t>
      </w:r>
      <w:proofErr w:type="spellEnd"/>
      <w:r w:rsidRPr="00092A03">
        <w:rPr>
          <w:rFonts w:ascii="ITC Avant Garde" w:hAnsi="ITC Avant Garde" w:cs="ITC Avant Garde"/>
          <w:lang w:val="es-MX"/>
        </w:rPr>
        <w:t>”);</w:t>
      </w:r>
    </w:p>
    <w:p w14:paraId="68183F40"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r w:rsidRPr="00092A03">
        <w:rPr>
          <w:rFonts w:ascii="ITC Avant Garde" w:hAnsi="ITC Avant Garde"/>
          <w:lang w:val="es-MX"/>
        </w:rPr>
        <w:t xml:space="preserve">AT&amp;T Comunicaciones Digital, S. de R.L. de C.V., AT&amp;T </w:t>
      </w:r>
      <w:proofErr w:type="spellStart"/>
      <w:r w:rsidRPr="00092A03">
        <w:rPr>
          <w:rFonts w:ascii="ITC Avant Garde" w:hAnsi="ITC Avant Garde"/>
          <w:lang w:val="es-MX"/>
        </w:rPr>
        <w:t>Cellular</w:t>
      </w:r>
      <w:proofErr w:type="spellEnd"/>
      <w:r w:rsidRPr="00092A03">
        <w:rPr>
          <w:rFonts w:ascii="ITC Avant Garde" w:hAnsi="ITC Avant Garde"/>
          <w:lang w:val="es-MX"/>
        </w:rPr>
        <w:t xml:space="preserve">, S. de R.L. de C.V., AT&amp;T Norte, S. de R.L. de C.V., AT&amp;T Comercialización Móvil, S. de R.L. de C.V., AT&amp;T Desarrollo en Comunicaciones de México, S. de R.L. de C.V. </w:t>
      </w:r>
      <w:r w:rsidRPr="00092A03">
        <w:rPr>
          <w:rFonts w:ascii="ITC Avant Garde" w:hAnsi="ITC Avant Garde" w:cs="ITC Avant Garde"/>
          <w:lang w:val="es-MX"/>
        </w:rPr>
        <w:t xml:space="preserve">(en lo sucesivo conjuntamente, “AT&amp;T”); </w:t>
      </w:r>
    </w:p>
    <w:p w14:paraId="053F701E" w14:textId="77777777" w:rsidR="00EB1FDE" w:rsidRPr="00092A03" w:rsidRDefault="00EB1FDE" w:rsidP="00794F2D">
      <w:pPr>
        <w:pStyle w:val="Prrafodelista"/>
        <w:numPr>
          <w:ilvl w:val="0"/>
          <w:numId w:val="13"/>
        </w:numPr>
        <w:spacing w:after="0" w:line="276" w:lineRule="auto"/>
        <w:rPr>
          <w:rFonts w:ascii="ITC Avant Garde" w:hAnsi="ITC Avant Garde"/>
          <w:lang w:val="es-MX"/>
        </w:rPr>
      </w:pPr>
      <w:proofErr w:type="spellStart"/>
      <w:r w:rsidRPr="00092A03">
        <w:rPr>
          <w:rFonts w:ascii="ITC Avant Garde" w:hAnsi="ITC Avant Garde"/>
          <w:lang w:val="es-MX"/>
        </w:rPr>
        <w:t>Operbes</w:t>
      </w:r>
      <w:proofErr w:type="spellEnd"/>
      <w:r w:rsidRPr="00092A03">
        <w:rPr>
          <w:rFonts w:ascii="ITC Avant Garde" w:hAnsi="ITC Avant Garde"/>
          <w:lang w:val="es-MX"/>
        </w:rPr>
        <w:t xml:space="preserve">, S.A. de C.V., </w:t>
      </w:r>
      <w:proofErr w:type="spellStart"/>
      <w:r w:rsidRPr="00092A03">
        <w:rPr>
          <w:rFonts w:ascii="ITC Avant Garde" w:hAnsi="ITC Avant Garde"/>
          <w:lang w:val="es-MX"/>
        </w:rPr>
        <w:t>Bestphone</w:t>
      </w:r>
      <w:proofErr w:type="spellEnd"/>
      <w:r w:rsidRPr="00092A03">
        <w:rPr>
          <w:rFonts w:ascii="ITC Avant Garde" w:hAnsi="ITC Avant Garde"/>
          <w:lang w:val="es-MX"/>
        </w:rPr>
        <w:t xml:space="preserve">, S.A. de C.V., Cablevisión, S.A. de C.V., </w:t>
      </w:r>
      <w:proofErr w:type="spellStart"/>
      <w:r w:rsidRPr="00092A03">
        <w:rPr>
          <w:rFonts w:ascii="ITC Avant Garde" w:hAnsi="ITC Avant Garde"/>
          <w:lang w:val="es-MX"/>
        </w:rPr>
        <w:t>Cablemás</w:t>
      </w:r>
      <w:proofErr w:type="spellEnd"/>
      <w:r w:rsidRPr="00092A03">
        <w:rPr>
          <w:rFonts w:ascii="ITC Avant Garde" w:hAnsi="ITC Avant Garde"/>
          <w:lang w:val="es-MX"/>
        </w:rPr>
        <w:t xml:space="preserve"> Telecomunicaciones, S.A. de C.V., Cable y Comunicación de Campeche, S.A. de C.V., Cablevisión Red, S.A. de C.V., Tele Azteca, S.A. de C.V. y México Red de Telecomunicaciones, S. de R.L. de C.V. </w:t>
      </w:r>
      <w:r w:rsidRPr="00092A03">
        <w:rPr>
          <w:rFonts w:ascii="ITC Avant Garde" w:hAnsi="ITC Avant Garde" w:cs="ITC Avant Garde"/>
          <w:lang w:val="es-MX"/>
        </w:rPr>
        <w:t>(en lo sucesivo conjuntamente, “Grupo Televisa”);</w:t>
      </w:r>
    </w:p>
    <w:p w14:paraId="7C819702" w14:textId="77777777" w:rsidR="0086457E" w:rsidRPr="00945271" w:rsidRDefault="0086457E" w:rsidP="0086457E">
      <w:pPr>
        <w:pStyle w:val="Prrafodelista"/>
        <w:numPr>
          <w:ilvl w:val="0"/>
          <w:numId w:val="13"/>
        </w:numPr>
        <w:spacing w:after="0" w:line="276" w:lineRule="auto"/>
        <w:rPr>
          <w:rFonts w:ascii="ITC Avant Garde" w:hAnsi="ITC Avant Garde"/>
          <w:lang w:val="es-MX"/>
        </w:rPr>
        <w:sectPr w:rsidR="0086457E" w:rsidRPr="00945271" w:rsidSect="00D42DA0">
          <w:footerReference w:type="default" r:id="rId10"/>
          <w:pgSz w:w="11907" w:h="16840" w:code="9"/>
          <w:pgMar w:top="1418" w:right="1588" w:bottom="1418" w:left="1588" w:header="567" w:footer="567" w:gutter="0"/>
          <w:pgNumType w:fmt="lowerRoman" w:start="1"/>
          <w:cols w:space="720"/>
          <w:titlePg/>
          <w:docGrid w:linePitch="299"/>
        </w:sectPr>
      </w:pPr>
    </w:p>
    <w:p w14:paraId="7AA80257" w14:textId="01CD2753" w:rsidR="006E361B" w:rsidRPr="00092A03" w:rsidRDefault="0037639D" w:rsidP="00587D3F">
      <w:pPr>
        <w:rPr>
          <w:rFonts w:ascii="ITC Avant Garde" w:hAnsi="ITC Avant Garde"/>
          <w:lang w:val="es-ES"/>
        </w:rPr>
      </w:pPr>
      <w:bookmarkStart w:id="1" w:name="SectionReportBody"/>
      <w:r w:rsidRPr="00092A03">
        <w:rPr>
          <w:rFonts w:ascii="ITC Avant Garde" w:hAnsi="ITC Avant Garde"/>
          <w:lang w:val="es-ES"/>
        </w:rPr>
        <w:lastRenderedPageBreak/>
        <w:t>Este</w:t>
      </w:r>
      <w:r w:rsidR="006E361B" w:rsidRPr="00092A03">
        <w:rPr>
          <w:rFonts w:ascii="ITC Avant Garde" w:hAnsi="ITC Avant Garde"/>
          <w:lang w:val="es-ES"/>
        </w:rPr>
        <w:t xml:space="preserve"> informe presenta </w:t>
      </w:r>
      <w:r w:rsidR="00112BB2" w:rsidRPr="00092A03">
        <w:rPr>
          <w:rFonts w:ascii="ITC Avant Garde" w:hAnsi="ITC Avant Garde"/>
          <w:lang w:val="es-ES"/>
        </w:rPr>
        <w:t>los comentarios relevantes de la industria sobre los principios conceptuales</w:t>
      </w:r>
      <w:r w:rsidR="006E361B" w:rsidRPr="00092A03">
        <w:rPr>
          <w:rFonts w:ascii="ITC Avant Garde" w:hAnsi="ITC Avant Garde"/>
          <w:lang w:val="es-ES"/>
        </w:rPr>
        <w:t>.</w:t>
      </w:r>
    </w:p>
    <w:p w14:paraId="41F9FB31" w14:textId="0AD08215" w:rsidR="00D81961" w:rsidRPr="00092A03" w:rsidRDefault="0043475A" w:rsidP="002B648A">
      <w:pPr>
        <w:pStyle w:val="Ttulo2"/>
        <w:numPr>
          <w:ilvl w:val="0"/>
          <w:numId w:val="0"/>
        </w:numPr>
        <w:rPr>
          <w:rFonts w:ascii="ITC Avant Garde" w:hAnsi="ITC Avant Garde"/>
          <w:lang w:val="es-MX"/>
        </w:rPr>
      </w:pPr>
      <w:bookmarkStart w:id="2" w:name="_Ref321211774"/>
      <w:r w:rsidRPr="00092A03">
        <w:rPr>
          <w:rFonts w:ascii="ITC Avant Garde" w:hAnsi="ITC Avant Garde"/>
          <w:lang w:val="es-MX"/>
        </w:rPr>
        <w:t>Concepto propuesto</w:t>
      </w:r>
      <w:r w:rsidR="00135699"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w:t>
      </w:r>
      <w:r w:rsidR="00CB05BF" w:rsidRPr="00092A03">
        <w:rPr>
          <w:rFonts w:ascii="ITC Avant Garde" w:hAnsi="ITC Avant Garde"/>
        </w:rPr>
        <w:fldChar w:fldCharType="end"/>
      </w:r>
    </w:p>
    <w:p w14:paraId="2F0D0E88" w14:textId="2E265F25" w:rsidR="00135699" w:rsidRPr="00092A03" w:rsidRDefault="00135699" w:rsidP="00D81961">
      <w:pPr>
        <w:pStyle w:val="B1"/>
        <w:pBdr>
          <w:top w:val="single" w:sz="4" w:space="2" w:color="D9D9D9" w:themeColor="background1" w:themeShade="D9"/>
          <w:bottom w:val="single" w:sz="4" w:space="6" w:color="D9D9D9" w:themeColor="background1" w:themeShade="D9"/>
        </w:pBdr>
        <w:ind w:left="0" w:right="0"/>
        <w:rPr>
          <w:rFonts w:ascii="ITC Avant Garde" w:hAnsi="ITC Avant Garde"/>
          <w:lang w:val="es-ES"/>
        </w:rPr>
      </w:pPr>
      <w:r w:rsidRPr="00092A03">
        <w:rPr>
          <w:rFonts w:ascii="ITC Avant Garde" w:hAnsi="ITC Avant Garde"/>
          <w:lang w:val="es-ES"/>
        </w:rPr>
        <w:t xml:space="preserve"> El modelo de costos se basará en la opción 2 (operador</w:t>
      </w:r>
      <w:r w:rsidR="00315420" w:rsidRPr="00092A03">
        <w:rPr>
          <w:rFonts w:ascii="ITC Avant Garde" w:hAnsi="ITC Avant Garde"/>
          <w:lang w:val="es-ES"/>
        </w:rPr>
        <w:t>es</w:t>
      </w:r>
      <w:r w:rsidRPr="00092A03">
        <w:rPr>
          <w:rFonts w:ascii="ITC Avant Garde" w:hAnsi="ITC Avant Garde"/>
          <w:lang w:val="es-ES"/>
        </w:rPr>
        <w:t xml:space="preserve"> hipotético</w:t>
      </w:r>
      <w:r w:rsidR="00315420" w:rsidRPr="00092A03">
        <w:rPr>
          <w:rFonts w:ascii="ITC Avant Garde" w:hAnsi="ITC Avant Garde"/>
          <w:lang w:val="es-ES"/>
        </w:rPr>
        <w:t>s</w:t>
      </w:r>
      <w:r w:rsidRPr="00092A03">
        <w:rPr>
          <w:rFonts w:ascii="ITC Avant Garde" w:hAnsi="ITC Avant Garde"/>
          <w:lang w:val="es-ES"/>
        </w:rPr>
        <w:t xml:space="preserve"> existente</w:t>
      </w:r>
      <w:r w:rsidR="00315420" w:rsidRPr="00092A03">
        <w:rPr>
          <w:rFonts w:ascii="ITC Avant Garde" w:hAnsi="ITC Avant Garde"/>
          <w:lang w:val="es-ES"/>
        </w:rPr>
        <w:t>s</w:t>
      </w:r>
      <w:r w:rsidRPr="00092A03">
        <w:rPr>
          <w:rFonts w:ascii="ITC Avant Garde" w:hAnsi="ITC Avant Garde"/>
          <w:lang w:val="es-ES"/>
        </w:rPr>
        <w:t xml:space="preserve">). </w:t>
      </w:r>
      <w:r w:rsidR="00315420" w:rsidRPr="00092A03">
        <w:rPr>
          <w:rFonts w:ascii="ITC Avant Garde" w:hAnsi="ITC Avant Garde"/>
          <w:lang w:val="es-ES"/>
        </w:rPr>
        <w:t xml:space="preserve">Los </w:t>
      </w:r>
      <w:r w:rsidRPr="00092A03">
        <w:rPr>
          <w:rFonts w:ascii="ITC Avant Garde" w:hAnsi="ITC Avant Garde"/>
          <w:lang w:val="es-ES"/>
        </w:rPr>
        <w:t>operador</w:t>
      </w:r>
      <w:r w:rsidR="00315420" w:rsidRPr="00092A03">
        <w:rPr>
          <w:rFonts w:ascii="ITC Avant Garde" w:hAnsi="ITC Avant Garde"/>
          <w:lang w:val="es-ES"/>
        </w:rPr>
        <w:t>es</w:t>
      </w:r>
      <w:r w:rsidRPr="00092A03">
        <w:rPr>
          <w:rFonts w:ascii="ITC Avant Garde" w:hAnsi="ITC Avant Garde"/>
          <w:lang w:val="es-ES"/>
        </w:rPr>
        <w:t xml:space="preserve"> será</w:t>
      </w:r>
      <w:r w:rsidR="00315420" w:rsidRPr="00092A03">
        <w:rPr>
          <w:rFonts w:ascii="ITC Avant Garde" w:hAnsi="ITC Avant Garde"/>
          <w:lang w:val="es-ES"/>
        </w:rPr>
        <w:t>n</w:t>
      </w:r>
      <w:r w:rsidRPr="00092A03">
        <w:rPr>
          <w:rFonts w:ascii="ITC Avant Garde" w:hAnsi="ITC Avant Garde"/>
          <w:lang w:val="es-ES"/>
        </w:rPr>
        <w:t xml:space="preserve"> hipotético</w:t>
      </w:r>
      <w:r w:rsidR="00315420" w:rsidRPr="00092A03">
        <w:rPr>
          <w:rFonts w:ascii="ITC Avant Garde" w:hAnsi="ITC Avant Garde"/>
          <w:lang w:val="es-ES"/>
        </w:rPr>
        <w:t>s</w:t>
      </w:r>
      <w:r w:rsidRPr="00092A03">
        <w:rPr>
          <w:rFonts w:ascii="ITC Avant Garde" w:hAnsi="ITC Avant Garde"/>
          <w:lang w:val="es-ES"/>
        </w:rPr>
        <w:t xml:space="preserve"> porque</w:t>
      </w:r>
      <w:r w:rsidR="00315420" w:rsidRPr="00092A03">
        <w:rPr>
          <w:rFonts w:ascii="ITC Avant Garde" w:hAnsi="ITC Avant Garde"/>
          <w:lang w:val="es-ES"/>
        </w:rPr>
        <w:t xml:space="preserve"> </w:t>
      </w:r>
      <w:r w:rsidRPr="00092A03">
        <w:rPr>
          <w:rFonts w:ascii="ITC Avant Garde" w:hAnsi="ITC Avant Garde"/>
          <w:lang w:val="es-ES"/>
        </w:rPr>
        <w:t>existe una gran disparidad entre los operadores actuales mexicanos (en términos de tecnología, cobertura, fechas de lanzamiento, etc.) y no existen criterios claros que conformen que alguno de los operadores existentes pueda ser considerado como representativo</w:t>
      </w:r>
      <w:r w:rsidR="00803375" w:rsidRPr="00092A03">
        <w:rPr>
          <w:rFonts w:ascii="ITC Avant Garde" w:hAnsi="ITC Avant Garde"/>
          <w:lang w:val="es-ES"/>
        </w:rPr>
        <w:t xml:space="preserve"> </w:t>
      </w:r>
      <w:r w:rsidR="00E6325A" w:rsidRPr="00092A03">
        <w:rPr>
          <w:rFonts w:ascii="ITC Avant Garde" w:hAnsi="ITC Avant Garde"/>
          <w:lang w:val="es-ES"/>
        </w:rPr>
        <w:t xml:space="preserve">preponderante y </w:t>
      </w:r>
      <w:r w:rsidR="00FE6F10" w:rsidRPr="00092A03">
        <w:rPr>
          <w:rFonts w:ascii="ITC Avant Garde" w:hAnsi="ITC Avant Garde"/>
          <w:lang w:val="es-ES"/>
        </w:rPr>
        <w:t>no preponderante</w:t>
      </w:r>
      <w:r w:rsidR="00315420" w:rsidRPr="00092A03">
        <w:rPr>
          <w:rFonts w:ascii="ITC Avant Garde" w:hAnsi="ITC Avant Garde"/>
          <w:lang w:val="es-ES"/>
        </w:rPr>
        <w:t>.</w:t>
      </w:r>
      <w:r w:rsidR="00B63DD1" w:rsidRPr="00092A03">
        <w:rPr>
          <w:rFonts w:ascii="ITC Avant Garde" w:hAnsi="ITC Avant Garde"/>
          <w:lang w:val="es-ES"/>
        </w:rPr>
        <w:t xml:space="preserve"> </w:t>
      </w:r>
    </w:p>
    <w:p w14:paraId="22F341BD" w14:textId="77777777" w:rsidR="00135699" w:rsidRPr="00092A03" w:rsidRDefault="00135699" w:rsidP="00D81961">
      <w:pPr>
        <w:pStyle w:val="B1"/>
        <w:pBdr>
          <w:top w:val="single" w:sz="4" w:space="2" w:color="D9D9D9" w:themeColor="background1" w:themeShade="D9"/>
          <w:bottom w:val="single" w:sz="4" w:space="6" w:color="D9D9D9" w:themeColor="background1" w:themeShade="D9"/>
        </w:pBdr>
        <w:ind w:left="0" w:right="0"/>
        <w:rPr>
          <w:rFonts w:ascii="ITC Avant Garde" w:hAnsi="ITC Avant Garde"/>
          <w:lang w:val="es-ES"/>
        </w:rPr>
      </w:pPr>
      <w:r w:rsidRPr="00092A03">
        <w:rPr>
          <w:rFonts w:ascii="ITC Avant Garde" w:hAnsi="ITC Avant Garde"/>
          <w:lang w:val="es-ES"/>
        </w:rPr>
        <w:t>La utilización de un operador hipotético existente permite tener en cuenta las características reales de las redes de los operadores mexicanos.</w:t>
      </w:r>
    </w:p>
    <w:p w14:paraId="692DAA54" w14:textId="77777777" w:rsidR="00135699" w:rsidRPr="00092A03" w:rsidRDefault="00315420" w:rsidP="00D81961">
      <w:pPr>
        <w:pStyle w:val="B1"/>
        <w:pBdr>
          <w:top w:val="single" w:sz="4" w:space="2" w:color="D9D9D9" w:themeColor="background1" w:themeShade="D9"/>
          <w:bottom w:val="single" w:sz="4" w:space="6" w:color="D9D9D9" w:themeColor="background1" w:themeShade="D9"/>
        </w:pBdr>
        <w:ind w:left="0" w:right="0"/>
        <w:rPr>
          <w:rFonts w:ascii="ITC Avant Garde" w:hAnsi="ITC Avant Garde"/>
          <w:lang w:val="es-ES"/>
        </w:rPr>
      </w:pPr>
      <w:r w:rsidRPr="00092A03">
        <w:rPr>
          <w:rFonts w:ascii="ITC Avant Garde" w:hAnsi="ITC Avant Garde"/>
          <w:lang w:val="es-ES"/>
        </w:rPr>
        <w:t xml:space="preserve">Los </w:t>
      </w:r>
      <w:r w:rsidR="00135699" w:rsidRPr="00092A03">
        <w:rPr>
          <w:rFonts w:ascii="ITC Avant Garde" w:hAnsi="ITC Avant Garde"/>
          <w:lang w:val="es-ES"/>
        </w:rPr>
        <w:t>operador</w:t>
      </w:r>
      <w:r w:rsidRPr="00092A03">
        <w:rPr>
          <w:rFonts w:ascii="ITC Avant Garde" w:hAnsi="ITC Avant Garde"/>
          <w:lang w:val="es-ES"/>
        </w:rPr>
        <w:t>es</w:t>
      </w:r>
      <w:r w:rsidR="00135699" w:rsidRPr="00092A03">
        <w:rPr>
          <w:rFonts w:ascii="ITC Avant Garde" w:hAnsi="ITC Avant Garde"/>
          <w:lang w:val="es-ES"/>
        </w:rPr>
        <w:t xml:space="preserve"> modelado</w:t>
      </w:r>
      <w:r w:rsidRPr="00092A03">
        <w:rPr>
          <w:rFonts w:ascii="ITC Avant Garde" w:hAnsi="ITC Avant Garde"/>
          <w:lang w:val="es-ES"/>
        </w:rPr>
        <w:t>s</w:t>
      </w:r>
      <w:r w:rsidR="00135699" w:rsidRPr="00092A03">
        <w:rPr>
          <w:rFonts w:ascii="ITC Avant Garde" w:hAnsi="ITC Avant Garde"/>
          <w:lang w:val="es-ES"/>
        </w:rPr>
        <w:t xml:space="preserve"> será</w:t>
      </w:r>
      <w:r w:rsidRPr="00092A03">
        <w:rPr>
          <w:rFonts w:ascii="ITC Avant Garde" w:hAnsi="ITC Avant Garde"/>
          <w:lang w:val="es-ES"/>
        </w:rPr>
        <w:t>n</w:t>
      </w:r>
      <w:r w:rsidR="00135699" w:rsidRPr="00092A03">
        <w:rPr>
          <w:rFonts w:ascii="ITC Avant Garde" w:hAnsi="ITC Avant Garde"/>
          <w:lang w:val="es-ES"/>
        </w:rPr>
        <w:t>:</w:t>
      </w:r>
    </w:p>
    <w:p w14:paraId="17EC3AF9" w14:textId="77777777" w:rsidR="00135699" w:rsidRPr="00092A03" w:rsidRDefault="00135699" w:rsidP="00794F2D">
      <w:pPr>
        <w:pStyle w:val="B1"/>
        <w:numPr>
          <w:ilvl w:val="0"/>
          <w:numId w:val="9"/>
        </w:numPr>
        <w:pBdr>
          <w:top w:val="single" w:sz="4" w:space="2" w:color="D9D9D9" w:themeColor="background1" w:themeShade="D9"/>
          <w:bottom w:val="single" w:sz="4" w:space="6" w:color="D9D9D9" w:themeColor="background1" w:themeShade="D9"/>
        </w:pBdr>
        <w:ind w:left="360" w:right="0"/>
        <w:rPr>
          <w:rFonts w:ascii="ITC Avant Garde" w:hAnsi="ITC Avant Garde"/>
          <w:lang w:val="es-ES"/>
        </w:rPr>
      </w:pPr>
      <w:r w:rsidRPr="00092A03">
        <w:rPr>
          <w:rFonts w:ascii="ITC Avant Garde" w:hAnsi="ITC Avant Garde"/>
          <w:lang w:val="es-ES"/>
        </w:rPr>
        <w:t xml:space="preserve">Un operador móvil que comenzó a desplegar una red nacional 2G en la banda de 850MHz y una red nacional 2G/3G en la banda de 1900MHz en el año </w:t>
      </w:r>
      <w:r w:rsidR="00FF61F4" w:rsidRPr="00092A03">
        <w:rPr>
          <w:rFonts w:ascii="ITC Avant Garde" w:hAnsi="ITC Avant Garde"/>
          <w:lang w:val="es-ES"/>
        </w:rPr>
        <w:t>2011</w:t>
      </w:r>
      <w:r w:rsidRPr="00092A03">
        <w:rPr>
          <w:rFonts w:ascii="ITC Avant Garde" w:hAnsi="ITC Avant Garde"/>
          <w:lang w:val="es-ES"/>
        </w:rPr>
        <w:t xml:space="preserve">, y a comercializar sus servicios 2G/3G en el año </w:t>
      </w:r>
      <w:r w:rsidR="00FF61F4" w:rsidRPr="00092A03">
        <w:rPr>
          <w:rFonts w:ascii="ITC Avant Garde" w:hAnsi="ITC Avant Garde"/>
          <w:lang w:val="es-ES"/>
        </w:rPr>
        <w:t>2012</w:t>
      </w:r>
      <w:r w:rsidRPr="00092A03">
        <w:rPr>
          <w:rFonts w:ascii="ITC Avant Garde" w:hAnsi="ITC Avant Garde"/>
          <w:lang w:val="es-ES"/>
        </w:rPr>
        <w:t>. Posteriormente, complementa su red con capacidad de 2G con frecuencias en la banda de 1900MHz.</w:t>
      </w:r>
      <w:r w:rsidR="00FF61F4" w:rsidRPr="00092A03">
        <w:rPr>
          <w:rFonts w:ascii="ITC Avant Garde" w:hAnsi="ITC Avant Garde"/>
          <w:lang w:val="es-ES"/>
        </w:rPr>
        <w:t xml:space="preserve"> En el año 201</w:t>
      </w:r>
      <w:r w:rsidR="00195AB0" w:rsidRPr="00092A03">
        <w:rPr>
          <w:rFonts w:ascii="ITC Avant Garde" w:hAnsi="ITC Avant Garde"/>
          <w:lang w:val="es-ES"/>
        </w:rPr>
        <w:t>3</w:t>
      </w:r>
      <w:r w:rsidR="00FA1079" w:rsidRPr="00092A03">
        <w:rPr>
          <w:rFonts w:ascii="ITC Avant Garde" w:hAnsi="ITC Avant Garde"/>
          <w:lang w:val="es-ES"/>
        </w:rPr>
        <w:t xml:space="preserve"> </w:t>
      </w:r>
      <w:r w:rsidR="00FF61F4" w:rsidRPr="00092A03">
        <w:rPr>
          <w:rFonts w:ascii="ITC Avant Garde" w:hAnsi="ITC Avant Garde"/>
          <w:lang w:val="es-ES"/>
        </w:rPr>
        <w:t>comienza el despliegue de una red nacional 4G para la provisión de datos móviles.</w:t>
      </w:r>
      <w:r w:rsidRPr="00092A03">
        <w:rPr>
          <w:rFonts w:ascii="ITC Avant Garde" w:hAnsi="ITC Avant Garde"/>
          <w:lang w:val="es-ES"/>
        </w:rPr>
        <w:t xml:space="preserve"> La red refleja la tecnología disponible en el período comprendido entre </w:t>
      </w:r>
      <w:r w:rsidR="00C84F97" w:rsidRPr="00092A03">
        <w:rPr>
          <w:rFonts w:ascii="ITC Avant Garde" w:hAnsi="ITC Avant Garde"/>
          <w:lang w:val="es-ES"/>
        </w:rPr>
        <w:t xml:space="preserve">los </w:t>
      </w:r>
      <w:r w:rsidRPr="00092A03">
        <w:rPr>
          <w:rFonts w:ascii="ITC Avant Garde" w:hAnsi="ITC Avant Garde"/>
          <w:lang w:val="es-ES"/>
        </w:rPr>
        <w:t>año</w:t>
      </w:r>
      <w:r w:rsidR="00C84F97" w:rsidRPr="00092A03">
        <w:rPr>
          <w:rFonts w:ascii="ITC Avant Garde" w:hAnsi="ITC Avant Garde"/>
          <w:lang w:val="es-ES"/>
        </w:rPr>
        <w:t>s</w:t>
      </w:r>
      <w:r w:rsidRPr="00092A03">
        <w:rPr>
          <w:rFonts w:ascii="ITC Avant Garde" w:hAnsi="ITC Avant Garde"/>
          <w:lang w:val="es-ES"/>
        </w:rPr>
        <w:t xml:space="preserve"> </w:t>
      </w:r>
      <w:r w:rsidR="00FF61F4" w:rsidRPr="00092A03">
        <w:rPr>
          <w:rFonts w:ascii="ITC Avant Garde" w:hAnsi="ITC Avant Garde"/>
          <w:lang w:val="es-ES"/>
        </w:rPr>
        <w:t xml:space="preserve">2011 </w:t>
      </w:r>
      <w:r w:rsidRPr="00092A03">
        <w:rPr>
          <w:rFonts w:ascii="ITC Avant Garde" w:hAnsi="ITC Avant Garde"/>
          <w:lang w:val="es-ES"/>
        </w:rPr>
        <w:t xml:space="preserve">y </w:t>
      </w:r>
      <w:r w:rsidR="00FF61F4" w:rsidRPr="00092A03">
        <w:rPr>
          <w:rFonts w:ascii="ITC Avant Garde" w:hAnsi="ITC Avant Garde"/>
          <w:lang w:val="es-ES"/>
        </w:rPr>
        <w:t>201</w:t>
      </w:r>
      <w:r w:rsidR="00195AB0" w:rsidRPr="00092A03">
        <w:rPr>
          <w:rFonts w:ascii="ITC Avant Garde" w:hAnsi="ITC Avant Garde"/>
          <w:lang w:val="es-ES"/>
        </w:rPr>
        <w:t>6</w:t>
      </w:r>
      <w:r w:rsidRPr="00092A03">
        <w:rPr>
          <w:rFonts w:ascii="ITC Avant Garde" w:hAnsi="ITC Avant Garde"/>
          <w:lang w:val="es-ES"/>
        </w:rPr>
        <w:t>. En particular, la red 3G tiene capacidad HSPA e incluye versiones modernas de los conmutadores para transportar un mayor volumen de tráfico de voz, datos móviles y el tráfico de banda ancha móvil</w:t>
      </w:r>
      <w:r w:rsidR="00FF61F4" w:rsidRPr="00092A03">
        <w:rPr>
          <w:rFonts w:ascii="ITC Avant Garde" w:hAnsi="ITC Avant Garde"/>
          <w:lang w:val="es-ES"/>
        </w:rPr>
        <w:t xml:space="preserve"> y la red 4G c</w:t>
      </w:r>
      <w:r w:rsidR="00195AB0" w:rsidRPr="00092A03">
        <w:rPr>
          <w:rFonts w:ascii="ITC Avant Garde" w:hAnsi="ITC Avant Garde"/>
          <w:lang w:val="es-ES"/>
        </w:rPr>
        <w:t>uent</w:t>
      </w:r>
      <w:r w:rsidR="00FF61F4" w:rsidRPr="00092A03">
        <w:rPr>
          <w:rFonts w:ascii="ITC Avant Garde" w:hAnsi="ITC Avant Garde"/>
          <w:lang w:val="es-ES"/>
        </w:rPr>
        <w:t>a con la capacidad añadida por el uso de MIMO 2x2.</w:t>
      </w:r>
      <w:r w:rsidRPr="00092A03">
        <w:rPr>
          <w:rFonts w:ascii="ITC Avant Garde" w:hAnsi="ITC Avant Garde"/>
          <w:lang w:val="es-ES"/>
        </w:rPr>
        <w:t xml:space="preserve"> Las tecnologías 2G</w:t>
      </w:r>
      <w:r w:rsidR="00FF61F4" w:rsidRPr="00092A03">
        <w:rPr>
          <w:rFonts w:ascii="ITC Avant Garde" w:hAnsi="ITC Avant Garde"/>
          <w:lang w:val="es-ES"/>
        </w:rPr>
        <w:t>,</w:t>
      </w:r>
      <w:r w:rsidRPr="00092A03">
        <w:rPr>
          <w:rFonts w:ascii="ITC Avant Garde" w:hAnsi="ITC Avant Garde"/>
          <w:lang w:val="es-ES"/>
        </w:rPr>
        <w:t xml:space="preserve"> 3G</w:t>
      </w:r>
      <w:r w:rsidR="00FF61F4" w:rsidRPr="00092A03">
        <w:rPr>
          <w:rFonts w:ascii="ITC Avant Garde" w:hAnsi="ITC Avant Garde"/>
          <w:lang w:val="es-ES"/>
        </w:rPr>
        <w:t xml:space="preserve"> y 4G</w:t>
      </w:r>
      <w:r w:rsidR="00F003B8" w:rsidRPr="00092A03">
        <w:rPr>
          <w:lang w:val="es-ES"/>
        </w:rPr>
        <w:footnoteReference w:id="2"/>
      </w:r>
      <w:r w:rsidRPr="00092A03">
        <w:rPr>
          <w:rFonts w:ascii="ITC Avant Garde" w:hAnsi="ITC Avant Garde"/>
          <w:lang w:val="es-ES"/>
        </w:rPr>
        <w:t xml:space="preserve"> operarán en el largo plazo y no se contempla el apagado de la red 2G durante el periodo modelado.</w:t>
      </w:r>
      <w:r w:rsidR="00551BAD" w:rsidRPr="00092A03">
        <w:rPr>
          <w:rFonts w:ascii="ITC Avant Garde" w:hAnsi="ITC Avant Garde"/>
          <w:lang w:val="es-ES"/>
        </w:rPr>
        <w:t xml:space="preserve"> </w:t>
      </w:r>
    </w:p>
    <w:p w14:paraId="5C9F2FDB" w14:textId="77777777" w:rsidR="00AF2383" w:rsidRPr="00092A03" w:rsidRDefault="00315420" w:rsidP="00794F2D">
      <w:pPr>
        <w:pStyle w:val="B1"/>
        <w:numPr>
          <w:ilvl w:val="0"/>
          <w:numId w:val="9"/>
        </w:numPr>
        <w:pBdr>
          <w:top w:val="single" w:sz="4" w:space="2" w:color="D9D9D9" w:themeColor="background1" w:themeShade="D9"/>
          <w:bottom w:val="single" w:sz="4" w:space="5" w:color="D9D9D9" w:themeColor="background1" w:themeShade="D9"/>
        </w:pBdr>
        <w:ind w:left="360" w:right="0"/>
        <w:rPr>
          <w:rFonts w:ascii="ITC Avant Garde" w:hAnsi="ITC Avant Garde"/>
          <w:lang w:val="es-ES"/>
        </w:rPr>
      </w:pPr>
      <w:r w:rsidRPr="00092A03">
        <w:rPr>
          <w:rFonts w:ascii="ITC Avant Garde" w:hAnsi="ITC Avant Garde"/>
          <w:lang w:val="es-ES"/>
        </w:rPr>
        <w:t xml:space="preserve">Dos </w:t>
      </w:r>
      <w:r w:rsidR="00135699" w:rsidRPr="00092A03">
        <w:rPr>
          <w:rFonts w:ascii="ITC Avant Garde" w:hAnsi="ITC Avant Garde"/>
          <w:lang w:val="es-ES"/>
        </w:rPr>
        <w:t>operador</w:t>
      </w:r>
      <w:r w:rsidRPr="00092A03">
        <w:rPr>
          <w:rFonts w:ascii="ITC Avant Garde" w:hAnsi="ITC Avant Garde"/>
          <w:lang w:val="es-ES"/>
        </w:rPr>
        <w:t>es</w:t>
      </w:r>
      <w:r w:rsidR="00135699" w:rsidRPr="00092A03">
        <w:rPr>
          <w:rFonts w:ascii="ITC Avant Garde" w:hAnsi="ITC Avant Garde"/>
          <w:lang w:val="es-ES"/>
        </w:rPr>
        <w:t xml:space="preserve"> fijo</w:t>
      </w:r>
      <w:r w:rsidRPr="00092A03">
        <w:rPr>
          <w:rFonts w:ascii="ITC Avant Garde" w:hAnsi="ITC Avant Garde"/>
          <w:lang w:val="es-ES"/>
        </w:rPr>
        <w:t>s</w:t>
      </w:r>
      <w:r w:rsidR="00135699" w:rsidRPr="00092A03">
        <w:rPr>
          <w:rFonts w:ascii="ITC Avant Garde" w:hAnsi="ITC Avant Garde"/>
          <w:lang w:val="es-ES"/>
        </w:rPr>
        <w:t xml:space="preserve"> que </w:t>
      </w:r>
      <w:r w:rsidRPr="00092A03">
        <w:rPr>
          <w:rFonts w:ascii="ITC Avant Garde" w:hAnsi="ITC Avant Garde"/>
          <w:lang w:val="es-ES"/>
        </w:rPr>
        <w:t xml:space="preserve">comenzaron </w:t>
      </w:r>
      <w:r w:rsidR="00135699" w:rsidRPr="00092A03">
        <w:rPr>
          <w:rFonts w:ascii="ITC Avant Garde" w:hAnsi="ITC Avant Garde"/>
          <w:lang w:val="es-ES"/>
        </w:rPr>
        <w:t xml:space="preserve">a desplegar una red troncal NGN IP a nivel nacional en el año </w:t>
      </w:r>
      <w:r w:rsidR="00252585" w:rsidRPr="00092A03">
        <w:rPr>
          <w:rFonts w:ascii="ITC Avant Garde" w:hAnsi="ITC Avant Garde"/>
          <w:lang w:val="es-ES"/>
        </w:rPr>
        <w:t>2010</w:t>
      </w:r>
      <w:r w:rsidR="00135699" w:rsidRPr="00092A03">
        <w:rPr>
          <w:rFonts w:ascii="ITC Avant Garde" w:hAnsi="ITC Avant Garde"/>
          <w:lang w:val="es-ES"/>
        </w:rPr>
        <w:t xml:space="preserve">, y que comienza a operar comercialmente en el año </w:t>
      </w:r>
      <w:r w:rsidR="00252585" w:rsidRPr="00092A03">
        <w:rPr>
          <w:rFonts w:ascii="ITC Avant Garde" w:hAnsi="ITC Avant Garde"/>
          <w:lang w:val="es-ES"/>
        </w:rPr>
        <w:t>2012</w:t>
      </w:r>
      <w:r w:rsidR="00135699" w:rsidRPr="00092A03">
        <w:rPr>
          <w:rFonts w:ascii="ITC Avant Garde" w:hAnsi="ITC Avant Garde"/>
          <w:lang w:val="es-ES"/>
        </w:rPr>
        <w:t xml:space="preserve">. El diseño de la red troncal está vinculado a una opción específica de la tecnología de acceso de próxima generación. El núcleo de la red NGN IP estará </w:t>
      </w:r>
      <w:r w:rsidR="00B63DD1" w:rsidRPr="00092A03">
        <w:rPr>
          <w:rFonts w:ascii="ITC Avant Garde" w:hAnsi="ITC Avant Garde"/>
          <w:lang w:val="es-ES"/>
        </w:rPr>
        <w:t xml:space="preserve">operativo </w:t>
      </w:r>
      <w:r w:rsidR="00135699" w:rsidRPr="00092A03">
        <w:rPr>
          <w:rFonts w:ascii="ITC Avant Garde" w:hAnsi="ITC Avant Garde"/>
          <w:lang w:val="es-ES"/>
        </w:rPr>
        <w:t>en el largo plazo.</w:t>
      </w:r>
      <w:r w:rsidR="00551BAD" w:rsidRPr="00092A03">
        <w:rPr>
          <w:rFonts w:ascii="ITC Avant Garde" w:hAnsi="ITC Avant Garde"/>
          <w:lang w:val="es-ES"/>
        </w:rPr>
        <w:t xml:space="preserve"> </w:t>
      </w:r>
    </w:p>
    <w:p w14:paraId="61FBD6BF" w14:textId="77777777" w:rsidR="00AF2383" w:rsidRPr="00092A03" w:rsidRDefault="00F35F0C" w:rsidP="002B648A">
      <w:pPr>
        <w:pStyle w:val="Ttulo4"/>
        <w:numPr>
          <w:ilvl w:val="0"/>
          <w:numId w:val="0"/>
        </w:numPr>
        <w:rPr>
          <w:rFonts w:ascii="ITC Avant Garde" w:eastAsiaTheme="minorHAnsi" w:hAnsi="ITC Avant Garde" w:cstheme="minorBidi"/>
          <w:bCs w:val="0"/>
          <w:i w:val="0"/>
          <w:iCs w:val="0"/>
          <w:lang w:val="es-ES_tradnl"/>
        </w:rPr>
      </w:pPr>
      <w:r w:rsidRPr="00092A03">
        <w:rPr>
          <w:rFonts w:ascii="ITC Avant Garde" w:eastAsiaTheme="minorHAnsi" w:hAnsi="ITC Avant Garde" w:cstheme="minorBidi"/>
          <w:bCs w:val="0"/>
          <w:i w:val="0"/>
          <w:iCs w:val="0"/>
          <w:lang w:val="es-ES_tradnl"/>
        </w:rPr>
        <w:t>Respuestas recibidas</w:t>
      </w:r>
    </w:p>
    <w:p w14:paraId="156A56B3" w14:textId="37C9AAC0" w:rsidR="002D00CA" w:rsidRPr="00092A03" w:rsidRDefault="00C95979" w:rsidP="002D00CA">
      <w:pPr>
        <w:rPr>
          <w:rFonts w:ascii="ITC Avant Garde" w:hAnsi="ITC Avant Garde"/>
          <w:lang w:val="es-ES_tradnl"/>
        </w:rPr>
      </w:pPr>
      <w:r w:rsidRPr="00092A03">
        <w:rPr>
          <w:rFonts w:ascii="ITC Avant Garde" w:hAnsi="ITC Avant Garde"/>
          <w:lang w:val="es-ES_tradnl"/>
        </w:rPr>
        <w:t>Mega Cable</w:t>
      </w:r>
      <w:r w:rsidR="002D00CA" w:rsidRPr="00092A03">
        <w:rPr>
          <w:rFonts w:ascii="ITC Avant Garde" w:hAnsi="ITC Avant Garde"/>
          <w:lang w:val="es-ES_tradnl"/>
        </w:rPr>
        <w:t xml:space="preserve"> considera inapropiado que el modelo fijo objeto de esta consulta se base exclusivamente en un operador con tecnologías similares a los de un operador cuyo origen era una red de telefonía y la evolución que esta puede tener a NGN, lo </w:t>
      </w:r>
      <w:r w:rsidR="002D00CA" w:rsidRPr="00092A03">
        <w:rPr>
          <w:rFonts w:ascii="ITC Avant Garde" w:hAnsi="ITC Avant Garde"/>
          <w:lang w:val="es-ES_tradnl"/>
        </w:rPr>
        <w:lastRenderedPageBreak/>
        <w:t xml:space="preserve">cual no toma en cuenta que diversos operadores no preponderantes </w:t>
      </w:r>
      <w:r w:rsidR="00DF525F" w:rsidRPr="00092A03">
        <w:rPr>
          <w:rFonts w:ascii="ITC Avant Garde" w:hAnsi="ITC Avant Garde"/>
          <w:lang w:val="es-ES_tradnl"/>
        </w:rPr>
        <w:t>que desplegaron</w:t>
      </w:r>
      <w:r w:rsidR="002D00CA" w:rsidRPr="00092A03">
        <w:rPr>
          <w:rFonts w:ascii="ITC Avant Garde" w:hAnsi="ITC Avant Garde"/>
          <w:lang w:val="es-ES_tradnl"/>
        </w:rPr>
        <w:t xml:space="preserve"> redes HFC</w:t>
      </w:r>
      <w:r w:rsidR="00DF525F" w:rsidRPr="00092A03">
        <w:rPr>
          <w:rFonts w:ascii="ITC Avant Garde" w:hAnsi="ITC Avant Garde"/>
          <w:lang w:val="es-ES_tradnl"/>
        </w:rPr>
        <w:t>,</w:t>
      </w:r>
      <w:r w:rsidR="002D00CA" w:rsidRPr="00092A03">
        <w:rPr>
          <w:rFonts w:ascii="ITC Avant Garde" w:hAnsi="ITC Avant Garde"/>
          <w:lang w:val="es-ES_tradnl"/>
        </w:rPr>
        <w:t xml:space="preserve"> las cuales tienen características técnicas y económicas distintas a las redes que evolucionaron de la telefonía.</w:t>
      </w:r>
    </w:p>
    <w:p w14:paraId="2B8CC76D" w14:textId="0113550C" w:rsidR="002D00CA" w:rsidRPr="00092A03" w:rsidRDefault="002D00CA" w:rsidP="002D00CA">
      <w:pPr>
        <w:rPr>
          <w:rFonts w:ascii="ITC Avant Garde" w:hAnsi="ITC Avant Garde"/>
          <w:lang w:val="es-ES"/>
        </w:rPr>
      </w:pPr>
      <w:r w:rsidRPr="00092A03">
        <w:rPr>
          <w:rFonts w:ascii="ITC Avant Garde" w:hAnsi="ITC Avant Garde"/>
          <w:lang w:val="es-ES"/>
        </w:rPr>
        <w:t xml:space="preserve">En cuanto al tipo de operador hipotético, </w:t>
      </w:r>
      <w:r w:rsidR="00C95979" w:rsidRPr="00092A03">
        <w:rPr>
          <w:rFonts w:ascii="ITC Avant Garde" w:hAnsi="ITC Avant Garde"/>
          <w:lang w:val="es-ES"/>
        </w:rPr>
        <w:t>Telcel</w:t>
      </w:r>
      <w:r w:rsidRPr="00092A03">
        <w:rPr>
          <w:rFonts w:ascii="ITC Avant Garde" w:hAnsi="ITC Avant Garde"/>
          <w:lang w:val="es-ES"/>
        </w:rPr>
        <w:t xml:space="preserve"> indica que el modelado debería basarse en un “operador hipotético entrante” en vez de un “operador hipotético existente”. </w:t>
      </w:r>
      <w:r w:rsidR="00B57605" w:rsidRPr="00092A03">
        <w:rPr>
          <w:rFonts w:ascii="ITC Avant Garde" w:hAnsi="ITC Avant Garde"/>
          <w:lang w:val="es-ES"/>
        </w:rPr>
        <w:t>Según ellos</w:t>
      </w:r>
      <w:r w:rsidRPr="00092A03">
        <w:rPr>
          <w:rFonts w:ascii="ITC Avant Garde" w:hAnsi="ITC Avant Garde"/>
          <w:lang w:val="es-ES"/>
        </w:rPr>
        <w:t>, esta elección aseguraría que las ineficiencias asociadas a un operador real no se reflejan en el nuevo modelo. Esto tendría implicaciones en el modelado,</w:t>
      </w:r>
      <w:r w:rsidR="007F2B1A" w:rsidRPr="00092A03">
        <w:rPr>
          <w:rFonts w:ascii="ITC Avant Garde" w:hAnsi="ITC Avant Garde"/>
          <w:lang w:val="es-ES"/>
        </w:rPr>
        <w:t xml:space="preserve"> por ejemplo,</w:t>
      </w:r>
      <w:r w:rsidR="00B57605" w:rsidRPr="00092A03">
        <w:rPr>
          <w:rFonts w:ascii="ITC Avant Garde" w:hAnsi="ITC Avant Garde"/>
          <w:lang w:val="es-ES"/>
        </w:rPr>
        <w:t xml:space="preserve"> en</w:t>
      </w:r>
      <w:r w:rsidRPr="00092A03">
        <w:rPr>
          <w:rFonts w:ascii="ITC Avant Garde" w:hAnsi="ITC Avant Garde"/>
          <w:lang w:val="es-ES"/>
        </w:rPr>
        <w:t xml:space="preserve"> el uso únicamente de la tecnología 3G para los servicios de voz, lo que refleja</w:t>
      </w:r>
      <w:r w:rsidR="00B57605" w:rsidRPr="00092A03">
        <w:rPr>
          <w:rFonts w:ascii="ITC Avant Garde" w:hAnsi="ITC Avant Garde"/>
          <w:lang w:val="es-ES"/>
        </w:rPr>
        <w:t>ría</w:t>
      </w:r>
      <w:r w:rsidRPr="00092A03">
        <w:rPr>
          <w:rFonts w:ascii="ITC Avant Garde" w:hAnsi="ITC Avant Garde"/>
          <w:lang w:val="es-ES"/>
        </w:rPr>
        <w:t xml:space="preserve"> mejor la situación del mercado a largo plazo. Además, obligaría a los operadores regulados a incrementar sus eficiencias operativas, coberturas, modernización y otros parámetros que incrementen las eficiencias, y se evitaría tener que calibrar el modelo como se hace en un modelo basado en un operador hipotético existente.</w:t>
      </w:r>
    </w:p>
    <w:p w14:paraId="52CB757E" w14:textId="5302FA4F" w:rsidR="002D00CA" w:rsidRPr="00092A03" w:rsidRDefault="00C95979" w:rsidP="002D00CA">
      <w:pPr>
        <w:rPr>
          <w:rFonts w:ascii="ITC Avant Garde" w:hAnsi="ITC Avant Garde"/>
          <w:lang w:val="es-ES"/>
        </w:rPr>
      </w:pPr>
      <w:r w:rsidRPr="00092A03">
        <w:rPr>
          <w:rFonts w:ascii="ITC Avant Garde" w:hAnsi="ITC Avant Garde"/>
          <w:lang w:val="es-ES"/>
        </w:rPr>
        <w:t>Axtel</w:t>
      </w:r>
      <w:r w:rsidR="002D00CA" w:rsidRPr="00092A03">
        <w:rPr>
          <w:rFonts w:ascii="ITC Avant Garde" w:hAnsi="ITC Avant Garde"/>
          <w:lang w:val="es-ES"/>
        </w:rPr>
        <w:t xml:space="preserve"> propone, con el objetivo de eliminar las diferencias existentes entre las tarifas de interconexión de servicio fijo y la de servicio móvil, la eliminación de los costos relacionados al acceso de los usuarios, para ambos modelos, fijo y móvil.</w:t>
      </w:r>
    </w:p>
    <w:p w14:paraId="626734E5" w14:textId="5CFFADB8" w:rsidR="009B5685" w:rsidRPr="00092A03" w:rsidRDefault="002D00CA" w:rsidP="00251352">
      <w:pPr>
        <w:rPr>
          <w:rFonts w:ascii="ITC Avant Garde" w:hAnsi="ITC Avant Garde"/>
          <w:spacing w:val="-4"/>
          <w:lang w:val="es-ES"/>
        </w:rPr>
      </w:pPr>
      <w:r w:rsidRPr="00092A03">
        <w:rPr>
          <w:rFonts w:ascii="ITC Avant Garde" w:hAnsi="ITC Avant Garde"/>
          <w:lang w:val="es-ES"/>
        </w:rPr>
        <w:t xml:space="preserve">En lo relativo a las tecnologías desplegadas por el operador hipotético, Axtel sugiere el uso exclusivo de las tecnologías más eficientes disponibles en el mercado, 4G para el modelo móvil y NGN para el fijo, ya que en el modelo fijo se utilizan tecnologías NGN, aun cuando los operadores reales siguen utilizando tecnologías </w:t>
      </w:r>
      <w:proofErr w:type="spellStart"/>
      <w:r w:rsidRPr="00092A03">
        <w:rPr>
          <w:rFonts w:ascii="ITC Avant Garde" w:hAnsi="ITC Avant Garde"/>
          <w:i/>
          <w:lang w:val="es-ES"/>
        </w:rPr>
        <w:t>legacy</w:t>
      </w:r>
      <w:proofErr w:type="spellEnd"/>
      <w:r w:rsidRPr="00092A03">
        <w:rPr>
          <w:rFonts w:ascii="ITC Avant Garde" w:hAnsi="ITC Avant Garde"/>
          <w:lang w:val="es-ES"/>
        </w:rPr>
        <w:t xml:space="preserve">, mientras que en el modelo móvil conviven tecnologías de tres generaciones distintas (2G, 3G y 4G). Sin embargo, </w:t>
      </w:r>
      <w:r w:rsidRPr="00092A03">
        <w:rPr>
          <w:rFonts w:ascii="ITC Avant Garde" w:hAnsi="ITC Avant Garde"/>
          <w:lang w:val="es-ES_tradnl"/>
        </w:rPr>
        <w:t>Mega Cable solicita aclarar por qué se produce un cambio de criterio al añadir la tecnología 4G como parte del modelo móvil debido a que no es una tecnología que se utilice para prestar el servicio de terminación móvil y, por lo tanto, los costos de la misma no son sensibles al tráfico de voz.</w:t>
      </w:r>
    </w:p>
    <w:p w14:paraId="2C651207" w14:textId="27B06BA4" w:rsidR="00AF2383" w:rsidRPr="00092A03" w:rsidRDefault="002B648A" w:rsidP="00AF2383">
      <w:pPr>
        <w:pStyle w:val="Ttulo4"/>
        <w:rPr>
          <w:rFonts w:ascii="ITC Avant Garde" w:hAnsi="ITC Avant Garde"/>
          <w:b/>
          <w:lang w:val="es-ES"/>
        </w:rPr>
      </w:pPr>
      <w:r w:rsidRPr="00092A03">
        <w:rPr>
          <w:rFonts w:ascii="ITC Avant Garde" w:hAnsi="ITC Avant Garde"/>
          <w:b/>
          <w:lang w:val="es-ES"/>
        </w:rPr>
        <w:t>Consideraciones del Instituto</w:t>
      </w:r>
    </w:p>
    <w:p w14:paraId="3C717268" w14:textId="616D1BED" w:rsidR="00DA779D" w:rsidRPr="00092A03" w:rsidRDefault="00A76193" w:rsidP="0080214F">
      <w:pPr>
        <w:rPr>
          <w:rFonts w:ascii="ITC Avant Garde" w:hAnsi="ITC Avant Garde"/>
          <w:spacing w:val="-4"/>
          <w:lang w:val="es-ES"/>
        </w:rPr>
      </w:pPr>
      <w:r w:rsidRPr="00092A03">
        <w:rPr>
          <w:rFonts w:ascii="ITC Avant Garde" w:hAnsi="ITC Avant Garde"/>
          <w:spacing w:val="-4"/>
          <w:lang w:val="es-ES"/>
        </w:rPr>
        <w:t>Mega Cable</w:t>
      </w:r>
      <w:r w:rsidR="00E25D8F" w:rsidRPr="00092A03">
        <w:rPr>
          <w:rFonts w:ascii="ITC Avant Garde" w:hAnsi="ITC Avant Garde"/>
          <w:spacing w:val="-4"/>
          <w:lang w:val="es-ES"/>
        </w:rPr>
        <w:t xml:space="preserve"> menciona que no se considera la tecnología HFC a la hora de modelar las redes fijas. Cabe indicar </w:t>
      </w:r>
      <w:r w:rsidR="00BE7D1C" w:rsidRPr="00092A03">
        <w:rPr>
          <w:rFonts w:ascii="ITC Avant Garde" w:hAnsi="ITC Avant Garde"/>
          <w:spacing w:val="-4"/>
          <w:lang w:val="es-ES"/>
        </w:rPr>
        <w:t>que l</w:t>
      </w:r>
      <w:r w:rsidR="00DA779D" w:rsidRPr="00092A03">
        <w:rPr>
          <w:rFonts w:ascii="ITC Avant Garde" w:hAnsi="ITC Avant Garde"/>
          <w:spacing w:val="-4"/>
          <w:lang w:val="es-ES"/>
        </w:rPr>
        <w:t xml:space="preserve">a tecnología </w:t>
      </w:r>
      <w:r w:rsidR="00E25D8F" w:rsidRPr="00092A03">
        <w:rPr>
          <w:rFonts w:ascii="ITC Avant Garde" w:hAnsi="ITC Avant Garde"/>
          <w:spacing w:val="-4"/>
          <w:lang w:val="es-ES"/>
        </w:rPr>
        <w:t xml:space="preserve">moderna eficiente es fibra, y no </w:t>
      </w:r>
      <w:r w:rsidR="00685C85" w:rsidRPr="00092A03">
        <w:rPr>
          <w:rFonts w:ascii="ITC Avant Garde" w:hAnsi="ITC Avant Garde"/>
          <w:spacing w:val="-4"/>
          <w:lang w:val="es-ES"/>
        </w:rPr>
        <w:t>HFC</w:t>
      </w:r>
      <w:r w:rsidR="00E25D8F" w:rsidRPr="00092A03">
        <w:rPr>
          <w:rFonts w:ascii="ITC Avant Garde" w:hAnsi="ITC Avant Garde"/>
          <w:spacing w:val="-4"/>
          <w:lang w:val="es-ES"/>
        </w:rPr>
        <w:t xml:space="preserve">. </w:t>
      </w:r>
      <w:r w:rsidR="00DA779D" w:rsidRPr="00092A03">
        <w:rPr>
          <w:rFonts w:ascii="ITC Avant Garde" w:hAnsi="ITC Avant Garde"/>
          <w:spacing w:val="-4"/>
          <w:lang w:val="es-ES"/>
        </w:rPr>
        <w:t xml:space="preserve">En efecto, los nuevos despliegues – incluso los de los operadores </w:t>
      </w:r>
      <w:r w:rsidR="00E25D8F" w:rsidRPr="00092A03">
        <w:rPr>
          <w:rFonts w:ascii="ITC Avant Garde" w:hAnsi="ITC Avant Garde"/>
          <w:spacing w:val="-4"/>
          <w:lang w:val="es-ES"/>
        </w:rPr>
        <w:t xml:space="preserve">con redes </w:t>
      </w:r>
      <w:r w:rsidR="00DA779D" w:rsidRPr="00092A03">
        <w:rPr>
          <w:rFonts w:ascii="ITC Avant Garde" w:hAnsi="ITC Avant Garde"/>
          <w:spacing w:val="-4"/>
          <w:lang w:val="es-ES"/>
        </w:rPr>
        <w:t xml:space="preserve">HFC – </w:t>
      </w:r>
      <w:r w:rsidR="00E25D8F" w:rsidRPr="00092A03">
        <w:rPr>
          <w:rFonts w:ascii="ITC Avant Garde" w:hAnsi="ITC Avant Garde"/>
          <w:spacing w:val="-4"/>
          <w:lang w:val="es-ES"/>
        </w:rPr>
        <w:t xml:space="preserve">se basan en </w:t>
      </w:r>
      <w:r w:rsidR="00DA779D" w:rsidRPr="00092A03">
        <w:rPr>
          <w:rFonts w:ascii="ITC Avant Garde" w:hAnsi="ITC Avant Garde"/>
          <w:spacing w:val="-4"/>
          <w:lang w:val="es-ES"/>
        </w:rPr>
        <w:t>fibra</w:t>
      </w:r>
      <w:r w:rsidR="002D00CA" w:rsidRPr="00092A03">
        <w:rPr>
          <w:rFonts w:ascii="ITC Avant Garde" w:hAnsi="ITC Avant Garde"/>
          <w:spacing w:val="-4"/>
          <w:lang w:val="es-ES"/>
        </w:rPr>
        <w:t>. Por tanto, y en cumplimiento de los lineamientos, que</w:t>
      </w:r>
      <w:r w:rsidR="00DB44BA" w:rsidRPr="00092A03">
        <w:rPr>
          <w:rFonts w:ascii="ITC Avant Garde" w:hAnsi="ITC Avant Garde"/>
          <w:spacing w:val="-4"/>
          <w:lang w:val="es-ES"/>
        </w:rPr>
        <w:t xml:space="preserve"> recogen el uso de</w:t>
      </w:r>
      <w:r w:rsidR="002D00CA" w:rsidRPr="00092A03">
        <w:rPr>
          <w:rFonts w:ascii="ITC Avant Garde" w:hAnsi="ITC Avant Garde"/>
          <w:lang w:val="es-ES"/>
        </w:rPr>
        <w:t xml:space="preserve"> </w:t>
      </w:r>
      <w:r w:rsidR="00DB44BA" w:rsidRPr="00092A03">
        <w:rPr>
          <w:rFonts w:ascii="ITC Avant Garde" w:hAnsi="ITC Avant Garde"/>
          <w:spacing w:val="-4"/>
          <w:lang w:val="es-ES"/>
        </w:rPr>
        <w:t xml:space="preserve">las </w:t>
      </w:r>
      <w:r w:rsidR="002D00CA" w:rsidRPr="00092A03">
        <w:rPr>
          <w:rFonts w:ascii="ITC Avant Garde" w:hAnsi="ITC Avant Garde"/>
          <w:spacing w:val="-4"/>
          <w:lang w:val="es-ES"/>
        </w:rPr>
        <w:t>tecnologías eficientes disponibles dentro del periodo utilizado en el modelo</w:t>
      </w:r>
      <w:r w:rsidR="00DB44BA" w:rsidRPr="00092A03">
        <w:rPr>
          <w:rFonts w:ascii="ITC Avant Garde" w:hAnsi="ITC Avant Garde"/>
          <w:spacing w:val="-4"/>
          <w:lang w:val="es-ES"/>
        </w:rPr>
        <w:t xml:space="preserve">, </w:t>
      </w:r>
      <w:r w:rsidR="007F2B1A" w:rsidRPr="00092A03">
        <w:rPr>
          <w:rFonts w:ascii="ITC Avant Garde" w:hAnsi="ITC Avant Garde"/>
          <w:spacing w:val="-4"/>
          <w:lang w:val="es-ES"/>
        </w:rPr>
        <w:t>se utilizará una red NGN IP a nivel nacional.</w:t>
      </w:r>
    </w:p>
    <w:p w14:paraId="673ECDC8" w14:textId="3DB38F8F" w:rsidR="00397F7A" w:rsidRPr="00092A03" w:rsidRDefault="00A76193">
      <w:pPr>
        <w:rPr>
          <w:rFonts w:ascii="ITC Avant Garde" w:hAnsi="ITC Avant Garde"/>
          <w:spacing w:val="-4"/>
          <w:lang w:val="es-ES"/>
        </w:rPr>
      </w:pPr>
      <w:r w:rsidRPr="00092A03">
        <w:rPr>
          <w:rFonts w:ascii="ITC Avant Garde" w:hAnsi="ITC Avant Garde"/>
          <w:spacing w:val="-4"/>
          <w:lang w:val="es-ES"/>
        </w:rPr>
        <w:t>Telcel</w:t>
      </w:r>
      <w:r w:rsidR="00E25D8F" w:rsidRPr="00092A03">
        <w:rPr>
          <w:rFonts w:ascii="ITC Avant Garde" w:hAnsi="ITC Avant Garde"/>
          <w:spacing w:val="-4"/>
          <w:lang w:val="es-ES"/>
        </w:rPr>
        <w:t xml:space="preserve"> menciona que se debería emplear </w:t>
      </w:r>
      <w:r w:rsidR="00BE7D1C" w:rsidRPr="00092A03">
        <w:rPr>
          <w:rFonts w:ascii="ITC Avant Garde" w:hAnsi="ITC Avant Garde"/>
          <w:spacing w:val="-4"/>
          <w:lang w:val="es-ES"/>
        </w:rPr>
        <w:t>un operador hipotético entrante</w:t>
      </w:r>
      <w:r w:rsidR="00E25D8F" w:rsidRPr="00092A03">
        <w:rPr>
          <w:rFonts w:ascii="ITC Avant Garde" w:hAnsi="ITC Avant Garde"/>
          <w:spacing w:val="-4"/>
          <w:lang w:val="es-ES"/>
        </w:rPr>
        <w:t xml:space="preserve">. Las importantes barreras de entradas existentes en el mercado mexicano descartan el uso de </w:t>
      </w:r>
      <w:r w:rsidR="00D33E63" w:rsidRPr="00092A03">
        <w:rPr>
          <w:rFonts w:ascii="ITC Avant Garde" w:hAnsi="ITC Avant Garde"/>
          <w:spacing w:val="-4"/>
          <w:lang w:val="es-ES"/>
        </w:rPr>
        <w:t>un operador hipotético entrante</w:t>
      </w:r>
      <w:r w:rsidR="00E25D8F" w:rsidRPr="00092A03">
        <w:rPr>
          <w:rFonts w:ascii="ITC Avant Garde" w:hAnsi="ITC Avant Garde"/>
          <w:spacing w:val="-4"/>
          <w:lang w:val="es-ES"/>
        </w:rPr>
        <w:t xml:space="preserve"> en el modelo</w:t>
      </w:r>
      <w:r w:rsidR="00DA779D" w:rsidRPr="00092A03">
        <w:rPr>
          <w:rFonts w:ascii="ITC Avant Garde" w:hAnsi="ITC Avant Garde"/>
          <w:spacing w:val="-4"/>
          <w:lang w:val="es-ES"/>
        </w:rPr>
        <w:t xml:space="preserve">. </w:t>
      </w:r>
      <w:r w:rsidR="003E15A5" w:rsidRPr="00092A03">
        <w:rPr>
          <w:rFonts w:ascii="ITC Avant Garde" w:hAnsi="ITC Avant Garde"/>
          <w:spacing w:val="-4"/>
          <w:lang w:val="es-ES"/>
        </w:rPr>
        <w:t xml:space="preserve">No ha habido un nuevo entrante en el mercado mexicano de las telecomunicaciones desde hace más de 10 años, reduciéndose el número de actores como consecuencia de la consolidación de Iusacell y Nextel en 2015 bajo </w:t>
      </w:r>
      <w:r w:rsidR="00685C85" w:rsidRPr="00092A03">
        <w:rPr>
          <w:rFonts w:ascii="ITC Avant Garde" w:hAnsi="ITC Avant Garde"/>
          <w:spacing w:val="-4"/>
          <w:lang w:val="es-ES"/>
        </w:rPr>
        <w:t xml:space="preserve">el paraguas </w:t>
      </w:r>
      <w:r w:rsidR="003E15A5" w:rsidRPr="00092A03">
        <w:rPr>
          <w:rFonts w:ascii="ITC Avant Garde" w:hAnsi="ITC Avant Garde"/>
          <w:spacing w:val="-4"/>
          <w:lang w:val="es-ES"/>
        </w:rPr>
        <w:t>de AT&amp;T</w:t>
      </w:r>
      <w:r w:rsidR="00DA779D" w:rsidRPr="00092A03">
        <w:rPr>
          <w:rFonts w:ascii="ITC Avant Garde" w:hAnsi="ITC Avant Garde"/>
          <w:spacing w:val="-4"/>
          <w:lang w:val="es-ES"/>
        </w:rPr>
        <w:t>.</w:t>
      </w:r>
      <w:r w:rsidR="007F2B1A" w:rsidRPr="00092A03">
        <w:rPr>
          <w:rFonts w:ascii="ITC Avant Garde" w:hAnsi="ITC Avant Garde"/>
          <w:spacing w:val="-4"/>
          <w:lang w:val="es-ES"/>
        </w:rPr>
        <w:t xml:space="preserve"> </w:t>
      </w:r>
      <w:r w:rsidR="003E15A5" w:rsidRPr="00092A03">
        <w:rPr>
          <w:rFonts w:ascii="ITC Avant Garde" w:hAnsi="ITC Avant Garde"/>
          <w:spacing w:val="-4"/>
          <w:lang w:val="es-ES"/>
        </w:rPr>
        <w:t xml:space="preserve">Independientemente de esta </w:t>
      </w:r>
      <w:r w:rsidR="003E15A5" w:rsidRPr="00092A03">
        <w:rPr>
          <w:rFonts w:ascii="ITC Avant Garde" w:hAnsi="ITC Avant Garde"/>
          <w:spacing w:val="-4"/>
          <w:lang w:val="es-ES"/>
        </w:rPr>
        <w:lastRenderedPageBreak/>
        <w:t xml:space="preserve">situación, parece poco realista considerar el despliegue de </w:t>
      </w:r>
      <w:r w:rsidR="00DA779D" w:rsidRPr="00092A03">
        <w:rPr>
          <w:rFonts w:ascii="ITC Avant Garde" w:hAnsi="ITC Avant Garde"/>
          <w:spacing w:val="-4"/>
          <w:lang w:val="es-ES"/>
        </w:rPr>
        <w:t>una red basada exclusivament</w:t>
      </w:r>
      <w:r w:rsidR="00A0554A" w:rsidRPr="00092A03">
        <w:rPr>
          <w:rFonts w:ascii="ITC Avant Garde" w:hAnsi="ITC Avant Garde"/>
          <w:spacing w:val="-4"/>
          <w:lang w:val="es-ES"/>
        </w:rPr>
        <w:t>e en 3G para voz. La presencia</w:t>
      </w:r>
      <w:r w:rsidR="00DA779D" w:rsidRPr="00092A03">
        <w:rPr>
          <w:rFonts w:ascii="ITC Avant Garde" w:hAnsi="ITC Avant Garde"/>
          <w:spacing w:val="-4"/>
          <w:lang w:val="es-ES"/>
        </w:rPr>
        <w:t xml:space="preserve"> de terminales 2G</w:t>
      </w:r>
      <w:r w:rsidR="00A0554A" w:rsidRPr="00092A03">
        <w:rPr>
          <w:rFonts w:ascii="ITC Avant Garde" w:hAnsi="ITC Avant Garde"/>
          <w:spacing w:val="-4"/>
          <w:lang w:val="es-ES"/>
        </w:rPr>
        <w:t xml:space="preserve"> en México </w:t>
      </w:r>
      <w:r w:rsidR="00DA779D" w:rsidRPr="00092A03">
        <w:rPr>
          <w:rFonts w:ascii="ITC Avant Garde" w:hAnsi="ITC Avant Garde"/>
          <w:spacing w:val="-4"/>
          <w:lang w:val="es-ES"/>
        </w:rPr>
        <w:t>sigue siendo muy importante</w:t>
      </w:r>
      <w:r w:rsidR="007F2B1A" w:rsidRPr="00092A03">
        <w:rPr>
          <w:rFonts w:ascii="ITC Avant Garde" w:hAnsi="ITC Avant Garde"/>
          <w:spacing w:val="-4"/>
          <w:lang w:val="es-ES"/>
        </w:rPr>
        <w:t xml:space="preserve">, </w:t>
      </w:r>
      <w:r w:rsidR="00A0554A" w:rsidRPr="00092A03">
        <w:rPr>
          <w:rFonts w:ascii="ITC Avant Garde" w:hAnsi="ITC Avant Garde"/>
          <w:spacing w:val="-4"/>
          <w:lang w:val="es-ES"/>
        </w:rPr>
        <w:t xml:space="preserve">y </w:t>
      </w:r>
      <w:r w:rsidR="007F2B1A" w:rsidRPr="00092A03">
        <w:rPr>
          <w:rFonts w:ascii="ITC Avant Garde" w:hAnsi="ITC Avant Garde"/>
          <w:spacing w:val="-4"/>
          <w:lang w:val="es-ES"/>
        </w:rPr>
        <w:t>en la actualidad al</w:t>
      </w:r>
      <w:r w:rsidR="00CE3B1A" w:rsidRPr="00092A03">
        <w:rPr>
          <w:rFonts w:ascii="ITC Avant Garde" w:hAnsi="ITC Avant Garde"/>
          <w:spacing w:val="-4"/>
          <w:lang w:val="es-ES"/>
        </w:rPr>
        <w:t>go más</w:t>
      </w:r>
      <w:r w:rsidR="007F2B1A" w:rsidRPr="00092A03">
        <w:rPr>
          <w:rFonts w:ascii="ITC Avant Garde" w:hAnsi="ITC Avant Garde"/>
          <w:spacing w:val="-4"/>
          <w:lang w:val="es-ES"/>
        </w:rPr>
        <w:t xml:space="preserve"> del 30% del tráfico de voz se cursa</w:t>
      </w:r>
      <w:r w:rsidR="00CE3B1A" w:rsidRPr="00092A03">
        <w:rPr>
          <w:rFonts w:ascii="ITC Avant Garde" w:hAnsi="ITC Avant Garde"/>
          <w:spacing w:val="-4"/>
          <w:lang w:val="es-ES"/>
        </w:rPr>
        <w:t xml:space="preserve"> a través de redes 2G</w:t>
      </w:r>
      <w:r w:rsidR="00BE7D1C" w:rsidRPr="00092A03">
        <w:rPr>
          <w:rFonts w:ascii="ITC Avant Garde" w:hAnsi="ITC Avant Garde"/>
          <w:spacing w:val="-4"/>
          <w:lang w:val="es-ES"/>
        </w:rPr>
        <w:t xml:space="preserve"> mexicanas</w:t>
      </w:r>
      <w:r w:rsidR="003E15A5" w:rsidRPr="00092A03">
        <w:rPr>
          <w:rFonts w:ascii="ITC Avant Garde" w:hAnsi="ITC Avant Garde"/>
          <w:spacing w:val="-4"/>
          <w:lang w:val="es-ES"/>
        </w:rPr>
        <w:t>,</w:t>
      </w:r>
      <w:r w:rsidR="00CE3B1A" w:rsidRPr="00092A03">
        <w:rPr>
          <w:rFonts w:ascii="ITC Avant Garde" w:hAnsi="ITC Avant Garde"/>
          <w:spacing w:val="-4"/>
          <w:lang w:val="es-ES"/>
        </w:rPr>
        <w:t xml:space="preserve"> a tenor de los datos </w:t>
      </w:r>
      <w:r w:rsidR="007F2B1A" w:rsidRPr="00092A03">
        <w:rPr>
          <w:rFonts w:ascii="ITC Avant Garde" w:hAnsi="ITC Avant Garde"/>
          <w:spacing w:val="-4"/>
          <w:lang w:val="es-ES"/>
        </w:rPr>
        <w:t>reportados por los operadores</w:t>
      </w:r>
      <w:r w:rsidR="00DA779D" w:rsidRPr="00092A03">
        <w:rPr>
          <w:rFonts w:ascii="ITC Avant Garde" w:hAnsi="ITC Avant Garde"/>
          <w:spacing w:val="-4"/>
          <w:lang w:val="es-ES"/>
        </w:rPr>
        <w:t>.</w:t>
      </w:r>
      <w:r w:rsidR="00CE3B1A" w:rsidRPr="00092A03">
        <w:rPr>
          <w:rFonts w:ascii="ITC Avant Garde" w:hAnsi="ITC Avant Garde"/>
          <w:spacing w:val="-4"/>
          <w:lang w:val="es-ES"/>
        </w:rPr>
        <w:t xml:space="preserve"> </w:t>
      </w:r>
    </w:p>
    <w:p w14:paraId="6F694EDD" w14:textId="77777777" w:rsidR="00DA779D" w:rsidRPr="00092A03" w:rsidRDefault="003E15A5" w:rsidP="00DA779D">
      <w:pPr>
        <w:rPr>
          <w:rFonts w:ascii="ITC Avant Garde" w:hAnsi="ITC Avant Garde"/>
          <w:spacing w:val="-4"/>
          <w:lang w:val="es-ES"/>
        </w:rPr>
      </w:pPr>
      <w:r w:rsidRPr="00092A03">
        <w:rPr>
          <w:rFonts w:ascii="ITC Avant Garde" w:hAnsi="ITC Avant Garde"/>
          <w:spacing w:val="-4"/>
          <w:lang w:val="es-ES"/>
        </w:rPr>
        <w:t xml:space="preserve">Cabe notar que el modelado de </w:t>
      </w:r>
      <w:r w:rsidR="007F2B1A" w:rsidRPr="00092A03">
        <w:rPr>
          <w:rFonts w:ascii="ITC Avant Garde" w:hAnsi="ITC Avant Garde"/>
          <w:spacing w:val="-4"/>
          <w:lang w:val="es-ES"/>
        </w:rPr>
        <w:t xml:space="preserve">un operador hipotético entrante </w:t>
      </w:r>
      <w:r w:rsidRPr="00092A03">
        <w:rPr>
          <w:rFonts w:ascii="ITC Avant Garde" w:hAnsi="ITC Avant Garde"/>
          <w:spacing w:val="-4"/>
          <w:lang w:val="es-ES"/>
        </w:rPr>
        <w:t xml:space="preserve">también </w:t>
      </w:r>
      <w:r w:rsidR="007F2B1A" w:rsidRPr="00092A03">
        <w:rPr>
          <w:rFonts w:ascii="ITC Avant Garde" w:hAnsi="ITC Avant Garde"/>
          <w:spacing w:val="-4"/>
          <w:lang w:val="es-ES"/>
        </w:rPr>
        <w:t>requeriría un proceso de calibración</w:t>
      </w:r>
      <w:r w:rsidRPr="00092A03">
        <w:rPr>
          <w:rFonts w:ascii="ITC Avant Garde" w:hAnsi="ITC Avant Garde"/>
          <w:spacing w:val="-4"/>
          <w:lang w:val="es-ES"/>
        </w:rPr>
        <w:t xml:space="preserve"> similar al de </w:t>
      </w:r>
      <w:r w:rsidR="007F2B1A" w:rsidRPr="00092A03">
        <w:rPr>
          <w:rFonts w:ascii="ITC Avant Garde" w:hAnsi="ITC Avant Garde"/>
          <w:spacing w:val="-4"/>
          <w:lang w:val="es-ES"/>
        </w:rPr>
        <w:t>un operador hipotético existente</w:t>
      </w:r>
      <w:r w:rsidR="00CE3B1A" w:rsidRPr="00092A03">
        <w:rPr>
          <w:rFonts w:ascii="ITC Avant Garde" w:hAnsi="ITC Avant Garde"/>
          <w:spacing w:val="-4"/>
          <w:lang w:val="es-ES"/>
        </w:rPr>
        <w:t xml:space="preserve">. </w:t>
      </w:r>
      <w:r w:rsidR="00A0554A" w:rsidRPr="00092A03">
        <w:rPr>
          <w:rFonts w:ascii="ITC Avant Garde" w:hAnsi="ITC Avant Garde"/>
          <w:spacing w:val="-4"/>
          <w:lang w:val="es-ES"/>
        </w:rPr>
        <w:t>L</w:t>
      </w:r>
      <w:r w:rsidR="00DA779D" w:rsidRPr="00092A03">
        <w:rPr>
          <w:rFonts w:ascii="ITC Avant Garde" w:hAnsi="ITC Avant Garde"/>
          <w:spacing w:val="-4"/>
          <w:lang w:val="es-ES"/>
        </w:rPr>
        <w:t>a calibración es un proceso que se basa en datos reales del mercado y los operadores y que permite asegurar que el modelo responde de manera adecuada y realista en ciertos rangos de valores. Eso no implica que se modifique el modelo para que sus resultados reflejen los datos de los operadores. En efecto, el objetivo del modelo es reflejar de la forma más realista posible las ineficiencias no relacionadas con el operador (p.ej. el operador no tiene la libertad de desplegar emplazamientos en los lugares más óptimos).</w:t>
      </w:r>
    </w:p>
    <w:p w14:paraId="360372FD" w14:textId="5DC5FD2C" w:rsidR="0080214F" w:rsidRPr="00092A03" w:rsidRDefault="00DA779D">
      <w:pPr>
        <w:rPr>
          <w:rFonts w:ascii="ITC Avant Garde" w:hAnsi="ITC Avant Garde"/>
          <w:spacing w:val="-4"/>
          <w:lang w:val="es-ES"/>
        </w:rPr>
      </w:pPr>
      <w:r w:rsidRPr="00092A03">
        <w:rPr>
          <w:rFonts w:ascii="ITC Avant Garde" w:hAnsi="ITC Avant Garde"/>
          <w:spacing w:val="-4"/>
          <w:lang w:val="es-ES"/>
        </w:rPr>
        <w:t>Con respecto a</w:t>
      </w:r>
      <w:r w:rsidR="003E15A5" w:rsidRPr="00092A03">
        <w:rPr>
          <w:rFonts w:ascii="ITC Avant Garde" w:hAnsi="ITC Avant Garde"/>
          <w:spacing w:val="-4"/>
          <w:lang w:val="es-ES"/>
        </w:rPr>
        <w:t xml:space="preserve"> la inclusión en el modelo de costos de</w:t>
      </w:r>
      <w:r w:rsidRPr="00092A03">
        <w:rPr>
          <w:rFonts w:ascii="ITC Avant Garde" w:hAnsi="ITC Avant Garde"/>
          <w:spacing w:val="-4"/>
          <w:lang w:val="es-ES"/>
        </w:rPr>
        <w:t xml:space="preserve"> la tecnología 4G, </w:t>
      </w:r>
      <w:r w:rsidR="00A0554A" w:rsidRPr="00092A03">
        <w:rPr>
          <w:rFonts w:ascii="ITC Avant Garde" w:hAnsi="ITC Avant Garde"/>
          <w:spacing w:val="-4"/>
          <w:lang w:val="es-ES"/>
        </w:rPr>
        <w:t xml:space="preserve">diferentes operadores contribuyen visiones </w:t>
      </w:r>
      <w:r w:rsidR="00CE3B1A" w:rsidRPr="00092A03">
        <w:rPr>
          <w:rFonts w:ascii="ITC Avant Garde" w:hAnsi="ITC Avant Garde"/>
          <w:spacing w:val="-4"/>
          <w:lang w:val="es-ES"/>
        </w:rPr>
        <w:t xml:space="preserve">contrapuestas. </w:t>
      </w:r>
      <w:r w:rsidR="00A0554A" w:rsidRPr="00092A03">
        <w:rPr>
          <w:rFonts w:ascii="ITC Avant Garde" w:hAnsi="ITC Avant Garde"/>
          <w:spacing w:val="-4"/>
          <w:lang w:val="es-ES"/>
        </w:rPr>
        <w:t>El importante despliegue de tecnología 4G observado en México hace que no sea realista no modelarla</w:t>
      </w:r>
      <w:r w:rsidR="00A852E3" w:rsidRPr="00092A03">
        <w:rPr>
          <w:rFonts w:ascii="ITC Avant Garde" w:hAnsi="ITC Avant Garde"/>
          <w:spacing w:val="-4"/>
          <w:lang w:val="es-ES"/>
        </w:rPr>
        <w:t xml:space="preserve">. </w:t>
      </w:r>
      <w:r w:rsidR="00594054" w:rsidRPr="00092A03">
        <w:rPr>
          <w:rFonts w:ascii="ITC Avant Garde" w:hAnsi="ITC Avant Garde"/>
          <w:spacing w:val="-4"/>
          <w:lang w:val="es-ES"/>
        </w:rPr>
        <w:t xml:space="preserve">Sin embargo, </w:t>
      </w:r>
      <w:r w:rsidR="0093137E" w:rsidRPr="00092A03">
        <w:rPr>
          <w:rFonts w:ascii="ITC Avant Garde" w:hAnsi="ITC Avant Garde"/>
          <w:spacing w:val="-4"/>
          <w:lang w:val="es-ES"/>
        </w:rPr>
        <w:t xml:space="preserve">muchos de los elementos de red son comunes a </w:t>
      </w:r>
      <w:r w:rsidR="00A0554A" w:rsidRPr="00092A03">
        <w:rPr>
          <w:rFonts w:ascii="ITC Avant Garde" w:hAnsi="ITC Avant Garde"/>
          <w:spacing w:val="-4"/>
          <w:lang w:val="es-ES"/>
        </w:rPr>
        <w:t xml:space="preserve">varios </w:t>
      </w:r>
      <w:r w:rsidR="0093137E" w:rsidRPr="00092A03">
        <w:rPr>
          <w:rFonts w:ascii="ITC Avant Garde" w:hAnsi="ITC Avant Garde"/>
          <w:spacing w:val="-4"/>
          <w:lang w:val="es-ES"/>
        </w:rPr>
        <w:t>servicios y tecnologías, y sería muy complicado discernir la proporción del precio atribuible a cada cual.</w:t>
      </w:r>
      <w:r w:rsidR="00A0554A" w:rsidRPr="00092A03">
        <w:rPr>
          <w:rFonts w:ascii="ITC Avant Garde" w:hAnsi="ITC Avant Garde"/>
          <w:spacing w:val="-4"/>
          <w:lang w:val="es-ES"/>
        </w:rPr>
        <w:t xml:space="preserve"> </w:t>
      </w:r>
      <w:r w:rsidR="0093137E" w:rsidRPr="00092A03">
        <w:rPr>
          <w:rFonts w:ascii="ITC Avant Garde" w:hAnsi="ITC Avant Garde"/>
          <w:spacing w:val="-4"/>
          <w:lang w:val="es-ES"/>
        </w:rPr>
        <w:t xml:space="preserve">Por ello, el despliegue de la tecnología 4G es necesario para </w:t>
      </w:r>
      <w:r w:rsidR="00A0554A" w:rsidRPr="00092A03">
        <w:rPr>
          <w:rFonts w:ascii="ITC Avant Garde" w:hAnsi="ITC Avant Garde"/>
          <w:spacing w:val="-4"/>
          <w:lang w:val="es-ES"/>
        </w:rPr>
        <w:t xml:space="preserve">reflejar la distribución de tráfico real por tecnologías experimentado actualmente en México, y </w:t>
      </w:r>
      <w:r w:rsidR="0093137E" w:rsidRPr="00092A03">
        <w:rPr>
          <w:rFonts w:ascii="ITC Avant Garde" w:hAnsi="ITC Avant Garde"/>
          <w:spacing w:val="-4"/>
          <w:lang w:val="es-ES"/>
        </w:rPr>
        <w:t xml:space="preserve">llevar a cabo un reparto más realista de los costos </w:t>
      </w:r>
      <w:r w:rsidR="00A0554A" w:rsidRPr="00092A03">
        <w:rPr>
          <w:rFonts w:ascii="ITC Avant Garde" w:hAnsi="ITC Avant Garde"/>
          <w:spacing w:val="-4"/>
          <w:lang w:val="es-ES"/>
        </w:rPr>
        <w:t xml:space="preserve">de </w:t>
      </w:r>
      <w:r w:rsidR="0093137E" w:rsidRPr="00092A03">
        <w:rPr>
          <w:rFonts w:ascii="ITC Avant Garde" w:hAnsi="ITC Avant Garde"/>
          <w:spacing w:val="-4"/>
          <w:lang w:val="es-ES"/>
        </w:rPr>
        <w:t>cada elemento de red</w:t>
      </w:r>
      <w:r w:rsidR="00A0554A" w:rsidRPr="00092A03">
        <w:rPr>
          <w:rFonts w:ascii="ITC Avant Garde" w:hAnsi="ITC Avant Garde"/>
          <w:spacing w:val="-4"/>
          <w:lang w:val="es-ES"/>
        </w:rPr>
        <w:t xml:space="preserve"> atribuible a cada servicio y tecnología</w:t>
      </w:r>
      <w:r w:rsidR="0093137E" w:rsidRPr="00092A03">
        <w:rPr>
          <w:rFonts w:ascii="ITC Avant Garde" w:hAnsi="ITC Avant Garde"/>
          <w:spacing w:val="-4"/>
          <w:lang w:val="es-ES"/>
        </w:rPr>
        <w:t>.</w:t>
      </w:r>
    </w:p>
    <w:p w14:paraId="216A64BE" w14:textId="3E054818" w:rsidR="00102CBD" w:rsidRPr="00092A03" w:rsidRDefault="00A76193" w:rsidP="00102CBD">
      <w:pPr>
        <w:spacing w:after="100" w:afterAutospacing="1"/>
        <w:rPr>
          <w:rFonts w:ascii="ITC Avant Garde" w:hAnsi="ITC Avant Garde"/>
          <w:spacing w:val="-4"/>
          <w:lang w:val="es-ES"/>
        </w:rPr>
      </w:pPr>
      <w:r w:rsidRPr="00092A03">
        <w:rPr>
          <w:rFonts w:ascii="ITC Avant Garde" w:hAnsi="ITC Avant Garde"/>
          <w:lang w:val="es-ES"/>
        </w:rPr>
        <w:t>Axtel</w:t>
      </w:r>
      <w:r w:rsidR="00A0554A" w:rsidRPr="00092A03">
        <w:rPr>
          <w:rFonts w:ascii="ITC Avant Garde" w:hAnsi="ITC Avant Garde"/>
          <w:lang w:val="es-ES"/>
        </w:rPr>
        <w:t xml:space="preserve"> </w:t>
      </w:r>
      <w:r w:rsidR="0093137E" w:rsidRPr="00092A03">
        <w:rPr>
          <w:rFonts w:ascii="ITC Avant Garde" w:hAnsi="ITC Avant Garde"/>
          <w:lang w:val="es-ES"/>
        </w:rPr>
        <w:t xml:space="preserve">sugiere el uso exclusivo de las tecnologías más eficientes disponibles en el mercado, </w:t>
      </w:r>
      <w:r w:rsidR="00A0554A" w:rsidRPr="00092A03">
        <w:rPr>
          <w:rFonts w:ascii="ITC Avant Garde" w:hAnsi="ITC Avant Garde"/>
          <w:lang w:val="es-ES"/>
        </w:rPr>
        <w:t xml:space="preserve">transportando </w:t>
      </w:r>
      <w:r w:rsidR="005F0232" w:rsidRPr="00092A03">
        <w:rPr>
          <w:rFonts w:ascii="ITC Avant Garde" w:hAnsi="ITC Avant Garde"/>
          <w:lang w:val="es-ES"/>
        </w:rPr>
        <w:t xml:space="preserve">voz a través </w:t>
      </w:r>
      <w:r w:rsidR="005F0232" w:rsidRPr="00092A03">
        <w:rPr>
          <w:rFonts w:ascii="ITC Avant Garde" w:hAnsi="ITC Avant Garde"/>
          <w:spacing w:val="-4"/>
          <w:lang w:val="es-ES"/>
        </w:rPr>
        <w:t xml:space="preserve">de tecnología </w:t>
      </w:r>
      <w:r w:rsidR="0093137E" w:rsidRPr="00092A03">
        <w:rPr>
          <w:rFonts w:ascii="ITC Avant Garde" w:hAnsi="ITC Avant Garde"/>
          <w:spacing w:val="-4"/>
          <w:lang w:val="es-ES"/>
        </w:rPr>
        <w:t>4G para el modelo móvil y NGN para el fijo</w:t>
      </w:r>
      <w:r w:rsidR="005F0232" w:rsidRPr="00092A03">
        <w:rPr>
          <w:rFonts w:ascii="ITC Avant Garde" w:hAnsi="ITC Avant Garde"/>
          <w:spacing w:val="-4"/>
          <w:lang w:val="es-ES"/>
        </w:rPr>
        <w:t xml:space="preserve">. </w:t>
      </w:r>
      <w:r w:rsidR="00102CBD" w:rsidRPr="00092A03">
        <w:rPr>
          <w:rFonts w:ascii="ITC Avant Garde" w:hAnsi="ITC Avant Garde"/>
          <w:spacing w:val="-4"/>
          <w:lang w:val="es-ES"/>
        </w:rPr>
        <w:t xml:space="preserve">Con el importante crecimiento de las redes 4G para el transporte de datos como consecuencia del aumento en la penetración de </w:t>
      </w:r>
      <w:proofErr w:type="spellStart"/>
      <w:r w:rsidR="00102CBD" w:rsidRPr="00092A03">
        <w:rPr>
          <w:rFonts w:ascii="ITC Avant Garde" w:hAnsi="ITC Avant Garde"/>
          <w:spacing w:val="-4"/>
          <w:lang w:val="es-ES"/>
        </w:rPr>
        <w:t>smartphones</w:t>
      </w:r>
      <w:proofErr w:type="spellEnd"/>
      <w:r w:rsidR="00102CBD" w:rsidRPr="00092A03">
        <w:rPr>
          <w:rFonts w:ascii="ITC Avant Garde" w:hAnsi="ITC Avant Garde"/>
          <w:spacing w:val="-4"/>
          <w:lang w:val="es-ES"/>
        </w:rPr>
        <w:t xml:space="preserve"> y de los recientes despliegues, resulta razonable considerar la tecnología </w:t>
      </w:r>
      <w:proofErr w:type="spellStart"/>
      <w:r w:rsidR="00102CBD" w:rsidRPr="00092A03">
        <w:rPr>
          <w:rFonts w:ascii="ITC Avant Garde" w:hAnsi="ITC Avant Garde"/>
          <w:spacing w:val="-4"/>
          <w:lang w:val="es-ES"/>
        </w:rPr>
        <w:t>VoLTE</w:t>
      </w:r>
      <w:proofErr w:type="spellEnd"/>
      <w:r w:rsidR="00102CBD" w:rsidRPr="00092A03">
        <w:rPr>
          <w:rFonts w:ascii="ITC Avant Garde" w:hAnsi="ITC Avant Garde"/>
          <w:spacing w:val="-4"/>
          <w:lang w:val="es-ES"/>
        </w:rPr>
        <w:t xml:space="preserve"> para el transporte de voz. </w:t>
      </w:r>
    </w:p>
    <w:p w14:paraId="09A78E84" w14:textId="77777777" w:rsidR="00102CBD" w:rsidRPr="00092A03" w:rsidRDefault="00102CBD" w:rsidP="00102CBD">
      <w:pPr>
        <w:spacing w:after="100" w:afterAutospacing="1"/>
        <w:rPr>
          <w:rFonts w:ascii="ITC Avant Garde" w:hAnsi="ITC Avant Garde"/>
          <w:spacing w:val="-4"/>
          <w:lang w:val="es-ES"/>
        </w:rPr>
      </w:pPr>
      <w:r w:rsidRPr="00092A03">
        <w:rPr>
          <w:rFonts w:ascii="ITC Avant Garde" w:hAnsi="ITC Avant Garde"/>
          <w:spacing w:val="-4"/>
          <w:lang w:val="es-ES"/>
        </w:rPr>
        <w:t>En efecto, de acuerdo al Reporte de Evolución a LTE (</w:t>
      </w:r>
      <w:proofErr w:type="spellStart"/>
      <w:r w:rsidRPr="00092A03">
        <w:rPr>
          <w:rFonts w:ascii="ITC Avant Garde" w:hAnsi="ITC Avant Garde"/>
          <w:spacing w:val="-4"/>
          <w:lang w:val="es-ES"/>
        </w:rPr>
        <w:t>Evolution</w:t>
      </w:r>
      <w:proofErr w:type="spellEnd"/>
      <w:r w:rsidRPr="00092A03">
        <w:rPr>
          <w:rFonts w:ascii="ITC Avant Garde" w:hAnsi="ITC Avant Garde"/>
          <w:spacing w:val="-4"/>
          <w:lang w:val="es-ES"/>
        </w:rPr>
        <w:t xml:space="preserve"> to LTE </w:t>
      </w:r>
      <w:proofErr w:type="spellStart"/>
      <w:r w:rsidRPr="00092A03">
        <w:rPr>
          <w:rFonts w:ascii="ITC Avant Garde" w:hAnsi="ITC Avant Garde"/>
          <w:spacing w:val="-4"/>
          <w:lang w:val="es-ES"/>
        </w:rPr>
        <w:t>Report</w:t>
      </w:r>
      <w:proofErr w:type="spellEnd"/>
      <w:r w:rsidRPr="00092A03">
        <w:rPr>
          <w:rFonts w:ascii="ITC Avant Garde" w:hAnsi="ITC Avant Garde"/>
          <w:spacing w:val="-4"/>
          <w:lang w:val="es-ES"/>
        </w:rPr>
        <w:t xml:space="preserve">) de la Asociación Global de Operadores Móviles (GSA de sus siglas en inglés), publicado en 2015, los concesionarios móviles han lanzado comercialmente el servicio de </w:t>
      </w:r>
      <w:proofErr w:type="spellStart"/>
      <w:r w:rsidRPr="00092A03">
        <w:rPr>
          <w:rFonts w:ascii="ITC Avant Garde" w:hAnsi="ITC Avant Garde"/>
          <w:spacing w:val="-4"/>
          <w:lang w:val="es-ES"/>
        </w:rPr>
        <w:t>VoLTE</w:t>
      </w:r>
      <w:proofErr w:type="spellEnd"/>
      <w:r w:rsidRPr="00092A03">
        <w:rPr>
          <w:rFonts w:ascii="ITC Avant Garde" w:hAnsi="ITC Avant Garde"/>
          <w:spacing w:val="-4"/>
          <w:lang w:val="es-ES"/>
        </w:rPr>
        <w:t xml:space="preserve"> en 21 países y se encuentran en proceso de lanzamiento 111 operadores a nivel mundial.</w:t>
      </w:r>
      <w:r w:rsidRPr="00092A03">
        <w:rPr>
          <w:rFonts w:ascii="ITC Avant Garde" w:hAnsi="ITC Avant Garde"/>
          <w:spacing w:val="-4"/>
          <w:lang w:val="es-ES"/>
        </w:rPr>
        <w:footnoteReference w:id="3"/>
      </w:r>
      <w:r w:rsidRPr="00092A03">
        <w:rPr>
          <w:rFonts w:ascii="ITC Avant Garde" w:hAnsi="ITC Avant Garde"/>
          <w:spacing w:val="-4"/>
          <w:lang w:val="es-ES"/>
        </w:rPr>
        <w:t xml:space="preserve"> </w:t>
      </w:r>
    </w:p>
    <w:p w14:paraId="7C1307FC" w14:textId="77777777" w:rsidR="00102CBD" w:rsidRPr="00092A03" w:rsidRDefault="00102CBD" w:rsidP="00102CBD">
      <w:pPr>
        <w:spacing w:after="100" w:afterAutospacing="1"/>
        <w:rPr>
          <w:rFonts w:ascii="ITC Avant Garde" w:hAnsi="ITC Avant Garde"/>
          <w:spacing w:val="-4"/>
          <w:lang w:val="es-ES"/>
        </w:rPr>
      </w:pPr>
      <w:r w:rsidRPr="00092A03">
        <w:rPr>
          <w:rFonts w:ascii="ITC Avant Garde" w:hAnsi="ITC Avant Garde"/>
          <w:spacing w:val="-4"/>
          <w:lang w:val="es-ES"/>
        </w:rPr>
        <w:t xml:space="preserve">Asimismo, en el caso específico de México el Agente Económico Preponderante ha anunciado su lanzamiento. Por lo anterior, el modelo considera la tecnología </w:t>
      </w:r>
      <w:proofErr w:type="spellStart"/>
      <w:r w:rsidRPr="00092A03">
        <w:rPr>
          <w:rFonts w:ascii="ITC Avant Garde" w:hAnsi="ITC Avant Garde"/>
          <w:spacing w:val="-4"/>
          <w:lang w:val="es-ES"/>
        </w:rPr>
        <w:t>VoLTE</w:t>
      </w:r>
      <w:proofErr w:type="spellEnd"/>
      <w:r w:rsidRPr="00092A03">
        <w:rPr>
          <w:rFonts w:ascii="ITC Avant Garde" w:hAnsi="ITC Avant Garde"/>
          <w:spacing w:val="-4"/>
          <w:lang w:val="es-ES"/>
        </w:rPr>
        <w:t xml:space="preserve"> al representar una tecnología moderna equivalente.</w:t>
      </w:r>
    </w:p>
    <w:p w14:paraId="3D5F33BE" w14:textId="27131070" w:rsidR="004C41C1" w:rsidRPr="00092A03" w:rsidRDefault="004705CC" w:rsidP="00736260">
      <w:pPr>
        <w:rPr>
          <w:rFonts w:ascii="ITC Avant Garde" w:hAnsi="ITC Avant Garde"/>
          <w:lang w:val="es-ES"/>
        </w:rPr>
      </w:pPr>
      <w:r w:rsidRPr="00092A03">
        <w:rPr>
          <w:rFonts w:ascii="ITC Avant Garde" w:hAnsi="ITC Avant Garde"/>
          <w:lang w:val="es-ES"/>
        </w:rPr>
        <w:t xml:space="preserve"> Por otro lado, la estructura del mercado móvil no permitiría el despliegue de una red </w:t>
      </w:r>
      <w:r w:rsidR="004C41C1" w:rsidRPr="00092A03">
        <w:rPr>
          <w:rFonts w:ascii="ITC Avant Garde" w:hAnsi="ITC Avant Garde"/>
          <w:lang w:val="es-ES"/>
        </w:rPr>
        <w:t xml:space="preserve">móvil exclusivamente </w:t>
      </w:r>
      <w:r w:rsidRPr="00092A03">
        <w:rPr>
          <w:rFonts w:ascii="ITC Avant Garde" w:hAnsi="ITC Avant Garde"/>
          <w:lang w:val="es-ES"/>
        </w:rPr>
        <w:t xml:space="preserve">4G, pues </w:t>
      </w:r>
      <w:r w:rsidR="004C41C1" w:rsidRPr="00092A03">
        <w:rPr>
          <w:rFonts w:ascii="ITC Avant Garde" w:hAnsi="ITC Avant Garde"/>
          <w:lang w:val="es-ES"/>
        </w:rPr>
        <w:t>(</w:t>
      </w:r>
      <w:r w:rsidR="00685C85" w:rsidRPr="00092A03">
        <w:rPr>
          <w:rFonts w:ascii="ITC Avant Garde" w:hAnsi="ITC Avant Garde"/>
          <w:lang w:val="es-ES"/>
        </w:rPr>
        <w:t>teniendo en cuenta los</w:t>
      </w:r>
      <w:r w:rsidR="004C41C1" w:rsidRPr="00092A03">
        <w:rPr>
          <w:rFonts w:ascii="ITC Avant Garde" w:hAnsi="ITC Avant Garde"/>
          <w:lang w:val="es-ES"/>
        </w:rPr>
        <w:t xml:space="preserve"> datos recibidos de los operadores) </w:t>
      </w:r>
      <w:r w:rsidR="005F0232" w:rsidRPr="00092A03">
        <w:rPr>
          <w:rFonts w:ascii="ITC Avant Garde" w:hAnsi="ITC Avant Garde"/>
          <w:lang w:val="es-ES"/>
        </w:rPr>
        <w:t xml:space="preserve">alrededor del </w:t>
      </w:r>
      <w:r w:rsidR="00C921DB" w:rsidRPr="00092A03">
        <w:rPr>
          <w:rFonts w:ascii="ITC Avant Garde" w:hAnsi="ITC Avant Garde"/>
          <w:lang w:val="es-ES"/>
        </w:rPr>
        <w:t>80</w:t>
      </w:r>
      <w:r w:rsidR="005F0232" w:rsidRPr="00092A03">
        <w:rPr>
          <w:rFonts w:ascii="ITC Avant Garde" w:hAnsi="ITC Avant Garde"/>
          <w:lang w:val="es-ES"/>
        </w:rPr>
        <w:t xml:space="preserve">% de los </w:t>
      </w:r>
      <w:r w:rsidRPr="00092A03">
        <w:rPr>
          <w:rFonts w:ascii="ITC Avant Garde" w:hAnsi="ITC Avant Garde"/>
          <w:lang w:val="es-ES"/>
        </w:rPr>
        <w:t xml:space="preserve">usuarios </w:t>
      </w:r>
      <w:r w:rsidR="005F0232" w:rsidRPr="00092A03">
        <w:rPr>
          <w:rFonts w:ascii="ITC Avant Garde" w:hAnsi="ITC Avant Garde"/>
          <w:lang w:val="es-ES"/>
        </w:rPr>
        <w:t xml:space="preserve">del mercado </w:t>
      </w:r>
      <w:r w:rsidRPr="00092A03">
        <w:rPr>
          <w:rFonts w:ascii="ITC Avant Garde" w:hAnsi="ITC Avant Garde"/>
          <w:lang w:val="es-ES"/>
        </w:rPr>
        <w:t>tienen todavía terminales 2G y 3G</w:t>
      </w:r>
      <w:r w:rsidR="00BE7D1C" w:rsidRPr="00092A03">
        <w:rPr>
          <w:rFonts w:ascii="ITC Avant Garde" w:hAnsi="ITC Avant Garde"/>
          <w:lang w:val="es-ES"/>
        </w:rPr>
        <w:t>.</w:t>
      </w:r>
    </w:p>
    <w:p w14:paraId="0850E614" w14:textId="77777777" w:rsidR="004705CC" w:rsidRPr="00092A03" w:rsidRDefault="005F0232" w:rsidP="00736260">
      <w:pPr>
        <w:rPr>
          <w:rFonts w:ascii="ITC Avant Garde" w:hAnsi="ITC Avant Garde"/>
          <w:lang w:val="es-ES"/>
        </w:rPr>
      </w:pPr>
      <w:r w:rsidRPr="00092A03">
        <w:rPr>
          <w:rFonts w:ascii="ITC Avant Garde" w:hAnsi="ITC Avant Garde"/>
          <w:lang w:val="es-ES"/>
        </w:rPr>
        <w:lastRenderedPageBreak/>
        <w:t xml:space="preserve">En el caso de los operadores fijos, la tendencia a nivel mundial observada es la migración de las redes TDM a NGN a nivel </w:t>
      </w:r>
      <w:proofErr w:type="spellStart"/>
      <w:r w:rsidRPr="00092A03">
        <w:rPr>
          <w:rFonts w:ascii="ITC Avant Garde" w:hAnsi="ITC Avant Garde"/>
          <w:i/>
          <w:lang w:val="es-ES"/>
        </w:rPr>
        <w:t>core</w:t>
      </w:r>
      <w:proofErr w:type="spellEnd"/>
      <w:r w:rsidRPr="00092A03">
        <w:rPr>
          <w:rFonts w:ascii="ITC Avant Garde" w:hAnsi="ITC Avant Garde"/>
          <w:lang w:val="es-ES"/>
        </w:rPr>
        <w:t xml:space="preserve"> como resultado de un incremento muy significativo del tráfico de datos en la última década.</w:t>
      </w:r>
    </w:p>
    <w:bookmarkEnd w:id="2"/>
    <w:p w14:paraId="7DC32BCD" w14:textId="74C98B9A" w:rsidR="00D81961" w:rsidRPr="00092A03" w:rsidRDefault="00BE303D" w:rsidP="002B648A">
      <w:pPr>
        <w:pStyle w:val="Ttulo2"/>
        <w:numPr>
          <w:ilvl w:val="0"/>
          <w:numId w:val="0"/>
        </w:numPr>
        <w:rPr>
          <w:rFonts w:ascii="ITC Avant Garde" w:hAnsi="ITC Avant Garde"/>
          <w:lang w:val="es-ES"/>
        </w:rPr>
      </w:pPr>
      <w:r w:rsidRPr="00092A03">
        <w:rPr>
          <w:rFonts w:ascii="ITC Avant Garde" w:hAnsi="ITC Avant Garde"/>
          <w:lang w:val="es-ES"/>
        </w:rPr>
        <w:t xml:space="preserve">Concepto propuesto </w:t>
      </w:r>
      <w:r w:rsidRPr="00092A03">
        <w:rPr>
          <w:rFonts w:ascii="ITC Avant Garde" w:hAnsi="ITC Avant Garde"/>
          <w:lang w:val="es-ES"/>
        </w:rPr>
        <w:fldChar w:fldCharType="begin"/>
      </w:r>
      <w:r w:rsidRPr="00092A03">
        <w:rPr>
          <w:rFonts w:ascii="ITC Avant Garde" w:hAnsi="ITC Avant Garde"/>
          <w:lang w:val="es-ES"/>
        </w:rPr>
        <w:instrText xml:space="preserve"> SEQ Recommendation \* ARABIC \s 0 </w:instrText>
      </w:r>
      <w:r w:rsidRPr="00092A03">
        <w:rPr>
          <w:rFonts w:ascii="ITC Avant Garde" w:hAnsi="ITC Avant Garde"/>
          <w:lang w:val="es-ES"/>
        </w:rPr>
        <w:fldChar w:fldCharType="separate"/>
      </w:r>
      <w:r w:rsidR="00296386" w:rsidRPr="00092A03">
        <w:rPr>
          <w:rFonts w:ascii="ITC Avant Garde" w:hAnsi="ITC Avant Garde"/>
          <w:lang w:val="es-ES"/>
        </w:rPr>
        <w:t>2</w:t>
      </w:r>
      <w:r w:rsidRPr="00092A03">
        <w:rPr>
          <w:rFonts w:ascii="ITC Avant Garde" w:hAnsi="ITC Avant Garde"/>
          <w:lang w:val="es-ES"/>
        </w:rPr>
        <w:fldChar w:fldCharType="end"/>
      </w:r>
    </w:p>
    <w:p w14:paraId="14DD888C" w14:textId="43744432" w:rsidR="00533D31" w:rsidRPr="00092A03" w:rsidRDefault="00BE303D" w:rsidP="00D81961">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w:t>
      </w:r>
      <w:bookmarkStart w:id="3" w:name="_Ref321211780"/>
      <w:bookmarkStart w:id="4" w:name="_Ref321211800"/>
      <w:bookmarkStart w:id="5" w:name="_Ref321212045"/>
      <w:r w:rsidR="001501A1" w:rsidRPr="00092A03">
        <w:rPr>
          <w:rFonts w:ascii="ITC Avant Garde" w:hAnsi="ITC Avant Garde"/>
          <w:lang w:val="es-ES"/>
        </w:rPr>
        <w:t xml:space="preserve">Se modelará </w:t>
      </w:r>
      <w:r w:rsidR="00533D31" w:rsidRPr="00092A03">
        <w:rPr>
          <w:rFonts w:ascii="ITC Avant Garde" w:hAnsi="ITC Avant Garde"/>
          <w:lang w:val="es-ES"/>
        </w:rPr>
        <w:t>niveles de cobertura geográfica comparables con los ofrecidos por el operador fijo nacional y los tres operadores móviles de alcance nacional en México</w:t>
      </w:r>
      <w:r w:rsidR="005C15E0" w:rsidRPr="00092A03">
        <w:rPr>
          <w:rFonts w:ascii="ITC Avant Garde" w:hAnsi="ITC Avant Garde"/>
          <w:lang w:val="es-ES"/>
        </w:rPr>
        <w:t xml:space="preserve">. En el caso del modelo fijo, se modelará una </w:t>
      </w:r>
      <w:r w:rsidR="007724C2" w:rsidRPr="00092A03">
        <w:rPr>
          <w:rFonts w:ascii="ITC Avant Garde" w:hAnsi="ITC Avant Garde"/>
          <w:lang w:val="es-ES"/>
        </w:rPr>
        <w:t>cobertura nacional</w:t>
      </w:r>
      <w:r w:rsidR="005C15E0" w:rsidRPr="00092A03">
        <w:rPr>
          <w:rFonts w:ascii="ITC Avant Garde" w:hAnsi="ITC Avant Garde"/>
          <w:lang w:val="es-ES"/>
        </w:rPr>
        <w:t xml:space="preserve">, mientras que </w:t>
      </w:r>
      <w:r w:rsidR="001501A1" w:rsidRPr="00092A03">
        <w:rPr>
          <w:rFonts w:ascii="ITC Avant Garde" w:hAnsi="ITC Avant Garde"/>
          <w:lang w:val="es-ES"/>
        </w:rPr>
        <w:t>para el modelo móvil</w:t>
      </w:r>
      <w:r w:rsidR="005C15E0" w:rsidRPr="00092A03">
        <w:rPr>
          <w:rFonts w:ascii="ITC Avant Garde" w:hAnsi="ITC Avant Garde"/>
          <w:lang w:val="es-ES"/>
        </w:rPr>
        <w:t xml:space="preserve"> se modelará una cobertura </w:t>
      </w:r>
      <w:r w:rsidR="00FE6F10" w:rsidRPr="00092A03">
        <w:rPr>
          <w:rFonts w:ascii="ITC Avant Garde" w:hAnsi="ITC Avant Garde"/>
          <w:lang w:val="es-ES"/>
        </w:rPr>
        <w:t xml:space="preserve">de servicios de voz en 2G </w:t>
      </w:r>
      <w:r w:rsidR="005C15E0" w:rsidRPr="00092A03">
        <w:rPr>
          <w:rFonts w:ascii="ITC Avant Garde" w:hAnsi="ITC Avant Garde"/>
          <w:lang w:val="es-ES"/>
        </w:rPr>
        <w:t xml:space="preserve">del </w:t>
      </w:r>
      <w:r w:rsidR="004275C0" w:rsidRPr="00092A03">
        <w:rPr>
          <w:rFonts w:ascii="ITC Avant Garde" w:hAnsi="ITC Avant Garde"/>
          <w:lang w:val="es-ES"/>
        </w:rPr>
        <w:t>94</w:t>
      </w:r>
      <w:r w:rsidR="005C15E0" w:rsidRPr="00092A03">
        <w:rPr>
          <w:rFonts w:ascii="ITC Avant Garde" w:hAnsi="ITC Avant Garde"/>
          <w:lang w:val="es-ES"/>
        </w:rPr>
        <w:t>%</w:t>
      </w:r>
      <w:r w:rsidR="00C51B33" w:rsidRPr="00092A03">
        <w:rPr>
          <w:rFonts w:ascii="ITC Avant Garde" w:hAnsi="ITC Avant Garde"/>
          <w:lang w:val="es-ES"/>
        </w:rPr>
        <w:t xml:space="preserve"> </w:t>
      </w:r>
      <w:r w:rsidR="00315420" w:rsidRPr="00092A03">
        <w:rPr>
          <w:rFonts w:ascii="ITC Avant Garde" w:hAnsi="ITC Avant Garde"/>
          <w:lang w:val="es-ES"/>
        </w:rPr>
        <w:t xml:space="preserve">para el operador </w:t>
      </w:r>
      <w:r w:rsidR="005D7223" w:rsidRPr="00092A03">
        <w:rPr>
          <w:rFonts w:ascii="ITC Avant Garde" w:hAnsi="ITC Avant Garde"/>
          <w:lang w:val="es-ES"/>
        </w:rPr>
        <w:t xml:space="preserve">preponderante </w:t>
      </w:r>
      <w:r w:rsidR="00315420" w:rsidRPr="00092A03">
        <w:rPr>
          <w:rFonts w:ascii="ITC Avant Garde" w:hAnsi="ITC Avant Garde"/>
          <w:lang w:val="es-ES"/>
        </w:rPr>
        <w:t>y del 89%</w:t>
      </w:r>
      <w:r w:rsidR="00C51B33" w:rsidRPr="00092A03">
        <w:rPr>
          <w:rFonts w:ascii="ITC Avant Garde" w:hAnsi="ITC Avant Garde"/>
          <w:lang w:val="es-ES"/>
        </w:rPr>
        <w:t xml:space="preserve"> </w:t>
      </w:r>
      <w:r w:rsidR="00315420" w:rsidRPr="00092A03">
        <w:rPr>
          <w:rFonts w:ascii="ITC Avant Garde" w:hAnsi="ITC Avant Garde"/>
          <w:lang w:val="es-ES"/>
        </w:rPr>
        <w:t xml:space="preserve">para el operador </w:t>
      </w:r>
      <w:r w:rsidR="000C550F" w:rsidRPr="00092A03">
        <w:rPr>
          <w:rFonts w:ascii="ITC Avant Garde" w:hAnsi="ITC Avant Garde"/>
          <w:lang w:val="es-ES"/>
        </w:rPr>
        <w:t>no</w:t>
      </w:r>
      <w:r w:rsidR="00A25B3B" w:rsidRPr="00092A03">
        <w:rPr>
          <w:rFonts w:ascii="ITC Avant Garde" w:hAnsi="ITC Avant Garde"/>
          <w:lang w:val="es-ES"/>
        </w:rPr>
        <w:t xml:space="preserve"> </w:t>
      </w:r>
      <w:r w:rsidR="000C550F" w:rsidRPr="00092A03">
        <w:rPr>
          <w:rFonts w:ascii="ITC Avant Garde" w:hAnsi="ITC Avant Garde"/>
          <w:lang w:val="es-ES"/>
        </w:rPr>
        <w:t>preponderante</w:t>
      </w:r>
      <w:r w:rsidR="00533D31" w:rsidRPr="00092A03">
        <w:rPr>
          <w:rFonts w:ascii="ITC Avant Garde" w:hAnsi="ITC Avant Garde"/>
          <w:lang w:val="es-ES"/>
        </w:rPr>
        <w:t>.</w:t>
      </w:r>
    </w:p>
    <w:p w14:paraId="11CC1357" w14:textId="77777777" w:rsidR="0043090F" w:rsidRPr="00092A03" w:rsidRDefault="00F35F0C" w:rsidP="0043090F">
      <w:pPr>
        <w:pStyle w:val="Ttulo4"/>
        <w:rPr>
          <w:rFonts w:ascii="ITC Avant Garde" w:hAnsi="ITC Avant Garde"/>
        </w:rPr>
      </w:pPr>
      <w:bookmarkStart w:id="6" w:name="_Toc329082815"/>
      <w:bookmarkStart w:id="7" w:name="_Toc329082958"/>
      <w:bookmarkStart w:id="8" w:name="_Toc329109180"/>
      <w:bookmarkStart w:id="9" w:name="_Toc329109218"/>
      <w:bookmarkStart w:id="10" w:name="_Ref329541606"/>
      <w:bookmarkEnd w:id="6"/>
      <w:bookmarkEnd w:id="7"/>
      <w:bookmarkEnd w:id="8"/>
      <w:bookmarkEnd w:id="9"/>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5D0EB816" w14:textId="792408F6" w:rsidR="000D6224" w:rsidRPr="00092A03" w:rsidRDefault="00AF4E55" w:rsidP="00AF4E55">
      <w:pPr>
        <w:rPr>
          <w:rFonts w:ascii="ITC Avant Garde" w:hAnsi="ITC Avant Garde"/>
          <w:lang w:val="es-ES"/>
        </w:rPr>
      </w:pPr>
      <w:r w:rsidRPr="00092A03">
        <w:rPr>
          <w:rFonts w:ascii="ITC Avant Garde" w:hAnsi="ITC Avant Garde"/>
          <w:lang w:val="es-ES"/>
        </w:rPr>
        <w:t xml:space="preserve">Mega Cable considera que la consistencia entre los modelos fijo y móvil debe buscarse con respecto a otros aspectos que sí son comparables, pero no con respecto a la cobertura de los operadores modelados. </w:t>
      </w:r>
      <w:r w:rsidR="00C95979" w:rsidRPr="00092A03">
        <w:rPr>
          <w:rFonts w:ascii="ITC Avant Garde" w:hAnsi="ITC Avant Garde"/>
          <w:lang w:val="es-ES"/>
        </w:rPr>
        <w:t>Mega Cable</w:t>
      </w:r>
      <w:r w:rsidRPr="00092A03">
        <w:rPr>
          <w:rFonts w:ascii="ITC Avant Garde" w:hAnsi="ITC Avant Garde"/>
          <w:lang w:val="es-ES"/>
        </w:rPr>
        <w:t xml:space="preserve"> indica que las redes fijas enfrentan importantes limita</w:t>
      </w:r>
      <w:r w:rsidR="006C4EBC" w:rsidRPr="00092A03">
        <w:rPr>
          <w:rFonts w:ascii="ITC Avant Garde" w:hAnsi="ITC Avant Garde"/>
          <w:lang w:val="es-ES"/>
        </w:rPr>
        <w:t>ciones</w:t>
      </w:r>
      <w:r w:rsidRPr="00092A03">
        <w:rPr>
          <w:rFonts w:ascii="ITC Avant Garde" w:hAnsi="ITC Avant Garde"/>
          <w:lang w:val="es-ES"/>
        </w:rPr>
        <w:t xml:space="preserve"> económicas, técnicas y también normativas (autorizaciones, permisos, derechos de paso, etc.) para expandir la cobertura de sus redes. De hecho,</w:t>
      </w:r>
      <w:r w:rsidR="006C4EBC" w:rsidRPr="00092A03">
        <w:rPr>
          <w:rFonts w:ascii="ITC Avant Garde" w:hAnsi="ITC Avant Garde"/>
          <w:lang w:val="es-ES"/>
        </w:rPr>
        <w:t xml:space="preserve"> mencionan que</w:t>
      </w:r>
      <w:r w:rsidRPr="00092A03">
        <w:rPr>
          <w:rFonts w:ascii="ITC Avant Garde" w:hAnsi="ITC Avant Garde"/>
          <w:lang w:val="es-ES"/>
        </w:rPr>
        <w:t xml:space="preserve"> 1a literatura económica de las telecomunicaciones establece que frecuentemente distintos elementos de red del operador </w:t>
      </w:r>
      <w:proofErr w:type="spellStart"/>
      <w:r w:rsidRPr="00092A03">
        <w:rPr>
          <w:rFonts w:ascii="ITC Avant Garde" w:hAnsi="ITC Avant Garde"/>
          <w:lang w:val="es-ES"/>
        </w:rPr>
        <w:t>incumbente</w:t>
      </w:r>
      <w:proofErr w:type="spellEnd"/>
      <w:r w:rsidRPr="00092A03">
        <w:rPr>
          <w:rFonts w:ascii="ITC Avant Garde" w:hAnsi="ITC Avant Garde"/>
          <w:lang w:val="es-ES"/>
        </w:rPr>
        <w:t xml:space="preserve"> constituyen insumos esenciales debido a la imposibilidad económica y técnica de ser replicarlos por otros operadores. Por tanto, </w:t>
      </w:r>
      <w:r w:rsidR="000D6224" w:rsidRPr="00092A03">
        <w:rPr>
          <w:rFonts w:ascii="ITC Avant Garde" w:hAnsi="ITC Avant Garde"/>
          <w:lang w:val="es-ES"/>
        </w:rPr>
        <w:t>Mega Cable</w:t>
      </w:r>
      <w:r w:rsidR="00C95979" w:rsidRPr="00092A03">
        <w:rPr>
          <w:rFonts w:ascii="ITC Avant Garde" w:hAnsi="ITC Avant Garde"/>
          <w:lang w:val="es-ES"/>
        </w:rPr>
        <w:t xml:space="preserve"> </w:t>
      </w:r>
      <w:r w:rsidR="000D6224" w:rsidRPr="00092A03">
        <w:rPr>
          <w:rFonts w:ascii="ITC Avant Garde" w:hAnsi="ITC Avant Garde"/>
          <w:lang w:val="es-ES"/>
        </w:rPr>
        <w:t>opina que la cobertura del operador fijo no preponderante debería ajustarse a la realidad de la estructura de mercado y de la cobertura de las redes de los operadores distintos a Telmex.</w:t>
      </w:r>
    </w:p>
    <w:p w14:paraId="5AF8BB8C" w14:textId="77777777" w:rsidR="00A76193" w:rsidRPr="00092A03" w:rsidRDefault="00D33E63" w:rsidP="00A76193">
      <w:pPr>
        <w:rPr>
          <w:rFonts w:ascii="ITC Avant Garde" w:hAnsi="ITC Avant Garde"/>
          <w:lang w:val="es-ES"/>
        </w:rPr>
      </w:pPr>
      <w:r w:rsidRPr="00092A03">
        <w:rPr>
          <w:rFonts w:ascii="ITC Avant Garde" w:hAnsi="ITC Avant Garde"/>
          <w:lang w:val="es-ES"/>
        </w:rPr>
        <w:t xml:space="preserve">Por otro lado, </w:t>
      </w:r>
      <w:r w:rsidR="00A56EBA" w:rsidRPr="00092A03">
        <w:rPr>
          <w:rFonts w:ascii="ITC Avant Garde" w:hAnsi="ITC Avant Garde"/>
          <w:lang w:val="es-ES"/>
        </w:rPr>
        <w:t>Telefónica sugiere que se mencionen en la documentación los niveles de cobertura 3G y 4G y se tengan en cuenta los datos proporcionados por Telefónica México. Telefónica cree que el modelo debe incluir datos similares de cobertura 2G y 3G a los de los operadores móviles mexicanos no preponderantes. Menciona que en el modelo 2018 se incluyen niveles de cobertura superiores, tanto 2G, 3G como 4G.</w:t>
      </w:r>
      <w:r w:rsidR="000B169C" w:rsidRPr="00092A03">
        <w:rPr>
          <w:rFonts w:ascii="ITC Avant Garde" w:hAnsi="ITC Avant Garde"/>
          <w:lang w:val="es-ES"/>
        </w:rPr>
        <w:t xml:space="preserve"> Asimismo, Telefónica manifiesta que tanto la curva de cobertura como el objetivo de cobertura no son razonables.</w:t>
      </w:r>
    </w:p>
    <w:p w14:paraId="07AF2135" w14:textId="77777777" w:rsidR="00A76193" w:rsidRPr="00945271" w:rsidRDefault="002B648A" w:rsidP="00A56546">
      <w:pPr>
        <w:rPr>
          <w:rFonts w:ascii="ITC Avant Garde" w:hAnsi="ITC Avant Garde"/>
          <w:b/>
          <w:i/>
          <w:lang w:val="es-ES"/>
        </w:rPr>
      </w:pPr>
      <w:r w:rsidRPr="00945271">
        <w:rPr>
          <w:rFonts w:ascii="ITC Avant Garde" w:hAnsi="ITC Avant Garde"/>
          <w:b/>
          <w:i/>
          <w:lang w:val="es-ES"/>
        </w:rPr>
        <w:t>Consideraciones del Instituto</w:t>
      </w:r>
    </w:p>
    <w:p w14:paraId="418D7E26" w14:textId="4E166051" w:rsidR="00A56546" w:rsidRPr="00092A03" w:rsidRDefault="006B0365" w:rsidP="00A56546">
      <w:pPr>
        <w:rPr>
          <w:rFonts w:ascii="ITC Avant Garde" w:hAnsi="ITC Avant Garde"/>
          <w:spacing w:val="-4"/>
          <w:lang w:val="es-ES"/>
        </w:rPr>
      </w:pPr>
      <w:r w:rsidRPr="00092A03">
        <w:rPr>
          <w:rFonts w:ascii="ITC Avant Garde" w:hAnsi="ITC Avant Garde"/>
          <w:spacing w:val="-4"/>
          <w:lang w:val="es-ES"/>
        </w:rPr>
        <w:t>Mega Cable</w:t>
      </w:r>
      <w:r w:rsidR="00A56546" w:rsidRPr="00092A03">
        <w:rPr>
          <w:rFonts w:ascii="ITC Avant Garde" w:hAnsi="ITC Avant Garde"/>
          <w:spacing w:val="-4"/>
          <w:lang w:val="es-ES"/>
        </w:rPr>
        <w:t xml:space="preserve"> sugiere que la cobertura del operador fijo no preponderante debería ajustarse a la realidad de la estructura de mercado y de la cobertura de las redes de los operadores distintos a Telmex.</w:t>
      </w:r>
      <w:r w:rsidR="003B1815" w:rsidRPr="00092A03">
        <w:rPr>
          <w:rFonts w:ascii="ITC Avant Garde" w:hAnsi="ITC Avant Garde"/>
          <w:spacing w:val="-4"/>
          <w:lang w:val="es-ES"/>
        </w:rPr>
        <w:t xml:space="preserve"> Sin embargo,</w:t>
      </w:r>
      <w:r w:rsidR="00A56546" w:rsidRPr="00092A03">
        <w:rPr>
          <w:rFonts w:ascii="ITC Avant Garde" w:hAnsi="ITC Avant Garde"/>
          <w:spacing w:val="-4"/>
          <w:lang w:val="es-ES"/>
        </w:rPr>
        <w:t xml:space="preserve"> </w:t>
      </w:r>
      <w:r w:rsidR="003B1815" w:rsidRPr="00092A03">
        <w:rPr>
          <w:rFonts w:ascii="ITC Avant Garde" w:hAnsi="ITC Avant Garde"/>
          <w:spacing w:val="-4"/>
          <w:lang w:val="es-ES"/>
        </w:rPr>
        <w:t>l</w:t>
      </w:r>
      <w:r w:rsidR="00A56546" w:rsidRPr="00092A03">
        <w:rPr>
          <w:rFonts w:ascii="ITC Avant Garde" w:hAnsi="ITC Avant Garde"/>
          <w:spacing w:val="-4"/>
          <w:lang w:val="es-ES"/>
        </w:rPr>
        <w:t xml:space="preserve">a posición competitiva de los operadores alternativos en sus regiones respectivas no refleja las bajas cuotas de mercado que se observan a nivel nacional. En efecto, </w:t>
      </w:r>
      <w:r w:rsidR="00B03CBF" w:rsidRPr="00092A03">
        <w:rPr>
          <w:rFonts w:ascii="ITC Avant Garde" w:hAnsi="ITC Avant Garde"/>
          <w:spacing w:val="-4"/>
          <w:lang w:val="es-ES"/>
        </w:rPr>
        <w:t xml:space="preserve">no es inusual que </w:t>
      </w:r>
      <w:r w:rsidR="00A56546" w:rsidRPr="00092A03">
        <w:rPr>
          <w:rFonts w:ascii="ITC Avant Garde" w:hAnsi="ITC Avant Garde"/>
          <w:spacing w:val="-4"/>
          <w:lang w:val="es-ES"/>
        </w:rPr>
        <w:t>dichos operadores represent</w:t>
      </w:r>
      <w:r w:rsidR="00B03CBF" w:rsidRPr="00092A03">
        <w:rPr>
          <w:rFonts w:ascii="ITC Avant Garde" w:hAnsi="ITC Avant Garde"/>
          <w:spacing w:val="-4"/>
          <w:lang w:val="es-ES"/>
        </w:rPr>
        <w:t>e</w:t>
      </w:r>
      <w:r w:rsidR="00A56546" w:rsidRPr="00092A03">
        <w:rPr>
          <w:rFonts w:ascii="ITC Avant Garde" w:hAnsi="ITC Avant Garde"/>
          <w:spacing w:val="-4"/>
          <w:lang w:val="es-ES"/>
        </w:rPr>
        <w:t xml:space="preserve">n una alternativa realista al AEP a pesar de su limitada cobertura. Observado de forma global, la suma de coberturas de dichos operadores refleja el ámbito de actuación de </w:t>
      </w:r>
      <w:r w:rsidR="00A56546" w:rsidRPr="00092A03">
        <w:rPr>
          <w:rFonts w:ascii="ITC Avant Garde" w:hAnsi="ITC Avant Garde"/>
          <w:spacing w:val="-4"/>
          <w:lang w:val="es-ES"/>
        </w:rPr>
        <w:lastRenderedPageBreak/>
        <w:t>un operador que actúe a nivel nacional. De ahí la elección de un operador alternativo con cobertura nacional.</w:t>
      </w:r>
    </w:p>
    <w:p w14:paraId="6C2D565D" w14:textId="77777777" w:rsidR="00A56546" w:rsidRPr="00092A03" w:rsidRDefault="00A56546" w:rsidP="00A56546">
      <w:pPr>
        <w:rPr>
          <w:rFonts w:ascii="ITC Avant Garde" w:hAnsi="ITC Avant Garde"/>
          <w:spacing w:val="-4"/>
          <w:lang w:val="es-ES"/>
        </w:rPr>
      </w:pPr>
      <w:r w:rsidRPr="00092A03">
        <w:rPr>
          <w:rFonts w:ascii="ITC Avant Garde" w:hAnsi="ITC Avant Garde"/>
          <w:spacing w:val="-4"/>
          <w:lang w:val="es-ES"/>
        </w:rPr>
        <w:t xml:space="preserve">Adicionalmente, si una cobertura de ámbito inferior al nacional fuese a redundar en diferencias de costos considerables y </w:t>
      </w:r>
      <w:proofErr w:type="gramStart"/>
      <w:r w:rsidRPr="00092A03">
        <w:rPr>
          <w:rFonts w:ascii="ITC Avant Garde" w:hAnsi="ITC Avant Garde"/>
          <w:spacing w:val="-4"/>
          <w:lang w:val="es-ES"/>
        </w:rPr>
        <w:t>exógenas</w:t>
      </w:r>
      <w:proofErr w:type="gramEnd"/>
      <w:r w:rsidRPr="00092A03">
        <w:rPr>
          <w:rFonts w:ascii="ITC Avant Garde" w:hAnsi="ITC Avant Garde"/>
          <w:spacing w:val="-4"/>
          <w:lang w:val="es-ES"/>
        </w:rPr>
        <w:t xml:space="preserve"> en las redes fijas, podría argumentarse a favor de modelar la cobertura de menor ámbito. Sin embargo, los operadores alternativos de cable no están limitados por factores exógenos para ampliar su cobertura, ya que pueden expandir sus redes o fusionarse con otros operadores. En efecto, operadores alternativos como Axtel parecen haber lanzado operaciones comerciales en zonas específicas a pesar de tener licencias de operación nacionales, mientras que los operadores de cable han ido expandiendo su cobertura mediante la adquisición de licencias adicionales en ciudades y regiones de interés. Por lo tanto, no es probable que se reflejen costos distintos a nivel regional por economías de escala geográficas menores a los costos de un operador eficiente nacional. En conclusión, la cobertura del operador no preponderante fijo no es tan relevante a efectos del costeo como lo son los volúmenes de terminación.</w:t>
      </w:r>
    </w:p>
    <w:p w14:paraId="22571078" w14:textId="77777777" w:rsidR="0043090F" w:rsidRPr="00092A03" w:rsidRDefault="005F0232" w:rsidP="00E2652C">
      <w:pPr>
        <w:rPr>
          <w:rFonts w:ascii="ITC Avant Garde" w:hAnsi="ITC Avant Garde"/>
          <w:lang w:val="es-ES"/>
        </w:rPr>
      </w:pPr>
      <w:r w:rsidRPr="00092A03">
        <w:rPr>
          <w:rFonts w:ascii="ITC Avant Garde" w:hAnsi="ITC Avant Garde"/>
          <w:spacing w:val="-4"/>
          <w:lang w:val="es-ES"/>
        </w:rPr>
        <w:t xml:space="preserve">En cuanto al comentario con respecto a los niveles de cobertura incluidos en el modelo 2018, subrayar que se han tenido en cuenta los datos proporcionados por todos los operadores móviles. La evolución de las redes móviles en México en los últimos años, así como la consolidación observada en el mercado, resultan en la necesidad de unos niveles de cobertura sensiblemente superiores. </w:t>
      </w:r>
      <w:r w:rsidR="008E1FFB" w:rsidRPr="00092A03">
        <w:rPr>
          <w:rFonts w:ascii="ITC Avant Garde" w:hAnsi="ITC Avant Garde"/>
          <w:spacing w:val="-4"/>
          <w:lang w:val="es-ES"/>
        </w:rPr>
        <w:t xml:space="preserve">Se ha revisado </w:t>
      </w:r>
      <w:r w:rsidR="00E63A79" w:rsidRPr="00092A03">
        <w:rPr>
          <w:rFonts w:ascii="ITC Avant Garde" w:hAnsi="ITC Avant Garde"/>
          <w:spacing w:val="-4"/>
          <w:lang w:val="es-ES"/>
        </w:rPr>
        <w:t xml:space="preserve">ligeramente </w:t>
      </w:r>
      <w:r w:rsidR="008E1FFB" w:rsidRPr="00092A03">
        <w:rPr>
          <w:rFonts w:ascii="ITC Avant Garde" w:hAnsi="ITC Avant Garde"/>
          <w:spacing w:val="-4"/>
          <w:lang w:val="es-ES"/>
        </w:rPr>
        <w:t>los niveles de cobertura en vista de nuevo</w:t>
      </w:r>
      <w:r w:rsidR="00E63A79" w:rsidRPr="00092A03">
        <w:rPr>
          <w:rFonts w:ascii="ITC Avant Garde" w:hAnsi="ITC Avant Garde"/>
          <w:spacing w:val="-4"/>
          <w:lang w:val="es-ES"/>
        </w:rPr>
        <w:t>s</w:t>
      </w:r>
      <w:r w:rsidR="008E1FFB" w:rsidRPr="00092A03">
        <w:rPr>
          <w:rFonts w:ascii="ITC Avant Garde" w:hAnsi="ITC Avant Garde"/>
          <w:spacing w:val="-4"/>
          <w:lang w:val="es-ES"/>
        </w:rPr>
        <w:t xml:space="preserve"> dato</w:t>
      </w:r>
      <w:r w:rsidR="00E63A79" w:rsidRPr="00092A03">
        <w:rPr>
          <w:rFonts w:ascii="ITC Avant Garde" w:hAnsi="ITC Avant Garde"/>
          <w:spacing w:val="-4"/>
          <w:lang w:val="es-ES"/>
        </w:rPr>
        <w:t>s</w:t>
      </w:r>
      <w:r w:rsidR="008E1FFB" w:rsidRPr="00092A03">
        <w:rPr>
          <w:rFonts w:ascii="ITC Avant Garde" w:hAnsi="ITC Avant Garde"/>
          <w:spacing w:val="-4"/>
          <w:lang w:val="es-ES"/>
        </w:rPr>
        <w:t xml:space="preserve"> provisto</w:t>
      </w:r>
      <w:r w:rsidR="00E63A79" w:rsidRPr="00092A03">
        <w:rPr>
          <w:rFonts w:ascii="ITC Avant Garde" w:hAnsi="ITC Avant Garde"/>
          <w:spacing w:val="-4"/>
          <w:lang w:val="es-ES"/>
        </w:rPr>
        <w:t>s</w:t>
      </w:r>
      <w:r w:rsidR="008E1FFB" w:rsidRPr="00092A03">
        <w:rPr>
          <w:rFonts w:ascii="ITC Avant Garde" w:hAnsi="ITC Avant Garde"/>
          <w:spacing w:val="-4"/>
          <w:lang w:val="es-ES"/>
        </w:rPr>
        <w:t xml:space="preserve"> por </w:t>
      </w:r>
      <w:r w:rsidR="00A6534F" w:rsidRPr="00092A03">
        <w:rPr>
          <w:rFonts w:ascii="ITC Avant Garde" w:hAnsi="ITC Avant Garde"/>
          <w:spacing w:val="-4"/>
          <w:lang w:val="es-ES"/>
        </w:rPr>
        <w:t xml:space="preserve">los </w:t>
      </w:r>
      <w:r w:rsidR="008E1FFB" w:rsidRPr="00092A03">
        <w:rPr>
          <w:rFonts w:ascii="ITC Avant Garde" w:hAnsi="ITC Avant Garde"/>
          <w:spacing w:val="-4"/>
          <w:lang w:val="es-ES"/>
        </w:rPr>
        <w:t>operador</w:t>
      </w:r>
      <w:r w:rsidR="00A6534F" w:rsidRPr="00092A03">
        <w:rPr>
          <w:rFonts w:ascii="ITC Avant Garde" w:hAnsi="ITC Avant Garde"/>
          <w:spacing w:val="-4"/>
          <w:lang w:val="es-ES"/>
        </w:rPr>
        <w:t>es</w:t>
      </w:r>
      <w:r w:rsidR="00E63A79" w:rsidRPr="00092A03">
        <w:rPr>
          <w:rFonts w:ascii="ITC Avant Garde" w:hAnsi="ITC Avant Garde"/>
          <w:spacing w:val="-4"/>
          <w:lang w:val="es-ES"/>
        </w:rPr>
        <w:t xml:space="preserve">, y se ha incluido </w:t>
      </w:r>
      <w:r w:rsidRPr="00092A03">
        <w:rPr>
          <w:rFonts w:ascii="ITC Avant Garde" w:hAnsi="ITC Avant Garde"/>
          <w:spacing w:val="-4"/>
          <w:lang w:val="es-ES"/>
        </w:rPr>
        <w:t xml:space="preserve">en el </w:t>
      </w:r>
      <w:r w:rsidR="00E63A79" w:rsidRPr="00092A03">
        <w:rPr>
          <w:rFonts w:ascii="ITC Avant Garde" w:hAnsi="ITC Avant Garde"/>
          <w:spacing w:val="-4"/>
          <w:lang w:val="es-ES"/>
        </w:rPr>
        <w:t xml:space="preserve">Concepto 2 </w:t>
      </w:r>
      <w:r w:rsidRPr="00092A03">
        <w:rPr>
          <w:rFonts w:ascii="ITC Avant Garde" w:hAnsi="ITC Avant Garde"/>
          <w:spacing w:val="-4"/>
          <w:lang w:val="es-ES"/>
        </w:rPr>
        <w:t>los valores de cobertura 3G y 4G para una mejor comprensión del enfoque conceptual.</w:t>
      </w:r>
    </w:p>
    <w:p w14:paraId="4DA81246" w14:textId="77777777" w:rsidR="00D81961" w:rsidRPr="00092A03" w:rsidRDefault="0043475A" w:rsidP="002B648A">
      <w:pPr>
        <w:pStyle w:val="Ttulo2"/>
        <w:numPr>
          <w:ilvl w:val="0"/>
          <w:numId w:val="0"/>
        </w:numPr>
        <w:rPr>
          <w:rFonts w:ascii="ITC Avant Garde" w:hAnsi="ITC Avant Garde"/>
          <w:lang w:val="es-MX"/>
        </w:rPr>
      </w:pPr>
      <w:bookmarkStart w:id="11" w:name="_Ref321211127"/>
      <w:bookmarkEnd w:id="3"/>
      <w:bookmarkEnd w:id="4"/>
      <w:bookmarkEnd w:id="5"/>
      <w:bookmarkEnd w:id="10"/>
      <w:r w:rsidRPr="00092A03">
        <w:rPr>
          <w:rFonts w:ascii="ITC Avant Garde" w:hAnsi="ITC Avant Garde"/>
          <w:lang w:val="es-MX"/>
        </w:rPr>
        <w:t>Concepto propuesto</w:t>
      </w:r>
      <w:r w:rsidR="003216F4"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3</w:t>
      </w:r>
      <w:r w:rsidR="00CB05BF" w:rsidRPr="00092A03">
        <w:rPr>
          <w:rFonts w:ascii="ITC Avant Garde" w:hAnsi="ITC Avant Garde"/>
        </w:rPr>
        <w:fldChar w:fldCharType="end"/>
      </w:r>
    </w:p>
    <w:p w14:paraId="485B632B" w14:textId="43D1EFBB" w:rsidR="00315420" w:rsidRPr="00092A03" w:rsidRDefault="00551F63" w:rsidP="00D81961">
      <w:pPr>
        <w:pStyle w:val="B1"/>
        <w:pBdr>
          <w:top w:val="single" w:sz="4" w:space="2" w:color="D9D9D9" w:themeColor="background1" w:themeShade="D9"/>
          <w:bottom w:val="single" w:sz="4" w:space="5" w:color="D9D9D9" w:themeColor="background1" w:themeShade="D9"/>
        </w:pBdr>
        <w:spacing w:after="0"/>
        <w:ind w:left="0" w:right="0"/>
        <w:rPr>
          <w:rFonts w:ascii="ITC Avant Garde" w:hAnsi="ITC Avant Garde"/>
          <w:lang w:val="es-ES"/>
        </w:rPr>
      </w:pPr>
      <w:r w:rsidRPr="00092A03">
        <w:rPr>
          <w:rFonts w:ascii="ITC Avant Garde" w:hAnsi="ITC Avant Garde"/>
          <w:lang w:val="es-ES"/>
        </w:rPr>
        <w:t>En el largo plazo, la</w:t>
      </w:r>
      <w:r w:rsidR="003B37C6" w:rsidRPr="00092A03">
        <w:rPr>
          <w:rFonts w:ascii="ITC Avant Garde" w:hAnsi="ITC Avant Garde"/>
          <w:lang w:val="es-ES"/>
        </w:rPr>
        <w:t>s</w:t>
      </w:r>
      <w:r w:rsidRPr="00092A03">
        <w:rPr>
          <w:rFonts w:ascii="ITC Avant Garde" w:hAnsi="ITC Avant Garde"/>
          <w:lang w:val="es-ES"/>
        </w:rPr>
        <w:t xml:space="preserve"> cuota</w:t>
      </w:r>
      <w:r w:rsidR="003B37C6" w:rsidRPr="00092A03">
        <w:rPr>
          <w:rFonts w:ascii="ITC Avant Garde" w:hAnsi="ITC Avant Garde"/>
          <w:lang w:val="es-ES"/>
        </w:rPr>
        <w:t>s</w:t>
      </w:r>
      <w:r w:rsidRPr="00092A03">
        <w:rPr>
          <w:rFonts w:ascii="ITC Avant Garde" w:hAnsi="ITC Avant Garde"/>
          <w:lang w:val="es-ES"/>
        </w:rPr>
        <w:t xml:space="preserve"> de mercado de los operadores hipotéticos existentes modelados </w:t>
      </w:r>
      <w:r w:rsidR="00315420" w:rsidRPr="00092A03">
        <w:rPr>
          <w:rFonts w:ascii="ITC Avant Garde" w:hAnsi="ITC Avant Garde"/>
          <w:lang w:val="es-ES"/>
        </w:rPr>
        <w:t>serán de:</w:t>
      </w:r>
    </w:p>
    <w:p w14:paraId="74F837D1" w14:textId="77777777" w:rsidR="00315420" w:rsidRPr="00092A03" w:rsidRDefault="00315420" w:rsidP="00794F2D">
      <w:pPr>
        <w:pStyle w:val="B1"/>
        <w:numPr>
          <w:ilvl w:val="0"/>
          <w:numId w:val="9"/>
        </w:numPr>
        <w:pBdr>
          <w:top w:val="single" w:sz="4" w:space="2" w:color="D9D9D9" w:themeColor="background1" w:themeShade="D9"/>
          <w:bottom w:val="single" w:sz="4" w:space="5" w:color="D9D9D9" w:themeColor="background1" w:themeShade="D9"/>
        </w:pBdr>
        <w:spacing w:after="0"/>
        <w:ind w:left="360" w:right="0"/>
        <w:rPr>
          <w:rFonts w:ascii="ITC Avant Garde" w:hAnsi="ITC Avant Garde"/>
          <w:lang w:val="es-ES"/>
        </w:rPr>
      </w:pPr>
      <w:r w:rsidRPr="00092A03">
        <w:rPr>
          <w:rFonts w:ascii="ITC Avant Garde" w:hAnsi="ITC Avant Garde"/>
          <w:lang w:val="es-ES"/>
        </w:rPr>
        <w:t>16% para el operador móvil alternativo</w:t>
      </w:r>
      <w:r w:rsidR="00955ABF" w:rsidRPr="00092A03">
        <w:rPr>
          <w:rFonts w:ascii="ITC Avant Garde" w:hAnsi="ITC Avant Garde"/>
          <w:lang w:val="es-ES"/>
        </w:rPr>
        <w:t xml:space="preserve"> hipotético no preponderante</w:t>
      </w:r>
      <w:r w:rsidRPr="00092A03">
        <w:rPr>
          <w:rFonts w:ascii="ITC Avant Garde" w:hAnsi="ITC Avant Garde"/>
          <w:lang w:val="es-ES"/>
        </w:rPr>
        <w:t xml:space="preserve">, correspondiente a la cuota de mercado asociado a un </w:t>
      </w:r>
      <w:r w:rsidRPr="00092A03">
        <w:rPr>
          <w:rFonts w:ascii="ITC Avant Garde" w:hAnsi="ITC Avant Garde"/>
          <w:spacing w:val="-4"/>
          <w:lang w:val="es-ES_tradnl"/>
        </w:rPr>
        <w:t xml:space="preserve">mercado de 3 operadores compuesto por </w:t>
      </w:r>
      <w:r w:rsidR="00EA7F26" w:rsidRPr="00092A03">
        <w:rPr>
          <w:rFonts w:ascii="ITC Avant Garde" w:hAnsi="ITC Avant Garde"/>
          <w:spacing w:val="-4"/>
          <w:lang w:val="es-ES_tradnl"/>
        </w:rPr>
        <w:t>un operador de escala y alcance d</w:t>
      </w:r>
      <w:r w:rsidRPr="00092A03">
        <w:rPr>
          <w:rFonts w:ascii="ITC Avant Garde" w:hAnsi="ITC Avant Garde"/>
          <w:spacing w:val="-4"/>
          <w:lang w:val="es-ES_tradnl"/>
        </w:rPr>
        <w:t xml:space="preserve">el </w:t>
      </w:r>
      <w:r w:rsidR="00EA7F26" w:rsidRPr="00092A03">
        <w:rPr>
          <w:rFonts w:ascii="ITC Avant Garde" w:hAnsi="ITC Avant Garde"/>
          <w:spacing w:val="-4"/>
          <w:lang w:val="es-ES_tradnl"/>
        </w:rPr>
        <w:t>AEP</w:t>
      </w:r>
      <w:r w:rsidRPr="00092A03">
        <w:rPr>
          <w:rFonts w:ascii="ITC Avant Garde" w:hAnsi="ITC Avant Garde"/>
          <w:spacing w:val="-4"/>
          <w:lang w:val="es-ES_tradnl"/>
        </w:rPr>
        <w:t xml:space="preserve"> y otros dos operadores alternativos que compiten por la cuota de mercado restante</w:t>
      </w:r>
      <w:r w:rsidR="00EE1155" w:rsidRPr="00092A03">
        <w:rPr>
          <w:rFonts w:ascii="ITC Avant Garde" w:hAnsi="ITC Avant Garde"/>
          <w:spacing w:val="-4"/>
          <w:lang w:val="es-ES_tradnl"/>
        </w:rPr>
        <w:t xml:space="preserve">, esto es, el </w:t>
      </w:r>
      <w:r w:rsidR="004462C1" w:rsidRPr="00092A03">
        <w:rPr>
          <w:rFonts w:ascii="ITC Avant Garde" w:hAnsi="ITC Avant Garde"/>
          <w:spacing w:val="-4"/>
          <w:lang w:val="es-ES_tradnl"/>
        </w:rPr>
        <w:t>32</w:t>
      </w:r>
      <w:r w:rsidR="00EE1155" w:rsidRPr="00092A03">
        <w:rPr>
          <w:rFonts w:ascii="ITC Avant Garde" w:hAnsi="ITC Avant Garde"/>
          <w:spacing w:val="-4"/>
          <w:lang w:val="es-ES_tradnl"/>
        </w:rPr>
        <w:t>%.</w:t>
      </w:r>
    </w:p>
    <w:p w14:paraId="71824CE7" w14:textId="77777777" w:rsidR="00315420" w:rsidRPr="00092A03" w:rsidRDefault="00315420" w:rsidP="00794F2D">
      <w:pPr>
        <w:pStyle w:val="B1"/>
        <w:numPr>
          <w:ilvl w:val="0"/>
          <w:numId w:val="9"/>
        </w:numPr>
        <w:pBdr>
          <w:top w:val="single" w:sz="4" w:space="2" w:color="D9D9D9" w:themeColor="background1" w:themeShade="D9"/>
          <w:bottom w:val="single" w:sz="4" w:space="5" w:color="D9D9D9" w:themeColor="background1" w:themeShade="D9"/>
        </w:pBdr>
        <w:spacing w:after="0"/>
        <w:ind w:left="360" w:right="0"/>
        <w:rPr>
          <w:rFonts w:ascii="ITC Avant Garde" w:hAnsi="ITC Avant Garde"/>
          <w:lang w:val="es-ES"/>
        </w:rPr>
      </w:pPr>
      <w:r w:rsidRPr="00092A03">
        <w:rPr>
          <w:rFonts w:ascii="ITC Avant Garde" w:hAnsi="ITC Avant Garde"/>
          <w:lang w:val="es-ES"/>
        </w:rPr>
        <w:t>6</w:t>
      </w:r>
      <w:r w:rsidR="009F2316" w:rsidRPr="00092A03">
        <w:rPr>
          <w:rFonts w:ascii="ITC Avant Garde" w:hAnsi="ITC Avant Garde"/>
          <w:lang w:val="es-ES"/>
        </w:rPr>
        <w:t>4</w:t>
      </w:r>
      <w:r w:rsidRPr="00092A03">
        <w:rPr>
          <w:rFonts w:ascii="ITC Avant Garde" w:hAnsi="ITC Avant Garde"/>
          <w:lang w:val="es-ES"/>
        </w:rPr>
        <w:t xml:space="preserve">% para el operador fijo </w:t>
      </w:r>
      <w:r w:rsidR="00492477" w:rsidRPr="00092A03">
        <w:rPr>
          <w:rFonts w:ascii="ITC Avant Garde" w:hAnsi="ITC Avant Garde"/>
          <w:lang w:val="es-ES"/>
        </w:rPr>
        <w:t>de escala y alcance del AEP</w:t>
      </w:r>
      <w:r w:rsidRPr="00092A03">
        <w:rPr>
          <w:rFonts w:ascii="ITC Avant Garde" w:hAnsi="ITC Avant Garde"/>
          <w:lang w:val="es-ES"/>
        </w:rPr>
        <w:t xml:space="preserve"> </w:t>
      </w:r>
    </w:p>
    <w:p w14:paraId="2ECD1D0D" w14:textId="77777777" w:rsidR="00315420" w:rsidRPr="00092A03" w:rsidRDefault="00315420" w:rsidP="00794F2D">
      <w:pPr>
        <w:pStyle w:val="B1"/>
        <w:numPr>
          <w:ilvl w:val="0"/>
          <w:numId w:val="9"/>
        </w:numPr>
        <w:pBdr>
          <w:top w:val="single" w:sz="4" w:space="2" w:color="D9D9D9" w:themeColor="background1" w:themeShade="D9"/>
          <w:bottom w:val="single" w:sz="4" w:space="5" w:color="D9D9D9" w:themeColor="background1" w:themeShade="D9"/>
        </w:pBdr>
        <w:spacing w:after="0"/>
        <w:ind w:left="360" w:right="0"/>
        <w:rPr>
          <w:rFonts w:ascii="ITC Avant Garde" w:hAnsi="ITC Avant Garde"/>
          <w:lang w:val="es-ES"/>
        </w:rPr>
      </w:pPr>
      <w:r w:rsidRPr="00092A03">
        <w:rPr>
          <w:rFonts w:ascii="ITC Avant Garde" w:hAnsi="ITC Avant Garde"/>
          <w:spacing w:val="-4"/>
          <w:lang w:val="es-ES_tradnl"/>
        </w:rPr>
        <w:t>3</w:t>
      </w:r>
      <w:r w:rsidR="009F2316" w:rsidRPr="00092A03">
        <w:rPr>
          <w:rFonts w:ascii="ITC Avant Garde" w:hAnsi="ITC Avant Garde"/>
          <w:spacing w:val="-4"/>
          <w:lang w:val="es-ES_tradnl"/>
        </w:rPr>
        <w:t>6</w:t>
      </w:r>
      <w:r w:rsidRPr="00092A03">
        <w:rPr>
          <w:rFonts w:ascii="ITC Avant Garde" w:hAnsi="ITC Avant Garde"/>
          <w:spacing w:val="-4"/>
          <w:lang w:val="es-ES_tradnl"/>
        </w:rPr>
        <w:t xml:space="preserve">% para el operador fijo alternativo, correspondiente a la cuota de mercado en un mercado </w:t>
      </w:r>
      <w:r w:rsidR="001C4E20" w:rsidRPr="00092A03">
        <w:rPr>
          <w:rFonts w:ascii="ITC Avant Garde" w:hAnsi="ITC Avant Garde"/>
          <w:spacing w:val="-4"/>
          <w:lang w:val="es-ES_tradnl"/>
        </w:rPr>
        <w:t>en el que se puede asumir que cada usuario tiene al menos dos opciones de operador</w:t>
      </w:r>
    </w:p>
    <w:p w14:paraId="6E4B7481" w14:textId="77777777" w:rsidR="00F40D15" w:rsidRPr="00092A03" w:rsidRDefault="00F35F0C" w:rsidP="00F40D15">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5FC1716C" w14:textId="569C3F0F" w:rsidR="00397F7A" w:rsidRPr="00092A03" w:rsidRDefault="00397F7A" w:rsidP="00397F7A">
      <w:pPr>
        <w:rPr>
          <w:rFonts w:ascii="ITC Avant Garde" w:hAnsi="ITC Avant Garde"/>
          <w:lang w:val="es-ES"/>
        </w:rPr>
      </w:pPr>
      <w:r w:rsidRPr="00092A03">
        <w:rPr>
          <w:rFonts w:ascii="ITC Avant Garde" w:hAnsi="ITC Avant Garde"/>
          <w:lang w:val="es-ES"/>
        </w:rPr>
        <w:t xml:space="preserve">Axtel, Telcel y Grupo Televisa mencionan que la participación del operador hipotético existente móvil debería evolucionar en el tiempo hacia una situación de </w:t>
      </w:r>
      <w:r w:rsidRPr="00092A03">
        <w:rPr>
          <w:rFonts w:ascii="ITC Avant Garde" w:hAnsi="ITC Avant Garde"/>
          <w:lang w:val="es-ES"/>
        </w:rPr>
        <w:lastRenderedPageBreak/>
        <w:t xml:space="preserve">mayor competencia, entre otras razones porque no aumentar esta cuota significaría que las medidas regulatorias encaminadas a fomentar competencia habrían tenido poca o nula efectividad para reducir la concentración del mercado entorno al operador dominante en el medio y largo plazo. </w:t>
      </w:r>
    </w:p>
    <w:p w14:paraId="1B29201E" w14:textId="2983553C" w:rsidR="00397F7A" w:rsidRPr="00092A03" w:rsidRDefault="00397F7A" w:rsidP="00397F7A">
      <w:pPr>
        <w:rPr>
          <w:rFonts w:ascii="ITC Avant Garde" w:hAnsi="ITC Avant Garde"/>
          <w:lang w:val="es-ES"/>
        </w:rPr>
      </w:pPr>
      <w:r w:rsidRPr="00092A03">
        <w:rPr>
          <w:rFonts w:ascii="ITC Avant Garde" w:hAnsi="ITC Avant Garde"/>
          <w:lang w:val="es-ES"/>
        </w:rPr>
        <w:t xml:space="preserve">En </w:t>
      </w:r>
      <w:r w:rsidR="00A5203C" w:rsidRPr="00092A03">
        <w:rPr>
          <w:rFonts w:ascii="ITC Avant Garde" w:hAnsi="ITC Avant Garde"/>
          <w:lang w:val="es-ES"/>
        </w:rPr>
        <w:t>cuanto</w:t>
      </w:r>
      <w:r w:rsidRPr="00092A03">
        <w:rPr>
          <w:rFonts w:ascii="ITC Avant Garde" w:hAnsi="ITC Avant Garde"/>
          <w:lang w:val="es-ES"/>
        </w:rPr>
        <w:t xml:space="preserve"> a la cuota de mercado del operador hipotético fijo, Mega Cable considera que la cuota de mercado del 36% a largo plazo del operador hipotético modelado para el operador fijo no preponderante no corresponde a la estructura de mercado de servicios de redes fijas, ni tampoco refleja la escala que tienen los operadores no preponderantes en México. En contraposición, Telmex/Telnor cree que se está sobreestimando el tamaño del agente económico preponderante, pues supone una participación de mercado de 64% cuando ésta muestra una tendencia decreciente, y se debería por tanto aumentar la cuota del operador hipotético existente.</w:t>
      </w:r>
    </w:p>
    <w:p w14:paraId="13C1D73F" w14:textId="69926168" w:rsidR="004C27D1" w:rsidRPr="00092A03" w:rsidRDefault="002B648A" w:rsidP="00E2652C">
      <w:pPr>
        <w:pStyle w:val="Ttulo4"/>
        <w:rPr>
          <w:rFonts w:ascii="ITC Avant Garde" w:hAnsi="ITC Avant Garde"/>
          <w:b/>
          <w:spacing w:val="-4"/>
          <w:lang w:val="es-ES"/>
        </w:rPr>
      </w:pPr>
      <w:r w:rsidRPr="00092A03">
        <w:rPr>
          <w:rFonts w:ascii="ITC Avant Garde" w:hAnsi="ITC Avant Garde"/>
          <w:b/>
          <w:lang w:val="es-ES"/>
        </w:rPr>
        <w:t>Consideraciones del Instituto</w:t>
      </w:r>
    </w:p>
    <w:p w14:paraId="0E6B5625" w14:textId="4F1EF55C" w:rsidR="00A5203C" w:rsidRPr="00092A03" w:rsidRDefault="00A5203C" w:rsidP="00EE3DC8">
      <w:pPr>
        <w:rPr>
          <w:rFonts w:ascii="ITC Avant Garde" w:hAnsi="ITC Avant Garde"/>
          <w:spacing w:val="-4"/>
          <w:lang w:val="es-ES"/>
        </w:rPr>
      </w:pPr>
      <w:r w:rsidRPr="00092A03">
        <w:rPr>
          <w:rFonts w:ascii="ITC Avant Garde" w:hAnsi="ITC Avant Garde"/>
          <w:spacing w:val="-4"/>
          <w:lang w:val="es-ES"/>
        </w:rPr>
        <w:t xml:space="preserve">Axtel, Telcel y Grupo Televisa creen que la participación del operador hipotético móvil debería evolucionar en el tiempo hacia una situación de mayor </w:t>
      </w:r>
      <w:r w:rsidR="0051642E" w:rsidRPr="00092A03">
        <w:rPr>
          <w:rFonts w:ascii="ITC Avant Garde" w:hAnsi="ITC Avant Garde"/>
          <w:spacing w:val="-4"/>
          <w:lang w:val="es-ES"/>
        </w:rPr>
        <w:t xml:space="preserve">competencia. En este respecto, se considera </w:t>
      </w:r>
      <w:r w:rsidRPr="00092A03">
        <w:rPr>
          <w:rFonts w:ascii="ITC Avant Garde" w:hAnsi="ITC Avant Garde"/>
          <w:spacing w:val="-4"/>
          <w:lang w:val="es-ES"/>
        </w:rPr>
        <w:t xml:space="preserve">sería posible únicamente en un mercado perfectamente competitivo. Sin embargo, la estabilidad observada en los últimos años en el mercado móvil mexicano no permite aventurar un ratio de incremento de la cuota de mercado de los operadores no preponderantes. </w:t>
      </w:r>
      <w:r w:rsidR="009066B7" w:rsidRPr="00092A03">
        <w:rPr>
          <w:rFonts w:ascii="ITC Avant Garde" w:hAnsi="ITC Avant Garde"/>
          <w:spacing w:val="-4"/>
          <w:lang w:val="es-ES"/>
        </w:rPr>
        <w:t>Adicionalmente</w:t>
      </w:r>
      <w:r w:rsidRPr="00092A03">
        <w:rPr>
          <w:rFonts w:ascii="ITC Avant Garde" w:hAnsi="ITC Avant Garde"/>
          <w:spacing w:val="-4"/>
          <w:lang w:val="es-ES"/>
        </w:rPr>
        <w:t>, la entrada de la red pública compartida de telecomunicaciones añade más incertidumbre a la estimación de la evolución de dicha cuota de mercado.</w:t>
      </w:r>
    </w:p>
    <w:p w14:paraId="46D47D24" w14:textId="77777777" w:rsidR="009066B7" w:rsidRPr="00092A03" w:rsidRDefault="00EE3DC8" w:rsidP="00EE3DC8">
      <w:pPr>
        <w:rPr>
          <w:rFonts w:ascii="ITC Avant Garde" w:hAnsi="ITC Avant Garde"/>
          <w:spacing w:val="-4"/>
          <w:lang w:val="es-ES"/>
        </w:rPr>
      </w:pPr>
      <w:r w:rsidRPr="00092A03">
        <w:rPr>
          <w:rFonts w:ascii="ITC Avant Garde" w:hAnsi="ITC Avant Garde"/>
          <w:spacing w:val="-4"/>
          <w:lang w:val="es-ES"/>
        </w:rPr>
        <w:t xml:space="preserve">Sobre la cuota de mercado del operador hipotético fijo </w:t>
      </w:r>
      <w:r w:rsidR="00557259" w:rsidRPr="00092A03">
        <w:rPr>
          <w:rFonts w:ascii="ITC Avant Garde" w:hAnsi="ITC Avant Garde"/>
          <w:spacing w:val="-4"/>
          <w:lang w:val="es-ES"/>
        </w:rPr>
        <w:t xml:space="preserve">se observan </w:t>
      </w:r>
      <w:r w:rsidRPr="00092A03">
        <w:rPr>
          <w:rFonts w:ascii="ITC Avant Garde" w:hAnsi="ITC Avant Garde"/>
          <w:spacing w:val="-4"/>
          <w:lang w:val="es-ES"/>
        </w:rPr>
        <w:t>opiniones contrapuestas.</w:t>
      </w:r>
      <w:r w:rsidR="00557259" w:rsidRPr="00092A03">
        <w:rPr>
          <w:rFonts w:ascii="ITC Avant Garde" w:hAnsi="ITC Avant Garde"/>
          <w:spacing w:val="-4"/>
          <w:lang w:val="es-ES"/>
        </w:rPr>
        <w:t xml:space="preserve"> </w:t>
      </w:r>
      <w:r w:rsidRPr="00092A03">
        <w:rPr>
          <w:rFonts w:ascii="ITC Avant Garde" w:hAnsi="ITC Avant Garde"/>
          <w:spacing w:val="-4"/>
          <w:lang w:val="es-ES"/>
        </w:rPr>
        <w:t>Por un lado, un operador considera que el mercado modelado no corresponde a la estructura de mercado de servicios de redes fijas, ni refleja la escala que tienen los operadores no preponderantes en México. Por otro, un operador aboga por el aumento de cuota del operador hipotético no preponderante.</w:t>
      </w:r>
    </w:p>
    <w:p w14:paraId="60D1B4A7" w14:textId="77777777" w:rsidR="00EE3DC8" w:rsidRPr="00092A03" w:rsidRDefault="009066B7" w:rsidP="00EE3DC8">
      <w:pPr>
        <w:rPr>
          <w:rFonts w:ascii="ITC Avant Garde" w:hAnsi="ITC Avant Garde"/>
          <w:spacing w:val="-4"/>
          <w:lang w:val="es-ES"/>
        </w:rPr>
      </w:pPr>
      <w:r w:rsidRPr="00092A03">
        <w:rPr>
          <w:rFonts w:ascii="ITC Avant Garde" w:hAnsi="ITC Avant Garde"/>
          <w:spacing w:val="-4"/>
          <w:lang w:val="es-ES"/>
        </w:rPr>
        <w:t>L</w:t>
      </w:r>
      <w:r w:rsidR="00EE3DC8" w:rsidRPr="00092A03">
        <w:rPr>
          <w:rFonts w:ascii="ITC Avant Garde" w:hAnsi="ITC Avant Garde"/>
          <w:spacing w:val="-4"/>
          <w:lang w:val="es-ES"/>
        </w:rPr>
        <w:t xml:space="preserve">a estructura </w:t>
      </w:r>
      <w:r w:rsidRPr="00092A03">
        <w:rPr>
          <w:rFonts w:ascii="ITC Avant Garde" w:hAnsi="ITC Avant Garde"/>
          <w:spacing w:val="-4"/>
          <w:lang w:val="es-ES"/>
        </w:rPr>
        <w:t xml:space="preserve">real </w:t>
      </w:r>
      <w:r w:rsidR="00EE3DC8" w:rsidRPr="00092A03">
        <w:rPr>
          <w:rFonts w:ascii="ITC Avant Garde" w:hAnsi="ITC Avant Garde"/>
          <w:spacing w:val="-4"/>
          <w:lang w:val="es-ES"/>
        </w:rPr>
        <w:t>del mercado de servicios de redes fijas no está siendo replicada en este modelo, ya que su complejidad (en número y tamaño de los operadores) no lo permite. El mercado modelado supone, en realidad, una simplificación conceptual en línea con la utilizada por OPTA en los Países Bajos</w:t>
      </w:r>
      <w:r w:rsidR="00EE3DC8" w:rsidRPr="00092A03">
        <w:rPr>
          <w:rStyle w:val="Refdenotaalpie"/>
          <w:rFonts w:ascii="ITC Avant Garde" w:hAnsi="ITC Avant Garde"/>
        </w:rPr>
        <w:footnoteReference w:id="4"/>
      </w:r>
      <w:r w:rsidRPr="00092A03">
        <w:rPr>
          <w:rFonts w:ascii="ITC Avant Garde" w:hAnsi="ITC Avant Garde"/>
          <w:spacing w:val="-4"/>
          <w:lang w:val="es-ES"/>
        </w:rPr>
        <w:t xml:space="preserve">. Replica conceptualmente </w:t>
      </w:r>
      <w:r w:rsidR="00EE3DC8" w:rsidRPr="00092A03">
        <w:rPr>
          <w:rFonts w:ascii="ITC Avant Garde" w:hAnsi="ITC Avant Garde"/>
          <w:spacing w:val="-4"/>
          <w:lang w:val="es-ES"/>
        </w:rPr>
        <w:t xml:space="preserve">en un solo operador los diferentes operadores que conjuntamente llegan a ofrecer una alternativa viable a Telmex para la mayoría de la población de México. Teniendo esto en cuenta, se revisa el concepto </w:t>
      </w:r>
      <w:r w:rsidR="003B1815" w:rsidRPr="00092A03">
        <w:rPr>
          <w:rFonts w:ascii="ITC Avant Garde" w:hAnsi="ITC Avant Garde"/>
          <w:spacing w:val="-4"/>
          <w:lang w:val="es-ES"/>
        </w:rPr>
        <w:t>actualizando</w:t>
      </w:r>
      <w:r w:rsidR="00EE3DC8" w:rsidRPr="00092A03">
        <w:rPr>
          <w:rFonts w:ascii="ITC Avant Garde" w:hAnsi="ITC Avant Garde"/>
          <w:spacing w:val="-4"/>
          <w:lang w:val="es-ES"/>
        </w:rPr>
        <w:t xml:space="preserve"> la cuota de mercado de Telmex</w:t>
      </w:r>
      <w:r w:rsidR="00317A6B" w:rsidRPr="00092A03">
        <w:rPr>
          <w:rFonts w:ascii="ITC Avant Garde" w:hAnsi="ITC Avant Garde"/>
          <w:spacing w:val="-4"/>
          <w:lang w:val="es-ES"/>
        </w:rPr>
        <w:t xml:space="preserve"> con la última información disponible</w:t>
      </w:r>
      <w:r w:rsidR="00EE3DC8" w:rsidRPr="00092A03">
        <w:rPr>
          <w:rFonts w:ascii="ITC Avant Garde" w:hAnsi="ITC Avant Garde"/>
          <w:spacing w:val="-4"/>
          <w:lang w:val="es-ES"/>
        </w:rPr>
        <w:t>.</w:t>
      </w:r>
    </w:p>
    <w:p w14:paraId="6E8A23D4" w14:textId="77777777" w:rsidR="00D81961" w:rsidRPr="00092A03" w:rsidRDefault="007B5AF2" w:rsidP="002B648A">
      <w:pPr>
        <w:pStyle w:val="Ttulo2"/>
        <w:numPr>
          <w:ilvl w:val="0"/>
          <w:numId w:val="0"/>
        </w:numPr>
        <w:rPr>
          <w:rFonts w:ascii="ITC Avant Garde" w:hAnsi="ITC Avant Garde"/>
          <w:lang w:val="es-MX"/>
        </w:rPr>
      </w:pPr>
      <w:r w:rsidRPr="00092A03">
        <w:rPr>
          <w:rFonts w:ascii="ITC Avant Garde" w:hAnsi="ITC Avant Garde"/>
          <w:lang w:val="es-MX"/>
        </w:rPr>
        <w:lastRenderedPageBreak/>
        <w:t xml:space="preserve">Concepto propuesto </w:t>
      </w:r>
      <w:r w:rsidRPr="00092A03">
        <w:rPr>
          <w:rFonts w:ascii="ITC Avant Garde" w:hAnsi="ITC Avant Garde"/>
        </w:rPr>
        <w:fldChar w:fldCharType="begin"/>
      </w:r>
      <w:r w:rsidRPr="00092A03">
        <w:rPr>
          <w:rFonts w:ascii="ITC Avant Garde" w:hAnsi="ITC Avant Garde"/>
          <w:lang w:val="es-MX"/>
        </w:rPr>
        <w:instrText xml:space="preserve"> SEQ Recommendation \* ARABIC \s 0 </w:instrText>
      </w:r>
      <w:r w:rsidRPr="00092A03">
        <w:rPr>
          <w:rFonts w:ascii="ITC Avant Garde" w:hAnsi="ITC Avant Garde"/>
        </w:rPr>
        <w:fldChar w:fldCharType="separate"/>
      </w:r>
      <w:r w:rsidR="00296386" w:rsidRPr="00092A03">
        <w:rPr>
          <w:rFonts w:ascii="ITC Avant Garde" w:hAnsi="ITC Avant Garde"/>
          <w:lang w:val="es-MX"/>
        </w:rPr>
        <w:t>4</w:t>
      </w:r>
      <w:r w:rsidRPr="00092A03">
        <w:rPr>
          <w:rFonts w:ascii="ITC Avant Garde" w:hAnsi="ITC Avant Garde"/>
        </w:rPr>
        <w:fldChar w:fldCharType="end"/>
      </w:r>
    </w:p>
    <w:p w14:paraId="3599F874" w14:textId="5C898B2D" w:rsidR="007B5AF2" w:rsidRPr="00092A03" w:rsidRDefault="007B5AF2" w:rsidP="00D81961">
      <w:pPr>
        <w:pStyle w:val="B1"/>
        <w:pBdr>
          <w:top w:val="single" w:sz="4" w:space="2" w:color="D9D9D9" w:themeColor="background1" w:themeShade="D9"/>
          <w:bottom w:val="single" w:sz="4" w:space="5" w:color="D9D9D9" w:themeColor="background1" w:themeShade="D9"/>
        </w:pBdr>
        <w:spacing w:after="0"/>
        <w:ind w:left="0" w:right="0"/>
        <w:rPr>
          <w:rFonts w:ascii="ITC Avant Garde" w:hAnsi="ITC Avant Garde"/>
          <w:lang w:val="es-ES"/>
        </w:rPr>
      </w:pPr>
      <w:r w:rsidRPr="00092A03">
        <w:rPr>
          <w:rFonts w:ascii="ITC Avant Garde" w:hAnsi="ITC Avant Garde"/>
          <w:lang w:val="es-ES"/>
        </w:rPr>
        <w:t xml:space="preserve">El crecimiento de la cuota de mercado está relacionado con el despliegue de la red y el aumento del tráfico utilizando la tecnología moderna. </w:t>
      </w:r>
    </w:p>
    <w:p w14:paraId="6EDD4D9C" w14:textId="77777777" w:rsidR="008A3897" w:rsidRPr="00092A03" w:rsidRDefault="008A3897" w:rsidP="00E2652C">
      <w:pPr>
        <w:pStyle w:val="Ttulo4"/>
        <w:numPr>
          <w:ilvl w:val="0"/>
          <w:numId w:val="0"/>
        </w:numPr>
        <w:rPr>
          <w:rFonts w:ascii="ITC Avant Garde" w:hAnsi="ITC Avant Garde"/>
          <w:lang w:val="es-ES"/>
        </w:rPr>
      </w:pPr>
      <w:r w:rsidRPr="00092A03">
        <w:rPr>
          <w:rFonts w:ascii="ITC Avant Garde" w:hAnsi="ITC Avant Garde"/>
          <w:lang w:val="es-ES"/>
        </w:rPr>
        <w:t>Respuestas recibidas</w:t>
      </w:r>
    </w:p>
    <w:p w14:paraId="3AF740D9" w14:textId="5A4EE1D3" w:rsidR="00557259" w:rsidRPr="00092A03" w:rsidRDefault="00557259" w:rsidP="00557259">
      <w:pPr>
        <w:spacing w:before="240"/>
        <w:rPr>
          <w:rFonts w:ascii="ITC Avant Garde" w:hAnsi="ITC Avant Garde"/>
          <w:lang w:val="es-ES"/>
        </w:rPr>
      </w:pPr>
      <w:r w:rsidRPr="00092A03">
        <w:rPr>
          <w:rFonts w:ascii="ITC Avant Garde" w:hAnsi="ITC Avant Garde"/>
          <w:lang w:val="es-ES"/>
        </w:rPr>
        <w:t>Telefónica indica que en lo relativo en concepto propuesto 4, el modelo 2018 no cumple de acuerdo con lo siguiente:</w:t>
      </w:r>
    </w:p>
    <w:p w14:paraId="3A7FA351" w14:textId="77777777" w:rsidR="00557259" w:rsidRPr="00092A03" w:rsidRDefault="00557259" w:rsidP="00557259">
      <w:pPr>
        <w:pStyle w:val="I1"/>
        <w:rPr>
          <w:rFonts w:ascii="ITC Avant Garde" w:hAnsi="ITC Avant Garde"/>
          <w:lang w:val="es-ES"/>
        </w:rPr>
      </w:pPr>
      <w:r w:rsidRPr="00092A03">
        <w:rPr>
          <w:rFonts w:ascii="ITC Avant Garde" w:hAnsi="ITC Avant Garde"/>
          <w:lang w:val="es-ES"/>
        </w:rPr>
        <w:t>El modelo 2018, presenta unas hipótesis del despliegue de redes totalmente diferentes al Modelo 2017. En el nuevo modelo se modifica el tamaño de la red de cobertura, lo que provoca que el modelo sea muy poco sensible a los cambios en el tráfico.</w:t>
      </w:r>
    </w:p>
    <w:p w14:paraId="4DA93623" w14:textId="77777777" w:rsidR="00557259" w:rsidRPr="00092A03" w:rsidRDefault="00557259" w:rsidP="00976E4A">
      <w:pPr>
        <w:pStyle w:val="I1"/>
        <w:rPr>
          <w:rFonts w:ascii="ITC Avant Garde" w:hAnsi="ITC Avant Garde"/>
          <w:lang w:val="es-ES"/>
        </w:rPr>
      </w:pPr>
      <w:r w:rsidRPr="00092A03">
        <w:rPr>
          <w:rFonts w:ascii="ITC Avant Garde" w:hAnsi="ITC Avant Garde"/>
          <w:lang w:val="es-ES"/>
        </w:rPr>
        <w:t>El modelo 2018 no ha realizado correctamente una calibración entre las redes de cobertura y capacidad de los operadores. Esto provoca que la red de acceso de capacidad sea prácticamente la misma en el escenario con y el escenario sin tráfico de terminación.</w:t>
      </w:r>
      <w:r w:rsidR="00976E4A" w:rsidRPr="00092A03">
        <w:rPr>
          <w:rFonts w:ascii="ITC Avant Garde" w:hAnsi="ITC Avant Garde"/>
          <w:lang w:val="es-ES"/>
        </w:rPr>
        <w:t xml:space="preserve"> La red 3G, por ejemplo, no puede ser solo una red de cobertura.</w:t>
      </w:r>
      <w:r w:rsidRPr="00092A03">
        <w:rPr>
          <w:rFonts w:ascii="ITC Avant Garde" w:hAnsi="ITC Avant Garde"/>
          <w:lang w:val="es-ES"/>
        </w:rPr>
        <w:t xml:space="preserve"> Esta hipótesis no es razonable ni representativa de una red móvil y, sin embargo, en un escenario CILPP presenta resultados muy arbitrarios.</w:t>
      </w:r>
      <w:r w:rsidR="00976E4A" w:rsidRPr="00092A03">
        <w:rPr>
          <w:rFonts w:ascii="ITC Avant Garde" w:hAnsi="ITC Avant Garde"/>
          <w:lang w:val="es-ES"/>
        </w:rPr>
        <w:t xml:space="preserve"> </w:t>
      </w:r>
    </w:p>
    <w:p w14:paraId="6F8EC324" w14:textId="189B8382" w:rsidR="00557259" w:rsidRPr="00092A03" w:rsidRDefault="00557259" w:rsidP="00557259">
      <w:pPr>
        <w:rPr>
          <w:rFonts w:ascii="ITC Avant Garde" w:hAnsi="ITC Avant Garde"/>
          <w:lang w:val="es-ES"/>
        </w:rPr>
      </w:pPr>
      <w:r w:rsidRPr="00092A03">
        <w:rPr>
          <w:rFonts w:ascii="ITC Avant Garde" w:hAnsi="ITC Avant Garde"/>
          <w:lang w:val="es-ES"/>
        </w:rPr>
        <w:t>Telefónica también menciona que el cambio en la fecha de despliegue y lanzamiento incluidos en el modelo 2018, introducen un elemento absolutamente irrealista en el despliegue de las redes. Ningún operador, hipotético o no, puede desplegar anualmente el número de sitios que considera el modelo 2018.</w:t>
      </w:r>
    </w:p>
    <w:p w14:paraId="52E12188" w14:textId="06C80486" w:rsidR="008A3897" w:rsidRPr="00092A03" w:rsidRDefault="002B648A" w:rsidP="00E2652C">
      <w:pPr>
        <w:pStyle w:val="Ttulo4"/>
        <w:rPr>
          <w:rFonts w:ascii="ITC Avant Garde" w:hAnsi="ITC Avant Garde"/>
          <w:b/>
          <w:spacing w:val="-4"/>
          <w:lang w:val="es-ES"/>
        </w:rPr>
      </w:pPr>
      <w:r w:rsidRPr="00092A03">
        <w:rPr>
          <w:rFonts w:ascii="ITC Avant Garde" w:hAnsi="ITC Avant Garde"/>
          <w:b/>
          <w:lang w:val="es-ES"/>
        </w:rPr>
        <w:t>Consideraciones del Instituto</w:t>
      </w:r>
    </w:p>
    <w:p w14:paraId="21D03626" w14:textId="77777777" w:rsidR="008E7AF0" w:rsidRPr="00092A03" w:rsidRDefault="00920B36" w:rsidP="00E2652C">
      <w:pPr>
        <w:pStyle w:val="Listaconvietas"/>
        <w:numPr>
          <w:ilvl w:val="0"/>
          <w:numId w:val="0"/>
        </w:numPr>
        <w:spacing w:before="240"/>
        <w:rPr>
          <w:rFonts w:ascii="ITC Avant Garde" w:hAnsi="ITC Avant Garde"/>
          <w:spacing w:val="-4"/>
          <w:lang w:val="es-ES"/>
        </w:rPr>
      </w:pPr>
      <w:r w:rsidRPr="00092A03">
        <w:rPr>
          <w:rFonts w:ascii="ITC Avant Garde" w:hAnsi="ITC Avant Garde"/>
          <w:spacing w:val="-4"/>
          <w:lang w:val="es-ES"/>
        </w:rPr>
        <w:t xml:space="preserve">En lo relativo al tamaño de la red de cobertura </w:t>
      </w:r>
      <w:r w:rsidR="00F82166" w:rsidRPr="00092A03">
        <w:rPr>
          <w:rFonts w:ascii="ITC Avant Garde" w:hAnsi="ITC Avant Garde"/>
          <w:spacing w:val="-4"/>
          <w:lang w:val="es-ES"/>
        </w:rPr>
        <w:t xml:space="preserve">se remite </w:t>
      </w:r>
      <w:r w:rsidRPr="00092A03">
        <w:rPr>
          <w:rFonts w:ascii="ITC Avant Garde" w:hAnsi="ITC Avant Garde"/>
          <w:spacing w:val="-4"/>
          <w:lang w:val="es-ES"/>
        </w:rPr>
        <w:t xml:space="preserve">a las respuestas </w:t>
      </w:r>
      <w:r w:rsidR="00F82166" w:rsidRPr="00092A03">
        <w:rPr>
          <w:rFonts w:ascii="ITC Avant Garde" w:hAnsi="ITC Avant Garde"/>
          <w:spacing w:val="-4"/>
          <w:lang w:val="es-ES"/>
        </w:rPr>
        <w:t>d</w:t>
      </w:r>
      <w:r w:rsidRPr="00092A03">
        <w:rPr>
          <w:rFonts w:ascii="ITC Avant Garde" w:hAnsi="ITC Avant Garde"/>
          <w:spacing w:val="-4"/>
          <w:lang w:val="es-ES"/>
        </w:rPr>
        <w:t>el concepto propuesto 2.</w:t>
      </w:r>
      <w:r w:rsidR="00B4732D" w:rsidRPr="00092A03">
        <w:rPr>
          <w:rFonts w:ascii="ITC Avant Garde" w:hAnsi="ITC Avant Garde"/>
          <w:spacing w:val="-4"/>
          <w:lang w:val="es-ES"/>
        </w:rPr>
        <w:t xml:space="preserve"> Con respecto al proceso de </w:t>
      </w:r>
      <w:r w:rsidR="00F8332A" w:rsidRPr="00092A03">
        <w:rPr>
          <w:rFonts w:ascii="ITC Avant Garde" w:hAnsi="ITC Avant Garde"/>
          <w:spacing w:val="-4"/>
          <w:lang w:val="es-ES"/>
        </w:rPr>
        <w:t xml:space="preserve">calibración entre las redes de cobertura y capacidad, </w:t>
      </w:r>
      <w:r w:rsidR="00B4732D" w:rsidRPr="00092A03">
        <w:rPr>
          <w:rFonts w:ascii="ITC Avant Garde" w:hAnsi="ITC Avant Garde"/>
          <w:spacing w:val="-4"/>
          <w:lang w:val="es-ES"/>
        </w:rPr>
        <w:t xml:space="preserve">se ha revisado y todo indica </w:t>
      </w:r>
      <w:r w:rsidR="008E7AF0" w:rsidRPr="00092A03">
        <w:rPr>
          <w:rFonts w:ascii="ITC Avant Garde" w:hAnsi="ITC Avant Garde"/>
          <w:spacing w:val="-4"/>
          <w:lang w:val="es-ES"/>
        </w:rPr>
        <w:t xml:space="preserve">que es correcto y basado en </w:t>
      </w:r>
      <w:r w:rsidR="003362BA" w:rsidRPr="00092A03">
        <w:rPr>
          <w:rFonts w:ascii="ITC Avant Garde" w:hAnsi="ITC Avant Garde"/>
          <w:spacing w:val="-4"/>
          <w:lang w:val="es-ES"/>
        </w:rPr>
        <w:t>la</w:t>
      </w:r>
      <w:r w:rsidR="008E7AF0" w:rsidRPr="00092A03">
        <w:rPr>
          <w:rFonts w:ascii="ITC Avant Garde" w:hAnsi="ITC Avant Garde"/>
          <w:spacing w:val="-4"/>
          <w:lang w:val="es-ES"/>
        </w:rPr>
        <w:t xml:space="preserve"> </w:t>
      </w:r>
      <w:r w:rsidR="003362BA" w:rsidRPr="00092A03">
        <w:rPr>
          <w:rFonts w:ascii="ITC Avant Garde" w:hAnsi="ITC Avant Garde"/>
          <w:spacing w:val="-4"/>
          <w:lang w:val="es-ES"/>
        </w:rPr>
        <w:t>información</w:t>
      </w:r>
      <w:r w:rsidR="00B4732D" w:rsidRPr="00092A03">
        <w:rPr>
          <w:rFonts w:ascii="ITC Avant Garde" w:hAnsi="ITC Avant Garde"/>
          <w:spacing w:val="-4"/>
          <w:lang w:val="es-ES"/>
        </w:rPr>
        <w:t xml:space="preserve"> (</w:t>
      </w:r>
      <w:r w:rsidR="008E7AF0" w:rsidRPr="00092A03">
        <w:rPr>
          <w:rFonts w:ascii="ITC Avant Garde" w:hAnsi="ITC Avant Garde"/>
          <w:spacing w:val="-4"/>
          <w:lang w:val="es-ES"/>
        </w:rPr>
        <w:t>en algunos casos escasa</w:t>
      </w:r>
      <w:r w:rsidR="00B4732D" w:rsidRPr="00092A03">
        <w:rPr>
          <w:rFonts w:ascii="ITC Avant Garde" w:hAnsi="ITC Avant Garde"/>
          <w:spacing w:val="-4"/>
          <w:lang w:val="es-ES"/>
        </w:rPr>
        <w:t xml:space="preserve">) </w:t>
      </w:r>
      <w:r w:rsidR="003362BA" w:rsidRPr="00092A03">
        <w:rPr>
          <w:rFonts w:ascii="ITC Avant Garde" w:hAnsi="ITC Avant Garde"/>
          <w:spacing w:val="-4"/>
          <w:lang w:val="es-ES"/>
        </w:rPr>
        <w:t>provista por los operadores</w:t>
      </w:r>
      <w:r w:rsidR="00B405C6" w:rsidRPr="00092A03">
        <w:rPr>
          <w:rFonts w:ascii="ITC Avant Garde" w:hAnsi="ITC Avant Garde"/>
          <w:spacing w:val="-4"/>
          <w:lang w:val="es-ES"/>
        </w:rPr>
        <w:t xml:space="preserve"> móviles</w:t>
      </w:r>
      <w:r w:rsidR="003362BA" w:rsidRPr="00092A03">
        <w:rPr>
          <w:rFonts w:ascii="ITC Avant Garde" w:hAnsi="ITC Avant Garde"/>
          <w:spacing w:val="-4"/>
          <w:lang w:val="es-ES"/>
        </w:rPr>
        <w:t>.</w:t>
      </w:r>
    </w:p>
    <w:p w14:paraId="4BBA1E2E" w14:textId="77777777" w:rsidR="00B4732D" w:rsidRPr="00092A03" w:rsidRDefault="008E7AF0" w:rsidP="00920B36">
      <w:pPr>
        <w:pStyle w:val="Listaconvietas"/>
        <w:numPr>
          <w:ilvl w:val="0"/>
          <w:numId w:val="0"/>
        </w:numPr>
        <w:rPr>
          <w:rFonts w:ascii="ITC Avant Garde" w:hAnsi="ITC Avant Garde"/>
          <w:spacing w:val="-4"/>
          <w:lang w:val="es-ES"/>
        </w:rPr>
      </w:pPr>
      <w:r w:rsidRPr="00092A03">
        <w:rPr>
          <w:rFonts w:ascii="ITC Avant Garde" w:hAnsi="ITC Avant Garde"/>
          <w:spacing w:val="-4"/>
          <w:lang w:val="es-ES"/>
        </w:rPr>
        <w:t>E</w:t>
      </w:r>
      <w:r w:rsidR="00F8332A" w:rsidRPr="00092A03">
        <w:rPr>
          <w:rFonts w:ascii="ITC Avant Garde" w:hAnsi="ITC Avant Garde"/>
          <w:spacing w:val="-4"/>
          <w:lang w:val="es-ES"/>
        </w:rPr>
        <w:t xml:space="preserve">s importante </w:t>
      </w:r>
      <w:r w:rsidRPr="00092A03">
        <w:rPr>
          <w:rFonts w:ascii="ITC Avant Garde" w:hAnsi="ITC Avant Garde"/>
          <w:spacing w:val="-4"/>
          <w:lang w:val="es-ES"/>
        </w:rPr>
        <w:t xml:space="preserve">recordar </w:t>
      </w:r>
      <w:r w:rsidR="00F8332A" w:rsidRPr="00092A03">
        <w:rPr>
          <w:rFonts w:ascii="ITC Avant Garde" w:hAnsi="ITC Avant Garde"/>
          <w:spacing w:val="-4"/>
          <w:lang w:val="es-ES"/>
        </w:rPr>
        <w:t xml:space="preserve">que los modelos son representaciones de la realidad, </w:t>
      </w:r>
      <w:r w:rsidRPr="00092A03">
        <w:rPr>
          <w:rFonts w:ascii="ITC Avant Garde" w:hAnsi="ITC Avant Garde"/>
          <w:spacing w:val="-4"/>
          <w:lang w:val="es-ES"/>
        </w:rPr>
        <w:t xml:space="preserve">y no tienen como objetivo reflejar </w:t>
      </w:r>
      <w:r w:rsidR="00B4732D" w:rsidRPr="00092A03">
        <w:rPr>
          <w:rFonts w:ascii="ITC Avant Garde" w:hAnsi="ITC Avant Garde"/>
          <w:spacing w:val="-4"/>
          <w:lang w:val="es-ES"/>
        </w:rPr>
        <w:t xml:space="preserve">de forma fidedigna a </w:t>
      </w:r>
      <w:r w:rsidRPr="00092A03">
        <w:rPr>
          <w:rFonts w:ascii="ITC Avant Garde" w:hAnsi="ITC Avant Garde"/>
          <w:spacing w:val="-4"/>
          <w:lang w:val="es-ES"/>
        </w:rPr>
        <w:t xml:space="preserve">los operadores reales, sino </w:t>
      </w:r>
      <w:r w:rsidR="00B4732D" w:rsidRPr="00092A03">
        <w:rPr>
          <w:rFonts w:ascii="ITC Avant Garde" w:hAnsi="ITC Avant Garde"/>
          <w:spacing w:val="-4"/>
          <w:lang w:val="es-ES"/>
        </w:rPr>
        <w:t xml:space="preserve">calcular los costos incurridos por un </w:t>
      </w:r>
      <w:r w:rsidRPr="00092A03">
        <w:rPr>
          <w:rFonts w:ascii="ITC Avant Garde" w:hAnsi="ITC Avant Garde"/>
          <w:spacing w:val="-4"/>
          <w:lang w:val="es-ES"/>
        </w:rPr>
        <w:t>operador hipotético</w:t>
      </w:r>
      <w:r w:rsidR="00F8332A" w:rsidRPr="00092A03">
        <w:rPr>
          <w:rFonts w:ascii="ITC Avant Garde" w:hAnsi="ITC Avant Garde"/>
          <w:spacing w:val="-4"/>
          <w:lang w:val="es-ES"/>
        </w:rPr>
        <w:t>. En este contexto, es difícil</w:t>
      </w:r>
      <w:r w:rsidR="003362BA" w:rsidRPr="00092A03">
        <w:rPr>
          <w:rFonts w:ascii="ITC Avant Garde" w:hAnsi="ITC Avant Garde"/>
          <w:spacing w:val="-4"/>
          <w:lang w:val="es-ES"/>
        </w:rPr>
        <w:t>, por no decir imposible,</w:t>
      </w:r>
      <w:r w:rsidR="00F8332A" w:rsidRPr="00092A03">
        <w:rPr>
          <w:rFonts w:ascii="ITC Avant Garde" w:hAnsi="ITC Avant Garde"/>
          <w:spacing w:val="-4"/>
          <w:lang w:val="es-ES"/>
        </w:rPr>
        <w:t xml:space="preserve"> que un modelo reproduzca </w:t>
      </w:r>
      <w:r w:rsidR="00B4732D" w:rsidRPr="00092A03">
        <w:rPr>
          <w:rFonts w:ascii="ITC Avant Garde" w:hAnsi="ITC Avant Garde"/>
          <w:spacing w:val="-4"/>
          <w:lang w:val="es-ES"/>
        </w:rPr>
        <w:t xml:space="preserve">todas las casuísticas a las que se enfrenta un operador en su </w:t>
      </w:r>
      <w:r w:rsidR="00F8332A" w:rsidRPr="00092A03">
        <w:rPr>
          <w:rFonts w:ascii="ITC Avant Garde" w:hAnsi="ITC Avant Garde"/>
          <w:spacing w:val="-4"/>
          <w:lang w:val="es-ES"/>
        </w:rPr>
        <w:t xml:space="preserve">día a día </w:t>
      </w:r>
      <w:r w:rsidR="00B4732D" w:rsidRPr="00092A03">
        <w:rPr>
          <w:rFonts w:ascii="ITC Avant Garde" w:hAnsi="ITC Avant Garde"/>
          <w:spacing w:val="-4"/>
          <w:lang w:val="es-ES"/>
        </w:rPr>
        <w:t xml:space="preserve">– p.ej. </w:t>
      </w:r>
      <w:r w:rsidR="00F8332A" w:rsidRPr="00092A03">
        <w:rPr>
          <w:rFonts w:ascii="ITC Avant Garde" w:hAnsi="ITC Avant Garde"/>
          <w:spacing w:val="-4"/>
          <w:lang w:val="es-ES"/>
        </w:rPr>
        <w:t xml:space="preserve">los casos en los que se requiere </w:t>
      </w:r>
      <w:r w:rsidR="00B4732D" w:rsidRPr="00092A03">
        <w:rPr>
          <w:rFonts w:ascii="ITC Avant Garde" w:hAnsi="ITC Avant Garde"/>
          <w:spacing w:val="-4"/>
          <w:lang w:val="es-ES"/>
        </w:rPr>
        <w:t xml:space="preserve">puntualmente </w:t>
      </w:r>
      <w:r w:rsidR="00F8332A" w:rsidRPr="00092A03">
        <w:rPr>
          <w:rFonts w:ascii="ITC Avant Garde" w:hAnsi="ITC Avant Garde"/>
          <w:spacing w:val="-4"/>
          <w:lang w:val="es-ES"/>
        </w:rPr>
        <w:t>el despliegue de estaciones de capacidad</w:t>
      </w:r>
      <w:r w:rsidR="00B4732D" w:rsidRPr="00092A03">
        <w:rPr>
          <w:rFonts w:ascii="ITC Avant Garde" w:hAnsi="ITC Avant Garde"/>
          <w:spacing w:val="-4"/>
          <w:lang w:val="es-ES"/>
        </w:rPr>
        <w:t xml:space="preserve"> por saturación de las estaciones de cobertura</w:t>
      </w:r>
      <w:r w:rsidR="00F8332A" w:rsidRPr="00092A03">
        <w:rPr>
          <w:rFonts w:ascii="ITC Avant Garde" w:hAnsi="ITC Avant Garde"/>
          <w:spacing w:val="-4"/>
          <w:lang w:val="es-ES"/>
        </w:rPr>
        <w:t>.</w:t>
      </w:r>
      <w:r w:rsidR="003362BA" w:rsidRPr="00092A03">
        <w:rPr>
          <w:rFonts w:ascii="ITC Avant Garde" w:hAnsi="ITC Avant Garde"/>
          <w:spacing w:val="-4"/>
          <w:lang w:val="es-ES"/>
        </w:rPr>
        <w:t xml:space="preserve"> </w:t>
      </w:r>
    </w:p>
    <w:p w14:paraId="3E24A467" w14:textId="77777777" w:rsidR="00F8332A" w:rsidRPr="00092A03" w:rsidRDefault="003362BA" w:rsidP="00920B36">
      <w:pPr>
        <w:pStyle w:val="Listaconvietas"/>
        <w:numPr>
          <w:ilvl w:val="0"/>
          <w:numId w:val="0"/>
        </w:numPr>
        <w:rPr>
          <w:rFonts w:ascii="ITC Avant Garde" w:hAnsi="ITC Avant Garde"/>
          <w:spacing w:val="-4"/>
          <w:lang w:val="es-ES"/>
        </w:rPr>
      </w:pPr>
      <w:r w:rsidRPr="00092A03">
        <w:rPr>
          <w:rFonts w:ascii="ITC Avant Garde" w:hAnsi="ITC Avant Garde"/>
          <w:spacing w:val="-4"/>
          <w:lang w:val="es-ES"/>
        </w:rPr>
        <w:t xml:space="preserve">Existen varias razones que </w:t>
      </w:r>
      <w:r w:rsidR="00B4732D" w:rsidRPr="00092A03">
        <w:rPr>
          <w:rFonts w:ascii="ITC Avant Garde" w:hAnsi="ITC Avant Garde"/>
          <w:spacing w:val="-4"/>
          <w:lang w:val="es-ES"/>
        </w:rPr>
        <w:t xml:space="preserve">explican </w:t>
      </w:r>
      <w:r w:rsidRPr="00092A03">
        <w:rPr>
          <w:rFonts w:ascii="ITC Avant Garde" w:hAnsi="ITC Avant Garde"/>
          <w:spacing w:val="-4"/>
          <w:lang w:val="es-ES"/>
        </w:rPr>
        <w:t xml:space="preserve">que el operador modelado tenga suficiente capacidad en su red 3G de cobertura para transportar todo </w:t>
      </w:r>
      <w:r w:rsidR="008E7AF0" w:rsidRPr="00092A03">
        <w:rPr>
          <w:rFonts w:ascii="ITC Avant Garde" w:hAnsi="ITC Avant Garde"/>
          <w:spacing w:val="-4"/>
          <w:lang w:val="es-ES"/>
        </w:rPr>
        <w:t xml:space="preserve">su </w:t>
      </w:r>
      <w:r w:rsidRPr="00092A03">
        <w:rPr>
          <w:rFonts w:ascii="ITC Avant Garde" w:hAnsi="ITC Avant Garde"/>
          <w:spacing w:val="-4"/>
          <w:lang w:val="es-ES"/>
        </w:rPr>
        <w:t>tráfico</w:t>
      </w:r>
      <w:r w:rsidR="008E7AF0" w:rsidRPr="00092A03">
        <w:rPr>
          <w:rFonts w:ascii="ITC Avant Garde" w:hAnsi="ITC Avant Garde"/>
          <w:spacing w:val="-4"/>
          <w:lang w:val="es-ES"/>
        </w:rPr>
        <w:t>:</w:t>
      </w:r>
    </w:p>
    <w:p w14:paraId="1EC3C728" w14:textId="77777777" w:rsidR="00B405C6" w:rsidRPr="00092A03" w:rsidRDefault="00F066A3" w:rsidP="007A60F6">
      <w:pPr>
        <w:pStyle w:val="Listaconnmeros"/>
        <w:rPr>
          <w:rFonts w:ascii="ITC Avant Garde" w:hAnsi="ITC Avant Garde"/>
          <w:lang w:val="es-ES"/>
        </w:rPr>
      </w:pPr>
      <w:r w:rsidRPr="00092A03">
        <w:rPr>
          <w:rFonts w:ascii="ITC Avant Garde" w:hAnsi="ITC Avant Garde"/>
          <w:lang w:val="es-ES"/>
        </w:rPr>
        <w:lastRenderedPageBreak/>
        <w:t xml:space="preserve">Como se define en el concepto propuesto número 1, la red 3G se despliega en su totalidad en la banda de </w:t>
      </w:r>
      <w:r w:rsidR="007237E9" w:rsidRPr="00092A03">
        <w:rPr>
          <w:rFonts w:ascii="ITC Avant Garde" w:hAnsi="ITC Avant Garde"/>
          <w:lang w:val="es-ES"/>
        </w:rPr>
        <w:t xml:space="preserve">espectro </w:t>
      </w:r>
      <w:r w:rsidR="007D493A" w:rsidRPr="00092A03">
        <w:rPr>
          <w:rFonts w:ascii="ITC Avant Garde" w:hAnsi="ITC Avant Garde"/>
          <w:lang w:val="es-ES"/>
        </w:rPr>
        <w:t>PCS (</w:t>
      </w:r>
      <w:r w:rsidRPr="00092A03">
        <w:rPr>
          <w:rFonts w:ascii="ITC Avant Garde" w:hAnsi="ITC Avant Garde"/>
          <w:lang w:val="es-ES"/>
        </w:rPr>
        <w:t>1900MHz</w:t>
      </w:r>
      <w:r w:rsidR="007D493A" w:rsidRPr="00092A03">
        <w:rPr>
          <w:rFonts w:ascii="ITC Avant Garde" w:hAnsi="ITC Avant Garde"/>
          <w:lang w:val="es-ES"/>
        </w:rPr>
        <w:t>)</w:t>
      </w:r>
      <w:r w:rsidRPr="00092A03">
        <w:rPr>
          <w:rFonts w:ascii="ITC Avant Garde" w:hAnsi="ITC Avant Garde"/>
          <w:lang w:val="es-ES"/>
        </w:rPr>
        <w:t>. Esta banda sufre unas pérdidas de propagación mucho mayores que las observadas en</w:t>
      </w:r>
      <w:r w:rsidR="008E7AF0" w:rsidRPr="00092A03">
        <w:rPr>
          <w:rFonts w:ascii="ITC Avant Garde" w:hAnsi="ITC Avant Garde"/>
          <w:lang w:val="es-ES"/>
        </w:rPr>
        <w:t xml:space="preserve"> bandas de frecuencia bajas como </w:t>
      </w:r>
      <w:r w:rsidRPr="00092A03">
        <w:rPr>
          <w:rFonts w:ascii="ITC Avant Garde" w:hAnsi="ITC Avant Garde"/>
          <w:lang w:val="es-ES"/>
        </w:rPr>
        <w:t xml:space="preserve">la banda </w:t>
      </w:r>
      <w:r w:rsidR="007D493A" w:rsidRPr="00092A03">
        <w:rPr>
          <w:rFonts w:ascii="ITC Avant Garde" w:hAnsi="ITC Avant Garde"/>
          <w:lang w:val="es-ES"/>
        </w:rPr>
        <w:t>CEL (</w:t>
      </w:r>
      <w:r w:rsidRPr="00092A03">
        <w:rPr>
          <w:rFonts w:ascii="ITC Avant Garde" w:hAnsi="ITC Avant Garde"/>
          <w:lang w:val="es-ES"/>
        </w:rPr>
        <w:t>850MHz</w:t>
      </w:r>
      <w:r w:rsidR="007D493A" w:rsidRPr="00092A03">
        <w:rPr>
          <w:rFonts w:ascii="ITC Avant Garde" w:hAnsi="ITC Avant Garde"/>
          <w:lang w:val="es-ES"/>
        </w:rPr>
        <w:t>)</w:t>
      </w:r>
      <w:r w:rsidRPr="00092A03">
        <w:rPr>
          <w:rFonts w:ascii="ITC Avant Garde" w:hAnsi="ITC Avant Garde"/>
          <w:lang w:val="es-ES"/>
        </w:rPr>
        <w:t xml:space="preserve">. </w:t>
      </w:r>
      <w:r w:rsidR="003A4FE5" w:rsidRPr="00092A03">
        <w:rPr>
          <w:rFonts w:ascii="ITC Avant Garde" w:hAnsi="ITC Avant Garde"/>
          <w:lang w:val="es-ES"/>
        </w:rPr>
        <w:t xml:space="preserve">Unas </w:t>
      </w:r>
      <w:r w:rsidRPr="00092A03">
        <w:rPr>
          <w:rFonts w:ascii="ITC Avant Garde" w:hAnsi="ITC Avant Garde"/>
          <w:lang w:val="es-ES"/>
        </w:rPr>
        <w:t xml:space="preserve">mayores pérdidas de propagación </w:t>
      </w:r>
      <w:r w:rsidR="003A4FE5" w:rsidRPr="00092A03">
        <w:rPr>
          <w:rFonts w:ascii="ITC Avant Garde" w:hAnsi="ITC Avant Garde"/>
          <w:lang w:val="es-ES"/>
        </w:rPr>
        <w:t>con</w:t>
      </w:r>
      <w:r w:rsidRPr="00092A03">
        <w:rPr>
          <w:rFonts w:ascii="ITC Avant Garde" w:hAnsi="ITC Avant Garde"/>
          <w:lang w:val="es-ES"/>
        </w:rPr>
        <w:t>llevan radios de celda más reducidos</w:t>
      </w:r>
      <w:r w:rsidR="003A4FE5" w:rsidRPr="00092A03">
        <w:rPr>
          <w:rFonts w:ascii="ITC Avant Garde" w:hAnsi="ITC Avant Garde"/>
          <w:lang w:val="es-ES"/>
        </w:rPr>
        <w:t>, lo</w:t>
      </w:r>
      <w:r w:rsidRPr="00092A03">
        <w:rPr>
          <w:rFonts w:ascii="ITC Avant Garde" w:hAnsi="ITC Avant Garde"/>
          <w:lang w:val="es-ES"/>
        </w:rPr>
        <w:t xml:space="preserve"> que implica que el despliegue de cobertura necesite de un número mucho más elevado de estaciones base para poder cubrir todo el territorio </w:t>
      </w:r>
      <w:r w:rsidR="003A4FE5" w:rsidRPr="00092A03">
        <w:rPr>
          <w:rFonts w:ascii="ITC Avant Garde" w:hAnsi="ITC Avant Garde"/>
          <w:lang w:val="es-ES"/>
        </w:rPr>
        <w:t xml:space="preserve">considerado </w:t>
      </w:r>
      <w:r w:rsidRPr="00092A03">
        <w:rPr>
          <w:rFonts w:ascii="ITC Avant Garde" w:hAnsi="ITC Avant Garde"/>
          <w:lang w:val="es-ES"/>
        </w:rPr>
        <w:t>dentro de la cobertura del operador</w:t>
      </w:r>
      <w:r w:rsidR="00785410" w:rsidRPr="00092A03">
        <w:rPr>
          <w:rFonts w:ascii="ITC Avant Garde" w:hAnsi="ITC Avant Garde"/>
          <w:lang w:val="es-ES"/>
        </w:rPr>
        <w:t xml:space="preserve"> hipotético. En particular, se necesitarían </w:t>
      </w:r>
      <w:r w:rsidR="003A4FE5" w:rsidRPr="00092A03">
        <w:rPr>
          <w:rFonts w:ascii="ITC Avant Garde" w:hAnsi="ITC Avant Garde"/>
          <w:lang w:val="es-ES"/>
        </w:rPr>
        <w:t xml:space="preserve">aproximadamente </w:t>
      </w:r>
      <w:r w:rsidR="00785410" w:rsidRPr="00092A03">
        <w:rPr>
          <w:rFonts w:ascii="ITC Avant Garde" w:hAnsi="ITC Avant Garde"/>
          <w:lang w:val="es-ES"/>
        </w:rPr>
        <w:t xml:space="preserve">entre dos y cinco sitios 3G en </w:t>
      </w:r>
      <w:r w:rsidR="007D493A" w:rsidRPr="00092A03">
        <w:rPr>
          <w:rFonts w:ascii="ITC Avant Garde" w:hAnsi="ITC Avant Garde"/>
          <w:lang w:val="es-ES"/>
        </w:rPr>
        <w:t>PCS (</w:t>
      </w:r>
      <w:r w:rsidR="00785410" w:rsidRPr="00092A03">
        <w:rPr>
          <w:rFonts w:ascii="ITC Avant Garde" w:hAnsi="ITC Avant Garde"/>
          <w:lang w:val="es-ES"/>
        </w:rPr>
        <w:t>1900MHz</w:t>
      </w:r>
      <w:r w:rsidR="007D493A" w:rsidRPr="00092A03">
        <w:rPr>
          <w:rFonts w:ascii="ITC Avant Garde" w:hAnsi="ITC Avant Garde"/>
          <w:lang w:val="es-ES"/>
        </w:rPr>
        <w:t>)</w:t>
      </w:r>
      <w:r w:rsidR="00785410" w:rsidRPr="00092A03">
        <w:rPr>
          <w:rFonts w:ascii="ITC Avant Garde" w:hAnsi="ITC Avant Garde"/>
          <w:lang w:val="es-ES"/>
        </w:rPr>
        <w:t xml:space="preserve">, dependiendo del </w:t>
      </w:r>
      <w:proofErr w:type="spellStart"/>
      <w:r w:rsidR="00785410" w:rsidRPr="00092A03">
        <w:rPr>
          <w:rFonts w:ascii="ITC Avant Garde" w:hAnsi="ITC Avant Garde"/>
          <w:lang w:val="es-ES"/>
        </w:rPr>
        <w:t>geotipo</w:t>
      </w:r>
      <w:proofErr w:type="spellEnd"/>
      <w:r w:rsidR="00785410" w:rsidRPr="00092A03">
        <w:rPr>
          <w:rFonts w:ascii="ITC Avant Garde" w:hAnsi="ITC Avant Garde"/>
          <w:lang w:val="es-ES"/>
        </w:rPr>
        <w:t xml:space="preserve">, para </w:t>
      </w:r>
      <w:r w:rsidR="007D493A" w:rsidRPr="00092A03">
        <w:rPr>
          <w:rFonts w:ascii="ITC Avant Garde" w:hAnsi="ITC Avant Garde"/>
          <w:lang w:val="es-ES"/>
        </w:rPr>
        <w:t xml:space="preserve">proveer una cobertura similar al de </w:t>
      </w:r>
      <w:r w:rsidR="00785410" w:rsidRPr="00092A03">
        <w:rPr>
          <w:rFonts w:ascii="ITC Avant Garde" w:hAnsi="ITC Avant Garde"/>
          <w:lang w:val="es-ES"/>
        </w:rPr>
        <w:t xml:space="preserve">una celda </w:t>
      </w:r>
      <w:r w:rsidR="007D493A" w:rsidRPr="00092A03">
        <w:rPr>
          <w:rFonts w:ascii="ITC Avant Garde" w:hAnsi="ITC Avant Garde"/>
          <w:lang w:val="es-ES"/>
        </w:rPr>
        <w:t xml:space="preserve">3G </w:t>
      </w:r>
      <w:r w:rsidR="00785410" w:rsidRPr="00092A03">
        <w:rPr>
          <w:rFonts w:ascii="ITC Avant Garde" w:hAnsi="ITC Avant Garde"/>
          <w:lang w:val="es-ES"/>
        </w:rPr>
        <w:t xml:space="preserve">en </w:t>
      </w:r>
      <w:r w:rsidR="007D493A" w:rsidRPr="00092A03">
        <w:rPr>
          <w:rFonts w:ascii="ITC Avant Garde" w:hAnsi="ITC Avant Garde"/>
          <w:lang w:val="es-ES"/>
        </w:rPr>
        <w:t>CEL (</w:t>
      </w:r>
      <w:r w:rsidR="00785410" w:rsidRPr="00092A03">
        <w:rPr>
          <w:rFonts w:ascii="ITC Avant Garde" w:hAnsi="ITC Avant Garde"/>
          <w:lang w:val="es-ES"/>
        </w:rPr>
        <w:t>850MHz</w:t>
      </w:r>
      <w:r w:rsidR="007D493A" w:rsidRPr="00092A03">
        <w:rPr>
          <w:rFonts w:ascii="ITC Avant Garde" w:hAnsi="ITC Avant Garde"/>
          <w:lang w:val="es-ES"/>
        </w:rPr>
        <w:t>)</w:t>
      </w:r>
      <w:r w:rsidR="00785410" w:rsidRPr="00092A03">
        <w:rPr>
          <w:rFonts w:ascii="ITC Avant Garde" w:hAnsi="ITC Avant Garde"/>
          <w:lang w:val="es-ES"/>
        </w:rPr>
        <w:t>.</w:t>
      </w:r>
      <w:r w:rsidRPr="00092A03">
        <w:rPr>
          <w:rFonts w:ascii="ITC Avant Garde" w:hAnsi="ITC Avant Garde"/>
          <w:lang w:val="es-ES"/>
        </w:rPr>
        <w:t xml:space="preserve"> </w:t>
      </w:r>
      <w:r w:rsidR="003A4FE5" w:rsidRPr="00092A03">
        <w:rPr>
          <w:rFonts w:ascii="ITC Avant Garde" w:hAnsi="ITC Avant Garde"/>
          <w:lang w:val="es-ES"/>
        </w:rPr>
        <w:t xml:space="preserve">Por ello, una red de cobertura desplegada en frecuencias PCS tendrá un </w:t>
      </w:r>
      <w:r w:rsidR="007D493A" w:rsidRPr="00092A03">
        <w:rPr>
          <w:rFonts w:ascii="ITC Avant Garde" w:hAnsi="ITC Avant Garde"/>
          <w:lang w:val="es-ES"/>
        </w:rPr>
        <w:t xml:space="preserve">mayor número de </w:t>
      </w:r>
      <w:r w:rsidR="00785410" w:rsidRPr="00092A03">
        <w:rPr>
          <w:rFonts w:ascii="ITC Avant Garde" w:hAnsi="ITC Avant Garde"/>
          <w:lang w:val="es-ES"/>
        </w:rPr>
        <w:t xml:space="preserve">sitios </w:t>
      </w:r>
      <w:r w:rsidR="003A4FE5" w:rsidRPr="00092A03">
        <w:rPr>
          <w:rFonts w:ascii="ITC Avant Garde" w:hAnsi="ITC Avant Garde"/>
          <w:lang w:val="es-ES"/>
        </w:rPr>
        <w:t xml:space="preserve">y por lo tanto </w:t>
      </w:r>
      <w:r w:rsidR="007D493A" w:rsidRPr="00092A03">
        <w:rPr>
          <w:rFonts w:ascii="ITC Avant Garde" w:hAnsi="ITC Avant Garde"/>
          <w:lang w:val="es-ES"/>
        </w:rPr>
        <w:t xml:space="preserve">una mayor </w:t>
      </w:r>
      <w:r w:rsidR="00785410" w:rsidRPr="00092A03">
        <w:rPr>
          <w:rFonts w:ascii="ITC Avant Garde" w:hAnsi="ITC Avant Garde"/>
          <w:lang w:val="es-ES"/>
        </w:rPr>
        <w:t>capacidad</w:t>
      </w:r>
      <w:r w:rsidR="007D493A" w:rsidRPr="00092A03">
        <w:rPr>
          <w:rFonts w:ascii="ITC Avant Garde" w:hAnsi="ITC Avant Garde"/>
          <w:lang w:val="es-ES"/>
        </w:rPr>
        <w:t xml:space="preserve">, por lo que se </w:t>
      </w:r>
      <w:r w:rsidR="00785410" w:rsidRPr="00092A03">
        <w:rPr>
          <w:rFonts w:ascii="ITC Avant Garde" w:hAnsi="ITC Avant Garde"/>
          <w:lang w:val="es-ES"/>
        </w:rPr>
        <w:t>reducen las posibilidades de requerir sitios adicionales 3G.</w:t>
      </w:r>
    </w:p>
    <w:p w14:paraId="57BC04CC" w14:textId="77777777" w:rsidR="00785410" w:rsidRPr="00092A03" w:rsidRDefault="00785410" w:rsidP="00785410">
      <w:pPr>
        <w:pStyle w:val="Listaconnmeros"/>
        <w:numPr>
          <w:ilvl w:val="0"/>
          <w:numId w:val="0"/>
        </w:numPr>
        <w:ind w:left="360"/>
        <w:rPr>
          <w:rFonts w:ascii="ITC Avant Garde" w:hAnsi="ITC Avant Garde"/>
          <w:lang w:val="es-ES"/>
        </w:rPr>
      </w:pPr>
    </w:p>
    <w:p w14:paraId="6310F9F2" w14:textId="1004EA21" w:rsidR="007D493A" w:rsidRPr="00092A03" w:rsidRDefault="007D493A" w:rsidP="007D493A">
      <w:pPr>
        <w:pStyle w:val="Listaconnmeros"/>
        <w:spacing w:after="0"/>
        <w:rPr>
          <w:rFonts w:ascii="ITC Avant Garde" w:hAnsi="ITC Avant Garde"/>
          <w:lang w:val="es-ES"/>
        </w:rPr>
      </w:pPr>
      <w:r w:rsidRPr="00092A03">
        <w:rPr>
          <w:rFonts w:ascii="ITC Avant Garde" w:hAnsi="ITC Avant Garde"/>
          <w:lang w:val="es-ES"/>
        </w:rPr>
        <w:t xml:space="preserve">El espectro disponible en la banda PCS (1900MHz) para el operador alternativo modelado (40.80MHz) permite el despliegue de hasta </w:t>
      </w:r>
      <w:r w:rsidR="008A3897" w:rsidRPr="00092A03">
        <w:rPr>
          <w:rFonts w:ascii="ITC Avant Garde" w:hAnsi="ITC Avant Garde"/>
          <w:lang w:val="es-ES"/>
        </w:rPr>
        <w:t xml:space="preserve">3 </w:t>
      </w:r>
      <w:r w:rsidRPr="00092A03">
        <w:rPr>
          <w:rFonts w:ascii="ITC Avant Garde" w:hAnsi="ITC Avant Garde"/>
          <w:lang w:val="es-ES"/>
        </w:rPr>
        <w:t>portadoras</w:t>
      </w:r>
      <w:r w:rsidR="008A3897" w:rsidRPr="00092A03">
        <w:rPr>
          <w:rFonts w:ascii="ITC Avant Garde" w:hAnsi="ITC Avant Garde"/>
          <w:lang w:val="es-ES"/>
        </w:rPr>
        <w:t xml:space="preserve"> para servicios</w:t>
      </w:r>
      <w:r w:rsidRPr="00092A03">
        <w:rPr>
          <w:rFonts w:ascii="ITC Avant Garde" w:hAnsi="ITC Avant Garde"/>
          <w:lang w:val="es-ES"/>
        </w:rPr>
        <w:t xml:space="preserve"> 3G</w:t>
      </w:r>
      <w:r w:rsidR="009F7FDC" w:rsidRPr="00092A03">
        <w:rPr>
          <w:rFonts w:ascii="ITC Avant Garde" w:hAnsi="ITC Avant Garde"/>
          <w:lang w:val="es-ES"/>
        </w:rPr>
        <w:t xml:space="preserve"> de voz y datos</w:t>
      </w:r>
      <w:r w:rsidRPr="00092A03">
        <w:rPr>
          <w:rFonts w:ascii="ITC Avant Garde" w:hAnsi="ITC Avant Garde"/>
          <w:lang w:val="es-ES"/>
        </w:rPr>
        <w:t xml:space="preserve"> (se reserva</w:t>
      </w:r>
      <w:r w:rsidR="0081793E" w:rsidRPr="00092A03">
        <w:rPr>
          <w:rFonts w:ascii="ITC Avant Garde" w:hAnsi="ITC Avant Garde"/>
          <w:lang w:val="es-ES"/>
        </w:rPr>
        <w:t xml:space="preserve"> </w:t>
      </w:r>
      <w:r w:rsidRPr="00092A03">
        <w:rPr>
          <w:rFonts w:ascii="ITC Avant Garde" w:hAnsi="ITC Avant Garde"/>
          <w:lang w:val="es-ES"/>
        </w:rPr>
        <w:t xml:space="preserve">1 portadora </w:t>
      </w:r>
      <w:r w:rsidR="008A3897" w:rsidRPr="00092A03">
        <w:rPr>
          <w:rFonts w:ascii="ITC Avant Garde" w:hAnsi="ITC Avant Garde"/>
          <w:lang w:val="es-ES"/>
        </w:rPr>
        <w:t>para capacidad de la red GSM en 1900MHz</w:t>
      </w:r>
      <w:r w:rsidRPr="00092A03">
        <w:rPr>
          <w:rFonts w:ascii="ITC Avant Garde" w:hAnsi="ITC Avant Garde"/>
          <w:lang w:val="es-ES"/>
        </w:rPr>
        <w:t>)</w:t>
      </w:r>
      <w:r w:rsidR="008A3897" w:rsidRPr="00092A03">
        <w:rPr>
          <w:rFonts w:ascii="ITC Avant Garde" w:hAnsi="ITC Avant Garde"/>
          <w:lang w:val="es-ES"/>
        </w:rPr>
        <w:t>,</w:t>
      </w:r>
      <w:r w:rsidRPr="00092A03">
        <w:rPr>
          <w:rFonts w:ascii="ITC Avant Garde" w:hAnsi="ITC Avant Garde"/>
          <w:lang w:val="es-ES"/>
        </w:rPr>
        <w:t xml:space="preserve"> lo que supone una cantidad significativa de espectro. Esto se ve confirmado por </w:t>
      </w:r>
      <w:r w:rsidR="0081793E" w:rsidRPr="00092A03">
        <w:rPr>
          <w:rFonts w:ascii="ITC Avant Garde" w:hAnsi="ITC Avant Garde"/>
          <w:lang w:val="es-ES"/>
        </w:rPr>
        <w:t xml:space="preserve">el mismo </w:t>
      </w:r>
      <w:r w:rsidRPr="00092A03">
        <w:rPr>
          <w:rFonts w:ascii="ITC Avant Garde" w:hAnsi="ITC Avant Garde"/>
          <w:lang w:val="es-ES"/>
        </w:rPr>
        <w:t xml:space="preserve">operador cuando menciona que no es necesario el despliegue de una tercera portadora en la totalidad de territorio y que un despliegue de 2 portadoras es </w:t>
      </w:r>
      <w:r w:rsidR="00837D1B" w:rsidRPr="00092A03">
        <w:rPr>
          <w:rFonts w:ascii="ITC Avant Garde" w:hAnsi="ITC Avant Garde"/>
          <w:lang w:val="es-ES"/>
        </w:rPr>
        <w:t>más representativo</w:t>
      </w:r>
      <w:r w:rsidRPr="00092A03">
        <w:rPr>
          <w:rFonts w:ascii="ITC Avant Garde" w:hAnsi="ITC Avant Garde"/>
          <w:lang w:val="es-ES"/>
        </w:rPr>
        <w:t xml:space="preserve"> de la realidad de México</w:t>
      </w:r>
      <w:r w:rsidR="0081793E" w:rsidRPr="00092A03">
        <w:rPr>
          <w:rFonts w:ascii="ITC Avant Garde" w:hAnsi="ITC Avant Garde"/>
          <w:lang w:val="es-ES"/>
        </w:rPr>
        <w:t xml:space="preserve">. Esto </w:t>
      </w:r>
      <w:r w:rsidRPr="00092A03">
        <w:rPr>
          <w:rFonts w:ascii="ITC Avant Garde" w:hAnsi="ITC Avant Garde"/>
          <w:lang w:val="es-ES"/>
        </w:rPr>
        <w:t xml:space="preserve">tiende a confirmar </w:t>
      </w:r>
      <w:r w:rsidR="0081793E" w:rsidRPr="00092A03">
        <w:rPr>
          <w:rFonts w:ascii="ITC Avant Garde" w:hAnsi="ITC Avant Garde"/>
          <w:lang w:val="es-ES"/>
        </w:rPr>
        <w:t xml:space="preserve">que el operador tiene una proporción </w:t>
      </w:r>
      <w:r w:rsidRPr="00092A03">
        <w:rPr>
          <w:rFonts w:ascii="ITC Avant Garde" w:hAnsi="ITC Avant Garde"/>
          <w:lang w:val="es-ES"/>
        </w:rPr>
        <w:t>importante de exces</w:t>
      </w:r>
      <w:r w:rsidR="0081793E" w:rsidRPr="00092A03">
        <w:rPr>
          <w:rFonts w:ascii="ITC Avant Garde" w:hAnsi="ITC Avant Garde"/>
          <w:lang w:val="es-ES"/>
        </w:rPr>
        <w:t xml:space="preserve">o de capacidad </w:t>
      </w:r>
      <w:r w:rsidRPr="00092A03">
        <w:rPr>
          <w:rFonts w:ascii="ITC Avant Garde" w:hAnsi="ITC Avant Garde"/>
          <w:lang w:val="es-ES"/>
        </w:rPr>
        <w:t>en su red de acceso.</w:t>
      </w:r>
    </w:p>
    <w:p w14:paraId="1D51B213" w14:textId="77777777" w:rsidR="007D493A" w:rsidRPr="00092A03" w:rsidRDefault="007D493A" w:rsidP="00D21814">
      <w:pPr>
        <w:pStyle w:val="Listaconnmeros"/>
        <w:numPr>
          <w:ilvl w:val="0"/>
          <w:numId w:val="0"/>
        </w:numPr>
        <w:spacing w:after="0"/>
        <w:ind w:left="360"/>
        <w:rPr>
          <w:rFonts w:ascii="ITC Avant Garde" w:hAnsi="ITC Avant Garde"/>
          <w:lang w:val="es-ES"/>
        </w:rPr>
      </w:pPr>
    </w:p>
    <w:p w14:paraId="622951BA" w14:textId="77777777" w:rsidR="009F7FDC" w:rsidRPr="00092A03" w:rsidRDefault="00785410" w:rsidP="00E2652C">
      <w:pPr>
        <w:pStyle w:val="Listaconnmeros"/>
        <w:rPr>
          <w:rFonts w:ascii="ITC Avant Garde" w:hAnsi="ITC Avant Garde"/>
          <w:lang w:val="es-ES_tradnl"/>
        </w:rPr>
      </w:pPr>
      <w:r w:rsidRPr="00092A03">
        <w:rPr>
          <w:rFonts w:ascii="ITC Avant Garde" w:hAnsi="ITC Avant Garde"/>
          <w:lang w:val="es-ES_tradnl"/>
        </w:rPr>
        <w:t xml:space="preserve">La introducción de </w:t>
      </w:r>
      <w:proofErr w:type="spellStart"/>
      <w:r w:rsidRPr="00092A03">
        <w:rPr>
          <w:rFonts w:ascii="ITC Avant Garde" w:hAnsi="ITC Avant Garde"/>
          <w:lang w:val="es-ES_tradnl"/>
        </w:rPr>
        <w:t>geotipos</w:t>
      </w:r>
      <w:proofErr w:type="spellEnd"/>
      <w:r w:rsidRPr="00092A03">
        <w:rPr>
          <w:rFonts w:ascii="ITC Avant Garde" w:hAnsi="ITC Avant Garde"/>
          <w:lang w:val="es-ES_tradnl"/>
        </w:rPr>
        <w:t xml:space="preserve"> – urbano, suburbano y rural –simplifica </w:t>
      </w:r>
      <w:r w:rsidR="007D493A" w:rsidRPr="00092A03">
        <w:rPr>
          <w:rFonts w:ascii="ITC Avant Garde" w:hAnsi="ITC Avant Garde"/>
          <w:lang w:val="es-ES_tradnl"/>
        </w:rPr>
        <w:t xml:space="preserve">el modelado </w:t>
      </w:r>
      <w:r w:rsidRPr="00092A03">
        <w:rPr>
          <w:rFonts w:ascii="ITC Avant Garde" w:hAnsi="ITC Avant Garde"/>
          <w:lang w:val="es-ES_tradnl"/>
        </w:rPr>
        <w:t>geográfic</w:t>
      </w:r>
      <w:r w:rsidR="007D493A" w:rsidRPr="00092A03">
        <w:rPr>
          <w:rFonts w:ascii="ITC Avant Garde" w:hAnsi="ITC Avant Garde"/>
          <w:lang w:val="es-ES_tradnl"/>
        </w:rPr>
        <w:t xml:space="preserve">o </w:t>
      </w:r>
      <w:r w:rsidR="006A32F2" w:rsidRPr="00092A03">
        <w:rPr>
          <w:rFonts w:ascii="ITC Avant Garde" w:hAnsi="ITC Avant Garde"/>
          <w:lang w:val="es-ES_tradnl"/>
        </w:rPr>
        <w:t>e implica</w:t>
      </w:r>
      <w:r w:rsidR="0081793E" w:rsidRPr="00092A03">
        <w:rPr>
          <w:rFonts w:ascii="ITC Avant Garde" w:hAnsi="ITC Avant Garde"/>
          <w:lang w:val="es-ES_tradnl"/>
        </w:rPr>
        <w:t xml:space="preserve"> </w:t>
      </w:r>
      <w:r w:rsidR="007D493A" w:rsidRPr="00092A03">
        <w:rPr>
          <w:rFonts w:ascii="ITC Avant Garde" w:hAnsi="ITC Avant Garde"/>
          <w:lang w:val="es-ES_tradnl"/>
        </w:rPr>
        <w:t xml:space="preserve">el uso </w:t>
      </w:r>
      <w:r w:rsidR="001B1EFC" w:rsidRPr="00092A03">
        <w:rPr>
          <w:rFonts w:ascii="ITC Avant Garde" w:hAnsi="ITC Avant Garde"/>
          <w:lang w:val="es-ES_tradnl"/>
        </w:rPr>
        <w:t xml:space="preserve">de un tráfico medio en cada </w:t>
      </w:r>
      <w:proofErr w:type="spellStart"/>
      <w:r w:rsidR="001B1EFC" w:rsidRPr="00092A03">
        <w:rPr>
          <w:rFonts w:ascii="ITC Avant Garde" w:hAnsi="ITC Avant Garde"/>
          <w:lang w:val="es-ES_tradnl"/>
        </w:rPr>
        <w:t>geotipo</w:t>
      </w:r>
      <w:proofErr w:type="spellEnd"/>
      <w:r w:rsidR="001B1EFC" w:rsidRPr="00092A03">
        <w:rPr>
          <w:rFonts w:ascii="ITC Avant Garde" w:hAnsi="ITC Avant Garde"/>
          <w:lang w:val="es-ES_tradnl"/>
        </w:rPr>
        <w:t xml:space="preserve">. </w:t>
      </w:r>
      <w:r w:rsidR="0044264A" w:rsidRPr="00092A03">
        <w:rPr>
          <w:rFonts w:ascii="ITC Avant Garde" w:hAnsi="ITC Avant Garde"/>
          <w:lang w:val="es-ES_tradnl"/>
        </w:rPr>
        <w:t xml:space="preserve">El resultado es que los </w:t>
      </w:r>
      <w:r w:rsidR="001B1EFC" w:rsidRPr="00092A03">
        <w:rPr>
          <w:rFonts w:ascii="ITC Avant Garde" w:hAnsi="ITC Avant Garde"/>
          <w:lang w:val="es-ES_tradnl"/>
        </w:rPr>
        <w:t xml:space="preserve">picos de tráfico que </w:t>
      </w:r>
      <w:r w:rsidR="007D493A" w:rsidRPr="00092A03">
        <w:rPr>
          <w:rFonts w:ascii="ITC Avant Garde" w:hAnsi="ITC Avant Garde"/>
          <w:lang w:val="es-ES_tradnl"/>
        </w:rPr>
        <w:t xml:space="preserve">puedan </w:t>
      </w:r>
      <w:r w:rsidR="001B1EFC" w:rsidRPr="00092A03">
        <w:rPr>
          <w:rFonts w:ascii="ITC Avant Garde" w:hAnsi="ITC Avant Garde"/>
          <w:lang w:val="es-ES_tradnl"/>
        </w:rPr>
        <w:t xml:space="preserve">aparecer </w:t>
      </w:r>
      <w:r w:rsidR="007D493A" w:rsidRPr="00092A03">
        <w:rPr>
          <w:rFonts w:ascii="ITC Avant Garde" w:hAnsi="ITC Avant Garde"/>
          <w:lang w:val="es-ES_tradnl"/>
        </w:rPr>
        <w:t xml:space="preserve">como resultado de una </w:t>
      </w:r>
      <w:r w:rsidR="001B1EFC" w:rsidRPr="00092A03">
        <w:rPr>
          <w:rFonts w:ascii="ITC Avant Garde" w:hAnsi="ITC Avant Garde"/>
          <w:lang w:val="es-ES_tradnl"/>
        </w:rPr>
        <w:t>concentración de usuarios</w:t>
      </w:r>
      <w:r w:rsidR="0044264A" w:rsidRPr="00092A03">
        <w:rPr>
          <w:rFonts w:ascii="ITC Avant Garde" w:hAnsi="ITC Avant Garde"/>
          <w:lang w:val="es-ES_tradnl"/>
        </w:rPr>
        <w:t xml:space="preserve"> se suavizan en el modelo</w:t>
      </w:r>
      <w:r w:rsidR="001B1EFC" w:rsidRPr="00092A03">
        <w:rPr>
          <w:rFonts w:ascii="ITC Avant Garde" w:hAnsi="ITC Avant Garde"/>
          <w:lang w:val="es-ES_tradnl"/>
        </w:rPr>
        <w:t xml:space="preserve">, ya que estos picos se </w:t>
      </w:r>
      <w:r w:rsidR="007D493A" w:rsidRPr="00092A03">
        <w:rPr>
          <w:rFonts w:ascii="ITC Avant Garde" w:hAnsi="ITC Avant Garde"/>
          <w:lang w:val="es-ES_tradnl"/>
        </w:rPr>
        <w:t xml:space="preserve">compensan </w:t>
      </w:r>
      <w:r w:rsidR="001B1EFC" w:rsidRPr="00092A03">
        <w:rPr>
          <w:rFonts w:ascii="ITC Avant Garde" w:hAnsi="ITC Avant Garde"/>
          <w:lang w:val="es-ES_tradnl"/>
        </w:rPr>
        <w:t xml:space="preserve">con el menor tráfico observado en otras zonas del </w:t>
      </w:r>
      <w:proofErr w:type="spellStart"/>
      <w:r w:rsidR="001B1EFC" w:rsidRPr="00092A03">
        <w:rPr>
          <w:rFonts w:ascii="ITC Avant Garde" w:hAnsi="ITC Avant Garde"/>
          <w:lang w:val="es-ES_tradnl"/>
        </w:rPr>
        <w:t>geotipo</w:t>
      </w:r>
      <w:proofErr w:type="spellEnd"/>
      <w:r w:rsidR="001B1EFC" w:rsidRPr="00092A03">
        <w:rPr>
          <w:rFonts w:ascii="ITC Avant Garde" w:hAnsi="ITC Avant Garde"/>
          <w:lang w:val="es-ES_tradnl"/>
        </w:rPr>
        <w:t xml:space="preserve">. </w:t>
      </w:r>
      <w:r w:rsidR="00786571" w:rsidRPr="00092A03">
        <w:rPr>
          <w:rFonts w:ascii="ITC Avant Garde" w:hAnsi="ITC Avant Garde"/>
          <w:lang w:val="es-ES_tradnl"/>
        </w:rPr>
        <w:t xml:space="preserve">En el caso del modelo actual, la capacidad provista por la red de cobertura es suficiente para transportar todo el tráfico </w:t>
      </w:r>
      <w:r w:rsidR="00786571" w:rsidRPr="00092A03">
        <w:rPr>
          <w:rFonts w:ascii="ITC Avant Garde" w:hAnsi="ITC Avant Garde"/>
          <w:i/>
          <w:lang w:val="es-ES_tradnl"/>
        </w:rPr>
        <w:t xml:space="preserve">medio </w:t>
      </w:r>
      <w:r w:rsidR="00786571" w:rsidRPr="00092A03">
        <w:rPr>
          <w:rFonts w:ascii="ITC Avant Garde" w:hAnsi="ITC Avant Garde"/>
          <w:lang w:val="es-ES_tradnl"/>
        </w:rPr>
        <w:t xml:space="preserve">del operador en los tres </w:t>
      </w:r>
      <w:proofErr w:type="spellStart"/>
      <w:r w:rsidR="00786571" w:rsidRPr="00092A03">
        <w:rPr>
          <w:rFonts w:ascii="ITC Avant Garde" w:hAnsi="ITC Avant Garde"/>
          <w:lang w:val="es-ES_tradnl"/>
        </w:rPr>
        <w:t>geotipos</w:t>
      </w:r>
      <w:proofErr w:type="spellEnd"/>
      <w:r w:rsidR="00786571" w:rsidRPr="00092A03">
        <w:rPr>
          <w:rFonts w:ascii="ITC Avant Garde" w:hAnsi="ITC Avant Garde"/>
          <w:lang w:val="es-ES_tradnl"/>
        </w:rPr>
        <w:t xml:space="preserve"> por las razones indicadas en el punto 1 y 2</w:t>
      </w:r>
      <w:r w:rsidR="001B1EFC" w:rsidRPr="00092A03">
        <w:rPr>
          <w:rFonts w:ascii="ITC Avant Garde" w:hAnsi="ITC Avant Garde"/>
          <w:lang w:val="es-ES_tradnl"/>
        </w:rPr>
        <w:t>.</w:t>
      </w:r>
    </w:p>
    <w:p w14:paraId="663129B4" w14:textId="3307277A" w:rsidR="00571820" w:rsidRPr="00092A03" w:rsidRDefault="006B0365">
      <w:pPr>
        <w:rPr>
          <w:rFonts w:ascii="ITC Avant Garde" w:hAnsi="ITC Avant Garde"/>
          <w:spacing w:val="-4"/>
          <w:lang w:val="es-ES"/>
        </w:rPr>
      </w:pPr>
      <w:r w:rsidRPr="00092A03">
        <w:rPr>
          <w:rFonts w:ascii="ITC Avant Garde" w:hAnsi="ITC Avant Garde"/>
          <w:spacing w:val="-4"/>
          <w:lang w:val="es-ES"/>
        </w:rPr>
        <w:t xml:space="preserve">Telefónica </w:t>
      </w:r>
      <w:r w:rsidR="00571820" w:rsidRPr="00092A03">
        <w:rPr>
          <w:rFonts w:ascii="ITC Avant Garde" w:hAnsi="ITC Avant Garde"/>
          <w:spacing w:val="-4"/>
          <w:lang w:val="es-ES"/>
        </w:rPr>
        <w:t xml:space="preserve">menciona que </w:t>
      </w:r>
      <w:r w:rsidR="00B009F1" w:rsidRPr="00092A03">
        <w:rPr>
          <w:rFonts w:ascii="ITC Avant Garde" w:hAnsi="ITC Avant Garde"/>
          <w:spacing w:val="-4"/>
          <w:lang w:val="es-ES"/>
        </w:rPr>
        <w:t>las fechas de despliegue y lanzamiento</w:t>
      </w:r>
      <w:r w:rsidR="00571820" w:rsidRPr="00092A03">
        <w:rPr>
          <w:rFonts w:ascii="ITC Avant Garde" w:hAnsi="ITC Avant Garde"/>
          <w:spacing w:val="-4"/>
          <w:lang w:val="es-ES"/>
        </w:rPr>
        <w:t xml:space="preserve"> se modifican con respecto a modelos anteriores. C</w:t>
      </w:r>
      <w:r w:rsidR="00397F7A" w:rsidRPr="00092A03">
        <w:rPr>
          <w:rFonts w:ascii="ITC Avant Garde" w:hAnsi="ITC Avant Garde"/>
          <w:spacing w:val="-4"/>
          <w:lang w:val="es-ES"/>
        </w:rPr>
        <w:t>omo</w:t>
      </w:r>
      <w:r w:rsidR="006A32F2" w:rsidRPr="00092A03">
        <w:rPr>
          <w:rFonts w:ascii="ITC Avant Garde" w:hAnsi="ITC Avant Garde"/>
          <w:spacing w:val="-4"/>
          <w:lang w:val="es-ES"/>
        </w:rPr>
        <w:t xml:space="preserve"> se ha</w:t>
      </w:r>
      <w:r w:rsidR="00397F7A" w:rsidRPr="00092A03">
        <w:rPr>
          <w:rFonts w:ascii="ITC Avant Garde" w:hAnsi="ITC Avant Garde"/>
          <w:spacing w:val="-4"/>
          <w:lang w:val="es-ES"/>
        </w:rPr>
        <w:t xml:space="preserve"> mencionado, </w:t>
      </w:r>
      <w:r w:rsidR="00786571" w:rsidRPr="00092A03">
        <w:rPr>
          <w:rFonts w:ascii="ITC Avant Garde" w:hAnsi="ITC Avant Garde"/>
          <w:spacing w:val="-4"/>
          <w:lang w:val="es-ES"/>
        </w:rPr>
        <w:t xml:space="preserve">se modela un operador hipotético y no se pretende modelar la </w:t>
      </w:r>
      <w:r w:rsidR="00397F7A" w:rsidRPr="00092A03">
        <w:rPr>
          <w:rFonts w:ascii="ITC Avant Garde" w:hAnsi="ITC Avant Garde"/>
          <w:spacing w:val="-4"/>
          <w:lang w:val="es-ES"/>
        </w:rPr>
        <w:t>realidad de un operador existente</w:t>
      </w:r>
      <w:r w:rsidR="001B104F" w:rsidRPr="00092A03">
        <w:rPr>
          <w:rFonts w:ascii="ITC Avant Garde" w:hAnsi="ITC Avant Garde"/>
          <w:spacing w:val="-4"/>
          <w:lang w:val="es-ES"/>
        </w:rPr>
        <w:t>, ni replicar sus ineficiencias</w:t>
      </w:r>
      <w:r w:rsidR="004523E4" w:rsidRPr="00092A03">
        <w:rPr>
          <w:rFonts w:ascii="ITC Avant Garde" w:hAnsi="ITC Avant Garde"/>
          <w:spacing w:val="-4"/>
          <w:lang w:val="es-ES"/>
        </w:rPr>
        <w:t xml:space="preserve"> funcionales inherentes</w:t>
      </w:r>
      <w:r w:rsidR="00786571" w:rsidRPr="00092A03">
        <w:rPr>
          <w:rFonts w:ascii="ITC Avant Garde" w:hAnsi="ITC Avant Garde"/>
          <w:spacing w:val="-4"/>
          <w:lang w:val="es-ES"/>
        </w:rPr>
        <w:t>.</w:t>
      </w:r>
      <w:r w:rsidR="001B104F" w:rsidRPr="00092A03">
        <w:rPr>
          <w:rFonts w:ascii="ITC Avant Garde" w:hAnsi="ITC Avant Garde"/>
          <w:spacing w:val="-4"/>
          <w:lang w:val="es-ES"/>
        </w:rPr>
        <w:t xml:space="preserve"> </w:t>
      </w:r>
      <w:r w:rsidR="004523E4" w:rsidRPr="00092A03">
        <w:rPr>
          <w:rFonts w:ascii="ITC Avant Garde" w:hAnsi="ITC Avant Garde"/>
          <w:spacing w:val="-4"/>
          <w:lang w:val="es-ES"/>
        </w:rPr>
        <w:t>Sólo se tienen en cuenta las ineficiencias asociadas al mercado</w:t>
      </w:r>
      <w:r w:rsidR="00DF7584" w:rsidRPr="00092A03">
        <w:rPr>
          <w:rFonts w:ascii="ITC Avant Garde" w:hAnsi="ITC Avant Garde"/>
          <w:spacing w:val="-4"/>
          <w:lang w:val="es-ES"/>
        </w:rPr>
        <w:t xml:space="preserve"> o</w:t>
      </w:r>
      <w:r w:rsidR="004523E4" w:rsidRPr="00092A03">
        <w:rPr>
          <w:rFonts w:ascii="ITC Avant Garde" w:hAnsi="ITC Avant Garde"/>
          <w:spacing w:val="-4"/>
          <w:lang w:val="es-ES"/>
        </w:rPr>
        <w:t xml:space="preserve"> a otros parámetros fuera de su control (p.ej. ineficiencias en el despliegue de la red móvil).</w:t>
      </w:r>
    </w:p>
    <w:p w14:paraId="0719D621" w14:textId="77777777" w:rsidR="0011367E" w:rsidRPr="00092A03" w:rsidRDefault="001B104F">
      <w:pPr>
        <w:rPr>
          <w:rFonts w:ascii="ITC Avant Garde" w:hAnsi="ITC Avant Garde"/>
          <w:spacing w:val="-4"/>
          <w:lang w:val="es-ES"/>
        </w:rPr>
      </w:pPr>
      <w:r w:rsidRPr="00092A03">
        <w:rPr>
          <w:rFonts w:ascii="ITC Avant Garde" w:hAnsi="ITC Avant Garde"/>
          <w:spacing w:val="-4"/>
          <w:lang w:val="es-ES"/>
        </w:rPr>
        <w:t xml:space="preserve">Por otro lado, Telefónica menciona explícitamente que las fechas de lanzamiento no son consistentes con las fechas de lanzamiento de los operadores mexicanos, lo que resulta, según ellos, en graves problemas de consistencia en los supuestos realizados. </w:t>
      </w:r>
      <w:r w:rsidR="00571820" w:rsidRPr="00092A03">
        <w:rPr>
          <w:rFonts w:ascii="ITC Avant Garde" w:hAnsi="ITC Avant Garde"/>
          <w:spacing w:val="-4"/>
          <w:lang w:val="es-ES"/>
        </w:rPr>
        <w:t xml:space="preserve">La </w:t>
      </w:r>
      <w:r w:rsidR="00571820" w:rsidRPr="00092A03">
        <w:rPr>
          <w:rFonts w:ascii="ITC Avant Garde" w:hAnsi="ITC Avant Garde"/>
          <w:spacing w:val="-4"/>
          <w:lang w:val="es-ES"/>
        </w:rPr>
        <w:lastRenderedPageBreak/>
        <w:t xml:space="preserve">fecha de lanzamiento en el caso presente no está </w:t>
      </w:r>
      <w:r w:rsidR="006A32F2" w:rsidRPr="00092A03">
        <w:rPr>
          <w:rFonts w:ascii="ITC Avant Garde" w:hAnsi="ITC Avant Garde"/>
          <w:spacing w:val="-4"/>
          <w:lang w:val="es-ES"/>
        </w:rPr>
        <w:t>basada</w:t>
      </w:r>
      <w:r w:rsidR="00571820" w:rsidRPr="00092A03">
        <w:rPr>
          <w:rFonts w:ascii="ITC Avant Garde" w:hAnsi="ITC Avant Garde"/>
          <w:spacing w:val="-4"/>
          <w:lang w:val="es-ES"/>
        </w:rPr>
        <w:t xml:space="preserve"> en los lanzamientos de los operadores del mercado, por lo que su fijación es – por definición – arbitraria.</w:t>
      </w:r>
    </w:p>
    <w:p w14:paraId="05386D82" w14:textId="77777777" w:rsidR="003362BA" w:rsidRPr="00092A03" w:rsidRDefault="00786571" w:rsidP="003362BA">
      <w:pPr>
        <w:rPr>
          <w:rFonts w:ascii="ITC Avant Garde" w:hAnsi="ITC Avant Garde"/>
          <w:spacing w:val="-4"/>
          <w:lang w:val="es-ES"/>
        </w:rPr>
      </w:pPr>
      <w:r w:rsidRPr="00092A03">
        <w:rPr>
          <w:rFonts w:ascii="ITC Avant Garde" w:hAnsi="ITC Avant Garde"/>
          <w:spacing w:val="-4"/>
          <w:lang w:val="es-ES"/>
        </w:rPr>
        <w:t>Independientemente</w:t>
      </w:r>
      <w:r w:rsidR="00571820" w:rsidRPr="00092A03">
        <w:rPr>
          <w:rFonts w:ascii="ITC Avant Garde" w:hAnsi="ITC Avant Garde"/>
          <w:spacing w:val="-4"/>
          <w:lang w:val="es-ES"/>
        </w:rPr>
        <w:t xml:space="preserve"> de lo anterior</w:t>
      </w:r>
      <w:r w:rsidRPr="00092A03">
        <w:rPr>
          <w:rFonts w:ascii="ITC Avant Garde" w:hAnsi="ITC Avant Garde"/>
          <w:spacing w:val="-4"/>
          <w:lang w:val="es-ES"/>
        </w:rPr>
        <w:t>, el uso de la depreciación económica hace que el alargar artificialmente el despliegue</w:t>
      </w:r>
      <w:r w:rsidR="0011367E" w:rsidRPr="00092A03">
        <w:rPr>
          <w:rFonts w:ascii="ITC Avant Garde" w:hAnsi="ITC Avant Garde"/>
          <w:spacing w:val="-4"/>
          <w:lang w:val="es-ES"/>
        </w:rPr>
        <w:t xml:space="preserve"> de la red, adelantando las fechas de comienzo del despliegue,</w:t>
      </w:r>
      <w:r w:rsidRPr="00092A03">
        <w:rPr>
          <w:rFonts w:ascii="ITC Avant Garde" w:hAnsi="ITC Avant Garde"/>
          <w:spacing w:val="-4"/>
          <w:lang w:val="es-ES"/>
        </w:rPr>
        <w:t xml:space="preserve"> tendría un impacto </w:t>
      </w:r>
      <w:r w:rsidR="00397F7A" w:rsidRPr="00092A03">
        <w:rPr>
          <w:rFonts w:ascii="ITC Avant Garde" w:hAnsi="ITC Avant Garde"/>
          <w:spacing w:val="-4"/>
          <w:lang w:val="es-ES"/>
        </w:rPr>
        <w:t xml:space="preserve">mínimo </w:t>
      </w:r>
      <w:r w:rsidRPr="00092A03">
        <w:rPr>
          <w:rFonts w:ascii="ITC Avant Garde" w:hAnsi="ITC Avant Garde"/>
          <w:spacing w:val="-4"/>
          <w:lang w:val="es-ES"/>
        </w:rPr>
        <w:t xml:space="preserve">en </w:t>
      </w:r>
      <w:r w:rsidR="00397F7A" w:rsidRPr="00092A03">
        <w:rPr>
          <w:rFonts w:ascii="ITC Avant Garde" w:hAnsi="ITC Avant Garde"/>
          <w:spacing w:val="-4"/>
          <w:lang w:val="es-ES"/>
        </w:rPr>
        <w:t>los resultados del modelo.</w:t>
      </w:r>
      <w:r w:rsidR="0011367E" w:rsidRPr="00092A03">
        <w:rPr>
          <w:rFonts w:ascii="ITC Avant Garde" w:hAnsi="ITC Avant Garde"/>
          <w:spacing w:val="-4"/>
          <w:lang w:val="es-ES"/>
        </w:rPr>
        <w:t xml:space="preserve"> Por otra parte, y por añadir un ejemplo, el consorcio </w:t>
      </w:r>
      <w:proofErr w:type="spellStart"/>
      <w:r w:rsidR="0011367E" w:rsidRPr="00092A03">
        <w:rPr>
          <w:rFonts w:ascii="ITC Avant Garde" w:hAnsi="ITC Avant Garde"/>
          <w:spacing w:val="-4"/>
          <w:lang w:val="es-ES"/>
        </w:rPr>
        <w:t>Altán</w:t>
      </w:r>
      <w:proofErr w:type="spellEnd"/>
      <w:r w:rsidR="0011367E" w:rsidRPr="00092A03">
        <w:rPr>
          <w:rFonts w:ascii="ITC Avant Garde" w:hAnsi="ITC Avant Garde"/>
          <w:spacing w:val="-4"/>
          <w:lang w:val="es-ES"/>
        </w:rPr>
        <w:t xml:space="preserve">, ganador del concurso para la construcción de la red pública mayorista, se comprometió a desplegar una red de cobertura del 92.2% en cinco años, dos años menos que los requeridos en el modelo móvil para llegar a la máxima cobertura desplegada en cada tecnología, que en todos los casos es menor que el 92.2% mencionado anteriormente. </w:t>
      </w:r>
    </w:p>
    <w:p w14:paraId="23AD28CC" w14:textId="1A4D65DF" w:rsidR="00D81961" w:rsidRPr="00092A03" w:rsidRDefault="007B5AF2" w:rsidP="002B648A">
      <w:pPr>
        <w:pStyle w:val="Ttulo2"/>
        <w:numPr>
          <w:ilvl w:val="0"/>
          <w:numId w:val="0"/>
        </w:numPr>
        <w:rPr>
          <w:rFonts w:ascii="ITC Avant Garde" w:hAnsi="ITC Avant Garde"/>
          <w:lang w:val="es-MX"/>
        </w:rPr>
      </w:pPr>
      <w:r w:rsidRPr="00092A03">
        <w:rPr>
          <w:rFonts w:ascii="ITC Avant Garde" w:hAnsi="ITC Avant Garde"/>
          <w:lang w:val="es-MX"/>
        </w:rPr>
        <w:t xml:space="preserve">Concepto propuesto </w:t>
      </w:r>
      <w:r w:rsidRPr="00092A03">
        <w:rPr>
          <w:rFonts w:ascii="ITC Avant Garde" w:hAnsi="ITC Avant Garde"/>
        </w:rPr>
        <w:fldChar w:fldCharType="begin"/>
      </w:r>
      <w:r w:rsidRPr="00092A03">
        <w:rPr>
          <w:rFonts w:ascii="ITC Avant Garde" w:hAnsi="ITC Avant Garde"/>
          <w:lang w:val="es-MX"/>
        </w:rPr>
        <w:instrText xml:space="preserve"> SEQ Recommendation \* ARABIC \s 0 </w:instrText>
      </w:r>
      <w:r w:rsidRPr="00092A03">
        <w:rPr>
          <w:rFonts w:ascii="ITC Avant Garde" w:hAnsi="ITC Avant Garde"/>
        </w:rPr>
        <w:fldChar w:fldCharType="separate"/>
      </w:r>
      <w:r w:rsidR="00296386" w:rsidRPr="00092A03">
        <w:rPr>
          <w:rFonts w:ascii="ITC Avant Garde" w:hAnsi="ITC Avant Garde"/>
          <w:lang w:val="es-MX"/>
        </w:rPr>
        <w:t>5</w:t>
      </w:r>
      <w:r w:rsidRPr="00092A03">
        <w:rPr>
          <w:rFonts w:ascii="ITC Avant Garde" w:hAnsi="ITC Avant Garde"/>
        </w:rPr>
        <w:fldChar w:fldCharType="end"/>
      </w:r>
    </w:p>
    <w:p w14:paraId="47032018" w14:textId="4502DFB8" w:rsidR="007B5AF2" w:rsidRPr="00092A03" w:rsidRDefault="007B5AF2" w:rsidP="00D81961">
      <w:pPr>
        <w:pStyle w:val="B1"/>
        <w:pBdr>
          <w:top w:val="single" w:sz="4" w:space="2" w:color="D9D9D9" w:themeColor="background1" w:themeShade="D9"/>
          <w:bottom w:val="single" w:sz="4" w:space="5" w:color="D9D9D9" w:themeColor="background1" w:themeShade="D9"/>
        </w:pBdr>
        <w:spacing w:after="0"/>
        <w:ind w:left="0" w:right="0"/>
        <w:rPr>
          <w:rFonts w:ascii="ITC Avant Garde" w:hAnsi="ITC Avant Garde"/>
          <w:b/>
          <w:bCs/>
          <w:lang w:val="es-ES"/>
        </w:rPr>
      </w:pPr>
      <w:r w:rsidRPr="00092A03">
        <w:rPr>
          <w:rFonts w:ascii="ITC Avant Garde" w:hAnsi="ITC Avant Garde"/>
          <w:bCs/>
          <w:lang w:val="es-ES"/>
        </w:rPr>
        <w:t xml:space="preserve">La cuota de mercado del operador modelado incluye los usuarios de proveedores de servicios alternativos (p.ej. </w:t>
      </w:r>
      <w:proofErr w:type="spellStart"/>
      <w:r w:rsidRPr="00092A03">
        <w:rPr>
          <w:rFonts w:ascii="ITC Avant Garde" w:hAnsi="ITC Avant Garde"/>
          <w:bCs/>
          <w:lang w:val="es-ES"/>
        </w:rPr>
        <w:t>ISPs</w:t>
      </w:r>
      <w:proofErr w:type="spellEnd"/>
      <w:r w:rsidRPr="00092A03">
        <w:rPr>
          <w:rFonts w:ascii="ITC Avant Garde" w:hAnsi="ITC Avant Garde"/>
          <w:bCs/>
          <w:lang w:val="es-ES"/>
        </w:rPr>
        <w:t>) u operadores virtuales, ya que los volúmenes asociados a estos servicios contribuyen a las economías de escala logradas por el operador modelado.</w:t>
      </w:r>
      <w:r w:rsidRPr="00092A03">
        <w:rPr>
          <w:rFonts w:ascii="ITC Avant Garde" w:hAnsi="ITC Avant Garde"/>
          <w:b/>
          <w:bCs/>
          <w:lang w:val="es-ES"/>
        </w:rPr>
        <w:t xml:space="preserve"> </w:t>
      </w:r>
    </w:p>
    <w:p w14:paraId="5DF31F4B" w14:textId="77777777" w:rsidR="007E4D9A" w:rsidRPr="00092A03" w:rsidRDefault="007E4D9A" w:rsidP="00E2652C">
      <w:pPr>
        <w:pStyle w:val="Ttulo4"/>
        <w:rPr>
          <w:rFonts w:ascii="ITC Avant Garde" w:hAnsi="ITC Avant Garde"/>
          <w:lang w:val="es-ES"/>
        </w:rPr>
      </w:pPr>
      <w:r w:rsidRPr="00092A03">
        <w:rPr>
          <w:rFonts w:ascii="ITC Avant Garde" w:hAnsi="ITC Avant Garde"/>
          <w:lang w:val="es-ES"/>
        </w:rPr>
        <w:t>Respuestas recibidas</w:t>
      </w:r>
    </w:p>
    <w:p w14:paraId="530473A3" w14:textId="2D6DE1E8" w:rsidR="00786571" w:rsidRPr="00092A03" w:rsidRDefault="00786571" w:rsidP="002F6C93">
      <w:pPr>
        <w:spacing w:before="240"/>
        <w:rPr>
          <w:rFonts w:ascii="ITC Avant Garde" w:hAnsi="ITC Avant Garde"/>
          <w:spacing w:val="-4"/>
          <w:highlight w:val="yellow"/>
          <w:lang w:val="es-ES"/>
        </w:rPr>
      </w:pPr>
      <w:r w:rsidRPr="00092A03">
        <w:rPr>
          <w:rFonts w:ascii="ITC Avant Garde" w:hAnsi="ITC Avant Garde"/>
          <w:lang w:val="es-ES"/>
        </w:rPr>
        <w:t>En lo concerniente al concepto propuesto 5, Mega Cable señala que la reventa de servicios es una actividad que realiza primordialmente el operador preponderante del servicio fijo y no los no preponderantes, por lo cual el tráfico derivado de dichos servicios no debe ser considerado al modelar a un operador no preponderante fijo.</w:t>
      </w:r>
    </w:p>
    <w:p w14:paraId="6CD50390" w14:textId="4FEC6235" w:rsidR="007E4D9A" w:rsidRPr="00092A03" w:rsidRDefault="002B648A" w:rsidP="00E2652C">
      <w:pPr>
        <w:pStyle w:val="Ttulo4"/>
        <w:rPr>
          <w:rFonts w:ascii="ITC Avant Garde" w:hAnsi="ITC Avant Garde"/>
          <w:b/>
          <w:spacing w:val="-4"/>
          <w:highlight w:val="yellow"/>
          <w:lang w:val="es-ES"/>
        </w:rPr>
      </w:pPr>
      <w:r w:rsidRPr="00092A03">
        <w:rPr>
          <w:rFonts w:ascii="ITC Avant Garde" w:hAnsi="ITC Avant Garde"/>
          <w:b/>
          <w:lang w:val="es-ES"/>
        </w:rPr>
        <w:t>Consideraciones del Instituto</w:t>
      </w:r>
    </w:p>
    <w:p w14:paraId="42F692DD" w14:textId="3DE58C5B" w:rsidR="003362BA" w:rsidRPr="00092A03" w:rsidRDefault="00863CFC" w:rsidP="00E2652C">
      <w:pPr>
        <w:spacing w:before="240"/>
        <w:rPr>
          <w:rFonts w:ascii="ITC Avant Garde" w:hAnsi="ITC Avant Garde"/>
          <w:highlight w:val="yellow"/>
          <w:lang w:val="es-ES"/>
        </w:rPr>
      </w:pPr>
      <w:r w:rsidRPr="00092A03">
        <w:rPr>
          <w:rFonts w:ascii="ITC Avant Garde" w:hAnsi="ITC Avant Garde"/>
          <w:spacing w:val="-4"/>
          <w:lang w:val="es-ES"/>
        </w:rPr>
        <w:t>A</w:t>
      </w:r>
      <w:r w:rsidR="003362BA" w:rsidRPr="00092A03">
        <w:rPr>
          <w:rFonts w:ascii="ITC Avant Garde" w:hAnsi="ITC Avant Garde"/>
          <w:spacing w:val="-4"/>
          <w:lang w:val="es-ES"/>
        </w:rPr>
        <w:t>unque primordialmente</w:t>
      </w:r>
      <w:r w:rsidRPr="00092A03">
        <w:rPr>
          <w:rFonts w:ascii="ITC Avant Garde" w:hAnsi="ITC Avant Garde"/>
          <w:spacing w:val="-4"/>
          <w:lang w:val="es-ES"/>
        </w:rPr>
        <w:t xml:space="preserve"> sea </w:t>
      </w:r>
      <w:r w:rsidR="003362BA" w:rsidRPr="00092A03">
        <w:rPr>
          <w:rFonts w:ascii="ITC Avant Garde" w:hAnsi="ITC Avant Garde"/>
          <w:spacing w:val="-4"/>
          <w:lang w:val="es-ES"/>
        </w:rPr>
        <w:t>el operador preponderante</w:t>
      </w:r>
      <w:r w:rsidRPr="00092A03">
        <w:rPr>
          <w:rFonts w:ascii="ITC Avant Garde" w:hAnsi="ITC Avant Garde"/>
          <w:spacing w:val="-4"/>
          <w:lang w:val="es-ES"/>
        </w:rPr>
        <w:t xml:space="preserve"> el que preste servicios a los proveedores de servicios alternativos</w:t>
      </w:r>
      <w:r w:rsidR="003362BA" w:rsidRPr="00092A03">
        <w:rPr>
          <w:rFonts w:ascii="ITC Avant Garde" w:hAnsi="ITC Avant Garde"/>
          <w:spacing w:val="-4"/>
          <w:lang w:val="es-ES"/>
        </w:rPr>
        <w:t xml:space="preserve">, </w:t>
      </w:r>
      <w:r w:rsidR="00582D87" w:rsidRPr="00092A03">
        <w:rPr>
          <w:rFonts w:ascii="ITC Avant Garde" w:hAnsi="ITC Avant Garde"/>
          <w:spacing w:val="-4"/>
          <w:lang w:val="es-ES"/>
        </w:rPr>
        <w:t>no existe ninguna barrera que impida a</w:t>
      </w:r>
      <w:r w:rsidRPr="00092A03">
        <w:rPr>
          <w:rFonts w:ascii="ITC Avant Garde" w:hAnsi="ITC Avant Garde"/>
          <w:spacing w:val="-4"/>
          <w:lang w:val="es-ES"/>
        </w:rPr>
        <w:t xml:space="preserve">l resto de operadores proveer estos servicios. </w:t>
      </w:r>
      <w:r w:rsidR="007B5AF2" w:rsidRPr="00092A03">
        <w:rPr>
          <w:rFonts w:ascii="ITC Avant Garde" w:hAnsi="ITC Avant Garde"/>
          <w:spacing w:val="-4"/>
          <w:lang w:val="es-ES"/>
        </w:rPr>
        <w:t xml:space="preserve">De hecho, existen ejemplos de operadores alternativos fijos que proveen servicios a </w:t>
      </w:r>
      <w:proofErr w:type="spellStart"/>
      <w:r w:rsidR="007B5AF2" w:rsidRPr="00092A03">
        <w:rPr>
          <w:rFonts w:ascii="ITC Avant Garde" w:hAnsi="ITC Avant Garde"/>
          <w:spacing w:val="-4"/>
          <w:lang w:val="es-ES"/>
        </w:rPr>
        <w:t>ISPs</w:t>
      </w:r>
      <w:proofErr w:type="spellEnd"/>
      <w:r w:rsidR="007B5AF2" w:rsidRPr="00092A03">
        <w:rPr>
          <w:rFonts w:ascii="ITC Avant Garde" w:hAnsi="ITC Avant Garde"/>
          <w:spacing w:val="-4"/>
          <w:lang w:val="es-ES"/>
        </w:rPr>
        <w:t xml:space="preserve">, así como de operadores alternativos móviles prestando servicios a operadores móviles virtuales. </w:t>
      </w:r>
    </w:p>
    <w:p w14:paraId="128DB04F" w14:textId="77777777" w:rsidR="00D81961" w:rsidRPr="00092A03" w:rsidRDefault="0043475A" w:rsidP="002B648A">
      <w:pPr>
        <w:pStyle w:val="Ttulo2"/>
        <w:numPr>
          <w:ilvl w:val="0"/>
          <w:numId w:val="0"/>
        </w:numPr>
        <w:rPr>
          <w:rFonts w:ascii="ITC Avant Garde" w:hAnsi="ITC Avant Garde"/>
          <w:lang w:val="es-MX"/>
        </w:rPr>
      </w:pPr>
      <w:bookmarkStart w:id="12" w:name="_Ref307564780"/>
      <w:bookmarkEnd w:id="11"/>
      <w:r w:rsidRPr="00092A03">
        <w:rPr>
          <w:rFonts w:ascii="ITC Avant Garde" w:hAnsi="ITC Avant Garde"/>
          <w:lang w:val="es-MX"/>
        </w:rPr>
        <w:t>Concepto propuesto</w:t>
      </w:r>
      <w:r w:rsidR="00447EFD"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6</w:t>
      </w:r>
      <w:r w:rsidR="00CB05BF" w:rsidRPr="00092A03">
        <w:rPr>
          <w:rFonts w:ascii="ITC Avant Garde" w:hAnsi="ITC Avant Garde"/>
        </w:rPr>
        <w:fldChar w:fldCharType="end"/>
      </w:r>
    </w:p>
    <w:p w14:paraId="05069A9E" w14:textId="60B18124" w:rsidR="00447EFD" w:rsidRPr="00092A03" w:rsidRDefault="00447EFD" w:rsidP="00D81961">
      <w:pPr>
        <w:pStyle w:val="B1"/>
        <w:pBdr>
          <w:top w:val="single" w:sz="4" w:space="2" w:color="D9D9D9" w:themeColor="background1" w:themeShade="D9"/>
          <w:bottom w:val="single" w:sz="4" w:space="5" w:color="D9D9D9" w:themeColor="background1" w:themeShade="D9"/>
        </w:pBdr>
        <w:ind w:left="0" w:right="0"/>
        <w:rPr>
          <w:rFonts w:ascii="ITC Avant Garde" w:hAnsi="ITC Avant Garde"/>
          <w:spacing w:val="-6"/>
          <w:lang w:val="es-ES"/>
        </w:rPr>
      </w:pPr>
      <w:r w:rsidRPr="00092A03">
        <w:rPr>
          <w:rFonts w:ascii="ITC Avant Garde" w:hAnsi="ITC Avant Garde"/>
          <w:spacing w:val="-6"/>
          <w:lang w:val="es-ES"/>
        </w:rPr>
        <w:t xml:space="preserve"> </w:t>
      </w:r>
      <w:r w:rsidRPr="00092A03">
        <w:rPr>
          <w:rFonts w:ascii="ITC Avant Garde" w:hAnsi="ITC Avant Garde"/>
          <w:lang w:val="es-ES"/>
        </w:rPr>
        <w:t>El modelo BULRIC móvil utilizará las tecnologías de radio 2G</w:t>
      </w:r>
      <w:r w:rsidR="00862B0C" w:rsidRPr="00092A03">
        <w:rPr>
          <w:rFonts w:ascii="ITC Avant Garde" w:hAnsi="ITC Avant Garde"/>
          <w:lang w:val="es-ES"/>
        </w:rPr>
        <w:t>,</w:t>
      </w:r>
      <w:r w:rsidRPr="00092A03">
        <w:rPr>
          <w:rFonts w:ascii="ITC Avant Garde" w:hAnsi="ITC Avant Garde"/>
          <w:lang w:val="es-ES"/>
        </w:rPr>
        <w:t xml:space="preserve"> 3G</w:t>
      </w:r>
      <w:r w:rsidR="00862B0C" w:rsidRPr="00092A03">
        <w:rPr>
          <w:rFonts w:ascii="ITC Avant Garde" w:hAnsi="ITC Avant Garde"/>
          <w:lang w:val="es-ES"/>
        </w:rPr>
        <w:t xml:space="preserve"> y 4G</w:t>
      </w:r>
      <w:r w:rsidRPr="00092A03">
        <w:rPr>
          <w:rFonts w:ascii="ITC Avant Garde" w:hAnsi="ITC Avant Garde"/>
          <w:lang w:val="es-ES"/>
        </w:rPr>
        <w:t xml:space="preserve"> a largo plazo, con un despliegue inicial de 2G en la banda de &lt;1GHz (850MHz) – para una red de cobertura con un despliegue consiguiente en frecuencias superiores a 1GHz–1900MHz – para incrementar la capacidad de la red. La tecnología 3G se desplegará en la banda de 1900MHz</w:t>
      </w:r>
      <w:r w:rsidR="00D83364" w:rsidRPr="00092A03">
        <w:rPr>
          <w:rFonts w:ascii="ITC Avant Garde" w:hAnsi="ITC Avant Garde"/>
          <w:lang w:val="es-ES"/>
        </w:rPr>
        <w:t xml:space="preserve"> (PCS)</w:t>
      </w:r>
      <w:r w:rsidR="00862B0C" w:rsidRPr="00092A03">
        <w:rPr>
          <w:rFonts w:ascii="ITC Avant Garde" w:hAnsi="ITC Avant Garde"/>
          <w:lang w:val="es-ES"/>
        </w:rPr>
        <w:t xml:space="preserve"> y 4G en la banda de 1700</w:t>
      </w:r>
      <w:r w:rsidR="00DA26CF" w:rsidRPr="00092A03">
        <w:rPr>
          <w:rFonts w:ascii="ITC Avant Garde" w:hAnsi="ITC Avant Garde"/>
          <w:lang w:val="es-ES"/>
        </w:rPr>
        <w:t>/2100</w:t>
      </w:r>
      <w:r w:rsidR="00862B0C" w:rsidRPr="00092A03">
        <w:rPr>
          <w:rFonts w:ascii="ITC Avant Garde" w:hAnsi="ITC Avant Garde"/>
          <w:lang w:val="es-ES"/>
        </w:rPr>
        <w:t>MHz</w:t>
      </w:r>
      <w:r w:rsidR="00DA26CF" w:rsidRPr="00092A03">
        <w:rPr>
          <w:rFonts w:ascii="ITC Avant Garde" w:hAnsi="ITC Avant Garde"/>
          <w:lang w:val="es-ES"/>
        </w:rPr>
        <w:t xml:space="preserve"> (AWS)</w:t>
      </w:r>
      <w:r w:rsidR="00862B0C" w:rsidRPr="00092A03">
        <w:rPr>
          <w:rFonts w:ascii="ITC Avant Garde" w:hAnsi="ITC Avant Garde"/>
          <w:lang w:val="es-ES"/>
        </w:rPr>
        <w:t>.</w:t>
      </w:r>
      <w:r w:rsidR="00D83364" w:rsidRPr="00092A03">
        <w:rPr>
          <w:rFonts w:ascii="ITC Avant Garde" w:hAnsi="ITC Avant Garde"/>
          <w:lang w:val="es-ES"/>
        </w:rPr>
        <w:t xml:space="preserve"> </w:t>
      </w:r>
    </w:p>
    <w:p w14:paraId="6966508D" w14:textId="77777777" w:rsidR="00FC2FDA" w:rsidRPr="00092A03" w:rsidRDefault="00F35F0C" w:rsidP="00FC2FDA">
      <w:pPr>
        <w:pStyle w:val="Ttulo4"/>
        <w:rPr>
          <w:rFonts w:ascii="ITC Avant Garde" w:hAnsi="ITC Avant Garde"/>
        </w:rPr>
      </w:pPr>
      <w:proofErr w:type="spellStart"/>
      <w:r w:rsidRPr="00092A03">
        <w:rPr>
          <w:rFonts w:ascii="ITC Avant Garde" w:hAnsi="ITC Avant Garde"/>
        </w:rPr>
        <w:lastRenderedPageBreak/>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152D110F" w14:textId="320CF5C9" w:rsidR="00FC2FDA" w:rsidRPr="00092A03" w:rsidRDefault="00B02364" w:rsidP="00B02364">
      <w:pPr>
        <w:rPr>
          <w:rFonts w:ascii="ITC Avant Garde" w:hAnsi="ITC Avant Garde"/>
          <w:lang w:val="es-ES"/>
        </w:rPr>
      </w:pPr>
      <w:r w:rsidRPr="00092A03">
        <w:rPr>
          <w:rFonts w:ascii="ITC Avant Garde" w:hAnsi="ITC Avant Garde"/>
          <w:lang w:val="es-ES"/>
        </w:rPr>
        <w:t>Axtel incide sobre el aumento porcentual en la inversión para el despliegue de la parte radio de la red móvil del operador hipotético con respecto al modelo usado para la determinación de las tarifas para el año 2017. Este operador argumenta se debería revisar este nivel de inversión, teniendo en cuenta que existe un nuevo marco regulatorio que modifica el comportamiento tradicional de los operadores, ya que el operador hipotético utilizaría cierta infraestructura y servicios del operador preponderante o de la futura Red Compartida Mayorista.</w:t>
      </w:r>
    </w:p>
    <w:p w14:paraId="7CF42C23" w14:textId="01205030" w:rsidR="000D6224" w:rsidRPr="00092A03" w:rsidRDefault="006B5631" w:rsidP="000D6224">
      <w:pPr>
        <w:rPr>
          <w:rFonts w:ascii="ITC Avant Garde" w:hAnsi="ITC Avant Garde"/>
          <w:lang w:val="es-ES"/>
        </w:rPr>
      </w:pPr>
      <w:r w:rsidRPr="00092A03">
        <w:rPr>
          <w:rFonts w:ascii="ITC Avant Garde" w:hAnsi="ITC Avant Garde"/>
          <w:lang w:val="es-ES"/>
        </w:rPr>
        <w:t>Por otra parte, p</w:t>
      </w:r>
      <w:r w:rsidR="000D6224" w:rsidRPr="00092A03">
        <w:rPr>
          <w:rFonts w:ascii="ITC Avant Garde" w:hAnsi="ITC Avant Garde"/>
          <w:lang w:val="es-ES"/>
        </w:rPr>
        <w:t>ara</w:t>
      </w:r>
      <w:r w:rsidR="00A86683" w:rsidRPr="00092A03">
        <w:rPr>
          <w:rFonts w:ascii="ITC Avant Garde" w:hAnsi="ITC Avant Garde"/>
          <w:lang w:val="es-ES"/>
        </w:rPr>
        <w:t xml:space="preserve"> </w:t>
      </w:r>
      <w:r w:rsidR="000D6224" w:rsidRPr="00092A03">
        <w:rPr>
          <w:rFonts w:ascii="ITC Avant Garde" w:hAnsi="ITC Avant Garde"/>
          <w:lang w:val="es-ES"/>
        </w:rPr>
        <w:t xml:space="preserve">Mega Cable resulta incongruente modelar un operador hipotético que entre en el mercado en 2011 y despliegue una red nacional 2G en ese periodo, cuando se trata de tecnologías desarrolladas en los años noventa. Argumenta que determinados operadores internacionales están comenzando a prescindir de las redes 2G, así como otros, por </w:t>
      </w:r>
      <w:r w:rsidR="00786571" w:rsidRPr="00092A03">
        <w:rPr>
          <w:rFonts w:ascii="ITC Avant Garde" w:hAnsi="ITC Avant Garde"/>
          <w:lang w:val="es-ES"/>
        </w:rPr>
        <w:t>ejemplo,</w:t>
      </w:r>
      <w:r w:rsidR="000D6224" w:rsidRPr="00092A03">
        <w:rPr>
          <w:rFonts w:ascii="ITC Avant Garde" w:hAnsi="ITC Avant Garde"/>
          <w:lang w:val="es-ES"/>
        </w:rPr>
        <w:t xml:space="preserve"> Hutchinson 3 en el Reino Unido, comenzaron sus operaciones únicamente con redes 3G.</w:t>
      </w:r>
    </w:p>
    <w:p w14:paraId="3E4E23B1" w14:textId="6CFAA123" w:rsidR="00FC2FDA" w:rsidRPr="00092A03" w:rsidRDefault="002B648A" w:rsidP="00394B31">
      <w:pPr>
        <w:pStyle w:val="Ttulo4"/>
        <w:rPr>
          <w:rFonts w:ascii="ITC Avant Garde" w:hAnsi="ITC Avant Garde"/>
          <w:b/>
          <w:lang w:val="es-ES"/>
        </w:rPr>
      </w:pPr>
      <w:r w:rsidRPr="00092A03">
        <w:rPr>
          <w:rFonts w:ascii="ITC Avant Garde" w:hAnsi="ITC Avant Garde"/>
          <w:b/>
          <w:lang w:val="es-ES"/>
        </w:rPr>
        <w:t>Consideraciones del Instituto</w:t>
      </w:r>
    </w:p>
    <w:p w14:paraId="56BC0335" w14:textId="77777777" w:rsidR="004F05E7" w:rsidRPr="00092A03" w:rsidRDefault="007B5AF2" w:rsidP="007B5AF2">
      <w:pPr>
        <w:rPr>
          <w:rFonts w:ascii="ITC Avant Garde" w:hAnsi="ITC Avant Garde"/>
          <w:lang w:val="es-ES"/>
        </w:rPr>
      </w:pPr>
      <w:r w:rsidRPr="00092A03">
        <w:rPr>
          <w:rFonts w:ascii="ITC Avant Garde" w:hAnsi="ITC Avant Garde"/>
          <w:lang w:val="es-ES"/>
        </w:rPr>
        <w:t xml:space="preserve">En lo relativo al aumento porcentual de la inversión en la red radio del operador hipotético con respecto al modelo usado para la determinación de las tarifas para el año 2017, indicar que el incremento </w:t>
      </w:r>
      <w:r w:rsidR="004F05E7" w:rsidRPr="00092A03">
        <w:rPr>
          <w:rFonts w:ascii="ITC Avant Garde" w:hAnsi="ITC Avant Garde"/>
          <w:lang w:val="es-ES"/>
        </w:rPr>
        <w:t xml:space="preserve">observado es principalmente resultado de </w:t>
      </w:r>
      <w:r w:rsidRPr="00092A03">
        <w:rPr>
          <w:rFonts w:ascii="ITC Avant Garde" w:hAnsi="ITC Avant Garde"/>
          <w:lang w:val="es-ES"/>
        </w:rPr>
        <w:t>introduci</w:t>
      </w:r>
      <w:r w:rsidR="004F05E7" w:rsidRPr="00092A03">
        <w:rPr>
          <w:rFonts w:ascii="ITC Avant Garde" w:hAnsi="ITC Avant Garde"/>
          <w:lang w:val="es-ES"/>
        </w:rPr>
        <w:t>r</w:t>
      </w:r>
      <w:r w:rsidRPr="00092A03">
        <w:rPr>
          <w:rFonts w:ascii="ITC Avant Garde" w:hAnsi="ITC Avant Garde"/>
          <w:lang w:val="es-ES"/>
        </w:rPr>
        <w:t xml:space="preserve"> la red 4G y aument</w:t>
      </w:r>
      <w:r w:rsidR="004F05E7" w:rsidRPr="00092A03">
        <w:rPr>
          <w:rFonts w:ascii="ITC Avant Garde" w:hAnsi="ITC Avant Garde"/>
          <w:lang w:val="es-ES"/>
        </w:rPr>
        <w:t>ar</w:t>
      </w:r>
      <w:r w:rsidRPr="00092A03">
        <w:rPr>
          <w:rFonts w:ascii="ITC Avant Garde" w:hAnsi="ITC Avant Garde"/>
          <w:lang w:val="es-ES"/>
        </w:rPr>
        <w:t xml:space="preserve"> la cobertura</w:t>
      </w:r>
      <w:r w:rsidR="004F05E7" w:rsidRPr="00092A03">
        <w:rPr>
          <w:rFonts w:ascii="ITC Avant Garde" w:hAnsi="ITC Avant Garde"/>
          <w:lang w:val="es-ES"/>
        </w:rPr>
        <w:t>,</w:t>
      </w:r>
      <w:r w:rsidRPr="00092A03">
        <w:rPr>
          <w:rFonts w:ascii="ITC Avant Garde" w:hAnsi="ITC Avant Garde"/>
          <w:lang w:val="es-ES"/>
        </w:rPr>
        <w:t xml:space="preserve"> </w:t>
      </w:r>
      <w:r w:rsidR="004F05E7" w:rsidRPr="00092A03">
        <w:rPr>
          <w:rFonts w:ascii="ITC Avant Garde" w:hAnsi="ITC Avant Garde"/>
          <w:lang w:val="es-ES"/>
        </w:rPr>
        <w:t xml:space="preserve">ambos cambios </w:t>
      </w:r>
      <w:r w:rsidRPr="00092A03">
        <w:rPr>
          <w:rFonts w:ascii="ITC Avant Garde" w:hAnsi="ITC Avant Garde"/>
          <w:lang w:val="es-ES"/>
        </w:rPr>
        <w:t>incluido</w:t>
      </w:r>
      <w:r w:rsidR="004F05E7" w:rsidRPr="00092A03">
        <w:rPr>
          <w:rFonts w:ascii="ITC Avant Garde" w:hAnsi="ITC Avant Garde"/>
          <w:lang w:val="es-ES"/>
        </w:rPr>
        <w:t>s</w:t>
      </w:r>
      <w:r w:rsidRPr="00092A03">
        <w:rPr>
          <w:rFonts w:ascii="ITC Avant Garde" w:hAnsi="ITC Avant Garde"/>
          <w:lang w:val="es-ES"/>
        </w:rPr>
        <w:t xml:space="preserve"> en el modelo sometido a consulta pública.</w:t>
      </w:r>
    </w:p>
    <w:p w14:paraId="05D3F428" w14:textId="77777777" w:rsidR="007B5AF2" w:rsidRPr="00092A03" w:rsidRDefault="007B5AF2" w:rsidP="007B5AF2">
      <w:pPr>
        <w:rPr>
          <w:rFonts w:ascii="ITC Avant Garde" w:hAnsi="ITC Avant Garde"/>
          <w:lang w:val="es-ES"/>
        </w:rPr>
      </w:pPr>
      <w:r w:rsidRPr="00092A03">
        <w:rPr>
          <w:rFonts w:ascii="ITC Avant Garde" w:hAnsi="ITC Avant Garde"/>
          <w:lang w:val="es-ES"/>
        </w:rPr>
        <w:t>Es cierto que esta inversión podría reducirse mediante el uso de la futura Red Pública Compartida Mayorista</w:t>
      </w:r>
      <w:r w:rsidR="00E851A0" w:rsidRPr="00092A03">
        <w:rPr>
          <w:rFonts w:ascii="ITC Avant Garde" w:hAnsi="ITC Avant Garde"/>
          <w:lang w:val="es-ES"/>
        </w:rPr>
        <w:t>. S</w:t>
      </w:r>
      <w:r w:rsidRPr="00092A03">
        <w:rPr>
          <w:rFonts w:ascii="ITC Avant Garde" w:hAnsi="ITC Avant Garde"/>
          <w:lang w:val="es-ES"/>
        </w:rPr>
        <w:t xml:space="preserve">in embargo, y como </w:t>
      </w:r>
      <w:r w:rsidR="00E851A0" w:rsidRPr="00092A03">
        <w:rPr>
          <w:rFonts w:ascii="ITC Avant Garde" w:hAnsi="ITC Avant Garde"/>
          <w:lang w:val="es-ES"/>
        </w:rPr>
        <w:t xml:space="preserve">se explica </w:t>
      </w:r>
      <w:r w:rsidRPr="00092A03">
        <w:rPr>
          <w:rFonts w:ascii="ITC Avant Garde" w:hAnsi="ITC Avant Garde"/>
          <w:lang w:val="es-ES"/>
        </w:rPr>
        <w:t xml:space="preserve">en el enfoque conceptual, no es posible estimar a día de hoy la evolución que experimentará el mercado </w:t>
      </w:r>
      <w:r w:rsidR="00E851A0" w:rsidRPr="00092A03">
        <w:rPr>
          <w:rFonts w:ascii="ITC Avant Garde" w:hAnsi="ITC Avant Garde"/>
          <w:lang w:val="es-ES"/>
        </w:rPr>
        <w:t xml:space="preserve">mexicano tras </w:t>
      </w:r>
      <w:r w:rsidRPr="00092A03">
        <w:rPr>
          <w:rFonts w:ascii="ITC Avant Garde" w:hAnsi="ITC Avant Garde"/>
          <w:lang w:val="es-ES"/>
        </w:rPr>
        <w:t>la puesta en marcha de la Red Pública Compartida Mayorista</w:t>
      </w:r>
      <w:r w:rsidR="00E851A0" w:rsidRPr="00092A03">
        <w:rPr>
          <w:rFonts w:ascii="ITC Avant Garde" w:hAnsi="ITC Avant Garde"/>
          <w:lang w:val="es-ES"/>
        </w:rPr>
        <w:t xml:space="preserve">, entre otras razones porque </w:t>
      </w:r>
      <w:r w:rsidRPr="00092A03">
        <w:rPr>
          <w:rFonts w:ascii="ITC Avant Garde" w:hAnsi="ITC Avant Garde"/>
          <w:lang w:val="es-ES"/>
        </w:rPr>
        <w:t xml:space="preserve">no ha comenzado si quiera a construirse. Asimismo, </w:t>
      </w:r>
      <w:r w:rsidR="00E851A0" w:rsidRPr="00092A03">
        <w:rPr>
          <w:rFonts w:ascii="ITC Avant Garde" w:hAnsi="ITC Avant Garde"/>
          <w:lang w:val="es-ES"/>
        </w:rPr>
        <w:t xml:space="preserve">es probable que </w:t>
      </w:r>
      <w:r w:rsidRPr="00092A03">
        <w:rPr>
          <w:rFonts w:ascii="ITC Avant Garde" w:hAnsi="ITC Avant Garde"/>
          <w:lang w:val="es-ES"/>
        </w:rPr>
        <w:t>la cobertura de la Red Pública Compartida Mayorista no alcan</w:t>
      </w:r>
      <w:r w:rsidR="00E851A0" w:rsidRPr="00092A03">
        <w:rPr>
          <w:rFonts w:ascii="ITC Avant Garde" w:hAnsi="ITC Avant Garde"/>
          <w:lang w:val="es-ES"/>
        </w:rPr>
        <w:t>ce</w:t>
      </w:r>
      <w:r w:rsidRPr="00092A03">
        <w:rPr>
          <w:rFonts w:ascii="ITC Avant Garde" w:hAnsi="ITC Avant Garde"/>
          <w:lang w:val="es-ES"/>
        </w:rPr>
        <w:t xml:space="preserve"> zonas de bajo valor añadido para los operadores como las rurales</w:t>
      </w:r>
      <w:r w:rsidR="00E851A0" w:rsidRPr="00092A03">
        <w:rPr>
          <w:rFonts w:ascii="ITC Avant Garde" w:hAnsi="ITC Avant Garde"/>
          <w:lang w:val="es-ES"/>
        </w:rPr>
        <w:t xml:space="preserve"> (</w:t>
      </w:r>
      <w:r w:rsidRPr="00092A03">
        <w:rPr>
          <w:rFonts w:ascii="ITC Avant Garde" w:hAnsi="ITC Avant Garde"/>
          <w:lang w:val="es-ES"/>
        </w:rPr>
        <w:t>donde estos no están realizando despliegues propios</w:t>
      </w:r>
      <w:r w:rsidR="00E851A0" w:rsidRPr="00092A03">
        <w:rPr>
          <w:rFonts w:ascii="ITC Avant Garde" w:hAnsi="ITC Avant Garde"/>
          <w:lang w:val="es-ES"/>
        </w:rPr>
        <w:t>)</w:t>
      </w:r>
      <w:r w:rsidRPr="00092A03">
        <w:rPr>
          <w:rFonts w:ascii="ITC Avant Garde" w:hAnsi="ITC Avant Garde"/>
          <w:lang w:val="es-ES"/>
        </w:rPr>
        <w:t xml:space="preserve"> hasta después del año 2020.</w:t>
      </w:r>
    </w:p>
    <w:p w14:paraId="2F4A4539" w14:textId="77777777" w:rsidR="007B5AF2" w:rsidRPr="00092A03" w:rsidRDefault="007B5AF2" w:rsidP="007B5AF2">
      <w:pPr>
        <w:rPr>
          <w:rFonts w:ascii="ITC Avant Garde" w:hAnsi="ITC Avant Garde"/>
          <w:lang w:val="es-ES"/>
        </w:rPr>
      </w:pPr>
      <w:r w:rsidRPr="00092A03">
        <w:rPr>
          <w:rFonts w:ascii="ITC Avant Garde" w:hAnsi="ITC Avant Garde"/>
          <w:lang w:val="es-ES"/>
        </w:rPr>
        <w:t>En cuanto a la utilización de infraestructura y servicios del operador preponderante, añadir que mientras ciertas prácticas como la coubicación están incluidas en el modelo, otras como el servicio de usuario visitante no se incluyen, ya que es difícil evaluar su impacto en el medio y largo plazo</w:t>
      </w:r>
      <w:r w:rsidR="000845F6" w:rsidRPr="00092A03">
        <w:rPr>
          <w:rFonts w:ascii="ITC Avant Garde" w:hAnsi="ITC Avant Garde"/>
          <w:lang w:val="es-ES"/>
        </w:rPr>
        <w:t xml:space="preserve">. Esto es especialmente cierto teniendo en cuenta que </w:t>
      </w:r>
      <w:r w:rsidRPr="00092A03">
        <w:rPr>
          <w:rFonts w:ascii="ITC Avant Garde" w:hAnsi="ITC Avant Garde"/>
          <w:lang w:val="es-ES"/>
        </w:rPr>
        <w:t>varios de estos servicios</w:t>
      </w:r>
      <w:r w:rsidR="00E2652C" w:rsidRPr="00092A03">
        <w:rPr>
          <w:rFonts w:ascii="ITC Avant Garde" w:hAnsi="ITC Avant Garde"/>
          <w:lang w:val="es-ES"/>
        </w:rPr>
        <w:t xml:space="preserve"> no</w:t>
      </w:r>
      <w:r w:rsidRPr="00092A03">
        <w:rPr>
          <w:rFonts w:ascii="ITC Avant Garde" w:hAnsi="ITC Avant Garde"/>
          <w:lang w:val="es-ES"/>
        </w:rPr>
        <w:t xml:space="preserve"> tienen</w:t>
      </w:r>
      <w:r w:rsidR="00E2652C" w:rsidRPr="00092A03">
        <w:rPr>
          <w:rFonts w:ascii="ITC Avant Garde" w:hAnsi="ITC Avant Garde"/>
          <w:lang w:val="es-ES"/>
        </w:rPr>
        <w:t xml:space="preserve"> asegurada su continuidad en el corto y medio plazo</w:t>
      </w:r>
      <w:r w:rsidRPr="00092A03">
        <w:rPr>
          <w:rFonts w:ascii="ITC Avant Garde" w:hAnsi="ITC Avant Garde"/>
          <w:lang w:val="es-ES"/>
        </w:rPr>
        <w:t>.</w:t>
      </w:r>
    </w:p>
    <w:p w14:paraId="4F4E795E" w14:textId="5C0C2E02" w:rsidR="007B5AF2" w:rsidRPr="00092A03" w:rsidRDefault="006B0365" w:rsidP="007B5AF2">
      <w:pPr>
        <w:rPr>
          <w:rFonts w:ascii="ITC Avant Garde" w:hAnsi="ITC Avant Garde"/>
          <w:spacing w:val="-4"/>
          <w:lang w:val="es-ES"/>
        </w:rPr>
      </w:pPr>
      <w:r w:rsidRPr="00092A03">
        <w:rPr>
          <w:rFonts w:ascii="ITC Avant Garde" w:hAnsi="ITC Avant Garde"/>
          <w:spacing w:val="-4"/>
          <w:lang w:val="es-ES"/>
        </w:rPr>
        <w:t>Mega Cable</w:t>
      </w:r>
      <w:r w:rsidR="007B5AF2" w:rsidRPr="00092A03">
        <w:rPr>
          <w:rFonts w:ascii="ITC Avant Garde" w:hAnsi="ITC Avant Garde"/>
          <w:spacing w:val="-4"/>
          <w:lang w:val="es-ES"/>
        </w:rPr>
        <w:t xml:space="preserve"> sugiere que es incongruente que el operador hipotético entre en el mercado en el año 2011 y despliegue una red 2G. Sin embargo,</w:t>
      </w:r>
      <w:r w:rsidR="00A52FD3" w:rsidRPr="00092A03">
        <w:rPr>
          <w:rFonts w:ascii="ITC Avant Garde" w:hAnsi="ITC Avant Garde"/>
          <w:spacing w:val="-4"/>
          <w:lang w:val="es-ES"/>
        </w:rPr>
        <w:t xml:space="preserve"> la información recibida por parte de los operadores en procesos </w:t>
      </w:r>
      <w:r w:rsidR="00451EB7" w:rsidRPr="00092A03">
        <w:rPr>
          <w:rFonts w:ascii="ITC Avant Garde" w:hAnsi="ITC Avant Garde"/>
          <w:spacing w:val="-4"/>
          <w:lang w:val="es-ES"/>
        </w:rPr>
        <w:t xml:space="preserve">anteriores </w:t>
      </w:r>
      <w:r w:rsidR="00A52FD3" w:rsidRPr="00092A03">
        <w:rPr>
          <w:rFonts w:ascii="ITC Avant Garde" w:hAnsi="ITC Avant Garde"/>
          <w:spacing w:val="-4"/>
          <w:lang w:val="es-ES"/>
        </w:rPr>
        <w:t xml:space="preserve">de actualización </w:t>
      </w:r>
      <w:r w:rsidR="00451EB7" w:rsidRPr="00092A03">
        <w:rPr>
          <w:rFonts w:ascii="ITC Avant Garde" w:hAnsi="ITC Avant Garde"/>
          <w:spacing w:val="-4"/>
          <w:lang w:val="es-ES"/>
        </w:rPr>
        <w:t>de los modelos</w:t>
      </w:r>
      <w:r w:rsidR="00A52FD3" w:rsidRPr="00092A03">
        <w:rPr>
          <w:rFonts w:ascii="ITC Avant Garde" w:hAnsi="ITC Avant Garde"/>
          <w:spacing w:val="-4"/>
          <w:lang w:val="es-ES"/>
        </w:rPr>
        <w:t>, así como información del IFT</w:t>
      </w:r>
      <w:r w:rsidR="000845F6" w:rsidRPr="00092A03">
        <w:rPr>
          <w:rFonts w:ascii="ITC Avant Garde" w:hAnsi="ITC Avant Garde"/>
          <w:spacing w:val="-4"/>
          <w:lang w:val="es-ES"/>
        </w:rPr>
        <w:t xml:space="preserve"> </w:t>
      </w:r>
      <w:r w:rsidR="00451EB7" w:rsidRPr="00092A03">
        <w:rPr>
          <w:rFonts w:ascii="ITC Avant Garde" w:hAnsi="ITC Avant Garde"/>
          <w:spacing w:val="-4"/>
          <w:lang w:val="es-ES"/>
        </w:rPr>
        <w:t xml:space="preserve">indica </w:t>
      </w:r>
      <w:r w:rsidR="007B5AF2" w:rsidRPr="00092A03">
        <w:rPr>
          <w:rFonts w:ascii="ITC Avant Garde" w:hAnsi="ITC Avant Garde"/>
          <w:spacing w:val="-4"/>
          <w:lang w:val="es-ES"/>
        </w:rPr>
        <w:t xml:space="preserve">que en 2011 el porcentaje de suscriptores de telefonía </w:t>
      </w:r>
      <w:r w:rsidR="007B5AF2" w:rsidRPr="00092A03">
        <w:rPr>
          <w:rFonts w:ascii="ITC Avant Garde" w:hAnsi="ITC Avant Garde"/>
          <w:spacing w:val="-4"/>
          <w:lang w:val="es-ES"/>
        </w:rPr>
        <w:lastRenderedPageBreak/>
        <w:t>móvil en México con un</w:t>
      </w:r>
      <w:r w:rsidR="004A0BC5" w:rsidRPr="00092A03">
        <w:rPr>
          <w:rFonts w:ascii="ITC Avant Garde" w:hAnsi="ITC Avant Garde"/>
          <w:spacing w:val="-4"/>
          <w:lang w:val="es-ES"/>
        </w:rPr>
        <w:t>a</w:t>
      </w:r>
      <w:r w:rsidR="007B5AF2" w:rsidRPr="00092A03">
        <w:rPr>
          <w:rFonts w:ascii="ITC Avant Garde" w:hAnsi="ITC Avant Garde"/>
          <w:spacing w:val="-4"/>
          <w:lang w:val="es-ES"/>
        </w:rPr>
        <w:t xml:space="preserve"> terminal únicamente 2G rondaba el 80% del mercado, por lo que no sería realista para un nuevo operador prescindir de ella. Además, la información provista por los operadores móviles indica que a día de hoy la red 2G sigue soportando aproximadamente un 3</w:t>
      </w:r>
      <w:r w:rsidR="005A0400" w:rsidRPr="00092A03">
        <w:rPr>
          <w:rFonts w:ascii="ITC Avant Garde" w:hAnsi="ITC Avant Garde"/>
          <w:spacing w:val="-4"/>
          <w:lang w:val="es-ES"/>
        </w:rPr>
        <w:t>0</w:t>
      </w:r>
      <w:r w:rsidR="007B5AF2" w:rsidRPr="00092A03">
        <w:rPr>
          <w:rFonts w:ascii="ITC Avant Garde" w:hAnsi="ITC Avant Garde"/>
          <w:spacing w:val="-4"/>
          <w:lang w:val="es-ES"/>
        </w:rPr>
        <w:t>%-50% del total de minutos transportados por las redes móviles del país, lo que muestra su importancia todavía a día de hoy.</w:t>
      </w:r>
    </w:p>
    <w:p w14:paraId="1092E6F0" w14:textId="77777777" w:rsidR="007B5AF2" w:rsidRPr="00092A03" w:rsidRDefault="000845F6" w:rsidP="00E2652C">
      <w:pPr>
        <w:rPr>
          <w:rFonts w:ascii="ITC Avant Garde" w:hAnsi="ITC Avant Garde"/>
          <w:lang w:val="es-ES"/>
        </w:rPr>
      </w:pPr>
      <w:r w:rsidRPr="00092A03">
        <w:rPr>
          <w:rFonts w:ascii="ITC Avant Garde" w:hAnsi="ITC Avant Garde"/>
          <w:spacing w:val="-4"/>
          <w:lang w:val="es-ES"/>
        </w:rPr>
        <w:t xml:space="preserve">Con respecto al ejemplo provisto, </w:t>
      </w:r>
      <w:r w:rsidR="007B5AF2" w:rsidRPr="00092A03">
        <w:rPr>
          <w:rFonts w:ascii="ITC Avant Garde" w:hAnsi="ITC Avant Garde"/>
          <w:spacing w:val="-4"/>
          <w:lang w:val="es-ES"/>
        </w:rPr>
        <w:t>es cierto que Hutchinson 3 comenzó sus operaciones únicamente con redes 3G</w:t>
      </w:r>
      <w:r w:rsidRPr="00092A03">
        <w:rPr>
          <w:rFonts w:ascii="ITC Avant Garde" w:hAnsi="ITC Avant Garde"/>
          <w:spacing w:val="-4"/>
          <w:lang w:val="es-ES"/>
        </w:rPr>
        <w:t>. Sin embargo</w:t>
      </w:r>
      <w:r w:rsidR="007B5AF2" w:rsidRPr="00092A03">
        <w:rPr>
          <w:rFonts w:ascii="ITC Avant Garde" w:hAnsi="ITC Avant Garde"/>
          <w:spacing w:val="-4"/>
          <w:lang w:val="es-ES"/>
        </w:rPr>
        <w:t xml:space="preserve">, requirió negociar un acuerdo de </w:t>
      </w:r>
      <w:proofErr w:type="spellStart"/>
      <w:r w:rsidR="007B5AF2" w:rsidRPr="00092A03">
        <w:rPr>
          <w:rFonts w:ascii="ITC Avant Garde" w:hAnsi="ITC Avant Garde"/>
          <w:i/>
          <w:spacing w:val="-4"/>
          <w:lang w:val="es-ES"/>
        </w:rPr>
        <w:t>national</w:t>
      </w:r>
      <w:proofErr w:type="spellEnd"/>
      <w:r w:rsidR="007B5AF2" w:rsidRPr="00092A03">
        <w:rPr>
          <w:rFonts w:ascii="ITC Avant Garde" w:hAnsi="ITC Avant Garde"/>
          <w:i/>
          <w:spacing w:val="-4"/>
          <w:lang w:val="es-ES"/>
        </w:rPr>
        <w:t xml:space="preserve"> </w:t>
      </w:r>
      <w:proofErr w:type="spellStart"/>
      <w:r w:rsidR="007B5AF2" w:rsidRPr="00092A03">
        <w:rPr>
          <w:rFonts w:ascii="ITC Avant Garde" w:hAnsi="ITC Avant Garde"/>
          <w:i/>
          <w:spacing w:val="-4"/>
          <w:lang w:val="es-ES"/>
        </w:rPr>
        <w:t>roaming</w:t>
      </w:r>
      <w:proofErr w:type="spellEnd"/>
      <w:r w:rsidR="007B5AF2" w:rsidRPr="00092A03">
        <w:rPr>
          <w:rFonts w:ascii="ITC Avant Garde" w:hAnsi="ITC Avant Garde"/>
          <w:spacing w:val="-4"/>
          <w:lang w:val="es-ES"/>
        </w:rPr>
        <w:t xml:space="preserve"> con O2 (y posteriormente con Orange) sobre 2G para permitir a sus usuarios el acceso parcial a esta tecnología. Cabe también destacar el diferente nivel desarrollo de las comunicaciones móviles entre países como Reino Unido y México, </w:t>
      </w:r>
      <w:r w:rsidRPr="00092A03">
        <w:rPr>
          <w:rFonts w:ascii="ITC Avant Garde" w:hAnsi="ITC Avant Garde"/>
          <w:spacing w:val="-4"/>
          <w:lang w:val="es-ES"/>
        </w:rPr>
        <w:t xml:space="preserve">así como el hecho de que </w:t>
      </w:r>
      <w:r w:rsidR="007B5AF2" w:rsidRPr="00092A03">
        <w:rPr>
          <w:rFonts w:ascii="ITC Avant Garde" w:hAnsi="ITC Avant Garde"/>
          <w:spacing w:val="-4"/>
          <w:lang w:val="es-ES"/>
        </w:rPr>
        <w:t>a día de hoy el apagado de redes 2G son la rara excepción y no la norma.</w:t>
      </w:r>
    </w:p>
    <w:bookmarkEnd w:id="12"/>
    <w:p w14:paraId="5C1F8918" w14:textId="77777777" w:rsidR="00970A1A"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4C5F0B"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7</w:t>
      </w:r>
      <w:r w:rsidR="00CB05BF" w:rsidRPr="00092A03">
        <w:rPr>
          <w:rFonts w:ascii="ITC Avant Garde" w:hAnsi="ITC Avant Garde"/>
        </w:rPr>
        <w:fldChar w:fldCharType="end"/>
      </w:r>
      <w:r w:rsidR="004C5F0B" w:rsidRPr="00092A03">
        <w:rPr>
          <w:rFonts w:ascii="ITC Avant Garde" w:hAnsi="ITC Avant Garde"/>
          <w:lang w:val="es-MX"/>
        </w:rPr>
        <w:t xml:space="preserve">: </w:t>
      </w:r>
    </w:p>
    <w:p w14:paraId="2EA7FA14" w14:textId="40DB4B7D" w:rsidR="00315420" w:rsidRPr="00092A03" w:rsidRDefault="004C5F0B" w:rsidP="00E704D5">
      <w:pPr>
        <w:pStyle w:val="B1"/>
        <w:pBdr>
          <w:top w:val="single" w:sz="4" w:space="2" w:color="D9D9D9" w:themeColor="background1" w:themeShade="D9"/>
          <w:bottom w:val="single" w:sz="4" w:space="5" w:color="D9D9D9" w:themeColor="background1" w:themeShade="D9"/>
        </w:pBdr>
        <w:ind w:left="0" w:right="0"/>
        <w:rPr>
          <w:rFonts w:ascii="ITC Avant Garde" w:hAnsi="ITC Avant Garde"/>
          <w:spacing w:val="-6"/>
          <w:lang w:val="es-ES"/>
        </w:rPr>
      </w:pPr>
      <w:r w:rsidRPr="00092A03">
        <w:rPr>
          <w:rFonts w:ascii="ITC Avant Garde" w:hAnsi="ITC Avant Garde"/>
          <w:spacing w:val="-6"/>
          <w:lang w:val="es-ES"/>
        </w:rPr>
        <w:t xml:space="preserve">El espectro asignado al operador </w:t>
      </w:r>
      <w:r w:rsidR="00600CDE" w:rsidRPr="00092A03">
        <w:rPr>
          <w:rFonts w:ascii="ITC Avant Garde" w:hAnsi="ITC Avant Garde"/>
          <w:spacing w:val="-6"/>
          <w:lang w:val="es-ES"/>
        </w:rPr>
        <w:t xml:space="preserve">alternativo </w:t>
      </w:r>
      <w:r w:rsidRPr="00092A03">
        <w:rPr>
          <w:rFonts w:ascii="ITC Avant Garde" w:hAnsi="ITC Avant Garde"/>
          <w:spacing w:val="-6"/>
          <w:lang w:val="es-ES"/>
        </w:rPr>
        <w:t xml:space="preserve">hipotético </w:t>
      </w:r>
      <w:r w:rsidR="00926537" w:rsidRPr="00092A03">
        <w:rPr>
          <w:rFonts w:ascii="ITC Avant Garde" w:hAnsi="ITC Avant Garde"/>
          <w:spacing w:val="-6"/>
          <w:lang w:val="es-ES"/>
        </w:rPr>
        <w:t>será</w:t>
      </w:r>
      <w:r w:rsidRPr="00092A03">
        <w:rPr>
          <w:rFonts w:ascii="ITC Avant Garde" w:hAnsi="ITC Avant Garde"/>
          <w:spacing w:val="-6"/>
          <w:lang w:val="es-ES"/>
        </w:rPr>
        <w:t xml:space="preserve"> de </w:t>
      </w:r>
      <w:r w:rsidR="005F4BCC" w:rsidRPr="00092A03">
        <w:rPr>
          <w:rFonts w:ascii="ITC Avant Garde" w:hAnsi="ITC Avant Garde"/>
          <w:spacing w:val="-6"/>
          <w:lang w:val="es-ES"/>
        </w:rPr>
        <w:t>10</w:t>
      </w:r>
      <w:r w:rsidR="00254135" w:rsidRPr="00092A03">
        <w:rPr>
          <w:rFonts w:ascii="ITC Avant Garde" w:hAnsi="ITC Avant Garde"/>
          <w:spacing w:val="-6"/>
          <w:lang w:val="es-ES"/>
        </w:rPr>
        <w:t>.0</w:t>
      </w:r>
      <w:r w:rsidR="005F4BCC" w:rsidRPr="00092A03">
        <w:rPr>
          <w:rFonts w:ascii="ITC Avant Garde" w:hAnsi="ITC Avant Garde"/>
          <w:spacing w:val="-6"/>
          <w:lang w:val="es-ES"/>
        </w:rPr>
        <w:t xml:space="preserve">MHz </w:t>
      </w:r>
      <w:r w:rsidRPr="00092A03">
        <w:rPr>
          <w:rFonts w:ascii="ITC Avant Garde" w:hAnsi="ITC Avant Garde"/>
          <w:spacing w:val="-6"/>
          <w:lang w:val="es-ES"/>
        </w:rPr>
        <w:t>en la banda de 850MHz</w:t>
      </w:r>
      <w:r w:rsidR="004F4A4C" w:rsidRPr="00092A03">
        <w:rPr>
          <w:rFonts w:ascii="ITC Avant Garde" w:hAnsi="ITC Avant Garde"/>
          <w:spacing w:val="-6"/>
          <w:lang w:val="es-ES"/>
        </w:rPr>
        <w:t>,</w:t>
      </w:r>
      <w:r w:rsidRPr="00092A03">
        <w:rPr>
          <w:rFonts w:ascii="ITC Avant Garde" w:hAnsi="ITC Avant Garde"/>
          <w:spacing w:val="-6"/>
          <w:lang w:val="es-ES"/>
        </w:rPr>
        <w:t xml:space="preserve"> de </w:t>
      </w:r>
      <w:r w:rsidR="00B11376" w:rsidRPr="00092A03">
        <w:rPr>
          <w:rFonts w:ascii="ITC Avant Garde" w:hAnsi="ITC Avant Garde"/>
          <w:spacing w:val="-6"/>
          <w:lang w:val="es-ES"/>
        </w:rPr>
        <w:t>40</w:t>
      </w:r>
      <w:r w:rsidR="005F4BCC" w:rsidRPr="00092A03">
        <w:rPr>
          <w:rFonts w:ascii="ITC Avant Garde" w:hAnsi="ITC Avant Garde"/>
          <w:spacing w:val="-6"/>
          <w:lang w:val="es-ES"/>
        </w:rPr>
        <w:t>.</w:t>
      </w:r>
      <w:r w:rsidR="006C50F4" w:rsidRPr="00092A03">
        <w:rPr>
          <w:rFonts w:ascii="ITC Avant Garde" w:hAnsi="ITC Avant Garde"/>
          <w:spacing w:val="-6"/>
          <w:lang w:val="es-ES"/>
        </w:rPr>
        <w:t>8</w:t>
      </w:r>
      <w:r w:rsidR="00B11376" w:rsidRPr="00092A03">
        <w:rPr>
          <w:rFonts w:ascii="ITC Avant Garde" w:hAnsi="ITC Avant Garde"/>
          <w:spacing w:val="-6"/>
          <w:lang w:val="es-ES"/>
        </w:rPr>
        <w:t xml:space="preserve">MHz </w:t>
      </w:r>
      <w:r w:rsidRPr="00092A03">
        <w:rPr>
          <w:rFonts w:ascii="ITC Avant Garde" w:hAnsi="ITC Avant Garde"/>
          <w:spacing w:val="-6"/>
          <w:lang w:val="es-ES"/>
        </w:rPr>
        <w:t>en la banda de 1900MHz</w:t>
      </w:r>
      <w:r w:rsidR="004F4A4C" w:rsidRPr="00092A03">
        <w:rPr>
          <w:rFonts w:ascii="ITC Avant Garde" w:hAnsi="ITC Avant Garde"/>
          <w:spacing w:val="-6"/>
          <w:lang w:val="es-ES"/>
        </w:rPr>
        <w:t xml:space="preserve"> y de </w:t>
      </w:r>
      <w:r w:rsidR="00D0641E" w:rsidRPr="00092A03">
        <w:rPr>
          <w:rFonts w:ascii="ITC Avant Garde" w:hAnsi="ITC Avant Garde"/>
          <w:spacing w:val="-6"/>
          <w:lang w:val="es-ES"/>
        </w:rPr>
        <w:t>3</w:t>
      </w:r>
      <w:r w:rsidR="00B9575A" w:rsidRPr="00092A03">
        <w:rPr>
          <w:rFonts w:ascii="ITC Avant Garde" w:hAnsi="ITC Avant Garde"/>
          <w:spacing w:val="-6"/>
          <w:lang w:val="es-ES"/>
        </w:rPr>
        <w:t>0</w:t>
      </w:r>
      <w:r w:rsidR="00D0641E" w:rsidRPr="00092A03">
        <w:rPr>
          <w:rFonts w:ascii="ITC Avant Garde" w:hAnsi="ITC Avant Garde"/>
          <w:spacing w:val="-6"/>
          <w:lang w:val="es-ES"/>
        </w:rPr>
        <w:t>.0</w:t>
      </w:r>
      <w:r w:rsidR="004F4A4C" w:rsidRPr="00092A03">
        <w:rPr>
          <w:rFonts w:ascii="ITC Avant Garde" w:hAnsi="ITC Avant Garde"/>
          <w:spacing w:val="-6"/>
          <w:lang w:val="es-ES"/>
        </w:rPr>
        <w:t xml:space="preserve"> MHz en la banda de 1700</w:t>
      </w:r>
      <w:r w:rsidR="006C50F4" w:rsidRPr="00092A03">
        <w:rPr>
          <w:rFonts w:ascii="ITC Avant Garde" w:hAnsi="ITC Avant Garde"/>
          <w:spacing w:val="-6"/>
          <w:lang w:val="es-ES"/>
        </w:rPr>
        <w:t>/2100</w:t>
      </w:r>
      <w:r w:rsidR="004F4A4C" w:rsidRPr="00092A03">
        <w:rPr>
          <w:rFonts w:ascii="ITC Avant Garde" w:hAnsi="ITC Avant Garde"/>
          <w:spacing w:val="-6"/>
          <w:lang w:val="es-ES"/>
        </w:rPr>
        <w:t>MHz</w:t>
      </w:r>
      <w:r w:rsidR="00096293" w:rsidRPr="00092A03">
        <w:rPr>
          <w:rFonts w:ascii="ITC Avant Garde" w:hAnsi="ITC Avant Garde"/>
          <w:spacing w:val="-6"/>
          <w:lang w:val="es-ES"/>
        </w:rPr>
        <w:footnoteReference w:id="5"/>
      </w:r>
      <w:r w:rsidRPr="00092A03">
        <w:rPr>
          <w:rFonts w:ascii="ITC Avant Garde" w:hAnsi="ITC Avant Garde"/>
          <w:spacing w:val="-6"/>
          <w:lang w:val="es-ES"/>
        </w:rPr>
        <w:t>.</w:t>
      </w:r>
    </w:p>
    <w:p w14:paraId="7D31AD33"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75CE78DB" w14:textId="50606152" w:rsidR="000D6224" w:rsidRPr="00092A03" w:rsidRDefault="000D6224" w:rsidP="000D6224">
      <w:pPr>
        <w:rPr>
          <w:rFonts w:ascii="ITC Avant Garde" w:hAnsi="ITC Avant Garde"/>
          <w:lang w:val="es-ES"/>
        </w:rPr>
      </w:pPr>
      <w:r w:rsidRPr="00092A03">
        <w:rPr>
          <w:rFonts w:ascii="ITC Avant Garde" w:hAnsi="ITC Avant Garde"/>
          <w:lang w:val="es-ES"/>
        </w:rPr>
        <w:t>Mega Cable aboga por la eliminación del espectro en la banda AWS (1.7-2.1 GHz) ya que</w:t>
      </w:r>
      <w:r w:rsidR="00F237CE" w:rsidRPr="00092A03">
        <w:rPr>
          <w:rFonts w:ascii="ITC Avant Garde" w:hAnsi="ITC Avant Garde"/>
          <w:lang w:val="es-ES"/>
        </w:rPr>
        <w:t>,</w:t>
      </w:r>
      <w:r w:rsidRPr="00092A03">
        <w:rPr>
          <w:rFonts w:ascii="ITC Avant Garde" w:hAnsi="ITC Avant Garde"/>
          <w:lang w:val="es-ES"/>
        </w:rPr>
        <w:t xml:space="preserve"> además de que el costo del espectro radioeléctrico no es atribuible ni incremental al tráfico de voz, en el caso de esta banda su utilización es exclusiva en el modelo para tráfico de datos, servicio que no forma parte del modelo de costos móvil.</w:t>
      </w:r>
    </w:p>
    <w:p w14:paraId="0CFF692A" w14:textId="7D4AFA6F" w:rsidR="00B74D49" w:rsidRPr="00092A03" w:rsidRDefault="00F237CE">
      <w:pPr>
        <w:rPr>
          <w:rFonts w:ascii="ITC Avant Garde" w:hAnsi="ITC Avant Garde"/>
          <w:lang w:val="es-ES"/>
        </w:rPr>
      </w:pPr>
      <w:r w:rsidRPr="00092A03">
        <w:rPr>
          <w:rFonts w:ascii="ITC Avant Garde" w:hAnsi="ITC Avant Garde"/>
          <w:lang w:val="es-ES"/>
        </w:rPr>
        <w:t xml:space="preserve">Por su lado, </w:t>
      </w:r>
      <w:r w:rsidR="00A56EBA" w:rsidRPr="00092A03">
        <w:rPr>
          <w:rFonts w:ascii="ITC Avant Garde" w:hAnsi="ITC Avant Garde"/>
          <w:lang w:val="es-ES"/>
        </w:rPr>
        <w:t xml:space="preserve">Telefónica muestra su preocupación en la asignación de espectro al operador </w:t>
      </w:r>
      <w:r w:rsidR="00B74D49" w:rsidRPr="00092A03">
        <w:rPr>
          <w:rFonts w:ascii="ITC Avant Garde" w:hAnsi="ITC Avant Garde"/>
          <w:lang w:val="es-ES"/>
        </w:rPr>
        <w:t xml:space="preserve">hipotético existente, especialmente en vistas de que el modelo 2018 disminuye </w:t>
      </w:r>
      <w:r w:rsidR="00D21814" w:rsidRPr="00092A03">
        <w:rPr>
          <w:rFonts w:ascii="ITC Avant Garde" w:hAnsi="ITC Avant Garde"/>
          <w:lang w:val="es-ES"/>
        </w:rPr>
        <w:t xml:space="preserve">el espectro en la banda 1900MHz </w:t>
      </w:r>
      <w:r w:rsidR="00B74D49" w:rsidRPr="00092A03">
        <w:rPr>
          <w:rFonts w:ascii="ITC Avant Garde" w:hAnsi="ITC Avant Garde"/>
          <w:lang w:val="es-ES"/>
        </w:rPr>
        <w:t>a 40,8MHz, desde los 43,3MHz de los modelos para la definición de las tarifas de 2016 y 2017.</w:t>
      </w:r>
      <w:r w:rsidR="00C95979" w:rsidRPr="00092A03">
        <w:rPr>
          <w:rFonts w:ascii="ITC Avant Garde" w:hAnsi="ITC Avant Garde"/>
          <w:lang w:val="es-ES"/>
        </w:rPr>
        <w:t xml:space="preserve"> Telefónica</w:t>
      </w:r>
      <w:r w:rsidR="006369D3" w:rsidRPr="00092A03">
        <w:rPr>
          <w:rFonts w:ascii="ITC Avant Garde" w:hAnsi="ITC Avant Garde"/>
          <w:lang w:val="es-ES"/>
        </w:rPr>
        <w:t xml:space="preserve"> opina que el espectro disponible incluido en el modelo no es representativo del espectro realmente disponible por los operadores en México, en especial para las bandas PCS y AWS.</w:t>
      </w:r>
    </w:p>
    <w:p w14:paraId="3D72309F" w14:textId="75F82A0C" w:rsidR="00105D32" w:rsidRPr="00092A03" w:rsidRDefault="00C95979" w:rsidP="002B2884">
      <w:pPr>
        <w:rPr>
          <w:rFonts w:ascii="ITC Avant Garde" w:hAnsi="ITC Avant Garde"/>
          <w:lang w:val="es-ES"/>
        </w:rPr>
      </w:pPr>
      <w:r w:rsidRPr="00092A03">
        <w:rPr>
          <w:rFonts w:ascii="ITC Avant Garde" w:hAnsi="ITC Avant Garde"/>
          <w:lang w:val="es-ES"/>
        </w:rPr>
        <w:t>Telcel</w:t>
      </w:r>
      <w:r w:rsidR="00105D32" w:rsidRPr="00092A03">
        <w:rPr>
          <w:rFonts w:ascii="ITC Avant Garde" w:hAnsi="ITC Avant Garde"/>
          <w:lang w:val="es-ES"/>
        </w:rPr>
        <w:t xml:space="preserve"> considera que la asignación de espectro no es realista, pues esta debería ser proporcional a la cuota de mercado del operador hipotético existente, como lo fue en los modelos entre 2011 y 2014, llevando por tanto a una asignación de espectro menor para este operador. De esta forma se replicaría la eficiencia espectral con la que opera actualmente el agente económico preponderante y no se sobreestimaría la tenencia espectral del operador hipotético modelado, perpetuando en este la </w:t>
      </w:r>
      <w:r w:rsidR="00105D32" w:rsidRPr="00092A03">
        <w:rPr>
          <w:rFonts w:ascii="ITC Avant Garde" w:hAnsi="ITC Avant Garde"/>
          <w:lang w:val="es-ES"/>
        </w:rPr>
        <w:lastRenderedPageBreak/>
        <w:t>ineficiencia espectral que actualmente presentan en el mercado los operadores no preponderantes.</w:t>
      </w:r>
      <w:r w:rsidR="002B2884" w:rsidRPr="00092A03">
        <w:rPr>
          <w:rFonts w:ascii="ITC Avant Garde" w:hAnsi="ITC Avant Garde"/>
          <w:lang w:val="es-ES"/>
        </w:rPr>
        <w:t xml:space="preserve"> Lo anterior, según este operador, llevaría necesariamente a menores costos por parte del operador hipotético modelado y, en consecuencia, a la determinación de una tarifa de terminación menor benéfica para el sector de las telecomunicaciones móviles y el usuario final.</w:t>
      </w:r>
    </w:p>
    <w:p w14:paraId="60C01EB9" w14:textId="7EC6D80D" w:rsidR="002B2884" w:rsidRPr="00092A03" w:rsidRDefault="00C95979" w:rsidP="002B2884">
      <w:pPr>
        <w:rPr>
          <w:rFonts w:ascii="ITC Avant Garde" w:hAnsi="ITC Avant Garde"/>
          <w:lang w:val="es-MX"/>
        </w:rPr>
      </w:pPr>
      <w:r w:rsidRPr="00092A03">
        <w:rPr>
          <w:rFonts w:ascii="ITC Avant Garde" w:hAnsi="ITC Avant Garde"/>
          <w:lang w:val="es-ES"/>
        </w:rPr>
        <w:t>Axtel</w:t>
      </w:r>
      <w:r w:rsidR="002B2884" w:rsidRPr="00092A03">
        <w:rPr>
          <w:rFonts w:ascii="ITC Avant Garde" w:hAnsi="ITC Avant Garde"/>
          <w:lang w:val="es-ES"/>
        </w:rPr>
        <w:t xml:space="preserve"> solicita al IFT una mayor transparencia sobre la asignación del ancho de banda del operador hipotético </w:t>
      </w:r>
      <w:r w:rsidR="002B2884" w:rsidRPr="00092A03">
        <w:rPr>
          <w:rFonts w:ascii="ITC Avant Garde" w:hAnsi="ITC Avant Garde"/>
          <w:lang w:val="es-ES_tradnl"/>
        </w:rPr>
        <w:t>para cada una de las bandas de frecuencia específicas. En concreto parece preocupado por los siguientes dos puntos:</w:t>
      </w:r>
    </w:p>
    <w:p w14:paraId="45678CAD" w14:textId="77777777" w:rsidR="002B2884" w:rsidRPr="00092A03" w:rsidRDefault="002B2884" w:rsidP="00734F0E">
      <w:pPr>
        <w:pStyle w:val="Listaconvietas"/>
        <w:rPr>
          <w:rFonts w:ascii="ITC Avant Garde" w:hAnsi="ITC Avant Garde"/>
          <w:lang w:val="es-ES"/>
        </w:rPr>
      </w:pPr>
      <w:r w:rsidRPr="00092A03">
        <w:rPr>
          <w:rFonts w:ascii="ITC Avant Garde" w:hAnsi="ITC Avant Garde"/>
          <w:lang w:val="es-ES"/>
        </w:rPr>
        <w:t>Argumenta que, en vista de la tenencia actual de espectro por parte de los operadores reales, y el número de usuarios de cada uno, los más de 80 MHz asignados al operador hipotético podrían estar alzando el valor de la tarifa de interconexión.</w:t>
      </w:r>
    </w:p>
    <w:p w14:paraId="308CB126" w14:textId="77777777" w:rsidR="00E721D7" w:rsidRPr="00092A03" w:rsidRDefault="002B2884" w:rsidP="00E721D7">
      <w:pPr>
        <w:pStyle w:val="Listaconvietas"/>
        <w:rPr>
          <w:rFonts w:ascii="ITC Avant Garde" w:hAnsi="ITC Avant Garde"/>
          <w:lang w:val="es-ES"/>
        </w:rPr>
      </w:pPr>
      <w:r w:rsidRPr="00092A03">
        <w:rPr>
          <w:rFonts w:ascii="ITC Avant Garde" w:hAnsi="ITC Avant Garde"/>
          <w:lang w:val="es-ES"/>
        </w:rPr>
        <w:t>Menciona que, teniendo en cuenta el reparto de espectro disponible en la banda de 850 MHz (CEL), los 10 MHz asignados al operador hipotético son erróneos.</w:t>
      </w:r>
    </w:p>
    <w:p w14:paraId="2074D2A7" w14:textId="0A65D8C8" w:rsidR="004058ED" w:rsidRPr="00092A03" w:rsidRDefault="002B648A">
      <w:pPr>
        <w:pStyle w:val="Ttulo4"/>
        <w:rPr>
          <w:rFonts w:ascii="ITC Avant Garde" w:hAnsi="ITC Avant Garde"/>
          <w:b/>
          <w:lang w:val="es-ES"/>
        </w:rPr>
      </w:pPr>
      <w:r w:rsidRPr="00092A03">
        <w:rPr>
          <w:rFonts w:ascii="ITC Avant Garde" w:hAnsi="ITC Avant Garde"/>
          <w:b/>
          <w:lang w:val="es-ES"/>
        </w:rPr>
        <w:t>Consideraciones del Instituto</w:t>
      </w:r>
    </w:p>
    <w:p w14:paraId="3CC20DF6" w14:textId="3F890FE0" w:rsidR="00F237CE" w:rsidRPr="00092A03" w:rsidRDefault="006B0365" w:rsidP="00F237CE">
      <w:pPr>
        <w:rPr>
          <w:rFonts w:ascii="ITC Avant Garde" w:hAnsi="ITC Avant Garde"/>
          <w:spacing w:val="-4"/>
          <w:lang w:val="es-ES"/>
        </w:rPr>
      </w:pPr>
      <w:r w:rsidRPr="00092A03">
        <w:rPr>
          <w:rFonts w:ascii="ITC Avant Garde" w:hAnsi="ITC Avant Garde"/>
          <w:spacing w:val="-4"/>
          <w:lang w:val="es-ES"/>
        </w:rPr>
        <w:t>Telefónica</w:t>
      </w:r>
      <w:r w:rsidR="00F237CE" w:rsidRPr="00092A03">
        <w:rPr>
          <w:rFonts w:ascii="ITC Avant Garde" w:hAnsi="ITC Avant Garde"/>
          <w:spacing w:val="-4"/>
          <w:lang w:val="es-ES"/>
        </w:rPr>
        <w:t xml:space="preserve"> </w:t>
      </w:r>
      <w:r w:rsidR="00D65EFD" w:rsidRPr="00092A03">
        <w:rPr>
          <w:rFonts w:ascii="ITC Avant Garde" w:hAnsi="ITC Avant Garde"/>
          <w:spacing w:val="-4"/>
          <w:lang w:val="es-ES"/>
        </w:rPr>
        <w:t xml:space="preserve">disiente con </w:t>
      </w:r>
      <w:r w:rsidR="00F237CE" w:rsidRPr="00092A03">
        <w:rPr>
          <w:rFonts w:ascii="ITC Avant Garde" w:hAnsi="ITC Avant Garde"/>
          <w:spacing w:val="-4"/>
          <w:lang w:val="es-ES"/>
        </w:rPr>
        <w:t>la asignación de espectro al operador hipotético existente</w:t>
      </w:r>
      <w:r w:rsidR="00151D5E" w:rsidRPr="00092A03">
        <w:rPr>
          <w:rFonts w:ascii="ITC Avant Garde" w:hAnsi="ITC Avant Garde"/>
          <w:spacing w:val="-4"/>
          <w:lang w:val="es-ES"/>
        </w:rPr>
        <w:t>, especialmente en vistas de la reducción de la tenencia de espectro del operador hipotético en la banda PCS</w:t>
      </w:r>
      <w:r w:rsidR="00F237CE" w:rsidRPr="00092A03">
        <w:rPr>
          <w:rFonts w:ascii="ITC Avant Garde" w:hAnsi="ITC Avant Garde"/>
          <w:spacing w:val="-4"/>
          <w:lang w:val="es-ES"/>
        </w:rPr>
        <w:t xml:space="preserve">. </w:t>
      </w:r>
      <w:r w:rsidR="00FB4CB4" w:rsidRPr="00092A03">
        <w:rPr>
          <w:rFonts w:ascii="ITC Avant Garde" w:hAnsi="ITC Avant Garde"/>
          <w:spacing w:val="-4"/>
          <w:lang w:val="es-ES"/>
        </w:rPr>
        <w:t xml:space="preserve">Se </w:t>
      </w:r>
      <w:r w:rsidR="00151D5E" w:rsidRPr="00092A03">
        <w:rPr>
          <w:rFonts w:ascii="ITC Avant Garde" w:hAnsi="ITC Avant Garde"/>
          <w:spacing w:val="-4"/>
          <w:lang w:val="es-ES"/>
        </w:rPr>
        <w:t xml:space="preserve">indica que las variaciones identificadas en la tenencia de espectro del operador hipotético existente se deben a </w:t>
      </w:r>
      <w:r w:rsidR="00C309EA" w:rsidRPr="00092A03">
        <w:rPr>
          <w:rFonts w:ascii="ITC Avant Garde" w:hAnsi="ITC Avant Garde"/>
          <w:spacing w:val="-4"/>
          <w:lang w:val="es-ES"/>
        </w:rPr>
        <w:t>una</w:t>
      </w:r>
      <w:r w:rsidR="00151D5E" w:rsidRPr="00092A03">
        <w:rPr>
          <w:rFonts w:ascii="ITC Avant Garde" w:hAnsi="ITC Avant Garde"/>
          <w:spacing w:val="-4"/>
          <w:lang w:val="es-ES"/>
        </w:rPr>
        <w:t xml:space="preserve"> </w:t>
      </w:r>
      <w:r w:rsidR="00FB4CB4" w:rsidRPr="00092A03">
        <w:rPr>
          <w:rFonts w:ascii="ITC Avant Garde" w:hAnsi="ITC Avant Garde"/>
          <w:spacing w:val="-4"/>
          <w:lang w:val="es-ES"/>
        </w:rPr>
        <w:t xml:space="preserve">revisión y adaptación </w:t>
      </w:r>
      <w:r w:rsidR="00151D5E" w:rsidRPr="00092A03">
        <w:rPr>
          <w:rFonts w:ascii="ITC Avant Garde" w:hAnsi="ITC Avant Garde"/>
          <w:spacing w:val="-4"/>
          <w:lang w:val="es-ES"/>
        </w:rPr>
        <w:t xml:space="preserve">de la metodología para el cálculo del espectro disponible para el operador hipotético existente. Esta </w:t>
      </w:r>
      <w:r w:rsidR="00FB4CB4" w:rsidRPr="00092A03">
        <w:rPr>
          <w:rFonts w:ascii="ITC Avant Garde" w:hAnsi="ITC Avant Garde"/>
          <w:spacing w:val="-4"/>
          <w:lang w:val="es-ES"/>
        </w:rPr>
        <w:t xml:space="preserve">adaptación </w:t>
      </w:r>
      <w:r w:rsidR="00151D5E" w:rsidRPr="00092A03">
        <w:rPr>
          <w:rFonts w:ascii="ITC Avant Garde" w:hAnsi="ITC Avant Garde"/>
          <w:spacing w:val="-4"/>
          <w:lang w:val="es-ES"/>
        </w:rPr>
        <w:t>ha sido necesaria debido a dos razones principalmente:</w:t>
      </w:r>
    </w:p>
    <w:p w14:paraId="7B9E602B" w14:textId="77777777" w:rsidR="00151D5E" w:rsidRPr="00092A03" w:rsidRDefault="00C309EA" w:rsidP="00E2652C">
      <w:pPr>
        <w:pStyle w:val="ListBulletCompact"/>
        <w:rPr>
          <w:rFonts w:ascii="ITC Avant Garde" w:hAnsi="ITC Avant Garde"/>
          <w:spacing w:val="-4"/>
          <w:lang w:val="es-ES"/>
        </w:rPr>
      </w:pPr>
      <w:r w:rsidRPr="00092A03">
        <w:rPr>
          <w:rFonts w:ascii="ITC Avant Garde" w:hAnsi="ITC Avant Garde"/>
          <w:spacing w:val="-4"/>
          <w:lang w:val="es-ES"/>
        </w:rPr>
        <w:t>l</w:t>
      </w:r>
      <w:r w:rsidR="00151D5E" w:rsidRPr="00092A03">
        <w:rPr>
          <w:rFonts w:ascii="ITC Avant Garde" w:hAnsi="ITC Avant Garde"/>
          <w:spacing w:val="-4"/>
          <w:lang w:val="es-ES"/>
        </w:rPr>
        <w:t>a introducción de la red 4G y de la banda AWS en el modelo</w:t>
      </w:r>
    </w:p>
    <w:p w14:paraId="05DC4E9B" w14:textId="77777777" w:rsidR="00151D5E" w:rsidRPr="00092A03" w:rsidRDefault="00C309EA" w:rsidP="00E2652C">
      <w:pPr>
        <w:pStyle w:val="Listaconvietas"/>
        <w:rPr>
          <w:rFonts w:ascii="ITC Avant Garde" w:hAnsi="ITC Avant Garde"/>
          <w:spacing w:val="-4"/>
          <w:lang w:val="es-ES"/>
        </w:rPr>
      </w:pPr>
      <w:r w:rsidRPr="00092A03">
        <w:rPr>
          <w:rFonts w:ascii="ITC Avant Garde" w:hAnsi="ITC Avant Garde"/>
          <w:spacing w:val="-4"/>
          <w:lang w:val="es-ES"/>
        </w:rPr>
        <w:t>e</w:t>
      </w:r>
      <w:r w:rsidR="00151D5E" w:rsidRPr="00092A03">
        <w:rPr>
          <w:rFonts w:ascii="ITC Avant Garde" w:hAnsi="ITC Avant Garde"/>
          <w:spacing w:val="-4"/>
          <w:lang w:val="es-ES"/>
        </w:rPr>
        <w:t xml:space="preserve">l intercambio de espectro entre </w:t>
      </w:r>
      <w:r w:rsidR="00DD0C4A" w:rsidRPr="00092A03">
        <w:rPr>
          <w:rFonts w:ascii="ITC Avant Garde" w:hAnsi="ITC Avant Garde"/>
          <w:spacing w:val="-4"/>
          <w:lang w:val="es-ES"/>
        </w:rPr>
        <w:t>AT&amp;T y Telefónica</w:t>
      </w:r>
      <w:r w:rsidRPr="00092A03">
        <w:rPr>
          <w:rFonts w:ascii="ITC Avant Garde" w:hAnsi="ITC Avant Garde"/>
          <w:spacing w:val="-4"/>
          <w:lang w:val="es-ES"/>
        </w:rPr>
        <w:t>.</w:t>
      </w:r>
    </w:p>
    <w:p w14:paraId="6FC042E2" w14:textId="77777777" w:rsidR="00FB4CB4" w:rsidRPr="00092A03" w:rsidRDefault="00FB4CB4" w:rsidP="00F237CE">
      <w:pPr>
        <w:rPr>
          <w:rFonts w:ascii="ITC Avant Garde" w:hAnsi="ITC Avant Garde"/>
          <w:spacing w:val="-4"/>
          <w:lang w:val="es-ES"/>
        </w:rPr>
      </w:pPr>
      <w:r w:rsidRPr="00092A03">
        <w:rPr>
          <w:rFonts w:ascii="ITC Avant Garde" w:hAnsi="ITC Avant Garde"/>
          <w:spacing w:val="-4"/>
          <w:lang w:val="es-ES"/>
        </w:rPr>
        <w:t>Tras esta revisión</w:t>
      </w:r>
      <w:r w:rsidR="00DD0C4A" w:rsidRPr="00092A03">
        <w:rPr>
          <w:rFonts w:ascii="ITC Avant Garde" w:hAnsi="ITC Avant Garde"/>
          <w:spacing w:val="-4"/>
          <w:lang w:val="es-ES"/>
        </w:rPr>
        <w:t>, e</w:t>
      </w:r>
      <w:r w:rsidR="00F237CE" w:rsidRPr="00092A03">
        <w:rPr>
          <w:rFonts w:ascii="ITC Avant Garde" w:hAnsi="ITC Avant Garde"/>
          <w:spacing w:val="-4"/>
          <w:lang w:val="es-ES"/>
        </w:rPr>
        <w:t xml:space="preserve">l espectro disponible para el operador hipotético se calcula </w:t>
      </w:r>
      <w:r w:rsidR="00DD0C4A" w:rsidRPr="00092A03">
        <w:rPr>
          <w:rFonts w:ascii="ITC Avant Garde" w:hAnsi="ITC Avant Garde"/>
          <w:spacing w:val="-4"/>
          <w:lang w:val="es-ES"/>
        </w:rPr>
        <w:t>con</w:t>
      </w:r>
      <w:r w:rsidR="00F237CE" w:rsidRPr="00092A03">
        <w:rPr>
          <w:rFonts w:ascii="ITC Avant Garde" w:hAnsi="ITC Avant Garde"/>
          <w:spacing w:val="-4"/>
          <w:lang w:val="es-ES"/>
        </w:rPr>
        <w:t xml:space="preserve"> base</w:t>
      </w:r>
      <w:r w:rsidR="00DD0C4A" w:rsidRPr="00092A03">
        <w:rPr>
          <w:rFonts w:ascii="ITC Avant Garde" w:hAnsi="ITC Avant Garde"/>
          <w:spacing w:val="-4"/>
          <w:lang w:val="es-ES"/>
        </w:rPr>
        <w:t xml:space="preserve"> </w:t>
      </w:r>
      <w:r w:rsidRPr="00092A03">
        <w:rPr>
          <w:rFonts w:ascii="ITC Avant Garde" w:hAnsi="ITC Avant Garde"/>
          <w:spacing w:val="-4"/>
          <w:lang w:val="es-ES"/>
        </w:rPr>
        <w:t>a</w:t>
      </w:r>
      <w:r w:rsidR="00F237CE" w:rsidRPr="00092A03">
        <w:rPr>
          <w:rFonts w:ascii="ITC Avant Garde" w:hAnsi="ITC Avant Garde"/>
          <w:spacing w:val="-4"/>
          <w:lang w:val="es-ES"/>
        </w:rPr>
        <w:t>l espectro no controlado por el AEP</w:t>
      </w:r>
      <w:r w:rsidRPr="00092A03">
        <w:rPr>
          <w:rFonts w:ascii="ITC Avant Garde" w:hAnsi="ITC Avant Garde"/>
          <w:spacing w:val="-4"/>
          <w:lang w:val="es-ES"/>
        </w:rPr>
        <w:t>,</w:t>
      </w:r>
      <w:r w:rsidR="00F237CE" w:rsidRPr="00092A03">
        <w:rPr>
          <w:rFonts w:ascii="ITC Avant Garde" w:hAnsi="ITC Avant Garde"/>
          <w:spacing w:val="-4"/>
          <w:lang w:val="es-ES"/>
        </w:rPr>
        <w:t xml:space="preserve"> ponderado por la población de las diferentes regiones</w:t>
      </w:r>
      <w:r w:rsidRPr="00092A03">
        <w:rPr>
          <w:rFonts w:ascii="ITC Avant Garde" w:hAnsi="ITC Avant Garde"/>
          <w:spacing w:val="-4"/>
          <w:lang w:val="es-ES"/>
        </w:rPr>
        <w:t xml:space="preserve">. Se </w:t>
      </w:r>
      <w:r w:rsidR="00F237CE" w:rsidRPr="00092A03">
        <w:rPr>
          <w:rFonts w:ascii="ITC Avant Garde" w:hAnsi="ITC Avant Garde"/>
          <w:spacing w:val="-4"/>
          <w:lang w:val="es-ES"/>
        </w:rPr>
        <w:t xml:space="preserve">refleja </w:t>
      </w:r>
      <w:r w:rsidRPr="00092A03">
        <w:rPr>
          <w:rFonts w:ascii="ITC Avant Garde" w:hAnsi="ITC Avant Garde"/>
          <w:spacing w:val="-4"/>
          <w:lang w:val="es-ES"/>
        </w:rPr>
        <w:t xml:space="preserve">así </w:t>
      </w:r>
      <w:r w:rsidR="00F237CE" w:rsidRPr="00092A03">
        <w:rPr>
          <w:rFonts w:ascii="ITC Avant Garde" w:hAnsi="ITC Avant Garde"/>
          <w:spacing w:val="-4"/>
          <w:lang w:val="es-ES"/>
        </w:rPr>
        <w:t>de forma representativa el espectro potencialmente disponible para los operadores alternativos.</w:t>
      </w:r>
    </w:p>
    <w:p w14:paraId="3DD2C93E" w14:textId="77777777" w:rsidR="00F237CE" w:rsidRPr="00092A03" w:rsidRDefault="00F237CE" w:rsidP="00F237CE">
      <w:pPr>
        <w:rPr>
          <w:rFonts w:ascii="ITC Avant Garde" w:hAnsi="ITC Avant Garde"/>
          <w:spacing w:val="-4"/>
          <w:lang w:val="es-ES"/>
        </w:rPr>
      </w:pPr>
      <w:r w:rsidRPr="00092A03">
        <w:rPr>
          <w:rFonts w:ascii="ITC Avant Garde" w:hAnsi="ITC Avant Garde"/>
          <w:spacing w:val="-4"/>
          <w:lang w:val="es-ES"/>
        </w:rPr>
        <w:t xml:space="preserve">Si bien es cierto que la tenencia de espectro en la banda de 850Mhz es regional para los operadores alternativos, el modelo se basa en un operador hipotético presente en un mercado contestable. De esto se desprende que en el modelo se asuma una distribución equitativa del espectro restante entre los operadores alternativos a nivel nacional, independientemente de la distribución del espectro existente entre los operadores del mercado mexicano. De la misma manera, la asignación de espectro no </w:t>
      </w:r>
      <w:r w:rsidR="00FB4CB4" w:rsidRPr="00092A03">
        <w:rPr>
          <w:rFonts w:ascii="ITC Avant Garde" w:hAnsi="ITC Avant Garde"/>
          <w:spacing w:val="-4"/>
          <w:lang w:val="es-ES"/>
        </w:rPr>
        <w:t xml:space="preserve">pretende </w:t>
      </w:r>
      <w:r w:rsidRPr="00092A03">
        <w:rPr>
          <w:rFonts w:ascii="ITC Avant Garde" w:hAnsi="ITC Avant Garde"/>
          <w:spacing w:val="-4"/>
          <w:lang w:val="es-ES"/>
        </w:rPr>
        <w:t>refleja</w:t>
      </w:r>
      <w:r w:rsidR="00FB4CB4" w:rsidRPr="00092A03">
        <w:rPr>
          <w:rFonts w:ascii="ITC Avant Garde" w:hAnsi="ITC Avant Garde"/>
          <w:spacing w:val="-4"/>
          <w:lang w:val="es-ES"/>
        </w:rPr>
        <w:t>r</w:t>
      </w:r>
      <w:r w:rsidRPr="00092A03">
        <w:rPr>
          <w:rFonts w:ascii="ITC Avant Garde" w:hAnsi="ITC Avant Garde"/>
          <w:spacing w:val="-4"/>
          <w:lang w:val="es-ES"/>
        </w:rPr>
        <w:t xml:space="preserve"> las decisiones estratégicas de los operadores con respecto a la adquisición o no de espectro que ha resultado en tenencias diferentes entre los operadores alternativos.</w:t>
      </w:r>
    </w:p>
    <w:p w14:paraId="5A7F3427" w14:textId="77777777" w:rsidR="00F237CE" w:rsidRPr="00092A03" w:rsidRDefault="00F237CE" w:rsidP="00F237CE">
      <w:pPr>
        <w:rPr>
          <w:rFonts w:ascii="ITC Avant Garde" w:hAnsi="ITC Avant Garde"/>
          <w:spacing w:val="-4"/>
          <w:lang w:val="es-ES"/>
        </w:rPr>
      </w:pPr>
      <w:r w:rsidRPr="00092A03">
        <w:rPr>
          <w:rFonts w:ascii="ITC Avant Garde" w:hAnsi="ITC Avant Garde"/>
          <w:spacing w:val="-4"/>
          <w:lang w:val="es-ES"/>
        </w:rPr>
        <w:lastRenderedPageBreak/>
        <w:t xml:space="preserve">Por otra parte, </w:t>
      </w:r>
      <w:r w:rsidR="00DD0C4A" w:rsidRPr="00092A03">
        <w:rPr>
          <w:rFonts w:ascii="ITC Avant Garde" w:hAnsi="ITC Avant Garde"/>
          <w:spacing w:val="-4"/>
          <w:lang w:val="es-ES"/>
        </w:rPr>
        <w:t>debido</w:t>
      </w:r>
      <w:r w:rsidRPr="00092A03">
        <w:rPr>
          <w:rFonts w:ascii="ITC Avant Garde" w:hAnsi="ITC Avant Garde"/>
          <w:spacing w:val="-4"/>
          <w:lang w:val="es-ES"/>
        </w:rPr>
        <w:t xml:space="preserve"> a las características similares de propagación y la neutralidad tecnológica de las bandas PCS (1900MHz) y AWS (1700/2100MHz), la distribución de los 70,8MHz disponibles de espectro se realiza de la forma más coherente posible</w:t>
      </w:r>
      <w:r w:rsidR="00FB4CB4" w:rsidRPr="00092A03">
        <w:rPr>
          <w:rFonts w:ascii="ITC Avant Garde" w:hAnsi="ITC Avant Garde"/>
          <w:spacing w:val="-4"/>
          <w:lang w:val="es-ES"/>
        </w:rPr>
        <w:t xml:space="preserve"> considerando ambas bandas de forma conjunta</w:t>
      </w:r>
      <w:r w:rsidRPr="00092A03">
        <w:rPr>
          <w:rFonts w:ascii="ITC Avant Garde" w:hAnsi="ITC Avant Garde"/>
          <w:spacing w:val="-4"/>
          <w:lang w:val="es-ES"/>
        </w:rPr>
        <w:t xml:space="preserve">. </w:t>
      </w:r>
      <w:r w:rsidR="00FB4CB4" w:rsidRPr="00092A03">
        <w:rPr>
          <w:rFonts w:ascii="ITC Avant Garde" w:hAnsi="ITC Avant Garde"/>
          <w:spacing w:val="-4"/>
          <w:lang w:val="es-ES"/>
        </w:rPr>
        <w:t xml:space="preserve">Por ello </w:t>
      </w:r>
      <w:r w:rsidRPr="00092A03">
        <w:rPr>
          <w:rFonts w:ascii="ITC Avant Garde" w:hAnsi="ITC Avant Garde"/>
          <w:spacing w:val="-4"/>
          <w:lang w:val="es-ES"/>
        </w:rPr>
        <w:t>se asignan 40,8MHz de espectro a la banda de PCS, suficientes para acomodar despliegues de capacidad de GSM y UMTS/HSPA, y 30 MHz a la banda de AWS para permitir la descarga de datos alta velocidad mediante la red LTE. Cabe notar que la equivalencia tecnológica de ambas bandas viene reforzada por el acuerdo efectuado en diciembre de 2015 entre AT&amp;T y Telefónica, donde se intercambiaron cantidades idénticas de espectro en PCS y AWS con el objetivo de obtener una mayor cantidad de espectro adyacente.</w:t>
      </w:r>
    </w:p>
    <w:p w14:paraId="5D0093D5" w14:textId="77777777" w:rsidR="00F237CE" w:rsidRPr="00092A03" w:rsidRDefault="00F237CE" w:rsidP="00F237CE">
      <w:pPr>
        <w:rPr>
          <w:rFonts w:ascii="ITC Avant Garde" w:hAnsi="ITC Avant Garde"/>
          <w:spacing w:val="-4"/>
          <w:lang w:val="es-ES"/>
        </w:rPr>
      </w:pPr>
      <w:r w:rsidRPr="00092A03">
        <w:rPr>
          <w:rFonts w:ascii="ITC Avant Garde" w:hAnsi="ITC Avant Garde"/>
          <w:spacing w:val="-4"/>
          <w:lang w:val="es-ES"/>
        </w:rPr>
        <w:t xml:space="preserve">En el modelo desarrollado en el 2011 se consideró un mercado contestado con tres operadores de misma talla. El modelo actual releja, por las razones antes mencionadas, un mercado con un operador AEP y dos operadores alternativos hipotéticos. Por ello, el presente modelo </w:t>
      </w:r>
      <w:r w:rsidR="00FB4CB4" w:rsidRPr="00092A03">
        <w:rPr>
          <w:rFonts w:ascii="ITC Avant Garde" w:hAnsi="ITC Avant Garde"/>
          <w:spacing w:val="-4"/>
          <w:lang w:val="es-ES"/>
        </w:rPr>
        <w:t xml:space="preserve">considera </w:t>
      </w:r>
      <w:r w:rsidRPr="00092A03">
        <w:rPr>
          <w:rFonts w:ascii="ITC Avant Garde" w:hAnsi="ITC Avant Garde"/>
          <w:spacing w:val="-4"/>
          <w:lang w:val="es-ES"/>
        </w:rPr>
        <w:t>la tenencia de espectro del AEP y la potencial de dos operadores móviles alternativos idénticos con el espectro restante del AEP.</w:t>
      </w:r>
    </w:p>
    <w:p w14:paraId="7A344025" w14:textId="77777777" w:rsidR="00F237CE" w:rsidRPr="00092A03" w:rsidRDefault="00F237CE" w:rsidP="00F237CE">
      <w:pPr>
        <w:rPr>
          <w:rFonts w:ascii="ITC Avant Garde" w:hAnsi="ITC Avant Garde"/>
          <w:spacing w:val="-4"/>
          <w:lang w:val="es-ES"/>
        </w:rPr>
      </w:pPr>
      <w:r w:rsidRPr="00092A03">
        <w:rPr>
          <w:rFonts w:ascii="ITC Avant Garde" w:hAnsi="ITC Avant Garde"/>
          <w:spacing w:val="-4"/>
          <w:lang w:val="es-ES"/>
        </w:rPr>
        <w:t xml:space="preserve">Cabe notar que una distribución proporcional del espectro </w:t>
      </w:r>
      <w:r w:rsidR="00C309EA" w:rsidRPr="00092A03">
        <w:rPr>
          <w:rFonts w:ascii="ITC Avant Garde" w:hAnsi="ITC Avant Garde"/>
          <w:spacing w:val="-4"/>
          <w:lang w:val="es-ES"/>
        </w:rPr>
        <w:t>en función de las</w:t>
      </w:r>
      <w:r w:rsidRPr="00092A03">
        <w:rPr>
          <w:rFonts w:ascii="ITC Avant Garde" w:hAnsi="ITC Avant Garde"/>
          <w:spacing w:val="-4"/>
          <w:lang w:val="es-ES"/>
        </w:rPr>
        <w:t xml:space="preserve"> cuotas de mercado no estaría fundamentada en la realidad. En efecto, es muy poco común que los operadores tengan una distribución de espectro proporcional a su cuota de mercado, como se puede observar en mercados con operadores con bajas cuotas de mercado como por ejemplo el español con </w:t>
      </w:r>
      <w:proofErr w:type="spellStart"/>
      <w:r w:rsidRPr="00092A03">
        <w:rPr>
          <w:rFonts w:ascii="ITC Avant Garde" w:hAnsi="ITC Avant Garde"/>
          <w:spacing w:val="-4"/>
          <w:lang w:val="es-ES"/>
        </w:rPr>
        <w:t>Yoigo</w:t>
      </w:r>
      <w:proofErr w:type="spellEnd"/>
      <w:r w:rsidRPr="00092A03">
        <w:rPr>
          <w:rFonts w:ascii="ITC Avant Garde" w:hAnsi="ITC Avant Garde"/>
          <w:spacing w:val="-4"/>
          <w:lang w:val="es-ES"/>
        </w:rPr>
        <w:t>. Aplicar este enfoque en un mercado como el mexicano donde Telcel ha dominado y domina tan claramente sería irrealista y contraproducente.</w:t>
      </w:r>
    </w:p>
    <w:p w14:paraId="418DCF9D" w14:textId="22302CBE" w:rsidR="004058ED" w:rsidRPr="00092A03" w:rsidRDefault="006B0365" w:rsidP="004058ED">
      <w:pPr>
        <w:rPr>
          <w:rFonts w:ascii="ITC Avant Garde" w:hAnsi="ITC Avant Garde"/>
          <w:lang w:val="es-ES"/>
        </w:rPr>
      </w:pPr>
      <w:r w:rsidRPr="00092A03">
        <w:rPr>
          <w:rFonts w:ascii="ITC Avant Garde" w:hAnsi="ITC Avant Garde"/>
          <w:spacing w:val="-4"/>
          <w:lang w:val="es-ES"/>
        </w:rPr>
        <w:t>Se entiende</w:t>
      </w:r>
      <w:r w:rsidR="00F237CE" w:rsidRPr="00092A03">
        <w:rPr>
          <w:rFonts w:ascii="ITC Avant Garde" w:hAnsi="ITC Avant Garde"/>
          <w:spacing w:val="-4"/>
          <w:lang w:val="es-ES"/>
        </w:rPr>
        <w:t xml:space="preserve"> además</w:t>
      </w:r>
      <w:r w:rsidR="00C8274D" w:rsidRPr="00092A03">
        <w:rPr>
          <w:rFonts w:ascii="ITC Avant Garde" w:hAnsi="ITC Avant Garde"/>
          <w:spacing w:val="-4"/>
          <w:lang w:val="es-ES"/>
        </w:rPr>
        <w:t xml:space="preserve"> que es</w:t>
      </w:r>
      <w:r w:rsidR="00F237CE" w:rsidRPr="00092A03">
        <w:rPr>
          <w:rFonts w:ascii="ITC Avant Garde" w:hAnsi="ITC Avant Garde"/>
          <w:spacing w:val="-4"/>
          <w:lang w:val="es-ES"/>
        </w:rPr>
        <w:t xml:space="preserve"> incorrecto asumir que </w:t>
      </w:r>
      <w:r w:rsidR="00FB4CB4" w:rsidRPr="00092A03">
        <w:rPr>
          <w:rFonts w:ascii="ITC Avant Garde" w:hAnsi="ITC Avant Garde"/>
          <w:spacing w:val="-4"/>
          <w:lang w:val="es-ES"/>
        </w:rPr>
        <w:t xml:space="preserve">una reducción del espectro otorgado al operador modelado </w:t>
      </w:r>
      <w:r w:rsidR="00F237CE" w:rsidRPr="00092A03">
        <w:rPr>
          <w:rFonts w:ascii="ITC Avant Garde" w:hAnsi="ITC Avant Garde"/>
          <w:spacing w:val="-4"/>
          <w:lang w:val="es-ES"/>
        </w:rPr>
        <w:t>reduciría</w:t>
      </w:r>
      <w:r w:rsidR="00C8274D" w:rsidRPr="00092A03">
        <w:rPr>
          <w:rFonts w:ascii="ITC Avant Garde" w:hAnsi="ITC Avant Garde"/>
          <w:spacing w:val="-4"/>
          <w:lang w:val="es-ES"/>
        </w:rPr>
        <w:t xml:space="preserve"> sistemáticamente</w:t>
      </w:r>
      <w:r w:rsidR="00F237CE" w:rsidRPr="00092A03">
        <w:rPr>
          <w:rFonts w:ascii="ITC Avant Garde" w:hAnsi="ITC Avant Garde"/>
          <w:spacing w:val="-4"/>
          <w:lang w:val="es-ES"/>
        </w:rPr>
        <w:t xml:space="preserve"> los costos de interconexión. Al contrario, resultaría en un incremento del número de torres de la red de capacidad, incrementando el número de torres </w:t>
      </w:r>
      <w:r w:rsidRPr="00092A03">
        <w:rPr>
          <w:rFonts w:ascii="ITC Avant Garde" w:hAnsi="ITC Avant Garde"/>
          <w:spacing w:val="-4"/>
          <w:lang w:val="es-ES"/>
        </w:rPr>
        <w:t>requeridas</w:t>
      </w:r>
      <w:r w:rsidR="00F237CE" w:rsidRPr="00092A03">
        <w:rPr>
          <w:rFonts w:ascii="ITC Avant Garde" w:hAnsi="ITC Avant Garde"/>
          <w:spacing w:val="-4"/>
          <w:lang w:val="es-ES"/>
        </w:rPr>
        <w:t xml:space="preserve"> para el transporte del tráfico de interconexión. </w:t>
      </w:r>
      <w:r w:rsidR="00651485" w:rsidRPr="00092A03">
        <w:rPr>
          <w:rFonts w:ascii="ITC Avant Garde" w:hAnsi="ITC Avant Garde"/>
          <w:spacing w:val="-4"/>
          <w:lang w:val="es-ES"/>
        </w:rPr>
        <w:t>D</w:t>
      </w:r>
      <w:r w:rsidR="00C8274D" w:rsidRPr="00092A03">
        <w:rPr>
          <w:rFonts w:ascii="ITC Avant Garde" w:hAnsi="ITC Avant Garde"/>
          <w:spacing w:val="-4"/>
          <w:lang w:val="es-ES"/>
        </w:rPr>
        <w:t xml:space="preserve">ebido a que el costo del espectro otorgado no impacta en el precio de </w:t>
      </w:r>
      <w:r w:rsidR="00590894" w:rsidRPr="00092A03">
        <w:rPr>
          <w:rFonts w:ascii="ITC Avant Garde" w:hAnsi="ITC Avant Garde"/>
          <w:spacing w:val="-4"/>
          <w:lang w:val="es-ES"/>
        </w:rPr>
        <w:t>interconexión</w:t>
      </w:r>
      <w:r w:rsidR="00C8274D" w:rsidRPr="00092A03">
        <w:rPr>
          <w:rFonts w:ascii="ITC Avant Garde" w:hAnsi="ITC Avant Garde"/>
          <w:spacing w:val="-4"/>
          <w:lang w:val="es-ES"/>
        </w:rPr>
        <w:t xml:space="preserve"> (l</w:t>
      </w:r>
      <w:r w:rsidR="00590894" w:rsidRPr="00092A03">
        <w:rPr>
          <w:rFonts w:ascii="ITC Avant Garde" w:hAnsi="ITC Avant Garde"/>
          <w:spacing w:val="-4"/>
          <w:lang w:val="es-ES"/>
        </w:rPr>
        <w:t xml:space="preserve">a tenencia de espectro </w:t>
      </w:r>
      <w:r w:rsidR="00651485" w:rsidRPr="00092A03">
        <w:rPr>
          <w:rFonts w:ascii="ITC Avant Garde" w:hAnsi="ITC Avant Garde"/>
          <w:spacing w:val="-4"/>
          <w:lang w:val="es-ES"/>
        </w:rPr>
        <w:t>no varía con el</w:t>
      </w:r>
      <w:r w:rsidR="00C8274D" w:rsidRPr="00092A03">
        <w:rPr>
          <w:rFonts w:ascii="ITC Avant Garde" w:hAnsi="ITC Avant Garde"/>
          <w:spacing w:val="-4"/>
          <w:lang w:val="es-ES"/>
        </w:rPr>
        <w:t xml:space="preserve"> tráfico), </w:t>
      </w:r>
      <w:r w:rsidR="00651485" w:rsidRPr="00092A03">
        <w:rPr>
          <w:rFonts w:ascii="ITC Avant Garde" w:hAnsi="ITC Avant Garde"/>
          <w:spacing w:val="-4"/>
          <w:lang w:val="es-ES"/>
        </w:rPr>
        <w:t>el incremento en número de torres resultaría en un aumento de los precios de interconexión</w:t>
      </w:r>
      <w:r w:rsidR="00C8274D" w:rsidRPr="00092A03">
        <w:rPr>
          <w:rFonts w:ascii="ITC Avant Garde" w:hAnsi="ITC Avant Garde"/>
          <w:spacing w:val="-4"/>
          <w:lang w:val="es-ES"/>
        </w:rPr>
        <w:t>.</w:t>
      </w:r>
      <w:r w:rsidR="00C8274D" w:rsidRPr="00092A03" w:rsidDel="00C8274D">
        <w:rPr>
          <w:rFonts w:ascii="ITC Avant Garde" w:hAnsi="ITC Avant Garde"/>
          <w:spacing w:val="-4"/>
          <w:lang w:val="es-ES"/>
        </w:rPr>
        <w:t xml:space="preserve"> </w:t>
      </w:r>
    </w:p>
    <w:p w14:paraId="7B312EA0" w14:textId="77777777" w:rsidR="006718FB" w:rsidRPr="00092A03" w:rsidRDefault="006718FB" w:rsidP="006E4A55">
      <w:pPr>
        <w:rPr>
          <w:rFonts w:ascii="ITC Avant Garde" w:hAnsi="ITC Avant Garde"/>
          <w:lang w:val="es-ES"/>
        </w:rPr>
      </w:pPr>
      <w:r w:rsidRPr="00092A03">
        <w:rPr>
          <w:rFonts w:ascii="ITC Avant Garde" w:hAnsi="ITC Avant Garde"/>
          <w:lang w:val="es-ES"/>
        </w:rPr>
        <w:t xml:space="preserve">Los pagos asociados a las diferentes bandas de frecuencias se basarán en los pagos efectuados por los operadores históricos en el momento de la adquisición de la frecuencia o durante la última renovación de la </w:t>
      </w:r>
      <w:r w:rsidR="00923DF1" w:rsidRPr="00092A03">
        <w:rPr>
          <w:rFonts w:ascii="ITC Avant Garde" w:hAnsi="ITC Avant Garde"/>
          <w:lang w:val="es-ES"/>
        </w:rPr>
        <w:t xml:space="preserve">concesión </w:t>
      </w:r>
      <w:r w:rsidRPr="00092A03">
        <w:rPr>
          <w:rFonts w:ascii="ITC Avant Garde" w:hAnsi="ITC Avant Garde"/>
          <w:lang w:val="es-ES"/>
        </w:rPr>
        <w:t>de espectro. Este enfoque es consistente con la utilización del precio de mercado del espectro.</w:t>
      </w:r>
    </w:p>
    <w:p w14:paraId="28D6B8B9" w14:textId="77777777" w:rsidR="006718FB" w:rsidRPr="00092A03" w:rsidRDefault="006718FB" w:rsidP="00FB7938">
      <w:pPr>
        <w:rPr>
          <w:rFonts w:ascii="ITC Avant Garde" w:hAnsi="ITC Avant Garde"/>
          <w:lang w:val="es-ES"/>
        </w:rPr>
      </w:pPr>
      <w:r w:rsidRPr="00092A03">
        <w:rPr>
          <w:rFonts w:ascii="ITC Avant Garde" w:hAnsi="ITC Avant Garde"/>
          <w:lang w:val="es-ES"/>
        </w:rPr>
        <w:t>La inversión inicial (</w:t>
      </w:r>
      <w:proofErr w:type="spellStart"/>
      <w:r w:rsidRPr="00092A03">
        <w:rPr>
          <w:rFonts w:ascii="ITC Avant Garde" w:hAnsi="ITC Avant Garde"/>
          <w:lang w:val="es-ES"/>
        </w:rPr>
        <w:t>capex</w:t>
      </w:r>
      <w:proofErr w:type="spellEnd"/>
      <w:r w:rsidRPr="00092A03">
        <w:rPr>
          <w:rFonts w:ascii="ITC Avant Garde" w:hAnsi="ITC Avant Garde"/>
          <w:lang w:val="es-ES"/>
        </w:rPr>
        <w:t xml:space="preserve">) en espectro en la banda de 850MHz se calcula </w:t>
      </w:r>
      <w:r w:rsidR="00F9251F" w:rsidRPr="00092A03">
        <w:rPr>
          <w:rFonts w:ascii="ITC Avant Garde" w:hAnsi="ITC Avant Garde"/>
          <w:lang w:val="es-ES"/>
        </w:rPr>
        <w:t xml:space="preserve">con </w:t>
      </w:r>
      <w:r w:rsidR="006E4A55" w:rsidRPr="00092A03">
        <w:rPr>
          <w:rFonts w:ascii="ITC Avant Garde" w:hAnsi="ITC Avant Garde"/>
          <w:lang w:val="es-ES"/>
        </w:rPr>
        <w:t xml:space="preserve">base </w:t>
      </w:r>
      <w:r w:rsidR="00F9251F" w:rsidRPr="00092A03">
        <w:rPr>
          <w:rFonts w:ascii="ITC Avant Garde" w:hAnsi="ITC Avant Garde"/>
          <w:lang w:val="es-ES"/>
        </w:rPr>
        <w:t xml:space="preserve">en el </w:t>
      </w:r>
      <w:r w:rsidRPr="00092A03">
        <w:rPr>
          <w:rFonts w:ascii="ITC Avant Garde" w:hAnsi="ITC Avant Garde"/>
          <w:lang w:val="es-ES"/>
        </w:rPr>
        <w:t>precio promedio pagado en la prórroga otorgada en mayo de 2010 por región por MHz, multiplicándolo por la cantidad de espectro que tendrá el operador hipotético.</w:t>
      </w:r>
    </w:p>
    <w:p w14:paraId="507949C7" w14:textId="77777777" w:rsidR="006718FB" w:rsidRPr="00092A03" w:rsidRDefault="006718FB" w:rsidP="007858D8">
      <w:pPr>
        <w:spacing w:before="240"/>
        <w:rPr>
          <w:rFonts w:ascii="ITC Avant Garde" w:hAnsi="ITC Avant Garde"/>
          <w:lang w:val="es-ES"/>
        </w:rPr>
      </w:pPr>
      <w:r w:rsidRPr="00092A03">
        <w:rPr>
          <w:rFonts w:ascii="ITC Avant Garde" w:hAnsi="ITC Avant Garde"/>
          <w:lang w:val="es-ES"/>
        </w:rPr>
        <w:lastRenderedPageBreak/>
        <w:t>De forma similar</w:t>
      </w:r>
      <w:r w:rsidR="0089299D" w:rsidRPr="00092A03">
        <w:rPr>
          <w:rFonts w:ascii="ITC Avant Garde" w:hAnsi="ITC Avant Garde"/>
          <w:lang w:val="es-ES"/>
        </w:rPr>
        <w:t xml:space="preserve"> se calcula</w:t>
      </w:r>
      <w:r w:rsidRPr="00092A03">
        <w:rPr>
          <w:rFonts w:ascii="ITC Avant Garde" w:hAnsi="ITC Avant Garde"/>
          <w:lang w:val="es-ES"/>
        </w:rPr>
        <w:t xml:space="preserve"> la inversión inicial (</w:t>
      </w:r>
      <w:proofErr w:type="spellStart"/>
      <w:r w:rsidRPr="00092A03">
        <w:rPr>
          <w:rFonts w:ascii="ITC Avant Garde" w:hAnsi="ITC Avant Garde"/>
          <w:lang w:val="es-ES"/>
        </w:rPr>
        <w:t>capex</w:t>
      </w:r>
      <w:proofErr w:type="spellEnd"/>
      <w:r w:rsidRPr="00092A03">
        <w:rPr>
          <w:rFonts w:ascii="ITC Avant Garde" w:hAnsi="ITC Avant Garde"/>
          <w:lang w:val="es-ES"/>
        </w:rPr>
        <w:t>) en espectro en la</w:t>
      </w:r>
      <w:r w:rsidR="00B9575A" w:rsidRPr="00092A03">
        <w:rPr>
          <w:rFonts w:ascii="ITC Avant Garde" w:hAnsi="ITC Avant Garde"/>
          <w:lang w:val="es-ES"/>
        </w:rPr>
        <w:t>s</w:t>
      </w:r>
      <w:r w:rsidRPr="00092A03">
        <w:rPr>
          <w:rFonts w:ascii="ITC Avant Garde" w:hAnsi="ITC Avant Garde"/>
          <w:lang w:val="es-ES"/>
        </w:rPr>
        <w:t xml:space="preserve"> banda</w:t>
      </w:r>
      <w:r w:rsidR="00B9575A" w:rsidRPr="00092A03">
        <w:rPr>
          <w:rFonts w:ascii="ITC Avant Garde" w:hAnsi="ITC Avant Garde"/>
          <w:lang w:val="es-ES"/>
        </w:rPr>
        <w:t>s</w:t>
      </w:r>
      <w:r w:rsidRPr="00092A03">
        <w:rPr>
          <w:rFonts w:ascii="ITC Avant Garde" w:hAnsi="ITC Avant Garde"/>
          <w:lang w:val="es-ES"/>
        </w:rPr>
        <w:t xml:space="preserve"> de 1900MHz</w:t>
      </w:r>
      <w:r w:rsidR="00692C2B" w:rsidRPr="00092A03">
        <w:rPr>
          <w:rFonts w:ascii="ITC Avant Garde" w:hAnsi="ITC Avant Garde"/>
          <w:lang w:val="es-ES"/>
        </w:rPr>
        <w:t xml:space="preserve"> (PCS)</w:t>
      </w:r>
      <w:r w:rsidR="00C53C21" w:rsidRPr="00092A03">
        <w:rPr>
          <w:rFonts w:ascii="ITC Avant Garde" w:hAnsi="ITC Avant Garde"/>
          <w:lang w:val="es-ES"/>
        </w:rPr>
        <w:t xml:space="preserve"> </w:t>
      </w:r>
      <w:r w:rsidR="00B9575A" w:rsidRPr="00092A03">
        <w:rPr>
          <w:rFonts w:ascii="ITC Avant Garde" w:hAnsi="ITC Avant Garde"/>
          <w:lang w:val="es-ES"/>
        </w:rPr>
        <w:t>y 1700</w:t>
      </w:r>
      <w:r w:rsidR="006C50F4" w:rsidRPr="00092A03">
        <w:rPr>
          <w:rFonts w:ascii="ITC Avant Garde" w:hAnsi="ITC Avant Garde"/>
          <w:lang w:val="es-ES"/>
        </w:rPr>
        <w:t>/2100</w:t>
      </w:r>
      <w:r w:rsidR="00B9575A" w:rsidRPr="00092A03">
        <w:rPr>
          <w:rFonts w:ascii="ITC Avant Garde" w:hAnsi="ITC Avant Garde"/>
          <w:lang w:val="es-ES"/>
        </w:rPr>
        <w:t>MHz (AWS)</w:t>
      </w:r>
      <w:r w:rsidR="00692C2B" w:rsidRPr="00092A03">
        <w:rPr>
          <w:rFonts w:ascii="ITC Avant Garde" w:hAnsi="ITC Avant Garde"/>
          <w:lang w:val="es-ES"/>
        </w:rPr>
        <w:t xml:space="preserve"> </w:t>
      </w:r>
      <w:r w:rsidR="00923DF1" w:rsidRPr="00092A03">
        <w:rPr>
          <w:rFonts w:ascii="ITC Avant Garde" w:hAnsi="ITC Avant Garde"/>
          <w:lang w:val="es-ES"/>
        </w:rPr>
        <w:t xml:space="preserve">con </w:t>
      </w:r>
      <w:r w:rsidR="00EA7F32" w:rsidRPr="00092A03">
        <w:rPr>
          <w:rFonts w:ascii="ITC Avant Garde" w:hAnsi="ITC Avant Garde"/>
          <w:lang w:val="es-ES"/>
        </w:rPr>
        <w:t xml:space="preserve">base </w:t>
      </w:r>
      <w:r w:rsidR="00923DF1" w:rsidRPr="00092A03">
        <w:rPr>
          <w:rFonts w:ascii="ITC Avant Garde" w:hAnsi="ITC Avant Garde"/>
          <w:lang w:val="es-ES"/>
        </w:rPr>
        <w:t xml:space="preserve">en </w:t>
      </w:r>
      <w:r w:rsidR="00EA7F32" w:rsidRPr="00092A03">
        <w:rPr>
          <w:rFonts w:ascii="ITC Avant Garde" w:hAnsi="ITC Avant Garde"/>
          <w:lang w:val="es-ES"/>
        </w:rPr>
        <w:t>los precios pagados por el espectro en</w:t>
      </w:r>
      <w:r w:rsidRPr="00092A03">
        <w:rPr>
          <w:rFonts w:ascii="ITC Avant Garde" w:hAnsi="ITC Avant Garde"/>
          <w:lang w:val="es-ES"/>
        </w:rPr>
        <w:t xml:space="preserve"> la</w:t>
      </w:r>
      <w:r w:rsidR="0089299D" w:rsidRPr="00092A03">
        <w:rPr>
          <w:rFonts w:ascii="ITC Avant Garde" w:hAnsi="ITC Avant Garde"/>
          <w:lang w:val="es-ES"/>
        </w:rPr>
        <w:t>s</w:t>
      </w:r>
      <w:r w:rsidRPr="00092A03">
        <w:rPr>
          <w:rFonts w:ascii="ITC Avant Garde" w:hAnsi="ITC Avant Garde"/>
          <w:lang w:val="es-ES"/>
        </w:rPr>
        <w:t xml:space="preserve"> subasta</w:t>
      </w:r>
      <w:r w:rsidR="0089299D" w:rsidRPr="00092A03">
        <w:rPr>
          <w:rFonts w:ascii="ITC Avant Garde" w:hAnsi="ITC Avant Garde"/>
          <w:lang w:val="es-ES"/>
        </w:rPr>
        <w:t>s</w:t>
      </w:r>
      <w:r w:rsidRPr="00092A03">
        <w:rPr>
          <w:rFonts w:ascii="ITC Avant Garde" w:hAnsi="ITC Avant Garde"/>
          <w:lang w:val="es-ES"/>
        </w:rPr>
        <w:t xml:space="preserve"> realizada</w:t>
      </w:r>
      <w:r w:rsidR="0089299D" w:rsidRPr="00092A03">
        <w:rPr>
          <w:rFonts w:ascii="ITC Avant Garde" w:hAnsi="ITC Avant Garde"/>
          <w:lang w:val="es-ES"/>
        </w:rPr>
        <w:t>s</w:t>
      </w:r>
      <w:r w:rsidRPr="00092A03">
        <w:rPr>
          <w:rFonts w:ascii="ITC Avant Garde" w:hAnsi="ITC Avant Garde"/>
          <w:lang w:val="es-ES"/>
        </w:rPr>
        <w:t xml:space="preserve"> en </w:t>
      </w:r>
      <w:r w:rsidR="00D0641E" w:rsidRPr="00092A03">
        <w:rPr>
          <w:rFonts w:ascii="ITC Avant Garde" w:hAnsi="ITC Avant Garde"/>
          <w:lang w:val="es-ES"/>
        </w:rPr>
        <w:t xml:space="preserve">los </w:t>
      </w:r>
      <w:r w:rsidR="00EA7F32" w:rsidRPr="00092A03">
        <w:rPr>
          <w:rFonts w:ascii="ITC Avant Garde" w:hAnsi="ITC Avant Garde"/>
          <w:lang w:val="es-ES"/>
        </w:rPr>
        <w:t>año</w:t>
      </w:r>
      <w:r w:rsidR="00D0641E" w:rsidRPr="00092A03">
        <w:rPr>
          <w:rFonts w:ascii="ITC Avant Garde" w:hAnsi="ITC Avant Garde"/>
          <w:lang w:val="es-ES"/>
        </w:rPr>
        <w:t>s</w:t>
      </w:r>
      <w:r w:rsidR="00EA7F32" w:rsidRPr="00092A03">
        <w:rPr>
          <w:rFonts w:ascii="ITC Avant Garde" w:hAnsi="ITC Avant Garde"/>
          <w:lang w:val="es-ES"/>
        </w:rPr>
        <w:t xml:space="preserve"> </w:t>
      </w:r>
      <w:r w:rsidRPr="00092A03">
        <w:rPr>
          <w:rFonts w:ascii="ITC Avant Garde" w:hAnsi="ITC Avant Garde"/>
          <w:lang w:val="es-ES"/>
        </w:rPr>
        <w:t>2010</w:t>
      </w:r>
      <w:r w:rsidR="00D0641E" w:rsidRPr="00092A03">
        <w:rPr>
          <w:rFonts w:ascii="ITC Avant Garde" w:hAnsi="ITC Avant Garde"/>
          <w:lang w:val="es-ES"/>
        </w:rPr>
        <w:t xml:space="preserve"> y 2016</w:t>
      </w:r>
      <w:r w:rsidRPr="00092A03">
        <w:rPr>
          <w:rFonts w:ascii="ITC Avant Garde" w:hAnsi="ITC Avant Garde"/>
          <w:lang w:val="es-ES"/>
        </w:rPr>
        <w:t>.</w:t>
      </w:r>
    </w:p>
    <w:p w14:paraId="6D773E63" w14:textId="77777777" w:rsidR="00E704D5" w:rsidRPr="00092A03" w:rsidRDefault="00E704D5" w:rsidP="002B648A">
      <w:pPr>
        <w:pStyle w:val="Ttulo2"/>
        <w:numPr>
          <w:ilvl w:val="0"/>
          <w:numId w:val="0"/>
        </w:numPr>
        <w:rPr>
          <w:rFonts w:ascii="ITC Avant Garde" w:hAnsi="ITC Avant Garde"/>
        </w:rPr>
      </w:pPr>
      <w:proofErr w:type="spellStart"/>
      <w:r w:rsidRPr="00092A03">
        <w:rPr>
          <w:rFonts w:ascii="ITC Avant Garde" w:hAnsi="ITC Avant Garde"/>
        </w:rPr>
        <w:t>Concepto</w:t>
      </w:r>
      <w:proofErr w:type="spellEnd"/>
      <w:r w:rsidRPr="00092A03">
        <w:rPr>
          <w:rFonts w:ascii="ITC Avant Garde" w:hAnsi="ITC Avant Garde"/>
        </w:rPr>
        <w:t xml:space="preserve"> </w:t>
      </w:r>
      <w:proofErr w:type="spellStart"/>
      <w:r w:rsidRPr="00092A03">
        <w:rPr>
          <w:rFonts w:ascii="ITC Avant Garde" w:hAnsi="ITC Avant Garde"/>
        </w:rPr>
        <w:t>propuesto</w:t>
      </w:r>
      <w:proofErr w:type="spellEnd"/>
      <w:r w:rsidRPr="00092A03">
        <w:rPr>
          <w:rFonts w:ascii="ITC Avant Garde" w:hAnsi="ITC Avant Garde"/>
        </w:rPr>
        <w:t xml:space="preserve"> </w:t>
      </w:r>
      <w:r w:rsidRPr="00092A03">
        <w:rPr>
          <w:rFonts w:ascii="ITC Avant Garde" w:hAnsi="ITC Avant Garde"/>
        </w:rPr>
        <w:fldChar w:fldCharType="begin"/>
      </w:r>
      <w:r w:rsidRPr="00092A03">
        <w:rPr>
          <w:rFonts w:ascii="ITC Avant Garde" w:hAnsi="ITC Avant Garde"/>
        </w:rPr>
        <w:instrText xml:space="preserve"> SEQ Recommendation \* ARABIC \s 0 </w:instrText>
      </w:r>
      <w:r w:rsidRPr="00092A03">
        <w:rPr>
          <w:rFonts w:ascii="ITC Avant Garde" w:hAnsi="ITC Avant Garde"/>
        </w:rPr>
        <w:fldChar w:fldCharType="separate"/>
      </w:r>
      <w:r w:rsidRPr="00092A03">
        <w:rPr>
          <w:rFonts w:ascii="ITC Avant Garde" w:hAnsi="ITC Avant Garde"/>
        </w:rPr>
        <w:t>8</w:t>
      </w:r>
      <w:r w:rsidRPr="00092A03">
        <w:rPr>
          <w:rFonts w:ascii="ITC Avant Garde" w:hAnsi="ITC Avant Garde"/>
        </w:rPr>
        <w:fldChar w:fldCharType="end"/>
      </w:r>
    </w:p>
    <w:tbl>
      <w:tblPr>
        <w:tblStyle w:val="Tablaconcuadrcula"/>
        <w:tblW w:w="9072" w:type="dxa"/>
        <w:tblLook w:val="04A0" w:firstRow="1" w:lastRow="0" w:firstColumn="1" w:lastColumn="0" w:noHBand="0" w:noVBand="1"/>
        <w:tblCaption w:val="Concepto propuesto 8"/>
        <w:tblDescription w:val="Concepto propuesto 8"/>
      </w:tblPr>
      <w:tblGrid>
        <w:gridCol w:w="9072"/>
      </w:tblGrid>
      <w:tr w:rsidR="00092A03" w:rsidRPr="00092A03" w14:paraId="452CE01E" w14:textId="77777777" w:rsidTr="00E704D5">
        <w:tc>
          <w:tcPr>
            <w:tcW w:w="9072" w:type="dxa"/>
            <w:tcBorders>
              <w:top w:val="single" w:sz="4" w:space="0" w:color="D9D9D9" w:themeColor="background1" w:themeShade="D9"/>
              <w:left w:val="nil"/>
              <w:bottom w:val="single" w:sz="4" w:space="0" w:color="D9D9D9" w:themeColor="background1" w:themeShade="D9"/>
              <w:right w:val="nil"/>
            </w:tcBorders>
            <w:shd w:val="clear" w:color="auto" w:fill="auto"/>
          </w:tcPr>
          <w:p w14:paraId="58103673" w14:textId="654B6674" w:rsidR="006974ED" w:rsidRPr="00092A03" w:rsidRDefault="006974ED" w:rsidP="00E704D5">
            <w:pPr>
              <w:pStyle w:val="B1"/>
              <w:pBdr>
                <w:top w:val="none" w:sz="0" w:space="0" w:color="auto"/>
                <w:bottom w:val="none" w:sz="0" w:space="0" w:color="auto"/>
              </w:pBdr>
              <w:ind w:left="0" w:right="0"/>
              <w:rPr>
                <w:rFonts w:ascii="ITC Avant Garde" w:hAnsi="ITC Avant Garde"/>
                <w:spacing w:val="-6"/>
                <w:lang w:val="es-ES"/>
              </w:rPr>
            </w:pPr>
            <w:r w:rsidRPr="00092A03">
              <w:rPr>
                <w:rFonts w:ascii="ITC Avant Garde" w:hAnsi="ITC Avant Garde"/>
                <w:spacing w:val="-6"/>
                <w:lang w:val="es-ES"/>
              </w:rPr>
              <w:t>El costo del</w:t>
            </w:r>
            <w:r w:rsidR="00CE2AFC" w:rsidRPr="00092A03">
              <w:rPr>
                <w:rFonts w:ascii="ITC Avant Garde" w:hAnsi="ITC Avant Garde"/>
                <w:spacing w:val="-6"/>
                <w:lang w:val="es-ES"/>
              </w:rPr>
              <w:t xml:space="preserve"> espectro </w:t>
            </w:r>
            <w:r w:rsidR="00FA50A7" w:rsidRPr="00092A03">
              <w:rPr>
                <w:rFonts w:ascii="ITC Avant Garde" w:hAnsi="ITC Avant Garde"/>
                <w:spacing w:val="-6"/>
                <w:lang w:val="es-ES"/>
              </w:rPr>
              <w:t>modelará</w:t>
            </w:r>
            <w:r w:rsidRPr="00092A03">
              <w:rPr>
                <w:rFonts w:ascii="ITC Avant Garde" w:hAnsi="ITC Avant Garde"/>
                <w:spacing w:val="-6"/>
                <w:lang w:val="es-ES"/>
              </w:rPr>
              <w:t xml:space="preserve"> de la siguiente manera:</w:t>
            </w:r>
          </w:p>
          <w:p w14:paraId="0105CDD8" w14:textId="77777777" w:rsidR="006974ED" w:rsidRPr="00092A03" w:rsidRDefault="006974ED" w:rsidP="00E704D5">
            <w:pPr>
              <w:pStyle w:val="B1"/>
              <w:pBdr>
                <w:top w:val="none" w:sz="0" w:space="0" w:color="auto"/>
                <w:bottom w:val="none" w:sz="0" w:space="0" w:color="auto"/>
              </w:pBdr>
              <w:ind w:left="0" w:right="0"/>
              <w:rPr>
                <w:rFonts w:ascii="ITC Avant Garde" w:hAnsi="ITC Avant Garde"/>
                <w:spacing w:val="-6"/>
                <w:lang w:val="es-ES"/>
              </w:rPr>
            </w:pPr>
            <w:r w:rsidRPr="00092A03">
              <w:rPr>
                <w:rFonts w:ascii="ITC Avant Garde" w:hAnsi="ITC Avant Garde"/>
                <w:spacing w:val="-6"/>
                <w:lang w:val="es-ES"/>
              </w:rPr>
              <w:t>la inversión inicial (</w:t>
            </w:r>
            <w:proofErr w:type="spellStart"/>
            <w:r w:rsidRPr="00092A03">
              <w:rPr>
                <w:rFonts w:ascii="ITC Avant Garde" w:hAnsi="ITC Avant Garde"/>
                <w:spacing w:val="-6"/>
                <w:lang w:val="es-ES"/>
              </w:rPr>
              <w:t>capex</w:t>
            </w:r>
            <w:proofErr w:type="spellEnd"/>
            <w:r w:rsidRPr="00092A03">
              <w:rPr>
                <w:rFonts w:ascii="ITC Avant Garde" w:hAnsi="ITC Avant Garde"/>
                <w:spacing w:val="-6"/>
                <w:lang w:val="es-ES"/>
              </w:rPr>
              <w:t>) en espectro en</w:t>
            </w:r>
            <w:r w:rsidR="00CE2AFC" w:rsidRPr="00092A03">
              <w:rPr>
                <w:rFonts w:ascii="ITC Avant Garde" w:hAnsi="ITC Avant Garde"/>
                <w:spacing w:val="-6"/>
                <w:lang w:val="es-ES"/>
              </w:rPr>
              <w:t xml:space="preserve"> la banda de 850MHz se calcula</w:t>
            </w:r>
            <w:r w:rsidR="00FA50A7" w:rsidRPr="00092A03">
              <w:rPr>
                <w:rFonts w:ascii="ITC Avant Garde" w:hAnsi="ITC Avant Garde"/>
                <w:spacing w:val="-6"/>
                <w:lang w:val="es-ES"/>
              </w:rPr>
              <w:t>rá</w:t>
            </w:r>
            <w:r w:rsidRPr="00092A03">
              <w:rPr>
                <w:rFonts w:ascii="ITC Avant Garde" w:hAnsi="ITC Avant Garde"/>
                <w:spacing w:val="-6"/>
                <w:lang w:val="es-ES"/>
              </w:rPr>
              <w:t xml:space="preserve"> </w:t>
            </w:r>
            <w:r w:rsidR="00F9251F" w:rsidRPr="00092A03">
              <w:rPr>
                <w:rFonts w:ascii="ITC Avant Garde" w:hAnsi="ITC Avant Garde"/>
                <w:spacing w:val="-6"/>
                <w:lang w:val="es-ES"/>
              </w:rPr>
              <w:t xml:space="preserve">con </w:t>
            </w:r>
            <w:r w:rsidRPr="00092A03">
              <w:rPr>
                <w:rFonts w:ascii="ITC Avant Garde" w:hAnsi="ITC Avant Garde"/>
                <w:spacing w:val="-6"/>
                <w:lang w:val="es-ES"/>
              </w:rPr>
              <w:t>base</w:t>
            </w:r>
            <w:r w:rsidR="00F9251F" w:rsidRPr="00092A03">
              <w:rPr>
                <w:rFonts w:ascii="ITC Avant Garde" w:hAnsi="ITC Avant Garde"/>
                <w:spacing w:val="-6"/>
                <w:lang w:val="es-ES"/>
              </w:rPr>
              <w:t xml:space="preserve"> en el</w:t>
            </w:r>
            <w:r w:rsidRPr="00092A03">
              <w:rPr>
                <w:rFonts w:ascii="ITC Avant Garde" w:hAnsi="ITC Avant Garde"/>
                <w:spacing w:val="-6"/>
                <w:lang w:val="es-ES"/>
              </w:rPr>
              <w:t xml:space="preserve"> precio promedio pagado en la prórroga otorgada en mayo de 2010 por región por MHz, multiplicándolo por la cantidad de espectro que tendrá el operador hipotético</w:t>
            </w:r>
          </w:p>
          <w:p w14:paraId="56B698CE" w14:textId="6E56D9BE" w:rsidR="006974ED" w:rsidRPr="00092A03" w:rsidRDefault="00092A03" w:rsidP="00E704D5">
            <w:pPr>
              <w:pStyle w:val="B1"/>
              <w:pBdr>
                <w:top w:val="none" w:sz="0" w:space="0" w:color="auto"/>
                <w:bottom w:val="none" w:sz="0" w:space="0" w:color="auto"/>
              </w:pBdr>
              <w:ind w:left="0" w:right="0"/>
              <w:rPr>
                <w:rFonts w:ascii="ITC Avant Garde" w:hAnsi="ITC Avant Garde"/>
                <w:spacing w:val="-6"/>
                <w:lang w:val="es-ES"/>
              </w:rPr>
            </w:pPr>
            <w:r w:rsidRPr="00092A03">
              <w:rPr>
                <w:rFonts w:ascii="ITC Avant Garde" w:hAnsi="ITC Avant Garde"/>
                <w:spacing w:val="-6"/>
                <w:lang w:val="es-ES"/>
              </w:rPr>
              <w:t>D</w:t>
            </w:r>
            <w:r w:rsidR="006974ED" w:rsidRPr="00092A03">
              <w:rPr>
                <w:rFonts w:ascii="ITC Avant Garde" w:hAnsi="ITC Avant Garde"/>
                <w:spacing w:val="-6"/>
                <w:lang w:val="es-ES"/>
              </w:rPr>
              <w:t>e forma similar, la inversión inicial (</w:t>
            </w:r>
            <w:proofErr w:type="spellStart"/>
            <w:r w:rsidR="006974ED" w:rsidRPr="00092A03">
              <w:rPr>
                <w:rFonts w:ascii="ITC Avant Garde" w:hAnsi="ITC Avant Garde"/>
                <w:spacing w:val="-6"/>
                <w:lang w:val="es-ES"/>
              </w:rPr>
              <w:t>capex</w:t>
            </w:r>
            <w:proofErr w:type="spellEnd"/>
            <w:r w:rsidR="006974ED" w:rsidRPr="00092A03">
              <w:rPr>
                <w:rFonts w:ascii="ITC Avant Garde" w:hAnsi="ITC Avant Garde"/>
                <w:spacing w:val="-6"/>
                <w:lang w:val="es-ES"/>
              </w:rPr>
              <w:t>) en espectro en la</w:t>
            </w:r>
            <w:r w:rsidR="006721C4" w:rsidRPr="00092A03">
              <w:rPr>
                <w:rFonts w:ascii="ITC Avant Garde" w:hAnsi="ITC Avant Garde"/>
                <w:spacing w:val="-6"/>
                <w:lang w:val="es-ES"/>
              </w:rPr>
              <w:t>s</w:t>
            </w:r>
            <w:r w:rsidR="006974ED" w:rsidRPr="00092A03">
              <w:rPr>
                <w:rFonts w:ascii="ITC Avant Garde" w:hAnsi="ITC Avant Garde"/>
                <w:spacing w:val="-6"/>
                <w:lang w:val="es-ES"/>
              </w:rPr>
              <w:t xml:space="preserve"> banda</w:t>
            </w:r>
            <w:r w:rsidR="006721C4" w:rsidRPr="00092A03">
              <w:rPr>
                <w:rFonts w:ascii="ITC Avant Garde" w:hAnsi="ITC Avant Garde"/>
                <w:spacing w:val="-6"/>
                <w:lang w:val="es-ES"/>
              </w:rPr>
              <w:t>s</w:t>
            </w:r>
            <w:r w:rsidR="006974ED" w:rsidRPr="00092A03">
              <w:rPr>
                <w:rFonts w:ascii="ITC Avant Garde" w:hAnsi="ITC Avant Garde"/>
                <w:spacing w:val="-6"/>
                <w:lang w:val="es-ES"/>
              </w:rPr>
              <w:t xml:space="preserve"> de </w:t>
            </w:r>
            <w:r w:rsidR="00692C2B" w:rsidRPr="00092A03">
              <w:rPr>
                <w:rFonts w:ascii="ITC Avant Garde" w:hAnsi="ITC Avant Garde"/>
                <w:spacing w:val="-6"/>
                <w:lang w:val="es-ES"/>
              </w:rPr>
              <w:t xml:space="preserve">PCS </w:t>
            </w:r>
            <w:r w:rsidR="006721C4" w:rsidRPr="00092A03">
              <w:rPr>
                <w:rFonts w:ascii="ITC Avant Garde" w:hAnsi="ITC Avant Garde"/>
                <w:spacing w:val="-6"/>
                <w:lang w:val="es-ES"/>
              </w:rPr>
              <w:t xml:space="preserve">y </w:t>
            </w:r>
            <w:r w:rsidR="00A5498D" w:rsidRPr="00092A03">
              <w:rPr>
                <w:rFonts w:ascii="ITC Avant Garde" w:hAnsi="ITC Avant Garde"/>
                <w:spacing w:val="-6"/>
                <w:lang w:val="es-ES"/>
              </w:rPr>
              <w:t>AWS</w:t>
            </w:r>
            <w:r w:rsidR="006974ED" w:rsidRPr="00092A03">
              <w:rPr>
                <w:rFonts w:ascii="ITC Avant Garde" w:hAnsi="ITC Avant Garde"/>
                <w:spacing w:val="-6"/>
                <w:lang w:val="es-ES"/>
              </w:rPr>
              <w:t xml:space="preserve"> se calcula</w:t>
            </w:r>
            <w:r w:rsidR="00FA50A7" w:rsidRPr="00092A03">
              <w:rPr>
                <w:rFonts w:ascii="ITC Avant Garde" w:hAnsi="ITC Avant Garde"/>
                <w:spacing w:val="-6"/>
                <w:lang w:val="es-ES"/>
              </w:rPr>
              <w:t>rá</w:t>
            </w:r>
            <w:r w:rsidR="006974ED" w:rsidRPr="00092A03">
              <w:rPr>
                <w:rFonts w:ascii="ITC Avant Garde" w:hAnsi="ITC Avant Garde"/>
                <w:spacing w:val="-6"/>
                <w:lang w:val="es-ES"/>
              </w:rPr>
              <w:t xml:space="preserve"> para la cantidad de espectro del operador hipotético </w:t>
            </w:r>
            <w:r w:rsidR="00F9251F" w:rsidRPr="00092A03">
              <w:rPr>
                <w:rFonts w:ascii="ITC Avant Garde" w:hAnsi="ITC Avant Garde"/>
                <w:spacing w:val="-6"/>
                <w:lang w:val="es-ES"/>
              </w:rPr>
              <w:t xml:space="preserve">con </w:t>
            </w:r>
            <w:r w:rsidR="006974ED" w:rsidRPr="00092A03">
              <w:rPr>
                <w:rFonts w:ascii="ITC Avant Garde" w:hAnsi="ITC Avant Garde"/>
                <w:spacing w:val="-6"/>
                <w:lang w:val="es-ES"/>
              </w:rPr>
              <w:t xml:space="preserve">base </w:t>
            </w:r>
            <w:r w:rsidR="00F9251F" w:rsidRPr="00092A03">
              <w:rPr>
                <w:rFonts w:ascii="ITC Avant Garde" w:hAnsi="ITC Avant Garde"/>
                <w:spacing w:val="-6"/>
                <w:lang w:val="es-ES"/>
              </w:rPr>
              <w:t>en el</w:t>
            </w:r>
            <w:r w:rsidR="006974ED" w:rsidRPr="00092A03">
              <w:rPr>
                <w:rFonts w:ascii="ITC Avant Garde" w:hAnsi="ITC Avant Garde"/>
                <w:spacing w:val="-6"/>
                <w:lang w:val="es-ES"/>
              </w:rPr>
              <w:t xml:space="preserve"> precio pagado en la</w:t>
            </w:r>
            <w:r w:rsidR="00D43BB2" w:rsidRPr="00092A03">
              <w:rPr>
                <w:rFonts w:ascii="ITC Avant Garde" w:hAnsi="ITC Avant Garde"/>
                <w:spacing w:val="-6"/>
                <w:lang w:val="es-ES"/>
              </w:rPr>
              <w:t>s</w:t>
            </w:r>
            <w:r w:rsidR="006974ED" w:rsidRPr="00092A03">
              <w:rPr>
                <w:rFonts w:ascii="ITC Avant Garde" w:hAnsi="ITC Avant Garde"/>
                <w:spacing w:val="-6"/>
                <w:lang w:val="es-ES"/>
              </w:rPr>
              <w:t xml:space="preserve"> subasta</w:t>
            </w:r>
            <w:r w:rsidR="00D43BB2" w:rsidRPr="00092A03">
              <w:rPr>
                <w:rFonts w:ascii="ITC Avant Garde" w:hAnsi="ITC Avant Garde"/>
                <w:spacing w:val="-6"/>
                <w:lang w:val="es-ES"/>
              </w:rPr>
              <w:t>s</w:t>
            </w:r>
            <w:r w:rsidR="006974ED" w:rsidRPr="00092A03">
              <w:rPr>
                <w:rFonts w:ascii="ITC Avant Garde" w:hAnsi="ITC Avant Garde"/>
                <w:spacing w:val="-6"/>
                <w:lang w:val="es-ES"/>
              </w:rPr>
              <w:t xml:space="preserve"> realizada</w:t>
            </w:r>
            <w:r w:rsidR="00D43BB2" w:rsidRPr="00092A03">
              <w:rPr>
                <w:rFonts w:ascii="ITC Avant Garde" w:hAnsi="ITC Avant Garde"/>
                <w:spacing w:val="-6"/>
                <w:lang w:val="es-ES"/>
              </w:rPr>
              <w:t>s</w:t>
            </w:r>
            <w:r w:rsidR="006974ED" w:rsidRPr="00092A03">
              <w:rPr>
                <w:rFonts w:ascii="ITC Avant Garde" w:hAnsi="ITC Avant Garde"/>
                <w:spacing w:val="-6"/>
                <w:lang w:val="es-ES"/>
              </w:rPr>
              <w:t xml:space="preserve"> en </w:t>
            </w:r>
            <w:r w:rsidR="00D43BB2" w:rsidRPr="00092A03">
              <w:rPr>
                <w:rFonts w:ascii="ITC Avant Garde" w:hAnsi="ITC Avant Garde"/>
                <w:spacing w:val="-6"/>
                <w:lang w:val="es-ES"/>
              </w:rPr>
              <w:t xml:space="preserve">los </w:t>
            </w:r>
            <w:r w:rsidR="006974ED" w:rsidRPr="00092A03">
              <w:rPr>
                <w:rFonts w:ascii="ITC Avant Garde" w:hAnsi="ITC Avant Garde"/>
                <w:spacing w:val="-6"/>
                <w:lang w:val="es-ES"/>
              </w:rPr>
              <w:t>año</w:t>
            </w:r>
            <w:r w:rsidR="00D43BB2" w:rsidRPr="00092A03">
              <w:rPr>
                <w:rFonts w:ascii="ITC Avant Garde" w:hAnsi="ITC Avant Garde"/>
                <w:spacing w:val="-6"/>
                <w:lang w:val="es-ES"/>
              </w:rPr>
              <w:t>s</w:t>
            </w:r>
            <w:r w:rsidR="006974ED" w:rsidRPr="00092A03">
              <w:rPr>
                <w:rFonts w:ascii="ITC Avant Garde" w:hAnsi="ITC Avant Garde"/>
                <w:spacing w:val="-6"/>
                <w:lang w:val="es-ES"/>
              </w:rPr>
              <w:t xml:space="preserve"> 2010</w:t>
            </w:r>
            <w:r w:rsidR="00D43BB2" w:rsidRPr="00092A03">
              <w:rPr>
                <w:rFonts w:ascii="ITC Avant Garde" w:hAnsi="ITC Avant Garde"/>
                <w:spacing w:val="-6"/>
                <w:lang w:val="es-ES"/>
              </w:rPr>
              <w:t xml:space="preserve"> y 2016</w:t>
            </w:r>
          </w:p>
          <w:p w14:paraId="3610FFAA" w14:textId="698B3860" w:rsidR="006974ED" w:rsidRPr="00092A03" w:rsidRDefault="00092A03" w:rsidP="00E704D5">
            <w:pPr>
              <w:pStyle w:val="B1"/>
              <w:pBdr>
                <w:top w:val="none" w:sz="0" w:space="0" w:color="auto"/>
                <w:bottom w:val="none" w:sz="0" w:space="0" w:color="auto"/>
              </w:pBdr>
              <w:ind w:left="0" w:right="0"/>
              <w:rPr>
                <w:rFonts w:ascii="ITC Avant Garde" w:hAnsi="ITC Avant Garde"/>
                <w:lang w:val="es-ES"/>
              </w:rPr>
            </w:pPr>
            <w:r w:rsidRPr="00092A03">
              <w:rPr>
                <w:rFonts w:ascii="ITC Avant Garde" w:hAnsi="ITC Avant Garde"/>
                <w:spacing w:val="-6"/>
                <w:lang w:val="es-ES"/>
              </w:rPr>
              <w:t>Los</w:t>
            </w:r>
            <w:r w:rsidR="006974ED" w:rsidRPr="00092A03">
              <w:rPr>
                <w:rFonts w:ascii="ITC Avant Garde" w:hAnsi="ITC Avant Garde"/>
                <w:spacing w:val="-6"/>
                <w:lang w:val="es-ES"/>
              </w:rPr>
              <w:t xml:space="preserve"> costos operativos se calcula</w:t>
            </w:r>
            <w:r w:rsidR="00FA50A7" w:rsidRPr="00092A03">
              <w:rPr>
                <w:rFonts w:ascii="ITC Avant Garde" w:hAnsi="ITC Avant Garde"/>
                <w:spacing w:val="-6"/>
                <w:lang w:val="es-ES"/>
              </w:rPr>
              <w:t>rá</w:t>
            </w:r>
            <w:r w:rsidR="006974ED" w:rsidRPr="00092A03">
              <w:rPr>
                <w:rFonts w:ascii="ITC Avant Garde" w:hAnsi="ITC Avant Garde"/>
                <w:spacing w:val="-6"/>
                <w:lang w:val="es-ES"/>
              </w:rPr>
              <w:t>n multiplicando la cantidad de espectro en cada banda de frecuencia por el precio de derechos por kHz por región.</w:t>
            </w:r>
          </w:p>
        </w:tc>
      </w:tr>
    </w:tbl>
    <w:p w14:paraId="16D408CE" w14:textId="77777777" w:rsidR="00B96D7D" w:rsidRPr="00092A03" w:rsidRDefault="00F35F0C" w:rsidP="00B96D7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5F6297C2" w14:textId="243C3936" w:rsidR="000D6224" w:rsidRPr="00092A03" w:rsidRDefault="000D6224" w:rsidP="000D6224">
      <w:pPr>
        <w:rPr>
          <w:rFonts w:ascii="ITC Avant Garde" w:hAnsi="ITC Avant Garde"/>
          <w:lang w:val="es-ES_tradnl"/>
        </w:rPr>
      </w:pPr>
      <w:r w:rsidRPr="00092A03">
        <w:rPr>
          <w:rFonts w:ascii="ITC Avant Garde" w:hAnsi="ITC Avant Garde"/>
          <w:lang w:val="es-ES_tradnl"/>
        </w:rPr>
        <w:t>Mega Cable considera que no debe incluirse</w:t>
      </w:r>
      <w:r w:rsidR="00C309EA" w:rsidRPr="00092A03">
        <w:rPr>
          <w:rFonts w:ascii="ITC Avant Garde" w:hAnsi="ITC Avant Garde"/>
          <w:lang w:val="es-ES_tradnl"/>
        </w:rPr>
        <w:t xml:space="preserve"> el</w:t>
      </w:r>
      <w:r w:rsidRPr="00092A03">
        <w:rPr>
          <w:rFonts w:ascii="ITC Avant Garde" w:hAnsi="ITC Avant Garde"/>
          <w:lang w:val="es-ES_tradnl"/>
        </w:rPr>
        <w:t xml:space="preserve"> </w:t>
      </w:r>
      <w:proofErr w:type="spellStart"/>
      <w:r w:rsidRPr="00092A03">
        <w:rPr>
          <w:rFonts w:ascii="ITC Avant Garde" w:hAnsi="ITC Avant Garde"/>
          <w:lang w:val="es-ES_tradnl"/>
        </w:rPr>
        <w:t>capex</w:t>
      </w:r>
      <w:proofErr w:type="spellEnd"/>
      <w:r w:rsidRPr="00092A03">
        <w:rPr>
          <w:rFonts w:ascii="ITC Avant Garde" w:hAnsi="ITC Avant Garde"/>
          <w:lang w:val="es-ES_tradnl"/>
        </w:rPr>
        <w:t xml:space="preserve"> y </w:t>
      </w:r>
      <w:proofErr w:type="spellStart"/>
      <w:r w:rsidRPr="00092A03">
        <w:rPr>
          <w:rFonts w:ascii="ITC Avant Garde" w:hAnsi="ITC Avant Garde"/>
          <w:lang w:val="es-ES_tradnl"/>
        </w:rPr>
        <w:t>opex</w:t>
      </w:r>
      <w:proofErr w:type="spellEnd"/>
      <w:r w:rsidRPr="00092A03">
        <w:rPr>
          <w:rFonts w:ascii="ITC Avant Garde" w:hAnsi="ITC Avant Garde"/>
          <w:lang w:val="es-ES_tradnl"/>
        </w:rPr>
        <w:t xml:space="preserve"> relativo a las bandas de espectro ya que no es un costo incremental.</w:t>
      </w:r>
    </w:p>
    <w:p w14:paraId="6464CDE8" w14:textId="7D340FCD" w:rsidR="002B2884" w:rsidRPr="00092A03" w:rsidRDefault="005511E9" w:rsidP="002B2884">
      <w:pPr>
        <w:rPr>
          <w:rFonts w:ascii="ITC Avant Garde" w:hAnsi="ITC Avant Garde"/>
          <w:lang w:val="es-ES_tradnl"/>
        </w:rPr>
      </w:pPr>
      <w:r w:rsidRPr="00092A03">
        <w:rPr>
          <w:rFonts w:ascii="ITC Avant Garde" w:hAnsi="ITC Avant Garde"/>
          <w:lang w:val="es-ES_tradnl"/>
        </w:rPr>
        <w:t xml:space="preserve">Por su lado, </w:t>
      </w:r>
      <w:r w:rsidR="002B2884" w:rsidRPr="00092A03">
        <w:rPr>
          <w:rFonts w:ascii="ITC Avant Garde" w:hAnsi="ITC Avant Garde"/>
          <w:lang w:val="es-ES_tradnl"/>
        </w:rPr>
        <w:t xml:space="preserve">Telefónica no comprende las diferencias en el </w:t>
      </w:r>
      <w:proofErr w:type="spellStart"/>
      <w:r w:rsidR="002B2884" w:rsidRPr="00092A03">
        <w:rPr>
          <w:rFonts w:ascii="ITC Avant Garde" w:hAnsi="ITC Avant Garde"/>
          <w:lang w:val="es-ES_tradnl"/>
        </w:rPr>
        <w:t>capex</w:t>
      </w:r>
      <w:proofErr w:type="spellEnd"/>
      <w:r w:rsidR="002B2884" w:rsidRPr="00092A03">
        <w:rPr>
          <w:rFonts w:ascii="ITC Avant Garde" w:hAnsi="ITC Avant Garde"/>
          <w:lang w:val="es-ES_tradnl"/>
        </w:rPr>
        <w:t xml:space="preserve"> por MHz de los modelos anteriores con respecto a este, para las bandas CEL (850 MHz) y PCS</w:t>
      </w:r>
      <w:r w:rsidR="008052A3" w:rsidRPr="00092A03">
        <w:rPr>
          <w:rFonts w:ascii="ITC Avant Garde" w:hAnsi="ITC Avant Garde"/>
          <w:lang w:val="es-ES_tradnl"/>
        </w:rPr>
        <w:t xml:space="preserve"> (1900 MHz)</w:t>
      </w:r>
      <w:r w:rsidR="002B2884" w:rsidRPr="00092A03">
        <w:rPr>
          <w:rFonts w:ascii="ITC Avant Garde" w:hAnsi="ITC Avant Garde"/>
          <w:lang w:val="es-ES_tradnl"/>
        </w:rPr>
        <w:t>.</w:t>
      </w:r>
      <w:r w:rsidR="009674CA" w:rsidRPr="00092A03">
        <w:rPr>
          <w:rFonts w:ascii="ITC Avant Garde" w:hAnsi="ITC Avant Garde"/>
          <w:lang w:val="es-ES_tradnl"/>
        </w:rPr>
        <w:t xml:space="preserve"> Este operador afirma que, si se compara el costo de </w:t>
      </w:r>
      <w:proofErr w:type="spellStart"/>
      <w:r w:rsidR="00C309EA" w:rsidRPr="00092A03">
        <w:rPr>
          <w:rFonts w:ascii="ITC Avant Garde" w:hAnsi="ITC Avant Garde"/>
          <w:lang w:val="es-ES_tradnl"/>
        </w:rPr>
        <w:t>capex</w:t>
      </w:r>
      <w:proofErr w:type="spellEnd"/>
      <w:r w:rsidR="00C309EA" w:rsidRPr="00092A03">
        <w:rPr>
          <w:rFonts w:ascii="ITC Avant Garde" w:hAnsi="ITC Avant Garde"/>
          <w:lang w:val="es-ES_tradnl"/>
        </w:rPr>
        <w:t xml:space="preserve"> </w:t>
      </w:r>
      <w:r w:rsidR="009674CA" w:rsidRPr="00092A03">
        <w:rPr>
          <w:rFonts w:ascii="ITC Avant Garde" w:hAnsi="ITC Avant Garde"/>
          <w:lang w:val="es-ES_tradnl"/>
        </w:rPr>
        <w:t>por MHz de los modelos anteriores frente al modelo 2018, en la banda 850MHz se estimó un costo total por MHz de MXN4.525.907 frente a MXN3.142.991 que incluye el modelo del 2018. Asimismo, para la banda de 1900MHz en modelos anteriores se estimó un costo de MXN92.013.726 versus MXN98.690.417 del modelo 2018.</w:t>
      </w:r>
    </w:p>
    <w:p w14:paraId="0A3C34B8" w14:textId="54CA9885" w:rsidR="00B96D7D" w:rsidRPr="00092A03" w:rsidRDefault="002B648A" w:rsidP="00B96D7D">
      <w:pPr>
        <w:pStyle w:val="Ttulo4"/>
        <w:rPr>
          <w:rFonts w:ascii="ITC Avant Garde" w:hAnsi="ITC Avant Garde"/>
          <w:b/>
          <w:lang w:val="es-ES"/>
        </w:rPr>
      </w:pPr>
      <w:r w:rsidRPr="00092A03">
        <w:rPr>
          <w:rFonts w:ascii="ITC Avant Garde" w:hAnsi="ITC Avant Garde"/>
          <w:b/>
          <w:lang w:val="es-ES"/>
        </w:rPr>
        <w:t>Consideraciones del Instituto</w:t>
      </w:r>
    </w:p>
    <w:p w14:paraId="42BF3EDA" w14:textId="77777777" w:rsidR="00D429E1" w:rsidRPr="00092A03" w:rsidRDefault="00E20C0C" w:rsidP="00D429E1">
      <w:pPr>
        <w:rPr>
          <w:rFonts w:ascii="ITC Avant Garde" w:hAnsi="ITC Avant Garde"/>
          <w:spacing w:val="-4"/>
          <w:lang w:val="es-ES_tradnl"/>
        </w:rPr>
      </w:pPr>
      <w:r w:rsidRPr="00092A03">
        <w:rPr>
          <w:rFonts w:ascii="ITC Avant Garde" w:hAnsi="ITC Avant Garde"/>
          <w:spacing w:val="-4"/>
          <w:lang w:val="es-ES"/>
        </w:rPr>
        <w:t xml:space="preserve">La afirmación de un operador de que </w:t>
      </w:r>
      <w:r w:rsidR="00D429E1" w:rsidRPr="00092A03">
        <w:rPr>
          <w:rFonts w:ascii="ITC Avant Garde" w:hAnsi="ITC Avant Garde"/>
          <w:spacing w:val="-4"/>
          <w:lang w:val="es-ES_tradnl"/>
        </w:rPr>
        <w:t xml:space="preserve">el costo del espectro radioeléctrico no </w:t>
      </w:r>
      <w:r w:rsidRPr="00092A03">
        <w:rPr>
          <w:rFonts w:ascii="ITC Avant Garde" w:hAnsi="ITC Avant Garde"/>
          <w:spacing w:val="-4"/>
          <w:lang w:val="es-ES_tradnl"/>
        </w:rPr>
        <w:t xml:space="preserve">es </w:t>
      </w:r>
      <w:r w:rsidR="00D429E1" w:rsidRPr="00092A03">
        <w:rPr>
          <w:rFonts w:ascii="ITC Avant Garde" w:hAnsi="ITC Avant Garde"/>
          <w:spacing w:val="-4"/>
          <w:lang w:val="es-ES_tradnl"/>
        </w:rPr>
        <w:t xml:space="preserve">incremental al tráfico de voz </w:t>
      </w:r>
      <w:r w:rsidRPr="00092A03">
        <w:rPr>
          <w:rFonts w:ascii="ITC Avant Garde" w:hAnsi="ITC Avant Garde"/>
          <w:spacing w:val="-4"/>
          <w:lang w:val="es-ES_tradnl"/>
        </w:rPr>
        <w:t>es totalmente correcta</w:t>
      </w:r>
      <w:r w:rsidR="00D429E1" w:rsidRPr="00092A03">
        <w:rPr>
          <w:rFonts w:ascii="ITC Avant Garde" w:hAnsi="ITC Avant Garde"/>
          <w:spacing w:val="-4"/>
          <w:lang w:val="es-ES_tradnl"/>
        </w:rPr>
        <w:t xml:space="preserve">. </w:t>
      </w:r>
      <w:r w:rsidRPr="00092A03">
        <w:rPr>
          <w:rFonts w:ascii="ITC Avant Garde" w:hAnsi="ITC Avant Garde"/>
          <w:spacing w:val="-4"/>
          <w:lang w:val="es-ES_tradnl"/>
        </w:rPr>
        <w:t xml:space="preserve">La aplicación de una metodología de costos incrementales de lago plazo puros (CILPP) hace que </w:t>
      </w:r>
      <w:r w:rsidR="00D429E1" w:rsidRPr="00092A03">
        <w:rPr>
          <w:rFonts w:ascii="ITC Avant Garde" w:hAnsi="ITC Avant Garde"/>
          <w:spacing w:val="-4"/>
          <w:lang w:val="es-ES_tradnl"/>
        </w:rPr>
        <w:t xml:space="preserve">no </w:t>
      </w:r>
      <w:r w:rsidRPr="00092A03">
        <w:rPr>
          <w:rFonts w:ascii="ITC Avant Garde" w:hAnsi="ITC Avant Garde"/>
          <w:spacing w:val="-4"/>
          <w:lang w:val="es-ES_tradnl"/>
        </w:rPr>
        <w:t xml:space="preserve">tenga </w:t>
      </w:r>
      <w:r w:rsidR="00D429E1" w:rsidRPr="00092A03">
        <w:rPr>
          <w:rFonts w:ascii="ITC Avant Garde" w:hAnsi="ITC Avant Garde"/>
          <w:spacing w:val="-4"/>
          <w:lang w:val="es-ES_tradnl"/>
        </w:rPr>
        <w:t xml:space="preserve">impacto sobre los resultados del modelo, </w:t>
      </w:r>
      <w:r w:rsidRPr="00092A03">
        <w:rPr>
          <w:rFonts w:ascii="ITC Avant Garde" w:hAnsi="ITC Avant Garde"/>
          <w:spacing w:val="-4"/>
          <w:lang w:val="es-ES_tradnl"/>
        </w:rPr>
        <w:t>al</w:t>
      </w:r>
      <w:r w:rsidR="000C4B29" w:rsidRPr="00092A03">
        <w:rPr>
          <w:rFonts w:ascii="ITC Avant Garde" w:hAnsi="ITC Avant Garde"/>
          <w:spacing w:val="-4"/>
          <w:lang w:val="es-ES_tradnl"/>
        </w:rPr>
        <w:t xml:space="preserve"> no</w:t>
      </w:r>
      <w:r w:rsidRPr="00092A03">
        <w:rPr>
          <w:rFonts w:ascii="ITC Avant Garde" w:hAnsi="ITC Avant Garde"/>
          <w:spacing w:val="-4"/>
          <w:lang w:val="es-ES_tradnl"/>
        </w:rPr>
        <w:t xml:space="preserve"> ser un costo incremental.</w:t>
      </w:r>
    </w:p>
    <w:p w14:paraId="3DDAFA07" w14:textId="77777777" w:rsidR="0022388F" w:rsidRPr="00092A03" w:rsidRDefault="00E20C0C">
      <w:pPr>
        <w:rPr>
          <w:rFonts w:ascii="ITC Avant Garde" w:hAnsi="ITC Avant Garde"/>
          <w:spacing w:val="-4"/>
          <w:lang w:val="es-ES"/>
        </w:rPr>
      </w:pPr>
      <w:r w:rsidRPr="00092A03">
        <w:rPr>
          <w:rFonts w:ascii="ITC Avant Garde" w:hAnsi="ITC Avant Garde"/>
          <w:spacing w:val="-4"/>
          <w:lang w:val="es-ES"/>
        </w:rPr>
        <w:t xml:space="preserve">Con respecto a unas </w:t>
      </w:r>
      <w:r w:rsidR="0022388F" w:rsidRPr="00092A03">
        <w:rPr>
          <w:rFonts w:ascii="ITC Avant Garde" w:hAnsi="ITC Avant Garde"/>
          <w:spacing w:val="-4"/>
          <w:lang w:val="es-ES"/>
        </w:rPr>
        <w:t>presuntas</w:t>
      </w:r>
      <w:r w:rsidRPr="00092A03">
        <w:rPr>
          <w:rFonts w:ascii="ITC Avant Garde" w:hAnsi="ITC Avant Garde"/>
          <w:spacing w:val="-4"/>
          <w:lang w:val="es-ES"/>
        </w:rPr>
        <w:t xml:space="preserve"> </w:t>
      </w:r>
      <w:r w:rsidR="0022388F" w:rsidRPr="00092A03">
        <w:rPr>
          <w:rFonts w:ascii="ITC Avant Garde" w:hAnsi="ITC Avant Garde"/>
          <w:spacing w:val="-4"/>
          <w:lang w:val="es-ES"/>
        </w:rPr>
        <w:t>diferencias</w:t>
      </w:r>
      <w:r w:rsidR="000C4B29" w:rsidRPr="00092A03">
        <w:rPr>
          <w:rFonts w:ascii="ITC Avant Garde" w:hAnsi="ITC Avant Garde"/>
          <w:spacing w:val="-4"/>
          <w:lang w:val="es-ES"/>
        </w:rPr>
        <w:t xml:space="preserve"> en el </w:t>
      </w:r>
      <w:proofErr w:type="spellStart"/>
      <w:r w:rsidR="000C4B29" w:rsidRPr="00092A03">
        <w:rPr>
          <w:rFonts w:ascii="ITC Avant Garde" w:hAnsi="ITC Avant Garde"/>
          <w:spacing w:val="-4"/>
          <w:lang w:val="es-ES"/>
        </w:rPr>
        <w:t>capex</w:t>
      </w:r>
      <w:proofErr w:type="spellEnd"/>
      <w:r w:rsidR="000C4B29" w:rsidRPr="00092A03">
        <w:rPr>
          <w:rFonts w:ascii="ITC Avant Garde" w:hAnsi="ITC Avant Garde"/>
          <w:spacing w:val="-4"/>
          <w:lang w:val="es-ES"/>
        </w:rPr>
        <w:t xml:space="preserve"> por MHz</w:t>
      </w:r>
      <w:r w:rsidRPr="00092A03">
        <w:rPr>
          <w:rFonts w:ascii="ITC Avant Garde" w:hAnsi="ITC Avant Garde"/>
          <w:spacing w:val="-4"/>
          <w:lang w:val="es-ES"/>
        </w:rPr>
        <w:t xml:space="preserve"> de los modelos anteriores, no se han identificado las diferencias</w:t>
      </w:r>
      <w:r w:rsidR="00C309EA" w:rsidRPr="00092A03">
        <w:rPr>
          <w:rFonts w:ascii="ITC Avant Garde" w:hAnsi="ITC Avant Garde"/>
          <w:spacing w:val="-4"/>
          <w:lang w:val="es-ES"/>
        </w:rPr>
        <w:t xml:space="preserve"> específicas</w:t>
      </w:r>
      <w:r w:rsidRPr="00092A03">
        <w:rPr>
          <w:rFonts w:ascii="ITC Avant Garde" w:hAnsi="ITC Avant Garde"/>
          <w:spacing w:val="-4"/>
          <w:lang w:val="es-ES"/>
        </w:rPr>
        <w:t xml:space="preserve"> a las que hace referencia el operador tras revisar </w:t>
      </w:r>
      <w:r w:rsidR="0022388F" w:rsidRPr="00092A03">
        <w:rPr>
          <w:rFonts w:ascii="ITC Avant Garde" w:hAnsi="ITC Avant Garde"/>
          <w:spacing w:val="-4"/>
          <w:lang w:val="es-ES"/>
        </w:rPr>
        <w:t xml:space="preserve">el modelo 2014 (ulteriormente actualizado) que es anterior a la presente revisión. </w:t>
      </w:r>
    </w:p>
    <w:p w14:paraId="14B6A74D" w14:textId="77777777" w:rsidR="0022388F" w:rsidRPr="00092A03" w:rsidRDefault="0022388F">
      <w:pPr>
        <w:rPr>
          <w:rFonts w:ascii="ITC Avant Garde" w:hAnsi="ITC Avant Garde"/>
          <w:spacing w:val="-4"/>
          <w:lang w:val="es-ES"/>
        </w:rPr>
      </w:pPr>
      <w:r w:rsidRPr="00092A03">
        <w:rPr>
          <w:rFonts w:ascii="ITC Avant Garde" w:hAnsi="ITC Avant Garde"/>
          <w:spacing w:val="-4"/>
          <w:lang w:val="es-ES"/>
        </w:rPr>
        <w:lastRenderedPageBreak/>
        <w:t xml:space="preserve">La única diferencia </w:t>
      </w:r>
      <w:r w:rsidR="00D429E1" w:rsidRPr="00092A03">
        <w:rPr>
          <w:rFonts w:ascii="ITC Avant Garde" w:hAnsi="ITC Avant Garde"/>
          <w:spacing w:val="-4"/>
          <w:lang w:val="es-ES"/>
        </w:rPr>
        <w:t xml:space="preserve">que se observa en el </w:t>
      </w:r>
      <w:proofErr w:type="spellStart"/>
      <w:r w:rsidR="00D429E1" w:rsidRPr="00092A03">
        <w:rPr>
          <w:rFonts w:ascii="ITC Avant Garde" w:hAnsi="ITC Avant Garde"/>
          <w:spacing w:val="-4"/>
          <w:lang w:val="es-ES"/>
        </w:rPr>
        <w:t>capex</w:t>
      </w:r>
      <w:proofErr w:type="spellEnd"/>
      <w:r w:rsidR="00D429E1" w:rsidRPr="00092A03">
        <w:rPr>
          <w:rFonts w:ascii="ITC Avant Garde" w:hAnsi="ITC Avant Garde"/>
          <w:spacing w:val="-4"/>
          <w:lang w:val="es-ES"/>
        </w:rPr>
        <w:t xml:space="preserve"> de la banda PCS (MXN 98 690 416 en el modelo 2018 versus MXN 98 522 358 en </w:t>
      </w:r>
      <w:r w:rsidRPr="00092A03">
        <w:rPr>
          <w:rFonts w:ascii="ITC Avant Garde" w:hAnsi="ITC Avant Garde"/>
          <w:spacing w:val="-4"/>
          <w:lang w:val="es-ES"/>
        </w:rPr>
        <w:t xml:space="preserve">el </w:t>
      </w:r>
      <w:r w:rsidR="00D429E1" w:rsidRPr="00092A03">
        <w:rPr>
          <w:rFonts w:ascii="ITC Avant Garde" w:hAnsi="ITC Avant Garde"/>
          <w:spacing w:val="-4"/>
          <w:lang w:val="es-ES"/>
        </w:rPr>
        <w:t xml:space="preserve">anterior) </w:t>
      </w:r>
      <w:r w:rsidRPr="00092A03">
        <w:rPr>
          <w:rFonts w:ascii="ITC Avant Garde" w:hAnsi="ITC Avant Garde"/>
          <w:spacing w:val="-4"/>
          <w:lang w:val="es-ES"/>
        </w:rPr>
        <w:t xml:space="preserve">es resultado de la corrección de </w:t>
      </w:r>
      <w:r w:rsidR="00D429E1" w:rsidRPr="00092A03">
        <w:rPr>
          <w:rFonts w:ascii="ITC Avant Garde" w:hAnsi="ITC Avant Garde"/>
          <w:spacing w:val="-4"/>
          <w:lang w:val="es-ES"/>
        </w:rPr>
        <w:t>un error detectado durante esta revisión en el cálculo de los costos.</w:t>
      </w:r>
      <w:r w:rsidRPr="00092A03">
        <w:rPr>
          <w:rFonts w:ascii="ITC Avant Garde" w:hAnsi="ITC Avant Garde"/>
          <w:spacing w:val="-4"/>
          <w:lang w:val="es-ES"/>
        </w:rPr>
        <w:t xml:space="preserve"> </w:t>
      </w:r>
      <w:r w:rsidR="000F7368" w:rsidRPr="00092A03">
        <w:rPr>
          <w:rFonts w:ascii="ITC Avant Garde" w:hAnsi="ITC Avant Garde"/>
          <w:spacing w:val="-4"/>
          <w:lang w:val="es-ES"/>
        </w:rPr>
        <w:t>Por otro lado,</w:t>
      </w:r>
      <w:r w:rsidRPr="00092A03">
        <w:rPr>
          <w:rFonts w:ascii="ITC Avant Garde" w:hAnsi="ITC Avant Garde"/>
          <w:spacing w:val="-4"/>
          <w:lang w:val="es-ES"/>
        </w:rPr>
        <w:t xml:space="preserve"> la diferencia de costos totales que menciona el operador para la banda de 850MHz es el resultado lógico de la evolución del modelo de un mercado de tres operadores de misma talla a un mercado con un operador AEP y dos alternativos, con el consecuente ajuste de espectro – y por extensión de su costo total.</w:t>
      </w:r>
    </w:p>
    <w:p w14:paraId="3E3CF6C3" w14:textId="77777777" w:rsidR="00D429E1" w:rsidRPr="00092A03" w:rsidRDefault="00D429E1">
      <w:pPr>
        <w:rPr>
          <w:rFonts w:ascii="ITC Avant Garde" w:hAnsi="ITC Avant Garde"/>
          <w:spacing w:val="-4"/>
          <w:lang w:val="es-ES_tradnl"/>
        </w:rPr>
      </w:pPr>
      <w:r w:rsidRPr="00092A03">
        <w:rPr>
          <w:rFonts w:ascii="ITC Avant Garde" w:hAnsi="ITC Avant Garde"/>
          <w:spacing w:val="-4"/>
          <w:lang w:val="es-ES"/>
        </w:rPr>
        <w:t xml:space="preserve">De cualquier modo, y como </w:t>
      </w:r>
      <w:r w:rsidR="00E056A6" w:rsidRPr="00092A03">
        <w:rPr>
          <w:rFonts w:ascii="ITC Avant Garde" w:hAnsi="ITC Avant Garde"/>
          <w:spacing w:val="-4"/>
          <w:lang w:val="es-ES"/>
        </w:rPr>
        <w:t xml:space="preserve">se </w:t>
      </w:r>
      <w:r w:rsidRPr="00092A03">
        <w:rPr>
          <w:rFonts w:ascii="ITC Avant Garde" w:hAnsi="ITC Avant Garde"/>
          <w:spacing w:val="-4"/>
          <w:lang w:val="es-ES"/>
        </w:rPr>
        <w:t xml:space="preserve">menciona anteriormente, </w:t>
      </w:r>
      <w:r w:rsidRPr="00092A03">
        <w:rPr>
          <w:rFonts w:ascii="ITC Avant Garde" w:hAnsi="ITC Avant Garde"/>
          <w:spacing w:val="-4"/>
          <w:lang w:val="es-ES_tradnl"/>
        </w:rPr>
        <w:t>al no ser un costo incremental no tiene impacto sobre los resultados del modelo.</w:t>
      </w:r>
    </w:p>
    <w:p w14:paraId="34D295BD" w14:textId="76A0C32C" w:rsidR="0020144F" w:rsidRPr="00092A03" w:rsidRDefault="0020144F" w:rsidP="002B648A">
      <w:pPr>
        <w:pStyle w:val="Ttulo2"/>
        <w:numPr>
          <w:ilvl w:val="0"/>
          <w:numId w:val="0"/>
        </w:numPr>
        <w:rPr>
          <w:rFonts w:ascii="ITC Avant Garde" w:hAnsi="ITC Avant Garde"/>
          <w:lang w:val="es-MX"/>
        </w:rPr>
      </w:pPr>
      <w:r w:rsidRPr="00092A03">
        <w:rPr>
          <w:rFonts w:ascii="ITC Avant Garde" w:hAnsi="ITC Avant Garde"/>
          <w:lang w:val="es-MX"/>
        </w:rPr>
        <w:t xml:space="preserve">Concepto propuesto </w:t>
      </w:r>
      <w:r w:rsidRPr="00092A03">
        <w:rPr>
          <w:rFonts w:ascii="ITC Avant Garde" w:hAnsi="ITC Avant Garde"/>
        </w:rPr>
        <w:fldChar w:fldCharType="begin"/>
      </w:r>
      <w:r w:rsidRPr="00092A03">
        <w:rPr>
          <w:rFonts w:ascii="ITC Avant Garde" w:hAnsi="ITC Avant Garde"/>
          <w:lang w:val="es-MX"/>
        </w:rPr>
        <w:instrText xml:space="preserve"> SEQ Recommendation \* ARABIC \s 0 </w:instrText>
      </w:r>
      <w:r w:rsidRPr="00092A03">
        <w:rPr>
          <w:rFonts w:ascii="ITC Avant Garde" w:hAnsi="ITC Avant Garde"/>
        </w:rPr>
        <w:fldChar w:fldCharType="separate"/>
      </w:r>
      <w:r w:rsidRPr="00092A03">
        <w:rPr>
          <w:rFonts w:ascii="ITC Avant Garde" w:hAnsi="ITC Avant Garde"/>
          <w:lang w:val="es-MX"/>
        </w:rPr>
        <w:t>9</w:t>
      </w:r>
      <w:r w:rsidRPr="00092A03">
        <w:rPr>
          <w:rFonts w:ascii="ITC Avant Garde" w:hAnsi="ITC Avant Garde"/>
        </w:rPr>
        <w:fldChar w:fldCharType="end"/>
      </w:r>
    </w:p>
    <w:p w14:paraId="34208DAA" w14:textId="491E26D7" w:rsidR="00FF55D3" w:rsidRPr="00092A03" w:rsidRDefault="00A5754B" w:rsidP="0020144F">
      <w:pPr>
        <w:pStyle w:val="B1"/>
        <w:pBdr>
          <w:top w:val="single" w:sz="4" w:space="1" w:color="D9D9D9" w:themeColor="background1" w:themeShade="D9"/>
          <w:bottom w:val="single" w:sz="4" w:space="1" w:color="D9D9D9" w:themeColor="background1" w:themeShade="D9"/>
        </w:pBdr>
        <w:ind w:left="0" w:right="0"/>
        <w:rPr>
          <w:rFonts w:ascii="ITC Avant Garde" w:hAnsi="ITC Avant Garde"/>
          <w:spacing w:val="-4"/>
          <w:lang w:val="es-ES"/>
        </w:rPr>
      </w:pPr>
      <w:r w:rsidRPr="00092A03">
        <w:rPr>
          <w:rFonts w:ascii="ITC Avant Garde" w:hAnsi="ITC Avant Garde"/>
          <w:spacing w:val="-4"/>
          <w:lang w:val="es-ES"/>
        </w:rPr>
        <w:t>Se modelará o bien una arquitectura mejorada (opción b), una arquitectura de conmutación IP combinada (opción c), o una migración entre ambas opciones para un operador hipot</w:t>
      </w:r>
      <w:r w:rsidR="00863828" w:rsidRPr="00092A03">
        <w:rPr>
          <w:rFonts w:ascii="ITC Avant Garde" w:hAnsi="ITC Avant Garde"/>
          <w:spacing w:val="-4"/>
          <w:lang w:val="es-ES"/>
        </w:rPr>
        <w:t>ético recientemente desplegado.</w:t>
      </w:r>
      <w:r w:rsidR="00D93068" w:rsidRPr="00092A03">
        <w:rPr>
          <w:rFonts w:ascii="ITC Avant Garde" w:hAnsi="ITC Avant Garde"/>
          <w:spacing w:val="-4"/>
          <w:lang w:val="es-ES"/>
        </w:rPr>
        <w:t xml:space="preserve"> </w:t>
      </w:r>
    </w:p>
    <w:p w14:paraId="5FE7839B"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4FB0AAC6" w14:textId="414F132D" w:rsidR="004058ED" w:rsidRPr="00092A03" w:rsidRDefault="00945271" w:rsidP="004058ED">
      <w:pPr>
        <w:rPr>
          <w:rFonts w:ascii="ITC Avant Garde" w:hAnsi="ITC Avant Garde"/>
          <w:lang w:val="es-ES"/>
        </w:rPr>
      </w:pPr>
      <w:r>
        <w:rPr>
          <w:rFonts w:ascii="ITC Avant Garde" w:hAnsi="ITC Avant Garde"/>
          <w:lang w:val="es-ES"/>
        </w:rPr>
        <w:t xml:space="preserve">No se recibió </w:t>
      </w:r>
      <w:r w:rsidR="00E721D7" w:rsidRPr="00092A03">
        <w:rPr>
          <w:rFonts w:ascii="ITC Avant Garde" w:hAnsi="ITC Avant Garde"/>
          <w:lang w:val="es-ES"/>
        </w:rPr>
        <w:t>ningún comentario relacionado con este concepto.</w:t>
      </w:r>
    </w:p>
    <w:p w14:paraId="106C5DBB" w14:textId="25CC0051" w:rsidR="0020144F" w:rsidRPr="00092A03" w:rsidRDefault="0043475A" w:rsidP="002B648A">
      <w:pPr>
        <w:pStyle w:val="Ttulo2"/>
        <w:numPr>
          <w:ilvl w:val="0"/>
          <w:numId w:val="0"/>
        </w:numPr>
        <w:rPr>
          <w:rFonts w:ascii="ITC Avant Garde" w:hAnsi="ITC Avant Garde"/>
          <w:lang w:val="es-MX"/>
        </w:rPr>
      </w:pPr>
      <w:bookmarkStart w:id="13" w:name="_Ref321211965"/>
      <w:r w:rsidRPr="00092A03">
        <w:rPr>
          <w:rFonts w:ascii="ITC Avant Garde" w:hAnsi="ITC Avant Garde"/>
          <w:lang w:val="es-MX"/>
        </w:rPr>
        <w:t>Concepto propuesto</w:t>
      </w:r>
      <w:r w:rsidR="00A57F7F"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10</w:t>
      </w:r>
      <w:r w:rsidR="00CB05BF" w:rsidRPr="00092A03">
        <w:rPr>
          <w:rFonts w:ascii="ITC Avant Garde" w:hAnsi="ITC Avant Garde"/>
        </w:rPr>
        <w:fldChar w:fldCharType="end"/>
      </w:r>
    </w:p>
    <w:p w14:paraId="3F3CC574" w14:textId="28549465" w:rsidR="00A57F7F" w:rsidRPr="00092A03" w:rsidRDefault="00A57F7F"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w:t>
      </w:r>
      <w:r w:rsidR="00600CDE" w:rsidRPr="00092A03">
        <w:rPr>
          <w:rFonts w:ascii="ITC Avant Garde" w:hAnsi="ITC Avant Garde"/>
          <w:lang w:val="es-ES"/>
        </w:rPr>
        <w:t xml:space="preserve">Los </w:t>
      </w:r>
      <w:r w:rsidR="006B7549" w:rsidRPr="00092A03">
        <w:rPr>
          <w:rFonts w:ascii="ITC Avant Garde" w:hAnsi="ITC Avant Garde"/>
          <w:lang w:val="es-ES"/>
        </w:rPr>
        <w:t>operador</w:t>
      </w:r>
      <w:r w:rsidR="00600CDE" w:rsidRPr="00092A03">
        <w:rPr>
          <w:rFonts w:ascii="ITC Avant Garde" w:hAnsi="ITC Avant Garde"/>
          <w:lang w:val="es-ES"/>
        </w:rPr>
        <w:t>es</w:t>
      </w:r>
      <w:r w:rsidR="006B7549" w:rsidRPr="00092A03">
        <w:rPr>
          <w:rFonts w:ascii="ITC Avant Garde" w:hAnsi="ITC Avant Garde"/>
          <w:lang w:val="es-ES"/>
        </w:rPr>
        <w:t xml:space="preserve"> modelado</w:t>
      </w:r>
      <w:r w:rsidR="00600CDE" w:rsidRPr="00092A03">
        <w:rPr>
          <w:rFonts w:ascii="ITC Avant Garde" w:hAnsi="ITC Avant Garde"/>
          <w:lang w:val="es-ES"/>
        </w:rPr>
        <w:t>s</w:t>
      </w:r>
      <w:r w:rsidR="00D977B6" w:rsidRPr="00092A03">
        <w:rPr>
          <w:rFonts w:ascii="ITC Avant Garde" w:hAnsi="ITC Avant Garde"/>
          <w:lang w:val="es-ES"/>
        </w:rPr>
        <w:t xml:space="preserve"> dispone</w:t>
      </w:r>
      <w:r w:rsidR="00600CDE" w:rsidRPr="00092A03">
        <w:rPr>
          <w:rFonts w:ascii="ITC Avant Garde" w:hAnsi="ITC Avant Garde"/>
          <w:lang w:val="es-ES"/>
        </w:rPr>
        <w:t>n</w:t>
      </w:r>
      <w:r w:rsidRPr="00092A03">
        <w:rPr>
          <w:rFonts w:ascii="ITC Avant Garde" w:hAnsi="ITC Avant Garde"/>
          <w:lang w:val="es-ES"/>
        </w:rPr>
        <w:t xml:space="preserve"> </w:t>
      </w:r>
      <w:r w:rsidR="00B45947" w:rsidRPr="00092A03">
        <w:rPr>
          <w:rFonts w:ascii="ITC Avant Garde" w:hAnsi="ITC Avant Garde"/>
          <w:lang w:val="es-ES"/>
        </w:rPr>
        <w:t>de</w:t>
      </w:r>
      <w:r w:rsidRPr="00092A03">
        <w:rPr>
          <w:rFonts w:ascii="ITC Avant Garde" w:hAnsi="ITC Avant Garde"/>
          <w:lang w:val="es-ES"/>
        </w:rPr>
        <w:t xml:space="preserve"> una red de transmisión heredada basada principalmente en enlaces </w:t>
      </w:r>
      <w:r w:rsidR="00923DF1" w:rsidRPr="00092A03">
        <w:rPr>
          <w:rFonts w:ascii="ITC Avant Garde" w:hAnsi="ITC Avant Garde"/>
          <w:lang w:val="es-ES"/>
        </w:rPr>
        <w:t xml:space="preserve">de </w:t>
      </w:r>
      <w:r w:rsidRPr="00092A03">
        <w:rPr>
          <w:rFonts w:ascii="ITC Avant Garde" w:hAnsi="ITC Avant Garde"/>
          <w:lang w:val="es-ES"/>
        </w:rPr>
        <w:t>microondas y enlaces dedicados que migrarán progresivamente a una arquitectura de red basada en fibra y tecnología Ethernet. El modelo es flexible y modela una red de transmisión heredada (SDH), IP</w:t>
      </w:r>
      <w:r w:rsidR="00D80FA8" w:rsidRPr="00092A03">
        <w:rPr>
          <w:rFonts w:ascii="ITC Avant Garde" w:hAnsi="ITC Avant Garde"/>
          <w:lang w:val="es-ES"/>
        </w:rPr>
        <w:t xml:space="preserve"> </w:t>
      </w:r>
      <w:r w:rsidRPr="00092A03">
        <w:rPr>
          <w:rFonts w:ascii="ITC Avant Garde" w:hAnsi="ITC Avant Garde"/>
          <w:lang w:val="es-ES"/>
        </w:rPr>
        <w:t>o una migración entre ambas</w:t>
      </w:r>
      <w:r w:rsidR="00B45947" w:rsidRPr="00092A03">
        <w:rPr>
          <w:rFonts w:ascii="ITC Avant Garde" w:hAnsi="ITC Avant Garde"/>
          <w:lang w:val="es-ES"/>
        </w:rPr>
        <w:t>.</w:t>
      </w:r>
    </w:p>
    <w:p w14:paraId="196FD287" w14:textId="77777777" w:rsidR="00F40D15" w:rsidRPr="00092A03" w:rsidRDefault="00F35F0C" w:rsidP="00F40D15">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71EC4148" w14:textId="672B6812" w:rsidR="00A56EBA" w:rsidRPr="00092A03" w:rsidRDefault="00A56EBA" w:rsidP="00A56EBA">
      <w:pPr>
        <w:rPr>
          <w:rFonts w:ascii="ITC Avant Garde" w:hAnsi="ITC Avant Garde"/>
          <w:lang w:val="es-ES"/>
        </w:rPr>
      </w:pPr>
      <w:r w:rsidRPr="00092A03">
        <w:rPr>
          <w:rFonts w:ascii="ITC Avant Garde" w:hAnsi="ITC Avant Garde"/>
          <w:lang w:val="es-ES"/>
        </w:rPr>
        <w:t xml:space="preserve">Telefónica manifiesta que, aunque </w:t>
      </w:r>
      <w:r w:rsidR="008052A3" w:rsidRPr="00092A03">
        <w:rPr>
          <w:rFonts w:ascii="ITC Avant Garde" w:hAnsi="ITC Avant Garde"/>
          <w:lang w:val="es-ES"/>
        </w:rPr>
        <w:t xml:space="preserve">el </w:t>
      </w:r>
      <w:r w:rsidRPr="00092A03">
        <w:rPr>
          <w:rFonts w:ascii="ITC Avant Garde" w:hAnsi="ITC Avant Garde"/>
          <w:lang w:val="es-ES"/>
        </w:rPr>
        <w:t>enfoque conceptual habla de la posibilidad de contar con fibra óptica alquilada mediante un IRU, las opciones de alquilar o arrendar fibra son sumamente limitadas. De hecho, manifiesta que ha solicitado en diversas ocasiones que se obligue al AEP a arrendar su fibra oscura como lo mandata la legislación, sin que al momento exista dicha obligación o una oferta de parte de este agente que satisfaga el requisito.</w:t>
      </w:r>
    </w:p>
    <w:p w14:paraId="0F9168DC" w14:textId="60036973" w:rsidR="00F40D15" w:rsidRPr="00092A03" w:rsidRDefault="002B648A" w:rsidP="00F40D15">
      <w:pPr>
        <w:pStyle w:val="Ttulo4"/>
        <w:rPr>
          <w:rFonts w:ascii="ITC Avant Garde" w:hAnsi="ITC Avant Garde"/>
          <w:b/>
          <w:lang w:val="es-ES"/>
        </w:rPr>
      </w:pPr>
      <w:r w:rsidRPr="00092A03">
        <w:rPr>
          <w:rFonts w:ascii="ITC Avant Garde" w:hAnsi="ITC Avant Garde"/>
          <w:b/>
          <w:lang w:val="es-ES"/>
        </w:rPr>
        <w:t>Consideraciones del Instituto</w:t>
      </w:r>
    </w:p>
    <w:p w14:paraId="58708395" w14:textId="77777777" w:rsidR="0022388F" w:rsidRPr="00092A03" w:rsidRDefault="0022388F" w:rsidP="00F40D15">
      <w:pPr>
        <w:rPr>
          <w:rFonts w:ascii="ITC Avant Garde" w:hAnsi="ITC Avant Garde"/>
          <w:lang w:val="es-ES"/>
        </w:rPr>
      </w:pPr>
      <w:r w:rsidRPr="00092A03">
        <w:rPr>
          <w:rFonts w:ascii="ITC Avant Garde" w:hAnsi="ITC Avant Garde"/>
          <w:spacing w:val="-4"/>
          <w:lang w:val="es-ES"/>
        </w:rPr>
        <w:t xml:space="preserve">Con respecto a la dificultad de contar con fibra óptica alquilada mediante un IRU, cabe notar que el modelo </w:t>
      </w:r>
      <w:r w:rsidR="00B00B03" w:rsidRPr="00092A03">
        <w:rPr>
          <w:rFonts w:ascii="ITC Avant Garde" w:hAnsi="ITC Avant Garde"/>
          <w:spacing w:val="-4"/>
          <w:lang w:val="es-ES"/>
        </w:rPr>
        <w:t xml:space="preserve">refleja esta situación y no considera </w:t>
      </w:r>
      <w:r w:rsidRPr="00092A03">
        <w:rPr>
          <w:rFonts w:ascii="ITC Avant Garde" w:hAnsi="ITC Avant Garde"/>
          <w:spacing w:val="-4"/>
          <w:lang w:val="es-ES"/>
        </w:rPr>
        <w:t xml:space="preserve">un uso exclusivo de fibra óptica alquilada, sino que refleja </w:t>
      </w:r>
      <w:r w:rsidR="00B00B03" w:rsidRPr="00092A03">
        <w:rPr>
          <w:rFonts w:ascii="ITC Avant Garde" w:hAnsi="ITC Avant Garde"/>
          <w:spacing w:val="-4"/>
          <w:lang w:val="es-ES"/>
        </w:rPr>
        <w:t xml:space="preserve">los costos asociados </w:t>
      </w:r>
      <w:r w:rsidR="00D83B82" w:rsidRPr="00092A03">
        <w:rPr>
          <w:rFonts w:ascii="ITC Avant Garde" w:hAnsi="ITC Avant Garde"/>
          <w:spacing w:val="-4"/>
          <w:lang w:val="es-ES"/>
        </w:rPr>
        <w:t xml:space="preserve">a un </w:t>
      </w:r>
      <w:r w:rsidR="00B00B03" w:rsidRPr="00092A03">
        <w:rPr>
          <w:rFonts w:ascii="ITC Avant Garde" w:hAnsi="ITC Avant Garde"/>
          <w:spacing w:val="-4"/>
          <w:lang w:val="es-ES"/>
        </w:rPr>
        <w:t xml:space="preserve">despliegue efectivo de fibra. </w:t>
      </w:r>
      <w:r w:rsidR="00D83B82" w:rsidRPr="00092A03">
        <w:rPr>
          <w:rFonts w:ascii="ITC Avant Garde" w:hAnsi="ITC Avant Garde"/>
          <w:spacing w:val="-4"/>
          <w:lang w:val="es-ES"/>
        </w:rPr>
        <w:t>E</w:t>
      </w:r>
      <w:r w:rsidR="00B00B03" w:rsidRPr="00092A03">
        <w:rPr>
          <w:rFonts w:ascii="ITC Avant Garde" w:hAnsi="ITC Avant Garde"/>
          <w:spacing w:val="-4"/>
          <w:lang w:val="es-ES"/>
        </w:rPr>
        <w:t xml:space="preserve">sto </w:t>
      </w:r>
      <w:r w:rsidR="00B00B03" w:rsidRPr="00092A03">
        <w:rPr>
          <w:rFonts w:ascii="ITC Avant Garde" w:hAnsi="ITC Avant Garde"/>
          <w:spacing w:val="-4"/>
          <w:lang w:val="es-ES"/>
        </w:rPr>
        <w:lastRenderedPageBreak/>
        <w:t xml:space="preserve">también se refleja en la proporción de fibra desplegada </w:t>
      </w:r>
      <w:r w:rsidR="00D83B82" w:rsidRPr="00092A03">
        <w:rPr>
          <w:rFonts w:ascii="ITC Avant Garde" w:hAnsi="ITC Avant Garde"/>
          <w:spacing w:val="-4"/>
          <w:lang w:val="es-ES"/>
        </w:rPr>
        <w:t xml:space="preserve">en comparación al </w:t>
      </w:r>
      <w:r w:rsidR="00B00B03" w:rsidRPr="00092A03">
        <w:rPr>
          <w:rFonts w:ascii="ITC Avant Garde" w:hAnsi="ITC Avant Garde"/>
          <w:spacing w:val="-4"/>
          <w:lang w:val="es-ES"/>
        </w:rPr>
        <w:t>uso de otras tecnologías.</w:t>
      </w:r>
    </w:p>
    <w:bookmarkEnd w:id="13"/>
    <w:p w14:paraId="48847E41" w14:textId="77777777" w:rsidR="0020144F"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3161B5"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11</w:t>
      </w:r>
      <w:r w:rsidR="00CB05BF" w:rsidRPr="00092A03">
        <w:rPr>
          <w:rFonts w:ascii="ITC Avant Garde" w:hAnsi="ITC Avant Garde"/>
        </w:rPr>
        <w:fldChar w:fldCharType="end"/>
      </w:r>
    </w:p>
    <w:p w14:paraId="39C40552" w14:textId="1DEC4EC5" w:rsidR="00031F4A" w:rsidRPr="00092A03" w:rsidDel="001E0ED1" w:rsidRDefault="003161B5"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highlight w:val="yellow"/>
          <w:lang w:val="es-ES"/>
        </w:rPr>
      </w:pPr>
      <w:r w:rsidRPr="00092A03">
        <w:rPr>
          <w:rFonts w:ascii="ITC Avant Garde" w:hAnsi="ITC Avant Garde"/>
          <w:lang w:val="es-ES"/>
        </w:rPr>
        <w:t xml:space="preserve"> En el modelo la red troncal de</w:t>
      </w:r>
      <w:r w:rsidR="00CF514D" w:rsidRPr="00092A03">
        <w:rPr>
          <w:rFonts w:ascii="ITC Avant Garde" w:hAnsi="ITC Avant Garde"/>
          <w:lang w:val="es-ES"/>
        </w:rPr>
        <w:t>l operador hipotético se basa</w:t>
      </w:r>
      <w:r w:rsidR="00D62F54" w:rsidRPr="00092A03">
        <w:rPr>
          <w:rFonts w:ascii="ITC Avant Garde" w:hAnsi="ITC Avant Garde"/>
          <w:lang w:val="es-ES"/>
        </w:rPr>
        <w:t>rá</w:t>
      </w:r>
      <w:r w:rsidR="00CF514D" w:rsidRPr="00092A03">
        <w:rPr>
          <w:rFonts w:ascii="ITC Avant Garde" w:hAnsi="ITC Avant Garde"/>
          <w:lang w:val="es-ES"/>
        </w:rPr>
        <w:t xml:space="preserve"> en una arquitectura NGN-</w:t>
      </w:r>
      <w:r w:rsidRPr="00092A03">
        <w:rPr>
          <w:rFonts w:ascii="ITC Avant Garde" w:hAnsi="ITC Avant Garde"/>
          <w:lang w:val="es-ES"/>
        </w:rPr>
        <w:t>IP BAP. Los servicios de voz están habilitados por aplicaciones que utiliza</w:t>
      </w:r>
      <w:r w:rsidR="00D62F54" w:rsidRPr="00092A03">
        <w:rPr>
          <w:rFonts w:ascii="ITC Avant Garde" w:hAnsi="ITC Avant Garde"/>
          <w:lang w:val="es-ES"/>
        </w:rPr>
        <w:t>rá</w:t>
      </w:r>
      <w:r w:rsidRPr="00092A03">
        <w:rPr>
          <w:rFonts w:ascii="ITC Avant Garde" w:hAnsi="ITC Avant Garde"/>
          <w:lang w:val="es-ES"/>
        </w:rPr>
        <w:t xml:space="preserve">n subsistemas multimedia IP (IMS). Los </w:t>
      </w:r>
      <w:proofErr w:type="spellStart"/>
      <w:r w:rsidRPr="00092A03">
        <w:rPr>
          <w:rFonts w:ascii="ITC Avant Garde" w:hAnsi="ITC Avant Garde"/>
          <w:i/>
          <w:lang w:val="es-ES"/>
        </w:rPr>
        <w:t>trunk</w:t>
      </w:r>
      <w:proofErr w:type="spellEnd"/>
      <w:r w:rsidRPr="00092A03">
        <w:rPr>
          <w:rFonts w:ascii="ITC Avant Garde" w:hAnsi="ITC Avant Garde"/>
          <w:i/>
          <w:lang w:val="es-ES"/>
        </w:rPr>
        <w:t xml:space="preserve"> media </w:t>
      </w:r>
      <w:proofErr w:type="spellStart"/>
      <w:r w:rsidRPr="00092A03">
        <w:rPr>
          <w:rFonts w:ascii="ITC Avant Garde" w:hAnsi="ITC Avant Garde"/>
          <w:i/>
          <w:lang w:val="es-ES"/>
        </w:rPr>
        <w:t>gateways</w:t>
      </w:r>
      <w:proofErr w:type="spellEnd"/>
      <w:r w:rsidRPr="00092A03">
        <w:rPr>
          <w:rFonts w:ascii="ITC Avant Garde" w:hAnsi="ITC Avant Garde"/>
          <w:lang w:val="es-ES"/>
        </w:rPr>
        <w:t xml:space="preserve"> (</w:t>
      </w:r>
      <w:proofErr w:type="spellStart"/>
      <w:r w:rsidRPr="00092A03">
        <w:rPr>
          <w:rFonts w:ascii="ITC Avant Garde" w:hAnsi="ITC Avant Garde"/>
          <w:lang w:val="es-ES"/>
        </w:rPr>
        <w:t>TGWs</w:t>
      </w:r>
      <w:proofErr w:type="spellEnd"/>
      <w:r w:rsidRPr="00092A03">
        <w:rPr>
          <w:rFonts w:ascii="ITC Avant Garde" w:hAnsi="ITC Avant Garde"/>
          <w:lang w:val="es-ES"/>
        </w:rPr>
        <w:t xml:space="preserve">) pueden </w:t>
      </w:r>
      <w:r w:rsidR="00CF514D" w:rsidRPr="00092A03">
        <w:rPr>
          <w:rFonts w:ascii="ITC Avant Garde" w:hAnsi="ITC Avant Garde"/>
          <w:lang w:val="es-ES"/>
        </w:rPr>
        <w:t>desplegarse</w:t>
      </w:r>
      <w:r w:rsidRPr="00092A03">
        <w:rPr>
          <w:rFonts w:ascii="ITC Avant Garde" w:hAnsi="ITC Avant Garde"/>
          <w:lang w:val="es-ES"/>
        </w:rPr>
        <w:t xml:space="preserve"> en conmutadores locales legados y en puntos de interconexión TDM, </w:t>
      </w:r>
      <w:r w:rsidR="00CF514D" w:rsidRPr="00092A03">
        <w:rPr>
          <w:rFonts w:ascii="ITC Avant Garde" w:hAnsi="ITC Avant Garde"/>
          <w:lang w:val="es-ES"/>
        </w:rPr>
        <w:t>de ser necesario.</w:t>
      </w:r>
    </w:p>
    <w:p w14:paraId="300CE98A"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7A68294C" w14:textId="65C4639F" w:rsidR="000D6224" w:rsidRPr="00092A03" w:rsidRDefault="000D6224" w:rsidP="000D6224">
      <w:pPr>
        <w:rPr>
          <w:rFonts w:ascii="ITC Avant Garde" w:hAnsi="ITC Avant Garde"/>
          <w:lang w:val="es-ES_tradnl"/>
        </w:rPr>
      </w:pPr>
      <w:r w:rsidRPr="00092A03">
        <w:rPr>
          <w:rFonts w:ascii="ITC Avant Garde" w:hAnsi="ITC Avant Garde"/>
          <w:lang w:val="es-ES_tradnl"/>
        </w:rPr>
        <w:t>Mega Cable opina que la siguiente frase incluida dentro del enfoque conceptual es errónea:</w:t>
      </w:r>
    </w:p>
    <w:p w14:paraId="09054478" w14:textId="77777777" w:rsidR="000D6224" w:rsidRPr="00092A03" w:rsidRDefault="000D6224" w:rsidP="000D6224">
      <w:pPr>
        <w:pStyle w:val="B1"/>
        <w:rPr>
          <w:rFonts w:ascii="ITC Avant Garde" w:hAnsi="ITC Avant Garde"/>
          <w:lang w:val="es-ES"/>
        </w:rPr>
      </w:pPr>
      <w:r w:rsidRPr="00092A03">
        <w:rPr>
          <w:rFonts w:ascii="ITC Avant Garde" w:hAnsi="ITC Avant Garde"/>
          <w:lang w:val="es-ES"/>
        </w:rPr>
        <w:t>“No está previsto modelar la red de acceso en el modelo fijo al no formar parte del servicio de terminación y originación, pero su definición influenciará el diseño de la red troncal y de transmisión."</w:t>
      </w:r>
    </w:p>
    <w:p w14:paraId="2A206CD0" w14:textId="2C47C448" w:rsidR="000D6224" w:rsidRPr="00092A03" w:rsidRDefault="000D6224" w:rsidP="000D6224">
      <w:pPr>
        <w:rPr>
          <w:rFonts w:ascii="ITC Avant Garde" w:hAnsi="ITC Avant Garde"/>
          <w:lang w:val="es-ES"/>
        </w:rPr>
      </w:pPr>
      <w:r w:rsidRPr="00092A03">
        <w:rPr>
          <w:rFonts w:ascii="ITC Avant Garde" w:hAnsi="ITC Avant Garde"/>
          <w:lang w:val="es-ES"/>
        </w:rPr>
        <w:t>En su opinión, la red de acceso sí forma parte de los servicios de terminación y originación, siendo elementos de red claves para prestar tales servicios.</w:t>
      </w:r>
      <w:r w:rsidR="0002410F" w:rsidRPr="00092A03">
        <w:rPr>
          <w:rFonts w:ascii="ITC Avant Garde" w:hAnsi="ITC Avant Garde"/>
          <w:lang w:val="es-ES"/>
        </w:rPr>
        <w:t xml:space="preserve"> De la misma manera, Axtel considera que el hecho de que los costos de acceso a la red por parte de los usuarios de telefonía fija no se consideren y en el caso de telefonía móvil sí supone un trato discriminatorio entre la red móvil y la red fija, dañando la competencia efectiva y el interés de los usuarios finales.</w:t>
      </w:r>
    </w:p>
    <w:p w14:paraId="38FB2A66" w14:textId="20008F24" w:rsidR="000D6224" w:rsidRPr="00092A03" w:rsidRDefault="00C95979" w:rsidP="000D6224">
      <w:pPr>
        <w:rPr>
          <w:rFonts w:ascii="ITC Avant Garde" w:hAnsi="ITC Avant Garde"/>
          <w:lang w:val="es-ES"/>
        </w:rPr>
      </w:pPr>
      <w:r w:rsidRPr="00092A03">
        <w:rPr>
          <w:rFonts w:ascii="ITC Avant Garde" w:hAnsi="ITC Avant Garde"/>
          <w:lang w:val="es-ES"/>
        </w:rPr>
        <w:t>Asimismo, este operador M</w:t>
      </w:r>
      <w:r w:rsidR="00301A5E" w:rsidRPr="00092A03">
        <w:rPr>
          <w:rFonts w:ascii="ITC Avant Garde" w:hAnsi="ITC Avant Garde"/>
          <w:lang w:val="es-ES"/>
        </w:rPr>
        <w:t>ega Cable cree qu</w:t>
      </w:r>
      <w:r w:rsidR="000D6224" w:rsidRPr="00092A03">
        <w:rPr>
          <w:rFonts w:ascii="ITC Avant Garde" w:hAnsi="ITC Avant Garde"/>
          <w:lang w:val="es-ES"/>
        </w:rPr>
        <w:t xml:space="preserve">e cree que en el diseño de la red </w:t>
      </w:r>
      <w:proofErr w:type="spellStart"/>
      <w:r w:rsidR="000D6224" w:rsidRPr="00092A03">
        <w:rPr>
          <w:rFonts w:ascii="ITC Avant Garde" w:hAnsi="ITC Avant Garde"/>
          <w:i/>
          <w:lang w:val="es-ES"/>
        </w:rPr>
        <w:t>core</w:t>
      </w:r>
      <w:proofErr w:type="spellEnd"/>
      <w:r w:rsidR="000D6224" w:rsidRPr="00092A03">
        <w:rPr>
          <w:rFonts w:ascii="ITC Avant Garde" w:hAnsi="ITC Avant Garde"/>
          <w:lang w:val="es-ES"/>
        </w:rPr>
        <w:t xml:space="preserve"> se están ignorando las características y restricciones que enfrentan las redes que originalmente eran de cable. Asimismo, Mega Cable señala que no resulta pertinente aplicar un modelo de red con cobertura nacional para un operador alternativo en el mercado mexicano.</w:t>
      </w:r>
    </w:p>
    <w:p w14:paraId="169665CC" w14:textId="1899DAE3" w:rsidR="004058ED" w:rsidRPr="00092A03" w:rsidRDefault="002B648A" w:rsidP="004058ED">
      <w:pPr>
        <w:pStyle w:val="Ttulo4"/>
        <w:rPr>
          <w:rFonts w:ascii="ITC Avant Garde" w:hAnsi="ITC Avant Garde"/>
          <w:b/>
          <w:lang w:val="es-ES"/>
        </w:rPr>
      </w:pPr>
      <w:r w:rsidRPr="00092A03">
        <w:rPr>
          <w:rFonts w:ascii="ITC Avant Garde" w:hAnsi="ITC Avant Garde"/>
          <w:b/>
          <w:lang w:val="es-ES"/>
        </w:rPr>
        <w:t>Consideraciones del Instituto</w:t>
      </w:r>
    </w:p>
    <w:p w14:paraId="22CBF550" w14:textId="77777777" w:rsidR="00301A5E" w:rsidRPr="00092A03" w:rsidRDefault="003B7323" w:rsidP="00301A5E">
      <w:pPr>
        <w:rPr>
          <w:rFonts w:ascii="ITC Avant Garde" w:hAnsi="ITC Avant Garde"/>
          <w:spacing w:val="-4"/>
          <w:lang w:val="es-ES"/>
        </w:rPr>
      </w:pPr>
      <w:r w:rsidRPr="00092A03">
        <w:rPr>
          <w:rFonts w:ascii="ITC Avant Garde" w:hAnsi="ITC Avant Garde"/>
          <w:spacing w:val="-4"/>
          <w:lang w:val="es-ES"/>
        </w:rPr>
        <w:t xml:space="preserve">Con respecto a la inclusión potencial de la red de acceso en el modelo de interconexión, el </w:t>
      </w:r>
      <w:r w:rsidR="00301A5E" w:rsidRPr="00092A03">
        <w:rPr>
          <w:rFonts w:ascii="ITC Avant Garde" w:hAnsi="ITC Avant Garde"/>
          <w:spacing w:val="-4"/>
          <w:lang w:val="es-ES"/>
        </w:rPr>
        <w:t xml:space="preserve">modelo reproduce una red de cobre, no una HFC, por razones antes mencionadas. La red de acceso (o red de </w:t>
      </w:r>
      <w:r w:rsidR="00301A5E" w:rsidRPr="00092A03">
        <w:rPr>
          <w:rFonts w:ascii="ITC Avant Garde" w:hAnsi="ITC Avant Garde"/>
          <w:i/>
          <w:spacing w:val="-4"/>
          <w:lang w:val="es-ES"/>
        </w:rPr>
        <w:t>última milla</w:t>
      </w:r>
      <w:r w:rsidR="00301A5E" w:rsidRPr="00092A03">
        <w:rPr>
          <w:rFonts w:ascii="ITC Avant Garde" w:hAnsi="ITC Avant Garde"/>
          <w:spacing w:val="-4"/>
          <w:lang w:val="es-ES"/>
        </w:rPr>
        <w:t xml:space="preserve"> como también es comúnmente llamada) no forma parte de la red </w:t>
      </w:r>
      <w:proofErr w:type="spellStart"/>
      <w:r w:rsidR="00301A5E" w:rsidRPr="00092A03">
        <w:rPr>
          <w:rFonts w:ascii="ITC Avant Garde" w:hAnsi="ITC Avant Garde"/>
          <w:i/>
          <w:spacing w:val="-4"/>
          <w:lang w:val="es-ES"/>
        </w:rPr>
        <w:t>core</w:t>
      </w:r>
      <w:proofErr w:type="spellEnd"/>
      <w:r w:rsidR="00301A5E" w:rsidRPr="00092A03">
        <w:rPr>
          <w:rFonts w:ascii="ITC Avant Garde" w:hAnsi="ITC Avant Garde"/>
          <w:spacing w:val="-4"/>
          <w:lang w:val="es-ES"/>
        </w:rPr>
        <w:t xml:space="preserve"> modelada pues </w:t>
      </w:r>
      <w:r w:rsidRPr="00092A03">
        <w:rPr>
          <w:rFonts w:ascii="ITC Avant Garde" w:hAnsi="ITC Avant Garde"/>
          <w:spacing w:val="-4"/>
          <w:lang w:val="es-ES"/>
        </w:rPr>
        <w:t>es anterior a</w:t>
      </w:r>
      <w:r w:rsidR="00301A5E" w:rsidRPr="00092A03">
        <w:rPr>
          <w:rFonts w:ascii="ITC Avant Garde" w:hAnsi="ITC Avant Garde"/>
          <w:spacing w:val="-4"/>
          <w:lang w:val="es-ES"/>
        </w:rPr>
        <w:t>l primer punto de agregación del tráfico</w:t>
      </w:r>
      <w:r w:rsidRPr="00092A03">
        <w:rPr>
          <w:rFonts w:ascii="ITC Avant Garde" w:hAnsi="ITC Avant Garde"/>
          <w:spacing w:val="-4"/>
          <w:lang w:val="es-ES"/>
        </w:rPr>
        <w:t>. En ef</w:t>
      </w:r>
      <w:r w:rsidR="008052A3" w:rsidRPr="00092A03">
        <w:rPr>
          <w:rFonts w:ascii="ITC Avant Garde" w:hAnsi="ITC Avant Garde"/>
          <w:spacing w:val="-4"/>
          <w:lang w:val="es-ES"/>
        </w:rPr>
        <w:t>e</w:t>
      </w:r>
      <w:r w:rsidRPr="00092A03">
        <w:rPr>
          <w:rFonts w:ascii="ITC Avant Garde" w:hAnsi="ITC Avant Garde"/>
          <w:spacing w:val="-4"/>
          <w:lang w:val="es-ES"/>
        </w:rPr>
        <w:t xml:space="preserve">cto, la red de acceso engloba </w:t>
      </w:r>
      <w:r w:rsidR="00301A5E" w:rsidRPr="00092A03">
        <w:rPr>
          <w:rFonts w:ascii="ITC Avant Garde" w:hAnsi="ITC Avant Garde"/>
          <w:spacing w:val="-4"/>
          <w:lang w:val="es-ES"/>
        </w:rPr>
        <w:t>la conexión desde el punto de terminación de red (NTP) en las instalaciones del usuario hasta los nodos de agregación en la estructura en árbol de la red. Esto va en línea con las prácticas internacionales</w:t>
      </w:r>
      <w:r w:rsidRPr="00092A03">
        <w:rPr>
          <w:rFonts w:ascii="ITC Avant Garde" w:hAnsi="ITC Avant Garde"/>
          <w:spacing w:val="-4"/>
          <w:lang w:val="es-ES"/>
        </w:rPr>
        <w:t>,</w:t>
      </w:r>
      <w:r w:rsidR="00301A5E" w:rsidRPr="00092A03">
        <w:rPr>
          <w:rFonts w:ascii="ITC Avant Garde" w:hAnsi="ITC Avant Garde"/>
          <w:spacing w:val="-4"/>
          <w:lang w:val="es-ES"/>
        </w:rPr>
        <w:t xml:space="preserve"> como la establecida por la Comisión Europea en su recomendación </w:t>
      </w:r>
      <w:r w:rsidR="00301A5E" w:rsidRPr="00092A03">
        <w:rPr>
          <w:rFonts w:ascii="ITC Avant Garde" w:hAnsi="ITC Avant Garde"/>
          <w:spacing w:val="-4"/>
          <w:lang w:val="es-ES"/>
        </w:rPr>
        <w:lastRenderedPageBreak/>
        <w:t xml:space="preserve">sobre el cálculo de los costos de terminación y su aplicación en diversos modelos realizados para reguladores de la Unión Europea. En cualquier caso, el impacto de una red de última milla en el costeo CILPP de la terminación y originación es </w:t>
      </w:r>
      <w:r w:rsidRPr="00092A03">
        <w:rPr>
          <w:rFonts w:ascii="ITC Avant Garde" w:hAnsi="ITC Avant Garde"/>
          <w:spacing w:val="-4"/>
          <w:lang w:val="es-ES"/>
        </w:rPr>
        <w:t>nulo</w:t>
      </w:r>
      <w:r w:rsidR="00301A5E" w:rsidRPr="00092A03">
        <w:rPr>
          <w:rFonts w:ascii="ITC Avant Garde" w:hAnsi="ITC Avant Garde"/>
          <w:spacing w:val="-4"/>
          <w:lang w:val="es-ES"/>
        </w:rPr>
        <w:t>, ya que al no depender del tráfico no se verá afectada por las diferencias de tráfico transportadas por la red.</w:t>
      </w:r>
    </w:p>
    <w:p w14:paraId="058ECC5E" w14:textId="77777777" w:rsidR="00301A5E" w:rsidRPr="00092A03" w:rsidRDefault="00301A5E" w:rsidP="00301A5E">
      <w:pPr>
        <w:rPr>
          <w:rFonts w:ascii="ITC Avant Garde" w:hAnsi="ITC Avant Garde"/>
          <w:spacing w:val="-4"/>
          <w:lang w:val="es-ES"/>
        </w:rPr>
      </w:pPr>
      <w:r w:rsidRPr="00092A03">
        <w:rPr>
          <w:rFonts w:ascii="ITC Avant Garde" w:hAnsi="ITC Avant Garde"/>
          <w:spacing w:val="-4"/>
          <w:lang w:val="es-ES"/>
        </w:rPr>
        <w:t>Remitimos a las respuestas sobre los comentarios al concepto propuesto 2 del enfoque conceptual para lo relativo a la red de cobertura modelada para el operador alternativo.</w:t>
      </w:r>
    </w:p>
    <w:p w14:paraId="1CB84923" w14:textId="77777777" w:rsidR="0020144F" w:rsidRPr="00092A03" w:rsidRDefault="0043475A" w:rsidP="002B648A">
      <w:pPr>
        <w:pStyle w:val="Ttulo2"/>
        <w:numPr>
          <w:ilvl w:val="0"/>
          <w:numId w:val="0"/>
        </w:numPr>
        <w:rPr>
          <w:rFonts w:ascii="ITC Avant Garde" w:hAnsi="ITC Avant Garde"/>
          <w:lang w:val="es-MX"/>
        </w:rPr>
      </w:pPr>
      <w:bookmarkStart w:id="14" w:name="_Ref321211971"/>
      <w:r w:rsidRPr="00092A03">
        <w:rPr>
          <w:rFonts w:ascii="ITC Avant Garde" w:hAnsi="ITC Avant Garde"/>
          <w:lang w:val="es-MX"/>
        </w:rPr>
        <w:t>Concepto propuesto</w:t>
      </w:r>
      <w:r w:rsidR="00B55CDD"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12</w:t>
      </w:r>
      <w:r w:rsidR="00CB05BF" w:rsidRPr="00092A03">
        <w:rPr>
          <w:rFonts w:ascii="ITC Avant Garde" w:hAnsi="ITC Avant Garde"/>
        </w:rPr>
        <w:fldChar w:fldCharType="end"/>
      </w:r>
      <w:r w:rsidR="00A43A7E" w:rsidRPr="00092A03">
        <w:rPr>
          <w:rFonts w:ascii="ITC Avant Garde" w:hAnsi="ITC Avant Garde"/>
          <w:lang w:val="es-MX"/>
        </w:rPr>
        <w:t xml:space="preserve">: </w:t>
      </w:r>
    </w:p>
    <w:p w14:paraId="54FB666B" w14:textId="64DA9635" w:rsidR="00B55CDD" w:rsidRPr="00092A03" w:rsidRDefault="00A43A7E"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Se </w:t>
      </w:r>
      <w:r w:rsidR="00D62F54" w:rsidRPr="00092A03">
        <w:rPr>
          <w:rFonts w:ascii="ITC Avant Garde" w:hAnsi="ITC Avant Garde"/>
          <w:lang w:val="es-ES"/>
        </w:rPr>
        <w:t>modelará</w:t>
      </w:r>
      <w:r w:rsidR="00B55CDD" w:rsidRPr="00092A03">
        <w:rPr>
          <w:rFonts w:ascii="ITC Avant Garde" w:hAnsi="ITC Avant Garde"/>
          <w:lang w:val="es-ES"/>
        </w:rPr>
        <w:t xml:space="preserve"> un operador hipotético con una red de transmisión IP/MPLS sobre Ethernet nativo, o SDH de próxima generación sobre DWDM</w:t>
      </w:r>
      <w:r w:rsidR="00150DF0" w:rsidRPr="00092A03">
        <w:rPr>
          <w:rFonts w:ascii="ITC Avant Garde" w:hAnsi="ITC Avant Garde"/>
          <w:lang w:val="es-ES"/>
        </w:rPr>
        <w:t>,</w:t>
      </w:r>
      <w:r w:rsidR="00B55CDD" w:rsidRPr="00092A03">
        <w:rPr>
          <w:rFonts w:ascii="ITC Avant Garde" w:hAnsi="ITC Avant Garde"/>
          <w:lang w:val="es-ES"/>
        </w:rPr>
        <w:t xml:space="preserve"> </w:t>
      </w:r>
      <w:r w:rsidR="00150DF0" w:rsidRPr="00092A03">
        <w:rPr>
          <w:rFonts w:ascii="ITC Avant Garde" w:hAnsi="ITC Avant Garde"/>
          <w:lang w:val="es-ES"/>
        </w:rPr>
        <w:t>dependiendo de los costos en función del volumen de tráfico trasportado en la red del operador hipotético</w:t>
      </w:r>
      <w:r w:rsidR="00B55CDD" w:rsidRPr="00092A03">
        <w:rPr>
          <w:rFonts w:ascii="ITC Avant Garde" w:hAnsi="ITC Avant Garde"/>
          <w:lang w:val="es-ES"/>
        </w:rPr>
        <w:t>.</w:t>
      </w:r>
    </w:p>
    <w:p w14:paraId="4B94F249" w14:textId="77777777" w:rsidR="004058ED" w:rsidRPr="00092A03" w:rsidRDefault="00F35F0C" w:rsidP="0020144F">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2C1FA513" w14:textId="77777777" w:rsidR="00F6610E" w:rsidRPr="00092A03" w:rsidRDefault="00F6610E" w:rsidP="0020144F">
      <w:pPr>
        <w:rPr>
          <w:rFonts w:ascii="ITC Avant Garde" w:hAnsi="ITC Avant Garde"/>
          <w:lang w:val="es-ES"/>
        </w:rPr>
      </w:pPr>
      <w:r w:rsidRPr="00092A03">
        <w:rPr>
          <w:rFonts w:ascii="ITC Avant Garde" w:hAnsi="ITC Avant Garde"/>
          <w:lang w:val="es-ES"/>
        </w:rPr>
        <w:t>No se ha recibido ningún comentario relacionado con este concepto.</w:t>
      </w:r>
    </w:p>
    <w:bookmarkEnd w:id="14"/>
    <w:p w14:paraId="2B609F78" w14:textId="77777777" w:rsidR="0020144F"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5148B9"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13</w:t>
      </w:r>
      <w:r w:rsidR="00CB05BF" w:rsidRPr="00092A03">
        <w:rPr>
          <w:rFonts w:ascii="ITC Avant Garde" w:hAnsi="ITC Avant Garde"/>
        </w:rPr>
        <w:fldChar w:fldCharType="end"/>
      </w:r>
    </w:p>
    <w:p w14:paraId="38AA874F" w14:textId="34D27CA3" w:rsidR="005148B9" w:rsidRPr="00092A03" w:rsidRDefault="005148B9"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El punto de demarcación entre la red de acceso y las otras capas de la red </w:t>
      </w:r>
      <w:r w:rsidR="00B56A98" w:rsidRPr="00092A03">
        <w:rPr>
          <w:rFonts w:ascii="ITC Avant Garde" w:hAnsi="ITC Avant Garde"/>
          <w:lang w:val="es-ES"/>
        </w:rPr>
        <w:t xml:space="preserve">del operador hipotético </w:t>
      </w:r>
      <w:r w:rsidRPr="00092A03">
        <w:rPr>
          <w:rFonts w:ascii="ITC Avant Garde" w:hAnsi="ITC Avant Garde"/>
          <w:lang w:val="es-ES"/>
        </w:rPr>
        <w:t>es el primer punto donde ocurre una concentración de tráfico</w:t>
      </w:r>
      <w:r w:rsidR="00B56A98" w:rsidRPr="00092A03">
        <w:rPr>
          <w:rFonts w:ascii="ITC Avant Garde" w:hAnsi="ITC Avant Garde"/>
          <w:lang w:val="es-ES"/>
        </w:rPr>
        <w:t>,</w:t>
      </w:r>
      <w:r w:rsidRPr="00092A03">
        <w:rPr>
          <w:rFonts w:ascii="ITC Avant Garde" w:hAnsi="ITC Avant Garde"/>
          <w:lang w:val="es-ES"/>
        </w:rPr>
        <w:t xml:space="preserve"> de manera que los recursos se asignan en función de la carga de tráfico cursado</w:t>
      </w:r>
      <w:r w:rsidR="00B56A98" w:rsidRPr="00092A03">
        <w:rPr>
          <w:rFonts w:ascii="ITC Avant Garde" w:hAnsi="ITC Avant Garde"/>
          <w:lang w:val="es-ES"/>
        </w:rPr>
        <w:t xml:space="preserve"> en la red</w:t>
      </w:r>
      <w:r w:rsidRPr="00092A03">
        <w:rPr>
          <w:rFonts w:ascii="ITC Avant Garde" w:hAnsi="ITC Avant Garde"/>
          <w:lang w:val="es-ES"/>
        </w:rPr>
        <w:t>.</w:t>
      </w:r>
    </w:p>
    <w:p w14:paraId="0115B506"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38CE5A0F" w14:textId="77777777" w:rsidR="00F6610E" w:rsidRPr="00092A03" w:rsidRDefault="00F6610E" w:rsidP="00F6610E">
      <w:pPr>
        <w:rPr>
          <w:rFonts w:ascii="ITC Avant Garde" w:hAnsi="ITC Avant Garde"/>
          <w:lang w:val="es-ES"/>
        </w:rPr>
      </w:pPr>
      <w:r w:rsidRPr="00092A03">
        <w:rPr>
          <w:rFonts w:ascii="ITC Avant Garde" w:hAnsi="ITC Avant Garde"/>
          <w:lang w:val="es-ES"/>
        </w:rPr>
        <w:t>No se ha recibido ningún comentario relacionado con este concepto.</w:t>
      </w:r>
    </w:p>
    <w:p w14:paraId="6309550A" w14:textId="22F05680" w:rsidR="0020144F" w:rsidRPr="00092A03" w:rsidRDefault="0043475A" w:rsidP="002B648A">
      <w:pPr>
        <w:pStyle w:val="Ttulo2"/>
        <w:numPr>
          <w:ilvl w:val="0"/>
          <w:numId w:val="0"/>
        </w:numPr>
        <w:rPr>
          <w:rFonts w:ascii="ITC Avant Garde" w:hAnsi="ITC Avant Garde"/>
          <w:lang w:val="es-MX"/>
        </w:rPr>
      </w:pPr>
      <w:bookmarkStart w:id="15" w:name="_Ref321211131"/>
      <w:bookmarkStart w:id="16" w:name="_Ref321211713"/>
      <w:bookmarkStart w:id="17" w:name="_Ref321211749"/>
      <w:r w:rsidRPr="00092A03">
        <w:rPr>
          <w:rFonts w:ascii="ITC Avant Garde" w:hAnsi="ITC Avant Garde"/>
          <w:lang w:val="es-MX"/>
        </w:rPr>
        <w:t>Concepto propuesto</w:t>
      </w:r>
      <w:r w:rsidR="00DD4350"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14</w:t>
      </w:r>
      <w:r w:rsidR="00CB05BF" w:rsidRPr="00092A03">
        <w:rPr>
          <w:rFonts w:ascii="ITC Avant Garde" w:hAnsi="ITC Avant Garde"/>
        </w:rPr>
        <w:fldChar w:fldCharType="end"/>
      </w:r>
    </w:p>
    <w:p w14:paraId="060AB950" w14:textId="7810433C" w:rsidR="00DD4350" w:rsidRPr="00092A03" w:rsidDel="00E53686" w:rsidRDefault="00DD4350"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Tal y como </w:t>
      </w:r>
      <w:r w:rsidR="006A5EAF" w:rsidRPr="00092A03">
        <w:rPr>
          <w:rFonts w:ascii="ITC Avant Garde" w:hAnsi="ITC Avant Garde"/>
          <w:lang w:val="es-ES"/>
        </w:rPr>
        <w:t>el IFT</w:t>
      </w:r>
      <w:r w:rsidRPr="00092A03">
        <w:rPr>
          <w:rFonts w:ascii="ITC Avant Garde" w:hAnsi="ITC Avant Garde"/>
          <w:lang w:val="es-ES"/>
        </w:rPr>
        <w:t xml:space="preserve"> dispone en su</w:t>
      </w:r>
      <w:r w:rsidR="00600CDE" w:rsidRPr="00092A03">
        <w:rPr>
          <w:rFonts w:ascii="ITC Avant Garde" w:hAnsi="ITC Avant Garde"/>
          <w:lang w:val="es-ES"/>
        </w:rPr>
        <w:t>s lineamientos</w:t>
      </w:r>
      <w:r w:rsidR="002B6344" w:rsidRPr="00092A03">
        <w:rPr>
          <w:rFonts w:ascii="ITC Avant Garde" w:hAnsi="ITC Avant Garde"/>
          <w:lang w:val="es-ES"/>
        </w:rPr>
        <w:t>,</w:t>
      </w:r>
      <w:r w:rsidR="00F07837" w:rsidRPr="00092A03">
        <w:rPr>
          <w:rFonts w:ascii="ITC Avant Garde" w:hAnsi="ITC Avant Garde"/>
          <w:lang w:val="es-ES"/>
        </w:rPr>
        <w:t xml:space="preserve"> </w:t>
      </w:r>
      <w:r w:rsidRPr="00092A03">
        <w:rPr>
          <w:rFonts w:ascii="ITC Avant Garde" w:hAnsi="ITC Avant Garde"/>
          <w:lang w:val="es-ES"/>
        </w:rPr>
        <w:t>las redes fijas y móviles se modela</w:t>
      </w:r>
      <w:r w:rsidR="00516347" w:rsidRPr="00092A03">
        <w:rPr>
          <w:rFonts w:ascii="ITC Avant Garde" w:hAnsi="ITC Avant Garde"/>
          <w:lang w:val="es-ES"/>
        </w:rPr>
        <w:t>rá</w:t>
      </w:r>
      <w:r w:rsidRPr="00092A03">
        <w:rPr>
          <w:rFonts w:ascii="ITC Avant Garde" w:hAnsi="ITC Avant Garde"/>
          <w:lang w:val="es-ES"/>
        </w:rPr>
        <w:t xml:space="preserve">n siguiendo un enfoque </w:t>
      </w:r>
      <w:proofErr w:type="spellStart"/>
      <w:r w:rsidRPr="00092A03">
        <w:rPr>
          <w:rFonts w:ascii="ITC Avant Garde" w:hAnsi="ITC Avant Garde"/>
          <w:lang w:val="es-ES"/>
        </w:rPr>
        <w:t>scorched</w:t>
      </w:r>
      <w:proofErr w:type="spellEnd"/>
      <w:r w:rsidRPr="00092A03">
        <w:rPr>
          <w:rFonts w:ascii="ITC Avant Garde" w:hAnsi="ITC Avant Garde"/>
          <w:lang w:val="es-ES"/>
        </w:rPr>
        <w:t xml:space="preserve"> </w:t>
      </w:r>
      <w:proofErr w:type="spellStart"/>
      <w:r w:rsidRPr="00092A03">
        <w:rPr>
          <w:rFonts w:ascii="ITC Avant Garde" w:hAnsi="ITC Avant Garde"/>
          <w:lang w:val="es-ES"/>
        </w:rPr>
        <w:t>earth</w:t>
      </w:r>
      <w:proofErr w:type="spellEnd"/>
      <w:r w:rsidRPr="00092A03">
        <w:rPr>
          <w:rFonts w:ascii="ITC Avant Garde" w:hAnsi="ITC Avant Garde"/>
          <w:lang w:val="es-ES"/>
        </w:rPr>
        <w:t>, el cual se calibra</w:t>
      </w:r>
      <w:r w:rsidR="00516347" w:rsidRPr="00092A03">
        <w:rPr>
          <w:rFonts w:ascii="ITC Avant Garde" w:hAnsi="ITC Avant Garde"/>
          <w:lang w:val="es-ES"/>
        </w:rPr>
        <w:t>rá</w:t>
      </w:r>
      <w:r w:rsidR="00B56A98" w:rsidRPr="00092A03">
        <w:rPr>
          <w:rFonts w:ascii="ITC Avant Garde" w:hAnsi="ITC Avant Garde"/>
          <w:lang w:val="es-ES"/>
        </w:rPr>
        <w:t xml:space="preserve"> con los datos </w:t>
      </w:r>
      <w:r w:rsidR="007A6EED" w:rsidRPr="00092A03">
        <w:rPr>
          <w:rFonts w:ascii="ITC Avant Garde" w:hAnsi="ITC Avant Garde"/>
          <w:lang w:val="es-ES"/>
        </w:rPr>
        <w:t xml:space="preserve">de red </w:t>
      </w:r>
      <w:r w:rsidR="00B56A98" w:rsidRPr="00092A03">
        <w:rPr>
          <w:rFonts w:ascii="ITC Avant Garde" w:hAnsi="ITC Avant Garde"/>
          <w:lang w:val="es-ES"/>
        </w:rPr>
        <w:t>pr</w:t>
      </w:r>
      <w:r w:rsidR="007A6EED" w:rsidRPr="00092A03">
        <w:rPr>
          <w:rFonts w:ascii="ITC Avant Garde" w:hAnsi="ITC Avant Garde"/>
          <w:lang w:val="es-ES"/>
        </w:rPr>
        <w:t>oporcionados por los operadores</w:t>
      </w:r>
      <w:r w:rsidRPr="00092A03">
        <w:rPr>
          <w:rFonts w:ascii="ITC Avant Garde" w:hAnsi="ITC Avant Garde"/>
          <w:lang w:val="es-ES"/>
        </w:rPr>
        <w:t>.</w:t>
      </w:r>
    </w:p>
    <w:p w14:paraId="6473E90F" w14:textId="77777777" w:rsidR="007D6888" w:rsidRPr="00092A03" w:rsidRDefault="007D6888" w:rsidP="007D6888">
      <w:pPr>
        <w:pStyle w:val="Ttulo4"/>
        <w:rPr>
          <w:rFonts w:ascii="ITC Avant Garde" w:hAnsi="ITC Avant Garde"/>
        </w:rPr>
      </w:pPr>
      <w:bookmarkStart w:id="18" w:name="_Ref329160462"/>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bookmarkEnd w:id="15"/>
    <w:bookmarkEnd w:id="16"/>
    <w:bookmarkEnd w:id="17"/>
    <w:bookmarkEnd w:id="18"/>
    <w:p w14:paraId="78613DD9" w14:textId="785300EA" w:rsidR="007169FE" w:rsidRPr="00092A03" w:rsidRDefault="007169FE" w:rsidP="007169FE">
      <w:pPr>
        <w:spacing w:after="100" w:afterAutospacing="1"/>
        <w:rPr>
          <w:rFonts w:ascii="ITC Avant Garde" w:hAnsi="ITC Avant Garde"/>
          <w:spacing w:val="-4"/>
          <w:lang w:val="es-ES"/>
        </w:rPr>
      </w:pPr>
      <w:r w:rsidRPr="00092A03">
        <w:rPr>
          <w:rFonts w:ascii="ITC Avant Garde" w:hAnsi="ITC Avant Garde"/>
          <w:lang w:val="es-ES"/>
        </w:rPr>
        <w:t xml:space="preserve">Este concepto no fue considerado como parte de la consulta ya que dicho concepto está definido en el “ACUERDO mediante el cual el Pleno del Instituto Federal de Telecomunicaciones emite la metodología para el cálculo de costos de </w:t>
      </w:r>
      <w:r w:rsidRPr="00092A03">
        <w:rPr>
          <w:rFonts w:ascii="ITC Avant Garde" w:hAnsi="ITC Avant Garde"/>
          <w:lang w:val="es-ES"/>
        </w:rPr>
        <w:lastRenderedPageBreak/>
        <w:t>interconexión de conformidad con la Ley Federal de Tel</w:t>
      </w:r>
      <w:r w:rsidR="005C62E9" w:rsidRPr="00092A03">
        <w:rPr>
          <w:rFonts w:ascii="ITC Avant Garde" w:hAnsi="ITC Avant Garde"/>
          <w:lang w:val="es-ES"/>
        </w:rPr>
        <w:t>ecomunicaciones y Radiodifusión</w:t>
      </w:r>
      <w:r w:rsidRPr="00092A03">
        <w:rPr>
          <w:rFonts w:ascii="ITC Avant Garde" w:hAnsi="ITC Avant Garde"/>
          <w:lang w:val="es-ES"/>
        </w:rPr>
        <w:t>”, aprobado mediante Acuerdo P/IFT/EXT/161214/277 (en lo sucesivo, la “Metodología de Costos”).</w:t>
      </w:r>
    </w:p>
    <w:p w14:paraId="6FF93BA5" w14:textId="77777777" w:rsidR="0020144F"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C458BA"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15</w:t>
      </w:r>
      <w:r w:rsidR="00CB05BF" w:rsidRPr="00092A03">
        <w:rPr>
          <w:rFonts w:ascii="ITC Avant Garde" w:hAnsi="ITC Avant Garde"/>
        </w:rPr>
        <w:fldChar w:fldCharType="end"/>
      </w:r>
    </w:p>
    <w:p w14:paraId="64300F97" w14:textId="47722342" w:rsidR="00C458BA" w:rsidRPr="00092A03" w:rsidRDefault="00C458BA" w:rsidP="0020144F">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El operador modelado debe proporcionar todos los servicios comunes </w:t>
      </w:r>
      <w:r w:rsidR="005F044C" w:rsidRPr="00092A03">
        <w:rPr>
          <w:rFonts w:ascii="ITC Avant Garde" w:hAnsi="ITC Avant Garde"/>
          <w:lang w:val="es-ES"/>
        </w:rPr>
        <w:t>que no son de voz</w:t>
      </w:r>
      <w:r w:rsidRPr="00092A03">
        <w:rPr>
          <w:rFonts w:ascii="ITC Avant Garde" w:hAnsi="ITC Avant Garde"/>
          <w:lang w:val="es-ES"/>
        </w:rPr>
        <w:t xml:space="preserve"> (existentes y en el futuro) disponibles en México (acceso de banda ancha, SMS fijos y móviles, enlaces dedicados), así como los servicios de voz (originación y terminación de voz, </w:t>
      </w:r>
      <w:proofErr w:type="spellStart"/>
      <w:r w:rsidRPr="00092A03">
        <w:rPr>
          <w:rFonts w:ascii="ITC Avant Garde" w:hAnsi="ITC Avant Garde"/>
          <w:lang w:val="es-ES"/>
        </w:rPr>
        <w:t>VoIP</w:t>
      </w:r>
      <w:proofErr w:type="spellEnd"/>
      <w:r w:rsidRPr="00092A03">
        <w:rPr>
          <w:rFonts w:ascii="ITC Avant Garde" w:hAnsi="ITC Avant Garde"/>
          <w:lang w:val="es-ES"/>
        </w:rPr>
        <w:t>, tránsito e interconexión)</w:t>
      </w:r>
      <w:r w:rsidR="005B4A34" w:rsidRPr="00092A03">
        <w:rPr>
          <w:rFonts w:ascii="ITC Avant Garde" w:hAnsi="ITC Avant Garde"/>
          <w:lang w:val="es-ES"/>
        </w:rPr>
        <w:t xml:space="preserve"> que tengan volúmenes de tráfico relevante</w:t>
      </w:r>
      <w:r w:rsidRPr="00092A03">
        <w:rPr>
          <w:rFonts w:ascii="ITC Avant Garde" w:hAnsi="ITC Avant Garde"/>
          <w:lang w:val="es-ES"/>
        </w:rPr>
        <w:t>. El operador hipotético tendrá un perfil de tráfico</w:t>
      </w:r>
      <w:r w:rsidR="00CD1E21" w:rsidRPr="00092A03">
        <w:rPr>
          <w:rFonts w:ascii="ITC Avant Garde" w:hAnsi="ITC Avant Garde"/>
          <w:lang w:val="es-ES"/>
        </w:rPr>
        <w:t xml:space="preserve"> por servicio</w:t>
      </w:r>
      <w:r w:rsidRPr="00092A03">
        <w:rPr>
          <w:rFonts w:ascii="ITC Avant Garde" w:hAnsi="ITC Avant Garde"/>
          <w:lang w:val="es-ES"/>
        </w:rPr>
        <w:t xml:space="preserve"> igual al promedio del mercado</w:t>
      </w:r>
      <w:r w:rsidR="00CD1E21" w:rsidRPr="00092A03">
        <w:rPr>
          <w:rFonts w:ascii="ITC Avant Garde" w:hAnsi="ITC Avant Garde"/>
          <w:lang w:val="es-ES"/>
        </w:rPr>
        <w:t xml:space="preserve"> basado</w:t>
      </w:r>
      <w:r w:rsidRPr="00092A03">
        <w:rPr>
          <w:rFonts w:ascii="ITC Avant Garde" w:hAnsi="ITC Avant Garde"/>
          <w:lang w:val="es-ES"/>
        </w:rPr>
        <w:t xml:space="preserve"> en las estadísticas de tráfico proporcionadas por </w:t>
      </w:r>
      <w:r w:rsidR="006A5EAF" w:rsidRPr="00092A03">
        <w:rPr>
          <w:rFonts w:ascii="ITC Avant Garde" w:hAnsi="ITC Avant Garde"/>
          <w:lang w:val="es-ES"/>
        </w:rPr>
        <w:t>el IFT</w:t>
      </w:r>
      <w:r w:rsidRPr="00092A03">
        <w:rPr>
          <w:rFonts w:ascii="ITC Avant Garde" w:hAnsi="ITC Avant Garde"/>
          <w:lang w:val="es-ES"/>
        </w:rPr>
        <w:t>.</w:t>
      </w:r>
    </w:p>
    <w:p w14:paraId="22D312DC"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16875731" w14:textId="5CAC8838" w:rsidR="000D6224" w:rsidRPr="00092A03" w:rsidRDefault="000D6224" w:rsidP="000D6224">
      <w:pPr>
        <w:rPr>
          <w:rFonts w:ascii="ITC Avant Garde" w:hAnsi="ITC Avant Garde"/>
          <w:lang w:val="es-ES_tradnl"/>
        </w:rPr>
      </w:pPr>
      <w:r w:rsidRPr="00092A03">
        <w:rPr>
          <w:rFonts w:ascii="ITC Avant Garde" w:hAnsi="ITC Avant Garde"/>
          <w:lang w:val="es-ES_tradnl"/>
        </w:rPr>
        <w:t>En términos generales, Mega Cable está de acuerdo con la mayoría de los servicios modelados. Sin embargo, añade alguna aclaración:</w:t>
      </w:r>
    </w:p>
    <w:p w14:paraId="6128C166" w14:textId="77777777" w:rsidR="000D6224" w:rsidRPr="00092A03" w:rsidRDefault="000D6224" w:rsidP="000D6224">
      <w:pPr>
        <w:pStyle w:val="Listaconvietas"/>
        <w:rPr>
          <w:rFonts w:ascii="ITC Avant Garde" w:hAnsi="ITC Avant Garde"/>
          <w:lang w:val="es-ES_tradnl"/>
        </w:rPr>
      </w:pPr>
      <w:r w:rsidRPr="00092A03">
        <w:rPr>
          <w:rFonts w:ascii="ITC Avant Garde" w:hAnsi="ITC Avant Garde"/>
          <w:lang w:val="es-ES_tradnl"/>
        </w:rPr>
        <w:t>Mega Cable indica que es incongruente asignar volúmenes de tráfico al operador no preponderante en servicios que no suelen o no tienen la capacidad de prestar como originación, tránsito o arrendamiento de enlaces.</w:t>
      </w:r>
    </w:p>
    <w:p w14:paraId="739054A5" w14:textId="77777777" w:rsidR="000D6224" w:rsidRPr="00092A03" w:rsidRDefault="000D6224" w:rsidP="000D6224">
      <w:pPr>
        <w:pStyle w:val="Listaconvietas"/>
        <w:rPr>
          <w:rFonts w:ascii="ITC Avant Garde" w:hAnsi="ITC Avant Garde"/>
          <w:lang w:val="es-ES_tradnl"/>
        </w:rPr>
      </w:pPr>
      <w:r w:rsidRPr="00092A03">
        <w:rPr>
          <w:rFonts w:ascii="ITC Avant Garde" w:hAnsi="ITC Avant Garde"/>
          <w:lang w:val="es-ES_tradnl"/>
        </w:rPr>
        <w:t>Mega Cable cuestiona nuevamente que no se haya modelado un operador no preponderante con una red de cable coaxial o HFC.</w:t>
      </w:r>
    </w:p>
    <w:p w14:paraId="030C420B" w14:textId="7AECF7CC" w:rsidR="00F35F0C" w:rsidRPr="00092A03" w:rsidRDefault="002B648A" w:rsidP="00F35F0C">
      <w:pPr>
        <w:pStyle w:val="Ttulo4"/>
        <w:rPr>
          <w:rFonts w:ascii="ITC Avant Garde" w:hAnsi="ITC Avant Garde"/>
          <w:b/>
          <w:lang w:val="es-ES"/>
        </w:rPr>
      </w:pPr>
      <w:r w:rsidRPr="00092A03">
        <w:rPr>
          <w:rFonts w:ascii="ITC Avant Garde" w:hAnsi="ITC Avant Garde"/>
          <w:b/>
          <w:lang w:val="es-ES"/>
        </w:rPr>
        <w:t>Consideraciones del Instituto</w:t>
      </w:r>
    </w:p>
    <w:p w14:paraId="37769C7C" w14:textId="5C5E02E8" w:rsidR="006C7C08" w:rsidRPr="00092A03" w:rsidRDefault="006C7C08" w:rsidP="0020144F">
      <w:pPr>
        <w:rPr>
          <w:rFonts w:ascii="ITC Avant Garde" w:hAnsi="ITC Avant Garde"/>
          <w:spacing w:val="-4"/>
          <w:lang w:val="es-ES"/>
        </w:rPr>
      </w:pPr>
      <w:r w:rsidRPr="00092A03">
        <w:rPr>
          <w:rFonts w:ascii="ITC Avant Garde" w:hAnsi="ITC Avant Garde"/>
          <w:spacing w:val="-4"/>
          <w:lang w:val="es-ES"/>
        </w:rPr>
        <w:t>Es importante recordar que los modelos son representaciones de la realidad, y no tienen como objetivo reflejar de forma fidedigna a los operadores reales, sino calcular los costos incurridos por un operador hipotético. En este contexto, es difícil, por no decir imposible, que un modelo reproduzca todas las casuísticas a las que se enfrenta un operador en su día a día</w:t>
      </w:r>
    </w:p>
    <w:p w14:paraId="0E175356" w14:textId="76A7FDFE" w:rsidR="0020144F" w:rsidRPr="00092A03" w:rsidRDefault="0020144F" w:rsidP="0020144F">
      <w:pPr>
        <w:rPr>
          <w:lang w:val="es-ES"/>
        </w:rPr>
      </w:pPr>
      <w:r w:rsidRPr="00092A03">
        <w:rPr>
          <w:rFonts w:ascii="ITC Avant Garde" w:hAnsi="ITC Avant Garde"/>
          <w:spacing w:val="-4"/>
          <w:lang w:val="es-ES"/>
        </w:rPr>
        <w:t>Cabe indicar que la tecnología moderna eficiente es fibra, y no HFC. En efecto, los nuevos despliegues – incluso los de los operadores con redes HFC – se basan en fibra. Por tanto, y en cumplimiento de los lineamientos, que recogen el uso de</w:t>
      </w:r>
      <w:r w:rsidRPr="00092A03">
        <w:rPr>
          <w:rFonts w:ascii="ITC Avant Garde" w:hAnsi="ITC Avant Garde"/>
          <w:lang w:val="es-ES"/>
        </w:rPr>
        <w:t xml:space="preserve"> </w:t>
      </w:r>
      <w:r w:rsidRPr="00092A03">
        <w:rPr>
          <w:rFonts w:ascii="ITC Avant Garde" w:hAnsi="ITC Avant Garde"/>
          <w:spacing w:val="-4"/>
          <w:lang w:val="es-ES"/>
        </w:rPr>
        <w:t>las tecnologías eficientes disponibles dentro del periodo utilizado en el modelo, se utilizará una red NGN IP a nivel nacional.</w:t>
      </w:r>
    </w:p>
    <w:p w14:paraId="7BE9E317" w14:textId="77777777" w:rsidR="006C7C08"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lastRenderedPageBreak/>
        <w:t>Concepto propuesto</w:t>
      </w:r>
      <w:r w:rsidR="00C458BA"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16</w:t>
      </w:r>
      <w:r w:rsidR="00CB05BF" w:rsidRPr="00092A03">
        <w:rPr>
          <w:rFonts w:ascii="ITC Avant Garde" w:hAnsi="ITC Avant Garde"/>
        </w:rPr>
        <w:fldChar w:fldCharType="end"/>
      </w:r>
    </w:p>
    <w:p w14:paraId="457FF59D" w14:textId="56B9D926" w:rsidR="00C458BA" w:rsidRPr="00092A03" w:rsidRDefault="00C458BA" w:rsidP="006C7C08">
      <w:pPr>
        <w:pStyle w:val="B1"/>
        <w:pBdr>
          <w:top w:val="single" w:sz="4" w:space="2" w:color="D9D9D9" w:themeColor="background1" w:themeShade="D9"/>
          <w:bottom w:val="single" w:sz="4" w:space="5" w:color="D9D9D9" w:themeColor="background1" w:themeShade="D9"/>
        </w:pBdr>
        <w:ind w:left="0" w:right="0"/>
        <w:rPr>
          <w:rFonts w:ascii="ITC Avant Garde" w:hAnsi="ITC Avant Garde"/>
          <w:spacing w:val="-4"/>
          <w:lang w:val="es-ES"/>
        </w:rPr>
      </w:pPr>
      <w:r w:rsidRPr="00092A03">
        <w:rPr>
          <w:rFonts w:ascii="ITC Avant Garde" w:hAnsi="ITC Avant Garde"/>
          <w:spacing w:val="-4"/>
          <w:lang w:val="es-ES"/>
        </w:rPr>
        <w:t xml:space="preserve">El tráfico generado </w:t>
      </w:r>
      <w:r w:rsidR="00180942" w:rsidRPr="00092A03">
        <w:rPr>
          <w:rFonts w:ascii="ITC Avant Garde" w:hAnsi="ITC Avant Garde"/>
          <w:spacing w:val="-4"/>
          <w:lang w:val="es-ES"/>
        </w:rPr>
        <w:t>por las líneas ISDN se incluirá</w:t>
      </w:r>
      <w:r w:rsidRPr="00092A03">
        <w:rPr>
          <w:rFonts w:ascii="ITC Avant Garde" w:hAnsi="ITC Avant Garde"/>
          <w:spacing w:val="-4"/>
          <w:lang w:val="es-ES"/>
        </w:rPr>
        <w:t xml:space="preserve"> en los servicios </w:t>
      </w:r>
      <w:r w:rsidR="005E78DF" w:rsidRPr="00092A03">
        <w:rPr>
          <w:rFonts w:ascii="ITC Avant Garde" w:hAnsi="ITC Avant Garde"/>
          <w:spacing w:val="-4"/>
          <w:lang w:val="es-ES"/>
        </w:rPr>
        <w:t xml:space="preserve">fijos </w:t>
      </w:r>
      <w:r w:rsidR="00D30256" w:rsidRPr="00092A03">
        <w:rPr>
          <w:rFonts w:ascii="ITC Avant Garde" w:hAnsi="ITC Avant Garde"/>
          <w:spacing w:val="-4"/>
          <w:lang w:val="es-ES"/>
        </w:rPr>
        <w:t>de voz, es decir, no hay</w:t>
      </w:r>
      <w:r w:rsidRPr="00092A03">
        <w:rPr>
          <w:rFonts w:ascii="ITC Avant Garde" w:hAnsi="ITC Avant Garde"/>
          <w:spacing w:val="-4"/>
          <w:lang w:val="es-ES"/>
        </w:rPr>
        <w:t xml:space="preserve"> servicios específicos de voz ISDN.</w:t>
      </w:r>
    </w:p>
    <w:p w14:paraId="58FE623F" w14:textId="77777777" w:rsidR="00F35F0C" w:rsidRPr="00092A03" w:rsidRDefault="00F35F0C" w:rsidP="006C7C08">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4E50DA29" w14:textId="77777777" w:rsidR="00103E48" w:rsidRPr="00092A03" w:rsidRDefault="00F35F0C" w:rsidP="006C7C08">
      <w:pPr>
        <w:rPr>
          <w:rFonts w:ascii="ITC Avant Garde" w:hAnsi="ITC Avant Garde"/>
          <w:lang w:val="es-ES"/>
        </w:rPr>
      </w:pPr>
      <w:r w:rsidRPr="00092A03">
        <w:rPr>
          <w:rFonts w:ascii="ITC Avant Garde" w:hAnsi="ITC Avant Garde"/>
          <w:lang w:val="es-ES"/>
        </w:rPr>
        <w:t>No se ha recibido ningún comentario relacionado con este concepto.</w:t>
      </w:r>
    </w:p>
    <w:p w14:paraId="0FA3183F" w14:textId="2AD44ACC" w:rsidR="006C7C08"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725054"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17</w:t>
      </w:r>
      <w:r w:rsidR="00CB05BF" w:rsidRPr="00092A03">
        <w:rPr>
          <w:rFonts w:ascii="ITC Avant Garde" w:hAnsi="ITC Avant Garde"/>
        </w:rPr>
        <w:fldChar w:fldCharType="end"/>
      </w:r>
      <w:r w:rsidR="00725054" w:rsidRPr="00092A03">
        <w:rPr>
          <w:rFonts w:ascii="ITC Avant Garde" w:hAnsi="ITC Avant Garde"/>
          <w:lang w:val="es-MX"/>
        </w:rPr>
        <w:t xml:space="preserve"> </w:t>
      </w:r>
    </w:p>
    <w:p w14:paraId="117EC146" w14:textId="7EE5E86C" w:rsidR="00725054" w:rsidRPr="00092A03" w:rsidRDefault="00725054" w:rsidP="006C7C08">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Los enlaces dedicados y la televisión a través de redes fijas se identificarán de forma separada en el modelo. </w:t>
      </w:r>
      <w:r w:rsidR="000107F3" w:rsidRPr="00092A03">
        <w:rPr>
          <w:rFonts w:ascii="ITC Avant Garde" w:hAnsi="ITC Avant Garde"/>
          <w:lang w:val="es-ES"/>
        </w:rPr>
        <w:t>L</w:t>
      </w:r>
      <w:r w:rsidRPr="00092A03">
        <w:rPr>
          <w:rFonts w:ascii="ITC Avant Garde" w:hAnsi="ITC Avant Garde"/>
          <w:lang w:val="es-ES"/>
        </w:rPr>
        <w:t xml:space="preserve">a televisión </w:t>
      </w:r>
      <w:r w:rsidR="00184D66" w:rsidRPr="00092A03">
        <w:rPr>
          <w:rFonts w:ascii="ITC Avant Garde" w:hAnsi="ITC Avant Garde"/>
          <w:lang w:val="es-ES"/>
        </w:rPr>
        <w:t xml:space="preserve">se incluirá como un servicio del operador alternativo </w:t>
      </w:r>
      <w:r w:rsidR="00D977C5" w:rsidRPr="00092A03">
        <w:rPr>
          <w:rFonts w:ascii="ITC Avant Garde" w:hAnsi="ITC Avant Garde"/>
          <w:lang w:val="es-ES"/>
        </w:rPr>
        <w:t>hipotético,</w:t>
      </w:r>
      <w:r w:rsidR="00184D66" w:rsidRPr="00092A03">
        <w:rPr>
          <w:rFonts w:ascii="ITC Avant Garde" w:hAnsi="ITC Avant Garde"/>
          <w:lang w:val="es-ES"/>
        </w:rPr>
        <w:t xml:space="preserve"> pero se excluirá de</w:t>
      </w:r>
      <w:r w:rsidR="00CB5285" w:rsidRPr="00092A03">
        <w:rPr>
          <w:rFonts w:ascii="ITC Avant Garde" w:hAnsi="ITC Avant Garde"/>
          <w:lang w:val="es-ES"/>
        </w:rPr>
        <w:t>l elenco de servicios que presta</w:t>
      </w:r>
      <w:r w:rsidR="00184D66" w:rsidRPr="00092A03">
        <w:rPr>
          <w:rFonts w:ascii="ITC Avant Garde" w:hAnsi="ITC Avant Garde"/>
          <w:lang w:val="es-ES"/>
        </w:rPr>
        <w:t xml:space="preserve"> el operador hipotético</w:t>
      </w:r>
      <w:r w:rsidR="00CB5285" w:rsidRPr="00092A03">
        <w:rPr>
          <w:rFonts w:ascii="ITC Avant Garde" w:hAnsi="ITC Avant Garde"/>
          <w:lang w:val="es-ES"/>
        </w:rPr>
        <w:t xml:space="preserve"> con la escala y alcance del AEP</w:t>
      </w:r>
      <w:r w:rsidR="000107F3" w:rsidRPr="00092A03">
        <w:rPr>
          <w:rFonts w:ascii="ITC Avant Garde" w:hAnsi="ITC Avant Garde"/>
          <w:lang w:val="es-ES"/>
        </w:rPr>
        <w:t>.</w:t>
      </w:r>
    </w:p>
    <w:p w14:paraId="331AB653" w14:textId="77777777" w:rsidR="00F35F0C" w:rsidRPr="00092A03" w:rsidRDefault="00F35F0C" w:rsidP="00F35F0C">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22D16C44" w14:textId="77777777" w:rsidR="00F35F0C" w:rsidRPr="00092A03" w:rsidRDefault="00F35F0C" w:rsidP="00F35F0C">
      <w:pPr>
        <w:rPr>
          <w:rFonts w:ascii="ITC Avant Garde" w:hAnsi="ITC Avant Garde"/>
          <w:lang w:val="es-ES"/>
        </w:rPr>
      </w:pPr>
      <w:r w:rsidRPr="00092A03">
        <w:rPr>
          <w:rFonts w:ascii="ITC Avant Garde" w:hAnsi="ITC Avant Garde"/>
          <w:lang w:val="es-ES"/>
        </w:rPr>
        <w:t>No se ha recibido ningún comentario relacionado con este concepto.</w:t>
      </w:r>
    </w:p>
    <w:p w14:paraId="1435F17F" w14:textId="77777777" w:rsidR="00840C64" w:rsidRPr="00092A03" w:rsidRDefault="0043475A" w:rsidP="002B648A">
      <w:pPr>
        <w:pStyle w:val="Ttulo2"/>
        <w:numPr>
          <w:ilvl w:val="0"/>
          <w:numId w:val="0"/>
        </w:numPr>
        <w:rPr>
          <w:rFonts w:ascii="ITC Avant Garde" w:hAnsi="ITC Avant Garde"/>
          <w:lang w:val="es-MX"/>
        </w:rPr>
      </w:pPr>
      <w:bookmarkStart w:id="19" w:name="_Ref321212356"/>
      <w:r w:rsidRPr="00092A03">
        <w:rPr>
          <w:rFonts w:ascii="ITC Avant Garde" w:hAnsi="ITC Avant Garde"/>
          <w:lang w:val="es-MX"/>
        </w:rPr>
        <w:t>Concepto propuesto</w:t>
      </w:r>
      <w:r w:rsidR="00C458BA"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18</w:t>
      </w:r>
      <w:r w:rsidR="00CB05BF" w:rsidRPr="00092A03">
        <w:rPr>
          <w:rFonts w:ascii="ITC Avant Garde" w:hAnsi="ITC Avant Garde"/>
        </w:rPr>
        <w:fldChar w:fldCharType="end"/>
      </w:r>
    </w:p>
    <w:p w14:paraId="421B7837" w14:textId="747E42C4" w:rsidR="00C458BA" w:rsidRPr="00092A03" w:rsidRDefault="00C458BA"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Se agregarán los servicios de tráfico móvil para las diferentes clases de suscriptores (</w:t>
      </w:r>
      <w:r w:rsidR="001C7F02" w:rsidRPr="00092A03">
        <w:rPr>
          <w:rFonts w:ascii="ITC Avant Garde" w:hAnsi="ITC Avant Garde"/>
          <w:lang w:val="es-ES"/>
        </w:rPr>
        <w:t>ej.</w:t>
      </w:r>
      <w:r w:rsidRPr="00092A03">
        <w:rPr>
          <w:rFonts w:ascii="ITC Avant Garde" w:hAnsi="ITC Avant Garde"/>
          <w:lang w:val="es-ES"/>
        </w:rPr>
        <w:t xml:space="preserve">, venta minorista, </w:t>
      </w:r>
      <w:proofErr w:type="spellStart"/>
      <w:r w:rsidRPr="00092A03">
        <w:rPr>
          <w:rFonts w:ascii="ITC Avant Garde" w:hAnsi="ITC Avant Garde"/>
          <w:i/>
          <w:lang w:val="es-ES"/>
        </w:rPr>
        <w:t>inbound</w:t>
      </w:r>
      <w:proofErr w:type="spellEnd"/>
      <w:r w:rsidRPr="00092A03">
        <w:rPr>
          <w:rFonts w:ascii="ITC Avant Garde" w:hAnsi="ITC Avant Garde"/>
          <w:i/>
          <w:lang w:val="es-ES"/>
        </w:rPr>
        <w:t xml:space="preserve"> </w:t>
      </w:r>
      <w:proofErr w:type="spellStart"/>
      <w:r w:rsidRPr="00092A03">
        <w:rPr>
          <w:rFonts w:ascii="ITC Avant Garde" w:hAnsi="ITC Avant Garde"/>
          <w:i/>
          <w:lang w:val="es-ES"/>
        </w:rPr>
        <w:t>roamer</w:t>
      </w:r>
      <w:proofErr w:type="spellEnd"/>
      <w:r w:rsidRPr="00092A03">
        <w:rPr>
          <w:rFonts w:ascii="ITC Avant Garde" w:hAnsi="ITC Avant Garde"/>
          <w:lang w:val="es-ES"/>
        </w:rPr>
        <w:t xml:space="preserve">) para identificar los </w:t>
      </w:r>
      <w:r w:rsidR="00CE4B8A" w:rsidRPr="00092A03">
        <w:rPr>
          <w:rFonts w:ascii="ITC Avant Garde" w:hAnsi="ITC Avant Garde"/>
          <w:lang w:val="es-ES"/>
        </w:rPr>
        <w:t>costo</w:t>
      </w:r>
      <w:r w:rsidRPr="00092A03">
        <w:rPr>
          <w:rFonts w:ascii="ITC Avant Garde" w:hAnsi="ITC Avant Garde"/>
          <w:lang w:val="es-ES"/>
        </w:rPr>
        <w:t>s subyacentes del tráfico de red en el modelo móvil.</w:t>
      </w:r>
    </w:p>
    <w:p w14:paraId="32DFBF8E" w14:textId="77777777" w:rsidR="001F3285" w:rsidRPr="00092A03" w:rsidRDefault="001F3285" w:rsidP="001F3285">
      <w:pPr>
        <w:pStyle w:val="Ttulo4"/>
        <w:rPr>
          <w:rFonts w:ascii="ITC Avant Garde" w:hAnsi="ITC Avant Garde"/>
        </w:rPr>
      </w:pPr>
      <w:bookmarkStart w:id="20" w:name="_Toc329109189"/>
      <w:bookmarkStart w:id="21" w:name="_Toc329109227"/>
      <w:bookmarkEnd w:id="20"/>
      <w:bookmarkEnd w:id="21"/>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4CC481CD" w14:textId="77777777" w:rsidR="001F3285" w:rsidRPr="00092A03" w:rsidRDefault="001F3285" w:rsidP="001F3285">
      <w:pPr>
        <w:rPr>
          <w:rFonts w:ascii="ITC Avant Garde" w:hAnsi="ITC Avant Garde"/>
          <w:lang w:val="es-ES"/>
        </w:rPr>
      </w:pPr>
      <w:r w:rsidRPr="00092A03">
        <w:rPr>
          <w:rFonts w:ascii="ITC Avant Garde" w:hAnsi="ITC Avant Garde"/>
          <w:lang w:val="es-ES"/>
        </w:rPr>
        <w:t>No se ha recibido ningún comentario relacionado con este concepto.</w:t>
      </w:r>
    </w:p>
    <w:p w14:paraId="2E0F6B7F" w14:textId="77777777" w:rsidR="00840C64" w:rsidRPr="00092A03" w:rsidRDefault="0043475A" w:rsidP="002B648A">
      <w:pPr>
        <w:pStyle w:val="Ttulo2"/>
        <w:numPr>
          <w:ilvl w:val="0"/>
          <w:numId w:val="0"/>
        </w:numPr>
        <w:rPr>
          <w:rFonts w:ascii="ITC Avant Garde" w:hAnsi="ITC Avant Garde"/>
          <w:lang w:val="es-MX"/>
        </w:rPr>
      </w:pPr>
      <w:bookmarkStart w:id="22" w:name="_Ref321212362"/>
      <w:bookmarkEnd w:id="19"/>
      <w:r w:rsidRPr="00092A03">
        <w:rPr>
          <w:rFonts w:ascii="ITC Avant Garde" w:hAnsi="ITC Avant Garde"/>
          <w:lang w:val="es-MX"/>
        </w:rPr>
        <w:t>Concepto propuesto</w:t>
      </w:r>
      <w:r w:rsidR="00725054"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19</w:t>
      </w:r>
      <w:r w:rsidR="00CB05BF" w:rsidRPr="00092A03">
        <w:rPr>
          <w:rFonts w:ascii="ITC Avant Garde" w:hAnsi="ITC Avant Garde"/>
        </w:rPr>
        <w:fldChar w:fldCharType="end"/>
      </w:r>
    </w:p>
    <w:p w14:paraId="2B674190" w14:textId="209BA88D" w:rsidR="00725054" w:rsidRPr="00092A03" w:rsidRDefault="00725054"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La previsión del perfil de tráfico del operador modelado </w:t>
      </w:r>
      <w:r w:rsidR="00180942" w:rsidRPr="00092A03">
        <w:rPr>
          <w:rFonts w:ascii="ITC Avant Garde" w:hAnsi="ITC Avant Garde"/>
          <w:lang w:val="es-ES"/>
        </w:rPr>
        <w:t>se basará</w:t>
      </w:r>
      <w:r w:rsidRPr="00092A03">
        <w:rPr>
          <w:rFonts w:ascii="ITC Avant Garde" w:hAnsi="ITC Avant Garde"/>
          <w:lang w:val="es-ES"/>
        </w:rPr>
        <w:t xml:space="preserve"> en el perfil de la media del mercado</w:t>
      </w:r>
      <w:r w:rsidR="005135A3" w:rsidRPr="00092A03">
        <w:rPr>
          <w:rFonts w:ascii="ITC Avant Garde" w:hAnsi="ITC Avant Garde"/>
          <w:lang w:val="es-ES"/>
        </w:rPr>
        <w:t>, es decir la base de suscriptores de cada operador tendrá el mismo perfil de uso</w:t>
      </w:r>
      <w:r w:rsidRPr="00092A03">
        <w:rPr>
          <w:rFonts w:ascii="ITC Avant Garde" w:hAnsi="ITC Avant Garde"/>
          <w:lang w:val="es-ES"/>
        </w:rPr>
        <w:t>.</w:t>
      </w:r>
    </w:p>
    <w:p w14:paraId="334AE8E9"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5BD603F1" w14:textId="38B53E84" w:rsidR="000D6224" w:rsidRPr="00092A03" w:rsidRDefault="000D6224" w:rsidP="000D6224">
      <w:pPr>
        <w:rPr>
          <w:rFonts w:ascii="ITC Avant Garde" w:hAnsi="ITC Avant Garde"/>
          <w:lang w:val="es-ES_tradnl"/>
        </w:rPr>
      </w:pPr>
      <w:r w:rsidRPr="00092A03">
        <w:rPr>
          <w:rFonts w:ascii="ITC Avant Garde" w:hAnsi="ITC Avant Garde"/>
          <w:lang w:val="es-ES_tradnl"/>
        </w:rPr>
        <w:t>Mega Cable considera que sería más adecuado utilizar el perfil de tráfico de cada operador</w:t>
      </w:r>
      <w:r w:rsidR="00B00B03" w:rsidRPr="00092A03">
        <w:rPr>
          <w:rFonts w:ascii="ITC Avant Garde" w:hAnsi="ITC Avant Garde"/>
          <w:lang w:val="es-ES_tradnl"/>
        </w:rPr>
        <w:t>,</w:t>
      </w:r>
      <w:r w:rsidRPr="00092A03">
        <w:rPr>
          <w:rFonts w:ascii="ITC Avant Garde" w:hAnsi="ITC Avant Garde"/>
          <w:lang w:val="es-ES_tradnl"/>
        </w:rPr>
        <w:t xml:space="preserve"> o al menos, excluir del cálculo el perfil de tráfico de los usuarios del operador preponderante, ya que adoptar la media del mercado equivaldría en un alto grado a adoptar el perfil de tráfico de los usuarios del operador preponderante.</w:t>
      </w:r>
    </w:p>
    <w:p w14:paraId="3C621176" w14:textId="666F57DD" w:rsidR="000F0607" w:rsidRPr="00092A03" w:rsidRDefault="000F0607" w:rsidP="000D6224">
      <w:pPr>
        <w:rPr>
          <w:rFonts w:ascii="ITC Avant Garde" w:hAnsi="ITC Avant Garde"/>
          <w:spacing w:val="-4"/>
          <w:lang w:val="es-ES"/>
        </w:rPr>
      </w:pPr>
      <w:r w:rsidRPr="00092A03">
        <w:rPr>
          <w:rFonts w:ascii="ITC Avant Garde" w:hAnsi="ITC Avant Garde"/>
          <w:lang w:val="es-ES_tradnl"/>
        </w:rPr>
        <w:lastRenderedPageBreak/>
        <w:t>Telefónica opina que no es consistente con la escala del operador que el perfil de tráfico esté calculado como la media del mercado, ya que, se debe tener en cuenta que los operadores alternativos tienen un perfil de tráfico inferior. Telefónica propone que el perfil de tráfico del operador modelado sea similar al de los operadores no preponderantes del mercado mexicano.</w:t>
      </w:r>
    </w:p>
    <w:p w14:paraId="1944BEB3" w14:textId="18616677" w:rsidR="007547B1" w:rsidRPr="00092A03" w:rsidRDefault="003357F4" w:rsidP="007547B1">
      <w:pPr>
        <w:rPr>
          <w:rFonts w:ascii="ITC Avant Garde" w:hAnsi="ITC Avant Garde"/>
          <w:lang w:val="es-ES_tradnl"/>
        </w:rPr>
      </w:pPr>
      <w:r w:rsidRPr="00092A03">
        <w:rPr>
          <w:rFonts w:ascii="ITC Avant Garde" w:hAnsi="ITC Avant Garde"/>
          <w:lang w:val="es-ES_tradnl"/>
        </w:rPr>
        <w:t xml:space="preserve">Por su parte, </w:t>
      </w:r>
      <w:r w:rsidR="00134E8F" w:rsidRPr="00092A03">
        <w:rPr>
          <w:rFonts w:ascii="ITC Avant Garde" w:hAnsi="ITC Avant Garde"/>
          <w:lang w:val="es-ES_tradnl"/>
        </w:rPr>
        <w:t>Grupo Televisa pide a</w:t>
      </w:r>
      <w:r w:rsidR="00092A03">
        <w:rPr>
          <w:rFonts w:ascii="ITC Avant Garde" w:hAnsi="ITC Avant Garde"/>
          <w:lang w:val="es-ES_tradnl"/>
        </w:rPr>
        <w:t>l</w:t>
      </w:r>
      <w:r w:rsidR="00134E8F" w:rsidRPr="00092A03">
        <w:rPr>
          <w:rFonts w:ascii="ITC Avant Garde" w:hAnsi="ITC Avant Garde"/>
          <w:lang w:val="es-ES_tradnl"/>
        </w:rPr>
        <w:t xml:space="preserve"> IFT que, para los pronósticos de tráfico originado y terminado</w:t>
      </w:r>
      <w:r w:rsidR="00306AD4" w:rsidRPr="00092A03">
        <w:rPr>
          <w:rFonts w:ascii="ITC Avant Garde" w:hAnsi="ITC Avant Garde"/>
          <w:lang w:val="es-ES_tradnl"/>
        </w:rPr>
        <w:t xml:space="preserve"> fijo</w:t>
      </w:r>
      <w:r w:rsidR="00134E8F" w:rsidRPr="00092A03">
        <w:rPr>
          <w:rFonts w:ascii="ITC Avant Garde" w:hAnsi="ITC Avant Garde"/>
          <w:lang w:val="es-ES_tradnl"/>
        </w:rPr>
        <w:t>, mantenga las tendencias y alcance volúmenes unitarios similares al modelo 2015-2016.</w:t>
      </w:r>
      <w:r w:rsidRPr="00092A03">
        <w:rPr>
          <w:rFonts w:ascii="ITC Avant Garde" w:hAnsi="ITC Avant Garde"/>
          <w:spacing w:val="-4"/>
          <w:lang w:val="es-ES"/>
        </w:rPr>
        <w:t xml:space="preserve"> </w:t>
      </w:r>
      <w:r w:rsidR="00306AD4" w:rsidRPr="00092A03">
        <w:rPr>
          <w:rFonts w:ascii="ITC Avant Garde" w:hAnsi="ITC Avant Garde"/>
          <w:lang w:val="es-ES_tradnl"/>
        </w:rPr>
        <w:t>También sobre los pronósticos</w:t>
      </w:r>
      <w:r w:rsidRPr="00092A03">
        <w:rPr>
          <w:rFonts w:ascii="ITC Avant Garde" w:hAnsi="ITC Avant Garde"/>
          <w:lang w:val="es-ES_tradnl"/>
        </w:rPr>
        <w:t xml:space="preserve">, </w:t>
      </w:r>
      <w:r w:rsidR="007547B1" w:rsidRPr="00092A03">
        <w:rPr>
          <w:rFonts w:ascii="ITC Avant Garde" w:hAnsi="ITC Avant Garde"/>
          <w:lang w:val="es-ES_tradnl"/>
        </w:rPr>
        <w:t xml:space="preserve">Telcel indica que no es correcto mantener los indicadores de tráfico constantes en el periodo 2025 a 2059. Indica además que habría que revisar las tecnologías consideradas, p.ej. la proporción de tráfico </w:t>
      </w:r>
      <w:proofErr w:type="spellStart"/>
      <w:r w:rsidR="007547B1" w:rsidRPr="00092A03">
        <w:rPr>
          <w:rFonts w:ascii="ITC Avant Garde" w:hAnsi="ITC Avant Garde"/>
          <w:lang w:val="es-ES_tradnl"/>
        </w:rPr>
        <w:t>Release</w:t>
      </w:r>
      <w:proofErr w:type="spellEnd"/>
      <w:r w:rsidR="007547B1" w:rsidRPr="00092A03">
        <w:rPr>
          <w:rFonts w:ascii="ITC Avant Garde" w:hAnsi="ITC Avant Garde"/>
          <w:lang w:val="es-ES_tradnl"/>
        </w:rPr>
        <w:t xml:space="preserve"> 99 sigue siendo del 15% en 2012, cuando</w:t>
      </w:r>
      <w:r w:rsidR="00AE40C1" w:rsidRPr="00092A03">
        <w:rPr>
          <w:rFonts w:ascii="ITC Avant Garde" w:hAnsi="ITC Avant Garde"/>
          <w:lang w:val="es-ES_tradnl"/>
        </w:rPr>
        <w:t xml:space="preserve"> el tráfico observado por este operador era mucho menor</w:t>
      </w:r>
      <w:r w:rsidR="007547B1" w:rsidRPr="00092A03">
        <w:rPr>
          <w:rFonts w:ascii="ITC Avant Garde" w:hAnsi="ITC Avant Garde"/>
          <w:lang w:val="es-ES_tradnl"/>
        </w:rPr>
        <w:t>, con una situación similar para EDGE y GPRS. Los datos deberían ser en su amplia mayoría HSPA, soportado por la amplia mayoría de los terminales.</w:t>
      </w:r>
    </w:p>
    <w:p w14:paraId="7D54A2E7" w14:textId="474EEED7" w:rsidR="00AE40C1" w:rsidRPr="00092A03" w:rsidRDefault="00C95979" w:rsidP="00AE40C1">
      <w:pPr>
        <w:rPr>
          <w:rFonts w:ascii="ITC Avant Garde" w:hAnsi="ITC Avant Garde"/>
          <w:lang w:val="es-ES_tradnl"/>
        </w:rPr>
      </w:pPr>
      <w:r w:rsidRPr="00092A03">
        <w:rPr>
          <w:rFonts w:ascii="ITC Avant Garde" w:hAnsi="ITC Avant Garde"/>
          <w:lang w:val="es-ES_tradnl"/>
        </w:rPr>
        <w:t>Telcel</w:t>
      </w:r>
      <w:r w:rsidR="007547B1" w:rsidRPr="00092A03">
        <w:rPr>
          <w:rFonts w:ascii="ITC Avant Garde" w:hAnsi="ITC Avant Garde"/>
          <w:lang w:val="es-ES_tradnl"/>
        </w:rPr>
        <w:t xml:space="preserve"> indica que en años recientes ha aumentado el tráfico móvil y, especialmente, de terminación, como indican los datos provistos. Esto es resultado, entre otros, </w:t>
      </w:r>
      <w:r w:rsidR="004E609A" w:rsidRPr="00092A03">
        <w:rPr>
          <w:rFonts w:ascii="ITC Avant Garde" w:hAnsi="ITC Avant Garde"/>
          <w:lang w:val="es-ES_tradnl"/>
        </w:rPr>
        <w:t>de</w:t>
      </w:r>
      <w:r w:rsidR="007547B1" w:rsidRPr="00092A03">
        <w:rPr>
          <w:rFonts w:ascii="ITC Avant Garde" w:hAnsi="ITC Avant Garde"/>
          <w:lang w:val="es-ES_tradnl"/>
        </w:rPr>
        <w:t xml:space="preserve"> los efectos de la regulación asimétrica</w:t>
      </w:r>
      <w:r w:rsidR="004E609A" w:rsidRPr="00092A03">
        <w:rPr>
          <w:rFonts w:ascii="ITC Avant Garde" w:hAnsi="ITC Avant Garde"/>
          <w:lang w:val="es-ES_tradnl"/>
        </w:rPr>
        <w:t>.</w:t>
      </w:r>
      <w:r w:rsidR="007547B1" w:rsidRPr="00092A03">
        <w:rPr>
          <w:rFonts w:ascii="ITC Avant Garde" w:hAnsi="ITC Avant Garde"/>
          <w:lang w:val="es-ES_tradnl"/>
        </w:rPr>
        <w:t xml:space="preserve"> </w:t>
      </w:r>
      <w:r w:rsidR="004E609A" w:rsidRPr="00092A03">
        <w:rPr>
          <w:rFonts w:ascii="ITC Avant Garde" w:hAnsi="ITC Avant Garde"/>
          <w:lang w:val="es-ES_tradnl"/>
        </w:rPr>
        <w:t xml:space="preserve">Por tanto, </w:t>
      </w:r>
      <w:r w:rsidR="00AE40C1" w:rsidRPr="00092A03">
        <w:rPr>
          <w:rFonts w:ascii="ITC Avant Garde" w:hAnsi="ITC Avant Garde"/>
          <w:lang w:val="es-ES_tradnl"/>
        </w:rPr>
        <w:t xml:space="preserve">las proyecciones a realizar por el IFT </w:t>
      </w:r>
      <w:r w:rsidR="004E609A" w:rsidRPr="00092A03">
        <w:rPr>
          <w:rFonts w:ascii="ITC Avant Garde" w:hAnsi="ITC Avant Garde"/>
          <w:lang w:val="es-ES_tradnl"/>
        </w:rPr>
        <w:t>deberán</w:t>
      </w:r>
      <w:r w:rsidR="00AE40C1" w:rsidRPr="00092A03">
        <w:rPr>
          <w:rFonts w:ascii="ITC Avant Garde" w:hAnsi="ITC Avant Garde"/>
          <w:lang w:val="es-ES_tradnl"/>
        </w:rPr>
        <w:t xml:space="preserve"> considerar el</w:t>
      </w:r>
      <w:r w:rsidR="004E609A" w:rsidRPr="00092A03">
        <w:rPr>
          <w:rFonts w:ascii="ITC Avant Garde" w:hAnsi="ITC Avant Garde"/>
          <w:lang w:val="es-ES_tradnl"/>
        </w:rPr>
        <w:t xml:space="preserve"> </w:t>
      </w:r>
      <w:r w:rsidR="00AE40C1" w:rsidRPr="00092A03">
        <w:rPr>
          <w:rFonts w:ascii="ITC Avant Garde" w:hAnsi="ITC Avant Garde"/>
          <w:lang w:val="es-ES_tradnl"/>
        </w:rPr>
        <w:t>cambio, aparentemente estructural, observado en dichas tendencias e incorporar el mismo como</w:t>
      </w:r>
      <w:r w:rsidR="004E609A" w:rsidRPr="00092A03">
        <w:rPr>
          <w:rFonts w:ascii="ITC Avant Garde" w:hAnsi="ITC Avant Garde"/>
          <w:lang w:val="es-ES_tradnl"/>
        </w:rPr>
        <w:t xml:space="preserve"> </w:t>
      </w:r>
      <w:r w:rsidR="00AE40C1" w:rsidRPr="00092A03">
        <w:rPr>
          <w:rFonts w:ascii="ITC Avant Garde" w:hAnsi="ITC Avant Garde"/>
          <w:lang w:val="es-ES_tradnl"/>
        </w:rPr>
        <w:t xml:space="preserve">un factor de mayor peso en el largo plazo que </w:t>
      </w:r>
      <w:r w:rsidR="004E609A" w:rsidRPr="00092A03">
        <w:rPr>
          <w:rFonts w:ascii="ITC Avant Garde" w:hAnsi="ITC Avant Garde"/>
          <w:lang w:val="es-ES_tradnl"/>
        </w:rPr>
        <w:t>el</w:t>
      </w:r>
      <w:r w:rsidR="00AE40C1" w:rsidRPr="00092A03">
        <w:rPr>
          <w:rFonts w:ascii="ITC Avant Garde" w:hAnsi="ITC Avant Garde"/>
          <w:lang w:val="es-ES_tradnl"/>
        </w:rPr>
        <w:t xml:space="preserve"> hist</w:t>
      </w:r>
      <w:r w:rsidR="004E609A" w:rsidRPr="00092A03">
        <w:rPr>
          <w:rFonts w:ascii="ITC Avant Garde" w:hAnsi="ITC Avant Garde"/>
          <w:lang w:val="es-ES_tradnl"/>
        </w:rPr>
        <w:t>órico</w:t>
      </w:r>
      <w:r w:rsidR="00AE40C1" w:rsidRPr="00092A03">
        <w:rPr>
          <w:rFonts w:ascii="ITC Avant Garde" w:hAnsi="ITC Avant Garde"/>
          <w:lang w:val="es-ES_tradnl"/>
        </w:rPr>
        <w:t xml:space="preserve"> de dichas tendencias observad</w:t>
      </w:r>
      <w:r w:rsidR="004E609A" w:rsidRPr="00092A03">
        <w:rPr>
          <w:rFonts w:ascii="ITC Avant Garde" w:hAnsi="ITC Avant Garde"/>
          <w:lang w:val="es-ES_tradnl"/>
        </w:rPr>
        <w:t>o</w:t>
      </w:r>
      <w:r w:rsidR="00AE40C1" w:rsidRPr="00092A03">
        <w:rPr>
          <w:rFonts w:ascii="ITC Avant Garde" w:hAnsi="ITC Avant Garde"/>
          <w:lang w:val="es-ES_tradnl"/>
        </w:rPr>
        <w:t xml:space="preserve"> en el</w:t>
      </w:r>
      <w:r w:rsidR="004E609A" w:rsidRPr="00092A03">
        <w:rPr>
          <w:rFonts w:ascii="ITC Avant Garde" w:hAnsi="ITC Avant Garde"/>
          <w:lang w:val="es-ES_tradnl"/>
        </w:rPr>
        <w:t xml:space="preserve"> </w:t>
      </w:r>
      <w:r w:rsidR="00AE40C1" w:rsidRPr="00092A03">
        <w:rPr>
          <w:rFonts w:ascii="ITC Avant Garde" w:hAnsi="ITC Avant Garde"/>
          <w:lang w:val="es-ES_tradnl"/>
        </w:rPr>
        <w:t>pasado.</w:t>
      </w:r>
    </w:p>
    <w:p w14:paraId="32FA7BDE" w14:textId="562D87A6" w:rsidR="00A16522" w:rsidRPr="00092A03" w:rsidRDefault="007654E2" w:rsidP="00A16522">
      <w:pPr>
        <w:rPr>
          <w:rFonts w:ascii="ITC Avant Garde" w:hAnsi="ITC Avant Garde"/>
          <w:lang w:val="es-ES"/>
        </w:rPr>
      </w:pPr>
      <w:r w:rsidRPr="00092A03">
        <w:rPr>
          <w:rFonts w:ascii="ITC Avant Garde" w:hAnsi="ITC Avant Garde"/>
          <w:lang w:val="es-ES"/>
        </w:rPr>
        <w:t>Además, Telcel cree que el cálculo de la cuota de mercado debería basarse en cuotas de mercado de tráfico, y no de usuarios móviles, sobre todo teniendo en cuenta que los operadores alternativos podrán adquirir suscriptores con consumos mayores, ya que la asimetría les permitirá presuntamente lanzar tarifas que el agente económico preponderante no está en posición de replicar.</w:t>
      </w:r>
    </w:p>
    <w:p w14:paraId="4E6EC88B" w14:textId="2EA34306" w:rsidR="004058ED" w:rsidRPr="00092A03" w:rsidRDefault="002B648A">
      <w:pPr>
        <w:pStyle w:val="Ttulo4"/>
        <w:rPr>
          <w:rFonts w:ascii="ITC Avant Garde" w:hAnsi="ITC Avant Garde"/>
          <w:b/>
          <w:lang w:val="es-ES"/>
        </w:rPr>
      </w:pPr>
      <w:r w:rsidRPr="00092A03">
        <w:rPr>
          <w:rFonts w:ascii="ITC Avant Garde" w:hAnsi="ITC Avant Garde"/>
          <w:b/>
          <w:lang w:val="es-ES"/>
        </w:rPr>
        <w:t>Consideraciones del Instituto</w:t>
      </w:r>
    </w:p>
    <w:p w14:paraId="0B104E9F" w14:textId="77777777" w:rsidR="003357F4" w:rsidRPr="00092A03" w:rsidRDefault="0060523F" w:rsidP="003357F4">
      <w:pPr>
        <w:rPr>
          <w:rFonts w:ascii="ITC Avant Garde" w:hAnsi="ITC Avant Garde"/>
          <w:spacing w:val="-4"/>
          <w:lang w:val="es-ES"/>
        </w:rPr>
      </w:pPr>
      <w:r w:rsidRPr="00092A03">
        <w:rPr>
          <w:rFonts w:ascii="ITC Avant Garde" w:hAnsi="ITC Avant Garde"/>
          <w:spacing w:val="-4"/>
          <w:lang w:val="es-ES"/>
        </w:rPr>
        <w:t>Con respecto a un perfil de tráfico por operador, o alternativo/</w:t>
      </w:r>
      <w:proofErr w:type="spellStart"/>
      <w:r w:rsidRPr="00092A03">
        <w:rPr>
          <w:rFonts w:ascii="ITC Avant Garde" w:hAnsi="ITC Avant Garde"/>
          <w:spacing w:val="-4"/>
          <w:lang w:val="es-ES"/>
        </w:rPr>
        <w:t>incumbente</w:t>
      </w:r>
      <w:proofErr w:type="spellEnd"/>
      <w:r w:rsidRPr="00092A03">
        <w:rPr>
          <w:rFonts w:ascii="ITC Avant Garde" w:hAnsi="ITC Avant Garde"/>
          <w:spacing w:val="-4"/>
          <w:lang w:val="es-ES"/>
        </w:rPr>
        <w:t>, l</w:t>
      </w:r>
      <w:r w:rsidR="003357F4" w:rsidRPr="00092A03">
        <w:rPr>
          <w:rFonts w:ascii="ITC Avant Garde" w:hAnsi="ITC Avant Garde"/>
          <w:spacing w:val="-4"/>
          <w:lang w:val="es-ES"/>
        </w:rPr>
        <w:t>a incertidumbre asociada al comportamiento de un usuario hace que sea difícil predecir la posible evolución de dicho tráfico para cada segmento de mercado y/o tipo de operador, lo requeriría un análisis detallado de la elasticidad de la demanda. En cualquier caso, el IFT no dispone de la información detallada requerida para efectuar dicha segregación del tráfico. Por tanto, utilizar un perfil de tráfico ajustado para los operadores no preponderantes equivaldría en buena medida a introducir supuestos adicionales, lo que podría resultar en un incremento del sesgo indicado.</w:t>
      </w:r>
    </w:p>
    <w:p w14:paraId="0BA4E03D" w14:textId="08147F0B" w:rsidR="003357F4" w:rsidRPr="00092A03" w:rsidRDefault="003357F4" w:rsidP="003357F4">
      <w:pPr>
        <w:rPr>
          <w:rFonts w:ascii="ITC Avant Garde" w:hAnsi="ITC Avant Garde"/>
          <w:spacing w:val="-4"/>
          <w:lang w:val="es-ES"/>
        </w:rPr>
      </w:pPr>
      <w:r w:rsidRPr="00092A03">
        <w:rPr>
          <w:rFonts w:ascii="ITC Avant Garde" w:hAnsi="ITC Avant Garde"/>
          <w:spacing w:val="-4"/>
          <w:lang w:val="es-ES"/>
        </w:rPr>
        <w:t xml:space="preserve">En cuanto a la previsión de tráfico, se ha elaborado un pronóstico para los mercados fijo y móvil en México basado en datos históricos – población, penetración móvil y fija, y tráfico – proporcionados por los operadores mexicanos, junto con otras fuentes. A partir de esta información se ha calculado el tráfico promedio por usuario, a lo que se ha </w:t>
      </w:r>
      <w:r w:rsidRPr="00092A03">
        <w:rPr>
          <w:rFonts w:ascii="ITC Avant Garde" w:hAnsi="ITC Avant Garde"/>
          <w:spacing w:val="-4"/>
          <w:lang w:val="es-ES"/>
        </w:rPr>
        <w:lastRenderedPageBreak/>
        <w:t xml:space="preserve">aplicado una tasa de crecimiento deducida de la evolución histórica y las previsiones publicadas por diferentes analistas, como </w:t>
      </w:r>
      <w:proofErr w:type="spellStart"/>
      <w:r w:rsidRPr="00092A03">
        <w:rPr>
          <w:rFonts w:ascii="ITC Avant Garde" w:hAnsi="ITC Avant Garde"/>
          <w:spacing w:val="-4"/>
          <w:lang w:val="es-ES"/>
        </w:rPr>
        <w:t>Analysys</w:t>
      </w:r>
      <w:proofErr w:type="spellEnd"/>
      <w:r w:rsidRPr="00092A03">
        <w:rPr>
          <w:rFonts w:ascii="ITC Avant Garde" w:hAnsi="ITC Avant Garde"/>
          <w:spacing w:val="-4"/>
          <w:lang w:val="es-ES"/>
        </w:rPr>
        <w:t xml:space="preserve"> Mason </w:t>
      </w:r>
      <w:proofErr w:type="spellStart"/>
      <w:r w:rsidRPr="00092A03">
        <w:rPr>
          <w:rFonts w:ascii="ITC Avant Garde" w:hAnsi="ITC Avant Garde"/>
          <w:spacing w:val="-4"/>
          <w:lang w:val="es-ES"/>
        </w:rPr>
        <w:t>Research</w:t>
      </w:r>
      <w:proofErr w:type="spellEnd"/>
      <w:r w:rsidRPr="00092A03">
        <w:rPr>
          <w:rFonts w:ascii="ITC Avant Garde" w:hAnsi="ITC Avant Garde"/>
          <w:spacing w:val="-4"/>
          <w:lang w:val="es-ES"/>
        </w:rPr>
        <w:t>, la ITU,</w:t>
      </w:r>
      <w:r w:rsidR="00154CBE" w:rsidRPr="00092A03">
        <w:rPr>
          <w:rFonts w:ascii="ITC Avant Garde" w:hAnsi="ITC Avant Garde"/>
          <w:spacing w:val="-4"/>
          <w:lang w:val="es-ES"/>
        </w:rPr>
        <w:t xml:space="preserve"> GSMA,</w:t>
      </w:r>
      <w:r w:rsidR="0051642E" w:rsidRPr="00092A03">
        <w:rPr>
          <w:rFonts w:ascii="ITC Avant Garde" w:hAnsi="ITC Avant Garde"/>
          <w:spacing w:val="-4"/>
          <w:lang w:val="es-ES"/>
        </w:rPr>
        <w:t xml:space="preserve"> EIU o </w:t>
      </w:r>
      <w:proofErr w:type="spellStart"/>
      <w:r w:rsidR="0051642E" w:rsidRPr="00092A03">
        <w:rPr>
          <w:rFonts w:ascii="ITC Avant Garde" w:hAnsi="ITC Avant Garde"/>
          <w:spacing w:val="-4"/>
          <w:lang w:val="es-ES"/>
        </w:rPr>
        <w:t>Euromonitor</w:t>
      </w:r>
      <w:proofErr w:type="spellEnd"/>
      <w:r w:rsidR="0051642E" w:rsidRPr="00092A03">
        <w:rPr>
          <w:rFonts w:ascii="ITC Avant Garde" w:hAnsi="ITC Avant Garde"/>
          <w:spacing w:val="-4"/>
          <w:lang w:val="es-ES"/>
        </w:rPr>
        <w:t>. Se asume</w:t>
      </w:r>
      <w:r w:rsidRPr="00092A03">
        <w:rPr>
          <w:rFonts w:ascii="ITC Avant Garde" w:hAnsi="ITC Avant Garde"/>
          <w:spacing w:val="-4"/>
          <w:lang w:val="es-ES"/>
        </w:rPr>
        <w:t xml:space="preserve"> que el mercado de las telecomunicaciones se estabiliza a partir del año 2025 para todas las variables, incluyendo la cuota de mercado, el consumo de servicios de voz y datos, etc.</w:t>
      </w:r>
    </w:p>
    <w:p w14:paraId="4F3B39A9" w14:textId="1242ABB1" w:rsidR="003357F4" w:rsidRPr="00092A03" w:rsidRDefault="007B4A2D">
      <w:pPr>
        <w:rPr>
          <w:rFonts w:ascii="ITC Avant Garde" w:hAnsi="ITC Avant Garde"/>
          <w:spacing w:val="-4"/>
          <w:lang w:val="es-ES"/>
        </w:rPr>
      </w:pPr>
      <w:r w:rsidRPr="00092A03">
        <w:rPr>
          <w:rFonts w:ascii="ITC Avant Garde" w:hAnsi="ITC Avant Garde"/>
          <w:spacing w:val="-4"/>
          <w:lang w:val="es-ES"/>
        </w:rPr>
        <w:t>En cuanto a l</w:t>
      </w:r>
      <w:r w:rsidR="003357F4" w:rsidRPr="00092A03">
        <w:rPr>
          <w:rFonts w:ascii="ITC Avant Garde" w:hAnsi="ITC Avant Garde"/>
          <w:spacing w:val="-4"/>
          <w:lang w:val="es-ES"/>
        </w:rPr>
        <w:t>a diferencia en las tendencias</w:t>
      </w:r>
      <w:r w:rsidRPr="00092A03">
        <w:rPr>
          <w:rFonts w:ascii="ITC Avant Garde" w:hAnsi="ITC Avant Garde"/>
          <w:spacing w:val="-4"/>
          <w:lang w:val="es-ES"/>
        </w:rPr>
        <w:t xml:space="preserve"> de tráfico originado y terminado fijo,</w:t>
      </w:r>
      <w:r w:rsidR="003357F4" w:rsidRPr="00092A03">
        <w:rPr>
          <w:rFonts w:ascii="ITC Avant Garde" w:hAnsi="ITC Avant Garde"/>
          <w:spacing w:val="-4"/>
          <w:lang w:val="es-ES"/>
        </w:rPr>
        <w:t xml:space="preserve"> observada Grupo Televisa</w:t>
      </w:r>
      <w:r w:rsidRPr="00092A03">
        <w:rPr>
          <w:rFonts w:ascii="ITC Avant Garde" w:hAnsi="ITC Avant Garde"/>
          <w:spacing w:val="-4"/>
          <w:lang w:val="es-ES"/>
        </w:rPr>
        <w:t>, indicar que se ha llevado a cabo una revisión de las mismas. Sin embargo, las tendencias</w:t>
      </w:r>
      <w:r w:rsidR="00A604F8" w:rsidRPr="00092A03">
        <w:rPr>
          <w:rFonts w:ascii="ITC Avant Garde" w:hAnsi="ITC Avant Garde"/>
          <w:spacing w:val="-4"/>
          <w:lang w:val="es-ES"/>
        </w:rPr>
        <w:t xml:space="preserve"> más positivas</w:t>
      </w:r>
      <w:r w:rsidRPr="00092A03">
        <w:rPr>
          <w:rFonts w:ascii="ITC Avant Garde" w:hAnsi="ITC Avant Garde"/>
          <w:spacing w:val="-4"/>
          <w:lang w:val="es-ES"/>
        </w:rPr>
        <w:t xml:space="preserve"> seguidas por modelos anteriores no serían justificables </w:t>
      </w:r>
      <w:r w:rsidR="00A604F8" w:rsidRPr="00092A03">
        <w:rPr>
          <w:rFonts w:ascii="ITC Avant Garde" w:hAnsi="ITC Avant Garde"/>
          <w:spacing w:val="-4"/>
          <w:lang w:val="es-ES"/>
        </w:rPr>
        <w:t>en la actualidad, a la luz de los últimos datos recibidos y del actual desarrollo de las comunicaciones móviles, en contraposición de los sistemas fijos.</w:t>
      </w:r>
    </w:p>
    <w:p w14:paraId="2E1FD665" w14:textId="77777777" w:rsidR="003357F4" w:rsidRPr="00092A03" w:rsidRDefault="003357F4" w:rsidP="003357F4">
      <w:pPr>
        <w:rPr>
          <w:rFonts w:ascii="ITC Avant Garde" w:hAnsi="ITC Avant Garde"/>
          <w:spacing w:val="-4"/>
          <w:lang w:val="es-ES"/>
        </w:rPr>
      </w:pPr>
      <w:r w:rsidRPr="00092A03">
        <w:rPr>
          <w:rFonts w:ascii="ITC Avant Garde" w:hAnsi="ITC Avant Garde"/>
          <w:spacing w:val="-4"/>
          <w:lang w:val="es-ES"/>
        </w:rPr>
        <w:t xml:space="preserve">En lo que respecta a mantener los indicadores de tráfico constante en el periodo 2025 a 2059, </w:t>
      </w:r>
      <w:r w:rsidR="00D977C5" w:rsidRPr="00092A03">
        <w:rPr>
          <w:rFonts w:ascii="ITC Avant Garde" w:hAnsi="ITC Avant Garde"/>
          <w:spacing w:val="-4"/>
          <w:lang w:val="es-ES"/>
        </w:rPr>
        <w:t xml:space="preserve">señalar </w:t>
      </w:r>
      <w:r w:rsidRPr="00092A03">
        <w:rPr>
          <w:rFonts w:ascii="ITC Avant Garde" w:hAnsi="ITC Avant Garde"/>
          <w:spacing w:val="-4"/>
          <w:lang w:val="es-ES"/>
        </w:rPr>
        <w:t xml:space="preserve">que un modelo LRIC con un horizonte temporal de 50 años no tiene la intención de predecir con exactitud y precisión la evolución del tráfico, y por ende la amortización de los activos, para un periodo tan largo. Este tipo de ejercicio acarrea un grado de incertidumbre debido a los nuevos desarrollos tecnológicos, la introducción de nuevos servicios, cambios en los comportamientos de los consumidores, etc. </w:t>
      </w:r>
      <w:r w:rsidR="0060523F" w:rsidRPr="00092A03">
        <w:rPr>
          <w:rFonts w:ascii="ITC Avant Garde" w:hAnsi="ITC Avant Garde"/>
          <w:spacing w:val="-4"/>
          <w:lang w:val="es-ES"/>
        </w:rPr>
        <w:t xml:space="preserve">Esto haría </w:t>
      </w:r>
      <w:r w:rsidRPr="00092A03">
        <w:rPr>
          <w:rFonts w:ascii="ITC Avant Garde" w:hAnsi="ITC Avant Garde"/>
          <w:spacing w:val="-4"/>
          <w:lang w:val="es-ES"/>
        </w:rPr>
        <w:t>imposible, en el caso de que se quisiera llevar a cabo, una predicción mínimamente aproximada de lo que será la realidad. Además, el uso de la depreciación económica hace que las previsiones de tráfico a futuro tengan un impacto relativamente pequeño en el resultado final del modelo.</w:t>
      </w:r>
    </w:p>
    <w:p w14:paraId="1670BDE8" w14:textId="77777777" w:rsidR="003357F4" w:rsidRPr="00092A03" w:rsidRDefault="003357F4" w:rsidP="003357F4">
      <w:pPr>
        <w:rPr>
          <w:rFonts w:ascii="ITC Avant Garde" w:hAnsi="ITC Avant Garde"/>
          <w:spacing w:val="-4"/>
          <w:lang w:val="es-ES"/>
        </w:rPr>
      </w:pPr>
      <w:r w:rsidRPr="00092A03">
        <w:rPr>
          <w:rFonts w:ascii="ITC Avant Garde" w:hAnsi="ITC Avant Garde"/>
          <w:spacing w:val="-4"/>
          <w:lang w:val="es-ES"/>
        </w:rPr>
        <w:t xml:space="preserve">Es por esto por lo que se realiza un ejercicio de pronósticos de mercado hasta el año 2025 y se mantiene el mercado en un "estado estacionario" en adelante. Este estado asegura que la recuperación de costos puede continuar en una situación perpetua, teniendo en cuenta los continuos descensos de los precios de los equipos y el CCPP. </w:t>
      </w:r>
    </w:p>
    <w:p w14:paraId="7E321F41" w14:textId="77777777" w:rsidR="003357F4" w:rsidRPr="00092A03" w:rsidRDefault="003357F4" w:rsidP="003357F4">
      <w:pPr>
        <w:rPr>
          <w:rFonts w:ascii="ITC Avant Garde" w:hAnsi="ITC Avant Garde"/>
          <w:spacing w:val="-4"/>
          <w:lang w:val="es-ES"/>
        </w:rPr>
      </w:pPr>
      <w:r w:rsidRPr="00092A03">
        <w:rPr>
          <w:rFonts w:ascii="ITC Avant Garde" w:hAnsi="ITC Avant Garde"/>
          <w:spacing w:val="-4"/>
          <w:lang w:val="es-ES"/>
        </w:rPr>
        <w:t xml:space="preserve">En lo </w:t>
      </w:r>
      <w:r w:rsidR="00306AD4" w:rsidRPr="00092A03">
        <w:rPr>
          <w:rFonts w:ascii="ITC Avant Garde" w:hAnsi="ITC Avant Garde"/>
          <w:spacing w:val="-4"/>
          <w:lang w:val="es-ES"/>
        </w:rPr>
        <w:t>relativo</w:t>
      </w:r>
      <w:r w:rsidRPr="00092A03">
        <w:rPr>
          <w:rFonts w:ascii="ITC Avant Garde" w:hAnsi="ITC Avant Garde"/>
          <w:spacing w:val="-4"/>
          <w:lang w:val="es-ES"/>
        </w:rPr>
        <w:t xml:space="preserve"> al tráfico por tecnología, mencionar que los pronósticos se basan en la información provista por los operadores y en los datos recibidos desde el IFT, y que no siempre ha sido posible obtener un desglose más detallado entre las diferentes tecnologías dentro de cada generación. De cualquier modo, se ha revisado las proporciones de tráfico por tecnología con base en la información recibida en este proceso de consulta.</w:t>
      </w:r>
    </w:p>
    <w:p w14:paraId="63E606BC" w14:textId="77777777" w:rsidR="003357F4" w:rsidRPr="00092A03" w:rsidRDefault="00306AD4" w:rsidP="00E2652C">
      <w:pPr>
        <w:rPr>
          <w:rFonts w:ascii="ITC Avant Garde" w:hAnsi="ITC Avant Garde"/>
          <w:lang w:val="es-ES"/>
        </w:rPr>
      </w:pPr>
      <w:r w:rsidRPr="00092A03">
        <w:rPr>
          <w:rFonts w:ascii="ITC Avant Garde" w:hAnsi="ITC Avant Garde"/>
          <w:spacing w:val="-4"/>
          <w:lang w:val="es-ES"/>
        </w:rPr>
        <w:t>Sobre el tráfico de terminación móvil, indicar que, a</w:t>
      </w:r>
      <w:r w:rsidR="003357F4" w:rsidRPr="00092A03">
        <w:rPr>
          <w:rFonts w:ascii="ITC Avant Garde" w:hAnsi="ITC Avant Garde"/>
          <w:spacing w:val="-4"/>
          <w:lang w:val="es-ES"/>
        </w:rPr>
        <w:t xml:space="preserve"> la luz de los últimos datos analizados</w:t>
      </w:r>
      <w:r w:rsidRPr="00092A03">
        <w:rPr>
          <w:rFonts w:ascii="ITC Avant Garde" w:hAnsi="ITC Avant Garde"/>
          <w:spacing w:val="-4"/>
          <w:lang w:val="es-ES"/>
        </w:rPr>
        <w:t>,</w:t>
      </w:r>
      <w:r w:rsidR="003357F4" w:rsidRPr="00092A03">
        <w:rPr>
          <w:rFonts w:ascii="ITC Avant Garde" w:hAnsi="ITC Avant Garde"/>
          <w:spacing w:val="-4"/>
          <w:lang w:val="es-ES"/>
        </w:rPr>
        <w:t xml:space="preserve"> se ajustó el modelo incrementando la proporción de tráfico de terminación. Sin embargo, no está claro que este sea un dato estructural. Por ejemplo, este incremento de terminación podría ser debido a la disminución de las tarifas asimétricas </w:t>
      </w:r>
      <w:proofErr w:type="spellStart"/>
      <w:r w:rsidR="003357F4" w:rsidRPr="00092A03">
        <w:rPr>
          <w:rFonts w:ascii="ITC Avant Garde" w:hAnsi="ITC Avant Garde"/>
          <w:spacing w:val="-4"/>
          <w:lang w:val="es-ES"/>
        </w:rPr>
        <w:t>on</w:t>
      </w:r>
      <w:proofErr w:type="spellEnd"/>
      <w:r w:rsidR="003357F4" w:rsidRPr="00092A03">
        <w:rPr>
          <w:rFonts w:ascii="ITC Avant Garde" w:hAnsi="ITC Avant Garde"/>
          <w:spacing w:val="-4"/>
          <w:lang w:val="es-ES"/>
        </w:rPr>
        <w:t xml:space="preserve"> / off-net, y por lo tanto es más puntual que estructural, no pudiendo asumirse un crecimiento agresivo de forma indefinida. Además, aunque los </w:t>
      </w:r>
      <w:r w:rsidR="00D977C5" w:rsidRPr="00092A03">
        <w:rPr>
          <w:rFonts w:ascii="ITC Avant Garde" w:hAnsi="ITC Avant Garde"/>
          <w:spacing w:val="-4"/>
          <w:lang w:val="es-ES"/>
        </w:rPr>
        <w:t xml:space="preserve">operadores </w:t>
      </w:r>
      <w:r w:rsidR="003357F4" w:rsidRPr="00092A03">
        <w:rPr>
          <w:rFonts w:ascii="ITC Avant Garde" w:hAnsi="ITC Avant Garde"/>
          <w:spacing w:val="-4"/>
          <w:lang w:val="es-ES"/>
        </w:rPr>
        <w:t>alternativos tengan presuntamente más capacidad de asumir tarifas más agresivas, no es realista pensar que seguirán haciéndolo indefinidamente y que, por extensión, el tráfico seguirá creciendo al mismo ritmo.</w:t>
      </w:r>
    </w:p>
    <w:p w14:paraId="387904BA" w14:textId="25AEFE7C" w:rsidR="002B648A" w:rsidRPr="00092A03" w:rsidRDefault="003357F4" w:rsidP="002B648A">
      <w:pPr>
        <w:rPr>
          <w:rFonts w:ascii="ITC Avant Garde" w:hAnsi="ITC Avant Garde"/>
          <w:spacing w:val="-4"/>
          <w:lang w:val="es-ES"/>
        </w:rPr>
      </w:pPr>
      <w:r w:rsidRPr="00092A03">
        <w:rPr>
          <w:rFonts w:ascii="ITC Avant Garde" w:hAnsi="ITC Avant Garde"/>
          <w:spacing w:val="-4"/>
          <w:lang w:val="es-ES"/>
        </w:rPr>
        <w:lastRenderedPageBreak/>
        <w:t xml:space="preserve">En lo relacionado con el uso de la cuota de tráfico en vez de la cuota de mercado propuesto por un operador, </w:t>
      </w:r>
      <w:r w:rsidR="00092A03">
        <w:rPr>
          <w:rFonts w:ascii="ITC Avant Garde" w:hAnsi="ITC Avant Garde"/>
          <w:spacing w:val="-4"/>
          <w:lang w:val="es-ES"/>
        </w:rPr>
        <w:t>se señala</w:t>
      </w:r>
      <w:r w:rsidRPr="00092A03">
        <w:rPr>
          <w:rFonts w:ascii="ITC Avant Garde" w:hAnsi="ITC Avant Garde"/>
          <w:spacing w:val="-4"/>
          <w:lang w:val="es-ES"/>
        </w:rPr>
        <w:t xml:space="preserve"> que por coherencia con modelos anteriores se continúa modelando un usuario medio del mercado. Por otra parte, la cuota de mercado de tráfico reflejaría el resultado de la estructura de clientes de los operadores, así como de su perfil económico (los usuarios con más ingresos pueden permitirse tarifas con más minutos), mientras que el mercado modelado refleja un suscriptor medio. El uso de una cuota de mercado por suscriptor permite no prejuzgar ni reflejar en los resultados del modelo las posibles prácticas económicas minoristas de los operadores del mercado.</w:t>
      </w:r>
      <w:bookmarkStart w:id="23" w:name="_Ref321211137"/>
      <w:bookmarkEnd w:id="22"/>
    </w:p>
    <w:p w14:paraId="316F6F8F" w14:textId="15B721CD"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725054"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20</w:t>
      </w:r>
      <w:r w:rsidR="00CB05BF" w:rsidRPr="00092A03">
        <w:rPr>
          <w:rFonts w:ascii="ITC Avant Garde" w:hAnsi="ITC Avant Garde"/>
        </w:rPr>
        <w:fldChar w:fldCharType="end"/>
      </w:r>
    </w:p>
    <w:p w14:paraId="2F17D24B" w14:textId="1B179BC4" w:rsidR="00725054" w:rsidRPr="00092A03" w:rsidRDefault="00725054"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Únicamente los costos de red mayoristas serán incluidos en los modelos de costos. Los costos minoristas se excluyen del modelo. </w:t>
      </w:r>
    </w:p>
    <w:p w14:paraId="3FEB5339" w14:textId="77777777" w:rsidR="00725054" w:rsidRPr="00092A03" w:rsidRDefault="00725054"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La proporción de gastos generales comunes que corresponde a la red se recupera como un costo operativo</w:t>
      </w:r>
      <w:r w:rsidR="00320376" w:rsidRPr="00092A03">
        <w:rPr>
          <w:rFonts w:ascii="ITC Avant Garde" w:hAnsi="ITC Avant Garde"/>
          <w:lang w:val="es-ES"/>
        </w:rPr>
        <w:t>, que</w:t>
      </w:r>
      <w:r w:rsidRPr="00092A03">
        <w:rPr>
          <w:rFonts w:ascii="ITC Avant Garde" w:hAnsi="ITC Avant Garde"/>
          <w:lang w:val="es-ES"/>
        </w:rPr>
        <w:t xml:space="preserve"> </w:t>
      </w:r>
      <w:r w:rsidR="00320376" w:rsidRPr="00092A03">
        <w:rPr>
          <w:rFonts w:ascii="ITC Avant Garde" w:hAnsi="ITC Avant Garde"/>
          <w:lang w:val="es-ES"/>
        </w:rPr>
        <w:t xml:space="preserve">se </w:t>
      </w:r>
      <w:r w:rsidRPr="00092A03">
        <w:rPr>
          <w:rFonts w:ascii="ITC Avant Garde" w:hAnsi="ITC Avant Garde"/>
          <w:lang w:val="es-ES"/>
        </w:rPr>
        <w:t>revisa anualmente con la inflación y se distribuye entre todos los servicios</w:t>
      </w:r>
      <w:r w:rsidR="009F1619" w:rsidRPr="00092A03">
        <w:rPr>
          <w:rFonts w:ascii="ITC Avant Garde" w:hAnsi="ITC Avant Garde"/>
          <w:lang w:val="es-ES"/>
        </w:rPr>
        <w:t xml:space="preserve"> en el caso de un modelo LRAIC pero se excluyen de los gastos distribuibles al servicio de terminación en un modelo LRIC puro</w:t>
      </w:r>
      <w:r w:rsidRPr="00092A03">
        <w:rPr>
          <w:rFonts w:ascii="ITC Avant Garde" w:hAnsi="ITC Avant Garde"/>
          <w:lang w:val="es-ES"/>
        </w:rPr>
        <w:t>.</w:t>
      </w:r>
    </w:p>
    <w:p w14:paraId="41E49297" w14:textId="77777777" w:rsidR="007D6888" w:rsidRPr="00092A03" w:rsidRDefault="007D6888" w:rsidP="007D6888">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bookmarkEnd w:id="23"/>
    <w:p w14:paraId="3FB75C6B" w14:textId="77777777" w:rsidR="007169FE" w:rsidRPr="00092A03" w:rsidRDefault="007169FE" w:rsidP="007169FE">
      <w:pPr>
        <w:spacing w:after="100" w:afterAutospacing="1"/>
        <w:rPr>
          <w:rFonts w:ascii="ITC Avant Garde" w:hAnsi="ITC Avant Garde"/>
          <w:spacing w:val="-4"/>
          <w:lang w:val="es-ES"/>
        </w:rPr>
      </w:pPr>
      <w:r w:rsidRPr="00092A03">
        <w:rPr>
          <w:rFonts w:ascii="ITC Avant Garde" w:hAnsi="ITC Avant Garde"/>
          <w:lang w:val="es-ES"/>
        </w:rPr>
        <w:t>Este concepto no fue considerado como parte de la consulta ya que dichos conceptos están definidos en la Metodología de Costos</w:t>
      </w:r>
    </w:p>
    <w:p w14:paraId="763BBEA5"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C458BA"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21</w:t>
      </w:r>
      <w:r w:rsidR="00CB05BF" w:rsidRPr="00092A03">
        <w:rPr>
          <w:rFonts w:ascii="ITC Avant Garde" w:hAnsi="ITC Avant Garde"/>
        </w:rPr>
        <w:fldChar w:fldCharType="end"/>
      </w:r>
    </w:p>
    <w:p w14:paraId="1DEE01D7" w14:textId="6D0DBBF2" w:rsidR="00925892" w:rsidRPr="00092A03" w:rsidRDefault="00C458BA" w:rsidP="00840C64">
      <w:pPr>
        <w:pStyle w:val="B1"/>
        <w:keepLines w:val="0"/>
        <w:pBdr>
          <w:top w:val="single" w:sz="4" w:space="0" w:color="D9D9D9" w:themeColor="background1" w:themeShade="D9"/>
          <w:bottom w:val="single" w:sz="4" w:space="5" w:color="D9D9D9" w:themeColor="background1" w:themeShade="D9"/>
        </w:pBdr>
        <w:spacing w:after="0"/>
        <w:ind w:left="0" w:right="0"/>
        <w:rPr>
          <w:rFonts w:ascii="ITC Avant Garde" w:hAnsi="ITC Avant Garde"/>
          <w:lang w:val="es-ES"/>
        </w:rPr>
      </w:pPr>
      <w:r w:rsidRPr="00092A03">
        <w:rPr>
          <w:rFonts w:ascii="ITC Avant Garde" w:hAnsi="ITC Avant Garde"/>
          <w:lang w:val="es-ES"/>
        </w:rPr>
        <w:t xml:space="preserve"> En línea con los requisitos establecidos por </w:t>
      </w:r>
      <w:r w:rsidR="006A5EAF" w:rsidRPr="00092A03">
        <w:rPr>
          <w:rFonts w:ascii="ITC Avant Garde" w:hAnsi="ITC Avant Garde"/>
          <w:lang w:val="es-ES"/>
        </w:rPr>
        <w:t>el IFT</w:t>
      </w:r>
      <w:r w:rsidRPr="00092A03">
        <w:rPr>
          <w:rFonts w:ascii="ITC Avant Garde" w:hAnsi="ITC Avant Garde"/>
          <w:lang w:val="es-ES"/>
        </w:rPr>
        <w:t>, el modelo calcula</w:t>
      </w:r>
      <w:r w:rsidR="00180942" w:rsidRPr="00092A03">
        <w:rPr>
          <w:rFonts w:ascii="ITC Avant Garde" w:hAnsi="ITC Avant Garde"/>
          <w:lang w:val="es-ES"/>
        </w:rPr>
        <w:t>rá</w:t>
      </w:r>
      <w:r w:rsidRPr="00092A03">
        <w:rPr>
          <w:rFonts w:ascii="ITC Avant Garde" w:hAnsi="ITC Avant Garde"/>
          <w:lang w:val="es-ES"/>
        </w:rPr>
        <w:t xml:space="preserve"> los costos utilizando un modelo </w:t>
      </w:r>
      <w:r w:rsidR="00E31BFD" w:rsidRPr="00092A03">
        <w:rPr>
          <w:rFonts w:ascii="ITC Avant Garde" w:hAnsi="ITC Avant Garde"/>
          <w:lang w:val="es-ES"/>
        </w:rPr>
        <w:t xml:space="preserve">LRIC puro si bien el modelo será capaz de calcular los costos mediante la metodología </w:t>
      </w:r>
      <w:r w:rsidRPr="00092A03">
        <w:rPr>
          <w:rFonts w:ascii="ITC Avant Garde" w:hAnsi="ITC Avant Garde"/>
          <w:lang w:val="es-ES"/>
        </w:rPr>
        <w:t xml:space="preserve">LRAIC </w:t>
      </w:r>
      <w:r w:rsidR="001535D7" w:rsidRPr="00092A03">
        <w:rPr>
          <w:rFonts w:ascii="ITC Avant Garde" w:hAnsi="ITC Avant Garde"/>
          <w:lang w:val="es-ES"/>
        </w:rPr>
        <w:t>p</w:t>
      </w:r>
      <w:r w:rsidRPr="00092A03">
        <w:rPr>
          <w:rFonts w:ascii="ITC Avant Garde" w:hAnsi="ITC Avant Garde"/>
          <w:lang w:val="es-ES"/>
        </w:rPr>
        <w:t>lus (es decir CITLP)</w:t>
      </w:r>
      <w:r w:rsidR="006A5EAF" w:rsidRPr="00092A03">
        <w:rPr>
          <w:rFonts w:ascii="ITC Avant Garde" w:hAnsi="ITC Avant Garde"/>
          <w:lang w:val="es-ES"/>
        </w:rPr>
        <w:t xml:space="preserve"> </w:t>
      </w:r>
      <w:r w:rsidR="00E31BFD" w:rsidRPr="00092A03">
        <w:rPr>
          <w:rFonts w:ascii="ITC Avant Garde" w:hAnsi="ITC Avant Garde"/>
          <w:lang w:val="es-ES"/>
        </w:rPr>
        <w:t>de manera informativa</w:t>
      </w:r>
      <w:r w:rsidRPr="00092A03">
        <w:rPr>
          <w:rFonts w:ascii="ITC Avant Garde" w:hAnsi="ITC Avant Garde"/>
          <w:lang w:val="es-ES"/>
        </w:rPr>
        <w:t>.</w:t>
      </w:r>
    </w:p>
    <w:p w14:paraId="4EC94A4E" w14:textId="77777777" w:rsidR="004058ED" w:rsidRPr="00092A03" w:rsidRDefault="00F35F0C" w:rsidP="004058ED">
      <w:pPr>
        <w:pStyle w:val="Ttulo4"/>
        <w:rPr>
          <w:rFonts w:ascii="ITC Avant Garde" w:hAnsi="ITC Avant Garde"/>
        </w:rPr>
      </w:pPr>
      <w:bookmarkStart w:id="24" w:name="_Ref321212516"/>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bookmarkEnd w:id="24"/>
    <w:p w14:paraId="1AFB8F5B" w14:textId="77777777" w:rsidR="007169FE" w:rsidRPr="00092A03" w:rsidRDefault="007169FE" w:rsidP="007169FE">
      <w:pPr>
        <w:spacing w:after="100" w:afterAutospacing="1"/>
        <w:rPr>
          <w:rFonts w:ascii="ITC Avant Garde" w:hAnsi="ITC Avant Garde"/>
          <w:spacing w:val="-4"/>
          <w:lang w:val="es-ES"/>
        </w:rPr>
      </w:pPr>
      <w:r w:rsidRPr="00092A03">
        <w:rPr>
          <w:rFonts w:ascii="ITC Avant Garde" w:hAnsi="ITC Avant Garde"/>
          <w:lang w:val="es-ES"/>
        </w:rPr>
        <w:t>Este concepto no fue considerado como parte de la consulta ya que dichos conceptos están definidos en la Metodología de Costos</w:t>
      </w:r>
    </w:p>
    <w:p w14:paraId="577EFC18"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307FB5"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22</w:t>
      </w:r>
      <w:r w:rsidR="00CB05BF" w:rsidRPr="00092A03">
        <w:rPr>
          <w:rFonts w:ascii="ITC Avant Garde" w:hAnsi="ITC Avant Garde"/>
        </w:rPr>
        <w:fldChar w:fldCharType="end"/>
      </w:r>
    </w:p>
    <w:p w14:paraId="0613C8B4" w14:textId="3D99F6D7" w:rsidR="00307FB5" w:rsidRPr="00092A03" w:rsidRDefault="00D30256"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Se utiliza</w:t>
      </w:r>
      <w:r w:rsidR="00180942" w:rsidRPr="00092A03">
        <w:rPr>
          <w:rFonts w:ascii="ITC Avant Garde" w:hAnsi="ITC Avant Garde"/>
          <w:lang w:val="es-ES"/>
        </w:rPr>
        <w:t>rá</w:t>
      </w:r>
      <w:r w:rsidR="00307FB5" w:rsidRPr="00092A03">
        <w:rPr>
          <w:rFonts w:ascii="ITC Avant Garde" w:hAnsi="ITC Avant Garde"/>
          <w:lang w:val="es-ES"/>
        </w:rPr>
        <w:t xml:space="preserve"> la depreciación económica tanto en el modelo fijo como en el móvil.</w:t>
      </w:r>
    </w:p>
    <w:p w14:paraId="40074B47" w14:textId="77777777" w:rsidR="007D6888" w:rsidRPr="00092A03" w:rsidRDefault="007D6888" w:rsidP="007D6888">
      <w:pPr>
        <w:pStyle w:val="Ttulo4"/>
        <w:rPr>
          <w:rFonts w:ascii="ITC Avant Garde" w:hAnsi="ITC Avant Garde"/>
        </w:rPr>
      </w:pPr>
      <w:proofErr w:type="spellStart"/>
      <w:r w:rsidRPr="00092A03">
        <w:rPr>
          <w:rFonts w:ascii="ITC Avant Garde" w:hAnsi="ITC Avant Garde"/>
        </w:rPr>
        <w:lastRenderedPageBreak/>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76439D6F" w14:textId="77777777" w:rsidR="007169FE" w:rsidRPr="00092A03" w:rsidRDefault="007169FE" w:rsidP="007169FE">
      <w:pPr>
        <w:spacing w:after="100" w:afterAutospacing="1"/>
        <w:rPr>
          <w:rFonts w:ascii="ITC Avant Garde" w:hAnsi="ITC Avant Garde"/>
          <w:spacing w:val="-4"/>
          <w:lang w:val="es-ES"/>
        </w:rPr>
      </w:pPr>
      <w:bookmarkStart w:id="25" w:name="_Ref321212522"/>
      <w:r w:rsidRPr="00092A03">
        <w:rPr>
          <w:rFonts w:ascii="ITC Avant Garde" w:hAnsi="ITC Avant Garde"/>
          <w:lang w:val="es-ES"/>
        </w:rPr>
        <w:t>Este concepto no fue considerado como parte de la consulta ya que dichos conceptos están definidos en la Metodología de Costos</w:t>
      </w:r>
    </w:p>
    <w:p w14:paraId="53F40ABF"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307FB5"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23</w:t>
      </w:r>
      <w:r w:rsidR="00CB05BF" w:rsidRPr="00092A03">
        <w:rPr>
          <w:rFonts w:ascii="ITC Avant Garde" w:hAnsi="ITC Avant Garde"/>
        </w:rPr>
        <w:fldChar w:fldCharType="end"/>
      </w:r>
    </w:p>
    <w:p w14:paraId="42240C29" w14:textId="544D239E" w:rsidR="00307FB5" w:rsidRPr="00092A03" w:rsidRDefault="00307FB5"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Ambos modelos deben tener la misma serie de tiempo. El horizonte temporal </w:t>
      </w:r>
      <w:r w:rsidR="00180942" w:rsidRPr="00092A03">
        <w:rPr>
          <w:rFonts w:ascii="ITC Avant Garde" w:hAnsi="ITC Avant Garde"/>
          <w:lang w:val="es-ES"/>
        </w:rPr>
        <w:t>será</w:t>
      </w:r>
      <w:r w:rsidRPr="00092A03">
        <w:rPr>
          <w:rFonts w:ascii="ITC Avant Garde" w:hAnsi="ITC Avant Garde"/>
          <w:lang w:val="es-ES"/>
        </w:rPr>
        <w:t xml:space="preserve"> al menos tan amplio como el periodo más largo de vida de los activos, por lo que se sugiere que los modelos se construyan incorporando un horizonte temporal de 50 años.</w:t>
      </w:r>
    </w:p>
    <w:p w14:paraId="7BF349A6" w14:textId="77777777" w:rsidR="004058ED" w:rsidRPr="00092A03" w:rsidRDefault="00F35F0C" w:rsidP="004058ED">
      <w:pPr>
        <w:pStyle w:val="Ttulo4"/>
        <w:rPr>
          <w:rFonts w:ascii="ITC Avant Garde" w:hAnsi="ITC Avant Garde"/>
        </w:rPr>
      </w:pPr>
      <w:bookmarkStart w:id="26" w:name="_Ref452739943"/>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3F5D4D75" w14:textId="169CFAD9" w:rsidR="000D6224" w:rsidRPr="00092A03" w:rsidRDefault="000D6224" w:rsidP="000D6224">
      <w:pPr>
        <w:rPr>
          <w:rFonts w:ascii="ITC Avant Garde" w:hAnsi="ITC Avant Garde"/>
          <w:lang w:val="es-ES"/>
        </w:rPr>
      </w:pPr>
      <w:r w:rsidRPr="00092A03">
        <w:rPr>
          <w:rFonts w:ascii="ITC Avant Garde" w:hAnsi="ITC Avant Garde"/>
          <w:lang w:val="es-ES"/>
        </w:rPr>
        <w:t>Mega Cable</w:t>
      </w:r>
      <w:r w:rsidR="00C95979" w:rsidRPr="00092A03">
        <w:rPr>
          <w:rFonts w:ascii="ITC Avant Garde" w:hAnsi="ITC Avant Garde"/>
          <w:lang w:val="es-ES"/>
        </w:rPr>
        <w:t xml:space="preserve"> y Telefónica</w:t>
      </w:r>
      <w:r w:rsidRPr="00092A03">
        <w:rPr>
          <w:rFonts w:ascii="ITC Avant Garde" w:hAnsi="ITC Avant Garde"/>
          <w:lang w:val="es-ES"/>
        </w:rPr>
        <w:t xml:space="preserve"> considera</w:t>
      </w:r>
      <w:r w:rsidR="00503ED8" w:rsidRPr="00092A03">
        <w:rPr>
          <w:rFonts w:ascii="ITC Avant Garde" w:hAnsi="ITC Avant Garde"/>
          <w:lang w:val="es-ES"/>
        </w:rPr>
        <w:t>n</w:t>
      </w:r>
      <w:r w:rsidRPr="00092A03">
        <w:rPr>
          <w:rFonts w:ascii="ITC Avant Garde" w:hAnsi="ITC Avant Garde"/>
          <w:lang w:val="es-ES"/>
        </w:rPr>
        <w:t xml:space="preserve"> que el intervalo de tiempo de 50 años utilizado para los modelos de costos fijo y móvil es innecesario y solamente vuelve más complejo el funcionamiento y el análisis de los modelos.</w:t>
      </w:r>
      <w:r w:rsidR="00503ED8" w:rsidRPr="00092A03">
        <w:rPr>
          <w:rFonts w:ascii="ITC Avant Garde" w:hAnsi="ITC Avant Garde"/>
          <w:lang w:val="es-ES"/>
        </w:rPr>
        <w:t xml:space="preserve"> </w:t>
      </w:r>
      <w:r w:rsidR="000F0607" w:rsidRPr="00092A03">
        <w:rPr>
          <w:rFonts w:ascii="ITC Avant Garde" w:hAnsi="ITC Avant Garde"/>
          <w:lang w:val="es-ES"/>
        </w:rPr>
        <w:t>Telefónica</w:t>
      </w:r>
      <w:r w:rsidR="00503ED8" w:rsidRPr="00092A03">
        <w:rPr>
          <w:rFonts w:ascii="ITC Avant Garde" w:hAnsi="ITC Avant Garde"/>
          <w:lang w:val="es-ES"/>
        </w:rPr>
        <w:t xml:space="preserve"> considera asimismo que un intervalo temporal de 20 años sería más razonable.</w:t>
      </w:r>
    </w:p>
    <w:p w14:paraId="7971478F" w14:textId="61F6FCD4" w:rsidR="00503ED8" w:rsidRPr="00092A03" w:rsidRDefault="002B648A" w:rsidP="00503ED8">
      <w:pPr>
        <w:pStyle w:val="Ttulo4"/>
        <w:rPr>
          <w:rFonts w:ascii="ITC Avant Garde" w:hAnsi="ITC Avant Garde"/>
          <w:b/>
          <w:lang w:val="es-ES"/>
        </w:rPr>
      </w:pPr>
      <w:r w:rsidRPr="00092A03">
        <w:rPr>
          <w:rFonts w:ascii="ITC Avant Garde" w:hAnsi="ITC Avant Garde"/>
          <w:b/>
          <w:lang w:val="es-ES"/>
        </w:rPr>
        <w:t>Consideraciones del Instituto</w:t>
      </w:r>
    </w:p>
    <w:p w14:paraId="09D332C9" w14:textId="4E3D3EE9" w:rsidR="00503ED8" w:rsidRPr="00092A03" w:rsidRDefault="00503ED8" w:rsidP="00503ED8">
      <w:pPr>
        <w:rPr>
          <w:rFonts w:ascii="ITC Avant Garde" w:hAnsi="ITC Avant Garde"/>
          <w:lang w:val="es-ES"/>
        </w:rPr>
      </w:pPr>
      <w:r w:rsidRPr="00092A03">
        <w:rPr>
          <w:rFonts w:ascii="ITC Avant Garde" w:hAnsi="ITC Avant Garde"/>
          <w:lang w:val="es-ES"/>
        </w:rPr>
        <w:t xml:space="preserve">En lo que respecta a la utilización de un horizonte temporal tan amplio en el modelo, observamos que un modelo LRIC con un horizonte temporal de 50 años no tiene la intención de predecir con exactitud y precisión la evolución del tráfico, y por ende la amortización de los activos, para </w:t>
      </w:r>
      <w:r w:rsidR="0051642E" w:rsidRPr="00092A03">
        <w:rPr>
          <w:rFonts w:ascii="ITC Avant Garde" w:hAnsi="ITC Avant Garde"/>
          <w:lang w:val="es-ES"/>
        </w:rPr>
        <w:t>un periodo tan largo. Como se ha</w:t>
      </w:r>
      <w:r w:rsidRPr="00092A03">
        <w:rPr>
          <w:rFonts w:ascii="ITC Avant Garde" w:hAnsi="ITC Avant Garde"/>
          <w:lang w:val="es-ES"/>
        </w:rPr>
        <w:t xml:space="preserve"> señalado anteriormente en este documento, este tipo de ejercicio siempre acarrea un cierto grado de incertidumbre debido a los nuevos desarrollos tecnológicos, la introducción de nuevos servicios, </w:t>
      </w:r>
      <w:r w:rsidR="00401EAC" w:rsidRPr="00092A03">
        <w:rPr>
          <w:rFonts w:ascii="ITC Avant Garde" w:hAnsi="ITC Avant Garde"/>
          <w:lang w:val="es-ES"/>
        </w:rPr>
        <w:t xml:space="preserve">o </w:t>
      </w:r>
      <w:r w:rsidRPr="00092A03">
        <w:rPr>
          <w:rFonts w:ascii="ITC Avant Garde" w:hAnsi="ITC Avant Garde"/>
          <w:lang w:val="es-ES"/>
        </w:rPr>
        <w:t>cambios en los comportamientos de los consumidores</w:t>
      </w:r>
      <w:r w:rsidR="00401EAC" w:rsidRPr="00092A03">
        <w:rPr>
          <w:rFonts w:ascii="ITC Avant Garde" w:hAnsi="ITC Avant Garde"/>
          <w:lang w:val="es-ES"/>
        </w:rPr>
        <w:t xml:space="preserve"> por citar algunos ejemplos</w:t>
      </w:r>
      <w:r w:rsidRPr="00092A03">
        <w:rPr>
          <w:rFonts w:ascii="ITC Avant Garde" w:hAnsi="ITC Avant Garde"/>
          <w:lang w:val="es-ES"/>
        </w:rPr>
        <w:t xml:space="preserve">. </w:t>
      </w:r>
    </w:p>
    <w:p w14:paraId="065009FC" w14:textId="012A6725" w:rsidR="00503ED8" w:rsidRPr="00092A03" w:rsidRDefault="00503ED8" w:rsidP="00503ED8">
      <w:pPr>
        <w:rPr>
          <w:rFonts w:ascii="ITC Avant Garde" w:hAnsi="ITC Avant Garde"/>
          <w:lang w:val="es-ES"/>
        </w:rPr>
      </w:pPr>
      <w:r w:rsidRPr="00092A03">
        <w:rPr>
          <w:rFonts w:ascii="ITC Avant Garde" w:hAnsi="ITC Avant Garde"/>
          <w:lang w:val="es-ES"/>
        </w:rPr>
        <w:t xml:space="preserve">Por la misma razón </w:t>
      </w:r>
      <w:r w:rsidR="0051642E" w:rsidRPr="00092A03">
        <w:rPr>
          <w:rFonts w:ascii="ITC Avant Garde" w:hAnsi="ITC Avant Garde"/>
          <w:lang w:val="es-ES"/>
        </w:rPr>
        <w:t>se ha</w:t>
      </w:r>
      <w:r w:rsidRPr="00092A03">
        <w:rPr>
          <w:rFonts w:ascii="ITC Avant Garde" w:hAnsi="ITC Avant Garde"/>
          <w:lang w:val="es-ES"/>
        </w:rPr>
        <w:t xml:space="preserve"> realizado un ejercicio de pronósticos de mercado hasta el año 2025 y </w:t>
      </w:r>
      <w:r w:rsidR="0051642E" w:rsidRPr="00092A03">
        <w:rPr>
          <w:rFonts w:ascii="ITC Avant Garde" w:hAnsi="ITC Avant Garde"/>
          <w:lang w:val="es-ES"/>
        </w:rPr>
        <w:t>se ha</w:t>
      </w:r>
      <w:r w:rsidRPr="00092A03">
        <w:rPr>
          <w:rFonts w:ascii="ITC Avant Garde" w:hAnsi="ITC Avant Garde"/>
          <w:lang w:val="es-ES"/>
        </w:rPr>
        <w:t xml:space="preserve"> mantenido el mercado en un "estado estacionario" desde 2025 en adelante. Este estado asegura que la recuperación de costos puede continuar en una situación perpetua, teniendo en cuenta l</w:t>
      </w:r>
      <w:r w:rsidR="00651485" w:rsidRPr="00092A03">
        <w:rPr>
          <w:rFonts w:ascii="ITC Avant Garde" w:hAnsi="ITC Avant Garde"/>
          <w:lang w:val="es-ES"/>
        </w:rPr>
        <w:t xml:space="preserve">a evolución </w:t>
      </w:r>
      <w:r w:rsidRPr="00092A03">
        <w:rPr>
          <w:rFonts w:ascii="ITC Avant Garde" w:hAnsi="ITC Avant Garde"/>
          <w:lang w:val="es-ES"/>
        </w:rPr>
        <w:t>de los precios de los equipos y el CCPP.</w:t>
      </w:r>
    </w:p>
    <w:p w14:paraId="479BCE88" w14:textId="77777777" w:rsidR="00503ED8" w:rsidRPr="00092A03" w:rsidRDefault="00503ED8" w:rsidP="00503ED8">
      <w:pPr>
        <w:rPr>
          <w:rFonts w:ascii="ITC Avant Garde" w:hAnsi="ITC Avant Garde"/>
          <w:lang w:val="es-ES"/>
        </w:rPr>
      </w:pPr>
      <w:r w:rsidRPr="00092A03">
        <w:rPr>
          <w:rFonts w:ascii="ITC Avant Garde" w:hAnsi="ITC Avant Garde"/>
          <w:lang w:val="es-ES"/>
        </w:rPr>
        <w:t xml:space="preserve">La utilización de un horizonte temporal tan amplio permite la recuperación de todas las inversiones por parte del operador y </w:t>
      </w:r>
      <w:r w:rsidR="00401EAC" w:rsidRPr="00092A03">
        <w:rPr>
          <w:rFonts w:ascii="ITC Avant Garde" w:hAnsi="ITC Avant Garde"/>
          <w:lang w:val="es-ES"/>
        </w:rPr>
        <w:t xml:space="preserve">evita </w:t>
      </w:r>
      <w:r w:rsidRPr="00092A03">
        <w:rPr>
          <w:rFonts w:ascii="ITC Avant Garde" w:hAnsi="ITC Avant Garde"/>
          <w:lang w:val="es-ES"/>
        </w:rPr>
        <w:t>tener que determinar un valor terminal de la empresa</w:t>
      </w:r>
      <w:r w:rsidR="00401EAC" w:rsidRPr="00092A03">
        <w:rPr>
          <w:rFonts w:ascii="ITC Avant Garde" w:hAnsi="ITC Avant Garde"/>
          <w:lang w:val="es-ES"/>
        </w:rPr>
        <w:t xml:space="preserve">, lo que requeriría supuestos sobre las tasas de crecimiento de ingresos y costos. </w:t>
      </w:r>
      <w:r w:rsidR="00347A9B" w:rsidRPr="00092A03">
        <w:rPr>
          <w:rFonts w:ascii="ITC Avant Garde" w:hAnsi="ITC Avant Garde"/>
          <w:lang w:val="es-ES"/>
        </w:rPr>
        <w:t>De hecho</w:t>
      </w:r>
      <w:r w:rsidR="00401EAC" w:rsidRPr="00092A03">
        <w:rPr>
          <w:rFonts w:ascii="ITC Avant Garde" w:hAnsi="ITC Avant Garde"/>
          <w:lang w:val="es-ES"/>
        </w:rPr>
        <w:t xml:space="preserve">, el valor terminal de una empresa en el modelo es insignificante respecto al valor total de la misma, y puede ser por tanto ignorado. </w:t>
      </w:r>
      <w:r w:rsidRPr="00092A03">
        <w:rPr>
          <w:rFonts w:ascii="ITC Avant Garde" w:hAnsi="ITC Avant Garde"/>
          <w:lang w:val="es-ES"/>
        </w:rPr>
        <w:t xml:space="preserve">Asimismo, asegura la amortización de los activos durante un plazo al menos tan largo como la duración del activo con mayor vida útil. </w:t>
      </w:r>
    </w:p>
    <w:p w14:paraId="3F4F03E9" w14:textId="77777777" w:rsidR="00503ED8" w:rsidRPr="00092A03" w:rsidRDefault="00503ED8" w:rsidP="00503ED8">
      <w:pPr>
        <w:rPr>
          <w:rFonts w:ascii="ITC Avant Garde" w:hAnsi="ITC Avant Garde"/>
          <w:lang w:val="es-ES"/>
        </w:rPr>
      </w:pPr>
      <w:r w:rsidRPr="00092A03">
        <w:rPr>
          <w:rFonts w:ascii="ITC Avant Garde" w:hAnsi="ITC Avant Garde"/>
          <w:lang w:val="es-ES"/>
        </w:rPr>
        <w:lastRenderedPageBreak/>
        <w:t>En efecto, pocos activos tienen una vida útil superior a 50 años. Sin embargo, la mayoría de los activos en los modelos de costos tiene una vida útil de menor duración, como la electrónica de red de hardware y software.</w:t>
      </w:r>
    </w:p>
    <w:p w14:paraId="5555C694" w14:textId="77777777" w:rsidR="00503ED8" w:rsidRPr="00092A03" w:rsidRDefault="00503ED8" w:rsidP="00503ED8">
      <w:pPr>
        <w:rPr>
          <w:rFonts w:ascii="ITC Avant Garde" w:hAnsi="ITC Avant Garde"/>
          <w:lang w:val="es-ES"/>
        </w:rPr>
      </w:pPr>
      <w:r w:rsidRPr="00092A03">
        <w:rPr>
          <w:rFonts w:ascii="ITC Avant Garde" w:hAnsi="ITC Avant Garde"/>
          <w:lang w:val="es-ES"/>
        </w:rPr>
        <w:t>Asumir un valor terminal de cero después de un periodo mucho más corto, por ejemplo, 20 años, implicaría lo siguiente:</w:t>
      </w:r>
    </w:p>
    <w:p w14:paraId="56AFF9CD" w14:textId="34F5D4D7" w:rsidR="00503ED8" w:rsidRPr="00092A03" w:rsidRDefault="00092A03" w:rsidP="00503ED8">
      <w:pPr>
        <w:pStyle w:val="ListBulletCompact"/>
        <w:rPr>
          <w:rFonts w:ascii="ITC Avant Garde" w:hAnsi="ITC Avant Garde"/>
          <w:lang w:val="es-ES"/>
        </w:rPr>
      </w:pPr>
      <w:r>
        <w:rPr>
          <w:rFonts w:ascii="ITC Avant Garde" w:hAnsi="ITC Avant Garde"/>
          <w:lang w:val="es-ES"/>
        </w:rPr>
        <w:t>A</w:t>
      </w:r>
      <w:r w:rsidR="00503ED8" w:rsidRPr="00092A03">
        <w:rPr>
          <w:rFonts w:ascii="ITC Avant Garde" w:hAnsi="ITC Avant Garde"/>
          <w:lang w:val="es-ES"/>
        </w:rPr>
        <w:t xml:space="preserve">umentar significativamente los costos de los servicios de interconexión, dada la larga vida útil restante de las inversiones en ese punto </w:t>
      </w:r>
    </w:p>
    <w:p w14:paraId="380F05BD" w14:textId="6A139148" w:rsidR="00503ED8" w:rsidRPr="00092A03" w:rsidRDefault="00092A03" w:rsidP="00503ED8">
      <w:pPr>
        <w:pStyle w:val="ListBulletCompact"/>
        <w:rPr>
          <w:rFonts w:ascii="ITC Avant Garde" w:hAnsi="ITC Avant Garde"/>
          <w:lang w:val="es-ES"/>
        </w:rPr>
      </w:pPr>
      <w:r>
        <w:rPr>
          <w:rFonts w:ascii="ITC Avant Garde" w:hAnsi="ITC Avant Garde"/>
          <w:lang w:val="es-ES"/>
        </w:rPr>
        <w:t>P</w:t>
      </w:r>
      <w:r w:rsidR="00503ED8" w:rsidRPr="00092A03">
        <w:rPr>
          <w:rFonts w:ascii="ITC Avant Garde" w:hAnsi="ITC Avant Garde"/>
          <w:lang w:val="es-ES"/>
        </w:rPr>
        <w:t>ermitir a un operador abandonar el mercado en ese momento sin costos (asumiendo que el operador hubiera recuperado sus costos por completo)</w:t>
      </w:r>
    </w:p>
    <w:p w14:paraId="335BFC74" w14:textId="62C091A3" w:rsidR="00503ED8" w:rsidRPr="00092A03" w:rsidRDefault="00092A03" w:rsidP="00503ED8">
      <w:pPr>
        <w:pStyle w:val="Listaconvietas"/>
        <w:rPr>
          <w:rFonts w:ascii="ITC Avant Garde" w:hAnsi="ITC Avant Garde"/>
          <w:lang w:val="es-ES"/>
        </w:rPr>
      </w:pPr>
      <w:r>
        <w:rPr>
          <w:rFonts w:ascii="ITC Avant Garde" w:hAnsi="ITC Avant Garde"/>
          <w:lang w:val="es-ES"/>
        </w:rPr>
        <w:t>A</w:t>
      </w:r>
      <w:r w:rsidR="009550E3" w:rsidRPr="00092A03">
        <w:rPr>
          <w:rFonts w:ascii="ITC Avant Garde" w:hAnsi="ITC Avant Garde"/>
          <w:lang w:val="es-ES"/>
        </w:rPr>
        <w:t xml:space="preserve">sumir que </w:t>
      </w:r>
      <w:r w:rsidR="00503ED8" w:rsidRPr="00092A03">
        <w:rPr>
          <w:rFonts w:ascii="ITC Avant Garde" w:hAnsi="ITC Avant Garde"/>
          <w:lang w:val="es-ES"/>
        </w:rPr>
        <w:t>el valor de la empresa es igual a cero transcurridos los 20 años (o en ese momento, el negocio podría ser considerado completamente propiedad del gobierno o de la población mexicana).</w:t>
      </w:r>
    </w:p>
    <w:p w14:paraId="6AF0AAFB" w14:textId="77777777" w:rsidR="00503ED8" w:rsidRPr="00092A03" w:rsidRDefault="00503ED8" w:rsidP="00503ED8">
      <w:pPr>
        <w:rPr>
          <w:rFonts w:ascii="ITC Avant Garde" w:hAnsi="ITC Avant Garde"/>
          <w:lang w:val="es-ES"/>
        </w:rPr>
      </w:pPr>
      <w:r w:rsidRPr="00092A03">
        <w:rPr>
          <w:rFonts w:ascii="ITC Avant Garde" w:hAnsi="ITC Avant Garde"/>
          <w:lang w:val="es-ES"/>
        </w:rPr>
        <w:t>Así pues, asumir una recuperación total de los costos del operador en un periodo de tiempo relativamente corto (p.ej. 20 años) arrojaría, en nuestra opinión, una valoración demasiado conservadora en lo que respecta al riesgo que la obsolescencia de sus activos le pueda deparar. Tampoco reflejaría el valor para los accionistas ni los incentivos de inversión necesarios para garantizar la presencia del operador en el mercado a largo plazo.</w:t>
      </w:r>
    </w:p>
    <w:p w14:paraId="2DDC4BE8" w14:textId="77777777" w:rsidR="009A1A9B" w:rsidRPr="00092A03" w:rsidRDefault="00503ED8" w:rsidP="00503ED8">
      <w:pPr>
        <w:rPr>
          <w:rFonts w:ascii="ITC Avant Garde" w:hAnsi="ITC Avant Garde"/>
          <w:lang w:val="es-ES"/>
        </w:rPr>
      </w:pPr>
      <w:r w:rsidRPr="00092A03">
        <w:rPr>
          <w:rFonts w:ascii="ITC Avant Garde" w:hAnsi="ITC Avant Garde"/>
          <w:lang w:val="es-ES"/>
        </w:rPr>
        <w:t>Por consiguiente,</w:t>
      </w:r>
      <w:r w:rsidR="00BF1CC3" w:rsidRPr="00092A03">
        <w:rPr>
          <w:rFonts w:ascii="ITC Avant Garde" w:hAnsi="ITC Avant Garde"/>
          <w:lang w:val="es-ES"/>
        </w:rPr>
        <w:t xml:space="preserve"> se considera </w:t>
      </w:r>
      <w:r w:rsidRPr="00092A03">
        <w:rPr>
          <w:rFonts w:ascii="ITC Avant Garde" w:hAnsi="ITC Avant Garde"/>
          <w:lang w:val="es-ES"/>
        </w:rPr>
        <w:t xml:space="preserve">apropiado utilizar un horizonte temporal de 50 años en el modelo, asumiendo una evolución del mercado mexicano de las telecomunicaciones hasta el año 2025, seguido de un estado de equilibrio hasta el final del periodo modelado. Asimismo, </w:t>
      </w:r>
      <w:r w:rsidR="00BF1CC3" w:rsidRPr="00092A03">
        <w:rPr>
          <w:rFonts w:ascii="ITC Avant Garde" w:hAnsi="ITC Avant Garde"/>
          <w:lang w:val="es-ES"/>
        </w:rPr>
        <w:t xml:space="preserve">se entiende </w:t>
      </w:r>
      <w:r w:rsidRPr="00092A03">
        <w:rPr>
          <w:rFonts w:ascii="ITC Avant Garde" w:hAnsi="ITC Avant Garde"/>
          <w:lang w:val="es-ES"/>
        </w:rPr>
        <w:t>que la utilización de una metodología de depreciación económica es adecuada en el periodo actual de revisión regulatoria ya que reduce el impacto potencial de una evolución imprevisible del mercado después de 2025.</w:t>
      </w:r>
    </w:p>
    <w:bookmarkEnd w:id="25"/>
    <w:bookmarkEnd w:id="26"/>
    <w:p w14:paraId="6B4EC484"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24</w:t>
      </w:r>
      <w:r w:rsidR="00A37365" w:rsidRPr="00092A03">
        <w:rPr>
          <w:rFonts w:ascii="ITC Avant Garde" w:hAnsi="ITC Avant Garde"/>
        </w:rPr>
        <w:fldChar w:fldCharType="end"/>
      </w:r>
    </w:p>
    <w:p w14:paraId="248AED02" w14:textId="47D5DBA3" w:rsidR="00307FB5" w:rsidRPr="00092A03" w:rsidRDefault="00A37365"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Se </w:t>
      </w:r>
      <w:r w:rsidR="00265246" w:rsidRPr="00092A03">
        <w:rPr>
          <w:rFonts w:ascii="ITC Avant Garde" w:hAnsi="ITC Avant Garde"/>
          <w:lang w:val="es-ES"/>
        </w:rPr>
        <w:t>usará el método</w:t>
      </w:r>
      <w:r w:rsidRPr="00092A03">
        <w:rPr>
          <w:rFonts w:ascii="ITC Avant Garde" w:hAnsi="ITC Avant Garde"/>
          <w:lang w:val="es-ES"/>
        </w:rPr>
        <w:t xml:space="preserve"> CAPM para calcular el costo del capital (</w:t>
      </w:r>
      <w:proofErr w:type="spellStart"/>
      <w:r w:rsidRPr="00092A03">
        <w:rPr>
          <w:rFonts w:ascii="ITC Avant Garde" w:hAnsi="ITC Avant Garde"/>
          <w:i/>
          <w:lang w:val="es-ES"/>
        </w:rPr>
        <w:t>equity</w:t>
      </w:r>
      <w:proofErr w:type="spellEnd"/>
      <w:r w:rsidRPr="00092A03">
        <w:rPr>
          <w:rFonts w:ascii="ITC Avant Garde" w:hAnsi="ITC Avant Garde"/>
          <w:lang w:val="es-ES"/>
        </w:rPr>
        <w:t>) para un operador eficiente móvil y un operador eficiente fijo.</w:t>
      </w:r>
    </w:p>
    <w:p w14:paraId="51AD22E3" w14:textId="77777777" w:rsidR="000F0607" w:rsidRPr="00092A03" w:rsidRDefault="000F0607" w:rsidP="000F0607">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7A2033BB" w14:textId="77777777" w:rsidR="000F0607" w:rsidRPr="00092A03" w:rsidRDefault="000F0607" w:rsidP="000F0607">
      <w:pPr>
        <w:rPr>
          <w:rFonts w:ascii="ITC Avant Garde" w:hAnsi="ITC Avant Garde"/>
          <w:lang w:val="es-ES"/>
        </w:rPr>
      </w:pPr>
      <w:r w:rsidRPr="00092A03">
        <w:rPr>
          <w:rFonts w:ascii="ITC Avant Garde" w:hAnsi="ITC Avant Garde"/>
          <w:lang w:val="es-ES"/>
        </w:rPr>
        <w:t>Este concepto no fue considerado como parte de la consulta ya que dichos conceptos están definidos en el acuerdo mediante el cual el pleno del IFT emite la metodología para el cálculo de costos de interconexión de conformidad con la Ley Federal de Telecomunicaciones y Radiodifusión (LFTR).</w:t>
      </w:r>
    </w:p>
    <w:p w14:paraId="0954729F"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lastRenderedPageBreak/>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25</w:t>
      </w:r>
      <w:r w:rsidR="00A37365" w:rsidRPr="00092A03">
        <w:rPr>
          <w:rFonts w:ascii="ITC Avant Garde" w:hAnsi="ITC Avant Garde"/>
        </w:rPr>
        <w:fldChar w:fldCharType="end"/>
      </w:r>
    </w:p>
    <w:p w14:paraId="25FCC0C3" w14:textId="07BDF43D" w:rsidR="00A37365" w:rsidRPr="00092A03" w:rsidRDefault="00265246"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Se utilizará la tasa de retorno libre de riesgo (</w:t>
      </w:r>
      <w:r w:rsidR="002C5C2B" w:rsidRPr="00092A03">
        <w:rPr>
          <w:rFonts w:ascii="ITC Avant Garde" w:hAnsi="ITC Avant Garde"/>
          <w:lang w:val="es-ES"/>
        </w:rPr>
        <w:object w:dxaOrig="340" w:dyaOrig="380" w14:anchorId="564E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órmula" style="width:14.25pt;height:21.05pt" o:ole="">
            <v:imagedata r:id="rId11" o:title=""/>
          </v:shape>
          <o:OLEObject Type="Embed" ProgID="Equation.3" ShapeID="_x0000_i1025" DrawAspect="Content" ObjectID="_1572275788" r:id="rId12"/>
        </w:object>
      </w:r>
      <w:r w:rsidRPr="00092A03">
        <w:rPr>
          <w:rFonts w:ascii="ITC Avant Garde" w:hAnsi="ITC Avant Garde"/>
          <w:lang w:val="es-ES"/>
        </w:rPr>
        <w:t>) de los bonos gubernamentales estadunidenses de 30 años más una prima de riesgo país asociada a México. Este parámetro será el mismo en ambos modelos.</w:t>
      </w:r>
    </w:p>
    <w:p w14:paraId="6C7BBC20" w14:textId="77777777" w:rsidR="00E5018A" w:rsidRPr="00092A03" w:rsidRDefault="00F35F0C" w:rsidP="00E5018A">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61ECF5CF" w14:textId="5F4EABD9" w:rsidR="000D6224" w:rsidRPr="00092A03" w:rsidRDefault="000D6224" w:rsidP="000D6224">
      <w:pPr>
        <w:rPr>
          <w:rFonts w:ascii="ITC Avant Garde" w:hAnsi="ITC Avant Garde"/>
          <w:lang w:val="es-ES"/>
        </w:rPr>
      </w:pPr>
      <w:r w:rsidRPr="00092A03">
        <w:rPr>
          <w:rFonts w:ascii="ITC Avant Garde" w:hAnsi="ITC Avant Garde"/>
          <w:lang w:val="es-ES"/>
        </w:rPr>
        <w:t>Mega Cable hace dos observaciones:</w:t>
      </w:r>
    </w:p>
    <w:p w14:paraId="5A9EEC7A" w14:textId="77777777" w:rsidR="000D6224" w:rsidRPr="00092A03" w:rsidRDefault="00F251A8" w:rsidP="000D6224">
      <w:pPr>
        <w:pStyle w:val="Listaconvietas"/>
        <w:rPr>
          <w:rFonts w:ascii="ITC Avant Garde" w:hAnsi="ITC Avant Garde"/>
          <w:lang w:val="es-ES"/>
        </w:rPr>
      </w:pPr>
      <w:r w:rsidRPr="00092A03">
        <w:rPr>
          <w:rFonts w:ascii="ITC Avant Garde" w:hAnsi="ITC Avant Garde"/>
          <w:lang w:val="es-ES"/>
        </w:rPr>
        <w:t xml:space="preserve">Podría </w:t>
      </w:r>
      <w:r w:rsidR="000D6224" w:rsidRPr="00092A03">
        <w:rPr>
          <w:rFonts w:ascii="ITC Avant Garde" w:hAnsi="ITC Avant Garde"/>
          <w:lang w:val="es-ES"/>
        </w:rPr>
        <w:t>ser más adecuado utilizar bonos del gobierno mexicano con vencimiento a un periodo similar o incluso algo más cortos (10-20 años), por razones de eficiencia regulatoria</w:t>
      </w:r>
      <w:r w:rsidR="00D73E15" w:rsidRPr="00092A03">
        <w:rPr>
          <w:rFonts w:ascii="ITC Avant Garde" w:hAnsi="ITC Avant Garde"/>
          <w:lang w:val="es-ES"/>
        </w:rPr>
        <w:t>.</w:t>
      </w:r>
    </w:p>
    <w:p w14:paraId="1DE2DBD7" w14:textId="77777777" w:rsidR="000D6224" w:rsidRPr="00092A03" w:rsidRDefault="00F251A8" w:rsidP="000D6224">
      <w:pPr>
        <w:pStyle w:val="Listaconvietas"/>
        <w:rPr>
          <w:rFonts w:ascii="ITC Avant Garde" w:hAnsi="ITC Avant Garde"/>
          <w:lang w:val="es-ES"/>
        </w:rPr>
      </w:pPr>
      <w:r w:rsidRPr="00092A03">
        <w:rPr>
          <w:rFonts w:ascii="ITC Avant Garde" w:hAnsi="ITC Avant Garde"/>
          <w:lang w:val="es-ES"/>
        </w:rPr>
        <w:t>R</w:t>
      </w:r>
      <w:r w:rsidR="000D6224" w:rsidRPr="00092A03">
        <w:rPr>
          <w:rFonts w:ascii="ITC Avant Garde" w:hAnsi="ITC Avant Garde"/>
          <w:lang w:val="es-ES"/>
        </w:rPr>
        <w:t>ecomenda</w:t>
      </w:r>
      <w:r w:rsidRPr="00092A03">
        <w:rPr>
          <w:rFonts w:ascii="ITC Avant Garde" w:hAnsi="ITC Avant Garde"/>
          <w:lang w:val="es-ES"/>
        </w:rPr>
        <w:t>ría</w:t>
      </w:r>
      <w:r w:rsidR="000D6224" w:rsidRPr="00092A03">
        <w:rPr>
          <w:rFonts w:ascii="ITC Avant Garde" w:hAnsi="ITC Avant Garde"/>
          <w:lang w:val="es-ES"/>
        </w:rPr>
        <w:t xml:space="preserve"> utilizar un promedio de los niveles de la tasa libre de riesgo de un periodo reciente (para que reflejen las expectativas futuras) pero que a su vez "promedie" la volatilidad de la tasa en los mercados</w:t>
      </w:r>
      <w:r w:rsidRPr="00092A03">
        <w:rPr>
          <w:rFonts w:ascii="ITC Avant Garde" w:hAnsi="ITC Avant Garde"/>
          <w:lang w:val="es-ES"/>
        </w:rPr>
        <w:t>.</w:t>
      </w:r>
    </w:p>
    <w:p w14:paraId="23188094" w14:textId="77777777" w:rsidR="000D6224" w:rsidRPr="00092A03" w:rsidRDefault="00C9793C" w:rsidP="00C9793C">
      <w:pPr>
        <w:pStyle w:val="Listaconvietas"/>
        <w:numPr>
          <w:ilvl w:val="0"/>
          <w:numId w:val="0"/>
        </w:numPr>
        <w:rPr>
          <w:rFonts w:ascii="ITC Avant Garde" w:hAnsi="ITC Avant Garde"/>
          <w:lang w:val="es-ES"/>
        </w:rPr>
      </w:pPr>
      <w:r w:rsidRPr="00092A03">
        <w:rPr>
          <w:rFonts w:ascii="ITC Avant Garde" w:hAnsi="ITC Avant Garde"/>
          <w:lang w:val="es-ES"/>
        </w:rPr>
        <w:t>Además, añade que r</w:t>
      </w:r>
      <w:r w:rsidR="000D6224" w:rsidRPr="00092A03">
        <w:rPr>
          <w:rFonts w:ascii="ITC Avant Garde" w:hAnsi="ITC Avant Garde"/>
          <w:lang w:val="es-ES"/>
        </w:rPr>
        <w:t>esulta</w:t>
      </w:r>
      <w:r w:rsidRPr="00092A03">
        <w:rPr>
          <w:rFonts w:ascii="ITC Avant Garde" w:hAnsi="ITC Avant Garde"/>
          <w:lang w:val="es-ES"/>
        </w:rPr>
        <w:t>ría</w:t>
      </w:r>
      <w:r w:rsidR="000D6224" w:rsidRPr="00092A03">
        <w:rPr>
          <w:rFonts w:ascii="ITC Avant Garde" w:hAnsi="ITC Avant Garde"/>
          <w:lang w:val="es-ES"/>
        </w:rPr>
        <w:t xml:space="preserve"> conveniente la utilización de un indicador como el EMBI+ de JP Morgan, teniendo en cuenta que es el indicador de su tipo más comúnmente utilizado para medir los riesgos soberanos de países emergentes y que se publica de forma diaria.</w:t>
      </w:r>
    </w:p>
    <w:p w14:paraId="7E096D74" w14:textId="5A790D47" w:rsidR="00E5018A" w:rsidRPr="00092A03" w:rsidRDefault="00C95979" w:rsidP="00E5018A">
      <w:pPr>
        <w:rPr>
          <w:rFonts w:ascii="ITC Avant Garde" w:hAnsi="ITC Avant Garde"/>
          <w:lang w:val="es-ES"/>
        </w:rPr>
      </w:pPr>
      <w:r w:rsidRPr="00092A03">
        <w:rPr>
          <w:rFonts w:ascii="ITC Avant Garde" w:hAnsi="ITC Avant Garde"/>
          <w:lang w:val="es-ES"/>
        </w:rPr>
        <w:t>AT&amp;T</w:t>
      </w:r>
      <w:r w:rsidR="00E5018A" w:rsidRPr="00092A03">
        <w:rPr>
          <w:rFonts w:ascii="ITC Avant Garde" w:hAnsi="ITC Avant Garde"/>
          <w:lang w:val="es-ES"/>
        </w:rPr>
        <w:t xml:space="preserve"> menciona que la tasa libre de riesgo que se propone para el mercado mexicano en los modelos de costos aplicables al año 2018-2020 es considerablemente menor de lo que debería esperarse.</w:t>
      </w:r>
    </w:p>
    <w:p w14:paraId="4AB8E41D" w14:textId="09305E6A" w:rsidR="00722AEC" w:rsidRPr="00092A03" w:rsidRDefault="00F251A8" w:rsidP="00722AEC">
      <w:pPr>
        <w:rPr>
          <w:rFonts w:ascii="ITC Avant Garde" w:hAnsi="ITC Avant Garde"/>
          <w:lang w:val="es-ES"/>
        </w:rPr>
      </w:pPr>
      <w:r w:rsidRPr="00092A03">
        <w:rPr>
          <w:rFonts w:ascii="ITC Avant Garde" w:hAnsi="ITC Avant Garde"/>
          <w:lang w:val="es-ES"/>
        </w:rPr>
        <w:t xml:space="preserve">Por su parte, </w:t>
      </w:r>
      <w:r w:rsidR="00722AEC" w:rsidRPr="00092A03">
        <w:rPr>
          <w:rFonts w:ascii="ITC Avant Garde" w:hAnsi="ITC Avant Garde"/>
          <w:lang w:val="es-ES"/>
        </w:rPr>
        <w:t>Telefónica solicita que el IFT proporcione las fuentes de información utilizadas para la estimación de la tasa de retorno libre de riesgo, ya que el modelo 2016 utilizó un valor de tasa libre de riesgo 1.03 puntos porcentuales mayor y ni los bonos gubernamentales estadounidenses a 30 años ni la prima de riesgo asociada a México presentan esta tendencia, en vistas de las condiciones del mercado.</w:t>
      </w:r>
    </w:p>
    <w:p w14:paraId="321418CF" w14:textId="070BD37D" w:rsidR="00C83412" w:rsidRPr="00092A03" w:rsidRDefault="00C83412" w:rsidP="005E5DF2">
      <w:pPr>
        <w:rPr>
          <w:rFonts w:ascii="ITC Avant Garde" w:hAnsi="ITC Avant Garde"/>
          <w:lang w:val="es-ES"/>
        </w:rPr>
      </w:pPr>
      <w:r w:rsidRPr="00092A03">
        <w:rPr>
          <w:rFonts w:ascii="ITC Avant Garde" w:hAnsi="ITC Avant Garde"/>
          <w:lang w:val="es-ES"/>
        </w:rPr>
        <w:t xml:space="preserve">Telcel no está de acuerdo con el costo de la deuda definido en el cálculo del </w:t>
      </w:r>
      <w:r w:rsidR="005E5DF2" w:rsidRPr="00092A03">
        <w:rPr>
          <w:rFonts w:ascii="ITC Avant Garde" w:hAnsi="ITC Avant Garde"/>
          <w:lang w:val="es-ES"/>
        </w:rPr>
        <w:t>CCPP</w:t>
      </w:r>
      <w:r w:rsidRPr="00092A03">
        <w:rPr>
          <w:rFonts w:ascii="ITC Avant Garde" w:hAnsi="ITC Avant Garde"/>
          <w:lang w:val="es-ES"/>
        </w:rPr>
        <w:t xml:space="preserve">. </w:t>
      </w:r>
      <w:r w:rsidR="005E5DF2" w:rsidRPr="00092A03">
        <w:rPr>
          <w:rFonts w:ascii="ITC Avant Garde" w:hAnsi="ITC Avant Garde"/>
          <w:lang w:val="es-ES"/>
        </w:rPr>
        <w:t xml:space="preserve">Este operador indica que el costo de la deuda es </w:t>
      </w:r>
      <w:r w:rsidRPr="00092A03">
        <w:rPr>
          <w:rFonts w:ascii="ITC Avant Garde" w:hAnsi="ITC Avant Garde"/>
          <w:lang w:val="es-ES"/>
        </w:rPr>
        <w:t>superior al indicado para Telefónica y América Móvil</w:t>
      </w:r>
      <w:r w:rsidR="005E5DF2" w:rsidRPr="00092A03">
        <w:rPr>
          <w:rFonts w:ascii="ITC Avant Garde" w:hAnsi="ITC Avant Garde"/>
          <w:lang w:val="es-ES"/>
        </w:rPr>
        <w:t xml:space="preserve">, y no </w:t>
      </w:r>
      <w:r w:rsidR="00F251A8" w:rsidRPr="00092A03">
        <w:rPr>
          <w:rFonts w:ascii="ITC Avant Garde" w:hAnsi="ITC Avant Garde"/>
          <w:lang w:val="es-ES"/>
        </w:rPr>
        <w:t xml:space="preserve">entiende </w:t>
      </w:r>
      <w:r w:rsidR="005E5DF2" w:rsidRPr="00092A03">
        <w:rPr>
          <w:rFonts w:ascii="ITC Avant Garde" w:hAnsi="ITC Avant Garde"/>
          <w:lang w:val="es-ES"/>
        </w:rPr>
        <w:t>por qué esta situación no es replicada en los modelos de costos</w:t>
      </w:r>
      <w:r w:rsidRPr="00092A03">
        <w:rPr>
          <w:rFonts w:ascii="ITC Avant Garde" w:hAnsi="ITC Avant Garde"/>
          <w:lang w:val="es-ES"/>
        </w:rPr>
        <w:t>.</w:t>
      </w:r>
      <w:r w:rsidR="005E5DF2" w:rsidRPr="00092A03">
        <w:rPr>
          <w:rFonts w:ascii="ITC Avant Garde" w:hAnsi="ITC Avant Garde"/>
          <w:lang w:val="es-ES"/>
        </w:rPr>
        <w:t xml:space="preserve"> Argumenta que los operadores que pretende representar o modelar el operador hipotético existente son empresas transnacionales de telecomunicaciones con grandes economías de escala fuera del mercado mexicano y con presencia internacional que les permite acceder a financiamientos más atractivos</w:t>
      </w:r>
      <w:r w:rsidRPr="00092A03">
        <w:rPr>
          <w:rFonts w:ascii="ITC Avant Garde" w:hAnsi="ITC Avant Garde"/>
          <w:lang w:val="es-ES"/>
        </w:rPr>
        <w:t xml:space="preserve">. </w:t>
      </w:r>
      <w:r w:rsidR="00C95979" w:rsidRPr="00092A03">
        <w:rPr>
          <w:rFonts w:ascii="ITC Avant Garde" w:hAnsi="ITC Avant Garde"/>
          <w:lang w:val="es-ES"/>
        </w:rPr>
        <w:t xml:space="preserve">Por tanto, este operador </w:t>
      </w:r>
      <w:r w:rsidR="005E5DF2" w:rsidRPr="00092A03">
        <w:rPr>
          <w:rFonts w:ascii="ITC Avant Garde" w:hAnsi="ITC Avant Garde"/>
          <w:lang w:val="es-ES"/>
        </w:rPr>
        <w:t>Telcel cree que el modelo debería asumir un menor costo del capital</w:t>
      </w:r>
      <w:r w:rsidR="003B44C0" w:rsidRPr="00092A03">
        <w:rPr>
          <w:rFonts w:ascii="ITC Avant Garde" w:hAnsi="ITC Avant Garde"/>
          <w:lang w:val="es-ES"/>
        </w:rPr>
        <w:t>, teniendo en cuenta que tanto los operadores móviles actuales, como los potenciales operadores móviles son empresas como las mencionadas anteriormente.</w:t>
      </w:r>
    </w:p>
    <w:p w14:paraId="480882BC" w14:textId="6CCADFE3" w:rsidR="00C83412" w:rsidRPr="00092A03" w:rsidRDefault="00C83412" w:rsidP="00C83412">
      <w:pPr>
        <w:rPr>
          <w:rFonts w:ascii="ITC Avant Garde" w:hAnsi="ITC Avant Garde"/>
          <w:lang w:val="es-ES"/>
        </w:rPr>
      </w:pPr>
      <w:r w:rsidRPr="00092A03">
        <w:rPr>
          <w:rFonts w:ascii="ITC Avant Garde" w:hAnsi="ITC Avant Garde"/>
          <w:lang w:val="es-ES"/>
        </w:rPr>
        <w:lastRenderedPageBreak/>
        <w:t xml:space="preserve">Telmex/Telnor considera que la tasa de retorno libre de riesgo </w:t>
      </w:r>
      <w:r w:rsidRPr="00092A03">
        <w:rPr>
          <w:rFonts w:ascii="ITC Avant Garde" w:hAnsi="ITC Avant Garde"/>
          <w:i/>
          <w:lang w:val="es-ES"/>
        </w:rPr>
        <w:t>(</w:t>
      </w:r>
      <w:r w:rsidR="00DF62AA" w:rsidRPr="00092A03">
        <w:rPr>
          <w:rFonts w:ascii="ITC Avant Garde" w:hAnsi="ITC Avant Garde"/>
          <w:i/>
          <w:lang w:val="es-ES"/>
        </w:rPr>
        <w:t>R</w:t>
      </w:r>
      <w:r w:rsidR="00DF62AA" w:rsidRPr="00092A03">
        <w:rPr>
          <w:rFonts w:ascii="ITC Avant Garde" w:hAnsi="ITC Avant Garde"/>
          <w:i/>
          <w:vertAlign w:val="subscript"/>
          <w:lang w:val="es-ES"/>
        </w:rPr>
        <w:t xml:space="preserve">f </w:t>
      </w:r>
      <w:r w:rsidRPr="00092A03">
        <w:rPr>
          <w:rFonts w:ascii="ITC Avant Garde" w:hAnsi="ITC Avant Garde"/>
          <w:i/>
          <w:lang w:val="es-ES"/>
        </w:rPr>
        <w:t>)</w:t>
      </w:r>
      <w:r w:rsidRPr="00092A03">
        <w:rPr>
          <w:rFonts w:ascii="ITC Avant Garde" w:hAnsi="ITC Avant Garde"/>
          <w:lang w:val="es-ES"/>
        </w:rPr>
        <w:t xml:space="preserve"> únicamente compensa el riesgo sistémico de no pago de México, y no refleja por completo el premio adicional que un inversionista requeriría para optar por invertir en pesos en vez de dólares, por lo que requiere añadir un </w:t>
      </w:r>
      <w:r w:rsidRPr="00092A03">
        <w:rPr>
          <w:rFonts w:ascii="ITC Avant Garde" w:hAnsi="ITC Avant Garde"/>
          <w:i/>
          <w:lang w:val="es-ES"/>
        </w:rPr>
        <w:t>spread</w:t>
      </w:r>
      <w:r w:rsidRPr="00092A03">
        <w:rPr>
          <w:rFonts w:ascii="ITC Avant Garde" w:hAnsi="ITC Avant Garde"/>
          <w:lang w:val="es-ES"/>
        </w:rPr>
        <w:t xml:space="preserve"> adicional a la tasa que refleje dicho efecto. Por otra parte, considera que la tasa impositiva es de 40%, y no 30%, al tener que realizar un reparto de utilidades antes de impuestos a sus trabajadores en un orden del 10%.</w:t>
      </w:r>
    </w:p>
    <w:p w14:paraId="098C2F5B" w14:textId="77777777" w:rsidR="00C83412" w:rsidRPr="00092A03" w:rsidRDefault="00F251A8" w:rsidP="00C83412">
      <w:pPr>
        <w:rPr>
          <w:rFonts w:ascii="ITC Avant Garde" w:hAnsi="ITC Avant Garde"/>
          <w:lang w:val="es-ES"/>
        </w:rPr>
      </w:pPr>
      <w:r w:rsidRPr="00092A03">
        <w:rPr>
          <w:rFonts w:ascii="ITC Avant Garde" w:hAnsi="ITC Avant Garde"/>
          <w:lang w:val="es-ES"/>
        </w:rPr>
        <w:t>Además</w:t>
      </w:r>
      <w:r w:rsidR="00C83412" w:rsidRPr="00092A03">
        <w:rPr>
          <w:rFonts w:ascii="ITC Avant Garde" w:hAnsi="ITC Avant Garde"/>
          <w:lang w:val="es-ES"/>
        </w:rPr>
        <w:t>,</w:t>
      </w:r>
      <w:r w:rsidRPr="00092A03">
        <w:rPr>
          <w:rFonts w:ascii="ITC Avant Garde" w:hAnsi="ITC Avant Garde"/>
          <w:lang w:val="es-ES"/>
        </w:rPr>
        <w:t xml:space="preserve"> considera que</w:t>
      </w:r>
      <w:r w:rsidR="00C83412" w:rsidRPr="00092A03">
        <w:rPr>
          <w:rFonts w:ascii="ITC Avant Garde" w:hAnsi="ITC Avant Garde"/>
          <w:lang w:val="es-ES"/>
        </w:rPr>
        <w:t xml:space="preserve"> esta metodología </w:t>
      </w:r>
      <w:r w:rsidRPr="00092A03">
        <w:rPr>
          <w:rFonts w:ascii="ITC Avant Garde" w:hAnsi="ITC Avant Garde"/>
          <w:lang w:val="es-ES"/>
        </w:rPr>
        <w:t>supone</w:t>
      </w:r>
      <w:r w:rsidR="00C83412" w:rsidRPr="00092A03">
        <w:rPr>
          <w:rFonts w:ascii="ITC Avant Garde" w:hAnsi="ITC Avant Garde"/>
          <w:lang w:val="es-ES"/>
        </w:rPr>
        <w:t xml:space="preserve"> que: 1) los inversores tienen expectativas homogéneas, y 2) existe un mercado de capitales perfecto. En este sentido, la metodología no representa la realidad de las condiciones existentes.</w:t>
      </w:r>
    </w:p>
    <w:p w14:paraId="62016D5B" w14:textId="683D723C" w:rsidR="00E5018A" w:rsidRPr="00092A03" w:rsidRDefault="002B648A">
      <w:pPr>
        <w:pStyle w:val="Ttulo4"/>
        <w:rPr>
          <w:rFonts w:ascii="ITC Avant Garde" w:hAnsi="ITC Avant Garde"/>
          <w:b/>
          <w:lang w:val="es-ES"/>
        </w:rPr>
      </w:pPr>
      <w:r w:rsidRPr="00092A03">
        <w:rPr>
          <w:rFonts w:ascii="ITC Avant Garde" w:hAnsi="ITC Avant Garde"/>
          <w:b/>
          <w:lang w:val="es-ES"/>
        </w:rPr>
        <w:t>Consideraciones del Instituto</w:t>
      </w:r>
    </w:p>
    <w:p w14:paraId="6BCD17D8" w14:textId="77777777" w:rsidR="00714EBB" w:rsidRPr="00092A03" w:rsidRDefault="001B39CA" w:rsidP="00E2652C">
      <w:pPr>
        <w:rPr>
          <w:rFonts w:ascii="ITC Avant Garde" w:hAnsi="ITC Avant Garde"/>
          <w:spacing w:val="-4"/>
          <w:lang w:val="es-ES"/>
        </w:rPr>
      </w:pPr>
      <w:r w:rsidRPr="00092A03">
        <w:rPr>
          <w:rFonts w:ascii="ITC Avant Garde" w:hAnsi="ITC Avant Garde"/>
          <w:spacing w:val="-4"/>
          <w:lang w:val="es-ES"/>
        </w:rPr>
        <w:t>Los comentarios recibidos por parte de los operadores para e</w:t>
      </w:r>
      <w:r w:rsidR="00BF1CC3" w:rsidRPr="00092A03">
        <w:rPr>
          <w:rFonts w:ascii="ITC Avant Garde" w:hAnsi="ITC Avant Garde"/>
          <w:spacing w:val="-4"/>
          <w:lang w:val="es-ES"/>
        </w:rPr>
        <w:t>ste</w:t>
      </w:r>
      <w:r w:rsidRPr="00092A03">
        <w:rPr>
          <w:rFonts w:ascii="ITC Avant Garde" w:hAnsi="ITC Avant Garde"/>
          <w:spacing w:val="-4"/>
          <w:lang w:val="es-ES"/>
        </w:rPr>
        <w:t xml:space="preserve"> concepto propuesto </w:t>
      </w:r>
      <w:r w:rsidR="00BF1CC3" w:rsidRPr="00092A03">
        <w:rPr>
          <w:rFonts w:ascii="ITC Avant Garde" w:hAnsi="ITC Avant Garde"/>
          <w:spacing w:val="-4"/>
          <w:lang w:val="es-ES"/>
        </w:rPr>
        <w:t xml:space="preserve">son variados y a menudo contrastan entre ellos, </w:t>
      </w:r>
      <w:r w:rsidR="00714EBB" w:rsidRPr="00092A03">
        <w:rPr>
          <w:rFonts w:ascii="ITC Avant Garde" w:hAnsi="ITC Avant Garde"/>
          <w:spacing w:val="-4"/>
          <w:lang w:val="es-ES"/>
        </w:rPr>
        <w:t>tanto a nivel de</w:t>
      </w:r>
      <w:r w:rsidR="00DC4F1B" w:rsidRPr="00092A03">
        <w:rPr>
          <w:rFonts w:ascii="ITC Avant Garde" w:hAnsi="ITC Avant Garde"/>
          <w:spacing w:val="-4"/>
          <w:lang w:val="es-ES"/>
        </w:rPr>
        <w:t xml:space="preserve"> </w:t>
      </w:r>
      <w:r w:rsidR="00714EBB" w:rsidRPr="00092A03">
        <w:rPr>
          <w:rFonts w:ascii="ITC Avant Garde" w:hAnsi="ITC Avant Garde"/>
          <w:spacing w:val="-4"/>
          <w:lang w:val="es-ES"/>
        </w:rPr>
        <w:t>metodología propuesta para el cálculo de la tasa de retorno libre de riesgo como en el valor al que debería apuntar la misma.</w:t>
      </w:r>
    </w:p>
    <w:p w14:paraId="3618A6DD" w14:textId="77777777" w:rsidR="001B39CA" w:rsidRPr="00092A03" w:rsidRDefault="00714EBB" w:rsidP="00E2652C">
      <w:pPr>
        <w:rPr>
          <w:rFonts w:ascii="ITC Avant Garde" w:hAnsi="ITC Avant Garde"/>
          <w:spacing w:val="-4"/>
          <w:lang w:val="es-ES"/>
        </w:rPr>
      </w:pPr>
      <w:r w:rsidRPr="00092A03">
        <w:rPr>
          <w:rFonts w:ascii="ITC Avant Garde" w:hAnsi="ITC Avant Garde"/>
          <w:spacing w:val="-4"/>
          <w:lang w:val="es-ES"/>
        </w:rPr>
        <w:t>Por un lado, varios operadores sugieren que el valor utilizado para la tasa de retorno libre de riesgo</w:t>
      </w:r>
      <w:r w:rsidR="00E23909" w:rsidRPr="00092A03">
        <w:rPr>
          <w:rFonts w:ascii="ITC Avant Garde" w:hAnsi="ITC Avant Garde"/>
          <w:spacing w:val="-4"/>
          <w:lang w:val="es-ES"/>
        </w:rPr>
        <w:t xml:space="preserve"> es demasiado bajo, </w:t>
      </w:r>
      <w:r w:rsidR="00BF1CC3" w:rsidRPr="00092A03">
        <w:rPr>
          <w:rFonts w:ascii="ITC Avant Garde" w:hAnsi="ITC Avant Garde"/>
          <w:spacing w:val="-4"/>
          <w:lang w:val="es-ES"/>
        </w:rPr>
        <w:t xml:space="preserve">mientras que por otro lado un </w:t>
      </w:r>
      <w:r w:rsidR="00E23909" w:rsidRPr="00092A03">
        <w:rPr>
          <w:rFonts w:ascii="ITC Avant Garde" w:hAnsi="ITC Avant Garde"/>
          <w:spacing w:val="-4"/>
          <w:lang w:val="es-ES"/>
        </w:rPr>
        <w:t>operador opina que el debería ser aún menor.</w:t>
      </w:r>
    </w:p>
    <w:p w14:paraId="6AC64D9D" w14:textId="2FD22F17" w:rsidR="00E23909" w:rsidRPr="00092A03" w:rsidRDefault="00BF1CC3" w:rsidP="00E2652C">
      <w:pPr>
        <w:rPr>
          <w:rFonts w:ascii="ITC Avant Garde" w:hAnsi="ITC Avant Garde"/>
          <w:spacing w:val="-4"/>
          <w:lang w:val="es-ES"/>
        </w:rPr>
      </w:pPr>
      <w:r w:rsidRPr="00092A03">
        <w:rPr>
          <w:rFonts w:ascii="ITC Avant Garde" w:hAnsi="ITC Avant Garde"/>
          <w:spacing w:val="-4"/>
          <w:lang w:val="es-ES"/>
        </w:rPr>
        <w:t>De la misma manera</w:t>
      </w:r>
      <w:r w:rsidR="00E23909" w:rsidRPr="00092A03">
        <w:rPr>
          <w:rFonts w:ascii="ITC Avant Garde" w:hAnsi="ITC Avant Garde"/>
          <w:spacing w:val="-4"/>
          <w:lang w:val="es-ES"/>
        </w:rPr>
        <w:t>, un operador sugiere la utilización de un indicador como el EMBI+ de JP para la prima de riesgo país</w:t>
      </w:r>
      <w:r w:rsidR="00E40AD6" w:rsidRPr="00092A03">
        <w:rPr>
          <w:rFonts w:ascii="ITC Avant Garde" w:hAnsi="ITC Avant Garde"/>
          <w:spacing w:val="-4"/>
          <w:lang w:val="es-ES"/>
        </w:rPr>
        <w:t xml:space="preserve"> o usar directamente los bonos del gobierno mexicano a largo plazo – </w:t>
      </w:r>
      <w:r w:rsidR="0060271D" w:rsidRPr="00092A03">
        <w:rPr>
          <w:rFonts w:ascii="ITC Avant Garde" w:hAnsi="ITC Avant Garde"/>
          <w:spacing w:val="-4"/>
          <w:lang w:val="es-ES"/>
        </w:rPr>
        <w:t xml:space="preserve">donde </w:t>
      </w:r>
      <w:r w:rsidR="006B0365" w:rsidRPr="00092A03">
        <w:rPr>
          <w:rFonts w:ascii="ITC Avant Garde" w:hAnsi="ITC Avant Garde"/>
          <w:spacing w:val="-4"/>
          <w:lang w:val="es-ES"/>
        </w:rPr>
        <w:t>se entiende</w:t>
      </w:r>
      <w:r w:rsidR="0060271D" w:rsidRPr="00092A03">
        <w:rPr>
          <w:rFonts w:ascii="ITC Avant Garde" w:hAnsi="ITC Avant Garde"/>
          <w:spacing w:val="-4"/>
          <w:lang w:val="es-ES"/>
        </w:rPr>
        <w:t xml:space="preserve"> tendría ya en cuenta el riesgo país</w:t>
      </w:r>
      <w:r w:rsidR="00E23909" w:rsidRPr="00092A03">
        <w:rPr>
          <w:rFonts w:ascii="ITC Avant Garde" w:hAnsi="ITC Avant Garde"/>
          <w:spacing w:val="-4"/>
          <w:lang w:val="es-ES"/>
        </w:rPr>
        <w:t xml:space="preserve">, </w:t>
      </w:r>
      <w:r w:rsidRPr="00092A03">
        <w:rPr>
          <w:rFonts w:ascii="ITC Avant Garde" w:hAnsi="ITC Avant Garde"/>
          <w:spacing w:val="-4"/>
          <w:lang w:val="es-ES"/>
        </w:rPr>
        <w:t xml:space="preserve">mientras </w:t>
      </w:r>
      <w:r w:rsidR="00E23909" w:rsidRPr="00092A03">
        <w:rPr>
          <w:rFonts w:ascii="ITC Avant Garde" w:hAnsi="ITC Avant Garde"/>
          <w:spacing w:val="-4"/>
          <w:lang w:val="es-ES"/>
        </w:rPr>
        <w:t xml:space="preserve">otros indican que se debería tener en cuenta que los operadores reales forman parte de grupos multinacionales </w:t>
      </w:r>
      <w:r w:rsidR="00DC4F1B" w:rsidRPr="00092A03">
        <w:rPr>
          <w:rFonts w:ascii="ITC Avant Garde" w:hAnsi="ITC Avant Garde"/>
          <w:spacing w:val="-4"/>
          <w:lang w:val="es-ES"/>
        </w:rPr>
        <w:t>–</w:t>
      </w:r>
      <w:r w:rsidR="00E23909" w:rsidRPr="00092A03">
        <w:rPr>
          <w:rFonts w:ascii="ITC Avant Garde" w:hAnsi="ITC Avant Garde"/>
          <w:spacing w:val="-4"/>
          <w:lang w:val="es-ES"/>
        </w:rPr>
        <w:t xml:space="preserve"> y por tanto</w:t>
      </w:r>
      <w:r w:rsidR="00DC4F1B" w:rsidRPr="00092A03">
        <w:rPr>
          <w:rFonts w:ascii="ITC Avant Garde" w:hAnsi="ITC Avant Garde"/>
          <w:spacing w:val="-4"/>
          <w:lang w:val="es-ES"/>
        </w:rPr>
        <w:t xml:space="preserve"> son</w:t>
      </w:r>
      <w:r w:rsidR="00E23909" w:rsidRPr="00092A03">
        <w:rPr>
          <w:rFonts w:ascii="ITC Avant Garde" w:hAnsi="ITC Avant Garde"/>
          <w:spacing w:val="-4"/>
          <w:lang w:val="es-ES"/>
        </w:rPr>
        <w:t xml:space="preserve"> capaces de financiarse a menor interés</w:t>
      </w:r>
      <w:r w:rsidRPr="00092A03">
        <w:rPr>
          <w:rFonts w:ascii="ITC Avant Garde" w:hAnsi="ITC Avant Garde"/>
          <w:spacing w:val="-4"/>
          <w:lang w:val="es-ES"/>
        </w:rPr>
        <w:t>,</w:t>
      </w:r>
      <w:r w:rsidR="00E23909" w:rsidRPr="00092A03">
        <w:rPr>
          <w:rFonts w:ascii="ITC Avant Garde" w:hAnsi="ITC Avant Garde"/>
          <w:spacing w:val="-4"/>
          <w:lang w:val="es-ES"/>
        </w:rPr>
        <w:t xml:space="preserve"> o</w:t>
      </w:r>
      <w:r w:rsidR="0060271D" w:rsidRPr="00092A03">
        <w:rPr>
          <w:rFonts w:ascii="ITC Avant Garde" w:hAnsi="ITC Avant Garde"/>
          <w:spacing w:val="-4"/>
          <w:lang w:val="es-ES"/>
        </w:rPr>
        <w:t xml:space="preserve"> </w:t>
      </w:r>
      <w:r w:rsidR="00E23909" w:rsidRPr="00092A03">
        <w:rPr>
          <w:rFonts w:ascii="ITC Avant Garde" w:hAnsi="ITC Avant Garde"/>
          <w:spacing w:val="-4"/>
          <w:lang w:val="es-ES"/>
        </w:rPr>
        <w:t xml:space="preserve">que se debería añadir un </w:t>
      </w:r>
      <w:r w:rsidR="00E23909" w:rsidRPr="00092A03">
        <w:rPr>
          <w:rFonts w:ascii="ITC Avant Garde" w:hAnsi="ITC Avant Garde"/>
          <w:i/>
          <w:spacing w:val="-4"/>
          <w:lang w:val="es-ES"/>
        </w:rPr>
        <w:t>spread</w:t>
      </w:r>
      <w:r w:rsidR="00E23909" w:rsidRPr="00092A03">
        <w:rPr>
          <w:rFonts w:ascii="ITC Avant Garde" w:hAnsi="ITC Avant Garde"/>
          <w:spacing w:val="-4"/>
          <w:lang w:val="es-ES"/>
        </w:rPr>
        <w:t xml:space="preserve"> adicional para considerar el interés adicional que un inversor requeriría por invertir en pesos mexicanos en vez de en dólares americanos</w:t>
      </w:r>
      <w:r w:rsidR="00DC4F1B" w:rsidRPr="00092A03">
        <w:rPr>
          <w:rFonts w:ascii="ITC Avant Garde" w:hAnsi="ITC Avant Garde"/>
          <w:spacing w:val="-4"/>
          <w:lang w:val="es-ES"/>
        </w:rPr>
        <w:t xml:space="preserve"> – lo que tendría el efecto contrario al método anterior</w:t>
      </w:r>
      <w:r w:rsidR="00E23909" w:rsidRPr="00092A03">
        <w:rPr>
          <w:rFonts w:ascii="ITC Avant Garde" w:hAnsi="ITC Avant Garde"/>
          <w:spacing w:val="-4"/>
          <w:lang w:val="es-ES"/>
        </w:rPr>
        <w:t>.</w:t>
      </w:r>
    </w:p>
    <w:p w14:paraId="549C7E5D" w14:textId="77777777" w:rsidR="00E40AD6" w:rsidRPr="00092A03" w:rsidRDefault="0060271D" w:rsidP="00E5018A">
      <w:pPr>
        <w:rPr>
          <w:rFonts w:ascii="ITC Avant Garde" w:hAnsi="ITC Avant Garde"/>
          <w:spacing w:val="-4"/>
          <w:lang w:val="es-ES"/>
        </w:rPr>
      </w:pPr>
      <w:r w:rsidRPr="00092A03">
        <w:rPr>
          <w:rFonts w:ascii="ITC Avant Garde" w:hAnsi="ITC Avant Garde"/>
          <w:spacing w:val="-4"/>
          <w:lang w:val="es-ES"/>
        </w:rPr>
        <w:t xml:space="preserve">En cuanto al uso del EMBI+, indicar que el bono EMBI+ refleja los riesgos soberanos de países emergentes, mientras que en el caso presente nos interesa exclusivamente la prima de riesgo asociada a México. Además, su medida diaria no aporta mayor precisión, y requeriría de cálculos adicionales para estimar la media anual, introduciendo incertidumbre adicional. Por ello, </w:t>
      </w:r>
      <w:r w:rsidR="00BF1CC3" w:rsidRPr="00092A03">
        <w:rPr>
          <w:rFonts w:ascii="ITC Avant Garde" w:hAnsi="ITC Avant Garde"/>
          <w:spacing w:val="-4"/>
          <w:lang w:val="es-ES"/>
        </w:rPr>
        <w:t xml:space="preserve">se considera </w:t>
      </w:r>
      <w:r w:rsidRPr="00092A03">
        <w:rPr>
          <w:rFonts w:ascii="ITC Avant Garde" w:hAnsi="ITC Avant Garde"/>
          <w:spacing w:val="-4"/>
          <w:lang w:val="es-ES"/>
        </w:rPr>
        <w:t xml:space="preserve">que el indicador no es adecuado y la opción de emplear datos de una fuente reconocida internacionalmente, como puede ser la del profesor </w:t>
      </w:r>
      <w:proofErr w:type="spellStart"/>
      <w:r w:rsidRPr="00092A03">
        <w:rPr>
          <w:rFonts w:ascii="ITC Avant Garde" w:hAnsi="ITC Avant Garde"/>
          <w:spacing w:val="-4"/>
          <w:lang w:val="es-ES"/>
        </w:rPr>
        <w:t>Aswath</w:t>
      </w:r>
      <w:proofErr w:type="spellEnd"/>
      <w:r w:rsidRPr="00092A03">
        <w:rPr>
          <w:rFonts w:ascii="ITC Avant Garde" w:hAnsi="ITC Avant Garde"/>
          <w:spacing w:val="-4"/>
          <w:lang w:val="es-ES"/>
        </w:rPr>
        <w:t xml:space="preserve"> </w:t>
      </w:r>
      <w:proofErr w:type="spellStart"/>
      <w:r w:rsidRPr="00092A03">
        <w:rPr>
          <w:rFonts w:ascii="ITC Avant Garde" w:hAnsi="ITC Avant Garde"/>
          <w:spacing w:val="-4"/>
          <w:lang w:val="es-ES"/>
        </w:rPr>
        <w:t>Damodaran</w:t>
      </w:r>
      <w:proofErr w:type="spellEnd"/>
      <w:r w:rsidRPr="00092A03">
        <w:rPr>
          <w:rFonts w:ascii="ITC Avant Garde" w:hAnsi="ITC Avant Garde"/>
          <w:spacing w:val="-4"/>
          <w:lang w:val="es-ES"/>
        </w:rPr>
        <w:t xml:space="preserve"> de la Universidad de Nueva York, es más adecuada.</w:t>
      </w:r>
    </w:p>
    <w:p w14:paraId="12A89938" w14:textId="77777777" w:rsidR="0060271D" w:rsidRPr="00092A03" w:rsidRDefault="0060271D" w:rsidP="0060271D">
      <w:pPr>
        <w:rPr>
          <w:rFonts w:ascii="ITC Avant Garde" w:hAnsi="ITC Avant Garde"/>
          <w:spacing w:val="-4"/>
          <w:lang w:val="es-ES"/>
        </w:rPr>
      </w:pPr>
      <w:r w:rsidRPr="00092A03">
        <w:rPr>
          <w:rFonts w:ascii="ITC Avant Garde" w:hAnsi="ITC Avant Garde"/>
          <w:spacing w:val="-4"/>
          <w:lang w:val="es-ES"/>
        </w:rPr>
        <w:t xml:space="preserve">En lo relativo a replicar </w:t>
      </w:r>
      <w:r w:rsidR="00BF1CC3" w:rsidRPr="00092A03">
        <w:rPr>
          <w:rFonts w:ascii="ITC Avant Garde" w:hAnsi="ITC Avant Garde"/>
          <w:spacing w:val="-4"/>
          <w:lang w:val="es-ES"/>
        </w:rPr>
        <w:t xml:space="preserve">una </w:t>
      </w:r>
      <w:r w:rsidR="00F251A8" w:rsidRPr="00092A03">
        <w:rPr>
          <w:rFonts w:ascii="ITC Avant Garde" w:hAnsi="ITC Avant Garde"/>
          <w:spacing w:val="-4"/>
          <w:lang w:val="es-ES"/>
        </w:rPr>
        <w:t>financiación</w:t>
      </w:r>
      <w:r w:rsidR="00FF0345" w:rsidRPr="00092A03">
        <w:rPr>
          <w:rFonts w:ascii="ITC Avant Garde" w:hAnsi="ITC Avant Garde"/>
          <w:spacing w:val="-4"/>
          <w:lang w:val="es-ES"/>
        </w:rPr>
        <w:t xml:space="preserve"> </w:t>
      </w:r>
      <w:r w:rsidR="00BF1CC3" w:rsidRPr="00092A03">
        <w:rPr>
          <w:rFonts w:ascii="ITC Avant Garde" w:hAnsi="ITC Avant Garde"/>
          <w:spacing w:val="-4"/>
          <w:lang w:val="es-ES"/>
        </w:rPr>
        <w:t xml:space="preserve">potencialmente </w:t>
      </w:r>
      <w:r w:rsidR="00FF0345" w:rsidRPr="00092A03">
        <w:rPr>
          <w:rFonts w:ascii="ITC Avant Garde" w:hAnsi="ITC Avant Garde"/>
          <w:spacing w:val="-4"/>
          <w:lang w:val="es-ES"/>
        </w:rPr>
        <w:t>más atractiv</w:t>
      </w:r>
      <w:r w:rsidR="00BF1CC3" w:rsidRPr="00092A03">
        <w:rPr>
          <w:rFonts w:ascii="ITC Avant Garde" w:hAnsi="ITC Avant Garde"/>
          <w:spacing w:val="-4"/>
          <w:lang w:val="es-ES"/>
        </w:rPr>
        <w:t>a</w:t>
      </w:r>
      <w:r w:rsidR="00FF0345" w:rsidRPr="00092A03">
        <w:rPr>
          <w:rFonts w:ascii="ITC Avant Garde" w:hAnsi="ITC Avant Garde"/>
          <w:spacing w:val="-4"/>
          <w:lang w:val="es-ES"/>
        </w:rPr>
        <w:t xml:space="preserve"> </w:t>
      </w:r>
      <w:r w:rsidRPr="00092A03">
        <w:rPr>
          <w:rFonts w:ascii="ITC Avant Garde" w:hAnsi="ITC Avant Garde"/>
          <w:spacing w:val="-4"/>
          <w:lang w:val="es-ES"/>
        </w:rPr>
        <w:t>a</w:t>
      </w:r>
      <w:r w:rsidR="00FF0345" w:rsidRPr="00092A03">
        <w:rPr>
          <w:rFonts w:ascii="ITC Avant Garde" w:hAnsi="ITC Avant Garde"/>
          <w:spacing w:val="-4"/>
          <w:lang w:val="es-ES"/>
        </w:rPr>
        <w:t xml:space="preserve"> l</w:t>
      </w:r>
      <w:r w:rsidR="00F251A8" w:rsidRPr="00092A03">
        <w:rPr>
          <w:rFonts w:ascii="ITC Avant Garde" w:hAnsi="ITC Avant Garde"/>
          <w:spacing w:val="-4"/>
          <w:lang w:val="es-ES"/>
        </w:rPr>
        <w:t>a</w:t>
      </w:r>
      <w:r w:rsidR="00FF0345" w:rsidRPr="00092A03">
        <w:rPr>
          <w:rFonts w:ascii="ITC Avant Garde" w:hAnsi="ITC Avant Garde"/>
          <w:spacing w:val="-4"/>
          <w:lang w:val="es-ES"/>
        </w:rPr>
        <w:t xml:space="preserve"> que podría</w:t>
      </w:r>
      <w:r w:rsidR="00F251A8" w:rsidRPr="00092A03">
        <w:rPr>
          <w:rFonts w:ascii="ITC Avant Garde" w:hAnsi="ITC Avant Garde"/>
          <w:spacing w:val="-4"/>
          <w:lang w:val="es-ES"/>
        </w:rPr>
        <w:t>n</w:t>
      </w:r>
      <w:r w:rsidR="00FF0345" w:rsidRPr="00092A03">
        <w:rPr>
          <w:rFonts w:ascii="ITC Avant Garde" w:hAnsi="ITC Avant Garde"/>
          <w:spacing w:val="-4"/>
          <w:lang w:val="es-ES"/>
        </w:rPr>
        <w:t xml:space="preserve"> tener acceso grupos </w:t>
      </w:r>
      <w:r w:rsidR="00BF1CC3" w:rsidRPr="00092A03">
        <w:rPr>
          <w:rFonts w:ascii="ITC Avant Garde" w:hAnsi="ITC Avant Garde"/>
          <w:spacing w:val="-4"/>
          <w:lang w:val="es-ES"/>
        </w:rPr>
        <w:t xml:space="preserve">internacionales </w:t>
      </w:r>
      <w:r w:rsidR="00FF0345" w:rsidRPr="00092A03">
        <w:rPr>
          <w:rFonts w:ascii="ITC Avant Garde" w:hAnsi="ITC Avant Garde"/>
          <w:spacing w:val="-4"/>
          <w:lang w:val="es-ES"/>
        </w:rPr>
        <w:t>como T</w:t>
      </w:r>
      <w:r w:rsidRPr="00092A03">
        <w:rPr>
          <w:rFonts w:ascii="ITC Avant Garde" w:hAnsi="ITC Avant Garde"/>
          <w:spacing w:val="-4"/>
          <w:lang w:val="es-ES"/>
        </w:rPr>
        <w:t xml:space="preserve">elefónica y/o </w:t>
      </w:r>
      <w:r w:rsidR="002F772D" w:rsidRPr="00092A03">
        <w:rPr>
          <w:rFonts w:ascii="ITC Avant Garde" w:hAnsi="ITC Avant Garde"/>
          <w:spacing w:val="-4"/>
          <w:lang w:val="es-ES"/>
        </w:rPr>
        <w:t>AT&amp;T</w:t>
      </w:r>
      <w:r w:rsidR="00FF0345" w:rsidRPr="00092A03">
        <w:rPr>
          <w:rFonts w:ascii="ITC Avant Garde" w:hAnsi="ITC Avant Garde"/>
          <w:spacing w:val="-4"/>
          <w:lang w:val="es-ES"/>
        </w:rPr>
        <w:t xml:space="preserve">, </w:t>
      </w:r>
      <w:r w:rsidR="00BF1CC3" w:rsidRPr="00092A03">
        <w:rPr>
          <w:rFonts w:ascii="ITC Avant Garde" w:hAnsi="ITC Avant Garde"/>
          <w:spacing w:val="-4"/>
          <w:lang w:val="es-ES"/>
        </w:rPr>
        <w:t xml:space="preserve">se entiende </w:t>
      </w:r>
      <w:r w:rsidR="00F251A8" w:rsidRPr="00092A03">
        <w:rPr>
          <w:rFonts w:ascii="ITC Avant Garde" w:hAnsi="ITC Avant Garde"/>
          <w:spacing w:val="-4"/>
          <w:lang w:val="es-ES"/>
        </w:rPr>
        <w:t>que</w:t>
      </w:r>
      <w:r w:rsidR="00FF0345" w:rsidRPr="00092A03">
        <w:rPr>
          <w:rFonts w:ascii="ITC Avant Garde" w:hAnsi="ITC Avant Garde"/>
          <w:spacing w:val="-4"/>
          <w:lang w:val="es-ES"/>
        </w:rPr>
        <w:t xml:space="preserve"> a las operaciones llevadas a cabo en México se ha de asignar el riesgo de operaciones en </w:t>
      </w:r>
      <w:r w:rsidR="00FF0345" w:rsidRPr="00092A03">
        <w:rPr>
          <w:rFonts w:ascii="ITC Avant Garde" w:hAnsi="ITC Avant Garde"/>
          <w:spacing w:val="-4"/>
          <w:lang w:val="es-ES"/>
        </w:rPr>
        <w:lastRenderedPageBreak/>
        <w:t>México. Además, el operador modelado es hipotético, por lo que es lógico que el riesgo sea mayor que el riesgo del país.</w:t>
      </w:r>
    </w:p>
    <w:p w14:paraId="690AAE3E" w14:textId="77777777" w:rsidR="00FF0345" w:rsidRPr="00092A03" w:rsidRDefault="00FF0345" w:rsidP="00FF0345">
      <w:pPr>
        <w:rPr>
          <w:rFonts w:ascii="ITC Avant Garde" w:hAnsi="ITC Avant Garde"/>
          <w:spacing w:val="-4"/>
          <w:lang w:val="es-ES"/>
        </w:rPr>
      </w:pPr>
      <w:r w:rsidRPr="00092A03">
        <w:rPr>
          <w:rFonts w:ascii="ITC Avant Garde" w:hAnsi="ITC Avant Garde"/>
          <w:spacing w:val="-4"/>
          <w:lang w:val="es-ES"/>
        </w:rPr>
        <w:t xml:space="preserve">Sobre el </w:t>
      </w:r>
      <w:r w:rsidRPr="00092A03">
        <w:rPr>
          <w:rFonts w:ascii="ITC Avant Garde" w:hAnsi="ITC Avant Garde"/>
          <w:i/>
          <w:spacing w:val="-4"/>
          <w:lang w:val="es-ES"/>
        </w:rPr>
        <w:t xml:space="preserve">spread </w:t>
      </w:r>
      <w:r w:rsidRPr="00092A03">
        <w:rPr>
          <w:rFonts w:ascii="ITC Avant Garde" w:hAnsi="ITC Avant Garde"/>
          <w:spacing w:val="-4"/>
          <w:lang w:val="es-ES"/>
        </w:rPr>
        <w:t xml:space="preserve">adicional que propone un operador, señalar que este operador no justifica la necesidad del </w:t>
      </w:r>
      <w:r w:rsidRPr="00092A03">
        <w:rPr>
          <w:rFonts w:ascii="ITC Avant Garde" w:hAnsi="ITC Avant Garde"/>
          <w:i/>
          <w:spacing w:val="-4"/>
          <w:lang w:val="es-ES"/>
        </w:rPr>
        <w:t>spread</w:t>
      </w:r>
      <w:r w:rsidRPr="00092A03">
        <w:rPr>
          <w:rFonts w:ascii="ITC Avant Garde" w:hAnsi="ITC Avant Garde"/>
          <w:spacing w:val="-4"/>
          <w:lang w:val="es-ES"/>
        </w:rPr>
        <w:t xml:space="preserve"> adicional</w:t>
      </w:r>
      <w:r w:rsidR="00BF1CC3" w:rsidRPr="00092A03">
        <w:rPr>
          <w:rFonts w:ascii="ITC Avant Garde" w:hAnsi="ITC Avant Garde"/>
          <w:spacing w:val="-4"/>
          <w:lang w:val="es-ES"/>
        </w:rPr>
        <w:t>,</w:t>
      </w:r>
      <w:r w:rsidRPr="00092A03">
        <w:rPr>
          <w:rFonts w:ascii="ITC Avant Garde" w:hAnsi="ITC Avant Garde"/>
          <w:spacing w:val="-4"/>
          <w:lang w:val="es-ES"/>
        </w:rPr>
        <w:t xml:space="preserve"> ni indica qué </w:t>
      </w:r>
      <w:r w:rsidRPr="00092A03">
        <w:rPr>
          <w:rFonts w:ascii="ITC Avant Garde" w:hAnsi="ITC Avant Garde"/>
          <w:i/>
          <w:spacing w:val="-4"/>
          <w:lang w:val="es-ES"/>
        </w:rPr>
        <w:t>spread</w:t>
      </w:r>
      <w:r w:rsidRPr="00092A03">
        <w:rPr>
          <w:rFonts w:ascii="ITC Avant Garde" w:hAnsi="ITC Avant Garde"/>
          <w:spacing w:val="-4"/>
          <w:lang w:val="es-ES"/>
        </w:rPr>
        <w:t xml:space="preserve"> adicional integraría.</w:t>
      </w:r>
      <w:r w:rsidR="00E800DC" w:rsidRPr="00092A03">
        <w:rPr>
          <w:rFonts w:ascii="ITC Avant Garde" w:hAnsi="ITC Avant Garde"/>
          <w:spacing w:val="-4"/>
          <w:lang w:val="es-ES"/>
        </w:rPr>
        <w:t xml:space="preserve"> Además, la fuente empleada parte asimismo de un </w:t>
      </w:r>
      <w:r w:rsidR="00E800DC" w:rsidRPr="00092A03">
        <w:rPr>
          <w:rFonts w:ascii="ITC Avant Garde" w:hAnsi="ITC Avant Garde"/>
          <w:i/>
          <w:spacing w:val="-4"/>
          <w:lang w:val="es-ES"/>
        </w:rPr>
        <w:t>spread</w:t>
      </w:r>
      <w:r w:rsidR="00E800DC" w:rsidRPr="00092A03">
        <w:rPr>
          <w:rFonts w:ascii="ITC Avant Garde" w:hAnsi="ITC Avant Garde"/>
          <w:spacing w:val="-4"/>
          <w:lang w:val="es-ES"/>
        </w:rPr>
        <w:t xml:space="preserve"> para el cálculo del retorno libre de riesgo.</w:t>
      </w:r>
    </w:p>
    <w:p w14:paraId="59CB6381" w14:textId="77777777" w:rsidR="00FF0345" w:rsidRPr="00092A03" w:rsidRDefault="00E800DC" w:rsidP="00FF0345">
      <w:pPr>
        <w:rPr>
          <w:rFonts w:ascii="ITC Avant Garde" w:hAnsi="ITC Avant Garde"/>
          <w:spacing w:val="-4"/>
          <w:lang w:val="es-ES"/>
        </w:rPr>
      </w:pPr>
      <w:r w:rsidRPr="00092A03">
        <w:rPr>
          <w:rFonts w:ascii="ITC Avant Garde" w:hAnsi="ITC Avant Garde"/>
          <w:spacing w:val="-4"/>
          <w:lang w:val="es-ES"/>
        </w:rPr>
        <w:t xml:space="preserve">En respuesta al operador que sugiere un promedio de los niveles de la tasa libre de riesgo de un periodo reciente (para que reflejen las expectativas futuras) pero que a su vez "promedie" la volatilidad de la tasa en los mercados, </w:t>
      </w:r>
      <w:r w:rsidR="00BF1CC3" w:rsidRPr="00092A03">
        <w:rPr>
          <w:rFonts w:ascii="ITC Avant Garde" w:hAnsi="ITC Avant Garde"/>
          <w:spacing w:val="-4"/>
          <w:lang w:val="es-ES"/>
        </w:rPr>
        <w:t xml:space="preserve">se </w:t>
      </w:r>
      <w:r w:rsidRPr="00092A03">
        <w:rPr>
          <w:rFonts w:ascii="ITC Avant Garde" w:hAnsi="ITC Avant Garde"/>
          <w:spacing w:val="-4"/>
          <w:lang w:val="es-ES"/>
        </w:rPr>
        <w:t>destaca que el periodo reciente es un tanto excepcional, de ahí que pueda tener poco sentido la utilización de promedios más recientes. Por otra parte, la elección de los años a promediar sería una decisión arbitraria que sería difícil de justificar</w:t>
      </w:r>
      <w:r w:rsidR="00BF1CC3" w:rsidRPr="00092A03">
        <w:rPr>
          <w:rFonts w:ascii="ITC Avant Garde" w:hAnsi="ITC Avant Garde"/>
          <w:spacing w:val="-4"/>
          <w:lang w:val="es-ES"/>
        </w:rPr>
        <w:t xml:space="preserve"> de forma objetiva</w:t>
      </w:r>
      <w:r w:rsidRPr="00092A03">
        <w:rPr>
          <w:rFonts w:ascii="ITC Avant Garde" w:hAnsi="ITC Avant Garde"/>
          <w:spacing w:val="-4"/>
          <w:lang w:val="es-ES"/>
        </w:rPr>
        <w:t>.</w:t>
      </w:r>
    </w:p>
    <w:p w14:paraId="42269F8E" w14:textId="77777777" w:rsidR="00E5018A" w:rsidRPr="00092A03" w:rsidRDefault="00FF0345" w:rsidP="00E5018A">
      <w:pPr>
        <w:rPr>
          <w:rFonts w:ascii="ITC Avant Garde" w:hAnsi="ITC Avant Garde"/>
          <w:lang w:val="es-ES"/>
        </w:rPr>
      </w:pPr>
      <w:r w:rsidRPr="00092A03">
        <w:rPr>
          <w:rFonts w:ascii="ITC Avant Garde" w:hAnsi="ITC Avant Garde"/>
          <w:spacing w:val="-4"/>
          <w:lang w:val="es-ES"/>
        </w:rPr>
        <w:t>Por tanto, d</w:t>
      </w:r>
      <w:r w:rsidR="00DC4F1B" w:rsidRPr="00092A03">
        <w:rPr>
          <w:rFonts w:ascii="ITC Avant Garde" w:hAnsi="ITC Avant Garde"/>
          <w:spacing w:val="-4"/>
          <w:lang w:val="es-ES"/>
        </w:rPr>
        <w:t>ada la subjetividad de este tipo de cálculos económicos</w:t>
      </w:r>
      <w:r w:rsidR="005C08FE" w:rsidRPr="00092A03">
        <w:rPr>
          <w:rFonts w:ascii="ITC Avant Garde" w:hAnsi="ITC Avant Garde"/>
          <w:lang w:val="es-ES"/>
        </w:rPr>
        <w:t xml:space="preserve"> </w:t>
      </w:r>
      <w:r w:rsidR="005C08FE" w:rsidRPr="00092A03">
        <w:rPr>
          <w:rFonts w:ascii="ITC Avant Garde" w:hAnsi="ITC Avant Garde"/>
          <w:spacing w:val="-4"/>
          <w:lang w:val="es-ES"/>
        </w:rPr>
        <w:t>evidenciada en los comentarios discrepantes de los operadores</w:t>
      </w:r>
      <w:r w:rsidR="00DC4F1B" w:rsidRPr="00092A03">
        <w:rPr>
          <w:rFonts w:ascii="ITC Avant Garde" w:hAnsi="ITC Avant Garde"/>
          <w:spacing w:val="-4"/>
          <w:lang w:val="es-ES"/>
        </w:rPr>
        <w:t xml:space="preserve"> y</w:t>
      </w:r>
      <w:r w:rsidR="00172172" w:rsidRPr="00092A03">
        <w:rPr>
          <w:rFonts w:ascii="ITC Avant Garde" w:hAnsi="ITC Avant Garde"/>
          <w:spacing w:val="-4"/>
          <w:lang w:val="es-ES"/>
        </w:rPr>
        <w:t xml:space="preserve"> también</w:t>
      </w:r>
      <w:r w:rsidR="00DC4F1B" w:rsidRPr="00092A03">
        <w:rPr>
          <w:rFonts w:ascii="ITC Avant Garde" w:hAnsi="ITC Avant Garde"/>
          <w:spacing w:val="-4"/>
          <w:lang w:val="es-ES"/>
        </w:rPr>
        <w:t xml:space="preserve"> por coherencia con modelos anteriores, se ha decidido mantener la metodología </w:t>
      </w:r>
      <w:r w:rsidR="00F124FC" w:rsidRPr="00092A03">
        <w:rPr>
          <w:rFonts w:ascii="ITC Avant Garde" w:hAnsi="ITC Avant Garde"/>
          <w:spacing w:val="-4"/>
          <w:lang w:val="es-ES"/>
        </w:rPr>
        <w:t xml:space="preserve">empleada </w:t>
      </w:r>
      <w:r w:rsidR="00DC4F1B" w:rsidRPr="00092A03">
        <w:rPr>
          <w:rFonts w:ascii="ITC Avant Garde" w:hAnsi="ITC Avant Garde"/>
          <w:spacing w:val="-4"/>
          <w:lang w:val="es-ES"/>
        </w:rPr>
        <w:t>en modelos anteriores para el cálculo del retorno libre de riesgo. E</w:t>
      </w:r>
      <w:r w:rsidR="00F124FC" w:rsidRPr="00092A03">
        <w:rPr>
          <w:rFonts w:ascii="ITC Avant Garde" w:hAnsi="ITC Avant Garde"/>
          <w:spacing w:val="-4"/>
          <w:lang w:val="es-ES"/>
        </w:rPr>
        <w:t xml:space="preserve">s decir, </w:t>
      </w:r>
      <w:r w:rsidR="00DC4F1B" w:rsidRPr="00092A03">
        <w:rPr>
          <w:rFonts w:ascii="ITC Avant Garde" w:hAnsi="ITC Avant Garde"/>
          <w:spacing w:val="-4"/>
          <w:lang w:val="es-ES"/>
        </w:rPr>
        <w:t>calcula</w:t>
      </w:r>
      <w:r w:rsidR="00F124FC" w:rsidRPr="00092A03">
        <w:rPr>
          <w:rFonts w:ascii="ITC Avant Garde" w:hAnsi="ITC Avant Garde"/>
          <w:spacing w:val="-4"/>
          <w:lang w:val="es-ES"/>
        </w:rPr>
        <w:t>r</w:t>
      </w:r>
      <w:r w:rsidR="00DC4F1B" w:rsidRPr="00092A03">
        <w:rPr>
          <w:rFonts w:ascii="ITC Avant Garde" w:hAnsi="ITC Avant Garde"/>
          <w:spacing w:val="-4"/>
          <w:lang w:val="es-ES"/>
        </w:rPr>
        <w:t xml:space="preserve"> la tasa de retorno libre de riesgo de los bonos gubernamentales a 30 años teniendo en cuenta la media de los últimos 5 años</w:t>
      </w:r>
      <w:r w:rsidR="00F124FC" w:rsidRPr="00092A03">
        <w:rPr>
          <w:rFonts w:ascii="ITC Avant Garde" w:hAnsi="ITC Avant Garde"/>
          <w:spacing w:val="-4"/>
          <w:lang w:val="es-ES"/>
        </w:rPr>
        <w:t>, y p</w:t>
      </w:r>
      <w:r w:rsidR="00E40AD6" w:rsidRPr="00092A03">
        <w:rPr>
          <w:rFonts w:ascii="ITC Avant Garde" w:hAnsi="ITC Avant Garde"/>
          <w:spacing w:val="-4"/>
          <w:lang w:val="es-ES"/>
        </w:rPr>
        <w:t>osteriormente</w:t>
      </w:r>
      <w:r w:rsidR="00F124FC" w:rsidRPr="00092A03">
        <w:rPr>
          <w:rFonts w:ascii="ITC Avant Garde" w:hAnsi="ITC Avant Garde"/>
          <w:spacing w:val="-4"/>
          <w:lang w:val="es-ES"/>
        </w:rPr>
        <w:t xml:space="preserve"> </w:t>
      </w:r>
      <w:r w:rsidR="00E40AD6" w:rsidRPr="00092A03">
        <w:rPr>
          <w:rFonts w:ascii="ITC Avant Garde" w:hAnsi="ITC Avant Garde"/>
          <w:spacing w:val="-4"/>
          <w:lang w:val="es-ES"/>
        </w:rPr>
        <w:t>añad</w:t>
      </w:r>
      <w:r w:rsidR="00F124FC" w:rsidRPr="00092A03">
        <w:rPr>
          <w:rFonts w:ascii="ITC Avant Garde" w:hAnsi="ITC Avant Garde"/>
          <w:spacing w:val="-4"/>
          <w:lang w:val="es-ES"/>
        </w:rPr>
        <w:t>ir</w:t>
      </w:r>
      <w:r w:rsidR="00E40AD6" w:rsidRPr="00092A03">
        <w:rPr>
          <w:rFonts w:ascii="ITC Avant Garde" w:hAnsi="ITC Avant Garde"/>
          <w:spacing w:val="-4"/>
          <w:lang w:val="es-ES"/>
        </w:rPr>
        <w:t xml:space="preserve"> a este valor la prima de riesgo país reportada para México por el</w:t>
      </w:r>
      <w:r w:rsidR="0060271D" w:rsidRPr="00092A03">
        <w:rPr>
          <w:rFonts w:ascii="ITC Avant Garde" w:hAnsi="ITC Avant Garde"/>
          <w:spacing w:val="-4"/>
          <w:lang w:val="es-ES"/>
        </w:rPr>
        <w:t xml:space="preserve"> </w:t>
      </w:r>
      <w:r w:rsidR="00E40AD6" w:rsidRPr="00092A03">
        <w:rPr>
          <w:rFonts w:ascii="ITC Avant Garde" w:hAnsi="ITC Avant Garde"/>
          <w:spacing w:val="-4"/>
          <w:lang w:val="es-ES"/>
        </w:rPr>
        <w:t xml:space="preserve">profesor </w:t>
      </w:r>
      <w:proofErr w:type="spellStart"/>
      <w:r w:rsidR="00E40AD6" w:rsidRPr="00092A03">
        <w:rPr>
          <w:rFonts w:ascii="ITC Avant Garde" w:hAnsi="ITC Avant Garde"/>
          <w:spacing w:val="-4"/>
          <w:lang w:val="es-ES"/>
        </w:rPr>
        <w:t>Aswath</w:t>
      </w:r>
      <w:proofErr w:type="spellEnd"/>
      <w:r w:rsidR="00E40AD6" w:rsidRPr="00092A03">
        <w:rPr>
          <w:rFonts w:ascii="ITC Avant Garde" w:hAnsi="ITC Avant Garde"/>
          <w:spacing w:val="-4"/>
          <w:lang w:val="es-ES"/>
        </w:rPr>
        <w:t xml:space="preserve"> </w:t>
      </w:r>
      <w:proofErr w:type="spellStart"/>
      <w:r w:rsidR="00E40AD6" w:rsidRPr="00092A03">
        <w:rPr>
          <w:rFonts w:ascii="ITC Avant Garde" w:hAnsi="ITC Avant Garde"/>
          <w:spacing w:val="-4"/>
          <w:lang w:val="es-ES"/>
        </w:rPr>
        <w:t>Damodaran</w:t>
      </w:r>
      <w:proofErr w:type="spellEnd"/>
      <w:r w:rsidR="00E40AD6" w:rsidRPr="00092A03">
        <w:rPr>
          <w:rFonts w:ascii="ITC Avant Garde" w:hAnsi="ITC Avant Garde"/>
          <w:spacing w:val="-4"/>
          <w:lang w:val="es-ES"/>
        </w:rPr>
        <w:t>.</w:t>
      </w:r>
    </w:p>
    <w:p w14:paraId="64CB1CDB" w14:textId="29E36049"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26</w:t>
      </w:r>
      <w:r w:rsidR="00A37365" w:rsidRPr="00092A03">
        <w:rPr>
          <w:rFonts w:ascii="ITC Avant Garde" w:hAnsi="ITC Avant Garde"/>
        </w:rPr>
        <w:fldChar w:fldCharType="end"/>
      </w:r>
    </w:p>
    <w:p w14:paraId="5179B2A7" w14:textId="5F1EEE79" w:rsidR="00A37365" w:rsidRPr="00092A03" w:rsidRDefault="00265246"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spacing w:val="-4"/>
          <w:lang w:val="es-ES"/>
        </w:rPr>
      </w:pPr>
      <w:r w:rsidRPr="00092A03">
        <w:rPr>
          <w:rFonts w:ascii="ITC Avant Garde" w:hAnsi="ITC Avant Garde"/>
          <w:spacing w:val="-4"/>
          <w:lang w:val="es-ES"/>
        </w:rPr>
        <w:t>Se utilizará la prima de riesgo del capital (Re) de un mercado maduro</w:t>
      </w:r>
      <w:r w:rsidRPr="00092A03" w:rsidDel="00AA5BC5">
        <w:rPr>
          <w:rFonts w:ascii="ITC Avant Garde" w:hAnsi="ITC Avant Garde"/>
          <w:spacing w:val="-4"/>
          <w:lang w:val="es-ES"/>
        </w:rPr>
        <w:t xml:space="preserve"> </w:t>
      </w:r>
      <w:r w:rsidRPr="00092A03">
        <w:rPr>
          <w:rFonts w:ascii="ITC Avant Garde" w:hAnsi="ITC Avant Garde"/>
          <w:spacing w:val="-4"/>
          <w:lang w:val="es-ES"/>
        </w:rPr>
        <w:t xml:space="preserve">propuesta por </w:t>
      </w:r>
      <w:proofErr w:type="spellStart"/>
      <w:r w:rsidRPr="00092A03">
        <w:rPr>
          <w:rFonts w:ascii="ITC Avant Garde" w:hAnsi="ITC Avant Garde"/>
          <w:spacing w:val="-4"/>
          <w:lang w:val="es-ES"/>
        </w:rPr>
        <w:t>Aswath</w:t>
      </w:r>
      <w:proofErr w:type="spellEnd"/>
      <w:r w:rsidRPr="00092A03">
        <w:rPr>
          <w:rFonts w:ascii="ITC Avant Garde" w:hAnsi="ITC Avant Garde"/>
          <w:spacing w:val="-4"/>
          <w:lang w:val="es-ES"/>
        </w:rPr>
        <w:t xml:space="preserve"> </w:t>
      </w:r>
      <w:proofErr w:type="spellStart"/>
      <w:r w:rsidRPr="00092A03">
        <w:rPr>
          <w:rFonts w:ascii="ITC Avant Garde" w:hAnsi="ITC Avant Garde"/>
          <w:spacing w:val="-4"/>
          <w:lang w:val="es-ES"/>
        </w:rPr>
        <w:t>Damodaran</w:t>
      </w:r>
      <w:proofErr w:type="spellEnd"/>
      <w:r w:rsidRPr="00092A03">
        <w:rPr>
          <w:rFonts w:ascii="ITC Avant Garde" w:hAnsi="ITC Avant Garde"/>
          <w:spacing w:val="-4"/>
          <w:lang w:val="es-ES"/>
        </w:rPr>
        <w:t>. Este parámetro será el mismo para ambos modelos.</w:t>
      </w:r>
    </w:p>
    <w:p w14:paraId="44C7943F" w14:textId="77777777" w:rsidR="00E5018A" w:rsidRPr="00092A03" w:rsidRDefault="00F35F0C" w:rsidP="00E5018A">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378F1E16" w14:textId="2526CAEC" w:rsidR="00E5018A" w:rsidRPr="00092A03" w:rsidRDefault="00C95979" w:rsidP="00E5018A">
      <w:pPr>
        <w:rPr>
          <w:rFonts w:ascii="ITC Avant Garde" w:hAnsi="ITC Avant Garde"/>
          <w:lang w:val="es-ES"/>
        </w:rPr>
      </w:pPr>
      <w:r w:rsidRPr="00092A03">
        <w:rPr>
          <w:rFonts w:ascii="ITC Avant Garde" w:hAnsi="ITC Avant Garde"/>
          <w:lang w:val="es-ES_tradnl"/>
        </w:rPr>
        <w:t>Mega Cable</w:t>
      </w:r>
      <w:r w:rsidR="00E2404D" w:rsidRPr="00092A03">
        <w:rPr>
          <w:rFonts w:ascii="ITC Avant Garde" w:hAnsi="ITC Avant Garde"/>
          <w:lang w:val="es-ES_tradnl"/>
        </w:rPr>
        <w:t xml:space="preserve"> considera que, a partir de información de fuentes de empresas de información de mercado, reconocidas e independientes como Reuters, </w:t>
      </w:r>
      <w:proofErr w:type="spellStart"/>
      <w:r w:rsidR="000D649B" w:rsidRPr="00092A03">
        <w:rPr>
          <w:rFonts w:ascii="ITC Avant Garde" w:hAnsi="ITC Avant Garde"/>
          <w:lang w:val="es-ES_tradnl"/>
        </w:rPr>
        <w:t>Bloomberg</w:t>
      </w:r>
      <w:proofErr w:type="spellEnd"/>
      <w:r w:rsidR="000D649B" w:rsidRPr="00092A03">
        <w:rPr>
          <w:rFonts w:ascii="ITC Avant Garde" w:hAnsi="ITC Avant Garde"/>
          <w:lang w:val="es-ES_tradnl"/>
        </w:rPr>
        <w:t xml:space="preserve"> </w:t>
      </w:r>
      <w:r w:rsidR="00E2404D" w:rsidRPr="00092A03">
        <w:rPr>
          <w:rFonts w:ascii="ITC Avant Garde" w:hAnsi="ITC Avant Garde"/>
          <w:lang w:val="es-ES_tradnl"/>
        </w:rPr>
        <w:t xml:space="preserve">o </w:t>
      </w:r>
      <w:proofErr w:type="spellStart"/>
      <w:r w:rsidR="00E2404D" w:rsidRPr="00092A03">
        <w:rPr>
          <w:rFonts w:ascii="ITC Avant Garde" w:hAnsi="ITC Avant Garde"/>
          <w:lang w:val="es-ES_tradnl"/>
        </w:rPr>
        <w:t>Morningstar</w:t>
      </w:r>
      <w:proofErr w:type="spellEnd"/>
      <w:r w:rsidR="00E2404D" w:rsidRPr="00092A03">
        <w:rPr>
          <w:rFonts w:ascii="ITC Avant Garde" w:hAnsi="ITC Avant Garde"/>
          <w:lang w:val="es-ES_tradnl"/>
        </w:rPr>
        <w:t xml:space="preserve"> se pueden obtener estimaciones más confiables de la prima de riesgo de mercado o de capital. Por su lado, Telefónica </w:t>
      </w:r>
      <w:r w:rsidR="00E2404D" w:rsidRPr="00092A03">
        <w:rPr>
          <w:rFonts w:ascii="ITC Avant Garde" w:hAnsi="ITC Avant Garde"/>
          <w:lang w:val="es-ES"/>
        </w:rPr>
        <w:t xml:space="preserve">no está de acuerdo con el valor propuesto ni entiende cómo ha sido calculado. Argumenta que, utilizando la misma fuente, actualizada a julio de 2016, han obtenido una prima de mercado para México de 8,88%. </w:t>
      </w:r>
      <w:r w:rsidRPr="00092A03">
        <w:rPr>
          <w:rFonts w:ascii="ITC Avant Garde" w:hAnsi="ITC Avant Garde"/>
          <w:lang w:val="es-ES"/>
        </w:rPr>
        <w:t>AT&amp;T</w:t>
      </w:r>
      <w:r w:rsidR="00E2404D" w:rsidRPr="00092A03">
        <w:rPr>
          <w:rFonts w:ascii="ITC Avant Garde" w:hAnsi="ITC Avant Garde"/>
          <w:lang w:val="es-ES"/>
        </w:rPr>
        <w:t xml:space="preserve"> también considera que la prima de riesgo del capital que se propone para el mercado mexicano es considerablemente menor de lo que debería esperarse.</w:t>
      </w:r>
    </w:p>
    <w:p w14:paraId="08820CBC" w14:textId="75E21F4D" w:rsidR="00A70FEC" w:rsidRPr="00092A03" w:rsidRDefault="002B648A" w:rsidP="00E2652C">
      <w:pPr>
        <w:pStyle w:val="Ttulo4"/>
        <w:rPr>
          <w:rFonts w:ascii="ITC Avant Garde" w:hAnsi="ITC Avant Garde"/>
          <w:b/>
          <w:lang w:val="es-ES"/>
        </w:rPr>
      </w:pPr>
      <w:r w:rsidRPr="00092A03">
        <w:rPr>
          <w:rFonts w:ascii="ITC Avant Garde" w:hAnsi="ITC Avant Garde"/>
          <w:b/>
          <w:lang w:val="es-ES"/>
        </w:rPr>
        <w:lastRenderedPageBreak/>
        <w:t>Consideraciones del Instituto</w:t>
      </w:r>
    </w:p>
    <w:p w14:paraId="002F3A81" w14:textId="71887C1D" w:rsidR="00E5018A" w:rsidRPr="00092A03" w:rsidRDefault="00C67D56" w:rsidP="00E2652C">
      <w:pPr>
        <w:rPr>
          <w:rFonts w:ascii="ITC Avant Garde" w:hAnsi="ITC Avant Garde"/>
          <w:lang w:val="es-ES"/>
        </w:rPr>
      </w:pPr>
      <w:r w:rsidRPr="00092A03">
        <w:rPr>
          <w:rFonts w:ascii="ITC Avant Garde" w:hAnsi="ITC Avant Garde"/>
          <w:lang w:val="es-ES"/>
        </w:rPr>
        <w:t xml:space="preserve">Si bien existen multitud de fuentes, </w:t>
      </w:r>
      <w:r w:rsidR="006B0365" w:rsidRPr="00092A03">
        <w:rPr>
          <w:rFonts w:ascii="ITC Avant Garde" w:hAnsi="ITC Avant Garde"/>
          <w:lang w:val="es-ES"/>
        </w:rPr>
        <w:t>se entiende</w:t>
      </w:r>
      <w:r w:rsidRPr="00092A03">
        <w:rPr>
          <w:rFonts w:ascii="ITC Avant Garde" w:hAnsi="ITC Avant Garde"/>
          <w:lang w:val="es-ES"/>
        </w:rPr>
        <w:t xml:space="preserve"> que el Profesor </w:t>
      </w:r>
      <w:proofErr w:type="spellStart"/>
      <w:r w:rsidRPr="00092A03">
        <w:rPr>
          <w:rFonts w:ascii="ITC Avant Garde" w:hAnsi="ITC Avant Garde"/>
          <w:lang w:val="es-ES"/>
        </w:rPr>
        <w:t>Aswath</w:t>
      </w:r>
      <w:proofErr w:type="spellEnd"/>
      <w:r w:rsidRPr="00092A03">
        <w:rPr>
          <w:rFonts w:ascii="ITC Avant Garde" w:hAnsi="ITC Avant Garde"/>
          <w:lang w:val="es-ES"/>
        </w:rPr>
        <w:t xml:space="preserve"> </w:t>
      </w:r>
      <w:proofErr w:type="spellStart"/>
      <w:r w:rsidRPr="00092A03">
        <w:rPr>
          <w:rFonts w:ascii="ITC Avant Garde" w:hAnsi="ITC Avant Garde"/>
          <w:lang w:val="es-ES"/>
        </w:rPr>
        <w:t>Damodaran</w:t>
      </w:r>
      <w:proofErr w:type="spellEnd"/>
      <w:r w:rsidRPr="00092A03">
        <w:rPr>
          <w:rFonts w:ascii="ITC Avant Garde" w:hAnsi="ITC Avant Garde"/>
          <w:lang w:val="es-ES"/>
        </w:rPr>
        <w:t xml:space="preserve"> es una fuente lo suficientemente fiable como para no requerir su cambio. </w:t>
      </w:r>
      <w:r w:rsidR="00A70FEC" w:rsidRPr="00092A03">
        <w:rPr>
          <w:rFonts w:ascii="ITC Avant Garde" w:hAnsi="ITC Avant Garde"/>
          <w:lang w:val="es-ES"/>
        </w:rPr>
        <w:t>Además</w:t>
      </w:r>
      <w:r w:rsidRPr="00092A03">
        <w:rPr>
          <w:rFonts w:ascii="ITC Avant Garde" w:hAnsi="ITC Avant Garde"/>
          <w:lang w:val="es-ES"/>
        </w:rPr>
        <w:t xml:space="preserve">, </w:t>
      </w:r>
      <w:r w:rsidR="00F124FC" w:rsidRPr="00092A03">
        <w:rPr>
          <w:rFonts w:ascii="ITC Avant Garde" w:hAnsi="ITC Avant Garde"/>
          <w:lang w:val="es-ES"/>
        </w:rPr>
        <w:t xml:space="preserve">es considerado como </w:t>
      </w:r>
      <w:r w:rsidRPr="00092A03">
        <w:rPr>
          <w:rFonts w:ascii="ITC Avant Garde" w:hAnsi="ITC Avant Garde"/>
          <w:lang w:val="es-ES"/>
        </w:rPr>
        <w:t>una referencia a nivel mundial para este tipo de cálculos.</w:t>
      </w:r>
    </w:p>
    <w:p w14:paraId="1FF9CAB8" w14:textId="77777777" w:rsidR="00840C64"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27</w:t>
      </w:r>
      <w:r w:rsidR="00A37365" w:rsidRPr="00092A03">
        <w:rPr>
          <w:rFonts w:ascii="ITC Avant Garde" w:hAnsi="ITC Avant Garde"/>
        </w:rPr>
        <w:fldChar w:fldCharType="end"/>
      </w:r>
    </w:p>
    <w:p w14:paraId="79BD4955" w14:textId="4CE2BECC" w:rsidR="00A37365" w:rsidRPr="00092A03" w:rsidRDefault="00A37365" w:rsidP="00840C64">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w:t>
      </w:r>
      <w:r w:rsidR="00265246" w:rsidRPr="00092A03">
        <w:rPr>
          <w:rFonts w:ascii="ITC Avant Garde" w:hAnsi="ITC Avant Garde"/>
          <w:lang w:val="es-ES"/>
        </w:rPr>
        <w:t xml:space="preserve">Se usará una comparativa de compañías de telecomunicaciones, prestando especial atención a mercados similares al mexicano, para identificar las </w:t>
      </w:r>
      <w:r w:rsidR="00265246" w:rsidRPr="00092A03">
        <w:rPr>
          <w:rFonts w:ascii="ITC Avant Garde" w:hAnsi="ITC Avant Garde"/>
          <w:i/>
          <w:iCs/>
        </w:rPr>
        <w:sym w:font="Symbol" w:char="F062"/>
      </w:r>
      <w:r w:rsidR="00265246" w:rsidRPr="00092A03">
        <w:rPr>
          <w:rFonts w:ascii="ITC Avant Garde" w:hAnsi="ITC Avant Garde"/>
          <w:lang w:val="es-ES"/>
        </w:rPr>
        <w:t xml:space="preserve"> específicas de los mercados fijo y móvil.</w:t>
      </w:r>
    </w:p>
    <w:p w14:paraId="6DB328AE" w14:textId="77777777" w:rsidR="002D50A9" w:rsidRPr="00092A03" w:rsidRDefault="00F35F0C" w:rsidP="002D50A9">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0D2C9439" w14:textId="27115D77" w:rsidR="000D6224" w:rsidRPr="00092A03" w:rsidRDefault="000D6224" w:rsidP="000D6224">
      <w:pPr>
        <w:rPr>
          <w:rFonts w:ascii="ITC Avant Garde" w:hAnsi="ITC Avant Garde"/>
          <w:lang w:val="es-ES"/>
        </w:rPr>
      </w:pPr>
      <w:r w:rsidRPr="00092A03">
        <w:rPr>
          <w:rFonts w:ascii="ITC Avant Garde" w:hAnsi="ITC Avant Garde"/>
          <w:lang w:val="es-ES"/>
        </w:rPr>
        <w:t>Mega Cable afirma que, desde un punto de vista teórico, el criterio de utilizar empresas comparables es válido. Sin embargo, incluye los siguientes comentarios:</w:t>
      </w:r>
    </w:p>
    <w:p w14:paraId="023F0FAD"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Sugiere incluir empresas de más o menos la misma escala que los operadores no preponderantes, ya que indica que las empresas definidas no pueden ser catalogadas como comparables para determinar el CCPP de operadores fijos no preponderantes</w:t>
      </w:r>
    </w:p>
    <w:p w14:paraId="4848FF78"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 xml:space="preserve">Se solicita mayor transparencia sobre la fecha de obtención de las </w:t>
      </w:r>
      <w:r w:rsidR="00E65AC4" w:rsidRPr="00092A03">
        <w:rPr>
          <w:rFonts w:ascii="ITC Avant Garde" w:hAnsi="ITC Avant Garde"/>
          <w:i/>
          <w:lang w:val="es-ES"/>
        </w:rPr>
        <w:t>βs</w:t>
      </w:r>
      <w:r w:rsidRPr="00092A03">
        <w:rPr>
          <w:rFonts w:ascii="ITC Avant Garde" w:hAnsi="ITC Avant Garde"/>
          <w:lang w:val="es-ES"/>
        </w:rPr>
        <w:t xml:space="preserve"> y cálculo de las mismas</w:t>
      </w:r>
    </w:p>
    <w:p w14:paraId="337D6B19" w14:textId="5C144FAC" w:rsidR="00722AEC" w:rsidRPr="00092A03" w:rsidRDefault="00E916C3" w:rsidP="00722AEC">
      <w:pPr>
        <w:rPr>
          <w:rFonts w:ascii="ITC Avant Garde" w:hAnsi="ITC Avant Garde"/>
          <w:lang w:val="es-ES"/>
        </w:rPr>
      </w:pPr>
      <w:r w:rsidRPr="00092A03">
        <w:rPr>
          <w:rFonts w:ascii="ITC Avant Garde" w:hAnsi="ITC Avant Garde"/>
          <w:lang w:val="es-ES"/>
        </w:rPr>
        <w:t xml:space="preserve">Por su parte, </w:t>
      </w:r>
      <w:r w:rsidR="00722AEC" w:rsidRPr="00092A03">
        <w:rPr>
          <w:rFonts w:ascii="ITC Avant Garde" w:hAnsi="ITC Avant Garde"/>
          <w:lang w:val="es-ES"/>
        </w:rPr>
        <w:t xml:space="preserve">Telefónica esperaría que la </w:t>
      </w:r>
      <w:r w:rsidR="00722AEC" w:rsidRPr="00092A03">
        <w:rPr>
          <w:rFonts w:ascii="ITC Avant Garde" w:hAnsi="ITC Avant Garde"/>
          <w:i/>
          <w:lang w:val="es-ES"/>
        </w:rPr>
        <w:t>β</w:t>
      </w:r>
      <w:r w:rsidR="00722AEC" w:rsidRPr="00092A03">
        <w:rPr>
          <w:rFonts w:ascii="ITC Avant Garde" w:hAnsi="ITC Avant Garde"/>
          <w:lang w:val="es-ES"/>
        </w:rPr>
        <w:t xml:space="preserve"> utilizada en el modelo 2018</w:t>
      </w:r>
      <w:r w:rsidRPr="00092A03">
        <w:rPr>
          <w:rFonts w:ascii="ITC Avant Garde" w:hAnsi="ITC Avant Garde"/>
          <w:lang w:val="es-ES"/>
        </w:rPr>
        <w:t xml:space="preserve"> para el operador móvil</w:t>
      </w:r>
      <w:r w:rsidR="00722AEC" w:rsidRPr="00092A03">
        <w:rPr>
          <w:rFonts w:ascii="ITC Avant Garde" w:hAnsi="ITC Avant Garde"/>
          <w:lang w:val="es-ES"/>
        </w:rPr>
        <w:t xml:space="preserve"> fuera mayor que la utilizada en el modelo 2016 ya que, según</w:t>
      </w:r>
      <w:r w:rsidRPr="00092A03">
        <w:rPr>
          <w:rFonts w:ascii="ITC Avant Garde" w:hAnsi="ITC Avant Garde"/>
          <w:lang w:val="es-ES"/>
        </w:rPr>
        <w:t xml:space="preserve"> </w:t>
      </w:r>
      <w:r w:rsidR="00722AEC" w:rsidRPr="00092A03">
        <w:rPr>
          <w:rFonts w:ascii="ITC Avant Garde" w:hAnsi="ITC Avant Garde"/>
          <w:lang w:val="es-ES"/>
        </w:rPr>
        <w:t>Telefónica, la situación del mercado de telecomunicaciones móviles mexicano sigue presentando un nivel de riesgo muy alto dada la existencia de una alta dominancia del AEP y altos niveles de inversión requeridos. Asimismo, solicitan mayor transparencia sobre las fuentes utilizadas.</w:t>
      </w:r>
      <w:r w:rsidR="00B93BC4" w:rsidRPr="00092A03">
        <w:rPr>
          <w:rFonts w:ascii="ITC Avant Garde" w:hAnsi="ITC Avant Garde"/>
          <w:lang w:val="es-ES"/>
        </w:rPr>
        <w:t xml:space="preserve"> Del mismo modo, AT&amp;T recomienda revisar al alza el valor de la </w:t>
      </w:r>
      <w:r w:rsidR="00B93BC4" w:rsidRPr="00092A03">
        <w:rPr>
          <w:rFonts w:ascii="ITC Avant Garde" w:hAnsi="ITC Avant Garde"/>
          <w:i/>
          <w:lang w:val="es-ES"/>
        </w:rPr>
        <w:t>β</w:t>
      </w:r>
      <w:r w:rsidR="00B93BC4" w:rsidRPr="00092A03">
        <w:rPr>
          <w:rFonts w:ascii="ITC Avant Garde" w:hAnsi="ITC Avant Garde"/>
          <w:lang w:val="es-ES"/>
        </w:rPr>
        <w:t xml:space="preserve"> para los operadores de telecomunicaciones.</w:t>
      </w:r>
    </w:p>
    <w:p w14:paraId="6D827A04" w14:textId="17057864" w:rsidR="00C83412" w:rsidRPr="00092A03" w:rsidRDefault="00C83412" w:rsidP="00C83412">
      <w:pPr>
        <w:rPr>
          <w:rFonts w:ascii="ITC Avant Garde" w:hAnsi="ITC Avant Garde"/>
          <w:lang w:val="es-ES"/>
        </w:rPr>
      </w:pPr>
      <w:r w:rsidRPr="00092A03">
        <w:rPr>
          <w:rFonts w:ascii="ITC Avant Garde" w:hAnsi="ITC Avant Garde"/>
          <w:lang w:val="es-ES"/>
        </w:rPr>
        <w:t xml:space="preserve">Telmex/Telnor considera que la </w:t>
      </w:r>
      <w:r w:rsidR="00B93BC4" w:rsidRPr="00092A03">
        <w:rPr>
          <w:rFonts w:ascii="ITC Avant Garde" w:hAnsi="ITC Avant Garde"/>
          <w:i/>
          <w:lang w:val="es-ES"/>
        </w:rPr>
        <w:t>β</w:t>
      </w:r>
      <w:r w:rsidR="00B93BC4" w:rsidRPr="00092A03" w:rsidDel="00B93BC4">
        <w:rPr>
          <w:rFonts w:ascii="ITC Avant Garde" w:hAnsi="ITC Avant Garde"/>
          <w:lang w:val="es-ES"/>
        </w:rPr>
        <w:t xml:space="preserve"> </w:t>
      </w:r>
      <w:r w:rsidRPr="00092A03">
        <w:rPr>
          <w:rFonts w:ascii="ITC Avant Garde" w:hAnsi="ITC Avant Garde"/>
          <w:lang w:val="es-ES"/>
        </w:rPr>
        <w:t>se calcula en base a un promedio simple, lo que genera involuntariamente un sesgo debido a lo pequeño de la muestra. Sugiere emplear la mediana en vez de la media, lo que evita que empresas en el extremo del rango desvíen la distribución de la muestra. Además, considera que la metodología no es transparente, al no indicar los años que se toman en cuenta en su cálculo.</w:t>
      </w:r>
    </w:p>
    <w:p w14:paraId="418FE6C9" w14:textId="395418BF" w:rsidR="002D50A9" w:rsidRPr="00092A03" w:rsidRDefault="002B648A">
      <w:pPr>
        <w:pStyle w:val="Ttulo4"/>
        <w:rPr>
          <w:rFonts w:ascii="ITC Avant Garde" w:hAnsi="ITC Avant Garde"/>
          <w:b/>
          <w:lang w:val="es-ES"/>
        </w:rPr>
      </w:pPr>
      <w:r w:rsidRPr="00092A03">
        <w:rPr>
          <w:rFonts w:ascii="ITC Avant Garde" w:hAnsi="ITC Avant Garde"/>
          <w:b/>
          <w:lang w:val="es-ES"/>
        </w:rPr>
        <w:t>Consideraciones del Instituto</w:t>
      </w:r>
    </w:p>
    <w:p w14:paraId="48958642" w14:textId="77777777" w:rsidR="00D80806" w:rsidRPr="00092A03" w:rsidRDefault="006473BD" w:rsidP="00E2652C">
      <w:pPr>
        <w:rPr>
          <w:rFonts w:ascii="ITC Avant Garde" w:hAnsi="ITC Avant Garde"/>
          <w:spacing w:val="-4"/>
          <w:lang w:val="es-ES"/>
        </w:rPr>
      </w:pPr>
      <w:r w:rsidRPr="00092A03">
        <w:rPr>
          <w:rFonts w:ascii="ITC Avant Garde" w:hAnsi="ITC Avant Garde"/>
          <w:spacing w:val="-4"/>
          <w:lang w:val="es-ES"/>
        </w:rPr>
        <w:t xml:space="preserve">En el contexto de la </w:t>
      </w:r>
      <w:r w:rsidRPr="00092A03">
        <w:rPr>
          <w:rFonts w:ascii="ITC Avant Garde" w:hAnsi="ITC Avant Garde"/>
          <w:i/>
          <w:spacing w:val="-4"/>
          <w:lang w:val="es-ES"/>
        </w:rPr>
        <w:sym w:font="Symbol" w:char="F062"/>
      </w:r>
      <w:r w:rsidRPr="00092A03">
        <w:rPr>
          <w:rFonts w:ascii="ITC Avant Garde" w:hAnsi="ITC Avant Garde"/>
          <w:spacing w:val="-4"/>
          <w:lang w:val="es-ES"/>
        </w:rPr>
        <w:t xml:space="preserve"> específica del mercado fijo, </w:t>
      </w:r>
      <w:r w:rsidR="00D80806" w:rsidRPr="00092A03">
        <w:rPr>
          <w:rFonts w:ascii="ITC Avant Garde" w:hAnsi="ITC Avant Garde"/>
          <w:spacing w:val="-4"/>
          <w:lang w:val="es-ES"/>
        </w:rPr>
        <w:t xml:space="preserve">un operador </w:t>
      </w:r>
      <w:r w:rsidR="00F124FC" w:rsidRPr="00092A03">
        <w:rPr>
          <w:rFonts w:ascii="ITC Avant Garde" w:hAnsi="ITC Avant Garde"/>
          <w:spacing w:val="-4"/>
          <w:lang w:val="es-ES"/>
        </w:rPr>
        <w:t xml:space="preserve">sugiere </w:t>
      </w:r>
      <w:r w:rsidR="00D80806" w:rsidRPr="00092A03">
        <w:rPr>
          <w:rFonts w:ascii="ITC Avant Garde" w:hAnsi="ITC Avant Garde"/>
          <w:spacing w:val="-4"/>
          <w:lang w:val="es-ES"/>
        </w:rPr>
        <w:t xml:space="preserve">utilizar para la comparativa </w:t>
      </w:r>
      <w:r w:rsidRPr="00092A03">
        <w:rPr>
          <w:rFonts w:ascii="ITC Avant Garde" w:hAnsi="ITC Avant Garde"/>
          <w:i/>
          <w:spacing w:val="-4"/>
          <w:lang w:val="es-ES"/>
        </w:rPr>
        <w:sym w:font="Symbol" w:char="F062"/>
      </w:r>
      <w:r w:rsidRPr="00092A03">
        <w:rPr>
          <w:rFonts w:ascii="ITC Avant Garde" w:hAnsi="ITC Avant Garde"/>
          <w:i/>
          <w:spacing w:val="-4"/>
          <w:lang w:val="es-ES"/>
        </w:rPr>
        <w:t xml:space="preserve">s </w:t>
      </w:r>
      <w:r w:rsidRPr="00092A03">
        <w:rPr>
          <w:rFonts w:ascii="ITC Avant Garde" w:hAnsi="ITC Avant Garde"/>
          <w:spacing w:val="-4"/>
          <w:lang w:val="es-ES"/>
        </w:rPr>
        <w:t xml:space="preserve">de </w:t>
      </w:r>
      <w:r w:rsidR="00D80806" w:rsidRPr="00092A03">
        <w:rPr>
          <w:rFonts w:ascii="ITC Avant Garde" w:hAnsi="ITC Avant Garde"/>
          <w:spacing w:val="-4"/>
          <w:lang w:val="es-ES"/>
        </w:rPr>
        <w:t>empresas de tamaño similar a los operadores fijos no preponderantes</w:t>
      </w:r>
      <w:r w:rsidRPr="00092A03">
        <w:rPr>
          <w:rFonts w:ascii="ITC Avant Garde" w:hAnsi="ITC Avant Garde"/>
          <w:spacing w:val="-4"/>
          <w:lang w:val="es-ES"/>
        </w:rPr>
        <w:t xml:space="preserve"> </w:t>
      </w:r>
      <w:r w:rsidRPr="00092A03">
        <w:rPr>
          <w:rFonts w:ascii="ITC Avant Garde" w:hAnsi="ITC Avant Garde"/>
          <w:spacing w:val="-4"/>
          <w:lang w:val="es-ES"/>
        </w:rPr>
        <w:lastRenderedPageBreak/>
        <w:t>del mercado fijo mexicano</w:t>
      </w:r>
      <w:r w:rsidR="00F124FC" w:rsidRPr="00092A03">
        <w:rPr>
          <w:rFonts w:ascii="ITC Avant Garde" w:hAnsi="ITC Avant Garde"/>
          <w:spacing w:val="-4"/>
          <w:lang w:val="es-ES"/>
        </w:rPr>
        <w:t xml:space="preserve">. Se </w:t>
      </w:r>
      <w:r w:rsidRPr="00092A03">
        <w:rPr>
          <w:rFonts w:ascii="ITC Avant Garde" w:hAnsi="ITC Avant Garde"/>
          <w:spacing w:val="-4"/>
          <w:lang w:val="es-ES"/>
        </w:rPr>
        <w:t>señala que la falta de información es el principal problema si se pretende incluir en la comparativa de empresas de más o menos la misma escala que los operadores no preponderantes</w:t>
      </w:r>
      <w:r w:rsidR="00F124FC" w:rsidRPr="00092A03">
        <w:rPr>
          <w:rFonts w:ascii="ITC Avant Garde" w:hAnsi="ITC Avant Garde"/>
          <w:spacing w:val="-4"/>
          <w:lang w:val="es-ES"/>
        </w:rPr>
        <w:t xml:space="preserve"> y que, e</w:t>
      </w:r>
      <w:r w:rsidRPr="00092A03">
        <w:rPr>
          <w:rFonts w:ascii="ITC Avant Garde" w:hAnsi="ITC Avant Garde"/>
          <w:spacing w:val="-4"/>
          <w:lang w:val="es-ES"/>
        </w:rPr>
        <w:t>n caso de hacerlo, sería muy probable que el cálculo del promedio incluyera un sesgo comparable con el actual</w:t>
      </w:r>
      <w:r w:rsidR="00F124FC" w:rsidRPr="00092A03">
        <w:rPr>
          <w:rFonts w:ascii="ITC Avant Garde" w:hAnsi="ITC Avant Garde"/>
          <w:spacing w:val="-4"/>
          <w:lang w:val="es-ES"/>
        </w:rPr>
        <w:t>.</w:t>
      </w:r>
    </w:p>
    <w:p w14:paraId="2B4C78A1" w14:textId="77777777" w:rsidR="00B93BC4" w:rsidRPr="00092A03" w:rsidRDefault="00B93BC4" w:rsidP="00E2652C">
      <w:pPr>
        <w:pStyle w:val="Listaconvietas"/>
        <w:numPr>
          <w:ilvl w:val="0"/>
          <w:numId w:val="0"/>
        </w:numPr>
        <w:rPr>
          <w:rFonts w:ascii="ITC Avant Garde" w:hAnsi="ITC Avant Garde"/>
          <w:spacing w:val="-4"/>
          <w:lang w:val="es-ES"/>
        </w:rPr>
      </w:pPr>
      <w:r w:rsidRPr="00092A03">
        <w:rPr>
          <w:rFonts w:ascii="ITC Avant Garde" w:hAnsi="ITC Avant Garde"/>
          <w:spacing w:val="-4"/>
          <w:lang w:val="es-ES"/>
        </w:rPr>
        <w:t xml:space="preserve">Un operador sugiere esperar que la </w:t>
      </w:r>
      <w:r w:rsidRPr="00092A03">
        <w:rPr>
          <w:rFonts w:ascii="ITC Avant Garde" w:hAnsi="ITC Avant Garde"/>
          <w:i/>
          <w:spacing w:val="-4"/>
          <w:lang w:val="es-ES"/>
        </w:rPr>
        <w:t>β</w:t>
      </w:r>
      <w:r w:rsidRPr="00092A03">
        <w:rPr>
          <w:rFonts w:ascii="ITC Avant Garde" w:hAnsi="ITC Avant Garde"/>
          <w:spacing w:val="-4"/>
          <w:lang w:val="es-ES"/>
        </w:rPr>
        <w:t xml:space="preserve"> utilizada en el modelo 2018 para el operador móvil </w:t>
      </w:r>
      <w:r w:rsidR="009823F0" w:rsidRPr="00092A03">
        <w:rPr>
          <w:rFonts w:ascii="ITC Avant Garde" w:hAnsi="ITC Avant Garde"/>
          <w:spacing w:val="-4"/>
          <w:lang w:val="es-ES"/>
        </w:rPr>
        <w:t>sea</w:t>
      </w:r>
      <w:r w:rsidRPr="00092A03">
        <w:rPr>
          <w:rFonts w:ascii="ITC Avant Garde" w:hAnsi="ITC Avant Garde"/>
          <w:spacing w:val="-4"/>
          <w:lang w:val="es-ES"/>
        </w:rPr>
        <w:t xml:space="preserve"> mayor que la utilizada en el modelo 2016 debido al nivel de riesgo del mercado de telecomunicaciones mexicano y a los altos niveles de inversión requeridos. En este sentido, indicar que </w:t>
      </w:r>
      <w:r w:rsidR="00F124FC" w:rsidRPr="00092A03">
        <w:rPr>
          <w:rFonts w:ascii="ITC Avant Garde" w:hAnsi="ITC Avant Garde"/>
          <w:spacing w:val="-4"/>
          <w:lang w:val="es-ES"/>
        </w:rPr>
        <w:t xml:space="preserve">no es posible descartar </w:t>
      </w:r>
      <w:r w:rsidRPr="00092A03">
        <w:rPr>
          <w:rFonts w:ascii="ITC Avant Garde" w:hAnsi="ITC Avant Garde"/>
          <w:spacing w:val="-4"/>
          <w:lang w:val="es-ES"/>
        </w:rPr>
        <w:t>que las medidas de preponderancia existentes en el mercado mexicano desde 2014, y cuyo objetivo es impulsar la competencia en el mercado, tuvieran el efecto contrario al indicado por este operador, llevando a un nivel de riesgo menor a los operadores móviles alternativos.</w:t>
      </w:r>
    </w:p>
    <w:p w14:paraId="2FBC8C7C" w14:textId="77777777" w:rsidR="00B93BC4" w:rsidRPr="00092A03" w:rsidRDefault="0024558B" w:rsidP="00B93BC4">
      <w:pPr>
        <w:rPr>
          <w:rFonts w:ascii="ITC Avant Garde" w:hAnsi="ITC Avant Garde"/>
          <w:lang w:val="es-ES"/>
        </w:rPr>
      </w:pPr>
      <w:r w:rsidRPr="00092A03">
        <w:rPr>
          <w:rFonts w:ascii="ITC Avant Garde" w:hAnsi="ITC Avant Garde"/>
          <w:lang w:val="es-ES"/>
        </w:rPr>
        <w:t>En lo relativo al</w:t>
      </w:r>
      <w:r w:rsidR="00B93BC4" w:rsidRPr="00092A03">
        <w:rPr>
          <w:rFonts w:ascii="ITC Avant Garde" w:hAnsi="ITC Avant Garde"/>
          <w:lang w:val="es-ES"/>
        </w:rPr>
        <w:t xml:space="preserve"> uso de la mediana </w:t>
      </w:r>
      <w:r w:rsidRPr="00092A03">
        <w:rPr>
          <w:rFonts w:ascii="ITC Avant Garde" w:hAnsi="ITC Avant Garde"/>
          <w:lang w:val="es-ES"/>
        </w:rPr>
        <w:t>como alternativa al</w:t>
      </w:r>
      <w:r w:rsidR="009823F0" w:rsidRPr="00092A03">
        <w:rPr>
          <w:rFonts w:ascii="ITC Avant Garde" w:hAnsi="ITC Avant Garde"/>
          <w:lang w:val="es-ES"/>
        </w:rPr>
        <w:t xml:space="preserve"> cálculo de l</w:t>
      </w:r>
      <w:r w:rsidRPr="00092A03">
        <w:rPr>
          <w:rFonts w:ascii="ITC Avant Garde" w:hAnsi="ITC Avant Garde"/>
          <w:lang w:val="es-ES"/>
        </w:rPr>
        <w:t>a media</w:t>
      </w:r>
      <w:r w:rsidR="009823F0" w:rsidRPr="00092A03">
        <w:rPr>
          <w:rFonts w:ascii="ITC Avant Garde" w:hAnsi="ITC Avant Garde"/>
          <w:lang w:val="es-ES"/>
        </w:rPr>
        <w:t xml:space="preserve"> de </w:t>
      </w:r>
      <w:r w:rsidR="009823F0" w:rsidRPr="00092A03">
        <w:rPr>
          <w:rFonts w:ascii="ITC Avant Garde" w:hAnsi="ITC Avant Garde"/>
          <w:i/>
          <w:spacing w:val="-4"/>
          <w:lang w:val="es-ES"/>
        </w:rPr>
        <w:t>β</w:t>
      </w:r>
      <w:r w:rsidR="009823F0" w:rsidRPr="00092A03">
        <w:rPr>
          <w:rFonts w:ascii="ITC Avant Garde" w:hAnsi="ITC Avant Garde"/>
          <w:spacing w:val="-4"/>
          <w:lang w:val="es-ES"/>
        </w:rPr>
        <w:t xml:space="preserve"> </w:t>
      </w:r>
      <w:r w:rsidR="009823F0" w:rsidRPr="00092A03">
        <w:rPr>
          <w:rFonts w:ascii="ITC Avant Garde" w:hAnsi="ITC Avant Garde"/>
          <w:lang w:val="es-ES"/>
        </w:rPr>
        <w:t>de una comparativa de operadores</w:t>
      </w:r>
      <w:r w:rsidRPr="00092A03">
        <w:rPr>
          <w:rFonts w:ascii="ITC Avant Garde" w:hAnsi="ITC Avant Garde"/>
          <w:lang w:val="es-ES"/>
        </w:rPr>
        <w:t xml:space="preserve">, afirmar que este método </w:t>
      </w:r>
      <w:r w:rsidR="00B93BC4" w:rsidRPr="00092A03">
        <w:rPr>
          <w:rFonts w:ascii="ITC Avant Garde" w:hAnsi="ITC Avant Garde"/>
          <w:lang w:val="es-ES"/>
        </w:rPr>
        <w:t xml:space="preserve">es considerado por algunos reguladores como alternativa a la media aritmética y puede ser considerado. </w:t>
      </w:r>
      <w:r w:rsidRPr="00092A03">
        <w:rPr>
          <w:rFonts w:ascii="ITC Avant Garde" w:hAnsi="ITC Avant Garde"/>
          <w:lang w:val="es-ES"/>
        </w:rPr>
        <w:t>Sin embargo, por coherencia con modelos anteriores se continuará utilizando la media aritmética, a</w:t>
      </w:r>
      <w:r w:rsidR="00B93BC4" w:rsidRPr="00092A03">
        <w:rPr>
          <w:rFonts w:ascii="ITC Avant Garde" w:hAnsi="ITC Avant Garde"/>
          <w:lang w:val="es-ES"/>
        </w:rPr>
        <w:t>l ser</w:t>
      </w:r>
      <w:r w:rsidRPr="00092A03">
        <w:rPr>
          <w:rFonts w:ascii="ITC Avant Garde" w:hAnsi="ITC Avant Garde"/>
          <w:lang w:val="es-ES"/>
        </w:rPr>
        <w:t xml:space="preserve"> este método igualmente razonable.</w:t>
      </w:r>
    </w:p>
    <w:p w14:paraId="6F663C46" w14:textId="5EE67581" w:rsidR="00D80806" w:rsidRPr="00092A03" w:rsidRDefault="00D80806" w:rsidP="002D50A9">
      <w:pPr>
        <w:rPr>
          <w:rFonts w:ascii="ITC Avant Garde" w:hAnsi="ITC Avant Garde"/>
          <w:lang w:val="es-ES"/>
        </w:rPr>
      </w:pPr>
      <w:r w:rsidRPr="00092A03">
        <w:rPr>
          <w:rFonts w:ascii="ITC Avant Garde" w:hAnsi="ITC Avant Garde"/>
          <w:spacing w:val="-4"/>
          <w:lang w:val="es-ES"/>
        </w:rPr>
        <w:t xml:space="preserve">La fuente utilizada en la comparativa para identificar las </w:t>
      </w:r>
      <w:r w:rsidRPr="00092A03">
        <w:rPr>
          <w:rFonts w:ascii="ITC Avant Garde" w:hAnsi="ITC Avant Garde"/>
          <w:i/>
          <w:spacing w:val="-4"/>
          <w:lang w:val="es-ES"/>
        </w:rPr>
        <w:t>βs</w:t>
      </w:r>
      <w:r w:rsidRPr="00092A03">
        <w:rPr>
          <w:rFonts w:ascii="ITC Avant Garde" w:hAnsi="ITC Avant Garde"/>
          <w:spacing w:val="-4"/>
          <w:lang w:val="es-ES"/>
        </w:rPr>
        <w:t xml:space="preserve"> específicas de los mercados fijo y móvil es Reuters</w:t>
      </w:r>
      <w:r w:rsidRPr="00092A03">
        <w:rPr>
          <w:rStyle w:val="Refdenotaalpie"/>
          <w:rFonts w:ascii="ITC Avant Garde" w:hAnsi="ITC Avant Garde"/>
          <w:spacing w:val="-4"/>
          <w:lang w:val="es-ES"/>
        </w:rPr>
        <w:footnoteReference w:id="6"/>
      </w:r>
      <w:r w:rsidR="009823F0" w:rsidRPr="00092A03">
        <w:rPr>
          <w:rFonts w:ascii="ITC Avant Garde" w:hAnsi="ITC Avant Garde"/>
          <w:spacing w:val="-4"/>
          <w:lang w:val="es-ES"/>
        </w:rPr>
        <w:t>,</w:t>
      </w:r>
      <w:r w:rsidRPr="00092A03">
        <w:rPr>
          <w:rFonts w:ascii="ITC Avant Garde" w:hAnsi="ITC Avant Garde"/>
          <w:spacing w:val="-4"/>
          <w:lang w:val="es-ES"/>
        </w:rPr>
        <w:t xml:space="preserve"> y la fecha de obtención de las mismas es</w:t>
      </w:r>
      <w:r w:rsidR="00950193" w:rsidRPr="00092A03">
        <w:rPr>
          <w:rFonts w:ascii="ITC Avant Garde" w:hAnsi="ITC Avant Garde"/>
          <w:spacing w:val="-4"/>
          <w:lang w:val="es-ES"/>
        </w:rPr>
        <w:t xml:space="preserve"> abril de 2017</w:t>
      </w:r>
      <w:r w:rsidRPr="00092A03">
        <w:rPr>
          <w:rFonts w:ascii="ITC Avant Garde" w:hAnsi="ITC Avant Garde"/>
          <w:spacing w:val="-4"/>
          <w:lang w:val="es-ES"/>
        </w:rPr>
        <w:t>.</w:t>
      </w:r>
    </w:p>
    <w:p w14:paraId="67B41D49" w14:textId="77777777" w:rsidR="008F152D"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28</w:t>
      </w:r>
      <w:r w:rsidR="00A37365" w:rsidRPr="00092A03">
        <w:rPr>
          <w:rFonts w:ascii="ITC Avant Garde" w:hAnsi="ITC Avant Garde"/>
        </w:rPr>
        <w:fldChar w:fldCharType="end"/>
      </w:r>
    </w:p>
    <w:p w14:paraId="3ECC1AC4" w14:textId="03D461E6" w:rsidR="00A37365" w:rsidRPr="00092A03" w:rsidRDefault="00A37365" w:rsidP="008F152D">
      <w:pPr>
        <w:pStyle w:val="B1"/>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w:t>
      </w:r>
      <w:r w:rsidR="00265246" w:rsidRPr="00092A03">
        <w:rPr>
          <w:rFonts w:ascii="ITC Avant Garde" w:hAnsi="ITC Avant Garde"/>
          <w:lang w:val="es-ES"/>
        </w:rPr>
        <w:t xml:space="preserve">Se calculará </w:t>
      </w:r>
      <w:r w:rsidR="00265246" w:rsidRPr="00092A03">
        <w:rPr>
          <w:rFonts w:ascii="ITC Avant Garde" w:hAnsi="ITC Avant Garde"/>
          <w:iCs/>
          <w:lang w:val="es-ES"/>
        </w:rPr>
        <w:t>la</w:t>
      </w:r>
      <w:r w:rsidR="00265246" w:rsidRPr="00092A03">
        <w:rPr>
          <w:rFonts w:ascii="ITC Avant Garde" w:hAnsi="ITC Avant Garde"/>
          <w:i/>
          <w:iCs/>
          <w:lang w:val="es-ES"/>
        </w:rPr>
        <w:t xml:space="preserve"> </w:t>
      </w:r>
      <w:r w:rsidR="00265246" w:rsidRPr="00092A03">
        <w:rPr>
          <w:rFonts w:ascii="ITC Avant Garde" w:hAnsi="ITC Avant Garde"/>
          <w:i/>
          <w:iCs/>
        </w:rPr>
        <w:sym w:font="Symbol" w:char="F062"/>
      </w:r>
      <w:proofErr w:type="spellStart"/>
      <w:r w:rsidR="00265246" w:rsidRPr="00092A03">
        <w:rPr>
          <w:rFonts w:ascii="ITC Avant Garde" w:hAnsi="ITC Avant Garde"/>
          <w:i/>
          <w:iCs/>
          <w:vertAlign w:val="subscript"/>
          <w:lang w:val="es-ES"/>
        </w:rPr>
        <w:t>asset</w:t>
      </w:r>
      <w:proofErr w:type="spellEnd"/>
      <w:r w:rsidR="00265246" w:rsidRPr="00092A03">
        <w:rPr>
          <w:rFonts w:ascii="ITC Avant Garde" w:hAnsi="ITC Avant Garde"/>
          <w:lang w:val="es-ES"/>
        </w:rPr>
        <w:t xml:space="preserve"> para los grupos predominantemente fijos y predominantemente móviles </w:t>
      </w:r>
      <w:r w:rsidR="00F9251F" w:rsidRPr="00092A03">
        <w:rPr>
          <w:rFonts w:ascii="ITC Avant Garde" w:hAnsi="ITC Avant Garde"/>
          <w:lang w:val="es-ES"/>
        </w:rPr>
        <w:t xml:space="preserve">con </w:t>
      </w:r>
      <w:r w:rsidR="00265246" w:rsidRPr="00092A03">
        <w:rPr>
          <w:rFonts w:ascii="ITC Avant Garde" w:hAnsi="ITC Avant Garde"/>
          <w:lang w:val="es-ES"/>
        </w:rPr>
        <w:t xml:space="preserve">base </w:t>
      </w:r>
      <w:r w:rsidR="00F9251F" w:rsidRPr="00092A03">
        <w:rPr>
          <w:rFonts w:ascii="ITC Avant Garde" w:hAnsi="ITC Avant Garde"/>
          <w:lang w:val="es-ES"/>
        </w:rPr>
        <w:t xml:space="preserve">en </w:t>
      </w:r>
      <w:r w:rsidR="00265246" w:rsidRPr="00092A03">
        <w:rPr>
          <w:rFonts w:ascii="ITC Avant Garde" w:hAnsi="ITC Avant Garde"/>
          <w:lang w:val="es-ES"/>
        </w:rPr>
        <w:t>una comparativa de operadores que estén presentes en Latinoamérica.</w:t>
      </w:r>
    </w:p>
    <w:p w14:paraId="372B99CF"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1EB8746A" w14:textId="37D1FC15" w:rsidR="000D6224" w:rsidRPr="00092A03" w:rsidRDefault="000D6224" w:rsidP="000D6224">
      <w:pPr>
        <w:rPr>
          <w:rFonts w:ascii="ITC Avant Garde" w:hAnsi="ITC Avant Garde"/>
          <w:lang w:val="es-ES"/>
        </w:rPr>
      </w:pPr>
      <w:r w:rsidRPr="00092A03">
        <w:rPr>
          <w:rFonts w:ascii="ITC Avant Garde" w:hAnsi="ITC Avant Garde"/>
          <w:lang w:val="es-ES"/>
        </w:rPr>
        <w:t xml:space="preserve">Mega Cable afirma que la metodología para obtener la </w:t>
      </w:r>
      <w:r w:rsidR="006D7922" w:rsidRPr="00092A03">
        <w:rPr>
          <w:rFonts w:ascii="ITC Avant Garde" w:hAnsi="ITC Avant Garde"/>
          <w:i/>
          <w:lang w:val="es-ES"/>
        </w:rPr>
        <w:sym w:font="Symbol" w:char="F062"/>
      </w:r>
      <w:r w:rsidRPr="00092A03">
        <w:rPr>
          <w:rFonts w:ascii="ITC Avant Garde" w:hAnsi="ITC Avant Garde"/>
          <w:lang w:val="es-ES"/>
        </w:rPr>
        <w:t xml:space="preserve"> </w:t>
      </w:r>
      <w:proofErr w:type="spellStart"/>
      <w:r w:rsidRPr="00092A03">
        <w:rPr>
          <w:rFonts w:ascii="ITC Avant Garde" w:hAnsi="ITC Avant Garde"/>
          <w:lang w:val="es-ES"/>
        </w:rPr>
        <w:t>desapalancada</w:t>
      </w:r>
      <w:proofErr w:type="spellEnd"/>
      <w:r w:rsidRPr="00092A03">
        <w:rPr>
          <w:rFonts w:ascii="ITC Avant Garde" w:hAnsi="ITC Avant Garde"/>
          <w:lang w:val="es-ES"/>
        </w:rPr>
        <w:t xml:space="preserve"> es consistente con las metodologías de </w:t>
      </w:r>
      <w:r w:rsidR="000D2852" w:rsidRPr="00092A03">
        <w:rPr>
          <w:rFonts w:ascii="ITC Avant Garde" w:hAnsi="ITC Avant Garde"/>
          <w:lang w:val="es-ES"/>
        </w:rPr>
        <w:t xml:space="preserve">valoración </w:t>
      </w:r>
      <w:r w:rsidRPr="00092A03">
        <w:rPr>
          <w:rFonts w:ascii="ITC Avant Garde" w:hAnsi="ITC Avant Garde"/>
          <w:lang w:val="es-ES"/>
        </w:rPr>
        <w:t>financiera comúnmente utilizadas. Sin embargo, incluye los siguientes comentarios:</w:t>
      </w:r>
    </w:p>
    <w:p w14:paraId="2556D4A9" w14:textId="77777777" w:rsidR="0024558B" w:rsidRPr="00092A03" w:rsidRDefault="0024558B">
      <w:pPr>
        <w:pStyle w:val="Listaconvietas"/>
        <w:rPr>
          <w:rFonts w:ascii="ITC Avant Garde" w:hAnsi="ITC Avant Garde"/>
          <w:lang w:val="es-ES"/>
        </w:rPr>
      </w:pPr>
      <w:r w:rsidRPr="00092A03">
        <w:rPr>
          <w:rFonts w:ascii="ITC Avant Garde" w:hAnsi="ITC Avant Garde"/>
          <w:lang w:val="es-ES"/>
        </w:rPr>
        <w:t xml:space="preserve">Se sugiere incluir el parámetro (1-t), </w:t>
      </w:r>
      <w:r w:rsidR="00905C5A" w:rsidRPr="00092A03">
        <w:rPr>
          <w:rFonts w:ascii="ITC Avant Garde" w:hAnsi="ITC Avant Garde"/>
          <w:lang w:val="es-ES"/>
        </w:rPr>
        <w:t xml:space="preserve">como indica la fórmula de </w:t>
      </w:r>
      <w:proofErr w:type="spellStart"/>
      <w:r w:rsidR="00905C5A" w:rsidRPr="00092A03">
        <w:rPr>
          <w:rFonts w:ascii="ITC Avant Garde" w:hAnsi="ITC Avant Garde"/>
          <w:lang w:val="es-ES"/>
        </w:rPr>
        <w:t>Modigliani</w:t>
      </w:r>
      <w:proofErr w:type="spellEnd"/>
      <w:r w:rsidR="00905C5A" w:rsidRPr="00092A03">
        <w:rPr>
          <w:rFonts w:ascii="ITC Avant Garde" w:hAnsi="ITC Avant Garde"/>
          <w:lang w:val="es-ES"/>
        </w:rPr>
        <w:t xml:space="preserve">-Miller, </w:t>
      </w:r>
      <w:r w:rsidRPr="00092A03">
        <w:rPr>
          <w:rFonts w:ascii="ITC Avant Garde" w:hAnsi="ITC Avant Garde"/>
          <w:lang w:val="es-ES"/>
        </w:rPr>
        <w:t>siendo t la tasa de impuestos, al cálculo.</w:t>
      </w:r>
    </w:p>
    <w:p w14:paraId="0F291C2F"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Se sugiere utilizar alguna técnica de ajuste que "suavice" el comportamiento volátil de la beta estimada.</w:t>
      </w:r>
    </w:p>
    <w:p w14:paraId="372AE0CF"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lastRenderedPageBreak/>
        <w:t xml:space="preserve">Se recomienda utilizar una sola </w:t>
      </w:r>
      <w:r w:rsidR="00C802D5" w:rsidRPr="00092A03">
        <w:rPr>
          <w:rFonts w:ascii="ITC Avant Garde" w:hAnsi="ITC Avant Garde"/>
          <w:i/>
          <w:lang w:val="es-ES"/>
        </w:rPr>
        <w:sym w:font="Symbol" w:char="F062"/>
      </w:r>
      <w:r w:rsidRPr="00092A03">
        <w:rPr>
          <w:rFonts w:ascii="ITC Avant Garde" w:hAnsi="ITC Avant Garde"/>
          <w:lang w:val="es-ES"/>
        </w:rPr>
        <w:t xml:space="preserve"> tanto para operadores no preponderantes fijos, como móviles, sin diferenciar entre estos, ya que prácticamente no existen operadores que solo ofrezcan un servicio de telecomunicaciones</w:t>
      </w:r>
      <w:r w:rsidR="00F64E77" w:rsidRPr="00092A03">
        <w:rPr>
          <w:rFonts w:ascii="ITC Avant Garde" w:hAnsi="ITC Avant Garde"/>
          <w:lang w:val="es-ES"/>
        </w:rPr>
        <w:t>.</w:t>
      </w:r>
    </w:p>
    <w:p w14:paraId="02FF45B6" w14:textId="2E09B3E6" w:rsidR="00722AEC" w:rsidRPr="00092A03" w:rsidRDefault="00722AEC" w:rsidP="00E2652C">
      <w:pPr>
        <w:pStyle w:val="Listaconvietas"/>
        <w:numPr>
          <w:ilvl w:val="0"/>
          <w:numId w:val="0"/>
        </w:numPr>
        <w:rPr>
          <w:rFonts w:ascii="ITC Avant Garde" w:hAnsi="ITC Avant Garde"/>
          <w:lang w:val="es-ES"/>
        </w:rPr>
      </w:pPr>
      <w:r w:rsidRPr="00092A03">
        <w:rPr>
          <w:rFonts w:ascii="ITC Avant Garde" w:hAnsi="ITC Avant Garde"/>
          <w:lang w:val="es-ES"/>
        </w:rPr>
        <w:t xml:space="preserve">Telefónica solicita mayor transparencia sobre las fuentes utilizadas. </w:t>
      </w:r>
      <w:r w:rsidR="004B74BD" w:rsidRPr="00092A03">
        <w:rPr>
          <w:rFonts w:ascii="ITC Avant Garde" w:hAnsi="ITC Avant Garde"/>
          <w:lang w:val="es-ES"/>
        </w:rPr>
        <w:t xml:space="preserve">Además, indica que, para poder proporcionar una mayor estabilidad, sería conveniente utilizar la media del nivel de apalancamiento durante varios años de las empresas o utilizar un nivel de apalancamiento óptimo. Telefónica considera más adecuado un apalancamiento máximo del 40% ya que resulta más próximo al objetivo de </w:t>
      </w:r>
      <w:r w:rsidR="004B74BD" w:rsidRPr="00092A03">
        <w:rPr>
          <w:rFonts w:ascii="ITC Avant Garde" w:hAnsi="ITC Avant Garde"/>
          <w:i/>
          <w:lang w:val="es-ES"/>
        </w:rPr>
        <w:t>rating</w:t>
      </w:r>
      <w:r w:rsidR="004B74BD" w:rsidRPr="00092A03">
        <w:rPr>
          <w:rFonts w:ascii="ITC Avant Garde" w:hAnsi="ITC Avant Garde"/>
          <w:lang w:val="es-ES"/>
        </w:rPr>
        <w:t xml:space="preserve"> de empresas </w:t>
      </w:r>
      <w:proofErr w:type="spellStart"/>
      <w:r w:rsidR="004B74BD" w:rsidRPr="00092A03">
        <w:rPr>
          <w:rFonts w:ascii="ITC Avant Garde" w:hAnsi="ITC Avant Garde"/>
          <w:i/>
          <w:lang w:val="es-ES"/>
        </w:rPr>
        <w:t>Investment</w:t>
      </w:r>
      <w:proofErr w:type="spellEnd"/>
      <w:r w:rsidR="004B74BD" w:rsidRPr="00092A03">
        <w:rPr>
          <w:rFonts w:ascii="ITC Avant Garde" w:hAnsi="ITC Avant Garde"/>
          <w:i/>
          <w:lang w:val="es-ES"/>
        </w:rPr>
        <w:t xml:space="preserve"> Grade</w:t>
      </w:r>
      <w:r w:rsidR="004B74BD" w:rsidRPr="00092A03">
        <w:rPr>
          <w:rFonts w:ascii="ITC Avant Garde" w:hAnsi="ITC Avant Garde"/>
          <w:lang w:val="es-ES"/>
        </w:rPr>
        <w:t>.</w:t>
      </w:r>
    </w:p>
    <w:p w14:paraId="162208CC" w14:textId="0D28CBCA" w:rsidR="00C83412" w:rsidRPr="00092A03" w:rsidRDefault="006D7922">
      <w:pPr>
        <w:rPr>
          <w:rFonts w:ascii="ITC Avant Garde" w:hAnsi="ITC Avant Garde"/>
          <w:lang w:val="es-ES"/>
        </w:rPr>
      </w:pPr>
      <w:r w:rsidRPr="00092A03">
        <w:rPr>
          <w:rFonts w:ascii="ITC Avant Garde" w:hAnsi="ITC Avant Garde"/>
          <w:lang w:val="es-ES"/>
        </w:rPr>
        <w:t xml:space="preserve">Por su parte, </w:t>
      </w:r>
      <w:r w:rsidR="00C95979" w:rsidRPr="00092A03">
        <w:rPr>
          <w:rFonts w:ascii="ITC Avant Garde" w:hAnsi="ITC Avant Garde"/>
          <w:lang w:val="es-ES"/>
        </w:rPr>
        <w:t xml:space="preserve">Telmex/Telnor </w:t>
      </w:r>
      <w:r w:rsidR="00C83412" w:rsidRPr="00092A03">
        <w:rPr>
          <w:rFonts w:ascii="ITC Avant Garde" w:hAnsi="ITC Avant Garde"/>
          <w:lang w:val="es-ES"/>
        </w:rPr>
        <w:t xml:space="preserve">considera que la metodología de cálculo de la </w:t>
      </w:r>
      <w:r w:rsidR="004B74BD" w:rsidRPr="00092A03">
        <w:rPr>
          <w:rFonts w:ascii="ITC Avant Garde" w:hAnsi="ITC Avant Garde"/>
          <w:i/>
          <w:lang w:val="es-ES"/>
        </w:rPr>
        <w:t>β</w:t>
      </w:r>
      <w:proofErr w:type="spellStart"/>
      <w:r w:rsidR="00C83412" w:rsidRPr="00092A03">
        <w:rPr>
          <w:rFonts w:ascii="ITC Avant Garde" w:hAnsi="ITC Avant Garde"/>
          <w:vertAlign w:val="subscript"/>
          <w:lang w:val="es-ES"/>
        </w:rPr>
        <w:t>a</w:t>
      </w:r>
      <w:r w:rsidR="004B74BD" w:rsidRPr="00092A03">
        <w:rPr>
          <w:rFonts w:ascii="ITC Avant Garde" w:hAnsi="ITC Avant Garde"/>
          <w:vertAlign w:val="subscript"/>
          <w:lang w:val="es-ES"/>
        </w:rPr>
        <w:t>s</w:t>
      </w:r>
      <w:r w:rsidR="00C83412" w:rsidRPr="00092A03">
        <w:rPr>
          <w:rFonts w:ascii="ITC Avant Garde" w:hAnsi="ITC Avant Garde"/>
          <w:vertAlign w:val="subscript"/>
          <w:lang w:val="es-ES"/>
        </w:rPr>
        <w:t>s</w:t>
      </w:r>
      <w:r w:rsidR="004B74BD" w:rsidRPr="00092A03">
        <w:rPr>
          <w:rFonts w:ascii="ITC Avant Garde" w:hAnsi="ITC Avant Garde"/>
          <w:vertAlign w:val="subscript"/>
          <w:lang w:val="es-ES"/>
        </w:rPr>
        <w:t>et</w:t>
      </w:r>
      <w:proofErr w:type="spellEnd"/>
      <w:r w:rsidR="00C83412" w:rsidRPr="00092A03">
        <w:rPr>
          <w:rFonts w:ascii="ITC Avant Garde" w:hAnsi="ITC Avant Garde"/>
          <w:lang w:val="es-ES"/>
        </w:rPr>
        <w:t xml:space="preserve"> no es transparente. Entiende la separación en tres grupos y el uso de operadores latinoamericanos, pero no se indican la fuente, ni la muestra, ni los operadores incluidos en el comparativo. </w:t>
      </w:r>
      <w:r w:rsidRPr="00092A03">
        <w:rPr>
          <w:rFonts w:ascii="ITC Avant Garde" w:hAnsi="ITC Avant Garde"/>
          <w:lang w:val="es-ES"/>
        </w:rPr>
        <w:t>Además</w:t>
      </w:r>
      <w:r w:rsidR="00C83412" w:rsidRPr="00092A03">
        <w:rPr>
          <w:rFonts w:ascii="ITC Avant Garde" w:hAnsi="ITC Avant Garde"/>
          <w:lang w:val="es-ES"/>
        </w:rPr>
        <w:t>, no cree que emplear un</w:t>
      </w:r>
      <w:r w:rsidR="00AD2F1D" w:rsidRPr="00092A03">
        <w:rPr>
          <w:rFonts w:ascii="ITC Avant Garde" w:hAnsi="ITC Avant Garde"/>
          <w:lang w:val="es-ES"/>
        </w:rPr>
        <w:t>a</w:t>
      </w:r>
      <w:r w:rsidR="00C83412" w:rsidRPr="00092A03">
        <w:rPr>
          <w:rFonts w:ascii="ITC Avant Garde" w:hAnsi="ITC Avant Garde"/>
          <w:lang w:val="es-ES"/>
        </w:rPr>
        <w:t xml:space="preserve"> comparativ</w:t>
      </w:r>
      <w:r w:rsidR="00AD2F1D" w:rsidRPr="00092A03">
        <w:rPr>
          <w:rFonts w:ascii="ITC Avant Garde" w:hAnsi="ITC Avant Garde"/>
          <w:lang w:val="es-ES"/>
        </w:rPr>
        <w:t>a</w:t>
      </w:r>
      <w:r w:rsidR="00C83412" w:rsidRPr="00092A03">
        <w:rPr>
          <w:rFonts w:ascii="ITC Avant Garde" w:hAnsi="ITC Avant Garde"/>
          <w:lang w:val="es-ES"/>
        </w:rPr>
        <w:t xml:space="preserve"> refleje las características del mercado mexicano.</w:t>
      </w:r>
    </w:p>
    <w:p w14:paraId="32B83DFF" w14:textId="2031E2E2" w:rsidR="004058ED" w:rsidRPr="00092A03" w:rsidRDefault="002B648A">
      <w:pPr>
        <w:pStyle w:val="Ttulo4"/>
        <w:rPr>
          <w:rFonts w:ascii="ITC Avant Garde" w:hAnsi="ITC Avant Garde"/>
          <w:b/>
          <w:lang w:val="es-ES"/>
        </w:rPr>
      </w:pPr>
      <w:r w:rsidRPr="00092A03">
        <w:rPr>
          <w:rFonts w:ascii="ITC Avant Garde" w:hAnsi="ITC Avant Garde"/>
          <w:b/>
          <w:lang w:val="es-ES"/>
        </w:rPr>
        <w:t>Consideraciones del Instituto</w:t>
      </w:r>
    </w:p>
    <w:p w14:paraId="612F3FD8" w14:textId="77777777" w:rsidR="0024558B" w:rsidRPr="00092A03" w:rsidRDefault="0024558B" w:rsidP="00722AEC">
      <w:pPr>
        <w:rPr>
          <w:rFonts w:ascii="ITC Avant Garde" w:hAnsi="ITC Avant Garde"/>
          <w:spacing w:val="-4"/>
          <w:lang w:val="es-ES"/>
        </w:rPr>
      </w:pPr>
      <w:r w:rsidRPr="00092A03">
        <w:rPr>
          <w:rFonts w:ascii="ITC Avant Garde" w:hAnsi="ITC Avant Garde"/>
          <w:spacing w:val="-4"/>
          <w:lang w:val="es-ES"/>
        </w:rPr>
        <w:t xml:space="preserve">Aunque la fórmula de </w:t>
      </w:r>
      <w:proofErr w:type="spellStart"/>
      <w:r w:rsidRPr="00092A03">
        <w:rPr>
          <w:rFonts w:ascii="ITC Avant Garde" w:hAnsi="ITC Avant Garde"/>
          <w:spacing w:val="-4"/>
          <w:lang w:val="es-ES"/>
        </w:rPr>
        <w:t>Modigliani</w:t>
      </w:r>
      <w:proofErr w:type="spellEnd"/>
      <w:r w:rsidRPr="00092A03">
        <w:rPr>
          <w:rFonts w:ascii="ITC Avant Garde" w:hAnsi="ITC Avant Garde"/>
          <w:spacing w:val="-4"/>
          <w:lang w:val="es-ES"/>
        </w:rPr>
        <w:t>-Miller propuesta por un operador</w:t>
      </w:r>
      <w:r w:rsidR="009823F0" w:rsidRPr="00092A03">
        <w:rPr>
          <w:rFonts w:ascii="ITC Avant Garde" w:hAnsi="ITC Avant Garde"/>
          <w:spacing w:val="-4"/>
          <w:lang w:val="es-ES"/>
        </w:rPr>
        <w:t xml:space="preserve"> </w:t>
      </w:r>
      <w:r w:rsidR="001B5FCB" w:rsidRPr="00092A03">
        <w:rPr>
          <w:rFonts w:ascii="ITC Avant Garde" w:hAnsi="ITC Avant Garde"/>
          <w:spacing w:val="-4"/>
          <w:lang w:val="es-ES"/>
        </w:rPr>
        <w:t>e</w:t>
      </w:r>
      <w:r w:rsidRPr="00092A03">
        <w:rPr>
          <w:rFonts w:ascii="ITC Avant Garde" w:hAnsi="ITC Avant Garde"/>
          <w:spacing w:val="-4"/>
          <w:lang w:val="es-ES"/>
        </w:rPr>
        <w:t>s correcta desde el punto de vista conceptual, por coherencia con modelos anteriores se continuará usando la misma metodología de cálculo</w:t>
      </w:r>
      <w:r w:rsidR="00905C5A" w:rsidRPr="00092A03">
        <w:rPr>
          <w:rFonts w:ascii="ITC Avant Garde" w:hAnsi="ITC Avant Garde"/>
          <w:spacing w:val="-4"/>
          <w:lang w:val="es-ES"/>
        </w:rPr>
        <w:t xml:space="preserve"> (fórmula de Miller)</w:t>
      </w:r>
      <w:r w:rsidRPr="00092A03">
        <w:rPr>
          <w:rFonts w:ascii="ITC Avant Garde" w:hAnsi="ITC Avant Garde"/>
          <w:spacing w:val="-4"/>
          <w:lang w:val="es-ES"/>
        </w:rPr>
        <w:t xml:space="preserve"> que los últimos años</w:t>
      </w:r>
      <w:r w:rsidR="00905C5A" w:rsidRPr="00092A03">
        <w:rPr>
          <w:rFonts w:ascii="ITC Avant Garde" w:hAnsi="ITC Avant Garde"/>
          <w:spacing w:val="-4"/>
          <w:lang w:val="es-ES"/>
        </w:rPr>
        <w:t>, ya que como el propio operador reconoce, es consistente con las metodologías de valoración financiera comúnmente utilizadas.</w:t>
      </w:r>
    </w:p>
    <w:p w14:paraId="6CB123FF" w14:textId="77777777" w:rsidR="00CD2DCD" w:rsidRPr="00092A03" w:rsidRDefault="006D7922" w:rsidP="00722AEC">
      <w:pPr>
        <w:rPr>
          <w:rFonts w:ascii="ITC Avant Garde" w:hAnsi="ITC Avant Garde"/>
          <w:spacing w:val="-4"/>
          <w:lang w:val="es-ES"/>
        </w:rPr>
      </w:pPr>
      <w:r w:rsidRPr="00092A03">
        <w:rPr>
          <w:rFonts w:ascii="ITC Avant Garde" w:hAnsi="ITC Avant Garde"/>
          <w:spacing w:val="-4"/>
          <w:lang w:val="es-ES"/>
        </w:rPr>
        <w:t xml:space="preserve">Sobre el uso de una única </w:t>
      </w:r>
      <w:r w:rsidRPr="00092A03">
        <w:rPr>
          <w:rFonts w:ascii="ITC Avant Garde" w:hAnsi="ITC Avant Garde"/>
          <w:i/>
          <w:spacing w:val="-4"/>
          <w:lang w:val="es-ES"/>
        </w:rPr>
        <w:t>β</w:t>
      </w:r>
      <w:r w:rsidRPr="00092A03">
        <w:rPr>
          <w:rFonts w:ascii="ITC Avant Garde" w:hAnsi="ITC Avant Garde"/>
          <w:spacing w:val="-4"/>
          <w:lang w:val="es-ES"/>
        </w:rPr>
        <w:t xml:space="preserve">, afirmar </w:t>
      </w:r>
      <w:r w:rsidR="00365CEB" w:rsidRPr="00092A03">
        <w:rPr>
          <w:rFonts w:ascii="ITC Avant Garde" w:hAnsi="ITC Avant Garde"/>
          <w:spacing w:val="-4"/>
          <w:lang w:val="es-ES"/>
        </w:rPr>
        <w:t>que,</w:t>
      </w:r>
      <w:r w:rsidRPr="00092A03">
        <w:rPr>
          <w:rFonts w:ascii="ITC Avant Garde" w:hAnsi="ITC Avant Garde"/>
          <w:spacing w:val="-4"/>
          <w:lang w:val="es-ES"/>
        </w:rPr>
        <w:t xml:space="preserve"> e</w:t>
      </w:r>
      <w:r w:rsidR="00CD2DCD" w:rsidRPr="00092A03">
        <w:rPr>
          <w:rFonts w:ascii="ITC Avant Garde" w:hAnsi="ITC Avant Garde"/>
          <w:spacing w:val="-4"/>
          <w:lang w:val="es-ES"/>
        </w:rPr>
        <w:t xml:space="preserve">n muchos mercados internacionales, como podría ser el español, tendría sentido el uso de una </w:t>
      </w:r>
      <w:proofErr w:type="gramStart"/>
      <w:r w:rsidR="00CD2DCD" w:rsidRPr="00092A03">
        <w:rPr>
          <w:rFonts w:ascii="ITC Avant Garde" w:hAnsi="ITC Avant Garde"/>
          <w:spacing w:val="-4"/>
          <w:lang w:val="es-ES"/>
        </w:rPr>
        <w:t xml:space="preserve">única </w:t>
      </w:r>
      <w:proofErr w:type="gramEnd"/>
      <w:r w:rsidR="00CD2DCD" w:rsidRPr="00092A03">
        <w:rPr>
          <w:rFonts w:ascii="ITC Avant Garde" w:hAnsi="ITC Avant Garde"/>
          <w:i/>
          <w:spacing w:val="-4"/>
          <w:lang w:val="es-ES"/>
        </w:rPr>
        <w:sym w:font="Symbol" w:char="F062"/>
      </w:r>
      <w:r w:rsidR="003D031F" w:rsidRPr="00092A03">
        <w:rPr>
          <w:rFonts w:ascii="ITC Avant Garde" w:hAnsi="ITC Avant Garde"/>
          <w:spacing w:val="-4"/>
          <w:lang w:val="es-ES"/>
        </w:rPr>
        <w:t>. S</w:t>
      </w:r>
      <w:r w:rsidR="00CD2DCD" w:rsidRPr="00092A03">
        <w:rPr>
          <w:rFonts w:ascii="ITC Avant Garde" w:hAnsi="ITC Avant Garde"/>
          <w:spacing w:val="-4"/>
          <w:lang w:val="es-ES"/>
        </w:rPr>
        <w:t xml:space="preserve">in embargo, la realidad mexicana indica que no ha habido una consolidación de los mercados fijo y móvil </w:t>
      </w:r>
      <w:r w:rsidR="003D031F" w:rsidRPr="00092A03">
        <w:rPr>
          <w:rFonts w:ascii="ITC Avant Garde" w:hAnsi="ITC Avant Garde"/>
          <w:spacing w:val="-4"/>
          <w:lang w:val="es-ES"/>
        </w:rPr>
        <w:t>existiendo</w:t>
      </w:r>
      <w:r w:rsidR="00CD2DCD" w:rsidRPr="00092A03">
        <w:rPr>
          <w:rFonts w:ascii="ITC Avant Garde" w:hAnsi="ITC Avant Garde"/>
          <w:spacing w:val="-4"/>
          <w:lang w:val="es-ES"/>
        </w:rPr>
        <w:t>, por tanto, operadores fijos y móviles generalmente independientes. Además, existen amplias diferencias entre los operadores no preponderantes fijos y móviles, no solo en cuota de mercado, sino que también en cuanto al tamaño global de las empresas.</w:t>
      </w:r>
    </w:p>
    <w:p w14:paraId="62BEE85E" w14:textId="77777777" w:rsidR="00CD2DCD" w:rsidRPr="00092A03" w:rsidRDefault="00365CEB" w:rsidP="00722AEC">
      <w:pPr>
        <w:rPr>
          <w:rFonts w:ascii="ITC Avant Garde" w:hAnsi="ITC Avant Garde"/>
          <w:spacing w:val="-4"/>
          <w:lang w:val="es-ES"/>
        </w:rPr>
      </w:pPr>
      <w:r w:rsidRPr="00092A03">
        <w:rPr>
          <w:rFonts w:ascii="ITC Avant Garde" w:hAnsi="ITC Avant Garde"/>
          <w:spacing w:val="-4"/>
          <w:lang w:val="es-ES"/>
        </w:rPr>
        <w:t xml:space="preserve">Por otro lado, </w:t>
      </w:r>
      <w:r w:rsidR="003D031F" w:rsidRPr="00092A03">
        <w:rPr>
          <w:rFonts w:ascii="ITC Avant Garde" w:hAnsi="ITC Avant Garde"/>
          <w:spacing w:val="-4"/>
          <w:lang w:val="es-ES"/>
        </w:rPr>
        <w:t xml:space="preserve">la metodología se enfrenta a una </w:t>
      </w:r>
      <w:r w:rsidR="00CD2DCD" w:rsidRPr="00092A03">
        <w:rPr>
          <w:rFonts w:ascii="ITC Avant Garde" w:hAnsi="ITC Avant Garde"/>
          <w:spacing w:val="-4"/>
          <w:lang w:val="es-ES"/>
        </w:rPr>
        <w:t xml:space="preserve">falta de información a nivel local de los operadores existentes </w:t>
      </w:r>
      <w:r w:rsidR="003D031F" w:rsidRPr="00092A03">
        <w:rPr>
          <w:rFonts w:ascii="ITC Avant Garde" w:hAnsi="ITC Avant Garde"/>
          <w:spacing w:val="-4"/>
          <w:lang w:val="es-ES"/>
        </w:rPr>
        <w:t xml:space="preserve">que </w:t>
      </w:r>
      <w:r w:rsidR="00CD2DCD" w:rsidRPr="00092A03">
        <w:rPr>
          <w:rFonts w:ascii="ITC Avant Garde" w:hAnsi="ITC Avant Garde"/>
          <w:spacing w:val="-4"/>
          <w:lang w:val="es-ES"/>
        </w:rPr>
        <w:t xml:space="preserve">hace imposible reflejar las características de estos operadores a través de su información. Por tanto, se </w:t>
      </w:r>
      <w:r w:rsidR="003D031F" w:rsidRPr="00092A03">
        <w:rPr>
          <w:rFonts w:ascii="ITC Avant Garde" w:hAnsi="ITC Avant Garde"/>
          <w:spacing w:val="-4"/>
          <w:lang w:val="es-ES"/>
        </w:rPr>
        <w:t xml:space="preserve">emplean soluciones alternativas </w:t>
      </w:r>
      <w:r w:rsidR="00CD2DCD" w:rsidRPr="00092A03">
        <w:rPr>
          <w:rFonts w:ascii="ITC Avant Garde" w:hAnsi="ITC Avant Garde"/>
          <w:spacing w:val="-4"/>
          <w:lang w:val="es-ES"/>
        </w:rPr>
        <w:t>para estimar las características del operador hipotético existente.</w:t>
      </w:r>
      <w:r w:rsidR="003D031F" w:rsidRPr="00092A03">
        <w:rPr>
          <w:rFonts w:ascii="ITC Avant Garde" w:hAnsi="ITC Avant Garde"/>
          <w:spacing w:val="-4"/>
          <w:lang w:val="es-ES"/>
        </w:rPr>
        <w:t xml:space="preserve"> Cabe notar que dichas soluciones han estado refrendadas por anteriores consultas públicas.</w:t>
      </w:r>
    </w:p>
    <w:p w14:paraId="50E54C5E" w14:textId="77777777" w:rsidR="006D7922" w:rsidRPr="00092A03" w:rsidRDefault="006D7922" w:rsidP="00722AEC">
      <w:pPr>
        <w:rPr>
          <w:rFonts w:ascii="ITC Avant Garde" w:hAnsi="ITC Avant Garde"/>
          <w:spacing w:val="-4"/>
          <w:lang w:val="es-ES"/>
        </w:rPr>
      </w:pPr>
      <w:r w:rsidRPr="00092A03">
        <w:rPr>
          <w:rFonts w:ascii="ITC Avant Garde" w:hAnsi="ITC Avant Garde"/>
          <w:spacing w:val="-4"/>
          <w:lang w:val="es-ES"/>
        </w:rPr>
        <w:t xml:space="preserve">La fuente utilizada en la comparativa para identificar las </w:t>
      </w:r>
      <w:r w:rsidRPr="00092A03">
        <w:rPr>
          <w:rFonts w:ascii="ITC Avant Garde" w:hAnsi="ITC Avant Garde"/>
          <w:i/>
          <w:spacing w:val="-4"/>
          <w:lang w:val="es-ES"/>
        </w:rPr>
        <w:t>βs</w:t>
      </w:r>
      <w:r w:rsidRPr="00092A03">
        <w:rPr>
          <w:rFonts w:ascii="ITC Avant Garde" w:hAnsi="ITC Avant Garde"/>
          <w:spacing w:val="-4"/>
          <w:lang w:val="es-ES"/>
        </w:rPr>
        <w:t xml:space="preserve"> específicas de los mercados fijo y móvil es Reuters</w:t>
      </w:r>
      <w:r w:rsidR="003D031F" w:rsidRPr="00092A03">
        <w:rPr>
          <w:rFonts w:ascii="ITC Avant Garde" w:hAnsi="ITC Avant Garde"/>
          <w:spacing w:val="-4"/>
          <w:lang w:val="es-ES"/>
        </w:rPr>
        <w:t>,</w:t>
      </w:r>
      <w:r w:rsidRPr="00092A03">
        <w:rPr>
          <w:rFonts w:ascii="ITC Avant Garde" w:hAnsi="ITC Avant Garde"/>
          <w:spacing w:val="-4"/>
          <w:lang w:val="es-ES"/>
        </w:rPr>
        <w:t xml:space="preserve"> y la fecha de obtención de las mismas</w:t>
      </w:r>
      <w:r w:rsidR="004523E4" w:rsidRPr="00092A03">
        <w:rPr>
          <w:rFonts w:ascii="ITC Avant Garde" w:hAnsi="ITC Avant Garde"/>
          <w:spacing w:val="-4"/>
          <w:lang w:val="es-ES"/>
        </w:rPr>
        <w:t xml:space="preserve"> </w:t>
      </w:r>
      <w:r w:rsidRPr="00092A03">
        <w:rPr>
          <w:rFonts w:ascii="ITC Avant Garde" w:hAnsi="ITC Avant Garde"/>
          <w:spacing w:val="-4"/>
          <w:lang w:val="es-ES"/>
        </w:rPr>
        <w:t xml:space="preserve">es </w:t>
      </w:r>
      <w:r w:rsidR="00E628D2" w:rsidRPr="00092A03">
        <w:rPr>
          <w:rFonts w:ascii="ITC Avant Garde" w:hAnsi="ITC Avant Garde"/>
          <w:spacing w:val="-4"/>
          <w:lang w:val="es-ES"/>
        </w:rPr>
        <w:t>abril de 2017</w:t>
      </w:r>
      <w:r w:rsidRPr="00092A03">
        <w:rPr>
          <w:rFonts w:ascii="ITC Avant Garde" w:hAnsi="ITC Avant Garde"/>
          <w:spacing w:val="-4"/>
          <w:lang w:val="es-ES"/>
        </w:rPr>
        <w:t>.</w:t>
      </w:r>
    </w:p>
    <w:p w14:paraId="7BF57308" w14:textId="77777777" w:rsidR="008F152D"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lastRenderedPageBreak/>
        <w:t>Concepto propuesto</w:t>
      </w:r>
      <w:r w:rsidR="00A37365" w:rsidRPr="00092A03">
        <w:rPr>
          <w:rFonts w:ascii="ITC Avant Garde" w:hAnsi="ITC Avant Garde"/>
          <w:lang w:val="es-MX"/>
        </w:rPr>
        <w:t xml:space="preserve"> </w:t>
      </w:r>
      <w:r w:rsidR="00A37365" w:rsidRPr="00092A03">
        <w:rPr>
          <w:rFonts w:ascii="ITC Avant Garde" w:hAnsi="ITC Avant Garde"/>
        </w:rPr>
        <w:fldChar w:fldCharType="begin"/>
      </w:r>
      <w:r w:rsidR="00A37365" w:rsidRPr="00092A03">
        <w:rPr>
          <w:rFonts w:ascii="ITC Avant Garde" w:hAnsi="ITC Avant Garde"/>
          <w:lang w:val="es-MX"/>
        </w:rPr>
        <w:instrText xml:space="preserve"> SEQ Recommendation \* ARABIC \s 0 </w:instrText>
      </w:r>
      <w:r w:rsidR="00A37365" w:rsidRPr="00092A03">
        <w:rPr>
          <w:rFonts w:ascii="ITC Avant Garde" w:hAnsi="ITC Avant Garde"/>
        </w:rPr>
        <w:fldChar w:fldCharType="separate"/>
      </w:r>
      <w:r w:rsidR="00296386" w:rsidRPr="00092A03">
        <w:rPr>
          <w:rFonts w:ascii="ITC Avant Garde" w:hAnsi="ITC Avant Garde"/>
          <w:lang w:val="es-MX"/>
        </w:rPr>
        <w:t>29</w:t>
      </w:r>
      <w:r w:rsidR="00A37365" w:rsidRPr="00092A03">
        <w:rPr>
          <w:rFonts w:ascii="ITC Avant Garde" w:hAnsi="ITC Avant Garde"/>
        </w:rPr>
        <w:fldChar w:fldCharType="end"/>
      </w:r>
      <w:r w:rsidR="00A37365" w:rsidRPr="00092A03">
        <w:rPr>
          <w:rFonts w:ascii="ITC Avant Garde" w:hAnsi="ITC Avant Garde"/>
          <w:lang w:val="es-MX"/>
        </w:rPr>
        <w:t xml:space="preserve">: </w:t>
      </w:r>
    </w:p>
    <w:p w14:paraId="78023906" w14:textId="124AF637" w:rsidR="00A37365" w:rsidRPr="00092A03" w:rsidRDefault="00265246" w:rsidP="008F152D">
      <w:pPr>
        <w:pStyle w:val="B1"/>
        <w:keepLines w:val="0"/>
        <w:pBdr>
          <w:top w:val="single" w:sz="4" w:space="2" w:color="D9D9D9" w:themeColor="background1" w:themeShade="D9"/>
          <w:bottom w:val="single" w:sz="4" w:space="5" w:color="D9D9D9" w:themeColor="background1" w:themeShade="D9"/>
        </w:pBdr>
        <w:rPr>
          <w:rFonts w:ascii="ITC Avant Garde" w:hAnsi="ITC Avant Garde"/>
          <w:lang w:val="es-ES"/>
        </w:rPr>
      </w:pPr>
      <w:r w:rsidRPr="00092A03">
        <w:rPr>
          <w:rFonts w:ascii="ITC Avant Garde" w:hAnsi="ITC Avant Garde"/>
          <w:lang w:val="es-ES"/>
        </w:rPr>
        <w:t xml:space="preserve">De forma similar al método seguido para determinar la </w:t>
      </w:r>
      <w:r w:rsidRPr="00092A03">
        <w:rPr>
          <w:rFonts w:ascii="ITC Avant Garde" w:hAnsi="ITC Avant Garde"/>
          <w:i/>
          <w:iCs/>
        </w:rPr>
        <w:sym w:font="Symbol" w:char="F062"/>
      </w:r>
      <w:proofErr w:type="spellStart"/>
      <w:r w:rsidRPr="00092A03">
        <w:rPr>
          <w:rFonts w:ascii="ITC Avant Garde" w:hAnsi="ITC Avant Garde"/>
          <w:i/>
          <w:vertAlign w:val="subscript"/>
          <w:lang w:val="es-ES"/>
        </w:rPr>
        <w:t>asset</w:t>
      </w:r>
      <w:proofErr w:type="spellEnd"/>
      <w:r w:rsidRPr="00092A03">
        <w:rPr>
          <w:rFonts w:ascii="ITC Avant Garde" w:hAnsi="ITC Avant Garde"/>
          <w:lang w:val="es-ES"/>
        </w:rPr>
        <w:t xml:space="preserve">, se evaluará el nivel apropiado de apalancamiento utilizando la misma comparativa de operadores en Latinoamérica. Se aplica </w:t>
      </w:r>
      <w:r w:rsidR="0017052B" w:rsidRPr="00092A03">
        <w:rPr>
          <w:rFonts w:ascii="ITC Avant Garde" w:hAnsi="ITC Avant Garde"/>
          <w:lang w:val="es-ES"/>
        </w:rPr>
        <w:t xml:space="preserve">información pública financiera con fuente en </w:t>
      </w:r>
      <w:proofErr w:type="spellStart"/>
      <w:r w:rsidR="0017052B" w:rsidRPr="00092A03">
        <w:rPr>
          <w:rFonts w:ascii="ITC Avant Garde" w:hAnsi="ITC Avant Garde"/>
          <w:lang w:val="es-ES"/>
        </w:rPr>
        <w:t>Financial</w:t>
      </w:r>
      <w:proofErr w:type="spellEnd"/>
      <w:r w:rsidR="0017052B" w:rsidRPr="00092A03">
        <w:rPr>
          <w:rFonts w:ascii="ITC Avant Garde" w:hAnsi="ITC Avant Garde"/>
          <w:lang w:val="es-ES"/>
        </w:rPr>
        <w:t xml:space="preserve"> Times y Reuters</w:t>
      </w:r>
      <w:r w:rsidRPr="00092A03">
        <w:rPr>
          <w:rFonts w:ascii="ITC Avant Garde" w:hAnsi="ITC Avant Garde"/>
          <w:lang w:val="es-ES"/>
        </w:rPr>
        <w:t>.</w:t>
      </w:r>
    </w:p>
    <w:p w14:paraId="60B5F7A9" w14:textId="77777777" w:rsidR="004058ED" w:rsidRPr="00092A03" w:rsidRDefault="00F35F0C" w:rsidP="004058ED">
      <w:pPr>
        <w:pStyle w:val="Ttulo4"/>
        <w:rPr>
          <w:rFonts w:ascii="ITC Avant Garde" w:hAnsi="ITC Avant Garde"/>
        </w:rPr>
      </w:pPr>
      <w:bookmarkStart w:id="27" w:name="_Ref321212527"/>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3FEB07EE" w14:textId="44718E38" w:rsidR="000D6224" w:rsidRPr="00092A03" w:rsidRDefault="000D6224" w:rsidP="000D6224">
      <w:pPr>
        <w:rPr>
          <w:rFonts w:ascii="ITC Avant Garde" w:hAnsi="ITC Avant Garde"/>
          <w:lang w:val="es-ES"/>
        </w:rPr>
      </w:pPr>
      <w:r w:rsidRPr="00092A03">
        <w:rPr>
          <w:rFonts w:ascii="ITC Avant Garde" w:hAnsi="ITC Avant Garde"/>
          <w:lang w:val="es-ES"/>
        </w:rPr>
        <w:t>Mega Cable incluye los siguientes comentarios:</w:t>
      </w:r>
    </w:p>
    <w:p w14:paraId="369C00C4"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 xml:space="preserve">Recomienda utilizar únicamente deuda de largo plazo, </w:t>
      </w:r>
      <w:r w:rsidR="008E79B5" w:rsidRPr="00092A03">
        <w:rPr>
          <w:rFonts w:ascii="ITC Avant Garde" w:hAnsi="ITC Avant Garde"/>
          <w:lang w:val="es-ES"/>
        </w:rPr>
        <w:t>ya que,</w:t>
      </w:r>
      <w:r w:rsidRPr="00092A03">
        <w:rPr>
          <w:rFonts w:ascii="ITC Avant Garde" w:hAnsi="ITC Avant Garde"/>
          <w:lang w:val="es-ES"/>
        </w:rPr>
        <w:t xml:space="preserve"> para fines de comparación con la forma de financiamiento de una empresa, solo dicha deuda es comparable con el capital.</w:t>
      </w:r>
    </w:p>
    <w:p w14:paraId="19D627BD"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 xml:space="preserve">La selección de empresas no resulta comparable a 1os operadores no preponderantes fijos y móviles. </w:t>
      </w:r>
    </w:p>
    <w:p w14:paraId="47BF2A8B"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No se aclara la fecha y la fuente de la información de deuda y capital de las empresas consideradas como comparables; la utilización de Carso Global Telecom parece sugerir que dicha información no es muy reciente, pues la misma dejó de publicar información financiera en 2010.</w:t>
      </w:r>
    </w:p>
    <w:p w14:paraId="0BCFE8C5" w14:textId="2053C5D9" w:rsidR="000D6224" w:rsidRPr="00092A03" w:rsidRDefault="000D6224" w:rsidP="000D6224">
      <w:pPr>
        <w:rPr>
          <w:rFonts w:ascii="ITC Avant Garde" w:hAnsi="ITC Avant Garde"/>
          <w:lang w:val="es-ES"/>
        </w:rPr>
      </w:pPr>
      <w:r w:rsidRPr="00092A03">
        <w:rPr>
          <w:rFonts w:ascii="ITC Avant Garde" w:hAnsi="ITC Avant Garde"/>
          <w:lang w:val="es-ES"/>
        </w:rPr>
        <w:t>Asimismo, Mega Cable añade que:</w:t>
      </w:r>
    </w:p>
    <w:p w14:paraId="422191FA"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No se observa justificación alguna para diferenciar la estructura de financiamiento de un operador no preponderante fijo y móvil, ya que en la actualidad todos los operadores ofrecen diversos servicios de telecomunicaciones.</w:t>
      </w:r>
    </w:p>
    <w:p w14:paraId="1CE9F771" w14:textId="69C142B1" w:rsidR="00722AEC" w:rsidRPr="00092A03" w:rsidRDefault="00722AEC">
      <w:pPr>
        <w:rPr>
          <w:rFonts w:ascii="ITC Avant Garde" w:hAnsi="ITC Avant Garde"/>
          <w:lang w:val="es-ES"/>
        </w:rPr>
      </w:pPr>
      <w:r w:rsidRPr="00092A03">
        <w:rPr>
          <w:rFonts w:ascii="ITC Avant Garde" w:hAnsi="ITC Avant Garde"/>
          <w:lang w:val="es-ES"/>
        </w:rPr>
        <w:t>Telefónica</w:t>
      </w:r>
      <w:r w:rsidR="00365CEB" w:rsidRPr="00092A03">
        <w:rPr>
          <w:rFonts w:ascii="ITC Avant Garde" w:hAnsi="ITC Avant Garde"/>
          <w:lang w:val="es-ES"/>
        </w:rPr>
        <w:t xml:space="preserve"> </w:t>
      </w:r>
      <w:r w:rsidRPr="00092A03">
        <w:rPr>
          <w:rFonts w:ascii="ITC Avant Garde" w:hAnsi="ITC Avant Garde"/>
          <w:lang w:val="es-ES"/>
        </w:rPr>
        <w:t>incide en la volatilidad de la metodología al haberse incrementado el nivel de apalancamiento desde la consulta del modelo 2017. Solicita asimismo más transparencia sobre las fuentes usadas y cálculos efectuados</w:t>
      </w:r>
      <w:r w:rsidR="008E79B5" w:rsidRPr="00092A03">
        <w:rPr>
          <w:rFonts w:ascii="ITC Avant Garde" w:hAnsi="ITC Avant Garde"/>
          <w:lang w:val="es-ES"/>
        </w:rPr>
        <w:t>.</w:t>
      </w:r>
    </w:p>
    <w:p w14:paraId="56C678CD" w14:textId="4830450E" w:rsidR="00C83412" w:rsidRPr="00092A03" w:rsidRDefault="00365CEB" w:rsidP="00C83412">
      <w:pPr>
        <w:rPr>
          <w:rFonts w:ascii="ITC Avant Garde" w:hAnsi="ITC Avant Garde"/>
          <w:lang w:val="es-ES"/>
        </w:rPr>
      </w:pPr>
      <w:r w:rsidRPr="00092A03">
        <w:rPr>
          <w:rFonts w:ascii="ITC Avant Garde" w:hAnsi="ITC Avant Garde"/>
          <w:lang w:val="es-ES"/>
        </w:rPr>
        <w:t xml:space="preserve">Por su parte, </w:t>
      </w:r>
      <w:r w:rsidR="00C83412" w:rsidRPr="00092A03">
        <w:rPr>
          <w:rFonts w:ascii="ITC Avant Garde" w:hAnsi="ITC Avant Garde"/>
          <w:lang w:val="es-ES"/>
        </w:rPr>
        <w:t xml:space="preserve">Telmex/Telnor considera que la proporción D/E incorpora un sesgo en su cálculo resultado del uso de un promedio simple sobre una muestra pequeña. Sugiere emplear la mediana en vez de la media, lo que evita que empresas en el extremo del rango desvíen la distribución de la muestra. Además, considera que la metodología no es transparente, ya que no se indica claramente el enfoque empleado para el IRG, y no se indica la muestra empleada para su cálculo, ni los años empleados. Sugieren además que se utilicen los mismos operadores para los cálculos de todos los otros parámetros (p.ej. </w:t>
      </w:r>
      <w:r w:rsidR="00D37A28" w:rsidRPr="00092A03">
        <w:rPr>
          <w:rFonts w:ascii="ITC Avant Garde" w:hAnsi="ITC Avant Garde"/>
          <w:i/>
          <w:lang w:val="es-ES"/>
        </w:rPr>
        <w:t>β</w:t>
      </w:r>
      <w:r w:rsidR="00C83412" w:rsidRPr="00092A03">
        <w:rPr>
          <w:rFonts w:ascii="ITC Avant Garde" w:hAnsi="ITC Avant Garde"/>
          <w:lang w:val="es-ES"/>
        </w:rPr>
        <w:t>).</w:t>
      </w:r>
    </w:p>
    <w:p w14:paraId="171526A5" w14:textId="75559644" w:rsidR="00CC3991" w:rsidRPr="00092A03" w:rsidRDefault="00CC3991" w:rsidP="00CC3991">
      <w:pPr>
        <w:rPr>
          <w:rFonts w:ascii="ITC Avant Garde" w:hAnsi="ITC Avant Garde"/>
          <w:lang w:val="es-ES"/>
        </w:rPr>
      </w:pPr>
      <w:r w:rsidRPr="00092A03">
        <w:rPr>
          <w:rFonts w:ascii="ITC Avant Garde" w:hAnsi="ITC Avant Garde"/>
          <w:lang w:val="es-ES"/>
        </w:rPr>
        <w:t xml:space="preserve">Por otro lado, Telcel sugiere al IFT no utilizar promedios de cantidades con una elevada dispersión, para que el promedio sea realmente representativo de un </w:t>
      </w:r>
      <w:r w:rsidRPr="00092A03">
        <w:rPr>
          <w:rFonts w:ascii="ITC Avant Garde" w:hAnsi="ITC Avant Garde"/>
          <w:lang w:val="es-ES"/>
        </w:rPr>
        <w:lastRenderedPageBreak/>
        <w:t>elemento válido y dé como resultado un valor que refleje la realidad de los indicadores que se pretenden modelar.</w:t>
      </w:r>
    </w:p>
    <w:p w14:paraId="21783713" w14:textId="22B123BA" w:rsidR="004058ED" w:rsidRPr="00092A03" w:rsidRDefault="002B648A" w:rsidP="004058ED">
      <w:pPr>
        <w:pStyle w:val="Ttulo4"/>
        <w:rPr>
          <w:rFonts w:ascii="ITC Avant Garde" w:hAnsi="ITC Avant Garde"/>
          <w:b/>
          <w:lang w:val="es-ES"/>
        </w:rPr>
      </w:pPr>
      <w:r w:rsidRPr="00092A03">
        <w:rPr>
          <w:rFonts w:ascii="ITC Avant Garde" w:hAnsi="ITC Avant Garde"/>
          <w:b/>
          <w:lang w:val="es-ES"/>
        </w:rPr>
        <w:t>Consideraciones del Instituto</w:t>
      </w:r>
    </w:p>
    <w:p w14:paraId="50FA353A" w14:textId="2375D11F" w:rsidR="00DF1F66" w:rsidRPr="00092A03" w:rsidRDefault="00DF1F66">
      <w:pPr>
        <w:rPr>
          <w:rFonts w:ascii="ITC Avant Garde" w:hAnsi="ITC Avant Garde"/>
          <w:spacing w:val="-4"/>
          <w:lang w:val="es-ES"/>
        </w:rPr>
      </w:pPr>
      <w:r w:rsidRPr="00092A03">
        <w:rPr>
          <w:rFonts w:ascii="ITC Avant Garde" w:hAnsi="ITC Avant Garde"/>
          <w:spacing w:val="-4"/>
          <w:lang w:val="es-ES"/>
        </w:rPr>
        <w:t xml:space="preserve">Con respecto al operador que recomienda utilizar únicamente deuda de largo plazo, cabe notar que la fuente empleada (Reuters) provee directamente la relación deuda/capital, por lo que la </w:t>
      </w:r>
      <w:r w:rsidR="0051642E" w:rsidRPr="00092A03">
        <w:rPr>
          <w:rFonts w:ascii="ITC Avant Garde" w:hAnsi="ITC Avant Garde"/>
          <w:spacing w:val="-4"/>
          <w:lang w:val="es-ES"/>
        </w:rPr>
        <w:t xml:space="preserve">se considera adecuada para los </w:t>
      </w:r>
      <w:r w:rsidRPr="00092A03">
        <w:rPr>
          <w:rFonts w:ascii="ITC Avant Garde" w:hAnsi="ITC Avant Garde"/>
          <w:spacing w:val="-4"/>
          <w:lang w:val="es-ES"/>
        </w:rPr>
        <w:t xml:space="preserve">cálculos. Los datos fueron obtenidos a </w:t>
      </w:r>
      <w:r w:rsidR="004C609D" w:rsidRPr="00092A03">
        <w:rPr>
          <w:rFonts w:ascii="ITC Avant Garde" w:hAnsi="ITC Avant Garde"/>
          <w:spacing w:val="-4"/>
          <w:lang w:val="es-ES"/>
        </w:rPr>
        <w:t xml:space="preserve">abril </w:t>
      </w:r>
      <w:r w:rsidRPr="00092A03">
        <w:rPr>
          <w:rFonts w:ascii="ITC Avant Garde" w:hAnsi="ITC Avant Garde"/>
          <w:spacing w:val="-4"/>
          <w:lang w:val="es-ES"/>
        </w:rPr>
        <w:t xml:space="preserve">de </w:t>
      </w:r>
      <w:r w:rsidR="004C609D" w:rsidRPr="00092A03">
        <w:rPr>
          <w:rFonts w:ascii="ITC Avant Garde" w:hAnsi="ITC Avant Garde"/>
          <w:spacing w:val="-4"/>
          <w:lang w:val="es-ES"/>
        </w:rPr>
        <w:t>2017</w:t>
      </w:r>
      <w:r w:rsidRPr="00092A03">
        <w:rPr>
          <w:rFonts w:ascii="ITC Avant Garde" w:hAnsi="ITC Avant Garde"/>
          <w:spacing w:val="-4"/>
          <w:lang w:val="es-ES"/>
        </w:rPr>
        <w:t>. En este sentido, se ha revisado el uso de Carso Global Telecom, empresa que se incluyó por error en la comparativa.</w:t>
      </w:r>
    </w:p>
    <w:p w14:paraId="29D8D0EE" w14:textId="2B194F0A" w:rsidR="00EC042C" w:rsidRPr="00092A03" w:rsidRDefault="00EC042C">
      <w:pPr>
        <w:rPr>
          <w:rFonts w:ascii="ITC Avant Garde" w:hAnsi="ITC Avant Garde"/>
          <w:spacing w:val="-4"/>
          <w:lang w:val="es-ES"/>
        </w:rPr>
      </w:pPr>
      <w:r w:rsidRPr="00092A03">
        <w:rPr>
          <w:rFonts w:ascii="ITC Avant Garde" w:hAnsi="ITC Avant Garde"/>
          <w:spacing w:val="-4"/>
          <w:lang w:val="es-ES"/>
        </w:rPr>
        <w:t xml:space="preserve">Cabe notar que durante esta última actualización del modelo nos vimos obligados a cambiar en parte algunos elementos de la metodología de cálculo del CCPP, ya que el profesor </w:t>
      </w:r>
      <w:proofErr w:type="spellStart"/>
      <w:r w:rsidRPr="00092A03">
        <w:rPr>
          <w:rFonts w:ascii="ITC Avant Garde" w:hAnsi="ITC Avant Garde"/>
          <w:spacing w:val="-4"/>
          <w:lang w:val="es-ES"/>
        </w:rPr>
        <w:t>Aswath</w:t>
      </w:r>
      <w:proofErr w:type="spellEnd"/>
      <w:r w:rsidRPr="00092A03">
        <w:rPr>
          <w:rFonts w:ascii="ITC Avant Garde" w:hAnsi="ITC Avant Garde"/>
          <w:spacing w:val="-4"/>
          <w:lang w:val="es-ES"/>
        </w:rPr>
        <w:t xml:space="preserve"> </w:t>
      </w:r>
      <w:proofErr w:type="spellStart"/>
      <w:r w:rsidRPr="00092A03">
        <w:rPr>
          <w:rFonts w:ascii="ITC Avant Garde" w:hAnsi="ITC Avant Garde"/>
          <w:spacing w:val="-4"/>
          <w:lang w:val="es-ES"/>
        </w:rPr>
        <w:t>Damodaran</w:t>
      </w:r>
      <w:proofErr w:type="spellEnd"/>
      <w:r w:rsidRPr="00092A03">
        <w:rPr>
          <w:rFonts w:ascii="ITC Avant Garde" w:hAnsi="ITC Avant Garde"/>
          <w:spacing w:val="-4"/>
          <w:lang w:val="es-ES"/>
        </w:rPr>
        <w:t xml:space="preserve"> dejó de publicar información empresa por empresa. De ahí la elección de Reuters como referencia para ´la relación deuda/capital.</w:t>
      </w:r>
      <w:r w:rsidR="00F44922" w:rsidRPr="00092A03">
        <w:rPr>
          <w:rFonts w:ascii="ITC Avant Garde" w:hAnsi="ITC Avant Garde"/>
          <w:spacing w:val="-4"/>
          <w:lang w:val="es-ES"/>
        </w:rPr>
        <w:t xml:space="preserve"> </w:t>
      </w:r>
    </w:p>
    <w:p w14:paraId="7DD412A6" w14:textId="30845402" w:rsidR="00DF1F66" w:rsidRPr="00092A03" w:rsidRDefault="00DF1F66">
      <w:pPr>
        <w:rPr>
          <w:rFonts w:ascii="ITC Avant Garde" w:hAnsi="ITC Avant Garde"/>
          <w:spacing w:val="-4"/>
          <w:lang w:val="es-ES"/>
        </w:rPr>
      </w:pPr>
      <w:r w:rsidRPr="00092A03">
        <w:rPr>
          <w:rFonts w:ascii="ITC Avant Garde" w:hAnsi="ITC Avant Garde"/>
          <w:spacing w:val="-4"/>
          <w:lang w:val="es-ES"/>
        </w:rPr>
        <w:t>Con respecto a la pertinencia de la comparativa, ésta incluye empresas de diferentes características, como puede</w:t>
      </w:r>
      <w:r w:rsidR="00F44922" w:rsidRPr="00092A03">
        <w:rPr>
          <w:rFonts w:ascii="ITC Avant Garde" w:hAnsi="ITC Avant Garde"/>
          <w:spacing w:val="-4"/>
          <w:lang w:val="es-ES"/>
        </w:rPr>
        <w:t>n</w:t>
      </w:r>
      <w:r w:rsidRPr="00092A03">
        <w:rPr>
          <w:rFonts w:ascii="ITC Avant Garde" w:hAnsi="ITC Avant Garde"/>
          <w:spacing w:val="-4"/>
          <w:lang w:val="es-ES"/>
        </w:rPr>
        <w:t xml:space="preserve"> ser Axtel o </w:t>
      </w:r>
      <w:proofErr w:type="spellStart"/>
      <w:r w:rsidRPr="00092A03">
        <w:rPr>
          <w:rFonts w:ascii="ITC Avant Garde" w:hAnsi="ITC Avant Garde"/>
          <w:spacing w:val="-4"/>
          <w:lang w:val="es-ES"/>
        </w:rPr>
        <w:t>Maxcom</w:t>
      </w:r>
      <w:proofErr w:type="spellEnd"/>
      <w:r w:rsidRPr="00092A03">
        <w:rPr>
          <w:rFonts w:ascii="ITC Avant Garde" w:hAnsi="ITC Avant Garde"/>
          <w:spacing w:val="-4"/>
          <w:lang w:val="es-ES"/>
        </w:rPr>
        <w:t xml:space="preserve">, </w:t>
      </w:r>
      <w:r w:rsidR="00EC042C" w:rsidRPr="00092A03">
        <w:rPr>
          <w:rFonts w:ascii="ITC Avant Garde" w:hAnsi="ITC Avant Garde"/>
          <w:spacing w:val="-4"/>
          <w:lang w:val="es-ES"/>
        </w:rPr>
        <w:t xml:space="preserve">o empresas otras que los </w:t>
      </w:r>
      <w:proofErr w:type="spellStart"/>
      <w:r w:rsidR="00EC042C" w:rsidRPr="00092A03">
        <w:rPr>
          <w:rFonts w:ascii="ITC Avant Garde" w:hAnsi="ITC Avant Garde"/>
          <w:spacing w:val="-4"/>
          <w:lang w:val="es-ES"/>
        </w:rPr>
        <w:t>incumbentes</w:t>
      </w:r>
      <w:proofErr w:type="spellEnd"/>
      <w:r w:rsidR="00EC042C" w:rsidRPr="00092A03">
        <w:rPr>
          <w:rFonts w:ascii="ITC Avant Garde" w:hAnsi="ITC Avant Garde"/>
          <w:spacing w:val="-4"/>
          <w:lang w:val="es-ES"/>
        </w:rPr>
        <w:t xml:space="preserve"> de mercados latinoamericanos, por lo que </w:t>
      </w:r>
      <w:r w:rsidR="006B0365" w:rsidRPr="00092A03">
        <w:rPr>
          <w:rFonts w:ascii="ITC Avant Garde" w:hAnsi="ITC Avant Garde"/>
          <w:spacing w:val="-4"/>
          <w:lang w:val="es-ES"/>
        </w:rPr>
        <w:t xml:space="preserve">se entiende es </w:t>
      </w:r>
      <w:r w:rsidR="00EC042C" w:rsidRPr="00092A03">
        <w:rPr>
          <w:rFonts w:ascii="ITC Avant Garde" w:hAnsi="ITC Avant Garde"/>
          <w:spacing w:val="-4"/>
          <w:lang w:val="es-ES"/>
        </w:rPr>
        <w:t>una comparativa pertinente.</w:t>
      </w:r>
      <w:r w:rsidR="00F44922" w:rsidRPr="00092A03">
        <w:rPr>
          <w:rFonts w:ascii="ITC Avant Garde" w:hAnsi="ITC Avant Garde"/>
          <w:spacing w:val="-4"/>
          <w:lang w:val="es-ES"/>
        </w:rPr>
        <w:t xml:space="preserve"> </w:t>
      </w:r>
    </w:p>
    <w:p w14:paraId="4BDC627D" w14:textId="2B81D92F" w:rsidR="00EC042C" w:rsidRPr="00092A03" w:rsidRDefault="00EC042C" w:rsidP="00EC042C">
      <w:pPr>
        <w:rPr>
          <w:rFonts w:ascii="ITC Avant Garde" w:hAnsi="ITC Avant Garde"/>
          <w:spacing w:val="-4"/>
          <w:lang w:val="es-ES"/>
        </w:rPr>
      </w:pPr>
      <w:r w:rsidRPr="00092A03">
        <w:rPr>
          <w:rFonts w:ascii="ITC Avant Garde" w:hAnsi="ITC Avant Garde"/>
          <w:spacing w:val="-4"/>
          <w:lang w:val="es-ES"/>
        </w:rPr>
        <w:t xml:space="preserve">En cuanto a la diferenciación efectuada entre operadores fijos y móviles, se observa que en México ningún operador ofrece a día de hoy servicios integrados fijos y móviles como parte de su portfolio principal. Por ello se entiende que es pertinente </w:t>
      </w:r>
      <w:r w:rsidR="00C05403" w:rsidRPr="00092A03">
        <w:rPr>
          <w:rFonts w:ascii="ITC Avant Garde" w:hAnsi="ITC Avant Garde"/>
          <w:spacing w:val="-4"/>
          <w:lang w:val="es-ES"/>
        </w:rPr>
        <w:t xml:space="preserve">mantener </w:t>
      </w:r>
      <w:r w:rsidRPr="00092A03">
        <w:rPr>
          <w:rFonts w:ascii="ITC Avant Garde" w:hAnsi="ITC Avant Garde"/>
          <w:spacing w:val="-4"/>
          <w:lang w:val="es-ES"/>
        </w:rPr>
        <w:t>dicha diferenciación.</w:t>
      </w:r>
    </w:p>
    <w:p w14:paraId="60BB3CBC" w14:textId="77777777" w:rsidR="00EC042C" w:rsidRPr="00092A03" w:rsidRDefault="00EC042C" w:rsidP="00EC042C">
      <w:pPr>
        <w:rPr>
          <w:rFonts w:ascii="ITC Avant Garde" w:hAnsi="ITC Avant Garde"/>
          <w:lang w:val="es-ES"/>
        </w:rPr>
      </w:pPr>
      <w:r w:rsidRPr="00092A03">
        <w:rPr>
          <w:rFonts w:ascii="ITC Avant Garde" w:hAnsi="ITC Avant Garde"/>
          <w:spacing w:val="-4"/>
          <w:lang w:val="es-ES"/>
        </w:rPr>
        <w:t xml:space="preserve">Un operador requiere información adicional con respecto al cálculo del D/E. Dicha información se encuentra disponible en la documentación asociada al cálculo del WACC. Cabe notar que, tal y como sugiere, se están empleando los mismos operadores para el cálculo de otros parámetros como la </w:t>
      </w:r>
      <w:r w:rsidRPr="00092A03">
        <w:rPr>
          <w:rFonts w:ascii="ITC Avant Garde" w:hAnsi="ITC Avant Garde"/>
          <w:i/>
          <w:spacing w:val="-4"/>
          <w:lang w:val="es-ES"/>
        </w:rPr>
        <w:t>β</w:t>
      </w:r>
      <w:r w:rsidRPr="00092A03">
        <w:rPr>
          <w:rFonts w:ascii="ITC Avant Garde" w:hAnsi="ITC Avant Garde"/>
          <w:spacing w:val="-4"/>
          <w:lang w:val="es-ES"/>
        </w:rPr>
        <w:t>. En otros casos, no siempre es posible utilizar los mismos operadores, por cuestiones de acceso a la información y a las fuentes.</w:t>
      </w:r>
    </w:p>
    <w:p w14:paraId="0A15E4A6" w14:textId="4D7B246D" w:rsidR="00EC042C" w:rsidRPr="00092A03" w:rsidRDefault="00EC042C">
      <w:pPr>
        <w:rPr>
          <w:rFonts w:ascii="ITC Avant Garde" w:hAnsi="ITC Avant Garde"/>
          <w:spacing w:val="-4"/>
          <w:lang w:val="es-ES"/>
        </w:rPr>
      </w:pPr>
      <w:r w:rsidRPr="00092A03">
        <w:rPr>
          <w:rFonts w:ascii="ITC Avant Garde" w:hAnsi="ITC Avant Garde"/>
          <w:spacing w:val="-4"/>
          <w:lang w:val="es-ES"/>
        </w:rPr>
        <w:t xml:space="preserve">Un operador sugiere emplear la mediana en vez de la media, mientras otro sugiere no emplear promedios de cantidades con una elevada dispersión para asegurar la credibilidad de los datos. Por una parte, como se ha mencionado antes, </w:t>
      </w:r>
      <w:r w:rsidRPr="00092A03">
        <w:rPr>
          <w:rFonts w:ascii="ITC Avant Garde" w:hAnsi="ITC Avant Garde"/>
          <w:lang w:val="es-ES"/>
        </w:rPr>
        <w:t xml:space="preserve">afirmar que este método es considerado por algunos reguladores como alternativa a la media aritmética y puede ser considerado, pero que por coherencia con modelos anteriores se continuará utilizando la media aritmética. Por otra parte, una selección de valores en base a su dispersión implicaría incurrir en un sesgo </w:t>
      </w:r>
      <w:proofErr w:type="spellStart"/>
      <w:r w:rsidRPr="00092A03">
        <w:rPr>
          <w:rFonts w:ascii="ITC Avant Garde" w:hAnsi="ITC Avant Garde"/>
          <w:lang w:val="es-ES"/>
        </w:rPr>
        <w:t>muestral</w:t>
      </w:r>
      <w:proofErr w:type="spellEnd"/>
      <w:r w:rsidRPr="00092A03">
        <w:rPr>
          <w:rFonts w:ascii="ITC Avant Garde" w:hAnsi="ITC Avant Garde"/>
          <w:lang w:val="es-ES"/>
        </w:rPr>
        <w:t>, lo que afectaría negativamente nuestro resultado. Una amplia distribución de valores puede reflejar la realidad, y no necesariamente ser un problema</w:t>
      </w:r>
      <w:r w:rsidRPr="00092A03">
        <w:rPr>
          <w:rFonts w:ascii="ITC Avant Garde" w:hAnsi="ITC Avant Garde"/>
          <w:spacing w:val="-4"/>
          <w:lang w:val="es-ES"/>
        </w:rPr>
        <w:t>.</w:t>
      </w:r>
      <w:r w:rsidR="00BC21F6" w:rsidRPr="00092A03">
        <w:rPr>
          <w:rFonts w:ascii="ITC Avant Garde" w:hAnsi="ITC Avant Garde"/>
          <w:spacing w:val="-4"/>
          <w:lang w:val="es-ES"/>
        </w:rPr>
        <w:t xml:space="preserve"> </w:t>
      </w:r>
    </w:p>
    <w:bookmarkEnd w:id="27"/>
    <w:p w14:paraId="0BD38D7C" w14:textId="77777777" w:rsidR="008F152D"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lastRenderedPageBreak/>
        <w:t>Concepto propuesto</w:t>
      </w:r>
      <w:r w:rsidR="003C2691"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30</w:t>
      </w:r>
      <w:r w:rsidR="00CB05BF" w:rsidRPr="00092A03">
        <w:rPr>
          <w:rFonts w:ascii="ITC Avant Garde" w:hAnsi="ITC Avant Garde"/>
        </w:rPr>
        <w:fldChar w:fldCharType="end"/>
      </w:r>
    </w:p>
    <w:p w14:paraId="01CD7232" w14:textId="4DE77575" w:rsidR="003C2691" w:rsidRPr="00092A03" w:rsidRDefault="003C2691" w:rsidP="008F152D">
      <w:pPr>
        <w:pStyle w:val="B1"/>
        <w:keepLines w:val="0"/>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 xml:space="preserve">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 </w:t>
      </w:r>
    </w:p>
    <w:p w14:paraId="41A29306" w14:textId="77777777" w:rsidR="003C2691" w:rsidRPr="00092A03" w:rsidRDefault="003C2691" w:rsidP="008F152D">
      <w:pPr>
        <w:pStyle w:val="B1"/>
        <w:keepLines w:val="0"/>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Se aplicará la misma metodología para determinar el costo de la deuda del operador fijo en línea con el observado en los operadores móviles.</w:t>
      </w:r>
    </w:p>
    <w:p w14:paraId="14EF2321" w14:textId="77777777" w:rsidR="003C2691" w:rsidRPr="00092A03" w:rsidRDefault="006A7A8B" w:rsidP="008F152D">
      <w:pPr>
        <w:pStyle w:val="B1"/>
        <w:keepLines w:val="0"/>
        <w:pBdr>
          <w:top w:val="single" w:sz="4" w:space="2" w:color="D9D9D9" w:themeColor="background1" w:themeShade="D9"/>
          <w:bottom w:val="single" w:sz="4" w:space="5" w:color="D9D9D9" w:themeColor="background1" w:themeShade="D9"/>
        </w:pBdr>
        <w:ind w:left="0" w:right="0"/>
        <w:rPr>
          <w:rFonts w:ascii="ITC Avant Garde" w:hAnsi="ITC Avant Garde"/>
          <w:lang w:val="es-ES"/>
        </w:rPr>
      </w:pPr>
      <w:r w:rsidRPr="00092A03">
        <w:rPr>
          <w:rFonts w:ascii="ITC Avant Garde" w:hAnsi="ITC Avant Garde"/>
          <w:lang w:val="es-ES"/>
        </w:rPr>
        <w:t>El IFT</w:t>
      </w:r>
      <w:r w:rsidR="003C2691" w:rsidRPr="00092A03">
        <w:rPr>
          <w:rFonts w:ascii="ITC Avant Garde" w:hAnsi="ITC Avant Garde"/>
          <w:lang w:val="es-ES"/>
        </w:rPr>
        <w:t xml:space="preserve"> ha definido el IRS como la tasa adecuada de impuestos corporativos (T). Si bien el valor para el año </w:t>
      </w:r>
      <w:r w:rsidR="00C40E98" w:rsidRPr="00092A03">
        <w:rPr>
          <w:rFonts w:ascii="ITC Avant Garde" w:hAnsi="ITC Avant Garde"/>
          <w:lang w:val="es-ES"/>
        </w:rPr>
        <w:t xml:space="preserve">2016 </w:t>
      </w:r>
      <w:r w:rsidR="003C2691" w:rsidRPr="00092A03">
        <w:rPr>
          <w:rFonts w:ascii="ITC Avant Garde" w:hAnsi="ITC Avant Garde"/>
          <w:lang w:val="es-ES"/>
        </w:rPr>
        <w:t>es del 30%, se recomienda considerar la tasa de impuestos vigente en el momento de resolver desacuerdos entre operadores.</w:t>
      </w:r>
    </w:p>
    <w:p w14:paraId="2848D6C9" w14:textId="77777777" w:rsidR="004058ED" w:rsidRPr="00092A03" w:rsidRDefault="00F35F0C" w:rsidP="004058ED">
      <w:pPr>
        <w:pStyle w:val="Ttulo4"/>
        <w:rPr>
          <w:rFonts w:ascii="ITC Avant Garde" w:hAnsi="ITC Avant Garde"/>
        </w:rPr>
      </w:pPr>
      <w:proofErr w:type="spellStart"/>
      <w:r w:rsidRPr="00092A03">
        <w:rPr>
          <w:rFonts w:ascii="ITC Avant Garde" w:hAnsi="ITC Avant Garde"/>
        </w:rPr>
        <w:t>Respuestas</w:t>
      </w:r>
      <w:proofErr w:type="spellEnd"/>
      <w:r w:rsidRPr="00092A03">
        <w:rPr>
          <w:rFonts w:ascii="ITC Avant Garde" w:hAnsi="ITC Avant Garde"/>
        </w:rPr>
        <w:t xml:space="preserve"> </w:t>
      </w:r>
      <w:proofErr w:type="spellStart"/>
      <w:r w:rsidRPr="00092A03">
        <w:rPr>
          <w:rFonts w:ascii="ITC Avant Garde" w:hAnsi="ITC Avant Garde"/>
        </w:rPr>
        <w:t>recibidas</w:t>
      </w:r>
      <w:proofErr w:type="spellEnd"/>
    </w:p>
    <w:p w14:paraId="0D649897" w14:textId="7597D0AD" w:rsidR="000D6224" w:rsidRPr="00092A03" w:rsidRDefault="009F6879" w:rsidP="000D6224">
      <w:pPr>
        <w:rPr>
          <w:rFonts w:ascii="ITC Avant Garde" w:hAnsi="ITC Avant Garde"/>
          <w:lang w:val="es-ES"/>
        </w:rPr>
      </w:pPr>
      <w:r w:rsidRPr="00092A03">
        <w:rPr>
          <w:rFonts w:ascii="ITC Avant Garde" w:hAnsi="ITC Avant Garde"/>
          <w:lang w:val="es-ES"/>
        </w:rPr>
        <w:t>M</w:t>
      </w:r>
      <w:r w:rsidR="000D6224" w:rsidRPr="00092A03">
        <w:rPr>
          <w:rFonts w:ascii="ITC Avant Garde" w:hAnsi="ITC Avant Garde"/>
          <w:lang w:val="es-ES"/>
        </w:rPr>
        <w:t>ega Cable incluye los siguientes comentarios con respecto a la tasa libre de riesgo utilizada:</w:t>
      </w:r>
    </w:p>
    <w:p w14:paraId="673E9BD7"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Sugiere uniformar el enfoque utilizado en el cálculo de la tasa libre de riesgo utilizada (R</w:t>
      </w:r>
      <w:r w:rsidRPr="00092A03">
        <w:rPr>
          <w:rFonts w:ascii="ITC Avant Garde" w:hAnsi="ITC Avant Garde"/>
          <w:vertAlign w:val="subscript"/>
          <w:lang w:val="es-ES"/>
        </w:rPr>
        <w:t>f</w:t>
      </w:r>
      <w:r w:rsidRPr="00092A03">
        <w:rPr>
          <w:rFonts w:ascii="ITC Avant Garde" w:hAnsi="ITC Avant Garde"/>
          <w:lang w:val="es-ES"/>
        </w:rPr>
        <w:t>) para el cálculo del costo de la deuda, ya que para este cálculo se usa la tasa libre de riesgo en México, en vez de la tasa libre de riesgo en EEUU y una prima de riesgo país.</w:t>
      </w:r>
    </w:p>
    <w:p w14:paraId="67ED6FC7" w14:textId="77777777"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Sugiere utilizar un promedio de valores recientes de la tasa libre de riesgo con el fin de "suavizar" la volatilidad que puede ocurrir en una sola observación dcl parámetro.</w:t>
      </w:r>
    </w:p>
    <w:p w14:paraId="1AE61BFB" w14:textId="77777777" w:rsidR="000D6224" w:rsidRPr="00092A03" w:rsidRDefault="000D6224" w:rsidP="000D6224">
      <w:pPr>
        <w:rPr>
          <w:rFonts w:ascii="ITC Avant Garde" w:hAnsi="ITC Avant Garde"/>
          <w:lang w:val="es-ES"/>
        </w:rPr>
      </w:pPr>
      <w:r w:rsidRPr="00092A03">
        <w:rPr>
          <w:rFonts w:ascii="ITC Avant Garde" w:hAnsi="ITC Avant Garde"/>
          <w:lang w:val="es-ES"/>
        </w:rPr>
        <w:t>Con respecto a la prima de riesgo de la deuda del operador hipotético (</w:t>
      </w:r>
      <w:proofErr w:type="spellStart"/>
      <w:r w:rsidR="00D37A28" w:rsidRPr="00092A03">
        <w:rPr>
          <w:rFonts w:ascii="ITC Avant Garde" w:hAnsi="ITC Avant Garde"/>
          <w:lang w:val="es-ES"/>
        </w:rPr>
        <w:t>R</w:t>
      </w:r>
      <w:r w:rsidR="00D37A28" w:rsidRPr="00092A03">
        <w:rPr>
          <w:rFonts w:ascii="ITC Avant Garde" w:hAnsi="ITC Avant Garde"/>
          <w:vertAlign w:val="subscript"/>
          <w:lang w:val="es-ES"/>
        </w:rPr>
        <w:t>d</w:t>
      </w:r>
      <w:proofErr w:type="spellEnd"/>
      <w:r w:rsidRPr="00092A03">
        <w:rPr>
          <w:rFonts w:ascii="ITC Avant Garde" w:hAnsi="ITC Avant Garde"/>
          <w:lang w:val="es-ES"/>
        </w:rPr>
        <w:t>) añade:</w:t>
      </w:r>
    </w:p>
    <w:p w14:paraId="08CC3B3D" w14:textId="10A01566" w:rsidR="000D6224" w:rsidRPr="00092A03" w:rsidRDefault="000D6224" w:rsidP="000D6224">
      <w:pPr>
        <w:pStyle w:val="Listaconvietas"/>
        <w:rPr>
          <w:rFonts w:ascii="ITC Avant Garde" w:hAnsi="ITC Avant Garde"/>
          <w:lang w:val="es-ES"/>
        </w:rPr>
      </w:pPr>
      <w:r w:rsidRPr="00092A03">
        <w:rPr>
          <w:rFonts w:ascii="ITC Avant Garde" w:hAnsi="ITC Avant Garde"/>
          <w:lang w:val="es-ES"/>
        </w:rPr>
        <w:t>Sugiere mayor transparencia en los cálculos realizados, así como en la</w:t>
      </w:r>
      <w:r w:rsidR="00092A03">
        <w:rPr>
          <w:rFonts w:ascii="ITC Avant Garde" w:hAnsi="ITC Avant Garde"/>
          <w:lang w:val="es-ES"/>
        </w:rPr>
        <w:t>s</w:t>
      </w:r>
      <w:r w:rsidRPr="00092A03">
        <w:rPr>
          <w:rFonts w:ascii="ITC Avant Garde" w:hAnsi="ITC Avant Garde"/>
          <w:lang w:val="es-ES"/>
        </w:rPr>
        <w:t xml:space="preserve"> fuentes y fechas de la información utilizada.</w:t>
      </w:r>
    </w:p>
    <w:p w14:paraId="1E09387A" w14:textId="77777777" w:rsidR="000D6224" w:rsidRPr="00092A03" w:rsidRDefault="000D6224" w:rsidP="009F7FDC">
      <w:pPr>
        <w:pStyle w:val="Listaconvietas"/>
        <w:rPr>
          <w:rFonts w:ascii="ITC Avant Garde" w:hAnsi="ITC Avant Garde"/>
          <w:lang w:val="es-ES"/>
        </w:rPr>
      </w:pPr>
      <w:r w:rsidRPr="00092A03">
        <w:rPr>
          <w:rFonts w:ascii="ITC Avant Garde" w:hAnsi="ITC Avant Garde"/>
          <w:lang w:val="es-ES"/>
        </w:rPr>
        <w:t xml:space="preserve">No observa justificación alguna para diferenciar entre la </w:t>
      </w:r>
      <w:proofErr w:type="spellStart"/>
      <w:r w:rsidR="00D37A28" w:rsidRPr="00092A03">
        <w:rPr>
          <w:rFonts w:ascii="ITC Avant Garde" w:hAnsi="ITC Avant Garde"/>
          <w:lang w:val="es-ES"/>
        </w:rPr>
        <w:t>R</w:t>
      </w:r>
      <w:r w:rsidR="00D37A28" w:rsidRPr="00092A03">
        <w:rPr>
          <w:rFonts w:ascii="ITC Avant Garde" w:hAnsi="ITC Avant Garde"/>
          <w:vertAlign w:val="subscript"/>
          <w:lang w:val="es-ES"/>
        </w:rPr>
        <w:t>d</w:t>
      </w:r>
      <w:proofErr w:type="spellEnd"/>
      <w:r w:rsidRPr="00092A03">
        <w:rPr>
          <w:rFonts w:ascii="ITC Avant Garde" w:hAnsi="ITC Avant Garde"/>
          <w:lang w:val="es-ES"/>
        </w:rPr>
        <w:t xml:space="preserve"> de un operador no preponderante fijo y móvil.</w:t>
      </w:r>
    </w:p>
    <w:p w14:paraId="62C86554" w14:textId="0E763F86" w:rsidR="00722AEC" w:rsidRPr="00092A03" w:rsidRDefault="009740F7" w:rsidP="00722AEC">
      <w:pPr>
        <w:rPr>
          <w:rFonts w:ascii="ITC Avant Garde" w:hAnsi="ITC Avant Garde"/>
          <w:lang w:val="es-ES"/>
        </w:rPr>
      </w:pPr>
      <w:r w:rsidRPr="00092A03">
        <w:rPr>
          <w:rFonts w:ascii="ITC Avant Garde" w:hAnsi="ITC Avant Garde"/>
          <w:lang w:val="es-ES"/>
        </w:rPr>
        <w:t xml:space="preserve">Por su parte, </w:t>
      </w:r>
      <w:r w:rsidR="00722AEC" w:rsidRPr="00092A03">
        <w:rPr>
          <w:rFonts w:ascii="ITC Avant Garde" w:hAnsi="ITC Avant Garde"/>
          <w:lang w:val="es-ES"/>
        </w:rPr>
        <w:t xml:space="preserve">Telefónica solicita información más detallada sobre las fuentes de información utilizadas en el cálculo y manifiesta que la comparativa incluye </w:t>
      </w:r>
      <w:r w:rsidRPr="00092A03">
        <w:rPr>
          <w:rFonts w:ascii="ITC Avant Garde" w:hAnsi="ITC Avant Garde"/>
          <w:lang w:val="es-ES"/>
        </w:rPr>
        <w:t>países</w:t>
      </w:r>
      <w:r w:rsidR="00625D1C" w:rsidRPr="00092A03">
        <w:rPr>
          <w:rFonts w:ascii="ITC Avant Garde" w:hAnsi="ITC Avant Garde"/>
          <w:lang w:val="es-ES"/>
        </w:rPr>
        <w:t xml:space="preserve"> en</w:t>
      </w:r>
      <w:r w:rsidRPr="00092A03">
        <w:rPr>
          <w:rFonts w:ascii="ITC Avant Garde" w:hAnsi="ITC Avant Garde"/>
          <w:lang w:val="es-ES"/>
        </w:rPr>
        <w:t xml:space="preserve"> </w:t>
      </w:r>
      <w:r w:rsidR="00722AEC" w:rsidRPr="00092A03">
        <w:rPr>
          <w:rFonts w:ascii="ITC Avant Garde" w:hAnsi="ITC Avant Garde"/>
          <w:lang w:val="es-ES"/>
        </w:rPr>
        <w:t xml:space="preserve">los que la situación del mercado móvil es completamente diferente al mexicano. Asimismo, estima que para el cálculo de la prima de riesgo de la deuda sería mejor utilizar el </w:t>
      </w:r>
      <w:r w:rsidR="00722AEC" w:rsidRPr="00092A03">
        <w:rPr>
          <w:rFonts w:ascii="ITC Avant Garde" w:hAnsi="ITC Avant Garde"/>
          <w:i/>
          <w:lang w:val="es-ES"/>
        </w:rPr>
        <w:t>spread</w:t>
      </w:r>
      <w:r w:rsidR="00722AEC" w:rsidRPr="00092A03">
        <w:rPr>
          <w:rFonts w:ascii="ITC Avant Garde" w:hAnsi="ITC Avant Garde"/>
          <w:lang w:val="es-ES"/>
        </w:rPr>
        <w:t xml:space="preserve"> crediticio </w:t>
      </w:r>
      <w:r w:rsidR="00625D1C" w:rsidRPr="00092A03">
        <w:rPr>
          <w:rFonts w:ascii="ITC Avant Garde" w:hAnsi="ITC Avant Garde"/>
          <w:lang w:val="es-ES"/>
        </w:rPr>
        <w:t xml:space="preserve">con </w:t>
      </w:r>
      <w:r w:rsidR="00722AEC" w:rsidRPr="00092A03">
        <w:rPr>
          <w:rFonts w:ascii="ITC Avant Garde" w:hAnsi="ITC Avant Garde"/>
          <w:lang w:val="es-ES"/>
        </w:rPr>
        <w:t xml:space="preserve">base </w:t>
      </w:r>
      <w:r w:rsidR="00625D1C" w:rsidRPr="00092A03">
        <w:rPr>
          <w:rFonts w:ascii="ITC Avant Garde" w:hAnsi="ITC Avant Garde"/>
          <w:lang w:val="es-ES"/>
        </w:rPr>
        <w:t xml:space="preserve">en </w:t>
      </w:r>
      <w:r w:rsidR="00722AEC" w:rsidRPr="00092A03">
        <w:rPr>
          <w:rFonts w:ascii="ITC Avant Garde" w:hAnsi="ITC Avant Garde"/>
          <w:lang w:val="es-ES"/>
        </w:rPr>
        <w:t xml:space="preserve">las principales agencias de </w:t>
      </w:r>
      <w:r w:rsidR="00722AEC" w:rsidRPr="00092A03">
        <w:rPr>
          <w:rFonts w:ascii="ITC Avant Garde" w:hAnsi="ITC Avant Garde"/>
          <w:i/>
          <w:lang w:val="es-ES"/>
        </w:rPr>
        <w:t>rating</w:t>
      </w:r>
      <w:r w:rsidR="00722AEC" w:rsidRPr="00092A03">
        <w:rPr>
          <w:rFonts w:ascii="ITC Avant Garde" w:hAnsi="ITC Avant Garde"/>
          <w:lang w:val="es-ES"/>
        </w:rPr>
        <w:t>.</w:t>
      </w:r>
    </w:p>
    <w:p w14:paraId="3CE42C85" w14:textId="5AEC03EB" w:rsidR="00C83412" w:rsidRPr="00092A03" w:rsidRDefault="00C83412" w:rsidP="00C83412">
      <w:pPr>
        <w:rPr>
          <w:rFonts w:ascii="ITC Avant Garde" w:hAnsi="ITC Avant Garde"/>
          <w:lang w:val="es-ES"/>
        </w:rPr>
      </w:pPr>
      <w:r w:rsidRPr="00092A03">
        <w:rPr>
          <w:rFonts w:ascii="ITC Avant Garde" w:hAnsi="ITC Avant Garde"/>
          <w:lang w:val="es-ES"/>
        </w:rPr>
        <w:t>Telmex/Telnor considera que la tasa de retorno libre de riesgo debería basarse en bonos gubernamentales mexicanos de largo plazo, en particular los bonos M que desde hace 15 años sirven como referencia ideal para tasas libres de riesgo.</w:t>
      </w:r>
    </w:p>
    <w:p w14:paraId="188CBE77" w14:textId="1CAC0CE4" w:rsidR="004058ED" w:rsidRPr="00092A03" w:rsidRDefault="002B648A">
      <w:pPr>
        <w:pStyle w:val="Ttulo4"/>
        <w:rPr>
          <w:rFonts w:ascii="ITC Avant Garde" w:hAnsi="ITC Avant Garde"/>
          <w:b/>
          <w:lang w:val="es-ES"/>
        </w:rPr>
      </w:pPr>
      <w:r w:rsidRPr="00092A03">
        <w:rPr>
          <w:rFonts w:ascii="ITC Avant Garde" w:hAnsi="ITC Avant Garde"/>
          <w:b/>
          <w:lang w:val="es-ES"/>
        </w:rPr>
        <w:lastRenderedPageBreak/>
        <w:t>Consideraciones del Instituto</w:t>
      </w:r>
    </w:p>
    <w:p w14:paraId="6E1CA896" w14:textId="13E292CC" w:rsidR="001B5FCB" w:rsidRPr="00092A03" w:rsidRDefault="003D55A3" w:rsidP="00043607">
      <w:pPr>
        <w:rPr>
          <w:rFonts w:ascii="ITC Avant Garde" w:hAnsi="ITC Avant Garde"/>
          <w:spacing w:val="-4"/>
          <w:lang w:val="es-ES"/>
        </w:rPr>
      </w:pPr>
      <w:r w:rsidRPr="00092A03">
        <w:rPr>
          <w:rFonts w:ascii="ITC Avant Garde" w:hAnsi="ITC Avant Garde"/>
          <w:spacing w:val="-4"/>
          <w:lang w:val="es-ES"/>
        </w:rPr>
        <w:t xml:space="preserve">Con respecto a la utilización </w:t>
      </w:r>
      <w:r w:rsidR="001B5FCB" w:rsidRPr="00092A03">
        <w:rPr>
          <w:rFonts w:ascii="ITC Avant Garde" w:hAnsi="ITC Avant Garde"/>
          <w:spacing w:val="-4"/>
          <w:lang w:val="es-ES"/>
        </w:rPr>
        <w:t xml:space="preserve">de </w:t>
      </w:r>
      <w:r w:rsidR="000D45E9" w:rsidRPr="00092A03">
        <w:rPr>
          <w:rFonts w:ascii="ITC Avant Garde" w:hAnsi="ITC Avant Garde"/>
          <w:spacing w:val="-4"/>
          <w:lang w:val="es-ES"/>
        </w:rPr>
        <w:t xml:space="preserve">varias </w:t>
      </w:r>
      <w:r w:rsidR="001B5FCB" w:rsidRPr="00092A03">
        <w:rPr>
          <w:rFonts w:ascii="ITC Avant Garde" w:hAnsi="ITC Avant Garde"/>
          <w:spacing w:val="-4"/>
          <w:lang w:val="es-ES"/>
        </w:rPr>
        <w:t>metodología</w:t>
      </w:r>
      <w:r w:rsidR="000D45E9" w:rsidRPr="00092A03">
        <w:rPr>
          <w:rFonts w:ascii="ITC Avant Garde" w:hAnsi="ITC Avant Garde"/>
          <w:spacing w:val="-4"/>
          <w:lang w:val="es-ES"/>
        </w:rPr>
        <w:t>s</w:t>
      </w:r>
      <w:r w:rsidR="001B5FCB" w:rsidRPr="00092A03">
        <w:rPr>
          <w:rFonts w:ascii="ITC Avant Garde" w:hAnsi="ITC Avant Garde"/>
          <w:spacing w:val="-4"/>
          <w:lang w:val="es-ES"/>
        </w:rPr>
        <w:t xml:space="preserve"> </w:t>
      </w:r>
      <w:r w:rsidR="000D45E9" w:rsidRPr="00092A03">
        <w:rPr>
          <w:rFonts w:ascii="ITC Avant Garde" w:hAnsi="ITC Avant Garde"/>
          <w:spacing w:val="-4"/>
          <w:lang w:val="es-ES"/>
        </w:rPr>
        <w:t>para el cálculo de la</w:t>
      </w:r>
      <w:r w:rsidR="001B5FCB" w:rsidRPr="00092A03">
        <w:rPr>
          <w:rFonts w:ascii="ITC Avant Garde" w:hAnsi="ITC Avant Garde"/>
          <w:spacing w:val="-4"/>
          <w:lang w:val="es-ES"/>
        </w:rPr>
        <w:t xml:space="preserve"> tasa libre de riesgo</w:t>
      </w:r>
      <w:r w:rsidR="000D45E9" w:rsidRPr="00092A03">
        <w:rPr>
          <w:rFonts w:ascii="ITC Avant Garde" w:hAnsi="ITC Avant Garde"/>
          <w:spacing w:val="-4"/>
          <w:lang w:val="es-ES"/>
        </w:rPr>
        <w:t xml:space="preserve"> (</w:t>
      </w:r>
      <w:r w:rsidR="000D45E9" w:rsidRPr="00092A03">
        <w:rPr>
          <w:rFonts w:ascii="ITC Avant Garde" w:hAnsi="ITC Avant Garde"/>
          <w:lang w:val="es-ES"/>
        </w:rPr>
        <w:t>R</w:t>
      </w:r>
      <w:r w:rsidR="000D45E9" w:rsidRPr="00092A03">
        <w:rPr>
          <w:rFonts w:ascii="ITC Avant Garde" w:hAnsi="ITC Avant Garde"/>
          <w:vertAlign w:val="subscript"/>
          <w:lang w:val="es-ES"/>
        </w:rPr>
        <w:t>f</w:t>
      </w:r>
      <w:r w:rsidR="000D45E9" w:rsidRPr="00092A03">
        <w:rPr>
          <w:rFonts w:ascii="ITC Avant Garde" w:hAnsi="ITC Avant Garde"/>
          <w:spacing w:val="-4"/>
          <w:lang w:val="es-ES"/>
        </w:rPr>
        <w:t>),</w:t>
      </w:r>
      <w:r w:rsidR="001B5FCB" w:rsidRPr="00092A03">
        <w:rPr>
          <w:rFonts w:ascii="ITC Avant Garde" w:hAnsi="ITC Avant Garde"/>
          <w:spacing w:val="-4"/>
          <w:lang w:val="es-ES"/>
        </w:rPr>
        <w:t xml:space="preserve"> </w:t>
      </w:r>
      <w:r w:rsidR="000D45E9" w:rsidRPr="00092A03">
        <w:rPr>
          <w:rFonts w:ascii="ITC Avant Garde" w:hAnsi="ITC Avant Garde"/>
          <w:spacing w:val="-4"/>
          <w:lang w:val="es-ES"/>
        </w:rPr>
        <w:t xml:space="preserve">indicar que </w:t>
      </w:r>
      <w:r w:rsidR="00E903C2" w:rsidRPr="00092A03">
        <w:rPr>
          <w:rFonts w:ascii="ITC Avant Garde" w:hAnsi="ITC Avant Garde"/>
          <w:spacing w:val="-4"/>
          <w:lang w:val="es-ES"/>
        </w:rPr>
        <w:t>se trataba de un problema de claridad en el texto. S</w:t>
      </w:r>
      <w:r w:rsidR="000D45E9" w:rsidRPr="00092A03">
        <w:rPr>
          <w:rFonts w:ascii="ITC Avant Garde" w:hAnsi="ITC Avant Garde"/>
          <w:spacing w:val="-4"/>
          <w:lang w:val="es-ES"/>
        </w:rPr>
        <w:t xml:space="preserve">e utiliza una única metodología para </w:t>
      </w:r>
      <w:r w:rsidR="00E903C2" w:rsidRPr="00092A03">
        <w:rPr>
          <w:rFonts w:ascii="ITC Avant Garde" w:hAnsi="ITC Avant Garde"/>
          <w:spacing w:val="-4"/>
          <w:lang w:val="es-ES"/>
        </w:rPr>
        <w:t>el cálculo de la tasa libre de riesgo (</w:t>
      </w:r>
      <w:r w:rsidR="00E903C2" w:rsidRPr="00092A03">
        <w:rPr>
          <w:rFonts w:ascii="ITC Avant Garde" w:hAnsi="ITC Avant Garde"/>
          <w:lang w:val="es-ES"/>
        </w:rPr>
        <w:t>R</w:t>
      </w:r>
      <w:r w:rsidR="00E903C2" w:rsidRPr="00092A03">
        <w:rPr>
          <w:rFonts w:ascii="ITC Avant Garde" w:hAnsi="ITC Avant Garde"/>
          <w:vertAlign w:val="subscript"/>
          <w:lang w:val="es-ES"/>
        </w:rPr>
        <w:t>f</w:t>
      </w:r>
      <w:r w:rsidR="00E903C2" w:rsidRPr="00092A03">
        <w:rPr>
          <w:rFonts w:ascii="ITC Avant Garde" w:hAnsi="ITC Avant Garde"/>
          <w:spacing w:val="-4"/>
          <w:lang w:val="es-ES"/>
        </w:rPr>
        <w:t>)</w:t>
      </w:r>
      <w:r w:rsidR="000D45E9" w:rsidRPr="00092A03">
        <w:rPr>
          <w:rFonts w:ascii="ITC Avant Garde" w:hAnsi="ITC Avant Garde"/>
          <w:spacing w:val="-4"/>
          <w:lang w:val="es-ES"/>
        </w:rPr>
        <w:t>, la definida en el concepto 25, por lo que se modifica el concepto propuesto 30 para aportar más claridad</w:t>
      </w:r>
      <w:r w:rsidR="001B5FCB" w:rsidRPr="00092A03">
        <w:rPr>
          <w:rFonts w:ascii="ITC Avant Garde" w:hAnsi="ITC Avant Garde"/>
          <w:spacing w:val="-4"/>
          <w:lang w:val="es-ES"/>
        </w:rPr>
        <w:t>. En cuanto al uso de una media,</w:t>
      </w:r>
      <w:r w:rsidR="00EA1CCF" w:rsidRPr="00092A03">
        <w:rPr>
          <w:rFonts w:ascii="ITC Avant Garde" w:hAnsi="ITC Avant Garde"/>
          <w:spacing w:val="-4"/>
          <w:lang w:val="es-ES"/>
        </w:rPr>
        <w:t xml:space="preserve"> remitimos a las respuestas a los comentarios al concepto propuesto 25.</w:t>
      </w:r>
    </w:p>
    <w:p w14:paraId="2F6C9B50" w14:textId="77777777" w:rsidR="00043607" w:rsidRPr="00092A03" w:rsidRDefault="001B5FCB" w:rsidP="00D37A28">
      <w:pPr>
        <w:rPr>
          <w:rFonts w:ascii="ITC Avant Garde" w:hAnsi="ITC Avant Garde"/>
          <w:spacing w:val="-4"/>
          <w:lang w:val="es-ES"/>
        </w:rPr>
      </w:pPr>
      <w:r w:rsidRPr="00092A03">
        <w:rPr>
          <w:rFonts w:ascii="ITC Avant Garde" w:hAnsi="ITC Avant Garde"/>
          <w:spacing w:val="-4"/>
          <w:lang w:val="es-ES"/>
        </w:rPr>
        <w:t xml:space="preserve">Con respecto a los comentarios de transparencia y fuentes, </w:t>
      </w:r>
      <w:r w:rsidR="00043607" w:rsidRPr="00092A03">
        <w:rPr>
          <w:rFonts w:ascii="ITC Avant Garde" w:hAnsi="ITC Avant Garde"/>
          <w:spacing w:val="-4"/>
          <w:lang w:val="es-ES"/>
        </w:rPr>
        <w:t xml:space="preserve">las fuentes empleadas para el cálculo de la WACC son </w:t>
      </w:r>
      <w:proofErr w:type="spellStart"/>
      <w:r w:rsidR="00043607" w:rsidRPr="00092A03">
        <w:rPr>
          <w:rFonts w:ascii="ITC Avant Garde" w:hAnsi="ITC Avant Garde"/>
          <w:spacing w:val="-4"/>
          <w:lang w:val="es-ES"/>
        </w:rPr>
        <w:t>Damodaran</w:t>
      </w:r>
      <w:proofErr w:type="spellEnd"/>
      <w:r w:rsidR="00043607" w:rsidRPr="00092A03">
        <w:rPr>
          <w:rFonts w:ascii="ITC Avant Garde" w:hAnsi="ITC Avant Garde"/>
          <w:spacing w:val="-4"/>
          <w:lang w:val="es-ES"/>
        </w:rPr>
        <w:t xml:space="preserve"> y documentos de reguladores internacionales. Se indica que el detalle del cálculo y las fuentes consideradas pueden ser encontrados en la documentación asociada.</w:t>
      </w:r>
    </w:p>
    <w:p w14:paraId="748F1125" w14:textId="47EE5B04" w:rsidR="00043607" w:rsidRPr="00092A03" w:rsidRDefault="00043607" w:rsidP="00D37A28">
      <w:pPr>
        <w:rPr>
          <w:rFonts w:ascii="ITC Avant Garde" w:hAnsi="ITC Avant Garde"/>
          <w:spacing w:val="-4"/>
          <w:lang w:val="es-ES"/>
        </w:rPr>
      </w:pPr>
      <w:r w:rsidRPr="00092A03">
        <w:rPr>
          <w:rFonts w:ascii="ITC Avant Garde" w:hAnsi="ITC Avant Garde"/>
          <w:spacing w:val="-4"/>
          <w:lang w:val="es-ES"/>
        </w:rPr>
        <w:t>En cuanto a las diferencias observadas para la R</w:t>
      </w:r>
      <w:r w:rsidRPr="00092A03">
        <w:rPr>
          <w:rFonts w:ascii="ITC Avant Garde" w:hAnsi="ITC Avant Garde"/>
          <w:spacing w:val="-4"/>
          <w:vertAlign w:val="subscript"/>
          <w:lang w:val="es-ES"/>
        </w:rPr>
        <w:t>D</w:t>
      </w:r>
      <w:r w:rsidRPr="00092A03">
        <w:rPr>
          <w:rFonts w:ascii="ITC Avant Garde" w:hAnsi="ITC Avant Garde"/>
          <w:spacing w:val="-4"/>
          <w:lang w:val="es-ES"/>
        </w:rPr>
        <w:t xml:space="preserve"> entre operadores fijos y móviles, se observa que el perfil de inversión de una empresa fija y móvil es completamente distinto. Si bien ambos siguen ciclos de inversión basados en evoluciones tecnológicas, parece evidente que éstas tienen ciclos y proporciones significativamente dispares, lo que afecta también a su </w:t>
      </w:r>
      <w:r w:rsidR="004F0350" w:rsidRPr="00092A03">
        <w:rPr>
          <w:rFonts w:ascii="ITC Avant Garde" w:hAnsi="ITC Avant Garde"/>
          <w:spacing w:val="-4"/>
          <w:lang w:val="es-ES"/>
        </w:rPr>
        <w:t>riesgo asociado</w:t>
      </w:r>
      <w:r w:rsidRPr="00092A03">
        <w:rPr>
          <w:rFonts w:ascii="ITC Avant Garde" w:hAnsi="ITC Avant Garde"/>
          <w:spacing w:val="-4"/>
          <w:lang w:val="es-ES"/>
        </w:rPr>
        <w:t>. Por ello,</w:t>
      </w:r>
      <w:r w:rsidR="004E1642" w:rsidRPr="00092A03">
        <w:rPr>
          <w:rFonts w:ascii="ITC Avant Garde" w:hAnsi="ITC Avant Garde"/>
          <w:spacing w:val="-4"/>
          <w:lang w:val="es-ES"/>
        </w:rPr>
        <w:t xml:space="preserve"> por el momento</w:t>
      </w:r>
      <w:r w:rsidRPr="00092A03">
        <w:rPr>
          <w:rFonts w:ascii="ITC Avant Garde" w:hAnsi="ITC Avant Garde"/>
          <w:spacing w:val="-4"/>
          <w:lang w:val="es-ES"/>
        </w:rPr>
        <w:t xml:space="preserve"> no se encuentra una razón para unificar </w:t>
      </w:r>
      <w:r w:rsidR="004F0350" w:rsidRPr="00092A03">
        <w:rPr>
          <w:rFonts w:ascii="ITC Avant Garde" w:hAnsi="ITC Avant Garde"/>
          <w:spacing w:val="-4"/>
          <w:lang w:val="es-ES"/>
        </w:rPr>
        <w:t>las R</w:t>
      </w:r>
      <w:r w:rsidR="004F0350" w:rsidRPr="00092A03">
        <w:rPr>
          <w:rFonts w:ascii="ITC Avant Garde" w:hAnsi="ITC Avant Garde"/>
          <w:spacing w:val="-4"/>
          <w:vertAlign w:val="subscript"/>
          <w:lang w:val="es-ES"/>
        </w:rPr>
        <w:t xml:space="preserve">D </w:t>
      </w:r>
      <w:r w:rsidR="004F0350" w:rsidRPr="00092A03">
        <w:rPr>
          <w:rFonts w:ascii="ITC Avant Garde" w:hAnsi="ITC Avant Garde"/>
          <w:spacing w:val="-4"/>
          <w:lang w:val="es-ES"/>
        </w:rPr>
        <w:t xml:space="preserve">entre ambos </w:t>
      </w:r>
      <w:r w:rsidR="00BF718D" w:rsidRPr="00092A03">
        <w:rPr>
          <w:rFonts w:ascii="ITC Avant Garde" w:hAnsi="ITC Avant Garde"/>
          <w:spacing w:val="-4"/>
          <w:lang w:val="es-ES"/>
        </w:rPr>
        <w:t xml:space="preserve">tipos de </w:t>
      </w:r>
      <w:r w:rsidR="004F0350" w:rsidRPr="00092A03">
        <w:rPr>
          <w:rFonts w:ascii="ITC Avant Garde" w:hAnsi="ITC Avant Garde"/>
          <w:spacing w:val="-4"/>
          <w:lang w:val="es-ES"/>
        </w:rPr>
        <w:t>operadores</w:t>
      </w:r>
      <w:r w:rsidR="004E1642" w:rsidRPr="00092A03">
        <w:rPr>
          <w:rFonts w:ascii="ITC Avant Garde" w:hAnsi="ITC Avant Garde"/>
          <w:spacing w:val="-4"/>
          <w:lang w:val="es-ES"/>
        </w:rPr>
        <w:t>, dada la situación actual del mercado en México</w:t>
      </w:r>
      <w:r w:rsidR="004F0350" w:rsidRPr="00092A03">
        <w:rPr>
          <w:rFonts w:ascii="ITC Avant Garde" w:hAnsi="ITC Avant Garde"/>
          <w:spacing w:val="-4"/>
          <w:lang w:val="es-ES"/>
        </w:rPr>
        <w:t>.</w:t>
      </w:r>
      <w:r w:rsidR="00BF718D" w:rsidRPr="00092A03">
        <w:rPr>
          <w:rFonts w:ascii="ITC Avant Garde" w:hAnsi="ITC Avant Garde"/>
          <w:spacing w:val="-4"/>
          <w:lang w:val="es-ES"/>
        </w:rPr>
        <w:t xml:space="preserve"> </w:t>
      </w:r>
    </w:p>
    <w:p w14:paraId="2F91A46A" w14:textId="77777777" w:rsidR="00625D1C" w:rsidRPr="00092A03" w:rsidRDefault="00003781">
      <w:pPr>
        <w:rPr>
          <w:rFonts w:ascii="ITC Avant Garde" w:hAnsi="ITC Avant Garde"/>
          <w:spacing w:val="-4"/>
          <w:lang w:val="es-ES"/>
        </w:rPr>
      </w:pPr>
      <w:r w:rsidRPr="00092A03">
        <w:rPr>
          <w:rFonts w:ascii="ITC Avant Garde" w:hAnsi="ITC Avant Garde"/>
          <w:spacing w:val="-4"/>
          <w:lang w:val="es-ES"/>
        </w:rPr>
        <w:t xml:space="preserve">Un operador sugiere emplear para el cálculo de la prima de riesgo de la deuda un </w:t>
      </w:r>
      <w:r w:rsidRPr="00092A03">
        <w:rPr>
          <w:rFonts w:ascii="ITC Avant Garde" w:hAnsi="ITC Avant Garde"/>
          <w:i/>
          <w:spacing w:val="-4"/>
          <w:lang w:val="es-ES"/>
        </w:rPr>
        <w:t>spread</w:t>
      </w:r>
      <w:r w:rsidRPr="00092A03">
        <w:rPr>
          <w:rFonts w:ascii="ITC Avant Garde" w:hAnsi="ITC Avant Garde"/>
          <w:spacing w:val="-4"/>
          <w:lang w:val="es-ES"/>
        </w:rPr>
        <w:t xml:space="preserve"> crediticio con base en las principales agencias de rating, mientras otro sugiere emplear bonos M del Gobierno Mexicano. No queda claro en ambos documentos si existen ventajas claras en ambos enfoques que justifiquen un cambio con respecto al actual. Por ello, y por consistencia con años anteriores, se decide mantener la metodología actual.</w:t>
      </w:r>
    </w:p>
    <w:p w14:paraId="42B6DD7C" w14:textId="77777777" w:rsidR="006658F3" w:rsidRPr="00092A03" w:rsidRDefault="0043475A" w:rsidP="002B648A">
      <w:pPr>
        <w:pStyle w:val="Ttulo2"/>
        <w:numPr>
          <w:ilvl w:val="0"/>
          <w:numId w:val="0"/>
        </w:numPr>
        <w:rPr>
          <w:rFonts w:ascii="ITC Avant Garde" w:hAnsi="ITC Avant Garde"/>
          <w:lang w:val="es-MX"/>
        </w:rPr>
      </w:pPr>
      <w:r w:rsidRPr="00092A03">
        <w:rPr>
          <w:rFonts w:ascii="ITC Avant Garde" w:hAnsi="ITC Avant Garde"/>
          <w:lang w:val="es-MX"/>
        </w:rPr>
        <w:t>Concepto propuesto</w:t>
      </w:r>
      <w:r w:rsidR="001E54F8" w:rsidRPr="00092A03">
        <w:rPr>
          <w:rFonts w:ascii="ITC Avant Garde" w:hAnsi="ITC Avant Garde"/>
          <w:lang w:val="es-MX"/>
        </w:rPr>
        <w:t xml:space="preserve"> </w:t>
      </w:r>
      <w:r w:rsidR="00CB05BF" w:rsidRPr="00092A03">
        <w:rPr>
          <w:rFonts w:ascii="ITC Avant Garde" w:hAnsi="ITC Avant Garde"/>
        </w:rPr>
        <w:fldChar w:fldCharType="begin"/>
      </w:r>
      <w:r w:rsidR="00CB05BF" w:rsidRPr="00092A03">
        <w:rPr>
          <w:rFonts w:ascii="ITC Avant Garde" w:hAnsi="ITC Avant Garde"/>
          <w:lang w:val="es-MX"/>
        </w:rPr>
        <w:instrText xml:space="preserve"> SEQ Recommendation \* ARABIC \s 0 </w:instrText>
      </w:r>
      <w:r w:rsidR="00CB05BF" w:rsidRPr="00092A03">
        <w:rPr>
          <w:rFonts w:ascii="ITC Avant Garde" w:hAnsi="ITC Avant Garde"/>
        </w:rPr>
        <w:fldChar w:fldCharType="separate"/>
      </w:r>
      <w:r w:rsidR="00296386" w:rsidRPr="00092A03">
        <w:rPr>
          <w:rFonts w:ascii="ITC Avant Garde" w:hAnsi="ITC Avant Garde"/>
          <w:lang w:val="es-MX"/>
        </w:rPr>
        <w:t>31</w:t>
      </w:r>
      <w:r w:rsidR="00CB05BF" w:rsidRPr="00092A03">
        <w:rPr>
          <w:rFonts w:ascii="ITC Avant Garde" w:hAnsi="ITC Avant Garde"/>
        </w:rPr>
        <w:fldChar w:fldCharType="end"/>
      </w:r>
    </w:p>
    <w:p w14:paraId="293BFD8A" w14:textId="7C5BC5AB" w:rsidR="001E54F8" w:rsidRPr="00092A03" w:rsidRDefault="001E54F8" w:rsidP="006658F3">
      <w:pPr>
        <w:pStyle w:val="B1"/>
        <w:pBdr>
          <w:top w:val="single" w:sz="4" w:space="2" w:color="D9D9D9" w:themeColor="background1" w:themeShade="D9"/>
          <w:bottom w:val="single" w:sz="4" w:space="5" w:color="D9D9D9" w:themeColor="background1" w:themeShade="D9"/>
        </w:pBdr>
        <w:ind w:left="0" w:right="0"/>
        <w:rPr>
          <w:rFonts w:ascii="ITC Avant Garde" w:hAnsi="ITC Avant Garde"/>
          <w:spacing w:val="-4"/>
          <w:lang w:val="es-ES"/>
        </w:rPr>
      </w:pPr>
      <w:r w:rsidRPr="00092A03">
        <w:rPr>
          <w:rFonts w:ascii="ITC Avant Garde" w:hAnsi="ITC Avant Garde"/>
          <w:spacing w:val="-4"/>
          <w:lang w:val="es-ES"/>
        </w:rPr>
        <w:t xml:space="preserve"> </w:t>
      </w:r>
      <w:r w:rsidR="00250298" w:rsidRPr="00092A03">
        <w:rPr>
          <w:rFonts w:ascii="ITC Avant Garde" w:hAnsi="ITC Avant Garde"/>
          <w:spacing w:val="-4"/>
          <w:lang w:val="es-ES"/>
        </w:rPr>
        <w:t>Se emplea</w:t>
      </w:r>
      <w:r w:rsidR="0035482C" w:rsidRPr="00092A03">
        <w:rPr>
          <w:rFonts w:ascii="ITC Avant Garde" w:hAnsi="ITC Avant Garde"/>
          <w:spacing w:val="-4"/>
          <w:lang w:val="es-ES"/>
        </w:rPr>
        <w:t xml:space="preserve"> el método </w:t>
      </w:r>
      <w:r w:rsidR="004249E6" w:rsidRPr="00092A03">
        <w:rPr>
          <w:rFonts w:ascii="ITC Avant Garde" w:hAnsi="ITC Avant Garde"/>
          <w:spacing w:val="-4"/>
          <w:lang w:val="es-ES"/>
        </w:rPr>
        <w:t xml:space="preserve">EPMU </w:t>
      </w:r>
      <w:r w:rsidR="0035482C" w:rsidRPr="00092A03">
        <w:rPr>
          <w:rFonts w:ascii="ITC Avant Garde" w:hAnsi="ITC Avant Garde"/>
          <w:spacing w:val="-4"/>
          <w:lang w:val="es-ES"/>
        </w:rPr>
        <w:t xml:space="preserve">para distribuir los </w:t>
      </w:r>
      <w:r w:rsidR="00250298" w:rsidRPr="00092A03">
        <w:rPr>
          <w:rFonts w:ascii="ITC Avant Garde" w:hAnsi="ITC Avant Garde"/>
          <w:spacing w:val="-4"/>
          <w:lang w:val="es-ES"/>
        </w:rPr>
        <w:t>costos comunes a cada servicio</w:t>
      </w:r>
      <w:r w:rsidR="00AB37FC" w:rsidRPr="00092A03">
        <w:rPr>
          <w:rFonts w:ascii="ITC Avant Garde" w:hAnsi="ITC Avant Garde"/>
          <w:spacing w:val="-4"/>
          <w:lang w:val="es-ES"/>
        </w:rPr>
        <w:t xml:space="preserve"> en el modelo LRAIC (para uso meramente informativo) pero se excluirá el </w:t>
      </w:r>
      <w:proofErr w:type="spellStart"/>
      <w:r w:rsidR="00AB37FC" w:rsidRPr="00092A03">
        <w:rPr>
          <w:rFonts w:ascii="ITC Avant Garde" w:hAnsi="ITC Avant Garde"/>
          <w:spacing w:val="-4"/>
          <w:lang w:val="es-ES"/>
        </w:rPr>
        <w:t>mark</w:t>
      </w:r>
      <w:proofErr w:type="spellEnd"/>
      <w:r w:rsidR="00AB37FC" w:rsidRPr="00092A03">
        <w:rPr>
          <w:rFonts w:ascii="ITC Avant Garde" w:hAnsi="ITC Avant Garde"/>
          <w:spacing w:val="-4"/>
          <w:lang w:val="es-ES"/>
        </w:rPr>
        <w:t>-up del modelo LRIC puro</w:t>
      </w:r>
      <w:r w:rsidR="00250298" w:rsidRPr="00092A03">
        <w:rPr>
          <w:rFonts w:ascii="ITC Avant Garde" w:hAnsi="ITC Avant Garde"/>
          <w:spacing w:val="-4"/>
          <w:lang w:val="es-ES"/>
        </w:rPr>
        <w:t>.</w:t>
      </w:r>
      <w:r w:rsidR="0035482C" w:rsidRPr="00092A03">
        <w:rPr>
          <w:rFonts w:ascii="ITC Avant Garde" w:hAnsi="ITC Avant Garde"/>
          <w:spacing w:val="-4"/>
          <w:lang w:val="es-ES"/>
        </w:rPr>
        <w:t xml:space="preserve"> </w:t>
      </w:r>
    </w:p>
    <w:p w14:paraId="7D7A4DC1" w14:textId="77777777" w:rsidR="000F0607" w:rsidRPr="00945271" w:rsidRDefault="000F0607" w:rsidP="000F0607">
      <w:pPr>
        <w:pStyle w:val="Ttulo4"/>
        <w:rPr>
          <w:rFonts w:ascii="ITC Avant Garde" w:eastAsiaTheme="minorHAnsi" w:hAnsi="ITC Avant Garde" w:cstheme="minorBidi"/>
          <w:bCs w:val="0"/>
          <w:iCs w:val="0"/>
          <w:lang w:val="es-ES"/>
        </w:rPr>
      </w:pPr>
      <w:r w:rsidRPr="00945271">
        <w:rPr>
          <w:rFonts w:ascii="ITC Avant Garde" w:eastAsiaTheme="minorHAnsi" w:hAnsi="ITC Avant Garde" w:cstheme="minorBidi"/>
          <w:bCs w:val="0"/>
          <w:iCs w:val="0"/>
          <w:lang w:val="es-ES"/>
        </w:rPr>
        <w:t>Respuestas recibidas</w:t>
      </w:r>
    </w:p>
    <w:p w14:paraId="0B79F99C" w14:textId="2CB5A3E4" w:rsidR="004A0BC5" w:rsidRPr="00092A03" w:rsidRDefault="000F0607" w:rsidP="004A0BC5">
      <w:pPr>
        <w:spacing w:after="100" w:afterAutospacing="1"/>
        <w:rPr>
          <w:rFonts w:ascii="ITC Avant Garde" w:hAnsi="ITC Avant Garde"/>
          <w:spacing w:val="-4"/>
          <w:lang w:val="es-ES"/>
        </w:rPr>
      </w:pPr>
      <w:r w:rsidRPr="00092A03">
        <w:rPr>
          <w:rFonts w:ascii="ITC Avant Garde" w:hAnsi="ITC Avant Garde"/>
          <w:lang w:val="es-ES"/>
        </w:rPr>
        <w:t>Este concepto no fue considerado como parte de la consulta ya que dichos conceptos están definidos en</w:t>
      </w:r>
      <w:bookmarkEnd w:id="1"/>
      <w:r w:rsidR="004A0BC5" w:rsidRPr="00092A03">
        <w:rPr>
          <w:rFonts w:ascii="ITC Avant Garde" w:hAnsi="ITC Avant Garde"/>
          <w:lang w:val="es-ES"/>
        </w:rPr>
        <w:t xml:space="preserve"> la</w:t>
      </w:r>
      <w:r w:rsidR="00CB2C6D" w:rsidRPr="00092A03">
        <w:rPr>
          <w:rFonts w:ascii="ITC Avant Garde" w:hAnsi="ITC Avant Garde"/>
          <w:lang w:val="es-ES"/>
        </w:rPr>
        <w:t xml:space="preserve"> Metodología de </w:t>
      </w:r>
      <w:r w:rsidR="004A0BC5" w:rsidRPr="00092A03">
        <w:rPr>
          <w:rFonts w:ascii="ITC Avant Garde" w:hAnsi="ITC Avant Garde"/>
          <w:lang w:val="es-ES"/>
        </w:rPr>
        <w:t>Costos</w:t>
      </w:r>
    </w:p>
    <w:p w14:paraId="3CE50304" w14:textId="2632F1FB" w:rsidR="003F6CB3" w:rsidRPr="00092A03" w:rsidRDefault="003F6CB3" w:rsidP="00D612E4">
      <w:pPr>
        <w:rPr>
          <w:rFonts w:ascii="ITC Avant Garde" w:hAnsi="ITC Avant Garde"/>
          <w:lang w:val="es-ES"/>
        </w:rPr>
      </w:pPr>
    </w:p>
    <w:sectPr w:rsidR="003F6CB3" w:rsidRPr="00092A03" w:rsidSect="00D42DA0">
      <w:headerReference w:type="first" r:id="rId13"/>
      <w:footerReference w:type="first" r:id="rId14"/>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6420" w14:textId="77777777" w:rsidR="005D653B" w:rsidRDefault="005D653B" w:rsidP="003C6172">
      <w:pPr>
        <w:spacing w:after="0" w:line="240" w:lineRule="auto"/>
      </w:pPr>
      <w:r>
        <w:separator/>
      </w:r>
    </w:p>
  </w:endnote>
  <w:endnote w:type="continuationSeparator" w:id="0">
    <w:p w14:paraId="233AA3DA" w14:textId="77777777" w:rsidR="005D653B" w:rsidRDefault="005D653B" w:rsidP="003C6172">
      <w:pPr>
        <w:spacing w:after="0" w:line="240" w:lineRule="auto"/>
      </w:pPr>
      <w:r>
        <w:continuationSeparator/>
      </w:r>
    </w:p>
  </w:endnote>
  <w:endnote w:type="continuationNotice" w:id="1">
    <w:p w14:paraId="4A1E74D1" w14:textId="77777777" w:rsidR="005D653B" w:rsidRDefault="005D6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Avant Garde">
    <w:altName w:val="Century Gothic"/>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77F1" w14:textId="77777777" w:rsidR="00C95979" w:rsidRDefault="00C95979">
    <w:pPr>
      <w:pStyle w:val="Piedepgina"/>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0A3E" w14:textId="77777777" w:rsidR="00C95979" w:rsidRPr="008B7633" w:rsidRDefault="00C95979" w:rsidP="008B76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06F47" w14:textId="77777777" w:rsidR="005D653B" w:rsidRDefault="005D653B" w:rsidP="003C6172">
      <w:pPr>
        <w:spacing w:after="0" w:line="240" w:lineRule="auto"/>
      </w:pPr>
      <w:r>
        <w:separator/>
      </w:r>
    </w:p>
  </w:footnote>
  <w:footnote w:type="continuationSeparator" w:id="0">
    <w:p w14:paraId="47E31985" w14:textId="77777777" w:rsidR="005D653B" w:rsidRDefault="005D653B" w:rsidP="003C6172">
      <w:pPr>
        <w:spacing w:after="0" w:line="240" w:lineRule="auto"/>
      </w:pPr>
      <w:r>
        <w:continuationSeparator/>
      </w:r>
    </w:p>
  </w:footnote>
  <w:footnote w:type="continuationNotice" w:id="1">
    <w:p w14:paraId="1877364A" w14:textId="77777777" w:rsidR="005D653B" w:rsidRDefault="005D653B">
      <w:pPr>
        <w:spacing w:after="0" w:line="240" w:lineRule="auto"/>
      </w:pPr>
    </w:p>
  </w:footnote>
  <w:footnote w:id="2">
    <w:p w14:paraId="20E45F28" w14:textId="77777777" w:rsidR="00C95979" w:rsidRPr="00D820C3" w:rsidRDefault="00C95979">
      <w:pPr>
        <w:pStyle w:val="Textonotapie"/>
        <w:rPr>
          <w:lang w:val="es-MX"/>
        </w:rPr>
      </w:pPr>
      <w:r>
        <w:rPr>
          <w:rStyle w:val="Refdenotaalpie"/>
        </w:rPr>
        <w:footnoteRef/>
      </w:r>
      <w:r w:rsidRPr="00D820C3">
        <w:rPr>
          <w:lang w:val="es-MX"/>
        </w:rPr>
        <w:t xml:space="preserve"> </w:t>
      </w:r>
      <w:r>
        <w:rPr>
          <w:lang w:val="es-MX"/>
        </w:rPr>
        <w:t>GSM y GPRS, UMTS, HSPA y HSDPA, y LTE.</w:t>
      </w:r>
    </w:p>
  </w:footnote>
  <w:footnote w:id="3">
    <w:p w14:paraId="01264AEF" w14:textId="77777777" w:rsidR="00C95979" w:rsidRPr="00DB2CF8" w:rsidRDefault="00C95979" w:rsidP="00102CBD">
      <w:pPr>
        <w:pStyle w:val="Textonotapie"/>
        <w:rPr>
          <w:szCs w:val="16"/>
          <w:lang w:val="es-MX"/>
        </w:rPr>
      </w:pPr>
      <w:r w:rsidRPr="00DB2CF8">
        <w:rPr>
          <w:rStyle w:val="Refdenotaalpie"/>
          <w:szCs w:val="16"/>
        </w:rPr>
        <w:footnoteRef/>
      </w:r>
      <w:r w:rsidRPr="00102CBD">
        <w:rPr>
          <w:szCs w:val="16"/>
          <w:lang w:val="es-MX"/>
        </w:rPr>
        <w:t xml:space="preserve"> </w:t>
      </w:r>
      <w:r w:rsidRPr="00102CBD">
        <w:rPr>
          <w:rStyle w:val="Refdenotaalpie"/>
          <w:rFonts w:ascii="ITC Avant Garde" w:hAnsi="ITC Avant Garde"/>
          <w:szCs w:val="16"/>
          <w:lang w:val="es-MX"/>
        </w:rPr>
        <w:t>https://gsacom.com/content/uploads/2015/10/151013-Evolution_to_LTE_report.pdf</w:t>
      </w:r>
    </w:p>
  </w:footnote>
  <w:footnote w:id="4">
    <w:p w14:paraId="3D9C5302" w14:textId="77777777" w:rsidR="00C95979" w:rsidRPr="003F024B" w:rsidRDefault="00C95979" w:rsidP="00EE3DC8">
      <w:pPr>
        <w:pStyle w:val="Textonotapie"/>
        <w:rPr>
          <w:lang w:val="es-ES_tradnl"/>
        </w:rPr>
      </w:pPr>
      <w:r>
        <w:rPr>
          <w:rStyle w:val="Refdenotaalpie"/>
        </w:rPr>
        <w:footnoteRef/>
      </w:r>
      <w:r w:rsidRPr="003F024B">
        <w:rPr>
          <w:lang w:val="es-ES"/>
        </w:rPr>
        <w:t xml:space="preserve"> </w:t>
      </w:r>
      <w:r>
        <w:rPr>
          <w:lang w:val="es-ES"/>
        </w:rPr>
        <w:tab/>
      </w:r>
      <w:hyperlink r:id="rId1" w:history="1">
        <w:r w:rsidRPr="00753847">
          <w:rPr>
            <w:rStyle w:val="Hipervnculo"/>
            <w:lang w:val="es-ES"/>
          </w:rPr>
          <w:t>http://www.opta.nl/nl/actueel/alle-publicaties/publicatie/?id=3180</w:t>
        </w:r>
      </w:hyperlink>
    </w:p>
  </w:footnote>
  <w:footnote w:id="5">
    <w:p w14:paraId="58E98026" w14:textId="77777777" w:rsidR="00C95979" w:rsidRPr="00D820C3" w:rsidRDefault="00C95979">
      <w:pPr>
        <w:pStyle w:val="Textonotapie"/>
        <w:rPr>
          <w:lang w:val="es-MX"/>
        </w:rPr>
      </w:pPr>
      <w:r>
        <w:rPr>
          <w:rStyle w:val="Refdenotaalpie"/>
        </w:rPr>
        <w:footnoteRef/>
      </w:r>
      <w:r w:rsidRPr="00D820C3">
        <w:rPr>
          <w:lang w:val="es-MX"/>
        </w:rPr>
        <w:t xml:space="preserve"> Estos anchos de banda son suficientes para establecer los </w:t>
      </w:r>
      <w:r>
        <w:rPr>
          <w:lang w:val="es-MX"/>
        </w:rPr>
        <w:t>canales para transmitir y recibir.</w:t>
      </w:r>
    </w:p>
  </w:footnote>
  <w:footnote w:id="6">
    <w:p w14:paraId="00EA5808" w14:textId="77777777" w:rsidR="00C95979" w:rsidRPr="00A0554A" w:rsidRDefault="00C95979" w:rsidP="00D80806">
      <w:pPr>
        <w:pStyle w:val="Textonotapie"/>
        <w:rPr>
          <w:lang w:val="es-ES"/>
        </w:rPr>
      </w:pPr>
      <w:r>
        <w:rPr>
          <w:rStyle w:val="Refdenotaalpie"/>
        </w:rPr>
        <w:footnoteRef/>
      </w:r>
      <w:r w:rsidRPr="00A0554A">
        <w:rPr>
          <w:lang w:val="es-ES"/>
        </w:rPr>
        <w:t xml:space="preserve"> </w:t>
      </w:r>
      <w:r w:rsidRPr="00A0554A">
        <w:rPr>
          <w:lang w:val="es-ES"/>
        </w:rPr>
        <w:tab/>
        <w:t>http://www.reuters.com/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580E1" w14:textId="77777777" w:rsidR="00C95979" w:rsidRPr="008B7633" w:rsidRDefault="00C95979" w:rsidP="008B76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C2A017A6"/>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8484493A"/>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decimal"/>
      <w:pStyle w:val="Annex2"/>
      <w:lvlText w:val="%1.%2"/>
      <w:lvlJc w:val="left"/>
      <w:pPr>
        <w:tabs>
          <w:tab w:val="num" w:pos="1134"/>
        </w:tabs>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93458C0"/>
    <w:multiLevelType w:val="hybridMultilevel"/>
    <w:tmpl w:val="5048679C"/>
    <w:lvl w:ilvl="0" w:tplc="402E92D6">
      <w:start w:val="1"/>
      <w:numFmt w:val="bullet"/>
      <w:pStyle w:val="CV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735F4"/>
    <w:multiLevelType w:val="multilevel"/>
    <w:tmpl w:val="72CEA188"/>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Times New Roman Bold" w:hAnsi="Times New Roman Bold"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269A5"/>
    <w:multiLevelType w:val="hybridMultilevel"/>
    <w:tmpl w:val="3FD074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AD82D65"/>
    <w:multiLevelType w:val="hybridMultilevel"/>
    <w:tmpl w:val="8402B5A4"/>
    <w:lvl w:ilvl="0" w:tplc="D7A0BEA4">
      <w:start w:val="1"/>
      <w:numFmt w:val="bullet"/>
      <w:pStyle w:val="CV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262E1"/>
    <w:multiLevelType w:val="hybridMultilevel"/>
    <w:tmpl w:val="598A7CC4"/>
    <w:lvl w:ilvl="0" w:tplc="7F9C0692">
      <w:start w:val="1"/>
      <w:numFmt w:val="bullet"/>
      <w:lvlText w:val=""/>
      <w:lvlJc w:val="left"/>
      <w:pPr>
        <w:ind w:left="644" w:hanging="360"/>
      </w:pPr>
      <w:rPr>
        <w:rFonts w:ascii="Symbol" w:hAnsi="Symbol" w:hint="default"/>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6"/>
  </w:num>
  <w:num w:numId="8">
    <w:abstractNumId w:val="9"/>
  </w:num>
  <w:num w:numId="9">
    <w:abstractNumId w:val="12"/>
  </w:num>
  <w:num w:numId="10">
    <w:abstractNumId w:val="8"/>
  </w:num>
  <w:num w:numId="11">
    <w:abstractNumId w:val="5"/>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93"/>
    <w:rsid w:val="00003335"/>
    <w:rsid w:val="00003781"/>
    <w:rsid w:val="00006535"/>
    <w:rsid w:val="000107F3"/>
    <w:rsid w:val="00011431"/>
    <w:rsid w:val="0001184E"/>
    <w:rsid w:val="00011DE9"/>
    <w:rsid w:val="000126BF"/>
    <w:rsid w:val="000156A4"/>
    <w:rsid w:val="0001576F"/>
    <w:rsid w:val="00020373"/>
    <w:rsid w:val="00020719"/>
    <w:rsid w:val="0002111A"/>
    <w:rsid w:val="00021297"/>
    <w:rsid w:val="00022570"/>
    <w:rsid w:val="00023C40"/>
    <w:rsid w:val="0002410F"/>
    <w:rsid w:val="00024653"/>
    <w:rsid w:val="000251E6"/>
    <w:rsid w:val="00031F4A"/>
    <w:rsid w:val="00031F61"/>
    <w:rsid w:val="00032116"/>
    <w:rsid w:val="000350F0"/>
    <w:rsid w:val="00036465"/>
    <w:rsid w:val="0003749C"/>
    <w:rsid w:val="00043607"/>
    <w:rsid w:val="00045724"/>
    <w:rsid w:val="00045A80"/>
    <w:rsid w:val="00045E89"/>
    <w:rsid w:val="000462D0"/>
    <w:rsid w:val="000469C2"/>
    <w:rsid w:val="00050D57"/>
    <w:rsid w:val="0005175C"/>
    <w:rsid w:val="00051CCA"/>
    <w:rsid w:val="000520B1"/>
    <w:rsid w:val="000528E2"/>
    <w:rsid w:val="00052B27"/>
    <w:rsid w:val="000541AC"/>
    <w:rsid w:val="00055139"/>
    <w:rsid w:val="00055633"/>
    <w:rsid w:val="00055D05"/>
    <w:rsid w:val="00056CE1"/>
    <w:rsid w:val="00061F91"/>
    <w:rsid w:val="000641D2"/>
    <w:rsid w:val="00065628"/>
    <w:rsid w:val="00066429"/>
    <w:rsid w:val="00066589"/>
    <w:rsid w:val="00067505"/>
    <w:rsid w:val="00067DE9"/>
    <w:rsid w:val="000721ED"/>
    <w:rsid w:val="00073C2C"/>
    <w:rsid w:val="00074B91"/>
    <w:rsid w:val="00075D06"/>
    <w:rsid w:val="00077524"/>
    <w:rsid w:val="00080519"/>
    <w:rsid w:val="00081648"/>
    <w:rsid w:val="0008191A"/>
    <w:rsid w:val="00082102"/>
    <w:rsid w:val="00082800"/>
    <w:rsid w:val="00083AF2"/>
    <w:rsid w:val="00083D31"/>
    <w:rsid w:val="000845F6"/>
    <w:rsid w:val="00090BA1"/>
    <w:rsid w:val="00091EF1"/>
    <w:rsid w:val="00092A03"/>
    <w:rsid w:val="00092CCA"/>
    <w:rsid w:val="0009498C"/>
    <w:rsid w:val="00096293"/>
    <w:rsid w:val="00097090"/>
    <w:rsid w:val="000A0B66"/>
    <w:rsid w:val="000A1D15"/>
    <w:rsid w:val="000A274C"/>
    <w:rsid w:val="000A3B98"/>
    <w:rsid w:val="000A58FD"/>
    <w:rsid w:val="000A694C"/>
    <w:rsid w:val="000A7C0A"/>
    <w:rsid w:val="000B0584"/>
    <w:rsid w:val="000B12A8"/>
    <w:rsid w:val="000B169C"/>
    <w:rsid w:val="000B1EE5"/>
    <w:rsid w:val="000B205F"/>
    <w:rsid w:val="000B51B2"/>
    <w:rsid w:val="000B63A0"/>
    <w:rsid w:val="000B7EF8"/>
    <w:rsid w:val="000C039F"/>
    <w:rsid w:val="000C0577"/>
    <w:rsid w:val="000C21E9"/>
    <w:rsid w:val="000C23A8"/>
    <w:rsid w:val="000C49E3"/>
    <w:rsid w:val="000C4B29"/>
    <w:rsid w:val="000C4EA6"/>
    <w:rsid w:val="000C550F"/>
    <w:rsid w:val="000C6C0D"/>
    <w:rsid w:val="000D0926"/>
    <w:rsid w:val="000D1AF4"/>
    <w:rsid w:val="000D2852"/>
    <w:rsid w:val="000D2886"/>
    <w:rsid w:val="000D2C67"/>
    <w:rsid w:val="000D3EA7"/>
    <w:rsid w:val="000D4317"/>
    <w:rsid w:val="000D45E9"/>
    <w:rsid w:val="000D55CC"/>
    <w:rsid w:val="000D6224"/>
    <w:rsid w:val="000D649B"/>
    <w:rsid w:val="000D6E4F"/>
    <w:rsid w:val="000E06E6"/>
    <w:rsid w:val="000E06F2"/>
    <w:rsid w:val="000E0F06"/>
    <w:rsid w:val="000E188B"/>
    <w:rsid w:val="000E4801"/>
    <w:rsid w:val="000E4B08"/>
    <w:rsid w:val="000E4EC9"/>
    <w:rsid w:val="000E5475"/>
    <w:rsid w:val="000E58A8"/>
    <w:rsid w:val="000E694B"/>
    <w:rsid w:val="000E6E76"/>
    <w:rsid w:val="000F0607"/>
    <w:rsid w:val="000F5063"/>
    <w:rsid w:val="000F60C6"/>
    <w:rsid w:val="000F7368"/>
    <w:rsid w:val="000F7CE5"/>
    <w:rsid w:val="000F7EFC"/>
    <w:rsid w:val="001019CF"/>
    <w:rsid w:val="0010224A"/>
    <w:rsid w:val="00102CBD"/>
    <w:rsid w:val="001035F4"/>
    <w:rsid w:val="00103E48"/>
    <w:rsid w:val="00105D32"/>
    <w:rsid w:val="001060C5"/>
    <w:rsid w:val="00107FD0"/>
    <w:rsid w:val="00110371"/>
    <w:rsid w:val="00111605"/>
    <w:rsid w:val="00112BB2"/>
    <w:rsid w:val="0011367E"/>
    <w:rsid w:val="00115268"/>
    <w:rsid w:val="00120B87"/>
    <w:rsid w:val="00130C93"/>
    <w:rsid w:val="00134E8F"/>
    <w:rsid w:val="00135699"/>
    <w:rsid w:val="0013763A"/>
    <w:rsid w:val="001406E4"/>
    <w:rsid w:val="00141A7D"/>
    <w:rsid w:val="001452A1"/>
    <w:rsid w:val="00145E01"/>
    <w:rsid w:val="0014795D"/>
    <w:rsid w:val="001501A1"/>
    <w:rsid w:val="00150388"/>
    <w:rsid w:val="00150BE8"/>
    <w:rsid w:val="00150DF0"/>
    <w:rsid w:val="00151D5E"/>
    <w:rsid w:val="0015241F"/>
    <w:rsid w:val="001535D7"/>
    <w:rsid w:val="00153D74"/>
    <w:rsid w:val="001542A0"/>
    <w:rsid w:val="001545A6"/>
    <w:rsid w:val="00154CBE"/>
    <w:rsid w:val="00156BAF"/>
    <w:rsid w:val="00157447"/>
    <w:rsid w:val="00157D64"/>
    <w:rsid w:val="00160A10"/>
    <w:rsid w:val="00162ED9"/>
    <w:rsid w:val="0016300B"/>
    <w:rsid w:val="001657CE"/>
    <w:rsid w:val="0016703F"/>
    <w:rsid w:val="001671D4"/>
    <w:rsid w:val="001677A4"/>
    <w:rsid w:val="0017052B"/>
    <w:rsid w:val="00170771"/>
    <w:rsid w:val="00170A6C"/>
    <w:rsid w:val="00171621"/>
    <w:rsid w:val="00172172"/>
    <w:rsid w:val="00173C87"/>
    <w:rsid w:val="0017416C"/>
    <w:rsid w:val="0017555A"/>
    <w:rsid w:val="00175EB9"/>
    <w:rsid w:val="00175F2D"/>
    <w:rsid w:val="00176250"/>
    <w:rsid w:val="001765FC"/>
    <w:rsid w:val="00177715"/>
    <w:rsid w:val="00180942"/>
    <w:rsid w:val="00180CEA"/>
    <w:rsid w:val="001814A5"/>
    <w:rsid w:val="00181B09"/>
    <w:rsid w:val="001820C8"/>
    <w:rsid w:val="00182455"/>
    <w:rsid w:val="00184D66"/>
    <w:rsid w:val="00184DCA"/>
    <w:rsid w:val="001852F6"/>
    <w:rsid w:val="00187D32"/>
    <w:rsid w:val="00187E5E"/>
    <w:rsid w:val="001913F8"/>
    <w:rsid w:val="00191C41"/>
    <w:rsid w:val="00192547"/>
    <w:rsid w:val="0019302D"/>
    <w:rsid w:val="00193324"/>
    <w:rsid w:val="001945ED"/>
    <w:rsid w:val="00195AB0"/>
    <w:rsid w:val="00197702"/>
    <w:rsid w:val="001A0CE6"/>
    <w:rsid w:val="001A1494"/>
    <w:rsid w:val="001A5353"/>
    <w:rsid w:val="001A5F00"/>
    <w:rsid w:val="001A6F16"/>
    <w:rsid w:val="001A78C6"/>
    <w:rsid w:val="001B0CE1"/>
    <w:rsid w:val="001B104F"/>
    <w:rsid w:val="001B14FF"/>
    <w:rsid w:val="001B1EFC"/>
    <w:rsid w:val="001B1F74"/>
    <w:rsid w:val="001B2463"/>
    <w:rsid w:val="001B39CA"/>
    <w:rsid w:val="001B401D"/>
    <w:rsid w:val="001B44EE"/>
    <w:rsid w:val="001B532C"/>
    <w:rsid w:val="001B5C51"/>
    <w:rsid w:val="001B5FCB"/>
    <w:rsid w:val="001C01E1"/>
    <w:rsid w:val="001C3A22"/>
    <w:rsid w:val="001C3E95"/>
    <w:rsid w:val="001C4483"/>
    <w:rsid w:val="001C4ACB"/>
    <w:rsid w:val="001C4E20"/>
    <w:rsid w:val="001C7F02"/>
    <w:rsid w:val="001D1C93"/>
    <w:rsid w:val="001D3389"/>
    <w:rsid w:val="001D3DF5"/>
    <w:rsid w:val="001D5A30"/>
    <w:rsid w:val="001E0ED1"/>
    <w:rsid w:val="001E181A"/>
    <w:rsid w:val="001E324E"/>
    <w:rsid w:val="001E4098"/>
    <w:rsid w:val="001E54F8"/>
    <w:rsid w:val="001E5A60"/>
    <w:rsid w:val="001E725B"/>
    <w:rsid w:val="001E761B"/>
    <w:rsid w:val="001F2F10"/>
    <w:rsid w:val="001F3285"/>
    <w:rsid w:val="001F32EF"/>
    <w:rsid w:val="001F3484"/>
    <w:rsid w:val="001F3AB9"/>
    <w:rsid w:val="001F6A2F"/>
    <w:rsid w:val="001F72E6"/>
    <w:rsid w:val="001F7F21"/>
    <w:rsid w:val="00200F75"/>
    <w:rsid w:val="0020144F"/>
    <w:rsid w:val="00202402"/>
    <w:rsid w:val="002040BA"/>
    <w:rsid w:val="0020463F"/>
    <w:rsid w:val="0020550D"/>
    <w:rsid w:val="002061B5"/>
    <w:rsid w:val="0020694A"/>
    <w:rsid w:val="002101FE"/>
    <w:rsid w:val="0021165C"/>
    <w:rsid w:val="00215031"/>
    <w:rsid w:val="00216DA1"/>
    <w:rsid w:val="0021726C"/>
    <w:rsid w:val="002208A4"/>
    <w:rsid w:val="002222A7"/>
    <w:rsid w:val="002227C4"/>
    <w:rsid w:val="0022388F"/>
    <w:rsid w:val="00224FE0"/>
    <w:rsid w:val="00225BA5"/>
    <w:rsid w:val="0022648C"/>
    <w:rsid w:val="00227147"/>
    <w:rsid w:val="002271DD"/>
    <w:rsid w:val="00227376"/>
    <w:rsid w:val="00230387"/>
    <w:rsid w:val="00230ABA"/>
    <w:rsid w:val="0023327E"/>
    <w:rsid w:val="0023361D"/>
    <w:rsid w:val="00234134"/>
    <w:rsid w:val="002351F3"/>
    <w:rsid w:val="00236933"/>
    <w:rsid w:val="0024010D"/>
    <w:rsid w:val="00240981"/>
    <w:rsid w:val="00242C65"/>
    <w:rsid w:val="00243B42"/>
    <w:rsid w:val="0024558B"/>
    <w:rsid w:val="00245939"/>
    <w:rsid w:val="00247909"/>
    <w:rsid w:val="00250298"/>
    <w:rsid w:val="00251352"/>
    <w:rsid w:val="00252507"/>
    <w:rsid w:val="00252585"/>
    <w:rsid w:val="002527E9"/>
    <w:rsid w:val="00252837"/>
    <w:rsid w:val="00252BED"/>
    <w:rsid w:val="00252D47"/>
    <w:rsid w:val="00254135"/>
    <w:rsid w:val="00256743"/>
    <w:rsid w:val="00256EB9"/>
    <w:rsid w:val="0026300A"/>
    <w:rsid w:val="00265246"/>
    <w:rsid w:val="0026545D"/>
    <w:rsid w:val="00265757"/>
    <w:rsid w:val="00266931"/>
    <w:rsid w:val="0026753F"/>
    <w:rsid w:val="00270D42"/>
    <w:rsid w:val="00271B50"/>
    <w:rsid w:val="00272043"/>
    <w:rsid w:val="00272797"/>
    <w:rsid w:val="00272D3B"/>
    <w:rsid w:val="002750D4"/>
    <w:rsid w:val="002762A7"/>
    <w:rsid w:val="002766D8"/>
    <w:rsid w:val="00277EAD"/>
    <w:rsid w:val="00277EB9"/>
    <w:rsid w:val="0028064F"/>
    <w:rsid w:val="00281940"/>
    <w:rsid w:val="00282A31"/>
    <w:rsid w:val="00282B1C"/>
    <w:rsid w:val="0028435B"/>
    <w:rsid w:val="0028542F"/>
    <w:rsid w:val="00285C1D"/>
    <w:rsid w:val="002862DA"/>
    <w:rsid w:val="00290083"/>
    <w:rsid w:val="002943F4"/>
    <w:rsid w:val="002947BC"/>
    <w:rsid w:val="00294EC5"/>
    <w:rsid w:val="00295C67"/>
    <w:rsid w:val="00296386"/>
    <w:rsid w:val="002A389F"/>
    <w:rsid w:val="002A67D9"/>
    <w:rsid w:val="002B1410"/>
    <w:rsid w:val="002B2884"/>
    <w:rsid w:val="002B43C1"/>
    <w:rsid w:val="002B464D"/>
    <w:rsid w:val="002B4967"/>
    <w:rsid w:val="002B5D62"/>
    <w:rsid w:val="002B5DE4"/>
    <w:rsid w:val="002B6344"/>
    <w:rsid w:val="002B648A"/>
    <w:rsid w:val="002B6D52"/>
    <w:rsid w:val="002B7FE2"/>
    <w:rsid w:val="002C02CE"/>
    <w:rsid w:val="002C2016"/>
    <w:rsid w:val="002C22BD"/>
    <w:rsid w:val="002C3F91"/>
    <w:rsid w:val="002C44D7"/>
    <w:rsid w:val="002C5C2B"/>
    <w:rsid w:val="002C6C68"/>
    <w:rsid w:val="002C76B2"/>
    <w:rsid w:val="002D00CA"/>
    <w:rsid w:val="002D0247"/>
    <w:rsid w:val="002D087C"/>
    <w:rsid w:val="002D1406"/>
    <w:rsid w:val="002D4014"/>
    <w:rsid w:val="002D50A9"/>
    <w:rsid w:val="002D599B"/>
    <w:rsid w:val="002D6428"/>
    <w:rsid w:val="002D68D5"/>
    <w:rsid w:val="002E0226"/>
    <w:rsid w:val="002E0BD0"/>
    <w:rsid w:val="002E1096"/>
    <w:rsid w:val="002E1A92"/>
    <w:rsid w:val="002E22F3"/>
    <w:rsid w:val="002E480C"/>
    <w:rsid w:val="002E56BC"/>
    <w:rsid w:val="002E724A"/>
    <w:rsid w:val="002F5D0C"/>
    <w:rsid w:val="002F6C93"/>
    <w:rsid w:val="002F772D"/>
    <w:rsid w:val="00301A5C"/>
    <w:rsid w:val="00301A5E"/>
    <w:rsid w:val="00302BE4"/>
    <w:rsid w:val="00304049"/>
    <w:rsid w:val="003040C9"/>
    <w:rsid w:val="0030505B"/>
    <w:rsid w:val="00306459"/>
    <w:rsid w:val="00306AD4"/>
    <w:rsid w:val="00307FB5"/>
    <w:rsid w:val="00310B18"/>
    <w:rsid w:val="003110D4"/>
    <w:rsid w:val="00312097"/>
    <w:rsid w:val="003121F0"/>
    <w:rsid w:val="00315420"/>
    <w:rsid w:val="003161B5"/>
    <w:rsid w:val="0031786D"/>
    <w:rsid w:val="00317A6B"/>
    <w:rsid w:val="00320376"/>
    <w:rsid w:val="003204AC"/>
    <w:rsid w:val="00320F3B"/>
    <w:rsid w:val="003216F4"/>
    <w:rsid w:val="003226EB"/>
    <w:rsid w:val="0032426F"/>
    <w:rsid w:val="003247B0"/>
    <w:rsid w:val="00327D8A"/>
    <w:rsid w:val="00331E67"/>
    <w:rsid w:val="0033211A"/>
    <w:rsid w:val="003357D5"/>
    <w:rsid w:val="003357F4"/>
    <w:rsid w:val="003362BA"/>
    <w:rsid w:val="00336BCA"/>
    <w:rsid w:val="00337756"/>
    <w:rsid w:val="00337E8B"/>
    <w:rsid w:val="003400F1"/>
    <w:rsid w:val="0034225E"/>
    <w:rsid w:val="00343BF7"/>
    <w:rsid w:val="00343F41"/>
    <w:rsid w:val="00344F28"/>
    <w:rsid w:val="00345082"/>
    <w:rsid w:val="003457B6"/>
    <w:rsid w:val="00345B0B"/>
    <w:rsid w:val="00347A9B"/>
    <w:rsid w:val="00350458"/>
    <w:rsid w:val="00351984"/>
    <w:rsid w:val="0035482C"/>
    <w:rsid w:val="00356309"/>
    <w:rsid w:val="00360858"/>
    <w:rsid w:val="00365CEB"/>
    <w:rsid w:val="003660E1"/>
    <w:rsid w:val="0036796F"/>
    <w:rsid w:val="00371421"/>
    <w:rsid w:val="00371618"/>
    <w:rsid w:val="00372712"/>
    <w:rsid w:val="00372E2A"/>
    <w:rsid w:val="0037318F"/>
    <w:rsid w:val="00373625"/>
    <w:rsid w:val="00373A05"/>
    <w:rsid w:val="00375717"/>
    <w:rsid w:val="0037639D"/>
    <w:rsid w:val="003773EB"/>
    <w:rsid w:val="003801B4"/>
    <w:rsid w:val="0038079E"/>
    <w:rsid w:val="003919C5"/>
    <w:rsid w:val="003921D9"/>
    <w:rsid w:val="003934A0"/>
    <w:rsid w:val="00394B31"/>
    <w:rsid w:val="00394BC1"/>
    <w:rsid w:val="00397F7A"/>
    <w:rsid w:val="003A0886"/>
    <w:rsid w:val="003A164D"/>
    <w:rsid w:val="003A4FE5"/>
    <w:rsid w:val="003A500E"/>
    <w:rsid w:val="003B0656"/>
    <w:rsid w:val="003B1815"/>
    <w:rsid w:val="003B2D67"/>
    <w:rsid w:val="003B31EB"/>
    <w:rsid w:val="003B37C6"/>
    <w:rsid w:val="003B3B61"/>
    <w:rsid w:val="003B44C0"/>
    <w:rsid w:val="003B4BA5"/>
    <w:rsid w:val="003B5D70"/>
    <w:rsid w:val="003B7274"/>
    <w:rsid w:val="003B7323"/>
    <w:rsid w:val="003C1F76"/>
    <w:rsid w:val="003C2691"/>
    <w:rsid w:val="003C275A"/>
    <w:rsid w:val="003C4FF9"/>
    <w:rsid w:val="003C6172"/>
    <w:rsid w:val="003D031F"/>
    <w:rsid w:val="003D1B37"/>
    <w:rsid w:val="003D4A53"/>
    <w:rsid w:val="003D4BBC"/>
    <w:rsid w:val="003D5255"/>
    <w:rsid w:val="003D55A3"/>
    <w:rsid w:val="003D55FC"/>
    <w:rsid w:val="003D7D0B"/>
    <w:rsid w:val="003E04D9"/>
    <w:rsid w:val="003E0883"/>
    <w:rsid w:val="003E15A5"/>
    <w:rsid w:val="003E2EDB"/>
    <w:rsid w:val="003E39DA"/>
    <w:rsid w:val="003E3F62"/>
    <w:rsid w:val="003E4807"/>
    <w:rsid w:val="003E52D6"/>
    <w:rsid w:val="003E7EE5"/>
    <w:rsid w:val="003F024B"/>
    <w:rsid w:val="003F096D"/>
    <w:rsid w:val="003F122D"/>
    <w:rsid w:val="003F1B1A"/>
    <w:rsid w:val="003F31BC"/>
    <w:rsid w:val="003F4749"/>
    <w:rsid w:val="003F4DEF"/>
    <w:rsid w:val="003F56DA"/>
    <w:rsid w:val="003F6CB3"/>
    <w:rsid w:val="00401EAC"/>
    <w:rsid w:val="00401F1A"/>
    <w:rsid w:val="004026A0"/>
    <w:rsid w:val="004038A7"/>
    <w:rsid w:val="00404334"/>
    <w:rsid w:val="00405747"/>
    <w:rsid w:val="004058ED"/>
    <w:rsid w:val="0041186F"/>
    <w:rsid w:val="0041280E"/>
    <w:rsid w:val="004137F4"/>
    <w:rsid w:val="0041380C"/>
    <w:rsid w:val="00414199"/>
    <w:rsid w:val="004169E7"/>
    <w:rsid w:val="00416A45"/>
    <w:rsid w:val="00417CB6"/>
    <w:rsid w:val="00420BB7"/>
    <w:rsid w:val="004234E6"/>
    <w:rsid w:val="00423A06"/>
    <w:rsid w:val="004249E6"/>
    <w:rsid w:val="00424FF6"/>
    <w:rsid w:val="004260AA"/>
    <w:rsid w:val="00426D5F"/>
    <w:rsid w:val="0042710E"/>
    <w:rsid w:val="004275C0"/>
    <w:rsid w:val="004302BB"/>
    <w:rsid w:val="00430544"/>
    <w:rsid w:val="0043090F"/>
    <w:rsid w:val="0043251D"/>
    <w:rsid w:val="00432D07"/>
    <w:rsid w:val="0043393E"/>
    <w:rsid w:val="0043475A"/>
    <w:rsid w:val="004347BF"/>
    <w:rsid w:val="004377D0"/>
    <w:rsid w:val="00437CE5"/>
    <w:rsid w:val="00440395"/>
    <w:rsid w:val="0044264A"/>
    <w:rsid w:val="00442B2B"/>
    <w:rsid w:val="0044444C"/>
    <w:rsid w:val="00444DA5"/>
    <w:rsid w:val="0044611C"/>
    <w:rsid w:val="004462C1"/>
    <w:rsid w:val="00447013"/>
    <w:rsid w:val="00447CA4"/>
    <w:rsid w:val="00447EFD"/>
    <w:rsid w:val="0045023C"/>
    <w:rsid w:val="00451EB7"/>
    <w:rsid w:val="004523E4"/>
    <w:rsid w:val="00452CA3"/>
    <w:rsid w:val="00453668"/>
    <w:rsid w:val="004536B1"/>
    <w:rsid w:val="00454402"/>
    <w:rsid w:val="00456882"/>
    <w:rsid w:val="0046061B"/>
    <w:rsid w:val="00460CE9"/>
    <w:rsid w:val="004705CC"/>
    <w:rsid w:val="00471594"/>
    <w:rsid w:val="004727D7"/>
    <w:rsid w:val="00473103"/>
    <w:rsid w:val="0047368A"/>
    <w:rsid w:val="00473BC5"/>
    <w:rsid w:val="00476AD7"/>
    <w:rsid w:val="00476BA9"/>
    <w:rsid w:val="00476F90"/>
    <w:rsid w:val="004800AD"/>
    <w:rsid w:val="00483419"/>
    <w:rsid w:val="004856B6"/>
    <w:rsid w:val="00485E66"/>
    <w:rsid w:val="00486181"/>
    <w:rsid w:val="004868BB"/>
    <w:rsid w:val="00487B82"/>
    <w:rsid w:val="004903F0"/>
    <w:rsid w:val="00491F91"/>
    <w:rsid w:val="00492477"/>
    <w:rsid w:val="004938D8"/>
    <w:rsid w:val="00495BBE"/>
    <w:rsid w:val="00496627"/>
    <w:rsid w:val="00497406"/>
    <w:rsid w:val="004A0BC5"/>
    <w:rsid w:val="004A233B"/>
    <w:rsid w:val="004A2C2D"/>
    <w:rsid w:val="004A47D9"/>
    <w:rsid w:val="004A61D6"/>
    <w:rsid w:val="004A65E3"/>
    <w:rsid w:val="004B0229"/>
    <w:rsid w:val="004B2C0B"/>
    <w:rsid w:val="004B30E7"/>
    <w:rsid w:val="004B3732"/>
    <w:rsid w:val="004B413D"/>
    <w:rsid w:val="004B6691"/>
    <w:rsid w:val="004B6C6B"/>
    <w:rsid w:val="004B74BD"/>
    <w:rsid w:val="004C1D35"/>
    <w:rsid w:val="004C27D1"/>
    <w:rsid w:val="004C3E28"/>
    <w:rsid w:val="004C41C1"/>
    <w:rsid w:val="004C4B5F"/>
    <w:rsid w:val="004C5F0B"/>
    <w:rsid w:val="004C609D"/>
    <w:rsid w:val="004D034C"/>
    <w:rsid w:val="004D0DE4"/>
    <w:rsid w:val="004D1216"/>
    <w:rsid w:val="004D26FC"/>
    <w:rsid w:val="004D37B3"/>
    <w:rsid w:val="004D4211"/>
    <w:rsid w:val="004D77FB"/>
    <w:rsid w:val="004E1642"/>
    <w:rsid w:val="004E2ED6"/>
    <w:rsid w:val="004E3222"/>
    <w:rsid w:val="004E3790"/>
    <w:rsid w:val="004E58F7"/>
    <w:rsid w:val="004E609A"/>
    <w:rsid w:val="004F0350"/>
    <w:rsid w:val="004F05E7"/>
    <w:rsid w:val="004F382E"/>
    <w:rsid w:val="004F3AF3"/>
    <w:rsid w:val="004F4A4C"/>
    <w:rsid w:val="004F7010"/>
    <w:rsid w:val="005023F5"/>
    <w:rsid w:val="00502C83"/>
    <w:rsid w:val="00503ED8"/>
    <w:rsid w:val="0050459F"/>
    <w:rsid w:val="00504731"/>
    <w:rsid w:val="00505099"/>
    <w:rsid w:val="00505399"/>
    <w:rsid w:val="005061F4"/>
    <w:rsid w:val="0050651E"/>
    <w:rsid w:val="00506E34"/>
    <w:rsid w:val="00511183"/>
    <w:rsid w:val="005123E7"/>
    <w:rsid w:val="005135A3"/>
    <w:rsid w:val="00514802"/>
    <w:rsid w:val="005148B9"/>
    <w:rsid w:val="00514FBE"/>
    <w:rsid w:val="00516347"/>
    <w:rsid w:val="0051642E"/>
    <w:rsid w:val="00517391"/>
    <w:rsid w:val="00523F34"/>
    <w:rsid w:val="005262AC"/>
    <w:rsid w:val="005278DF"/>
    <w:rsid w:val="0053181C"/>
    <w:rsid w:val="00531DD0"/>
    <w:rsid w:val="00533D31"/>
    <w:rsid w:val="005347E7"/>
    <w:rsid w:val="005417CA"/>
    <w:rsid w:val="00542ECA"/>
    <w:rsid w:val="00544F32"/>
    <w:rsid w:val="005468FE"/>
    <w:rsid w:val="005511E9"/>
    <w:rsid w:val="005513C1"/>
    <w:rsid w:val="00551BAD"/>
    <w:rsid w:val="00551E22"/>
    <w:rsid w:val="00551F63"/>
    <w:rsid w:val="005524BD"/>
    <w:rsid w:val="005529A1"/>
    <w:rsid w:val="005541D8"/>
    <w:rsid w:val="005551C4"/>
    <w:rsid w:val="00555888"/>
    <w:rsid w:val="00555B36"/>
    <w:rsid w:val="00555F01"/>
    <w:rsid w:val="00555F3D"/>
    <w:rsid w:val="00556421"/>
    <w:rsid w:val="00557259"/>
    <w:rsid w:val="0055748C"/>
    <w:rsid w:val="00560AAC"/>
    <w:rsid w:val="00561490"/>
    <w:rsid w:val="00566A67"/>
    <w:rsid w:val="00571301"/>
    <w:rsid w:val="00571430"/>
    <w:rsid w:val="00571820"/>
    <w:rsid w:val="00573F72"/>
    <w:rsid w:val="00573FF9"/>
    <w:rsid w:val="005757CF"/>
    <w:rsid w:val="0057665B"/>
    <w:rsid w:val="0058057E"/>
    <w:rsid w:val="00580741"/>
    <w:rsid w:val="00581EE6"/>
    <w:rsid w:val="00582D87"/>
    <w:rsid w:val="00583FE9"/>
    <w:rsid w:val="00584E51"/>
    <w:rsid w:val="00587D3F"/>
    <w:rsid w:val="00590894"/>
    <w:rsid w:val="00592182"/>
    <w:rsid w:val="00593660"/>
    <w:rsid w:val="00594054"/>
    <w:rsid w:val="00595141"/>
    <w:rsid w:val="005974BC"/>
    <w:rsid w:val="005974DA"/>
    <w:rsid w:val="005A0400"/>
    <w:rsid w:val="005A11C6"/>
    <w:rsid w:val="005A1FBF"/>
    <w:rsid w:val="005A230A"/>
    <w:rsid w:val="005A3BDC"/>
    <w:rsid w:val="005A46B9"/>
    <w:rsid w:val="005A5E16"/>
    <w:rsid w:val="005A7A30"/>
    <w:rsid w:val="005A7C87"/>
    <w:rsid w:val="005A7E4D"/>
    <w:rsid w:val="005B12A2"/>
    <w:rsid w:val="005B2CE9"/>
    <w:rsid w:val="005B4A34"/>
    <w:rsid w:val="005C0657"/>
    <w:rsid w:val="005C06D6"/>
    <w:rsid w:val="005C08FE"/>
    <w:rsid w:val="005C0F40"/>
    <w:rsid w:val="005C15E0"/>
    <w:rsid w:val="005C17AB"/>
    <w:rsid w:val="005C2971"/>
    <w:rsid w:val="005C29D6"/>
    <w:rsid w:val="005C62E9"/>
    <w:rsid w:val="005C730C"/>
    <w:rsid w:val="005C7E32"/>
    <w:rsid w:val="005D15C8"/>
    <w:rsid w:val="005D2373"/>
    <w:rsid w:val="005D653B"/>
    <w:rsid w:val="005D6F1E"/>
    <w:rsid w:val="005D7223"/>
    <w:rsid w:val="005E0C78"/>
    <w:rsid w:val="005E0F45"/>
    <w:rsid w:val="005E3179"/>
    <w:rsid w:val="005E5DF2"/>
    <w:rsid w:val="005E6DBD"/>
    <w:rsid w:val="005E70B9"/>
    <w:rsid w:val="005E78DF"/>
    <w:rsid w:val="005E794B"/>
    <w:rsid w:val="005F0232"/>
    <w:rsid w:val="005F044C"/>
    <w:rsid w:val="005F0A7F"/>
    <w:rsid w:val="005F17F5"/>
    <w:rsid w:val="005F3C38"/>
    <w:rsid w:val="005F403D"/>
    <w:rsid w:val="005F4BCC"/>
    <w:rsid w:val="005F6BFA"/>
    <w:rsid w:val="00600CDE"/>
    <w:rsid w:val="00600F0B"/>
    <w:rsid w:val="00601597"/>
    <w:rsid w:val="0060271D"/>
    <w:rsid w:val="006030D4"/>
    <w:rsid w:val="00603BDD"/>
    <w:rsid w:val="00603D37"/>
    <w:rsid w:val="00604334"/>
    <w:rsid w:val="006048FC"/>
    <w:rsid w:val="0060523F"/>
    <w:rsid w:val="00605ADF"/>
    <w:rsid w:val="006123F3"/>
    <w:rsid w:val="0061390C"/>
    <w:rsid w:val="006147FF"/>
    <w:rsid w:val="00616389"/>
    <w:rsid w:val="00616534"/>
    <w:rsid w:val="00616E5F"/>
    <w:rsid w:val="006202E5"/>
    <w:rsid w:val="00623324"/>
    <w:rsid w:val="00623520"/>
    <w:rsid w:val="00624E8E"/>
    <w:rsid w:val="00625453"/>
    <w:rsid w:val="00625D1C"/>
    <w:rsid w:val="00625D84"/>
    <w:rsid w:val="00627F94"/>
    <w:rsid w:val="00633469"/>
    <w:rsid w:val="006342C4"/>
    <w:rsid w:val="006369D3"/>
    <w:rsid w:val="006371B1"/>
    <w:rsid w:val="00637B9E"/>
    <w:rsid w:val="0064141C"/>
    <w:rsid w:val="00641CB9"/>
    <w:rsid w:val="00644CBD"/>
    <w:rsid w:val="006461FC"/>
    <w:rsid w:val="006463E0"/>
    <w:rsid w:val="006469C0"/>
    <w:rsid w:val="006473BD"/>
    <w:rsid w:val="00647B4E"/>
    <w:rsid w:val="00650E85"/>
    <w:rsid w:val="00651485"/>
    <w:rsid w:val="006516A9"/>
    <w:rsid w:val="00652799"/>
    <w:rsid w:val="006539E6"/>
    <w:rsid w:val="00660BFA"/>
    <w:rsid w:val="006642FB"/>
    <w:rsid w:val="00664A75"/>
    <w:rsid w:val="006658F3"/>
    <w:rsid w:val="006672E9"/>
    <w:rsid w:val="0067149E"/>
    <w:rsid w:val="006718FB"/>
    <w:rsid w:val="00671E0A"/>
    <w:rsid w:val="006721C4"/>
    <w:rsid w:val="006721D8"/>
    <w:rsid w:val="00672DD1"/>
    <w:rsid w:val="00674840"/>
    <w:rsid w:val="00677179"/>
    <w:rsid w:val="00682B77"/>
    <w:rsid w:val="00684617"/>
    <w:rsid w:val="00685C85"/>
    <w:rsid w:val="00685F22"/>
    <w:rsid w:val="006871C4"/>
    <w:rsid w:val="00691966"/>
    <w:rsid w:val="00692C2B"/>
    <w:rsid w:val="00692F59"/>
    <w:rsid w:val="006936C0"/>
    <w:rsid w:val="0069421D"/>
    <w:rsid w:val="0069500B"/>
    <w:rsid w:val="00695026"/>
    <w:rsid w:val="00695878"/>
    <w:rsid w:val="00696058"/>
    <w:rsid w:val="00696966"/>
    <w:rsid w:val="00696BFE"/>
    <w:rsid w:val="006974ED"/>
    <w:rsid w:val="00697970"/>
    <w:rsid w:val="00697AEC"/>
    <w:rsid w:val="00697D67"/>
    <w:rsid w:val="006A026D"/>
    <w:rsid w:val="006A0897"/>
    <w:rsid w:val="006A0E66"/>
    <w:rsid w:val="006A19A0"/>
    <w:rsid w:val="006A1C1E"/>
    <w:rsid w:val="006A32F2"/>
    <w:rsid w:val="006A34C5"/>
    <w:rsid w:val="006A3E72"/>
    <w:rsid w:val="006A4BF6"/>
    <w:rsid w:val="006A57CF"/>
    <w:rsid w:val="006A5EAF"/>
    <w:rsid w:val="006A6A9F"/>
    <w:rsid w:val="006A7A8B"/>
    <w:rsid w:val="006A7C39"/>
    <w:rsid w:val="006B0365"/>
    <w:rsid w:val="006B125F"/>
    <w:rsid w:val="006B1882"/>
    <w:rsid w:val="006B1C5E"/>
    <w:rsid w:val="006B450A"/>
    <w:rsid w:val="006B5631"/>
    <w:rsid w:val="006B6789"/>
    <w:rsid w:val="006B689D"/>
    <w:rsid w:val="006B722E"/>
    <w:rsid w:val="006B7549"/>
    <w:rsid w:val="006C062C"/>
    <w:rsid w:val="006C1B9B"/>
    <w:rsid w:val="006C41D7"/>
    <w:rsid w:val="006C4EBC"/>
    <w:rsid w:val="006C50F4"/>
    <w:rsid w:val="006C52ED"/>
    <w:rsid w:val="006C6D78"/>
    <w:rsid w:val="006C78A6"/>
    <w:rsid w:val="006C7C08"/>
    <w:rsid w:val="006D2C06"/>
    <w:rsid w:val="006D2F8E"/>
    <w:rsid w:val="006D5115"/>
    <w:rsid w:val="006D5326"/>
    <w:rsid w:val="006D584E"/>
    <w:rsid w:val="006D7922"/>
    <w:rsid w:val="006D7C14"/>
    <w:rsid w:val="006E310D"/>
    <w:rsid w:val="006E361B"/>
    <w:rsid w:val="006E4A55"/>
    <w:rsid w:val="006E53E3"/>
    <w:rsid w:val="006E7EFA"/>
    <w:rsid w:val="006E7F1C"/>
    <w:rsid w:val="006F33E0"/>
    <w:rsid w:val="006F4154"/>
    <w:rsid w:val="006F54B6"/>
    <w:rsid w:val="006F5A38"/>
    <w:rsid w:val="006F76B9"/>
    <w:rsid w:val="007011E0"/>
    <w:rsid w:val="00702FEE"/>
    <w:rsid w:val="00703750"/>
    <w:rsid w:val="00706FC9"/>
    <w:rsid w:val="00707470"/>
    <w:rsid w:val="00710B61"/>
    <w:rsid w:val="00711405"/>
    <w:rsid w:val="00711D0E"/>
    <w:rsid w:val="00712377"/>
    <w:rsid w:val="007124C8"/>
    <w:rsid w:val="00714024"/>
    <w:rsid w:val="007146F0"/>
    <w:rsid w:val="00714EBB"/>
    <w:rsid w:val="007165CA"/>
    <w:rsid w:val="007169FE"/>
    <w:rsid w:val="007179D3"/>
    <w:rsid w:val="00721160"/>
    <w:rsid w:val="007223DB"/>
    <w:rsid w:val="00722AEC"/>
    <w:rsid w:val="007236F8"/>
    <w:rsid w:val="007237E9"/>
    <w:rsid w:val="00725054"/>
    <w:rsid w:val="00726B26"/>
    <w:rsid w:val="00727775"/>
    <w:rsid w:val="0073016C"/>
    <w:rsid w:val="00730988"/>
    <w:rsid w:val="00731566"/>
    <w:rsid w:val="00732A89"/>
    <w:rsid w:val="00734EE8"/>
    <w:rsid w:val="00734F0E"/>
    <w:rsid w:val="00734FCE"/>
    <w:rsid w:val="00736260"/>
    <w:rsid w:val="00737F9E"/>
    <w:rsid w:val="00740D83"/>
    <w:rsid w:val="00740ECB"/>
    <w:rsid w:val="0074136E"/>
    <w:rsid w:val="00743DCD"/>
    <w:rsid w:val="007441BF"/>
    <w:rsid w:val="007467EB"/>
    <w:rsid w:val="007470B6"/>
    <w:rsid w:val="00747184"/>
    <w:rsid w:val="007517B7"/>
    <w:rsid w:val="00752327"/>
    <w:rsid w:val="007547B1"/>
    <w:rsid w:val="007564BD"/>
    <w:rsid w:val="007577E4"/>
    <w:rsid w:val="00757FCB"/>
    <w:rsid w:val="00761BDE"/>
    <w:rsid w:val="007654E2"/>
    <w:rsid w:val="0076581D"/>
    <w:rsid w:val="00765EF8"/>
    <w:rsid w:val="00766F97"/>
    <w:rsid w:val="00770909"/>
    <w:rsid w:val="007719A0"/>
    <w:rsid w:val="007724C2"/>
    <w:rsid w:val="007739D8"/>
    <w:rsid w:val="007748FD"/>
    <w:rsid w:val="00775F5A"/>
    <w:rsid w:val="007763B8"/>
    <w:rsid w:val="007818F7"/>
    <w:rsid w:val="007821C5"/>
    <w:rsid w:val="00782F05"/>
    <w:rsid w:val="00783EDB"/>
    <w:rsid w:val="00784EF1"/>
    <w:rsid w:val="00785410"/>
    <w:rsid w:val="00785755"/>
    <w:rsid w:val="007858D8"/>
    <w:rsid w:val="00786571"/>
    <w:rsid w:val="00787C8C"/>
    <w:rsid w:val="00787F37"/>
    <w:rsid w:val="00792805"/>
    <w:rsid w:val="00792EF2"/>
    <w:rsid w:val="00792F48"/>
    <w:rsid w:val="00793316"/>
    <w:rsid w:val="007949A1"/>
    <w:rsid w:val="00794F2D"/>
    <w:rsid w:val="0079764E"/>
    <w:rsid w:val="00797F95"/>
    <w:rsid w:val="007A0548"/>
    <w:rsid w:val="007A2BB9"/>
    <w:rsid w:val="007A6041"/>
    <w:rsid w:val="007A60F6"/>
    <w:rsid w:val="007A6EED"/>
    <w:rsid w:val="007A7E79"/>
    <w:rsid w:val="007B02CC"/>
    <w:rsid w:val="007B2A1C"/>
    <w:rsid w:val="007B377D"/>
    <w:rsid w:val="007B4A2D"/>
    <w:rsid w:val="007B5AF2"/>
    <w:rsid w:val="007B69D9"/>
    <w:rsid w:val="007B6C07"/>
    <w:rsid w:val="007C37EC"/>
    <w:rsid w:val="007C504A"/>
    <w:rsid w:val="007C6FB3"/>
    <w:rsid w:val="007C7045"/>
    <w:rsid w:val="007D04F3"/>
    <w:rsid w:val="007D1924"/>
    <w:rsid w:val="007D382C"/>
    <w:rsid w:val="007D421D"/>
    <w:rsid w:val="007D493A"/>
    <w:rsid w:val="007D49F2"/>
    <w:rsid w:val="007D6888"/>
    <w:rsid w:val="007E1720"/>
    <w:rsid w:val="007E21D3"/>
    <w:rsid w:val="007E4403"/>
    <w:rsid w:val="007E48E7"/>
    <w:rsid w:val="007E4D9A"/>
    <w:rsid w:val="007E64CD"/>
    <w:rsid w:val="007F2986"/>
    <w:rsid w:val="007F2B1A"/>
    <w:rsid w:val="007F4A12"/>
    <w:rsid w:val="007F531F"/>
    <w:rsid w:val="007F6721"/>
    <w:rsid w:val="007F6D25"/>
    <w:rsid w:val="0080214F"/>
    <w:rsid w:val="00803361"/>
    <w:rsid w:val="00803375"/>
    <w:rsid w:val="00803CD6"/>
    <w:rsid w:val="0080489E"/>
    <w:rsid w:val="008052A3"/>
    <w:rsid w:val="008053DB"/>
    <w:rsid w:val="00805D3C"/>
    <w:rsid w:val="00810551"/>
    <w:rsid w:val="008110A1"/>
    <w:rsid w:val="00811702"/>
    <w:rsid w:val="00813C44"/>
    <w:rsid w:val="0081594F"/>
    <w:rsid w:val="00816239"/>
    <w:rsid w:val="0081793E"/>
    <w:rsid w:val="00817C04"/>
    <w:rsid w:val="00820511"/>
    <w:rsid w:val="00820B20"/>
    <w:rsid w:val="00823850"/>
    <w:rsid w:val="008249C4"/>
    <w:rsid w:val="00826402"/>
    <w:rsid w:val="00830B7D"/>
    <w:rsid w:val="00831D6D"/>
    <w:rsid w:val="0083447F"/>
    <w:rsid w:val="008354DD"/>
    <w:rsid w:val="0083643B"/>
    <w:rsid w:val="00836942"/>
    <w:rsid w:val="00837D1B"/>
    <w:rsid w:val="008402B5"/>
    <w:rsid w:val="00840C64"/>
    <w:rsid w:val="00841284"/>
    <w:rsid w:val="00841D78"/>
    <w:rsid w:val="00841E70"/>
    <w:rsid w:val="008428A6"/>
    <w:rsid w:val="00843F1F"/>
    <w:rsid w:val="008447F5"/>
    <w:rsid w:val="008449D7"/>
    <w:rsid w:val="00844B67"/>
    <w:rsid w:val="00845499"/>
    <w:rsid w:val="00845F17"/>
    <w:rsid w:val="0085160E"/>
    <w:rsid w:val="0085183A"/>
    <w:rsid w:val="008528C5"/>
    <w:rsid w:val="0085365F"/>
    <w:rsid w:val="00853C1D"/>
    <w:rsid w:val="008557DC"/>
    <w:rsid w:val="00856C53"/>
    <w:rsid w:val="00857982"/>
    <w:rsid w:val="00857B6E"/>
    <w:rsid w:val="008601BE"/>
    <w:rsid w:val="00861BF2"/>
    <w:rsid w:val="00861C99"/>
    <w:rsid w:val="00862B0C"/>
    <w:rsid w:val="00862F37"/>
    <w:rsid w:val="00863828"/>
    <w:rsid w:val="00863CFC"/>
    <w:rsid w:val="0086457E"/>
    <w:rsid w:val="008653B2"/>
    <w:rsid w:val="00867EB6"/>
    <w:rsid w:val="0087260B"/>
    <w:rsid w:val="0087358C"/>
    <w:rsid w:val="00873812"/>
    <w:rsid w:val="00874286"/>
    <w:rsid w:val="0087463C"/>
    <w:rsid w:val="0087524E"/>
    <w:rsid w:val="00880FFA"/>
    <w:rsid w:val="00881C6E"/>
    <w:rsid w:val="0088289C"/>
    <w:rsid w:val="00884B97"/>
    <w:rsid w:val="00885E2D"/>
    <w:rsid w:val="0088661A"/>
    <w:rsid w:val="0089299D"/>
    <w:rsid w:val="00893476"/>
    <w:rsid w:val="008940F3"/>
    <w:rsid w:val="008947E6"/>
    <w:rsid w:val="0089665B"/>
    <w:rsid w:val="008A0145"/>
    <w:rsid w:val="008A036B"/>
    <w:rsid w:val="008A08C3"/>
    <w:rsid w:val="008A2A7A"/>
    <w:rsid w:val="008A3897"/>
    <w:rsid w:val="008A38A2"/>
    <w:rsid w:val="008A50DB"/>
    <w:rsid w:val="008A515A"/>
    <w:rsid w:val="008B045C"/>
    <w:rsid w:val="008B058A"/>
    <w:rsid w:val="008B0934"/>
    <w:rsid w:val="008B1856"/>
    <w:rsid w:val="008B3364"/>
    <w:rsid w:val="008B3815"/>
    <w:rsid w:val="008B398E"/>
    <w:rsid w:val="008B3F33"/>
    <w:rsid w:val="008B518C"/>
    <w:rsid w:val="008B5A68"/>
    <w:rsid w:val="008B5A8C"/>
    <w:rsid w:val="008B7633"/>
    <w:rsid w:val="008B79C7"/>
    <w:rsid w:val="008C0412"/>
    <w:rsid w:val="008C4688"/>
    <w:rsid w:val="008C5A37"/>
    <w:rsid w:val="008C75F8"/>
    <w:rsid w:val="008C7852"/>
    <w:rsid w:val="008C7889"/>
    <w:rsid w:val="008C7B8A"/>
    <w:rsid w:val="008D022B"/>
    <w:rsid w:val="008D3F8A"/>
    <w:rsid w:val="008D4476"/>
    <w:rsid w:val="008D54FC"/>
    <w:rsid w:val="008E1FFB"/>
    <w:rsid w:val="008E5718"/>
    <w:rsid w:val="008E70E8"/>
    <w:rsid w:val="008E79B5"/>
    <w:rsid w:val="008E7AF0"/>
    <w:rsid w:val="008E7D9F"/>
    <w:rsid w:val="008F152D"/>
    <w:rsid w:val="008F158F"/>
    <w:rsid w:val="008F1C0F"/>
    <w:rsid w:val="008F2034"/>
    <w:rsid w:val="008F250F"/>
    <w:rsid w:val="008F557B"/>
    <w:rsid w:val="008F7884"/>
    <w:rsid w:val="009014C8"/>
    <w:rsid w:val="009014E1"/>
    <w:rsid w:val="0090196E"/>
    <w:rsid w:val="0090240B"/>
    <w:rsid w:val="0090334B"/>
    <w:rsid w:val="00903863"/>
    <w:rsid w:val="00904518"/>
    <w:rsid w:val="00905399"/>
    <w:rsid w:val="00905C5A"/>
    <w:rsid w:val="00905EEC"/>
    <w:rsid w:val="009066B7"/>
    <w:rsid w:val="009066C0"/>
    <w:rsid w:val="00907DB9"/>
    <w:rsid w:val="00910FC4"/>
    <w:rsid w:val="00913281"/>
    <w:rsid w:val="009133D2"/>
    <w:rsid w:val="00913B0E"/>
    <w:rsid w:val="00913D31"/>
    <w:rsid w:val="00914DDE"/>
    <w:rsid w:val="00914FAE"/>
    <w:rsid w:val="009168BF"/>
    <w:rsid w:val="00917C04"/>
    <w:rsid w:val="00920B36"/>
    <w:rsid w:val="0092149A"/>
    <w:rsid w:val="00921CCC"/>
    <w:rsid w:val="00922A2D"/>
    <w:rsid w:val="009237B5"/>
    <w:rsid w:val="00923852"/>
    <w:rsid w:val="00923DF1"/>
    <w:rsid w:val="009240D5"/>
    <w:rsid w:val="00924C1E"/>
    <w:rsid w:val="00924E76"/>
    <w:rsid w:val="00925892"/>
    <w:rsid w:val="00926537"/>
    <w:rsid w:val="0092685E"/>
    <w:rsid w:val="009268D7"/>
    <w:rsid w:val="0093137E"/>
    <w:rsid w:val="00932D10"/>
    <w:rsid w:val="009351F8"/>
    <w:rsid w:val="00936BC6"/>
    <w:rsid w:val="00940DF3"/>
    <w:rsid w:val="0094168D"/>
    <w:rsid w:val="00941DF5"/>
    <w:rsid w:val="00943905"/>
    <w:rsid w:val="00945271"/>
    <w:rsid w:val="00945E12"/>
    <w:rsid w:val="00946C23"/>
    <w:rsid w:val="009479CD"/>
    <w:rsid w:val="00950193"/>
    <w:rsid w:val="00952544"/>
    <w:rsid w:val="009540B8"/>
    <w:rsid w:val="00954425"/>
    <w:rsid w:val="009550E3"/>
    <w:rsid w:val="00955580"/>
    <w:rsid w:val="00955ABF"/>
    <w:rsid w:val="00955FA0"/>
    <w:rsid w:val="00957479"/>
    <w:rsid w:val="00957B01"/>
    <w:rsid w:val="00957DE7"/>
    <w:rsid w:val="0096201F"/>
    <w:rsid w:val="00962B7E"/>
    <w:rsid w:val="00962C6A"/>
    <w:rsid w:val="009636ED"/>
    <w:rsid w:val="009642CB"/>
    <w:rsid w:val="009645E1"/>
    <w:rsid w:val="00965353"/>
    <w:rsid w:val="00965520"/>
    <w:rsid w:val="009674CA"/>
    <w:rsid w:val="00970A1A"/>
    <w:rsid w:val="00972FE4"/>
    <w:rsid w:val="009740F7"/>
    <w:rsid w:val="00976355"/>
    <w:rsid w:val="00976E4A"/>
    <w:rsid w:val="00977EE9"/>
    <w:rsid w:val="009806C7"/>
    <w:rsid w:val="0098103E"/>
    <w:rsid w:val="009823F0"/>
    <w:rsid w:val="00983DC5"/>
    <w:rsid w:val="009847BD"/>
    <w:rsid w:val="00985537"/>
    <w:rsid w:val="009868DC"/>
    <w:rsid w:val="0098784E"/>
    <w:rsid w:val="00987962"/>
    <w:rsid w:val="00992535"/>
    <w:rsid w:val="00994B96"/>
    <w:rsid w:val="009955E1"/>
    <w:rsid w:val="009A0561"/>
    <w:rsid w:val="009A1A9B"/>
    <w:rsid w:val="009A20F5"/>
    <w:rsid w:val="009A3298"/>
    <w:rsid w:val="009A32B8"/>
    <w:rsid w:val="009A6208"/>
    <w:rsid w:val="009A7132"/>
    <w:rsid w:val="009B2B03"/>
    <w:rsid w:val="009B3BBD"/>
    <w:rsid w:val="009B440F"/>
    <w:rsid w:val="009B448F"/>
    <w:rsid w:val="009B5154"/>
    <w:rsid w:val="009B5685"/>
    <w:rsid w:val="009B5914"/>
    <w:rsid w:val="009B66DE"/>
    <w:rsid w:val="009B6E56"/>
    <w:rsid w:val="009C1011"/>
    <w:rsid w:val="009C14AE"/>
    <w:rsid w:val="009C1F0D"/>
    <w:rsid w:val="009C36E0"/>
    <w:rsid w:val="009C4244"/>
    <w:rsid w:val="009C5E69"/>
    <w:rsid w:val="009D0112"/>
    <w:rsid w:val="009D2AA9"/>
    <w:rsid w:val="009D320E"/>
    <w:rsid w:val="009D3344"/>
    <w:rsid w:val="009E3A70"/>
    <w:rsid w:val="009E4E61"/>
    <w:rsid w:val="009F1619"/>
    <w:rsid w:val="009F1C40"/>
    <w:rsid w:val="009F1E3D"/>
    <w:rsid w:val="009F2316"/>
    <w:rsid w:val="009F5510"/>
    <w:rsid w:val="009F5F9A"/>
    <w:rsid w:val="009F62A4"/>
    <w:rsid w:val="009F6768"/>
    <w:rsid w:val="009F6879"/>
    <w:rsid w:val="009F6A9E"/>
    <w:rsid w:val="009F7FDC"/>
    <w:rsid w:val="00A0554A"/>
    <w:rsid w:val="00A071CF"/>
    <w:rsid w:val="00A075D5"/>
    <w:rsid w:val="00A1161B"/>
    <w:rsid w:val="00A12003"/>
    <w:rsid w:val="00A12237"/>
    <w:rsid w:val="00A12632"/>
    <w:rsid w:val="00A15173"/>
    <w:rsid w:val="00A16522"/>
    <w:rsid w:val="00A1738B"/>
    <w:rsid w:val="00A20EA2"/>
    <w:rsid w:val="00A21723"/>
    <w:rsid w:val="00A21FB6"/>
    <w:rsid w:val="00A25B3B"/>
    <w:rsid w:val="00A25BF3"/>
    <w:rsid w:val="00A26E25"/>
    <w:rsid w:val="00A27BDA"/>
    <w:rsid w:val="00A326BB"/>
    <w:rsid w:val="00A339E7"/>
    <w:rsid w:val="00A3417D"/>
    <w:rsid w:val="00A3479B"/>
    <w:rsid w:val="00A35DBF"/>
    <w:rsid w:val="00A37365"/>
    <w:rsid w:val="00A37810"/>
    <w:rsid w:val="00A379E7"/>
    <w:rsid w:val="00A37B9A"/>
    <w:rsid w:val="00A428AC"/>
    <w:rsid w:val="00A42B56"/>
    <w:rsid w:val="00A43A7E"/>
    <w:rsid w:val="00A45C9F"/>
    <w:rsid w:val="00A477FF"/>
    <w:rsid w:val="00A5153C"/>
    <w:rsid w:val="00A5203C"/>
    <w:rsid w:val="00A52443"/>
    <w:rsid w:val="00A52FD3"/>
    <w:rsid w:val="00A54310"/>
    <w:rsid w:val="00A54693"/>
    <w:rsid w:val="00A5498D"/>
    <w:rsid w:val="00A56546"/>
    <w:rsid w:val="00A56EBA"/>
    <w:rsid w:val="00A5754B"/>
    <w:rsid w:val="00A57584"/>
    <w:rsid w:val="00A57F7F"/>
    <w:rsid w:val="00A604F8"/>
    <w:rsid w:val="00A6303F"/>
    <w:rsid w:val="00A63D06"/>
    <w:rsid w:val="00A6534F"/>
    <w:rsid w:val="00A653E9"/>
    <w:rsid w:val="00A65D8D"/>
    <w:rsid w:val="00A705E9"/>
    <w:rsid w:val="00A70FEC"/>
    <w:rsid w:val="00A73836"/>
    <w:rsid w:val="00A73DB8"/>
    <w:rsid w:val="00A75217"/>
    <w:rsid w:val="00A75A4D"/>
    <w:rsid w:val="00A76193"/>
    <w:rsid w:val="00A771F7"/>
    <w:rsid w:val="00A82088"/>
    <w:rsid w:val="00A824FE"/>
    <w:rsid w:val="00A838C7"/>
    <w:rsid w:val="00A84319"/>
    <w:rsid w:val="00A851C0"/>
    <w:rsid w:val="00A852E3"/>
    <w:rsid w:val="00A8565F"/>
    <w:rsid w:val="00A85E38"/>
    <w:rsid w:val="00A86683"/>
    <w:rsid w:val="00A8754E"/>
    <w:rsid w:val="00A877A5"/>
    <w:rsid w:val="00A92C56"/>
    <w:rsid w:val="00A964D9"/>
    <w:rsid w:val="00A97CD1"/>
    <w:rsid w:val="00AA02E1"/>
    <w:rsid w:val="00AA1E1A"/>
    <w:rsid w:val="00AA2CCF"/>
    <w:rsid w:val="00AA4402"/>
    <w:rsid w:val="00AA51C2"/>
    <w:rsid w:val="00AA54E0"/>
    <w:rsid w:val="00AA6EB3"/>
    <w:rsid w:val="00AA7E2A"/>
    <w:rsid w:val="00AB0145"/>
    <w:rsid w:val="00AB0612"/>
    <w:rsid w:val="00AB230E"/>
    <w:rsid w:val="00AB341C"/>
    <w:rsid w:val="00AB37FC"/>
    <w:rsid w:val="00AB3FB7"/>
    <w:rsid w:val="00AC072D"/>
    <w:rsid w:val="00AC0A29"/>
    <w:rsid w:val="00AC1EBC"/>
    <w:rsid w:val="00AC3817"/>
    <w:rsid w:val="00AC3C00"/>
    <w:rsid w:val="00AC58A3"/>
    <w:rsid w:val="00AC630A"/>
    <w:rsid w:val="00AD06B7"/>
    <w:rsid w:val="00AD2A13"/>
    <w:rsid w:val="00AD2F1D"/>
    <w:rsid w:val="00AD32D6"/>
    <w:rsid w:val="00AD517C"/>
    <w:rsid w:val="00AD5627"/>
    <w:rsid w:val="00AD5FEA"/>
    <w:rsid w:val="00AD7E0E"/>
    <w:rsid w:val="00AE0F00"/>
    <w:rsid w:val="00AE1D8D"/>
    <w:rsid w:val="00AE40C1"/>
    <w:rsid w:val="00AE4E0C"/>
    <w:rsid w:val="00AE6843"/>
    <w:rsid w:val="00AE6D69"/>
    <w:rsid w:val="00AE74D7"/>
    <w:rsid w:val="00AE77D1"/>
    <w:rsid w:val="00AF0210"/>
    <w:rsid w:val="00AF1EA6"/>
    <w:rsid w:val="00AF2383"/>
    <w:rsid w:val="00AF3931"/>
    <w:rsid w:val="00AF4E55"/>
    <w:rsid w:val="00AF51DB"/>
    <w:rsid w:val="00AF730B"/>
    <w:rsid w:val="00B001F8"/>
    <w:rsid w:val="00B0029D"/>
    <w:rsid w:val="00B009F1"/>
    <w:rsid w:val="00B00B03"/>
    <w:rsid w:val="00B02364"/>
    <w:rsid w:val="00B029F2"/>
    <w:rsid w:val="00B02DAB"/>
    <w:rsid w:val="00B039AC"/>
    <w:rsid w:val="00B039EC"/>
    <w:rsid w:val="00B03CBF"/>
    <w:rsid w:val="00B03FB1"/>
    <w:rsid w:val="00B05D61"/>
    <w:rsid w:val="00B07286"/>
    <w:rsid w:val="00B07D2C"/>
    <w:rsid w:val="00B11376"/>
    <w:rsid w:val="00B11EC8"/>
    <w:rsid w:val="00B1241A"/>
    <w:rsid w:val="00B13207"/>
    <w:rsid w:val="00B13ABB"/>
    <w:rsid w:val="00B14441"/>
    <w:rsid w:val="00B15A8F"/>
    <w:rsid w:val="00B164E7"/>
    <w:rsid w:val="00B17BE3"/>
    <w:rsid w:val="00B20E6C"/>
    <w:rsid w:val="00B21616"/>
    <w:rsid w:val="00B23C3D"/>
    <w:rsid w:val="00B241AB"/>
    <w:rsid w:val="00B26AD0"/>
    <w:rsid w:val="00B273FF"/>
    <w:rsid w:val="00B27471"/>
    <w:rsid w:val="00B27F80"/>
    <w:rsid w:val="00B308AF"/>
    <w:rsid w:val="00B32380"/>
    <w:rsid w:val="00B329FB"/>
    <w:rsid w:val="00B33C07"/>
    <w:rsid w:val="00B34383"/>
    <w:rsid w:val="00B3765C"/>
    <w:rsid w:val="00B405C6"/>
    <w:rsid w:val="00B40D8E"/>
    <w:rsid w:val="00B4222D"/>
    <w:rsid w:val="00B426BC"/>
    <w:rsid w:val="00B44D57"/>
    <w:rsid w:val="00B45947"/>
    <w:rsid w:val="00B46718"/>
    <w:rsid w:val="00B47314"/>
    <w:rsid w:val="00B4732D"/>
    <w:rsid w:val="00B51203"/>
    <w:rsid w:val="00B51D81"/>
    <w:rsid w:val="00B53336"/>
    <w:rsid w:val="00B54D3C"/>
    <w:rsid w:val="00B55CDD"/>
    <w:rsid w:val="00B55E65"/>
    <w:rsid w:val="00B56A98"/>
    <w:rsid w:val="00B57605"/>
    <w:rsid w:val="00B5793F"/>
    <w:rsid w:val="00B615AD"/>
    <w:rsid w:val="00B61D9E"/>
    <w:rsid w:val="00B620F8"/>
    <w:rsid w:val="00B62953"/>
    <w:rsid w:val="00B62D09"/>
    <w:rsid w:val="00B63DD1"/>
    <w:rsid w:val="00B63F3C"/>
    <w:rsid w:val="00B6737A"/>
    <w:rsid w:val="00B67962"/>
    <w:rsid w:val="00B67F70"/>
    <w:rsid w:val="00B702ED"/>
    <w:rsid w:val="00B7396A"/>
    <w:rsid w:val="00B7451D"/>
    <w:rsid w:val="00B74D49"/>
    <w:rsid w:val="00B757DF"/>
    <w:rsid w:val="00B757EF"/>
    <w:rsid w:val="00B75C9C"/>
    <w:rsid w:val="00B768EB"/>
    <w:rsid w:val="00B7694B"/>
    <w:rsid w:val="00B816C2"/>
    <w:rsid w:val="00B8322A"/>
    <w:rsid w:val="00B840EE"/>
    <w:rsid w:val="00B90D8B"/>
    <w:rsid w:val="00B93BC4"/>
    <w:rsid w:val="00B943BD"/>
    <w:rsid w:val="00B9445A"/>
    <w:rsid w:val="00B94D06"/>
    <w:rsid w:val="00B95185"/>
    <w:rsid w:val="00B9575A"/>
    <w:rsid w:val="00B959C2"/>
    <w:rsid w:val="00B96D7D"/>
    <w:rsid w:val="00B97F05"/>
    <w:rsid w:val="00BA0754"/>
    <w:rsid w:val="00BA1171"/>
    <w:rsid w:val="00BA219A"/>
    <w:rsid w:val="00BA3940"/>
    <w:rsid w:val="00BA44A5"/>
    <w:rsid w:val="00BA6041"/>
    <w:rsid w:val="00BA61A4"/>
    <w:rsid w:val="00BA61FC"/>
    <w:rsid w:val="00BB1352"/>
    <w:rsid w:val="00BB1BFD"/>
    <w:rsid w:val="00BB1D24"/>
    <w:rsid w:val="00BB2BB7"/>
    <w:rsid w:val="00BB69DF"/>
    <w:rsid w:val="00BB7668"/>
    <w:rsid w:val="00BB79D2"/>
    <w:rsid w:val="00BC0A31"/>
    <w:rsid w:val="00BC21F6"/>
    <w:rsid w:val="00BC4379"/>
    <w:rsid w:val="00BC50A5"/>
    <w:rsid w:val="00BC6088"/>
    <w:rsid w:val="00BD084A"/>
    <w:rsid w:val="00BD0E87"/>
    <w:rsid w:val="00BD1012"/>
    <w:rsid w:val="00BD2EDA"/>
    <w:rsid w:val="00BD534C"/>
    <w:rsid w:val="00BE0988"/>
    <w:rsid w:val="00BE1C30"/>
    <w:rsid w:val="00BE1DE3"/>
    <w:rsid w:val="00BE303D"/>
    <w:rsid w:val="00BE4026"/>
    <w:rsid w:val="00BE4487"/>
    <w:rsid w:val="00BE4CBB"/>
    <w:rsid w:val="00BE5397"/>
    <w:rsid w:val="00BE7188"/>
    <w:rsid w:val="00BE74B8"/>
    <w:rsid w:val="00BE7D1C"/>
    <w:rsid w:val="00BF0ABD"/>
    <w:rsid w:val="00BF14B2"/>
    <w:rsid w:val="00BF1C7A"/>
    <w:rsid w:val="00BF1CC3"/>
    <w:rsid w:val="00BF1D16"/>
    <w:rsid w:val="00BF2B83"/>
    <w:rsid w:val="00BF318D"/>
    <w:rsid w:val="00BF3873"/>
    <w:rsid w:val="00BF4861"/>
    <w:rsid w:val="00BF5F82"/>
    <w:rsid w:val="00BF718D"/>
    <w:rsid w:val="00C02257"/>
    <w:rsid w:val="00C032FD"/>
    <w:rsid w:val="00C036A6"/>
    <w:rsid w:val="00C05403"/>
    <w:rsid w:val="00C05F9A"/>
    <w:rsid w:val="00C147B1"/>
    <w:rsid w:val="00C14ABC"/>
    <w:rsid w:val="00C152DA"/>
    <w:rsid w:val="00C164D3"/>
    <w:rsid w:val="00C216B1"/>
    <w:rsid w:val="00C219A3"/>
    <w:rsid w:val="00C21F9B"/>
    <w:rsid w:val="00C24C60"/>
    <w:rsid w:val="00C250C8"/>
    <w:rsid w:val="00C30817"/>
    <w:rsid w:val="00C309EA"/>
    <w:rsid w:val="00C33495"/>
    <w:rsid w:val="00C335A9"/>
    <w:rsid w:val="00C33A2A"/>
    <w:rsid w:val="00C3431B"/>
    <w:rsid w:val="00C36006"/>
    <w:rsid w:val="00C40DEB"/>
    <w:rsid w:val="00C40E98"/>
    <w:rsid w:val="00C41328"/>
    <w:rsid w:val="00C42B0E"/>
    <w:rsid w:val="00C44194"/>
    <w:rsid w:val="00C45082"/>
    <w:rsid w:val="00C458BA"/>
    <w:rsid w:val="00C46EAA"/>
    <w:rsid w:val="00C500AB"/>
    <w:rsid w:val="00C51B33"/>
    <w:rsid w:val="00C51D4F"/>
    <w:rsid w:val="00C52B83"/>
    <w:rsid w:val="00C532F6"/>
    <w:rsid w:val="00C53C21"/>
    <w:rsid w:val="00C556AB"/>
    <w:rsid w:val="00C56AF6"/>
    <w:rsid w:val="00C56BBB"/>
    <w:rsid w:val="00C57384"/>
    <w:rsid w:val="00C60AB0"/>
    <w:rsid w:val="00C61293"/>
    <w:rsid w:val="00C63365"/>
    <w:rsid w:val="00C64CB7"/>
    <w:rsid w:val="00C65A53"/>
    <w:rsid w:val="00C66176"/>
    <w:rsid w:val="00C666B0"/>
    <w:rsid w:val="00C67D56"/>
    <w:rsid w:val="00C7031B"/>
    <w:rsid w:val="00C7073F"/>
    <w:rsid w:val="00C70C9D"/>
    <w:rsid w:val="00C726CC"/>
    <w:rsid w:val="00C73781"/>
    <w:rsid w:val="00C75AA1"/>
    <w:rsid w:val="00C76B13"/>
    <w:rsid w:val="00C7765C"/>
    <w:rsid w:val="00C802D5"/>
    <w:rsid w:val="00C8269D"/>
    <w:rsid w:val="00C8274D"/>
    <w:rsid w:val="00C828FF"/>
    <w:rsid w:val="00C83412"/>
    <w:rsid w:val="00C83940"/>
    <w:rsid w:val="00C842CD"/>
    <w:rsid w:val="00C84C19"/>
    <w:rsid w:val="00C84F97"/>
    <w:rsid w:val="00C85E45"/>
    <w:rsid w:val="00C90D2B"/>
    <w:rsid w:val="00C911BF"/>
    <w:rsid w:val="00C918DB"/>
    <w:rsid w:val="00C921DB"/>
    <w:rsid w:val="00C922E1"/>
    <w:rsid w:val="00C92ECF"/>
    <w:rsid w:val="00C9575C"/>
    <w:rsid w:val="00C95979"/>
    <w:rsid w:val="00C95CD0"/>
    <w:rsid w:val="00C9675E"/>
    <w:rsid w:val="00C9793C"/>
    <w:rsid w:val="00CA49F6"/>
    <w:rsid w:val="00CB05BF"/>
    <w:rsid w:val="00CB1F1E"/>
    <w:rsid w:val="00CB2C6D"/>
    <w:rsid w:val="00CB5285"/>
    <w:rsid w:val="00CB5565"/>
    <w:rsid w:val="00CB6244"/>
    <w:rsid w:val="00CB6E9E"/>
    <w:rsid w:val="00CC2310"/>
    <w:rsid w:val="00CC38B3"/>
    <w:rsid w:val="00CC3947"/>
    <w:rsid w:val="00CC3991"/>
    <w:rsid w:val="00CC3B92"/>
    <w:rsid w:val="00CC6A09"/>
    <w:rsid w:val="00CC74E1"/>
    <w:rsid w:val="00CD09B7"/>
    <w:rsid w:val="00CD1E21"/>
    <w:rsid w:val="00CD2DCD"/>
    <w:rsid w:val="00CD5D97"/>
    <w:rsid w:val="00CD6531"/>
    <w:rsid w:val="00CD680D"/>
    <w:rsid w:val="00CD68B6"/>
    <w:rsid w:val="00CD7412"/>
    <w:rsid w:val="00CE1F4A"/>
    <w:rsid w:val="00CE2AFC"/>
    <w:rsid w:val="00CE3B1A"/>
    <w:rsid w:val="00CE44DE"/>
    <w:rsid w:val="00CE4B8A"/>
    <w:rsid w:val="00CE560B"/>
    <w:rsid w:val="00CE72B1"/>
    <w:rsid w:val="00CF0D34"/>
    <w:rsid w:val="00CF11BE"/>
    <w:rsid w:val="00CF313D"/>
    <w:rsid w:val="00CF514D"/>
    <w:rsid w:val="00CF572B"/>
    <w:rsid w:val="00CF65D8"/>
    <w:rsid w:val="00D005A1"/>
    <w:rsid w:val="00D013AF"/>
    <w:rsid w:val="00D031A1"/>
    <w:rsid w:val="00D0410D"/>
    <w:rsid w:val="00D05F54"/>
    <w:rsid w:val="00D0641E"/>
    <w:rsid w:val="00D06789"/>
    <w:rsid w:val="00D1073B"/>
    <w:rsid w:val="00D13420"/>
    <w:rsid w:val="00D149ED"/>
    <w:rsid w:val="00D14B40"/>
    <w:rsid w:val="00D172CA"/>
    <w:rsid w:val="00D20015"/>
    <w:rsid w:val="00D20F3A"/>
    <w:rsid w:val="00D21814"/>
    <w:rsid w:val="00D223D7"/>
    <w:rsid w:val="00D24824"/>
    <w:rsid w:val="00D25121"/>
    <w:rsid w:val="00D30256"/>
    <w:rsid w:val="00D32787"/>
    <w:rsid w:val="00D33B09"/>
    <w:rsid w:val="00D33E63"/>
    <w:rsid w:val="00D3433A"/>
    <w:rsid w:val="00D34F31"/>
    <w:rsid w:val="00D375EA"/>
    <w:rsid w:val="00D37623"/>
    <w:rsid w:val="00D37835"/>
    <w:rsid w:val="00D37A28"/>
    <w:rsid w:val="00D40F15"/>
    <w:rsid w:val="00D429E1"/>
    <w:rsid w:val="00D42DA0"/>
    <w:rsid w:val="00D43BB2"/>
    <w:rsid w:val="00D43E94"/>
    <w:rsid w:val="00D46670"/>
    <w:rsid w:val="00D51303"/>
    <w:rsid w:val="00D515F4"/>
    <w:rsid w:val="00D522D5"/>
    <w:rsid w:val="00D56B0E"/>
    <w:rsid w:val="00D579C2"/>
    <w:rsid w:val="00D611E5"/>
    <w:rsid w:val="00D612E4"/>
    <w:rsid w:val="00D62F54"/>
    <w:rsid w:val="00D645F7"/>
    <w:rsid w:val="00D655C9"/>
    <w:rsid w:val="00D65777"/>
    <w:rsid w:val="00D65EFD"/>
    <w:rsid w:val="00D67E0D"/>
    <w:rsid w:val="00D67E96"/>
    <w:rsid w:val="00D70EF6"/>
    <w:rsid w:val="00D718D4"/>
    <w:rsid w:val="00D72850"/>
    <w:rsid w:val="00D728BC"/>
    <w:rsid w:val="00D73171"/>
    <w:rsid w:val="00D73E15"/>
    <w:rsid w:val="00D74D08"/>
    <w:rsid w:val="00D7666B"/>
    <w:rsid w:val="00D77C8F"/>
    <w:rsid w:val="00D80806"/>
    <w:rsid w:val="00D80FA8"/>
    <w:rsid w:val="00D81961"/>
    <w:rsid w:val="00D820C3"/>
    <w:rsid w:val="00D82498"/>
    <w:rsid w:val="00D82872"/>
    <w:rsid w:val="00D83364"/>
    <w:rsid w:val="00D833C6"/>
    <w:rsid w:val="00D83B82"/>
    <w:rsid w:val="00D84A4E"/>
    <w:rsid w:val="00D85134"/>
    <w:rsid w:val="00D85D06"/>
    <w:rsid w:val="00D86306"/>
    <w:rsid w:val="00D925AB"/>
    <w:rsid w:val="00D93068"/>
    <w:rsid w:val="00D94F85"/>
    <w:rsid w:val="00D95A93"/>
    <w:rsid w:val="00D96484"/>
    <w:rsid w:val="00D96C15"/>
    <w:rsid w:val="00D977B6"/>
    <w:rsid w:val="00D977C5"/>
    <w:rsid w:val="00DA1323"/>
    <w:rsid w:val="00DA1677"/>
    <w:rsid w:val="00DA18E9"/>
    <w:rsid w:val="00DA26CF"/>
    <w:rsid w:val="00DA6028"/>
    <w:rsid w:val="00DA779D"/>
    <w:rsid w:val="00DA790E"/>
    <w:rsid w:val="00DB0514"/>
    <w:rsid w:val="00DB0C4B"/>
    <w:rsid w:val="00DB1F34"/>
    <w:rsid w:val="00DB2804"/>
    <w:rsid w:val="00DB2EDD"/>
    <w:rsid w:val="00DB4001"/>
    <w:rsid w:val="00DB44BA"/>
    <w:rsid w:val="00DC0AB3"/>
    <w:rsid w:val="00DC2A0B"/>
    <w:rsid w:val="00DC2AEE"/>
    <w:rsid w:val="00DC4F1B"/>
    <w:rsid w:val="00DC52CA"/>
    <w:rsid w:val="00DC5380"/>
    <w:rsid w:val="00DC6D94"/>
    <w:rsid w:val="00DC6F25"/>
    <w:rsid w:val="00DD01B6"/>
    <w:rsid w:val="00DD049F"/>
    <w:rsid w:val="00DD0C4A"/>
    <w:rsid w:val="00DD1DB3"/>
    <w:rsid w:val="00DD39E5"/>
    <w:rsid w:val="00DD4350"/>
    <w:rsid w:val="00DD5348"/>
    <w:rsid w:val="00DD543E"/>
    <w:rsid w:val="00DE25E4"/>
    <w:rsid w:val="00DE301F"/>
    <w:rsid w:val="00DE56D2"/>
    <w:rsid w:val="00DE5786"/>
    <w:rsid w:val="00DE6C5D"/>
    <w:rsid w:val="00DE7AB9"/>
    <w:rsid w:val="00DF1099"/>
    <w:rsid w:val="00DF16D4"/>
    <w:rsid w:val="00DF19E7"/>
    <w:rsid w:val="00DF1F66"/>
    <w:rsid w:val="00DF2B0D"/>
    <w:rsid w:val="00DF2C83"/>
    <w:rsid w:val="00DF3B88"/>
    <w:rsid w:val="00DF441A"/>
    <w:rsid w:val="00DF4E9F"/>
    <w:rsid w:val="00DF525F"/>
    <w:rsid w:val="00DF62AA"/>
    <w:rsid w:val="00DF6D62"/>
    <w:rsid w:val="00DF6FC9"/>
    <w:rsid w:val="00DF7584"/>
    <w:rsid w:val="00DF7A03"/>
    <w:rsid w:val="00E0065E"/>
    <w:rsid w:val="00E01B85"/>
    <w:rsid w:val="00E033AB"/>
    <w:rsid w:val="00E056A6"/>
    <w:rsid w:val="00E05B9F"/>
    <w:rsid w:val="00E05F65"/>
    <w:rsid w:val="00E06ABD"/>
    <w:rsid w:val="00E078EF"/>
    <w:rsid w:val="00E117D5"/>
    <w:rsid w:val="00E14AB8"/>
    <w:rsid w:val="00E1512B"/>
    <w:rsid w:val="00E15ECF"/>
    <w:rsid w:val="00E17811"/>
    <w:rsid w:val="00E2003F"/>
    <w:rsid w:val="00E20C0C"/>
    <w:rsid w:val="00E22C54"/>
    <w:rsid w:val="00E23909"/>
    <w:rsid w:val="00E2404D"/>
    <w:rsid w:val="00E25D8F"/>
    <w:rsid w:val="00E2652C"/>
    <w:rsid w:val="00E27205"/>
    <w:rsid w:val="00E275AE"/>
    <w:rsid w:val="00E30B61"/>
    <w:rsid w:val="00E31BFD"/>
    <w:rsid w:val="00E32F92"/>
    <w:rsid w:val="00E343EC"/>
    <w:rsid w:val="00E34AA1"/>
    <w:rsid w:val="00E36832"/>
    <w:rsid w:val="00E36E65"/>
    <w:rsid w:val="00E40AD6"/>
    <w:rsid w:val="00E40F20"/>
    <w:rsid w:val="00E43A41"/>
    <w:rsid w:val="00E43DB9"/>
    <w:rsid w:val="00E462BB"/>
    <w:rsid w:val="00E46A16"/>
    <w:rsid w:val="00E5018A"/>
    <w:rsid w:val="00E502EC"/>
    <w:rsid w:val="00E502F8"/>
    <w:rsid w:val="00E5118A"/>
    <w:rsid w:val="00E52206"/>
    <w:rsid w:val="00E534D4"/>
    <w:rsid w:val="00E54026"/>
    <w:rsid w:val="00E54D7E"/>
    <w:rsid w:val="00E56CB6"/>
    <w:rsid w:val="00E602B6"/>
    <w:rsid w:val="00E628D2"/>
    <w:rsid w:val="00E62C11"/>
    <w:rsid w:val="00E6325A"/>
    <w:rsid w:val="00E635D1"/>
    <w:rsid w:val="00E63A79"/>
    <w:rsid w:val="00E65AC4"/>
    <w:rsid w:val="00E70391"/>
    <w:rsid w:val="00E704D5"/>
    <w:rsid w:val="00E7209D"/>
    <w:rsid w:val="00E721D7"/>
    <w:rsid w:val="00E736CD"/>
    <w:rsid w:val="00E74B9D"/>
    <w:rsid w:val="00E76C42"/>
    <w:rsid w:val="00E77393"/>
    <w:rsid w:val="00E800DC"/>
    <w:rsid w:val="00E80985"/>
    <w:rsid w:val="00E81983"/>
    <w:rsid w:val="00E836D0"/>
    <w:rsid w:val="00E851A0"/>
    <w:rsid w:val="00E86664"/>
    <w:rsid w:val="00E86FF3"/>
    <w:rsid w:val="00E87049"/>
    <w:rsid w:val="00E903C2"/>
    <w:rsid w:val="00E904EF"/>
    <w:rsid w:val="00E90524"/>
    <w:rsid w:val="00E916C3"/>
    <w:rsid w:val="00E92A2A"/>
    <w:rsid w:val="00E93344"/>
    <w:rsid w:val="00E94828"/>
    <w:rsid w:val="00E94D8A"/>
    <w:rsid w:val="00E97ABE"/>
    <w:rsid w:val="00EA04D3"/>
    <w:rsid w:val="00EA103F"/>
    <w:rsid w:val="00EA10BC"/>
    <w:rsid w:val="00EA1CCF"/>
    <w:rsid w:val="00EA234A"/>
    <w:rsid w:val="00EA391D"/>
    <w:rsid w:val="00EA3BEE"/>
    <w:rsid w:val="00EA41BC"/>
    <w:rsid w:val="00EA49B2"/>
    <w:rsid w:val="00EA6702"/>
    <w:rsid w:val="00EA794E"/>
    <w:rsid w:val="00EA7B6F"/>
    <w:rsid w:val="00EA7F26"/>
    <w:rsid w:val="00EA7F32"/>
    <w:rsid w:val="00EB1FDE"/>
    <w:rsid w:val="00EB284E"/>
    <w:rsid w:val="00EB4AD8"/>
    <w:rsid w:val="00EB5ECB"/>
    <w:rsid w:val="00EB7729"/>
    <w:rsid w:val="00EC042C"/>
    <w:rsid w:val="00EC5792"/>
    <w:rsid w:val="00EC58BB"/>
    <w:rsid w:val="00EC5FDE"/>
    <w:rsid w:val="00EC6971"/>
    <w:rsid w:val="00EC6AB1"/>
    <w:rsid w:val="00EC744C"/>
    <w:rsid w:val="00EC7966"/>
    <w:rsid w:val="00EC7EAE"/>
    <w:rsid w:val="00ED17BA"/>
    <w:rsid w:val="00ED2E5B"/>
    <w:rsid w:val="00ED2F2C"/>
    <w:rsid w:val="00ED54A6"/>
    <w:rsid w:val="00ED6B10"/>
    <w:rsid w:val="00ED7CB8"/>
    <w:rsid w:val="00EE1155"/>
    <w:rsid w:val="00EE18FC"/>
    <w:rsid w:val="00EE363B"/>
    <w:rsid w:val="00EE3DC8"/>
    <w:rsid w:val="00EE587F"/>
    <w:rsid w:val="00EE6520"/>
    <w:rsid w:val="00EE74BA"/>
    <w:rsid w:val="00EF098C"/>
    <w:rsid w:val="00EF1CC7"/>
    <w:rsid w:val="00EF2645"/>
    <w:rsid w:val="00EF358C"/>
    <w:rsid w:val="00EF3847"/>
    <w:rsid w:val="00EF43ED"/>
    <w:rsid w:val="00EF649E"/>
    <w:rsid w:val="00F003B8"/>
    <w:rsid w:val="00F00974"/>
    <w:rsid w:val="00F00A76"/>
    <w:rsid w:val="00F066A3"/>
    <w:rsid w:val="00F069E4"/>
    <w:rsid w:val="00F07837"/>
    <w:rsid w:val="00F07C9C"/>
    <w:rsid w:val="00F10762"/>
    <w:rsid w:val="00F11D1B"/>
    <w:rsid w:val="00F12414"/>
    <w:rsid w:val="00F124FC"/>
    <w:rsid w:val="00F1440B"/>
    <w:rsid w:val="00F1478C"/>
    <w:rsid w:val="00F1570E"/>
    <w:rsid w:val="00F15E1C"/>
    <w:rsid w:val="00F16561"/>
    <w:rsid w:val="00F16F1A"/>
    <w:rsid w:val="00F1754B"/>
    <w:rsid w:val="00F17910"/>
    <w:rsid w:val="00F20551"/>
    <w:rsid w:val="00F20F68"/>
    <w:rsid w:val="00F2109C"/>
    <w:rsid w:val="00F21CEC"/>
    <w:rsid w:val="00F237CE"/>
    <w:rsid w:val="00F23FBA"/>
    <w:rsid w:val="00F24F7E"/>
    <w:rsid w:val="00F250A6"/>
    <w:rsid w:val="00F251A8"/>
    <w:rsid w:val="00F258EF"/>
    <w:rsid w:val="00F2712D"/>
    <w:rsid w:val="00F2767E"/>
    <w:rsid w:val="00F277AF"/>
    <w:rsid w:val="00F3200A"/>
    <w:rsid w:val="00F35F0C"/>
    <w:rsid w:val="00F36502"/>
    <w:rsid w:val="00F366FF"/>
    <w:rsid w:val="00F37185"/>
    <w:rsid w:val="00F375C9"/>
    <w:rsid w:val="00F37DD6"/>
    <w:rsid w:val="00F40D15"/>
    <w:rsid w:val="00F42AFA"/>
    <w:rsid w:val="00F432C4"/>
    <w:rsid w:val="00F43D50"/>
    <w:rsid w:val="00F4435F"/>
    <w:rsid w:val="00F44922"/>
    <w:rsid w:val="00F456EC"/>
    <w:rsid w:val="00F45919"/>
    <w:rsid w:val="00F479E7"/>
    <w:rsid w:val="00F47B63"/>
    <w:rsid w:val="00F51F20"/>
    <w:rsid w:val="00F53018"/>
    <w:rsid w:val="00F54310"/>
    <w:rsid w:val="00F56F87"/>
    <w:rsid w:val="00F57548"/>
    <w:rsid w:val="00F57FFE"/>
    <w:rsid w:val="00F604B4"/>
    <w:rsid w:val="00F61BC3"/>
    <w:rsid w:val="00F63913"/>
    <w:rsid w:val="00F646F9"/>
    <w:rsid w:val="00F64E77"/>
    <w:rsid w:val="00F64EC3"/>
    <w:rsid w:val="00F6610E"/>
    <w:rsid w:val="00F67A53"/>
    <w:rsid w:val="00F72E26"/>
    <w:rsid w:val="00F72E6B"/>
    <w:rsid w:val="00F74A49"/>
    <w:rsid w:val="00F80775"/>
    <w:rsid w:val="00F82166"/>
    <w:rsid w:val="00F82993"/>
    <w:rsid w:val="00F8332A"/>
    <w:rsid w:val="00F84B96"/>
    <w:rsid w:val="00F84BE2"/>
    <w:rsid w:val="00F86702"/>
    <w:rsid w:val="00F86B41"/>
    <w:rsid w:val="00F875F9"/>
    <w:rsid w:val="00F91938"/>
    <w:rsid w:val="00F91A02"/>
    <w:rsid w:val="00F9251F"/>
    <w:rsid w:val="00F94AE2"/>
    <w:rsid w:val="00F97850"/>
    <w:rsid w:val="00FA1079"/>
    <w:rsid w:val="00FA290F"/>
    <w:rsid w:val="00FA4E57"/>
    <w:rsid w:val="00FA50A7"/>
    <w:rsid w:val="00FA5DC5"/>
    <w:rsid w:val="00FA7E6F"/>
    <w:rsid w:val="00FB1757"/>
    <w:rsid w:val="00FB321F"/>
    <w:rsid w:val="00FB32AC"/>
    <w:rsid w:val="00FB4424"/>
    <w:rsid w:val="00FB4862"/>
    <w:rsid w:val="00FB4CB4"/>
    <w:rsid w:val="00FB7938"/>
    <w:rsid w:val="00FC2FDA"/>
    <w:rsid w:val="00FC42B8"/>
    <w:rsid w:val="00FC53A5"/>
    <w:rsid w:val="00FC6FA7"/>
    <w:rsid w:val="00FC743D"/>
    <w:rsid w:val="00FD06BC"/>
    <w:rsid w:val="00FD0A14"/>
    <w:rsid w:val="00FD2211"/>
    <w:rsid w:val="00FD341C"/>
    <w:rsid w:val="00FD5B3D"/>
    <w:rsid w:val="00FD5BD8"/>
    <w:rsid w:val="00FD65A0"/>
    <w:rsid w:val="00FE2DD6"/>
    <w:rsid w:val="00FE3818"/>
    <w:rsid w:val="00FE4171"/>
    <w:rsid w:val="00FE5944"/>
    <w:rsid w:val="00FE5BAC"/>
    <w:rsid w:val="00FE5E78"/>
    <w:rsid w:val="00FE6028"/>
    <w:rsid w:val="00FE6F10"/>
    <w:rsid w:val="00FF0345"/>
    <w:rsid w:val="00FF299A"/>
    <w:rsid w:val="00FF2BE5"/>
    <w:rsid w:val="00FF32BE"/>
    <w:rsid w:val="00FF49E1"/>
    <w:rsid w:val="00FF5185"/>
    <w:rsid w:val="00FF55D3"/>
    <w:rsid w:val="00FF5BE0"/>
    <w:rsid w:val="00FF5F78"/>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A530"/>
  <w15:docId w15:val="{5BD6E422-50C9-4C86-8D1F-A8F83C31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FC"/>
    <w:pPr>
      <w:spacing w:after="240" w:line="320" w:lineRule="atLeast"/>
      <w:jc w:val="both"/>
    </w:pPr>
    <w:rPr>
      <w:rFonts w:ascii="Times New Roman" w:hAnsi="Times New Roman"/>
    </w:rPr>
  </w:style>
  <w:style w:type="paragraph" w:styleId="Ttulo1">
    <w:name w:val="heading 1"/>
    <w:aliases w:val="h1"/>
    <w:next w:val="Normal"/>
    <w:link w:val="Ttulo1Car"/>
    <w:uiPriority w:val="9"/>
    <w:qFormat/>
    <w:rsid w:val="001B1EFC"/>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aliases w:val="h2"/>
    <w:basedOn w:val="Normal"/>
    <w:next w:val="Normal"/>
    <w:link w:val="Ttulo2Car"/>
    <w:uiPriority w:val="9"/>
    <w:unhideWhenUsed/>
    <w:qFormat/>
    <w:rsid w:val="001B1EFC"/>
    <w:pPr>
      <w:keepNext/>
      <w:keepLines/>
      <w:numPr>
        <w:ilvl w:val="1"/>
        <w:numId w:val="7"/>
      </w:numPr>
      <w:spacing w:before="360"/>
      <w:outlineLvl w:val="1"/>
    </w:pPr>
    <w:rPr>
      <w:rFonts w:eastAsiaTheme="majorEastAsia" w:cstheme="majorBidi"/>
      <w:b/>
      <w:bCs/>
      <w:sz w:val="24"/>
      <w:szCs w:val="26"/>
    </w:rPr>
  </w:style>
  <w:style w:type="paragraph" w:styleId="Ttulo3">
    <w:name w:val="heading 3"/>
    <w:aliases w:val="h3"/>
    <w:basedOn w:val="Normal"/>
    <w:next w:val="Normal"/>
    <w:link w:val="Ttulo3Car"/>
    <w:uiPriority w:val="9"/>
    <w:unhideWhenUsed/>
    <w:qFormat/>
    <w:rsid w:val="001B1EFC"/>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B1EFC"/>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1B1EFC"/>
    <w:pPr>
      <w:keepLines/>
      <w:numPr>
        <w:numId w:val="2"/>
      </w:numPr>
    </w:pPr>
  </w:style>
  <w:style w:type="paragraph" w:styleId="Encabezado">
    <w:name w:val="header"/>
    <w:link w:val="EncabezadoCar"/>
    <w:uiPriority w:val="99"/>
    <w:unhideWhenUsed/>
    <w:rsid w:val="001B1EFC"/>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1B1EFC"/>
    <w:rPr>
      <w:rFonts w:ascii="Arial" w:hAnsi="Arial"/>
      <w:sz w:val="16"/>
    </w:rPr>
  </w:style>
  <w:style w:type="paragraph" w:customStyle="1" w:styleId="Border">
    <w:name w:val="Border"/>
    <w:next w:val="Normal"/>
    <w:qFormat/>
    <w:rsid w:val="001B1EFC"/>
    <w:pPr>
      <w:spacing w:after="360" w:line="320" w:lineRule="atLeast"/>
      <w:jc w:val="center"/>
    </w:pPr>
    <w:rPr>
      <w:rFonts w:ascii="Times New Roman" w:hAnsi="Times New Roman"/>
    </w:rPr>
  </w:style>
  <w:style w:type="paragraph" w:styleId="Descripcin">
    <w:name w:val="caption"/>
    <w:aliases w:val="Resp caption"/>
    <w:next w:val="Border"/>
    <w:uiPriority w:val="35"/>
    <w:qFormat/>
    <w:rsid w:val="001B1EFC"/>
    <w:pPr>
      <w:keepNext/>
      <w:pBdr>
        <w:bottom w:val="single" w:sz="6" w:space="3" w:color="A6A6A6" w:themeColor="background1" w:themeShade="A6"/>
      </w:pBdr>
      <w:tabs>
        <w:tab w:val="left" w:pos="2041"/>
      </w:tabs>
      <w:spacing w:after="160" w:line="320" w:lineRule="atLeast"/>
    </w:pPr>
    <w:rPr>
      <w:rFonts w:ascii="Arial" w:hAnsi="Arial" w:cs="Arial"/>
      <w:bCs/>
      <w:i/>
      <w:sz w:val="18"/>
      <w:szCs w:val="18"/>
    </w:rPr>
  </w:style>
  <w:style w:type="paragraph" w:customStyle="1" w:styleId="Captionsmall">
    <w:name w:val="Caption: small"/>
    <w:basedOn w:val="Descripcin"/>
    <w:next w:val="Normal"/>
    <w:qFormat/>
    <w:rsid w:val="001B1EFC"/>
    <w:pPr>
      <w:pBdr>
        <w:bottom w:val="none" w:sz="0" w:space="0" w:color="auto"/>
      </w:pBdr>
      <w:spacing w:after="0"/>
      <w:ind w:left="113" w:right="113"/>
    </w:pPr>
  </w:style>
  <w:style w:type="paragraph" w:customStyle="1" w:styleId="Bordersmall">
    <w:name w:val="Border: small"/>
    <w:basedOn w:val="Border"/>
    <w:qFormat/>
    <w:rsid w:val="001B1EFC"/>
    <w:pPr>
      <w:spacing w:after="0"/>
    </w:pPr>
  </w:style>
  <w:style w:type="paragraph" w:customStyle="1" w:styleId="Emphasised">
    <w:name w:val="Emphasised"/>
    <w:basedOn w:val="Normal"/>
    <w:qFormat/>
    <w:rsid w:val="001B1EFC"/>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1B1EFC"/>
    <w:rPr>
      <w:rFonts w:ascii="Arial" w:hAnsi="Arial"/>
      <w:sz w:val="16"/>
    </w:rPr>
  </w:style>
  <w:style w:type="character" w:customStyle="1" w:styleId="Listaconvietas2Car">
    <w:name w:val="Lista con viñetas 2 Car"/>
    <w:basedOn w:val="Fuentedeprrafopredeter"/>
    <w:link w:val="Listaconvietas2"/>
    <w:uiPriority w:val="99"/>
    <w:rsid w:val="001B1EFC"/>
    <w:rPr>
      <w:rFonts w:ascii="Times New Roman" w:hAnsi="Times New Roman"/>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link w:val="TextonotapieCar"/>
    <w:uiPriority w:val="99"/>
    <w:unhideWhenUsed/>
    <w:qFormat/>
    <w:rsid w:val="001B1EFC"/>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1B1EFC"/>
    <w:rPr>
      <w:rFonts w:ascii="Arial" w:hAnsi="Arial"/>
      <w:sz w:val="16"/>
    </w:rPr>
  </w:style>
  <w:style w:type="character" w:styleId="Hipervnculo">
    <w:name w:val="Hyperlink"/>
    <w:basedOn w:val="Fuentedeprrafopredeter"/>
    <w:uiPriority w:val="99"/>
    <w:unhideWhenUsed/>
    <w:rsid w:val="001B1EFC"/>
    <w:rPr>
      <w:color w:val="auto"/>
      <w:u w:val="none"/>
    </w:rPr>
  </w:style>
  <w:style w:type="character" w:styleId="Hipervnculovisitado">
    <w:name w:val="FollowedHyperlink"/>
    <w:basedOn w:val="Fuentedeprrafopredeter"/>
    <w:uiPriority w:val="99"/>
    <w:semiHidden/>
    <w:unhideWhenUsed/>
    <w:rsid w:val="001B1EFC"/>
    <w:rPr>
      <w:color w:val="800080" w:themeColor="followedHyperlink"/>
      <w:u w:val="single"/>
    </w:rPr>
  </w:style>
  <w:style w:type="paragraph" w:styleId="Listaconvietas">
    <w:name w:val="List Bullet"/>
    <w:basedOn w:val="Normal"/>
    <w:uiPriority w:val="99"/>
    <w:unhideWhenUsed/>
    <w:qFormat/>
    <w:rsid w:val="001B1EFC"/>
    <w:pPr>
      <w:numPr>
        <w:numId w:val="1"/>
      </w:numPr>
    </w:pPr>
  </w:style>
  <w:style w:type="paragraph" w:customStyle="1" w:styleId="ListBulletCompact">
    <w:name w:val="List Bullet Compact"/>
    <w:basedOn w:val="Listaconvietas"/>
    <w:qFormat/>
    <w:rsid w:val="001B1EFC"/>
    <w:pPr>
      <w:spacing w:after="0"/>
    </w:pPr>
  </w:style>
  <w:style w:type="paragraph" w:customStyle="1" w:styleId="ListBullet2Compact">
    <w:name w:val="List Bullet 2 Compact"/>
    <w:basedOn w:val="Listaconvietas2"/>
    <w:qFormat/>
    <w:rsid w:val="001B1EFC"/>
    <w:pPr>
      <w:numPr>
        <w:numId w:val="10"/>
      </w:numPr>
      <w:spacing w:after="0"/>
      <w:ind w:left="714" w:hanging="357"/>
    </w:pPr>
  </w:style>
  <w:style w:type="paragraph" w:styleId="Listaconnmeros">
    <w:name w:val="List Number"/>
    <w:basedOn w:val="Normal"/>
    <w:uiPriority w:val="99"/>
    <w:unhideWhenUsed/>
    <w:rsid w:val="001B1EFC"/>
    <w:pPr>
      <w:numPr>
        <w:numId w:val="3"/>
      </w:numPr>
      <w:contextualSpacing/>
    </w:pPr>
  </w:style>
  <w:style w:type="paragraph" w:customStyle="1" w:styleId="Annex1">
    <w:name w:val="Annex 1"/>
    <w:next w:val="Normal"/>
    <w:qFormat/>
    <w:rsid w:val="001B1EFC"/>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1B1EFC"/>
    <w:pPr>
      <w:spacing w:after="120"/>
      <w:ind w:left="283"/>
    </w:pPr>
  </w:style>
  <w:style w:type="character" w:customStyle="1" w:styleId="SangradetextonormalCar">
    <w:name w:val="Sangría de texto normal Car"/>
    <w:basedOn w:val="Fuentedeprrafopredeter"/>
    <w:link w:val="Sangradetextonormal"/>
    <w:uiPriority w:val="99"/>
    <w:semiHidden/>
    <w:rsid w:val="001B1EFC"/>
    <w:rPr>
      <w:rFonts w:ascii="Times New Roman" w:hAnsi="Times New Roman"/>
    </w:rPr>
  </w:style>
  <w:style w:type="character" w:customStyle="1" w:styleId="Ttulo1Car">
    <w:name w:val="Título 1 Car"/>
    <w:aliases w:val="h1 Car"/>
    <w:basedOn w:val="Fuentedeprrafopredeter"/>
    <w:link w:val="Ttulo1"/>
    <w:uiPriority w:val="9"/>
    <w:rsid w:val="001B1EFC"/>
    <w:rPr>
      <w:rFonts w:ascii="Times New Roman" w:eastAsiaTheme="majorEastAsia" w:hAnsi="Times New Roman" w:cstheme="majorBidi"/>
      <w:bCs/>
      <w:sz w:val="36"/>
      <w:szCs w:val="28"/>
    </w:rPr>
  </w:style>
  <w:style w:type="character" w:customStyle="1" w:styleId="Ttulo2Car">
    <w:name w:val="Título 2 Car"/>
    <w:aliases w:val="h2 Car"/>
    <w:basedOn w:val="Fuentedeprrafopredeter"/>
    <w:link w:val="Ttulo2"/>
    <w:uiPriority w:val="9"/>
    <w:rsid w:val="001B1EFC"/>
    <w:rPr>
      <w:rFonts w:ascii="Times New Roman" w:eastAsiaTheme="majorEastAsia" w:hAnsi="Times New Roman" w:cstheme="majorBidi"/>
      <w:b/>
      <w:bCs/>
      <w:sz w:val="24"/>
      <w:szCs w:val="26"/>
    </w:rPr>
  </w:style>
  <w:style w:type="character" w:customStyle="1" w:styleId="Ttulo3Car">
    <w:name w:val="Título 3 Car"/>
    <w:aliases w:val="h3 Car"/>
    <w:basedOn w:val="Fuentedeprrafopredeter"/>
    <w:link w:val="Ttulo3"/>
    <w:uiPriority w:val="9"/>
    <w:rsid w:val="001B1EFC"/>
    <w:rPr>
      <w:rFonts w:ascii="Times New Roman" w:eastAsiaTheme="majorEastAsia" w:hAnsi="Times New Roman" w:cstheme="majorBidi"/>
      <w:b/>
      <w:bCs/>
    </w:rPr>
  </w:style>
  <w:style w:type="numbering" w:styleId="1ai">
    <w:name w:val="Outline List 1"/>
    <w:basedOn w:val="Sinlista"/>
    <w:uiPriority w:val="99"/>
    <w:semiHidden/>
    <w:unhideWhenUsed/>
    <w:rsid w:val="001B1EFC"/>
    <w:pPr>
      <w:numPr>
        <w:numId w:val="5"/>
      </w:numPr>
    </w:p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1B1EFC"/>
    <w:rPr>
      <w:rFonts w:ascii="Arial" w:hAnsi="Arial"/>
      <w:sz w:val="16"/>
      <w:szCs w:val="20"/>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basedOn w:val="Fuentedeprrafopredeter"/>
    <w:uiPriority w:val="99"/>
    <w:unhideWhenUsed/>
    <w:qFormat/>
    <w:rsid w:val="001B1EFC"/>
    <w:rPr>
      <w:rFonts w:ascii="Arial" w:hAnsi="Arial"/>
      <w:b w:val="0"/>
      <w:i w:val="0"/>
      <w:sz w:val="20"/>
      <w:vertAlign w:val="superscript"/>
    </w:rPr>
  </w:style>
  <w:style w:type="paragraph" w:styleId="Piedepgina">
    <w:name w:val="footer"/>
    <w:link w:val="PiedepginaCar"/>
    <w:uiPriority w:val="99"/>
    <w:unhideWhenUsed/>
    <w:rsid w:val="001B1EFC"/>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1B1EFC"/>
    <w:rPr>
      <w:rFonts w:ascii="Arial" w:hAnsi="Arial"/>
      <w:sz w:val="16"/>
    </w:rPr>
  </w:style>
  <w:style w:type="character" w:styleId="Nmerodepgina">
    <w:name w:val="page number"/>
    <w:basedOn w:val="Fuentedeprrafopredeter"/>
    <w:uiPriority w:val="99"/>
    <w:unhideWhenUsed/>
    <w:rsid w:val="001B1EFC"/>
  </w:style>
  <w:style w:type="paragraph" w:customStyle="1" w:styleId="I1">
    <w:name w:val="I1"/>
    <w:basedOn w:val="Listaconvietas"/>
    <w:link w:val="I1Char1"/>
    <w:rsid w:val="001B1EFC"/>
  </w:style>
  <w:style w:type="paragraph" w:customStyle="1" w:styleId="II">
    <w:name w:val="II"/>
    <w:basedOn w:val="Listaconvietas2"/>
    <w:link w:val="IIChar"/>
    <w:qFormat/>
    <w:rsid w:val="001B1EFC"/>
  </w:style>
  <w:style w:type="character" w:customStyle="1" w:styleId="IIChar">
    <w:name w:val="II Char"/>
    <w:basedOn w:val="Listaconvietas2Car"/>
    <w:link w:val="II"/>
    <w:rsid w:val="001B1EFC"/>
    <w:rPr>
      <w:rFonts w:ascii="Times New Roman" w:hAnsi="Times New Roman"/>
    </w:rPr>
  </w:style>
  <w:style w:type="paragraph" w:customStyle="1" w:styleId="LL">
    <w:name w:val="LL"/>
    <w:basedOn w:val="ListBullet2Compact"/>
    <w:rsid w:val="001B1EFC"/>
  </w:style>
  <w:style w:type="paragraph" w:customStyle="1" w:styleId="SBSheader">
    <w:name w:val="SBS: header"/>
    <w:basedOn w:val="Normal"/>
    <w:qFormat/>
    <w:rsid w:val="001B1EFC"/>
    <w:pPr>
      <w:jc w:val="left"/>
    </w:pPr>
    <w:rPr>
      <w:i/>
    </w:rPr>
  </w:style>
  <w:style w:type="paragraph" w:customStyle="1" w:styleId="Tablecells">
    <w:name w:val="Table: cells"/>
    <w:qFormat/>
    <w:rsid w:val="001B1EFC"/>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1B1EFC"/>
    <w:pPr>
      <w:keepNext/>
    </w:pPr>
    <w:rPr>
      <w:b/>
      <w:color w:val="FFFFFF"/>
    </w:rPr>
  </w:style>
  <w:style w:type="paragraph" w:customStyle="1" w:styleId="Tablenote">
    <w:name w:val="Table: note"/>
    <w:basedOn w:val="Tablecells"/>
    <w:qFormat/>
    <w:rsid w:val="001B1EFC"/>
    <w:pPr>
      <w:pBdr>
        <w:bottom w:val="single" w:sz="4" w:space="9" w:color="auto"/>
      </w:pBdr>
      <w:spacing w:before="100" w:after="0"/>
      <w:ind w:left="357" w:right="0" w:hanging="357"/>
    </w:pPr>
  </w:style>
  <w:style w:type="paragraph" w:customStyle="1" w:styleId="Tablebullet">
    <w:name w:val="Table: bullet"/>
    <w:basedOn w:val="Tablecells"/>
    <w:qFormat/>
    <w:rsid w:val="001B1EFC"/>
    <w:pPr>
      <w:numPr>
        <w:numId w:val="6"/>
      </w:numPr>
      <w:ind w:left="227" w:hanging="227"/>
    </w:pPr>
  </w:style>
  <w:style w:type="paragraph" w:styleId="TDC2">
    <w:name w:val="toc 2"/>
    <w:basedOn w:val="TDC1"/>
    <w:next w:val="Normal"/>
    <w:autoRedefine/>
    <w:uiPriority w:val="39"/>
    <w:unhideWhenUsed/>
    <w:rsid w:val="001B1EFC"/>
    <w:pPr>
      <w:keepNext w:val="0"/>
      <w:spacing w:before="0"/>
    </w:pPr>
    <w:rPr>
      <w:b w:val="0"/>
      <w:noProof/>
    </w:rPr>
  </w:style>
  <w:style w:type="paragraph" w:styleId="Textocomentario">
    <w:name w:val="annotation text"/>
    <w:basedOn w:val="Normal"/>
    <w:link w:val="TextocomentarioCar"/>
    <w:uiPriority w:val="99"/>
    <w:semiHidden/>
    <w:unhideWhenUsed/>
    <w:rsid w:val="001B1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1EFC"/>
    <w:rPr>
      <w:rFonts w:ascii="Times New Roman" w:hAnsi="Times New Roman"/>
      <w:sz w:val="20"/>
      <w:szCs w:val="20"/>
    </w:rPr>
  </w:style>
  <w:style w:type="character" w:customStyle="1" w:styleId="ConfidentialFooter">
    <w:name w:val="ConfidentialFooter"/>
    <w:basedOn w:val="Fuentedeprrafopredeter"/>
    <w:uiPriority w:val="1"/>
    <w:rsid w:val="001B1EFC"/>
    <w:rPr>
      <w:color w:val="FFFFFF"/>
      <w:sz w:val="2"/>
    </w:rPr>
  </w:style>
  <w:style w:type="paragraph" w:customStyle="1" w:styleId="ConfidentialFront">
    <w:name w:val="ConfidentialFront"/>
    <w:basedOn w:val="Normal"/>
    <w:qFormat/>
    <w:rsid w:val="001B1EFC"/>
    <w:pPr>
      <w:spacing w:before="960"/>
      <w:ind w:left="-227"/>
    </w:pPr>
    <w:rPr>
      <w:rFonts w:ascii="Arial" w:hAnsi="Arial"/>
      <w:color w:val="FFFFFF"/>
      <w:sz w:val="2"/>
    </w:rPr>
  </w:style>
  <w:style w:type="paragraph" w:customStyle="1" w:styleId="H5">
    <w:name w:val="H5"/>
    <w:basedOn w:val="Normal"/>
    <w:next w:val="Normal"/>
    <w:link w:val="H5Char"/>
    <w:qFormat/>
    <w:rsid w:val="001B1EFC"/>
    <w:pPr>
      <w:keepNext/>
      <w:numPr>
        <w:numId w:val="8"/>
      </w:numPr>
      <w:spacing w:after="200"/>
      <w:ind w:left="357" w:hanging="357"/>
    </w:pPr>
    <w:rPr>
      <w:i/>
    </w:rPr>
  </w:style>
  <w:style w:type="character" w:customStyle="1" w:styleId="H5Char">
    <w:name w:val="H5 Char"/>
    <w:basedOn w:val="Fuentedeprrafopredeter"/>
    <w:link w:val="H5"/>
    <w:rsid w:val="001B1EFC"/>
    <w:rPr>
      <w:rFonts w:ascii="Times New Roman" w:hAnsi="Times New Roman"/>
      <w:i/>
    </w:rPr>
  </w:style>
  <w:style w:type="paragraph" w:styleId="TDC1">
    <w:name w:val="toc 1"/>
    <w:basedOn w:val="Normal"/>
    <w:next w:val="Normal"/>
    <w:autoRedefine/>
    <w:uiPriority w:val="39"/>
    <w:unhideWhenUsed/>
    <w:rsid w:val="001B1EFC"/>
    <w:pPr>
      <w:keepNext/>
      <w:tabs>
        <w:tab w:val="left" w:pos="635"/>
        <w:tab w:val="right" w:pos="8789"/>
      </w:tabs>
      <w:spacing w:before="240" w:after="0"/>
    </w:pPr>
    <w:rPr>
      <w:b/>
    </w:rPr>
  </w:style>
  <w:style w:type="paragraph" w:styleId="TDC3">
    <w:name w:val="toc 3"/>
    <w:basedOn w:val="TDC2"/>
    <w:next w:val="Normal"/>
    <w:autoRedefine/>
    <w:uiPriority w:val="39"/>
    <w:unhideWhenUsed/>
    <w:rsid w:val="001B1EFC"/>
    <w:rPr>
      <w:sz w:val="20"/>
    </w:rPr>
  </w:style>
  <w:style w:type="paragraph" w:styleId="TDC4">
    <w:name w:val="toc 4"/>
    <w:basedOn w:val="TDC3"/>
    <w:next w:val="Normal"/>
    <w:autoRedefine/>
    <w:uiPriority w:val="39"/>
    <w:unhideWhenUsed/>
    <w:rsid w:val="001B1EFC"/>
  </w:style>
  <w:style w:type="character" w:customStyle="1" w:styleId="Ttulo4Car">
    <w:name w:val="Título 4 Car"/>
    <w:basedOn w:val="Fuentedeprrafopredeter"/>
    <w:link w:val="Ttulo4"/>
    <w:uiPriority w:val="9"/>
    <w:rsid w:val="001B1EFC"/>
    <w:rPr>
      <w:rFonts w:ascii="Times New Roman" w:eastAsiaTheme="majorEastAsia" w:hAnsi="Times New Roman" w:cstheme="majorBidi"/>
      <w:bCs/>
      <w:i/>
      <w:iCs/>
    </w:rPr>
  </w:style>
  <w:style w:type="paragraph" w:customStyle="1" w:styleId="Annex2">
    <w:name w:val="Annex 2"/>
    <w:next w:val="Normal"/>
    <w:qFormat/>
    <w:rsid w:val="001B1EFC"/>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1B1EFC"/>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1B1EFC"/>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1B1EFC"/>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1B1EFC"/>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1B1EFC"/>
    <w:pPr>
      <w:spacing w:before="0"/>
    </w:pPr>
  </w:style>
  <w:style w:type="paragraph" w:customStyle="1" w:styleId="Titledate">
    <w:name w:val="Title: date"/>
    <w:basedOn w:val="Titlemain"/>
    <w:next w:val="TitleRefNo"/>
    <w:qFormat/>
    <w:rsid w:val="001B1EFC"/>
    <w:pPr>
      <w:spacing w:after="0"/>
    </w:pPr>
    <w:rPr>
      <w:i/>
      <w:sz w:val="30"/>
    </w:rPr>
  </w:style>
  <w:style w:type="paragraph" w:customStyle="1" w:styleId="TitleRefNo">
    <w:name w:val="Title: RefNo"/>
    <w:basedOn w:val="Titledate"/>
    <w:next w:val="Normal"/>
    <w:qFormat/>
    <w:rsid w:val="001B1EFC"/>
    <w:rPr>
      <w:i w:val="0"/>
      <w:sz w:val="22"/>
    </w:rPr>
  </w:style>
  <w:style w:type="paragraph" w:customStyle="1" w:styleId="B1">
    <w:name w:val="B1"/>
    <w:basedOn w:val="Emphasised"/>
    <w:qFormat/>
    <w:rsid w:val="001B1EFC"/>
  </w:style>
  <w:style w:type="paragraph" w:customStyle="1" w:styleId="Contentsheading">
    <w:name w:val="Contents: heading"/>
    <w:basedOn w:val="Normal"/>
    <w:next w:val="TDC1"/>
    <w:qFormat/>
    <w:rsid w:val="001B1EFC"/>
    <w:pPr>
      <w:spacing w:after="560" w:line="720" w:lineRule="exact"/>
    </w:pPr>
    <w:rPr>
      <w:sz w:val="40"/>
    </w:rPr>
  </w:style>
  <w:style w:type="paragraph" w:customStyle="1" w:styleId="Contentssubsection">
    <w:name w:val="Contents: subsection"/>
    <w:basedOn w:val="Normal"/>
    <w:next w:val="TDC1"/>
    <w:qFormat/>
    <w:rsid w:val="001B1EFC"/>
    <w:pPr>
      <w:spacing w:before="360" w:after="0"/>
    </w:pPr>
    <w:rPr>
      <w:b/>
      <w:sz w:val="26"/>
    </w:rPr>
  </w:style>
  <w:style w:type="paragraph" w:customStyle="1" w:styleId="cvhead">
    <w:name w:val="cvhead"/>
    <w:basedOn w:val="Normal"/>
    <w:next w:val="Normal"/>
    <w:qFormat/>
    <w:rsid w:val="0069421D"/>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1B1EFC"/>
    <w:pPr>
      <w:spacing w:after="0"/>
    </w:pPr>
  </w:style>
  <w:style w:type="paragraph" w:customStyle="1" w:styleId="Titleaddress">
    <w:name w:val="Title: address"/>
    <w:basedOn w:val="01"/>
    <w:qFormat/>
    <w:rsid w:val="001B1EFC"/>
    <w:pPr>
      <w:ind w:left="567"/>
    </w:pPr>
  </w:style>
  <w:style w:type="paragraph" w:customStyle="1" w:styleId="L1">
    <w:name w:val="L1"/>
    <w:basedOn w:val="ListBulletCompact"/>
    <w:link w:val="L1Char"/>
    <w:qFormat/>
    <w:rsid w:val="001B1EFC"/>
  </w:style>
  <w:style w:type="paragraph" w:customStyle="1" w:styleId="Titleversion">
    <w:name w:val="Title: version"/>
    <w:basedOn w:val="Normal"/>
    <w:rsid w:val="00C52B83"/>
    <w:pPr>
      <w:jc w:val="center"/>
    </w:pPr>
    <w:rPr>
      <w:rFonts w:eastAsia="Times New Roman" w:cs="Times New Roman"/>
      <w:szCs w:val="20"/>
    </w:rPr>
  </w:style>
  <w:style w:type="paragraph" w:customStyle="1" w:styleId="01-reference">
    <w:name w:val="01-reference"/>
    <w:basedOn w:val="TitleRefNo"/>
    <w:rsid w:val="00C52B8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eastAsia="Times New Roman" w:hAnsi="Times New Roman" w:cs="Times New Roman"/>
      <w:bCs w:val="0"/>
      <w:i/>
      <w:spacing w:val="0"/>
      <w:sz w:val="30"/>
      <w:szCs w:val="20"/>
      <w:lang w:val="es-ES"/>
    </w:rPr>
  </w:style>
  <w:style w:type="character" w:customStyle="1" w:styleId="L1Char">
    <w:name w:val="L1 Char"/>
    <w:link w:val="L1"/>
    <w:rsid w:val="006E361B"/>
    <w:rPr>
      <w:rFonts w:ascii="Times New Roman" w:hAnsi="Times New Roman"/>
    </w:rPr>
  </w:style>
  <w:style w:type="character" w:customStyle="1" w:styleId="I1Char1">
    <w:name w:val="I1 Char1"/>
    <w:link w:val="I1"/>
    <w:rsid w:val="006E361B"/>
    <w:rPr>
      <w:rFonts w:ascii="Times New Roman" w:hAnsi="Times New Roman"/>
    </w:rPr>
  </w:style>
  <w:style w:type="paragraph" w:styleId="Textodeglobo">
    <w:name w:val="Balloon Text"/>
    <w:basedOn w:val="Normal"/>
    <w:link w:val="TextodegloboCar"/>
    <w:uiPriority w:val="99"/>
    <w:semiHidden/>
    <w:unhideWhenUsed/>
    <w:rsid w:val="001B1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FC"/>
    <w:rPr>
      <w:rFonts w:ascii="Tahoma" w:hAnsi="Tahoma" w:cs="Tahoma"/>
      <w:sz w:val="16"/>
      <w:szCs w:val="16"/>
    </w:rPr>
  </w:style>
  <w:style w:type="table" w:styleId="Tablaconcuadrcula">
    <w:name w:val="Table Grid"/>
    <w:basedOn w:val="Tablanormal"/>
    <w:uiPriority w:val="59"/>
    <w:rsid w:val="006E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6E3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BE303D"/>
    <w:pPr>
      <w:spacing w:before="100" w:beforeAutospacing="1" w:after="100" w:afterAutospacing="1" w:line="240" w:lineRule="auto"/>
      <w:jc w:val="left"/>
    </w:pPr>
    <w:rPr>
      <w:rFonts w:eastAsia="Times New Roman" w:cs="Times New Roman"/>
      <w:sz w:val="24"/>
      <w:szCs w:val="24"/>
      <w:lang w:eastAsia="es-ES"/>
    </w:rPr>
  </w:style>
  <w:style w:type="character" w:customStyle="1" w:styleId="apple-converted-space">
    <w:name w:val="apple-converted-space"/>
    <w:rsid w:val="006718FB"/>
  </w:style>
  <w:style w:type="character" w:customStyle="1" w:styleId="apple-style-span">
    <w:name w:val="apple-style-span"/>
    <w:rsid w:val="00A37365"/>
  </w:style>
  <w:style w:type="paragraph" w:styleId="Prrafodelista">
    <w:name w:val="List Paragraph"/>
    <w:basedOn w:val="Normal"/>
    <w:uiPriority w:val="34"/>
    <w:qFormat/>
    <w:rsid w:val="004A65E3"/>
    <w:pPr>
      <w:ind w:left="720"/>
      <w:contextualSpacing/>
    </w:pPr>
  </w:style>
  <w:style w:type="character" w:styleId="Refdecomentario">
    <w:name w:val="annotation reference"/>
    <w:basedOn w:val="Fuentedeprrafopredeter"/>
    <w:uiPriority w:val="99"/>
    <w:semiHidden/>
    <w:unhideWhenUsed/>
    <w:rsid w:val="005551C4"/>
    <w:rPr>
      <w:sz w:val="16"/>
      <w:szCs w:val="16"/>
    </w:rPr>
  </w:style>
  <w:style w:type="paragraph" w:styleId="Asuntodelcomentario">
    <w:name w:val="annotation subject"/>
    <w:basedOn w:val="Textocomentario"/>
    <w:next w:val="Textocomentario"/>
    <w:link w:val="AsuntodelcomentarioCar"/>
    <w:uiPriority w:val="99"/>
    <w:semiHidden/>
    <w:unhideWhenUsed/>
    <w:rsid w:val="005551C4"/>
    <w:rPr>
      <w:b/>
      <w:bCs/>
    </w:rPr>
  </w:style>
  <w:style w:type="character" w:customStyle="1" w:styleId="AsuntodelcomentarioCar">
    <w:name w:val="Asunto del comentario Car"/>
    <w:basedOn w:val="TextocomentarioCar"/>
    <w:link w:val="Asuntodelcomentario"/>
    <w:uiPriority w:val="99"/>
    <w:semiHidden/>
    <w:rsid w:val="005551C4"/>
    <w:rPr>
      <w:rFonts w:ascii="Times New Roman" w:hAnsi="Times New Roman"/>
      <w:b/>
      <w:bCs/>
      <w:sz w:val="20"/>
      <w:szCs w:val="20"/>
      <w:lang w:val="es-ES"/>
    </w:rPr>
  </w:style>
  <w:style w:type="paragraph" w:customStyle="1" w:styleId="Default">
    <w:name w:val="Default"/>
    <w:rsid w:val="00EC58BB"/>
    <w:pPr>
      <w:autoSpaceDE w:val="0"/>
      <w:autoSpaceDN w:val="0"/>
      <w:adjustRightInd w:val="0"/>
      <w:spacing w:after="0" w:line="240" w:lineRule="auto"/>
    </w:pPr>
    <w:rPr>
      <w:rFonts w:ascii="Arial" w:hAnsi="Arial" w:cs="Arial"/>
      <w:color w:val="000000"/>
      <w:sz w:val="24"/>
      <w:szCs w:val="24"/>
      <w:lang w:val="es-ES"/>
    </w:rPr>
  </w:style>
  <w:style w:type="paragraph" w:styleId="Revisin">
    <w:name w:val="Revision"/>
    <w:hidden/>
    <w:uiPriority w:val="99"/>
    <w:semiHidden/>
    <w:rsid w:val="00A5498D"/>
    <w:pPr>
      <w:spacing w:after="0" w:line="240" w:lineRule="auto"/>
    </w:pPr>
    <w:rPr>
      <w:rFonts w:ascii="Times New Roman" w:hAnsi="Times New Roman"/>
      <w:lang w:val="es-ES"/>
    </w:rPr>
  </w:style>
  <w:style w:type="paragraph" w:styleId="Textonotaalfinal">
    <w:name w:val="endnote text"/>
    <w:basedOn w:val="Normal"/>
    <w:link w:val="TextonotaalfinalCar"/>
    <w:uiPriority w:val="99"/>
    <w:semiHidden/>
    <w:unhideWhenUsed/>
    <w:rsid w:val="004536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3668"/>
    <w:rPr>
      <w:rFonts w:ascii="Times New Roman" w:hAnsi="Times New Roman"/>
      <w:sz w:val="20"/>
      <w:szCs w:val="20"/>
      <w:lang w:val="es-ES"/>
    </w:rPr>
  </w:style>
  <w:style w:type="character" w:styleId="Refdenotaalfinal">
    <w:name w:val="endnote reference"/>
    <w:basedOn w:val="Fuentedeprrafopredeter"/>
    <w:uiPriority w:val="99"/>
    <w:semiHidden/>
    <w:unhideWhenUsed/>
    <w:rsid w:val="00453668"/>
    <w:rPr>
      <w:vertAlign w:val="superscript"/>
    </w:rPr>
  </w:style>
  <w:style w:type="paragraph" w:customStyle="1" w:styleId="TableCaption">
    <w:name w:val="Table Caption"/>
    <w:basedOn w:val="Descripcin"/>
    <w:qFormat/>
    <w:rsid w:val="001B1EFC"/>
    <w:pPr>
      <w:pBdr>
        <w:bottom w:val="none" w:sz="0" w:space="0" w:color="auto"/>
      </w:pBdr>
    </w:pPr>
  </w:style>
  <w:style w:type="paragraph" w:customStyle="1" w:styleId="CVboxbullet">
    <w:name w:val="CV_box_bullet"/>
    <w:qFormat/>
    <w:rsid w:val="001B1EFC"/>
    <w:pPr>
      <w:widowControl w:val="0"/>
      <w:numPr>
        <w:numId w:val="11"/>
      </w:numPr>
      <w:spacing w:before="80" w:after="80" w:line="240" w:lineRule="auto"/>
      <w:ind w:left="170" w:hanging="170"/>
    </w:pPr>
    <w:rPr>
      <w:rFonts w:ascii="Calibri" w:eastAsia="Times New Roman" w:hAnsi="Calibri" w:cs="Calibri"/>
      <w:bCs/>
      <w:color w:val="000000" w:themeColor="text1"/>
      <w:kern w:val="28"/>
      <w:sz w:val="17"/>
      <w:szCs w:val="17"/>
      <w:lang w:eastAsia="en-GB"/>
      <w14:cntxtAlts/>
    </w:rPr>
  </w:style>
  <w:style w:type="paragraph" w:customStyle="1" w:styleId="CVboxheading">
    <w:name w:val="CV_box_heading"/>
    <w:qFormat/>
    <w:rsid w:val="001B1EFC"/>
    <w:pPr>
      <w:widowControl w:val="0"/>
      <w:spacing w:before="80" w:after="80" w:line="240" w:lineRule="auto"/>
    </w:pPr>
    <w:rPr>
      <w:rFonts w:ascii="Calibri" w:eastAsia="Times New Roman" w:hAnsi="Calibri" w:cs="Calibri"/>
      <w:b/>
      <w:bCs/>
      <w:color w:val="000000" w:themeColor="text1"/>
      <w:kern w:val="28"/>
      <w:sz w:val="17"/>
      <w:szCs w:val="17"/>
      <w:lang w:eastAsia="en-GB"/>
      <w14:cntxtAlts/>
    </w:rPr>
  </w:style>
  <w:style w:type="paragraph" w:customStyle="1" w:styleId="CVboxpara">
    <w:name w:val="CV_box_para"/>
    <w:qFormat/>
    <w:rsid w:val="001B1EFC"/>
    <w:pPr>
      <w:widowControl w:val="0"/>
      <w:spacing w:before="80" w:after="80" w:line="240" w:lineRule="auto"/>
    </w:pPr>
    <w:rPr>
      <w:rFonts w:ascii="Calibri" w:eastAsia="Times New Roman" w:hAnsi="Calibri" w:cs="Calibri"/>
      <w:bCs/>
      <w:color w:val="000000" w:themeColor="text1"/>
      <w:kern w:val="28"/>
      <w:sz w:val="17"/>
      <w:szCs w:val="17"/>
      <w:lang w:eastAsia="en-GB"/>
      <w14:cntxtAlts/>
    </w:rPr>
  </w:style>
  <w:style w:type="paragraph" w:customStyle="1" w:styleId="CVbullet">
    <w:name w:val="CV_bullet"/>
    <w:qFormat/>
    <w:rsid w:val="001B1EFC"/>
    <w:pPr>
      <w:numPr>
        <w:numId w:val="12"/>
      </w:numPr>
      <w:spacing w:after="40" w:line="240" w:lineRule="auto"/>
      <w:ind w:left="227" w:hanging="227"/>
    </w:pPr>
    <w:rPr>
      <w:rFonts w:ascii="Calibri" w:eastAsia="Times New Roman" w:hAnsi="Calibri" w:cs="Calibri"/>
      <w:color w:val="000000"/>
      <w:kern w:val="28"/>
      <w:sz w:val="18"/>
      <w:szCs w:val="18"/>
      <w:lang w:eastAsia="en-GB"/>
      <w14:ligatures w14:val="standard"/>
      <w14:cntxtAlts/>
    </w:rPr>
  </w:style>
  <w:style w:type="paragraph" w:customStyle="1" w:styleId="CVfirstpara">
    <w:name w:val="CV_firstpara"/>
    <w:qFormat/>
    <w:rsid w:val="001B1EFC"/>
    <w:pPr>
      <w:spacing w:after="80" w:line="240" w:lineRule="auto"/>
    </w:pPr>
    <w:rPr>
      <w:rFonts w:eastAsia="Times New Roman" w:cstheme="minorHAnsi"/>
      <w:color w:val="221F72"/>
      <w:kern w:val="28"/>
      <w:sz w:val="18"/>
      <w:szCs w:val="18"/>
      <w:lang w:eastAsia="en-GB"/>
      <w14:cntxtAlts/>
    </w:rPr>
  </w:style>
  <w:style w:type="paragraph" w:customStyle="1" w:styleId="CVheading">
    <w:name w:val="CV_heading"/>
    <w:qFormat/>
    <w:rsid w:val="001B1EFC"/>
    <w:pPr>
      <w:keepNext/>
      <w:widowControl w:val="0"/>
      <w:spacing w:before="160" w:after="80" w:line="240" w:lineRule="auto"/>
    </w:pPr>
    <w:rPr>
      <w:rFonts w:ascii="Calibri" w:eastAsia="Times New Roman" w:hAnsi="Calibri" w:cs="Calibri"/>
      <w:b/>
      <w:bCs/>
      <w:color w:val="221F72"/>
      <w:kern w:val="28"/>
      <w:sz w:val="18"/>
      <w:szCs w:val="18"/>
      <w:lang w:eastAsia="en-GB"/>
      <w14:cntxtAlts/>
    </w:rPr>
  </w:style>
  <w:style w:type="paragraph" w:customStyle="1" w:styleId="CVname">
    <w:name w:val="CV_name"/>
    <w:qFormat/>
    <w:rsid w:val="001B1EFC"/>
    <w:pPr>
      <w:widowControl w:val="0"/>
      <w:spacing w:after="0" w:line="520" w:lineRule="exact"/>
    </w:pPr>
    <w:rPr>
      <w:rFonts w:cstheme="minorHAnsi"/>
      <w:color w:val="FFFFFF"/>
      <w:sz w:val="52"/>
      <w:szCs w:val="52"/>
    </w:rPr>
  </w:style>
  <w:style w:type="paragraph" w:customStyle="1" w:styleId="CVnormal">
    <w:name w:val="CV_normal"/>
    <w:qFormat/>
    <w:rsid w:val="001B1EFC"/>
    <w:pPr>
      <w:spacing w:after="80" w:line="240" w:lineRule="auto"/>
    </w:pPr>
    <w:rPr>
      <w:rFonts w:ascii="Calibri" w:eastAsia="Times New Roman" w:hAnsi="Calibri" w:cs="Calibri"/>
      <w:color w:val="000000"/>
      <w:kern w:val="28"/>
      <w:sz w:val="18"/>
      <w:szCs w:val="18"/>
      <w:lang w:eastAsia="en-GB"/>
      <w14:ligatures w14:val="standard"/>
      <w14:cntxtAlts/>
    </w:rPr>
  </w:style>
  <w:style w:type="paragraph" w:customStyle="1" w:styleId="CVrole">
    <w:name w:val="CV_role"/>
    <w:basedOn w:val="Normal"/>
    <w:link w:val="CVroleChar"/>
    <w:qFormat/>
    <w:rsid w:val="001B1EFC"/>
    <w:pPr>
      <w:widowControl w:val="0"/>
      <w:spacing w:after="0" w:line="260" w:lineRule="exact"/>
      <w:jc w:val="left"/>
    </w:pPr>
    <w:rPr>
      <w:rFonts w:asciiTheme="minorHAnsi" w:eastAsia="Times New Roman" w:hAnsiTheme="minorHAnsi" w:cstheme="minorHAnsi"/>
      <w:color w:val="6FD9FF"/>
      <w:kern w:val="28"/>
      <w:sz w:val="24"/>
      <w:szCs w:val="24"/>
      <w:lang w:eastAsia="en-GB"/>
      <w14:cntxtAlts/>
    </w:rPr>
  </w:style>
  <w:style w:type="character" w:customStyle="1" w:styleId="CVroleChar">
    <w:name w:val="CV_role Char"/>
    <w:basedOn w:val="Fuentedeprrafopredeter"/>
    <w:link w:val="CVrole"/>
    <w:rsid w:val="001B1EFC"/>
    <w:rPr>
      <w:rFonts w:eastAsia="Times New Roman" w:cstheme="minorHAnsi"/>
      <w:color w:val="6FD9FF"/>
      <w:kern w:val="28"/>
      <w:sz w:val="24"/>
      <w:szCs w:val="24"/>
      <w:lang w:eastAsia="en-GB"/>
      <w14:cntxtAlts/>
    </w:rPr>
  </w:style>
  <w:style w:type="paragraph" w:customStyle="1" w:styleId="CVtitle">
    <w:name w:val="CV_title"/>
    <w:qFormat/>
    <w:rsid w:val="001B1EFC"/>
    <w:pPr>
      <w:widowControl w:val="0"/>
      <w:spacing w:after="0" w:line="240" w:lineRule="auto"/>
    </w:pPr>
    <w:rPr>
      <w:rFonts w:cstheme="minorHAnsi"/>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1761">
      <w:bodyDiv w:val="1"/>
      <w:marLeft w:val="0"/>
      <w:marRight w:val="0"/>
      <w:marTop w:val="0"/>
      <w:marBottom w:val="0"/>
      <w:divBdr>
        <w:top w:val="none" w:sz="0" w:space="0" w:color="auto"/>
        <w:left w:val="none" w:sz="0" w:space="0" w:color="auto"/>
        <w:bottom w:val="none" w:sz="0" w:space="0" w:color="auto"/>
        <w:right w:val="none" w:sz="0" w:space="0" w:color="auto"/>
      </w:divBdr>
    </w:div>
    <w:div w:id="141433331">
      <w:bodyDiv w:val="1"/>
      <w:marLeft w:val="0"/>
      <w:marRight w:val="0"/>
      <w:marTop w:val="0"/>
      <w:marBottom w:val="0"/>
      <w:divBdr>
        <w:top w:val="none" w:sz="0" w:space="0" w:color="auto"/>
        <w:left w:val="none" w:sz="0" w:space="0" w:color="auto"/>
        <w:bottom w:val="none" w:sz="0" w:space="0" w:color="auto"/>
        <w:right w:val="none" w:sz="0" w:space="0" w:color="auto"/>
      </w:divBdr>
    </w:div>
    <w:div w:id="141701191">
      <w:bodyDiv w:val="1"/>
      <w:marLeft w:val="0"/>
      <w:marRight w:val="0"/>
      <w:marTop w:val="0"/>
      <w:marBottom w:val="0"/>
      <w:divBdr>
        <w:top w:val="none" w:sz="0" w:space="0" w:color="auto"/>
        <w:left w:val="none" w:sz="0" w:space="0" w:color="auto"/>
        <w:bottom w:val="none" w:sz="0" w:space="0" w:color="auto"/>
        <w:right w:val="none" w:sz="0" w:space="0" w:color="auto"/>
      </w:divBdr>
    </w:div>
    <w:div w:id="311712338">
      <w:bodyDiv w:val="1"/>
      <w:marLeft w:val="0"/>
      <w:marRight w:val="0"/>
      <w:marTop w:val="0"/>
      <w:marBottom w:val="0"/>
      <w:divBdr>
        <w:top w:val="none" w:sz="0" w:space="0" w:color="auto"/>
        <w:left w:val="none" w:sz="0" w:space="0" w:color="auto"/>
        <w:bottom w:val="none" w:sz="0" w:space="0" w:color="auto"/>
        <w:right w:val="none" w:sz="0" w:space="0" w:color="auto"/>
      </w:divBdr>
    </w:div>
    <w:div w:id="347146876">
      <w:bodyDiv w:val="1"/>
      <w:marLeft w:val="0"/>
      <w:marRight w:val="0"/>
      <w:marTop w:val="0"/>
      <w:marBottom w:val="0"/>
      <w:divBdr>
        <w:top w:val="none" w:sz="0" w:space="0" w:color="auto"/>
        <w:left w:val="none" w:sz="0" w:space="0" w:color="auto"/>
        <w:bottom w:val="none" w:sz="0" w:space="0" w:color="auto"/>
        <w:right w:val="none" w:sz="0" w:space="0" w:color="auto"/>
      </w:divBdr>
      <w:divsChild>
        <w:div w:id="2112701182">
          <w:marLeft w:val="274"/>
          <w:marRight w:val="0"/>
          <w:marTop w:val="0"/>
          <w:marBottom w:val="0"/>
          <w:divBdr>
            <w:top w:val="none" w:sz="0" w:space="0" w:color="auto"/>
            <w:left w:val="none" w:sz="0" w:space="0" w:color="auto"/>
            <w:bottom w:val="none" w:sz="0" w:space="0" w:color="auto"/>
            <w:right w:val="none" w:sz="0" w:space="0" w:color="auto"/>
          </w:divBdr>
        </w:div>
      </w:divsChild>
    </w:div>
    <w:div w:id="623269546">
      <w:bodyDiv w:val="1"/>
      <w:marLeft w:val="0"/>
      <w:marRight w:val="0"/>
      <w:marTop w:val="0"/>
      <w:marBottom w:val="0"/>
      <w:divBdr>
        <w:top w:val="none" w:sz="0" w:space="0" w:color="auto"/>
        <w:left w:val="none" w:sz="0" w:space="0" w:color="auto"/>
        <w:bottom w:val="none" w:sz="0" w:space="0" w:color="auto"/>
        <w:right w:val="none" w:sz="0" w:space="0" w:color="auto"/>
      </w:divBdr>
      <w:divsChild>
        <w:div w:id="67579683">
          <w:marLeft w:val="274"/>
          <w:marRight w:val="0"/>
          <w:marTop w:val="0"/>
          <w:marBottom w:val="0"/>
          <w:divBdr>
            <w:top w:val="none" w:sz="0" w:space="0" w:color="auto"/>
            <w:left w:val="none" w:sz="0" w:space="0" w:color="auto"/>
            <w:bottom w:val="none" w:sz="0" w:space="0" w:color="auto"/>
            <w:right w:val="none" w:sz="0" w:space="0" w:color="auto"/>
          </w:divBdr>
        </w:div>
        <w:div w:id="301933314">
          <w:marLeft w:val="274"/>
          <w:marRight w:val="0"/>
          <w:marTop w:val="0"/>
          <w:marBottom w:val="0"/>
          <w:divBdr>
            <w:top w:val="none" w:sz="0" w:space="0" w:color="auto"/>
            <w:left w:val="none" w:sz="0" w:space="0" w:color="auto"/>
            <w:bottom w:val="none" w:sz="0" w:space="0" w:color="auto"/>
            <w:right w:val="none" w:sz="0" w:space="0" w:color="auto"/>
          </w:divBdr>
        </w:div>
      </w:divsChild>
    </w:div>
    <w:div w:id="668214522">
      <w:bodyDiv w:val="1"/>
      <w:marLeft w:val="0"/>
      <w:marRight w:val="0"/>
      <w:marTop w:val="0"/>
      <w:marBottom w:val="0"/>
      <w:divBdr>
        <w:top w:val="none" w:sz="0" w:space="0" w:color="auto"/>
        <w:left w:val="none" w:sz="0" w:space="0" w:color="auto"/>
        <w:bottom w:val="none" w:sz="0" w:space="0" w:color="auto"/>
        <w:right w:val="none" w:sz="0" w:space="0" w:color="auto"/>
      </w:divBdr>
    </w:div>
    <w:div w:id="1896309497">
      <w:bodyDiv w:val="1"/>
      <w:marLeft w:val="0"/>
      <w:marRight w:val="0"/>
      <w:marTop w:val="0"/>
      <w:marBottom w:val="0"/>
      <w:divBdr>
        <w:top w:val="none" w:sz="0" w:space="0" w:color="auto"/>
        <w:left w:val="none" w:sz="0" w:space="0" w:color="auto"/>
        <w:bottom w:val="none" w:sz="0" w:space="0" w:color="auto"/>
        <w:right w:val="none" w:sz="0" w:space="0" w:color="auto"/>
      </w:divBdr>
    </w:div>
    <w:div w:id="21256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pta.nl/nl/actueel/alle-publicaties/publicatie/?id=3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Madrid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FA73-819A-4E42-921B-43261223C2A0}">
  <ds:schemaRefs>
    <ds:schemaRef ds:uri="http://schemas.openxmlformats.org/officeDocument/2006/bibliography"/>
  </ds:schemaRefs>
</ds:datastoreItem>
</file>

<file path=customXml/itemProps2.xml><?xml version="1.0" encoding="utf-8"?>
<ds:datastoreItem xmlns:ds="http://schemas.openxmlformats.org/officeDocument/2006/customXml" ds:itemID="{86540145-97D4-4553-AFAF-286C6C6BB595}">
  <ds:schemaRefs>
    <ds:schemaRef ds:uri="http://schemas.openxmlformats.org/officeDocument/2006/bibliography"/>
  </ds:schemaRefs>
</ds:datastoreItem>
</file>

<file path=customXml/itemProps3.xml><?xml version="1.0" encoding="utf-8"?>
<ds:datastoreItem xmlns:ds="http://schemas.openxmlformats.org/officeDocument/2006/customXml" ds:itemID="{79AC9FA2-7984-4B99-BD3E-D92F0EDC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ReportMadridSpanish</Template>
  <TotalTime>268</TotalTime>
  <Pages>35</Pages>
  <Words>12999</Words>
  <Characters>71498</Characters>
  <Application>Microsoft Office Word</Application>
  <DocSecurity>0</DocSecurity>
  <Lines>595</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 Ltd</Company>
  <LinksUpToDate>false</LinksUpToDate>
  <CharactersWithSpaces>84329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Version dated 09/07/2012</dc:subject>
  <dc:creator>-</dc:creator>
  <cp:keywords/>
  <dc:description/>
  <cp:lastModifiedBy>Adriana Williams Hernandez</cp:lastModifiedBy>
  <cp:revision>20</cp:revision>
  <cp:lastPrinted>2017-05-22T11:13:00Z</cp:lastPrinted>
  <dcterms:created xsi:type="dcterms:W3CDTF">2017-11-13T18:05:00Z</dcterms:created>
  <dcterms:modified xsi:type="dcterms:W3CDTF">2017-11-16T00:30:00Z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or">
    <vt:lpwstr>.</vt:lpwstr>
  </property>
</Properties>
</file>