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ED71C" w14:textId="5A57E025" w:rsidR="007C4BEB" w:rsidRPr="00840702" w:rsidRDefault="007C4BEB" w:rsidP="00D571AA">
      <w:pPr>
        <w:pStyle w:val="Ttulo1"/>
        <w:spacing w:before="0"/>
        <w:jc w:val="both"/>
        <w:rPr>
          <w:rFonts w:ascii="ITC Avant Garde" w:hAnsi="ITC Avant Garde"/>
          <w:b/>
          <w:color w:val="000000" w:themeColor="text1"/>
          <w:sz w:val="22"/>
          <w:szCs w:val="22"/>
        </w:rPr>
      </w:pPr>
      <w:r w:rsidRPr="00840702">
        <w:rPr>
          <w:rFonts w:ascii="ITC Avant Garde" w:hAnsi="ITC Avant Garde"/>
          <w:b/>
          <w:color w:val="000000" w:themeColor="text1"/>
          <w:sz w:val="22"/>
          <w:szCs w:val="22"/>
        </w:rPr>
        <w:t xml:space="preserve">ACUERDO MEDIANTE EL CUAL EL PLENO DEL INSTITUTO FEDERAL DE TELECOMUNICACIONES </w:t>
      </w:r>
      <w:r w:rsidR="00060DAB" w:rsidRPr="00840702">
        <w:rPr>
          <w:rFonts w:ascii="ITC Avant Garde" w:hAnsi="ITC Avant Garde"/>
          <w:b/>
          <w:color w:val="000000" w:themeColor="text1"/>
          <w:sz w:val="22"/>
          <w:szCs w:val="22"/>
        </w:rPr>
        <w:t xml:space="preserve">DETERMINA </w:t>
      </w:r>
      <w:r w:rsidRPr="00840702">
        <w:rPr>
          <w:rFonts w:ascii="ITC Avant Garde" w:hAnsi="ITC Avant Garde"/>
          <w:b/>
          <w:color w:val="000000" w:themeColor="text1"/>
          <w:sz w:val="22"/>
          <w:szCs w:val="22"/>
        </w:rPr>
        <w:t>SOMETE</w:t>
      </w:r>
      <w:r w:rsidR="00060DAB" w:rsidRPr="00840702">
        <w:rPr>
          <w:rFonts w:ascii="ITC Avant Garde" w:hAnsi="ITC Avant Garde"/>
          <w:b/>
          <w:color w:val="000000" w:themeColor="text1"/>
          <w:sz w:val="22"/>
          <w:szCs w:val="22"/>
        </w:rPr>
        <w:t>R</w:t>
      </w:r>
      <w:r w:rsidRPr="00840702">
        <w:rPr>
          <w:rFonts w:ascii="ITC Avant Garde" w:hAnsi="ITC Avant Garde"/>
          <w:b/>
          <w:color w:val="000000" w:themeColor="text1"/>
          <w:sz w:val="22"/>
          <w:szCs w:val="22"/>
        </w:rPr>
        <w:t xml:space="preserve"> A CONSULTA PÚBLICA </w:t>
      </w:r>
      <w:r w:rsidR="00651385">
        <w:rPr>
          <w:rFonts w:ascii="ITC Avant Garde" w:hAnsi="ITC Avant Garde"/>
          <w:b/>
          <w:color w:val="000000" w:themeColor="text1"/>
          <w:sz w:val="22"/>
          <w:szCs w:val="22"/>
        </w:rPr>
        <w:t xml:space="preserve">LOS </w:t>
      </w:r>
      <w:r w:rsidRPr="00840702">
        <w:rPr>
          <w:rFonts w:ascii="ITC Avant Garde" w:hAnsi="ITC Avant Garde"/>
          <w:b/>
          <w:color w:val="000000" w:themeColor="text1"/>
          <w:sz w:val="22"/>
          <w:szCs w:val="22"/>
        </w:rPr>
        <w:t xml:space="preserve">MODELOS DE COSTOS PARA </w:t>
      </w:r>
      <w:r w:rsidR="00376847">
        <w:rPr>
          <w:rFonts w:ascii="ITC Avant Garde" w:hAnsi="ITC Avant Garde"/>
          <w:b/>
          <w:color w:val="000000" w:themeColor="text1"/>
          <w:sz w:val="22"/>
          <w:szCs w:val="22"/>
        </w:rPr>
        <w:t xml:space="preserve">LA DETERMINACIÓN DE TARIFAS DE </w:t>
      </w:r>
      <w:r w:rsidRPr="00840702">
        <w:rPr>
          <w:rFonts w:ascii="ITC Avant Garde" w:hAnsi="ITC Avant Garde"/>
          <w:b/>
          <w:color w:val="000000" w:themeColor="text1"/>
          <w:sz w:val="22"/>
          <w:szCs w:val="22"/>
        </w:rPr>
        <w:t xml:space="preserve">LOS </w:t>
      </w:r>
      <w:r w:rsidR="00376847">
        <w:rPr>
          <w:rFonts w:ascii="ITC Avant Garde" w:hAnsi="ITC Avant Garde"/>
          <w:b/>
          <w:color w:val="000000" w:themeColor="text1"/>
          <w:sz w:val="22"/>
          <w:szCs w:val="22"/>
        </w:rPr>
        <w:t xml:space="preserve">SERVICIOS DE INTERCONEXIÓN PARA EL PERIODO 2018 </w:t>
      </w:r>
      <w:r w:rsidR="00651385">
        <w:rPr>
          <w:rFonts w:ascii="ITC Avant Garde" w:hAnsi="ITC Avant Garde"/>
          <w:b/>
          <w:color w:val="000000" w:themeColor="text1"/>
          <w:sz w:val="22"/>
          <w:szCs w:val="22"/>
        </w:rPr>
        <w:t xml:space="preserve">A </w:t>
      </w:r>
      <w:r w:rsidR="00376847">
        <w:rPr>
          <w:rFonts w:ascii="ITC Avant Garde" w:hAnsi="ITC Avant Garde"/>
          <w:b/>
          <w:color w:val="000000" w:themeColor="text1"/>
          <w:sz w:val="22"/>
          <w:szCs w:val="22"/>
        </w:rPr>
        <w:t>2020.</w:t>
      </w:r>
    </w:p>
    <w:p w14:paraId="547F1673" w14:textId="77777777" w:rsidR="007C4BEB" w:rsidRPr="007C4BEB" w:rsidRDefault="007C4BEB" w:rsidP="00D571AA">
      <w:pPr>
        <w:widowControl w:val="0"/>
        <w:spacing w:after="0"/>
        <w:jc w:val="both"/>
        <w:rPr>
          <w:rFonts w:ascii="ITC Avant Garde" w:eastAsia="Times New Roman" w:hAnsi="ITC Avant Garde"/>
          <w:szCs w:val="20"/>
        </w:rPr>
      </w:pPr>
    </w:p>
    <w:p w14:paraId="2A8D2C58" w14:textId="60228299" w:rsidR="007C4BEB" w:rsidRPr="007C4BEB" w:rsidRDefault="007C4BEB" w:rsidP="00D571AA">
      <w:pPr>
        <w:widowControl w:val="0"/>
        <w:spacing w:after="0"/>
        <w:jc w:val="center"/>
        <w:rPr>
          <w:rFonts w:ascii="ITC Avant Garde" w:eastAsia="Times New Roman" w:hAnsi="ITC Avant Garde"/>
          <w:b/>
          <w:szCs w:val="20"/>
        </w:rPr>
      </w:pPr>
      <w:r w:rsidRPr="007C4BEB">
        <w:rPr>
          <w:rFonts w:ascii="ITC Avant Garde" w:eastAsia="Times New Roman" w:hAnsi="ITC Avant Garde"/>
          <w:b/>
          <w:szCs w:val="20"/>
        </w:rPr>
        <w:t xml:space="preserve">A N T E C E D E N T E </w:t>
      </w:r>
      <w:r w:rsidR="00242F1C">
        <w:rPr>
          <w:rFonts w:ascii="ITC Avant Garde" w:eastAsia="Times New Roman" w:hAnsi="ITC Avant Garde"/>
          <w:b/>
          <w:szCs w:val="20"/>
        </w:rPr>
        <w:t>S</w:t>
      </w:r>
    </w:p>
    <w:p w14:paraId="04EAFB66" w14:textId="77777777" w:rsidR="007C4BEB" w:rsidRPr="007C4BEB" w:rsidRDefault="007C4BEB" w:rsidP="00D571AA">
      <w:pPr>
        <w:widowControl w:val="0"/>
        <w:spacing w:after="0"/>
        <w:jc w:val="center"/>
        <w:rPr>
          <w:rFonts w:ascii="ITC Avant Garde" w:eastAsia="Times New Roman" w:hAnsi="ITC Avant Garde"/>
          <w:szCs w:val="20"/>
        </w:rPr>
      </w:pPr>
    </w:p>
    <w:p w14:paraId="45BB19D9" w14:textId="77777777" w:rsidR="007C4BEB" w:rsidRPr="000277EE" w:rsidRDefault="007C4BEB" w:rsidP="00D571AA">
      <w:pPr>
        <w:widowControl w:val="0"/>
        <w:spacing w:after="0"/>
        <w:jc w:val="both"/>
        <w:rPr>
          <w:rFonts w:ascii="ITC Avant Garde" w:eastAsia="Times New Roman" w:hAnsi="ITC Avant Garde"/>
        </w:rPr>
      </w:pPr>
    </w:p>
    <w:p w14:paraId="35DB709A" w14:textId="0E3CD319" w:rsidR="007C4BEB" w:rsidRPr="000277EE" w:rsidRDefault="003B7F43" w:rsidP="00D571AA">
      <w:pPr>
        <w:widowControl w:val="0"/>
        <w:numPr>
          <w:ilvl w:val="0"/>
          <w:numId w:val="2"/>
        </w:numPr>
        <w:spacing w:after="0"/>
        <w:contextualSpacing/>
        <w:jc w:val="both"/>
      </w:pPr>
      <w:r w:rsidRPr="00276034">
        <w:rPr>
          <w:rFonts w:ascii="ITC Avant Garde" w:eastAsia="Times New Roman" w:hAnsi="ITC Avant Garde"/>
          <w:b/>
        </w:rPr>
        <w:t>Creación del Instituto Federal de Telecomunicaciones</w:t>
      </w:r>
      <w:r w:rsidRPr="00276034">
        <w:rPr>
          <w:rFonts w:ascii="ITC Avant Garde" w:eastAsia="Times New Roman" w:hAnsi="ITC Avant Garde"/>
        </w:rPr>
        <w:t>.</w:t>
      </w:r>
      <w:r>
        <w:rPr>
          <w:rFonts w:ascii="ITC Avant Garde" w:eastAsia="Times New Roman" w:hAnsi="ITC Avant Garde"/>
        </w:rPr>
        <w:t xml:space="preserve"> </w:t>
      </w:r>
      <w:r w:rsidR="007C4BEB" w:rsidRPr="000277EE">
        <w:rPr>
          <w:rFonts w:ascii="ITC Avant Garde" w:eastAsia="Times New Roman" w:hAnsi="ITC Avant Garde"/>
        </w:rPr>
        <w:t>El 11 de junio de 2013, se publicó en el Diario Oficial de la Federación (</w:t>
      </w:r>
      <w:r w:rsidR="00376847">
        <w:rPr>
          <w:rFonts w:ascii="ITC Avant Garde" w:eastAsia="Times New Roman" w:hAnsi="ITC Avant Garde"/>
        </w:rPr>
        <w:t>en lo sucesivo, el “</w:t>
      </w:r>
      <w:r w:rsidR="007C4BEB" w:rsidRPr="000277EE">
        <w:rPr>
          <w:rFonts w:ascii="ITC Avant Garde" w:eastAsia="Times New Roman" w:hAnsi="ITC Avant Garde"/>
        </w:rPr>
        <w:t>DOF</w:t>
      </w:r>
      <w:r w:rsidR="00376847">
        <w:rPr>
          <w:rFonts w:ascii="ITC Avant Garde" w:eastAsia="Times New Roman" w:hAnsi="ITC Avant Garde"/>
        </w:rPr>
        <w:t>”</w:t>
      </w:r>
      <w:r w:rsidR="007C4BEB" w:rsidRPr="000277EE">
        <w:rPr>
          <w:rFonts w:ascii="ITC Avant Garde" w:eastAsia="Times New Roman" w:hAnsi="ITC Avant Garde"/>
        </w:rPr>
        <w:t>), el “</w:t>
      </w:r>
      <w:r w:rsidR="007C4BEB" w:rsidRPr="000277EE">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007C4BEB" w:rsidRPr="000277EE">
        <w:rPr>
          <w:rFonts w:ascii="ITC Avant Garde" w:eastAsia="Times New Roman" w:hAnsi="ITC Avant Garde"/>
        </w:rPr>
        <w:t>” (</w:t>
      </w:r>
      <w:r w:rsidR="00376847">
        <w:rPr>
          <w:rFonts w:ascii="ITC Avant Garde" w:eastAsia="Times New Roman" w:hAnsi="ITC Avant Garde"/>
        </w:rPr>
        <w:t>en lo sucesivo, el “</w:t>
      </w:r>
      <w:r w:rsidR="007C4BEB" w:rsidRPr="000277EE">
        <w:rPr>
          <w:rFonts w:ascii="ITC Avant Garde" w:eastAsia="Times New Roman" w:hAnsi="ITC Avant Garde"/>
        </w:rPr>
        <w:t>Decreto</w:t>
      </w:r>
      <w:r w:rsidR="00376847">
        <w:rPr>
          <w:rFonts w:ascii="ITC Avant Garde" w:eastAsia="Times New Roman" w:hAnsi="ITC Avant Garde"/>
        </w:rPr>
        <w:t>”</w:t>
      </w:r>
      <w:r w:rsidR="007C4BEB" w:rsidRPr="000277EE">
        <w:rPr>
          <w:rFonts w:ascii="ITC Avant Garde" w:eastAsia="Times New Roman" w:hAnsi="ITC Avant Garde"/>
        </w:rPr>
        <w:t>), mediante el cual se creó al Instituto Federal de Telecomunicaciones (</w:t>
      </w:r>
      <w:r w:rsidR="00376847">
        <w:rPr>
          <w:rFonts w:ascii="ITC Avant Garde" w:eastAsia="Times New Roman" w:hAnsi="ITC Avant Garde"/>
        </w:rPr>
        <w:t>en lo sucesivo, el “</w:t>
      </w:r>
      <w:r w:rsidR="007C4BEB" w:rsidRPr="000277EE">
        <w:rPr>
          <w:rFonts w:ascii="ITC Avant Garde" w:eastAsia="Times New Roman" w:hAnsi="ITC Avant Garde"/>
        </w:rPr>
        <w:t>Instituto</w:t>
      </w:r>
      <w:r w:rsidR="00376847">
        <w:rPr>
          <w:rFonts w:ascii="ITC Avant Garde" w:eastAsia="Times New Roman" w:hAnsi="ITC Avant Garde"/>
        </w:rPr>
        <w:t>”</w:t>
      </w:r>
      <w:r w:rsidR="007C4BEB" w:rsidRPr="000277EE">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376847">
        <w:rPr>
          <w:rFonts w:ascii="ITC Avant Garde" w:eastAsia="Times New Roman" w:hAnsi="ITC Avant Garde"/>
        </w:rPr>
        <w:t>en lo sucesivo, la “</w:t>
      </w:r>
      <w:r w:rsidR="007C4BEB" w:rsidRPr="000277EE">
        <w:rPr>
          <w:rFonts w:ascii="ITC Avant Garde" w:eastAsia="Times New Roman" w:hAnsi="ITC Avant Garde"/>
        </w:rPr>
        <w:t>Constitución</w:t>
      </w:r>
      <w:r w:rsidR="00376847">
        <w:rPr>
          <w:rFonts w:ascii="ITC Avant Garde" w:eastAsia="Times New Roman" w:hAnsi="ITC Avant Garde"/>
        </w:rPr>
        <w:t>”</w:t>
      </w:r>
      <w:r w:rsidR="007C4BEB" w:rsidRPr="000277EE">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E7B8476" w14:textId="77777777" w:rsidR="007C4BEB" w:rsidRPr="000277EE" w:rsidRDefault="007C4BEB" w:rsidP="00D571AA">
      <w:pPr>
        <w:spacing w:after="0"/>
        <w:ind w:left="720"/>
        <w:contextualSpacing/>
        <w:rPr>
          <w:rFonts w:ascii="ITC Avant Garde" w:eastAsia="Times New Roman" w:hAnsi="ITC Avant Garde"/>
        </w:rPr>
      </w:pPr>
    </w:p>
    <w:p w14:paraId="23956568" w14:textId="4AB7ADAA" w:rsidR="007C4BEB" w:rsidRPr="000277EE" w:rsidRDefault="003B7F43" w:rsidP="00D571AA">
      <w:pPr>
        <w:widowControl w:val="0"/>
        <w:numPr>
          <w:ilvl w:val="0"/>
          <w:numId w:val="2"/>
        </w:numPr>
        <w:spacing w:after="0"/>
        <w:contextualSpacing/>
        <w:jc w:val="both"/>
        <w:rPr>
          <w:rFonts w:ascii="ITC Avant Garde" w:eastAsia="Times New Roman" w:hAnsi="ITC Avant Garde"/>
        </w:rPr>
      </w:pPr>
      <w:r w:rsidRPr="003B7F43">
        <w:rPr>
          <w:rFonts w:ascii="ITC Avant Garde" w:eastAsia="Times New Roman" w:hAnsi="ITC Avant Garde"/>
          <w:b/>
        </w:rPr>
        <w:t>Resolución AEP.</w:t>
      </w:r>
      <w:r>
        <w:rPr>
          <w:rFonts w:ascii="ITC Avant Garde" w:eastAsia="Times New Roman" w:hAnsi="ITC Avant Garde"/>
        </w:rPr>
        <w:t xml:space="preserve"> </w:t>
      </w:r>
      <w:r w:rsidR="007C4BEB" w:rsidRPr="000277EE">
        <w:rPr>
          <w:rFonts w:ascii="ITC Avant Garde" w:eastAsia="Times New Roman" w:hAnsi="ITC Avant Garde"/>
        </w:rPr>
        <w:t>El 6 de marzo de 2014, el Pleno del Instituto en su V Sesión Extraordinaria, aprobó mediante Acuerdo P/IFT/EXT/060314/76 la "</w:t>
      </w:r>
      <w:r w:rsidR="007C4BEB" w:rsidRPr="000277EE">
        <w:rPr>
          <w:rFonts w:ascii="ITC Avant Garde" w:eastAsia="Times New Roman" w:hAnsi="ITC Avant Garde"/>
          <w:i/>
        </w:rPr>
        <w:t>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7C4BEB" w:rsidRPr="000277EE">
        <w:rPr>
          <w:rFonts w:ascii="ITC Avant Garde" w:eastAsia="Times New Roman" w:hAnsi="ITC Avant Garde"/>
        </w:rPr>
        <w:t>." (</w:t>
      </w:r>
      <w:r w:rsidR="00376847">
        <w:rPr>
          <w:rFonts w:ascii="ITC Avant Garde" w:eastAsia="Times New Roman" w:hAnsi="ITC Avant Garde"/>
        </w:rPr>
        <w:t>en lo sucesivo, la “</w:t>
      </w:r>
      <w:r w:rsidR="007C4BEB" w:rsidRPr="000277EE">
        <w:rPr>
          <w:rFonts w:ascii="ITC Avant Garde" w:eastAsia="Times New Roman" w:hAnsi="ITC Avant Garde"/>
        </w:rPr>
        <w:t>Resolución AEP</w:t>
      </w:r>
      <w:r w:rsidR="00376847">
        <w:rPr>
          <w:rFonts w:ascii="ITC Avant Garde" w:eastAsia="Times New Roman" w:hAnsi="ITC Avant Garde"/>
        </w:rPr>
        <w:t>”</w:t>
      </w:r>
      <w:r w:rsidR="007C4BEB" w:rsidRPr="000277EE">
        <w:rPr>
          <w:rFonts w:ascii="ITC Avant Garde" w:eastAsia="Times New Roman" w:hAnsi="ITC Avant Garde"/>
        </w:rPr>
        <w:t>).</w:t>
      </w:r>
    </w:p>
    <w:p w14:paraId="356005A6" w14:textId="77777777" w:rsidR="007C4BEB" w:rsidRPr="000277EE" w:rsidRDefault="007C4BEB" w:rsidP="00D571AA">
      <w:pPr>
        <w:spacing w:after="0"/>
        <w:ind w:left="720"/>
        <w:contextualSpacing/>
        <w:rPr>
          <w:rFonts w:ascii="ITC Avant Garde" w:eastAsia="Times New Roman" w:hAnsi="ITC Avant Garde"/>
        </w:rPr>
      </w:pPr>
    </w:p>
    <w:p w14:paraId="1D58BF22" w14:textId="387D5500" w:rsidR="007C4BEB" w:rsidRDefault="003B7F43" w:rsidP="00D571AA">
      <w:pPr>
        <w:widowControl w:val="0"/>
        <w:numPr>
          <w:ilvl w:val="0"/>
          <w:numId w:val="2"/>
        </w:numPr>
        <w:spacing w:after="0"/>
        <w:contextualSpacing/>
        <w:jc w:val="both"/>
        <w:rPr>
          <w:rFonts w:ascii="ITC Avant Garde" w:eastAsia="Times New Roman" w:hAnsi="ITC Avant Garde"/>
        </w:rPr>
      </w:pPr>
      <w:r w:rsidRPr="00276034">
        <w:rPr>
          <w:rFonts w:ascii="ITC Avant Garde" w:eastAsia="Times New Roman" w:hAnsi="ITC Avant Garde"/>
          <w:b/>
        </w:rPr>
        <w:t>Ley Federal de Telecomunicaciones y Radiodifusión.</w:t>
      </w:r>
      <w:r w:rsidRPr="003D4A8F">
        <w:rPr>
          <w:b/>
        </w:rPr>
        <w:t xml:space="preserve"> </w:t>
      </w:r>
      <w:r w:rsidR="007C4BEB" w:rsidRPr="000277EE">
        <w:rPr>
          <w:rFonts w:ascii="ITC Avant Garde" w:eastAsia="Times New Roman" w:hAnsi="ITC Avant Garde"/>
        </w:rPr>
        <w:t>El 14 de julio de 2014, se publicó en el DOF el “</w:t>
      </w:r>
      <w:r w:rsidR="007C4BEB" w:rsidRPr="000277EE">
        <w:rPr>
          <w:rFonts w:ascii="ITC Avant Garde" w:eastAsia="Times New Roman" w:hAnsi="ITC Avant Garde"/>
          <w:i/>
        </w:rPr>
        <w:t xml:space="preserve">DECRETO por el que se expiden la Ley Federal de </w:t>
      </w:r>
      <w:r w:rsidR="007C4BEB" w:rsidRPr="000277EE">
        <w:rPr>
          <w:rFonts w:ascii="ITC Avant Garde" w:eastAsia="Times New Roman" w:hAnsi="ITC Avant Garde"/>
          <w:i/>
        </w:rPr>
        <w:lastRenderedPageBreak/>
        <w:t xml:space="preserve">Telecomunicaciones y Radiodifusión, y la Ley del Sistema Público de Radiodifusión del Estado Mexicano; y se reforman, adicionan y derogan diversas disposiciones en materia de telecomunicaciones y radiodifusión” </w:t>
      </w:r>
      <w:r w:rsidR="007C4BEB" w:rsidRPr="000277EE">
        <w:rPr>
          <w:rFonts w:ascii="ITC Avant Garde" w:eastAsia="Times New Roman" w:hAnsi="ITC Avant Garde"/>
        </w:rPr>
        <w:t>(</w:t>
      </w:r>
      <w:r w:rsidR="00376847">
        <w:rPr>
          <w:rFonts w:ascii="ITC Avant Garde" w:eastAsia="Times New Roman" w:hAnsi="ITC Avant Garde"/>
        </w:rPr>
        <w:t>en lo sucesivo, el “</w:t>
      </w:r>
      <w:r w:rsidR="007C4BEB" w:rsidRPr="000277EE">
        <w:rPr>
          <w:rFonts w:ascii="ITC Avant Garde" w:eastAsia="Times New Roman" w:hAnsi="ITC Avant Garde"/>
        </w:rPr>
        <w:t>Decreto de Ley</w:t>
      </w:r>
      <w:r w:rsidR="00376847">
        <w:rPr>
          <w:rFonts w:ascii="ITC Avant Garde" w:eastAsia="Times New Roman" w:hAnsi="ITC Avant Garde"/>
        </w:rPr>
        <w:t>”</w:t>
      </w:r>
      <w:r w:rsidR="007C4BEB" w:rsidRPr="000277EE">
        <w:rPr>
          <w:rFonts w:ascii="ITC Avant Garde" w:eastAsia="Times New Roman" w:hAnsi="ITC Avant Garde"/>
        </w:rPr>
        <w:t>), entrando en vigor la Ley Federal de Telecomunicaciones y Radiodifusión (</w:t>
      </w:r>
      <w:r w:rsidR="00376847">
        <w:rPr>
          <w:rFonts w:ascii="ITC Avant Garde" w:eastAsia="Times New Roman" w:hAnsi="ITC Avant Garde"/>
        </w:rPr>
        <w:t xml:space="preserve">en lo sucesivo, la </w:t>
      </w:r>
      <w:proofErr w:type="spellStart"/>
      <w:r w:rsidR="00376847">
        <w:rPr>
          <w:rFonts w:ascii="ITC Avant Garde" w:eastAsia="Times New Roman" w:hAnsi="ITC Avant Garde"/>
        </w:rPr>
        <w:t>LFTyR</w:t>
      </w:r>
      <w:proofErr w:type="spellEnd"/>
      <w:r w:rsidR="00376847">
        <w:rPr>
          <w:rFonts w:ascii="ITC Avant Garde" w:eastAsia="Times New Roman" w:hAnsi="ITC Avant Garde"/>
        </w:rPr>
        <w:t>”)</w:t>
      </w:r>
      <w:r w:rsidR="007C4BEB" w:rsidRPr="000277EE">
        <w:rPr>
          <w:rFonts w:ascii="ITC Avant Garde" w:eastAsia="Times New Roman" w:hAnsi="ITC Avant Garde"/>
        </w:rPr>
        <w:t xml:space="preserve"> el 13 de agosto del 2014.</w:t>
      </w:r>
    </w:p>
    <w:p w14:paraId="6CAEC836" w14:textId="77777777" w:rsidR="005F674F" w:rsidRDefault="005F674F" w:rsidP="00D571AA">
      <w:pPr>
        <w:widowControl w:val="0"/>
        <w:spacing w:after="0"/>
        <w:ind w:left="1080"/>
        <w:contextualSpacing/>
        <w:jc w:val="both"/>
        <w:rPr>
          <w:rFonts w:ascii="ITC Avant Garde" w:eastAsia="Times New Roman" w:hAnsi="ITC Avant Garde"/>
        </w:rPr>
      </w:pPr>
    </w:p>
    <w:p w14:paraId="10C04F04" w14:textId="22FA6A01" w:rsidR="005F674F" w:rsidRPr="005F674F" w:rsidRDefault="003B7F43" w:rsidP="00D571AA">
      <w:pPr>
        <w:widowControl w:val="0"/>
        <w:numPr>
          <w:ilvl w:val="0"/>
          <w:numId w:val="2"/>
        </w:numPr>
        <w:spacing w:after="0"/>
        <w:contextualSpacing/>
        <w:jc w:val="both"/>
        <w:rPr>
          <w:rFonts w:ascii="ITC Avant Garde" w:eastAsia="Times New Roman" w:hAnsi="ITC Avant Garde"/>
          <w:i/>
          <w:lang w:val="es-ES"/>
        </w:rPr>
      </w:pPr>
      <w:r w:rsidRPr="003B7F43">
        <w:rPr>
          <w:rFonts w:ascii="ITC Avant Garde" w:eastAsia="Times New Roman" w:hAnsi="ITC Avant Garde"/>
          <w:b/>
        </w:rPr>
        <w:t>Estatuto orgánico.</w:t>
      </w:r>
      <w:r>
        <w:rPr>
          <w:rFonts w:ascii="ITC Avant Garde" w:eastAsia="Times New Roman" w:hAnsi="ITC Avant Garde"/>
        </w:rPr>
        <w:t xml:space="preserve"> </w:t>
      </w:r>
      <w:r w:rsidR="005F674F" w:rsidRPr="005F674F">
        <w:rPr>
          <w:rFonts w:ascii="ITC Avant Garde" w:eastAsia="Times New Roman" w:hAnsi="ITC Avant Garde"/>
        </w:rPr>
        <w:t xml:space="preserve">El 4 de septiembre de 2014, se publicó en el DOF </w:t>
      </w:r>
      <w:r w:rsidR="005F674F" w:rsidRPr="005F674F">
        <w:rPr>
          <w:rFonts w:ascii="ITC Avant Garde" w:eastAsia="Times New Roman" w:hAnsi="ITC Avant Garde"/>
          <w:lang w:val="es-ES"/>
        </w:rPr>
        <w:t xml:space="preserve">el </w:t>
      </w:r>
      <w:r w:rsidR="005F674F" w:rsidRPr="005F674F">
        <w:rPr>
          <w:rFonts w:ascii="ITC Avant Garde" w:eastAsia="Times New Roman" w:hAnsi="ITC Avant Garde"/>
          <w:i/>
          <w:lang w:val="es-ES"/>
        </w:rPr>
        <w:t xml:space="preserve">“ESTATUTO Orgánico del Instituto Federal de Telecomunicaciones” </w:t>
      </w:r>
      <w:r w:rsidR="005F674F" w:rsidRPr="005F674F">
        <w:rPr>
          <w:rFonts w:ascii="ITC Avant Garde" w:eastAsia="Times New Roman" w:hAnsi="ITC Avant Garde"/>
          <w:lang w:val="es-ES"/>
        </w:rPr>
        <w:t>(en lo sucesivo, el “Estatuto”), mismo que entró en vigor el 26 de septiembre de 2014 y fue modificado el 17 de octubre de 2014.</w:t>
      </w:r>
    </w:p>
    <w:p w14:paraId="7C206AFD" w14:textId="7C3B79E5" w:rsidR="00967416" w:rsidRPr="005F674F" w:rsidRDefault="00967416" w:rsidP="00D571AA">
      <w:pPr>
        <w:widowControl w:val="0"/>
        <w:spacing w:after="0"/>
        <w:ind w:left="1080"/>
        <w:contextualSpacing/>
        <w:jc w:val="both"/>
        <w:rPr>
          <w:rFonts w:ascii="ITC Avant Garde" w:eastAsia="Times New Roman" w:hAnsi="ITC Avant Garde"/>
        </w:rPr>
      </w:pPr>
    </w:p>
    <w:p w14:paraId="50B18ED5" w14:textId="732ECEC8" w:rsidR="00967416" w:rsidRPr="00967416" w:rsidRDefault="003B7F43" w:rsidP="00D571AA">
      <w:pPr>
        <w:widowControl w:val="0"/>
        <w:numPr>
          <w:ilvl w:val="0"/>
          <w:numId w:val="2"/>
        </w:numPr>
        <w:spacing w:after="0"/>
        <w:contextualSpacing/>
        <w:jc w:val="both"/>
        <w:rPr>
          <w:rFonts w:ascii="ITC Avant Garde" w:eastAsia="Times New Roman" w:hAnsi="ITC Avant Garde"/>
        </w:rPr>
      </w:pPr>
      <w:r w:rsidRPr="00E11353">
        <w:rPr>
          <w:rFonts w:ascii="ITC Avant Garde" w:eastAsia="Times New Roman" w:hAnsi="ITC Avant Garde"/>
          <w:b/>
        </w:rPr>
        <w:t>Aprobación de la metodología para el cálculo de costos de interconexión.</w:t>
      </w:r>
      <w:r w:rsidRPr="00E11353">
        <w:rPr>
          <w:b/>
        </w:rPr>
        <w:t xml:space="preserve"> </w:t>
      </w:r>
      <w:r w:rsidR="00967416" w:rsidRPr="00967416">
        <w:rPr>
          <w:rFonts w:ascii="ITC Avant Garde" w:eastAsia="Times New Roman" w:hAnsi="ITC Avant Garde"/>
        </w:rPr>
        <w:t>El 18 de diciembre de 2014, el Instituto publicó en el DOF, el “</w:t>
      </w:r>
      <w:r w:rsidR="00967416" w:rsidRPr="00967416">
        <w:rPr>
          <w:rFonts w:ascii="ITC Avant Garde" w:eastAsia="Times New Roman" w:hAnsi="ITC Avant Garde"/>
          <w:i/>
        </w:rPr>
        <w:t>ACUERDO mediante el cual el Pleno del Instituto Federal de Telecomunicaciones emite la metodología para el cálculo de costos de interconexión de conformidad con la Ley Federal de Telecomunicaciones y Radiodifusión</w:t>
      </w:r>
      <w:r w:rsidR="00967416" w:rsidRPr="00967416">
        <w:rPr>
          <w:rFonts w:ascii="ITC Avant Garde" w:eastAsia="Times New Roman" w:hAnsi="ITC Avant Garde"/>
        </w:rPr>
        <w:t>”, aprobado mediante Acuerdo P/IFT/EXT/161214/277 (en lo sucesivo la “Metodología de Costos”).</w:t>
      </w:r>
    </w:p>
    <w:p w14:paraId="47C0CCDB" w14:textId="77777777" w:rsidR="007C4BEB" w:rsidRPr="007C4BEB" w:rsidRDefault="007C4BEB" w:rsidP="00D571AA">
      <w:pPr>
        <w:spacing w:after="0"/>
        <w:jc w:val="center"/>
        <w:rPr>
          <w:rFonts w:ascii="ITC Avant Garde" w:hAnsi="ITC Avant Garde" w:cs="Arial"/>
          <w:b/>
          <w:bCs/>
        </w:rPr>
      </w:pPr>
    </w:p>
    <w:p w14:paraId="23AC9EBF" w14:textId="77777777" w:rsidR="007C4BEB" w:rsidRPr="007C4BEB" w:rsidRDefault="007C4BEB" w:rsidP="00D571AA">
      <w:pPr>
        <w:spacing w:after="0"/>
        <w:jc w:val="center"/>
        <w:rPr>
          <w:rFonts w:ascii="ITC Avant Garde" w:hAnsi="ITC Avant Garde" w:cs="Arial"/>
          <w:b/>
          <w:bCs/>
        </w:rPr>
      </w:pPr>
      <w:r w:rsidRPr="007C4BEB">
        <w:rPr>
          <w:rFonts w:ascii="ITC Avant Garde" w:hAnsi="ITC Avant Garde" w:cs="Arial"/>
          <w:b/>
          <w:bCs/>
        </w:rPr>
        <w:t>CONSIDERANDO</w:t>
      </w:r>
    </w:p>
    <w:p w14:paraId="3052C00F" w14:textId="77777777" w:rsidR="007C4BEB" w:rsidRPr="007C4BEB" w:rsidRDefault="007C4BEB" w:rsidP="00D571AA">
      <w:pPr>
        <w:spacing w:after="0"/>
        <w:jc w:val="both"/>
        <w:rPr>
          <w:rFonts w:ascii="ITC Avant Garde" w:hAnsi="ITC Avant Garde" w:cs="Arial"/>
          <w:b/>
          <w:bCs/>
        </w:rPr>
      </w:pPr>
    </w:p>
    <w:p w14:paraId="719EBB8A" w14:textId="77777777" w:rsidR="007C4BEB" w:rsidRPr="007C4BEB" w:rsidRDefault="007C4BEB" w:rsidP="00D571AA">
      <w:pPr>
        <w:spacing w:after="0"/>
        <w:jc w:val="both"/>
        <w:rPr>
          <w:rFonts w:ascii="ITC Avant Garde" w:hAnsi="ITC Avant Garde" w:cs="Arial"/>
          <w:b/>
          <w:bCs/>
        </w:rPr>
      </w:pPr>
    </w:p>
    <w:p w14:paraId="718D90E5" w14:textId="78BDB581" w:rsidR="007C4BEB" w:rsidRPr="007C4BEB" w:rsidRDefault="007C4BEB" w:rsidP="00D571AA">
      <w:pPr>
        <w:spacing w:after="0"/>
        <w:jc w:val="both"/>
        <w:rPr>
          <w:rFonts w:ascii="ITC Avant Garde" w:hAnsi="ITC Avant Garde" w:cs="Arial"/>
          <w:bCs/>
        </w:rPr>
      </w:pPr>
      <w:r w:rsidRPr="007C4BEB">
        <w:rPr>
          <w:rFonts w:ascii="ITC Avant Garde" w:hAnsi="ITC Avant Garde" w:cs="Arial"/>
          <w:b/>
          <w:bCs/>
        </w:rPr>
        <w:t>PRIMERO.- Competencia del Instituto.</w:t>
      </w:r>
      <w:r w:rsidRPr="007C4BEB">
        <w:rPr>
          <w:rFonts w:ascii="ITC Avant Garde" w:hAnsi="ITC Avant Garde" w:cs="Arial"/>
          <w:bCs/>
        </w:rPr>
        <w:t xml:space="preserve"> De conformidad con el artículo 28, párrafos décimo quinto y décimo sexto de la Constitución, el Instituto </w:t>
      </w:r>
      <w:r w:rsidR="00376847">
        <w:rPr>
          <w:rFonts w:ascii="ITC Avant Garde" w:hAnsi="ITC Avant Garde" w:cs="Arial"/>
          <w:bCs/>
        </w:rPr>
        <w:t xml:space="preserve">Federal de Telecomunicaciones </w:t>
      </w:r>
      <w:r w:rsidRPr="007C4BEB">
        <w:rPr>
          <w:rFonts w:ascii="ITC Avant Garde" w:hAnsi="ITC Avant Garde" w:cs="Arial"/>
          <w:bCs/>
        </w:rPr>
        <w:t>tiene a su cargo la regulación, promoción y supervisión del uso, aprovechamiento y explotación del espectro radioeléctrico, las redes y la prestación de los servicios de radiodifusión y telecomunic</w:t>
      </w:r>
      <w:r w:rsidR="00EF790E">
        <w:rPr>
          <w:rFonts w:ascii="ITC Avant Garde" w:hAnsi="ITC Avant Garde" w:cs="Arial"/>
          <w:bCs/>
        </w:rPr>
        <w:t>aciones, así como del acceso a i</w:t>
      </w:r>
      <w:r w:rsidRPr="007C4BEB">
        <w:rPr>
          <w:rFonts w:ascii="ITC Avant Garde" w:hAnsi="ITC Avant Garde" w:cs="Arial"/>
          <w:bCs/>
        </w:rPr>
        <w:t xml:space="preserve">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w:t>
      </w:r>
      <w:proofErr w:type="gramStart"/>
      <w:r w:rsidRPr="007C4BEB">
        <w:rPr>
          <w:rFonts w:ascii="ITC Avant Garde" w:hAnsi="ITC Avant Garde" w:cs="Arial"/>
          <w:bCs/>
        </w:rPr>
        <w:t>regional</w:t>
      </w:r>
      <w:proofErr w:type="gramEnd"/>
      <w:r w:rsidRPr="007C4BEB">
        <w:rPr>
          <w:rFonts w:ascii="ITC Avant Garde" w:hAnsi="ITC Avant Garde" w:cs="Arial"/>
          <w:bCs/>
        </w:rPr>
        <w:t xml:space="preserve">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5EFC9375" w14:textId="77777777" w:rsidR="007C4BEB" w:rsidRPr="007C4BEB" w:rsidRDefault="007C4BEB" w:rsidP="00D571AA">
      <w:pPr>
        <w:widowControl w:val="0"/>
        <w:spacing w:after="0"/>
        <w:jc w:val="both"/>
        <w:rPr>
          <w:rFonts w:ascii="ITC Avant Garde" w:eastAsia="Times New Roman" w:hAnsi="ITC Avant Garde"/>
        </w:rPr>
      </w:pPr>
    </w:p>
    <w:p w14:paraId="1AB1C97F" w14:textId="5714FFE0" w:rsidR="007C4BEB" w:rsidRPr="007C4BEB" w:rsidRDefault="007C4BEB" w:rsidP="00D571AA">
      <w:pPr>
        <w:widowControl w:val="0"/>
        <w:spacing w:after="0"/>
        <w:jc w:val="both"/>
        <w:rPr>
          <w:rFonts w:ascii="ITC Avant Garde" w:eastAsia="Times New Roman" w:hAnsi="ITC Avant Garde"/>
        </w:rPr>
      </w:pPr>
      <w:r w:rsidRPr="007C4BEB">
        <w:rPr>
          <w:rFonts w:ascii="ITC Avant Garde" w:eastAsia="Times New Roman" w:hAnsi="ITC Avant Garde"/>
        </w:rPr>
        <w:lastRenderedPageBreak/>
        <w:t>De igual for</w:t>
      </w:r>
      <w:r w:rsidR="005F674F">
        <w:rPr>
          <w:rFonts w:ascii="ITC Avant Garde" w:eastAsia="Times New Roman" w:hAnsi="ITC Avant Garde"/>
        </w:rPr>
        <w:t>ma, la fracción IV del párrafo v</w:t>
      </w:r>
      <w:r w:rsidRPr="007C4BEB">
        <w:rPr>
          <w:rFonts w:ascii="ITC Avant Garde" w:eastAsia="Times New Roman" w:hAnsi="ITC Avant Garde"/>
        </w:rPr>
        <w:t xml:space="preserve">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w:t>
      </w:r>
      <w:proofErr w:type="spellStart"/>
      <w:r w:rsidRPr="007C4BEB">
        <w:rPr>
          <w:rFonts w:ascii="ITC Avant Garde" w:eastAsia="Times New Roman" w:hAnsi="ITC Avant Garde"/>
        </w:rPr>
        <w:t>L</w:t>
      </w:r>
      <w:r w:rsidR="005F674F">
        <w:rPr>
          <w:rFonts w:ascii="ITC Avant Garde" w:eastAsia="Times New Roman" w:hAnsi="ITC Avant Garde"/>
        </w:rPr>
        <w:t>FTyR</w:t>
      </w:r>
      <w:proofErr w:type="spellEnd"/>
      <w:r w:rsidRPr="007C4BEB">
        <w:rPr>
          <w:rFonts w:ascii="ITC Avant Garde" w:eastAsia="Times New Roman" w:hAnsi="ITC Avant Garde"/>
        </w:rPr>
        <w:t xml:space="preserve"> y 6º de su Estatuto Orgánico, tiene la atribución de expedir disposiciones administrativas de carácter general, planes técnicos fundamentales, lineamientos, </w:t>
      </w:r>
      <w:r w:rsidR="00CC3D6C">
        <w:rPr>
          <w:rFonts w:ascii="ITC Avant Garde" w:eastAsia="Times New Roman" w:hAnsi="ITC Avant Garde"/>
        </w:rPr>
        <w:t>M</w:t>
      </w:r>
      <w:r w:rsidRPr="007C4BEB">
        <w:rPr>
          <w:rFonts w:ascii="ITC Avant Garde" w:eastAsia="Times New Roman" w:hAnsi="ITC Avant Garde"/>
        </w:rPr>
        <w:t xml:space="preserve">odelos de </w:t>
      </w:r>
      <w:r w:rsidR="00CC3D6C">
        <w:rPr>
          <w:rFonts w:ascii="ITC Avant Garde" w:eastAsia="Times New Roman" w:hAnsi="ITC Avant Garde"/>
        </w:rPr>
        <w:t>C</w:t>
      </w:r>
      <w:r w:rsidRPr="007C4BEB">
        <w:rPr>
          <w:rFonts w:ascii="ITC Avant Garde" w:eastAsia="Times New Roman" w:hAnsi="ITC Avant Garde"/>
        </w:rPr>
        <w:t>ostos, procedimientos de evaluación de la conformidad, procedimientos de homologación y certificación y ordenamientos técnicos en materia de telecomunic</w:t>
      </w:r>
      <w:r w:rsidR="00EF790E">
        <w:rPr>
          <w:rFonts w:ascii="ITC Avant Garde" w:eastAsia="Times New Roman" w:hAnsi="ITC Avant Garde"/>
        </w:rPr>
        <w:t>aciones y radiodifusión, así</w:t>
      </w:r>
      <w:r w:rsidRPr="007C4BEB">
        <w:rPr>
          <w:rFonts w:ascii="ITC Avant Garde" w:eastAsia="Times New Roman" w:hAnsi="ITC Avant Garde"/>
        </w:rPr>
        <w:t xml:space="preserve"> como demás disposiciones para el cumplimiento de lo dispuesto en la </w:t>
      </w:r>
      <w:proofErr w:type="spellStart"/>
      <w:r w:rsidRPr="007C4BEB">
        <w:rPr>
          <w:rFonts w:ascii="ITC Avant Garde" w:eastAsia="Times New Roman" w:hAnsi="ITC Avant Garde"/>
        </w:rPr>
        <w:t>L</w:t>
      </w:r>
      <w:r w:rsidR="005F674F">
        <w:rPr>
          <w:rFonts w:ascii="ITC Avant Garde" w:eastAsia="Times New Roman" w:hAnsi="ITC Avant Garde"/>
        </w:rPr>
        <w:t>FTyR</w:t>
      </w:r>
      <w:proofErr w:type="spellEnd"/>
      <w:r w:rsidRPr="007C4BEB">
        <w:rPr>
          <w:rFonts w:ascii="ITC Avant Garde" w:eastAsia="Times New Roman" w:hAnsi="ITC Avant Garde"/>
        </w:rPr>
        <w:t>.</w:t>
      </w:r>
    </w:p>
    <w:p w14:paraId="5CB033F2" w14:textId="2389D8DA" w:rsidR="00AE47FD" w:rsidRDefault="00AE47FD" w:rsidP="00D571AA">
      <w:pPr>
        <w:spacing w:after="0"/>
        <w:jc w:val="both"/>
        <w:rPr>
          <w:rFonts w:ascii="ITC Avant Garde" w:hAnsi="ITC Avant Garde" w:cs="Arial"/>
          <w:bCs/>
        </w:rPr>
      </w:pPr>
    </w:p>
    <w:p w14:paraId="23A2BA3B" w14:textId="77777777" w:rsidR="00584E16" w:rsidRDefault="00AB7EEE" w:rsidP="00D571AA">
      <w:pPr>
        <w:spacing w:after="0"/>
        <w:jc w:val="both"/>
        <w:rPr>
          <w:rFonts w:ascii="ITC Avant Garde" w:hAnsi="ITC Avant Garde" w:cs="Arial"/>
          <w:bCs/>
        </w:rPr>
      </w:pPr>
      <w:r w:rsidRPr="007048F7">
        <w:rPr>
          <w:rFonts w:ascii="ITC Avant Garde" w:hAnsi="ITC Avant Garde" w:cs="Arial"/>
          <w:b/>
          <w:bCs/>
        </w:rPr>
        <w:t>SEGUNDO</w:t>
      </w:r>
      <w:r w:rsidRPr="007048F7">
        <w:rPr>
          <w:rFonts w:ascii="ITC Avant Garde" w:hAnsi="ITC Avant Garde" w:cs="Arial"/>
          <w:bCs/>
        </w:rPr>
        <w:t>.-</w:t>
      </w:r>
      <w:r w:rsidR="00584E16">
        <w:rPr>
          <w:rFonts w:ascii="ITC Avant Garde" w:hAnsi="ITC Avant Garde" w:cs="Arial"/>
          <w:bCs/>
        </w:rPr>
        <w:t xml:space="preserve"> </w:t>
      </w:r>
      <w:r w:rsidR="00584E16" w:rsidRPr="00584E16">
        <w:rPr>
          <w:rFonts w:ascii="ITC Avant Garde" w:hAnsi="ITC Avant Garde" w:cs="Arial"/>
          <w:b/>
          <w:bCs/>
        </w:rPr>
        <w:t>Importancia de la interconexión.</w:t>
      </w:r>
      <w:r w:rsidR="00584E16">
        <w:rPr>
          <w:rFonts w:ascii="ITC Avant Garde" w:hAnsi="ITC Avant Garde" w:cs="Arial"/>
          <w:bCs/>
        </w:rPr>
        <w:t xml:space="preserve"> </w:t>
      </w:r>
      <w:r w:rsidR="00584E16" w:rsidRPr="00584E16">
        <w:rPr>
          <w:rFonts w:ascii="ITC Avant Garde" w:hAnsi="ITC Avant Garde" w:cs="Arial"/>
          <w:bCs/>
        </w:rPr>
        <w:t>El artículo 6° de la Constitución establece que las telecomunicaciones son servicios públicos de interés general, y es el deber del Estado de garantizar que se presten en condiciones de competencia, calidad, pluralidad, cobertura universal, interconexión, convergencia, continuidad, acceso libre y sin injerencias arbitrarias.</w:t>
      </w:r>
    </w:p>
    <w:p w14:paraId="1F4E0A8F" w14:textId="77777777" w:rsidR="00584E16" w:rsidRPr="00584E16" w:rsidRDefault="00584E16" w:rsidP="00D571AA">
      <w:pPr>
        <w:spacing w:after="0"/>
        <w:jc w:val="both"/>
        <w:rPr>
          <w:rFonts w:ascii="ITC Avant Garde" w:hAnsi="ITC Avant Garde" w:cs="Arial"/>
          <w:bCs/>
        </w:rPr>
      </w:pPr>
    </w:p>
    <w:p w14:paraId="34CF3556" w14:textId="77777777" w:rsidR="00584E16" w:rsidRPr="00584E16" w:rsidRDefault="00584E16" w:rsidP="00D571AA">
      <w:pPr>
        <w:spacing w:after="0"/>
        <w:jc w:val="both"/>
        <w:rPr>
          <w:rFonts w:ascii="ITC Avant Garde" w:hAnsi="ITC Avant Garde" w:cs="Arial"/>
          <w:bCs/>
        </w:rPr>
      </w:pPr>
      <w:r w:rsidRPr="00584E16">
        <w:rPr>
          <w:rFonts w:ascii="ITC Avant Garde" w:hAnsi="ITC Avant Garde" w:cs="Arial"/>
          <w:bCs/>
        </w:rPr>
        <w:t xml:space="preserve">Por su parte el artículo 2 de la </w:t>
      </w:r>
      <w:proofErr w:type="spellStart"/>
      <w:r w:rsidRPr="00584E16">
        <w:rPr>
          <w:rFonts w:ascii="ITC Avant Garde" w:hAnsi="ITC Avant Garde" w:cs="Arial"/>
          <w:bCs/>
        </w:rPr>
        <w:t>LFTyR</w:t>
      </w:r>
      <w:proofErr w:type="spellEnd"/>
      <w:r w:rsidRPr="00584E16">
        <w:rPr>
          <w:rFonts w:ascii="ITC Avant Garde" w:hAnsi="ITC Avant Garde" w:cs="Arial"/>
          <w:bCs/>
        </w:rPr>
        <w:t>,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w:t>
      </w:r>
    </w:p>
    <w:p w14:paraId="0C3DFE29" w14:textId="77777777" w:rsidR="00584E16" w:rsidRDefault="00584E16" w:rsidP="00D571AA">
      <w:pPr>
        <w:spacing w:after="0"/>
        <w:jc w:val="both"/>
        <w:rPr>
          <w:rFonts w:ascii="ITC Avant Garde" w:hAnsi="ITC Avant Garde" w:cs="Arial"/>
          <w:bCs/>
        </w:rPr>
      </w:pPr>
      <w:r w:rsidRPr="00584E16">
        <w:rPr>
          <w:rFonts w:ascii="ITC Avant Garde" w:hAnsi="ITC Avant Garde" w:cs="Arial"/>
          <w:bCs/>
        </w:rPr>
        <w:t xml:space="preserve">En este sentido se observa en la </w:t>
      </w:r>
      <w:proofErr w:type="spellStart"/>
      <w:r w:rsidRPr="00584E16">
        <w:rPr>
          <w:rFonts w:ascii="ITC Avant Garde" w:hAnsi="ITC Avant Garde" w:cs="Arial"/>
          <w:bCs/>
        </w:rPr>
        <w:t>LFTyR</w:t>
      </w:r>
      <w:proofErr w:type="spellEnd"/>
      <w:r w:rsidRPr="00584E16">
        <w:rPr>
          <w:rFonts w:ascii="ITC Avant Garde" w:hAnsi="ITC Avant Garde" w:cs="Arial"/>
          <w:bCs/>
        </w:rPr>
        <w:t xml:space="preserve"> que es a través del desarrollo y la promoción de una competencia efectiva que se garantizan las mejores condiciones para el país.</w:t>
      </w:r>
    </w:p>
    <w:p w14:paraId="0FF7D663" w14:textId="77777777" w:rsidR="00584E16" w:rsidRPr="00584E16" w:rsidRDefault="00584E16" w:rsidP="00D571AA">
      <w:pPr>
        <w:spacing w:after="0"/>
        <w:jc w:val="both"/>
        <w:rPr>
          <w:rFonts w:ascii="ITC Avant Garde" w:hAnsi="ITC Avant Garde" w:cs="Arial"/>
          <w:bCs/>
        </w:rPr>
      </w:pPr>
    </w:p>
    <w:p w14:paraId="414C1D2C" w14:textId="77777777" w:rsidR="00584E16" w:rsidRDefault="00584E16" w:rsidP="00D571AA">
      <w:pPr>
        <w:spacing w:after="0"/>
        <w:jc w:val="both"/>
        <w:rPr>
          <w:rFonts w:ascii="ITC Avant Garde" w:hAnsi="ITC Avant Garde" w:cs="Arial"/>
          <w:bCs/>
        </w:rPr>
      </w:pPr>
      <w:r w:rsidRPr="00584E16">
        <w:rPr>
          <w:rFonts w:ascii="ITC Avant Garde" w:hAnsi="ITC Avant Garde" w:cs="Arial"/>
          <w:bCs/>
        </w:rPr>
        <w:t>De conformidad con el artículo 25 Constitucional, el Estado planeará, conducirá, coordinará y orientará la actividad económica nacional, llevando a cabo la regulación y fomento de las actividades que demande el interés general en el marco que otorga la propia Constitución.</w:t>
      </w:r>
    </w:p>
    <w:p w14:paraId="31E83D8D" w14:textId="77777777" w:rsidR="00584E16" w:rsidRPr="00584E16" w:rsidRDefault="00584E16" w:rsidP="00D571AA">
      <w:pPr>
        <w:spacing w:after="0"/>
        <w:jc w:val="both"/>
        <w:rPr>
          <w:rFonts w:ascii="ITC Avant Garde" w:hAnsi="ITC Avant Garde" w:cs="Arial"/>
          <w:bCs/>
        </w:rPr>
      </w:pPr>
    </w:p>
    <w:p w14:paraId="27F37808" w14:textId="77777777" w:rsidR="00584E16" w:rsidRDefault="00584E16" w:rsidP="00D571AA">
      <w:pPr>
        <w:spacing w:after="0"/>
        <w:jc w:val="both"/>
        <w:rPr>
          <w:rFonts w:ascii="ITC Avant Garde" w:hAnsi="ITC Avant Garde" w:cs="Arial"/>
          <w:bCs/>
        </w:rPr>
      </w:pPr>
      <w:r w:rsidRPr="00584E16">
        <w:rPr>
          <w:rFonts w:ascii="ITC Avant Garde" w:hAnsi="ITC Avant Garde" w:cs="Arial"/>
          <w:bCs/>
        </w:rPr>
        <w:t>Asimismo, el Decreto establece el deber de garantizar la competencia económica en el sector de telecomunicaciones, y por lo tanto requiere de una regulación adecuada, precisa e imparcial de la interconexión, que promueva y facilite el uso eficiente de las redes, fomente la entrada en el mercado de competidores eficientes y permita la expansión de los existentes, incorpore nuevas tecnologías y servicios y promueva un entorno de sana competencia entre los operadores.</w:t>
      </w:r>
    </w:p>
    <w:p w14:paraId="27660C3F" w14:textId="77777777" w:rsidR="00584E16" w:rsidRDefault="00584E16" w:rsidP="00D571AA">
      <w:pPr>
        <w:spacing w:after="0"/>
        <w:jc w:val="both"/>
        <w:rPr>
          <w:rFonts w:ascii="ITC Avant Garde" w:hAnsi="ITC Avant Garde" w:cs="Arial"/>
          <w:bCs/>
        </w:rPr>
      </w:pPr>
    </w:p>
    <w:p w14:paraId="6C7EEA36" w14:textId="42508E0B" w:rsidR="00584E16" w:rsidRDefault="00584E16" w:rsidP="00D571AA">
      <w:pPr>
        <w:spacing w:after="0"/>
        <w:jc w:val="both"/>
        <w:rPr>
          <w:rFonts w:ascii="ITC Avant Garde" w:hAnsi="ITC Avant Garde" w:cs="Arial"/>
          <w:bCs/>
        </w:rPr>
      </w:pPr>
      <w:r w:rsidRPr="00584E16">
        <w:rPr>
          <w:rFonts w:ascii="ITC Avant Garde" w:hAnsi="ITC Avant Garde" w:cs="Arial"/>
          <w:bCs/>
        </w:rPr>
        <w:t xml:space="preserve">Al respecto, las telecomunicaciones son estratégicas para el crecimiento económico y social de cualquier país. El desarrollo de la infraestructura y de las redes de </w:t>
      </w:r>
      <w:r w:rsidRPr="00584E16">
        <w:rPr>
          <w:rFonts w:ascii="ITC Avant Garde" w:hAnsi="ITC Avant Garde" w:cs="Arial"/>
          <w:bCs/>
        </w:rPr>
        <w:lastRenderedPageBreak/>
        <w:t>telecomunicaciones se ha convertido en una prioridad inaplazable, particularmente para países como México, en el que se requiere un aumento en la tasa de penetración en los servicios de telecomunicaciones.</w:t>
      </w:r>
    </w:p>
    <w:p w14:paraId="10F094F9" w14:textId="77777777" w:rsidR="00584E16" w:rsidRPr="00584E16" w:rsidRDefault="00584E16" w:rsidP="00D571AA">
      <w:pPr>
        <w:spacing w:after="0"/>
        <w:jc w:val="both"/>
        <w:rPr>
          <w:rFonts w:ascii="ITC Avant Garde" w:hAnsi="ITC Avant Garde" w:cs="Arial"/>
          <w:bCs/>
        </w:rPr>
      </w:pPr>
    </w:p>
    <w:p w14:paraId="5BEC0836" w14:textId="77777777" w:rsidR="00584E16" w:rsidRDefault="00584E16" w:rsidP="00D571AA">
      <w:pPr>
        <w:spacing w:after="0"/>
        <w:jc w:val="both"/>
        <w:rPr>
          <w:rFonts w:ascii="ITC Avant Garde" w:hAnsi="ITC Avant Garde" w:cs="Arial"/>
          <w:bCs/>
        </w:rPr>
      </w:pPr>
      <w:r w:rsidRPr="00584E16">
        <w:rPr>
          <w:rFonts w:ascii="ITC Avant Garde" w:hAnsi="ITC Avant Garde" w:cs="Arial"/>
          <w:bCs/>
        </w:rPr>
        <w:t>En este tenor, la competencia entre operadores de telecomunicaciones es un factor decisivo para la innovación y el desarrollo de los mercados de las telecomunicaciones. Un mercado en competencia implica la existencia de distintos prestadores de servicios, donde los usuarios pueden elegir libremente aquel concesionario que le ofrezca las mejores condiciones en precio, calidad y diversidad.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w:t>
      </w:r>
    </w:p>
    <w:p w14:paraId="788FBDE4" w14:textId="77777777" w:rsidR="00584E16" w:rsidRPr="00584E16" w:rsidRDefault="00584E16" w:rsidP="00D571AA">
      <w:pPr>
        <w:spacing w:after="0"/>
        <w:jc w:val="both"/>
        <w:rPr>
          <w:rFonts w:ascii="ITC Avant Garde" w:hAnsi="ITC Avant Garde" w:cs="Arial"/>
          <w:bCs/>
        </w:rPr>
      </w:pPr>
    </w:p>
    <w:p w14:paraId="0903DD5B" w14:textId="77777777" w:rsidR="00584E16" w:rsidRPr="00584E16" w:rsidRDefault="00584E16" w:rsidP="00D571AA">
      <w:pPr>
        <w:spacing w:after="0"/>
        <w:jc w:val="both"/>
        <w:rPr>
          <w:rFonts w:ascii="ITC Avant Garde" w:hAnsi="ITC Avant Garde" w:cs="Arial"/>
          <w:bCs/>
        </w:rPr>
      </w:pPr>
      <w:r w:rsidRPr="00584E16">
        <w:rPr>
          <w:rFonts w:ascii="ITC Avant Garde" w:hAnsi="ITC Avant Garde" w:cs="Arial"/>
          <w:bCs/>
        </w:rPr>
        <w:t>En un escenario donde debe prevalecer la competencia en la prestación de todos los servicios de telecomunicaciones, es necesario establecer condiciones de interconexión que no distorsionen el crecimiento eficiente del sector, ya que todos los participantes del mercado acceden a un elemento básico, sin que ninguno obtenga ventajas extraordinarias en la prestación de dicho servicio.</w:t>
      </w:r>
    </w:p>
    <w:p w14:paraId="00B3F7ED" w14:textId="77777777" w:rsidR="00E553A1" w:rsidRPr="00584E16" w:rsidRDefault="00E553A1" w:rsidP="00D571AA">
      <w:pPr>
        <w:spacing w:after="0"/>
        <w:jc w:val="both"/>
        <w:rPr>
          <w:rFonts w:ascii="ITC Avant Garde" w:hAnsi="ITC Avant Garde" w:cs="Arial"/>
          <w:bCs/>
        </w:rPr>
      </w:pPr>
    </w:p>
    <w:p w14:paraId="42C58947" w14:textId="492BE89A" w:rsidR="00584E16" w:rsidRPr="00584E16" w:rsidRDefault="00584E16" w:rsidP="00D571AA">
      <w:pPr>
        <w:spacing w:after="0"/>
        <w:jc w:val="both"/>
        <w:rPr>
          <w:rFonts w:ascii="ITC Avant Garde" w:hAnsi="ITC Avant Garde" w:cs="Arial"/>
          <w:bCs/>
        </w:rPr>
      </w:pPr>
      <w:r w:rsidRPr="00584E16">
        <w:rPr>
          <w:rFonts w:ascii="ITC Avant Garde" w:hAnsi="ITC Avant Garde" w:cs="Arial"/>
          <w:bCs/>
        </w:rPr>
        <w:t>Aunque las empresas incurren en un costo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 En una situación en la cual una empresa tiene ventajas por su tamaño de red, ésta puede aprovechar la situación para obstaculizar la entrada de nuevos competidores o para debilitar a los competidores actuales.</w:t>
      </w:r>
    </w:p>
    <w:p w14:paraId="35260698" w14:textId="77777777" w:rsidR="00E553A1" w:rsidRDefault="00E553A1" w:rsidP="00D571AA">
      <w:pPr>
        <w:spacing w:after="0"/>
        <w:jc w:val="both"/>
        <w:rPr>
          <w:rFonts w:ascii="ITC Avant Garde" w:hAnsi="ITC Avant Garde" w:cs="Arial"/>
          <w:bCs/>
        </w:rPr>
      </w:pPr>
    </w:p>
    <w:p w14:paraId="1E9E43AF" w14:textId="77777777" w:rsidR="00584E16" w:rsidRDefault="00584E16" w:rsidP="00D571AA">
      <w:pPr>
        <w:spacing w:after="0"/>
        <w:jc w:val="both"/>
        <w:rPr>
          <w:rFonts w:ascii="ITC Avant Garde" w:hAnsi="ITC Avant Garde" w:cs="Arial"/>
          <w:bCs/>
        </w:rPr>
      </w:pPr>
      <w:r w:rsidRPr="00584E16">
        <w:rPr>
          <w:rFonts w:ascii="ITC Avant Garde" w:hAnsi="ITC Avant Garde" w:cs="Arial"/>
          <w:bCs/>
        </w:rPr>
        <w:t>De esta forma, la regulación en tarifas de interconexión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w:t>
      </w:r>
    </w:p>
    <w:p w14:paraId="0ED7C1E0" w14:textId="77777777" w:rsidR="00E553A1" w:rsidRPr="00584E16" w:rsidRDefault="00E553A1" w:rsidP="00D571AA">
      <w:pPr>
        <w:spacing w:after="0"/>
        <w:jc w:val="both"/>
        <w:rPr>
          <w:rFonts w:ascii="ITC Avant Garde" w:hAnsi="ITC Avant Garde" w:cs="Arial"/>
          <w:bCs/>
        </w:rPr>
      </w:pPr>
    </w:p>
    <w:p w14:paraId="1EE163E7" w14:textId="77777777" w:rsidR="008F1145" w:rsidRDefault="00E553A1" w:rsidP="00D571AA">
      <w:pPr>
        <w:spacing w:after="0"/>
        <w:jc w:val="both"/>
        <w:rPr>
          <w:rFonts w:ascii="ITC Avant Garde" w:hAnsi="ITC Avant Garde" w:cs="Arial"/>
          <w:bCs/>
        </w:rPr>
      </w:pPr>
      <w:r w:rsidRPr="00E553A1">
        <w:rPr>
          <w:rFonts w:ascii="ITC Avant Garde" w:hAnsi="ITC Avant Garde" w:cs="Arial"/>
          <w:b/>
          <w:bCs/>
        </w:rPr>
        <w:t>TERCERO.-</w:t>
      </w:r>
      <w:r w:rsidR="00AB7EEE" w:rsidRPr="007048F7">
        <w:rPr>
          <w:rFonts w:ascii="ITC Avant Garde" w:hAnsi="ITC Avant Garde" w:cs="Arial"/>
          <w:bCs/>
        </w:rPr>
        <w:t xml:space="preserve"> </w:t>
      </w:r>
      <w:r w:rsidR="00EC46C4" w:rsidRPr="00C31B75">
        <w:rPr>
          <w:rFonts w:ascii="ITC Avant Garde" w:hAnsi="ITC Avant Garde" w:cs="Arial"/>
          <w:b/>
          <w:bCs/>
        </w:rPr>
        <w:t>Determinación de las tarifas</w:t>
      </w:r>
      <w:r w:rsidR="00EC46C4">
        <w:rPr>
          <w:rFonts w:ascii="ITC Avant Garde" w:hAnsi="ITC Avant Garde" w:cs="Arial"/>
          <w:bCs/>
        </w:rPr>
        <w:t xml:space="preserve"> </w:t>
      </w:r>
      <w:r w:rsidR="00B263FA">
        <w:rPr>
          <w:rFonts w:ascii="ITC Avant Garde" w:hAnsi="ITC Avant Garde" w:cs="Arial"/>
          <w:b/>
          <w:bCs/>
        </w:rPr>
        <w:t>con base en un Modelo de Costos</w:t>
      </w:r>
      <w:r w:rsidR="003A2A92">
        <w:rPr>
          <w:rFonts w:ascii="ITC Avant Garde" w:hAnsi="ITC Avant Garde" w:cs="Arial"/>
          <w:b/>
          <w:bCs/>
        </w:rPr>
        <w:t>.</w:t>
      </w:r>
      <w:r w:rsidR="00B263FA">
        <w:rPr>
          <w:rFonts w:ascii="ITC Avant Garde" w:hAnsi="ITC Avant Garde" w:cs="Arial"/>
          <w:b/>
          <w:bCs/>
        </w:rPr>
        <w:t xml:space="preserve"> </w:t>
      </w:r>
      <w:r w:rsidR="008F1145" w:rsidRPr="008F1145">
        <w:rPr>
          <w:rFonts w:ascii="ITC Avant Garde" w:hAnsi="ITC Avant Garde" w:cs="Arial"/>
          <w:bCs/>
        </w:rPr>
        <w:t xml:space="preserve">El artículo 131 de la </w:t>
      </w:r>
      <w:proofErr w:type="spellStart"/>
      <w:r w:rsidR="008F1145" w:rsidRPr="008F1145">
        <w:rPr>
          <w:rFonts w:ascii="ITC Avant Garde" w:hAnsi="ITC Avant Garde" w:cs="Arial"/>
          <w:bCs/>
        </w:rPr>
        <w:t>LFTyR</w:t>
      </w:r>
      <w:proofErr w:type="spellEnd"/>
      <w:r w:rsidR="008F1145" w:rsidRPr="008F1145">
        <w:rPr>
          <w:rFonts w:ascii="ITC Avant Garde" w:hAnsi="ITC Avant Garde" w:cs="Arial"/>
          <w:bCs/>
        </w:rPr>
        <w:t>, a la letra señala:</w:t>
      </w:r>
    </w:p>
    <w:p w14:paraId="47C24C37" w14:textId="77777777" w:rsidR="008F1145" w:rsidRPr="008F1145" w:rsidRDefault="008F1145" w:rsidP="00D571AA">
      <w:pPr>
        <w:spacing w:after="0"/>
        <w:ind w:left="567" w:right="566" w:firstLine="141"/>
        <w:jc w:val="both"/>
        <w:rPr>
          <w:rFonts w:ascii="ITC Avant Garde" w:hAnsi="ITC Avant Garde" w:cs="Arial"/>
          <w:bCs/>
          <w:i/>
          <w:sz w:val="18"/>
          <w:szCs w:val="18"/>
        </w:rPr>
      </w:pPr>
      <w:r w:rsidRPr="008F1145">
        <w:rPr>
          <w:rFonts w:ascii="ITC Avant Garde" w:hAnsi="ITC Avant Garde" w:cs="Arial"/>
          <w:bCs/>
          <w:i/>
          <w:sz w:val="18"/>
          <w:szCs w:val="18"/>
        </w:rPr>
        <w:lastRenderedPageBreak/>
        <w:t>“</w:t>
      </w:r>
      <w:r w:rsidRPr="00301121">
        <w:rPr>
          <w:rFonts w:ascii="ITC Avant Garde" w:hAnsi="ITC Avant Garde" w:cs="Arial"/>
          <w:b/>
          <w:bCs/>
          <w:i/>
          <w:sz w:val="18"/>
          <w:szCs w:val="18"/>
        </w:rPr>
        <w:t>Artículo 131.</w:t>
      </w:r>
      <w:r w:rsidRPr="008F1145">
        <w:rPr>
          <w:rFonts w:ascii="ITC Avant Garde" w:hAnsi="ITC Avant Garde" w:cs="Arial"/>
          <w:bCs/>
          <w:i/>
          <w:sz w:val="18"/>
          <w:szCs w:val="18"/>
        </w:rPr>
        <w:t xml:space="preserve"> Cuando el Instituto considere que existen condiciones de competencia efectiva en el sector de las telecomunicaciones, determinará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14:paraId="0AA60A6A" w14:textId="77777777" w:rsidR="008F1145" w:rsidRPr="008F1145" w:rsidRDefault="008F1145" w:rsidP="00D571AA">
      <w:pPr>
        <w:spacing w:after="0"/>
        <w:ind w:left="567" w:right="566"/>
        <w:jc w:val="both"/>
        <w:rPr>
          <w:rFonts w:ascii="ITC Avant Garde" w:hAnsi="ITC Avant Garde" w:cs="Arial"/>
          <w:bCs/>
          <w:i/>
          <w:sz w:val="18"/>
          <w:szCs w:val="18"/>
        </w:rPr>
      </w:pPr>
    </w:p>
    <w:p w14:paraId="03F2B5C6" w14:textId="77777777" w:rsidR="008F1145" w:rsidRPr="008F1145" w:rsidRDefault="008F1145" w:rsidP="00D571AA">
      <w:pPr>
        <w:spacing w:after="0"/>
        <w:ind w:left="567" w:right="566" w:firstLine="141"/>
        <w:jc w:val="both"/>
        <w:rPr>
          <w:rFonts w:ascii="ITC Avant Garde" w:hAnsi="ITC Avant Garde" w:cs="Arial"/>
          <w:bCs/>
          <w:i/>
          <w:sz w:val="18"/>
          <w:szCs w:val="18"/>
        </w:rPr>
      </w:pPr>
      <w:r w:rsidRPr="008F1145">
        <w:rPr>
          <w:rFonts w:ascii="ITC Avant Garde" w:hAnsi="ITC Avant Garde" w:cs="Arial"/>
          <w:bCs/>
          <w:i/>
          <w:sz w:val="18"/>
          <w:szCs w:val="18"/>
        </w:rPr>
        <w:t>Durante el tiempo en que exista un agente económico preponderante en el sector de las telecomunicaciones o un agente económico que cuente directamente o indirectamente con una participación nacional mayor al cincuenta por ciento en el sector de las telecomunicaciones, medido este porcentaje ya sea por el número de usuarios, suscriptores, por el tráfico en sus redes o por la capacidad utilizada de las mismas de acuerdo con los datos con que disponga el Instituto, las tarifas de terminación de tráfico fijo y móvil, incluyendo llamadas y mensajes cortos, serán asimétricas conforme a lo siguiente:</w:t>
      </w:r>
    </w:p>
    <w:p w14:paraId="1EEA2D7F" w14:textId="77777777" w:rsidR="008F1145" w:rsidRPr="008F1145" w:rsidRDefault="008F1145" w:rsidP="00D571AA">
      <w:pPr>
        <w:spacing w:after="0"/>
        <w:ind w:left="567" w:right="566"/>
        <w:jc w:val="both"/>
        <w:rPr>
          <w:rFonts w:ascii="ITC Avant Garde" w:hAnsi="ITC Avant Garde" w:cs="Arial"/>
          <w:bCs/>
          <w:i/>
          <w:sz w:val="18"/>
          <w:szCs w:val="18"/>
        </w:rPr>
      </w:pPr>
    </w:p>
    <w:p w14:paraId="11340D9A" w14:textId="77777777" w:rsidR="008F1145" w:rsidRPr="008F1145" w:rsidRDefault="008F1145" w:rsidP="00D571AA">
      <w:pPr>
        <w:spacing w:after="0"/>
        <w:ind w:left="1406" w:right="566" w:hanging="555"/>
        <w:jc w:val="both"/>
        <w:rPr>
          <w:rFonts w:ascii="ITC Avant Garde" w:hAnsi="ITC Avant Garde" w:cs="Arial"/>
          <w:bCs/>
          <w:i/>
          <w:sz w:val="18"/>
          <w:szCs w:val="18"/>
        </w:rPr>
      </w:pPr>
      <w:r w:rsidRPr="008F1145">
        <w:rPr>
          <w:rFonts w:ascii="ITC Avant Garde" w:hAnsi="ITC Avant Garde" w:cs="Arial"/>
          <w:bCs/>
          <w:i/>
          <w:sz w:val="18"/>
          <w:szCs w:val="18"/>
        </w:rPr>
        <w:t xml:space="preserve">a) </w:t>
      </w:r>
      <w:r w:rsidRPr="008F1145">
        <w:rPr>
          <w:rFonts w:ascii="ITC Avant Garde" w:hAnsi="ITC Avant Garde" w:cs="Arial"/>
          <w:bCs/>
          <w:i/>
          <w:sz w:val="18"/>
          <w:szCs w:val="18"/>
        </w:rPr>
        <w:tab/>
        <w:t>Los agentes a los que se refiere el párrafo anterior, no cobrarán a los demás concesionarios por el tráfico que termine en su red, y</w:t>
      </w:r>
    </w:p>
    <w:p w14:paraId="46253009" w14:textId="77777777" w:rsidR="008F1145" w:rsidRDefault="008F1145" w:rsidP="00D571AA">
      <w:pPr>
        <w:spacing w:after="0"/>
        <w:ind w:left="1406" w:right="566" w:hanging="555"/>
        <w:jc w:val="both"/>
        <w:rPr>
          <w:rFonts w:ascii="ITC Avant Garde" w:hAnsi="ITC Avant Garde" w:cs="Arial"/>
          <w:bCs/>
          <w:i/>
          <w:sz w:val="18"/>
          <w:szCs w:val="18"/>
        </w:rPr>
      </w:pPr>
      <w:r w:rsidRPr="008F1145">
        <w:rPr>
          <w:rFonts w:ascii="ITC Avant Garde" w:hAnsi="ITC Avant Garde" w:cs="Arial"/>
          <w:bCs/>
          <w:i/>
          <w:sz w:val="18"/>
          <w:szCs w:val="18"/>
        </w:rPr>
        <w:t xml:space="preserve">b) </w:t>
      </w:r>
      <w:r w:rsidRPr="008F1145">
        <w:rPr>
          <w:rFonts w:ascii="ITC Avant Garde" w:hAnsi="ITC Avant Garde" w:cs="Arial"/>
          <w:bCs/>
          <w:i/>
          <w:sz w:val="18"/>
          <w:szCs w:val="18"/>
        </w:rPr>
        <w:tab/>
        <w:t xml:space="preserve">Para el tráfico que termine en la red de los demás concesionarios, la tarifa de interconexión será negociada libremente. </w:t>
      </w:r>
    </w:p>
    <w:p w14:paraId="63A78CBF" w14:textId="77777777" w:rsidR="008F1145" w:rsidRDefault="008F1145" w:rsidP="00D571AA">
      <w:pPr>
        <w:spacing w:after="0"/>
        <w:ind w:left="851" w:right="566"/>
        <w:jc w:val="both"/>
        <w:rPr>
          <w:rFonts w:ascii="ITC Avant Garde" w:hAnsi="ITC Avant Garde" w:cs="Arial"/>
          <w:bCs/>
          <w:i/>
          <w:sz w:val="18"/>
          <w:szCs w:val="18"/>
        </w:rPr>
      </w:pPr>
    </w:p>
    <w:p w14:paraId="14FA87EB" w14:textId="2DCF5FF1" w:rsidR="008F1145" w:rsidRPr="008F1145" w:rsidRDefault="008F1145" w:rsidP="00D571AA">
      <w:pPr>
        <w:spacing w:after="0"/>
        <w:ind w:left="1416" w:right="566"/>
        <w:jc w:val="both"/>
        <w:rPr>
          <w:rFonts w:ascii="ITC Avant Garde" w:hAnsi="ITC Avant Garde" w:cs="Arial"/>
          <w:bCs/>
          <w:i/>
          <w:sz w:val="18"/>
          <w:szCs w:val="18"/>
        </w:rPr>
      </w:pPr>
      <w:r w:rsidRPr="008F1145">
        <w:rPr>
          <w:rFonts w:ascii="ITC Avant Garde" w:hAnsi="ITC Avant Garde" w:cs="Arial"/>
          <w:bCs/>
          <w:i/>
          <w:sz w:val="18"/>
          <w:szCs w:val="18"/>
        </w:rPr>
        <w:t>El Instituto resolverá cualquier disputa respecto de las tarifas, términos y/o condiciones de los convenios de interconexión a que se refiere el inciso b) de este artículo, con base en la metodología de costos que determine, tomando en cuenta las asimetrías naturales de las redes a ser interconectadas, la participación de mercado o cualquier otro factor, fijando las tarifas, términos y/o condiciones en consecuencia.</w:t>
      </w:r>
    </w:p>
    <w:p w14:paraId="18E02254" w14:textId="77777777" w:rsidR="008F1145" w:rsidRPr="008F1145" w:rsidRDefault="008F1145" w:rsidP="00D571AA">
      <w:pPr>
        <w:spacing w:after="0"/>
        <w:ind w:left="567" w:right="566"/>
        <w:jc w:val="both"/>
        <w:rPr>
          <w:rFonts w:ascii="ITC Avant Garde" w:hAnsi="ITC Avant Garde" w:cs="Arial"/>
          <w:bCs/>
          <w:i/>
          <w:sz w:val="18"/>
          <w:szCs w:val="18"/>
        </w:rPr>
      </w:pPr>
    </w:p>
    <w:p w14:paraId="6A3CF3F9" w14:textId="60B292FC" w:rsidR="008F1145" w:rsidRPr="008F1145" w:rsidRDefault="008F1145" w:rsidP="00D571AA">
      <w:pPr>
        <w:spacing w:after="0"/>
        <w:ind w:left="1416" w:right="566"/>
        <w:jc w:val="both"/>
        <w:rPr>
          <w:rFonts w:ascii="ITC Avant Garde" w:hAnsi="ITC Avant Garde" w:cs="Arial"/>
          <w:bCs/>
          <w:i/>
          <w:sz w:val="18"/>
          <w:szCs w:val="18"/>
        </w:rPr>
      </w:pPr>
      <w:r w:rsidRPr="008F1145">
        <w:rPr>
          <w:rFonts w:ascii="ITC Avant Garde" w:hAnsi="ITC Avant Garde" w:cs="Arial"/>
          <w:bCs/>
          <w:i/>
          <w:sz w:val="18"/>
          <w:szCs w:val="18"/>
        </w:rPr>
        <w:t>Las tarifas que determine el Instituto con base en dicha metodología deberán ser transparentes, razonables y, en su caso, asimétricas, considerando la participación de mercado, los horarios de congestionamiento de red, el volumen de tráfico u otras que determine el Instituto.</w:t>
      </w:r>
    </w:p>
    <w:p w14:paraId="6991A50A" w14:textId="77777777" w:rsidR="008F1145" w:rsidRPr="008F1145" w:rsidRDefault="008F1145" w:rsidP="00D571AA">
      <w:pPr>
        <w:spacing w:after="0"/>
        <w:ind w:left="993" w:right="566"/>
        <w:jc w:val="both"/>
        <w:rPr>
          <w:rFonts w:ascii="ITC Avant Garde" w:hAnsi="ITC Avant Garde" w:cs="Arial"/>
          <w:bCs/>
          <w:i/>
          <w:sz w:val="18"/>
          <w:szCs w:val="18"/>
        </w:rPr>
      </w:pPr>
    </w:p>
    <w:p w14:paraId="3F687ABD" w14:textId="3DBDAC1B" w:rsidR="008F1145" w:rsidRPr="008F1145" w:rsidRDefault="008F1145" w:rsidP="00D571AA">
      <w:pPr>
        <w:spacing w:after="0"/>
        <w:ind w:left="1416" w:right="566"/>
        <w:jc w:val="both"/>
        <w:rPr>
          <w:rFonts w:ascii="ITC Avant Garde" w:hAnsi="ITC Avant Garde" w:cs="Arial"/>
          <w:bCs/>
          <w:i/>
          <w:sz w:val="18"/>
          <w:szCs w:val="18"/>
        </w:rPr>
      </w:pPr>
      <w:r w:rsidRPr="008F1145">
        <w:rPr>
          <w:rFonts w:ascii="ITC Avant Garde" w:hAnsi="ITC Avant Garde" w:cs="Arial"/>
          <w:bCs/>
          <w:i/>
          <w:sz w:val="18"/>
          <w:szCs w:val="18"/>
        </w:rPr>
        <w:t>Las tarifas deberán ser lo suficientemente desagregadas para que el concesionario que se interconecte no necesite pagar por componentes o recursos de la red que no se requieran para que el servicio sea suministrado.</w:t>
      </w:r>
    </w:p>
    <w:p w14:paraId="13755723" w14:textId="77777777" w:rsidR="008F1145" w:rsidRPr="008F1145" w:rsidRDefault="008F1145" w:rsidP="00D571AA">
      <w:pPr>
        <w:spacing w:after="0"/>
        <w:ind w:left="567" w:right="566"/>
        <w:jc w:val="both"/>
        <w:rPr>
          <w:rFonts w:ascii="ITC Avant Garde" w:hAnsi="ITC Avant Garde" w:cs="Arial"/>
          <w:bCs/>
          <w:i/>
          <w:sz w:val="18"/>
          <w:szCs w:val="18"/>
        </w:rPr>
      </w:pPr>
    </w:p>
    <w:p w14:paraId="263971FD" w14:textId="2665CE16" w:rsidR="008F1145" w:rsidRPr="008F1145" w:rsidRDefault="008F1145" w:rsidP="00D571AA">
      <w:pPr>
        <w:spacing w:after="0"/>
        <w:ind w:left="567" w:right="566" w:firstLine="141"/>
        <w:jc w:val="both"/>
        <w:rPr>
          <w:rFonts w:ascii="ITC Avant Garde" w:hAnsi="ITC Avant Garde" w:cs="Arial"/>
          <w:bCs/>
          <w:i/>
          <w:sz w:val="18"/>
          <w:szCs w:val="18"/>
        </w:rPr>
      </w:pPr>
      <w:r w:rsidRPr="008F1145">
        <w:rPr>
          <w:rFonts w:ascii="ITC Avant Garde" w:hAnsi="ITC Avant Garde" w:cs="Arial"/>
          <w:bCs/>
          <w:i/>
          <w:sz w:val="18"/>
          <w:szCs w:val="18"/>
        </w:rPr>
        <w:t>El Instituto, previo a determinar que un agente económico preponderante ya no cuenta con dicho carácter o dejó de tener la participación a la que se refiere el párrafo segundo de este artículo, deberá determinar si dicho agente cuenta con poder sustancial en el mercado relevante de terminación de llamadas y mensajes cortos. En caso que el agente cuente con poder sustancial en el mercado referido, el Instituto resolverá si éste continúa en el régimen asimétrico establecido en el inciso a) del párrafo segundo de este artículo o bien, si le fija una tarifa asimétrica conforme a la metodología prevista en los párrafos segundo, tercero y cuarto del inciso b) de este artículo.”</w:t>
      </w:r>
    </w:p>
    <w:p w14:paraId="179C9FC7" w14:textId="77777777" w:rsidR="008F1145" w:rsidRPr="008F1145" w:rsidRDefault="008F1145" w:rsidP="00D571AA">
      <w:pPr>
        <w:spacing w:after="0"/>
        <w:jc w:val="both"/>
        <w:rPr>
          <w:rFonts w:ascii="ITC Avant Garde" w:hAnsi="ITC Avant Garde" w:cs="Arial"/>
          <w:bCs/>
        </w:rPr>
      </w:pPr>
    </w:p>
    <w:p w14:paraId="36E82080" w14:textId="2AA25EFA" w:rsidR="00970222" w:rsidRDefault="003B7F43" w:rsidP="00D571AA">
      <w:pPr>
        <w:spacing w:after="0"/>
        <w:jc w:val="both"/>
        <w:rPr>
          <w:rFonts w:ascii="ITC Avant Garde" w:hAnsi="ITC Avant Garde" w:cs="Arial"/>
          <w:bCs/>
        </w:rPr>
      </w:pPr>
      <w:r>
        <w:rPr>
          <w:rFonts w:ascii="ITC Avant Garde" w:hAnsi="ITC Avant Garde" w:cs="Arial"/>
          <w:bCs/>
        </w:rPr>
        <w:t>Esto es, las tarifas de interconexión aplicables a los concesionarios distintos al Agente Económico Preponderante se resolverán con base en la metodología que al efecto el Instituto determine; es</w:t>
      </w:r>
      <w:r w:rsidR="00970222">
        <w:rPr>
          <w:rFonts w:ascii="ITC Avant Garde" w:hAnsi="ITC Avant Garde" w:cs="Arial"/>
          <w:bCs/>
        </w:rPr>
        <w:t xml:space="preserve"> </w:t>
      </w:r>
      <w:r w:rsidR="00F6783B">
        <w:rPr>
          <w:rFonts w:ascii="ITC Avant Garde" w:hAnsi="ITC Avant Garde" w:cs="Arial"/>
          <w:bCs/>
        </w:rPr>
        <w:t>así que</w:t>
      </w:r>
      <w:r w:rsidR="00970222">
        <w:rPr>
          <w:rFonts w:ascii="ITC Avant Garde" w:hAnsi="ITC Avant Garde" w:cs="Arial"/>
          <w:bCs/>
        </w:rPr>
        <w:t xml:space="preserve">, el 18 de diciembre de 2014, el Instituto publicó en el DOF </w:t>
      </w:r>
      <w:r w:rsidR="00970222">
        <w:rPr>
          <w:rFonts w:ascii="ITC Avant Garde" w:hAnsi="ITC Avant Garde" w:cs="Arial"/>
          <w:bCs/>
        </w:rPr>
        <w:lastRenderedPageBreak/>
        <w:t>la Metodología de Costos para el cálculo de las tarifas de interconexión de conformidad con lo establecido en el artículo 131</w:t>
      </w:r>
      <w:r w:rsidR="000E37CC">
        <w:rPr>
          <w:rFonts w:ascii="ITC Avant Garde" w:hAnsi="ITC Avant Garde" w:cs="Arial"/>
          <w:bCs/>
        </w:rPr>
        <w:t xml:space="preserve"> </w:t>
      </w:r>
      <w:r w:rsidR="00970222">
        <w:rPr>
          <w:rFonts w:ascii="ITC Avant Garde" w:hAnsi="ITC Avant Garde" w:cs="Arial"/>
          <w:bCs/>
        </w:rPr>
        <w:t xml:space="preserve">de la </w:t>
      </w:r>
      <w:proofErr w:type="spellStart"/>
      <w:r w:rsidR="00970222">
        <w:rPr>
          <w:rFonts w:ascii="ITC Avant Garde" w:hAnsi="ITC Avant Garde" w:cs="Arial"/>
          <w:bCs/>
        </w:rPr>
        <w:t>LFTyR</w:t>
      </w:r>
      <w:proofErr w:type="spellEnd"/>
      <w:r w:rsidR="00970222">
        <w:rPr>
          <w:rFonts w:ascii="ITC Avant Garde" w:hAnsi="ITC Avant Garde" w:cs="Arial"/>
          <w:bCs/>
        </w:rPr>
        <w:t xml:space="preserve"> antes señalado.</w:t>
      </w:r>
    </w:p>
    <w:p w14:paraId="137A5B85" w14:textId="77777777" w:rsidR="00970222" w:rsidRDefault="00970222" w:rsidP="00D571AA">
      <w:pPr>
        <w:spacing w:after="0"/>
        <w:jc w:val="both"/>
        <w:rPr>
          <w:rFonts w:ascii="ITC Avant Garde" w:hAnsi="ITC Avant Garde" w:cs="Arial"/>
          <w:bCs/>
        </w:rPr>
      </w:pPr>
    </w:p>
    <w:p w14:paraId="6CF98CB5" w14:textId="00D87354" w:rsidR="00952E96" w:rsidRDefault="00952E96" w:rsidP="00952E96">
      <w:pPr>
        <w:widowControl w:val="0"/>
        <w:spacing w:after="0"/>
        <w:jc w:val="both"/>
        <w:rPr>
          <w:rFonts w:ascii="ITC Avant Garde" w:eastAsia="Times New Roman" w:hAnsi="ITC Avant Garde"/>
        </w:rPr>
      </w:pPr>
      <w:r w:rsidRPr="00E11353">
        <w:rPr>
          <w:rFonts w:ascii="ITC Avant Garde" w:eastAsia="Times New Roman" w:hAnsi="ITC Avant Garde"/>
        </w:rPr>
        <w:t xml:space="preserve">Ahora bien, en cuanto a las medidas impuestas al AEP, la Medida TRIGÉSIMA SEXTA </w:t>
      </w:r>
      <w:r>
        <w:rPr>
          <w:rFonts w:ascii="ITC Avant Garde" w:eastAsia="Times New Roman" w:hAnsi="ITC Avant Garde"/>
        </w:rPr>
        <w:t>del Anexo 2 de la Resolución del AEP</w:t>
      </w:r>
      <w:r w:rsidRPr="00E11353">
        <w:rPr>
          <w:rFonts w:ascii="ITC Avant Garde" w:eastAsia="Times New Roman" w:hAnsi="ITC Avant Garde"/>
        </w:rPr>
        <w:t xml:space="preserve"> dispone lo siguiente:</w:t>
      </w:r>
    </w:p>
    <w:p w14:paraId="3C97F36A" w14:textId="77777777" w:rsidR="00952E96" w:rsidRPr="00E11353" w:rsidRDefault="00952E96" w:rsidP="00952E96">
      <w:pPr>
        <w:widowControl w:val="0"/>
        <w:spacing w:after="0"/>
        <w:jc w:val="both"/>
        <w:rPr>
          <w:rFonts w:ascii="ITC Avant Garde" w:eastAsia="Times New Roman" w:hAnsi="ITC Avant Garde"/>
        </w:rPr>
      </w:pPr>
    </w:p>
    <w:p w14:paraId="2C62067F" w14:textId="77777777" w:rsidR="00952E96" w:rsidRPr="0088546D" w:rsidRDefault="00952E96" w:rsidP="00952E96">
      <w:pPr>
        <w:pStyle w:val="Texto"/>
        <w:spacing w:line="228" w:lineRule="exact"/>
        <w:ind w:left="1008" w:right="1008" w:firstLine="0"/>
        <w:rPr>
          <w:rFonts w:ascii="ITC Avant Garde" w:hAnsi="ITC Avant Garde"/>
          <w:i/>
          <w:szCs w:val="18"/>
        </w:rPr>
      </w:pPr>
      <w:r w:rsidRPr="0088546D">
        <w:rPr>
          <w:rFonts w:ascii="ITC Avant Garde" w:hAnsi="ITC Avant Garde"/>
          <w:i/>
          <w:szCs w:val="18"/>
        </w:rPr>
        <w:t xml:space="preserve">“TRIGÉSIMA SEXTA.- Las tarifas por los Servicios de Interconexión relativos al servicio de Tránsito, </w:t>
      </w:r>
      <w:proofErr w:type="spellStart"/>
      <w:r w:rsidRPr="0088546D">
        <w:rPr>
          <w:rFonts w:ascii="ITC Avant Garde" w:hAnsi="ITC Avant Garde"/>
          <w:i/>
          <w:szCs w:val="18"/>
        </w:rPr>
        <w:t>Originación</w:t>
      </w:r>
      <w:proofErr w:type="spellEnd"/>
      <w:r w:rsidRPr="0088546D">
        <w:rPr>
          <w:rFonts w:ascii="ITC Avant Garde" w:hAnsi="ITC Avant Garde"/>
          <w:i/>
          <w:szCs w:val="18"/>
        </w:rPr>
        <w:t xml:space="preserve"> y de Terminación que cobrará el Agente Económico Preponderante será determinada con base en un Modelo de Costos elaborado de conformidad con la “Resolución mediante la cual el Pleno de </w:t>
      </w:r>
      <w:smartTag w:uri="urn:schemas-microsoft-com:office:smarttags" w:element="PersonName">
        <w:smartTagPr>
          <w:attr w:name="ProductID" w:val="la Comisi￳n Federal"/>
        </w:smartTagPr>
        <w:r w:rsidRPr="0088546D">
          <w:rPr>
            <w:rFonts w:ascii="ITC Avant Garde" w:hAnsi="ITC Avant Garde"/>
            <w:i/>
            <w:szCs w:val="18"/>
          </w:rPr>
          <w:t>la Comisión Federal</w:t>
        </w:r>
      </w:smartTag>
      <w:r w:rsidRPr="0088546D">
        <w:rPr>
          <w:rFonts w:ascii="ITC Avant Garde" w:hAnsi="ITC Avant Garde"/>
          <w:i/>
          <w:szCs w:val="18"/>
        </w:rPr>
        <w:t xml:space="preserve">  de Telecomunicaciones emite los lineamientos para desarrollar los modelos de costos que aplicará para resolver, en términos del artículo 42 de </w:t>
      </w:r>
      <w:smartTag w:uri="urn:schemas-microsoft-com:office:smarttags" w:element="PersonName">
        <w:smartTagPr>
          <w:attr w:name="ProductID" w:val="la Ley Federal"/>
        </w:smartTagPr>
        <w:r w:rsidRPr="0088546D">
          <w:rPr>
            <w:rFonts w:ascii="ITC Avant Garde" w:hAnsi="ITC Avant Garde"/>
            <w:i/>
            <w:szCs w:val="18"/>
          </w:rPr>
          <w:t>la Ley Federal</w:t>
        </w:r>
      </w:smartTag>
      <w:r w:rsidRPr="0088546D">
        <w:rPr>
          <w:rFonts w:ascii="ITC Avant Garde" w:hAnsi="ITC Avant Garde"/>
          <w:i/>
          <w:szCs w:val="18"/>
        </w:rPr>
        <w:t xml:space="preserve">  </w:t>
      </w:r>
      <w:r w:rsidRPr="0088546D">
        <w:rPr>
          <w:rFonts w:ascii="ITC Avant Garde" w:hAnsi="ITC Avant Garde"/>
          <w:i/>
          <w:spacing w:val="-4"/>
          <w:szCs w:val="18"/>
        </w:rPr>
        <w:t>de Telecomunicaciones, desacuerdos en materia de tarifas aplicables a la prestación de</w:t>
      </w:r>
      <w:r w:rsidRPr="0088546D">
        <w:rPr>
          <w:rFonts w:ascii="ITC Avant Garde" w:hAnsi="ITC Avant Garde"/>
          <w:i/>
          <w:szCs w:val="18"/>
        </w:rPr>
        <w:t xml:space="preserve"> los servicios de interconexión entre concesionarios de redes públicas  de telecomunicaciones”, publicada el 12 de abril de 2011 en el Diario Oficial de  </w:t>
      </w:r>
      <w:smartTag w:uri="urn:schemas-microsoft-com:office:smarttags" w:element="PersonName">
        <w:smartTagPr>
          <w:attr w:name="ProductID" w:val="la Federaci￳n"/>
        </w:smartTagPr>
        <w:r w:rsidRPr="0088546D">
          <w:rPr>
            <w:rFonts w:ascii="ITC Avant Garde" w:hAnsi="ITC Avant Garde"/>
            <w:i/>
            <w:szCs w:val="18"/>
          </w:rPr>
          <w:t>la Federación</w:t>
        </w:r>
      </w:smartTag>
      <w:r w:rsidRPr="0088546D">
        <w:rPr>
          <w:rFonts w:ascii="ITC Avant Garde" w:hAnsi="ITC Avant Garde"/>
          <w:i/>
          <w:szCs w:val="18"/>
        </w:rPr>
        <w:t>, o aquellas que la modifiquen o sustituyan, pero considerando la participación del Agente Económico Preponderante, medida en términos de usuarios finales.</w:t>
      </w:r>
    </w:p>
    <w:p w14:paraId="479FF992" w14:textId="77777777" w:rsidR="00952E96" w:rsidRPr="0088546D" w:rsidRDefault="00952E96" w:rsidP="00952E96">
      <w:pPr>
        <w:pStyle w:val="Texto"/>
        <w:spacing w:line="228" w:lineRule="exact"/>
        <w:ind w:left="1008" w:right="1008" w:firstLine="0"/>
        <w:rPr>
          <w:rFonts w:ascii="ITC Avant Garde" w:hAnsi="ITC Avant Garde"/>
          <w:i/>
          <w:szCs w:val="18"/>
        </w:rPr>
      </w:pPr>
      <w:r w:rsidRPr="0088546D">
        <w:rPr>
          <w:rFonts w:ascii="ITC Avant Garde" w:hAnsi="ITC Avant Garde"/>
          <w:i/>
          <w:szCs w:val="18"/>
        </w:rPr>
        <w:t>El Agente Económico Preponderante deberá acordar las demás tarifas de Servicio de Interconexión no previstas en el párrafo anterior, así como las que pagará por Servicios de Interconexión prestados por otro concesionario. En caso de que las partes no logren acordar dichas tarifas, podrán solicitar la intervención del Instituto de conformidad con las disposiciones legales y administrativas aplicables. En este caso, el Instituto resolverá las tarifas por los Servicios de Interconexión que deberán pagarse con base en una metodología de costos incrementales promedio de largo plazo.</w:t>
      </w:r>
    </w:p>
    <w:p w14:paraId="5F364229" w14:textId="77777777" w:rsidR="00952E96" w:rsidRPr="0088546D" w:rsidRDefault="00952E96" w:rsidP="00952E96">
      <w:pPr>
        <w:pStyle w:val="Texto"/>
        <w:spacing w:line="228" w:lineRule="exact"/>
        <w:ind w:left="1008" w:right="1008" w:firstLine="0"/>
        <w:rPr>
          <w:rFonts w:ascii="ITC Avant Garde" w:hAnsi="ITC Avant Garde"/>
          <w:i/>
          <w:szCs w:val="18"/>
        </w:rPr>
      </w:pPr>
      <w:r w:rsidRPr="0088546D">
        <w:rPr>
          <w:rFonts w:ascii="ITC Avant Garde" w:hAnsi="ITC Avant Garde"/>
          <w:i/>
          <w:szCs w:val="18"/>
        </w:rPr>
        <w:t xml:space="preserve">Las tarifas por los Servicios de Interconexión, relativos a Tránsito, </w:t>
      </w:r>
      <w:proofErr w:type="spellStart"/>
      <w:r w:rsidRPr="0088546D">
        <w:rPr>
          <w:rFonts w:ascii="ITC Avant Garde" w:hAnsi="ITC Avant Garde"/>
          <w:i/>
          <w:szCs w:val="18"/>
        </w:rPr>
        <w:t>Originación</w:t>
      </w:r>
      <w:proofErr w:type="spellEnd"/>
      <w:r w:rsidRPr="0088546D">
        <w:rPr>
          <w:rFonts w:ascii="ITC Avant Garde" w:hAnsi="ITC Avant Garde"/>
          <w:i/>
          <w:szCs w:val="18"/>
        </w:rPr>
        <w:t xml:space="preserve"> y Terminación de tráfico que pagará el Agente Económico Preponderante se determinara con base en un Modelo de Costos elaborado de conformidad con la “Resolución mediante la cual el Pleno de </w:t>
      </w:r>
      <w:smartTag w:uri="urn:schemas-microsoft-com:office:smarttags" w:element="PersonName">
        <w:smartTagPr>
          <w:attr w:name="ProductID" w:val="la Comisi￳n Federal"/>
        </w:smartTagPr>
        <w:r w:rsidRPr="0088546D">
          <w:rPr>
            <w:rFonts w:ascii="ITC Avant Garde" w:hAnsi="ITC Avant Garde"/>
            <w:i/>
            <w:szCs w:val="18"/>
          </w:rPr>
          <w:t>la Comisión Federal</w:t>
        </w:r>
      </w:smartTag>
      <w:r w:rsidRPr="0088546D">
        <w:rPr>
          <w:rFonts w:ascii="ITC Avant Garde" w:hAnsi="ITC Avant Garde"/>
          <w:i/>
          <w:szCs w:val="18"/>
        </w:rPr>
        <w:t xml:space="preserve"> de Telecomunicaciones emite los lineamientos para desarrollar los modelos de costos que aplicará para resolver, en términos del artículo 42 de </w:t>
      </w:r>
      <w:smartTag w:uri="urn:schemas-microsoft-com:office:smarttags" w:element="PersonName">
        <w:smartTagPr>
          <w:attr w:name="ProductID" w:val="la Ley Federal"/>
        </w:smartTagPr>
        <w:r w:rsidRPr="0088546D">
          <w:rPr>
            <w:rFonts w:ascii="ITC Avant Garde" w:hAnsi="ITC Avant Garde"/>
            <w:i/>
            <w:szCs w:val="18"/>
          </w:rPr>
          <w:t>la Ley Federal</w:t>
        </w:r>
      </w:smartTag>
      <w:r w:rsidRPr="0088546D">
        <w:rPr>
          <w:rFonts w:ascii="ITC Avant Garde" w:hAnsi="ITC Avant Garde"/>
          <w:i/>
          <w:szCs w:val="18"/>
        </w:rPr>
        <w:t xml:space="preserve"> de Telecomunicaciones, desacuerdos en materia de tarifas aplicables a la prestación  de los servicios de interconexión entre concesionarios de redes públicas de telecomunicaciones”, publicada el 12 de abril de 2011 en el Diario Oficial de </w:t>
      </w:r>
      <w:smartTag w:uri="urn:schemas-microsoft-com:office:smarttags" w:element="PersonName">
        <w:smartTagPr>
          <w:attr w:name="ProductID" w:val="la Federaci￳n"/>
        </w:smartTagPr>
        <w:r w:rsidRPr="0088546D">
          <w:rPr>
            <w:rFonts w:ascii="ITC Avant Garde" w:hAnsi="ITC Avant Garde"/>
            <w:i/>
            <w:szCs w:val="18"/>
          </w:rPr>
          <w:t>la Federación</w:t>
        </w:r>
      </w:smartTag>
      <w:r w:rsidRPr="0088546D">
        <w:rPr>
          <w:rFonts w:ascii="ITC Avant Garde" w:hAnsi="ITC Avant Garde"/>
          <w:i/>
          <w:szCs w:val="18"/>
        </w:rPr>
        <w:t>, o aquellas que la modifiquen o sustituyan.”</w:t>
      </w:r>
    </w:p>
    <w:p w14:paraId="3F94FCDB" w14:textId="77777777" w:rsidR="00952E96" w:rsidRPr="00E11353" w:rsidRDefault="00952E96" w:rsidP="00952E96">
      <w:pPr>
        <w:pStyle w:val="Texto"/>
        <w:spacing w:line="228" w:lineRule="exact"/>
        <w:ind w:left="1008" w:right="1008" w:firstLine="0"/>
        <w:rPr>
          <w:rFonts w:ascii="ITC Avant Garde" w:hAnsi="ITC Avant Garde"/>
          <w:sz w:val="22"/>
          <w:szCs w:val="22"/>
        </w:rPr>
      </w:pPr>
    </w:p>
    <w:p w14:paraId="51B52EDB" w14:textId="77777777" w:rsidR="00952E96" w:rsidRDefault="00952E96" w:rsidP="00952E96">
      <w:pPr>
        <w:widowControl w:val="0"/>
        <w:spacing w:after="0"/>
        <w:jc w:val="both"/>
        <w:rPr>
          <w:rFonts w:ascii="ITC Avant Garde" w:eastAsia="Times New Roman" w:hAnsi="ITC Avant Garde"/>
        </w:rPr>
      </w:pPr>
      <w:r>
        <w:rPr>
          <w:rFonts w:ascii="ITC Avant Garde" w:eastAsia="Times New Roman" w:hAnsi="ITC Avant Garde"/>
        </w:rPr>
        <w:t>Esto es, l</w:t>
      </w:r>
      <w:r w:rsidRPr="00BD415C">
        <w:rPr>
          <w:rFonts w:ascii="ITC Avant Garde" w:eastAsia="Times New Roman" w:hAnsi="ITC Avant Garde"/>
        </w:rPr>
        <w:t>as tarifas por los Servicios de Interconexión re</w:t>
      </w:r>
      <w:r>
        <w:rPr>
          <w:rFonts w:ascii="ITC Avant Garde" w:eastAsia="Times New Roman" w:hAnsi="ITC Avant Garde"/>
        </w:rPr>
        <w:t>lativos al servicio de Tránsito y</w:t>
      </w:r>
      <w:r w:rsidRPr="00BD415C">
        <w:rPr>
          <w:rFonts w:ascii="ITC Avant Garde" w:eastAsia="Times New Roman" w:hAnsi="ITC Avant Garde"/>
        </w:rPr>
        <w:t xml:space="preserve"> </w:t>
      </w:r>
      <w:proofErr w:type="spellStart"/>
      <w:r w:rsidRPr="00BD415C">
        <w:rPr>
          <w:rFonts w:ascii="ITC Avant Garde" w:eastAsia="Times New Roman" w:hAnsi="ITC Avant Garde"/>
        </w:rPr>
        <w:t>Originación</w:t>
      </w:r>
      <w:proofErr w:type="spellEnd"/>
      <w:r w:rsidRPr="00BD415C">
        <w:rPr>
          <w:rFonts w:ascii="ITC Avant Garde" w:eastAsia="Times New Roman" w:hAnsi="ITC Avant Garde"/>
        </w:rPr>
        <w:t xml:space="preserve"> </w:t>
      </w:r>
      <w:r>
        <w:rPr>
          <w:rFonts w:ascii="ITC Avant Garde" w:eastAsia="Times New Roman" w:hAnsi="ITC Avant Garde"/>
        </w:rPr>
        <w:t xml:space="preserve">prestados por el Agente Económico Preponderante deben determinarse mediante un Modelo de Costos elaborado de conformidad con la Metodología de Costos, toda vez que esta sustituyó a la </w:t>
      </w:r>
      <w:r w:rsidRPr="00BD415C">
        <w:rPr>
          <w:rFonts w:ascii="ITC Avant Garde" w:eastAsia="Times New Roman" w:hAnsi="ITC Avant Garde"/>
          <w:i/>
        </w:rPr>
        <w:t>Resolución mediante la cual el Pleno de la Comisión Federal  de Telecomunicaciones emite los lineamientos para desarrollar los modelos de costos que aplicará para resolver, en términos del artículo 42 de la Ley Federal  de Telecomunicaciones, desacuerdos en materia de tarifas aplicables a la prestación de los servicios de interconexión entre concesionarios de redes públicas  de telecomunicaciones</w:t>
      </w:r>
      <w:r>
        <w:rPr>
          <w:rFonts w:ascii="ITC Avant Garde" w:eastAsia="Times New Roman" w:hAnsi="ITC Avant Garde"/>
          <w:i/>
        </w:rPr>
        <w:t>.</w:t>
      </w:r>
    </w:p>
    <w:p w14:paraId="69A12C1E" w14:textId="77777777" w:rsidR="00952E96" w:rsidRDefault="00952E96" w:rsidP="00D571AA">
      <w:pPr>
        <w:spacing w:after="0"/>
        <w:jc w:val="both"/>
        <w:rPr>
          <w:rFonts w:ascii="ITC Avant Garde" w:hAnsi="ITC Avant Garde" w:cs="Arial"/>
          <w:bCs/>
        </w:rPr>
      </w:pPr>
    </w:p>
    <w:p w14:paraId="17D26242" w14:textId="6A066A54" w:rsidR="00E762D1" w:rsidRDefault="00E762D1" w:rsidP="00D571AA">
      <w:pPr>
        <w:spacing w:after="0"/>
        <w:jc w:val="both"/>
        <w:rPr>
          <w:rFonts w:ascii="ITC Avant Garde" w:hAnsi="ITC Avant Garde" w:cs="Arial"/>
          <w:bCs/>
        </w:rPr>
      </w:pPr>
      <w:r w:rsidRPr="00E762D1">
        <w:rPr>
          <w:rFonts w:ascii="ITC Avant Garde" w:hAnsi="ITC Avant Garde" w:cs="Arial"/>
          <w:bCs/>
        </w:rPr>
        <w:t xml:space="preserve">En ese sentido, con la finalidad de alcanzar los objetivos que establece la </w:t>
      </w:r>
      <w:proofErr w:type="spellStart"/>
      <w:r w:rsidRPr="00E762D1">
        <w:rPr>
          <w:rFonts w:ascii="ITC Avant Garde" w:hAnsi="ITC Avant Garde" w:cs="Arial"/>
          <w:bCs/>
        </w:rPr>
        <w:t>L</w:t>
      </w:r>
      <w:r w:rsidR="00651385">
        <w:rPr>
          <w:rFonts w:ascii="ITC Avant Garde" w:hAnsi="ITC Avant Garde" w:cs="Arial"/>
          <w:bCs/>
        </w:rPr>
        <w:t>FTyR</w:t>
      </w:r>
      <w:proofErr w:type="spellEnd"/>
      <w:r w:rsidR="00242F1C">
        <w:rPr>
          <w:rFonts w:ascii="ITC Avant Garde" w:hAnsi="ITC Avant Garde" w:cs="Arial"/>
          <w:bCs/>
        </w:rPr>
        <w:t>,</w:t>
      </w:r>
      <w:r w:rsidRPr="00E762D1">
        <w:rPr>
          <w:rFonts w:ascii="ITC Avant Garde" w:hAnsi="ITC Avant Garde" w:cs="Arial"/>
          <w:bCs/>
        </w:rPr>
        <w:t xml:space="preserve"> el Instituto cuenta con la atribución de establecer </w:t>
      </w:r>
      <w:r w:rsidR="00651385">
        <w:rPr>
          <w:rFonts w:ascii="ITC Avant Garde" w:hAnsi="ITC Avant Garde" w:cs="Arial"/>
          <w:bCs/>
        </w:rPr>
        <w:t xml:space="preserve">los </w:t>
      </w:r>
      <w:r w:rsidRPr="00E762D1">
        <w:rPr>
          <w:rFonts w:ascii="ITC Avant Garde" w:hAnsi="ITC Avant Garde" w:cs="Arial"/>
          <w:bCs/>
        </w:rPr>
        <w:t xml:space="preserve">Modelos de Costos para determinar las tarifas aplicables para </w:t>
      </w:r>
      <w:r w:rsidR="00651385">
        <w:rPr>
          <w:rFonts w:ascii="ITC Avant Garde" w:hAnsi="ITC Avant Garde" w:cs="Arial"/>
          <w:bCs/>
        </w:rPr>
        <w:t>los servicios de interconexión</w:t>
      </w:r>
      <w:r w:rsidRPr="00E762D1">
        <w:rPr>
          <w:rFonts w:ascii="ITC Avant Garde" w:hAnsi="ITC Avant Garde" w:cs="Arial"/>
          <w:bCs/>
        </w:rPr>
        <w:t xml:space="preserve"> en el que se presente un desacuerdo entre concesionarios. Razón por la cual, los Modelos de Costos constituyen una herramienta que permitirá a la autoridad ejercer de mejor manera la atribución de resolver lo que corresponda en los casos concretos.</w:t>
      </w:r>
    </w:p>
    <w:p w14:paraId="6633BF18" w14:textId="77777777" w:rsidR="00EF1AFF" w:rsidRPr="00E762D1" w:rsidRDefault="00EF1AFF" w:rsidP="00D571AA">
      <w:pPr>
        <w:spacing w:after="0"/>
        <w:jc w:val="both"/>
        <w:rPr>
          <w:rFonts w:ascii="ITC Avant Garde" w:hAnsi="ITC Avant Garde" w:cs="Arial"/>
          <w:bCs/>
        </w:rPr>
      </w:pPr>
    </w:p>
    <w:p w14:paraId="3C9D2615" w14:textId="4115FC65" w:rsidR="006A3202" w:rsidRPr="006A3202" w:rsidRDefault="006A3202" w:rsidP="00D571AA">
      <w:pPr>
        <w:spacing w:after="0"/>
        <w:jc w:val="both"/>
        <w:rPr>
          <w:rFonts w:ascii="ITC Avant Garde" w:hAnsi="ITC Avant Garde" w:cs="Arial"/>
          <w:bCs/>
        </w:rPr>
      </w:pPr>
      <w:r w:rsidRPr="006A3202">
        <w:rPr>
          <w:rFonts w:ascii="ITC Avant Garde" w:hAnsi="ITC Avant Garde" w:cs="Arial"/>
          <w:bCs/>
        </w:rPr>
        <w:t>Es por ello que el Instituto elabor</w:t>
      </w:r>
      <w:r w:rsidR="000D7E15">
        <w:rPr>
          <w:rFonts w:ascii="ITC Avant Garde" w:hAnsi="ITC Avant Garde" w:cs="Arial"/>
          <w:bCs/>
        </w:rPr>
        <w:t>ó</w:t>
      </w:r>
      <w:r w:rsidRPr="006A3202">
        <w:rPr>
          <w:rFonts w:ascii="ITC Avant Garde" w:hAnsi="ITC Avant Garde" w:cs="Arial"/>
          <w:bCs/>
        </w:rPr>
        <w:t xml:space="preserve"> </w:t>
      </w:r>
      <w:r w:rsidR="00651385">
        <w:rPr>
          <w:rFonts w:ascii="ITC Avant Garde" w:hAnsi="ITC Avant Garde" w:cs="Arial"/>
          <w:bCs/>
        </w:rPr>
        <w:t>los</w:t>
      </w:r>
      <w:r w:rsidRPr="006A3202">
        <w:rPr>
          <w:rFonts w:ascii="ITC Avant Garde" w:hAnsi="ITC Avant Garde" w:cs="Arial"/>
          <w:bCs/>
        </w:rPr>
        <w:t xml:space="preserve"> </w:t>
      </w:r>
      <w:r w:rsidR="00CC3D6C">
        <w:rPr>
          <w:rFonts w:ascii="ITC Avant Garde" w:hAnsi="ITC Avant Garde" w:cs="Arial"/>
          <w:bCs/>
        </w:rPr>
        <w:t>M</w:t>
      </w:r>
      <w:r w:rsidR="00C7644D">
        <w:rPr>
          <w:rFonts w:ascii="ITC Avant Garde" w:hAnsi="ITC Avant Garde" w:cs="Arial"/>
          <w:bCs/>
        </w:rPr>
        <w:t>odelo</w:t>
      </w:r>
      <w:r w:rsidR="00D571AA">
        <w:rPr>
          <w:rFonts w:ascii="ITC Avant Garde" w:hAnsi="ITC Avant Garde" w:cs="Arial"/>
          <w:bCs/>
        </w:rPr>
        <w:t>s</w:t>
      </w:r>
      <w:r w:rsidRPr="006A3202">
        <w:rPr>
          <w:rFonts w:ascii="ITC Avant Garde" w:hAnsi="ITC Avant Garde" w:cs="Arial"/>
          <w:bCs/>
        </w:rPr>
        <w:t xml:space="preserve"> de </w:t>
      </w:r>
      <w:r w:rsidR="00CC3D6C">
        <w:rPr>
          <w:rFonts w:ascii="ITC Avant Garde" w:hAnsi="ITC Avant Garde" w:cs="Arial"/>
          <w:bCs/>
        </w:rPr>
        <w:t>C</w:t>
      </w:r>
      <w:r w:rsidRPr="006A3202">
        <w:rPr>
          <w:rFonts w:ascii="ITC Avant Garde" w:hAnsi="ITC Avant Garde" w:cs="Arial"/>
          <w:bCs/>
        </w:rPr>
        <w:t xml:space="preserve">ostos con el fin de contar con una herramienta formal </w:t>
      </w:r>
      <w:r w:rsidR="001A2CFD">
        <w:rPr>
          <w:rFonts w:ascii="ITC Avant Garde" w:hAnsi="ITC Avant Garde" w:cs="Arial"/>
          <w:bCs/>
        </w:rPr>
        <w:t xml:space="preserve">que lo pueda auxiliar en </w:t>
      </w:r>
      <w:r w:rsidRPr="006A3202">
        <w:rPr>
          <w:rFonts w:ascii="ITC Avant Garde" w:hAnsi="ITC Avant Garde" w:cs="Arial"/>
          <w:bCs/>
        </w:rPr>
        <w:t>la determinación de tarifas</w:t>
      </w:r>
      <w:r w:rsidR="00C7644D">
        <w:rPr>
          <w:rFonts w:ascii="ITC Avant Garde" w:hAnsi="ITC Avant Garde" w:cs="Arial"/>
          <w:bCs/>
        </w:rPr>
        <w:t xml:space="preserve"> para los servicios de interconexión</w:t>
      </w:r>
      <w:r w:rsidR="00651385">
        <w:rPr>
          <w:rFonts w:ascii="ITC Avant Garde" w:hAnsi="ITC Avant Garde" w:cs="Arial"/>
          <w:bCs/>
        </w:rPr>
        <w:t xml:space="preserve"> aplicables para el periodo de 2018 a 2020</w:t>
      </w:r>
      <w:r w:rsidR="00C7644D">
        <w:rPr>
          <w:rFonts w:ascii="ITC Avant Garde" w:hAnsi="ITC Avant Garde" w:cs="Arial"/>
          <w:bCs/>
        </w:rPr>
        <w:t>.</w:t>
      </w:r>
    </w:p>
    <w:p w14:paraId="73CAB989" w14:textId="77777777" w:rsidR="006A3202" w:rsidRPr="000277EE" w:rsidRDefault="006A3202" w:rsidP="00D571AA">
      <w:pPr>
        <w:spacing w:after="0"/>
        <w:jc w:val="both"/>
        <w:rPr>
          <w:rFonts w:ascii="ITC Avant Garde" w:hAnsi="ITC Avant Garde" w:cs="Arial"/>
          <w:bCs/>
          <w:sz w:val="18"/>
        </w:rPr>
      </w:pPr>
    </w:p>
    <w:p w14:paraId="5960D12F" w14:textId="5DCEB1D3" w:rsidR="006A3202" w:rsidRDefault="001A2CFD" w:rsidP="00D571AA">
      <w:pPr>
        <w:spacing w:after="0"/>
        <w:jc w:val="both"/>
        <w:rPr>
          <w:rFonts w:ascii="ITC Avant Garde" w:hAnsi="ITC Avant Garde" w:cs="Arial"/>
          <w:bCs/>
        </w:rPr>
      </w:pPr>
      <w:r>
        <w:rPr>
          <w:rFonts w:ascii="ITC Avant Garde" w:hAnsi="ITC Avant Garde" w:cs="Arial"/>
          <w:bCs/>
        </w:rPr>
        <w:t>En este orden de ideas</w:t>
      </w:r>
      <w:r w:rsidR="00E762D1" w:rsidRPr="00E762D1">
        <w:rPr>
          <w:rFonts w:ascii="ITC Avant Garde" w:hAnsi="ITC Avant Garde" w:cs="Arial"/>
          <w:bCs/>
        </w:rPr>
        <w:t xml:space="preserve">, este Instituto considera de la mayor relevancia someter a un proceso de consulta pública los Modelos de Costos para los servicios </w:t>
      </w:r>
      <w:r w:rsidR="00651385">
        <w:rPr>
          <w:rFonts w:ascii="ITC Avant Garde" w:hAnsi="ITC Avant Garde" w:cs="Arial"/>
          <w:bCs/>
        </w:rPr>
        <w:t>de interconexión</w:t>
      </w:r>
      <w:r w:rsidR="00E762D1" w:rsidRPr="00E762D1">
        <w:rPr>
          <w:rFonts w:ascii="ITC Avant Garde" w:hAnsi="ITC Avant Garde" w:cs="Arial"/>
          <w:bCs/>
        </w:rPr>
        <w:t xml:space="preserve">, con la finalidad de fortalecer la transparencia de las resoluciones que, en cada caso concreto emita para la determinación de las tarifas por la prestación de los servicios antes referidos. Dicha consulta pública tiene por objeto recabar comentarios de la industria los </w:t>
      </w:r>
      <w:r w:rsidR="00E93D63">
        <w:rPr>
          <w:rFonts w:ascii="ITC Avant Garde" w:hAnsi="ITC Avant Garde" w:cs="Arial"/>
          <w:bCs/>
        </w:rPr>
        <w:t>c</w:t>
      </w:r>
      <w:r w:rsidR="00E762D1" w:rsidRPr="00E762D1">
        <w:rPr>
          <w:rFonts w:ascii="ITC Avant Garde" w:hAnsi="ITC Avant Garde" w:cs="Arial"/>
          <w:bCs/>
        </w:rPr>
        <w:t xml:space="preserve">oncesionarios, permisionarios y autorizados, </w:t>
      </w:r>
      <w:r w:rsidR="00E93D63">
        <w:rPr>
          <w:rFonts w:ascii="ITC Avant Garde" w:hAnsi="ITC Avant Garde" w:cs="Arial"/>
          <w:bCs/>
        </w:rPr>
        <w:t xml:space="preserve">y </w:t>
      </w:r>
      <w:r w:rsidR="00E762D1" w:rsidRPr="00E762D1">
        <w:rPr>
          <w:rFonts w:ascii="ITC Avant Garde" w:hAnsi="ITC Avant Garde" w:cs="Arial"/>
          <w:bCs/>
        </w:rPr>
        <w:t xml:space="preserve">en su caso, de especialistas en la materia y del público en general, para ser analizados y, de resultar procedente, fortalecer los </w:t>
      </w:r>
      <w:r w:rsidR="006A3202">
        <w:rPr>
          <w:rFonts w:ascii="ITC Avant Garde" w:hAnsi="ITC Avant Garde" w:cs="Arial"/>
          <w:bCs/>
        </w:rPr>
        <w:t>M</w:t>
      </w:r>
      <w:r w:rsidR="00E762D1" w:rsidRPr="00E762D1">
        <w:rPr>
          <w:rFonts w:ascii="ITC Avant Garde" w:hAnsi="ITC Avant Garde" w:cs="Arial"/>
          <w:bCs/>
        </w:rPr>
        <w:t>odelos.</w:t>
      </w:r>
    </w:p>
    <w:p w14:paraId="7AA15A8A" w14:textId="77777777" w:rsidR="006A3202" w:rsidRDefault="006A3202" w:rsidP="00D571AA">
      <w:pPr>
        <w:spacing w:after="0"/>
        <w:jc w:val="both"/>
        <w:rPr>
          <w:rFonts w:ascii="ITC Avant Garde" w:hAnsi="ITC Avant Garde" w:cs="Arial"/>
          <w:bCs/>
        </w:rPr>
      </w:pPr>
    </w:p>
    <w:p w14:paraId="340643E6" w14:textId="29CEC035" w:rsidR="00E762D1" w:rsidRDefault="00E762D1" w:rsidP="00D571AA">
      <w:pPr>
        <w:spacing w:after="0"/>
        <w:jc w:val="both"/>
        <w:rPr>
          <w:rFonts w:ascii="ITC Avant Garde" w:hAnsi="ITC Avant Garde" w:cs="Arial"/>
          <w:bCs/>
        </w:rPr>
      </w:pPr>
      <w:r w:rsidRPr="00E762D1">
        <w:rPr>
          <w:rFonts w:ascii="ITC Avant Garde" w:hAnsi="ITC Avant Garde" w:cs="Arial"/>
          <w:bCs/>
        </w:rPr>
        <w:t xml:space="preserve">Es decir, no obstante que el Modelo de Costos es, como tal, una herramienta de trabajo que tiene la autoridad y por lo tanto, no incide directamente en un procedimiento en lo individual, se estima de la mayor relevancia que, previo a su emisión y en su momento aplicación a un determinado caso en concreto, la autoridad tenga conocimiento de las inquietudes </w:t>
      </w:r>
      <w:r>
        <w:rPr>
          <w:rFonts w:ascii="ITC Avant Garde" w:hAnsi="ITC Avant Garde" w:cs="Arial"/>
          <w:bCs/>
        </w:rPr>
        <w:t xml:space="preserve">de </w:t>
      </w:r>
      <w:r w:rsidRPr="00E762D1">
        <w:rPr>
          <w:rFonts w:ascii="ITC Avant Garde" w:hAnsi="ITC Avant Garde" w:cs="Arial"/>
          <w:bCs/>
        </w:rPr>
        <w:t xml:space="preserve">los regulados a efecto de que, de forma simplemente informativa, se pueda allegar de comentarios o sugerencias que permitan fortalecer esta herramienta de trabajo para lograr las finalidades de la </w:t>
      </w:r>
      <w:proofErr w:type="spellStart"/>
      <w:r w:rsidRPr="00E762D1">
        <w:rPr>
          <w:rFonts w:ascii="ITC Avant Garde" w:hAnsi="ITC Avant Garde" w:cs="Arial"/>
          <w:bCs/>
        </w:rPr>
        <w:t>L</w:t>
      </w:r>
      <w:r w:rsidR="00410B27">
        <w:rPr>
          <w:rFonts w:ascii="ITC Avant Garde" w:hAnsi="ITC Avant Garde" w:cs="Arial"/>
          <w:bCs/>
        </w:rPr>
        <w:t>FTyR</w:t>
      </w:r>
      <w:proofErr w:type="spellEnd"/>
      <w:r w:rsidRPr="00E762D1">
        <w:rPr>
          <w:rFonts w:ascii="ITC Avant Garde" w:hAnsi="ITC Avant Garde" w:cs="Arial"/>
          <w:bCs/>
        </w:rPr>
        <w:t>.</w:t>
      </w:r>
    </w:p>
    <w:p w14:paraId="0101AE8D" w14:textId="77777777" w:rsidR="007C69A8" w:rsidRPr="007C69A8" w:rsidRDefault="007C69A8" w:rsidP="00D571AA">
      <w:pPr>
        <w:spacing w:after="0"/>
        <w:jc w:val="both"/>
        <w:rPr>
          <w:rFonts w:ascii="ITC Avant Garde" w:hAnsi="ITC Avant Garde" w:cs="Arial"/>
          <w:bCs/>
        </w:rPr>
      </w:pPr>
    </w:p>
    <w:p w14:paraId="53308820" w14:textId="254151CD" w:rsidR="007C69A8" w:rsidRPr="007C69A8" w:rsidRDefault="00EF2921" w:rsidP="00D571AA">
      <w:pPr>
        <w:spacing w:after="0"/>
        <w:jc w:val="both"/>
        <w:rPr>
          <w:rFonts w:ascii="ITC Avant Garde" w:hAnsi="ITC Avant Garde" w:cs="Arial"/>
          <w:bCs/>
        </w:rPr>
      </w:pPr>
      <w:r>
        <w:rPr>
          <w:rFonts w:ascii="ITC Avant Garde" w:hAnsi="ITC Avant Garde" w:cs="Arial"/>
          <w:b/>
          <w:bCs/>
        </w:rPr>
        <w:t>CUARTO</w:t>
      </w:r>
      <w:r w:rsidR="007C69A8" w:rsidRPr="007C69A8">
        <w:rPr>
          <w:rFonts w:ascii="ITC Avant Garde" w:hAnsi="ITC Avant Garde" w:cs="Arial"/>
          <w:bCs/>
        </w:rPr>
        <w:t xml:space="preserve">.- </w:t>
      </w:r>
      <w:r w:rsidR="007C69A8" w:rsidRPr="007C69A8">
        <w:rPr>
          <w:rFonts w:ascii="ITC Avant Garde" w:hAnsi="ITC Avant Garde" w:cs="Arial"/>
          <w:b/>
          <w:bCs/>
        </w:rPr>
        <w:t>Consulta Pública de los Modelos de Costos</w:t>
      </w:r>
      <w:r w:rsidR="007C69A8" w:rsidRPr="007C69A8">
        <w:rPr>
          <w:rFonts w:ascii="ITC Avant Garde" w:eastAsia="Times New Roman" w:hAnsi="ITC Avant Garde"/>
          <w:b/>
          <w:szCs w:val="20"/>
        </w:rPr>
        <w:t>.-</w:t>
      </w:r>
      <w:r w:rsidR="007C69A8" w:rsidRPr="007C69A8">
        <w:rPr>
          <w:rFonts w:ascii="ITC Avant Garde" w:eastAsia="Times New Roman" w:hAnsi="ITC Avant Garde"/>
          <w:szCs w:val="20"/>
        </w:rPr>
        <w:t xml:space="preserve"> La </w:t>
      </w:r>
      <w:r w:rsidR="007C69A8" w:rsidRPr="007C69A8">
        <w:rPr>
          <w:rFonts w:ascii="ITC Avant Garde" w:hAnsi="ITC Avant Garde" w:cs="Arial"/>
          <w:bCs/>
        </w:rPr>
        <w:t xml:space="preserve">consulta pública tiene por objeto cumplir con los principios de transparencia y participación ciudadana por parte del Instituto, con la finalidad de recabar comentarios de la industria, de especialistas en la materia y del público en general, para serán analizados por este Instituto, y de resultar procedente, con ellos fortalecer los Modelos de Costos. </w:t>
      </w:r>
    </w:p>
    <w:p w14:paraId="07E31962" w14:textId="77777777" w:rsidR="007C69A8" w:rsidRPr="007C69A8" w:rsidRDefault="007C69A8" w:rsidP="00D571AA">
      <w:pPr>
        <w:spacing w:after="0"/>
        <w:jc w:val="both"/>
        <w:rPr>
          <w:rFonts w:ascii="ITC Avant Garde" w:hAnsi="ITC Avant Garde" w:cs="Arial"/>
          <w:bCs/>
        </w:rPr>
      </w:pPr>
    </w:p>
    <w:p w14:paraId="2E516B57" w14:textId="7F04EEA9" w:rsidR="007C69A8" w:rsidRDefault="007C69A8" w:rsidP="00D571AA">
      <w:pPr>
        <w:spacing w:after="0"/>
        <w:jc w:val="both"/>
        <w:rPr>
          <w:rFonts w:ascii="ITC Avant Garde" w:hAnsi="ITC Avant Garde" w:cs="Arial"/>
          <w:bCs/>
        </w:rPr>
      </w:pPr>
      <w:r w:rsidRPr="007C69A8">
        <w:rPr>
          <w:rFonts w:ascii="ITC Avant Garde" w:hAnsi="ITC Avant Garde" w:cs="Arial"/>
          <w:bCs/>
        </w:rPr>
        <w:t xml:space="preserve">Las consultas públicas sobre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 xml:space="preserve">ostos relativos a </w:t>
      </w:r>
      <w:r w:rsidR="00EF2921">
        <w:rPr>
          <w:rFonts w:ascii="ITC Avant Garde" w:hAnsi="ITC Avant Garde" w:cs="Arial"/>
          <w:bCs/>
        </w:rPr>
        <w:t>los servicios de interconexión</w:t>
      </w:r>
      <w:r w:rsidRPr="007C69A8">
        <w:rPr>
          <w:rFonts w:ascii="ITC Avant Garde" w:hAnsi="ITC Avant Garde" w:cs="Arial"/>
          <w:bCs/>
        </w:rPr>
        <w:t>, son instrumentos que han implementado las autoridades regulatorias de diversos países, con la finalidad de brindar transparencia, recibir retroalimentación de la industria y de los agentes económicos interesados, así como perfeccionar su diseño y operación.</w:t>
      </w:r>
    </w:p>
    <w:p w14:paraId="7B44BF67" w14:textId="77777777" w:rsidR="00EF2921" w:rsidRPr="007C69A8" w:rsidRDefault="00EF2921" w:rsidP="00D571AA">
      <w:pPr>
        <w:spacing w:after="0"/>
        <w:jc w:val="both"/>
        <w:rPr>
          <w:rFonts w:ascii="ITC Avant Garde" w:hAnsi="ITC Avant Garde" w:cs="Arial"/>
          <w:bCs/>
        </w:rPr>
      </w:pPr>
    </w:p>
    <w:p w14:paraId="199C472B" w14:textId="7EDE61C5" w:rsidR="007C69A8" w:rsidRPr="007C69A8" w:rsidRDefault="007C69A8" w:rsidP="00D571AA">
      <w:pPr>
        <w:spacing w:after="0"/>
        <w:jc w:val="both"/>
        <w:rPr>
          <w:rFonts w:ascii="ITC Avant Garde" w:hAnsi="ITC Avant Garde" w:cs="Arial"/>
          <w:bCs/>
        </w:rPr>
      </w:pPr>
      <w:r w:rsidRPr="007C69A8">
        <w:rPr>
          <w:rFonts w:ascii="ITC Avant Garde" w:hAnsi="ITC Avant Garde" w:cs="Arial"/>
          <w:bCs/>
        </w:rPr>
        <w:t>Una consulta pública implica la publicación de los principios, supuestos, variables y parámetros que forman</w:t>
      </w:r>
      <w:r w:rsidR="00336404">
        <w:rPr>
          <w:rFonts w:ascii="ITC Avant Garde" w:hAnsi="ITC Avant Garde" w:cs="Arial"/>
          <w:bCs/>
        </w:rPr>
        <w:t xml:space="preserve"> parte de los </w:t>
      </w:r>
      <w:r w:rsidR="00CE24C3">
        <w:rPr>
          <w:rFonts w:ascii="ITC Avant Garde" w:hAnsi="ITC Avant Garde" w:cs="Arial"/>
          <w:bCs/>
        </w:rPr>
        <w:t>M</w:t>
      </w:r>
      <w:r w:rsidR="00336404">
        <w:rPr>
          <w:rFonts w:ascii="ITC Avant Garde" w:hAnsi="ITC Avant Garde" w:cs="Arial"/>
          <w:bCs/>
        </w:rPr>
        <w:t xml:space="preserve">odelos de </w:t>
      </w:r>
      <w:r w:rsidR="00CE24C3">
        <w:rPr>
          <w:rFonts w:ascii="ITC Avant Garde" w:hAnsi="ITC Avant Garde" w:cs="Arial"/>
          <w:bCs/>
        </w:rPr>
        <w:t>C</w:t>
      </w:r>
      <w:r w:rsidR="00336404">
        <w:rPr>
          <w:rFonts w:ascii="ITC Avant Garde" w:hAnsi="ITC Avant Garde" w:cs="Arial"/>
          <w:bCs/>
        </w:rPr>
        <w:t>ostos</w:t>
      </w:r>
      <w:r w:rsidR="006A3202">
        <w:rPr>
          <w:rFonts w:ascii="ITC Avant Garde" w:hAnsi="ITC Avant Garde" w:cs="Arial"/>
          <w:bCs/>
        </w:rPr>
        <w:t xml:space="preserve">. </w:t>
      </w:r>
      <w:r w:rsidRPr="007C69A8">
        <w:rPr>
          <w:rFonts w:ascii="ITC Avant Garde" w:hAnsi="ITC Avant Garde" w:cs="Arial"/>
          <w:bCs/>
        </w:rPr>
        <w:t xml:space="preserve">Cambios en cada uno de estos elementos tienen, a su vez, un impacto en el resultado, por lo que es indispensable recibir observaciones, comentarios e inquietudes que los concesionarios o interesados tengan de manera previa a su aprobación y aplicación por parte de la autoridad regulatoria. </w:t>
      </w:r>
    </w:p>
    <w:p w14:paraId="1B62F186" w14:textId="77777777" w:rsidR="007C69A8" w:rsidRPr="007C69A8" w:rsidRDefault="007C69A8" w:rsidP="00D571AA">
      <w:pPr>
        <w:spacing w:after="0"/>
        <w:jc w:val="both"/>
        <w:rPr>
          <w:rFonts w:ascii="ITC Avant Garde" w:hAnsi="ITC Avant Garde" w:cs="Arial"/>
          <w:bCs/>
        </w:rPr>
      </w:pPr>
    </w:p>
    <w:p w14:paraId="7FDB8A69" w14:textId="34BC3C0E" w:rsidR="00104A8D" w:rsidRPr="00104A8D" w:rsidRDefault="007C69A8" w:rsidP="00D571AA">
      <w:pPr>
        <w:spacing w:after="0"/>
        <w:jc w:val="both"/>
        <w:rPr>
          <w:rFonts w:ascii="ITC Avant Garde" w:hAnsi="ITC Avant Garde" w:cs="Arial"/>
          <w:bCs/>
        </w:rPr>
      </w:pPr>
      <w:r w:rsidRPr="007C69A8">
        <w:rPr>
          <w:rFonts w:ascii="ITC Avant Garde" w:hAnsi="ITC Avant Garde" w:cs="Arial"/>
          <w:bCs/>
        </w:rPr>
        <w:t xml:space="preserve">Las autoridades regulatorias pudieran no disponer de información perfecta y completa respecto a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ostos, por lo que la consulta pública se convierte en una herramienta necesaria que permite reducir significativamente el margen de error, y asegura que los supuestos reflejen la realidad del sector o del mercado de una manera más acertada.</w:t>
      </w:r>
    </w:p>
    <w:p w14:paraId="61E6CECB" w14:textId="77777777" w:rsidR="00DA0DBE" w:rsidRDefault="00DA0DBE" w:rsidP="00D571AA">
      <w:pPr>
        <w:spacing w:after="0"/>
        <w:jc w:val="both"/>
        <w:rPr>
          <w:rFonts w:ascii="ITC Avant Garde" w:eastAsia="Times New Roman" w:hAnsi="ITC Avant Garde"/>
          <w:szCs w:val="20"/>
        </w:rPr>
      </w:pPr>
    </w:p>
    <w:p w14:paraId="44151977" w14:textId="77777777" w:rsidR="00591EB7" w:rsidRPr="00591EB7" w:rsidRDefault="00591EB7" w:rsidP="00D571AA">
      <w:pPr>
        <w:spacing w:after="0"/>
        <w:jc w:val="both"/>
        <w:rPr>
          <w:rFonts w:ascii="ITC Avant Garde" w:eastAsia="Times New Roman" w:hAnsi="ITC Avant Garde"/>
          <w:szCs w:val="20"/>
        </w:rPr>
      </w:pPr>
      <w:r w:rsidRPr="00591EB7">
        <w:rPr>
          <w:rFonts w:ascii="ITC Avant Garde" w:eastAsia="Times New Roman" w:hAnsi="ITC Avant Garde"/>
          <w:szCs w:val="20"/>
        </w:rPr>
        <w:t>En este sentido, la presente Consulta Pública tiene como objeto de análisis todas las cuestiones relacionadas con:</w:t>
      </w:r>
    </w:p>
    <w:p w14:paraId="787EB348" w14:textId="77777777" w:rsidR="00591EB7" w:rsidRPr="000277EE" w:rsidRDefault="00591EB7" w:rsidP="00D571AA">
      <w:pPr>
        <w:spacing w:after="0"/>
        <w:jc w:val="both"/>
        <w:rPr>
          <w:rFonts w:ascii="ITC Avant Garde" w:eastAsia="Times New Roman" w:hAnsi="ITC Avant Garde"/>
          <w:sz w:val="18"/>
          <w:szCs w:val="20"/>
        </w:rPr>
      </w:pPr>
    </w:p>
    <w:p w14:paraId="2FB0D52E" w14:textId="77777777" w:rsidR="00591EB7" w:rsidRPr="00591EB7" w:rsidRDefault="00591EB7" w:rsidP="00D571AA">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La estructura, arquitectura y algoritmos utilizados en los Modelos de Costos</w:t>
      </w:r>
    </w:p>
    <w:p w14:paraId="2DEF21A6" w14:textId="77777777" w:rsidR="00591EB7" w:rsidRPr="00591EB7" w:rsidRDefault="00591EB7" w:rsidP="00D571AA">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Los parámetros de entrada de los Modelos de Costos.</w:t>
      </w:r>
    </w:p>
    <w:p w14:paraId="49EAB246" w14:textId="77777777" w:rsidR="00591EB7" w:rsidRPr="000277EE" w:rsidRDefault="00591EB7" w:rsidP="00D571AA">
      <w:pPr>
        <w:spacing w:after="0"/>
        <w:jc w:val="both"/>
        <w:rPr>
          <w:rFonts w:ascii="ITC Avant Garde" w:eastAsia="Times New Roman" w:hAnsi="ITC Avant Garde"/>
          <w:sz w:val="18"/>
          <w:szCs w:val="20"/>
        </w:rPr>
      </w:pPr>
    </w:p>
    <w:p w14:paraId="4BC60085" w14:textId="714B0341" w:rsidR="00591EB7" w:rsidRPr="00591EB7" w:rsidRDefault="00591EB7" w:rsidP="00D571AA">
      <w:pPr>
        <w:spacing w:after="0"/>
        <w:jc w:val="both"/>
        <w:rPr>
          <w:rFonts w:ascii="ITC Avant Garde" w:eastAsia="Times New Roman" w:hAnsi="ITC Avant Garde"/>
          <w:szCs w:val="20"/>
        </w:rPr>
      </w:pPr>
      <w:r w:rsidRPr="00591EB7">
        <w:rPr>
          <w:rFonts w:ascii="ITC Avant Garde" w:eastAsia="Times New Roman" w:hAnsi="ITC Avant Garde"/>
          <w:szCs w:val="20"/>
        </w:rPr>
        <w:t>Todo lo anterior con el objetivo último de robustecer los Modelos de Costos y tener un diálogo abierto entre el Instituto y los regulados.</w:t>
      </w:r>
    </w:p>
    <w:p w14:paraId="060EC709" w14:textId="77777777" w:rsidR="00591EB7" w:rsidRPr="00591EB7" w:rsidRDefault="00591EB7" w:rsidP="00D571AA">
      <w:pPr>
        <w:spacing w:after="0"/>
        <w:jc w:val="both"/>
        <w:rPr>
          <w:rFonts w:ascii="ITC Avant Garde" w:eastAsia="Times New Roman" w:hAnsi="ITC Avant Garde"/>
          <w:szCs w:val="20"/>
        </w:rPr>
      </w:pPr>
    </w:p>
    <w:p w14:paraId="1044D9CF" w14:textId="77777777" w:rsidR="007C69A8" w:rsidRPr="007C69A8" w:rsidRDefault="007C69A8" w:rsidP="00D571AA">
      <w:pPr>
        <w:spacing w:after="0"/>
        <w:jc w:val="both"/>
        <w:rPr>
          <w:rFonts w:ascii="ITC Avant Garde" w:eastAsia="Times New Roman" w:hAnsi="ITC Avant Garde"/>
          <w:szCs w:val="20"/>
        </w:rPr>
      </w:pPr>
      <w:r w:rsidRPr="007C69A8">
        <w:rPr>
          <w:rFonts w:ascii="ITC Avant Garde" w:eastAsia="Times New Roman" w:hAnsi="ITC Avant Garde"/>
          <w:szCs w:val="20"/>
        </w:rPr>
        <w:t>Los Modelos de Costos estarán disponibles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3C648848" w14:textId="77777777" w:rsidR="007C69A8" w:rsidRPr="007C69A8" w:rsidRDefault="007C69A8" w:rsidP="00D571AA">
      <w:pPr>
        <w:spacing w:after="0"/>
        <w:jc w:val="both"/>
        <w:rPr>
          <w:rFonts w:ascii="ITC Avant Garde" w:eastAsia="Times New Roman" w:hAnsi="ITC Avant Garde"/>
          <w:szCs w:val="20"/>
        </w:rPr>
      </w:pPr>
    </w:p>
    <w:p w14:paraId="77CD00D4" w14:textId="3E75C501" w:rsidR="007C69A8" w:rsidRPr="007C69A8" w:rsidRDefault="007C69A8" w:rsidP="00D571AA">
      <w:pPr>
        <w:spacing w:after="0"/>
        <w:jc w:val="both"/>
        <w:rPr>
          <w:rFonts w:ascii="ITC Avant Garde" w:eastAsia="Times New Roman" w:hAnsi="ITC Avant Garde"/>
          <w:szCs w:val="20"/>
        </w:rPr>
      </w:pPr>
      <w:r w:rsidRPr="007C69A8">
        <w:rPr>
          <w:rFonts w:ascii="ITC Avant Garde" w:eastAsia="Times New Roman" w:hAnsi="ITC Avant Garde"/>
          <w:szCs w:val="20"/>
        </w:rPr>
        <w:t xml:space="preserve">La información y comentarios vertidos por los participantes durante la Consulta Pública, permitirán realizar la fase de calibración final de los </w:t>
      </w:r>
      <w:r w:rsidR="00CE24C3">
        <w:rPr>
          <w:rFonts w:ascii="ITC Avant Garde" w:eastAsia="Times New Roman" w:hAnsi="ITC Avant Garde"/>
          <w:szCs w:val="20"/>
        </w:rPr>
        <w:t>M</w:t>
      </w:r>
      <w:r w:rsidRPr="007C69A8">
        <w:rPr>
          <w:rFonts w:ascii="ITC Avant Garde" w:eastAsia="Times New Roman" w:hAnsi="ITC Avant Garde"/>
          <w:szCs w:val="20"/>
        </w:rPr>
        <w:t>odelos.</w:t>
      </w:r>
    </w:p>
    <w:p w14:paraId="0EA5BA95" w14:textId="77777777" w:rsidR="007C69A8" w:rsidRPr="007C69A8" w:rsidRDefault="007C69A8" w:rsidP="00D571AA">
      <w:pPr>
        <w:spacing w:after="0"/>
        <w:jc w:val="both"/>
        <w:rPr>
          <w:rFonts w:ascii="ITC Avant Garde" w:eastAsia="Times New Roman" w:hAnsi="ITC Avant Garde"/>
          <w:szCs w:val="20"/>
        </w:rPr>
      </w:pPr>
    </w:p>
    <w:p w14:paraId="06F39975" w14:textId="79F648CA" w:rsidR="007C69A8" w:rsidRDefault="007C69A8" w:rsidP="00D571AA">
      <w:pPr>
        <w:spacing w:after="0"/>
        <w:jc w:val="both"/>
        <w:rPr>
          <w:rFonts w:ascii="ITC Avant Garde" w:eastAsia="Times New Roman" w:hAnsi="ITC Avant Garde"/>
          <w:szCs w:val="20"/>
        </w:rPr>
      </w:pPr>
      <w:r w:rsidRPr="007C69A8">
        <w:rPr>
          <w:rFonts w:ascii="ITC Avant Garde" w:eastAsia="Times New Roman" w:hAnsi="ITC Avant Garde"/>
          <w:szCs w:val="20"/>
        </w:rPr>
        <w:t xml:space="preserve">Los Modelos de Costos muestran resultados de las tarifas por la prestación de los servicios </w:t>
      </w:r>
      <w:r w:rsidR="00380A66">
        <w:rPr>
          <w:rFonts w:ascii="ITC Avant Garde" w:eastAsia="Times New Roman" w:hAnsi="ITC Avant Garde"/>
          <w:szCs w:val="20"/>
        </w:rPr>
        <w:t>de interconexión</w:t>
      </w:r>
      <w:r w:rsidRPr="007C69A8">
        <w:rPr>
          <w:rFonts w:ascii="ITC Avant Garde" w:eastAsia="Times New Roman" w:hAnsi="ITC Avant Garde"/>
          <w:szCs w:val="20"/>
        </w:rPr>
        <w:t>, a partir de la estructura de los parámetros predeterminados por el Instituto, con el fin de que sirvan como referencia a los interesados</w:t>
      </w:r>
      <w:r w:rsidR="001A2CFD">
        <w:rPr>
          <w:rFonts w:ascii="ITC Avant Garde" w:eastAsia="Times New Roman" w:hAnsi="ITC Avant Garde"/>
          <w:szCs w:val="20"/>
        </w:rPr>
        <w:t xml:space="preserve">, </w:t>
      </w:r>
      <w:r w:rsidR="004727D7" w:rsidRPr="004727D7">
        <w:rPr>
          <w:rFonts w:ascii="ITC Avant Garde" w:eastAsia="Times New Roman" w:hAnsi="ITC Avant Garde"/>
          <w:szCs w:val="20"/>
        </w:rPr>
        <w:t>sin entenderse con ello que se trata de tarifas definitivas</w:t>
      </w:r>
      <w:r w:rsidRPr="007C69A8">
        <w:rPr>
          <w:rFonts w:ascii="ITC Avant Garde" w:eastAsia="Times New Roman" w:hAnsi="ITC Avant Garde"/>
          <w:szCs w:val="20"/>
        </w:rPr>
        <w:t>. Como se mencionó con anterioridad, el objetivo de la Consulta Pública es el análisis de los Modelos de Costos, por lo que los resultados podrían modificarse derivado de circunstancias particulares a cada caso y</w:t>
      </w:r>
      <w:r w:rsidR="002C7CA1">
        <w:rPr>
          <w:rFonts w:ascii="ITC Avant Garde" w:eastAsia="Times New Roman" w:hAnsi="ITC Avant Garde"/>
          <w:szCs w:val="20"/>
        </w:rPr>
        <w:t xml:space="preserve"> </w:t>
      </w:r>
      <w:r w:rsidRPr="007C69A8">
        <w:rPr>
          <w:rFonts w:ascii="ITC Avant Garde" w:eastAsia="Times New Roman" w:hAnsi="ITC Avant Garde"/>
          <w:szCs w:val="20"/>
        </w:rPr>
        <w:t xml:space="preserve">si el Instituto </w:t>
      </w:r>
      <w:r w:rsidRPr="007C69A8">
        <w:rPr>
          <w:rFonts w:ascii="ITC Avant Garde" w:eastAsia="Times New Roman" w:hAnsi="ITC Avant Garde"/>
          <w:szCs w:val="20"/>
        </w:rPr>
        <w:lastRenderedPageBreak/>
        <w:t>considera procedente realizar algún ajuste a partir de comentarios vertidos a través de la consulta pública.</w:t>
      </w:r>
    </w:p>
    <w:p w14:paraId="15E36FD2" w14:textId="77777777" w:rsidR="00380A66" w:rsidRPr="007C69A8" w:rsidRDefault="00380A66" w:rsidP="00D571AA">
      <w:pPr>
        <w:spacing w:after="0"/>
        <w:jc w:val="both"/>
        <w:rPr>
          <w:rFonts w:ascii="ITC Avant Garde" w:eastAsia="Times New Roman" w:hAnsi="ITC Avant Garde"/>
          <w:szCs w:val="20"/>
        </w:rPr>
      </w:pPr>
    </w:p>
    <w:p w14:paraId="6897C2CA" w14:textId="77777777" w:rsidR="007C69A8" w:rsidRPr="007C69A8" w:rsidRDefault="007C69A8" w:rsidP="00D571AA">
      <w:pPr>
        <w:spacing w:after="0"/>
        <w:jc w:val="both"/>
        <w:rPr>
          <w:rFonts w:ascii="ITC Avant Garde" w:eastAsia="Times New Roman" w:hAnsi="ITC Avant Garde"/>
          <w:bCs/>
          <w:szCs w:val="20"/>
        </w:rPr>
      </w:pPr>
      <w:r w:rsidRPr="007C69A8">
        <w:rPr>
          <w:rFonts w:ascii="ITC Avant Garde" w:eastAsia="Times New Roman" w:hAnsi="ITC Avant Garde"/>
          <w:bCs/>
          <w:szCs w:val="20"/>
        </w:rPr>
        <w:t>Como parte de este procedimiento, se insiste en la necesidad de que el Instituto tenga conocimiento de las opiniones de los integrantes de la industria derivado de 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2118B339" w14:textId="77777777" w:rsidR="007C69A8" w:rsidRPr="007C69A8" w:rsidRDefault="007C69A8" w:rsidP="00D571AA">
      <w:pPr>
        <w:spacing w:after="0"/>
        <w:jc w:val="both"/>
        <w:rPr>
          <w:rFonts w:ascii="ITC Avant Garde" w:eastAsia="Times New Roman" w:hAnsi="ITC Avant Garde"/>
          <w:bCs/>
          <w:szCs w:val="20"/>
        </w:rPr>
      </w:pPr>
    </w:p>
    <w:p w14:paraId="4BA06481" w14:textId="0C272B4B" w:rsidR="007C69A8" w:rsidRPr="007C69A8" w:rsidRDefault="007C69A8" w:rsidP="00D571AA">
      <w:pPr>
        <w:spacing w:after="0"/>
        <w:jc w:val="both"/>
        <w:rPr>
          <w:rFonts w:ascii="ITC Avant Garde" w:eastAsia="Times New Roman" w:hAnsi="ITC Avant Garde"/>
          <w:bCs/>
          <w:szCs w:val="20"/>
        </w:rPr>
      </w:pPr>
      <w:r w:rsidRPr="007C69A8">
        <w:rPr>
          <w:rFonts w:ascii="ITC Avant Garde" w:eastAsia="Times New Roman" w:hAnsi="ITC Avant Garde"/>
          <w:szCs w:val="20"/>
        </w:rPr>
        <w:t xml:space="preserve">Es conveniente señalar que </w:t>
      </w:r>
      <w:r w:rsidRPr="007C69A8">
        <w:rPr>
          <w:rFonts w:ascii="ITC Avant Garde" w:eastAsia="Times New Roman" w:hAnsi="ITC Avant Garde"/>
          <w:bCs/>
          <w:szCs w:val="20"/>
        </w:rPr>
        <w:t xml:space="preserve">el artículo 51 de la </w:t>
      </w:r>
      <w:proofErr w:type="spellStart"/>
      <w:r w:rsidR="00380A66" w:rsidRPr="007C69A8">
        <w:rPr>
          <w:rFonts w:ascii="ITC Avant Garde" w:eastAsia="Times New Roman" w:hAnsi="ITC Avant Garde"/>
          <w:bCs/>
          <w:szCs w:val="20"/>
        </w:rPr>
        <w:t>L</w:t>
      </w:r>
      <w:r w:rsidR="00380A66">
        <w:rPr>
          <w:rFonts w:ascii="ITC Avant Garde" w:eastAsia="Times New Roman" w:hAnsi="ITC Avant Garde"/>
          <w:bCs/>
          <w:szCs w:val="20"/>
        </w:rPr>
        <w:t>FTyR</w:t>
      </w:r>
      <w:proofErr w:type="spellEnd"/>
      <w:r w:rsidR="00380A66" w:rsidRPr="007C69A8">
        <w:rPr>
          <w:rFonts w:ascii="ITC Avant Garde" w:eastAsia="Times New Roman" w:hAnsi="ITC Avant Garde"/>
          <w:bCs/>
          <w:szCs w:val="20"/>
        </w:rPr>
        <w:t xml:space="preserve"> establece</w:t>
      </w:r>
      <w:r w:rsidRPr="007C69A8">
        <w:rPr>
          <w:rFonts w:ascii="ITC Avant Garde" w:eastAsia="Times New Roman" w:hAnsi="ITC Avant Garde"/>
          <w:bCs/>
          <w:szCs w:val="20"/>
        </w:rPr>
        <w:t xml:space="preserve"> la posibilidad de que el Instituto lleve a cabo consultas públicas en cualquier caso en el que el Pleno determine. Dichas consultas se realizarán bajo los principios de transparencia y participación ciudadana en los términos que determine el Pleno.</w:t>
      </w:r>
    </w:p>
    <w:p w14:paraId="31CA9CAF" w14:textId="77777777" w:rsidR="007C69A8" w:rsidRDefault="007C69A8" w:rsidP="00D571AA">
      <w:pPr>
        <w:spacing w:after="0"/>
        <w:jc w:val="both"/>
        <w:rPr>
          <w:rFonts w:ascii="ITC Avant Garde" w:eastAsia="Times New Roman" w:hAnsi="ITC Avant Garde"/>
          <w:szCs w:val="20"/>
        </w:rPr>
      </w:pPr>
    </w:p>
    <w:p w14:paraId="4BD2FC2E" w14:textId="7DC1C6CF" w:rsidR="00903A7B" w:rsidRPr="00DF157F" w:rsidRDefault="00903A7B" w:rsidP="00D571AA">
      <w:pPr>
        <w:spacing w:after="0"/>
        <w:jc w:val="both"/>
        <w:rPr>
          <w:rFonts w:ascii="ITC Avant Garde" w:hAnsi="ITC Avant Garde" w:cs="Arial"/>
          <w:bCs/>
        </w:rPr>
      </w:pPr>
      <w:r>
        <w:rPr>
          <w:rFonts w:ascii="ITC Avant Garde" w:hAnsi="ITC Avant Garde" w:cs="Arial"/>
          <w:bCs/>
        </w:rPr>
        <w:t>Conforme a lo expuesto,</w:t>
      </w:r>
      <w:r w:rsidRPr="00DF157F">
        <w:rPr>
          <w:rFonts w:ascii="ITC Avant Garde" w:hAnsi="ITC Avant Garde" w:cs="Arial"/>
          <w:bCs/>
        </w:rPr>
        <w:t xml:space="preserve"> se considera que </w:t>
      </w:r>
      <w:r>
        <w:rPr>
          <w:rFonts w:ascii="ITC Avant Garde" w:hAnsi="ITC Avant Garde" w:cs="Arial"/>
          <w:bCs/>
        </w:rPr>
        <w:t xml:space="preserve">el Modelo de Costos </w:t>
      </w:r>
      <w:r w:rsidRPr="00DF157F">
        <w:rPr>
          <w:rFonts w:ascii="ITC Avant Garde" w:hAnsi="ITC Avant Garde" w:cs="Arial"/>
          <w:bCs/>
        </w:rPr>
        <w:t xml:space="preserve">de </w:t>
      </w:r>
      <w:r w:rsidR="005E5CA8">
        <w:rPr>
          <w:rFonts w:ascii="ITC Avant Garde" w:hAnsi="ITC Avant Garde" w:cs="Arial"/>
          <w:bCs/>
        </w:rPr>
        <w:t>los servicios de interconexión</w:t>
      </w:r>
      <w:r w:rsidRPr="00DF157F">
        <w:rPr>
          <w:rFonts w:ascii="ITC Avant Garde" w:hAnsi="ITC Avant Garde" w:cs="Arial"/>
          <w:bCs/>
        </w:rPr>
        <w:t>, deben estar sujet</w:t>
      </w:r>
      <w:r>
        <w:rPr>
          <w:rFonts w:ascii="ITC Avant Garde" w:hAnsi="ITC Avant Garde" w:cs="Arial"/>
          <w:bCs/>
        </w:rPr>
        <w:t>o</w:t>
      </w:r>
      <w:r w:rsidRPr="00DF157F">
        <w:rPr>
          <w:rFonts w:ascii="ITC Avant Garde" w:hAnsi="ITC Avant Garde" w:cs="Arial"/>
          <w:bCs/>
        </w:rPr>
        <w:t xml:space="preserve">s a un proceso de consulta pública por un periodo de </w:t>
      </w:r>
      <w:r w:rsidR="00D624F8">
        <w:rPr>
          <w:rFonts w:ascii="ITC Avant Garde" w:hAnsi="ITC Avant Garde" w:cs="Arial"/>
          <w:bCs/>
        </w:rPr>
        <w:t>40</w:t>
      </w:r>
      <w:r w:rsidR="00591EB7">
        <w:rPr>
          <w:rFonts w:ascii="ITC Avant Garde" w:hAnsi="ITC Avant Garde" w:cs="Arial"/>
          <w:bCs/>
        </w:rPr>
        <w:t xml:space="preserve"> (</w:t>
      </w:r>
      <w:r w:rsidR="00D624F8">
        <w:rPr>
          <w:rFonts w:ascii="ITC Avant Garde" w:hAnsi="ITC Avant Garde" w:cs="Arial"/>
          <w:bCs/>
        </w:rPr>
        <w:t>cuarenta</w:t>
      </w:r>
      <w:r w:rsidR="00591EB7">
        <w:rPr>
          <w:rFonts w:ascii="ITC Avant Garde" w:hAnsi="ITC Avant Garde" w:cs="Arial"/>
          <w:bCs/>
        </w:rPr>
        <w:t>)</w:t>
      </w:r>
      <w:r w:rsidRPr="00DF157F">
        <w:rPr>
          <w:rFonts w:ascii="ITC Avant Garde" w:hAnsi="ITC Avant Garde" w:cs="Arial"/>
          <w:bCs/>
        </w:rPr>
        <w:t xml:space="preserve"> días </w:t>
      </w:r>
      <w:r w:rsidR="00D03C8B">
        <w:rPr>
          <w:rFonts w:ascii="ITC Avant Garde" w:hAnsi="ITC Avant Garde" w:cs="Arial"/>
          <w:bCs/>
        </w:rPr>
        <w:t>hábiles</w:t>
      </w:r>
      <w:r w:rsidRPr="00DF157F">
        <w:rPr>
          <w:rFonts w:ascii="ITC Avant Garde" w:hAnsi="ITC Avant Garde" w:cs="Arial"/>
          <w:bCs/>
        </w:rPr>
        <w:t xml:space="preserve"> para favorecer la transparencia y participación ciudadana con el fin de recibir los comentarios y opiniones de la industria, académicos, analistas y sociedad en general </w:t>
      </w:r>
      <w:r w:rsidR="00E745D3" w:rsidRPr="00E745D3">
        <w:rPr>
          <w:rFonts w:ascii="ITC Avant Garde" w:hAnsi="ITC Avant Garde" w:cs="Arial"/>
          <w:bCs/>
        </w:rPr>
        <w:t>a efecto de dar cabal cumplimiento a lo establecido en el dispositivo legal señalado.</w:t>
      </w:r>
    </w:p>
    <w:p w14:paraId="78215A5B" w14:textId="77777777" w:rsidR="00614187" w:rsidRPr="008C150C" w:rsidRDefault="00614187" w:rsidP="00D571AA">
      <w:pPr>
        <w:pStyle w:val="Default"/>
        <w:spacing w:line="276" w:lineRule="auto"/>
        <w:jc w:val="both"/>
        <w:rPr>
          <w:sz w:val="22"/>
          <w:szCs w:val="22"/>
        </w:rPr>
      </w:pPr>
    </w:p>
    <w:p w14:paraId="3294599C" w14:textId="40B3FD92" w:rsidR="00F55800" w:rsidRPr="00DF157F" w:rsidRDefault="00D17822" w:rsidP="00D571AA">
      <w:pPr>
        <w:spacing w:after="0"/>
        <w:jc w:val="both"/>
        <w:rPr>
          <w:rFonts w:ascii="ITC Avant Garde" w:hAnsi="ITC Avant Garde" w:cs="Arial"/>
          <w:bCs/>
        </w:rPr>
      </w:pPr>
      <w:r w:rsidRPr="008C150C">
        <w:rPr>
          <w:rFonts w:ascii="ITC Avant Garde" w:hAnsi="ITC Avant Garde" w:cs="Arial"/>
          <w:bCs/>
        </w:rPr>
        <w:t xml:space="preserve">Por </w:t>
      </w:r>
      <w:r w:rsidR="005B5F22" w:rsidRPr="008C150C">
        <w:rPr>
          <w:rFonts w:ascii="ITC Avant Garde" w:hAnsi="ITC Avant Garde" w:cs="Arial"/>
          <w:bCs/>
        </w:rPr>
        <w:t>lo anterior</w:t>
      </w:r>
      <w:r w:rsidRPr="008C150C">
        <w:rPr>
          <w:rFonts w:ascii="ITC Avant Garde" w:hAnsi="ITC Avant Garde" w:cs="Arial"/>
          <w:bCs/>
        </w:rPr>
        <w:t xml:space="preserve">, con fundamento en lo dispuesto </w:t>
      </w:r>
      <w:r w:rsidR="005B5F22" w:rsidRPr="008C150C">
        <w:rPr>
          <w:rFonts w:ascii="ITC Avant Garde" w:hAnsi="ITC Avant Garde" w:cs="Arial"/>
          <w:bCs/>
        </w:rPr>
        <w:t xml:space="preserve">en </w:t>
      </w:r>
      <w:r w:rsidRPr="008C150C">
        <w:rPr>
          <w:rFonts w:ascii="ITC Avant Garde" w:hAnsi="ITC Avant Garde" w:cs="Arial"/>
          <w:bCs/>
        </w:rPr>
        <w:t xml:space="preserve">los </w:t>
      </w:r>
      <w:r w:rsidR="005B5F22" w:rsidRPr="008C150C">
        <w:rPr>
          <w:rFonts w:ascii="ITC Avant Garde" w:hAnsi="ITC Avant Garde" w:cs="Arial"/>
          <w:bCs/>
        </w:rPr>
        <w:t xml:space="preserve">artículos 28, </w:t>
      </w:r>
      <w:r w:rsidRPr="008C150C">
        <w:rPr>
          <w:rFonts w:ascii="ITC Avant Garde" w:hAnsi="ITC Avant Garde" w:cs="Arial"/>
          <w:bCs/>
        </w:rPr>
        <w:t>párrafos décimo quinto</w:t>
      </w:r>
      <w:r w:rsidR="005B5F22" w:rsidRPr="008C150C">
        <w:rPr>
          <w:rFonts w:ascii="ITC Avant Garde" w:hAnsi="ITC Avant Garde" w:cs="Arial"/>
          <w:bCs/>
        </w:rPr>
        <w:t xml:space="preserve"> y</w:t>
      </w:r>
      <w:r w:rsidRPr="008C150C">
        <w:rPr>
          <w:rFonts w:ascii="ITC Avant Garde" w:hAnsi="ITC Avant Garde" w:cs="Arial"/>
          <w:bCs/>
        </w:rPr>
        <w:t xml:space="preserve"> décimo sexto de la Constitución Política de los Estados Unidos Mexicanos; 1, 2, 7</w:t>
      </w:r>
      <w:r w:rsidR="00091B9C" w:rsidRPr="008C150C">
        <w:rPr>
          <w:rFonts w:ascii="ITC Avant Garde" w:hAnsi="ITC Avant Garde" w:cs="Arial"/>
          <w:bCs/>
        </w:rPr>
        <w:t>, 15 fracciones XL y LXIII</w:t>
      </w:r>
      <w:r w:rsidRPr="008C150C">
        <w:rPr>
          <w:rFonts w:ascii="ITC Avant Garde" w:hAnsi="ITC Avant Garde" w:cs="Arial"/>
          <w:bCs/>
        </w:rPr>
        <w:t xml:space="preserve"> </w:t>
      </w:r>
      <w:r w:rsidR="005B5F22" w:rsidRPr="008C150C">
        <w:rPr>
          <w:rFonts w:ascii="ITC Avant Garde" w:hAnsi="ITC Avant Garde" w:cs="Arial"/>
          <w:bCs/>
        </w:rPr>
        <w:t xml:space="preserve">y </w:t>
      </w:r>
      <w:r w:rsidRPr="008C150C">
        <w:rPr>
          <w:rFonts w:ascii="ITC Avant Garde" w:hAnsi="ITC Avant Garde" w:cs="Arial"/>
          <w:bCs/>
        </w:rPr>
        <w:t>51 de la Ley Federal de Telecomunicaciones y Radiodifusión</w:t>
      </w:r>
      <w:r w:rsidR="005B5F22" w:rsidRPr="008C150C">
        <w:rPr>
          <w:rFonts w:ascii="ITC Avant Garde" w:hAnsi="ITC Avant Garde" w:cs="Arial"/>
          <w:bCs/>
        </w:rPr>
        <w:t>,</w:t>
      </w:r>
      <w:r w:rsidR="00FD435D">
        <w:rPr>
          <w:rFonts w:ascii="ITC Avant Garde" w:hAnsi="ITC Avant Garde" w:cs="Arial"/>
          <w:bCs/>
        </w:rPr>
        <w:t xml:space="preserve"> y 1,</w:t>
      </w:r>
      <w:r w:rsidRPr="008C150C">
        <w:rPr>
          <w:rFonts w:ascii="ITC Avant Garde" w:hAnsi="ITC Avant Garde" w:cs="Arial"/>
          <w:bCs/>
        </w:rPr>
        <w:t xml:space="preserve"> 4</w:t>
      </w:r>
      <w:r w:rsidR="005B5F22" w:rsidRPr="008C150C">
        <w:rPr>
          <w:rFonts w:ascii="ITC Avant Garde" w:hAnsi="ITC Avant Garde" w:cs="Arial"/>
          <w:bCs/>
        </w:rPr>
        <w:t>,</w:t>
      </w:r>
      <w:r w:rsidRPr="008C150C">
        <w:rPr>
          <w:rFonts w:ascii="ITC Avant Garde" w:hAnsi="ITC Avant Garde" w:cs="Arial"/>
          <w:bCs/>
        </w:rPr>
        <w:t xml:space="preserve"> fracción </w:t>
      </w:r>
      <w:r w:rsidR="00FD435D">
        <w:rPr>
          <w:rFonts w:ascii="ITC Avant Garde" w:hAnsi="ITC Avant Garde" w:cs="Arial"/>
          <w:bCs/>
        </w:rPr>
        <w:t>I</w:t>
      </w:r>
      <w:r w:rsidR="002563E4" w:rsidRPr="008C150C">
        <w:rPr>
          <w:rFonts w:ascii="ITC Avant Garde" w:hAnsi="ITC Avant Garde" w:cs="Arial"/>
          <w:bCs/>
        </w:rPr>
        <w:t xml:space="preserve"> y 6 fracción XXXVII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w:t>
      </w:r>
      <w:r w:rsidR="005B5F22" w:rsidRPr="00DF157F">
        <w:rPr>
          <w:rFonts w:ascii="ITC Avant Garde" w:hAnsi="ITC Avant Garde" w:cs="Arial"/>
          <w:bCs/>
        </w:rPr>
        <w:t xml:space="preserve">se </w:t>
      </w:r>
      <w:r w:rsidRPr="00DF157F">
        <w:rPr>
          <w:rFonts w:ascii="ITC Avant Garde" w:hAnsi="ITC Avant Garde" w:cs="Arial"/>
          <w:bCs/>
        </w:rPr>
        <w:t xml:space="preserve">expide </w:t>
      </w:r>
      <w:r w:rsidR="005B5F22" w:rsidRPr="00DF157F">
        <w:rPr>
          <w:rFonts w:ascii="ITC Avant Garde" w:hAnsi="ITC Avant Garde" w:cs="Arial"/>
          <w:bCs/>
        </w:rPr>
        <w:t xml:space="preserve">el </w:t>
      </w:r>
      <w:r w:rsidRPr="00DF157F">
        <w:rPr>
          <w:rFonts w:ascii="ITC Avant Garde" w:hAnsi="ITC Avant Garde" w:cs="Arial"/>
          <w:bCs/>
        </w:rPr>
        <w:t>siguiente:</w:t>
      </w:r>
    </w:p>
    <w:p w14:paraId="7731D301" w14:textId="77777777" w:rsidR="0029594B" w:rsidRPr="00060DAB" w:rsidRDefault="0029594B" w:rsidP="00D571AA">
      <w:pPr>
        <w:spacing w:after="0"/>
        <w:jc w:val="both"/>
        <w:rPr>
          <w:rFonts w:ascii="ITC Avant Garde" w:hAnsi="ITC Avant Garde" w:cs="Arial"/>
          <w:bCs/>
          <w:sz w:val="18"/>
        </w:rPr>
      </w:pPr>
    </w:p>
    <w:p w14:paraId="4D78D390" w14:textId="77777777" w:rsidR="00BB4ADA" w:rsidRPr="00DF157F" w:rsidRDefault="00D17822" w:rsidP="00D571AA">
      <w:pPr>
        <w:spacing w:after="0"/>
        <w:jc w:val="center"/>
        <w:rPr>
          <w:rFonts w:ascii="ITC Avant Garde" w:hAnsi="ITC Avant Garde" w:cs="Arial"/>
          <w:b/>
          <w:bCs/>
        </w:rPr>
      </w:pPr>
      <w:r w:rsidRPr="00DF157F">
        <w:rPr>
          <w:rFonts w:ascii="ITC Avant Garde" w:hAnsi="ITC Avant Garde" w:cs="Arial"/>
          <w:b/>
          <w:bCs/>
        </w:rPr>
        <w:t>ACUERDO</w:t>
      </w:r>
    </w:p>
    <w:p w14:paraId="05CCDF05" w14:textId="77777777" w:rsidR="005B5F22" w:rsidRDefault="005B5F22" w:rsidP="00D571AA">
      <w:pPr>
        <w:spacing w:after="0"/>
        <w:jc w:val="both"/>
        <w:rPr>
          <w:rFonts w:ascii="ITC Avant Garde" w:hAnsi="ITC Avant Garde" w:cs="Arial"/>
          <w:bCs/>
        </w:rPr>
      </w:pPr>
    </w:p>
    <w:p w14:paraId="7508C275" w14:textId="5A4573C8" w:rsidR="00060DAB" w:rsidRDefault="00060DAB" w:rsidP="00D571AA">
      <w:pPr>
        <w:widowControl w:val="0"/>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Se</w:t>
      </w:r>
      <w:r>
        <w:rPr>
          <w:rFonts w:ascii="ITC Avant Garde" w:hAnsi="ITC Avant Garde" w:cs="Arial"/>
          <w:bCs/>
        </w:rPr>
        <w:t xml:space="preserve"> determina someter</w:t>
      </w:r>
      <w:r w:rsidRPr="00DF157F">
        <w:rPr>
          <w:rFonts w:ascii="ITC Avant Garde" w:hAnsi="ITC Avant Garde" w:cs="Arial"/>
          <w:bCs/>
        </w:rPr>
        <w:t xml:space="preserve"> a consulta pública</w:t>
      </w:r>
      <w:r>
        <w:rPr>
          <w:rFonts w:ascii="ITC Avant Garde" w:hAnsi="ITC Avant Garde" w:cs="Arial"/>
          <w:bCs/>
        </w:rPr>
        <w:t xml:space="preserve"> los</w:t>
      </w:r>
      <w:r w:rsidRPr="007C4BEB">
        <w:rPr>
          <w:rFonts w:ascii="ITC Avant Garde" w:eastAsia="Times New Roman" w:hAnsi="ITC Avant Garde"/>
          <w:b/>
          <w:szCs w:val="20"/>
        </w:rPr>
        <w:t xml:space="preserve"> MODELOS DE COSTOS PARA </w:t>
      </w:r>
      <w:r w:rsidR="003840BD">
        <w:rPr>
          <w:rFonts w:ascii="ITC Avant Garde" w:eastAsia="Times New Roman" w:hAnsi="ITC Avant Garde"/>
          <w:b/>
          <w:szCs w:val="20"/>
        </w:rPr>
        <w:t>LA DETERMINACIÓN DE TARIFAS DE LOS SERVICIOS DE INTERCONEXION APLICABLES PARA EL PERIODO DE 2018 A 2020</w:t>
      </w:r>
      <w:r>
        <w:rPr>
          <w:rFonts w:ascii="ITC Avant Garde" w:eastAsia="Times New Roman" w:hAnsi="ITC Avant Garde"/>
          <w:b/>
          <w:szCs w:val="20"/>
        </w:rPr>
        <w:t xml:space="preserve">, </w:t>
      </w:r>
      <w:r w:rsidRPr="00DF157F">
        <w:rPr>
          <w:rFonts w:ascii="ITC Avant Garde" w:hAnsi="ITC Avant Garde" w:cs="Arial"/>
          <w:bCs/>
        </w:rPr>
        <w:t xml:space="preserve">por un plazo de </w:t>
      </w:r>
      <w:r w:rsidR="00D624F8">
        <w:rPr>
          <w:rFonts w:ascii="ITC Avant Garde" w:hAnsi="ITC Avant Garde" w:cs="Arial"/>
          <w:bCs/>
        </w:rPr>
        <w:t>40</w:t>
      </w:r>
      <w:r w:rsidRPr="00DF157F">
        <w:rPr>
          <w:rFonts w:ascii="ITC Avant Garde" w:hAnsi="ITC Avant Garde" w:cs="Arial"/>
          <w:bCs/>
        </w:rPr>
        <w:t xml:space="preserve"> (</w:t>
      </w:r>
      <w:r w:rsidR="00D624F8">
        <w:rPr>
          <w:rFonts w:ascii="ITC Avant Garde" w:hAnsi="ITC Avant Garde" w:cs="Arial"/>
          <w:bCs/>
        </w:rPr>
        <w:t>cuarenta</w:t>
      </w:r>
      <w:r w:rsidRPr="00DF157F">
        <w:rPr>
          <w:rFonts w:ascii="ITC Avant Garde" w:hAnsi="ITC Avant Garde" w:cs="Arial"/>
          <w:bCs/>
        </w:rPr>
        <w:t xml:space="preserve">) días </w:t>
      </w:r>
      <w:r w:rsidR="00D03C8B">
        <w:rPr>
          <w:rFonts w:ascii="ITC Avant Garde" w:hAnsi="ITC Avant Garde" w:cs="Arial"/>
          <w:bCs/>
        </w:rPr>
        <w:t>hábiles</w:t>
      </w:r>
      <w:r w:rsidRPr="00DF157F">
        <w:rPr>
          <w:rFonts w:ascii="ITC Avant Garde" w:hAnsi="ITC Avant Garde" w:cs="Arial"/>
          <w:bCs/>
        </w:rPr>
        <w:t xml:space="preserve"> contados a partir del día hábil siguiente al de su publicación en el portal de Internet del Instituto</w:t>
      </w:r>
      <w:r>
        <w:rPr>
          <w:rFonts w:ascii="ITC Avant Garde" w:hAnsi="ITC Avant Garde" w:cs="Arial"/>
          <w:bCs/>
        </w:rPr>
        <w:t xml:space="preserve"> Federal de Telecomunicaciones. </w:t>
      </w:r>
    </w:p>
    <w:p w14:paraId="0574E4F9" w14:textId="77777777" w:rsidR="003840BD" w:rsidRDefault="003840BD" w:rsidP="00D571AA">
      <w:pPr>
        <w:widowControl w:val="0"/>
        <w:spacing w:after="0"/>
        <w:jc w:val="both"/>
        <w:rPr>
          <w:rFonts w:ascii="ITC Avant Garde" w:hAnsi="ITC Avant Garde" w:cs="Arial"/>
          <w:bCs/>
        </w:rPr>
      </w:pPr>
    </w:p>
    <w:p w14:paraId="75EE06F9" w14:textId="77777777" w:rsidR="00864BEB" w:rsidRPr="00DF157F" w:rsidRDefault="0042271F" w:rsidP="00D571AA">
      <w:pPr>
        <w:spacing w:after="0"/>
        <w:jc w:val="both"/>
        <w:rPr>
          <w:rFonts w:ascii="ITC Avant Garde" w:hAnsi="ITC Avant Garde" w:cs="Arial"/>
          <w:bCs/>
        </w:rPr>
      </w:pPr>
      <w:r w:rsidRPr="00DF157F">
        <w:rPr>
          <w:rFonts w:ascii="ITC Avant Garde" w:hAnsi="ITC Avant Garde" w:cs="Arial"/>
          <w:b/>
          <w:bCs/>
        </w:rPr>
        <w:lastRenderedPageBreak/>
        <w:t>SEGUNDO</w:t>
      </w:r>
      <w:r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p>
    <w:p w14:paraId="478E68B5" w14:textId="77777777" w:rsidR="0029594B" w:rsidRDefault="0029594B" w:rsidP="00D571AA">
      <w:pPr>
        <w:spacing w:after="0"/>
        <w:jc w:val="both"/>
        <w:rPr>
          <w:rFonts w:ascii="ITC Avant Garde" w:hAnsi="ITC Avant Garde" w:cs="Arial"/>
          <w:b/>
          <w:bCs/>
        </w:rPr>
      </w:pPr>
    </w:p>
    <w:p w14:paraId="3D53B11C" w14:textId="77777777" w:rsidR="00864BEB" w:rsidRPr="00DF157F" w:rsidRDefault="0042271F" w:rsidP="00D571AA">
      <w:pPr>
        <w:spacing w:after="0"/>
        <w:jc w:val="both"/>
        <w:rPr>
          <w:rFonts w:ascii="ITC Avant Garde" w:hAnsi="ITC Avant Garde" w:cs="Arial"/>
          <w:bCs/>
        </w:rPr>
      </w:pPr>
      <w:r w:rsidRPr="00DF157F">
        <w:rPr>
          <w:rFonts w:ascii="ITC Avant Garde" w:hAnsi="ITC Avant Garde" w:cs="Arial"/>
          <w:b/>
          <w:bCs/>
        </w:rPr>
        <w:t>TERCERO</w:t>
      </w:r>
      <w:r w:rsidRPr="00DF157F">
        <w:rPr>
          <w:rFonts w:ascii="ITC Avant Garde" w:hAnsi="ITC Avant Garde" w:cs="Arial"/>
          <w:bCs/>
        </w:rPr>
        <w:t>.- Publíquese</w:t>
      </w:r>
      <w:r w:rsidR="003252F8" w:rsidRPr="00DF157F">
        <w:rPr>
          <w:rFonts w:ascii="ITC Avant Garde" w:hAnsi="ITC Avant Garde" w:cs="Arial"/>
          <w:bCs/>
        </w:rPr>
        <w:t xml:space="preserve"> </w:t>
      </w:r>
      <w:r w:rsidRPr="00DF157F">
        <w:rPr>
          <w:rFonts w:ascii="ITC Avant Garde" w:hAnsi="ITC Avant Garde" w:cs="Arial"/>
          <w:bCs/>
        </w:rPr>
        <w:t xml:space="preserve">en </w:t>
      </w:r>
      <w:r w:rsidR="005B5F22" w:rsidRPr="00DF157F">
        <w:rPr>
          <w:rFonts w:ascii="ITC Avant Garde" w:hAnsi="ITC Avant Garde" w:cs="Arial"/>
          <w:bCs/>
        </w:rPr>
        <w:t>el portal</w:t>
      </w:r>
      <w:r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Pr="00DF157F">
        <w:rPr>
          <w:rFonts w:ascii="ITC Avant Garde" w:hAnsi="ITC Avant Garde" w:cs="Arial"/>
          <w:bCs/>
        </w:rPr>
        <w:t>.</w:t>
      </w:r>
    </w:p>
    <w:p w14:paraId="4EBE5257" w14:textId="77777777" w:rsidR="00BB4ADA" w:rsidRDefault="00BB4ADA" w:rsidP="00D571AA">
      <w:pPr>
        <w:spacing w:after="0"/>
        <w:jc w:val="both"/>
        <w:rPr>
          <w:rFonts w:ascii="ITC Avant Garde" w:hAnsi="ITC Avant Garde" w:cs="Arial"/>
          <w:bCs/>
        </w:rPr>
      </w:pPr>
    </w:p>
    <w:p w14:paraId="40F9AB1B" w14:textId="77777777" w:rsidR="00411351" w:rsidRDefault="00411351" w:rsidP="00D571AA">
      <w:pPr>
        <w:spacing w:after="0"/>
        <w:jc w:val="both"/>
        <w:rPr>
          <w:rFonts w:ascii="ITC Avant Garde" w:hAnsi="ITC Avant Garde" w:cs="Arial"/>
          <w:bCs/>
        </w:rPr>
      </w:pPr>
    </w:p>
    <w:p w14:paraId="6D7BAE5B" w14:textId="77777777" w:rsidR="009123E9" w:rsidRDefault="009123E9" w:rsidP="00D571AA">
      <w:pPr>
        <w:spacing w:after="0"/>
        <w:jc w:val="both"/>
        <w:rPr>
          <w:rFonts w:ascii="ITC Avant Garde" w:hAnsi="ITC Avant Garde" w:cs="Arial"/>
          <w:bCs/>
        </w:rPr>
      </w:pPr>
    </w:p>
    <w:p w14:paraId="4525FC7B" w14:textId="77777777" w:rsidR="00411351" w:rsidRDefault="00411351" w:rsidP="00D571AA">
      <w:pPr>
        <w:spacing w:after="0"/>
        <w:jc w:val="both"/>
        <w:rPr>
          <w:rFonts w:ascii="ITC Avant Garde" w:hAnsi="ITC Avant Garde" w:cs="Arial"/>
          <w:bCs/>
        </w:rPr>
      </w:pPr>
    </w:p>
    <w:p w14:paraId="09FDFE85" w14:textId="77777777" w:rsidR="004B3912" w:rsidRPr="00DF157F" w:rsidRDefault="004B3912" w:rsidP="00D571AA">
      <w:pPr>
        <w:spacing w:after="0"/>
        <w:jc w:val="both"/>
        <w:rPr>
          <w:rFonts w:ascii="ITC Avant Garde" w:hAnsi="ITC Avant Garde" w:cs="Arial"/>
          <w:bCs/>
        </w:rPr>
      </w:pPr>
      <w:bookmarkStart w:id="0" w:name="_GoBack"/>
      <w:bookmarkEnd w:id="0"/>
    </w:p>
    <w:p w14:paraId="172E86E2" w14:textId="77777777" w:rsidR="00B20FDC" w:rsidRDefault="00B20FDC" w:rsidP="00B20FDC">
      <w:pPr>
        <w:pStyle w:val="Textoindependiente"/>
        <w:tabs>
          <w:tab w:val="left" w:pos="993"/>
        </w:tabs>
        <w:spacing w:after="0" w:line="240" w:lineRule="auto"/>
        <w:jc w:val="center"/>
        <w:rPr>
          <w:rFonts w:ascii="ITC Avant Garde" w:eastAsia="Times New Roman" w:hAnsi="ITC Avant Garde"/>
          <w:lang w:eastAsia="es-MX"/>
        </w:rPr>
      </w:pPr>
    </w:p>
    <w:p w14:paraId="6EF94A24" w14:textId="77777777" w:rsidR="00B20FDC" w:rsidRDefault="00B20FDC" w:rsidP="00B20FDC">
      <w:pPr>
        <w:pStyle w:val="Textoindependiente"/>
        <w:tabs>
          <w:tab w:val="left" w:pos="993"/>
        </w:tabs>
        <w:spacing w:after="0" w:line="240" w:lineRule="auto"/>
        <w:jc w:val="center"/>
        <w:rPr>
          <w:rFonts w:ascii="ITC Avant Garde" w:eastAsia="Times New Roman" w:hAnsi="ITC Avant Garde"/>
          <w:lang w:eastAsia="es-MX"/>
        </w:rPr>
      </w:pPr>
    </w:p>
    <w:p w14:paraId="0BAC0EBD" w14:textId="77777777" w:rsidR="00B20FDC" w:rsidRPr="00730333" w:rsidRDefault="00B20FDC" w:rsidP="00B20FDC">
      <w:pPr>
        <w:spacing w:after="0" w:line="240" w:lineRule="auto"/>
        <w:ind w:right="-567"/>
        <w:jc w:val="center"/>
        <w:rPr>
          <w:rFonts w:ascii="ITC Avant Garde" w:hAnsi="ITC Avant Garde" w:cs="Calibri"/>
          <w:b/>
          <w:bCs/>
          <w:lang w:eastAsia="es-ES"/>
        </w:rPr>
      </w:pPr>
    </w:p>
    <w:tbl>
      <w:tblPr>
        <w:tblW w:w="9525" w:type="dxa"/>
        <w:jc w:val="center"/>
        <w:tblCellMar>
          <w:left w:w="70" w:type="dxa"/>
          <w:right w:w="70" w:type="dxa"/>
        </w:tblCellMar>
        <w:tblLook w:val="04A0" w:firstRow="1" w:lastRow="0" w:firstColumn="1" w:lastColumn="0" w:noHBand="0" w:noVBand="1"/>
      </w:tblPr>
      <w:tblGrid>
        <w:gridCol w:w="4141"/>
        <w:gridCol w:w="963"/>
        <w:gridCol w:w="4421"/>
      </w:tblGrid>
      <w:tr w:rsidR="00B20FDC" w:rsidRPr="00730333" w14:paraId="40224C0D" w14:textId="77777777" w:rsidTr="006E5935">
        <w:trPr>
          <w:trHeight w:val="1119"/>
          <w:jc w:val="center"/>
        </w:trPr>
        <w:tc>
          <w:tcPr>
            <w:tcW w:w="9525" w:type="dxa"/>
            <w:gridSpan w:val="3"/>
            <w:hideMark/>
          </w:tcPr>
          <w:p w14:paraId="62BE2606"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Gabriel Oswaldo Contreras Saldívar</w:t>
            </w:r>
          </w:p>
          <w:p w14:paraId="33C5AB51"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Comisionado Presidente</w:t>
            </w:r>
          </w:p>
          <w:p w14:paraId="414A14EC"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52117B0C" w14:textId="77777777" w:rsidR="00B20FDC" w:rsidRDefault="00B20FDC" w:rsidP="006E5935">
            <w:pPr>
              <w:adjustRightInd w:val="0"/>
              <w:spacing w:after="0" w:line="240" w:lineRule="auto"/>
              <w:jc w:val="center"/>
              <w:rPr>
                <w:rFonts w:ascii="ITC Avant Garde" w:eastAsia="Times New Roman" w:hAnsi="ITC Avant Garde" w:cs="Arial"/>
                <w:b/>
                <w:bCs/>
                <w:lang w:val="es-ES" w:eastAsia="es-ES"/>
              </w:rPr>
            </w:pPr>
          </w:p>
          <w:p w14:paraId="03AA68FC"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3B8A350F"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r>
      <w:tr w:rsidR="00B20FDC" w:rsidRPr="00730333" w14:paraId="1ADFC991" w14:textId="77777777" w:rsidTr="004B3912">
        <w:trPr>
          <w:trHeight w:val="1120"/>
          <w:jc w:val="center"/>
        </w:trPr>
        <w:tc>
          <w:tcPr>
            <w:tcW w:w="4141" w:type="dxa"/>
            <w:hideMark/>
          </w:tcPr>
          <w:p w14:paraId="7ECC7320"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Ernesto Estrada González</w:t>
            </w:r>
          </w:p>
          <w:p w14:paraId="04697BC1"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Comisionado</w:t>
            </w:r>
          </w:p>
          <w:p w14:paraId="5DBD4898"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c>
          <w:tcPr>
            <w:tcW w:w="963" w:type="dxa"/>
          </w:tcPr>
          <w:p w14:paraId="4196D2E0"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c>
          <w:tcPr>
            <w:tcW w:w="4421" w:type="dxa"/>
          </w:tcPr>
          <w:p w14:paraId="5224A52E"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Adriana Sofía Labardini Inzunza</w:t>
            </w:r>
          </w:p>
          <w:p w14:paraId="62E1AC54"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Comisionada</w:t>
            </w:r>
          </w:p>
          <w:p w14:paraId="069CEB76"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4D01B248" w14:textId="77777777" w:rsidR="00B20FDC" w:rsidRDefault="00B20FDC" w:rsidP="006E5935">
            <w:pPr>
              <w:adjustRightInd w:val="0"/>
              <w:spacing w:after="0" w:line="240" w:lineRule="auto"/>
              <w:jc w:val="center"/>
              <w:rPr>
                <w:rFonts w:ascii="ITC Avant Garde" w:eastAsia="Times New Roman" w:hAnsi="ITC Avant Garde" w:cs="Arial"/>
                <w:b/>
                <w:bCs/>
                <w:lang w:val="es-ES" w:eastAsia="es-ES"/>
              </w:rPr>
            </w:pPr>
          </w:p>
          <w:p w14:paraId="552158A2"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7B522EF1"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r>
      <w:tr w:rsidR="00B20FDC" w:rsidRPr="00730333" w14:paraId="1607BE57" w14:textId="77777777" w:rsidTr="004B3912">
        <w:trPr>
          <w:trHeight w:val="1108"/>
          <w:jc w:val="center"/>
        </w:trPr>
        <w:tc>
          <w:tcPr>
            <w:tcW w:w="4141" w:type="dxa"/>
          </w:tcPr>
          <w:p w14:paraId="16447674" w14:textId="77777777" w:rsidR="00B20FDC" w:rsidRPr="00730333" w:rsidRDefault="00B20FDC" w:rsidP="006E5935">
            <w:pPr>
              <w:adjustRightInd w:val="0"/>
              <w:spacing w:after="0" w:line="240" w:lineRule="auto"/>
              <w:ind w:left="144"/>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María Elena Estavillo Flores</w:t>
            </w:r>
          </w:p>
          <w:p w14:paraId="5B80EB26"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Comisionada</w:t>
            </w:r>
          </w:p>
          <w:p w14:paraId="7BC9F4AE"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0DBCBC49"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p w14:paraId="1C9006C7"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c>
          <w:tcPr>
            <w:tcW w:w="963" w:type="dxa"/>
          </w:tcPr>
          <w:p w14:paraId="5C60B3FE"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c>
          <w:tcPr>
            <w:tcW w:w="4421" w:type="dxa"/>
          </w:tcPr>
          <w:p w14:paraId="04E5FDDB"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Mario Germán Fromow Rangel</w:t>
            </w:r>
          </w:p>
          <w:p w14:paraId="0648613A"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Comisionado</w:t>
            </w:r>
          </w:p>
          <w:p w14:paraId="21C6970F" w14:textId="77777777" w:rsidR="00B20FDC" w:rsidRDefault="00B20FDC" w:rsidP="006E5935">
            <w:pPr>
              <w:adjustRightInd w:val="0"/>
              <w:spacing w:after="0" w:line="240" w:lineRule="auto"/>
              <w:jc w:val="center"/>
              <w:rPr>
                <w:rFonts w:ascii="ITC Avant Garde" w:eastAsia="Times New Roman" w:hAnsi="ITC Avant Garde" w:cs="Arial"/>
                <w:b/>
                <w:bCs/>
                <w:lang w:val="es-ES" w:eastAsia="es-ES"/>
              </w:rPr>
            </w:pPr>
          </w:p>
          <w:p w14:paraId="5A9DDBA3" w14:textId="77777777" w:rsidR="00B20FDC" w:rsidRDefault="00B20FDC" w:rsidP="006E5935">
            <w:pPr>
              <w:adjustRightInd w:val="0"/>
              <w:spacing w:after="0" w:line="240" w:lineRule="auto"/>
              <w:jc w:val="center"/>
              <w:rPr>
                <w:rFonts w:ascii="ITC Avant Garde" w:eastAsia="Times New Roman" w:hAnsi="ITC Avant Garde" w:cs="Arial"/>
                <w:b/>
                <w:bCs/>
                <w:lang w:val="es-ES" w:eastAsia="es-ES"/>
              </w:rPr>
            </w:pPr>
          </w:p>
          <w:p w14:paraId="74FFD71A" w14:textId="77777777" w:rsidR="00B20FDC" w:rsidRDefault="00B20FDC" w:rsidP="006E5935">
            <w:pPr>
              <w:adjustRightInd w:val="0"/>
              <w:spacing w:after="0" w:line="240" w:lineRule="auto"/>
              <w:jc w:val="center"/>
              <w:rPr>
                <w:rFonts w:ascii="ITC Avant Garde" w:eastAsia="Times New Roman" w:hAnsi="ITC Avant Garde" w:cs="Arial"/>
                <w:b/>
                <w:bCs/>
                <w:lang w:val="es-ES" w:eastAsia="es-ES"/>
              </w:rPr>
            </w:pPr>
          </w:p>
          <w:p w14:paraId="15EBE6F3"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r>
      <w:tr w:rsidR="00B20FDC" w:rsidRPr="00730333" w14:paraId="0741582C" w14:textId="77777777" w:rsidTr="004B3912">
        <w:trPr>
          <w:trHeight w:val="467"/>
          <w:jc w:val="center"/>
        </w:trPr>
        <w:tc>
          <w:tcPr>
            <w:tcW w:w="4141" w:type="dxa"/>
          </w:tcPr>
          <w:p w14:paraId="421DBCB6"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Adolfo Cuevas Teja</w:t>
            </w:r>
          </w:p>
          <w:p w14:paraId="09DD794C" w14:textId="77777777" w:rsidR="00B20FDC" w:rsidRPr="00730333" w:rsidRDefault="00B20FDC" w:rsidP="006E5935">
            <w:pPr>
              <w:adjustRightInd w:val="0"/>
              <w:spacing w:after="0" w:line="240" w:lineRule="auto"/>
              <w:ind w:left="144"/>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Comisionado</w:t>
            </w:r>
          </w:p>
        </w:tc>
        <w:tc>
          <w:tcPr>
            <w:tcW w:w="963" w:type="dxa"/>
          </w:tcPr>
          <w:p w14:paraId="108310A9"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c>
          <w:tcPr>
            <w:tcW w:w="4421" w:type="dxa"/>
          </w:tcPr>
          <w:p w14:paraId="0F22D1C7"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Javier Juárez Mojica</w:t>
            </w:r>
          </w:p>
          <w:p w14:paraId="45D6837A"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r w:rsidRPr="00730333">
              <w:rPr>
                <w:rFonts w:ascii="ITC Avant Garde" w:eastAsia="Times New Roman" w:hAnsi="ITC Avant Garde" w:cs="Arial"/>
                <w:b/>
                <w:bCs/>
                <w:lang w:val="es-ES" w:eastAsia="es-ES"/>
              </w:rPr>
              <w:t>Comisionado</w:t>
            </w:r>
          </w:p>
          <w:p w14:paraId="517EC466" w14:textId="77777777" w:rsidR="00B20FDC" w:rsidRPr="00730333" w:rsidRDefault="00B20FDC" w:rsidP="006E5935">
            <w:pPr>
              <w:adjustRightInd w:val="0"/>
              <w:spacing w:after="0" w:line="240" w:lineRule="auto"/>
              <w:jc w:val="center"/>
              <w:rPr>
                <w:rFonts w:ascii="ITC Avant Garde" w:eastAsia="Times New Roman" w:hAnsi="ITC Avant Garde" w:cs="Arial"/>
                <w:b/>
                <w:bCs/>
                <w:lang w:val="es-ES" w:eastAsia="es-ES"/>
              </w:rPr>
            </w:pPr>
          </w:p>
        </w:tc>
      </w:tr>
    </w:tbl>
    <w:p w14:paraId="7019DFD9" w14:textId="77777777" w:rsidR="004B3912" w:rsidRDefault="004B3912" w:rsidP="004B3912">
      <w:pPr>
        <w:pStyle w:val="Prrafodelista"/>
        <w:spacing w:after="0" w:line="240" w:lineRule="auto"/>
        <w:ind w:left="0"/>
        <w:jc w:val="both"/>
        <w:rPr>
          <w:rFonts w:ascii="ITC Avant Garde" w:hAnsi="ITC Avant Garde"/>
          <w:sz w:val="14"/>
        </w:rPr>
      </w:pPr>
    </w:p>
    <w:p w14:paraId="2BAD7621" w14:textId="77777777" w:rsidR="004B3912" w:rsidRDefault="004B3912" w:rsidP="004B3912">
      <w:pPr>
        <w:pStyle w:val="Prrafodelista"/>
        <w:spacing w:after="0" w:line="240" w:lineRule="auto"/>
        <w:ind w:left="0"/>
        <w:jc w:val="both"/>
        <w:rPr>
          <w:rFonts w:ascii="ITC Avant Garde" w:hAnsi="ITC Avant Garde"/>
          <w:sz w:val="14"/>
        </w:rPr>
      </w:pPr>
    </w:p>
    <w:p w14:paraId="389991DA" w14:textId="77777777" w:rsidR="004B3912" w:rsidRDefault="004B3912" w:rsidP="004B3912">
      <w:pPr>
        <w:pStyle w:val="Prrafodelista"/>
        <w:spacing w:after="0" w:line="240" w:lineRule="auto"/>
        <w:ind w:left="0"/>
        <w:jc w:val="both"/>
        <w:rPr>
          <w:rFonts w:ascii="ITC Avant Garde" w:hAnsi="ITC Avant Garde"/>
          <w:sz w:val="14"/>
        </w:rPr>
      </w:pPr>
    </w:p>
    <w:p w14:paraId="15FC455F" w14:textId="77777777" w:rsidR="004B3912" w:rsidRPr="004B3912" w:rsidRDefault="004B3912" w:rsidP="004B3912">
      <w:pPr>
        <w:pStyle w:val="Prrafodelista"/>
        <w:spacing w:after="0" w:line="240" w:lineRule="auto"/>
        <w:ind w:left="0"/>
        <w:jc w:val="both"/>
        <w:rPr>
          <w:rFonts w:ascii="ITC Avant Garde" w:hAnsi="ITC Avant Garde"/>
          <w:b/>
          <w:bCs/>
          <w:sz w:val="14"/>
          <w:lang w:eastAsia="es-MX"/>
        </w:rPr>
      </w:pPr>
      <w:r w:rsidRPr="004B3912">
        <w:rPr>
          <w:rFonts w:ascii="ITC Avant Garde" w:hAnsi="ITC Avant Garde"/>
          <w:sz w:val="14"/>
        </w:rPr>
        <w:t>El presente Acuerdo fue aprobado por el Pleno del Instituto Federal de Telecomunicaciones en su XXXV Sesión Ordinaria celebrada el 25</w:t>
      </w:r>
      <w:r w:rsidRPr="004B3912">
        <w:rPr>
          <w:rFonts w:ascii="ITC Avant Garde" w:hAnsi="ITC Avant Garde"/>
          <w:sz w:val="14"/>
          <w:lang w:val="es-ES_tradnl"/>
        </w:rPr>
        <w:t xml:space="preserve"> de octubre de 2016, por unanimidad de votos de los Comisionados presentes Gabriel Oswaldo Contreras Saldívar, Ernesto Estrada González, Adriana Sofía Labardini Inzunza, María Elena Estavillo Flores, Mario Germán Fromow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P/IFT/251016/586. </w:t>
      </w:r>
    </w:p>
    <w:p w14:paraId="7669C545" w14:textId="77777777" w:rsidR="0042271F" w:rsidRDefault="0042271F" w:rsidP="00D571AA">
      <w:pPr>
        <w:spacing w:after="0"/>
        <w:jc w:val="both"/>
        <w:rPr>
          <w:rFonts w:ascii="ITC Avant Garde" w:hAnsi="ITC Avant Garde" w:cs="Arial"/>
          <w:bCs/>
        </w:rPr>
      </w:pPr>
    </w:p>
    <w:sectPr w:rsidR="0042271F" w:rsidSect="000277EE">
      <w:headerReference w:type="even" r:id="rId8"/>
      <w:footerReference w:type="default" r:id="rId9"/>
      <w:headerReference w:type="first" r:id="rId10"/>
      <w:pgSz w:w="12240" w:h="15840" w:code="1"/>
      <w:pgMar w:top="2127" w:right="1467"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642A1" w14:textId="77777777" w:rsidR="00C7090E" w:rsidRDefault="00C7090E" w:rsidP="009B28E6">
      <w:pPr>
        <w:spacing w:after="0" w:line="240" w:lineRule="auto"/>
      </w:pPr>
      <w:r>
        <w:separator/>
      </w:r>
    </w:p>
  </w:endnote>
  <w:endnote w:type="continuationSeparator" w:id="0">
    <w:p w14:paraId="29F1E4F3" w14:textId="77777777" w:rsidR="00C7090E" w:rsidRDefault="00C7090E"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4397"/>
      <w:docPartObj>
        <w:docPartGallery w:val="Page Numbers (Bottom of Page)"/>
        <w:docPartUnique/>
      </w:docPartObj>
    </w:sdtPr>
    <w:sdtEndPr/>
    <w:sdtContent>
      <w:p w14:paraId="5EA70718" w14:textId="3F117DAF" w:rsidR="000277EE" w:rsidRDefault="000277EE">
        <w:pPr>
          <w:pStyle w:val="Piedepgina"/>
          <w:jc w:val="right"/>
        </w:pPr>
        <w:r>
          <w:fldChar w:fldCharType="begin"/>
        </w:r>
        <w:r>
          <w:instrText>PAGE   \* MERGEFORMAT</w:instrText>
        </w:r>
        <w:r>
          <w:fldChar w:fldCharType="separate"/>
        </w:r>
        <w:r w:rsidR="004B3912" w:rsidRPr="004B3912">
          <w:rPr>
            <w:noProof/>
            <w:lang w:val="es-ES"/>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FA99A" w14:textId="77777777" w:rsidR="00C7090E" w:rsidRDefault="00C7090E" w:rsidP="009B28E6">
      <w:pPr>
        <w:spacing w:after="0" w:line="240" w:lineRule="auto"/>
      </w:pPr>
      <w:r>
        <w:separator/>
      </w:r>
    </w:p>
  </w:footnote>
  <w:footnote w:type="continuationSeparator" w:id="0">
    <w:p w14:paraId="18657738" w14:textId="77777777" w:rsidR="00C7090E" w:rsidRDefault="00C7090E"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D889C" w14:textId="77777777" w:rsidR="007A1607" w:rsidRDefault="004B3912">
    <w:pPr>
      <w:pStyle w:val="Encabezado"/>
    </w:pPr>
    <w:r>
      <w:rPr>
        <w:noProof/>
        <w:lang w:eastAsia="es-MX"/>
      </w:rPr>
      <w:pict w14:anchorId="0B421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E0B6" w14:textId="77777777" w:rsidR="007A1607" w:rsidRDefault="004B3912">
    <w:pPr>
      <w:pStyle w:val="Encabezado"/>
    </w:pPr>
    <w:r>
      <w:rPr>
        <w:noProof/>
        <w:lang w:eastAsia="es-MX"/>
      </w:rPr>
      <w:pict w14:anchorId="1BA53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071C0612"/>
    <w:lvl w:ilvl="0" w:tplc="32320E14">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E70EA2"/>
    <w:multiLevelType w:val="hybridMultilevel"/>
    <w:tmpl w:val="181EB392"/>
    <w:lvl w:ilvl="0" w:tplc="B002CAD6">
      <w:start w:val="1"/>
      <w:numFmt w:val="upperRoman"/>
      <w:lvlText w:val="%1.-"/>
      <w:lvlJc w:val="left"/>
      <w:pPr>
        <w:ind w:left="1211" w:hanging="360"/>
      </w:pPr>
      <w:rPr>
        <w:rFonts w:ascii="Arial" w:hAnsi="Arial"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4"/>
  </w:num>
  <w:num w:numId="6">
    <w:abstractNumId w:val="5"/>
  </w:num>
  <w:num w:numId="7">
    <w:abstractNumId w:val="3"/>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6ED"/>
    <w:rsid w:val="00097A31"/>
    <w:rsid w:val="00097A55"/>
    <w:rsid w:val="000A1F12"/>
    <w:rsid w:val="000A220A"/>
    <w:rsid w:val="000A4626"/>
    <w:rsid w:val="000A480D"/>
    <w:rsid w:val="000A54BA"/>
    <w:rsid w:val="000A5AEC"/>
    <w:rsid w:val="000B0072"/>
    <w:rsid w:val="000B0130"/>
    <w:rsid w:val="000B3A09"/>
    <w:rsid w:val="000B4430"/>
    <w:rsid w:val="000B55E8"/>
    <w:rsid w:val="000B7ADF"/>
    <w:rsid w:val="000C1D7A"/>
    <w:rsid w:val="000C2BA6"/>
    <w:rsid w:val="000C42C9"/>
    <w:rsid w:val="000C43CA"/>
    <w:rsid w:val="000C5720"/>
    <w:rsid w:val="000C58E0"/>
    <w:rsid w:val="000C77C5"/>
    <w:rsid w:val="000D0A36"/>
    <w:rsid w:val="000D2394"/>
    <w:rsid w:val="000D326F"/>
    <w:rsid w:val="000D7E15"/>
    <w:rsid w:val="000E0BAA"/>
    <w:rsid w:val="000E0DF7"/>
    <w:rsid w:val="000E2375"/>
    <w:rsid w:val="000E37CC"/>
    <w:rsid w:val="000E3B3C"/>
    <w:rsid w:val="000E4D9D"/>
    <w:rsid w:val="000E4EB3"/>
    <w:rsid w:val="000E574A"/>
    <w:rsid w:val="000E58B8"/>
    <w:rsid w:val="000E59C3"/>
    <w:rsid w:val="000E6FE0"/>
    <w:rsid w:val="000E7645"/>
    <w:rsid w:val="000E7EF3"/>
    <w:rsid w:val="000F1460"/>
    <w:rsid w:val="000F1553"/>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2CEF"/>
    <w:rsid w:val="00195B5A"/>
    <w:rsid w:val="00196DA3"/>
    <w:rsid w:val="001A0BB7"/>
    <w:rsid w:val="001A1138"/>
    <w:rsid w:val="001A26BB"/>
    <w:rsid w:val="001A2CFD"/>
    <w:rsid w:val="001B137F"/>
    <w:rsid w:val="001B3139"/>
    <w:rsid w:val="001B6D9D"/>
    <w:rsid w:val="001B75DB"/>
    <w:rsid w:val="001B7F37"/>
    <w:rsid w:val="001C1FA0"/>
    <w:rsid w:val="001C20C6"/>
    <w:rsid w:val="001C21E2"/>
    <w:rsid w:val="001C2D14"/>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46B1"/>
    <w:rsid w:val="00225E4F"/>
    <w:rsid w:val="00226034"/>
    <w:rsid w:val="0023173E"/>
    <w:rsid w:val="002345B6"/>
    <w:rsid w:val="002356B2"/>
    <w:rsid w:val="002356EC"/>
    <w:rsid w:val="002421D3"/>
    <w:rsid w:val="00242F1C"/>
    <w:rsid w:val="00243E90"/>
    <w:rsid w:val="00244144"/>
    <w:rsid w:val="00244327"/>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4E7D"/>
    <w:rsid w:val="002A5971"/>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1321"/>
    <w:rsid w:val="002E2EE8"/>
    <w:rsid w:val="002E3282"/>
    <w:rsid w:val="002E4670"/>
    <w:rsid w:val="002E5689"/>
    <w:rsid w:val="002E628B"/>
    <w:rsid w:val="002E67BD"/>
    <w:rsid w:val="002E6F67"/>
    <w:rsid w:val="002F2081"/>
    <w:rsid w:val="002F3B5D"/>
    <w:rsid w:val="002F3C82"/>
    <w:rsid w:val="00301121"/>
    <w:rsid w:val="00301729"/>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41904"/>
    <w:rsid w:val="003431F9"/>
    <w:rsid w:val="0034486A"/>
    <w:rsid w:val="00347591"/>
    <w:rsid w:val="00350AE9"/>
    <w:rsid w:val="00352AA9"/>
    <w:rsid w:val="0035449A"/>
    <w:rsid w:val="00356466"/>
    <w:rsid w:val="003568BE"/>
    <w:rsid w:val="00360E15"/>
    <w:rsid w:val="003648FB"/>
    <w:rsid w:val="00364994"/>
    <w:rsid w:val="0036536F"/>
    <w:rsid w:val="00367547"/>
    <w:rsid w:val="003675CF"/>
    <w:rsid w:val="00372C01"/>
    <w:rsid w:val="00372FC7"/>
    <w:rsid w:val="00373244"/>
    <w:rsid w:val="003748D4"/>
    <w:rsid w:val="00374AFE"/>
    <w:rsid w:val="0037522B"/>
    <w:rsid w:val="003763CE"/>
    <w:rsid w:val="00376847"/>
    <w:rsid w:val="00376D84"/>
    <w:rsid w:val="00377CD9"/>
    <w:rsid w:val="00380A66"/>
    <w:rsid w:val="00381A64"/>
    <w:rsid w:val="003822BE"/>
    <w:rsid w:val="00382A04"/>
    <w:rsid w:val="0038397B"/>
    <w:rsid w:val="00383BC1"/>
    <w:rsid w:val="003840BD"/>
    <w:rsid w:val="0038430A"/>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14"/>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D20"/>
    <w:rsid w:val="003B7F43"/>
    <w:rsid w:val="003C02A6"/>
    <w:rsid w:val="003C12A4"/>
    <w:rsid w:val="003C2DB3"/>
    <w:rsid w:val="003C3D80"/>
    <w:rsid w:val="003C7B69"/>
    <w:rsid w:val="003D0022"/>
    <w:rsid w:val="003D2E8A"/>
    <w:rsid w:val="003D4278"/>
    <w:rsid w:val="003D4BFB"/>
    <w:rsid w:val="003D605B"/>
    <w:rsid w:val="003D7D13"/>
    <w:rsid w:val="003E0879"/>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1912"/>
    <w:rsid w:val="0040217C"/>
    <w:rsid w:val="004022F0"/>
    <w:rsid w:val="00402457"/>
    <w:rsid w:val="00402A9F"/>
    <w:rsid w:val="00403B61"/>
    <w:rsid w:val="00404C75"/>
    <w:rsid w:val="00404E02"/>
    <w:rsid w:val="00405A72"/>
    <w:rsid w:val="00406087"/>
    <w:rsid w:val="00406439"/>
    <w:rsid w:val="00406841"/>
    <w:rsid w:val="00410B27"/>
    <w:rsid w:val="0041128E"/>
    <w:rsid w:val="00411351"/>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4292"/>
    <w:rsid w:val="00470A5F"/>
    <w:rsid w:val="00471E8C"/>
    <w:rsid w:val="004727D7"/>
    <w:rsid w:val="00474B08"/>
    <w:rsid w:val="004756EF"/>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254"/>
    <w:rsid w:val="004A7D1C"/>
    <w:rsid w:val="004B1927"/>
    <w:rsid w:val="004B3892"/>
    <w:rsid w:val="004B391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1A3F"/>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64"/>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241F"/>
    <w:rsid w:val="00553652"/>
    <w:rsid w:val="0055446D"/>
    <w:rsid w:val="005553D2"/>
    <w:rsid w:val="005559CC"/>
    <w:rsid w:val="00556F18"/>
    <w:rsid w:val="00560D05"/>
    <w:rsid w:val="0056192B"/>
    <w:rsid w:val="0056212B"/>
    <w:rsid w:val="005622CF"/>
    <w:rsid w:val="00563F70"/>
    <w:rsid w:val="00571BAA"/>
    <w:rsid w:val="005735A7"/>
    <w:rsid w:val="00575F17"/>
    <w:rsid w:val="00575F83"/>
    <w:rsid w:val="0058038F"/>
    <w:rsid w:val="00584E16"/>
    <w:rsid w:val="00585871"/>
    <w:rsid w:val="00585E83"/>
    <w:rsid w:val="00586432"/>
    <w:rsid w:val="00590C76"/>
    <w:rsid w:val="00591EB7"/>
    <w:rsid w:val="00593D0B"/>
    <w:rsid w:val="0059661A"/>
    <w:rsid w:val="005A168D"/>
    <w:rsid w:val="005A284C"/>
    <w:rsid w:val="005A3CEC"/>
    <w:rsid w:val="005A3FDC"/>
    <w:rsid w:val="005A4D65"/>
    <w:rsid w:val="005A4F01"/>
    <w:rsid w:val="005B07E3"/>
    <w:rsid w:val="005B227B"/>
    <w:rsid w:val="005B2432"/>
    <w:rsid w:val="005B289F"/>
    <w:rsid w:val="005B5DAD"/>
    <w:rsid w:val="005B5F22"/>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5CA8"/>
    <w:rsid w:val="005E7ABE"/>
    <w:rsid w:val="005E7C23"/>
    <w:rsid w:val="005E7CAA"/>
    <w:rsid w:val="005F0A6A"/>
    <w:rsid w:val="005F23DA"/>
    <w:rsid w:val="005F2A1E"/>
    <w:rsid w:val="005F3D20"/>
    <w:rsid w:val="005F4912"/>
    <w:rsid w:val="005F6320"/>
    <w:rsid w:val="005F674F"/>
    <w:rsid w:val="00602438"/>
    <w:rsid w:val="00603078"/>
    <w:rsid w:val="00603651"/>
    <w:rsid w:val="006043B2"/>
    <w:rsid w:val="00604489"/>
    <w:rsid w:val="006060CD"/>
    <w:rsid w:val="00612A6A"/>
    <w:rsid w:val="0061334D"/>
    <w:rsid w:val="00613AE7"/>
    <w:rsid w:val="00614187"/>
    <w:rsid w:val="006147B4"/>
    <w:rsid w:val="00615791"/>
    <w:rsid w:val="00620694"/>
    <w:rsid w:val="0062078B"/>
    <w:rsid w:val="00623063"/>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2F46"/>
    <w:rsid w:val="00645BED"/>
    <w:rsid w:val="0064639F"/>
    <w:rsid w:val="00646F45"/>
    <w:rsid w:val="00650C06"/>
    <w:rsid w:val="00651385"/>
    <w:rsid w:val="006523AE"/>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5ACB"/>
    <w:rsid w:val="006760A4"/>
    <w:rsid w:val="00676375"/>
    <w:rsid w:val="0068177B"/>
    <w:rsid w:val="006831D0"/>
    <w:rsid w:val="0068396A"/>
    <w:rsid w:val="00684AFA"/>
    <w:rsid w:val="00684F09"/>
    <w:rsid w:val="00685899"/>
    <w:rsid w:val="006873FC"/>
    <w:rsid w:val="00687753"/>
    <w:rsid w:val="0069187E"/>
    <w:rsid w:val="00692781"/>
    <w:rsid w:val="0069418C"/>
    <w:rsid w:val="00694E04"/>
    <w:rsid w:val="006958A0"/>
    <w:rsid w:val="006964BF"/>
    <w:rsid w:val="006967AB"/>
    <w:rsid w:val="006A1B6C"/>
    <w:rsid w:val="006A3202"/>
    <w:rsid w:val="006A5098"/>
    <w:rsid w:val="006A7509"/>
    <w:rsid w:val="006A7743"/>
    <w:rsid w:val="006B1D5E"/>
    <w:rsid w:val="006B2E4D"/>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EC3"/>
    <w:rsid w:val="0072366D"/>
    <w:rsid w:val="0072394C"/>
    <w:rsid w:val="007244CA"/>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A1426"/>
    <w:rsid w:val="007A1607"/>
    <w:rsid w:val="007A2634"/>
    <w:rsid w:val="007A2F20"/>
    <w:rsid w:val="007A3434"/>
    <w:rsid w:val="007A3DD3"/>
    <w:rsid w:val="007A493F"/>
    <w:rsid w:val="007A5556"/>
    <w:rsid w:val="007A795A"/>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492"/>
    <w:rsid w:val="00807B53"/>
    <w:rsid w:val="0081111A"/>
    <w:rsid w:val="00811656"/>
    <w:rsid w:val="00811E1B"/>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0702"/>
    <w:rsid w:val="008469CB"/>
    <w:rsid w:val="00847C89"/>
    <w:rsid w:val="008539E9"/>
    <w:rsid w:val="00853D33"/>
    <w:rsid w:val="00853F40"/>
    <w:rsid w:val="00854BDB"/>
    <w:rsid w:val="00855613"/>
    <w:rsid w:val="008577EC"/>
    <w:rsid w:val="00860E82"/>
    <w:rsid w:val="00860FA9"/>
    <w:rsid w:val="00864BEB"/>
    <w:rsid w:val="00865667"/>
    <w:rsid w:val="0086718A"/>
    <w:rsid w:val="008751B6"/>
    <w:rsid w:val="008757C8"/>
    <w:rsid w:val="00875E6F"/>
    <w:rsid w:val="0087709B"/>
    <w:rsid w:val="00883582"/>
    <w:rsid w:val="008836E7"/>
    <w:rsid w:val="00883C6A"/>
    <w:rsid w:val="00885A50"/>
    <w:rsid w:val="00886496"/>
    <w:rsid w:val="00886F18"/>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55D"/>
    <w:rsid w:val="008D74F9"/>
    <w:rsid w:val="008E058A"/>
    <w:rsid w:val="008E162A"/>
    <w:rsid w:val="008E1D68"/>
    <w:rsid w:val="008E21DC"/>
    <w:rsid w:val="008E24F9"/>
    <w:rsid w:val="008E32E5"/>
    <w:rsid w:val="008E40AE"/>
    <w:rsid w:val="008E417D"/>
    <w:rsid w:val="008E54A5"/>
    <w:rsid w:val="008E69E6"/>
    <w:rsid w:val="008E75DD"/>
    <w:rsid w:val="008E7868"/>
    <w:rsid w:val="008E78A3"/>
    <w:rsid w:val="008E7DBF"/>
    <w:rsid w:val="008F1145"/>
    <w:rsid w:val="008F16A2"/>
    <w:rsid w:val="008F2F69"/>
    <w:rsid w:val="008F45A5"/>
    <w:rsid w:val="008F4DCE"/>
    <w:rsid w:val="008F6D06"/>
    <w:rsid w:val="00900E05"/>
    <w:rsid w:val="00903582"/>
    <w:rsid w:val="00903975"/>
    <w:rsid w:val="00903A7B"/>
    <w:rsid w:val="00904DB0"/>
    <w:rsid w:val="009055F4"/>
    <w:rsid w:val="009071CE"/>
    <w:rsid w:val="009123E9"/>
    <w:rsid w:val="00914DCF"/>
    <w:rsid w:val="00916E8F"/>
    <w:rsid w:val="00917A24"/>
    <w:rsid w:val="0092004A"/>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2E96"/>
    <w:rsid w:val="0095303A"/>
    <w:rsid w:val="009534AA"/>
    <w:rsid w:val="00953ADE"/>
    <w:rsid w:val="009547E1"/>
    <w:rsid w:val="009551C9"/>
    <w:rsid w:val="00957DB5"/>
    <w:rsid w:val="00960655"/>
    <w:rsid w:val="0096499E"/>
    <w:rsid w:val="00964C2D"/>
    <w:rsid w:val="00965116"/>
    <w:rsid w:val="0096517A"/>
    <w:rsid w:val="00965984"/>
    <w:rsid w:val="00966206"/>
    <w:rsid w:val="00967416"/>
    <w:rsid w:val="00970222"/>
    <w:rsid w:val="009703FC"/>
    <w:rsid w:val="00970601"/>
    <w:rsid w:val="00970C48"/>
    <w:rsid w:val="00971035"/>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A06D6"/>
    <w:rsid w:val="009A260A"/>
    <w:rsid w:val="009A2F48"/>
    <w:rsid w:val="009A4118"/>
    <w:rsid w:val="009A6A42"/>
    <w:rsid w:val="009A72ED"/>
    <w:rsid w:val="009B03E5"/>
    <w:rsid w:val="009B0BED"/>
    <w:rsid w:val="009B1AD9"/>
    <w:rsid w:val="009B28E6"/>
    <w:rsid w:val="009B2990"/>
    <w:rsid w:val="009B2E1D"/>
    <w:rsid w:val="009B7159"/>
    <w:rsid w:val="009B7BEE"/>
    <w:rsid w:val="009C1F4D"/>
    <w:rsid w:val="009C2A63"/>
    <w:rsid w:val="009C3CCF"/>
    <w:rsid w:val="009C5F92"/>
    <w:rsid w:val="009C6776"/>
    <w:rsid w:val="009C7850"/>
    <w:rsid w:val="009D068F"/>
    <w:rsid w:val="009D4FFC"/>
    <w:rsid w:val="009D50C3"/>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3DC"/>
    <w:rsid w:val="00A16F61"/>
    <w:rsid w:val="00A17EF9"/>
    <w:rsid w:val="00A2223B"/>
    <w:rsid w:val="00A24A8C"/>
    <w:rsid w:val="00A270BB"/>
    <w:rsid w:val="00A2728E"/>
    <w:rsid w:val="00A27308"/>
    <w:rsid w:val="00A3058C"/>
    <w:rsid w:val="00A31FA1"/>
    <w:rsid w:val="00A326B7"/>
    <w:rsid w:val="00A32ABB"/>
    <w:rsid w:val="00A33F3A"/>
    <w:rsid w:val="00A33FAB"/>
    <w:rsid w:val="00A34017"/>
    <w:rsid w:val="00A3414E"/>
    <w:rsid w:val="00A345FF"/>
    <w:rsid w:val="00A356C2"/>
    <w:rsid w:val="00A41216"/>
    <w:rsid w:val="00A43851"/>
    <w:rsid w:val="00A439DD"/>
    <w:rsid w:val="00A455E7"/>
    <w:rsid w:val="00A46938"/>
    <w:rsid w:val="00A5264F"/>
    <w:rsid w:val="00A5286D"/>
    <w:rsid w:val="00A5347D"/>
    <w:rsid w:val="00A53CDD"/>
    <w:rsid w:val="00A54628"/>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8FF"/>
    <w:rsid w:val="00AE7279"/>
    <w:rsid w:val="00AE7419"/>
    <w:rsid w:val="00AF07D9"/>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0FDC"/>
    <w:rsid w:val="00B21594"/>
    <w:rsid w:val="00B22072"/>
    <w:rsid w:val="00B260F0"/>
    <w:rsid w:val="00B263FA"/>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81E30"/>
    <w:rsid w:val="00B821BC"/>
    <w:rsid w:val="00B82861"/>
    <w:rsid w:val="00B83559"/>
    <w:rsid w:val="00B85282"/>
    <w:rsid w:val="00B85BE1"/>
    <w:rsid w:val="00B86477"/>
    <w:rsid w:val="00B86B8B"/>
    <w:rsid w:val="00B90361"/>
    <w:rsid w:val="00B90845"/>
    <w:rsid w:val="00B9184A"/>
    <w:rsid w:val="00B92A6A"/>
    <w:rsid w:val="00B93842"/>
    <w:rsid w:val="00B96C6C"/>
    <w:rsid w:val="00BA0ECD"/>
    <w:rsid w:val="00BA4B7A"/>
    <w:rsid w:val="00BA5234"/>
    <w:rsid w:val="00BA78BD"/>
    <w:rsid w:val="00BB178A"/>
    <w:rsid w:val="00BB187E"/>
    <w:rsid w:val="00BB27C4"/>
    <w:rsid w:val="00BB2CB7"/>
    <w:rsid w:val="00BB4ADA"/>
    <w:rsid w:val="00BB5C7E"/>
    <w:rsid w:val="00BB5CD9"/>
    <w:rsid w:val="00BB6A64"/>
    <w:rsid w:val="00BB7D0B"/>
    <w:rsid w:val="00BC2DC8"/>
    <w:rsid w:val="00BC5446"/>
    <w:rsid w:val="00BC726C"/>
    <w:rsid w:val="00BC7520"/>
    <w:rsid w:val="00BD07EE"/>
    <w:rsid w:val="00BD3F4E"/>
    <w:rsid w:val="00BD44B0"/>
    <w:rsid w:val="00BD5097"/>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55F7"/>
    <w:rsid w:val="00C06AD0"/>
    <w:rsid w:val="00C12082"/>
    <w:rsid w:val="00C130F0"/>
    <w:rsid w:val="00C13A97"/>
    <w:rsid w:val="00C13DAD"/>
    <w:rsid w:val="00C15493"/>
    <w:rsid w:val="00C16441"/>
    <w:rsid w:val="00C167B9"/>
    <w:rsid w:val="00C200DE"/>
    <w:rsid w:val="00C20229"/>
    <w:rsid w:val="00C211E0"/>
    <w:rsid w:val="00C21F54"/>
    <w:rsid w:val="00C24DE2"/>
    <w:rsid w:val="00C31845"/>
    <w:rsid w:val="00C31B75"/>
    <w:rsid w:val="00C32396"/>
    <w:rsid w:val="00C3270C"/>
    <w:rsid w:val="00C33373"/>
    <w:rsid w:val="00C33D3B"/>
    <w:rsid w:val="00C34E6B"/>
    <w:rsid w:val="00C3607A"/>
    <w:rsid w:val="00C3787B"/>
    <w:rsid w:val="00C379E9"/>
    <w:rsid w:val="00C410B3"/>
    <w:rsid w:val="00C44604"/>
    <w:rsid w:val="00C4496F"/>
    <w:rsid w:val="00C459B5"/>
    <w:rsid w:val="00C45DA9"/>
    <w:rsid w:val="00C471D2"/>
    <w:rsid w:val="00C50596"/>
    <w:rsid w:val="00C51A1C"/>
    <w:rsid w:val="00C52108"/>
    <w:rsid w:val="00C56CCB"/>
    <w:rsid w:val="00C60B94"/>
    <w:rsid w:val="00C60FF1"/>
    <w:rsid w:val="00C62939"/>
    <w:rsid w:val="00C6384C"/>
    <w:rsid w:val="00C63CBE"/>
    <w:rsid w:val="00C6499D"/>
    <w:rsid w:val="00C70756"/>
    <w:rsid w:val="00C7090E"/>
    <w:rsid w:val="00C7644D"/>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095"/>
    <w:rsid w:val="00CB61F4"/>
    <w:rsid w:val="00CB669B"/>
    <w:rsid w:val="00CC08A8"/>
    <w:rsid w:val="00CC18B8"/>
    <w:rsid w:val="00CC278D"/>
    <w:rsid w:val="00CC3D6C"/>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5FEE"/>
    <w:rsid w:val="00CE6146"/>
    <w:rsid w:val="00CE7282"/>
    <w:rsid w:val="00CE735C"/>
    <w:rsid w:val="00CF1E02"/>
    <w:rsid w:val="00CF2355"/>
    <w:rsid w:val="00CF2443"/>
    <w:rsid w:val="00CF4ED6"/>
    <w:rsid w:val="00CF6D8B"/>
    <w:rsid w:val="00CF7CD7"/>
    <w:rsid w:val="00CF7F4D"/>
    <w:rsid w:val="00D00851"/>
    <w:rsid w:val="00D01477"/>
    <w:rsid w:val="00D03187"/>
    <w:rsid w:val="00D03C8B"/>
    <w:rsid w:val="00D05EE6"/>
    <w:rsid w:val="00D0770D"/>
    <w:rsid w:val="00D07EC4"/>
    <w:rsid w:val="00D10130"/>
    <w:rsid w:val="00D10239"/>
    <w:rsid w:val="00D1093B"/>
    <w:rsid w:val="00D11B91"/>
    <w:rsid w:val="00D11C94"/>
    <w:rsid w:val="00D13DB0"/>
    <w:rsid w:val="00D140BD"/>
    <w:rsid w:val="00D17822"/>
    <w:rsid w:val="00D1789E"/>
    <w:rsid w:val="00D200B1"/>
    <w:rsid w:val="00D2028D"/>
    <w:rsid w:val="00D226B3"/>
    <w:rsid w:val="00D250C5"/>
    <w:rsid w:val="00D3014D"/>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CD9"/>
    <w:rsid w:val="00D46420"/>
    <w:rsid w:val="00D474D2"/>
    <w:rsid w:val="00D475D5"/>
    <w:rsid w:val="00D50869"/>
    <w:rsid w:val="00D50EFC"/>
    <w:rsid w:val="00D5303F"/>
    <w:rsid w:val="00D53CD7"/>
    <w:rsid w:val="00D55E2A"/>
    <w:rsid w:val="00D56557"/>
    <w:rsid w:val="00D571AA"/>
    <w:rsid w:val="00D57636"/>
    <w:rsid w:val="00D616A1"/>
    <w:rsid w:val="00D61C8C"/>
    <w:rsid w:val="00D61E96"/>
    <w:rsid w:val="00D62098"/>
    <w:rsid w:val="00D624F8"/>
    <w:rsid w:val="00D626FB"/>
    <w:rsid w:val="00D62E05"/>
    <w:rsid w:val="00D634B9"/>
    <w:rsid w:val="00D63DA6"/>
    <w:rsid w:val="00D6467B"/>
    <w:rsid w:val="00D6525E"/>
    <w:rsid w:val="00D65893"/>
    <w:rsid w:val="00D658F2"/>
    <w:rsid w:val="00D6681A"/>
    <w:rsid w:val="00D67174"/>
    <w:rsid w:val="00D67742"/>
    <w:rsid w:val="00D70CDD"/>
    <w:rsid w:val="00D71770"/>
    <w:rsid w:val="00D73642"/>
    <w:rsid w:val="00D73F32"/>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653C"/>
    <w:rsid w:val="00D96FA3"/>
    <w:rsid w:val="00D970C6"/>
    <w:rsid w:val="00D97822"/>
    <w:rsid w:val="00D97A9A"/>
    <w:rsid w:val="00DA0A33"/>
    <w:rsid w:val="00DA0DBE"/>
    <w:rsid w:val="00DA1297"/>
    <w:rsid w:val="00DA1A14"/>
    <w:rsid w:val="00DA2FEB"/>
    <w:rsid w:val="00DA6AAE"/>
    <w:rsid w:val="00DA7E40"/>
    <w:rsid w:val="00DA7FF7"/>
    <w:rsid w:val="00DB0AB5"/>
    <w:rsid w:val="00DB0DEC"/>
    <w:rsid w:val="00DB4E99"/>
    <w:rsid w:val="00DB7104"/>
    <w:rsid w:val="00DB7B53"/>
    <w:rsid w:val="00DB7E1A"/>
    <w:rsid w:val="00DC1638"/>
    <w:rsid w:val="00DC32AA"/>
    <w:rsid w:val="00DC3BFE"/>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DD"/>
    <w:rsid w:val="00E31102"/>
    <w:rsid w:val="00E31A8E"/>
    <w:rsid w:val="00E31D4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3A1"/>
    <w:rsid w:val="00E55A84"/>
    <w:rsid w:val="00E600D0"/>
    <w:rsid w:val="00E60BA7"/>
    <w:rsid w:val="00E623EE"/>
    <w:rsid w:val="00E65008"/>
    <w:rsid w:val="00E65D71"/>
    <w:rsid w:val="00E67FD3"/>
    <w:rsid w:val="00E745D3"/>
    <w:rsid w:val="00E762D1"/>
    <w:rsid w:val="00E772A1"/>
    <w:rsid w:val="00E776AF"/>
    <w:rsid w:val="00E77B5F"/>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2921"/>
    <w:rsid w:val="00EF3024"/>
    <w:rsid w:val="00EF3A01"/>
    <w:rsid w:val="00EF472F"/>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1DC3"/>
    <w:rsid w:val="00F340DA"/>
    <w:rsid w:val="00F350B7"/>
    <w:rsid w:val="00F35875"/>
    <w:rsid w:val="00F37260"/>
    <w:rsid w:val="00F401D9"/>
    <w:rsid w:val="00F40616"/>
    <w:rsid w:val="00F41873"/>
    <w:rsid w:val="00F43496"/>
    <w:rsid w:val="00F436AB"/>
    <w:rsid w:val="00F453BD"/>
    <w:rsid w:val="00F47965"/>
    <w:rsid w:val="00F47C27"/>
    <w:rsid w:val="00F511E7"/>
    <w:rsid w:val="00F526C4"/>
    <w:rsid w:val="00F52A7E"/>
    <w:rsid w:val="00F54219"/>
    <w:rsid w:val="00F55800"/>
    <w:rsid w:val="00F55B89"/>
    <w:rsid w:val="00F56574"/>
    <w:rsid w:val="00F63AD3"/>
    <w:rsid w:val="00F63E57"/>
    <w:rsid w:val="00F64E9E"/>
    <w:rsid w:val="00F65296"/>
    <w:rsid w:val="00F6783B"/>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A35"/>
    <w:rsid w:val="00FB08C9"/>
    <w:rsid w:val="00FB0FD9"/>
    <w:rsid w:val="00FB1508"/>
    <w:rsid w:val="00FB1953"/>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435D"/>
    <w:rsid w:val="00FD73AF"/>
    <w:rsid w:val="00FE06AD"/>
    <w:rsid w:val="00FE0AC2"/>
    <w:rsid w:val="00FE2B49"/>
    <w:rsid w:val="00FE4850"/>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4:docId w14:val="54199A9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nhideWhenUsed/>
    <w:rsid w:val="00464292"/>
    <w:pPr>
      <w:spacing w:after="120"/>
    </w:pPr>
  </w:style>
  <w:style w:type="character" w:customStyle="1" w:styleId="TextoindependienteCar">
    <w:name w:val="Texto independiente Car"/>
    <w:link w:val="Textoindependiente"/>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478757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D929F-C355-4091-88F2-73158707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3827</Words>
  <Characters>21052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24830</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3</cp:revision>
  <cp:lastPrinted>2015-07-02T01:52:00Z</cp:lastPrinted>
  <dcterms:created xsi:type="dcterms:W3CDTF">2016-11-18T17:37:00Z</dcterms:created>
  <dcterms:modified xsi:type="dcterms:W3CDTF">2016-11-18T21:59:00Z</dcterms:modified>
</cp:coreProperties>
</file>