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678AE" w14:textId="7C140EC3" w:rsidR="00C52B83" w:rsidRPr="00E94D8A" w:rsidRDefault="000B51B2" w:rsidP="00AC072D">
      <w:pPr>
        <w:pStyle w:val="Titletype"/>
        <w:spacing w:line="400" w:lineRule="exact"/>
        <w:ind w:left="0" w:right="84"/>
      </w:pPr>
      <w:r>
        <w:rPr>
          <w:lang w:eastAsia="en-GB"/>
        </w:rPr>
        <w:t>I</w:t>
      </w:r>
      <w:r w:rsidR="006E361B" w:rsidRPr="00E94D8A">
        <w:rPr>
          <w:lang w:eastAsia="en-GB"/>
        </w:rPr>
        <w:t xml:space="preserve">nforme para </w:t>
      </w:r>
      <w:r w:rsidR="00150BE8">
        <w:rPr>
          <w:lang w:eastAsia="en-GB"/>
        </w:rPr>
        <w:t>el Instituto Federal de Telecomunicaciones</w:t>
      </w:r>
      <w:r w:rsidR="006E361B" w:rsidRPr="00E94D8A">
        <w:rPr>
          <w:lang w:eastAsia="en-GB"/>
        </w:rPr>
        <w:t xml:space="preserve"> (</w:t>
      </w:r>
      <w:r w:rsidR="00150BE8">
        <w:rPr>
          <w:lang w:eastAsia="en-GB"/>
        </w:rPr>
        <w:t>IFT</w:t>
      </w:r>
      <w:r w:rsidR="006E361B" w:rsidRPr="00E94D8A">
        <w:rPr>
          <w:lang w:eastAsia="en-GB"/>
        </w:rPr>
        <w:t>)</w:t>
      </w:r>
    </w:p>
    <w:p w14:paraId="3BF05519" w14:textId="36425BC9" w:rsidR="00C52B83" w:rsidRPr="00E94D8A" w:rsidRDefault="006E361B" w:rsidP="00AC072D">
      <w:pPr>
        <w:pStyle w:val="Titlemain"/>
        <w:ind w:left="0" w:right="84"/>
        <w:jc w:val="both"/>
        <w:rPr>
          <w:lang w:val="es-ES"/>
        </w:rPr>
      </w:pPr>
      <w:r w:rsidRPr="00E94D8A">
        <w:rPr>
          <w:lang w:val="es-ES"/>
        </w:rPr>
        <w:t xml:space="preserve">Servicios de asesoría especializados para </w:t>
      </w:r>
      <w:r w:rsidR="00301A5C">
        <w:rPr>
          <w:lang w:val="es-ES"/>
        </w:rPr>
        <w:t>la a</w:t>
      </w:r>
      <w:r w:rsidR="00301A5C" w:rsidRPr="00301A5C">
        <w:rPr>
          <w:lang w:val="es-ES"/>
        </w:rPr>
        <w:t xml:space="preserve">daptación de los modelos de costos </w:t>
      </w:r>
      <w:r w:rsidR="008B79C7">
        <w:rPr>
          <w:lang w:val="es-ES"/>
        </w:rPr>
        <w:t>de servicios de interconexión</w:t>
      </w:r>
      <w:r w:rsidR="00301A5C" w:rsidRPr="00301A5C">
        <w:rPr>
          <w:lang w:val="es-ES"/>
        </w:rPr>
        <w:t xml:space="preserve"> para la fijación de tarifas </w:t>
      </w:r>
      <w:bookmarkStart w:id="0" w:name="_GoBack"/>
      <w:bookmarkEnd w:id="0"/>
      <w:r w:rsidR="00301A5C" w:rsidRPr="00301A5C">
        <w:rPr>
          <w:lang w:val="es-ES"/>
        </w:rPr>
        <w:t>asimétricas</w:t>
      </w:r>
      <w:r w:rsidR="00301A5C">
        <w:rPr>
          <w:lang w:val="es-ES"/>
        </w:rPr>
        <w:t xml:space="preserve"> de interconexión</w:t>
      </w:r>
      <w:r w:rsidR="00AC072D">
        <w:rPr>
          <w:lang w:val="es-ES"/>
        </w:rPr>
        <w:t xml:space="preserve">  </w:t>
      </w:r>
      <w:r w:rsidRPr="00E94D8A">
        <w:rPr>
          <w:lang w:val="es-ES"/>
        </w:rPr>
        <w:t xml:space="preserve">– </w:t>
      </w:r>
      <w:r w:rsidR="00AC072D">
        <w:rPr>
          <w:lang w:val="es-ES"/>
        </w:rPr>
        <w:t xml:space="preserve"> </w:t>
      </w:r>
      <w:r w:rsidRPr="00E94D8A">
        <w:rPr>
          <w:b/>
          <w:lang w:val="es-ES"/>
        </w:rPr>
        <w:t>Enfoque conceptual</w:t>
      </w:r>
    </w:p>
    <w:p w14:paraId="0DFD682B" w14:textId="46551C52" w:rsidR="003E3F62" w:rsidRPr="00E94D8A" w:rsidRDefault="0046061B" w:rsidP="00AC072D">
      <w:pPr>
        <w:pStyle w:val="Titledate"/>
        <w:spacing w:before="240"/>
        <w:ind w:left="0" w:right="84"/>
        <w:jc w:val="right"/>
        <w:rPr>
          <w:lang w:val="es-ES"/>
        </w:rPr>
      </w:pPr>
      <w:r>
        <w:rPr>
          <w:lang w:val="es-ES"/>
        </w:rPr>
        <w:t xml:space="preserve">octubre </w:t>
      </w:r>
      <w:r w:rsidR="006E310D" w:rsidRPr="00E94D8A">
        <w:rPr>
          <w:lang w:val="es-ES"/>
        </w:rPr>
        <w:t>201</w:t>
      </w:r>
      <w:r w:rsidR="00AA2CCF">
        <w:rPr>
          <w:lang w:val="es-ES"/>
        </w:rPr>
        <w:t>6</w:t>
      </w:r>
    </w:p>
    <w:p w14:paraId="7278474B" w14:textId="77777777" w:rsidR="00C64CB7" w:rsidRPr="00E94D8A" w:rsidRDefault="00D42DA0" w:rsidP="003E3F62">
      <w:pPr>
        <w:pStyle w:val="ConfidentialFront"/>
        <w:rPr>
          <w:lang w:val="es-ES"/>
        </w:rPr>
      </w:pPr>
      <w:r w:rsidRPr="00E94D8A">
        <w:rPr>
          <w:lang w:val="es-ES"/>
        </w:rPr>
        <w:fldChar w:fldCharType="begin"/>
      </w:r>
      <w:r w:rsidRPr="00E94D8A">
        <w:rPr>
          <w:lang w:val="es-ES"/>
        </w:rPr>
        <w:instrText xml:space="preserve"> DOCPROPERTY "Descriptor" \* MERGEFORMAT </w:instrText>
      </w:r>
      <w:r w:rsidRPr="00E94D8A">
        <w:rPr>
          <w:lang w:val="es-ES"/>
        </w:rPr>
        <w:fldChar w:fldCharType="separate"/>
      </w:r>
      <w:r w:rsidR="00B426BC">
        <w:rPr>
          <w:lang w:val="es-ES"/>
        </w:rPr>
        <w:t>.</w:t>
      </w:r>
      <w:r w:rsidRPr="00E94D8A">
        <w:rPr>
          <w:lang w:val="es-ES"/>
        </w:rPr>
        <w:fldChar w:fldCharType="end"/>
      </w:r>
    </w:p>
    <w:p w14:paraId="0B54066E" w14:textId="77777777" w:rsidR="0086457E" w:rsidRPr="00E94D8A" w:rsidRDefault="0086457E" w:rsidP="0086457E">
      <w:pPr>
        <w:pStyle w:val="01"/>
        <w:sectPr w:rsidR="0086457E" w:rsidRPr="00E94D8A" w:rsidSect="00D42DA0">
          <w:footerReference w:type="default" r:id="rId10"/>
          <w:pgSz w:w="11907" w:h="16840" w:code="9"/>
          <w:pgMar w:top="1418" w:right="1588" w:bottom="1418" w:left="1588" w:header="567" w:footer="567" w:gutter="0"/>
          <w:pgNumType w:fmt="lowerRoman" w:start="1"/>
          <w:cols w:space="720"/>
          <w:titlePg/>
          <w:docGrid w:linePitch="299"/>
        </w:sectPr>
      </w:pPr>
    </w:p>
    <w:p w14:paraId="318758F1" w14:textId="77777777" w:rsidR="0086457E" w:rsidRPr="00E94D8A" w:rsidRDefault="00C52B83" w:rsidP="0086457E">
      <w:pPr>
        <w:pStyle w:val="Contentsheading"/>
      </w:pPr>
      <w:r w:rsidRPr="00E94D8A">
        <w:lastRenderedPageBreak/>
        <w:t>Índice de contenidos</w:t>
      </w:r>
    </w:p>
    <w:p w14:paraId="4B69C6A3" w14:textId="77777777" w:rsidR="00B426BC" w:rsidRPr="00B426BC" w:rsidRDefault="00DF3B88">
      <w:pPr>
        <w:pStyle w:val="TDC1"/>
        <w:rPr>
          <w:rFonts w:asciiTheme="minorHAnsi" w:eastAsiaTheme="minorEastAsia" w:hAnsiTheme="minorHAnsi"/>
          <w:b w:val="0"/>
          <w:noProof/>
          <w:lang w:eastAsia="en-GB"/>
        </w:rPr>
      </w:pPr>
      <w:r w:rsidRPr="00E94D8A">
        <w:fldChar w:fldCharType="begin"/>
      </w:r>
      <w:r w:rsidRPr="00E94D8A">
        <w:instrText xml:space="preserve"> TOC \t "Heading 1,1, Heading 2,2" </w:instrText>
      </w:r>
      <w:r w:rsidRPr="00E94D8A">
        <w:fldChar w:fldCharType="separate"/>
      </w:r>
      <w:r w:rsidR="00B426BC" w:rsidRPr="00A57C0B">
        <w:rPr>
          <w:noProof/>
          <w:snapToGrid w:val="0"/>
        </w:rPr>
        <w:t>1</w:t>
      </w:r>
      <w:r w:rsidR="00B426BC" w:rsidRPr="00B426BC">
        <w:rPr>
          <w:rFonts w:asciiTheme="minorHAnsi" w:eastAsiaTheme="minorEastAsia" w:hAnsiTheme="minorHAnsi"/>
          <w:b w:val="0"/>
          <w:noProof/>
          <w:lang w:eastAsia="en-GB"/>
        </w:rPr>
        <w:tab/>
      </w:r>
      <w:r w:rsidR="00B426BC" w:rsidRPr="00A57C0B">
        <w:rPr>
          <w:noProof/>
          <w:snapToGrid w:val="0"/>
        </w:rPr>
        <w:t>Introducción</w:t>
      </w:r>
      <w:r w:rsidR="00B426BC">
        <w:rPr>
          <w:noProof/>
        </w:rPr>
        <w:tab/>
      </w:r>
      <w:r w:rsidR="00B426BC">
        <w:rPr>
          <w:noProof/>
        </w:rPr>
        <w:fldChar w:fldCharType="begin"/>
      </w:r>
      <w:r w:rsidR="00B426BC">
        <w:rPr>
          <w:noProof/>
        </w:rPr>
        <w:instrText xml:space="preserve"> PAGEREF _Toc454893664 \h </w:instrText>
      </w:r>
      <w:r w:rsidR="00B426BC">
        <w:rPr>
          <w:noProof/>
        </w:rPr>
      </w:r>
      <w:r w:rsidR="00B426BC">
        <w:rPr>
          <w:noProof/>
        </w:rPr>
        <w:fldChar w:fldCharType="separate"/>
      </w:r>
      <w:r w:rsidR="00B426BC">
        <w:rPr>
          <w:noProof/>
        </w:rPr>
        <w:t>1</w:t>
      </w:r>
      <w:r w:rsidR="00B426BC">
        <w:rPr>
          <w:noProof/>
        </w:rPr>
        <w:fldChar w:fldCharType="end"/>
      </w:r>
    </w:p>
    <w:p w14:paraId="33F62B8A"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1.1</w:t>
      </w:r>
      <w:r w:rsidRPr="00B426BC">
        <w:rPr>
          <w:rFonts w:asciiTheme="minorHAnsi" w:eastAsiaTheme="minorEastAsia" w:hAnsiTheme="minorHAnsi"/>
          <w:lang w:eastAsia="en-GB"/>
        </w:rPr>
        <w:tab/>
      </w:r>
      <w:r>
        <w:t>Alcance del informe</w:t>
      </w:r>
      <w:r>
        <w:tab/>
      </w:r>
      <w:r>
        <w:fldChar w:fldCharType="begin"/>
      </w:r>
      <w:r>
        <w:instrText xml:space="preserve"> PAGEREF _Toc454893665 \h </w:instrText>
      </w:r>
      <w:r>
        <w:fldChar w:fldCharType="separate"/>
      </w:r>
      <w:r>
        <w:t>1</w:t>
      </w:r>
      <w:r>
        <w:fldChar w:fldCharType="end"/>
      </w:r>
    </w:p>
    <w:p w14:paraId="05F11C30"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1.2</w:t>
      </w:r>
      <w:r w:rsidRPr="00B426BC">
        <w:rPr>
          <w:rFonts w:asciiTheme="minorHAnsi" w:eastAsiaTheme="minorEastAsia" w:hAnsiTheme="minorHAnsi"/>
          <w:lang w:eastAsia="en-GB"/>
        </w:rPr>
        <w:tab/>
      </w:r>
      <w:r>
        <w:t>Encuadre regulatorio</w:t>
      </w:r>
      <w:r>
        <w:tab/>
      </w:r>
      <w:r>
        <w:fldChar w:fldCharType="begin"/>
      </w:r>
      <w:r>
        <w:instrText xml:space="preserve"> PAGEREF _Toc454893666 \h </w:instrText>
      </w:r>
      <w:r>
        <w:fldChar w:fldCharType="separate"/>
      </w:r>
      <w:r>
        <w:t>3</w:t>
      </w:r>
      <w:r>
        <w:fldChar w:fldCharType="end"/>
      </w:r>
    </w:p>
    <w:p w14:paraId="0DD302C1"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1.3</w:t>
      </w:r>
      <w:r w:rsidRPr="00B426BC">
        <w:rPr>
          <w:rFonts w:asciiTheme="minorHAnsi" w:eastAsiaTheme="minorEastAsia" w:hAnsiTheme="minorHAnsi"/>
          <w:lang w:eastAsia="en-GB"/>
        </w:rPr>
        <w:tab/>
      </w:r>
      <w:r>
        <w:t>Estructura del informe</w:t>
      </w:r>
      <w:r>
        <w:tab/>
      </w:r>
      <w:r>
        <w:fldChar w:fldCharType="begin"/>
      </w:r>
      <w:r>
        <w:instrText xml:space="preserve"> PAGEREF _Toc454893667 \h </w:instrText>
      </w:r>
      <w:r>
        <w:fldChar w:fldCharType="separate"/>
      </w:r>
      <w:r>
        <w:t>4</w:t>
      </w:r>
      <w:r>
        <w:fldChar w:fldCharType="end"/>
      </w:r>
    </w:p>
    <w:p w14:paraId="731D6B1F" w14:textId="77777777" w:rsidR="00B426BC" w:rsidRPr="00B426BC" w:rsidRDefault="00B426BC">
      <w:pPr>
        <w:pStyle w:val="TDC1"/>
        <w:rPr>
          <w:rFonts w:asciiTheme="minorHAnsi" w:eastAsiaTheme="minorEastAsia" w:hAnsiTheme="minorHAnsi"/>
          <w:b w:val="0"/>
          <w:noProof/>
          <w:lang w:eastAsia="en-GB"/>
        </w:rPr>
      </w:pPr>
      <w:r w:rsidRPr="00A57C0B">
        <w:rPr>
          <w:noProof/>
        </w:rPr>
        <w:t>2</w:t>
      </w:r>
      <w:r w:rsidRPr="00B426BC">
        <w:rPr>
          <w:rFonts w:asciiTheme="minorHAnsi" w:eastAsiaTheme="minorEastAsia" w:hAnsiTheme="minorHAnsi"/>
          <w:b w:val="0"/>
          <w:noProof/>
          <w:lang w:eastAsia="en-GB"/>
        </w:rPr>
        <w:tab/>
      </w:r>
      <w:r w:rsidRPr="00A57C0B">
        <w:rPr>
          <w:noProof/>
        </w:rPr>
        <w:t>Principios para la elaboración de los modelos de costos</w:t>
      </w:r>
      <w:r>
        <w:rPr>
          <w:noProof/>
        </w:rPr>
        <w:tab/>
      </w:r>
      <w:r>
        <w:rPr>
          <w:noProof/>
        </w:rPr>
        <w:fldChar w:fldCharType="begin"/>
      </w:r>
      <w:r>
        <w:rPr>
          <w:noProof/>
        </w:rPr>
        <w:instrText xml:space="preserve"> PAGEREF _Toc454893668 \h </w:instrText>
      </w:r>
      <w:r>
        <w:rPr>
          <w:noProof/>
        </w:rPr>
      </w:r>
      <w:r>
        <w:rPr>
          <w:noProof/>
        </w:rPr>
        <w:fldChar w:fldCharType="separate"/>
      </w:r>
      <w:r>
        <w:rPr>
          <w:noProof/>
        </w:rPr>
        <w:t>5</w:t>
      </w:r>
      <w:r>
        <w:rPr>
          <w:noProof/>
        </w:rPr>
        <w:fldChar w:fldCharType="end"/>
      </w:r>
    </w:p>
    <w:p w14:paraId="4AA36944" w14:textId="1640E31D"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2.1</w:t>
      </w:r>
      <w:r w:rsidRPr="00B426BC">
        <w:rPr>
          <w:rFonts w:asciiTheme="minorHAnsi" w:eastAsiaTheme="minorEastAsia" w:hAnsiTheme="minorHAnsi"/>
          <w:lang w:eastAsia="en-GB"/>
        </w:rPr>
        <w:tab/>
      </w:r>
      <w:r>
        <w:t xml:space="preserve">Competitividad y </w:t>
      </w:r>
      <w:r w:rsidR="00073C2C">
        <w:t>dispu</w:t>
      </w:r>
      <w:r>
        <w:t>tabilidad</w:t>
      </w:r>
      <w:r>
        <w:tab/>
      </w:r>
      <w:r>
        <w:fldChar w:fldCharType="begin"/>
      </w:r>
      <w:r>
        <w:instrText xml:space="preserve"> PAGEREF _Toc454893669 \h </w:instrText>
      </w:r>
      <w:r>
        <w:fldChar w:fldCharType="separate"/>
      </w:r>
      <w:r>
        <w:t>5</w:t>
      </w:r>
      <w:r>
        <w:fldChar w:fldCharType="end"/>
      </w:r>
    </w:p>
    <w:p w14:paraId="7A0A29D8"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2.2</w:t>
      </w:r>
      <w:r w:rsidRPr="00B426BC">
        <w:rPr>
          <w:rFonts w:asciiTheme="minorHAnsi" w:eastAsiaTheme="minorEastAsia" w:hAnsiTheme="minorHAnsi"/>
          <w:lang w:eastAsia="en-GB"/>
        </w:rPr>
        <w:tab/>
      </w:r>
      <w:r>
        <w:t>Costeo de largo plazo</w:t>
      </w:r>
      <w:r>
        <w:tab/>
      </w:r>
      <w:r>
        <w:fldChar w:fldCharType="begin"/>
      </w:r>
      <w:r>
        <w:instrText xml:space="preserve"> PAGEREF _Toc454893670 \h </w:instrText>
      </w:r>
      <w:r>
        <w:fldChar w:fldCharType="separate"/>
      </w:r>
      <w:r>
        <w:t>5</w:t>
      </w:r>
      <w:r>
        <w:fldChar w:fldCharType="end"/>
      </w:r>
    </w:p>
    <w:p w14:paraId="72F442FE"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2.3</w:t>
      </w:r>
      <w:r w:rsidRPr="00B426BC">
        <w:rPr>
          <w:rFonts w:asciiTheme="minorHAnsi" w:eastAsiaTheme="minorEastAsia" w:hAnsiTheme="minorHAnsi"/>
          <w:lang w:eastAsia="en-GB"/>
        </w:rPr>
        <w:tab/>
      </w:r>
      <w:r>
        <w:t>Costeo incremental</w:t>
      </w:r>
      <w:r>
        <w:tab/>
      </w:r>
      <w:r>
        <w:fldChar w:fldCharType="begin"/>
      </w:r>
      <w:r>
        <w:instrText xml:space="preserve"> PAGEREF _Toc454893671 \h </w:instrText>
      </w:r>
      <w:r>
        <w:fldChar w:fldCharType="separate"/>
      </w:r>
      <w:r>
        <w:t>6</w:t>
      </w:r>
      <w:r>
        <w:fldChar w:fldCharType="end"/>
      </w:r>
    </w:p>
    <w:p w14:paraId="1FBB1053"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2.4</w:t>
      </w:r>
      <w:r w:rsidRPr="00B426BC">
        <w:rPr>
          <w:rFonts w:asciiTheme="minorHAnsi" w:eastAsiaTheme="minorEastAsia" w:hAnsiTheme="minorHAnsi"/>
          <w:lang w:eastAsia="en-GB"/>
        </w:rPr>
        <w:tab/>
      </w:r>
      <w:r>
        <w:t>Costos incurridos de manera eficiente</w:t>
      </w:r>
      <w:r>
        <w:tab/>
      </w:r>
      <w:r>
        <w:fldChar w:fldCharType="begin"/>
      </w:r>
      <w:r>
        <w:instrText xml:space="preserve"> PAGEREF _Toc454893672 \h </w:instrText>
      </w:r>
      <w:r>
        <w:fldChar w:fldCharType="separate"/>
      </w:r>
      <w:r>
        <w:t>7</w:t>
      </w:r>
      <w:r>
        <w:fldChar w:fldCharType="end"/>
      </w:r>
    </w:p>
    <w:p w14:paraId="666DF1FA"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2.5</w:t>
      </w:r>
      <w:r w:rsidRPr="00B426BC">
        <w:rPr>
          <w:rFonts w:asciiTheme="minorHAnsi" w:eastAsiaTheme="minorEastAsia" w:hAnsiTheme="minorHAnsi"/>
          <w:lang w:eastAsia="en-GB"/>
        </w:rPr>
        <w:tab/>
      </w:r>
      <w:r>
        <w:t>Costos de la oferta del servicio utilizando tecnologías modernas</w:t>
      </w:r>
      <w:r>
        <w:tab/>
      </w:r>
      <w:r>
        <w:fldChar w:fldCharType="begin"/>
      </w:r>
      <w:r>
        <w:instrText xml:space="preserve"> PAGEREF _Toc454893673 \h </w:instrText>
      </w:r>
      <w:r>
        <w:fldChar w:fldCharType="separate"/>
      </w:r>
      <w:r>
        <w:t>7</w:t>
      </w:r>
      <w:r>
        <w:fldChar w:fldCharType="end"/>
      </w:r>
    </w:p>
    <w:p w14:paraId="22E8FC02"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2.6</w:t>
      </w:r>
      <w:r w:rsidRPr="00B426BC">
        <w:rPr>
          <w:rFonts w:asciiTheme="minorHAnsi" w:eastAsiaTheme="minorEastAsia" w:hAnsiTheme="minorHAnsi"/>
          <w:lang w:eastAsia="en-GB"/>
        </w:rPr>
        <w:tab/>
      </w:r>
      <w:r>
        <w:t>Costos a futuro</w:t>
      </w:r>
      <w:r>
        <w:tab/>
      </w:r>
      <w:r>
        <w:fldChar w:fldCharType="begin"/>
      </w:r>
      <w:r>
        <w:instrText xml:space="preserve"> PAGEREF _Toc454893674 \h </w:instrText>
      </w:r>
      <w:r>
        <w:fldChar w:fldCharType="separate"/>
      </w:r>
      <w:r>
        <w:t>8</w:t>
      </w:r>
      <w:r>
        <w:fldChar w:fldCharType="end"/>
      </w:r>
    </w:p>
    <w:p w14:paraId="5F1899B0" w14:textId="77777777" w:rsidR="00B426BC" w:rsidRPr="00B426BC" w:rsidRDefault="00B426BC">
      <w:pPr>
        <w:pStyle w:val="TDC1"/>
        <w:rPr>
          <w:rFonts w:asciiTheme="minorHAnsi" w:eastAsiaTheme="minorEastAsia" w:hAnsiTheme="minorHAnsi"/>
          <w:b w:val="0"/>
          <w:noProof/>
          <w:lang w:eastAsia="en-GB"/>
        </w:rPr>
      </w:pPr>
      <w:r w:rsidRPr="00A57C0B">
        <w:rPr>
          <w:noProof/>
        </w:rPr>
        <w:t>3</w:t>
      </w:r>
      <w:r w:rsidRPr="00B426BC">
        <w:rPr>
          <w:rFonts w:asciiTheme="minorHAnsi" w:eastAsiaTheme="minorEastAsia" w:hAnsiTheme="minorHAnsi"/>
          <w:b w:val="0"/>
          <w:noProof/>
          <w:lang w:eastAsia="en-GB"/>
        </w:rPr>
        <w:tab/>
      </w:r>
      <w:r w:rsidRPr="00A57C0B">
        <w:rPr>
          <w:noProof/>
        </w:rPr>
        <w:t>Aspectos del operador</w:t>
      </w:r>
      <w:r>
        <w:rPr>
          <w:noProof/>
        </w:rPr>
        <w:tab/>
      </w:r>
      <w:r>
        <w:rPr>
          <w:noProof/>
        </w:rPr>
        <w:fldChar w:fldCharType="begin"/>
      </w:r>
      <w:r>
        <w:rPr>
          <w:noProof/>
        </w:rPr>
        <w:instrText xml:space="preserve"> PAGEREF _Toc454893675 \h </w:instrText>
      </w:r>
      <w:r>
        <w:rPr>
          <w:noProof/>
        </w:rPr>
      </w:r>
      <w:r>
        <w:rPr>
          <w:noProof/>
        </w:rPr>
        <w:fldChar w:fldCharType="separate"/>
      </w:r>
      <w:r>
        <w:rPr>
          <w:noProof/>
        </w:rPr>
        <w:t>10</w:t>
      </w:r>
      <w:r>
        <w:rPr>
          <w:noProof/>
        </w:rPr>
        <w:fldChar w:fldCharType="end"/>
      </w:r>
    </w:p>
    <w:p w14:paraId="4DCCE149"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3.1</w:t>
      </w:r>
      <w:r w:rsidRPr="00B426BC">
        <w:rPr>
          <w:rFonts w:asciiTheme="minorHAnsi" w:eastAsiaTheme="minorEastAsia" w:hAnsiTheme="minorHAnsi"/>
          <w:lang w:eastAsia="en-GB"/>
        </w:rPr>
        <w:tab/>
      </w:r>
      <w:r>
        <w:t>Tipo de operador</w:t>
      </w:r>
      <w:r>
        <w:tab/>
      </w:r>
      <w:r>
        <w:fldChar w:fldCharType="begin"/>
      </w:r>
      <w:r>
        <w:instrText xml:space="preserve"> PAGEREF _Toc454893676 \h </w:instrText>
      </w:r>
      <w:r>
        <w:fldChar w:fldCharType="separate"/>
      </w:r>
      <w:r>
        <w:t>10</w:t>
      </w:r>
      <w:r>
        <w:fldChar w:fldCharType="end"/>
      </w:r>
    </w:p>
    <w:p w14:paraId="47EB7A05"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3.2</w:t>
      </w:r>
      <w:r w:rsidRPr="00B426BC">
        <w:rPr>
          <w:rFonts w:asciiTheme="minorHAnsi" w:eastAsiaTheme="minorEastAsia" w:hAnsiTheme="minorHAnsi"/>
          <w:lang w:eastAsia="en-GB"/>
        </w:rPr>
        <w:tab/>
      </w:r>
      <w:r>
        <w:t>Configuración de la red de un operador eficiente</w:t>
      </w:r>
      <w:r>
        <w:tab/>
      </w:r>
      <w:r>
        <w:fldChar w:fldCharType="begin"/>
      </w:r>
      <w:r>
        <w:instrText xml:space="preserve"> PAGEREF _Toc454893677 \h </w:instrText>
      </w:r>
      <w:r>
        <w:fldChar w:fldCharType="separate"/>
      </w:r>
      <w:r>
        <w:t>13</w:t>
      </w:r>
      <w:r>
        <w:fldChar w:fldCharType="end"/>
      </w:r>
    </w:p>
    <w:p w14:paraId="2FB4FD1D"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3.3</w:t>
      </w:r>
      <w:r w:rsidRPr="00B426BC">
        <w:rPr>
          <w:rFonts w:asciiTheme="minorHAnsi" w:eastAsiaTheme="minorEastAsia" w:hAnsiTheme="minorHAnsi"/>
          <w:lang w:eastAsia="en-GB"/>
        </w:rPr>
        <w:tab/>
      </w:r>
      <w:r>
        <w:t>Tamaño de un operador eficiente</w:t>
      </w:r>
      <w:r>
        <w:tab/>
      </w:r>
      <w:r>
        <w:fldChar w:fldCharType="begin"/>
      </w:r>
      <w:r>
        <w:instrText xml:space="preserve"> PAGEREF _Toc454893678 \h </w:instrText>
      </w:r>
      <w:r>
        <w:fldChar w:fldCharType="separate"/>
      </w:r>
      <w:r>
        <w:t>16</w:t>
      </w:r>
      <w:r>
        <w:fldChar w:fldCharType="end"/>
      </w:r>
    </w:p>
    <w:p w14:paraId="4D5F1F92" w14:textId="77777777" w:rsidR="00B426BC" w:rsidRPr="00B426BC" w:rsidRDefault="00B426BC">
      <w:pPr>
        <w:pStyle w:val="TDC1"/>
        <w:rPr>
          <w:rFonts w:asciiTheme="minorHAnsi" w:eastAsiaTheme="minorEastAsia" w:hAnsiTheme="minorHAnsi"/>
          <w:b w:val="0"/>
          <w:noProof/>
          <w:lang w:eastAsia="en-GB"/>
        </w:rPr>
      </w:pPr>
      <w:r w:rsidRPr="00A57C0B">
        <w:rPr>
          <w:noProof/>
        </w:rPr>
        <w:t>4</w:t>
      </w:r>
      <w:r w:rsidRPr="00B426BC">
        <w:rPr>
          <w:rFonts w:asciiTheme="minorHAnsi" w:eastAsiaTheme="minorEastAsia" w:hAnsiTheme="minorHAnsi"/>
          <w:b w:val="0"/>
          <w:noProof/>
          <w:lang w:eastAsia="en-GB"/>
        </w:rPr>
        <w:tab/>
      </w:r>
      <w:r w:rsidRPr="00A57C0B">
        <w:rPr>
          <w:noProof/>
        </w:rPr>
        <w:t>Aspectos relacionados con la tecnología</w:t>
      </w:r>
      <w:r>
        <w:rPr>
          <w:noProof/>
        </w:rPr>
        <w:tab/>
      </w:r>
      <w:r>
        <w:rPr>
          <w:noProof/>
        </w:rPr>
        <w:fldChar w:fldCharType="begin"/>
      </w:r>
      <w:r>
        <w:rPr>
          <w:noProof/>
        </w:rPr>
        <w:instrText xml:space="preserve"> PAGEREF _Toc454893679 \h </w:instrText>
      </w:r>
      <w:r>
        <w:rPr>
          <w:noProof/>
        </w:rPr>
      </w:r>
      <w:r>
        <w:rPr>
          <w:noProof/>
        </w:rPr>
        <w:fldChar w:fldCharType="separate"/>
      </w:r>
      <w:r>
        <w:rPr>
          <w:noProof/>
        </w:rPr>
        <w:t>19</w:t>
      </w:r>
      <w:r>
        <w:rPr>
          <w:noProof/>
        </w:rPr>
        <w:fldChar w:fldCharType="end"/>
      </w:r>
    </w:p>
    <w:p w14:paraId="554AFC4E"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4.1</w:t>
      </w:r>
      <w:r w:rsidRPr="00B426BC">
        <w:rPr>
          <w:rFonts w:asciiTheme="minorHAnsi" w:eastAsiaTheme="minorEastAsia" w:hAnsiTheme="minorHAnsi"/>
          <w:lang w:eastAsia="en-GB"/>
        </w:rPr>
        <w:tab/>
      </w:r>
      <w:r>
        <w:t>Arquitectura moderna de red</w:t>
      </w:r>
      <w:r>
        <w:tab/>
      </w:r>
      <w:r>
        <w:fldChar w:fldCharType="begin"/>
      </w:r>
      <w:r>
        <w:instrText xml:space="preserve"> PAGEREF _Toc454893680 \h </w:instrText>
      </w:r>
      <w:r>
        <w:fldChar w:fldCharType="separate"/>
      </w:r>
      <w:r>
        <w:t>19</w:t>
      </w:r>
      <w:r>
        <w:fldChar w:fldCharType="end"/>
      </w:r>
    </w:p>
    <w:p w14:paraId="38BE1520"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4.2</w:t>
      </w:r>
      <w:r w:rsidRPr="00B426BC">
        <w:rPr>
          <w:rFonts w:asciiTheme="minorHAnsi" w:eastAsiaTheme="minorEastAsia" w:hAnsiTheme="minorHAnsi"/>
          <w:lang w:eastAsia="en-GB"/>
        </w:rPr>
        <w:tab/>
      </w:r>
      <w:r>
        <w:t>Demarcación de las capas de red</w:t>
      </w:r>
      <w:r>
        <w:tab/>
      </w:r>
      <w:r>
        <w:fldChar w:fldCharType="begin"/>
      </w:r>
      <w:r>
        <w:instrText xml:space="preserve"> PAGEREF _Toc454893681 \h </w:instrText>
      </w:r>
      <w:r>
        <w:fldChar w:fldCharType="separate"/>
      </w:r>
      <w:r>
        <w:t>34</w:t>
      </w:r>
      <w:r>
        <w:fldChar w:fldCharType="end"/>
      </w:r>
    </w:p>
    <w:p w14:paraId="6F3D4FD4"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4.3</w:t>
      </w:r>
      <w:r w:rsidRPr="00B426BC">
        <w:rPr>
          <w:rFonts w:asciiTheme="minorHAnsi" w:eastAsiaTheme="minorEastAsia" w:hAnsiTheme="minorHAnsi"/>
          <w:lang w:eastAsia="en-GB"/>
        </w:rPr>
        <w:tab/>
      </w:r>
      <w:r>
        <w:t>Nodos de la red</w:t>
      </w:r>
      <w:r>
        <w:tab/>
      </w:r>
      <w:r>
        <w:fldChar w:fldCharType="begin"/>
      </w:r>
      <w:r>
        <w:instrText xml:space="preserve"> PAGEREF _Toc454893682 \h </w:instrText>
      </w:r>
      <w:r>
        <w:fldChar w:fldCharType="separate"/>
      </w:r>
      <w:r>
        <w:t>35</w:t>
      </w:r>
      <w:r>
        <w:fldChar w:fldCharType="end"/>
      </w:r>
    </w:p>
    <w:p w14:paraId="1E2C64BD" w14:textId="77777777" w:rsidR="00B426BC" w:rsidRPr="00B426BC" w:rsidRDefault="00B426BC">
      <w:pPr>
        <w:pStyle w:val="TDC1"/>
        <w:rPr>
          <w:rFonts w:asciiTheme="minorHAnsi" w:eastAsiaTheme="minorEastAsia" w:hAnsiTheme="minorHAnsi"/>
          <w:b w:val="0"/>
          <w:noProof/>
          <w:lang w:eastAsia="en-GB"/>
        </w:rPr>
      </w:pPr>
      <w:r w:rsidRPr="00A57C0B">
        <w:rPr>
          <w:noProof/>
        </w:rPr>
        <w:t>5</w:t>
      </w:r>
      <w:r w:rsidRPr="00B426BC">
        <w:rPr>
          <w:rFonts w:asciiTheme="minorHAnsi" w:eastAsiaTheme="minorEastAsia" w:hAnsiTheme="minorHAnsi"/>
          <w:b w:val="0"/>
          <w:noProof/>
          <w:lang w:eastAsia="en-GB"/>
        </w:rPr>
        <w:tab/>
      </w:r>
      <w:r w:rsidRPr="00A57C0B">
        <w:rPr>
          <w:noProof/>
        </w:rPr>
        <w:t>Aspectos relacionados con los servicios</w:t>
      </w:r>
      <w:r>
        <w:rPr>
          <w:noProof/>
        </w:rPr>
        <w:tab/>
      </w:r>
      <w:r>
        <w:rPr>
          <w:noProof/>
        </w:rPr>
        <w:fldChar w:fldCharType="begin"/>
      </w:r>
      <w:r>
        <w:rPr>
          <w:noProof/>
        </w:rPr>
        <w:instrText xml:space="preserve"> PAGEREF _Toc454893683 \h </w:instrText>
      </w:r>
      <w:r>
        <w:rPr>
          <w:noProof/>
        </w:rPr>
      </w:r>
      <w:r>
        <w:rPr>
          <w:noProof/>
        </w:rPr>
        <w:fldChar w:fldCharType="separate"/>
      </w:r>
      <w:r>
        <w:rPr>
          <w:noProof/>
        </w:rPr>
        <w:t>39</w:t>
      </w:r>
      <w:r>
        <w:rPr>
          <w:noProof/>
        </w:rPr>
        <w:fldChar w:fldCharType="end"/>
      </w:r>
    </w:p>
    <w:p w14:paraId="28216FB8"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5.1</w:t>
      </w:r>
      <w:r w:rsidRPr="00B426BC">
        <w:rPr>
          <w:rFonts w:asciiTheme="minorHAnsi" w:eastAsiaTheme="minorEastAsia" w:hAnsiTheme="minorHAnsi"/>
          <w:lang w:eastAsia="en-GB"/>
        </w:rPr>
        <w:tab/>
      </w:r>
      <w:r>
        <w:t>Servicios a modelar</w:t>
      </w:r>
      <w:r>
        <w:tab/>
      </w:r>
      <w:r>
        <w:fldChar w:fldCharType="begin"/>
      </w:r>
      <w:r>
        <w:instrText xml:space="preserve"> PAGEREF _Toc454893684 \h </w:instrText>
      </w:r>
      <w:r>
        <w:fldChar w:fldCharType="separate"/>
      </w:r>
      <w:r>
        <w:t>39</w:t>
      </w:r>
      <w:r>
        <w:fldChar w:fldCharType="end"/>
      </w:r>
    </w:p>
    <w:p w14:paraId="25C79D25"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5.2</w:t>
      </w:r>
      <w:r w:rsidRPr="00B426BC">
        <w:rPr>
          <w:rFonts w:asciiTheme="minorHAnsi" w:eastAsiaTheme="minorEastAsia" w:hAnsiTheme="minorHAnsi"/>
          <w:lang w:eastAsia="en-GB"/>
        </w:rPr>
        <w:tab/>
      </w:r>
      <w:r>
        <w:t>Volúmenes de tráfico</w:t>
      </w:r>
      <w:r>
        <w:tab/>
      </w:r>
      <w:r>
        <w:fldChar w:fldCharType="begin"/>
      </w:r>
      <w:r>
        <w:instrText xml:space="preserve"> PAGEREF _Toc454893685 \h </w:instrText>
      </w:r>
      <w:r>
        <w:fldChar w:fldCharType="separate"/>
      </w:r>
      <w:r>
        <w:t>44</w:t>
      </w:r>
      <w:r>
        <w:fldChar w:fldCharType="end"/>
      </w:r>
    </w:p>
    <w:p w14:paraId="75E449DD"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5.3</w:t>
      </w:r>
      <w:r w:rsidRPr="00B426BC">
        <w:rPr>
          <w:rFonts w:asciiTheme="minorHAnsi" w:eastAsiaTheme="minorEastAsia" w:hAnsiTheme="minorHAnsi"/>
          <w:lang w:eastAsia="en-GB"/>
        </w:rPr>
        <w:tab/>
      </w:r>
      <w:r>
        <w:t>Costos mayoristas o minoristas</w:t>
      </w:r>
      <w:r>
        <w:tab/>
      </w:r>
      <w:r>
        <w:fldChar w:fldCharType="begin"/>
      </w:r>
      <w:r>
        <w:instrText xml:space="preserve"> PAGEREF _Toc454893686 \h </w:instrText>
      </w:r>
      <w:r>
        <w:fldChar w:fldCharType="separate"/>
      </w:r>
      <w:r>
        <w:t>44</w:t>
      </w:r>
      <w:r>
        <w:fldChar w:fldCharType="end"/>
      </w:r>
    </w:p>
    <w:p w14:paraId="51F290AE" w14:textId="77777777" w:rsidR="00B426BC" w:rsidRPr="00B426BC" w:rsidRDefault="00B426BC">
      <w:pPr>
        <w:pStyle w:val="TDC1"/>
        <w:rPr>
          <w:rFonts w:asciiTheme="minorHAnsi" w:eastAsiaTheme="minorEastAsia" w:hAnsiTheme="minorHAnsi"/>
          <w:b w:val="0"/>
          <w:noProof/>
          <w:lang w:eastAsia="en-GB"/>
        </w:rPr>
      </w:pPr>
      <w:r w:rsidRPr="00A57C0B">
        <w:rPr>
          <w:noProof/>
          <w:spacing w:val="-4"/>
        </w:rPr>
        <w:t>6</w:t>
      </w:r>
      <w:r w:rsidRPr="00B426BC">
        <w:rPr>
          <w:rFonts w:asciiTheme="minorHAnsi" w:eastAsiaTheme="minorEastAsia" w:hAnsiTheme="minorHAnsi"/>
          <w:b w:val="0"/>
          <w:noProof/>
          <w:lang w:eastAsia="en-GB"/>
        </w:rPr>
        <w:tab/>
      </w:r>
      <w:r w:rsidRPr="00A57C0B">
        <w:rPr>
          <w:noProof/>
          <w:spacing w:val="-4"/>
        </w:rPr>
        <w:t>Aspectos relacionados con la implementación de los modelos</w:t>
      </w:r>
      <w:r>
        <w:rPr>
          <w:noProof/>
        </w:rPr>
        <w:tab/>
      </w:r>
      <w:r>
        <w:rPr>
          <w:noProof/>
        </w:rPr>
        <w:fldChar w:fldCharType="begin"/>
      </w:r>
      <w:r>
        <w:rPr>
          <w:noProof/>
        </w:rPr>
        <w:instrText xml:space="preserve"> PAGEREF _Toc454893687 \h </w:instrText>
      </w:r>
      <w:r>
        <w:rPr>
          <w:noProof/>
        </w:rPr>
      </w:r>
      <w:r>
        <w:rPr>
          <w:noProof/>
        </w:rPr>
        <w:fldChar w:fldCharType="separate"/>
      </w:r>
      <w:r>
        <w:rPr>
          <w:noProof/>
        </w:rPr>
        <w:t>46</w:t>
      </w:r>
      <w:r>
        <w:rPr>
          <w:noProof/>
        </w:rPr>
        <w:fldChar w:fldCharType="end"/>
      </w:r>
    </w:p>
    <w:p w14:paraId="61A5448B"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6.1</w:t>
      </w:r>
      <w:r w:rsidRPr="00B426BC">
        <w:rPr>
          <w:rFonts w:asciiTheme="minorHAnsi" w:eastAsiaTheme="minorEastAsia" w:hAnsiTheme="minorHAnsi"/>
          <w:lang w:eastAsia="en-GB"/>
        </w:rPr>
        <w:tab/>
      </w:r>
      <w:r>
        <w:t>Selección del incremento de servicio</w:t>
      </w:r>
      <w:r>
        <w:tab/>
      </w:r>
      <w:r>
        <w:fldChar w:fldCharType="begin"/>
      </w:r>
      <w:r>
        <w:instrText xml:space="preserve"> PAGEREF _Toc454893688 \h </w:instrText>
      </w:r>
      <w:r>
        <w:fldChar w:fldCharType="separate"/>
      </w:r>
      <w:r>
        <w:t>46</w:t>
      </w:r>
      <w:r>
        <w:fldChar w:fldCharType="end"/>
      </w:r>
    </w:p>
    <w:p w14:paraId="1C436077"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6.2</w:t>
      </w:r>
      <w:r w:rsidRPr="00B426BC">
        <w:rPr>
          <w:rFonts w:asciiTheme="minorHAnsi" w:eastAsiaTheme="minorEastAsia" w:hAnsiTheme="minorHAnsi"/>
          <w:lang w:eastAsia="en-GB"/>
        </w:rPr>
        <w:tab/>
      </w:r>
      <w:r>
        <w:t>Depreciación</w:t>
      </w:r>
      <w:r>
        <w:tab/>
      </w:r>
      <w:r>
        <w:fldChar w:fldCharType="begin"/>
      </w:r>
      <w:r>
        <w:instrText xml:space="preserve"> PAGEREF _Toc454893689 \h </w:instrText>
      </w:r>
      <w:r>
        <w:fldChar w:fldCharType="separate"/>
      </w:r>
      <w:r>
        <w:t>51</w:t>
      </w:r>
      <w:r>
        <w:fldChar w:fldCharType="end"/>
      </w:r>
    </w:p>
    <w:p w14:paraId="5FD87225"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6.3</w:t>
      </w:r>
      <w:r w:rsidRPr="00B426BC">
        <w:rPr>
          <w:rFonts w:asciiTheme="minorHAnsi" w:eastAsiaTheme="minorEastAsia" w:hAnsiTheme="minorHAnsi"/>
          <w:lang w:eastAsia="en-GB"/>
        </w:rPr>
        <w:tab/>
      </w:r>
      <w:r>
        <w:t>Costo de capital promedio ponderado (CCPP)</w:t>
      </w:r>
      <w:r>
        <w:tab/>
      </w:r>
      <w:r>
        <w:fldChar w:fldCharType="begin"/>
      </w:r>
      <w:r>
        <w:instrText xml:space="preserve"> PAGEREF _Toc454893690 \h </w:instrText>
      </w:r>
      <w:r>
        <w:fldChar w:fldCharType="separate"/>
      </w:r>
      <w:r>
        <w:t>54</w:t>
      </w:r>
      <w:r>
        <w:fldChar w:fldCharType="end"/>
      </w:r>
    </w:p>
    <w:p w14:paraId="0D9FE922" w14:textId="77777777" w:rsidR="00B426BC" w:rsidRPr="00B426BC" w:rsidRDefault="00B426BC">
      <w:pPr>
        <w:pStyle w:val="TDC2"/>
        <w:rPr>
          <w:rFonts w:asciiTheme="minorHAnsi" w:eastAsiaTheme="minorEastAsia" w:hAnsiTheme="minorHAnsi"/>
          <w:lang w:eastAsia="en-GB"/>
        </w:rPr>
      </w:pPr>
      <w:r w:rsidRPr="00A57C0B">
        <w:rPr>
          <w:rFonts w:ascii="Times New Roman Bold" w:hAnsi="Times New Roman Bold"/>
        </w:rPr>
        <w:t>6.4</w:t>
      </w:r>
      <w:r w:rsidRPr="00B426BC">
        <w:rPr>
          <w:rFonts w:asciiTheme="minorHAnsi" w:eastAsiaTheme="minorEastAsia" w:hAnsiTheme="minorHAnsi"/>
          <w:lang w:eastAsia="en-GB"/>
        </w:rPr>
        <w:tab/>
      </w:r>
      <w:r>
        <w:t xml:space="preserve">Aplicación de un </w:t>
      </w:r>
      <w:r w:rsidRPr="00A57C0B">
        <w:rPr>
          <w:i/>
        </w:rPr>
        <w:t>mark-up</w:t>
      </w:r>
      <w:r>
        <w:tab/>
      </w:r>
      <w:r>
        <w:fldChar w:fldCharType="begin"/>
      </w:r>
      <w:r>
        <w:instrText xml:space="preserve"> PAGEREF _Toc454893691 \h </w:instrText>
      </w:r>
      <w:r>
        <w:fldChar w:fldCharType="separate"/>
      </w:r>
      <w:r>
        <w:t>60</w:t>
      </w:r>
      <w:r>
        <w:fldChar w:fldCharType="end"/>
      </w:r>
    </w:p>
    <w:p w14:paraId="73AA90F4" w14:textId="77777777" w:rsidR="00B426BC" w:rsidRPr="00B426BC" w:rsidRDefault="00DF3B88">
      <w:pPr>
        <w:pStyle w:val="TDC2"/>
        <w:tabs>
          <w:tab w:val="left" w:pos="1100"/>
        </w:tabs>
        <w:rPr>
          <w:rFonts w:asciiTheme="minorHAnsi" w:eastAsiaTheme="minorEastAsia" w:hAnsiTheme="minorHAnsi"/>
          <w:lang w:eastAsia="en-GB"/>
        </w:rPr>
      </w:pPr>
      <w:r w:rsidRPr="00E94D8A">
        <w:fldChar w:fldCharType="end"/>
      </w:r>
      <w:r w:rsidRPr="00E94D8A">
        <w:fldChar w:fldCharType="begin"/>
      </w:r>
      <w:r w:rsidRPr="00E94D8A">
        <w:instrText xml:space="preserve"> TOC \t "Annex 1,2" \n </w:instrText>
      </w:r>
      <w:r w:rsidRPr="00E94D8A">
        <w:fldChar w:fldCharType="separate"/>
      </w:r>
      <w:r w:rsidR="00B426BC" w:rsidRPr="006C47F4">
        <w:t>Anexo A</w:t>
      </w:r>
      <w:r w:rsidR="00B426BC" w:rsidRPr="00B426BC">
        <w:rPr>
          <w:rFonts w:asciiTheme="minorHAnsi" w:eastAsiaTheme="minorEastAsia" w:hAnsiTheme="minorHAnsi"/>
          <w:lang w:eastAsia="en-GB"/>
        </w:rPr>
        <w:tab/>
      </w:r>
      <w:r w:rsidR="00B426BC" w:rsidRPr="006C47F4">
        <w:t>Aplicación de la depreciación económica</w:t>
      </w:r>
    </w:p>
    <w:p w14:paraId="1D891149" w14:textId="77777777" w:rsidR="00DF3B88" w:rsidRPr="00E94D8A" w:rsidRDefault="00DF3B88" w:rsidP="00A37365">
      <w:pPr>
        <w:pStyle w:val="TDC2"/>
        <w:tabs>
          <w:tab w:val="left" w:pos="1100"/>
        </w:tabs>
        <w:rPr>
          <w:noProof w:val="0"/>
        </w:rPr>
      </w:pPr>
      <w:r w:rsidRPr="00E94D8A">
        <w:rPr>
          <w:noProof w:val="0"/>
        </w:rPr>
        <w:fldChar w:fldCharType="end"/>
      </w:r>
    </w:p>
    <w:p w14:paraId="2E68E839" w14:textId="77777777" w:rsidR="000A0B66" w:rsidRPr="00E94D8A" w:rsidRDefault="000A0B66" w:rsidP="000A0B66"/>
    <w:p w14:paraId="09A1B039" w14:textId="77777777" w:rsidR="000A0B66" w:rsidRPr="00E94D8A" w:rsidRDefault="000A0B66">
      <w:pPr>
        <w:spacing w:after="200" w:line="0" w:lineRule="auto"/>
        <w:jc w:val="left"/>
      </w:pPr>
      <w:r w:rsidRPr="00E94D8A">
        <w:br w:type="page"/>
      </w:r>
    </w:p>
    <w:p w14:paraId="1AF22232" w14:textId="77777777" w:rsidR="00C52B83" w:rsidRPr="00E94D8A" w:rsidRDefault="00C52B83" w:rsidP="00C52B83">
      <w:pPr>
        <w:pStyle w:val="B1"/>
      </w:pPr>
      <w:r w:rsidRPr="00E94D8A">
        <w:lastRenderedPageBreak/>
        <w:t>Copyright ©</w:t>
      </w:r>
      <w:r w:rsidR="00115268">
        <w:t xml:space="preserve"> 201</w:t>
      </w:r>
      <w:r w:rsidR="00AA2CCF">
        <w:t>6</w:t>
      </w:r>
      <w:r w:rsidRPr="00E94D8A">
        <w:t xml:space="preserve">. </w:t>
      </w:r>
      <w:r w:rsidR="006871C4" w:rsidRPr="006871C4">
        <w:t xml:space="preserve">Todo el material incluido en el presente documento se rige por el contrato entre </w:t>
      </w:r>
      <w:proofErr w:type="spellStart"/>
      <w:r w:rsidR="006871C4" w:rsidRPr="006871C4">
        <w:t>Analysys</w:t>
      </w:r>
      <w:proofErr w:type="spellEnd"/>
      <w:r w:rsidR="006871C4" w:rsidRPr="006871C4">
        <w:t xml:space="preserve"> Mason y </w:t>
      </w:r>
      <w:r w:rsidR="00150BE8">
        <w:t>el IFT</w:t>
      </w:r>
      <w:r w:rsidR="006871C4" w:rsidRPr="006871C4">
        <w:t xml:space="preserve"> y se utilizará solamente para los fines indicados en el contrato ent</w:t>
      </w:r>
      <w:r w:rsidR="006871C4">
        <w:t xml:space="preserve">re </w:t>
      </w:r>
      <w:proofErr w:type="spellStart"/>
      <w:r w:rsidR="006871C4">
        <w:t>Analysys</w:t>
      </w:r>
      <w:proofErr w:type="spellEnd"/>
      <w:r w:rsidR="006871C4">
        <w:t xml:space="preserve"> Mason y </w:t>
      </w:r>
      <w:r w:rsidR="00150BE8">
        <w:t>el IFT</w:t>
      </w:r>
      <w:r w:rsidR="006871C4">
        <w:t>.</w:t>
      </w:r>
    </w:p>
    <w:p w14:paraId="5616A770" w14:textId="77777777" w:rsidR="006E361B" w:rsidRPr="00E94D8A" w:rsidRDefault="006E361B" w:rsidP="00C52B83">
      <w:pPr>
        <w:pStyle w:val="Titleaddress"/>
      </w:pPr>
    </w:p>
    <w:p w14:paraId="3E225445" w14:textId="77777777" w:rsidR="006E361B" w:rsidRPr="00E94D8A" w:rsidRDefault="006E361B" w:rsidP="00C52B83">
      <w:pPr>
        <w:pStyle w:val="Titleaddress"/>
      </w:pPr>
      <w:proofErr w:type="spellStart"/>
      <w:r w:rsidRPr="00E94D8A">
        <w:t>Analysys</w:t>
      </w:r>
      <w:proofErr w:type="spellEnd"/>
      <w:r w:rsidRPr="00E94D8A">
        <w:t xml:space="preserve"> Mason </w:t>
      </w:r>
      <w:proofErr w:type="spellStart"/>
      <w:r w:rsidRPr="00E94D8A">
        <w:t>Limited</w:t>
      </w:r>
      <w:proofErr w:type="spellEnd"/>
      <w:r w:rsidRPr="00E94D8A">
        <w:t xml:space="preserve"> Sucursal en España</w:t>
      </w:r>
    </w:p>
    <w:p w14:paraId="4607BA13" w14:textId="77777777" w:rsidR="006E361B" w:rsidRPr="00E94D8A" w:rsidRDefault="006E361B" w:rsidP="00C52B83">
      <w:pPr>
        <w:pStyle w:val="Titleaddress"/>
      </w:pPr>
      <w:r w:rsidRPr="00E94D8A">
        <w:t>José Abascal 44 4°</w:t>
      </w:r>
    </w:p>
    <w:p w14:paraId="317A5108" w14:textId="77777777" w:rsidR="006E361B" w:rsidRPr="00E94D8A" w:rsidRDefault="006E361B" w:rsidP="00C52B83">
      <w:pPr>
        <w:pStyle w:val="Titleaddress"/>
      </w:pPr>
      <w:r w:rsidRPr="00E94D8A">
        <w:t>28003 Madrid</w:t>
      </w:r>
    </w:p>
    <w:p w14:paraId="3C83697D" w14:textId="77777777" w:rsidR="006E361B" w:rsidRPr="00E94D8A" w:rsidRDefault="006E361B" w:rsidP="00C52B83">
      <w:pPr>
        <w:pStyle w:val="Titleaddress"/>
      </w:pPr>
      <w:r w:rsidRPr="00E94D8A">
        <w:t>España</w:t>
      </w:r>
    </w:p>
    <w:p w14:paraId="1872A220" w14:textId="77777777" w:rsidR="006E361B" w:rsidRPr="00E94D8A" w:rsidRDefault="006E361B" w:rsidP="00C52B83">
      <w:pPr>
        <w:pStyle w:val="Titleaddress"/>
      </w:pPr>
      <w:r w:rsidRPr="00E94D8A">
        <w:t>Tel: +34 91 399 5016</w:t>
      </w:r>
    </w:p>
    <w:p w14:paraId="00C26492" w14:textId="77777777" w:rsidR="006E361B" w:rsidRPr="0046061B" w:rsidRDefault="006E361B" w:rsidP="00C52B83">
      <w:pPr>
        <w:pStyle w:val="Titleaddress"/>
        <w:rPr>
          <w:lang w:val="en-GB"/>
        </w:rPr>
      </w:pPr>
      <w:r w:rsidRPr="0046061B">
        <w:rPr>
          <w:lang w:val="en-GB"/>
        </w:rPr>
        <w:t>Fax: +34 91 451 8071</w:t>
      </w:r>
    </w:p>
    <w:p w14:paraId="3C98D855" w14:textId="77777777" w:rsidR="006E361B" w:rsidRPr="0046061B" w:rsidRDefault="006E361B" w:rsidP="00C52B83">
      <w:pPr>
        <w:pStyle w:val="Titleaddress"/>
        <w:rPr>
          <w:lang w:val="en-GB"/>
        </w:rPr>
      </w:pPr>
      <w:r w:rsidRPr="0046061B">
        <w:rPr>
          <w:lang w:val="en-GB"/>
        </w:rPr>
        <w:t>madrid@analysysmason.com</w:t>
      </w:r>
    </w:p>
    <w:p w14:paraId="4EAFFD8F" w14:textId="77777777" w:rsidR="006E361B" w:rsidRPr="003B2D67" w:rsidRDefault="006E361B" w:rsidP="00C52B83">
      <w:pPr>
        <w:pStyle w:val="Titleaddress"/>
        <w:rPr>
          <w:lang w:val="en-GB"/>
        </w:rPr>
      </w:pPr>
      <w:r w:rsidRPr="003B2D67">
        <w:rPr>
          <w:lang w:val="en-GB"/>
        </w:rPr>
        <w:t>www.analysysmason.com</w:t>
      </w:r>
    </w:p>
    <w:p w14:paraId="509F4398" w14:textId="77777777" w:rsidR="006E361B" w:rsidRPr="003B2D67" w:rsidRDefault="006E361B" w:rsidP="00C52B83">
      <w:pPr>
        <w:pStyle w:val="Titleaddress"/>
        <w:rPr>
          <w:lang w:val="en-GB"/>
        </w:rPr>
      </w:pPr>
    </w:p>
    <w:p w14:paraId="08F10699" w14:textId="77777777" w:rsidR="006E361B" w:rsidRPr="003B2D67" w:rsidRDefault="006E361B" w:rsidP="00C52B83">
      <w:pPr>
        <w:pStyle w:val="Titleaddress"/>
        <w:rPr>
          <w:lang w:val="en-GB"/>
        </w:rPr>
      </w:pPr>
      <w:proofErr w:type="spellStart"/>
      <w:r w:rsidRPr="003B2D67">
        <w:rPr>
          <w:lang w:val="en-GB"/>
        </w:rPr>
        <w:t>Sede</w:t>
      </w:r>
      <w:proofErr w:type="spellEnd"/>
      <w:r w:rsidRPr="003B2D67">
        <w:rPr>
          <w:lang w:val="en-GB"/>
        </w:rPr>
        <w:t xml:space="preserve"> Central: </w:t>
      </w:r>
      <w:proofErr w:type="spellStart"/>
      <w:r w:rsidRPr="003B2D67">
        <w:rPr>
          <w:lang w:val="en-GB"/>
        </w:rPr>
        <w:t>Analysys</w:t>
      </w:r>
      <w:proofErr w:type="spellEnd"/>
      <w:r w:rsidRPr="003B2D67">
        <w:rPr>
          <w:lang w:val="en-GB"/>
        </w:rPr>
        <w:t xml:space="preserve"> Mason Limited</w:t>
      </w:r>
    </w:p>
    <w:p w14:paraId="2196D009" w14:textId="77777777" w:rsidR="006E361B" w:rsidRPr="003B2D67" w:rsidRDefault="006E361B" w:rsidP="00C52B83">
      <w:pPr>
        <w:pStyle w:val="Titleaddress"/>
        <w:rPr>
          <w:lang w:val="en-GB"/>
        </w:rPr>
      </w:pPr>
      <w:r w:rsidRPr="003B2D67">
        <w:rPr>
          <w:lang w:val="en-GB"/>
        </w:rPr>
        <w:t>Bush House, North West Wing, Aldwych</w:t>
      </w:r>
    </w:p>
    <w:p w14:paraId="31B7A271" w14:textId="77777777" w:rsidR="006E361B" w:rsidRPr="003B2D67" w:rsidRDefault="006E361B" w:rsidP="00C52B83">
      <w:pPr>
        <w:pStyle w:val="Titleaddress"/>
        <w:rPr>
          <w:lang w:val="en-GB"/>
        </w:rPr>
      </w:pPr>
      <w:r w:rsidRPr="003B2D67">
        <w:rPr>
          <w:lang w:val="en-GB"/>
        </w:rPr>
        <w:t xml:space="preserve">London WC2B 4PJ, UK </w:t>
      </w:r>
    </w:p>
    <w:p w14:paraId="6CDF933A" w14:textId="77777777" w:rsidR="0080489E" w:rsidRPr="003B2D67" w:rsidRDefault="006E361B" w:rsidP="00C52B83">
      <w:pPr>
        <w:pStyle w:val="Titleaddress"/>
        <w:rPr>
          <w:lang w:val="en-GB"/>
        </w:rPr>
      </w:pPr>
      <w:r w:rsidRPr="003B2D67">
        <w:rPr>
          <w:lang w:val="en-GB"/>
        </w:rPr>
        <w:t>No. 5177472, C.I.F. W0066133J</w:t>
      </w:r>
    </w:p>
    <w:p w14:paraId="58201187" w14:textId="77777777" w:rsidR="0080489E" w:rsidRPr="003B2D67" w:rsidRDefault="0080489E" w:rsidP="0080489E">
      <w:pPr>
        <w:rPr>
          <w:lang w:val="en-GB"/>
        </w:rPr>
      </w:pPr>
    </w:p>
    <w:p w14:paraId="614D52D0" w14:textId="77777777" w:rsidR="007C6FB3" w:rsidRPr="003B2D67" w:rsidRDefault="007C6FB3" w:rsidP="007C6FB3">
      <w:pPr>
        <w:rPr>
          <w:lang w:val="en-GB"/>
        </w:rPr>
        <w:sectPr w:rsidR="007C6FB3" w:rsidRPr="003B2D67" w:rsidSect="00D42DA0">
          <w:headerReference w:type="even" r:id="rId11"/>
          <w:headerReference w:type="default" r:id="rId12"/>
          <w:footerReference w:type="even" r:id="rId13"/>
          <w:footerReference w:type="default" r:id="rId14"/>
          <w:headerReference w:type="first" r:id="rId15"/>
          <w:footerReference w:type="first" r:id="rId16"/>
          <w:pgSz w:w="11907" w:h="16840" w:code="9"/>
          <w:pgMar w:top="1418" w:right="1588" w:bottom="1418" w:left="1588" w:header="567" w:footer="567" w:gutter="0"/>
          <w:pgNumType w:fmt="lowerRoman" w:start="1"/>
          <w:cols w:space="720"/>
          <w:titlePg/>
          <w:docGrid w:linePitch="299"/>
        </w:sectPr>
      </w:pPr>
      <w:bookmarkStart w:id="1" w:name="SectionReportContents"/>
    </w:p>
    <w:p w14:paraId="6E6EEF8B" w14:textId="77777777" w:rsidR="00C57384" w:rsidRDefault="00C52B83" w:rsidP="00587D3F">
      <w:pPr>
        <w:pStyle w:val="Ttulo1"/>
        <w:spacing w:after="360"/>
        <w:rPr>
          <w:snapToGrid w:val="0"/>
          <w:lang w:val="es-ES"/>
        </w:rPr>
      </w:pPr>
      <w:bookmarkStart w:id="2" w:name="_Toc197938434"/>
      <w:bookmarkStart w:id="3" w:name="_Toc454893664"/>
      <w:bookmarkEnd w:id="1"/>
      <w:r w:rsidRPr="00E94D8A">
        <w:rPr>
          <w:snapToGrid w:val="0"/>
          <w:lang w:val="es-ES"/>
        </w:rPr>
        <w:lastRenderedPageBreak/>
        <w:t>Introducción</w:t>
      </w:r>
      <w:bookmarkEnd w:id="2"/>
      <w:bookmarkEnd w:id="3"/>
    </w:p>
    <w:p w14:paraId="30E89C9C" w14:textId="77777777" w:rsidR="006E361B" w:rsidRPr="00E94D8A" w:rsidRDefault="006A7A8B" w:rsidP="00587D3F">
      <w:bookmarkStart w:id="4" w:name="SectionReportBody"/>
      <w:r>
        <w:t>El Instituto Federal de Telecomunicaciones</w:t>
      </w:r>
      <w:r w:rsidR="006E361B" w:rsidRPr="00E94D8A">
        <w:rPr>
          <w:rFonts w:cs="Times New Roman"/>
        </w:rPr>
        <w:t xml:space="preserve"> (‘</w:t>
      </w:r>
      <w:r>
        <w:rPr>
          <w:rFonts w:cs="Times New Roman"/>
        </w:rPr>
        <w:t>IFT</w:t>
      </w:r>
      <w:r w:rsidRPr="00E94D8A">
        <w:rPr>
          <w:rFonts w:cs="Times New Roman"/>
        </w:rPr>
        <w:t>’</w:t>
      </w:r>
      <w:r w:rsidR="006E361B" w:rsidRPr="00E94D8A">
        <w:rPr>
          <w:rFonts w:cs="Times New Roman"/>
        </w:rPr>
        <w:t xml:space="preserve">) </w:t>
      </w:r>
      <w:r w:rsidR="006E361B" w:rsidRPr="00E94D8A">
        <w:t xml:space="preserve">seleccionó a </w:t>
      </w:r>
      <w:proofErr w:type="spellStart"/>
      <w:r w:rsidR="006E361B" w:rsidRPr="00E94D8A">
        <w:t>Analysys</w:t>
      </w:r>
      <w:proofErr w:type="spellEnd"/>
      <w:r w:rsidR="006E361B" w:rsidRPr="00E94D8A">
        <w:t xml:space="preserve"> Mason </w:t>
      </w:r>
      <w:proofErr w:type="spellStart"/>
      <w:r w:rsidR="006E361B" w:rsidRPr="00E94D8A">
        <w:t>Limited</w:t>
      </w:r>
      <w:proofErr w:type="spellEnd"/>
      <w:r w:rsidR="006E361B" w:rsidRPr="00E94D8A">
        <w:t xml:space="preserve"> (‘</w:t>
      </w:r>
      <w:proofErr w:type="spellStart"/>
      <w:r w:rsidR="006E361B" w:rsidRPr="00E94D8A">
        <w:t>Analysys</w:t>
      </w:r>
      <w:proofErr w:type="spellEnd"/>
      <w:r w:rsidR="006E361B" w:rsidRPr="00E94D8A">
        <w:t xml:space="preserve"> Mason’) para </w:t>
      </w:r>
      <w:r w:rsidR="00E6325A">
        <w:t xml:space="preserve">el desarrollo </w:t>
      </w:r>
      <w:r w:rsidR="006E361B" w:rsidRPr="00E94D8A">
        <w:t>de</w:t>
      </w:r>
      <w:r w:rsidR="00EB5ECB">
        <w:t xml:space="preserve"> los</w:t>
      </w:r>
      <w:r w:rsidR="006E361B" w:rsidRPr="00E94D8A">
        <w:t xml:space="preserve"> modelos de costos incrementales totales promedio de largo plazo (CITLP)</w:t>
      </w:r>
      <w:r w:rsidR="00EB5ECB">
        <w:t xml:space="preserve"> </w:t>
      </w:r>
      <w:r w:rsidR="00BE1C30">
        <w:t xml:space="preserve">y </w:t>
      </w:r>
      <w:r w:rsidR="00EB5ECB">
        <w:t xml:space="preserve">la construcción de los modelos </w:t>
      </w:r>
      <w:r w:rsidR="00BE1C30">
        <w:t>de costos incrementales de largo plazo puros (CILPP)</w:t>
      </w:r>
      <w:r w:rsidR="006E361B" w:rsidRPr="00E94D8A">
        <w:t xml:space="preserve"> elaborados de manera ascendente (‘</w:t>
      </w:r>
      <w:proofErr w:type="spellStart"/>
      <w:r w:rsidR="006E361B" w:rsidRPr="00E94D8A">
        <w:rPr>
          <w:i/>
          <w:iCs/>
        </w:rPr>
        <w:t>bottom</w:t>
      </w:r>
      <w:proofErr w:type="spellEnd"/>
      <w:r w:rsidR="006E361B" w:rsidRPr="00E94D8A">
        <w:rPr>
          <w:i/>
          <w:iCs/>
        </w:rPr>
        <w:t>-up</w:t>
      </w:r>
      <w:r w:rsidR="006E361B" w:rsidRPr="00E94D8A">
        <w:t>’, en inglés) con el fin de comprender la estructura de</w:t>
      </w:r>
      <w:r w:rsidR="006E361B" w:rsidRPr="00E94D8A">
        <w:rPr>
          <w:color w:val="0000FF"/>
        </w:rPr>
        <w:t xml:space="preserve"> </w:t>
      </w:r>
      <w:r w:rsidR="006E361B" w:rsidRPr="00E94D8A">
        <w:t>costos de los siguientes servicios en México:</w:t>
      </w:r>
    </w:p>
    <w:p w14:paraId="66CCE2EA" w14:textId="77777777" w:rsidR="006E361B" w:rsidRPr="00E94D8A" w:rsidRDefault="006E361B" w:rsidP="00587D3F">
      <w:pPr>
        <w:pStyle w:val="ListBulletCompact"/>
      </w:pPr>
      <w:r w:rsidRPr="00E94D8A">
        <w:t>terminación de tráfico de voz en redes de telefonía móvil</w:t>
      </w:r>
    </w:p>
    <w:p w14:paraId="5D2A0778" w14:textId="77777777" w:rsidR="006E361B" w:rsidRDefault="006E361B" w:rsidP="00587D3F">
      <w:pPr>
        <w:pStyle w:val="ListBulletCompact"/>
      </w:pPr>
      <w:proofErr w:type="spellStart"/>
      <w:r w:rsidRPr="00E94D8A">
        <w:t>originación</w:t>
      </w:r>
      <w:proofErr w:type="spellEnd"/>
      <w:r w:rsidRPr="00E94D8A">
        <w:t xml:space="preserve"> y terminación de tráfico de voz en redes de telefonía fija</w:t>
      </w:r>
    </w:p>
    <w:p w14:paraId="306D65FB" w14:textId="77777777" w:rsidR="00FF299A" w:rsidRDefault="00FF299A" w:rsidP="00587D3F">
      <w:pPr>
        <w:pStyle w:val="ListBulletCompact"/>
      </w:pPr>
      <w:r>
        <w:t>servicios de transito</w:t>
      </w:r>
      <w:r w:rsidR="00EB5ECB">
        <w:t xml:space="preserve"> fij</w:t>
      </w:r>
      <w:r w:rsidR="00AC1EBC">
        <w:t xml:space="preserve">o </w:t>
      </w:r>
      <w:r w:rsidR="00E6325A">
        <w:t>y móvil</w:t>
      </w:r>
    </w:p>
    <w:p w14:paraId="6FEE0A6C" w14:textId="77777777" w:rsidR="006E361B" w:rsidRPr="00E94D8A" w:rsidRDefault="00CC6A09" w:rsidP="00A5498D">
      <w:pPr>
        <w:pStyle w:val="Listaconvietas"/>
      </w:pPr>
      <w:r>
        <w:t>terminación de mensajes cortos (</w:t>
      </w:r>
      <w:r w:rsidR="00FF299A">
        <w:t>SMS</w:t>
      </w:r>
      <w:r>
        <w:t>)</w:t>
      </w:r>
    </w:p>
    <w:p w14:paraId="1A12D2F0" w14:textId="7FB555C5" w:rsidR="006E361B" w:rsidRPr="00E94D8A" w:rsidRDefault="0037639D" w:rsidP="00587D3F">
      <w:r>
        <w:t>Este</w:t>
      </w:r>
      <w:r w:rsidR="006E361B" w:rsidRPr="00E94D8A">
        <w:t xml:space="preserve"> informe presenta el enfoque conceptual </w:t>
      </w:r>
      <w:r>
        <w:t>propuesto</w:t>
      </w:r>
      <w:r w:rsidR="006E361B" w:rsidRPr="00E94D8A">
        <w:t xml:space="preserve"> para </w:t>
      </w:r>
      <w:r>
        <w:t>el desarrollo de los</w:t>
      </w:r>
      <w:r w:rsidR="006E361B" w:rsidRPr="00E94D8A">
        <w:t xml:space="preserve"> modelos </w:t>
      </w:r>
      <w:r w:rsidR="0057665B">
        <w:t>de costos incrementales de largo plazo elaborados de manera ascendente (también conocidos como “</w:t>
      </w:r>
      <w:r w:rsidR="006E361B" w:rsidRPr="00E94D8A">
        <w:t>BULRIC</w:t>
      </w:r>
      <w:r w:rsidR="0057665B">
        <w:t>” por sus siglas en inglés)</w:t>
      </w:r>
      <w:r w:rsidR="006E361B" w:rsidRPr="00E94D8A">
        <w:t>.</w:t>
      </w:r>
    </w:p>
    <w:p w14:paraId="5F3304D9" w14:textId="77777777" w:rsidR="00C52B83" w:rsidRPr="00E94D8A" w:rsidRDefault="006E361B" w:rsidP="00A37365">
      <w:pPr>
        <w:pStyle w:val="Ttulo2"/>
      </w:pPr>
      <w:bookmarkStart w:id="5" w:name="_Toc454893665"/>
      <w:r w:rsidRPr="00E94D8A">
        <w:t>Alcance del informe</w:t>
      </w:r>
      <w:bookmarkEnd w:id="5"/>
    </w:p>
    <w:p w14:paraId="434DD37F" w14:textId="400341E8" w:rsidR="006E361B" w:rsidRPr="00E94D8A" w:rsidRDefault="006E361B" w:rsidP="00587D3F">
      <w:pPr>
        <w:spacing w:line="300" w:lineRule="atLeast"/>
      </w:pPr>
      <w:r w:rsidRPr="00E94D8A">
        <w:t>Los principios conceptuales de relevancia para el desarrollo de los modelos de costos que se abordan en el presente documento se clasifican en función de cuatro dimensiones clave para la determinación de los costos de los servicios modelados: operador, tecnología, servicios e implementación, tal y como se muestra en la</w:t>
      </w:r>
      <w:r w:rsidR="001671D4" w:rsidRPr="00E94D8A">
        <w:t xml:space="preserve"> </w:t>
      </w:r>
      <w:r w:rsidR="001671D4" w:rsidRPr="00E94D8A">
        <w:fldChar w:fldCharType="begin"/>
      </w:r>
      <w:r w:rsidR="001671D4" w:rsidRPr="00E94D8A">
        <w:instrText xml:space="preserve"> REF _Ref321211092 \h </w:instrText>
      </w:r>
      <w:r w:rsidR="001671D4" w:rsidRPr="00E94D8A">
        <w:fldChar w:fldCharType="separate"/>
      </w:r>
      <w:r w:rsidR="00B426BC" w:rsidRPr="00E94D8A">
        <w:t>Figura </w:t>
      </w:r>
      <w:r w:rsidR="00B426BC">
        <w:rPr>
          <w:noProof/>
        </w:rPr>
        <w:t>1</w:t>
      </w:r>
      <w:r w:rsidR="00B426BC" w:rsidRPr="00E94D8A">
        <w:t>.</w:t>
      </w:r>
      <w:r w:rsidR="00B426BC">
        <w:rPr>
          <w:noProof/>
        </w:rPr>
        <w:t>1</w:t>
      </w:r>
      <w:r w:rsidR="001671D4" w:rsidRPr="00E94D8A">
        <w:fldChar w:fldCharType="end"/>
      </w:r>
      <w:r w:rsidRPr="00E94D8A">
        <w:t xml:space="preserve">. </w:t>
      </w:r>
    </w:p>
    <w:tbl>
      <w:tblPr>
        <w:tblW w:w="8915" w:type="dxa"/>
        <w:tblInd w:w="-170" w:type="dxa"/>
        <w:tblLayout w:type="fixed"/>
        <w:tblCellMar>
          <w:left w:w="0" w:type="dxa"/>
          <w:right w:w="0" w:type="dxa"/>
        </w:tblCellMar>
        <w:tblLook w:val="0000" w:firstRow="0" w:lastRow="0" w:firstColumn="0" w:lastColumn="0" w:noHBand="0" w:noVBand="0"/>
      </w:tblPr>
      <w:tblGrid>
        <w:gridCol w:w="170"/>
        <w:gridCol w:w="1871"/>
        <w:gridCol w:w="4705"/>
        <w:gridCol w:w="2154"/>
        <w:gridCol w:w="15"/>
      </w:tblGrid>
      <w:tr w:rsidR="006E361B" w:rsidRPr="00E94D8A" w14:paraId="7709C22D" w14:textId="77777777" w:rsidTr="006E361B">
        <w:trPr>
          <w:gridBefore w:val="1"/>
          <w:gridAfter w:val="1"/>
          <w:wBefore w:w="170" w:type="dxa"/>
          <w:wAfter w:w="15" w:type="dxa"/>
        </w:trPr>
        <w:tc>
          <w:tcPr>
            <w:tcW w:w="6576" w:type="dxa"/>
            <w:gridSpan w:val="2"/>
            <w:tcBorders>
              <w:right w:val="single" w:sz="4" w:space="0" w:color="auto"/>
            </w:tcBorders>
            <w:shd w:val="clear" w:color="auto" w:fill="auto"/>
          </w:tcPr>
          <w:p w14:paraId="1BB780BC" w14:textId="77777777" w:rsidR="006E361B" w:rsidRDefault="006E361B" w:rsidP="006E361B">
            <w:pPr>
              <w:pStyle w:val="Bordersmall"/>
              <w:rPr>
                <w:lang w:val="es-ES"/>
              </w:rPr>
            </w:pPr>
            <w:r w:rsidRPr="00E94D8A">
              <w:rPr>
                <w:noProof/>
                <w:lang w:val="es-MX" w:eastAsia="es-MX"/>
              </w:rPr>
              <w:drawing>
                <wp:inline distT="0" distB="0" distL="0" distR="0" wp14:anchorId="2671557B" wp14:editId="34869AE1">
                  <wp:extent cx="3383280" cy="1654175"/>
                  <wp:effectExtent l="0" t="0" r="7620" b="3175"/>
                  <wp:docPr id="1" name="Picture 1" descr="Marco para la clasificación de los principios conceptuales, Fuente: Analysys Mason" title="Figura uno punto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3280" cy="1654175"/>
                          </a:xfrm>
                          <a:prstGeom prst="rect">
                            <a:avLst/>
                          </a:prstGeom>
                          <a:noFill/>
                          <a:ln>
                            <a:noFill/>
                          </a:ln>
                        </pic:spPr>
                      </pic:pic>
                    </a:graphicData>
                  </a:graphic>
                </wp:inline>
              </w:drawing>
            </w:r>
          </w:p>
          <w:p w14:paraId="69D27EB7" w14:textId="77777777" w:rsidR="00AA2CCF" w:rsidRPr="00E94D8A" w:rsidRDefault="00AA2CCF" w:rsidP="006E361B">
            <w:pPr>
              <w:pStyle w:val="Bordersmall"/>
              <w:rPr>
                <w:lang w:val="es-ES"/>
              </w:rPr>
            </w:pPr>
          </w:p>
        </w:tc>
        <w:tc>
          <w:tcPr>
            <w:tcW w:w="2154" w:type="dxa"/>
            <w:tcBorders>
              <w:left w:val="single" w:sz="4" w:space="0" w:color="auto"/>
            </w:tcBorders>
            <w:shd w:val="clear" w:color="auto" w:fill="auto"/>
          </w:tcPr>
          <w:p w14:paraId="4B542B31" w14:textId="77777777" w:rsidR="006E361B" w:rsidRPr="00E94D8A" w:rsidRDefault="006E361B" w:rsidP="001671D4">
            <w:pPr>
              <w:pStyle w:val="Captionsmall"/>
              <w:rPr>
                <w:lang w:val="es-ES"/>
              </w:rPr>
            </w:pPr>
            <w:bookmarkStart w:id="6" w:name="_Ref321211092"/>
            <w:r w:rsidRPr="00E94D8A">
              <w:rPr>
                <w:lang w:val="es-ES"/>
              </w:rPr>
              <w:t>Fi</w:t>
            </w:r>
            <w:r w:rsidR="00A37365" w:rsidRPr="00E94D8A">
              <w:rPr>
                <w:lang w:val="es-ES"/>
              </w:rPr>
              <w:fldChar w:fldCharType="begin"/>
            </w:r>
            <w:r w:rsidR="00A37365" w:rsidRPr="00E94D8A">
              <w:rPr>
                <w:lang w:val="es-ES"/>
              </w:rPr>
              <w:instrText xml:space="preserve">  </w:instrText>
            </w:r>
            <w:r w:rsidR="00A37365" w:rsidRPr="00E94D8A">
              <w:rPr>
                <w:lang w:val="es-ES"/>
              </w:rPr>
              <w:fldChar w:fldCharType="end"/>
            </w:r>
            <w:r w:rsidRPr="00E94D8A">
              <w:rPr>
                <w:lang w:val="es-ES"/>
              </w:rPr>
              <w:t>gur</w:t>
            </w:r>
            <w:r w:rsidR="001671D4" w:rsidRPr="00E94D8A">
              <w:rPr>
                <w:lang w:val="es-ES"/>
              </w:rPr>
              <w:t>a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1</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w:instrText>
            </w:r>
            <w:r w:rsidR="00A37365" w:rsidRPr="00E94D8A">
              <w:rPr>
                <w:lang w:val="es-ES"/>
              </w:rPr>
              <w:instrText>SEQ Ilustración</w:instrText>
            </w:r>
            <w:r w:rsidRPr="00E94D8A">
              <w:rPr>
                <w:lang w:val="es-ES"/>
              </w:rPr>
              <w:instrText xml:space="preserve"> \* ARABIC \s 1 \* MERGEFORMAT </w:instrText>
            </w:r>
            <w:r w:rsidRPr="00E94D8A">
              <w:rPr>
                <w:lang w:val="es-ES"/>
              </w:rPr>
              <w:fldChar w:fldCharType="separate"/>
            </w:r>
            <w:r w:rsidR="00B426BC">
              <w:rPr>
                <w:noProof/>
                <w:lang w:val="es-ES"/>
              </w:rPr>
              <w:t>1</w:t>
            </w:r>
            <w:r w:rsidRPr="00E94D8A">
              <w:rPr>
                <w:lang w:val="es-ES"/>
              </w:rPr>
              <w:fldChar w:fldCharType="end"/>
            </w:r>
            <w:bookmarkEnd w:id="6"/>
            <w:r w:rsidRPr="00E94D8A">
              <w:rPr>
                <w:lang w:val="es-ES"/>
              </w:rPr>
              <w:t xml:space="preserve">: Marco para la clasificación de los principios conceptuales [Fuente: </w:t>
            </w:r>
            <w:proofErr w:type="spellStart"/>
            <w:r w:rsidRPr="00E94D8A">
              <w:rPr>
                <w:lang w:val="es-ES"/>
              </w:rPr>
              <w:t>Analysys</w:t>
            </w:r>
            <w:proofErr w:type="spellEnd"/>
            <w:r w:rsidRPr="00E94D8A">
              <w:rPr>
                <w:lang w:val="es-ES"/>
              </w:rPr>
              <w:t xml:space="preserve"> Mason]</w:t>
            </w:r>
          </w:p>
        </w:tc>
      </w:tr>
      <w:tr w:rsidR="006E361B" w:rsidRPr="00E94D8A" w14:paraId="168081C5" w14:textId="77777777" w:rsidTr="006E361B">
        <w:tblPrEx>
          <w:tblCellMar>
            <w:left w:w="170" w:type="dxa"/>
            <w:right w:w="170" w:type="dxa"/>
          </w:tblCellMar>
        </w:tblPrEx>
        <w:tc>
          <w:tcPr>
            <w:tcW w:w="2041" w:type="dxa"/>
            <w:gridSpan w:val="2"/>
          </w:tcPr>
          <w:p w14:paraId="4C6B2E36" w14:textId="77777777" w:rsidR="006E361B" w:rsidRPr="00E94D8A" w:rsidRDefault="006E361B" w:rsidP="00BE303D">
            <w:pPr>
              <w:pStyle w:val="SBSheader"/>
              <w:jc w:val="both"/>
            </w:pPr>
            <w:r w:rsidRPr="00E94D8A">
              <w:t>Operador</w:t>
            </w:r>
          </w:p>
        </w:tc>
        <w:tc>
          <w:tcPr>
            <w:tcW w:w="6874" w:type="dxa"/>
            <w:gridSpan w:val="3"/>
          </w:tcPr>
          <w:p w14:paraId="46D89CD1" w14:textId="77777777" w:rsidR="006E361B" w:rsidRPr="00E94D8A" w:rsidRDefault="006E361B" w:rsidP="00BE303D">
            <w:r w:rsidRPr="00E94D8A">
              <w:t>Las características del operador a modelar tiene una importancia significativa en el enfoque conceptual que se debe adoptar, con importantes implicaciones de costos</w:t>
            </w:r>
            <w:r w:rsidRPr="00E94D8A">
              <w:rPr>
                <w:color w:val="0000FF"/>
              </w:rPr>
              <w:t>:</w:t>
            </w:r>
          </w:p>
          <w:p w14:paraId="7F04D789" w14:textId="77777777" w:rsidR="006E361B" w:rsidRPr="00E94D8A" w:rsidRDefault="006E361B" w:rsidP="006E361B">
            <w:pPr>
              <w:pStyle w:val="Listaconvietas"/>
              <w:spacing w:after="120"/>
              <w:ind w:left="360" w:hanging="360"/>
            </w:pPr>
            <w:r w:rsidRPr="00E94D8A">
              <w:t xml:space="preserve">¿Qué </w:t>
            </w:r>
            <w:r w:rsidRPr="00E94D8A">
              <w:rPr>
                <w:b/>
              </w:rPr>
              <w:t>implementación estructural</w:t>
            </w:r>
            <w:r w:rsidRPr="00E94D8A">
              <w:t xml:space="preserve"> se debe aplicar en el modelo? En general, esta pregunta tiene por objetivo decidir si los modelos se construyen de manera descendente (</w:t>
            </w:r>
            <w:r w:rsidRPr="00E94D8A">
              <w:rPr>
                <w:i/>
              </w:rPr>
              <w:t xml:space="preserve">top </w:t>
            </w:r>
            <w:proofErr w:type="spellStart"/>
            <w:r w:rsidRPr="00E94D8A">
              <w:rPr>
                <w:i/>
              </w:rPr>
              <w:t>down</w:t>
            </w:r>
            <w:proofErr w:type="spellEnd"/>
            <w:r w:rsidRPr="00E94D8A">
              <w:t>) a partir de las cuentas del operador o si se desarrolla un modelo de diseño de red más transparente basado en la metodología ascendente (</w:t>
            </w:r>
            <w:proofErr w:type="spellStart"/>
            <w:r w:rsidRPr="00E94D8A">
              <w:rPr>
                <w:i/>
              </w:rPr>
              <w:t>bottom</w:t>
            </w:r>
            <w:proofErr w:type="spellEnd"/>
            <w:r w:rsidRPr="00E94D8A">
              <w:rPr>
                <w:i/>
              </w:rPr>
              <w:t xml:space="preserve"> up</w:t>
            </w:r>
            <w:r w:rsidRPr="00E94D8A">
              <w:t xml:space="preserve">). Este punto no será tratado más adelante en este documento dado que </w:t>
            </w:r>
            <w:r w:rsidR="00150BE8">
              <w:t>el IFT</w:t>
            </w:r>
            <w:r w:rsidRPr="00E94D8A">
              <w:t xml:space="preserve"> </w:t>
            </w:r>
            <w:r w:rsidRPr="00E94D8A">
              <w:lastRenderedPageBreak/>
              <w:t xml:space="preserve">ha tomado ya la decisión de que los modelos de costos, tanto para la telefonía fija como móvil, se elaborarán de manera ascendente con una reconciliación con datos reales de los operadores. </w:t>
            </w:r>
          </w:p>
          <w:p w14:paraId="77CDAC43" w14:textId="77777777" w:rsidR="006E361B" w:rsidRPr="00E94D8A" w:rsidRDefault="006E361B" w:rsidP="006E361B">
            <w:pPr>
              <w:pStyle w:val="Listaconvietas"/>
              <w:spacing w:after="120"/>
              <w:ind w:left="360" w:hanging="360"/>
              <w:rPr>
                <w:spacing w:val="-4"/>
              </w:rPr>
            </w:pPr>
            <w:r w:rsidRPr="00E94D8A">
              <w:rPr>
                <w:spacing w:val="-4"/>
              </w:rPr>
              <w:t xml:space="preserve">¿Qué </w:t>
            </w:r>
            <w:r w:rsidRPr="00E94D8A">
              <w:rPr>
                <w:b/>
                <w:spacing w:val="-4"/>
              </w:rPr>
              <w:t>tipo</w:t>
            </w:r>
            <w:r w:rsidRPr="00E94D8A">
              <w:rPr>
                <w:spacing w:val="-4"/>
              </w:rPr>
              <w:t xml:space="preserve"> de operador se debe modelar – un operador real, un operador medio, un operador hipotético existente o un nuevo entrante hipotético?</w:t>
            </w:r>
          </w:p>
          <w:p w14:paraId="28566C2B" w14:textId="77777777" w:rsidR="006E361B" w:rsidRPr="00E94D8A" w:rsidRDefault="006E361B" w:rsidP="005D15C8">
            <w:pPr>
              <w:pStyle w:val="Listaconvietas"/>
            </w:pPr>
            <w:r w:rsidRPr="00E94D8A">
              <w:t xml:space="preserve">¿Cuál es la </w:t>
            </w:r>
            <w:r w:rsidRPr="00E94D8A">
              <w:rPr>
                <w:b/>
              </w:rPr>
              <w:t>cobertura</w:t>
            </w:r>
            <w:r w:rsidRPr="00E94D8A">
              <w:t xml:space="preserve"> del operador que se va a modelar – tiene la obligación de ofrecer un servicio nacional, o algún tipo de cobertura regional específica?</w:t>
            </w:r>
          </w:p>
        </w:tc>
      </w:tr>
      <w:tr w:rsidR="006E361B" w:rsidRPr="00E94D8A" w14:paraId="1FAC285C" w14:textId="77777777" w:rsidTr="006E361B">
        <w:tblPrEx>
          <w:tblCellMar>
            <w:left w:w="170" w:type="dxa"/>
            <w:right w:w="170" w:type="dxa"/>
          </w:tblCellMar>
        </w:tblPrEx>
        <w:tc>
          <w:tcPr>
            <w:tcW w:w="2041" w:type="dxa"/>
            <w:gridSpan w:val="2"/>
          </w:tcPr>
          <w:p w14:paraId="5AFF155E" w14:textId="77777777" w:rsidR="006E361B" w:rsidRPr="00E94D8A" w:rsidRDefault="006E361B" w:rsidP="00BE303D">
            <w:pPr>
              <w:pStyle w:val="SBSheader"/>
              <w:jc w:val="both"/>
            </w:pPr>
            <w:r w:rsidRPr="00E94D8A">
              <w:lastRenderedPageBreak/>
              <w:t>Tecnología</w:t>
            </w:r>
          </w:p>
        </w:tc>
        <w:tc>
          <w:tcPr>
            <w:tcW w:w="6874" w:type="dxa"/>
            <w:gridSpan w:val="3"/>
          </w:tcPr>
          <w:p w14:paraId="06E396D6" w14:textId="77777777" w:rsidR="006E361B" w:rsidRPr="00E94D8A" w:rsidRDefault="006E361B" w:rsidP="00BE303D">
            <w:pPr>
              <w:spacing w:after="120"/>
            </w:pPr>
            <w:r w:rsidRPr="00E94D8A">
              <w:t>El tipo de red que se modelará depende de las siguientes decisiones conceptuales:</w:t>
            </w:r>
          </w:p>
          <w:p w14:paraId="641E417E" w14:textId="77777777" w:rsidR="006E361B" w:rsidRPr="00E94D8A" w:rsidRDefault="006E361B" w:rsidP="006E361B">
            <w:pPr>
              <w:pStyle w:val="Listaconvietas"/>
              <w:ind w:left="360" w:hanging="360"/>
            </w:pPr>
            <w:r w:rsidRPr="00E94D8A">
              <w:t xml:space="preserve">¿Qué </w:t>
            </w:r>
            <w:r w:rsidRPr="00E94D8A">
              <w:rPr>
                <w:b/>
              </w:rPr>
              <w:t>tecnología y arquitectura de red</w:t>
            </w:r>
            <w:r w:rsidRPr="00E94D8A">
              <w:t xml:space="preserve"> se deben implementar en las redes modeladas? Esta dimensión abarca una amplia gama de decisiones tecnológicas que tienen por objeto definir un estándar eficiente para la prestación de los servicios mencionados arriba.</w:t>
            </w:r>
          </w:p>
          <w:p w14:paraId="77C36FFD" w14:textId="77777777" w:rsidR="006E361B" w:rsidRPr="00E94D8A" w:rsidRDefault="006E361B" w:rsidP="00BE303D">
            <w:pPr>
              <w:pStyle w:val="I1"/>
              <w:tabs>
                <w:tab w:val="clear" w:pos="360"/>
              </w:tabs>
            </w:pPr>
            <w:r w:rsidRPr="00E94D8A">
              <w:t xml:space="preserve">¿Cuál es la forma adecuada de definir los </w:t>
            </w:r>
            <w:r w:rsidRPr="00E94D8A">
              <w:rPr>
                <w:b/>
              </w:rPr>
              <w:t>nodos de red</w:t>
            </w:r>
            <w:r w:rsidRPr="00E94D8A">
              <w:t xml:space="preserve"> y el nivel de </w:t>
            </w:r>
            <w:proofErr w:type="spellStart"/>
            <w:r w:rsidRPr="00E94D8A">
              <w:t>coubicación</w:t>
            </w:r>
            <w:proofErr w:type="spellEnd"/>
            <w:r w:rsidRPr="00E94D8A">
              <w:t xml:space="preserve"> en estos nodos? Durante la construcción de los modelos de red de manera ascendente y utilizando la tecnología moderna, es necesario determinar qué funcionalidades deben estar presentes en las diferentes capas de los nodos de red. Las dos opciones incluyen un enfoque </w:t>
            </w:r>
            <w:proofErr w:type="spellStart"/>
            <w:r w:rsidRPr="00E94D8A">
              <w:rPr>
                <w:i/>
              </w:rPr>
              <w:t>scorched-node</w:t>
            </w:r>
            <w:proofErr w:type="spellEnd"/>
            <w:r w:rsidRPr="00E94D8A">
              <w:t xml:space="preserve"> o </w:t>
            </w:r>
            <w:proofErr w:type="spellStart"/>
            <w:r w:rsidRPr="00E94D8A">
              <w:rPr>
                <w:i/>
              </w:rPr>
              <w:t>scorched-earth</w:t>
            </w:r>
            <w:proofErr w:type="spellEnd"/>
            <w:r w:rsidRPr="00E94D8A">
              <w:t>, aunque los ajustes de nodo se pueden considerar tanto en redes fijas como móviles.</w:t>
            </w:r>
          </w:p>
        </w:tc>
      </w:tr>
      <w:tr w:rsidR="006E361B" w:rsidRPr="00E94D8A" w14:paraId="0BA08866" w14:textId="77777777" w:rsidTr="006E361B">
        <w:tblPrEx>
          <w:tblCellMar>
            <w:left w:w="170" w:type="dxa"/>
            <w:right w:w="170" w:type="dxa"/>
          </w:tblCellMar>
        </w:tblPrEx>
        <w:tc>
          <w:tcPr>
            <w:tcW w:w="2041" w:type="dxa"/>
            <w:gridSpan w:val="2"/>
          </w:tcPr>
          <w:p w14:paraId="2A95172F" w14:textId="77777777" w:rsidR="006E361B" w:rsidRPr="00E94D8A" w:rsidRDefault="00BA6041" w:rsidP="00BE303D">
            <w:pPr>
              <w:pStyle w:val="SBSheader"/>
              <w:jc w:val="both"/>
            </w:pPr>
            <w:r>
              <w:t xml:space="preserve"> </w:t>
            </w:r>
            <w:r w:rsidR="006E361B" w:rsidRPr="00E94D8A">
              <w:t>Servicio</w:t>
            </w:r>
          </w:p>
        </w:tc>
        <w:tc>
          <w:tcPr>
            <w:tcW w:w="6874" w:type="dxa"/>
            <w:gridSpan w:val="3"/>
          </w:tcPr>
          <w:p w14:paraId="34A71DAC" w14:textId="77777777" w:rsidR="006E361B" w:rsidRPr="00E94D8A" w:rsidRDefault="006E361B" w:rsidP="00BE303D">
            <w:r w:rsidRPr="00E94D8A">
              <w:t>Dentro de esta dimensión, se define el alcance de los servicios que se examinarán:</w:t>
            </w:r>
          </w:p>
          <w:p w14:paraId="0A2A20C9" w14:textId="77777777" w:rsidR="006E361B" w:rsidRPr="00E94D8A" w:rsidRDefault="006E361B" w:rsidP="00BE303D">
            <w:pPr>
              <w:pStyle w:val="L1"/>
              <w:numPr>
                <w:ilvl w:val="0"/>
                <w:numId w:val="18"/>
              </w:numPr>
            </w:pPr>
            <w:r w:rsidRPr="00E94D8A">
              <w:t xml:space="preserve">¿Qué </w:t>
            </w:r>
            <w:r w:rsidRPr="00E94D8A">
              <w:rPr>
                <w:b/>
              </w:rPr>
              <w:t>conjunto de servicios</w:t>
            </w:r>
            <w:r w:rsidRPr="00E94D8A">
              <w:t xml:space="preserve"> soporta el operador modelado?</w:t>
            </w:r>
          </w:p>
          <w:p w14:paraId="0D387592" w14:textId="77777777" w:rsidR="006E361B" w:rsidRPr="00E94D8A" w:rsidRDefault="006E361B" w:rsidP="00BE303D">
            <w:pPr>
              <w:pStyle w:val="L1"/>
              <w:numPr>
                <w:ilvl w:val="0"/>
                <w:numId w:val="18"/>
              </w:numPr>
            </w:pPr>
            <w:r w:rsidRPr="00E94D8A">
              <w:t xml:space="preserve">¿Cómo deben determinarse los </w:t>
            </w:r>
            <w:r w:rsidRPr="00E94D8A">
              <w:rPr>
                <w:b/>
              </w:rPr>
              <w:t>volúmenes de tráfico</w:t>
            </w:r>
            <w:r w:rsidRPr="00E94D8A">
              <w:t>?</w:t>
            </w:r>
          </w:p>
          <w:p w14:paraId="4A031E82" w14:textId="77777777" w:rsidR="006E361B" w:rsidRPr="00E94D8A" w:rsidRDefault="006E361B" w:rsidP="00BE303D">
            <w:pPr>
              <w:pStyle w:val="L1"/>
              <w:numPr>
                <w:ilvl w:val="0"/>
                <w:numId w:val="18"/>
              </w:numPr>
            </w:pPr>
            <w:r w:rsidRPr="00E94D8A">
              <w:t xml:space="preserve">¿De qué manera se definen los servicios complementarios de </w:t>
            </w:r>
            <w:proofErr w:type="spellStart"/>
            <w:r w:rsidRPr="00E94D8A">
              <w:rPr>
                <w:b/>
              </w:rPr>
              <w:t>coubicación</w:t>
            </w:r>
            <w:proofErr w:type="spellEnd"/>
            <w:r w:rsidRPr="00E94D8A">
              <w:rPr>
                <w:b/>
              </w:rPr>
              <w:t xml:space="preserve"> e interconexión</w:t>
            </w:r>
            <w:r w:rsidRPr="00E94D8A">
              <w:t>?</w:t>
            </w:r>
          </w:p>
          <w:p w14:paraId="74B62B1A" w14:textId="77777777" w:rsidR="006E361B" w:rsidRPr="00E94D8A" w:rsidRDefault="006E361B" w:rsidP="00BE303D">
            <w:pPr>
              <w:pStyle w:val="I1"/>
              <w:numPr>
                <w:ilvl w:val="0"/>
                <w:numId w:val="23"/>
              </w:numPr>
              <w:tabs>
                <w:tab w:val="clear" w:pos="360"/>
              </w:tabs>
              <w:ind w:left="357" w:hanging="357"/>
            </w:pPr>
            <w:r w:rsidRPr="00E94D8A">
              <w:t xml:space="preserve">¿Están los costos calculados a nivel </w:t>
            </w:r>
            <w:r w:rsidRPr="00E94D8A">
              <w:rPr>
                <w:b/>
              </w:rPr>
              <w:t>mayorista</w:t>
            </w:r>
            <w:r w:rsidRPr="00E94D8A">
              <w:t xml:space="preserve"> o </w:t>
            </w:r>
            <w:r w:rsidRPr="00E94D8A">
              <w:rPr>
                <w:b/>
              </w:rPr>
              <w:t>minorista</w:t>
            </w:r>
            <w:r w:rsidRPr="00E94D8A">
              <w:t>?</w:t>
            </w:r>
          </w:p>
        </w:tc>
      </w:tr>
      <w:tr w:rsidR="006E361B" w:rsidRPr="00E94D8A" w14:paraId="6431AF47" w14:textId="77777777" w:rsidTr="006E361B">
        <w:tblPrEx>
          <w:tblCellMar>
            <w:left w:w="170" w:type="dxa"/>
            <w:right w:w="170" w:type="dxa"/>
          </w:tblCellMar>
        </w:tblPrEx>
        <w:tc>
          <w:tcPr>
            <w:tcW w:w="2041" w:type="dxa"/>
            <w:gridSpan w:val="2"/>
          </w:tcPr>
          <w:p w14:paraId="289D5F96" w14:textId="77777777" w:rsidR="006E361B" w:rsidRPr="00E94D8A" w:rsidRDefault="006E361B" w:rsidP="00BE303D">
            <w:pPr>
              <w:pStyle w:val="SBSheader"/>
              <w:jc w:val="both"/>
            </w:pPr>
            <w:r w:rsidRPr="00E94D8A">
              <w:t>Implementación</w:t>
            </w:r>
          </w:p>
        </w:tc>
        <w:tc>
          <w:tcPr>
            <w:tcW w:w="6874" w:type="dxa"/>
            <w:gridSpan w:val="3"/>
          </w:tcPr>
          <w:p w14:paraId="3868CF9D" w14:textId="77777777" w:rsidR="006E361B" w:rsidRPr="00E94D8A" w:rsidRDefault="006E361B" w:rsidP="00587D3F">
            <w:r w:rsidRPr="00E94D8A">
              <w:t>Es necesario definir ciertos principios de implementación para llegar a un modelo de costos final, incluyendo:</w:t>
            </w:r>
          </w:p>
          <w:p w14:paraId="27F196E0" w14:textId="77777777" w:rsidR="006E361B" w:rsidRPr="00E94D8A" w:rsidRDefault="006E361B" w:rsidP="00BE303D">
            <w:pPr>
              <w:pStyle w:val="L1"/>
              <w:numPr>
                <w:ilvl w:val="0"/>
                <w:numId w:val="18"/>
              </w:numPr>
            </w:pPr>
            <w:r w:rsidRPr="00E94D8A">
              <w:t xml:space="preserve">¿Qué </w:t>
            </w:r>
            <w:r w:rsidRPr="00E94D8A">
              <w:rPr>
                <w:b/>
              </w:rPr>
              <w:t>incrementos</w:t>
            </w:r>
            <w:r w:rsidRPr="00E94D8A">
              <w:t xml:space="preserve"> deben ser costeados?</w:t>
            </w:r>
          </w:p>
          <w:p w14:paraId="7A35C4DF" w14:textId="77777777" w:rsidR="006E361B" w:rsidRPr="00E94D8A" w:rsidRDefault="006E361B" w:rsidP="00BE303D">
            <w:pPr>
              <w:pStyle w:val="L1"/>
              <w:numPr>
                <w:ilvl w:val="0"/>
                <w:numId w:val="18"/>
              </w:numPr>
            </w:pPr>
            <w:r w:rsidRPr="00E94D8A">
              <w:t xml:space="preserve">¿Qué método de </w:t>
            </w:r>
            <w:r w:rsidRPr="00E94D8A">
              <w:rPr>
                <w:b/>
              </w:rPr>
              <w:t>depreciación</w:t>
            </w:r>
            <w:r w:rsidRPr="00E94D8A">
              <w:t xml:space="preserve"> se debe aplicar a los gastos anuales?</w:t>
            </w:r>
          </w:p>
          <w:p w14:paraId="7BCE935F" w14:textId="77777777" w:rsidR="006E361B" w:rsidRPr="00E94D8A" w:rsidRDefault="006E361B" w:rsidP="00BE303D">
            <w:pPr>
              <w:pStyle w:val="L1"/>
              <w:numPr>
                <w:ilvl w:val="0"/>
                <w:numId w:val="18"/>
              </w:numPr>
            </w:pPr>
            <w:r w:rsidRPr="00E94D8A">
              <w:t xml:space="preserve">¿Cuál es el </w:t>
            </w:r>
            <w:r w:rsidRPr="00E94D8A">
              <w:rPr>
                <w:b/>
              </w:rPr>
              <w:t xml:space="preserve">costo de capital promedio ponderado (CCMP) </w:t>
            </w:r>
            <w:r w:rsidRPr="00E94D8A">
              <w:t>para el operador modelado?</w:t>
            </w:r>
          </w:p>
          <w:p w14:paraId="3EF8A729" w14:textId="77777777" w:rsidR="006E361B" w:rsidRPr="00E94D8A" w:rsidRDefault="006E361B" w:rsidP="00BE303D">
            <w:pPr>
              <w:pStyle w:val="I1"/>
              <w:numPr>
                <w:ilvl w:val="0"/>
                <w:numId w:val="23"/>
              </w:numPr>
              <w:tabs>
                <w:tab w:val="clear" w:pos="360"/>
              </w:tabs>
              <w:ind w:left="357" w:hanging="357"/>
            </w:pPr>
            <w:r w:rsidRPr="00E94D8A">
              <w:t xml:space="preserve">¿Qué </w:t>
            </w:r>
            <w:r w:rsidRPr="00E94D8A">
              <w:rPr>
                <w:b/>
              </w:rPr>
              <w:t>mecanismo de margen adicional</w:t>
            </w:r>
            <w:r w:rsidRPr="00E94D8A">
              <w:t xml:space="preserve"> debe ser aplicado a los costos que son comunes a los incrementos?</w:t>
            </w:r>
          </w:p>
        </w:tc>
      </w:tr>
    </w:tbl>
    <w:p w14:paraId="611E1966" w14:textId="77777777" w:rsidR="006E361B" w:rsidRPr="00E94D8A" w:rsidRDefault="006E361B" w:rsidP="006E361B">
      <w:pPr>
        <w:pStyle w:val="Ttulo2"/>
      </w:pPr>
      <w:bookmarkStart w:id="7" w:name="_Toc454893666"/>
      <w:r w:rsidRPr="00E94D8A">
        <w:lastRenderedPageBreak/>
        <w:t>Encuadre regulatorio</w:t>
      </w:r>
      <w:bookmarkEnd w:id="7"/>
    </w:p>
    <w:p w14:paraId="5AC13964" w14:textId="77777777" w:rsidR="006E361B" w:rsidRPr="00E94D8A" w:rsidRDefault="0037639D" w:rsidP="006E361B">
      <w:r>
        <w:t xml:space="preserve">Según </w:t>
      </w:r>
      <w:r w:rsidR="006E361B" w:rsidRPr="00E94D8A">
        <w:t xml:space="preserve">los principios regulatorios aprobados en </w:t>
      </w:r>
      <w:r w:rsidR="00556421">
        <w:t>su</w:t>
      </w:r>
      <w:r w:rsidR="001B0CE1">
        <w:t xml:space="preserve"> Acuerdo del 16 de Diciembre de 2014</w:t>
      </w:r>
      <w:r w:rsidR="001B0CE1">
        <w:rPr>
          <w:rStyle w:val="Refdenotaalpie"/>
        </w:rPr>
        <w:footnoteReference w:id="2"/>
      </w:r>
      <w:r w:rsidR="001B0CE1">
        <w:t xml:space="preserve"> </w:t>
      </w:r>
      <w:r w:rsidR="006E361B" w:rsidRPr="00E94D8A">
        <w:t xml:space="preserve">, </w:t>
      </w:r>
      <w:r w:rsidR="00150BE8">
        <w:t>el IFT</w:t>
      </w:r>
      <w:r w:rsidR="006E361B" w:rsidRPr="00E94D8A">
        <w:t xml:space="preserve"> define ya algunos de los principios para la elaboración de los modelos de costos. Por ejemplo, se:</w:t>
      </w:r>
    </w:p>
    <w:p w14:paraId="41C39B47" w14:textId="77777777" w:rsidR="006E361B" w:rsidRPr="00E94D8A" w:rsidRDefault="006E361B" w:rsidP="00587D3F">
      <w:pPr>
        <w:pStyle w:val="ListBulletCompact"/>
      </w:pPr>
      <w:r w:rsidRPr="00E94D8A">
        <w:t xml:space="preserve">empleará la metodología de costos incrementales de largo plazo </w:t>
      </w:r>
      <w:r w:rsidR="00BE1C30">
        <w:t xml:space="preserve">puros </w:t>
      </w:r>
      <w:r w:rsidRPr="00E94D8A">
        <w:t>(CILP</w:t>
      </w:r>
      <w:r w:rsidR="00BE1C30">
        <w:t>P</w:t>
      </w:r>
      <w:r w:rsidRPr="00E94D8A">
        <w:t>)</w:t>
      </w:r>
      <w:r w:rsidR="00BE1C30">
        <w:t xml:space="preserve"> para los servicios de conducción de tráfico y tránsito</w:t>
      </w:r>
    </w:p>
    <w:p w14:paraId="0828C67E" w14:textId="77777777" w:rsidR="006E361B" w:rsidRPr="00E94D8A" w:rsidRDefault="006E361B" w:rsidP="00587D3F">
      <w:pPr>
        <w:pStyle w:val="ListBulletCompact"/>
      </w:pPr>
      <w:r w:rsidRPr="00E94D8A">
        <w:t>utilizará el enfoque de modelos ascendentes (</w:t>
      </w:r>
      <w:proofErr w:type="spellStart"/>
      <w:r w:rsidRPr="00E94D8A">
        <w:rPr>
          <w:i/>
        </w:rPr>
        <w:t>bottom</w:t>
      </w:r>
      <w:proofErr w:type="spellEnd"/>
      <w:r w:rsidRPr="00E94D8A">
        <w:rPr>
          <w:i/>
        </w:rPr>
        <w:t>-up</w:t>
      </w:r>
      <w:r w:rsidRPr="00E94D8A">
        <w:t>)</w:t>
      </w:r>
    </w:p>
    <w:p w14:paraId="1F537F21" w14:textId="6AA86D5C" w:rsidR="006E361B" w:rsidRPr="00E94D8A" w:rsidRDefault="006E361B" w:rsidP="00587D3F">
      <w:pPr>
        <w:pStyle w:val="ListBulletCompact"/>
      </w:pPr>
      <w:r w:rsidRPr="00E94D8A">
        <w:t xml:space="preserve">se utilizará la metodología de margen </w:t>
      </w:r>
      <w:proofErr w:type="spellStart"/>
      <w:r w:rsidRPr="00E94D8A">
        <w:t>equiproporcional</w:t>
      </w:r>
      <w:proofErr w:type="spellEnd"/>
      <w:r w:rsidRPr="00E94D8A">
        <w:t xml:space="preserve"> para la recuperación de los costos comunes relevantes</w:t>
      </w:r>
    </w:p>
    <w:p w14:paraId="12297624" w14:textId="77777777" w:rsidR="00BC4379" w:rsidRDefault="005524BD" w:rsidP="00587D3F">
      <w:pPr>
        <w:pStyle w:val="ListBulletCompact"/>
      </w:pPr>
      <w:r w:rsidRPr="005524BD">
        <w:t>se excluirán los costos comunes y compartidos de los servicios de conducción de tráfico considerados ya que se está modelando un LRIC puro</w:t>
      </w:r>
    </w:p>
    <w:p w14:paraId="11EC1A24" w14:textId="77777777" w:rsidR="006E361B" w:rsidRPr="00E94D8A" w:rsidRDefault="006E361B" w:rsidP="00587D3F">
      <w:pPr>
        <w:pStyle w:val="ListBulletCompact"/>
      </w:pPr>
      <w:r w:rsidRPr="00E94D8A">
        <w:t xml:space="preserve">empleará un enfoque </w:t>
      </w:r>
      <w:proofErr w:type="spellStart"/>
      <w:r w:rsidRPr="00E94D8A">
        <w:rPr>
          <w:i/>
        </w:rPr>
        <w:t>scorched</w:t>
      </w:r>
      <w:proofErr w:type="spellEnd"/>
      <w:r w:rsidRPr="00E94D8A">
        <w:rPr>
          <w:i/>
        </w:rPr>
        <w:t xml:space="preserve"> </w:t>
      </w:r>
      <w:proofErr w:type="spellStart"/>
      <w:r w:rsidRPr="00E94D8A">
        <w:rPr>
          <w:i/>
        </w:rPr>
        <w:t>earth</w:t>
      </w:r>
      <w:proofErr w:type="spellEnd"/>
      <w:r w:rsidRPr="00E94D8A">
        <w:rPr>
          <w:i/>
        </w:rPr>
        <w:t xml:space="preserve"> </w:t>
      </w:r>
      <w:r w:rsidRPr="00E94D8A">
        <w:t>que se calibrará con los elementos de red presentes en las redes actuales</w:t>
      </w:r>
    </w:p>
    <w:p w14:paraId="29B390B3" w14:textId="77777777" w:rsidR="006E361B" w:rsidRPr="00E94D8A" w:rsidRDefault="006E361B" w:rsidP="00587D3F">
      <w:pPr>
        <w:pStyle w:val="ListBulletCompact"/>
      </w:pPr>
      <w:r w:rsidRPr="00E94D8A">
        <w:t>utilizará la depreciación económica para calcular la amortización de los activos</w:t>
      </w:r>
    </w:p>
    <w:p w14:paraId="68C2F0A7" w14:textId="77777777" w:rsidR="006E361B" w:rsidRPr="00E94D8A" w:rsidRDefault="006E361B" w:rsidP="00587D3F">
      <w:pPr>
        <w:pStyle w:val="ListBulletCompact"/>
      </w:pPr>
      <w:r w:rsidRPr="00E94D8A">
        <w:t>usará la metodología de las tecnologías eficientes disponibles dentro del periodo utilizado en el modelo para valorar el costo de los equipos presentes</w:t>
      </w:r>
    </w:p>
    <w:p w14:paraId="19971767" w14:textId="77777777" w:rsidR="003E04D9" w:rsidRDefault="006E361B" w:rsidP="003D55FC">
      <w:pPr>
        <w:pStyle w:val="ListBulletCompact"/>
      </w:pPr>
      <w:r w:rsidRPr="00E94D8A">
        <w:t xml:space="preserve">tendrá en cuenta para determinar la escala de un </w:t>
      </w:r>
      <w:r w:rsidR="00BE1C30">
        <w:t>concesionario eficiente que considere una escala de operación que sea representativa de los operadores que ofrecen servicios de telecomunicaciones en México distintos al agente económico preponderante</w:t>
      </w:r>
      <w:r w:rsidR="009E3A70">
        <w:t xml:space="preserve"> (AEP) </w:t>
      </w:r>
      <w:r w:rsidRPr="00E94D8A">
        <w:t xml:space="preserve"> </w:t>
      </w:r>
    </w:p>
    <w:p w14:paraId="54699100" w14:textId="77777777" w:rsidR="006E361B" w:rsidRDefault="006E361B" w:rsidP="00587D3F">
      <w:pPr>
        <w:pStyle w:val="ListBulletCompact"/>
      </w:pPr>
      <w:r w:rsidRPr="00E94D8A">
        <w:t>empleará la metodología del costo de capital promedio ponderado para el cálculo del costo de capital</w:t>
      </w:r>
    </w:p>
    <w:p w14:paraId="70EC8AE2" w14:textId="77777777" w:rsidR="00BE1C30" w:rsidRPr="00E94D8A" w:rsidRDefault="00BE1C30" w:rsidP="003D55FC">
      <w:pPr>
        <w:pStyle w:val="ListBulletCompact"/>
      </w:pPr>
      <w:r>
        <w:t xml:space="preserve">empleará </w:t>
      </w:r>
      <w:r w:rsidRPr="00BE1C30">
        <w:t>la metodología del Modelo de Valuación de Activos Financieros (CAPM)</w:t>
      </w:r>
      <w:r>
        <w:t xml:space="preserve"> para el </w:t>
      </w:r>
      <w:r w:rsidRPr="00BE1C30">
        <w:t>cálculo del Costo de Capital Accionario</w:t>
      </w:r>
    </w:p>
    <w:p w14:paraId="3D98F0CB" w14:textId="77777777" w:rsidR="006E361B" w:rsidRDefault="006E361B" w:rsidP="00587D3F">
      <w:pPr>
        <w:pStyle w:val="Listaconvietas"/>
      </w:pPr>
      <w:r w:rsidRPr="00E94D8A">
        <w:t>producirá la exclusión de los costos no asociados a la prestación de servicios de interconexión (p.ej. externalidades).</w:t>
      </w:r>
    </w:p>
    <w:p w14:paraId="2F5A7CC8" w14:textId="77777777" w:rsidR="003E04D9" w:rsidRPr="00E94D8A" w:rsidRDefault="003E04D9" w:rsidP="003D55FC">
      <w:pPr>
        <w:pStyle w:val="ListBulletCompact"/>
        <w:numPr>
          <w:ilvl w:val="0"/>
          <w:numId w:val="0"/>
        </w:numPr>
      </w:pPr>
      <w:r>
        <w:t>Adicionalmente, para aquellos servicios que sólo esté obligado a prestar el AEP, se debe considerar las características de un AEP eficiente, entendida dicha eficiencia como la utilización de tecnologías modernas, eficientes sin herencias históricas potencialmente ineficientes.</w:t>
      </w:r>
    </w:p>
    <w:p w14:paraId="3D71C0C0" w14:textId="77777777" w:rsidR="003E04D9" w:rsidRPr="00E94D8A" w:rsidRDefault="003E04D9" w:rsidP="001035F4">
      <w:pPr>
        <w:pStyle w:val="Listaconvietas"/>
        <w:numPr>
          <w:ilvl w:val="0"/>
          <w:numId w:val="0"/>
        </w:numPr>
        <w:spacing w:after="0"/>
      </w:pPr>
    </w:p>
    <w:p w14:paraId="4FFC5326" w14:textId="77777777" w:rsidR="006E361B" w:rsidRPr="00E94D8A" w:rsidRDefault="006E361B" w:rsidP="00587D3F">
      <w:r w:rsidRPr="00E94D8A">
        <w:t xml:space="preserve">Los principios presentados en este informe son compatibles con los ya determinados por </w:t>
      </w:r>
      <w:r w:rsidR="00150BE8">
        <w:t>el IFT</w:t>
      </w:r>
      <w:r w:rsidRPr="00E94D8A">
        <w:t xml:space="preserve">. Por lo tanto, este informe sobre el enfoque conceptual se centra en los puntos adicionales a los principios presentados por </w:t>
      </w:r>
      <w:r w:rsidR="00150BE8">
        <w:t>el IFT</w:t>
      </w:r>
      <w:r w:rsidRPr="00E94D8A">
        <w:t xml:space="preserve"> que se deberán tomar en consideración para los modelos CITLP y las implicaciones correspondientes.</w:t>
      </w:r>
    </w:p>
    <w:p w14:paraId="1E0ECAFF" w14:textId="77777777" w:rsidR="006E361B" w:rsidRPr="00E94D8A" w:rsidRDefault="006E361B" w:rsidP="001671D4">
      <w:pPr>
        <w:pStyle w:val="Ttulo2"/>
        <w:pageBreakBefore/>
      </w:pPr>
      <w:bookmarkStart w:id="8" w:name="_Toc454893667"/>
      <w:r w:rsidRPr="00E94D8A">
        <w:lastRenderedPageBreak/>
        <w:t>Estructura del informe</w:t>
      </w:r>
      <w:bookmarkEnd w:id="8"/>
    </w:p>
    <w:p w14:paraId="388E6B95" w14:textId="77777777" w:rsidR="006E361B" w:rsidRPr="00E94D8A" w:rsidRDefault="006E361B" w:rsidP="006E361B">
      <w:r w:rsidRPr="00E94D8A">
        <w:t>El presente documento se estructura como sigue:</w:t>
      </w:r>
    </w:p>
    <w:p w14:paraId="4AC20FE4" w14:textId="77777777" w:rsidR="006E361B" w:rsidRPr="00E94D8A" w:rsidRDefault="006E361B" w:rsidP="006E361B">
      <w:pPr>
        <w:pStyle w:val="ListBulletCompact"/>
      </w:pPr>
      <w:r w:rsidRPr="0037639D">
        <w:rPr>
          <w:b/>
        </w:rPr>
        <w:t>Sección </w:t>
      </w:r>
      <w:r w:rsidR="001671D4" w:rsidRPr="0037639D">
        <w:rPr>
          <w:b/>
        </w:rPr>
        <w:fldChar w:fldCharType="begin"/>
      </w:r>
      <w:r w:rsidR="001671D4" w:rsidRPr="0037639D">
        <w:rPr>
          <w:b/>
        </w:rPr>
        <w:instrText xml:space="preserve"> REF _Ref321211115 \r \h </w:instrText>
      </w:r>
      <w:r w:rsidR="0037639D">
        <w:rPr>
          <w:b/>
        </w:rPr>
        <w:instrText xml:space="preserve"> \* MERGEFORMAT </w:instrText>
      </w:r>
      <w:r w:rsidR="001671D4" w:rsidRPr="0037639D">
        <w:rPr>
          <w:b/>
        </w:rPr>
      </w:r>
      <w:r w:rsidR="001671D4" w:rsidRPr="0037639D">
        <w:rPr>
          <w:b/>
        </w:rPr>
        <w:fldChar w:fldCharType="separate"/>
      </w:r>
      <w:r w:rsidR="00B426BC">
        <w:rPr>
          <w:b/>
        </w:rPr>
        <w:t>2</w:t>
      </w:r>
      <w:r w:rsidR="001671D4" w:rsidRPr="0037639D">
        <w:rPr>
          <w:b/>
        </w:rPr>
        <w:fldChar w:fldCharType="end"/>
      </w:r>
      <w:r w:rsidRPr="00E94D8A">
        <w:t>: introduce los principios para la elaboración de los modelos de costos</w:t>
      </w:r>
    </w:p>
    <w:p w14:paraId="11E872BA" w14:textId="77777777" w:rsidR="006E361B" w:rsidRPr="00E94D8A" w:rsidRDefault="006E361B" w:rsidP="006E361B">
      <w:pPr>
        <w:pStyle w:val="ListBulletCompact"/>
      </w:pPr>
      <w:r w:rsidRPr="0037639D">
        <w:rPr>
          <w:b/>
        </w:rPr>
        <w:t>Sección </w:t>
      </w:r>
      <w:r w:rsidR="001671D4" w:rsidRPr="0037639D">
        <w:rPr>
          <w:b/>
        </w:rPr>
        <w:fldChar w:fldCharType="begin"/>
      </w:r>
      <w:r w:rsidR="001671D4" w:rsidRPr="0037639D">
        <w:rPr>
          <w:b/>
        </w:rPr>
        <w:instrText xml:space="preserve"> REF _Ref321211120 \r \h </w:instrText>
      </w:r>
      <w:r w:rsidR="0037639D">
        <w:rPr>
          <w:b/>
        </w:rPr>
        <w:instrText xml:space="preserve"> \* MERGEFORMAT </w:instrText>
      </w:r>
      <w:r w:rsidR="001671D4" w:rsidRPr="0037639D">
        <w:rPr>
          <w:b/>
        </w:rPr>
      </w:r>
      <w:r w:rsidR="001671D4" w:rsidRPr="0037639D">
        <w:rPr>
          <w:b/>
        </w:rPr>
        <w:fldChar w:fldCharType="separate"/>
      </w:r>
      <w:r w:rsidR="00B426BC">
        <w:rPr>
          <w:b/>
        </w:rPr>
        <w:t>3</w:t>
      </w:r>
      <w:r w:rsidR="001671D4" w:rsidRPr="0037639D">
        <w:rPr>
          <w:b/>
        </w:rPr>
        <w:fldChar w:fldCharType="end"/>
      </w:r>
      <w:r w:rsidRPr="00E94D8A">
        <w:t>: describe los aspectos específicos relacionados con el tipo de operador a modelar</w:t>
      </w:r>
    </w:p>
    <w:p w14:paraId="1D85F555" w14:textId="77777777" w:rsidR="006E361B" w:rsidRPr="0037639D" w:rsidRDefault="006E361B" w:rsidP="006E361B">
      <w:pPr>
        <w:pStyle w:val="ListBulletCompact"/>
        <w:rPr>
          <w:spacing w:val="-4"/>
        </w:rPr>
      </w:pPr>
      <w:r w:rsidRPr="0037639D">
        <w:rPr>
          <w:b/>
          <w:spacing w:val="-4"/>
        </w:rPr>
        <w:t>Sección </w:t>
      </w:r>
      <w:r w:rsidR="00EE6520">
        <w:rPr>
          <w:b/>
          <w:spacing w:val="-4"/>
        </w:rPr>
        <w:t>4</w:t>
      </w:r>
      <w:r w:rsidRPr="0037639D">
        <w:rPr>
          <w:spacing w:val="-4"/>
        </w:rPr>
        <w:t xml:space="preserve">: presenta los aspectos conceptuales relacionados con el tipo de tecnología </w:t>
      </w:r>
      <w:r w:rsidR="0037639D">
        <w:rPr>
          <w:spacing w:val="-4"/>
        </w:rPr>
        <w:t xml:space="preserve">a modelar </w:t>
      </w:r>
    </w:p>
    <w:p w14:paraId="3721745A" w14:textId="77777777" w:rsidR="006E361B" w:rsidRPr="00E94D8A" w:rsidRDefault="006E361B" w:rsidP="006E361B">
      <w:pPr>
        <w:pStyle w:val="ListBulletCompact"/>
      </w:pPr>
      <w:r w:rsidRPr="0037639D">
        <w:rPr>
          <w:b/>
        </w:rPr>
        <w:t>Sección </w:t>
      </w:r>
      <w:r w:rsidR="00EE6520">
        <w:rPr>
          <w:b/>
        </w:rPr>
        <w:t>5</w:t>
      </w:r>
      <w:r w:rsidRPr="00E94D8A">
        <w:t>: examina los aspectos conceptuales relacionados con los servicios a modelar</w:t>
      </w:r>
    </w:p>
    <w:p w14:paraId="19797C8F" w14:textId="77777777" w:rsidR="006E361B" w:rsidRPr="0037639D" w:rsidRDefault="006E361B" w:rsidP="006E361B">
      <w:pPr>
        <w:pStyle w:val="Listaconvietas"/>
        <w:ind w:left="360" w:hanging="360"/>
        <w:rPr>
          <w:spacing w:val="-4"/>
        </w:rPr>
      </w:pPr>
      <w:r w:rsidRPr="0037639D">
        <w:rPr>
          <w:b/>
          <w:spacing w:val="-4"/>
        </w:rPr>
        <w:t>Sección</w:t>
      </w:r>
      <w:r w:rsidR="001671D4" w:rsidRPr="0037639D">
        <w:rPr>
          <w:b/>
          <w:spacing w:val="-4"/>
        </w:rPr>
        <w:t> </w:t>
      </w:r>
      <w:r w:rsidR="00EE6520">
        <w:rPr>
          <w:b/>
          <w:spacing w:val="-4"/>
        </w:rPr>
        <w:t>6</w:t>
      </w:r>
      <w:r w:rsidRPr="0037639D">
        <w:rPr>
          <w:spacing w:val="-4"/>
        </w:rPr>
        <w:t xml:space="preserve">: </w:t>
      </w:r>
      <w:r w:rsidR="0037639D">
        <w:rPr>
          <w:spacing w:val="-4"/>
        </w:rPr>
        <w:t>define</w:t>
      </w:r>
      <w:r w:rsidRPr="0037639D">
        <w:rPr>
          <w:spacing w:val="-4"/>
        </w:rPr>
        <w:t xml:space="preserve"> los aspectos conceptuales relacionados con la implementación de los modelos.</w:t>
      </w:r>
    </w:p>
    <w:p w14:paraId="64AC47F3" w14:textId="77777777" w:rsidR="006E361B" w:rsidRPr="00E94D8A" w:rsidRDefault="006E361B" w:rsidP="006E361B">
      <w:r w:rsidRPr="00E94D8A">
        <w:t xml:space="preserve">El informe incluye </w:t>
      </w:r>
      <w:r w:rsidR="0037639D">
        <w:t>un</w:t>
      </w:r>
      <w:r w:rsidRPr="00E94D8A">
        <w:t xml:space="preserve"> anexo que contiene material complementario:</w:t>
      </w:r>
    </w:p>
    <w:p w14:paraId="4051127D" w14:textId="77777777" w:rsidR="00023C40" w:rsidRDefault="006E361B" w:rsidP="00023C40">
      <w:pPr>
        <w:pStyle w:val="ListBulletCompact"/>
      </w:pPr>
      <w:r w:rsidRPr="0037639D">
        <w:rPr>
          <w:b/>
        </w:rPr>
        <w:t>Anexo A</w:t>
      </w:r>
      <w:r w:rsidRPr="00E94D8A">
        <w:t>: aplicación de la depreciación económica</w:t>
      </w:r>
      <w:r w:rsidR="001671D4" w:rsidRPr="00E94D8A">
        <w:t>.</w:t>
      </w:r>
    </w:p>
    <w:p w14:paraId="013F1DC1" w14:textId="77777777" w:rsidR="00023C40" w:rsidRPr="00E94D8A" w:rsidRDefault="00023C40" w:rsidP="00023C40">
      <w:pPr>
        <w:pStyle w:val="Listaconvietas"/>
      </w:pPr>
      <w:r w:rsidRPr="00023C40">
        <w:rPr>
          <w:b/>
        </w:rPr>
        <w:t>Anexo B:</w:t>
      </w:r>
      <w:r>
        <w:t xml:space="preserve"> análisis de los parámetros sugeridos del CCPP</w:t>
      </w:r>
    </w:p>
    <w:p w14:paraId="6D652E82" w14:textId="77777777" w:rsidR="006E361B" w:rsidRPr="00E94D8A" w:rsidRDefault="006E361B" w:rsidP="006E361B"/>
    <w:p w14:paraId="5DB6104F" w14:textId="77777777" w:rsidR="006E361B" w:rsidRPr="00E94D8A" w:rsidRDefault="006E361B" w:rsidP="006E361B">
      <w:pPr>
        <w:pStyle w:val="Ttulo1"/>
        <w:rPr>
          <w:lang w:val="es-ES"/>
        </w:rPr>
      </w:pPr>
      <w:bookmarkStart w:id="9" w:name="_Ref321211115"/>
      <w:bookmarkStart w:id="10" w:name="_Toc454893668"/>
      <w:r w:rsidRPr="00E94D8A">
        <w:rPr>
          <w:lang w:val="es-ES"/>
        </w:rPr>
        <w:lastRenderedPageBreak/>
        <w:t>Principios para la elaboración de los modelos de costos</w:t>
      </w:r>
      <w:bookmarkEnd w:id="9"/>
      <w:bookmarkEnd w:id="10"/>
    </w:p>
    <w:p w14:paraId="2C9C9F69" w14:textId="77777777" w:rsidR="006E361B" w:rsidRPr="00E94D8A" w:rsidRDefault="006E361B" w:rsidP="006E361B">
      <w:pPr>
        <w:spacing w:after="120"/>
      </w:pPr>
      <w:r w:rsidRPr="00E94D8A">
        <w:t xml:space="preserve">Esta sección presenta los principales aspectos conceptuales sobre la metodología de costos incrementales de largo plazo para los servicios de terminación en redes fijas y móviles. Está estructurada como sigue: </w:t>
      </w:r>
    </w:p>
    <w:p w14:paraId="0F9C4A87" w14:textId="5A7859EE" w:rsidR="006E361B" w:rsidRPr="00E94D8A" w:rsidRDefault="006E361B" w:rsidP="006E361B">
      <w:pPr>
        <w:pStyle w:val="ListBulletCompact"/>
      </w:pPr>
      <w:r w:rsidRPr="00E94D8A">
        <w:t xml:space="preserve">competitividad y </w:t>
      </w:r>
      <w:r w:rsidR="00E2003F">
        <w:t>dispu</w:t>
      </w:r>
      <w:r w:rsidR="00E2003F" w:rsidRPr="00E94D8A">
        <w:t xml:space="preserve">tabilidad </w:t>
      </w:r>
      <w:r w:rsidRPr="00E94D8A">
        <w:t>(Sección </w:t>
      </w:r>
      <w:r w:rsidR="001671D4" w:rsidRPr="00E94D8A">
        <w:fldChar w:fldCharType="begin"/>
      </w:r>
      <w:r w:rsidR="001671D4" w:rsidRPr="00E94D8A">
        <w:instrText xml:space="preserve"> REF _Ref321211156 \r \h </w:instrText>
      </w:r>
      <w:r w:rsidR="001671D4" w:rsidRPr="00E94D8A">
        <w:fldChar w:fldCharType="separate"/>
      </w:r>
      <w:r w:rsidR="00B426BC">
        <w:t>2.1</w:t>
      </w:r>
      <w:r w:rsidR="001671D4" w:rsidRPr="00E94D8A">
        <w:fldChar w:fldCharType="end"/>
      </w:r>
      <w:r w:rsidRPr="00E94D8A">
        <w:t>)</w:t>
      </w:r>
    </w:p>
    <w:p w14:paraId="79E3C62D" w14:textId="77777777" w:rsidR="006E361B" w:rsidRPr="00E94D8A" w:rsidRDefault="006E361B" w:rsidP="006E361B">
      <w:pPr>
        <w:pStyle w:val="ListBulletCompact"/>
      </w:pPr>
      <w:r w:rsidRPr="00E94D8A">
        <w:t>costeo de largo plazo (Sección </w:t>
      </w:r>
      <w:r w:rsidR="001671D4" w:rsidRPr="00E94D8A">
        <w:fldChar w:fldCharType="begin"/>
      </w:r>
      <w:r w:rsidR="001671D4" w:rsidRPr="00E94D8A">
        <w:instrText xml:space="preserve"> REF _Ref321211161 \r \h </w:instrText>
      </w:r>
      <w:r w:rsidR="001671D4" w:rsidRPr="00E94D8A">
        <w:fldChar w:fldCharType="separate"/>
      </w:r>
      <w:r w:rsidR="00B426BC">
        <w:t>2.2</w:t>
      </w:r>
      <w:r w:rsidR="001671D4" w:rsidRPr="00E94D8A">
        <w:fldChar w:fldCharType="end"/>
      </w:r>
      <w:r w:rsidRPr="00E94D8A">
        <w:t>)</w:t>
      </w:r>
    </w:p>
    <w:p w14:paraId="3236A1D6" w14:textId="77777777" w:rsidR="006E361B" w:rsidRPr="00E94D8A" w:rsidRDefault="006E361B" w:rsidP="006E361B">
      <w:pPr>
        <w:pStyle w:val="ListBulletCompact"/>
      </w:pPr>
      <w:r w:rsidRPr="00E94D8A">
        <w:t>costeo incremental (Sección </w:t>
      </w:r>
      <w:r w:rsidR="001671D4" w:rsidRPr="00E94D8A">
        <w:fldChar w:fldCharType="begin"/>
      </w:r>
      <w:r w:rsidR="001671D4" w:rsidRPr="00E94D8A">
        <w:instrText xml:space="preserve"> REF _Ref321211164 \r \h </w:instrText>
      </w:r>
      <w:r w:rsidR="001671D4" w:rsidRPr="00E94D8A">
        <w:fldChar w:fldCharType="separate"/>
      </w:r>
      <w:r w:rsidR="00B426BC">
        <w:t>2.3</w:t>
      </w:r>
      <w:r w:rsidR="001671D4" w:rsidRPr="00E94D8A">
        <w:fldChar w:fldCharType="end"/>
      </w:r>
      <w:r w:rsidRPr="00E94D8A">
        <w:t>)</w:t>
      </w:r>
    </w:p>
    <w:p w14:paraId="74EB6163" w14:textId="77777777" w:rsidR="006E361B" w:rsidRPr="00E94D8A" w:rsidRDefault="006E361B" w:rsidP="006E361B">
      <w:pPr>
        <w:pStyle w:val="ListBulletCompact"/>
      </w:pPr>
      <w:r w:rsidRPr="00E94D8A">
        <w:t>costos incurridos por un operador eficiente (Sección </w:t>
      </w:r>
      <w:r w:rsidR="001671D4" w:rsidRPr="00E94D8A">
        <w:fldChar w:fldCharType="begin"/>
      </w:r>
      <w:r w:rsidR="001671D4" w:rsidRPr="00E94D8A">
        <w:instrText xml:space="preserve"> REF _Ref321211169 \r \h </w:instrText>
      </w:r>
      <w:r w:rsidR="001671D4" w:rsidRPr="00E94D8A">
        <w:fldChar w:fldCharType="separate"/>
      </w:r>
      <w:r w:rsidR="00B426BC">
        <w:t>2.4</w:t>
      </w:r>
      <w:r w:rsidR="001671D4" w:rsidRPr="00E94D8A">
        <w:fldChar w:fldCharType="end"/>
      </w:r>
      <w:r w:rsidRPr="00E94D8A">
        <w:t>)</w:t>
      </w:r>
    </w:p>
    <w:p w14:paraId="0503FA38" w14:textId="77777777" w:rsidR="006E361B" w:rsidRPr="00E94D8A" w:rsidRDefault="006E361B" w:rsidP="006E361B">
      <w:pPr>
        <w:pStyle w:val="ListBulletCompact"/>
      </w:pPr>
      <w:r w:rsidRPr="00E94D8A">
        <w:t>costos de la oferta del servicio utilizando tecnologías modernas (Sección </w:t>
      </w:r>
      <w:r w:rsidR="001671D4" w:rsidRPr="00E94D8A">
        <w:fldChar w:fldCharType="begin"/>
      </w:r>
      <w:r w:rsidR="001671D4" w:rsidRPr="00E94D8A">
        <w:instrText xml:space="preserve"> REF _Ref321211173 \r \h </w:instrText>
      </w:r>
      <w:r w:rsidR="001671D4" w:rsidRPr="00E94D8A">
        <w:fldChar w:fldCharType="separate"/>
      </w:r>
      <w:r w:rsidR="00B426BC">
        <w:t>2.5</w:t>
      </w:r>
      <w:r w:rsidR="001671D4" w:rsidRPr="00E94D8A">
        <w:fldChar w:fldCharType="end"/>
      </w:r>
      <w:r w:rsidRPr="00E94D8A">
        <w:t>)</w:t>
      </w:r>
    </w:p>
    <w:p w14:paraId="04A2F583" w14:textId="77777777" w:rsidR="006E361B" w:rsidRPr="00E94D8A" w:rsidRDefault="006E361B" w:rsidP="006E361B">
      <w:pPr>
        <w:pStyle w:val="Listaconvietas"/>
        <w:ind w:left="360" w:hanging="360"/>
      </w:pPr>
      <w:r w:rsidRPr="00E94D8A">
        <w:t>costos a futuro (Sección </w:t>
      </w:r>
      <w:r w:rsidR="001671D4" w:rsidRPr="00E94D8A">
        <w:fldChar w:fldCharType="begin"/>
      </w:r>
      <w:r w:rsidR="001671D4" w:rsidRPr="00E94D8A">
        <w:instrText xml:space="preserve"> REF _Ref321211180 \r \h </w:instrText>
      </w:r>
      <w:r w:rsidR="001671D4" w:rsidRPr="00E94D8A">
        <w:fldChar w:fldCharType="separate"/>
      </w:r>
      <w:r w:rsidR="00B426BC">
        <w:t>2.6</w:t>
      </w:r>
      <w:r w:rsidR="001671D4" w:rsidRPr="00E94D8A">
        <w:fldChar w:fldCharType="end"/>
      </w:r>
      <w:r w:rsidRPr="00E94D8A">
        <w:t>).</w:t>
      </w:r>
    </w:p>
    <w:p w14:paraId="7AB15AC8" w14:textId="561EF4CC" w:rsidR="006E361B" w:rsidRPr="00E94D8A" w:rsidRDefault="006E361B" w:rsidP="006E361B">
      <w:pPr>
        <w:pStyle w:val="Ttulo2"/>
      </w:pPr>
      <w:bookmarkStart w:id="11" w:name="_Ref321211156"/>
      <w:bookmarkStart w:id="12" w:name="_Toc454893669"/>
      <w:r w:rsidRPr="00E94D8A">
        <w:t xml:space="preserve">Competitividad y </w:t>
      </w:r>
      <w:bookmarkEnd w:id="11"/>
      <w:bookmarkEnd w:id="12"/>
      <w:r w:rsidR="00E2003F">
        <w:t>dispu</w:t>
      </w:r>
      <w:r w:rsidR="00E2003F" w:rsidRPr="00E94D8A">
        <w:t>tabilidad</w:t>
      </w:r>
    </w:p>
    <w:p w14:paraId="00F4B3B4" w14:textId="7CA2212E" w:rsidR="006E361B" w:rsidRPr="00E94D8A" w:rsidRDefault="006E361B" w:rsidP="006E361B">
      <w:pPr>
        <w:spacing w:after="120"/>
        <w:rPr>
          <w:spacing w:val="-4"/>
        </w:rPr>
      </w:pPr>
      <w:r w:rsidRPr="00E94D8A">
        <w:rPr>
          <w:spacing w:val="-4"/>
        </w:rPr>
        <w:t xml:space="preserve">Los costos incrementales de largo plazo (CILP) reflejan el costo adicional que un </w:t>
      </w:r>
      <w:r w:rsidR="00176250" w:rsidRPr="00E94D8A">
        <w:rPr>
          <w:spacing w:val="-4"/>
        </w:rPr>
        <w:t>concesionari</w:t>
      </w:r>
      <w:r w:rsidR="00176250">
        <w:rPr>
          <w:spacing w:val="-4"/>
        </w:rPr>
        <w:t>o</w:t>
      </w:r>
      <w:r w:rsidR="00176250" w:rsidRPr="00E94D8A">
        <w:rPr>
          <w:spacing w:val="-4"/>
        </w:rPr>
        <w:t xml:space="preserve"> </w:t>
      </w:r>
      <w:r w:rsidRPr="00E94D8A">
        <w:rPr>
          <w:spacing w:val="-4"/>
        </w:rPr>
        <w:t xml:space="preserve">incurre en el largo plazo por la prestación de un servicio en un mercado competitivo y </w:t>
      </w:r>
      <w:r w:rsidR="00E2003F">
        <w:rPr>
          <w:spacing w:val="-4"/>
        </w:rPr>
        <w:t>dispu</w:t>
      </w:r>
      <w:r w:rsidR="00E2003F" w:rsidRPr="00E94D8A">
        <w:rPr>
          <w:spacing w:val="-4"/>
        </w:rPr>
        <w:t>table</w:t>
      </w:r>
      <w:r w:rsidRPr="00E94D8A">
        <w:rPr>
          <w:spacing w:val="-4"/>
        </w:rPr>
        <w:t>. Un entorno de competencia efectiva asegura que los operadores obtengan una rentabilidad razonable sobre el capital invertido en el largo plazo, es decir, durante un periodo discreto de tiempo.</w:t>
      </w:r>
    </w:p>
    <w:p w14:paraId="469EBC68" w14:textId="72DFD134" w:rsidR="006E361B" w:rsidRDefault="006E361B" w:rsidP="006E361B">
      <w:r w:rsidRPr="00E94D8A">
        <w:t xml:space="preserve">La </w:t>
      </w:r>
      <w:r w:rsidR="00E2003F">
        <w:t>dispu</w:t>
      </w:r>
      <w:r w:rsidR="00E2003F" w:rsidRPr="00E94D8A">
        <w:t xml:space="preserve">tabilidad </w:t>
      </w:r>
      <w:r w:rsidRPr="00E94D8A">
        <w:t>asegura que los precios de los servicios existentes reflejen los costos de proveer dichos servicios en un mercado al que pueden entrar nuevos competidores utilizando tecnologías modernas. Con estos criterios se logra que los operadores no puedan recobrar los costos contraídos de manera ineficiente y que se requiera una evolución de largo plazo en la recuperación de costos de un operador (ya que un nuevo entrante no tendría las restricciones asociadas con la recuperación de costos históricos).</w:t>
      </w:r>
    </w:p>
    <w:p w14:paraId="52AECE94" w14:textId="77777777" w:rsidR="006E361B" w:rsidRPr="00E94D8A" w:rsidRDefault="006E361B" w:rsidP="006E361B">
      <w:pPr>
        <w:pStyle w:val="Ttulo2"/>
      </w:pPr>
      <w:bookmarkStart w:id="13" w:name="_Ref321211161"/>
      <w:bookmarkStart w:id="14" w:name="_Toc454893670"/>
      <w:r w:rsidRPr="00E94D8A">
        <w:t>Costeo de largo plazo</w:t>
      </w:r>
      <w:bookmarkEnd w:id="13"/>
      <w:bookmarkEnd w:id="14"/>
    </w:p>
    <w:p w14:paraId="1737DF2E" w14:textId="77777777" w:rsidR="006E361B" w:rsidRPr="00E94D8A" w:rsidRDefault="006E361B" w:rsidP="006E361B">
      <w:pPr>
        <w:spacing w:after="120"/>
        <w:rPr>
          <w:color w:val="000000" w:themeColor="text1"/>
        </w:rPr>
      </w:pPr>
      <w:r w:rsidRPr="00E94D8A">
        <w:rPr>
          <w:color w:val="000000" w:themeColor="text1"/>
        </w:rPr>
        <w:t xml:space="preserve">Los </w:t>
      </w:r>
      <w:r w:rsidR="00CE4B8A" w:rsidRPr="00E94D8A">
        <w:rPr>
          <w:color w:val="000000" w:themeColor="text1"/>
        </w:rPr>
        <w:t>cost</w:t>
      </w:r>
      <w:r w:rsidR="00CE4B8A">
        <w:rPr>
          <w:color w:val="000000" w:themeColor="text1"/>
        </w:rPr>
        <w:t>o</w:t>
      </w:r>
      <w:r w:rsidR="00CE4B8A" w:rsidRPr="00E94D8A">
        <w:rPr>
          <w:color w:val="000000" w:themeColor="text1"/>
        </w:rPr>
        <w:t xml:space="preserve">s </w:t>
      </w:r>
      <w:r w:rsidRPr="00E94D8A">
        <w:rPr>
          <w:color w:val="000000" w:themeColor="text1"/>
        </w:rPr>
        <w:t>incurridos por un operador son consecuencia de la existencia de demanda de sus servicios o de cambios en la estructura de la misma. Los costos de largo plazo incluyen la totalidad de los costos incurridos por el operador para satisfacer la demanda de sus servicios, por lo que también incluye el precio de reposición de los activos que intervienen en la prestación de los distintos servicios. Como tal, la duración del ‘largo plazo’ puede ser considerada al menos tan larga como la duración del activo de la red fija</w:t>
      </w:r>
      <w:r w:rsidR="00B63DD1">
        <w:rPr>
          <w:color w:val="000000" w:themeColor="text1"/>
        </w:rPr>
        <w:t xml:space="preserve"> o móvil</w:t>
      </w:r>
      <w:r w:rsidRPr="00E94D8A">
        <w:rPr>
          <w:color w:val="000000" w:themeColor="text1"/>
        </w:rPr>
        <w:t xml:space="preserve"> con mayor vida útil.</w:t>
      </w:r>
    </w:p>
    <w:p w14:paraId="5579B243" w14:textId="77777777" w:rsidR="006E361B" w:rsidRPr="00E94D8A" w:rsidRDefault="006E361B" w:rsidP="00E94D8A">
      <w:r w:rsidRPr="00E94D8A">
        <w:t xml:space="preserve">Considerar los costos de largo plazo es percibido como una representación fiable de los costos incurridos por un operador ya que todos los elementos necesarios para proveer la demanda de servicio, estarían incluidos y serían promediados de alguna forma a lo largo de la duración del servicio. Por otro lado, los costos a corto plazo son incurridos en el momento de proveer el servicio, y suelen variar significativamente. Por ejemplo, cuando un operador lanza un nuevo servicio, el aumento en la demanda puede llevar a que el operador tenga que instalar capacidad adicional para poder hacer frente al aumento en la demanda y por tanto sus costos unitarios serán mayores en el </w:t>
      </w:r>
      <w:r w:rsidRPr="00E94D8A">
        <w:lastRenderedPageBreak/>
        <w:t>corto plazo, pero estos disminuirán con la mejor utilización de la capacidad instalada por el aumento y estabilización de la demanda.</w:t>
      </w:r>
    </w:p>
    <w:p w14:paraId="38B8AA47" w14:textId="77777777" w:rsidR="006E361B" w:rsidRPr="00E94D8A" w:rsidRDefault="006E361B" w:rsidP="00FB7938">
      <w:r w:rsidRPr="00E94D8A">
        <w:t xml:space="preserve">En </w:t>
      </w:r>
      <w:r w:rsidRPr="00FB7938">
        <w:t>conclusión</w:t>
      </w:r>
      <w:r w:rsidRPr="00E94D8A">
        <w:t xml:space="preserve">, con la metodología CILP, será necesario identificar los costos incrementales como todos los costos, que son incurridos en el largo plazo para soportar la demanda de servicio del incremento. </w:t>
      </w:r>
    </w:p>
    <w:p w14:paraId="1F693BE3" w14:textId="77777777" w:rsidR="006E361B" w:rsidRPr="00E94D8A" w:rsidRDefault="006E361B" w:rsidP="006E361B">
      <w:pPr>
        <w:pStyle w:val="Ttulo2"/>
      </w:pPr>
      <w:bookmarkStart w:id="15" w:name="_Ref321211164"/>
      <w:bookmarkStart w:id="16" w:name="_Toc454893671"/>
      <w:r w:rsidRPr="00E94D8A">
        <w:t>Costeo incremental</w:t>
      </w:r>
      <w:bookmarkEnd w:id="15"/>
      <w:bookmarkEnd w:id="16"/>
    </w:p>
    <w:p w14:paraId="232B41FE" w14:textId="77777777" w:rsidR="006E361B" w:rsidRPr="00E94D8A" w:rsidRDefault="006E361B" w:rsidP="006E361B">
      <w:pPr>
        <w:spacing w:after="120" w:line="300" w:lineRule="atLeast"/>
      </w:pPr>
      <w:r w:rsidRPr="00E94D8A">
        <w:t>Dado que un operador ofrece distintos productos o servicios, el costo incremental es el cambio en el costo total, determinado por el aumento en la oferta (prestación) de un servicio particular, bajo el supuesto de que todas las otras actividades productivas permanecen sin cambios. En otras palabras, el costo incremental puede definirse como el costo total que evitaría un operador si cesara la provisión de ese servicio particular.</w:t>
      </w:r>
    </w:p>
    <w:p w14:paraId="4D8F6E89" w14:textId="77777777" w:rsidR="006E361B" w:rsidRPr="00E94D8A" w:rsidRDefault="006E361B" w:rsidP="006E361B">
      <w:pPr>
        <w:spacing w:after="120" w:line="300" w:lineRule="atLeast"/>
      </w:pPr>
      <w:r w:rsidRPr="00E94D8A">
        <w:t>En la definición del incremento, o incrementos, que se utilizarán en los modelos de costos existe una flexibilidad considerable y la elección debe ser adecuada para la aplicación específica del modelo. Entre las definiciones de incremento  potenciales están:</w:t>
      </w:r>
    </w:p>
    <w:p w14:paraId="12905FA1" w14:textId="77777777" w:rsidR="006E361B" w:rsidRPr="00E94D8A" w:rsidRDefault="006E361B" w:rsidP="006E361B">
      <w:pPr>
        <w:pStyle w:val="ListBulletCompact"/>
      </w:pPr>
      <w:r w:rsidRPr="00E94D8A">
        <w:t>la unidad marginal de demanda de servicio</w:t>
      </w:r>
    </w:p>
    <w:p w14:paraId="47B15F81" w14:textId="77777777" w:rsidR="006E361B" w:rsidRPr="00E94D8A" w:rsidRDefault="006E361B" w:rsidP="006E361B">
      <w:pPr>
        <w:pStyle w:val="ListBulletCompact"/>
      </w:pPr>
      <w:r w:rsidRPr="00E94D8A">
        <w:t>la demanda total de demanda de servicio</w:t>
      </w:r>
    </w:p>
    <w:p w14:paraId="7AA9C4A8" w14:textId="77777777" w:rsidR="006E361B" w:rsidRPr="00E94D8A" w:rsidRDefault="006E361B" w:rsidP="006E361B">
      <w:pPr>
        <w:pStyle w:val="ListBulletCompact"/>
      </w:pPr>
      <w:r w:rsidRPr="00E94D8A">
        <w:t>la demanda total para un grupo de servicios</w:t>
      </w:r>
    </w:p>
    <w:p w14:paraId="5DEA5757" w14:textId="77777777" w:rsidR="006E361B" w:rsidRPr="00E94D8A" w:rsidRDefault="006E361B" w:rsidP="006E361B">
      <w:pPr>
        <w:pStyle w:val="Listaconvietas"/>
        <w:spacing w:after="120"/>
        <w:ind w:left="360" w:hanging="360"/>
      </w:pPr>
      <w:r w:rsidRPr="00E94D8A">
        <w:t xml:space="preserve">la demanda total para todos los servicios agregados.  </w:t>
      </w:r>
    </w:p>
    <w:p w14:paraId="02259D9E" w14:textId="5665D0A0" w:rsidR="006E361B" w:rsidRPr="00E94D8A" w:rsidRDefault="006E361B" w:rsidP="006E361B">
      <w:pPr>
        <w:spacing w:after="120" w:line="300" w:lineRule="atLeast"/>
      </w:pPr>
      <w:r w:rsidRPr="00E94D8A">
        <w:t xml:space="preserve">En la </w:t>
      </w:r>
      <w:r w:rsidR="00E94D8A" w:rsidRPr="00E94D8A">
        <w:fldChar w:fldCharType="begin"/>
      </w:r>
      <w:r w:rsidR="00E94D8A" w:rsidRPr="00E94D8A">
        <w:instrText xml:space="preserve"> REF _Ref321211672 \h </w:instrText>
      </w:r>
      <w:r w:rsidR="00E94D8A" w:rsidRPr="00E94D8A">
        <w:fldChar w:fldCharType="separate"/>
      </w:r>
      <w:r w:rsidR="00B426BC" w:rsidRPr="00E94D8A">
        <w:t xml:space="preserve">Figura </w:t>
      </w:r>
      <w:r w:rsidR="00B426BC">
        <w:rPr>
          <w:noProof/>
        </w:rPr>
        <w:t>2</w:t>
      </w:r>
      <w:r w:rsidR="00B426BC" w:rsidRPr="00E94D8A">
        <w:t>.</w:t>
      </w:r>
      <w:r w:rsidR="00B426BC">
        <w:rPr>
          <w:noProof/>
        </w:rPr>
        <w:t>1</w:t>
      </w:r>
      <w:r w:rsidR="00E94D8A" w:rsidRPr="00E94D8A">
        <w:fldChar w:fldCharType="end"/>
      </w:r>
      <w:r w:rsidR="00E94D8A" w:rsidRPr="00E94D8A">
        <w:t xml:space="preserve"> </w:t>
      </w:r>
      <w:r w:rsidRPr="00E94D8A">
        <w:t>se ilustra cómo interactúan las posibles definiciones de incrementos con los diferentes costos incurridos en un negocio que presta cinco servicios.</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6E361B" w:rsidRPr="00E94D8A" w14:paraId="17AA2F2F" w14:textId="77777777" w:rsidTr="006E361B">
        <w:tc>
          <w:tcPr>
            <w:tcW w:w="6576" w:type="dxa"/>
            <w:tcBorders>
              <w:right w:val="single" w:sz="4" w:space="0" w:color="auto"/>
            </w:tcBorders>
            <w:shd w:val="clear" w:color="auto" w:fill="auto"/>
          </w:tcPr>
          <w:p w14:paraId="781C7749" w14:textId="77777777" w:rsidR="006E361B" w:rsidRPr="00E94D8A" w:rsidRDefault="006E361B" w:rsidP="006E361B">
            <w:pPr>
              <w:pStyle w:val="Bordersmall"/>
              <w:rPr>
                <w:lang w:val="es-ES"/>
              </w:rPr>
            </w:pPr>
            <w:r w:rsidRPr="00E94D8A">
              <w:rPr>
                <w:noProof/>
                <w:lang w:val="es-MX" w:eastAsia="es-MX"/>
              </w:rPr>
              <w:drawing>
                <wp:inline distT="0" distB="0" distL="0" distR="0" wp14:anchorId="5BE89985" wp14:editId="0DFC194E">
                  <wp:extent cx="3331945" cy="3381307"/>
                  <wp:effectExtent l="0" t="0" r="1905" b="0"/>
                  <wp:docPr id="9" name="Picture 9" descr="Definiciones de posibles incrementos, Fuente: Analysys Mason, 2016" title="Figura dos punto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333809" cy="3383199"/>
                          </a:xfrm>
                          <a:prstGeom prst="rect">
                            <a:avLst/>
                          </a:prstGeom>
                        </pic:spPr>
                      </pic:pic>
                    </a:graphicData>
                  </a:graphic>
                </wp:inline>
              </w:drawing>
            </w:r>
          </w:p>
        </w:tc>
        <w:tc>
          <w:tcPr>
            <w:tcW w:w="2154" w:type="dxa"/>
            <w:tcBorders>
              <w:left w:val="single" w:sz="4" w:space="0" w:color="auto"/>
            </w:tcBorders>
            <w:shd w:val="clear" w:color="auto" w:fill="auto"/>
          </w:tcPr>
          <w:p w14:paraId="771910E6" w14:textId="77777777" w:rsidR="006E361B" w:rsidRPr="00E94D8A" w:rsidRDefault="006E361B" w:rsidP="00E94D8A">
            <w:pPr>
              <w:pStyle w:val="Captionsmall"/>
              <w:rPr>
                <w:lang w:val="es-ES"/>
              </w:rPr>
            </w:pPr>
            <w:bookmarkStart w:id="17" w:name="_Ref321211672"/>
            <w:r w:rsidRPr="00E94D8A">
              <w:rPr>
                <w:lang w:val="es-ES"/>
              </w:rPr>
              <w:t>Figur</w:t>
            </w:r>
            <w:r w:rsidR="00E94D8A" w:rsidRP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2</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w:instrText>
            </w:r>
            <w:r w:rsidR="00A37365" w:rsidRPr="00E94D8A">
              <w:rPr>
                <w:lang w:val="es-ES"/>
              </w:rPr>
              <w:instrText>SEQ Ilustración</w:instrText>
            </w:r>
            <w:r w:rsidRPr="00E94D8A">
              <w:rPr>
                <w:lang w:val="es-ES"/>
              </w:rPr>
              <w:instrText xml:space="preserve"> \* ARABIC \s 1 \* MERGEFORMAT </w:instrText>
            </w:r>
            <w:r w:rsidRPr="00E94D8A">
              <w:rPr>
                <w:lang w:val="es-ES"/>
              </w:rPr>
              <w:fldChar w:fldCharType="separate"/>
            </w:r>
            <w:r w:rsidR="00B426BC">
              <w:rPr>
                <w:noProof/>
                <w:lang w:val="es-ES"/>
              </w:rPr>
              <w:t>1</w:t>
            </w:r>
            <w:r w:rsidRPr="00E94D8A">
              <w:rPr>
                <w:lang w:val="es-ES"/>
              </w:rPr>
              <w:fldChar w:fldCharType="end"/>
            </w:r>
            <w:bookmarkEnd w:id="17"/>
            <w:r w:rsidRPr="00E94D8A">
              <w:rPr>
                <w:lang w:val="es-ES"/>
              </w:rPr>
              <w:t xml:space="preserve">: </w:t>
            </w:r>
            <w:r w:rsidR="00E94D8A" w:rsidRPr="00E94D8A">
              <w:rPr>
                <w:lang w:val="es-ES"/>
              </w:rPr>
              <w:t xml:space="preserve">Definiciones de posibles incrementos </w:t>
            </w:r>
            <w:r w:rsidRPr="00E94D8A">
              <w:rPr>
                <w:lang w:val="es-ES"/>
              </w:rPr>
              <w:t>[</w:t>
            </w:r>
            <w:r w:rsidR="001657CE">
              <w:rPr>
                <w:lang w:val="es-ES"/>
              </w:rPr>
              <w:t xml:space="preserve">Fuente: </w:t>
            </w:r>
            <w:proofErr w:type="spellStart"/>
            <w:r w:rsidR="001657CE">
              <w:rPr>
                <w:lang w:val="es-ES"/>
              </w:rPr>
              <w:t>Analysys</w:t>
            </w:r>
            <w:proofErr w:type="spellEnd"/>
            <w:r w:rsidR="001657CE">
              <w:rPr>
                <w:lang w:val="es-ES"/>
              </w:rPr>
              <w:t xml:space="preserve"> Mason, 2016</w:t>
            </w:r>
            <w:r w:rsidRPr="00E94D8A">
              <w:rPr>
                <w:lang w:val="es-ES"/>
              </w:rPr>
              <w:t>]</w:t>
            </w:r>
          </w:p>
        </w:tc>
      </w:tr>
    </w:tbl>
    <w:p w14:paraId="76E0D9A4" w14:textId="77777777" w:rsidR="006E361B" w:rsidRPr="00E94D8A" w:rsidRDefault="00FB7938" w:rsidP="006E361B">
      <w:r>
        <w:br/>
      </w:r>
      <w:r w:rsidR="006E361B" w:rsidRPr="00E94D8A">
        <w:t>En la Sección </w:t>
      </w:r>
      <w:r w:rsidR="009268D7">
        <w:fldChar w:fldCharType="begin"/>
      </w:r>
      <w:r w:rsidR="009268D7">
        <w:instrText xml:space="preserve"> REF _Ref329160462 \r \h </w:instrText>
      </w:r>
      <w:r w:rsidR="009268D7">
        <w:fldChar w:fldCharType="separate"/>
      </w:r>
      <w:r w:rsidR="00B426BC">
        <w:t>5</w:t>
      </w:r>
      <w:r w:rsidR="009268D7">
        <w:fldChar w:fldCharType="end"/>
      </w:r>
      <w:r w:rsidR="006E361B" w:rsidRPr="00E94D8A">
        <w:t xml:space="preserve"> se presenta en mayor detalle la definición de los incrementos propuestos para los modelos de costos.</w:t>
      </w:r>
    </w:p>
    <w:p w14:paraId="2B0A51EE" w14:textId="77777777" w:rsidR="006E361B" w:rsidRPr="00E94D8A" w:rsidRDefault="006E361B" w:rsidP="006E361B">
      <w:pPr>
        <w:pStyle w:val="Ttulo2"/>
      </w:pPr>
      <w:bookmarkStart w:id="18" w:name="_Ref321211169"/>
      <w:bookmarkStart w:id="19" w:name="_Toc454893672"/>
      <w:r w:rsidRPr="00E94D8A">
        <w:lastRenderedPageBreak/>
        <w:t>Costos incurridos de manera eficiente</w:t>
      </w:r>
      <w:bookmarkEnd w:id="18"/>
      <w:bookmarkEnd w:id="19"/>
    </w:p>
    <w:p w14:paraId="45F5D9EC" w14:textId="77777777" w:rsidR="006E361B" w:rsidRPr="00E94D8A" w:rsidRDefault="006E361B" w:rsidP="006E361B">
      <w:r w:rsidRPr="00E94D8A">
        <w:t>Para lograr establecer los incentivos operacionales y de inversión adecuados para los operadores regulados, es necesario que se permita contabilizar sólo los costos incurridos de manera eficiente para determinar los precios regulados. La aplicación de este principio específicamente para un modelo de costos depende de varios aspectos:</w:t>
      </w:r>
    </w:p>
    <w:p w14:paraId="03B61100" w14:textId="77777777" w:rsidR="006E361B" w:rsidRPr="00E94D8A" w:rsidRDefault="006E361B" w:rsidP="006E361B">
      <w:pPr>
        <w:pStyle w:val="ListBulletCompact"/>
      </w:pPr>
      <w:r w:rsidRPr="00E94D8A">
        <w:t xml:space="preserve">detalle y comparación de la información proporcionada por cada uno de los operadores </w:t>
      </w:r>
    </w:p>
    <w:p w14:paraId="7AB6CD71" w14:textId="77777777" w:rsidR="006E361B" w:rsidRPr="00E94D8A" w:rsidRDefault="006E361B" w:rsidP="006E361B">
      <w:pPr>
        <w:pStyle w:val="ListBulletCompact"/>
      </w:pPr>
      <w:r w:rsidRPr="00E94D8A">
        <w:t>detalle de</w:t>
      </w:r>
      <w:r w:rsidR="0037639D">
        <w:t xml:space="preserve"> las labores de</w:t>
      </w:r>
      <w:r w:rsidRPr="00E94D8A">
        <w:t xml:space="preserve"> modelado realiz</w:t>
      </w:r>
      <w:r w:rsidR="0037639D">
        <w:t>adas</w:t>
      </w:r>
    </w:p>
    <w:p w14:paraId="51F45AD7" w14:textId="77777777" w:rsidR="006E361B" w:rsidRPr="00E94D8A" w:rsidRDefault="006E361B" w:rsidP="006E361B">
      <w:pPr>
        <w:pStyle w:val="ListBulletCompact"/>
      </w:pPr>
      <w:r w:rsidRPr="00E94D8A">
        <w:t>la capacidad para poder aislar gastos ineficientes</w:t>
      </w:r>
    </w:p>
    <w:p w14:paraId="264DCE70" w14:textId="77777777" w:rsidR="006E361B" w:rsidRPr="00E94D8A" w:rsidRDefault="006E361B" w:rsidP="006E361B">
      <w:pPr>
        <w:pStyle w:val="Listaconvietas"/>
        <w:ind w:left="360" w:hanging="360"/>
      </w:pPr>
      <w:r w:rsidRPr="00E94D8A">
        <w:t>lo estricto de la comparativa (</w:t>
      </w:r>
      <w:proofErr w:type="spellStart"/>
      <w:r w:rsidRPr="007858D8">
        <w:rPr>
          <w:i/>
        </w:rPr>
        <w:t>benchmark</w:t>
      </w:r>
      <w:proofErr w:type="spellEnd"/>
      <w:r w:rsidRPr="00E94D8A">
        <w:t>) de eficiencia que se aplique.</w:t>
      </w:r>
      <w:r w:rsidRPr="00E94D8A">
        <w:rPr>
          <w:rStyle w:val="Refdenotaalpie"/>
        </w:rPr>
        <w:footnoteReference w:id="3"/>
      </w:r>
    </w:p>
    <w:p w14:paraId="11F55A7C" w14:textId="77777777" w:rsidR="006E361B" w:rsidRPr="00E94D8A" w:rsidRDefault="006E361B" w:rsidP="006E361B">
      <w:r w:rsidRPr="00E94D8A">
        <w:t xml:space="preserve">Los operadores mexicanos se encuentran activos en un mercado donde existe una oferta competitiva de infraestructura y servicios a dichos operadores. Por consiguiente, la expectativa de ineficiencias en las redes es limitada. Aun así, es necesario realizar una evaluación robusta sobre los costos eficientemente incurridos tanto para el mercado fijo como el móvil. </w:t>
      </w:r>
    </w:p>
    <w:p w14:paraId="0C9CF894" w14:textId="77777777" w:rsidR="006E361B" w:rsidRPr="00E94D8A" w:rsidRDefault="006E361B" w:rsidP="006E361B">
      <w:r w:rsidRPr="00E94D8A">
        <w:t>La eficiencia también puede ser considerada como una dimensión de tamaño. Para un despliegue de red específico, un operador puede estar operando por debajo de un nivel eficiente por su tamaño, con lo que parecería que el costo unitario de sus servicios es alto en comparación con el de operadores más grandes o que tengan un despliegue de red mejor ajustado a su tamaño.</w:t>
      </w:r>
    </w:p>
    <w:p w14:paraId="7CF8FBB6" w14:textId="77777777" w:rsidR="006E361B" w:rsidRPr="00E94D8A" w:rsidRDefault="006E361B" w:rsidP="006E361B">
      <w:pPr>
        <w:pStyle w:val="Ttulo2"/>
      </w:pPr>
      <w:bookmarkStart w:id="20" w:name="_Ref321211173"/>
      <w:bookmarkStart w:id="21" w:name="_Toc454893673"/>
      <w:r w:rsidRPr="00E94D8A">
        <w:t>Costos de la oferta del servicio utilizando tecnologías modernas</w:t>
      </w:r>
      <w:bookmarkEnd w:id="20"/>
      <w:bookmarkEnd w:id="21"/>
    </w:p>
    <w:p w14:paraId="76DD6CED" w14:textId="0F699C86" w:rsidR="006E361B" w:rsidRPr="00E94D8A" w:rsidRDefault="006E361B" w:rsidP="006E361B">
      <w:pPr>
        <w:spacing w:after="120"/>
      </w:pPr>
      <w:r w:rsidRPr="00E94D8A">
        <w:t xml:space="preserve">En un mercado </w:t>
      </w:r>
      <w:r w:rsidR="00E2003F">
        <w:t>dispu</w:t>
      </w:r>
      <w:r w:rsidR="00E2003F" w:rsidRPr="00E94D8A">
        <w:t>table</w:t>
      </w:r>
      <w:r w:rsidRPr="00E94D8A">
        <w:t>, un nuevo entrante que compita para ofrecer un servicio desplegaría tecnología moderna  – ya que esta sería la mejor opción para tener una red eficiente. Esto implica cuatro aspectos de “modernidad”: la tecnología de red (p.ej. TDM, IP, 2G, 3G, LTE, etc.), la capacidad del equipo, el precio de dicha capacidad y los costos de operación y mantenimiento. Por consiguiente, un modelo CILP debe capturar dichos aspectos:</w:t>
      </w:r>
    </w:p>
    <w:p w14:paraId="27A8AB06" w14:textId="77777777" w:rsidR="006E361B" w:rsidRPr="00E94D8A" w:rsidRDefault="006E361B" w:rsidP="006E361B">
      <w:pPr>
        <w:pStyle w:val="Listaconvietas"/>
        <w:spacing w:after="120"/>
        <w:ind w:left="360" w:hanging="360"/>
      </w:pPr>
      <w:r w:rsidRPr="00E94D8A">
        <w:t xml:space="preserve">La tecnología seleccionada tiene que ser eficiente. Las tecnologías anteriores que están siendo </w:t>
      </w:r>
      <w:r w:rsidR="00D0410D" w:rsidRPr="00E94D8A">
        <w:t>remplazadas</w:t>
      </w:r>
      <w:r w:rsidRPr="00E94D8A">
        <w:t xml:space="preserve"> no pueden ser consideradas modernas.</w:t>
      </w:r>
    </w:p>
    <w:p w14:paraId="0CB5C074" w14:textId="77777777" w:rsidR="006E361B" w:rsidRPr="00E94D8A" w:rsidRDefault="006E361B" w:rsidP="006E361B">
      <w:pPr>
        <w:pStyle w:val="Listaconvietas"/>
        <w:ind w:left="360" w:hanging="360"/>
      </w:pPr>
      <w:r w:rsidRPr="00E94D8A">
        <w:t>La capacidad del equipo tiene que reflejar estándares actualizados. En el caso de la infraestructura de redes móviles, algunos elementos de red, por su funcionalidad, requieren tener capacidad constante (p.ej. un TRX tiene por definición ocho canales). Otros elementos de red tendrán capacidad incremental (p.ej. la capacidad de un MSC aumenta con nuevos procesadores pero disminuye con nuevas aplicaciones – algunas de las cuales serán implementadas para servicios de datos). Los conmutadores también aumentan su capacidad con el tiempo; los conmutadores de nueva generación podrían ser optimizados para mejorar su capacidad (ejemplificando, en redes de 3G el MSS sólo realiza el control a nivel de llamada y señalización, mientras que el MGW es el que conmuta el tráfico de voz).</w:t>
      </w:r>
    </w:p>
    <w:p w14:paraId="33A4C941" w14:textId="61A6720E" w:rsidR="006E361B" w:rsidRPr="00E94D8A" w:rsidRDefault="006E361B" w:rsidP="00E94D8A">
      <w:pPr>
        <w:pStyle w:val="Listaconvietas"/>
      </w:pPr>
      <w:r w:rsidRPr="00E94D8A">
        <w:lastRenderedPageBreak/>
        <w:t xml:space="preserve">El precio </w:t>
      </w:r>
      <w:r w:rsidR="00E2003F">
        <w:t>actual</w:t>
      </w:r>
      <w:r w:rsidR="00E2003F" w:rsidRPr="00E94D8A">
        <w:t xml:space="preserve"> </w:t>
      </w:r>
      <w:r w:rsidRPr="00E94D8A">
        <w:t>de los equipos representa el precio de un activo moderno a lo largo del tiempo. Este precio debe ser representativo del que se obtendría en México si se realizara un proceso de licitación competitivo.</w:t>
      </w:r>
    </w:p>
    <w:p w14:paraId="53C99568" w14:textId="77777777" w:rsidR="006E361B" w:rsidRPr="00E94D8A" w:rsidRDefault="006E361B" w:rsidP="00E94D8A">
      <w:pPr>
        <w:pStyle w:val="Listaconvietas"/>
      </w:pPr>
      <w:r w:rsidRPr="00E94D8A">
        <w:t xml:space="preserve">Los costos de operación y mantenimiento deben corresponder al de un equipo moderno y representar todos los costos relevantes de instalaciones, hardware y software en una operación eficiente de una red moderna. </w:t>
      </w:r>
    </w:p>
    <w:p w14:paraId="7775ABF7" w14:textId="77777777" w:rsidR="004903F0" w:rsidRPr="00E94D8A" w:rsidRDefault="006E361B" w:rsidP="00315420">
      <w:pPr>
        <w:spacing w:after="120"/>
      </w:pPr>
      <w:r w:rsidRPr="00E94D8A">
        <w:t>La definición de un equipo moderno es bastante compleja. Los operadores fijos alrededor del mundo se encuentran en diferentes etapas de despliegue de redes de nueva generación basada en IP: desde etapas de planeación hasta operacionales. Igualmente, los operadores móviles en todas las regiones, se encuentran en diferentes etapas de</w:t>
      </w:r>
      <w:r w:rsidR="00C726CC">
        <w:t xml:space="preserve"> despliegue de redes 4G</w:t>
      </w:r>
      <w:r w:rsidRPr="00E94D8A">
        <w:t>.</w:t>
      </w:r>
    </w:p>
    <w:p w14:paraId="7853263A" w14:textId="77777777" w:rsidR="006E361B" w:rsidRPr="00FB7938" w:rsidRDefault="006E361B" w:rsidP="006E361B">
      <w:pPr>
        <w:spacing w:after="120"/>
        <w:rPr>
          <w:color w:val="000000" w:themeColor="text1"/>
          <w:spacing w:val="-4"/>
        </w:rPr>
      </w:pPr>
      <w:r w:rsidRPr="00FB7938">
        <w:rPr>
          <w:color w:val="000000" w:themeColor="text1"/>
          <w:spacing w:val="-4"/>
        </w:rPr>
        <w:t>Como referencia de comparativa internacional, la Comisión Europea, en su Recomendación 2009/396/CE</w:t>
      </w:r>
      <w:r w:rsidRPr="00FB7938">
        <w:rPr>
          <w:rStyle w:val="Refdenotaalpie"/>
          <w:rFonts w:ascii="Times New Roman" w:hAnsi="Times New Roman"/>
          <w:color w:val="000000" w:themeColor="text1"/>
          <w:spacing w:val="-4"/>
          <w:sz w:val="22"/>
          <w:vertAlign w:val="baseline"/>
        </w:rPr>
        <w:t xml:space="preserve"> </w:t>
      </w:r>
      <w:r w:rsidRPr="00FB7938">
        <w:rPr>
          <w:color w:val="000000" w:themeColor="text1"/>
          <w:spacing w:val="-4"/>
        </w:rPr>
        <w:t>sobre el tratamiento normativo de las tarifas de terminación de la telefonía fija y móvil en la Unión Europea,</w:t>
      </w:r>
      <w:r w:rsidRPr="00FB7938">
        <w:rPr>
          <w:rStyle w:val="Refdenotaalpie"/>
          <w:rFonts w:cs="Arial"/>
          <w:color w:val="000000" w:themeColor="text1"/>
          <w:spacing w:val="-4"/>
        </w:rPr>
        <w:footnoteReference w:id="4"/>
      </w:r>
      <w:r w:rsidRPr="00FB7938">
        <w:rPr>
          <w:color w:val="000000" w:themeColor="text1"/>
          <w:spacing w:val="-4"/>
        </w:rPr>
        <w:t xml:space="preserve"> establece que los modelos de costos deben basarse en las opciones tecnológicas eficientes disponibles dentro del marco temporal considerado por el modelo, en la medida en que puedan determinarse. Este ejemplo puede ser útil como comparación</w:t>
      </w:r>
      <w:r w:rsidR="0037639D" w:rsidRPr="00FB7938">
        <w:rPr>
          <w:color w:val="000000" w:themeColor="text1"/>
          <w:spacing w:val="-4"/>
        </w:rPr>
        <w:t xml:space="preserve"> </w:t>
      </w:r>
      <w:r w:rsidRPr="00FB7938">
        <w:rPr>
          <w:color w:val="000000" w:themeColor="text1"/>
          <w:spacing w:val="-4"/>
        </w:rPr>
        <w:t xml:space="preserve">para </w:t>
      </w:r>
      <w:r w:rsidR="00150BE8">
        <w:rPr>
          <w:color w:val="000000" w:themeColor="text1"/>
          <w:spacing w:val="-4"/>
        </w:rPr>
        <w:t>el IFT</w:t>
      </w:r>
      <w:r w:rsidRPr="00FB7938">
        <w:rPr>
          <w:color w:val="000000" w:themeColor="text1"/>
          <w:spacing w:val="-4"/>
        </w:rPr>
        <w:t>, lo que junto con la situación del mercado de las telecomunicaciones me</w:t>
      </w:r>
      <w:r w:rsidR="0008191A">
        <w:rPr>
          <w:color w:val="000000" w:themeColor="text1"/>
          <w:spacing w:val="-4"/>
        </w:rPr>
        <w:t>x</w:t>
      </w:r>
      <w:r w:rsidRPr="00FB7938">
        <w:rPr>
          <w:color w:val="000000" w:themeColor="text1"/>
          <w:spacing w:val="-4"/>
        </w:rPr>
        <w:t xml:space="preserve">icano (como se verá más adelante) y un modelo ascendente que se construyera hoy para México, asumiría que la red troncal esté basada en: </w:t>
      </w:r>
    </w:p>
    <w:p w14:paraId="28EE76E2" w14:textId="77777777" w:rsidR="006E361B" w:rsidRPr="00E94D8A" w:rsidRDefault="006E361B" w:rsidP="006E361B">
      <w:pPr>
        <w:pStyle w:val="ListBulletCompact"/>
      </w:pPr>
      <w:r w:rsidRPr="00E94D8A">
        <w:t>una red de nueva generación (NGN) troncal para  para las redes fijas</w:t>
      </w:r>
    </w:p>
    <w:p w14:paraId="5F5380A9" w14:textId="77777777" w:rsidR="006E361B" w:rsidRPr="00E94D8A" w:rsidRDefault="006E361B" w:rsidP="006E361B">
      <w:pPr>
        <w:pStyle w:val="ListBulletCompact"/>
      </w:pPr>
      <w:r w:rsidRPr="00E94D8A">
        <w:t>una red de nueva generación (NGN) troncal para las redes móviles</w:t>
      </w:r>
    </w:p>
    <w:p w14:paraId="217BB4F4" w14:textId="77777777" w:rsidR="006E361B" w:rsidRPr="00E94D8A" w:rsidRDefault="006E361B" w:rsidP="006E361B">
      <w:pPr>
        <w:pStyle w:val="Listaconvietas"/>
        <w:ind w:left="360" w:hanging="360"/>
        <w:rPr>
          <w:spacing w:val="-4"/>
        </w:rPr>
      </w:pPr>
      <w:r w:rsidRPr="00E94D8A">
        <w:rPr>
          <w:spacing w:val="-4"/>
        </w:rPr>
        <w:t>una combinación de segunda generación (2G)</w:t>
      </w:r>
      <w:r w:rsidR="00C726CC">
        <w:rPr>
          <w:spacing w:val="-4"/>
        </w:rPr>
        <w:t>,</w:t>
      </w:r>
      <w:r w:rsidRPr="00E94D8A">
        <w:rPr>
          <w:spacing w:val="-4"/>
        </w:rPr>
        <w:t xml:space="preserve"> tercera generación (3G)</w:t>
      </w:r>
      <w:r w:rsidR="00C726CC">
        <w:rPr>
          <w:spacing w:val="-4"/>
        </w:rPr>
        <w:t xml:space="preserve"> y cuarta generación (4G)</w:t>
      </w:r>
      <w:r w:rsidRPr="00E94D8A">
        <w:rPr>
          <w:spacing w:val="-4"/>
        </w:rPr>
        <w:t xml:space="preserve"> para las redes móviles.</w:t>
      </w:r>
    </w:p>
    <w:p w14:paraId="21D9BB26" w14:textId="77777777" w:rsidR="006E361B" w:rsidRPr="00E94D8A" w:rsidRDefault="006E361B" w:rsidP="006E361B">
      <w:pPr>
        <w:pStyle w:val="Ttulo2"/>
      </w:pPr>
      <w:bookmarkStart w:id="22" w:name="_Ref321211180"/>
      <w:bookmarkStart w:id="23" w:name="_Toc454893674"/>
      <w:r w:rsidRPr="00E94D8A">
        <w:t>Costos a futuro</w:t>
      </w:r>
      <w:bookmarkEnd w:id="22"/>
      <w:bookmarkEnd w:id="23"/>
    </w:p>
    <w:p w14:paraId="38ED77B9" w14:textId="77777777" w:rsidR="006E361B" w:rsidRPr="00E94D8A" w:rsidRDefault="006E361B" w:rsidP="006E361B">
      <w:pPr>
        <w:spacing w:after="120"/>
        <w:rPr>
          <w:spacing w:val="-4"/>
        </w:rPr>
      </w:pPr>
      <w:r w:rsidRPr="00E94D8A">
        <w:rPr>
          <w:spacing w:val="-4"/>
        </w:rPr>
        <w:t>Los costos a futuro determinan el nivel de recuperación de la inversión de un operador ahora y en periodos futuros de acuerdo con:</w:t>
      </w:r>
    </w:p>
    <w:p w14:paraId="0916C2A9" w14:textId="77777777" w:rsidR="006E361B" w:rsidRPr="00E94D8A" w:rsidRDefault="006E361B" w:rsidP="006E361B">
      <w:pPr>
        <w:pStyle w:val="ListBulletCompact"/>
      </w:pPr>
      <w:r w:rsidRPr="00E94D8A">
        <w:t>niveles de gasto actuales (modernos)</w:t>
      </w:r>
    </w:p>
    <w:p w14:paraId="493687B0" w14:textId="77777777" w:rsidR="006E361B" w:rsidRPr="00E94D8A" w:rsidRDefault="006E361B" w:rsidP="006E361B">
      <w:pPr>
        <w:pStyle w:val="ListBulletCompact"/>
      </w:pPr>
      <w:r w:rsidRPr="00E94D8A">
        <w:t>pronósticos de cambio en el volumen de la demanda</w:t>
      </w:r>
    </w:p>
    <w:p w14:paraId="4C0050EA" w14:textId="77777777" w:rsidR="006E361B" w:rsidRPr="00E94D8A" w:rsidRDefault="006E361B" w:rsidP="006E361B">
      <w:pPr>
        <w:pStyle w:val="ListBulletCompact"/>
      </w:pPr>
      <w:r w:rsidRPr="00E94D8A">
        <w:t>pronósticos de cambio en el precio de los equipos</w:t>
      </w:r>
    </w:p>
    <w:p w14:paraId="432D0304" w14:textId="47F7DF35" w:rsidR="006E361B" w:rsidRPr="00E94D8A" w:rsidRDefault="006E361B" w:rsidP="006E361B">
      <w:pPr>
        <w:pStyle w:val="Listaconvietas"/>
        <w:spacing w:after="120"/>
        <w:ind w:left="360" w:hanging="360"/>
      </w:pPr>
      <w:r w:rsidRPr="00E94D8A">
        <w:t>pronósticos de cambio en la tecnología moderna (si</w:t>
      </w:r>
      <w:r w:rsidR="00E2003F">
        <w:t xml:space="preserve"> es</w:t>
      </w:r>
      <w:r w:rsidRPr="00E94D8A">
        <w:t xml:space="preserve"> aplica</w:t>
      </w:r>
      <w:r w:rsidR="00E2003F">
        <w:t>ble</w:t>
      </w:r>
      <w:r w:rsidRPr="00E94D8A">
        <w:t>).</w:t>
      </w:r>
    </w:p>
    <w:p w14:paraId="30D97A69" w14:textId="0B3AC8A0" w:rsidR="006E361B" w:rsidRPr="00E94D8A" w:rsidRDefault="006E361B" w:rsidP="006E361B">
      <w:r w:rsidRPr="00E94D8A">
        <w:t xml:space="preserve">Los costos a futuro no deben tener en cuenta los costos históricos que un operador ya ha recuperado. El cálculo de la depreciación en un modelo CILP implica el seguimiento del principio de un modelo a futuro: algunos, pero no todos, </w:t>
      </w:r>
      <w:r w:rsidR="00E2003F">
        <w:t xml:space="preserve">los </w:t>
      </w:r>
      <w:r w:rsidRPr="00E94D8A">
        <w:t xml:space="preserve">métodos de depreciación proyectan la recuperación de costos a futuro. Las metodologías de depreciación, que se basan en gastos históricos o retrospectivos, pueden o no ser consistentes con un cálculo a futuro – dependiendo de si los periodos históricos son </w:t>
      </w:r>
      <w:r w:rsidRPr="00E94D8A">
        <w:lastRenderedPageBreak/>
        <w:t>consistentes con un costeo a futuro durante toda la duración considerada. Los métodos de deprec</w:t>
      </w:r>
      <w:r w:rsidR="00074B91">
        <w:t>i</w:t>
      </w:r>
      <w:r w:rsidRPr="00E94D8A">
        <w:t>ación se tratan en mayor de</w:t>
      </w:r>
      <w:r w:rsidR="000E4B08">
        <w:fldChar w:fldCharType="begin"/>
      </w:r>
      <w:r w:rsidR="000E4B08">
        <w:instrText xml:space="preserve"> </w:instrText>
      </w:r>
      <w:r w:rsidR="000E4B08">
        <w:fldChar w:fldCharType="begin"/>
      </w:r>
      <w:r w:rsidR="000E4B08">
        <w:instrText xml:space="preserve">  </w:instrText>
      </w:r>
      <w:r w:rsidR="000E4B08">
        <w:fldChar w:fldCharType="end"/>
      </w:r>
      <w:r w:rsidR="000E4B08">
        <w:instrText xml:space="preserve"> </w:instrText>
      </w:r>
      <w:r w:rsidR="000E4B08">
        <w:fldChar w:fldCharType="end"/>
      </w:r>
      <w:r w:rsidR="00074B91">
        <w:t xml:space="preserve">talle en la Sección </w:t>
      </w:r>
      <w:r w:rsidR="00EE6520">
        <w:t>5</w:t>
      </w:r>
      <w:r w:rsidRPr="00E94D8A">
        <w:t>.</w:t>
      </w:r>
    </w:p>
    <w:p w14:paraId="2239CC56" w14:textId="77777777" w:rsidR="006E361B" w:rsidRPr="00E94D8A" w:rsidRDefault="006E361B" w:rsidP="00FB7938">
      <w:pPr>
        <w:pStyle w:val="Ttulo1"/>
        <w:spacing w:after="400"/>
        <w:rPr>
          <w:lang w:val="es-ES"/>
        </w:rPr>
      </w:pPr>
      <w:bookmarkStart w:id="24" w:name="_Ref321211120"/>
      <w:bookmarkStart w:id="25" w:name="_Toc454893675"/>
      <w:r w:rsidRPr="00E94D8A">
        <w:rPr>
          <w:lang w:val="es-ES"/>
        </w:rPr>
        <w:lastRenderedPageBreak/>
        <w:t>Aspectos del operador</w:t>
      </w:r>
      <w:bookmarkEnd w:id="24"/>
      <w:bookmarkEnd w:id="25"/>
    </w:p>
    <w:p w14:paraId="1E60CFF1" w14:textId="77777777" w:rsidR="006E361B" w:rsidRPr="00E94D8A" w:rsidRDefault="006E361B" w:rsidP="006E361B">
      <w:pPr>
        <w:spacing w:after="120"/>
      </w:pPr>
      <w:r w:rsidRPr="00E94D8A">
        <w:t>Esta sección describe los aspectos conceptuales relacionados con el tipo de operador a modelar. Está estructurada como sigue</w:t>
      </w:r>
    </w:p>
    <w:p w14:paraId="03161C15" w14:textId="662EF0DE" w:rsidR="006E361B" w:rsidRPr="00E94D8A" w:rsidRDefault="006E361B" w:rsidP="006E361B">
      <w:pPr>
        <w:pStyle w:val="L1"/>
        <w:numPr>
          <w:ilvl w:val="0"/>
          <w:numId w:val="18"/>
        </w:numPr>
      </w:pPr>
      <w:r w:rsidRPr="00E94D8A">
        <w:t>tipo de operador (Sección</w:t>
      </w:r>
      <w:r w:rsidR="00074B91">
        <w:t xml:space="preserve"> </w:t>
      </w:r>
      <w:r w:rsidR="00E94D8A">
        <w:fldChar w:fldCharType="begin"/>
      </w:r>
      <w:r w:rsidR="00E94D8A">
        <w:instrText xml:space="preserve"> REF _Ref321211769 \r \h </w:instrText>
      </w:r>
      <w:r w:rsidR="00E94D8A">
        <w:fldChar w:fldCharType="separate"/>
      </w:r>
      <w:r w:rsidR="00B426BC">
        <w:t>3.1</w:t>
      </w:r>
      <w:r w:rsidR="00E94D8A">
        <w:fldChar w:fldCharType="end"/>
      </w:r>
      <w:r w:rsidRPr="00E94D8A">
        <w:t>)</w:t>
      </w:r>
    </w:p>
    <w:p w14:paraId="024008B5" w14:textId="77777777" w:rsidR="006E361B" w:rsidRPr="00E94D8A" w:rsidRDefault="006E361B" w:rsidP="006E361B">
      <w:pPr>
        <w:pStyle w:val="L1"/>
        <w:numPr>
          <w:ilvl w:val="0"/>
          <w:numId w:val="18"/>
        </w:numPr>
      </w:pPr>
      <w:r w:rsidRPr="00E94D8A">
        <w:t>configuración de la red de un operador eficiente (Sección </w:t>
      </w:r>
      <w:r w:rsidR="00EE6520">
        <w:t>3.2</w:t>
      </w:r>
      <w:r w:rsidRPr="00E94D8A">
        <w:t>)</w:t>
      </w:r>
    </w:p>
    <w:p w14:paraId="6D9AA846" w14:textId="77777777" w:rsidR="006E361B" w:rsidRPr="00E94D8A" w:rsidRDefault="006E361B" w:rsidP="006E361B">
      <w:pPr>
        <w:pStyle w:val="Listaconvietas"/>
      </w:pPr>
      <w:r w:rsidRPr="00E94D8A">
        <w:t>tamaño de un operador eficiente (Sección </w:t>
      </w:r>
      <w:r w:rsidR="00EE6520">
        <w:t>3.3</w:t>
      </w:r>
      <w:r w:rsidRPr="00E94D8A">
        <w:t>).</w:t>
      </w:r>
    </w:p>
    <w:p w14:paraId="61366FD2" w14:textId="77777777" w:rsidR="006E361B" w:rsidRPr="00E94D8A" w:rsidRDefault="006E361B" w:rsidP="006E361B">
      <w:pPr>
        <w:pStyle w:val="Ttulo2"/>
      </w:pPr>
      <w:bookmarkStart w:id="26" w:name="_Ref321211769"/>
      <w:bookmarkStart w:id="27" w:name="_Toc454893676"/>
      <w:r w:rsidRPr="00E94D8A">
        <w:t>Tipo de operador</w:t>
      </w:r>
      <w:bookmarkEnd w:id="26"/>
      <w:bookmarkEnd w:id="27"/>
    </w:p>
    <w:p w14:paraId="006CC14E" w14:textId="77777777" w:rsidR="006E361B" w:rsidRPr="00E94D8A" w:rsidRDefault="006E361B" w:rsidP="006E361B">
      <w:pPr>
        <w:spacing w:after="120"/>
      </w:pPr>
      <w:r w:rsidRPr="00E94D8A">
        <w:t xml:space="preserve">El tipo de operador que debe diseñarse en el modelo es el principal aspecto conceptual que determinará la estructura y los parámetros del modelo. Este aspecto conceptual también es importante para asegurar la consistencia entre los operadores seleccionados para el mercado fijo y móvil. Particularmente, un enfoque competitivo neutral a la terminación fija y móvil implica que el operador modelado debe tener características similares para ambos modelos. </w:t>
      </w:r>
    </w:p>
    <w:p w14:paraId="67408408" w14:textId="77777777" w:rsidR="006E361B" w:rsidRPr="00E94D8A" w:rsidRDefault="006E361B" w:rsidP="006E361B">
      <w:pPr>
        <w:spacing w:after="120"/>
      </w:pPr>
      <w:r w:rsidRPr="00E94D8A">
        <w:t>Existen las siguientes opciones para definir el operador:</w:t>
      </w:r>
    </w:p>
    <w:p w14:paraId="311617AD" w14:textId="24DC96AF" w:rsidR="006E361B" w:rsidRPr="00E94D8A" w:rsidRDefault="006E361B" w:rsidP="00FB7938">
      <w:pPr>
        <w:pStyle w:val="ListBulletCompact"/>
        <w:spacing w:line="300" w:lineRule="atLeast"/>
        <w:rPr>
          <w:spacing w:val="-4"/>
        </w:rPr>
      </w:pPr>
      <w:r w:rsidRPr="00E94D8A">
        <w:rPr>
          <w:b/>
          <w:spacing w:val="-4"/>
        </w:rPr>
        <w:t xml:space="preserve">operadores existentes – </w:t>
      </w:r>
      <w:r w:rsidRPr="00E94D8A">
        <w:rPr>
          <w:spacing w:val="-4"/>
        </w:rPr>
        <w:t>se calculan los costos de todos los operadores existentes en el mercado</w:t>
      </w:r>
      <w:r w:rsidR="00FA1079">
        <w:rPr>
          <w:spacing w:val="-4"/>
        </w:rPr>
        <w:t>.</w:t>
      </w:r>
    </w:p>
    <w:p w14:paraId="379714F3" w14:textId="3D8D6B6D" w:rsidR="006E361B" w:rsidRPr="00E94D8A" w:rsidRDefault="006E361B" w:rsidP="00FB7938">
      <w:pPr>
        <w:pStyle w:val="ListBulletCompact"/>
        <w:spacing w:line="300" w:lineRule="atLeast"/>
      </w:pPr>
      <w:r w:rsidRPr="00E94D8A">
        <w:rPr>
          <w:b/>
        </w:rPr>
        <w:t xml:space="preserve">operador promedio – </w:t>
      </w:r>
      <w:r w:rsidRPr="00E94D8A">
        <w:t>se promedian los costos de todos los operadores existentes para cada uno de los mercados (fijo y móvil) para definir un operador ‘típico’</w:t>
      </w:r>
      <w:r w:rsidR="00FA1079">
        <w:t>.</w:t>
      </w:r>
    </w:p>
    <w:p w14:paraId="3A0B8498" w14:textId="755F02BF" w:rsidR="006E361B" w:rsidRPr="00E94D8A" w:rsidRDefault="006E361B" w:rsidP="00FB7938">
      <w:pPr>
        <w:pStyle w:val="ListBulletCompact"/>
        <w:spacing w:line="300" w:lineRule="atLeast"/>
        <w:rPr>
          <w:b/>
          <w:bCs/>
        </w:rPr>
      </w:pPr>
      <w:r w:rsidRPr="00E94D8A">
        <w:rPr>
          <w:b/>
        </w:rPr>
        <w:t xml:space="preserve">operador hipotético existente – </w:t>
      </w:r>
      <w:r w:rsidRPr="00E94D8A">
        <w:t>se define un operador con características similares a, o derivadas de, los operadores existentes en el mercado pero se ajustan ciertos aspectos hipotéticos como puede ser la fecha de entrada al mercado y la cuota de mercado</w:t>
      </w:r>
      <w:r w:rsidR="00FA1079">
        <w:t>.</w:t>
      </w:r>
    </w:p>
    <w:p w14:paraId="66EA9EA6" w14:textId="77777777" w:rsidR="006E361B" w:rsidRPr="00E94D8A" w:rsidRDefault="006E361B" w:rsidP="00FB7938">
      <w:pPr>
        <w:pStyle w:val="I1"/>
        <w:numPr>
          <w:ilvl w:val="0"/>
          <w:numId w:val="23"/>
        </w:numPr>
        <w:tabs>
          <w:tab w:val="clear" w:pos="360"/>
        </w:tabs>
        <w:spacing w:line="300" w:lineRule="atLeast"/>
        <w:ind w:left="357" w:hanging="357"/>
        <w:rPr>
          <w:b/>
          <w:bCs/>
        </w:rPr>
      </w:pPr>
      <w:r w:rsidRPr="00E94D8A">
        <w:rPr>
          <w:b/>
          <w:bCs/>
        </w:rPr>
        <w:t xml:space="preserve">nuevo entrante hipotético – </w:t>
      </w:r>
      <w:r w:rsidRPr="00E94D8A">
        <w:rPr>
          <w:bCs/>
        </w:rPr>
        <w:t>se define un nuevo operador que entra al mercado en el</w:t>
      </w:r>
      <w:r w:rsidR="00C84F97">
        <w:rPr>
          <w:bCs/>
        </w:rPr>
        <w:t xml:space="preserve"> año</w:t>
      </w:r>
      <w:r w:rsidRPr="00E94D8A">
        <w:rPr>
          <w:bCs/>
        </w:rPr>
        <w:t xml:space="preserve"> </w:t>
      </w:r>
      <w:r w:rsidR="00C666B0" w:rsidRPr="00E94D8A">
        <w:rPr>
          <w:bCs/>
        </w:rPr>
        <w:t>201</w:t>
      </w:r>
      <w:r w:rsidR="004D1216">
        <w:rPr>
          <w:bCs/>
        </w:rPr>
        <w:t>6</w:t>
      </w:r>
      <w:r w:rsidR="00C666B0" w:rsidRPr="00E94D8A">
        <w:rPr>
          <w:bCs/>
        </w:rPr>
        <w:t xml:space="preserve"> </w:t>
      </w:r>
      <w:proofErr w:type="spellStart"/>
      <w:r w:rsidR="00B63DD1">
        <w:rPr>
          <w:bCs/>
        </w:rPr>
        <w:t>ó</w:t>
      </w:r>
      <w:proofErr w:type="spellEnd"/>
      <w:r w:rsidR="00C666B0" w:rsidRPr="00E94D8A">
        <w:rPr>
          <w:bCs/>
        </w:rPr>
        <w:t xml:space="preserve"> 201</w:t>
      </w:r>
      <w:r w:rsidR="004D1216">
        <w:rPr>
          <w:bCs/>
        </w:rPr>
        <w:t>7</w:t>
      </w:r>
      <w:r w:rsidR="00C666B0">
        <w:rPr>
          <w:bCs/>
        </w:rPr>
        <w:t xml:space="preserve"> </w:t>
      </w:r>
      <w:r w:rsidRPr="00E94D8A">
        <w:rPr>
          <w:bCs/>
        </w:rPr>
        <w:t>con una arquitectura de red moderna y que alcanza la cuota de mercado eficiente del operador representativo.</w:t>
      </w:r>
    </w:p>
    <w:p w14:paraId="51D52191" w14:textId="77777777" w:rsidR="006E361B" w:rsidRPr="00E94D8A" w:rsidRDefault="006E361B" w:rsidP="006E361B">
      <w:pPr>
        <w:spacing w:after="120"/>
      </w:pPr>
      <w:r w:rsidRPr="00E94D8A">
        <w:t>Se sugiere excluir la opción de utilizar operadores existentes porque:</w:t>
      </w:r>
    </w:p>
    <w:p w14:paraId="78759AA7" w14:textId="77777777" w:rsidR="006E361B" w:rsidRPr="00E94D8A" w:rsidRDefault="006E361B" w:rsidP="00FB7938">
      <w:pPr>
        <w:pStyle w:val="Listaconvietas"/>
        <w:spacing w:after="120" w:line="300" w:lineRule="atLeast"/>
      </w:pPr>
      <w:r w:rsidRPr="00E94D8A">
        <w:t>Reduce la transparencia en costos y precios.</w:t>
      </w:r>
    </w:p>
    <w:p w14:paraId="52BAF6D9" w14:textId="77777777" w:rsidR="006E361B" w:rsidRPr="00E94D8A" w:rsidRDefault="006E361B" w:rsidP="00FB7938">
      <w:pPr>
        <w:pStyle w:val="Listaconvietas"/>
        <w:spacing w:after="120" w:line="300" w:lineRule="atLeast"/>
      </w:pPr>
      <w:r w:rsidRPr="00E94D8A">
        <w:t>Incrementa el riesgo/complejidad en asegurar que se apliquen principios idénticos/consistentes  si el método se aplicara a modelos individuales para cada operador fijo y móvil.</w:t>
      </w:r>
    </w:p>
    <w:p w14:paraId="699CB82C" w14:textId="140B540B" w:rsidR="006E361B" w:rsidRPr="00E94D8A" w:rsidRDefault="006E361B" w:rsidP="00FB7938">
      <w:pPr>
        <w:pStyle w:val="Listaconvietas"/>
        <w:spacing w:after="120" w:line="300" w:lineRule="atLeast"/>
      </w:pPr>
      <w:r w:rsidRPr="00E94D8A">
        <w:t>Aumenta la dificultad para asegurar cumplir con el principio de eficiencia</w:t>
      </w:r>
      <w:r w:rsidR="00F84B96">
        <w:t>, ya que los costos históricos pueden reflejar decisiones ineficientes hechas en el pasado</w:t>
      </w:r>
      <w:r w:rsidRPr="00E94D8A">
        <w:t>.</w:t>
      </w:r>
    </w:p>
    <w:p w14:paraId="3C526BEB" w14:textId="77777777" w:rsidR="006E361B" w:rsidRDefault="006E361B" w:rsidP="006E361B">
      <w:pPr>
        <w:spacing w:after="120"/>
      </w:pPr>
      <w:r w:rsidRPr="00E94D8A">
        <w:t>Por lo tanto, sólo se consideran tres opciones reales para el tipo de operador sobre el que se basarán los modelos. Las características de estas opciones se encuentran detalladas a continuación.</w:t>
      </w:r>
    </w:p>
    <w:p w14:paraId="4102DA7B" w14:textId="77777777" w:rsidR="00587D3F" w:rsidRDefault="00587D3F" w:rsidP="006E361B">
      <w:pPr>
        <w:spacing w:after="120"/>
      </w:pPr>
    </w:p>
    <w:p w14:paraId="25847ECC" w14:textId="77777777" w:rsidR="00587D3F" w:rsidRDefault="00587D3F" w:rsidP="006E361B">
      <w:pPr>
        <w:spacing w:after="120"/>
      </w:pPr>
    </w:p>
    <w:p w14:paraId="670110FA" w14:textId="77777777" w:rsidR="00587D3F" w:rsidRPr="00E94D8A" w:rsidRDefault="00587D3F" w:rsidP="006E361B">
      <w:pPr>
        <w:spacing w:after="120"/>
      </w:pPr>
    </w:p>
    <w:p w14:paraId="2EF541DB" w14:textId="77777777" w:rsidR="006E361B" w:rsidRPr="00E94D8A" w:rsidRDefault="006E361B" w:rsidP="006E361B">
      <w:pPr>
        <w:pStyle w:val="Descripcin"/>
        <w:rPr>
          <w:lang w:val="es-ES"/>
        </w:rPr>
      </w:pPr>
      <w:bookmarkStart w:id="28" w:name="_Ref321211843"/>
      <w:r w:rsidRPr="00E94D8A">
        <w:rPr>
          <w:lang w:val="es-ES"/>
        </w:rPr>
        <w:lastRenderedPageBreak/>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3</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w:instrText>
      </w:r>
      <w:r w:rsidR="00A37365" w:rsidRPr="00E94D8A">
        <w:rPr>
          <w:lang w:val="es-ES"/>
        </w:rPr>
        <w:instrText>SEQ Ilustración</w:instrText>
      </w:r>
      <w:r w:rsidRPr="00E94D8A">
        <w:rPr>
          <w:lang w:val="es-ES"/>
        </w:rPr>
        <w:instrText xml:space="preserve"> \* ARABIC \s 1 \* MERGEFORMAT </w:instrText>
      </w:r>
      <w:r w:rsidRPr="00E94D8A">
        <w:rPr>
          <w:lang w:val="es-ES"/>
        </w:rPr>
        <w:fldChar w:fldCharType="separate"/>
      </w:r>
      <w:r w:rsidR="00B426BC">
        <w:rPr>
          <w:noProof/>
          <w:lang w:val="es-ES"/>
        </w:rPr>
        <w:t>1</w:t>
      </w:r>
      <w:r w:rsidRPr="00E94D8A">
        <w:rPr>
          <w:lang w:val="es-ES"/>
        </w:rPr>
        <w:fldChar w:fldCharType="end"/>
      </w:r>
      <w:bookmarkEnd w:id="28"/>
      <w:r w:rsidRPr="00E94D8A">
        <w:rPr>
          <w:lang w:val="es-ES"/>
        </w:rPr>
        <w:t>: Opciones del operador a modelar [</w:t>
      </w:r>
      <w:r w:rsidR="001657CE">
        <w:rPr>
          <w:lang w:val="es-ES"/>
        </w:rPr>
        <w:t xml:space="preserve">Fuente: </w:t>
      </w:r>
      <w:proofErr w:type="spellStart"/>
      <w:r w:rsidR="001657CE">
        <w:rPr>
          <w:lang w:val="es-ES"/>
        </w:rPr>
        <w:t>Analysys</w:t>
      </w:r>
      <w:proofErr w:type="spellEnd"/>
      <w:r w:rsidR="001657CE">
        <w:rPr>
          <w:lang w:val="es-ES"/>
        </w:rPr>
        <w:t xml:space="preserve"> Mason, 2016</w:t>
      </w:r>
      <w:r w:rsidRPr="00E94D8A">
        <w:rPr>
          <w:lang w:val="es-ES"/>
        </w:rPr>
        <w:t>]</w:t>
      </w:r>
    </w:p>
    <w:tbl>
      <w:tblPr>
        <w:tblStyle w:val="Sombreadomedio2-nfasis1"/>
        <w:tblW w:w="8732" w:type="dxa"/>
        <w:tblInd w:w="108" w:type="dxa"/>
        <w:tblLook w:val="0420" w:firstRow="1" w:lastRow="0" w:firstColumn="0" w:lastColumn="0" w:noHBand="0" w:noVBand="1"/>
        <w:tblCaption w:val="Figura 3.1"/>
        <w:tblDescription w:val="Opciones del operador a modelar, Fuente: Analysys Mason, 2016"/>
      </w:tblPr>
      <w:tblGrid>
        <w:gridCol w:w="1843"/>
        <w:gridCol w:w="2296"/>
        <w:gridCol w:w="2296"/>
        <w:gridCol w:w="2297"/>
      </w:tblGrid>
      <w:tr w:rsidR="006E361B" w:rsidRPr="00E94D8A" w14:paraId="3F1B1504" w14:textId="77777777" w:rsidTr="00E94D8A">
        <w:trPr>
          <w:cnfStyle w:val="100000000000" w:firstRow="1" w:lastRow="0" w:firstColumn="0" w:lastColumn="0" w:oddVBand="0" w:evenVBand="0" w:oddHBand="0" w:evenHBand="0" w:firstRowFirstColumn="0" w:firstRowLastColumn="0" w:lastRowFirstColumn="0" w:lastRowLastColumn="0"/>
          <w:tblHeader/>
        </w:trPr>
        <w:tc>
          <w:tcPr>
            <w:tcW w:w="1843" w:type="dxa"/>
            <w:tcBorders>
              <w:top w:val="single" w:sz="18" w:space="0" w:color="221F72"/>
              <w:bottom w:val="single" w:sz="18" w:space="0" w:color="221F72"/>
            </w:tcBorders>
            <w:shd w:val="solid" w:color="221F72" w:fill="221F72"/>
          </w:tcPr>
          <w:p w14:paraId="11EC2BC7" w14:textId="77777777" w:rsidR="006E361B" w:rsidRPr="00E94D8A" w:rsidRDefault="006E361B" w:rsidP="00BE303D">
            <w:pPr>
              <w:pStyle w:val="Tableheading"/>
              <w:jc w:val="both"/>
              <w:rPr>
                <w:color w:val="auto"/>
                <w:lang w:val="es-ES"/>
              </w:rPr>
            </w:pPr>
            <w:r w:rsidRPr="00E94D8A">
              <w:rPr>
                <w:b/>
                <w:color w:val="auto"/>
                <w:lang w:val="es-ES"/>
              </w:rPr>
              <w:t xml:space="preserve">Característica </w:t>
            </w:r>
          </w:p>
        </w:tc>
        <w:tc>
          <w:tcPr>
            <w:tcW w:w="2296" w:type="dxa"/>
            <w:tcBorders>
              <w:top w:val="single" w:sz="18" w:space="0" w:color="221F72"/>
              <w:bottom w:val="single" w:sz="18" w:space="0" w:color="221F72"/>
            </w:tcBorders>
            <w:shd w:val="solid" w:color="221F72" w:fill="221F72"/>
          </w:tcPr>
          <w:p w14:paraId="2C583421" w14:textId="77777777" w:rsidR="006E361B" w:rsidRPr="00E94D8A" w:rsidRDefault="006E361B" w:rsidP="00BE303D">
            <w:pPr>
              <w:pStyle w:val="Tableheading"/>
              <w:rPr>
                <w:b/>
                <w:bCs w:val="0"/>
                <w:color w:val="auto"/>
                <w:lang w:val="es-ES"/>
              </w:rPr>
            </w:pPr>
            <w:r w:rsidRPr="00E94D8A">
              <w:rPr>
                <w:b/>
                <w:bCs w:val="0"/>
                <w:color w:val="auto"/>
                <w:lang w:val="es-ES"/>
              </w:rPr>
              <w:t xml:space="preserve">Opción 1 : Operador promedio </w:t>
            </w:r>
          </w:p>
        </w:tc>
        <w:tc>
          <w:tcPr>
            <w:tcW w:w="2296" w:type="dxa"/>
            <w:tcBorders>
              <w:top w:val="single" w:sz="18" w:space="0" w:color="221F72"/>
              <w:bottom w:val="single" w:sz="18" w:space="0" w:color="221F72"/>
            </w:tcBorders>
            <w:shd w:val="solid" w:color="221F72" w:fill="221F72"/>
          </w:tcPr>
          <w:p w14:paraId="4ED4B0BA" w14:textId="77777777" w:rsidR="006E361B" w:rsidRPr="00E94D8A" w:rsidRDefault="006E361B" w:rsidP="00BE303D">
            <w:pPr>
              <w:pStyle w:val="Tableheading"/>
              <w:rPr>
                <w:b/>
                <w:bCs w:val="0"/>
                <w:color w:val="auto"/>
                <w:lang w:val="es-ES"/>
              </w:rPr>
            </w:pPr>
            <w:r w:rsidRPr="00E94D8A">
              <w:rPr>
                <w:b/>
                <w:bCs w:val="0"/>
                <w:color w:val="auto"/>
                <w:lang w:val="es-ES"/>
              </w:rPr>
              <w:t xml:space="preserve">Opción 2: Operador hipotético existente </w:t>
            </w:r>
          </w:p>
        </w:tc>
        <w:tc>
          <w:tcPr>
            <w:tcW w:w="2297" w:type="dxa"/>
            <w:tcBorders>
              <w:top w:val="single" w:sz="18" w:space="0" w:color="221F72"/>
              <w:bottom w:val="single" w:sz="18" w:space="0" w:color="221F72"/>
            </w:tcBorders>
            <w:shd w:val="solid" w:color="221F72" w:fill="221F72"/>
          </w:tcPr>
          <w:p w14:paraId="508CA823" w14:textId="77777777" w:rsidR="006E361B" w:rsidRPr="00E94D8A" w:rsidRDefault="006E361B" w:rsidP="00BE303D">
            <w:pPr>
              <w:pStyle w:val="Tableheading"/>
              <w:rPr>
                <w:b/>
                <w:bCs w:val="0"/>
                <w:color w:val="auto"/>
                <w:lang w:val="es-ES"/>
              </w:rPr>
            </w:pPr>
            <w:r w:rsidRPr="00E94D8A">
              <w:rPr>
                <w:b/>
                <w:bCs w:val="0"/>
                <w:color w:val="auto"/>
                <w:lang w:val="es-ES"/>
              </w:rPr>
              <w:t xml:space="preserve">Opción 3: Nuevo entrante hipotético </w:t>
            </w:r>
          </w:p>
        </w:tc>
      </w:tr>
      <w:tr w:rsidR="006E361B" w:rsidRPr="00E94D8A" w14:paraId="566120DF" w14:textId="77777777" w:rsidTr="00E94D8A">
        <w:trPr>
          <w:cnfStyle w:val="000000100000" w:firstRow="0" w:lastRow="0" w:firstColumn="0" w:lastColumn="0" w:oddVBand="0" w:evenVBand="0" w:oddHBand="1" w:evenHBand="0" w:firstRowFirstColumn="0" w:firstRowLastColumn="0" w:lastRowFirstColumn="0" w:lastRowLastColumn="0"/>
        </w:trPr>
        <w:tc>
          <w:tcPr>
            <w:tcW w:w="1843" w:type="dxa"/>
            <w:tcBorders>
              <w:top w:val="single" w:sz="18" w:space="0" w:color="221F72"/>
            </w:tcBorders>
          </w:tcPr>
          <w:p w14:paraId="0D020D2D" w14:textId="77777777" w:rsidR="006E361B" w:rsidRPr="00E94D8A" w:rsidRDefault="006E361B" w:rsidP="00BE303D">
            <w:pPr>
              <w:pStyle w:val="Tablecells"/>
              <w:spacing w:before="0" w:after="0"/>
              <w:rPr>
                <w:lang w:val="es-ES"/>
              </w:rPr>
            </w:pPr>
            <w:r w:rsidRPr="00E94D8A">
              <w:rPr>
                <w:lang w:val="es-ES"/>
              </w:rPr>
              <w:t>Fecha de lanzamiento</w:t>
            </w:r>
          </w:p>
        </w:tc>
        <w:tc>
          <w:tcPr>
            <w:tcW w:w="2296" w:type="dxa"/>
            <w:tcBorders>
              <w:top w:val="single" w:sz="18" w:space="0" w:color="221F72"/>
            </w:tcBorders>
          </w:tcPr>
          <w:p w14:paraId="22C03F35" w14:textId="497277D3" w:rsidR="006E361B" w:rsidRPr="00E94D8A" w:rsidRDefault="006E361B" w:rsidP="00F84B96">
            <w:pPr>
              <w:pStyle w:val="Tablecells"/>
              <w:spacing w:before="0" w:after="0"/>
              <w:rPr>
                <w:lang w:val="es-ES"/>
              </w:rPr>
            </w:pPr>
            <w:r w:rsidRPr="00E94D8A">
              <w:rPr>
                <w:lang w:val="es-ES"/>
              </w:rPr>
              <w:t xml:space="preserve">Diferente para todos los operadores, por lo tanto utilizar un promedio no es </w:t>
            </w:r>
            <w:r w:rsidR="00F84B96">
              <w:rPr>
                <w:lang w:val="es-ES"/>
              </w:rPr>
              <w:t>representat</w:t>
            </w:r>
            <w:r w:rsidR="00F84B96" w:rsidRPr="00E94D8A">
              <w:rPr>
                <w:lang w:val="es-ES"/>
              </w:rPr>
              <w:t>ivo</w:t>
            </w:r>
            <w:r w:rsidRPr="00E94D8A">
              <w:rPr>
                <w:lang w:val="es-ES"/>
              </w:rPr>
              <w:t>.</w:t>
            </w:r>
          </w:p>
        </w:tc>
        <w:tc>
          <w:tcPr>
            <w:tcW w:w="2296" w:type="dxa"/>
            <w:tcBorders>
              <w:top w:val="single" w:sz="18" w:space="0" w:color="221F72"/>
            </w:tcBorders>
          </w:tcPr>
          <w:p w14:paraId="44458F26" w14:textId="77777777" w:rsidR="006E361B" w:rsidRPr="00E94D8A" w:rsidRDefault="006E361B" w:rsidP="00BE303D">
            <w:pPr>
              <w:pStyle w:val="Tablecells"/>
              <w:spacing w:before="0" w:after="0"/>
              <w:rPr>
                <w:lang w:val="es-ES"/>
              </w:rPr>
            </w:pPr>
            <w:r w:rsidRPr="00E94D8A">
              <w:rPr>
                <w:lang w:val="es-ES"/>
              </w:rPr>
              <w:t>Puede ser establecida de forma consistente para los modelos fijo y móvil tomando en consideración hitos clave en el despliegue de las redes reales.</w:t>
            </w:r>
          </w:p>
        </w:tc>
        <w:tc>
          <w:tcPr>
            <w:tcW w:w="2297" w:type="dxa"/>
            <w:tcBorders>
              <w:top w:val="single" w:sz="18" w:space="0" w:color="221F72"/>
            </w:tcBorders>
          </w:tcPr>
          <w:p w14:paraId="3B9175CE" w14:textId="77777777" w:rsidR="006E361B" w:rsidRPr="00E94D8A" w:rsidRDefault="006E361B" w:rsidP="00D25121">
            <w:pPr>
              <w:pStyle w:val="Tablecells"/>
              <w:spacing w:before="0" w:after="0"/>
              <w:rPr>
                <w:lang w:val="es-ES"/>
              </w:rPr>
            </w:pPr>
            <w:r w:rsidRPr="00E94D8A">
              <w:rPr>
                <w:lang w:val="es-ES"/>
              </w:rPr>
              <w:t xml:space="preserve">Por definición, utilizar </w:t>
            </w:r>
            <w:r w:rsidR="00C51B33" w:rsidRPr="00E94D8A">
              <w:rPr>
                <w:lang w:val="es-ES"/>
              </w:rPr>
              <w:t>201</w:t>
            </w:r>
            <w:r w:rsidR="004347BF">
              <w:rPr>
                <w:lang w:val="es-ES"/>
              </w:rPr>
              <w:t>7</w:t>
            </w:r>
            <w:r w:rsidR="00C51B33" w:rsidRPr="00E94D8A">
              <w:rPr>
                <w:lang w:val="es-ES"/>
              </w:rPr>
              <w:t xml:space="preserve"> </w:t>
            </w:r>
            <w:r w:rsidRPr="00E94D8A">
              <w:rPr>
                <w:lang w:val="es-ES"/>
              </w:rPr>
              <w:t>sería consistente para operadores fijos y móviles.</w:t>
            </w:r>
          </w:p>
        </w:tc>
      </w:tr>
      <w:tr w:rsidR="006E361B" w:rsidRPr="00E94D8A" w14:paraId="493AC717" w14:textId="77777777" w:rsidTr="00E94D8A">
        <w:tc>
          <w:tcPr>
            <w:tcW w:w="1843" w:type="dxa"/>
            <w:tcBorders>
              <w:bottom w:val="nil"/>
            </w:tcBorders>
          </w:tcPr>
          <w:p w14:paraId="6736FE53" w14:textId="77777777" w:rsidR="006E361B" w:rsidRPr="00E94D8A" w:rsidRDefault="006E361B" w:rsidP="00BE303D">
            <w:pPr>
              <w:pStyle w:val="Tablecells"/>
              <w:spacing w:before="0" w:after="0"/>
              <w:rPr>
                <w:lang w:val="es-ES"/>
              </w:rPr>
            </w:pPr>
            <w:r w:rsidRPr="00E94D8A">
              <w:rPr>
                <w:lang w:val="es-ES"/>
              </w:rPr>
              <w:t>Tecnología</w:t>
            </w:r>
          </w:p>
        </w:tc>
        <w:tc>
          <w:tcPr>
            <w:tcW w:w="2296" w:type="dxa"/>
            <w:tcBorders>
              <w:bottom w:val="nil"/>
            </w:tcBorders>
          </w:tcPr>
          <w:p w14:paraId="43C7A4E5" w14:textId="09CBFAB5" w:rsidR="006E361B" w:rsidRPr="00E94D8A" w:rsidRDefault="006E361B" w:rsidP="00BE303D">
            <w:pPr>
              <w:pStyle w:val="Tablecells"/>
              <w:spacing w:before="0" w:after="0"/>
              <w:rPr>
                <w:lang w:val="es-ES"/>
              </w:rPr>
            </w:pPr>
            <w:r w:rsidRPr="00E94D8A">
              <w:rPr>
                <w:lang w:val="es-ES"/>
              </w:rPr>
              <w:t xml:space="preserve">Grandes diferencias en tecnología para </w:t>
            </w:r>
            <w:r w:rsidR="0055748C">
              <w:rPr>
                <w:lang w:val="es-ES"/>
              </w:rPr>
              <w:t xml:space="preserve">el </w:t>
            </w:r>
            <w:r w:rsidR="00F57548">
              <w:rPr>
                <w:lang w:val="es-ES"/>
              </w:rPr>
              <w:t>operador histórico</w:t>
            </w:r>
            <w:r w:rsidRPr="00E94D8A">
              <w:rPr>
                <w:lang w:val="es-ES"/>
              </w:rPr>
              <w:t>,</w:t>
            </w:r>
            <w:r w:rsidR="0055748C">
              <w:rPr>
                <w:lang w:val="es-ES"/>
              </w:rPr>
              <w:t xml:space="preserve"> alternativos y</w:t>
            </w:r>
            <w:r w:rsidRPr="00E94D8A">
              <w:rPr>
                <w:lang w:val="es-ES"/>
              </w:rPr>
              <w:t xml:space="preserve"> los operadores de cable por lo que un promedio no </w:t>
            </w:r>
            <w:r w:rsidR="00F57548">
              <w:rPr>
                <w:lang w:val="es-ES"/>
              </w:rPr>
              <w:t>sería representativo</w:t>
            </w:r>
            <w:r w:rsidRPr="00E94D8A">
              <w:rPr>
                <w:lang w:val="es-ES"/>
              </w:rPr>
              <w:t>.</w:t>
            </w:r>
          </w:p>
          <w:p w14:paraId="5D0DD0DD" w14:textId="77777777" w:rsidR="006E361B" w:rsidRPr="00E94D8A" w:rsidRDefault="006E361B" w:rsidP="00BE303D">
            <w:pPr>
              <w:pStyle w:val="Tablecells"/>
              <w:spacing w:before="0" w:after="0"/>
              <w:rPr>
                <w:lang w:val="es-ES"/>
              </w:rPr>
            </w:pPr>
            <w:r w:rsidRPr="00E94D8A">
              <w:rPr>
                <w:lang w:val="es-ES"/>
              </w:rPr>
              <w:t>La tecnología es semejante para tres de los operadores móviles, por lo cual es factible.</w:t>
            </w:r>
          </w:p>
        </w:tc>
        <w:tc>
          <w:tcPr>
            <w:tcW w:w="2296" w:type="dxa"/>
            <w:tcBorders>
              <w:bottom w:val="nil"/>
            </w:tcBorders>
          </w:tcPr>
          <w:p w14:paraId="761288CC" w14:textId="77777777" w:rsidR="006E361B" w:rsidRPr="00E94D8A" w:rsidRDefault="006E361B" w:rsidP="00BE303D">
            <w:pPr>
              <w:pStyle w:val="Tablecells"/>
              <w:spacing w:before="0" w:after="0"/>
              <w:rPr>
                <w:lang w:val="es-ES"/>
              </w:rPr>
            </w:pPr>
            <w:r w:rsidRPr="00E94D8A">
              <w:rPr>
                <w:lang w:val="es-ES"/>
              </w:rPr>
              <w:t>La tecnología utilizada por un operador hipotético puede definirse de forma específica, tomando en consideración componentes relevantes de las redes existentes.</w:t>
            </w:r>
          </w:p>
        </w:tc>
        <w:tc>
          <w:tcPr>
            <w:tcW w:w="2297" w:type="dxa"/>
            <w:tcBorders>
              <w:bottom w:val="nil"/>
            </w:tcBorders>
          </w:tcPr>
          <w:p w14:paraId="4016E422" w14:textId="77777777" w:rsidR="006E361B" w:rsidRPr="00E94D8A" w:rsidRDefault="006E361B" w:rsidP="00BE303D">
            <w:pPr>
              <w:pStyle w:val="Tablecells"/>
              <w:spacing w:before="0" w:after="0"/>
              <w:rPr>
                <w:lang w:val="es-ES"/>
              </w:rPr>
            </w:pPr>
            <w:r w:rsidRPr="00E94D8A">
              <w:rPr>
                <w:lang w:val="es-ES"/>
              </w:rPr>
              <w:t>Por definición, un nuevo entrante utilizaría la tecnología moderna existente.</w:t>
            </w:r>
          </w:p>
        </w:tc>
      </w:tr>
      <w:tr w:rsidR="006E361B" w:rsidRPr="00E94D8A" w14:paraId="5F528516" w14:textId="77777777" w:rsidTr="00E94D8A">
        <w:trPr>
          <w:cnfStyle w:val="000000100000" w:firstRow="0" w:lastRow="0" w:firstColumn="0" w:lastColumn="0" w:oddVBand="0" w:evenVBand="0" w:oddHBand="1" w:evenHBand="0" w:firstRowFirstColumn="0" w:firstRowLastColumn="0" w:lastRowFirstColumn="0" w:lastRowLastColumn="0"/>
        </w:trPr>
        <w:tc>
          <w:tcPr>
            <w:tcW w:w="1843" w:type="dxa"/>
            <w:tcBorders>
              <w:top w:val="nil"/>
              <w:bottom w:val="nil"/>
            </w:tcBorders>
          </w:tcPr>
          <w:p w14:paraId="6EF495EB" w14:textId="77777777" w:rsidR="006E361B" w:rsidRPr="00E94D8A" w:rsidRDefault="006E361B" w:rsidP="00BE303D">
            <w:pPr>
              <w:pStyle w:val="Tablecells"/>
              <w:spacing w:before="0" w:after="0"/>
              <w:rPr>
                <w:lang w:val="es-ES"/>
              </w:rPr>
            </w:pPr>
            <w:r w:rsidRPr="00E94D8A">
              <w:rPr>
                <w:lang w:val="es-ES"/>
              </w:rPr>
              <w:t xml:space="preserve">Evolución y migración a tecnología moderna </w:t>
            </w:r>
          </w:p>
        </w:tc>
        <w:tc>
          <w:tcPr>
            <w:tcW w:w="2296" w:type="dxa"/>
            <w:tcBorders>
              <w:top w:val="nil"/>
              <w:bottom w:val="nil"/>
            </w:tcBorders>
          </w:tcPr>
          <w:p w14:paraId="38284D09" w14:textId="77777777" w:rsidR="006E361B" w:rsidRPr="00E94D8A" w:rsidRDefault="006E361B" w:rsidP="00BE303D">
            <w:pPr>
              <w:pStyle w:val="Tablecells"/>
              <w:spacing w:before="0" w:after="0"/>
              <w:rPr>
                <w:color w:val="000000" w:themeColor="text1"/>
                <w:lang w:val="es-ES"/>
              </w:rPr>
            </w:pPr>
            <w:r w:rsidRPr="00E94D8A">
              <w:rPr>
                <w:color w:val="000000" w:themeColor="text1"/>
                <w:lang w:val="es-ES"/>
              </w:rPr>
              <w:t>Los principales operadores fijos han evolucionado en formas distintas por lo que es complicado definir una evolución promedio.</w:t>
            </w:r>
          </w:p>
          <w:p w14:paraId="7D202510" w14:textId="00E0251A" w:rsidR="006E361B" w:rsidRPr="00E94D8A" w:rsidRDefault="006E361B" w:rsidP="00453668">
            <w:pPr>
              <w:pStyle w:val="Tablecells"/>
              <w:spacing w:before="0" w:after="0"/>
              <w:rPr>
                <w:lang w:val="es-ES"/>
              </w:rPr>
            </w:pPr>
            <w:r w:rsidRPr="00E94D8A">
              <w:rPr>
                <w:lang w:val="es-ES"/>
              </w:rPr>
              <w:t>Todos los operadores móviles usan, o están en vías de desplegar, la tecnología moderna (</w:t>
            </w:r>
            <w:r w:rsidR="004D1216">
              <w:rPr>
                <w:lang w:val="es-ES"/>
              </w:rPr>
              <w:t>2G</w:t>
            </w:r>
            <w:r w:rsidR="00453668">
              <w:rPr>
                <w:rStyle w:val="Refdenotaalpie"/>
                <w:lang w:val="es-ES"/>
              </w:rPr>
              <w:footnoteReference w:id="5"/>
            </w:r>
            <w:r w:rsidR="002D599B">
              <w:rPr>
                <w:lang w:val="es-ES"/>
              </w:rPr>
              <w:t>,</w:t>
            </w:r>
            <w:r w:rsidRPr="00E94D8A">
              <w:rPr>
                <w:lang w:val="es-ES"/>
              </w:rPr>
              <w:t xml:space="preserve"> 3G</w:t>
            </w:r>
            <w:r w:rsidR="002D599B">
              <w:rPr>
                <w:lang w:val="es-ES"/>
              </w:rPr>
              <w:t xml:space="preserve"> y 4G</w:t>
            </w:r>
            <w:r w:rsidRPr="00E94D8A">
              <w:rPr>
                <w:lang w:val="es-ES"/>
              </w:rPr>
              <w:t>).</w:t>
            </w:r>
            <w:r w:rsidR="00E54D7E">
              <w:rPr>
                <w:lang w:val="es-ES"/>
              </w:rPr>
              <w:t xml:space="preserve"> </w:t>
            </w:r>
          </w:p>
        </w:tc>
        <w:tc>
          <w:tcPr>
            <w:tcW w:w="2296" w:type="dxa"/>
            <w:tcBorders>
              <w:top w:val="nil"/>
              <w:bottom w:val="nil"/>
            </w:tcBorders>
          </w:tcPr>
          <w:p w14:paraId="553ACC00" w14:textId="77777777" w:rsidR="006E361B" w:rsidRPr="00E94D8A" w:rsidRDefault="006E361B" w:rsidP="00BE303D">
            <w:pPr>
              <w:pStyle w:val="Tablecells"/>
              <w:spacing w:before="0" w:after="0"/>
              <w:rPr>
                <w:lang w:val="es-ES"/>
              </w:rPr>
            </w:pPr>
            <w:r w:rsidRPr="00E94D8A">
              <w:rPr>
                <w:lang w:val="es-ES"/>
              </w:rPr>
              <w:t>La evolución y migración de un operador hipotético puede definirse de forma específica, teniendo en cuenta las redes existentes. Los despliegues de red anteriores pueden ser ignorados si se espera una migración a una tecnología de nueva generación en el corto/mediano plazo (lo cual ya está siendo observado en las redes actuales).</w:t>
            </w:r>
          </w:p>
        </w:tc>
        <w:tc>
          <w:tcPr>
            <w:tcW w:w="2297" w:type="dxa"/>
            <w:tcBorders>
              <w:top w:val="nil"/>
              <w:bottom w:val="nil"/>
            </w:tcBorders>
          </w:tcPr>
          <w:p w14:paraId="4BB0F923" w14:textId="77777777" w:rsidR="006E361B" w:rsidRPr="00E94D8A" w:rsidRDefault="006E361B" w:rsidP="00BE303D">
            <w:pPr>
              <w:pStyle w:val="Tablecells"/>
              <w:spacing w:before="0" w:after="0"/>
              <w:rPr>
                <w:lang w:val="es-ES"/>
              </w:rPr>
            </w:pPr>
            <w:r w:rsidRPr="00E94D8A">
              <w:rPr>
                <w:lang w:val="es-ES"/>
              </w:rPr>
              <w:t>Por definición, un nuevo entrante hipotético comenzaría a operar con tecnología moderna, por lo que la evolución y migración no son relevantes. Sin embargo, la velocidad de despliegue y adquisición de usuarios serían datos clave para el modelo.</w:t>
            </w:r>
          </w:p>
        </w:tc>
      </w:tr>
      <w:tr w:rsidR="006E361B" w:rsidRPr="00E94D8A" w14:paraId="0C1DC10B" w14:textId="77777777" w:rsidTr="00E94D8A">
        <w:tc>
          <w:tcPr>
            <w:tcW w:w="1843" w:type="dxa"/>
            <w:tcBorders>
              <w:top w:val="nil"/>
              <w:bottom w:val="nil"/>
            </w:tcBorders>
          </w:tcPr>
          <w:p w14:paraId="7BC880DE" w14:textId="77777777" w:rsidR="006E361B" w:rsidRPr="00E94D8A" w:rsidRDefault="006E361B" w:rsidP="00BE303D">
            <w:pPr>
              <w:pStyle w:val="Tablecells"/>
              <w:spacing w:before="0" w:after="0"/>
              <w:rPr>
                <w:lang w:val="es-ES"/>
              </w:rPr>
            </w:pPr>
            <w:r w:rsidRPr="00E94D8A">
              <w:rPr>
                <w:lang w:val="es-ES"/>
              </w:rPr>
              <w:t>Eficiencia</w:t>
            </w:r>
          </w:p>
        </w:tc>
        <w:tc>
          <w:tcPr>
            <w:tcW w:w="2296" w:type="dxa"/>
            <w:tcBorders>
              <w:top w:val="nil"/>
              <w:bottom w:val="nil"/>
            </w:tcBorders>
          </w:tcPr>
          <w:p w14:paraId="5604C9B8" w14:textId="77777777" w:rsidR="006E361B" w:rsidRPr="00E94D8A" w:rsidRDefault="006E361B" w:rsidP="00BE303D">
            <w:pPr>
              <w:pStyle w:val="Tablecells"/>
              <w:spacing w:before="0" w:after="0"/>
              <w:rPr>
                <w:lang w:val="es-ES"/>
              </w:rPr>
            </w:pPr>
            <w:r w:rsidRPr="00E94D8A">
              <w:rPr>
                <w:lang w:val="es-ES"/>
              </w:rPr>
              <w:t>Se podrían incluir costos ineficientes con un promedio.</w:t>
            </w:r>
          </w:p>
        </w:tc>
        <w:tc>
          <w:tcPr>
            <w:tcW w:w="2296" w:type="dxa"/>
            <w:tcBorders>
              <w:top w:val="nil"/>
              <w:bottom w:val="nil"/>
            </w:tcBorders>
          </w:tcPr>
          <w:p w14:paraId="10BB8877" w14:textId="77777777" w:rsidR="006E361B" w:rsidRPr="00E94D8A" w:rsidRDefault="006E361B" w:rsidP="00BE303D">
            <w:pPr>
              <w:pStyle w:val="Tablecells"/>
              <w:spacing w:before="0" w:after="0"/>
              <w:rPr>
                <w:lang w:val="es-ES"/>
              </w:rPr>
            </w:pPr>
            <w:r w:rsidRPr="00E94D8A">
              <w:rPr>
                <w:lang w:val="es-ES"/>
              </w:rPr>
              <w:t>Los aspectos de eficiencia pueden ser definidos.</w:t>
            </w:r>
          </w:p>
        </w:tc>
        <w:tc>
          <w:tcPr>
            <w:tcW w:w="2297" w:type="dxa"/>
            <w:tcBorders>
              <w:top w:val="nil"/>
              <w:bottom w:val="nil"/>
            </w:tcBorders>
          </w:tcPr>
          <w:p w14:paraId="056EF0EF" w14:textId="77777777" w:rsidR="006E361B" w:rsidRPr="00E94D8A" w:rsidRDefault="006E361B" w:rsidP="00BE303D">
            <w:pPr>
              <w:pStyle w:val="Tablecells"/>
              <w:spacing w:before="0" w:after="0"/>
              <w:rPr>
                <w:lang w:val="es-ES"/>
              </w:rPr>
            </w:pPr>
            <w:r w:rsidRPr="00E94D8A">
              <w:rPr>
                <w:lang w:val="es-ES"/>
              </w:rPr>
              <w:t>Las opciones eficientes se pueden seleccionar para el modelo.</w:t>
            </w:r>
          </w:p>
        </w:tc>
      </w:tr>
      <w:tr w:rsidR="006E361B" w:rsidRPr="00E94D8A" w14:paraId="444D1E3A" w14:textId="77777777" w:rsidTr="00E94D8A">
        <w:trPr>
          <w:cnfStyle w:val="000000100000" w:firstRow="0" w:lastRow="0" w:firstColumn="0" w:lastColumn="0" w:oddVBand="0" w:evenVBand="0" w:oddHBand="1" w:evenHBand="0" w:firstRowFirstColumn="0" w:firstRowLastColumn="0" w:lastRowFirstColumn="0" w:lastRowLastColumn="0"/>
        </w:trPr>
        <w:tc>
          <w:tcPr>
            <w:tcW w:w="1843" w:type="dxa"/>
            <w:tcBorders>
              <w:top w:val="nil"/>
              <w:bottom w:val="nil"/>
            </w:tcBorders>
          </w:tcPr>
          <w:p w14:paraId="6C8369A8" w14:textId="77777777" w:rsidR="006E361B" w:rsidRPr="00E94D8A" w:rsidRDefault="006E361B" w:rsidP="00BE303D">
            <w:pPr>
              <w:pStyle w:val="Tablecells"/>
              <w:spacing w:before="0" w:after="0"/>
              <w:rPr>
                <w:lang w:val="es-ES"/>
              </w:rPr>
            </w:pPr>
            <w:r w:rsidRPr="00E94D8A">
              <w:rPr>
                <w:lang w:val="es-ES"/>
              </w:rPr>
              <w:t>Transparencia con respecto al uso de un modelo ascendente (</w:t>
            </w:r>
            <w:proofErr w:type="spellStart"/>
            <w:r w:rsidRPr="00E94D8A">
              <w:rPr>
                <w:i/>
                <w:lang w:val="es-ES"/>
              </w:rPr>
              <w:t>bottom</w:t>
            </w:r>
            <w:proofErr w:type="spellEnd"/>
            <w:r w:rsidRPr="00E94D8A">
              <w:rPr>
                <w:i/>
                <w:lang w:val="es-ES"/>
              </w:rPr>
              <w:t xml:space="preserve"> up</w:t>
            </w:r>
            <w:r w:rsidRPr="00E94D8A">
              <w:rPr>
                <w:lang w:val="es-ES"/>
              </w:rPr>
              <w:t>)</w:t>
            </w:r>
          </w:p>
        </w:tc>
        <w:tc>
          <w:tcPr>
            <w:tcW w:w="2296" w:type="dxa"/>
            <w:tcBorders>
              <w:top w:val="nil"/>
              <w:bottom w:val="nil"/>
            </w:tcBorders>
          </w:tcPr>
          <w:p w14:paraId="087947BF" w14:textId="77777777" w:rsidR="006E361B" w:rsidRPr="00E94D8A" w:rsidRDefault="006E361B" w:rsidP="00BE303D">
            <w:pPr>
              <w:pStyle w:val="Tablecells"/>
              <w:spacing w:before="0" w:after="0"/>
              <w:rPr>
                <w:lang w:val="es-ES"/>
              </w:rPr>
            </w:pPr>
            <w:r w:rsidRPr="00E94D8A">
              <w:rPr>
                <w:lang w:val="es-ES"/>
              </w:rPr>
              <w:t>Puede ser difícil en el caso de las redes fijas ya que el operador promedio sería muy abstracto en comparación con los operadores existentes.</w:t>
            </w:r>
          </w:p>
          <w:p w14:paraId="2FC22BA7" w14:textId="77777777" w:rsidR="006E361B" w:rsidRPr="00E94D8A" w:rsidRDefault="006E361B" w:rsidP="00BE303D">
            <w:pPr>
              <w:pStyle w:val="Tablecells"/>
              <w:spacing w:before="0" w:after="0"/>
              <w:rPr>
                <w:spacing w:val="-4"/>
                <w:lang w:val="es-ES"/>
              </w:rPr>
            </w:pPr>
            <w:r w:rsidRPr="00E94D8A">
              <w:rPr>
                <w:spacing w:val="-4"/>
                <w:lang w:val="es-ES"/>
              </w:rPr>
              <w:t>El operador promedio móvil tendría más semejanzas con los operadores existentes.</w:t>
            </w:r>
          </w:p>
        </w:tc>
        <w:tc>
          <w:tcPr>
            <w:tcW w:w="2296" w:type="dxa"/>
            <w:tcBorders>
              <w:top w:val="nil"/>
              <w:bottom w:val="nil"/>
            </w:tcBorders>
          </w:tcPr>
          <w:p w14:paraId="47116129" w14:textId="77777777" w:rsidR="006E361B" w:rsidRPr="00E94D8A" w:rsidRDefault="006E361B" w:rsidP="00BE303D">
            <w:pPr>
              <w:pStyle w:val="Tablecells"/>
              <w:spacing w:before="0" w:after="0"/>
              <w:rPr>
                <w:lang w:val="es-ES"/>
              </w:rPr>
            </w:pPr>
            <w:r w:rsidRPr="00E94D8A">
              <w:rPr>
                <w:lang w:val="es-ES"/>
              </w:rPr>
              <w:t xml:space="preserve">La transparencia aumenta cuando el diseño del operador fijo es único y explícito y no el promedio de operaciones diversas. Debido a las semejanzas entre los operadores móviles, este enfoque sería </w:t>
            </w:r>
            <w:r w:rsidRPr="00E94D8A">
              <w:rPr>
                <w:lang w:val="es-ES"/>
              </w:rPr>
              <w:lastRenderedPageBreak/>
              <w:t>transparente y un buen reflejo de la realidad.</w:t>
            </w:r>
          </w:p>
        </w:tc>
        <w:tc>
          <w:tcPr>
            <w:tcW w:w="2297" w:type="dxa"/>
            <w:tcBorders>
              <w:top w:val="nil"/>
              <w:bottom w:val="nil"/>
            </w:tcBorders>
          </w:tcPr>
          <w:p w14:paraId="00C94448" w14:textId="77777777" w:rsidR="006E361B" w:rsidRPr="00E94D8A" w:rsidRDefault="006E361B" w:rsidP="008B398E">
            <w:pPr>
              <w:pStyle w:val="Tablecells"/>
              <w:spacing w:before="0" w:after="0"/>
              <w:rPr>
                <w:lang w:val="es-ES"/>
              </w:rPr>
            </w:pPr>
            <w:r w:rsidRPr="00E94D8A">
              <w:rPr>
                <w:lang w:val="es-ES"/>
              </w:rPr>
              <w:lastRenderedPageBreak/>
              <w:t>En principio, un nuevo entrante hipotético tendría un diseño transparente, sin embargo esto implica que se necesiten datos de los operadores reales para los parámetros hipotéticos.</w:t>
            </w:r>
            <w:r w:rsidR="00B63DD1">
              <w:rPr>
                <w:lang w:val="es-ES"/>
              </w:rPr>
              <w:t xml:space="preserve"> </w:t>
            </w:r>
          </w:p>
        </w:tc>
      </w:tr>
      <w:tr w:rsidR="006E361B" w:rsidRPr="00E94D8A" w14:paraId="60FCD084" w14:textId="77777777" w:rsidTr="00E94D8A">
        <w:tc>
          <w:tcPr>
            <w:tcW w:w="1843" w:type="dxa"/>
            <w:tcBorders>
              <w:top w:val="nil"/>
              <w:bottom w:val="single" w:sz="4" w:space="0" w:color="808080"/>
            </w:tcBorders>
          </w:tcPr>
          <w:p w14:paraId="5D8D6705" w14:textId="77777777" w:rsidR="006E361B" w:rsidRPr="00E94D8A" w:rsidRDefault="006E361B" w:rsidP="00587D3F">
            <w:pPr>
              <w:pStyle w:val="Tablecells"/>
              <w:pageBreakBefore/>
              <w:spacing w:before="20" w:after="20"/>
              <w:rPr>
                <w:lang w:val="es-ES"/>
              </w:rPr>
            </w:pPr>
            <w:r w:rsidRPr="00E94D8A">
              <w:rPr>
                <w:lang w:val="es-ES"/>
              </w:rPr>
              <w:lastRenderedPageBreak/>
              <w:t>Reconciliación practica con contabilidad descendente (</w:t>
            </w:r>
            <w:r w:rsidRPr="00E94D8A">
              <w:rPr>
                <w:i/>
                <w:lang w:val="es-ES"/>
              </w:rPr>
              <w:t>top-</w:t>
            </w:r>
            <w:proofErr w:type="spellStart"/>
            <w:r w:rsidRPr="00E94D8A">
              <w:rPr>
                <w:i/>
                <w:lang w:val="es-ES"/>
              </w:rPr>
              <w:t>down</w:t>
            </w:r>
            <w:proofErr w:type="spellEnd"/>
            <w:r w:rsidRPr="00E94D8A">
              <w:rPr>
                <w:lang w:val="es-ES"/>
              </w:rPr>
              <w:t>)</w:t>
            </w:r>
          </w:p>
          <w:p w14:paraId="14B608DB" w14:textId="77777777" w:rsidR="006E361B" w:rsidRPr="00E94D8A" w:rsidRDefault="006E361B" w:rsidP="00BE303D">
            <w:pPr>
              <w:pStyle w:val="Tablecells"/>
              <w:spacing w:before="20" w:after="20"/>
              <w:rPr>
                <w:lang w:val="es-ES"/>
              </w:rPr>
            </w:pPr>
          </w:p>
        </w:tc>
        <w:tc>
          <w:tcPr>
            <w:tcW w:w="2296" w:type="dxa"/>
            <w:tcBorders>
              <w:top w:val="nil"/>
              <w:bottom w:val="single" w:sz="4" w:space="0" w:color="808080"/>
            </w:tcBorders>
          </w:tcPr>
          <w:p w14:paraId="267E6B76" w14:textId="77777777" w:rsidR="006E361B" w:rsidRPr="00E94D8A" w:rsidRDefault="006E361B" w:rsidP="00BE303D">
            <w:pPr>
              <w:pStyle w:val="Tablecells"/>
              <w:spacing w:before="20" w:after="20"/>
              <w:rPr>
                <w:lang w:val="es-ES"/>
              </w:rPr>
            </w:pPr>
            <w:r w:rsidRPr="00E94D8A">
              <w:rPr>
                <w:lang w:val="es-ES"/>
              </w:rPr>
              <w:t>No es posible comparar directamente los costos de un operador promedio con los costos reales de los operadores. Solo es posible realizar comparaciones indirectas (p.ej. total de gastos y asignaciones sobre costos).</w:t>
            </w:r>
          </w:p>
        </w:tc>
        <w:tc>
          <w:tcPr>
            <w:tcW w:w="2296" w:type="dxa"/>
            <w:tcBorders>
              <w:top w:val="nil"/>
              <w:bottom w:val="single" w:sz="4" w:space="0" w:color="808080"/>
            </w:tcBorders>
          </w:tcPr>
          <w:p w14:paraId="5AED66A8" w14:textId="77777777" w:rsidR="006E361B" w:rsidRPr="00E94D8A" w:rsidRDefault="006E361B" w:rsidP="00BE303D">
            <w:pPr>
              <w:pStyle w:val="Tablecells"/>
              <w:spacing w:before="20" w:after="20"/>
              <w:rPr>
                <w:lang w:val="es-ES"/>
              </w:rPr>
            </w:pPr>
            <w:r w:rsidRPr="00E94D8A">
              <w:rPr>
                <w:lang w:val="es-ES"/>
              </w:rPr>
              <w:t>No es posible comparar directamente los costos de un operador hipotético con los costos reales de los operadores. Sólo es posible realizar comparaciones indirectas (p.ej. total de gastos y asignaciones sobre costos).</w:t>
            </w:r>
          </w:p>
        </w:tc>
        <w:tc>
          <w:tcPr>
            <w:tcW w:w="2297" w:type="dxa"/>
            <w:tcBorders>
              <w:top w:val="nil"/>
              <w:bottom w:val="single" w:sz="4" w:space="0" w:color="808080"/>
            </w:tcBorders>
          </w:tcPr>
          <w:p w14:paraId="60881E3C" w14:textId="77777777" w:rsidR="006E361B" w:rsidRPr="00E94D8A" w:rsidRDefault="006E361B" w:rsidP="00BE303D">
            <w:pPr>
              <w:pStyle w:val="Tablecells"/>
              <w:spacing w:before="20" w:after="20"/>
              <w:rPr>
                <w:lang w:val="es-ES"/>
              </w:rPr>
            </w:pPr>
            <w:r w:rsidRPr="00E94D8A">
              <w:rPr>
                <w:lang w:val="es-ES"/>
              </w:rPr>
              <w:t>No es posible comparar directamente o indirectamente los costos de un nuevo entrante con los costos reales de los operadores sin realizar ajustes adicionales ya que no existen estados de resultados futuros.</w:t>
            </w:r>
          </w:p>
        </w:tc>
      </w:tr>
    </w:tbl>
    <w:p w14:paraId="5DD8474C" w14:textId="77777777" w:rsidR="006E361B" w:rsidRPr="00E94D8A" w:rsidRDefault="006E361B" w:rsidP="007858D8">
      <w:pPr>
        <w:spacing w:before="240" w:after="120"/>
      </w:pPr>
      <w:r w:rsidRPr="00E94D8A">
        <w:t>Existen cuatro aspectos clave que juegan un papel importante a la hora de decidir qué tipo de operador se debe utilizar en el modelo:</w:t>
      </w:r>
    </w:p>
    <w:tbl>
      <w:tblPr>
        <w:tblW w:w="9075" w:type="dxa"/>
        <w:tblInd w:w="-57" w:type="dxa"/>
        <w:tblLayout w:type="fixed"/>
        <w:tblLook w:val="0000" w:firstRow="0" w:lastRow="0" w:firstColumn="0" w:lastColumn="0" w:noHBand="0" w:noVBand="0"/>
      </w:tblPr>
      <w:tblGrid>
        <w:gridCol w:w="57"/>
        <w:gridCol w:w="2059"/>
        <w:gridCol w:w="29"/>
        <w:gridCol w:w="6869"/>
        <w:gridCol w:w="61"/>
      </w:tblGrid>
      <w:tr w:rsidR="006E361B" w:rsidRPr="00E94D8A" w14:paraId="532BB6C2" w14:textId="77777777" w:rsidTr="0001576F">
        <w:tc>
          <w:tcPr>
            <w:tcW w:w="2116" w:type="dxa"/>
            <w:gridSpan w:val="2"/>
          </w:tcPr>
          <w:p w14:paraId="4D34054D" w14:textId="77777777" w:rsidR="006E361B" w:rsidRPr="00E94D8A" w:rsidRDefault="006E361B" w:rsidP="00BE303D">
            <w:pPr>
              <w:pStyle w:val="SBSheader"/>
              <w:spacing w:after="200" w:line="300" w:lineRule="atLeast"/>
            </w:pPr>
            <w:r w:rsidRPr="00E94D8A">
              <w:t>¿Es una buena opción para establecer regulación basada en costos?</w:t>
            </w:r>
          </w:p>
        </w:tc>
        <w:tc>
          <w:tcPr>
            <w:tcW w:w="6959" w:type="dxa"/>
            <w:gridSpan w:val="3"/>
          </w:tcPr>
          <w:p w14:paraId="5FBC3AE1" w14:textId="77777777" w:rsidR="006E361B" w:rsidRPr="00E94D8A" w:rsidRDefault="006E361B" w:rsidP="00587D3F">
            <w:r w:rsidRPr="00E94D8A">
              <w:t>Las tres opciones expuestas anteriormente pueden ser consideradas razonables para determinar los precios regulados de los servicios de interconexión mayorista en redes fijas y móviles. Sin embargo, en el caso de la opción 1, deben excluirse los costos que son producto de ineficiencias por parte de los operadores.</w:t>
            </w:r>
          </w:p>
        </w:tc>
      </w:tr>
      <w:tr w:rsidR="006E361B" w:rsidRPr="00E94D8A" w14:paraId="1D1F4167" w14:textId="77777777" w:rsidTr="0001576F">
        <w:tc>
          <w:tcPr>
            <w:tcW w:w="2116" w:type="dxa"/>
            <w:gridSpan w:val="2"/>
          </w:tcPr>
          <w:p w14:paraId="4F0F1554" w14:textId="77777777" w:rsidR="006E361B" w:rsidRPr="00E94D8A" w:rsidRDefault="006E361B" w:rsidP="00BE303D">
            <w:pPr>
              <w:pStyle w:val="SBSheader"/>
            </w:pPr>
            <w:r w:rsidRPr="00E94D8A">
              <w:t xml:space="preserve">¿Qué modificaciones y adaptaciones son necesarias para adaptar información real al modelo? </w:t>
            </w:r>
          </w:p>
        </w:tc>
        <w:tc>
          <w:tcPr>
            <w:tcW w:w="6959" w:type="dxa"/>
            <w:gridSpan w:val="3"/>
          </w:tcPr>
          <w:p w14:paraId="10B22417" w14:textId="0990DEFB" w:rsidR="006E361B" w:rsidRPr="00E94D8A" w:rsidRDefault="006E361B" w:rsidP="00587D3F">
            <w:r w:rsidRPr="00E94D8A">
              <w:t xml:space="preserve">La </w:t>
            </w:r>
            <w:r w:rsidR="00E94D8A">
              <w:fldChar w:fldCharType="begin"/>
            </w:r>
            <w:r w:rsidR="00E94D8A">
              <w:instrText xml:space="preserve"> REF _Ref321211843 \h </w:instrText>
            </w:r>
            <w:r w:rsidR="00E94D8A">
              <w:fldChar w:fldCharType="separate"/>
            </w:r>
            <w:r w:rsidR="00B426BC" w:rsidRPr="00E94D8A">
              <w:t>Figur</w:t>
            </w:r>
            <w:r w:rsidR="00B426BC">
              <w:t>a</w:t>
            </w:r>
            <w:r w:rsidR="00B426BC" w:rsidRPr="00E94D8A">
              <w:t xml:space="preserve"> </w:t>
            </w:r>
            <w:r w:rsidR="00B426BC">
              <w:rPr>
                <w:noProof/>
              </w:rPr>
              <w:t>3</w:t>
            </w:r>
            <w:r w:rsidR="00B426BC" w:rsidRPr="00E94D8A">
              <w:t>.</w:t>
            </w:r>
            <w:r w:rsidR="00B426BC">
              <w:rPr>
                <w:noProof/>
              </w:rPr>
              <w:t>1</w:t>
            </w:r>
            <w:r w:rsidR="00E94D8A">
              <w:fldChar w:fldCharType="end"/>
            </w:r>
            <w:r w:rsidR="00E94D8A">
              <w:t xml:space="preserve"> </w:t>
            </w:r>
            <w:r w:rsidRPr="00E94D8A">
              <w:t>anterior resume las adaptaciones que se requerirán según el enfoque conceptual del modelo. A modo de ejemplo, una de las principales adaptaciones tendría que ser la fecha de entrada al mercado</w:t>
            </w:r>
            <w:r w:rsidRPr="00E94D8A">
              <w:rPr>
                <w:color w:val="0000FF"/>
              </w:rPr>
              <w:t xml:space="preserve">. </w:t>
            </w:r>
            <w:r w:rsidR="00A12237">
              <w:t xml:space="preserve">Los operadores mexicanos muestran una amplia </w:t>
            </w:r>
            <w:r w:rsidRPr="00E94D8A">
              <w:t xml:space="preserve">diversidad de fechas en términos de los niveles de tecnología desplegada en </w:t>
            </w:r>
            <w:r w:rsidR="00A12237">
              <w:t>sus</w:t>
            </w:r>
            <w:r w:rsidR="00A12237" w:rsidRPr="00E94D8A">
              <w:t xml:space="preserve"> </w:t>
            </w:r>
            <w:r w:rsidRPr="00E94D8A">
              <w:t>redes. Para cada una de las tres opciones, se requeriría una fecha de entrada al mercado arbitraria.</w:t>
            </w:r>
          </w:p>
        </w:tc>
      </w:tr>
      <w:tr w:rsidR="00BE303D" w:rsidRPr="00E94D8A" w14:paraId="40A2693D" w14:textId="77777777" w:rsidTr="0001576F">
        <w:trPr>
          <w:gridBefore w:val="1"/>
          <w:gridAfter w:val="1"/>
          <w:wBefore w:w="57" w:type="dxa"/>
          <w:wAfter w:w="61" w:type="dxa"/>
        </w:trPr>
        <w:tc>
          <w:tcPr>
            <w:tcW w:w="2088" w:type="dxa"/>
            <w:gridSpan w:val="2"/>
          </w:tcPr>
          <w:p w14:paraId="531CC4FD" w14:textId="77777777" w:rsidR="00BE303D" w:rsidRPr="00E94D8A" w:rsidRDefault="00BE303D" w:rsidP="00BE303D">
            <w:pPr>
              <w:pStyle w:val="SBSheader"/>
              <w:spacing w:after="200"/>
            </w:pPr>
            <w:r w:rsidRPr="00E94D8A">
              <w:t>¿Hay lineamientos que deban seguirse?</w:t>
            </w:r>
          </w:p>
        </w:tc>
        <w:tc>
          <w:tcPr>
            <w:tcW w:w="6869" w:type="dxa"/>
          </w:tcPr>
          <w:p w14:paraId="11BDFD12" w14:textId="77777777" w:rsidR="00BE303D" w:rsidRPr="00E94D8A" w:rsidRDefault="00BE303D" w:rsidP="00E6325A">
            <w:r w:rsidRPr="00E94D8A">
              <w:t>Según las direc</w:t>
            </w:r>
            <w:r w:rsidRPr="003D55FC">
              <w:t xml:space="preserve">trices establecidas por </w:t>
            </w:r>
            <w:r w:rsidR="00150BE8" w:rsidRPr="003D55FC">
              <w:t>el IFT</w:t>
            </w:r>
            <w:r w:rsidRPr="003D55FC">
              <w:t xml:space="preserve"> en </w:t>
            </w:r>
            <w:r w:rsidR="00556421">
              <w:t>su Acuerdo del 16 de Diciembre de 2014</w:t>
            </w:r>
            <w:r w:rsidRPr="003D55FC">
              <w:t>,</w:t>
            </w:r>
            <w:r w:rsidRPr="00E94D8A">
              <w:t xml:space="preserve"> el operador debe ser eficiente, pero no especifica todas las características de ese operador. Esta postura es compatible con la que tomó la Comisión Europea en su Recomendación 2009/396/CE</w:t>
            </w:r>
            <w:r w:rsidRPr="00E94D8A">
              <w:rPr>
                <w:rStyle w:val="Refdenotaalpie"/>
                <w:rFonts w:ascii="Times New Roman" w:hAnsi="Times New Roman"/>
                <w:sz w:val="22"/>
                <w:vertAlign w:val="baseline"/>
              </w:rPr>
              <w:t xml:space="preserve"> </w:t>
            </w:r>
            <w:r w:rsidRPr="00E94D8A">
              <w:t>sobre el tratamiento normativo de las tarifas de terminación de la telefonía fija y móvil en la Unión Europea</w:t>
            </w:r>
            <w:r w:rsidRPr="00E94D8A">
              <w:rPr>
                <w:rStyle w:val="Refdenotaalpie"/>
                <w:rFonts w:cs="Arial"/>
              </w:rPr>
              <w:footnoteReference w:id="6"/>
            </w:r>
            <w:r w:rsidRPr="00E94D8A">
              <w:t xml:space="preserve">. Para el caso de México, las tres opciones de operador presentadas satisfacen el requerimiento y cumplen con lo establecido en </w:t>
            </w:r>
            <w:r w:rsidR="00E6325A">
              <w:t>el Acuerdo de Diciembre de 2014</w:t>
            </w:r>
            <w:r w:rsidRPr="00E94D8A">
              <w:t>.</w:t>
            </w:r>
          </w:p>
        </w:tc>
      </w:tr>
      <w:tr w:rsidR="00BE303D" w:rsidRPr="00E94D8A" w14:paraId="0507E01E" w14:textId="77777777" w:rsidTr="0001576F">
        <w:trPr>
          <w:gridBefore w:val="1"/>
          <w:gridAfter w:val="1"/>
          <w:wBefore w:w="57" w:type="dxa"/>
          <w:wAfter w:w="61" w:type="dxa"/>
        </w:trPr>
        <w:tc>
          <w:tcPr>
            <w:tcW w:w="2088" w:type="dxa"/>
            <w:gridSpan w:val="2"/>
          </w:tcPr>
          <w:p w14:paraId="31AC30DD" w14:textId="77777777" w:rsidR="00BE303D" w:rsidRPr="00E94D8A" w:rsidRDefault="00BE303D" w:rsidP="00587D3F">
            <w:pPr>
              <w:pStyle w:val="SBSheader"/>
              <w:pageBreakBefore/>
            </w:pPr>
            <w:r w:rsidRPr="00E94D8A">
              <w:lastRenderedPageBreak/>
              <w:t xml:space="preserve">Flexibilidad </w:t>
            </w:r>
          </w:p>
        </w:tc>
        <w:tc>
          <w:tcPr>
            <w:tcW w:w="6869" w:type="dxa"/>
          </w:tcPr>
          <w:p w14:paraId="35DB50BF" w14:textId="77777777" w:rsidR="00BE303D" w:rsidRPr="00E94D8A" w:rsidRDefault="00BE303D" w:rsidP="00BE303D">
            <w:r w:rsidRPr="00E94D8A">
              <w:t xml:space="preserve">Un modelo construido de acuerdo con la Opción 3 sería diseñado en forma que excluya migraciones tecnológicas anteriores. Estaría diseñado para comenzar sus cálculos de costos en el </w:t>
            </w:r>
            <w:r w:rsidR="00C51B33" w:rsidRPr="00E94D8A">
              <w:t>201</w:t>
            </w:r>
            <w:r w:rsidR="004D1216">
              <w:t>7</w:t>
            </w:r>
            <w:r w:rsidRPr="00E94D8A">
              <w:t>.</w:t>
            </w:r>
          </w:p>
          <w:p w14:paraId="39B58DA6" w14:textId="77777777" w:rsidR="00BE303D" w:rsidRPr="00E94D8A" w:rsidRDefault="00BE303D" w:rsidP="00587D3F">
            <w:r w:rsidRPr="00E94D8A">
              <w:t>Un modelo construido de acuerdo con la Opción 2 puede, desde un principio, también ser usado para calcular los costos de la Opción 3, básicamente mediante la modificación de los parámetros de lanzamiento tecnológico, despliegue de red y perfiles de cuota de mercado y tráfico.</w:t>
            </w:r>
          </w:p>
        </w:tc>
      </w:tr>
    </w:tbl>
    <w:p w14:paraId="1A2D84F7" w14:textId="77777777" w:rsidR="00135699" w:rsidRDefault="0043475A" w:rsidP="003D55FC">
      <w:pPr>
        <w:pStyle w:val="B1"/>
        <w:pBdr>
          <w:top w:val="single" w:sz="4" w:space="2" w:color="D9D9D9" w:themeColor="background1" w:themeShade="D9"/>
          <w:bottom w:val="single" w:sz="4" w:space="5" w:color="D9D9D9" w:themeColor="background1" w:themeShade="D9"/>
        </w:pBdr>
        <w:shd w:val="clear" w:color="auto" w:fill="F2F2F2" w:themeFill="background1" w:themeFillShade="F2"/>
        <w:rPr>
          <w:lang w:val="es-ES_tradnl"/>
        </w:rPr>
      </w:pPr>
      <w:bookmarkStart w:id="29" w:name="_Ref321211774"/>
      <w:r>
        <w:rPr>
          <w:b/>
        </w:rPr>
        <w:t>Concepto propuesto</w:t>
      </w:r>
      <w:r w:rsidR="00135699" w:rsidRPr="00E94D8A">
        <w:rPr>
          <w:b/>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1</w:t>
      </w:r>
      <w:r w:rsidR="00CB05BF" w:rsidRPr="00E94D8A">
        <w:rPr>
          <w:b/>
          <w:color w:val="000000" w:themeColor="text1"/>
        </w:rPr>
        <w:fldChar w:fldCharType="end"/>
      </w:r>
      <w:r w:rsidR="00135699" w:rsidRPr="00E94D8A">
        <w:t xml:space="preserve">: </w:t>
      </w:r>
      <w:r w:rsidR="00135699">
        <w:t>El modelo de costos se basará en la opción 2 (operador</w:t>
      </w:r>
      <w:r w:rsidR="00315420">
        <w:t>es</w:t>
      </w:r>
      <w:r w:rsidR="00135699">
        <w:t xml:space="preserve"> hipotético</w:t>
      </w:r>
      <w:r w:rsidR="00315420">
        <w:t>s</w:t>
      </w:r>
      <w:r w:rsidR="00135699">
        <w:t xml:space="preserve"> existente</w:t>
      </w:r>
      <w:r w:rsidR="00315420">
        <w:t>s</w:t>
      </w:r>
      <w:r w:rsidR="00135699">
        <w:t xml:space="preserve">). </w:t>
      </w:r>
      <w:r w:rsidR="00315420">
        <w:t xml:space="preserve">Los </w:t>
      </w:r>
      <w:r w:rsidR="00135699">
        <w:t>operador</w:t>
      </w:r>
      <w:r w:rsidR="00315420">
        <w:t>es</w:t>
      </w:r>
      <w:r w:rsidR="00135699">
        <w:t xml:space="preserve"> será</w:t>
      </w:r>
      <w:r w:rsidR="00315420">
        <w:t>n</w:t>
      </w:r>
      <w:r w:rsidR="00135699">
        <w:t xml:space="preserve"> hipotético</w:t>
      </w:r>
      <w:r w:rsidR="00315420">
        <w:t>s</w:t>
      </w:r>
      <w:r w:rsidR="00135699">
        <w:t xml:space="preserve"> porque</w:t>
      </w:r>
      <w:r w:rsidR="00315420">
        <w:rPr>
          <w:spacing w:val="-4"/>
          <w:lang w:val="es-ES_tradnl"/>
        </w:rPr>
        <w:t xml:space="preserve"> </w:t>
      </w:r>
      <w:r w:rsidR="00135699" w:rsidRPr="00587D3F">
        <w:rPr>
          <w:spacing w:val="-4"/>
          <w:lang w:val="es-ES_tradnl"/>
        </w:rPr>
        <w:t xml:space="preserve">existe una gran disparidad entre los operadores actuales mexicanos (en términos de tecnología, cobertura, fechas de lanzamiento, etc.) y no existen criterios claros que conformen que alguno de los operadores existentes pueda ser considerado </w:t>
      </w:r>
      <w:r w:rsidR="00135699">
        <w:rPr>
          <w:spacing w:val="-4"/>
          <w:lang w:val="es-ES_tradnl"/>
        </w:rPr>
        <w:t xml:space="preserve">como </w:t>
      </w:r>
      <w:r w:rsidR="00135699" w:rsidRPr="00587D3F">
        <w:rPr>
          <w:spacing w:val="-4"/>
          <w:lang w:val="es-ES_tradnl"/>
        </w:rPr>
        <w:t>representativo</w:t>
      </w:r>
      <w:r w:rsidR="00803375">
        <w:rPr>
          <w:spacing w:val="-4"/>
          <w:lang w:val="es-ES_tradnl"/>
        </w:rPr>
        <w:t xml:space="preserve"> </w:t>
      </w:r>
      <w:r w:rsidR="00E6325A">
        <w:rPr>
          <w:spacing w:val="-4"/>
          <w:lang w:val="es-ES_tradnl"/>
        </w:rPr>
        <w:t xml:space="preserve">preponderante y </w:t>
      </w:r>
      <w:r w:rsidR="00FE6F10">
        <w:rPr>
          <w:spacing w:val="-4"/>
          <w:lang w:val="es-ES_tradnl"/>
        </w:rPr>
        <w:t>no preponderante</w:t>
      </w:r>
      <w:r w:rsidR="00315420">
        <w:rPr>
          <w:lang w:val="es-ES_tradnl"/>
        </w:rPr>
        <w:t>.</w:t>
      </w:r>
      <w:r w:rsidR="00B63DD1">
        <w:rPr>
          <w:lang w:val="es-ES_tradnl"/>
        </w:rPr>
        <w:t xml:space="preserve"> </w:t>
      </w:r>
    </w:p>
    <w:p w14:paraId="5F52B5B2" w14:textId="77777777" w:rsidR="00135699" w:rsidRPr="001E761B" w:rsidRDefault="00135699" w:rsidP="00135699">
      <w:pPr>
        <w:pStyle w:val="B1"/>
        <w:pBdr>
          <w:top w:val="single" w:sz="4" w:space="2" w:color="D9D9D9" w:themeColor="background1" w:themeShade="D9"/>
          <w:bottom w:val="single" w:sz="4" w:space="5" w:color="D9D9D9" w:themeColor="background1" w:themeShade="D9"/>
        </w:pBdr>
        <w:shd w:val="clear" w:color="auto" w:fill="F2F2F2" w:themeFill="background1" w:themeFillShade="F2"/>
      </w:pPr>
      <w:r w:rsidRPr="001E761B">
        <w:t xml:space="preserve">La utilización de un operador hipotético existente permite tener en cuenta las características </w:t>
      </w:r>
      <w:r>
        <w:t xml:space="preserve">reales </w:t>
      </w:r>
      <w:r w:rsidRPr="001E761B">
        <w:t>de las redes de los operadores mexicanos.</w:t>
      </w:r>
    </w:p>
    <w:p w14:paraId="03114FD3" w14:textId="77777777" w:rsidR="00135699" w:rsidRDefault="00315420" w:rsidP="00135699">
      <w:pPr>
        <w:pStyle w:val="B1"/>
        <w:pBdr>
          <w:top w:val="single" w:sz="4" w:space="2" w:color="D9D9D9" w:themeColor="background1" w:themeShade="D9"/>
          <w:bottom w:val="single" w:sz="4" w:space="5" w:color="D9D9D9" w:themeColor="background1" w:themeShade="D9"/>
        </w:pBdr>
        <w:shd w:val="clear" w:color="auto" w:fill="F2F2F2" w:themeFill="background1" w:themeFillShade="F2"/>
      </w:pPr>
      <w:r>
        <w:t xml:space="preserve">Los </w:t>
      </w:r>
      <w:r w:rsidR="00135699">
        <w:t>operador</w:t>
      </w:r>
      <w:r>
        <w:t>es</w:t>
      </w:r>
      <w:r w:rsidR="00135699">
        <w:t xml:space="preserve"> modelado</w:t>
      </w:r>
      <w:r>
        <w:t>s</w:t>
      </w:r>
      <w:r w:rsidR="00135699">
        <w:t xml:space="preserve"> será</w:t>
      </w:r>
      <w:r>
        <w:t>n</w:t>
      </w:r>
      <w:r w:rsidR="00135699">
        <w:t>:</w:t>
      </w:r>
    </w:p>
    <w:p w14:paraId="4A30032E" w14:textId="47A04025" w:rsidR="00135699" w:rsidRDefault="00135699" w:rsidP="00135699">
      <w:pPr>
        <w:pStyle w:val="B1"/>
        <w:numPr>
          <w:ilvl w:val="0"/>
          <w:numId w:val="36"/>
        </w:numPr>
        <w:pBdr>
          <w:top w:val="single" w:sz="4" w:space="2" w:color="D9D9D9" w:themeColor="background1" w:themeShade="D9"/>
          <w:bottom w:val="single" w:sz="4" w:space="5" w:color="D9D9D9" w:themeColor="background1" w:themeShade="D9"/>
        </w:pBdr>
        <w:shd w:val="clear" w:color="auto" w:fill="F2F2F2" w:themeFill="background1" w:themeFillShade="F2"/>
      </w:pPr>
      <w:r>
        <w:t xml:space="preserve">Un operador móvil que comenzó a desplegar una red nacional 2G en la banda de 850MHz y una red nacional 2G/3G en la banda de 1900MHz en el año </w:t>
      </w:r>
      <w:r w:rsidR="00FF61F4">
        <w:t>2011</w:t>
      </w:r>
      <w:r>
        <w:t xml:space="preserve">, y a comercializar sus servicios 2G/3G en el año </w:t>
      </w:r>
      <w:r w:rsidR="00FF61F4">
        <w:t>2012</w:t>
      </w:r>
      <w:r>
        <w:t>. Posteriormente, complementa su red con capacidad de 2G con frecuencias en la banda de 1900MHz.</w:t>
      </w:r>
      <w:r w:rsidR="00FF61F4">
        <w:t xml:space="preserve"> En el año 201</w:t>
      </w:r>
      <w:r w:rsidR="00195AB0">
        <w:t>3</w:t>
      </w:r>
      <w:r w:rsidR="00FA1079">
        <w:t xml:space="preserve"> </w:t>
      </w:r>
      <w:r w:rsidR="00FF61F4">
        <w:t>comienza el despliegue de una red nacional 4G para la provisión de datos móviles.</w:t>
      </w:r>
      <w:r>
        <w:t xml:space="preserve"> La red refleja la tecnología disponible en el período comprendido entre </w:t>
      </w:r>
      <w:r w:rsidR="00C84F97">
        <w:t xml:space="preserve">los </w:t>
      </w:r>
      <w:r>
        <w:t>año</w:t>
      </w:r>
      <w:r w:rsidR="00C84F97">
        <w:t>s</w:t>
      </w:r>
      <w:r>
        <w:t xml:space="preserve"> </w:t>
      </w:r>
      <w:r w:rsidR="00FF61F4">
        <w:t xml:space="preserve">2011 </w:t>
      </w:r>
      <w:r>
        <w:t xml:space="preserve">y </w:t>
      </w:r>
      <w:r w:rsidR="00FF61F4">
        <w:t>201</w:t>
      </w:r>
      <w:r w:rsidR="00195AB0">
        <w:t>6</w:t>
      </w:r>
      <w:r>
        <w:t>. En particular, la red 3G tiene capacidad HSPA e incluye versiones modernas de los conmutadores para transportar un mayor volumen de tráfico de voz, datos móviles y el tráfico de banda ancha móvil</w:t>
      </w:r>
      <w:r w:rsidR="00FF61F4">
        <w:t xml:space="preserve"> y la red 4G c</w:t>
      </w:r>
      <w:r w:rsidR="00195AB0">
        <w:t>uent</w:t>
      </w:r>
      <w:r w:rsidR="00FF61F4">
        <w:t>a con la capacidad añadida por el uso de MIMO 2x2.</w:t>
      </w:r>
      <w:r>
        <w:t xml:space="preserve"> Las tecnologías 2G</w:t>
      </w:r>
      <w:r w:rsidR="00FF61F4">
        <w:t>,</w:t>
      </w:r>
      <w:r>
        <w:t xml:space="preserve"> 3G</w:t>
      </w:r>
      <w:r w:rsidR="00FF61F4">
        <w:t xml:space="preserve"> y 4G</w:t>
      </w:r>
      <w:r w:rsidR="00F003B8">
        <w:rPr>
          <w:rStyle w:val="Refdenotaalpie"/>
        </w:rPr>
        <w:footnoteReference w:id="7"/>
      </w:r>
      <w:r>
        <w:t xml:space="preserve"> operarán en el largo plazo y no se contempla el apagado de la red 2G durante el periodo modelado.</w:t>
      </w:r>
      <w:r w:rsidR="00551BAD">
        <w:t xml:space="preserve"> </w:t>
      </w:r>
    </w:p>
    <w:p w14:paraId="2EF6D807" w14:textId="4CCFE76A" w:rsidR="00135699" w:rsidRPr="00E94D8A" w:rsidRDefault="00315420" w:rsidP="00135699">
      <w:pPr>
        <w:pStyle w:val="B1"/>
        <w:numPr>
          <w:ilvl w:val="0"/>
          <w:numId w:val="36"/>
        </w:numPr>
        <w:pBdr>
          <w:top w:val="single" w:sz="4" w:space="2" w:color="D9D9D9" w:themeColor="background1" w:themeShade="D9"/>
          <w:bottom w:val="single" w:sz="4" w:space="5" w:color="D9D9D9" w:themeColor="background1" w:themeShade="D9"/>
        </w:pBdr>
        <w:shd w:val="clear" w:color="auto" w:fill="F2F2F2" w:themeFill="background1" w:themeFillShade="F2"/>
      </w:pPr>
      <w:r>
        <w:t xml:space="preserve">Dos </w:t>
      </w:r>
      <w:r w:rsidR="00135699">
        <w:t>operador</w:t>
      </w:r>
      <w:r>
        <w:t>es</w:t>
      </w:r>
      <w:r w:rsidR="00135699">
        <w:t xml:space="preserve"> fijo</w:t>
      </w:r>
      <w:r>
        <w:t>s</w:t>
      </w:r>
      <w:r w:rsidR="00135699">
        <w:t xml:space="preserve"> que </w:t>
      </w:r>
      <w:r>
        <w:t xml:space="preserve">comenzaron </w:t>
      </w:r>
      <w:r w:rsidR="00135699">
        <w:t xml:space="preserve">a desplegar una red troncal NGN IP a nivel nacional en el año </w:t>
      </w:r>
      <w:r w:rsidR="00252585">
        <w:t>2010</w:t>
      </w:r>
      <w:r w:rsidR="00135699">
        <w:t xml:space="preserve">, y que comienza a operar comercialmente en el año </w:t>
      </w:r>
      <w:r w:rsidR="00252585">
        <w:t>2012</w:t>
      </w:r>
      <w:r w:rsidR="00135699">
        <w:t xml:space="preserve">. El diseño de la red troncal está vinculado a una opción específica de la tecnología de acceso de próxima generación. El núcleo de la red NGN IP estará </w:t>
      </w:r>
      <w:r w:rsidR="00B63DD1">
        <w:t xml:space="preserve">operativo </w:t>
      </w:r>
      <w:r w:rsidR="00135699">
        <w:t>en el largo plazo.</w:t>
      </w:r>
      <w:r w:rsidR="00551BAD">
        <w:t xml:space="preserve"> </w:t>
      </w:r>
    </w:p>
    <w:p w14:paraId="4ECA46A1" w14:textId="77777777" w:rsidR="00BE303D" w:rsidRPr="00E94D8A" w:rsidRDefault="00BE303D" w:rsidP="00BE303D">
      <w:pPr>
        <w:pStyle w:val="Ttulo2"/>
      </w:pPr>
      <w:bookmarkStart w:id="30" w:name="_Toc454893677"/>
      <w:r w:rsidRPr="00E94D8A">
        <w:t>Configuración de la red de un operador eficiente</w:t>
      </w:r>
      <w:bookmarkEnd w:id="29"/>
      <w:bookmarkEnd w:id="30"/>
    </w:p>
    <w:p w14:paraId="41047045" w14:textId="77777777" w:rsidR="00BE303D" w:rsidRPr="00E94D8A" w:rsidRDefault="00BE303D" w:rsidP="00BE303D">
      <w:r w:rsidRPr="00E94D8A">
        <w:t>La cobertura que ofrece un operador es un aspecto central del despliegue de una red. Para definir cuál es el nivel adecuado de cobertura es necesario contestar las siguientes preguntas:</w:t>
      </w:r>
    </w:p>
    <w:p w14:paraId="6253E27A" w14:textId="77777777" w:rsidR="00BE303D" w:rsidRPr="00E94D8A" w:rsidRDefault="00BE303D" w:rsidP="00BE303D">
      <w:pPr>
        <w:pStyle w:val="ListBulletCompact"/>
      </w:pPr>
      <w:r w:rsidRPr="00E94D8A">
        <w:lastRenderedPageBreak/>
        <w:t>¿Cuál es el nivel de cobertura aplicable al mercado actual?</w:t>
      </w:r>
    </w:p>
    <w:p w14:paraId="4724533D" w14:textId="77777777" w:rsidR="00BE303D" w:rsidRPr="00E94D8A" w:rsidRDefault="00BE303D" w:rsidP="00BE303D">
      <w:pPr>
        <w:pStyle w:val="ListBulletCompact"/>
      </w:pPr>
      <w:r w:rsidRPr="00E94D8A">
        <w:t>¿Es distinto el nivel de cobertura del futuro del actual?</w:t>
      </w:r>
    </w:p>
    <w:p w14:paraId="579A1ABC" w14:textId="77777777" w:rsidR="00BE303D" w:rsidRPr="00E94D8A" w:rsidRDefault="00BE303D" w:rsidP="00BE303D">
      <w:pPr>
        <w:pStyle w:val="ListBulletCompact"/>
      </w:pPr>
      <w:r w:rsidRPr="00E94D8A">
        <w:t>¿Cuántos años dura el despliegue de red?</w:t>
      </w:r>
    </w:p>
    <w:p w14:paraId="4E007464" w14:textId="77777777" w:rsidR="00BE303D" w:rsidRPr="00E94D8A" w:rsidRDefault="00BE303D" w:rsidP="00BE303D">
      <w:pPr>
        <w:pStyle w:val="Listaconvietas"/>
        <w:ind w:left="360" w:hanging="360"/>
      </w:pPr>
      <w:r w:rsidRPr="00E94D8A">
        <w:t>¿Qué calidad</w:t>
      </w:r>
      <w:r w:rsidRPr="00E94D8A">
        <w:rPr>
          <w:rStyle w:val="Refdenotaalpie"/>
        </w:rPr>
        <w:footnoteReference w:id="8"/>
      </w:r>
      <w:r w:rsidRPr="00E94D8A">
        <w:t xml:space="preserve"> de cobertura debe proporcionarse en cada momento temporal?</w:t>
      </w:r>
    </w:p>
    <w:p w14:paraId="027DEEDB" w14:textId="77777777" w:rsidR="00BE303D" w:rsidRPr="00E94D8A" w:rsidRDefault="00BE303D" w:rsidP="00BE303D">
      <w:r w:rsidRPr="00E94D8A">
        <w:t>La cobertura que ofrece un operador (fijo o móvil) es un dato de entrada fundamental para el modelo de costos. Un enfoque consistente implicará que los operadores hipotéticos fijos y móviles tendrán características comparables de cobertura.</w:t>
      </w:r>
    </w:p>
    <w:p w14:paraId="344108D2" w14:textId="77777777" w:rsidR="00BE303D" w:rsidRPr="00E94D8A" w:rsidRDefault="00BE303D" w:rsidP="00BE303D">
      <w:r w:rsidRPr="00E94D8A">
        <w:t xml:space="preserve">Las definiciones de parámetros de cobertura tienen dos implicaciones importantes para el cálculo de </w:t>
      </w:r>
      <w:r w:rsidR="00CE4B8A" w:rsidRPr="00E94D8A">
        <w:t>cost</w:t>
      </w:r>
      <w:r w:rsidR="00CE4B8A">
        <w:t>o</w:t>
      </w:r>
      <w:r w:rsidR="00CE4B8A" w:rsidRPr="00E94D8A">
        <w:t>s</w:t>
      </w:r>
      <w:r w:rsidRPr="00E94D8A">
        <w:t>:</w:t>
      </w:r>
    </w:p>
    <w:tbl>
      <w:tblPr>
        <w:tblW w:w="8959" w:type="dxa"/>
        <w:tblLayout w:type="fixed"/>
        <w:tblCellMar>
          <w:left w:w="170" w:type="dxa"/>
          <w:right w:w="170" w:type="dxa"/>
        </w:tblCellMar>
        <w:tblLook w:val="0000" w:firstRow="0" w:lastRow="0" w:firstColumn="0" w:lastColumn="0" w:noHBand="0" w:noVBand="0"/>
      </w:tblPr>
      <w:tblGrid>
        <w:gridCol w:w="2041"/>
        <w:gridCol w:w="6918"/>
      </w:tblGrid>
      <w:tr w:rsidR="00BE303D" w:rsidRPr="00E94D8A" w14:paraId="56484862" w14:textId="77777777" w:rsidTr="00BE303D">
        <w:trPr>
          <w:trHeight w:val="1978"/>
        </w:trPr>
        <w:tc>
          <w:tcPr>
            <w:tcW w:w="2041" w:type="dxa"/>
          </w:tcPr>
          <w:p w14:paraId="3DFC4226" w14:textId="77777777" w:rsidR="00BE303D" w:rsidRPr="00E94D8A" w:rsidRDefault="00BE303D" w:rsidP="00BE303D">
            <w:pPr>
              <w:pStyle w:val="SBSheader"/>
            </w:pPr>
            <w:r w:rsidRPr="00E94D8A">
              <w:t xml:space="preserve">Nivel de costos unitarios debido al valor presente de los gastos </w:t>
            </w:r>
          </w:p>
        </w:tc>
        <w:tc>
          <w:tcPr>
            <w:tcW w:w="6918" w:type="dxa"/>
          </w:tcPr>
          <w:p w14:paraId="11827ED4" w14:textId="26C80E75" w:rsidR="00BE303D" w:rsidRPr="00E94D8A" w:rsidRDefault="00BE303D" w:rsidP="00E94D8A">
            <w:pPr>
              <w:rPr>
                <w:spacing w:val="-4"/>
              </w:rPr>
            </w:pPr>
            <w:r w:rsidRPr="00E94D8A">
              <w:rPr>
                <w:spacing w:val="-4"/>
              </w:rPr>
              <w:t xml:space="preserve">La velocidad, extensión y calidad de la cobertura lograda a través del tiempo determina el valor presente (PV) asociado con inversiones de red y costos operativos. La medida en que se incurre en estos </w:t>
            </w:r>
            <w:r w:rsidR="00CE4B8A">
              <w:rPr>
                <w:spacing w:val="-4"/>
              </w:rPr>
              <w:t>costo</w:t>
            </w:r>
            <w:r w:rsidRPr="00E94D8A">
              <w:rPr>
                <w:spacing w:val="-4"/>
              </w:rPr>
              <w:t>s antes de materializarse la demanda representa el tamaño del ‘sobre</w:t>
            </w:r>
            <w:r w:rsidR="00CE4B8A">
              <w:rPr>
                <w:spacing w:val="-4"/>
              </w:rPr>
              <w:t>costo</w:t>
            </w:r>
            <w:r w:rsidRPr="00E94D8A">
              <w:rPr>
                <w:spacing w:val="-4"/>
              </w:rPr>
              <w:t>’. Cuanto mayor sea el sobre</w:t>
            </w:r>
            <w:r w:rsidR="00CE4B8A">
              <w:rPr>
                <w:spacing w:val="-4"/>
              </w:rPr>
              <w:t>costo</w:t>
            </w:r>
            <w:r w:rsidRPr="00E94D8A">
              <w:rPr>
                <w:spacing w:val="-4"/>
              </w:rPr>
              <w:t xml:space="preserve"> más altos serán los eventuales </w:t>
            </w:r>
            <w:r w:rsidR="00CE4B8A">
              <w:rPr>
                <w:spacing w:val="-4"/>
              </w:rPr>
              <w:t>costo</w:t>
            </w:r>
            <w:r w:rsidRPr="00E94D8A">
              <w:rPr>
                <w:spacing w:val="-4"/>
              </w:rPr>
              <w:t>s unitarios del tráfico. El concepto de sobre</w:t>
            </w:r>
            <w:r w:rsidR="00CE4B8A">
              <w:rPr>
                <w:spacing w:val="-4"/>
              </w:rPr>
              <w:t>costo</w:t>
            </w:r>
            <w:r w:rsidRPr="00E94D8A">
              <w:rPr>
                <w:spacing w:val="-4"/>
              </w:rPr>
              <w:t xml:space="preserve"> se muestra gráficamente en la</w:t>
            </w:r>
            <w:r w:rsidR="00E94D8A">
              <w:rPr>
                <w:spacing w:val="-4"/>
              </w:rPr>
              <w:t xml:space="preserve"> </w:t>
            </w:r>
            <w:r w:rsidR="00E94D8A">
              <w:rPr>
                <w:spacing w:val="-4"/>
              </w:rPr>
              <w:fldChar w:fldCharType="begin"/>
            </w:r>
            <w:r w:rsidR="00E94D8A">
              <w:rPr>
                <w:spacing w:val="-4"/>
              </w:rPr>
              <w:instrText xml:space="preserve"> REF _Ref321211905 \h </w:instrText>
            </w:r>
            <w:r w:rsidR="00E94D8A">
              <w:rPr>
                <w:spacing w:val="-4"/>
              </w:rPr>
            </w:r>
            <w:r w:rsidR="00E94D8A">
              <w:rPr>
                <w:spacing w:val="-4"/>
              </w:rPr>
              <w:fldChar w:fldCharType="separate"/>
            </w:r>
            <w:r w:rsidR="00B426BC" w:rsidRPr="00E94D8A">
              <w:t>Figur</w:t>
            </w:r>
            <w:r w:rsidR="00B426BC">
              <w:t>a</w:t>
            </w:r>
            <w:r w:rsidR="00B426BC" w:rsidRPr="00E94D8A">
              <w:t xml:space="preserve"> </w:t>
            </w:r>
            <w:r w:rsidR="00B426BC">
              <w:rPr>
                <w:noProof/>
              </w:rPr>
              <w:t>3</w:t>
            </w:r>
            <w:r w:rsidR="00B426BC" w:rsidRPr="00E94D8A">
              <w:t>.</w:t>
            </w:r>
            <w:r w:rsidR="00B426BC">
              <w:rPr>
                <w:noProof/>
              </w:rPr>
              <w:t>2</w:t>
            </w:r>
            <w:r w:rsidR="00E94D8A">
              <w:rPr>
                <w:spacing w:val="-4"/>
              </w:rPr>
              <w:fldChar w:fldCharType="end"/>
            </w:r>
            <w:r w:rsidRPr="00E94D8A">
              <w:rPr>
                <w:spacing w:val="-4"/>
              </w:rPr>
              <w:t>.</w:t>
            </w:r>
          </w:p>
        </w:tc>
      </w:tr>
    </w:tbl>
    <w:p w14:paraId="2E0DA860" w14:textId="77777777" w:rsidR="00BE303D" w:rsidRPr="00E94D8A" w:rsidRDefault="00BE303D" w:rsidP="00BE303D"/>
    <w:tbl>
      <w:tblPr>
        <w:tblW w:w="8730" w:type="dxa"/>
        <w:tblLayout w:type="fixed"/>
        <w:tblCellMar>
          <w:left w:w="0" w:type="dxa"/>
          <w:right w:w="0" w:type="dxa"/>
        </w:tblCellMar>
        <w:tblLook w:val="0000" w:firstRow="0" w:lastRow="0" w:firstColumn="0" w:lastColumn="0" w:noHBand="0" w:noVBand="0"/>
      </w:tblPr>
      <w:tblGrid>
        <w:gridCol w:w="6576"/>
        <w:gridCol w:w="2154"/>
      </w:tblGrid>
      <w:tr w:rsidR="00BE303D" w:rsidRPr="00E94D8A" w14:paraId="6C231245" w14:textId="77777777" w:rsidTr="00BE303D">
        <w:tc>
          <w:tcPr>
            <w:tcW w:w="6576" w:type="dxa"/>
            <w:tcBorders>
              <w:right w:val="single" w:sz="4" w:space="0" w:color="auto"/>
            </w:tcBorders>
            <w:shd w:val="clear" w:color="auto" w:fill="auto"/>
          </w:tcPr>
          <w:p w14:paraId="5D013D5F" w14:textId="77777777" w:rsidR="00BE303D" w:rsidRPr="00E94D8A" w:rsidRDefault="00BE303D" w:rsidP="00BE303D">
            <w:pPr>
              <w:pStyle w:val="Bordersmall"/>
              <w:rPr>
                <w:lang w:val="es-ES"/>
              </w:rPr>
            </w:pPr>
            <w:r w:rsidRPr="00E94D8A">
              <w:rPr>
                <w:noProof/>
                <w:lang w:val="es-MX" w:eastAsia="es-MX"/>
              </w:rPr>
              <w:drawing>
                <wp:inline distT="0" distB="0" distL="0" distR="0" wp14:anchorId="5F31E2D4" wp14:editId="7D50E81D">
                  <wp:extent cx="3787140" cy="2545715"/>
                  <wp:effectExtent l="0" t="0" r="0" b="0"/>
                  <wp:docPr id="26" name="Picture 26" descr="Sobrecosto, Fuente: Analysys Mason, 2016" title="Figura tres punto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87140" cy="2545715"/>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139C3ED4" w14:textId="77777777" w:rsidR="00BE303D" w:rsidRPr="00E94D8A" w:rsidRDefault="00BE303D" w:rsidP="00E94D8A">
            <w:pPr>
              <w:pStyle w:val="Captionsmall"/>
              <w:rPr>
                <w:lang w:val="es-ES"/>
              </w:rPr>
            </w:pPr>
            <w:bookmarkStart w:id="31" w:name="_Ref321211905"/>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3</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w:instrText>
            </w:r>
            <w:r w:rsidR="00A37365" w:rsidRPr="00E94D8A">
              <w:rPr>
                <w:lang w:val="es-ES"/>
              </w:rPr>
              <w:instrText>SEQ Ilustración</w:instrText>
            </w:r>
            <w:r w:rsidRPr="00E94D8A">
              <w:rPr>
                <w:lang w:val="es-ES"/>
              </w:rPr>
              <w:instrText xml:space="preserve"> \* ARABIC \s 1 \* MERGEFORMAT </w:instrText>
            </w:r>
            <w:r w:rsidRPr="00E94D8A">
              <w:rPr>
                <w:lang w:val="es-ES"/>
              </w:rPr>
              <w:fldChar w:fldCharType="separate"/>
            </w:r>
            <w:r w:rsidR="00B426BC">
              <w:rPr>
                <w:noProof/>
                <w:lang w:val="es-ES"/>
              </w:rPr>
              <w:t>2</w:t>
            </w:r>
            <w:r w:rsidRPr="00E94D8A">
              <w:rPr>
                <w:lang w:val="es-ES"/>
              </w:rPr>
              <w:fldChar w:fldCharType="end"/>
            </w:r>
            <w:bookmarkEnd w:id="31"/>
            <w:r w:rsidRPr="00E94D8A">
              <w:rPr>
                <w:lang w:val="es-ES"/>
              </w:rPr>
              <w:t>: Sobre</w:t>
            </w:r>
            <w:r w:rsidR="00CE4B8A">
              <w:rPr>
                <w:lang w:val="es-ES"/>
              </w:rPr>
              <w:t>costo</w:t>
            </w:r>
            <w:r w:rsidRPr="00E94D8A">
              <w:rPr>
                <w:lang w:val="es-ES"/>
              </w:rPr>
              <w:t xml:space="preserve"> [</w:t>
            </w:r>
            <w:r w:rsidR="001657CE">
              <w:rPr>
                <w:lang w:val="es-ES"/>
              </w:rPr>
              <w:t xml:space="preserve">Fuente: </w:t>
            </w:r>
            <w:proofErr w:type="spellStart"/>
            <w:r w:rsidR="001657CE">
              <w:rPr>
                <w:lang w:val="es-ES"/>
              </w:rPr>
              <w:t>Analysys</w:t>
            </w:r>
            <w:proofErr w:type="spellEnd"/>
            <w:r w:rsidR="001657CE">
              <w:rPr>
                <w:lang w:val="es-ES"/>
              </w:rPr>
              <w:t xml:space="preserve"> Mason, 2016</w:t>
            </w:r>
            <w:r w:rsidRPr="00E94D8A">
              <w:rPr>
                <w:lang w:val="es-ES"/>
              </w:rPr>
              <w:t xml:space="preserve">] </w:t>
            </w:r>
          </w:p>
        </w:tc>
      </w:tr>
    </w:tbl>
    <w:p w14:paraId="1880D74E" w14:textId="77777777" w:rsidR="00BE303D" w:rsidRPr="00E94D8A" w:rsidRDefault="00BE303D" w:rsidP="00BE303D"/>
    <w:tbl>
      <w:tblPr>
        <w:tblW w:w="8959" w:type="dxa"/>
        <w:tblLayout w:type="fixed"/>
        <w:tblCellMar>
          <w:left w:w="170" w:type="dxa"/>
          <w:right w:w="170" w:type="dxa"/>
        </w:tblCellMar>
        <w:tblLook w:val="0000" w:firstRow="0" w:lastRow="0" w:firstColumn="0" w:lastColumn="0" w:noHBand="0" w:noVBand="0"/>
      </w:tblPr>
      <w:tblGrid>
        <w:gridCol w:w="2041"/>
        <w:gridCol w:w="6918"/>
      </w:tblGrid>
      <w:tr w:rsidR="00BE303D" w:rsidRPr="00E94D8A" w14:paraId="0E75B2C4" w14:textId="77777777" w:rsidTr="00BE303D">
        <w:tc>
          <w:tcPr>
            <w:tcW w:w="2041" w:type="dxa"/>
          </w:tcPr>
          <w:p w14:paraId="21D09717" w14:textId="77777777" w:rsidR="00BE303D" w:rsidRPr="00E94D8A" w:rsidRDefault="00BE303D" w:rsidP="00BE303D">
            <w:pPr>
              <w:pStyle w:val="SBSheader"/>
              <w:spacing w:before="360"/>
            </w:pPr>
            <w:r w:rsidRPr="00E94D8A">
              <w:t xml:space="preserve">Identificación de elementos de red que varían en </w:t>
            </w:r>
            <w:r w:rsidRPr="00E94D8A">
              <w:lastRenderedPageBreak/>
              <w:t>respuesta al tráfico</w:t>
            </w:r>
          </w:p>
        </w:tc>
        <w:tc>
          <w:tcPr>
            <w:tcW w:w="6918" w:type="dxa"/>
          </w:tcPr>
          <w:p w14:paraId="5A411955" w14:textId="77777777" w:rsidR="00BE303D" w:rsidRPr="00E94D8A" w:rsidRDefault="00BE303D" w:rsidP="0037639D">
            <w:pPr>
              <w:spacing w:before="360"/>
            </w:pPr>
            <w:r w:rsidRPr="00E94D8A">
              <w:lastRenderedPageBreak/>
              <w:t xml:space="preserve">Los elementos de las redes de telefonía móvil podrán (o no) variar en </w:t>
            </w:r>
            <w:r w:rsidR="0037639D">
              <w:t>función de</w:t>
            </w:r>
            <w:r w:rsidRPr="00E94D8A">
              <w:t xml:space="preserve"> los volúmenes de tráfico transportados, </w:t>
            </w:r>
            <w:r w:rsidR="0037639D">
              <w:t>dependiendo de</w:t>
            </w:r>
            <w:r w:rsidRPr="00E94D8A">
              <w:t xml:space="preserve"> si la red de cobertura definida tiene suficiente capacidad de tráfico para la carga </w:t>
            </w:r>
            <w:r w:rsidRPr="00E94D8A">
              <w:lastRenderedPageBreak/>
              <w:t>ofrecida. Esto tiene implicaciones particulares durante la aplicación de un incremento pequeño de tráfico de terminación mayorista.</w:t>
            </w:r>
          </w:p>
        </w:tc>
      </w:tr>
    </w:tbl>
    <w:p w14:paraId="5457B75C" w14:textId="77777777" w:rsidR="00BE303D" w:rsidRPr="00E94D8A" w:rsidRDefault="00BE303D" w:rsidP="00987962">
      <w:pPr>
        <w:pStyle w:val="Ttulo3"/>
      </w:pPr>
      <w:r w:rsidRPr="00E94D8A">
        <w:lastRenderedPageBreak/>
        <w:t>Enfoque</w:t>
      </w:r>
    </w:p>
    <w:p w14:paraId="44221A11" w14:textId="77777777" w:rsidR="00BE303D" w:rsidRPr="00E94D8A" w:rsidRDefault="00BE303D" w:rsidP="00BE303D">
      <w:pPr>
        <w:rPr>
          <w:highlight w:val="yellow"/>
        </w:rPr>
      </w:pPr>
      <w:r w:rsidRPr="00E94D8A">
        <w:t xml:space="preserve">Dado que las </w:t>
      </w:r>
      <w:r w:rsidR="004D1216">
        <w:t>tres</w:t>
      </w:r>
      <w:r w:rsidR="004D1216" w:rsidRPr="00E94D8A">
        <w:t xml:space="preserve"> </w:t>
      </w:r>
      <w:r w:rsidRPr="00E94D8A">
        <w:t>redes de telefonía móvil tienen presencia nacional y cobertura superior</w:t>
      </w:r>
      <w:r w:rsidR="006E4A55" w:rsidRPr="00AE77D1">
        <w:t>,</w:t>
      </w:r>
      <w:r w:rsidRPr="00AE77D1">
        <w:t xml:space="preserve"> según sus </w:t>
      </w:r>
      <w:r w:rsidR="00810551" w:rsidRPr="00AE77D1">
        <w:t xml:space="preserve">propias </w:t>
      </w:r>
      <w:r w:rsidRPr="00AE77D1">
        <w:t>declaraciones</w:t>
      </w:r>
      <w:r w:rsidR="006E4A55" w:rsidRPr="00AE77D1">
        <w:t>,</w:t>
      </w:r>
      <w:r w:rsidRPr="00AE77D1">
        <w:t xml:space="preserve"> al 90% de la población</w:t>
      </w:r>
      <w:r w:rsidR="006E4A55" w:rsidRPr="00AE77D1">
        <w:t>,</w:t>
      </w:r>
      <w:r w:rsidRPr="00AE77D1">
        <w:t xml:space="preserve"> esto debe reflejarse en el modelo. Aunque en un</w:t>
      </w:r>
      <w:r w:rsidRPr="00E94D8A">
        <w:t xml:space="preserve"> principio se consideraba como un servicio de ‘telefonía móvil exterior’, la cobertura de telefonía móvil </w:t>
      </w:r>
      <w:r w:rsidR="00B63DD1">
        <w:t xml:space="preserve">en el </w:t>
      </w:r>
      <w:r w:rsidRPr="00E94D8A">
        <w:t xml:space="preserve">interior </w:t>
      </w:r>
      <w:r w:rsidR="00B63DD1">
        <w:t xml:space="preserve">de edificios </w:t>
      </w:r>
      <w:r w:rsidRPr="00E94D8A">
        <w:t>es ahora considerable por lo que los consumidores y las empresas exigen a sus proveedores buena cobertura de señal interior. Debido a las pérdidas de penetración en edificios y los efectos de frecuencia, una buena cobertura exterior no se traduce directamente en una buena cobertura interior, por lo que para que la cobertura de telefonía móvil interior sea profunda a menudo exige inversiones en sitios adicionales como son:</w:t>
      </w:r>
    </w:p>
    <w:p w14:paraId="6B4EC940" w14:textId="77777777" w:rsidR="00BE303D" w:rsidRPr="00E94D8A" w:rsidRDefault="00BE303D" w:rsidP="00BE303D">
      <w:pPr>
        <w:pStyle w:val="ListBulletCompact"/>
      </w:pPr>
      <w:r w:rsidRPr="00E94D8A">
        <w:t xml:space="preserve">despliegue de emplazamientos macro exteriores para transmitir señales a través de las paredes de los edificios </w:t>
      </w:r>
    </w:p>
    <w:p w14:paraId="488B9C9A" w14:textId="77777777" w:rsidR="00BE303D" w:rsidRPr="00E94D8A" w:rsidRDefault="00BE303D" w:rsidP="00BE303D">
      <w:pPr>
        <w:pStyle w:val="Listaconvietas"/>
        <w:ind w:left="360" w:hanging="360"/>
        <w:rPr>
          <w:color w:val="000000" w:themeColor="text1"/>
        </w:rPr>
      </w:pPr>
      <w:r w:rsidRPr="00E94D8A">
        <w:rPr>
          <w:color w:val="000000" w:themeColor="text1"/>
        </w:rPr>
        <w:t xml:space="preserve">instalando micro y </w:t>
      </w:r>
      <w:proofErr w:type="spellStart"/>
      <w:r w:rsidRPr="00E94D8A">
        <w:rPr>
          <w:color w:val="000000" w:themeColor="text1"/>
        </w:rPr>
        <w:t>picocélulas</w:t>
      </w:r>
      <w:proofErr w:type="spellEnd"/>
      <w:r w:rsidRPr="00E94D8A">
        <w:rPr>
          <w:color w:val="000000" w:themeColor="text1"/>
        </w:rPr>
        <w:t xml:space="preserve"> interiores dedicadas que típicamente se </w:t>
      </w:r>
      <w:proofErr w:type="spellStart"/>
      <w:r w:rsidRPr="00E94D8A">
        <w:rPr>
          <w:color w:val="000000" w:themeColor="text1"/>
        </w:rPr>
        <w:t>enrutan</w:t>
      </w:r>
      <w:proofErr w:type="spellEnd"/>
      <w:r w:rsidRPr="00E94D8A">
        <w:rPr>
          <w:color w:val="000000" w:themeColor="text1"/>
        </w:rPr>
        <w:t xml:space="preserve"> de vuelta al conmutador de telefonía móvil vía un enlace fijo al edificio. Las </w:t>
      </w:r>
      <w:proofErr w:type="spellStart"/>
      <w:r w:rsidRPr="00E94D8A">
        <w:rPr>
          <w:color w:val="000000" w:themeColor="text1"/>
        </w:rPr>
        <w:t>picocélulas</w:t>
      </w:r>
      <w:proofErr w:type="spellEnd"/>
      <w:r w:rsidRPr="00E94D8A">
        <w:rPr>
          <w:color w:val="000000" w:themeColor="text1"/>
        </w:rPr>
        <w:t xml:space="preserve"> pueden clasificarse como o bien de acceso público (ej. en centros comerciales) o bien de acceso privado (ej. en soluciones interiores para empresas). </w:t>
      </w:r>
    </w:p>
    <w:p w14:paraId="2F039FA1" w14:textId="77777777" w:rsidR="00BE303D" w:rsidRPr="00E94D8A" w:rsidRDefault="00BE303D" w:rsidP="00BE303D">
      <w:pPr>
        <w:rPr>
          <w:color w:val="000000" w:themeColor="text1"/>
          <w:highlight w:val="yellow"/>
        </w:rPr>
      </w:pPr>
      <w:r w:rsidRPr="00E94D8A">
        <w:rPr>
          <w:color w:val="000000" w:themeColor="text1"/>
        </w:rPr>
        <w:t>Estas soluciones inalámbricas dan servicio al tráfico que de otra forma podría (en algunas circunstancias</w:t>
      </w:r>
      <w:r w:rsidRPr="00E94D8A">
        <w:rPr>
          <w:rStyle w:val="Refdenotaalpie"/>
          <w:color w:val="000000" w:themeColor="text1"/>
          <w:spacing w:val="-4"/>
        </w:rPr>
        <w:footnoteReference w:id="9"/>
      </w:r>
      <w:r w:rsidRPr="00E94D8A">
        <w:rPr>
          <w:color w:val="000000" w:themeColor="text1"/>
        </w:rPr>
        <w:t xml:space="preserve">) transportarse al edificio, mediante un método de acceso fijo dedicado o una tecnología de muy alta capacidad (o en otras palabras con un </w:t>
      </w:r>
      <w:r w:rsidR="00CE4B8A">
        <w:rPr>
          <w:color w:val="000000" w:themeColor="text1"/>
        </w:rPr>
        <w:t>costo</w:t>
      </w:r>
      <w:r w:rsidRPr="00E94D8A">
        <w:rPr>
          <w:color w:val="000000" w:themeColor="text1"/>
        </w:rPr>
        <w:t xml:space="preserve"> marginal muy bajo). Así, se encuentra una sustitución entre ambas formas de tecnología interior. Por definición, prácticamente todas las llamadas de telefonía fija se harán en interiores</w:t>
      </w:r>
      <w:r w:rsidRPr="00E94D8A">
        <w:rPr>
          <w:rStyle w:val="Refdenotaalpie"/>
          <w:color w:val="000000" w:themeColor="text1"/>
          <w:spacing w:val="-4"/>
        </w:rPr>
        <w:footnoteReference w:id="10"/>
      </w:r>
      <w:r w:rsidRPr="00E94D8A">
        <w:rPr>
          <w:color w:val="000000" w:themeColor="text1"/>
        </w:rPr>
        <w:t xml:space="preserve">. Sin embargo, se estima que </w:t>
      </w:r>
      <w:r w:rsidR="00792F48">
        <w:rPr>
          <w:color w:val="000000" w:themeColor="text1"/>
        </w:rPr>
        <w:t>alrededor de</w:t>
      </w:r>
      <w:r w:rsidR="00792F48" w:rsidRPr="00E94D8A">
        <w:rPr>
          <w:color w:val="000000" w:themeColor="text1"/>
        </w:rPr>
        <w:t xml:space="preserve"> </w:t>
      </w:r>
      <w:r w:rsidRPr="00E94D8A">
        <w:rPr>
          <w:color w:val="000000" w:themeColor="text1"/>
        </w:rPr>
        <w:t xml:space="preserve">un </w:t>
      </w:r>
      <w:r w:rsidR="00BD2EDA">
        <w:rPr>
          <w:color w:val="000000" w:themeColor="text1"/>
        </w:rPr>
        <w:t>7</w:t>
      </w:r>
      <w:r w:rsidR="00BD2EDA" w:rsidRPr="00E94D8A">
        <w:rPr>
          <w:color w:val="000000" w:themeColor="text1"/>
        </w:rPr>
        <w:t>0</w:t>
      </w:r>
      <w:r w:rsidRPr="00E94D8A">
        <w:rPr>
          <w:color w:val="000000" w:themeColor="text1"/>
        </w:rPr>
        <w:t>% del tráfico de telefonía móvil podría producirse también en el interior de edificios</w:t>
      </w:r>
      <w:r w:rsidR="00784EF1">
        <w:rPr>
          <w:color w:val="000000" w:themeColor="text1"/>
        </w:rPr>
        <w:t>.</w:t>
      </w:r>
      <w:r w:rsidRPr="00E94D8A">
        <w:rPr>
          <w:rStyle w:val="Refdenotaalpie"/>
          <w:color w:val="000000" w:themeColor="text1"/>
          <w:spacing w:val="-4"/>
        </w:rPr>
        <w:footnoteReference w:id="11"/>
      </w:r>
    </w:p>
    <w:p w14:paraId="390FBB9B" w14:textId="715DAD05" w:rsidR="00BE303D" w:rsidRPr="00E94D8A" w:rsidRDefault="00BE303D" w:rsidP="00BE303D">
      <w:r w:rsidRPr="00E94D8A">
        <w:t xml:space="preserve">Debido a las expectativas actuales de los usuarios finales, y para que el modelo refleje la práctica de despliegue y volúmenes de tráfico de la actualidad, recomendamos la inclusión del nivel de cobertura interior actual. La consistencia entre los modelos fijo y móvil sugeriría que se asumiera cobertura </w:t>
      </w:r>
      <w:proofErr w:type="spellStart"/>
      <w:r w:rsidRPr="00E94D8A">
        <w:t>cuasinacional</w:t>
      </w:r>
      <w:proofErr w:type="spellEnd"/>
      <w:r w:rsidRPr="00E94D8A">
        <w:t xml:space="preserve"> para el operador fijo. Aunque se podría definir un límite para el despliegue de la red fija determinado por las zonas rurales donde los costos de terminación fija fueran mayores que los de una solución inalámbrica (p.ej. GSM), esto implicaría usar una medida subjetiva. Por lo </w:t>
      </w:r>
      <w:r w:rsidRPr="00E94D8A">
        <w:lastRenderedPageBreak/>
        <w:t>tanto, utilizar la cobertura fija actual del operador de alcance nacional Telmex sería una forma más pragmática para definir la huella del operador fijo.</w:t>
      </w:r>
    </w:p>
    <w:p w14:paraId="2B9CF42A" w14:textId="35F7DBFA" w:rsidR="00BE303D" w:rsidRPr="00E94D8A" w:rsidRDefault="00BE303D" w:rsidP="00BE303D">
      <w:r w:rsidRPr="00E94D8A">
        <w:t xml:space="preserve">Si </w:t>
      </w:r>
      <w:r w:rsidR="00B67962">
        <w:t>una cobertura de ámbito inferior al nacional</w:t>
      </w:r>
      <w:r w:rsidRPr="00E94D8A">
        <w:t xml:space="preserve"> fuese a redundar en diferencias de costos considerables y exógenas, podría argumentarse a favor de modelar la cobertura </w:t>
      </w:r>
      <w:r w:rsidR="00B67962">
        <w:t>de menor ámbito</w:t>
      </w:r>
      <w:r w:rsidRPr="00E94D8A">
        <w:t xml:space="preserve">. Sin embargo, los tres operadores móviles operan a nivel nacional; así mismo los operadores regionales de cable no están limitados por factores exógenos para ampliar su cobertura ya que pueden expandir sus redes o fusionarse con otros operadores. En efecto, operadores alternativos </w:t>
      </w:r>
      <w:r w:rsidR="00573FF9">
        <w:t xml:space="preserve">con </w:t>
      </w:r>
      <w:r w:rsidR="005D7223">
        <w:t xml:space="preserve">concesión </w:t>
      </w:r>
      <w:r w:rsidR="00FB32AC" w:rsidRPr="00E94D8A">
        <w:t xml:space="preserve">de operación </w:t>
      </w:r>
      <w:r w:rsidR="00573FF9">
        <w:t xml:space="preserve">nacional </w:t>
      </w:r>
      <w:r w:rsidRPr="00E94D8A">
        <w:t xml:space="preserve">como Axtel parecen haber lanzado operaciones comerciales </w:t>
      </w:r>
      <w:r w:rsidR="00FB32AC">
        <w:t xml:space="preserve">exclusivamente </w:t>
      </w:r>
      <w:r w:rsidRPr="00E94D8A">
        <w:t xml:space="preserve">en zonas </w:t>
      </w:r>
      <w:r w:rsidR="00FB32AC">
        <w:t>específicas del país</w:t>
      </w:r>
      <w:r w:rsidRPr="00E94D8A">
        <w:t xml:space="preserve">, mientras que operadores de cable han ido expandiendo su cobertura mediante la adquisición de </w:t>
      </w:r>
      <w:r w:rsidR="005D7223">
        <w:t>concesiones</w:t>
      </w:r>
      <w:r w:rsidR="005D7223" w:rsidRPr="00E94D8A">
        <w:t xml:space="preserve"> </w:t>
      </w:r>
      <w:r w:rsidRPr="00E94D8A">
        <w:t xml:space="preserve">en </w:t>
      </w:r>
      <w:r w:rsidR="00FB32AC">
        <w:t xml:space="preserve">las </w:t>
      </w:r>
      <w:r w:rsidRPr="00E94D8A">
        <w:t>ciudades y regiones que les interesaban</w:t>
      </w:r>
      <w:r w:rsidR="00E502EC">
        <w:t>.</w:t>
      </w:r>
      <w:r w:rsidRPr="00E94D8A">
        <w:t xml:space="preserve"> Por lo tanto no es probable que se reflejen costos distintos a nivel regional por  economías de escala geográficas menores a los costos de un operador eficiente nacional.</w:t>
      </w:r>
    </w:p>
    <w:p w14:paraId="3F4FB458" w14:textId="4FA30F4D" w:rsidR="00533D31" w:rsidRPr="00E94D8A" w:rsidRDefault="00BE303D" w:rsidP="00315420">
      <w:pPr>
        <w:pStyle w:val="B1"/>
        <w:pBdr>
          <w:top w:val="single" w:sz="4" w:space="2" w:color="D9D9D9" w:themeColor="background1" w:themeShade="D9"/>
          <w:bottom w:val="single" w:sz="4" w:space="5" w:color="D9D9D9" w:themeColor="background1" w:themeShade="D9"/>
        </w:pBdr>
        <w:shd w:val="clear" w:color="auto" w:fill="F2F2F2" w:themeFill="background1" w:themeFillShade="F2"/>
      </w:pPr>
      <w:r w:rsidRPr="00E94D8A">
        <w:rPr>
          <w:b/>
        </w:rPr>
        <w:t xml:space="preserve">Concepto propuesto </w:t>
      </w:r>
      <w:r w:rsidRPr="00E94D8A">
        <w:rPr>
          <w:b/>
          <w:color w:val="000000" w:themeColor="text1"/>
        </w:rPr>
        <w:fldChar w:fldCharType="begin"/>
      </w:r>
      <w:r w:rsidRPr="00E94D8A">
        <w:rPr>
          <w:b/>
          <w:color w:val="000000" w:themeColor="text1"/>
        </w:rPr>
        <w:instrText xml:space="preserve"> SEQ Recommendation \* ARABIC \s 0 </w:instrText>
      </w:r>
      <w:r w:rsidRPr="00E94D8A">
        <w:rPr>
          <w:b/>
          <w:color w:val="000000" w:themeColor="text1"/>
        </w:rPr>
        <w:fldChar w:fldCharType="separate"/>
      </w:r>
      <w:r w:rsidR="00B426BC">
        <w:rPr>
          <w:b/>
          <w:noProof/>
          <w:color w:val="000000" w:themeColor="text1"/>
        </w:rPr>
        <w:t>2</w:t>
      </w:r>
      <w:r w:rsidRPr="00E94D8A">
        <w:rPr>
          <w:b/>
          <w:color w:val="000000" w:themeColor="text1"/>
        </w:rPr>
        <w:fldChar w:fldCharType="end"/>
      </w:r>
      <w:r w:rsidRPr="00E94D8A">
        <w:t xml:space="preserve">: </w:t>
      </w:r>
      <w:bookmarkStart w:id="32" w:name="_Ref321211780"/>
      <w:bookmarkStart w:id="33" w:name="_Ref321211800"/>
      <w:bookmarkStart w:id="34" w:name="_Ref321212045"/>
      <w:r w:rsidR="001501A1">
        <w:t xml:space="preserve">Se modelará </w:t>
      </w:r>
      <w:r w:rsidR="00533D31" w:rsidRPr="00E94D8A">
        <w:t>niveles de cobertura geográfica comparables con los ofrecidos por el operador fijo nacional y los tres operadores móviles de alcance nacional en México</w:t>
      </w:r>
      <w:r w:rsidR="005C15E0">
        <w:t xml:space="preserve">. En el caso del modelo fijo, se modelará una </w:t>
      </w:r>
      <w:r w:rsidR="007724C2">
        <w:t>cobertura nacional</w:t>
      </w:r>
      <w:r w:rsidR="005C15E0">
        <w:t xml:space="preserve">, mientras que </w:t>
      </w:r>
      <w:r w:rsidR="001501A1">
        <w:t>para el modelo móvil</w:t>
      </w:r>
      <w:r w:rsidR="005C15E0">
        <w:t xml:space="preserve"> se modelará una cobertura </w:t>
      </w:r>
      <w:r w:rsidR="00FE6F10">
        <w:t xml:space="preserve">de servicios de voz en 2G </w:t>
      </w:r>
      <w:r w:rsidR="005C15E0">
        <w:t xml:space="preserve">del </w:t>
      </w:r>
      <w:r w:rsidR="004275C0">
        <w:t>94</w:t>
      </w:r>
      <w:r w:rsidR="005C15E0">
        <w:t>%</w:t>
      </w:r>
      <w:r w:rsidR="00C51B33">
        <w:t xml:space="preserve"> </w:t>
      </w:r>
      <w:r w:rsidR="00315420">
        <w:t xml:space="preserve">para el operador </w:t>
      </w:r>
      <w:r w:rsidR="005D7223">
        <w:t xml:space="preserve">preponderante </w:t>
      </w:r>
      <w:r w:rsidR="00315420">
        <w:t>y del 89%</w:t>
      </w:r>
      <w:r w:rsidR="00C51B33">
        <w:t xml:space="preserve"> </w:t>
      </w:r>
      <w:r w:rsidR="00315420">
        <w:t xml:space="preserve">para el operador </w:t>
      </w:r>
      <w:r w:rsidR="000C550F">
        <w:t>no</w:t>
      </w:r>
      <w:r w:rsidR="00A25B3B">
        <w:t xml:space="preserve"> </w:t>
      </w:r>
      <w:r w:rsidR="000C550F">
        <w:t>preponderante</w:t>
      </w:r>
      <w:r w:rsidR="00533D31" w:rsidRPr="00E94D8A">
        <w:t>.</w:t>
      </w:r>
    </w:p>
    <w:p w14:paraId="6FC65993" w14:textId="77777777" w:rsidR="00BE303D" w:rsidRPr="00E94D8A" w:rsidRDefault="00E94D8A" w:rsidP="00BE303D">
      <w:pPr>
        <w:pStyle w:val="Ttulo2"/>
      </w:pPr>
      <w:bookmarkStart w:id="35" w:name="_Toc329082815"/>
      <w:bookmarkStart w:id="36" w:name="_Toc329082958"/>
      <w:bookmarkStart w:id="37" w:name="_Toc329109180"/>
      <w:bookmarkStart w:id="38" w:name="_Toc329109218"/>
      <w:bookmarkStart w:id="39" w:name="_Ref329541606"/>
      <w:bookmarkStart w:id="40" w:name="_Toc454893678"/>
      <w:bookmarkEnd w:id="35"/>
      <w:bookmarkEnd w:id="36"/>
      <w:bookmarkEnd w:id="37"/>
      <w:bookmarkEnd w:id="38"/>
      <w:r w:rsidRPr="00E94D8A">
        <w:t>Tamaño</w:t>
      </w:r>
      <w:r w:rsidR="00BE303D" w:rsidRPr="00E94D8A">
        <w:t xml:space="preserve"> de un operador eficiente</w:t>
      </w:r>
      <w:bookmarkEnd w:id="32"/>
      <w:bookmarkEnd w:id="33"/>
      <w:bookmarkEnd w:id="34"/>
      <w:bookmarkEnd w:id="39"/>
      <w:bookmarkEnd w:id="40"/>
    </w:p>
    <w:p w14:paraId="276752CA" w14:textId="77777777" w:rsidR="00BE303D" w:rsidRPr="00E94D8A" w:rsidRDefault="00BE303D" w:rsidP="00BE303D">
      <w:r w:rsidRPr="00E94D8A">
        <w:t>Uno de los principales parámetros que define los costos unitarios del modelo es su cuota de mercado. Por lo tanto, es importante determinar la evolución de la cuota de mercado del operador y el periodo en que se da esta evolución.</w:t>
      </w:r>
    </w:p>
    <w:p w14:paraId="41DFE8EC" w14:textId="77777777" w:rsidR="00BE303D" w:rsidRPr="00E94D8A" w:rsidRDefault="00BE303D" w:rsidP="00BE303D">
      <w:r w:rsidRPr="00E94D8A">
        <w:t xml:space="preserve">Los parámetros seleccionados para definir la cuota de mercado de un operador en el tiempo impactan el nivel de los costos económicos calculados por el modelo. Estos costos pueden cambiar si las economías de escala en el corto plazo (despliegue de red en los primeros años) y en el largo plazo (costo del espectro) son explotados en su totalidad. Cuanto más rápido </w:t>
      </w:r>
      <w:r w:rsidR="00757FCB" w:rsidRPr="00E94D8A">
        <w:t>cre</w:t>
      </w:r>
      <w:r w:rsidR="00757FCB">
        <w:t xml:space="preserve">zca </w:t>
      </w:r>
      <w:r w:rsidRPr="00E94D8A">
        <w:t>un operador</w:t>
      </w:r>
      <w:r w:rsidRPr="00E94D8A">
        <w:rPr>
          <w:rStyle w:val="Refdenotaalpie"/>
        </w:rPr>
        <w:footnoteReference w:id="12"/>
      </w:r>
      <w:r w:rsidRPr="00E94D8A">
        <w:t>, menor será el costo unitario eventual.</w:t>
      </w:r>
    </w:p>
    <w:p w14:paraId="45F781E5" w14:textId="77777777" w:rsidR="00BE303D" w:rsidRPr="00E94D8A" w:rsidRDefault="00BE303D" w:rsidP="00BE303D">
      <w:r w:rsidRPr="00E94D8A">
        <w:t>El tamaño del operador a modelar está primordialmente determinado por el número de operadores existentes en cada uno de los mercados (fijo y móvil).</w:t>
      </w:r>
    </w:p>
    <w:p w14:paraId="433F1811" w14:textId="2DFE8247" w:rsidR="00C51B33" w:rsidRDefault="00FD5BD8" w:rsidP="00C51B33">
      <w:r>
        <w:t>L</w:t>
      </w:r>
      <w:r w:rsidR="00BE303D" w:rsidRPr="00E94D8A">
        <w:t xml:space="preserve">a decisión de modelar un mercado móvil </w:t>
      </w:r>
      <w:r w:rsidR="006E4A55">
        <w:t>con</w:t>
      </w:r>
      <w:r w:rsidR="00BE303D" w:rsidRPr="00E94D8A">
        <w:t xml:space="preserve"> tres operadores </w:t>
      </w:r>
      <w:r w:rsidR="00BE303D" w:rsidRPr="00315420">
        <w:t xml:space="preserve">se justifica </w:t>
      </w:r>
      <w:r w:rsidR="00F9251F">
        <w:t>con</w:t>
      </w:r>
      <w:r w:rsidR="00F9251F" w:rsidRPr="00315420">
        <w:t xml:space="preserve"> </w:t>
      </w:r>
      <w:r w:rsidR="00C51B33">
        <w:t xml:space="preserve">base </w:t>
      </w:r>
      <w:r w:rsidR="00F9251F">
        <w:t xml:space="preserve">en </w:t>
      </w:r>
      <w:r w:rsidR="00C51B33">
        <w:t>las recientes adquisiciones de Iusacell-</w:t>
      </w:r>
      <w:proofErr w:type="spellStart"/>
      <w:r w:rsidR="00C51B33">
        <w:t>Unefon</w:t>
      </w:r>
      <w:proofErr w:type="spellEnd"/>
      <w:r w:rsidR="00C51B33">
        <w:t xml:space="preserve"> y Nextel por parte de AT&amp;T, reduciendo de forma efectiva el número de operadores móviles de 4 a 3 en el mercado mexicano</w:t>
      </w:r>
      <w:r w:rsidR="00AC1EBC">
        <w:t>.</w:t>
      </w:r>
    </w:p>
    <w:p w14:paraId="668B10E6" w14:textId="77777777" w:rsidR="00BE303D" w:rsidRDefault="00BE303D" w:rsidP="00BE303D">
      <w:r w:rsidRPr="00E94D8A">
        <w:t xml:space="preserve">En el mercado fijo se observa que salvo ciertas zonas rurales, la mayor parte de la población del país podría contar cuando menos con dos opciones de operador, Telmex, un operador alternativo y/o algún operador de cable. Aun cuando la cuota de mercado de Telmex no refleja esta situación ya </w:t>
      </w:r>
      <w:r w:rsidRPr="00E94D8A">
        <w:lastRenderedPageBreak/>
        <w:t xml:space="preserve">que sigue ostentando una cuota de mercado por encima del </w:t>
      </w:r>
      <w:r w:rsidR="00315420">
        <w:t>6</w:t>
      </w:r>
      <w:r w:rsidR="00CD6531">
        <w:t>5</w:t>
      </w:r>
      <w:r w:rsidRPr="00E94D8A">
        <w:t>%</w:t>
      </w:r>
      <w:r w:rsidR="00315420">
        <w:t xml:space="preserve"> en el </w:t>
      </w:r>
      <w:r w:rsidR="00471594">
        <w:t>2015</w:t>
      </w:r>
      <w:r w:rsidRPr="00E94D8A">
        <w:t xml:space="preserve">, </w:t>
      </w:r>
      <w:r w:rsidR="00757FCB">
        <w:t>a</w:t>
      </w:r>
      <w:r w:rsidR="00757FCB" w:rsidRPr="00E94D8A">
        <w:t xml:space="preserve"> </w:t>
      </w:r>
      <w:r w:rsidRPr="00E94D8A">
        <w:t>efectos del modelo se puede considerar un mercado de dos operadores.</w:t>
      </w:r>
    </w:p>
    <w:p w14:paraId="001447C3" w14:textId="6BC264CB" w:rsidR="00315420" w:rsidRDefault="00F9251F" w:rsidP="00315420">
      <w:r>
        <w:t xml:space="preserve">Con </w:t>
      </w:r>
      <w:r w:rsidR="00315420">
        <w:t>base</w:t>
      </w:r>
      <w:r>
        <w:t xml:space="preserve"> en</w:t>
      </w:r>
      <w:r w:rsidR="00315420">
        <w:t xml:space="preserve"> </w:t>
      </w:r>
      <w:r>
        <w:t>el</w:t>
      </w:r>
      <w:r w:rsidR="00315420" w:rsidRPr="003773EB">
        <w:t xml:space="preserve"> artículo 131 de la LFTR publicada el 14 de julio de 2014 en el DOF</w:t>
      </w:r>
      <w:r w:rsidR="00315420">
        <w:rPr>
          <w:rStyle w:val="Refdenotaalpie"/>
        </w:rPr>
        <w:footnoteReference w:id="13"/>
      </w:r>
      <w:r w:rsidR="00315420" w:rsidRPr="003773EB">
        <w:t>,</w:t>
      </w:r>
      <w:r w:rsidR="00315420">
        <w:t xml:space="preserve"> así como al acuerdo </w:t>
      </w:r>
      <w:r w:rsidR="00315420" w:rsidRPr="003773EB">
        <w:t>P/IFT/EXT/060314/76</w:t>
      </w:r>
      <w:r w:rsidR="00315420">
        <w:t xml:space="preserve"> del IFT</w:t>
      </w:r>
      <w:r w:rsidR="00315420">
        <w:rPr>
          <w:rStyle w:val="Refdenotaalpie"/>
        </w:rPr>
        <w:footnoteReference w:id="14"/>
      </w:r>
      <w:r w:rsidR="00315420">
        <w:t xml:space="preserve">, </w:t>
      </w:r>
      <w:r w:rsidR="00315420" w:rsidRPr="003773EB">
        <w:t xml:space="preserve">las tarifas de interconexión aplicables deberán ser asimétricas de tal forma que el </w:t>
      </w:r>
      <w:r w:rsidR="009E3A70">
        <w:t>AEP</w:t>
      </w:r>
      <w:r w:rsidR="00315420" w:rsidRPr="003773EB">
        <w:t xml:space="preserve"> en el sector de telecomunicaciones no cobr</w:t>
      </w:r>
      <w:r w:rsidR="00315420">
        <w:t>e</w:t>
      </w:r>
      <w:r w:rsidR="00315420" w:rsidRPr="003773EB">
        <w:t xml:space="preserve"> por el tráfico de terminación en sus redes tanto fijas como móviles.</w:t>
      </w:r>
    </w:p>
    <w:p w14:paraId="2511AF26" w14:textId="411D2522" w:rsidR="00BE303D" w:rsidRPr="00E94D8A" w:rsidRDefault="00315420" w:rsidP="00BE303D">
      <w:r w:rsidRPr="003773EB">
        <w:t xml:space="preserve">Para las tarifas de interconexión aplicables </w:t>
      </w:r>
      <w:r w:rsidR="009B5914">
        <w:t xml:space="preserve">a los concesionarios </w:t>
      </w:r>
      <w:r w:rsidRPr="003773EB">
        <w:t xml:space="preserve">que no se encuentren en el supuesto anterior, </w:t>
      </w:r>
      <w:r w:rsidR="009B5914">
        <w:t>IFT debe utilizar</w:t>
      </w:r>
      <w:r w:rsidRPr="003773EB">
        <w:t xml:space="preserve"> la metodología de costos plasmada en los Lineamientos.</w:t>
      </w:r>
      <w:r>
        <w:t xml:space="preserve"> </w:t>
      </w:r>
      <w:r w:rsidR="009E3A70">
        <w:t xml:space="preserve"> Por lo tanto, l</w:t>
      </w:r>
      <w:r>
        <w:t xml:space="preserve">os operadores modelados deberán reflejar las asimetrías </w:t>
      </w:r>
      <w:r w:rsidRPr="00315420">
        <w:t xml:space="preserve">presentes en la industria de telecomunicaciones en México </w:t>
      </w:r>
      <w:r>
        <w:t xml:space="preserve">y las ventajas competitivas del </w:t>
      </w:r>
      <w:r w:rsidR="009E3A70">
        <w:t>AEP</w:t>
      </w:r>
      <w:r>
        <w:t xml:space="preserve">. </w:t>
      </w:r>
      <w:r w:rsidR="00747184">
        <w:t>Para ello se deben determinar precios basados en costos, por lo que si bien en la industria de telecomunicaciones en México existen condiciones que han requerido la emisión de una regulación asimétrica a efecto de establecer condiciones más equitativas de competencia, para efectos de modelar los costos de interconexión</w:t>
      </w:r>
      <w:r w:rsidR="00EB4AD8">
        <w:t xml:space="preserve"> se hace el supuesto implícito de que los mercados son disputables, aun cuando existen participaciones de mercado diferentes. </w:t>
      </w:r>
      <w:r>
        <w:t xml:space="preserve">Se utilizará por lo tanto </w:t>
      </w:r>
      <w:r w:rsidRPr="003D55FC">
        <w:t xml:space="preserve">concesionarios eficientes que consideren, por una parte la escala de operación del </w:t>
      </w:r>
      <w:r w:rsidR="009E3A70">
        <w:t>AEP</w:t>
      </w:r>
      <w:r w:rsidRPr="003D55FC">
        <w:t xml:space="preserve"> y por otra un operador que sea representativo de la escala de operación de los operadores que ofrecen servicios de telecomunicaciones en México, distintos al </w:t>
      </w:r>
      <w:r w:rsidR="009E3A70">
        <w:t>AEP</w:t>
      </w:r>
      <w:r w:rsidRPr="003D55FC">
        <w:t>.</w:t>
      </w:r>
      <w:r w:rsidR="00045E89">
        <w:t xml:space="preserve"> </w:t>
      </w:r>
      <w:r w:rsidR="00BE303D" w:rsidRPr="00E94D8A">
        <w:t xml:space="preserve">Una última cuestión en lo que respecta al </w:t>
      </w:r>
      <w:r w:rsidR="00BE303D" w:rsidRPr="00E94D8A">
        <w:rPr>
          <w:i/>
        </w:rPr>
        <w:t>tamaño eficiente</w:t>
      </w:r>
      <w:r w:rsidR="00BE303D" w:rsidRPr="00E94D8A">
        <w:t xml:space="preserve"> es el tiempo que</w:t>
      </w:r>
      <w:r w:rsidR="006E4A55">
        <w:t xml:space="preserve"> </w:t>
      </w:r>
      <w:r w:rsidR="00423A06">
        <w:t>tomará al</w:t>
      </w:r>
      <w:r w:rsidR="006E4A55">
        <w:t xml:space="preserve"> operador modelado</w:t>
      </w:r>
      <w:r w:rsidR="00BE303D" w:rsidRPr="00E94D8A">
        <w:t xml:space="preserve"> llegar a este estado estable. La velocidad con la que esto se logrará estará determinada (por separado) por la velocidad del despliegue de red y el aumento de tráfico sobre la tecnología moderna dentro del mercado fijo y móvil relevante.</w:t>
      </w:r>
    </w:p>
    <w:p w14:paraId="32791E32" w14:textId="77777777" w:rsidR="00315420" w:rsidRDefault="0043475A" w:rsidP="00551F63">
      <w:pPr>
        <w:pStyle w:val="B1"/>
        <w:pBdr>
          <w:top w:val="single" w:sz="4" w:space="2" w:color="D9D9D9" w:themeColor="background1" w:themeShade="D9"/>
          <w:bottom w:val="single" w:sz="4" w:space="5" w:color="D9D9D9" w:themeColor="background1" w:themeShade="D9"/>
        </w:pBdr>
        <w:shd w:val="clear" w:color="auto" w:fill="F2F2F2" w:themeFill="background1" w:themeFillShade="F2"/>
        <w:spacing w:after="0"/>
        <w:rPr>
          <w:color w:val="000000" w:themeColor="text1"/>
        </w:rPr>
      </w:pPr>
      <w:bookmarkStart w:id="41" w:name="_Ref321211127"/>
      <w:r>
        <w:rPr>
          <w:b/>
          <w:bCs/>
          <w:color w:val="000000" w:themeColor="text1"/>
        </w:rPr>
        <w:t>Concepto propuesto</w:t>
      </w:r>
      <w:r w:rsidR="003216F4">
        <w:rPr>
          <w:b/>
          <w:bCs/>
          <w:color w:val="000000" w:themeColor="text1"/>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3</w:t>
      </w:r>
      <w:r w:rsidR="00CB05BF" w:rsidRPr="00E94D8A">
        <w:rPr>
          <w:b/>
          <w:color w:val="000000" w:themeColor="text1"/>
        </w:rPr>
        <w:fldChar w:fldCharType="end"/>
      </w:r>
      <w:r w:rsidR="003216F4" w:rsidRPr="00E94D8A">
        <w:rPr>
          <w:color w:val="000000" w:themeColor="text1"/>
        </w:rPr>
        <w:t xml:space="preserve">: </w:t>
      </w:r>
      <w:r w:rsidR="00551F63" w:rsidRPr="00551F63">
        <w:rPr>
          <w:color w:val="000000" w:themeColor="text1"/>
        </w:rPr>
        <w:t>En el largo plazo, la</w:t>
      </w:r>
      <w:r w:rsidR="003B37C6">
        <w:rPr>
          <w:color w:val="000000" w:themeColor="text1"/>
        </w:rPr>
        <w:t>s</w:t>
      </w:r>
      <w:r w:rsidR="00551F63" w:rsidRPr="00551F63">
        <w:rPr>
          <w:color w:val="000000" w:themeColor="text1"/>
        </w:rPr>
        <w:t xml:space="preserve"> cuota</w:t>
      </w:r>
      <w:r w:rsidR="003B37C6">
        <w:rPr>
          <w:color w:val="000000" w:themeColor="text1"/>
        </w:rPr>
        <w:t>s</w:t>
      </w:r>
      <w:r w:rsidR="00551F63" w:rsidRPr="00551F63">
        <w:rPr>
          <w:color w:val="000000" w:themeColor="text1"/>
        </w:rPr>
        <w:t xml:space="preserve"> de mercado de los operadores hipotéticos existentes modelados </w:t>
      </w:r>
      <w:r w:rsidR="00315420">
        <w:rPr>
          <w:color w:val="000000" w:themeColor="text1"/>
        </w:rPr>
        <w:t>serán de:</w:t>
      </w:r>
    </w:p>
    <w:p w14:paraId="6B884006" w14:textId="16265209" w:rsidR="00315420" w:rsidRPr="003D55FC" w:rsidRDefault="00315420" w:rsidP="003D55FC">
      <w:pPr>
        <w:pStyle w:val="B1"/>
        <w:numPr>
          <w:ilvl w:val="0"/>
          <w:numId w:val="36"/>
        </w:numPr>
        <w:pBdr>
          <w:top w:val="single" w:sz="4" w:space="2" w:color="D9D9D9" w:themeColor="background1" w:themeShade="D9"/>
          <w:bottom w:val="single" w:sz="4" w:space="5" w:color="D9D9D9" w:themeColor="background1" w:themeShade="D9"/>
        </w:pBdr>
        <w:shd w:val="clear" w:color="auto" w:fill="F2F2F2" w:themeFill="background1" w:themeFillShade="F2"/>
        <w:spacing w:after="0"/>
        <w:rPr>
          <w:color w:val="000000" w:themeColor="text1"/>
        </w:rPr>
      </w:pPr>
      <w:r>
        <w:rPr>
          <w:color w:val="000000" w:themeColor="text1"/>
        </w:rPr>
        <w:t>16% para el operador móvil alternativo</w:t>
      </w:r>
      <w:r w:rsidR="00955ABF">
        <w:rPr>
          <w:color w:val="000000" w:themeColor="text1"/>
        </w:rPr>
        <w:t xml:space="preserve"> hipotético no preponderante</w:t>
      </w:r>
      <w:r>
        <w:rPr>
          <w:color w:val="000000" w:themeColor="text1"/>
        </w:rPr>
        <w:t xml:space="preserve">, correspondiente a la cuota de mercado asociado a un </w:t>
      </w:r>
      <w:r w:rsidRPr="00315420">
        <w:rPr>
          <w:spacing w:val="-4"/>
          <w:lang w:val="es-ES_tradnl"/>
        </w:rPr>
        <w:t xml:space="preserve">mercado de 3 operadores compuesto por </w:t>
      </w:r>
      <w:r w:rsidR="00EA7F26">
        <w:rPr>
          <w:spacing w:val="-4"/>
          <w:lang w:val="es-ES_tradnl"/>
        </w:rPr>
        <w:t>un operador de escala y alcance d</w:t>
      </w:r>
      <w:r w:rsidRPr="00315420">
        <w:rPr>
          <w:spacing w:val="-4"/>
          <w:lang w:val="es-ES_tradnl"/>
        </w:rPr>
        <w:t xml:space="preserve">el </w:t>
      </w:r>
      <w:r w:rsidR="00EA7F26">
        <w:rPr>
          <w:spacing w:val="-4"/>
          <w:lang w:val="es-ES_tradnl"/>
        </w:rPr>
        <w:t>AEP</w:t>
      </w:r>
      <w:r w:rsidRPr="00315420">
        <w:rPr>
          <w:spacing w:val="-4"/>
          <w:lang w:val="es-ES_tradnl"/>
        </w:rPr>
        <w:t xml:space="preserve"> y otros dos operadores alternativos que compiten por la cuota de mercado restante</w:t>
      </w:r>
      <w:r w:rsidR="00EE1155">
        <w:rPr>
          <w:spacing w:val="-4"/>
          <w:lang w:val="es-ES_tradnl"/>
        </w:rPr>
        <w:t>, esto es, el 68%.</w:t>
      </w:r>
    </w:p>
    <w:p w14:paraId="650D1A8B" w14:textId="77777777" w:rsidR="00315420" w:rsidRPr="003D55FC" w:rsidRDefault="00315420" w:rsidP="003D55FC">
      <w:pPr>
        <w:pStyle w:val="B1"/>
        <w:numPr>
          <w:ilvl w:val="0"/>
          <w:numId w:val="36"/>
        </w:numPr>
        <w:pBdr>
          <w:top w:val="single" w:sz="4" w:space="2" w:color="D9D9D9" w:themeColor="background1" w:themeShade="D9"/>
          <w:bottom w:val="single" w:sz="4" w:space="5" w:color="D9D9D9" w:themeColor="background1" w:themeShade="D9"/>
        </w:pBdr>
        <w:shd w:val="clear" w:color="auto" w:fill="F2F2F2" w:themeFill="background1" w:themeFillShade="F2"/>
        <w:spacing w:after="0"/>
        <w:rPr>
          <w:color w:val="000000" w:themeColor="text1"/>
        </w:rPr>
      </w:pPr>
      <w:r w:rsidRPr="00315420">
        <w:rPr>
          <w:color w:val="000000" w:themeColor="text1"/>
        </w:rPr>
        <w:t>6</w:t>
      </w:r>
      <w:r w:rsidR="009F2316">
        <w:rPr>
          <w:color w:val="000000" w:themeColor="text1"/>
        </w:rPr>
        <w:t>4</w:t>
      </w:r>
      <w:r w:rsidRPr="00315420">
        <w:rPr>
          <w:color w:val="000000" w:themeColor="text1"/>
        </w:rPr>
        <w:t xml:space="preserve">% para el operador fijo </w:t>
      </w:r>
      <w:r w:rsidR="00492477">
        <w:rPr>
          <w:color w:val="000000" w:themeColor="text1"/>
        </w:rPr>
        <w:t>de escala y alcance del AEP</w:t>
      </w:r>
      <w:r w:rsidRPr="00315420">
        <w:rPr>
          <w:color w:val="000000" w:themeColor="text1"/>
        </w:rPr>
        <w:t xml:space="preserve"> </w:t>
      </w:r>
    </w:p>
    <w:p w14:paraId="42C023C8" w14:textId="77777777" w:rsidR="00315420" w:rsidRPr="003D55FC" w:rsidRDefault="00315420" w:rsidP="003D55FC">
      <w:pPr>
        <w:pStyle w:val="B1"/>
        <w:numPr>
          <w:ilvl w:val="0"/>
          <w:numId w:val="36"/>
        </w:numPr>
        <w:pBdr>
          <w:top w:val="single" w:sz="4" w:space="2" w:color="D9D9D9" w:themeColor="background1" w:themeShade="D9"/>
          <w:bottom w:val="single" w:sz="4" w:space="5" w:color="D9D9D9" w:themeColor="background1" w:themeShade="D9"/>
        </w:pBdr>
        <w:shd w:val="clear" w:color="auto" w:fill="F2F2F2" w:themeFill="background1" w:themeFillShade="F2"/>
        <w:spacing w:after="0"/>
        <w:rPr>
          <w:color w:val="000000" w:themeColor="text1"/>
        </w:rPr>
      </w:pPr>
      <w:r>
        <w:rPr>
          <w:spacing w:val="-4"/>
          <w:lang w:val="es-ES_tradnl"/>
        </w:rPr>
        <w:t>3</w:t>
      </w:r>
      <w:r w:rsidR="009F2316">
        <w:rPr>
          <w:spacing w:val="-4"/>
          <w:lang w:val="es-ES_tradnl"/>
        </w:rPr>
        <w:t>6</w:t>
      </w:r>
      <w:r>
        <w:rPr>
          <w:spacing w:val="-4"/>
          <w:lang w:val="es-ES_tradnl"/>
        </w:rPr>
        <w:t xml:space="preserve">% para el operador fijo alternativo, correspondiente a la cuota de mercado en un mercado </w:t>
      </w:r>
      <w:r w:rsidR="001C4E20">
        <w:rPr>
          <w:spacing w:val="-4"/>
          <w:lang w:val="es-ES_tradnl"/>
        </w:rPr>
        <w:t>en el que se puede asumir que cada usuario tiene al menos dos opciones de operador</w:t>
      </w:r>
    </w:p>
    <w:p w14:paraId="60298EF7" w14:textId="77777777" w:rsidR="00A21FB6" w:rsidRDefault="00A21FB6"/>
    <w:p w14:paraId="355E755E" w14:textId="77777777" w:rsidR="006048FC" w:rsidRPr="00E94D8A" w:rsidRDefault="0043475A" w:rsidP="006048FC">
      <w:pPr>
        <w:pStyle w:val="B1"/>
        <w:pBdr>
          <w:top w:val="single" w:sz="4" w:space="2" w:color="D9D9D9" w:themeColor="background1" w:themeShade="D9"/>
          <w:bottom w:val="single" w:sz="4" w:space="5" w:color="D9D9D9" w:themeColor="background1" w:themeShade="D9"/>
        </w:pBdr>
        <w:shd w:val="clear" w:color="auto" w:fill="F2F2F2" w:themeFill="background1" w:themeFillShade="F2"/>
        <w:spacing w:after="0"/>
      </w:pPr>
      <w:r>
        <w:rPr>
          <w:b/>
          <w:bCs/>
        </w:rPr>
        <w:t>Concepto propuesto</w:t>
      </w:r>
      <w:r w:rsidR="006048FC">
        <w:rPr>
          <w:b/>
          <w:color w:val="000000" w:themeColor="text1"/>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4</w:t>
      </w:r>
      <w:r w:rsidR="00CB05BF" w:rsidRPr="00E94D8A">
        <w:rPr>
          <w:b/>
          <w:color w:val="000000" w:themeColor="text1"/>
        </w:rPr>
        <w:fldChar w:fldCharType="end"/>
      </w:r>
      <w:r w:rsidR="006048FC" w:rsidRPr="00E94D8A">
        <w:t xml:space="preserve">: </w:t>
      </w:r>
      <w:r w:rsidR="00737F9E">
        <w:t>El c</w:t>
      </w:r>
      <w:r w:rsidR="006048FC" w:rsidRPr="00E94D8A">
        <w:t xml:space="preserve">recimiento </w:t>
      </w:r>
      <w:r w:rsidR="00737F9E">
        <w:t>d</w:t>
      </w:r>
      <w:r w:rsidR="00080519">
        <w:t xml:space="preserve">e </w:t>
      </w:r>
      <w:r w:rsidR="00737F9E">
        <w:t xml:space="preserve">la </w:t>
      </w:r>
      <w:r w:rsidR="00080519">
        <w:t>cuota de mercado est</w:t>
      </w:r>
      <w:r w:rsidR="006048FC" w:rsidRPr="00E94D8A">
        <w:t>á relacionad</w:t>
      </w:r>
      <w:r w:rsidR="009F6A9E">
        <w:t>o</w:t>
      </w:r>
      <w:r w:rsidR="006048FC" w:rsidRPr="00E94D8A">
        <w:t xml:space="preserve"> con el despliegue de </w:t>
      </w:r>
      <w:r w:rsidR="009F6A9E">
        <w:t xml:space="preserve">la </w:t>
      </w:r>
      <w:r w:rsidR="006048FC" w:rsidRPr="00E94D8A">
        <w:t xml:space="preserve">red y el </w:t>
      </w:r>
      <w:r w:rsidR="009F6A9E">
        <w:t xml:space="preserve">aumento </w:t>
      </w:r>
      <w:r w:rsidR="006048FC" w:rsidRPr="00E94D8A">
        <w:t>de</w:t>
      </w:r>
      <w:r w:rsidR="009F6A9E">
        <w:t>l</w:t>
      </w:r>
      <w:r w:rsidR="006048FC" w:rsidRPr="00E94D8A">
        <w:t xml:space="preserve"> tráfico </w:t>
      </w:r>
      <w:r w:rsidR="009F6A9E">
        <w:t xml:space="preserve">utilizando </w:t>
      </w:r>
      <w:r w:rsidR="006048FC" w:rsidRPr="00E94D8A">
        <w:t>la tecnología moderna.</w:t>
      </w:r>
      <w:r w:rsidR="0090240B">
        <w:t xml:space="preserve"> </w:t>
      </w:r>
    </w:p>
    <w:p w14:paraId="03C9769C" w14:textId="77777777" w:rsidR="001501A1" w:rsidRDefault="001501A1" w:rsidP="001501A1">
      <w:pPr>
        <w:spacing w:after="0"/>
      </w:pPr>
    </w:p>
    <w:p w14:paraId="62D801E1" w14:textId="77777777" w:rsidR="001501A1" w:rsidRPr="00E94D8A" w:rsidRDefault="0043475A" w:rsidP="001501A1">
      <w:pPr>
        <w:pStyle w:val="B1"/>
        <w:pBdr>
          <w:top w:val="single" w:sz="4" w:space="2" w:color="D9D9D9" w:themeColor="background1" w:themeShade="D9"/>
          <w:bottom w:val="single" w:sz="4" w:space="5" w:color="D9D9D9" w:themeColor="background1" w:themeShade="D9"/>
        </w:pBdr>
        <w:shd w:val="clear" w:color="auto" w:fill="F2F2F2" w:themeFill="background1" w:themeFillShade="F2"/>
      </w:pPr>
      <w:r>
        <w:rPr>
          <w:b/>
          <w:bCs/>
        </w:rPr>
        <w:lastRenderedPageBreak/>
        <w:t>Concepto propuesto</w:t>
      </w:r>
      <w:r w:rsidR="006048FC">
        <w:rPr>
          <w:b/>
          <w:color w:val="000000" w:themeColor="text1"/>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5</w:t>
      </w:r>
      <w:r w:rsidR="00CB05BF" w:rsidRPr="00E94D8A">
        <w:rPr>
          <w:b/>
          <w:color w:val="000000" w:themeColor="text1"/>
        </w:rPr>
        <w:fldChar w:fldCharType="end"/>
      </w:r>
      <w:r w:rsidR="001501A1" w:rsidRPr="00E94D8A">
        <w:t xml:space="preserve">: La cuota de mercado </w:t>
      </w:r>
      <w:r w:rsidR="0090240B" w:rsidRPr="009F6A9E">
        <w:t>del operador modelado</w:t>
      </w:r>
      <w:r w:rsidR="0090240B">
        <w:t xml:space="preserve"> </w:t>
      </w:r>
      <w:r w:rsidR="001501A1" w:rsidRPr="00E94D8A">
        <w:t>incluye los usuarios de proveedores de servicio</w:t>
      </w:r>
      <w:r w:rsidR="0090240B">
        <w:t>s</w:t>
      </w:r>
      <w:r w:rsidR="001501A1" w:rsidRPr="00E94D8A">
        <w:t xml:space="preserve"> alternativos (p.ej. </w:t>
      </w:r>
      <w:proofErr w:type="spellStart"/>
      <w:r w:rsidR="001501A1" w:rsidRPr="00E94D8A">
        <w:t>ISPs</w:t>
      </w:r>
      <w:proofErr w:type="spellEnd"/>
      <w:r w:rsidR="001501A1" w:rsidRPr="00E94D8A">
        <w:t>) u operadores virtuales, ya que los volúmenes asociados a estos</w:t>
      </w:r>
      <w:r w:rsidR="0090240B">
        <w:t xml:space="preserve"> servicios</w:t>
      </w:r>
      <w:r w:rsidR="001501A1" w:rsidRPr="00E94D8A">
        <w:t xml:space="preserve"> contribuyen a las economías de escala logradas por el operador modelado. </w:t>
      </w:r>
    </w:p>
    <w:p w14:paraId="13CD1252" w14:textId="77777777" w:rsidR="00BE303D" w:rsidRPr="00E94D8A" w:rsidRDefault="00BE303D" w:rsidP="00BE303D">
      <w:pPr>
        <w:pStyle w:val="Ttulo1"/>
        <w:rPr>
          <w:lang w:val="es-ES"/>
        </w:rPr>
      </w:pPr>
      <w:bookmarkStart w:id="42" w:name="_Toc454893679"/>
      <w:r w:rsidRPr="00E94D8A">
        <w:rPr>
          <w:lang w:val="es-ES"/>
        </w:rPr>
        <w:lastRenderedPageBreak/>
        <w:t>Aspectos relacionados con la tecnología</w:t>
      </w:r>
      <w:bookmarkEnd w:id="41"/>
      <w:bookmarkEnd w:id="42"/>
    </w:p>
    <w:p w14:paraId="3D4497C0" w14:textId="77777777" w:rsidR="00BE303D" w:rsidRPr="00E94D8A" w:rsidRDefault="00BE303D" w:rsidP="00BE303D">
      <w:r w:rsidRPr="00E94D8A">
        <w:t>Esta sección presenta los aspectos conceptuales relacionados con el tipo de tecnología que se modelará en los modelos fijos y móviles. Está estructurada como sigue</w:t>
      </w:r>
    </w:p>
    <w:p w14:paraId="0B7E70ED" w14:textId="648B9801" w:rsidR="00BE303D" w:rsidRPr="00E94D8A" w:rsidRDefault="00BE303D" w:rsidP="00BE303D">
      <w:pPr>
        <w:pStyle w:val="ListBulletCompact"/>
      </w:pPr>
      <w:r w:rsidRPr="00E94D8A">
        <w:t>arquitectura moderna de red (Sección</w:t>
      </w:r>
      <w:r w:rsidR="00957B01">
        <w:t xml:space="preserve"> </w:t>
      </w:r>
      <w:r w:rsidR="00E94D8A">
        <w:fldChar w:fldCharType="begin"/>
      </w:r>
      <w:r w:rsidR="00E94D8A">
        <w:instrText xml:space="preserve"> REF _Ref321211960 \r \h </w:instrText>
      </w:r>
      <w:r w:rsidR="00E94D8A">
        <w:fldChar w:fldCharType="separate"/>
      </w:r>
      <w:r w:rsidR="00B426BC">
        <w:t>4.1</w:t>
      </w:r>
      <w:r w:rsidR="00E94D8A">
        <w:fldChar w:fldCharType="end"/>
      </w:r>
      <w:r w:rsidRPr="00E94D8A">
        <w:t>)</w:t>
      </w:r>
    </w:p>
    <w:p w14:paraId="0CBEF537" w14:textId="4A73FCF4" w:rsidR="00BE303D" w:rsidRPr="00E94D8A" w:rsidRDefault="00BE303D" w:rsidP="00BE303D">
      <w:pPr>
        <w:pStyle w:val="ListBulletCompact"/>
      </w:pPr>
      <w:r w:rsidRPr="00E94D8A">
        <w:t>demarcación de las capas de red (Sección</w:t>
      </w:r>
      <w:r w:rsidR="00957B01">
        <w:t xml:space="preserve"> </w:t>
      </w:r>
      <w:r w:rsidR="005974BC">
        <w:t>4.2</w:t>
      </w:r>
      <w:r w:rsidRPr="00E94D8A">
        <w:t>)</w:t>
      </w:r>
    </w:p>
    <w:p w14:paraId="14D1EC8A" w14:textId="6AC0ABCE" w:rsidR="00BE303D" w:rsidRPr="00E94D8A" w:rsidRDefault="00BE303D" w:rsidP="00BE303D">
      <w:pPr>
        <w:pStyle w:val="Listaconvietas"/>
        <w:ind w:left="360" w:hanging="360"/>
      </w:pPr>
      <w:r w:rsidRPr="00E94D8A">
        <w:t>nodos de la red (Sección</w:t>
      </w:r>
      <w:r w:rsidR="00957B01">
        <w:t xml:space="preserve"> </w:t>
      </w:r>
      <w:r w:rsidR="005974BC">
        <w:t>4.3</w:t>
      </w:r>
      <w:r w:rsidRPr="00E94D8A">
        <w:t>).</w:t>
      </w:r>
    </w:p>
    <w:p w14:paraId="546C2E64" w14:textId="77777777" w:rsidR="00BE303D" w:rsidRPr="00E94D8A" w:rsidRDefault="00BE303D" w:rsidP="00BE303D">
      <w:pPr>
        <w:pStyle w:val="Ttulo2"/>
      </w:pPr>
      <w:bookmarkStart w:id="43" w:name="_Ref321211960"/>
      <w:bookmarkStart w:id="44" w:name="_Toc454893680"/>
      <w:r w:rsidRPr="00E94D8A">
        <w:t>Arquitectura moderna de red</w:t>
      </w:r>
      <w:bookmarkEnd w:id="43"/>
      <w:bookmarkEnd w:id="44"/>
    </w:p>
    <w:p w14:paraId="553C9E60" w14:textId="77777777" w:rsidR="00BE303D" w:rsidRPr="00E94D8A" w:rsidRDefault="00BE303D" w:rsidP="00BE303D">
      <w:r w:rsidRPr="00E94D8A">
        <w:t xml:space="preserve">Los modelos BULRIC fijo y móvil exigirán un diseño de arquitectura de red basado en una elección específica de tecnología moderna eficiente. Desde la perspectiva de regulación de la terminación, en estos modelos deben reflejarse tecnologías modernas equivalentes: esto es, tecnologías disponibles y probadas con el </w:t>
      </w:r>
      <w:r w:rsidR="00CE4B8A">
        <w:t>costo</w:t>
      </w:r>
      <w:r w:rsidRPr="00E94D8A">
        <w:t xml:space="preserve"> más bajo previsto a lo largo de su vida útil. Consideramos las opciones de arquitectura de red por separado para los dos modelos.</w:t>
      </w:r>
    </w:p>
    <w:p w14:paraId="11949FDF" w14:textId="77777777" w:rsidR="00BE303D" w:rsidRPr="00E94D8A" w:rsidRDefault="00BE303D" w:rsidP="00BE303D">
      <w:pPr>
        <w:pStyle w:val="Ttulo3"/>
      </w:pPr>
      <w:bookmarkStart w:id="45" w:name="_Ref321211945"/>
      <w:r w:rsidRPr="00E94D8A">
        <w:t>Red de telefonía móvil</w:t>
      </w:r>
      <w:bookmarkEnd w:id="45"/>
    </w:p>
    <w:p w14:paraId="0DC5DD12" w14:textId="77777777" w:rsidR="00BE303D" w:rsidRPr="00E94D8A" w:rsidRDefault="00BE303D" w:rsidP="00BE303D">
      <w:r w:rsidRPr="00E94D8A">
        <w:t xml:space="preserve">Las redes móviles se han caracterizado por generaciones sucesivas de tecnología, donde los dos pasos más significativos han sido la transición del sistema analógico al digital 2G (GSM), </w:t>
      </w:r>
      <w:r w:rsidR="00F3200A">
        <w:t>la</w:t>
      </w:r>
      <w:r w:rsidRPr="00E94D8A">
        <w:t xml:space="preserve"> expansión continua para incluir elementos de red y servicios relacionados con UMTS (3G)</w:t>
      </w:r>
      <w:r w:rsidR="00F3200A">
        <w:t xml:space="preserve"> y </w:t>
      </w:r>
      <w:r w:rsidR="00DA26CF">
        <w:t xml:space="preserve">más recientemente </w:t>
      </w:r>
      <w:r w:rsidR="00F3200A">
        <w:t xml:space="preserve">despliegues de la tecnología LTE (4G) con miras, fundamentalmente, a </w:t>
      </w:r>
      <w:r w:rsidR="00DA26CF">
        <w:t xml:space="preserve">incrementar </w:t>
      </w:r>
      <w:r w:rsidR="00F3200A">
        <w:t xml:space="preserve">la capacidad </w:t>
      </w:r>
      <w:r w:rsidR="00757FCB">
        <w:t xml:space="preserve">y velocidad </w:t>
      </w:r>
      <w:r w:rsidR="00F3200A">
        <w:t>de transmisión de datos móviles</w:t>
      </w:r>
      <w:r w:rsidRPr="00E94D8A">
        <w:t>. La arquitectura de redes de telefonía móvil se divide en tres partes: una capa de radio, una red de conmutación y una red de transmisión. Consideramos las opciones de arquitectura de redes en el resto de este apartado:</w:t>
      </w:r>
    </w:p>
    <w:p w14:paraId="7ABEB1B5" w14:textId="77777777" w:rsidR="00BE303D" w:rsidRPr="001E761B" w:rsidRDefault="00BE303D" w:rsidP="00BE303D">
      <w:pPr>
        <w:pStyle w:val="Ttulo4"/>
        <w:rPr>
          <w:b/>
        </w:rPr>
      </w:pPr>
      <w:r w:rsidRPr="001E761B">
        <w:rPr>
          <w:b/>
        </w:rPr>
        <w:t xml:space="preserve">Capa de radio </w:t>
      </w:r>
    </w:p>
    <w:p w14:paraId="00B47979" w14:textId="77777777" w:rsidR="00F432C4" w:rsidRDefault="00E6325A" w:rsidP="002B6344">
      <w:r>
        <w:t xml:space="preserve">El modelo considera tres </w:t>
      </w:r>
      <w:r w:rsidR="00BE303D" w:rsidRPr="00E94D8A">
        <w:t xml:space="preserve">generaciones de estándares de tecnología móvil, bien secuencialmente o de forma combinada: GSM (2G), UMTS (3G) y LTE (4G). </w:t>
      </w:r>
      <w:r w:rsidR="00F432C4">
        <w:t xml:space="preserve">Si bien las primeras redes desplegadas en México empleaban también </w:t>
      </w:r>
      <w:r w:rsidR="00BE303D" w:rsidRPr="00E94D8A">
        <w:t>tecnologías como CDMA o CDMA-2000</w:t>
      </w:r>
      <w:r w:rsidR="00F432C4">
        <w:t xml:space="preserve">, ya no están operativas y por lo tanto </w:t>
      </w:r>
      <w:r w:rsidR="00BE303D" w:rsidRPr="00E94D8A">
        <w:t>no son relevantes para este modelo BULRIC.</w:t>
      </w:r>
    </w:p>
    <w:p w14:paraId="26A4CF3B" w14:textId="1B3850D0" w:rsidR="00BE303D" w:rsidRPr="00E94D8A" w:rsidRDefault="00BE303D" w:rsidP="002B6344">
      <w:r w:rsidRPr="00E94D8A">
        <w:t>Por lo tanto, el modelo BULRIC móvil debería limitarse a modelar tecnologías de radio 2G</w:t>
      </w:r>
      <w:r w:rsidR="002B43C1">
        <w:t>,</w:t>
      </w:r>
      <w:r w:rsidRPr="00E94D8A">
        <w:t xml:space="preserve"> 3G</w:t>
      </w:r>
      <w:r w:rsidR="002B43C1">
        <w:t xml:space="preserve"> y 4G,</w:t>
      </w:r>
      <w:r w:rsidRPr="00E94D8A">
        <w:t xml:space="preserve"> tecnologías</w:t>
      </w:r>
      <w:r w:rsidR="002B43C1">
        <w:t xml:space="preserve"> que</w:t>
      </w:r>
      <w:r w:rsidRPr="00E94D8A">
        <w:t xml:space="preserve"> están probadas y disponibles. </w:t>
      </w:r>
      <w:r w:rsidR="002B43C1">
        <w:t>4</w:t>
      </w:r>
      <w:r w:rsidR="002B43C1" w:rsidRPr="00E94D8A">
        <w:t xml:space="preserve">G </w:t>
      </w:r>
      <w:r w:rsidRPr="00E94D8A">
        <w:t xml:space="preserve">es </w:t>
      </w:r>
      <w:r w:rsidR="002B43C1">
        <w:t>la</w:t>
      </w:r>
      <w:r w:rsidR="002B43C1" w:rsidRPr="00E94D8A">
        <w:t xml:space="preserve"> </w:t>
      </w:r>
      <w:r w:rsidRPr="00E94D8A">
        <w:t>tecnología más reciente (y que ofrece una mayor capacidad) que permite unas mayores economías de alcance, principalmente a través de los servicios de datos móviles. Sin embargo, el costo de un despliegue de red, ya sea en 2G</w:t>
      </w:r>
      <w:r w:rsidR="002B43C1">
        <w:t>, 3G</w:t>
      </w:r>
      <w:r w:rsidRPr="00E94D8A">
        <w:t xml:space="preserve"> y/o </w:t>
      </w:r>
      <w:r w:rsidR="002B43C1">
        <w:t>4</w:t>
      </w:r>
      <w:r w:rsidR="002B43C1" w:rsidRPr="00E94D8A">
        <w:t>G</w:t>
      </w:r>
      <w:r w:rsidRPr="00E94D8A">
        <w:t>, estará fuertemente influenciado por la banda de frecuencia en la que se despliegue. En efecto, una red de radio (2G</w:t>
      </w:r>
      <w:r w:rsidR="002B43C1">
        <w:t>,</w:t>
      </w:r>
      <w:r w:rsidRPr="00E94D8A">
        <w:t xml:space="preserve"> 3G</w:t>
      </w:r>
      <w:r w:rsidR="002B43C1">
        <w:t xml:space="preserve"> o 4G</w:t>
      </w:r>
      <w:r w:rsidRPr="00E94D8A">
        <w:t xml:space="preserve">) desplegada en una banda de espectro alta como 1900MHz no podrá resultar en un </w:t>
      </w:r>
      <w:r w:rsidR="00CE4B8A">
        <w:t>costo</w:t>
      </w:r>
      <w:r w:rsidRPr="00E94D8A">
        <w:t xml:space="preserve"> menor (con el perfil de tráfico de voz y datos actual) que su equivalente en banda de espectro baja –</w:t>
      </w:r>
      <w:r w:rsidR="006E4A55">
        <w:t xml:space="preserve"> </w:t>
      </w:r>
      <w:r w:rsidRPr="00E94D8A">
        <w:t xml:space="preserve">850MHz. Esto se debe al menor radio de cobertura de las estaciones base que </w:t>
      </w:r>
      <w:r w:rsidRPr="00E94D8A">
        <w:lastRenderedPageBreak/>
        <w:t>utilizan frecuencias en bandas de espectro como 1900MHz</w:t>
      </w:r>
      <w:r w:rsidR="00272797">
        <w:t xml:space="preserve"> o 1700</w:t>
      </w:r>
      <w:r w:rsidR="00F432C4">
        <w:t>/2100</w:t>
      </w:r>
      <w:r w:rsidR="00272797">
        <w:t>MHz</w:t>
      </w:r>
      <w:r w:rsidRPr="00E94D8A">
        <w:t>, que requieren una malla de estaciones base más estrecha y que no tienen la mayor penetración en edificios de las señales de 850MHz.</w:t>
      </w:r>
    </w:p>
    <w:p w14:paraId="1BAECDB9" w14:textId="77777777" w:rsidR="00BE303D" w:rsidRDefault="00BE303D" w:rsidP="00BE303D">
      <w:r w:rsidRPr="00E94D8A">
        <w:t>En México los operadores desplegaron su red GSM inicialmente en bandas de frecuencia menores de 1GHz –</w:t>
      </w:r>
      <w:r w:rsidR="006E4A55">
        <w:t xml:space="preserve"> </w:t>
      </w:r>
      <w:r w:rsidRPr="00E94D8A">
        <w:t>850MHz – para una red de cobertura en aquellas regiones en las que disponían del mismo (Movistar e Iusacell</w:t>
      </w:r>
      <w:r w:rsidR="00757FCB">
        <w:t>, hoy AT&amp;T,</w:t>
      </w:r>
      <w:r w:rsidRPr="00E94D8A">
        <w:t xml:space="preserve"> habrían desplegado su red de cobertura utilizando la banda de frecuencias de 1900MHz en las regiones donde no disponían de espectro en &lt;1GHz), con un despliegue posterior de BTS en la banda de 1900MHz para aportar capacidad adicional a la red. Cuando se </w:t>
      </w:r>
      <w:r w:rsidR="00845F17">
        <w:t xml:space="preserve">comenzó a </w:t>
      </w:r>
      <w:r w:rsidRPr="00E94D8A">
        <w:t xml:space="preserve">desplegar las redes UMTS en 2007/2008, los operadores siguieron un esquema de despliegue de una red de capacidad </w:t>
      </w:r>
      <w:r w:rsidR="00FB7938">
        <w:t>en frecuencias altas (1900MHz).</w:t>
      </w:r>
      <w:r w:rsidR="002B43C1">
        <w:t xml:space="preserve"> </w:t>
      </w:r>
      <w:r w:rsidR="00DA26CF">
        <w:t>Actualmente, se viene utilizando p</w:t>
      </w:r>
      <w:r w:rsidR="002B43C1">
        <w:t>ara la red 4G espectro de la banda AWS (1700/2100 MHz) adquirido por los operadores en la subasta de espectro llevada a cabo en 2010</w:t>
      </w:r>
      <w:r w:rsidR="001F3AB9">
        <w:t xml:space="preserve"> y en las más reciente de principios de 2016</w:t>
      </w:r>
      <w:r w:rsidR="00E97ABE">
        <w:t xml:space="preserve">, </w:t>
      </w:r>
      <w:r w:rsidR="00F432C4">
        <w:t xml:space="preserve">así como en la banda PCS (1900MHz) en el caso específico de Telefónica. Ambas bandas AWS y PCS </w:t>
      </w:r>
      <w:r w:rsidR="00E97ABE">
        <w:t>también puede</w:t>
      </w:r>
      <w:r w:rsidR="00F432C4">
        <w:t>n</w:t>
      </w:r>
      <w:r w:rsidR="00E97ABE">
        <w:t xml:space="preserve"> ser utilizad</w:t>
      </w:r>
      <w:r w:rsidR="00F432C4">
        <w:t>as</w:t>
      </w:r>
      <w:r w:rsidR="00E97ABE">
        <w:t xml:space="preserve"> para el despliegue de redes UMTS y su evolución HSPA</w:t>
      </w:r>
      <w:r w:rsidR="002B43C1">
        <w:t>.</w:t>
      </w:r>
    </w:p>
    <w:p w14:paraId="1C16F588" w14:textId="1FE91E19" w:rsidR="00580741" w:rsidRDefault="00853C1D" w:rsidP="007858D8">
      <w:r>
        <w:t xml:space="preserve">Pese a que la </w:t>
      </w:r>
      <w:r w:rsidRPr="00E94D8A">
        <w:t xml:space="preserve">tracción de los servicios 3G de voz en México </w:t>
      </w:r>
      <w:r>
        <w:t xml:space="preserve">sigue en ascenso, las redes 2G siguen soportando alrededor de la mitad del tráfico de voz mexicano </w:t>
      </w:r>
      <w:r w:rsidRPr="00E94D8A">
        <w:t>(Telcel reportaba</w:t>
      </w:r>
      <w:r>
        <w:t xml:space="preserve"> que sus suscriptores 3G a </w:t>
      </w:r>
      <w:r w:rsidR="00B426BC">
        <w:t>31 de diciembre de 2014</w:t>
      </w:r>
      <w:r w:rsidR="00555888">
        <w:t xml:space="preserve"> eran </w:t>
      </w:r>
      <w:r>
        <w:t>un 47.4% por un 48.5% de 2G</w:t>
      </w:r>
      <w:r w:rsidR="00B426BC">
        <w:rPr>
          <w:rStyle w:val="Refdenotaalpie"/>
        </w:rPr>
        <w:footnoteReference w:id="15"/>
      </w:r>
      <w:r w:rsidRPr="00E94D8A">
        <w:t>). Esto indica que</w:t>
      </w:r>
      <w:r>
        <w:t xml:space="preserve"> </w:t>
      </w:r>
      <w:r w:rsidRPr="00E94D8A">
        <w:t>la tecnología 2G</w:t>
      </w:r>
      <w:r w:rsidR="00DA26CF">
        <w:t xml:space="preserve"> tendrá </w:t>
      </w:r>
      <w:r>
        <w:t xml:space="preserve">aún </w:t>
      </w:r>
      <w:r w:rsidRPr="00E94D8A">
        <w:t xml:space="preserve">un rol importante en el transporte de voz móvil en México en los próximos años, aunque </w:t>
      </w:r>
      <w:r w:rsidR="00DA26CF">
        <w:t xml:space="preserve">vaya perdiendo relevancia ante </w:t>
      </w:r>
      <w:r w:rsidRPr="00E94D8A">
        <w:t>la tecnología 3G</w:t>
      </w:r>
      <w:r w:rsidR="00DA26CF">
        <w:t>, que</w:t>
      </w:r>
      <w:r w:rsidRPr="00E94D8A">
        <w:t xml:space="preserve"> representará una parte incremental en el transporte de tráfico de voz y, en particular, de datos.</w:t>
      </w:r>
      <w:r>
        <w:t xml:space="preserve"> </w:t>
      </w:r>
    </w:p>
    <w:p w14:paraId="37D630E5" w14:textId="77777777" w:rsidR="00B33C07" w:rsidRDefault="00B33C07" w:rsidP="007858D8">
      <w:r>
        <w:t xml:space="preserve">De otra parte, con el importante crecimiento de las redes 4G para el transporte de datos como consecuencia del aumento en la penetración de </w:t>
      </w:r>
      <w:proofErr w:type="spellStart"/>
      <w:r>
        <w:rPr>
          <w:i/>
        </w:rPr>
        <w:t>smartphones</w:t>
      </w:r>
      <w:proofErr w:type="spellEnd"/>
      <w:r>
        <w:t xml:space="preserve"> y de los recientes despliegues, parece razonable considerar la tecnología </w:t>
      </w:r>
      <w:proofErr w:type="spellStart"/>
      <w:r>
        <w:t>VoLTE</w:t>
      </w:r>
      <w:proofErr w:type="spellEnd"/>
      <w:r>
        <w:t xml:space="preserve"> para el trasporte de voz. En efecto, se ha visto la aparición de </w:t>
      </w:r>
      <w:proofErr w:type="spellStart"/>
      <w:r>
        <w:t>VoLTE</w:t>
      </w:r>
      <w:proofErr w:type="spellEnd"/>
      <w:r>
        <w:t xml:space="preserve"> en diferentes países como Reino Unido o Francia. Sin embargo, a día de hoy los despliegues de </w:t>
      </w:r>
      <w:proofErr w:type="spellStart"/>
      <w:r>
        <w:t>VoLTE</w:t>
      </w:r>
      <w:proofErr w:type="spellEnd"/>
      <w:r>
        <w:t xml:space="preserve"> siguen siend</w:t>
      </w:r>
      <w:r w:rsidR="008B058A">
        <w:t>o más la excepción que la norma</w:t>
      </w:r>
      <w:r>
        <w:t>, y en el caso específico de México ningún operador ha anunciado</w:t>
      </w:r>
      <w:r w:rsidR="008B058A">
        <w:t xml:space="preserve"> su lanzamiento</w:t>
      </w:r>
      <w:r>
        <w:t xml:space="preserve">. Por eso ignoramos </w:t>
      </w:r>
      <w:r w:rsidR="00757FCB">
        <w:t xml:space="preserve">la tecnología </w:t>
      </w:r>
      <w:proofErr w:type="spellStart"/>
      <w:r w:rsidR="00757FCB">
        <w:t>VoLTE</w:t>
      </w:r>
      <w:proofErr w:type="spellEnd"/>
      <w:r w:rsidR="00757FCB">
        <w:t xml:space="preserve"> </w:t>
      </w:r>
      <w:r>
        <w:t>en esta iteración al no representar una tecnología moderna equivalente.</w:t>
      </w:r>
    </w:p>
    <w:p w14:paraId="2F1E9227" w14:textId="77777777" w:rsidR="00853C1D" w:rsidRDefault="00853C1D" w:rsidP="007858D8">
      <w:r w:rsidRPr="00E94D8A">
        <w:t xml:space="preserve">Entendemos por lo tanto que es indicado </w:t>
      </w:r>
      <w:r w:rsidR="00DA26CF">
        <w:t xml:space="preserve">definir </w:t>
      </w:r>
      <w:r>
        <w:t>las tres</w:t>
      </w:r>
      <w:r w:rsidRPr="00E94D8A">
        <w:t xml:space="preserve"> tecnologías </w:t>
      </w:r>
      <w:r w:rsidR="00DA26CF">
        <w:t xml:space="preserve">(2G, 3G y 4G) </w:t>
      </w:r>
      <w:r w:rsidRPr="00E94D8A">
        <w:t xml:space="preserve">en el modelo como un mecanismo eficiente para el transporte de tráfico </w:t>
      </w:r>
      <w:r>
        <w:t xml:space="preserve">generado por los </w:t>
      </w:r>
      <w:r w:rsidRPr="00E94D8A">
        <w:t>servicios móviles minoristas y mayoristas a lo largo de los próximos años.</w:t>
      </w:r>
    </w:p>
    <w:p w14:paraId="42D9B2F1" w14:textId="77777777" w:rsidR="00853C1D" w:rsidRPr="00E94D8A" w:rsidRDefault="00853C1D" w:rsidP="007858D8">
      <w:pPr>
        <w:rPr>
          <w:bCs/>
          <w:i/>
        </w:rPr>
        <w:sectPr w:rsidR="00853C1D" w:rsidRPr="00E94D8A" w:rsidSect="00D42DA0">
          <w:headerReference w:type="even" r:id="rId20"/>
          <w:headerReference w:type="default" r:id="rId21"/>
          <w:headerReference w:type="first" r:id="rId22"/>
          <w:pgSz w:w="11907" w:h="16840" w:code="9"/>
          <w:pgMar w:top="1418" w:right="1588" w:bottom="1418" w:left="1588" w:header="567" w:footer="567" w:gutter="0"/>
          <w:pgNumType w:start="1"/>
          <w:cols w:space="720"/>
          <w:titlePg/>
          <w:docGrid w:linePitch="224"/>
        </w:sectPr>
      </w:pPr>
    </w:p>
    <w:p w14:paraId="34B29A0C" w14:textId="77777777" w:rsidR="00BE303D" w:rsidRPr="00E94D8A" w:rsidRDefault="00BE303D" w:rsidP="00BE303D">
      <w:pPr>
        <w:pStyle w:val="Descripcin"/>
        <w:rPr>
          <w:lang w:val="es-ES"/>
        </w:rPr>
      </w:pPr>
      <w:bookmarkStart w:id="46" w:name="_Ref321212000"/>
      <w:r w:rsidRPr="00E94D8A">
        <w:rPr>
          <w:lang w:val="es-ES"/>
        </w:rPr>
        <w:lastRenderedPageBreak/>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4</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w:instrText>
      </w:r>
      <w:r w:rsidR="00A37365" w:rsidRPr="00E94D8A">
        <w:rPr>
          <w:lang w:val="es-ES"/>
        </w:rPr>
        <w:instrText>SEQ Ilustración</w:instrText>
      </w:r>
      <w:r w:rsidRPr="00E94D8A">
        <w:rPr>
          <w:lang w:val="es-ES"/>
        </w:rPr>
        <w:instrText xml:space="preserve"> \* ARABIC \s 1 \* MERGEFORMAT </w:instrText>
      </w:r>
      <w:r w:rsidRPr="00E94D8A">
        <w:rPr>
          <w:lang w:val="es-ES"/>
        </w:rPr>
        <w:fldChar w:fldCharType="separate"/>
      </w:r>
      <w:r w:rsidR="00B426BC">
        <w:rPr>
          <w:noProof/>
          <w:lang w:val="es-ES"/>
        </w:rPr>
        <w:t>1</w:t>
      </w:r>
      <w:r w:rsidRPr="00E94D8A">
        <w:rPr>
          <w:lang w:val="es-ES"/>
        </w:rPr>
        <w:fldChar w:fldCharType="end"/>
      </w:r>
      <w:bookmarkEnd w:id="46"/>
      <w:r w:rsidRPr="00E94D8A">
        <w:rPr>
          <w:lang w:val="es-ES"/>
        </w:rPr>
        <w:t xml:space="preserve">: Distribución de frecuencias móviles en México [Fuente: </w:t>
      </w:r>
      <w:r w:rsidR="006A7A8B">
        <w:rPr>
          <w:lang w:val="es-ES"/>
        </w:rPr>
        <w:t>IFT</w:t>
      </w:r>
      <w:r w:rsidRPr="00E94D8A">
        <w:rPr>
          <w:lang w:val="es-ES"/>
        </w:rPr>
        <w:t>]</w:t>
      </w:r>
      <w:r w:rsidR="00AC1EBC">
        <w:rPr>
          <w:lang w:val="es-ES"/>
        </w:rPr>
        <w:t xml:space="preserve"> </w:t>
      </w:r>
    </w:p>
    <w:tbl>
      <w:tblPr>
        <w:tblStyle w:val="Sombreadomedio2-nfasis1"/>
        <w:tblW w:w="14034" w:type="dxa"/>
        <w:tblInd w:w="108" w:type="dxa"/>
        <w:tblLayout w:type="fixed"/>
        <w:tblLook w:val="0420" w:firstRow="1" w:lastRow="0" w:firstColumn="0" w:lastColumn="0" w:noHBand="0" w:noVBand="1"/>
        <w:tblCaption w:val="Figura cuatro punto uno"/>
        <w:tblDescription w:val="Distribución de frecuencias móviles en México, Fuente: IFT"/>
      </w:tblPr>
      <w:tblGrid>
        <w:gridCol w:w="2694"/>
        <w:gridCol w:w="2126"/>
        <w:gridCol w:w="1023"/>
        <w:gridCol w:w="1024"/>
        <w:gridCol w:w="660"/>
        <w:gridCol w:w="364"/>
        <w:gridCol w:w="1024"/>
        <w:gridCol w:w="1023"/>
        <w:gridCol w:w="1024"/>
        <w:gridCol w:w="1024"/>
        <w:gridCol w:w="1024"/>
        <w:gridCol w:w="1024"/>
      </w:tblGrid>
      <w:tr w:rsidR="00BE303D" w:rsidRPr="00E94D8A" w14:paraId="3A06DB2D" w14:textId="77777777" w:rsidTr="00476F90">
        <w:trPr>
          <w:cnfStyle w:val="100000000000" w:firstRow="1" w:lastRow="0" w:firstColumn="0" w:lastColumn="0" w:oddVBand="0" w:evenVBand="0" w:oddHBand="0" w:evenHBand="0" w:firstRowFirstColumn="0" w:firstRowLastColumn="0" w:lastRowFirstColumn="0" w:lastRowLastColumn="0"/>
        </w:trPr>
        <w:tc>
          <w:tcPr>
            <w:tcW w:w="2694" w:type="dxa"/>
            <w:tcBorders>
              <w:top w:val="single" w:sz="18" w:space="0" w:color="221F72"/>
              <w:bottom w:val="single" w:sz="18" w:space="0" w:color="221F72"/>
            </w:tcBorders>
            <w:shd w:val="solid" w:color="221F72" w:fill="221F72"/>
          </w:tcPr>
          <w:p w14:paraId="42CC97AD" w14:textId="77777777" w:rsidR="00BE303D" w:rsidRPr="00E94D8A" w:rsidRDefault="00BE303D" w:rsidP="00BE303D">
            <w:pPr>
              <w:pStyle w:val="Tableheading"/>
              <w:rPr>
                <w:b/>
                <w:lang w:val="es-ES"/>
              </w:rPr>
            </w:pPr>
          </w:p>
        </w:tc>
        <w:tc>
          <w:tcPr>
            <w:tcW w:w="4833" w:type="dxa"/>
            <w:gridSpan w:val="4"/>
            <w:tcBorders>
              <w:top w:val="single" w:sz="18" w:space="0" w:color="221F72"/>
              <w:bottom w:val="single" w:sz="18" w:space="0" w:color="221F72"/>
            </w:tcBorders>
            <w:shd w:val="solid" w:color="221F72" w:fill="221F72"/>
          </w:tcPr>
          <w:p w14:paraId="3DE38F1B" w14:textId="77777777" w:rsidR="00BE303D" w:rsidRPr="00E94D8A" w:rsidRDefault="00BE303D" w:rsidP="00BE303D">
            <w:pPr>
              <w:pStyle w:val="Tableheading"/>
              <w:rPr>
                <w:b/>
                <w:lang w:val="es-ES"/>
              </w:rPr>
            </w:pPr>
          </w:p>
        </w:tc>
        <w:tc>
          <w:tcPr>
            <w:tcW w:w="6507" w:type="dxa"/>
            <w:gridSpan w:val="7"/>
            <w:tcBorders>
              <w:top w:val="single" w:sz="18" w:space="0" w:color="221F72"/>
              <w:bottom w:val="single" w:sz="18" w:space="0" w:color="221F72"/>
            </w:tcBorders>
            <w:shd w:val="solid" w:color="221F72" w:fill="221F72"/>
          </w:tcPr>
          <w:p w14:paraId="5DF5CEAE" w14:textId="77777777" w:rsidR="00BE303D" w:rsidRPr="00E94D8A" w:rsidRDefault="00BE303D" w:rsidP="00BE303D">
            <w:pPr>
              <w:pStyle w:val="Tablecells"/>
              <w:jc w:val="center"/>
              <w:rPr>
                <w:lang w:val="es-ES"/>
              </w:rPr>
            </w:pPr>
            <w:r w:rsidRPr="00E94D8A">
              <w:rPr>
                <w:lang w:val="es-ES"/>
              </w:rPr>
              <w:t>MHz por región PCS/CEL</w:t>
            </w:r>
          </w:p>
        </w:tc>
      </w:tr>
      <w:tr w:rsidR="00B426BC" w:rsidRPr="00E94D8A" w14:paraId="0D8459EF" w14:textId="77777777" w:rsidTr="00476F90">
        <w:trPr>
          <w:cnfStyle w:val="000000100000" w:firstRow="0" w:lastRow="0" w:firstColumn="0" w:lastColumn="0" w:oddVBand="0" w:evenVBand="0" w:oddHBand="1" w:evenHBand="0" w:firstRowFirstColumn="0" w:firstRowLastColumn="0" w:lastRowFirstColumn="0" w:lastRowLastColumn="0"/>
        </w:trPr>
        <w:tc>
          <w:tcPr>
            <w:tcW w:w="2694" w:type="dxa"/>
            <w:tcBorders>
              <w:top w:val="single" w:sz="18" w:space="0" w:color="221F72"/>
              <w:bottom w:val="nil"/>
              <w:right w:val="single" w:sz="2" w:space="0" w:color="D9D9D9" w:themeColor="background1" w:themeShade="D9"/>
            </w:tcBorders>
            <w:shd w:val="clear" w:color="auto" w:fill="C6D9F1" w:themeFill="text2" w:themeFillTint="33"/>
            <w:vAlign w:val="center"/>
          </w:tcPr>
          <w:p w14:paraId="341331C1" w14:textId="77777777" w:rsidR="00BE303D" w:rsidRPr="00E94D8A" w:rsidRDefault="00BE303D" w:rsidP="007858D8">
            <w:pPr>
              <w:pStyle w:val="Tablecells"/>
              <w:jc w:val="center"/>
              <w:rPr>
                <w:lang w:val="es-ES"/>
              </w:rPr>
            </w:pPr>
            <w:r w:rsidRPr="00E94D8A">
              <w:rPr>
                <w:lang w:val="es-ES"/>
              </w:rPr>
              <w:t>Operador</w:t>
            </w:r>
          </w:p>
        </w:tc>
        <w:tc>
          <w:tcPr>
            <w:tcW w:w="2126" w:type="dxa"/>
            <w:tcBorders>
              <w:top w:val="single" w:sz="18" w:space="0" w:color="221F72"/>
              <w:left w:val="single" w:sz="2" w:space="0" w:color="D9D9D9" w:themeColor="background1" w:themeShade="D9"/>
              <w:bottom w:val="single" w:sz="4" w:space="0" w:color="D9D9D9" w:themeColor="background1" w:themeShade="D9"/>
            </w:tcBorders>
            <w:shd w:val="clear" w:color="auto" w:fill="C6D9F1" w:themeFill="text2" w:themeFillTint="33"/>
          </w:tcPr>
          <w:p w14:paraId="5F687BDF" w14:textId="77777777" w:rsidR="00BE303D" w:rsidRPr="00E94D8A" w:rsidRDefault="00BE303D" w:rsidP="00BE303D">
            <w:pPr>
              <w:pStyle w:val="Tablecells"/>
              <w:rPr>
                <w:lang w:val="es-ES"/>
              </w:rPr>
            </w:pPr>
            <w:r w:rsidRPr="00E94D8A">
              <w:rPr>
                <w:lang w:val="es-ES"/>
              </w:rPr>
              <w:t>Banda</w:t>
            </w:r>
          </w:p>
        </w:tc>
        <w:tc>
          <w:tcPr>
            <w:tcW w:w="1023" w:type="dxa"/>
            <w:tcBorders>
              <w:top w:val="single" w:sz="18" w:space="0" w:color="221F72"/>
              <w:bottom w:val="single" w:sz="4" w:space="0" w:color="D9D9D9" w:themeColor="background1" w:themeShade="D9"/>
            </w:tcBorders>
            <w:shd w:val="clear" w:color="auto" w:fill="C6D9F1" w:themeFill="text2" w:themeFillTint="33"/>
          </w:tcPr>
          <w:p w14:paraId="46651425" w14:textId="77777777" w:rsidR="00BE303D" w:rsidRPr="00E94D8A" w:rsidRDefault="00BE303D" w:rsidP="00BE303D">
            <w:pPr>
              <w:pStyle w:val="Tablecells"/>
              <w:jc w:val="right"/>
              <w:rPr>
                <w:szCs w:val="18"/>
                <w:lang w:val="es-ES"/>
              </w:rPr>
            </w:pPr>
            <w:r w:rsidRPr="00E94D8A">
              <w:rPr>
                <w:szCs w:val="18"/>
                <w:lang w:val="es-ES"/>
              </w:rPr>
              <w:t>01/01</w:t>
            </w:r>
          </w:p>
        </w:tc>
        <w:tc>
          <w:tcPr>
            <w:tcW w:w="1024" w:type="dxa"/>
            <w:tcBorders>
              <w:top w:val="single" w:sz="18" w:space="0" w:color="221F72"/>
              <w:bottom w:val="single" w:sz="4" w:space="0" w:color="D9D9D9" w:themeColor="background1" w:themeShade="D9"/>
            </w:tcBorders>
            <w:shd w:val="clear" w:color="auto" w:fill="C6D9F1" w:themeFill="text2" w:themeFillTint="33"/>
          </w:tcPr>
          <w:p w14:paraId="2EC2AC21" w14:textId="77777777" w:rsidR="00BE303D" w:rsidRPr="00E94D8A" w:rsidRDefault="00BE303D" w:rsidP="00BE303D">
            <w:pPr>
              <w:pStyle w:val="Tablecells"/>
              <w:jc w:val="right"/>
              <w:rPr>
                <w:szCs w:val="18"/>
                <w:lang w:val="es-ES"/>
              </w:rPr>
            </w:pPr>
            <w:r w:rsidRPr="00E94D8A">
              <w:rPr>
                <w:szCs w:val="18"/>
                <w:lang w:val="es-ES"/>
              </w:rPr>
              <w:t>02/02</w:t>
            </w:r>
          </w:p>
        </w:tc>
        <w:tc>
          <w:tcPr>
            <w:tcW w:w="1024" w:type="dxa"/>
            <w:gridSpan w:val="2"/>
            <w:tcBorders>
              <w:top w:val="single" w:sz="18" w:space="0" w:color="221F72"/>
              <w:bottom w:val="single" w:sz="4" w:space="0" w:color="D9D9D9" w:themeColor="background1" w:themeShade="D9"/>
            </w:tcBorders>
            <w:shd w:val="clear" w:color="auto" w:fill="C6D9F1" w:themeFill="text2" w:themeFillTint="33"/>
          </w:tcPr>
          <w:p w14:paraId="7D523BE9" w14:textId="77777777" w:rsidR="00BE303D" w:rsidRPr="00E94D8A" w:rsidRDefault="00BE303D" w:rsidP="00BE303D">
            <w:pPr>
              <w:pStyle w:val="Tablecells"/>
              <w:jc w:val="right"/>
              <w:rPr>
                <w:szCs w:val="18"/>
                <w:lang w:val="es-ES"/>
              </w:rPr>
            </w:pPr>
            <w:r w:rsidRPr="00E94D8A">
              <w:rPr>
                <w:szCs w:val="18"/>
                <w:lang w:val="es-ES"/>
              </w:rPr>
              <w:t>03/03</w:t>
            </w:r>
          </w:p>
        </w:tc>
        <w:tc>
          <w:tcPr>
            <w:tcW w:w="1024" w:type="dxa"/>
            <w:tcBorders>
              <w:top w:val="single" w:sz="18" w:space="0" w:color="221F72"/>
              <w:bottom w:val="single" w:sz="4" w:space="0" w:color="D9D9D9" w:themeColor="background1" w:themeShade="D9"/>
            </w:tcBorders>
            <w:shd w:val="clear" w:color="auto" w:fill="C6D9F1" w:themeFill="text2" w:themeFillTint="33"/>
          </w:tcPr>
          <w:p w14:paraId="56D15640" w14:textId="77777777" w:rsidR="00BE303D" w:rsidRPr="00E94D8A" w:rsidRDefault="00BE303D" w:rsidP="00BE303D">
            <w:pPr>
              <w:pStyle w:val="Tablecells"/>
              <w:jc w:val="right"/>
              <w:rPr>
                <w:szCs w:val="18"/>
                <w:lang w:val="es-ES"/>
              </w:rPr>
            </w:pPr>
            <w:r w:rsidRPr="00E94D8A">
              <w:rPr>
                <w:szCs w:val="18"/>
                <w:lang w:val="es-ES"/>
              </w:rPr>
              <w:t>04/04</w:t>
            </w:r>
          </w:p>
        </w:tc>
        <w:tc>
          <w:tcPr>
            <w:tcW w:w="1023" w:type="dxa"/>
            <w:tcBorders>
              <w:top w:val="single" w:sz="18" w:space="0" w:color="221F72"/>
              <w:bottom w:val="single" w:sz="4" w:space="0" w:color="D9D9D9" w:themeColor="background1" w:themeShade="D9"/>
            </w:tcBorders>
            <w:shd w:val="clear" w:color="auto" w:fill="C6D9F1" w:themeFill="text2" w:themeFillTint="33"/>
          </w:tcPr>
          <w:p w14:paraId="37E6B1CA" w14:textId="77777777" w:rsidR="00BE303D" w:rsidRPr="00E94D8A" w:rsidRDefault="00BE303D" w:rsidP="00BE303D">
            <w:pPr>
              <w:pStyle w:val="Tablecells"/>
              <w:jc w:val="right"/>
              <w:rPr>
                <w:szCs w:val="18"/>
                <w:lang w:val="es-ES"/>
              </w:rPr>
            </w:pPr>
            <w:r w:rsidRPr="00E94D8A">
              <w:rPr>
                <w:szCs w:val="18"/>
                <w:lang w:val="es-ES"/>
              </w:rPr>
              <w:t>05/08</w:t>
            </w:r>
          </w:p>
        </w:tc>
        <w:tc>
          <w:tcPr>
            <w:tcW w:w="1024" w:type="dxa"/>
            <w:tcBorders>
              <w:top w:val="single" w:sz="18" w:space="0" w:color="221F72"/>
              <w:bottom w:val="single" w:sz="4" w:space="0" w:color="D9D9D9" w:themeColor="background1" w:themeShade="D9"/>
            </w:tcBorders>
            <w:shd w:val="clear" w:color="auto" w:fill="C6D9F1" w:themeFill="text2" w:themeFillTint="33"/>
          </w:tcPr>
          <w:p w14:paraId="283F5260" w14:textId="77777777" w:rsidR="00BE303D" w:rsidRPr="00E94D8A" w:rsidRDefault="00BE303D" w:rsidP="00BE303D">
            <w:pPr>
              <w:pStyle w:val="Tablecells"/>
              <w:jc w:val="right"/>
              <w:rPr>
                <w:szCs w:val="18"/>
                <w:lang w:val="es-ES"/>
              </w:rPr>
            </w:pPr>
            <w:r w:rsidRPr="00E94D8A">
              <w:rPr>
                <w:szCs w:val="18"/>
                <w:lang w:val="es-ES"/>
              </w:rPr>
              <w:t>06/05</w:t>
            </w:r>
          </w:p>
        </w:tc>
        <w:tc>
          <w:tcPr>
            <w:tcW w:w="1024" w:type="dxa"/>
            <w:tcBorders>
              <w:top w:val="single" w:sz="18" w:space="0" w:color="221F72"/>
              <w:bottom w:val="single" w:sz="4" w:space="0" w:color="D9D9D9" w:themeColor="background1" w:themeShade="D9"/>
            </w:tcBorders>
            <w:shd w:val="clear" w:color="auto" w:fill="C6D9F1" w:themeFill="text2" w:themeFillTint="33"/>
          </w:tcPr>
          <w:p w14:paraId="2047E500" w14:textId="77777777" w:rsidR="00BE303D" w:rsidRPr="00E94D8A" w:rsidRDefault="00BE303D" w:rsidP="00BE303D">
            <w:pPr>
              <w:pStyle w:val="Tablecells"/>
              <w:jc w:val="right"/>
              <w:rPr>
                <w:szCs w:val="18"/>
                <w:lang w:val="es-ES"/>
              </w:rPr>
            </w:pPr>
            <w:r w:rsidRPr="00E94D8A">
              <w:rPr>
                <w:szCs w:val="18"/>
                <w:lang w:val="es-ES"/>
              </w:rPr>
              <w:t>07/06</w:t>
            </w:r>
          </w:p>
        </w:tc>
        <w:tc>
          <w:tcPr>
            <w:tcW w:w="1024" w:type="dxa"/>
            <w:tcBorders>
              <w:top w:val="single" w:sz="18" w:space="0" w:color="221F72"/>
              <w:bottom w:val="single" w:sz="4" w:space="0" w:color="D9D9D9" w:themeColor="background1" w:themeShade="D9"/>
            </w:tcBorders>
            <w:shd w:val="clear" w:color="auto" w:fill="C6D9F1" w:themeFill="text2" w:themeFillTint="33"/>
          </w:tcPr>
          <w:p w14:paraId="0128E65A" w14:textId="77777777" w:rsidR="00BE303D" w:rsidRPr="00E94D8A" w:rsidRDefault="00BE303D" w:rsidP="00BE303D">
            <w:pPr>
              <w:pStyle w:val="Tablecells"/>
              <w:jc w:val="right"/>
              <w:rPr>
                <w:szCs w:val="18"/>
                <w:lang w:val="es-ES"/>
              </w:rPr>
            </w:pPr>
            <w:r w:rsidRPr="00E94D8A">
              <w:rPr>
                <w:szCs w:val="18"/>
                <w:lang w:val="es-ES"/>
              </w:rPr>
              <w:t>08/07</w:t>
            </w:r>
          </w:p>
        </w:tc>
        <w:tc>
          <w:tcPr>
            <w:tcW w:w="1024" w:type="dxa"/>
            <w:tcBorders>
              <w:top w:val="single" w:sz="18" w:space="0" w:color="221F72"/>
              <w:bottom w:val="single" w:sz="4" w:space="0" w:color="D9D9D9" w:themeColor="background1" w:themeShade="D9"/>
            </w:tcBorders>
            <w:shd w:val="clear" w:color="auto" w:fill="C6D9F1" w:themeFill="text2" w:themeFillTint="33"/>
          </w:tcPr>
          <w:p w14:paraId="1919CAC3" w14:textId="77777777" w:rsidR="00BE303D" w:rsidRPr="00E94D8A" w:rsidRDefault="00BE303D" w:rsidP="00BE303D">
            <w:pPr>
              <w:pStyle w:val="Tablecells"/>
              <w:jc w:val="right"/>
              <w:rPr>
                <w:szCs w:val="18"/>
                <w:lang w:val="es-ES"/>
              </w:rPr>
            </w:pPr>
            <w:r w:rsidRPr="00E94D8A">
              <w:rPr>
                <w:szCs w:val="18"/>
                <w:lang w:val="es-ES"/>
              </w:rPr>
              <w:t>09/09</w:t>
            </w:r>
          </w:p>
        </w:tc>
      </w:tr>
      <w:tr w:rsidR="00476F90" w:rsidRPr="00E94D8A" w14:paraId="638949A6" w14:textId="77777777" w:rsidTr="00476F90">
        <w:tc>
          <w:tcPr>
            <w:tcW w:w="2694" w:type="dxa"/>
            <w:vMerge w:val="restart"/>
            <w:tcBorders>
              <w:top w:val="single" w:sz="4" w:space="0" w:color="D9D9D9" w:themeColor="background1" w:themeShade="D9"/>
              <w:bottom w:val="nil"/>
              <w:right w:val="single" w:sz="2" w:space="0" w:color="D9D9D9" w:themeColor="background1" w:themeShade="D9"/>
            </w:tcBorders>
            <w:shd w:val="clear" w:color="auto" w:fill="auto"/>
            <w:vAlign w:val="center"/>
          </w:tcPr>
          <w:p w14:paraId="297AE28E" w14:textId="77777777" w:rsidR="00F47B63" w:rsidRPr="00E94D8A" w:rsidRDefault="00F47B63" w:rsidP="007858D8">
            <w:pPr>
              <w:pStyle w:val="Tablecells"/>
              <w:jc w:val="center"/>
              <w:rPr>
                <w:lang w:val="es-ES"/>
              </w:rPr>
            </w:pPr>
            <w:r>
              <w:rPr>
                <w:lang w:val="es-ES"/>
              </w:rPr>
              <w:t>T</w:t>
            </w:r>
            <w:r w:rsidRPr="00E94D8A">
              <w:rPr>
                <w:lang w:val="es-ES"/>
              </w:rPr>
              <w:t>elcel</w:t>
            </w:r>
          </w:p>
        </w:tc>
        <w:tc>
          <w:tcPr>
            <w:tcW w:w="2126" w:type="dxa"/>
            <w:tcBorders>
              <w:top w:val="single" w:sz="4" w:space="0" w:color="D9D9D9" w:themeColor="background1" w:themeShade="D9"/>
              <w:left w:val="single" w:sz="2" w:space="0" w:color="D9D9D9" w:themeColor="background1" w:themeShade="D9"/>
              <w:bottom w:val="nil"/>
            </w:tcBorders>
          </w:tcPr>
          <w:p w14:paraId="6A5230AC" w14:textId="77777777" w:rsidR="00F47B63" w:rsidRPr="00E94D8A" w:rsidRDefault="00F47B63" w:rsidP="00BE303D">
            <w:pPr>
              <w:pStyle w:val="Tablecells"/>
              <w:rPr>
                <w:lang w:val="es-ES"/>
              </w:rPr>
            </w:pPr>
            <w:r w:rsidRPr="00E94D8A">
              <w:rPr>
                <w:lang w:val="es-ES"/>
              </w:rPr>
              <w:t>TRUNKING</w:t>
            </w:r>
          </w:p>
        </w:tc>
        <w:tc>
          <w:tcPr>
            <w:tcW w:w="1023" w:type="dxa"/>
            <w:tcBorders>
              <w:top w:val="single" w:sz="4" w:space="0" w:color="D9D9D9" w:themeColor="background1" w:themeShade="D9"/>
              <w:bottom w:val="nil"/>
            </w:tcBorders>
          </w:tcPr>
          <w:p w14:paraId="6E2218D3" w14:textId="77777777" w:rsidR="00F47B63" w:rsidRPr="00E94D8A" w:rsidRDefault="00F47B63" w:rsidP="00BE303D">
            <w:pPr>
              <w:pStyle w:val="Tablecells"/>
              <w:jc w:val="right"/>
              <w:rPr>
                <w:szCs w:val="18"/>
                <w:lang w:val="es-ES"/>
              </w:rPr>
            </w:pPr>
            <w:r w:rsidRPr="00966055">
              <w:t>1.50</w:t>
            </w:r>
          </w:p>
        </w:tc>
        <w:tc>
          <w:tcPr>
            <w:tcW w:w="1024" w:type="dxa"/>
            <w:tcBorders>
              <w:top w:val="single" w:sz="4" w:space="0" w:color="D9D9D9" w:themeColor="background1" w:themeShade="D9"/>
              <w:bottom w:val="nil"/>
            </w:tcBorders>
          </w:tcPr>
          <w:p w14:paraId="2D1F532F" w14:textId="77777777" w:rsidR="00F47B63" w:rsidRPr="00E94D8A" w:rsidRDefault="00F47B63" w:rsidP="00BE303D">
            <w:pPr>
              <w:pStyle w:val="Tablecells"/>
              <w:jc w:val="right"/>
              <w:rPr>
                <w:szCs w:val="18"/>
                <w:lang w:val="es-ES"/>
              </w:rPr>
            </w:pPr>
            <w:r w:rsidRPr="00966055">
              <w:t>2.00</w:t>
            </w:r>
          </w:p>
        </w:tc>
        <w:tc>
          <w:tcPr>
            <w:tcW w:w="1024" w:type="dxa"/>
            <w:gridSpan w:val="2"/>
            <w:tcBorders>
              <w:top w:val="single" w:sz="4" w:space="0" w:color="D9D9D9" w:themeColor="background1" w:themeShade="D9"/>
              <w:bottom w:val="nil"/>
            </w:tcBorders>
          </w:tcPr>
          <w:p w14:paraId="25C707B8" w14:textId="77777777" w:rsidR="00F47B63" w:rsidRPr="00E94D8A" w:rsidRDefault="00F47B63" w:rsidP="00BE303D">
            <w:pPr>
              <w:pStyle w:val="Tablecells"/>
              <w:jc w:val="right"/>
              <w:rPr>
                <w:szCs w:val="18"/>
                <w:lang w:val="es-ES"/>
              </w:rPr>
            </w:pPr>
            <w:r w:rsidRPr="00966055">
              <w:t>3.25</w:t>
            </w:r>
          </w:p>
        </w:tc>
        <w:tc>
          <w:tcPr>
            <w:tcW w:w="1024" w:type="dxa"/>
            <w:tcBorders>
              <w:top w:val="single" w:sz="4" w:space="0" w:color="D9D9D9" w:themeColor="background1" w:themeShade="D9"/>
              <w:bottom w:val="nil"/>
            </w:tcBorders>
          </w:tcPr>
          <w:p w14:paraId="5F7FE8EC" w14:textId="77777777" w:rsidR="00F47B63" w:rsidRPr="00E94D8A" w:rsidRDefault="00F47B63" w:rsidP="00BE303D">
            <w:pPr>
              <w:pStyle w:val="Tablecells"/>
              <w:jc w:val="right"/>
              <w:rPr>
                <w:szCs w:val="18"/>
                <w:lang w:val="es-ES"/>
              </w:rPr>
            </w:pPr>
            <w:r w:rsidRPr="00966055">
              <w:t>2.50</w:t>
            </w:r>
          </w:p>
        </w:tc>
        <w:tc>
          <w:tcPr>
            <w:tcW w:w="1023" w:type="dxa"/>
            <w:tcBorders>
              <w:top w:val="single" w:sz="4" w:space="0" w:color="D9D9D9" w:themeColor="background1" w:themeShade="D9"/>
              <w:bottom w:val="nil"/>
            </w:tcBorders>
          </w:tcPr>
          <w:p w14:paraId="49177FB9" w14:textId="77777777" w:rsidR="00F47B63" w:rsidRPr="00E94D8A" w:rsidRDefault="00F47B63" w:rsidP="00BE303D">
            <w:pPr>
              <w:pStyle w:val="Tablecells"/>
              <w:jc w:val="right"/>
              <w:rPr>
                <w:szCs w:val="18"/>
                <w:lang w:val="es-ES"/>
              </w:rPr>
            </w:pPr>
            <w:r w:rsidRPr="00966055">
              <w:t>1.50</w:t>
            </w:r>
          </w:p>
        </w:tc>
        <w:tc>
          <w:tcPr>
            <w:tcW w:w="1024" w:type="dxa"/>
            <w:tcBorders>
              <w:top w:val="single" w:sz="4" w:space="0" w:color="D9D9D9" w:themeColor="background1" w:themeShade="D9"/>
              <w:bottom w:val="nil"/>
            </w:tcBorders>
          </w:tcPr>
          <w:p w14:paraId="258BBBD1" w14:textId="77777777" w:rsidR="00F47B63" w:rsidRPr="00E94D8A" w:rsidRDefault="00F47B63" w:rsidP="00BE303D">
            <w:pPr>
              <w:pStyle w:val="Tablecells"/>
              <w:jc w:val="right"/>
              <w:rPr>
                <w:szCs w:val="18"/>
                <w:lang w:val="es-ES"/>
              </w:rPr>
            </w:pPr>
            <w:r w:rsidRPr="00966055">
              <w:t>2.50</w:t>
            </w:r>
          </w:p>
        </w:tc>
        <w:tc>
          <w:tcPr>
            <w:tcW w:w="1024" w:type="dxa"/>
            <w:tcBorders>
              <w:top w:val="single" w:sz="4" w:space="0" w:color="D9D9D9" w:themeColor="background1" w:themeShade="D9"/>
              <w:bottom w:val="nil"/>
            </w:tcBorders>
          </w:tcPr>
          <w:p w14:paraId="7CB11212" w14:textId="77777777" w:rsidR="00F47B63" w:rsidRPr="00E94D8A" w:rsidRDefault="00F47B63" w:rsidP="00BE303D">
            <w:pPr>
              <w:pStyle w:val="Tablecells"/>
              <w:jc w:val="right"/>
              <w:rPr>
                <w:szCs w:val="18"/>
                <w:lang w:val="es-ES"/>
              </w:rPr>
            </w:pPr>
            <w:r w:rsidRPr="00966055">
              <w:t>2.75</w:t>
            </w:r>
          </w:p>
        </w:tc>
        <w:tc>
          <w:tcPr>
            <w:tcW w:w="1024" w:type="dxa"/>
            <w:tcBorders>
              <w:top w:val="single" w:sz="4" w:space="0" w:color="D9D9D9" w:themeColor="background1" w:themeShade="D9"/>
              <w:bottom w:val="nil"/>
            </w:tcBorders>
          </w:tcPr>
          <w:p w14:paraId="300F31E1" w14:textId="77777777" w:rsidR="00F47B63" w:rsidRPr="00E94D8A" w:rsidRDefault="00F47B63" w:rsidP="00BE303D">
            <w:pPr>
              <w:pStyle w:val="Tablecells"/>
              <w:jc w:val="right"/>
              <w:rPr>
                <w:szCs w:val="18"/>
                <w:lang w:val="es-ES"/>
              </w:rPr>
            </w:pPr>
            <w:r w:rsidRPr="00966055">
              <w:t>1.50</w:t>
            </w:r>
          </w:p>
        </w:tc>
        <w:tc>
          <w:tcPr>
            <w:tcW w:w="1024" w:type="dxa"/>
            <w:tcBorders>
              <w:top w:val="single" w:sz="4" w:space="0" w:color="D9D9D9" w:themeColor="background1" w:themeShade="D9"/>
              <w:bottom w:val="nil"/>
            </w:tcBorders>
          </w:tcPr>
          <w:p w14:paraId="51F94999" w14:textId="77777777" w:rsidR="00F47B63" w:rsidRPr="00E94D8A" w:rsidRDefault="00F47B63" w:rsidP="00BE303D">
            <w:pPr>
              <w:pStyle w:val="Tablecells"/>
              <w:jc w:val="right"/>
              <w:rPr>
                <w:szCs w:val="18"/>
                <w:lang w:val="es-ES"/>
              </w:rPr>
            </w:pPr>
            <w:r w:rsidRPr="00966055">
              <w:t>4.25</w:t>
            </w:r>
          </w:p>
        </w:tc>
      </w:tr>
      <w:tr w:rsidR="00476F90" w:rsidRPr="00E94D8A" w14:paraId="433D5AA3" w14:textId="77777777" w:rsidTr="00476F90">
        <w:trPr>
          <w:cnfStyle w:val="000000100000" w:firstRow="0" w:lastRow="0" w:firstColumn="0" w:lastColumn="0" w:oddVBand="0" w:evenVBand="0" w:oddHBand="1" w:evenHBand="0" w:firstRowFirstColumn="0" w:firstRowLastColumn="0" w:lastRowFirstColumn="0" w:lastRowLastColumn="0"/>
        </w:trPr>
        <w:tc>
          <w:tcPr>
            <w:tcW w:w="2694" w:type="dxa"/>
            <w:vMerge/>
            <w:tcBorders>
              <w:top w:val="nil"/>
              <w:bottom w:val="nil"/>
              <w:right w:val="single" w:sz="2" w:space="0" w:color="D9D9D9" w:themeColor="background1" w:themeShade="D9"/>
            </w:tcBorders>
            <w:shd w:val="clear" w:color="auto" w:fill="auto"/>
          </w:tcPr>
          <w:p w14:paraId="24DB41B1" w14:textId="77777777" w:rsidR="00F47B63" w:rsidRPr="00E94D8A" w:rsidRDefault="00F47B63" w:rsidP="00BE303D">
            <w:pPr>
              <w:pStyle w:val="Tablecells"/>
              <w:rPr>
                <w:lang w:val="es-ES"/>
              </w:rPr>
            </w:pPr>
          </w:p>
        </w:tc>
        <w:tc>
          <w:tcPr>
            <w:tcW w:w="2126" w:type="dxa"/>
            <w:tcBorders>
              <w:top w:val="nil"/>
              <w:left w:val="single" w:sz="2" w:space="0" w:color="D9D9D9" w:themeColor="background1" w:themeShade="D9"/>
              <w:bottom w:val="nil"/>
            </w:tcBorders>
          </w:tcPr>
          <w:p w14:paraId="0A73FBB8" w14:textId="77777777" w:rsidR="00F47B63" w:rsidRPr="00E94D8A" w:rsidRDefault="00F47B63" w:rsidP="00BE303D">
            <w:pPr>
              <w:pStyle w:val="Tablecells"/>
              <w:rPr>
                <w:lang w:val="es-ES"/>
              </w:rPr>
            </w:pPr>
            <w:r w:rsidRPr="00E94D8A">
              <w:rPr>
                <w:lang w:val="es-ES"/>
              </w:rPr>
              <w:t>CEL</w:t>
            </w:r>
          </w:p>
        </w:tc>
        <w:tc>
          <w:tcPr>
            <w:tcW w:w="1023" w:type="dxa"/>
            <w:tcBorders>
              <w:top w:val="nil"/>
              <w:bottom w:val="nil"/>
            </w:tcBorders>
          </w:tcPr>
          <w:p w14:paraId="1E8C8236" w14:textId="77777777" w:rsidR="00F47B63" w:rsidRPr="00E94D8A" w:rsidRDefault="00F47B63" w:rsidP="00BE303D">
            <w:pPr>
              <w:pStyle w:val="Tablecells"/>
              <w:jc w:val="right"/>
              <w:rPr>
                <w:szCs w:val="18"/>
                <w:lang w:val="es-ES"/>
              </w:rPr>
            </w:pPr>
            <w:r w:rsidRPr="00C87E5C">
              <w:t>20.00</w:t>
            </w:r>
          </w:p>
        </w:tc>
        <w:tc>
          <w:tcPr>
            <w:tcW w:w="1024" w:type="dxa"/>
            <w:tcBorders>
              <w:top w:val="nil"/>
              <w:bottom w:val="nil"/>
            </w:tcBorders>
          </w:tcPr>
          <w:p w14:paraId="0F6C0638" w14:textId="77777777" w:rsidR="00F47B63" w:rsidRPr="00E94D8A" w:rsidRDefault="00F47B63" w:rsidP="00BE303D">
            <w:pPr>
              <w:pStyle w:val="Tablecells"/>
              <w:jc w:val="right"/>
              <w:rPr>
                <w:szCs w:val="18"/>
                <w:lang w:val="es-ES"/>
              </w:rPr>
            </w:pPr>
            <w:r w:rsidRPr="00C87E5C">
              <w:t>20.00</w:t>
            </w:r>
          </w:p>
        </w:tc>
        <w:tc>
          <w:tcPr>
            <w:tcW w:w="1024" w:type="dxa"/>
            <w:gridSpan w:val="2"/>
            <w:tcBorders>
              <w:top w:val="nil"/>
              <w:bottom w:val="nil"/>
            </w:tcBorders>
          </w:tcPr>
          <w:p w14:paraId="3E375973" w14:textId="77777777" w:rsidR="00F47B63" w:rsidRPr="00E94D8A" w:rsidRDefault="00F47B63" w:rsidP="00BE303D">
            <w:pPr>
              <w:pStyle w:val="Tablecells"/>
              <w:jc w:val="right"/>
              <w:rPr>
                <w:szCs w:val="18"/>
                <w:lang w:val="es-ES"/>
              </w:rPr>
            </w:pPr>
            <w:r w:rsidRPr="00C87E5C">
              <w:t>24.92</w:t>
            </w:r>
          </w:p>
        </w:tc>
        <w:tc>
          <w:tcPr>
            <w:tcW w:w="1024" w:type="dxa"/>
            <w:tcBorders>
              <w:top w:val="nil"/>
              <w:bottom w:val="nil"/>
            </w:tcBorders>
          </w:tcPr>
          <w:p w14:paraId="6C6F7913" w14:textId="77777777" w:rsidR="00F47B63" w:rsidRPr="00E94D8A" w:rsidRDefault="00F47B63" w:rsidP="00BE303D">
            <w:pPr>
              <w:pStyle w:val="Tablecells"/>
              <w:jc w:val="right"/>
              <w:rPr>
                <w:szCs w:val="18"/>
                <w:lang w:val="es-ES"/>
              </w:rPr>
            </w:pPr>
            <w:r w:rsidRPr="00C87E5C">
              <w:t>20.00</w:t>
            </w:r>
          </w:p>
        </w:tc>
        <w:tc>
          <w:tcPr>
            <w:tcW w:w="1023" w:type="dxa"/>
            <w:tcBorders>
              <w:top w:val="nil"/>
              <w:bottom w:val="nil"/>
            </w:tcBorders>
          </w:tcPr>
          <w:p w14:paraId="0B84C81D" w14:textId="77777777" w:rsidR="00F47B63" w:rsidRPr="00E94D8A" w:rsidRDefault="00F47B63" w:rsidP="00BE303D">
            <w:pPr>
              <w:pStyle w:val="Tablecells"/>
              <w:jc w:val="right"/>
              <w:rPr>
                <w:szCs w:val="18"/>
                <w:lang w:val="es-ES"/>
              </w:rPr>
            </w:pPr>
            <w:r w:rsidRPr="00C87E5C">
              <w:t>20.00</w:t>
            </w:r>
          </w:p>
        </w:tc>
        <w:tc>
          <w:tcPr>
            <w:tcW w:w="1024" w:type="dxa"/>
            <w:tcBorders>
              <w:top w:val="nil"/>
              <w:bottom w:val="nil"/>
            </w:tcBorders>
          </w:tcPr>
          <w:p w14:paraId="7FFDBDE6" w14:textId="77777777" w:rsidR="00F47B63" w:rsidRPr="00E94D8A" w:rsidRDefault="00F47B63" w:rsidP="00BE303D">
            <w:pPr>
              <w:pStyle w:val="Tablecells"/>
              <w:jc w:val="right"/>
              <w:rPr>
                <w:szCs w:val="18"/>
                <w:lang w:val="es-ES"/>
              </w:rPr>
            </w:pPr>
            <w:r w:rsidRPr="00C87E5C">
              <w:t>20.00</w:t>
            </w:r>
          </w:p>
        </w:tc>
        <w:tc>
          <w:tcPr>
            <w:tcW w:w="1024" w:type="dxa"/>
            <w:tcBorders>
              <w:top w:val="nil"/>
              <w:bottom w:val="nil"/>
            </w:tcBorders>
          </w:tcPr>
          <w:p w14:paraId="446B17B1" w14:textId="77777777" w:rsidR="00F47B63" w:rsidRPr="00E94D8A" w:rsidRDefault="00F47B63" w:rsidP="00BE303D">
            <w:pPr>
              <w:pStyle w:val="Tablecells"/>
              <w:jc w:val="right"/>
              <w:rPr>
                <w:szCs w:val="18"/>
                <w:lang w:val="es-ES"/>
              </w:rPr>
            </w:pPr>
            <w:r w:rsidRPr="00C87E5C">
              <w:t>20.00</w:t>
            </w:r>
          </w:p>
        </w:tc>
        <w:tc>
          <w:tcPr>
            <w:tcW w:w="1024" w:type="dxa"/>
            <w:tcBorders>
              <w:top w:val="nil"/>
              <w:bottom w:val="nil"/>
            </w:tcBorders>
          </w:tcPr>
          <w:p w14:paraId="5B78B3F2" w14:textId="77777777" w:rsidR="00F47B63" w:rsidRPr="00E94D8A" w:rsidRDefault="00F47B63" w:rsidP="00BE303D">
            <w:pPr>
              <w:pStyle w:val="Tablecells"/>
              <w:jc w:val="right"/>
              <w:rPr>
                <w:szCs w:val="18"/>
                <w:lang w:val="es-ES"/>
              </w:rPr>
            </w:pPr>
            <w:r w:rsidRPr="00C87E5C">
              <w:t>20.00</w:t>
            </w:r>
          </w:p>
        </w:tc>
        <w:tc>
          <w:tcPr>
            <w:tcW w:w="1024" w:type="dxa"/>
            <w:tcBorders>
              <w:top w:val="nil"/>
              <w:bottom w:val="nil"/>
            </w:tcBorders>
          </w:tcPr>
          <w:p w14:paraId="409C322A" w14:textId="77777777" w:rsidR="00F47B63" w:rsidRPr="00E94D8A" w:rsidRDefault="00F47B63" w:rsidP="00BE303D">
            <w:pPr>
              <w:pStyle w:val="Tablecells"/>
              <w:jc w:val="right"/>
              <w:rPr>
                <w:szCs w:val="18"/>
                <w:lang w:val="es-ES"/>
              </w:rPr>
            </w:pPr>
            <w:r w:rsidRPr="00C87E5C">
              <w:t>24.92</w:t>
            </w:r>
          </w:p>
        </w:tc>
      </w:tr>
      <w:tr w:rsidR="00476F90" w:rsidRPr="00E94D8A" w14:paraId="314F7A8E" w14:textId="77777777" w:rsidTr="00476F90">
        <w:tc>
          <w:tcPr>
            <w:tcW w:w="2694" w:type="dxa"/>
            <w:tcBorders>
              <w:top w:val="nil"/>
              <w:bottom w:val="nil"/>
              <w:right w:val="single" w:sz="2" w:space="0" w:color="D9D9D9" w:themeColor="background1" w:themeShade="D9"/>
            </w:tcBorders>
            <w:shd w:val="clear" w:color="auto" w:fill="auto"/>
          </w:tcPr>
          <w:p w14:paraId="23CAEFD7" w14:textId="77777777" w:rsidR="00F47B63" w:rsidRPr="00E94D8A" w:rsidRDefault="00F47B63" w:rsidP="00BE303D">
            <w:pPr>
              <w:pStyle w:val="Tablecells"/>
              <w:rPr>
                <w:lang w:val="es-ES"/>
              </w:rPr>
            </w:pPr>
          </w:p>
        </w:tc>
        <w:tc>
          <w:tcPr>
            <w:tcW w:w="2126" w:type="dxa"/>
            <w:tcBorders>
              <w:top w:val="nil"/>
              <w:left w:val="single" w:sz="2" w:space="0" w:color="D9D9D9" w:themeColor="background1" w:themeShade="D9"/>
              <w:bottom w:val="nil"/>
            </w:tcBorders>
          </w:tcPr>
          <w:p w14:paraId="3B5FCFAA" w14:textId="77777777" w:rsidR="00F47B63" w:rsidRPr="00E94D8A" w:rsidRDefault="00F47B63" w:rsidP="00BE303D">
            <w:pPr>
              <w:pStyle w:val="Tablecells"/>
              <w:rPr>
                <w:lang w:val="es-ES"/>
              </w:rPr>
            </w:pPr>
            <w:r w:rsidRPr="00E94D8A">
              <w:rPr>
                <w:lang w:val="es-ES"/>
              </w:rPr>
              <w:t>PCS</w:t>
            </w:r>
          </w:p>
        </w:tc>
        <w:tc>
          <w:tcPr>
            <w:tcW w:w="1023" w:type="dxa"/>
            <w:tcBorders>
              <w:top w:val="nil"/>
              <w:bottom w:val="nil"/>
            </w:tcBorders>
          </w:tcPr>
          <w:p w14:paraId="65AE8E50" w14:textId="77777777" w:rsidR="00F47B63" w:rsidRPr="00E94D8A" w:rsidRDefault="00F47B63" w:rsidP="00BE303D">
            <w:pPr>
              <w:pStyle w:val="Tablecells"/>
              <w:jc w:val="right"/>
              <w:rPr>
                <w:szCs w:val="18"/>
                <w:lang w:val="es-ES"/>
              </w:rPr>
            </w:pPr>
            <w:r w:rsidRPr="008D078E">
              <w:t>28.40</w:t>
            </w:r>
          </w:p>
        </w:tc>
        <w:tc>
          <w:tcPr>
            <w:tcW w:w="1024" w:type="dxa"/>
            <w:tcBorders>
              <w:top w:val="nil"/>
              <w:bottom w:val="nil"/>
            </w:tcBorders>
          </w:tcPr>
          <w:p w14:paraId="74967FEE" w14:textId="77777777" w:rsidR="00F47B63" w:rsidRPr="00E94D8A" w:rsidRDefault="00F47B63" w:rsidP="00BE303D">
            <w:pPr>
              <w:pStyle w:val="Tablecells"/>
              <w:jc w:val="right"/>
              <w:rPr>
                <w:szCs w:val="18"/>
                <w:lang w:val="es-ES"/>
              </w:rPr>
            </w:pPr>
            <w:r w:rsidRPr="008D078E">
              <w:t>28.40</w:t>
            </w:r>
          </w:p>
        </w:tc>
        <w:tc>
          <w:tcPr>
            <w:tcW w:w="1024" w:type="dxa"/>
            <w:gridSpan w:val="2"/>
            <w:tcBorders>
              <w:top w:val="nil"/>
              <w:bottom w:val="nil"/>
            </w:tcBorders>
          </w:tcPr>
          <w:p w14:paraId="4CB6CABE" w14:textId="77777777" w:rsidR="00F47B63" w:rsidRPr="00E94D8A" w:rsidRDefault="00F47B63" w:rsidP="00BE303D">
            <w:pPr>
              <w:pStyle w:val="Tablecells"/>
              <w:jc w:val="right"/>
              <w:rPr>
                <w:szCs w:val="18"/>
                <w:lang w:val="es-ES"/>
              </w:rPr>
            </w:pPr>
            <w:r w:rsidRPr="008D078E">
              <w:t>28.40</w:t>
            </w:r>
          </w:p>
        </w:tc>
        <w:tc>
          <w:tcPr>
            <w:tcW w:w="1024" w:type="dxa"/>
            <w:tcBorders>
              <w:top w:val="nil"/>
              <w:bottom w:val="nil"/>
            </w:tcBorders>
          </w:tcPr>
          <w:p w14:paraId="1B8CA97A" w14:textId="77777777" w:rsidR="00F47B63" w:rsidRPr="00E94D8A" w:rsidRDefault="00F47B63" w:rsidP="00BE303D">
            <w:pPr>
              <w:pStyle w:val="Tablecells"/>
              <w:jc w:val="right"/>
              <w:rPr>
                <w:szCs w:val="18"/>
                <w:lang w:val="es-ES"/>
              </w:rPr>
            </w:pPr>
            <w:r w:rsidRPr="008D078E">
              <w:t>28.40</w:t>
            </w:r>
          </w:p>
        </w:tc>
        <w:tc>
          <w:tcPr>
            <w:tcW w:w="1023" w:type="dxa"/>
            <w:tcBorders>
              <w:top w:val="nil"/>
              <w:bottom w:val="nil"/>
            </w:tcBorders>
          </w:tcPr>
          <w:p w14:paraId="7E4E679C" w14:textId="77777777" w:rsidR="00F47B63" w:rsidRPr="00E94D8A" w:rsidRDefault="00F47B63" w:rsidP="00BE303D">
            <w:pPr>
              <w:pStyle w:val="Tablecells"/>
              <w:jc w:val="right"/>
              <w:rPr>
                <w:szCs w:val="18"/>
                <w:lang w:val="es-ES"/>
              </w:rPr>
            </w:pPr>
            <w:r w:rsidRPr="008D078E">
              <w:t>28.40</w:t>
            </w:r>
          </w:p>
        </w:tc>
        <w:tc>
          <w:tcPr>
            <w:tcW w:w="1024" w:type="dxa"/>
            <w:tcBorders>
              <w:top w:val="nil"/>
              <w:bottom w:val="nil"/>
            </w:tcBorders>
          </w:tcPr>
          <w:p w14:paraId="20E9D804" w14:textId="77777777" w:rsidR="00F47B63" w:rsidRPr="00E94D8A" w:rsidRDefault="00F47B63" w:rsidP="00BE303D">
            <w:pPr>
              <w:pStyle w:val="Tablecells"/>
              <w:jc w:val="right"/>
              <w:rPr>
                <w:szCs w:val="18"/>
                <w:lang w:val="es-ES"/>
              </w:rPr>
            </w:pPr>
            <w:r w:rsidRPr="008D078E">
              <w:t>28.40</w:t>
            </w:r>
          </w:p>
        </w:tc>
        <w:tc>
          <w:tcPr>
            <w:tcW w:w="1024" w:type="dxa"/>
            <w:tcBorders>
              <w:top w:val="nil"/>
              <w:bottom w:val="nil"/>
            </w:tcBorders>
          </w:tcPr>
          <w:p w14:paraId="4610CD2C" w14:textId="77777777" w:rsidR="00F47B63" w:rsidRPr="00E94D8A" w:rsidRDefault="00F47B63" w:rsidP="00BE303D">
            <w:pPr>
              <w:pStyle w:val="Tablecells"/>
              <w:jc w:val="right"/>
              <w:rPr>
                <w:szCs w:val="18"/>
                <w:lang w:val="es-ES"/>
              </w:rPr>
            </w:pPr>
            <w:r w:rsidRPr="008D078E">
              <w:t>28.40</w:t>
            </w:r>
          </w:p>
        </w:tc>
        <w:tc>
          <w:tcPr>
            <w:tcW w:w="1024" w:type="dxa"/>
            <w:tcBorders>
              <w:top w:val="nil"/>
              <w:bottom w:val="nil"/>
            </w:tcBorders>
          </w:tcPr>
          <w:p w14:paraId="0D9BE1E9" w14:textId="77777777" w:rsidR="00F47B63" w:rsidRPr="00E94D8A" w:rsidRDefault="00F47B63" w:rsidP="00BE303D">
            <w:pPr>
              <w:pStyle w:val="Tablecells"/>
              <w:jc w:val="right"/>
              <w:rPr>
                <w:szCs w:val="18"/>
                <w:lang w:val="es-ES"/>
              </w:rPr>
            </w:pPr>
            <w:r w:rsidRPr="008D078E">
              <w:t>28.40</w:t>
            </w:r>
          </w:p>
        </w:tc>
        <w:tc>
          <w:tcPr>
            <w:tcW w:w="1024" w:type="dxa"/>
            <w:tcBorders>
              <w:top w:val="nil"/>
              <w:bottom w:val="nil"/>
            </w:tcBorders>
          </w:tcPr>
          <w:p w14:paraId="303661B7" w14:textId="77777777" w:rsidR="00F47B63" w:rsidRPr="00E94D8A" w:rsidRDefault="00F47B63" w:rsidP="00BE303D">
            <w:pPr>
              <w:pStyle w:val="Tablecells"/>
              <w:jc w:val="right"/>
              <w:rPr>
                <w:szCs w:val="18"/>
                <w:lang w:val="es-ES"/>
              </w:rPr>
            </w:pPr>
            <w:r w:rsidRPr="008D078E">
              <w:t>28.40</w:t>
            </w:r>
          </w:p>
        </w:tc>
      </w:tr>
      <w:tr w:rsidR="00476F90" w:rsidRPr="00E94D8A" w14:paraId="4E504264" w14:textId="77777777" w:rsidTr="00476F90">
        <w:trPr>
          <w:cnfStyle w:val="000000100000" w:firstRow="0" w:lastRow="0" w:firstColumn="0" w:lastColumn="0" w:oddVBand="0" w:evenVBand="0" w:oddHBand="1" w:evenHBand="0" w:firstRowFirstColumn="0" w:firstRowLastColumn="0" w:lastRowFirstColumn="0" w:lastRowLastColumn="0"/>
        </w:trPr>
        <w:tc>
          <w:tcPr>
            <w:tcW w:w="2694" w:type="dxa"/>
            <w:tcBorders>
              <w:top w:val="nil"/>
              <w:bottom w:val="nil"/>
              <w:right w:val="single" w:sz="2" w:space="0" w:color="D9D9D9" w:themeColor="background1" w:themeShade="D9"/>
            </w:tcBorders>
            <w:shd w:val="clear" w:color="auto" w:fill="auto"/>
          </w:tcPr>
          <w:p w14:paraId="511D6197" w14:textId="77777777" w:rsidR="00F47B63" w:rsidRPr="00E94D8A" w:rsidRDefault="00F47B63" w:rsidP="00BE303D">
            <w:pPr>
              <w:pStyle w:val="Tablecells"/>
              <w:rPr>
                <w:lang w:val="es-ES"/>
              </w:rPr>
            </w:pPr>
          </w:p>
        </w:tc>
        <w:tc>
          <w:tcPr>
            <w:tcW w:w="2126" w:type="dxa"/>
            <w:tcBorders>
              <w:top w:val="nil"/>
              <w:left w:val="single" w:sz="2" w:space="0" w:color="D9D9D9" w:themeColor="background1" w:themeShade="D9"/>
              <w:bottom w:val="single" w:sz="4" w:space="0" w:color="D9D9D9" w:themeColor="background1" w:themeShade="D9"/>
            </w:tcBorders>
          </w:tcPr>
          <w:p w14:paraId="6F35CD0C" w14:textId="77777777" w:rsidR="00F47B63" w:rsidRPr="00E94D8A" w:rsidRDefault="00F47B63" w:rsidP="00F604B4">
            <w:pPr>
              <w:pStyle w:val="Tablecells"/>
              <w:rPr>
                <w:lang w:val="es-ES"/>
              </w:rPr>
            </w:pPr>
            <w:r w:rsidRPr="00E94D8A">
              <w:rPr>
                <w:lang w:val="es-ES"/>
              </w:rPr>
              <w:t>AWS</w:t>
            </w:r>
          </w:p>
        </w:tc>
        <w:tc>
          <w:tcPr>
            <w:tcW w:w="1023" w:type="dxa"/>
            <w:tcBorders>
              <w:top w:val="nil"/>
              <w:bottom w:val="single" w:sz="4" w:space="0" w:color="D9D9D9" w:themeColor="background1" w:themeShade="D9"/>
            </w:tcBorders>
          </w:tcPr>
          <w:p w14:paraId="7E083479" w14:textId="77777777" w:rsidR="00F47B63" w:rsidRPr="00E94D8A" w:rsidRDefault="00F47B63" w:rsidP="00BE303D">
            <w:pPr>
              <w:pStyle w:val="Tablecells"/>
              <w:jc w:val="right"/>
              <w:rPr>
                <w:szCs w:val="18"/>
                <w:lang w:val="es-ES"/>
              </w:rPr>
            </w:pPr>
            <w:r w:rsidRPr="00F636B5">
              <w:t>80.00</w:t>
            </w:r>
          </w:p>
        </w:tc>
        <w:tc>
          <w:tcPr>
            <w:tcW w:w="1024" w:type="dxa"/>
            <w:tcBorders>
              <w:top w:val="nil"/>
              <w:bottom w:val="single" w:sz="4" w:space="0" w:color="D9D9D9" w:themeColor="background1" w:themeShade="D9"/>
            </w:tcBorders>
          </w:tcPr>
          <w:p w14:paraId="1BD2148C" w14:textId="77777777" w:rsidR="00F47B63" w:rsidRPr="00E94D8A" w:rsidRDefault="00F47B63" w:rsidP="00BE303D">
            <w:pPr>
              <w:pStyle w:val="Tablecells"/>
              <w:jc w:val="right"/>
              <w:rPr>
                <w:szCs w:val="18"/>
                <w:lang w:val="es-ES"/>
              </w:rPr>
            </w:pPr>
            <w:r w:rsidRPr="00F636B5">
              <w:t>80.00</w:t>
            </w:r>
          </w:p>
        </w:tc>
        <w:tc>
          <w:tcPr>
            <w:tcW w:w="1024" w:type="dxa"/>
            <w:gridSpan w:val="2"/>
            <w:tcBorders>
              <w:top w:val="nil"/>
              <w:bottom w:val="single" w:sz="4" w:space="0" w:color="D9D9D9" w:themeColor="background1" w:themeShade="D9"/>
            </w:tcBorders>
          </w:tcPr>
          <w:p w14:paraId="656B0BCF" w14:textId="77777777" w:rsidR="00F47B63" w:rsidRPr="00E94D8A" w:rsidRDefault="00F47B63" w:rsidP="00BE303D">
            <w:pPr>
              <w:pStyle w:val="Tablecells"/>
              <w:jc w:val="right"/>
              <w:rPr>
                <w:szCs w:val="18"/>
                <w:lang w:val="es-ES"/>
              </w:rPr>
            </w:pPr>
            <w:r w:rsidRPr="00F636B5">
              <w:t>80.00</w:t>
            </w:r>
          </w:p>
        </w:tc>
        <w:tc>
          <w:tcPr>
            <w:tcW w:w="1024" w:type="dxa"/>
            <w:tcBorders>
              <w:top w:val="nil"/>
              <w:bottom w:val="single" w:sz="4" w:space="0" w:color="D9D9D9" w:themeColor="background1" w:themeShade="D9"/>
            </w:tcBorders>
          </w:tcPr>
          <w:p w14:paraId="56B0F2F1" w14:textId="77777777" w:rsidR="00F47B63" w:rsidRPr="00E94D8A" w:rsidRDefault="00F47B63" w:rsidP="00BE303D">
            <w:pPr>
              <w:pStyle w:val="Tablecells"/>
              <w:jc w:val="right"/>
              <w:rPr>
                <w:szCs w:val="18"/>
                <w:lang w:val="es-ES"/>
              </w:rPr>
            </w:pPr>
            <w:r w:rsidRPr="00F636B5">
              <w:t>80.00</w:t>
            </w:r>
          </w:p>
        </w:tc>
        <w:tc>
          <w:tcPr>
            <w:tcW w:w="1023" w:type="dxa"/>
            <w:tcBorders>
              <w:top w:val="nil"/>
              <w:bottom w:val="single" w:sz="4" w:space="0" w:color="D9D9D9" w:themeColor="background1" w:themeShade="D9"/>
            </w:tcBorders>
          </w:tcPr>
          <w:p w14:paraId="5D64F339" w14:textId="77777777" w:rsidR="00F47B63" w:rsidRPr="00E94D8A" w:rsidRDefault="00F47B63" w:rsidP="00BE303D">
            <w:pPr>
              <w:pStyle w:val="Tablecells"/>
              <w:jc w:val="right"/>
              <w:rPr>
                <w:szCs w:val="18"/>
                <w:lang w:val="es-ES"/>
              </w:rPr>
            </w:pPr>
            <w:r w:rsidRPr="00F636B5">
              <w:t>80.00</w:t>
            </w:r>
          </w:p>
        </w:tc>
        <w:tc>
          <w:tcPr>
            <w:tcW w:w="1024" w:type="dxa"/>
            <w:tcBorders>
              <w:top w:val="nil"/>
              <w:bottom w:val="single" w:sz="4" w:space="0" w:color="D9D9D9" w:themeColor="background1" w:themeShade="D9"/>
            </w:tcBorders>
          </w:tcPr>
          <w:p w14:paraId="04D3AC39" w14:textId="77777777" w:rsidR="00F47B63" w:rsidRPr="00E94D8A" w:rsidRDefault="00F47B63" w:rsidP="00BE303D">
            <w:pPr>
              <w:pStyle w:val="Tablecells"/>
              <w:jc w:val="right"/>
              <w:rPr>
                <w:szCs w:val="18"/>
                <w:lang w:val="es-ES"/>
              </w:rPr>
            </w:pPr>
            <w:r w:rsidRPr="00F636B5">
              <w:t>80.00</w:t>
            </w:r>
          </w:p>
        </w:tc>
        <w:tc>
          <w:tcPr>
            <w:tcW w:w="1024" w:type="dxa"/>
            <w:tcBorders>
              <w:top w:val="nil"/>
              <w:bottom w:val="single" w:sz="4" w:space="0" w:color="D9D9D9" w:themeColor="background1" w:themeShade="D9"/>
            </w:tcBorders>
          </w:tcPr>
          <w:p w14:paraId="4782CA5E" w14:textId="77777777" w:rsidR="00F47B63" w:rsidRPr="00E94D8A" w:rsidRDefault="00F47B63" w:rsidP="00BE303D">
            <w:pPr>
              <w:pStyle w:val="Tablecells"/>
              <w:jc w:val="right"/>
              <w:rPr>
                <w:szCs w:val="18"/>
                <w:lang w:val="es-ES"/>
              </w:rPr>
            </w:pPr>
            <w:r w:rsidRPr="00F636B5">
              <w:t>80.00</w:t>
            </w:r>
          </w:p>
        </w:tc>
        <w:tc>
          <w:tcPr>
            <w:tcW w:w="1024" w:type="dxa"/>
            <w:tcBorders>
              <w:top w:val="nil"/>
              <w:bottom w:val="single" w:sz="4" w:space="0" w:color="D9D9D9" w:themeColor="background1" w:themeShade="D9"/>
            </w:tcBorders>
          </w:tcPr>
          <w:p w14:paraId="7F9A52CF" w14:textId="77777777" w:rsidR="00F47B63" w:rsidRPr="00E94D8A" w:rsidRDefault="00F47B63" w:rsidP="00BE303D">
            <w:pPr>
              <w:pStyle w:val="Tablecells"/>
              <w:jc w:val="right"/>
              <w:rPr>
                <w:szCs w:val="18"/>
                <w:lang w:val="es-ES"/>
              </w:rPr>
            </w:pPr>
            <w:r w:rsidRPr="00F636B5">
              <w:t>80.00</w:t>
            </w:r>
          </w:p>
        </w:tc>
        <w:tc>
          <w:tcPr>
            <w:tcW w:w="1024" w:type="dxa"/>
            <w:tcBorders>
              <w:top w:val="nil"/>
              <w:bottom w:val="single" w:sz="4" w:space="0" w:color="D9D9D9" w:themeColor="background1" w:themeShade="D9"/>
            </w:tcBorders>
          </w:tcPr>
          <w:p w14:paraId="5E67C728" w14:textId="77777777" w:rsidR="00F47B63" w:rsidRPr="00E94D8A" w:rsidRDefault="00F47B63" w:rsidP="00BE303D">
            <w:pPr>
              <w:pStyle w:val="Tablecells"/>
              <w:jc w:val="right"/>
              <w:rPr>
                <w:szCs w:val="18"/>
                <w:lang w:val="es-ES"/>
              </w:rPr>
            </w:pPr>
            <w:r w:rsidRPr="00F636B5">
              <w:t>80.00</w:t>
            </w:r>
          </w:p>
        </w:tc>
      </w:tr>
      <w:tr w:rsidR="00476F90" w:rsidRPr="00E94D8A" w14:paraId="7C3B78BA" w14:textId="77777777" w:rsidTr="00476F90">
        <w:tc>
          <w:tcPr>
            <w:tcW w:w="2694" w:type="dxa"/>
            <w:vMerge w:val="restart"/>
            <w:tcBorders>
              <w:top w:val="single" w:sz="4" w:space="0" w:color="D9D9D9" w:themeColor="background1" w:themeShade="D9"/>
              <w:bottom w:val="nil"/>
              <w:right w:val="single" w:sz="2" w:space="0" w:color="D9D9D9" w:themeColor="background1" w:themeShade="D9"/>
            </w:tcBorders>
            <w:shd w:val="clear" w:color="auto" w:fill="auto"/>
            <w:vAlign w:val="center"/>
          </w:tcPr>
          <w:p w14:paraId="780FCFA4" w14:textId="77777777" w:rsidR="00F74A49" w:rsidRPr="00E94D8A" w:rsidRDefault="00F74A49" w:rsidP="007858D8">
            <w:pPr>
              <w:pStyle w:val="Tablecells"/>
              <w:jc w:val="center"/>
              <w:rPr>
                <w:lang w:val="es-ES"/>
              </w:rPr>
            </w:pPr>
            <w:r>
              <w:rPr>
                <w:lang w:val="es-ES"/>
              </w:rPr>
              <w:t xml:space="preserve">Grupo </w:t>
            </w:r>
            <w:r w:rsidRPr="00E94D8A">
              <w:rPr>
                <w:lang w:val="es-ES"/>
              </w:rPr>
              <w:t>Telefónica</w:t>
            </w:r>
          </w:p>
          <w:p w14:paraId="119DB434" w14:textId="77777777" w:rsidR="00F74A49" w:rsidRPr="00E94D8A" w:rsidRDefault="00F74A49" w:rsidP="00F604B4">
            <w:pPr>
              <w:pStyle w:val="Tablecells"/>
              <w:rPr>
                <w:lang w:val="es-ES"/>
              </w:rPr>
            </w:pPr>
          </w:p>
        </w:tc>
        <w:tc>
          <w:tcPr>
            <w:tcW w:w="2126" w:type="dxa"/>
            <w:tcBorders>
              <w:top w:val="single" w:sz="4" w:space="0" w:color="D9D9D9" w:themeColor="background1" w:themeShade="D9"/>
              <w:left w:val="single" w:sz="2" w:space="0" w:color="D9D9D9" w:themeColor="background1" w:themeShade="D9"/>
              <w:bottom w:val="nil"/>
            </w:tcBorders>
          </w:tcPr>
          <w:p w14:paraId="6A16D879" w14:textId="77777777" w:rsidR="00F74A49" w:rsidRPr="00E94D8A" w:rsidRDefault="00F74A49" w:rsidP="00BE303D">
            <w:pPr>
              <w:pStyle w:val="Tablecells"/>
              <w:rPr>
                <w:lang w:val="es-ES"/>
              </w:rPr>
            </w:pPr>
            <w:r w:rsidRPr="00E94D8A">
              <w:rPr>
                <w:lang w:val="es-ES"/>
              </w:rPr>
              <w:t>TRUNKING</w:t>
            </w:r>
          </w:p>
        </w:tc>
        <w:tc>
          <w:tcPr>
            <w:tcW w:w="1023" w:type="dxa"/>
            <w:tcBorders>
              <w:top w:val="single" w:sz="4" w:space="0" w:color="D9D9D9" w:themeColor="background1" w:themeShade="D9"/>
              <w:bottom w:val="nil"/>
            </w:tcBorders>
            <w:vAlign w:val="center"/>
          </w:tcPr>
          <w:p w14:paraId="097B92E5" w14:textId="77777777" w:rsidR="00F74A49" w:rsidRPr="00E94D8A" w:rsidRDefault="00F74A49" w:rsidP="00BE303D">
            <w:pPr>
              <w:pStyle w:val="Tablecells"/>
              <w:jc w:val="right"/>
              <w:rPr>
                <w:szCs w:val="18"/>
                <w:lang w:val="es-ES"/>
              </w:rPr>
            </w:pPr>
            <w:r w:rsidRPr="00E94D8A">
              <w:rPr>
                <w:szCs w:val="18"/>
                <w:lang w:val="es-ES"/>
              </w:rPr>
              <w:t>-</w:t>
            </w:r>
          </w:p>
        </w:tc>
        <w:tc>
          <w:tcPr>
            <w:tcW w:w="1024" w:type="dxa"/>
            <w:tcBorders>
              <w:top w:val="single" w:sz="4" w:space="0" w:color="D9D9D9" w:themeColor="background1" w:themeShade="D9"/>
              <w:bottom w:val="nil"/>
            </w:tcBorders>
            <w:vAlign w:val="center"/>
          </w:tcPr>
          <w:p w14:paraId="64BF151C" w14:textId="77777777" w:rsidR="00F74A49" w:rsidRPr="00E94D8A" w:rsidRDefault="00F74A49" w:rsidP="00BE303D">
            <w:pPr>
              <w:pStyle w:val="Tablecells"/>
              <w:jc w:val="right"/>
              <w:rPr>
                <w:szCs w:val="18"/>
                <w:lang w:val="es-ES"/>
              </w:rPr>
            </w:pPr>
            <w:r w:rsidRPr="00E94D8A">
              <w:rPr>
                <w:szCs w:val="18"/>
                <w:lang w:val="es-ES"/>
              </w:rPr>
              <w:t xml:space="preserve"> -</w:t>
            </w:r>
          </w:p>
        </w:tc>
        <w:tc>
          <w:tcPr>
            <w:tcW w:w="1024" w:type="dxa"/>
            <w:gridSpan w:val="2"/>
            <w:tcBorders>
              <w:top w:val="single" w:sz="4" w:space="0" w:color="D9D9D9" w:themeColor="background1" w:themeShade="D9"/>
              <w:bottom w:val="nil"/>
            </w:tcBorders>
            <w:vAlign w:val="center"/>
          </w:tcPr>
          <w:p w14:paraId="1199BCAD" w14:textId="77777777" w:rsidR="00F74A49" w:rsidRPr="00E94D8A" w:rsidRDefault="00F74A49" w:rsidP="00BE303D">
            <w:pPr>
              <w:pStyle w:val="Tablecells"/>
              <w:jc w:val="right"/>
              <w:rPr>
                <w:szCs w:val="18"/>
                <w:lang w:val="es-ES"/>
              </w:rPr>
            </w:pPr>
            <w:r w:rsidRPr="00E94D8A">
              <w:rPr>
                <w:szCs w:val="18"/>
                <w:lang w:val="es-ES"/>
              </w:rPr>
              <w:t>-</w:t>
            </w:r>
          </w:p>
        </w:tc>
        <w:tc>
          <w:tcPr>
            <w:tcW w:w="1024" w:type="dxa"/>
            <w:tcBorders>
              <w:top w:val="single" w:sz="4" w:space="0" w:color="D9D9D9" w:themeColor="background1" w:themeShade="D9"/>
              <w:bottom w:val="nil"/>
            </w:tcBorders>
            <w:vAlign w:val="center"/>
          </w:tcPr>
          <w:p w14:paraId="51E7E2BB" w14:textId="77777777" w:rsidR="00F74A49" w:rsidRPr="00E94D8A" w:rsidRDefault="00F74A49" w:rsidP="00BE303D">
            <w:pPr>
              <w:pStyle w:val="Tablecells"/>
              <w:jc w:val="right"/>
              <w:rPr>
                <w:szCs w:val="18"/>
                <w:lang w:val="es-ES"/>
              </w:rPr>
            </w:pPr>
            <w:r w:rsidRPr="00E94D8A">
              <w:rPr>
                <w:szCs w:val="18"/>
                <w:lang w:val="es-ES"/>
              </w:rPr>
              <w:t>-</w:t>
            </w:r>
          </w:p>
        </w:tc>
        <w:tc>
          <w:tcPr>
            <w:tcW w:w="1023" w:type="dxa"/>
            <w:tcBorders>
              <w:top w:val="single" w:sz="4" w:space="0" w:color="D9D9D9" w:themeColor="background1" w:themeShade="D9"/>
              <w:bottom w:val="nil"/>
            </w:tcBorders>
            <w:vAlign w:val="center"/>
          </w:tcPr>
          <w:p w14:paraId="47F20E61" w14:textId="77777777" w:rsidR="00F74A49" w:rsidRPr="00E94D8A" w:rsidRDefault="00F74A49" w:rsidP="00BE303D">
            <w:pPr>
              <w:pStyle w:val="Tablecells"/>
              <w:jc w:val="right"/>
              <w:rPr>
                <w:szCs w:val="18"/>
                <w:lang w:val="es-ES"/>
              </w:rPr>
            </w:pPr>
            <w:r w:rsidRPr="00E94D8A">
              <w:rPr>
                <w:szCs w:val="18"/>
                <w:lang w:val="es-ES"/>
              </w:rPr>
              <w:t>-</w:t>
            </w:r>
          </w:p>
        </w:tc>
        <w:tc>
          <w:tcPr>
            <w:tcW w:w="1024" w:type="dxa"/>
            <w:tcBorders>
              <w:top w:val="single" w:sz="4" w:space="0" w:color="D9D9D9" w:themeColor="background1" w:themeShade="D9"/>
              <w:bottom w:val="nil"/>
            </w:tcBorders>
            <w:vAlign w:val="center"/>
          </w:tcPr>
          <w:p w14:paraId="2C1E6F0A" w14:textId="77777777" w:rsidR="00F74A49" w:rsidRPr="00E94D8A" w:rsidRDefault="00F74A49" w:rsidP="00BE303D">
            <w:pPr>
              <w:pStyle w:val="Tablecells"/>
              <w:jc w:val="right"/>
              <w:rPr>
                <w:szCs w:val="18"/>
                <w:lang w:val="es-ES"/>
              </w:rPr>
            </w:pPr>
            <w:r w:rsidRPr="00E94D8A">
              <w:rPr>
                <w:szCs w:val="18"/>
                <w:lang w:val="es-ES"/>
              </w:rPr>
              <w:t>-</w:t>
            </w:r>
          </w:p>
        </w:tc>
        <w:tc>
          <w:tcPr>
            <w:tcW w:w="1024" w:type="dxa"/>
            <w:tcBorders>
              <w:top w:val="single" w:sz="4" w:space="0" w:color="D9D9D9" w:themeColor="background1" w:themeShade="D9"/>
              <w:bottom w:val="nil"/>
            </w:tcBorders>
            <w:vAlign w:val="center"/>
          </w:tcPr>
          <w:p w14:paraId="26969745" w14:textId="77777777" w:rsidR="00F74A49" w:rsidRPr="00E94D8A" w:rsidRDefault="00F74A49" w:rsidP="00BE303D">
            <w:pPr>
              <w:pStyle w:val="Tablecells"/>
              <w:jc w:val="right"/>
              <w:rPr>
                <w:szCs w:val="18"/>
                <w:lang w:val="es-ES"/>
              </w:rPr>
            </w:pPr>
            <w:r w:rsidRPr="00E94D8A">
              <w:rPr>
                <w:szCs w:val="18"/>
                <w:lang w:val="es-ES"/>
              </w:rPr>
              <w:t>-</w:t>
            </w:r>
          </w:p>
        </w:tc>
        <w:tc>
          <w:tcPr>
            <w:tcW w:w="1024" w:type="dxa"/>
            <w:tcBorders>
              <w:top w:val="single" w:sz="4" w:space="0" w:color="D9D9D9" w:themeColor="background1" w:themeShade="D9"/>
              <w:bottom w:val="nil"/>
            </w:tcBorders>
            <w:vAlign w:val="center"/>
          </w:tcPr>
          <w:p w14:paraId="7A35F43A" w14:textId="77777777" w:rsidR="00F74A49" w:rsidRPr="00E94D8A" w:rsidRDefault="00F74A49" w:rsidP="00BE303D">
            <w:pPr>
              <w:pStyle w:val="Tablecells"/>
              <w:jc w:val="right"/>
              <w:rPr>
                <w:szCs w:val="18"/>
                <w:lang w:val="es-ES"/>
              </w:rPr>
            </w:pPr>
            <w:r w:rsidRPr="00E94D8A">
              <w:rPr>
                <w:szCs w:val="18"/>
                <w:lang w:val="es-ES"/>
              </w:rPr>
              <w:t>-</w:t>
            </w:r>
          </w:p>
        </w:tc>
        <w:tc>
          <w:tcPr>
            <w:tcW w:w="1024" w:type="dxa"/>
            <w:tcBorders>
              <w:top w:val="single" w:sz="4" w:space="0" w:color="D9D9D9" w:themeColor="background1" w:themeShade="D9"/>
              <w:bottom w:val="nil"/>
            </w:tcBorders>
            <w:vAlign w:val="center"/>
          </w:tcPr>
          <w:p w14:paraId="02E73DD3" w14:textId="77777777" w:rsidR="00F74A49" w:rsidRPr="00E94D8A" w:rsidRDefault="00F74A49" w:rsidP="00BE303D">
            <w:pPr>
              <w:pStyle w:val="Tablecells"/>
              <w:jc w:val="right"/>
              <w:rPr>
                <w:szCs w:val="18"/>
                <w:lang w:val="es-ES"/>
              </w:rPr>
            </w:pPr>
            <w:r w:rsidRPr="00E94D8A">
              <w:rPr>
                <w:szCs w:val="18"/>
                <w:lang w:val="es-ES"/>
              </w:rPr>
              <w:t>-</w:t>
            </w:r>
          </w:p>
        </w:tc>
      </w:tr>
      <w:tr w:rsidR="00476F90" w:rsidRPr="00E94D8A" w14:paraId="40B739AE" w14:textId="77777777" w:rsidTr="00476F90">
        <w:trPr>
          <w:cnfStyle w:val="000000100000" w:firstRow="0" w:lastRow="0" w:firstColumn="0" w:lastColumn="0" w:oddVBand="0" w:evenVBand="0" w:oddHBand="1" w:evenHBand="0" w:firstRowFirstColumn="0" w:firstRowLastColumn="0" w:lastRowFirstColumn="0" w:lastRowLastColumn="0"/>
        </w:trPr>
        <w:tc>
          <w:tcPr>
            <w:tcW w:w="2694" w:type="dxa"/>
            <w:vMerge/>
            <w:tcBorders>
              <w:top w:val="nil"/>
              <w:bottom w:val="nil"/>
              <w:right w:val="single" w:sz="2" w:space="0" w:color="D9D9D9" w:themeColor="background1" w:themeShade="D9"/>
            </w:tcBorders>
            <w:shd w:val="clear" w:color="auto" w:fill="auto"/>
          </w:tcPr>
          <w:p w14:paraId="109376CE" w14:textId="77777777" w:rsidR="00F74A49" w:rsidRPr="00E94D8A" w:rsidRDefault="00F74A49" w:rsidP="00BE303D">
            <w:pPr>
              <w:pStyle w:val="Tablecells"/>
              <w:rPr>
                <w:lang w:val="es-ES"/>
              </w:rPr>
            </w:pPr>
          </w:p>
        </w:tc>
        <w:tc>
          <w:tcPr>
            <w:tcW w:w="2126" w:type="dxa"/>
            <w:tcBorders>
              <w:top w:val="nil"/>
              <w:left w:val="single" w:sz="2" w:space="0" w:color="D9D9D9" w:themeColor="background1" w:themeShade="D9"/>
              <w:bottom w:val="nil"/>
            </w:tcBorders>
          </w:tcPr>
          <w:p w14:paraId="0441715D" w14:textId="77777777" w:rsidR="00F74A49" w:rsidRPr="00E94D8A" w:rsidRDefault="00F74A49" w:rsidP="00BE303D">
            <w:pPr>
              <w:pStyle w:val="Tablecells"/>
              <w:rPr>
                <w:lang w:val="es-ES"/>
              </w:rPr>
            </w:pPr>
            <w:r w:rsidRPr="00E94D8A">
              <w:rPr>
                <w:lang w:val="es-ES"/>
              </w:rPr>
              <w:t>CEL</w:t>
            </w:r>
          </w:p>
        </w:tc>
        <w:tc>
          <w:tcPr>
            <w:tcW w:w="1023" w:type="dxa"/>
            <w:tcBorders>
              <w:top w:val="nil"/>
              <w:bottom w:val="nil"/>
            </w:tcBorders>
            <w:vAlign w:val="center"/>
          </w:tcPr>
          <w:p w14:paraId="5DA6BCEC" w14:textId="77777777" w:rsidR="00F74A49" w:rsidRPr="00E94D8A" w:rsidRDefault="00F74A49" w:rsidP="00BE303D">
            <w:pPr>
              <w:pStyle w:val="Tablecells"/>
              <w:jc w:val="right"/>
              <w:rPr>
                <w:szCs w:val="18"/>
                <w:lang w:val="es-ES"/>
              </w:rPr>
            </w:pPr>
            <w:r w:rsidRPr="00E94D8A">
              <w:rPr>
                <w:szCs w:val="18"/>
                <w:lang w:val="es-ES"/>
              </w:rPr>
              <w:t xml:space="preserve">20.00 </w:t>
            </w:r>
          </w:p>
        </w:tc>
        <w:tc>
          <w:tcPr>
            <w:tcW w:w="1024" w:type="dxa"/>
            <w:tcBorders>
              <w:top w:val="nil"/>
              <w:bottom w:val="nil"/>
            </w:tcBorders>
            <w:vAlign w:val="center"/>
          </w:tcPr>
          <w:p w14:paraId="60AA9627" w14:textId="77777777" w:rsidR="00F74A49" w:rsidRPr="00E94D8A" w:rsidRDefault="00F74A49" w:rsidP="00BE303D">
            <w:pPr>
              <w:pStyle w:val="Tablecells"/>
              <w:jc w:val="right"/>
              <w:rPr>
                <w:szCs w:val="18"/>
                <w:lang w:val="es-ES"/>
              </w:rPr>
            </w:pPr>
            <w:r w:rsidRPr="00E94D8A">
              <w:rPr>
                <w:szCs w:val="18"/>
                <w:lang w:val="es-ES"/>
              </w:rPr>
              <w:t xml:space="preserve">20.00 </w:t>
            </w:r>
          </w:p>
        </w:tc>
        <w:tc>
          <w:tcPr>
            <w:tcW w:w="1024" w:type="dxa"/>
            <w:gridSpan w:val="2"/>
            <w:tcBorders>
              <w:top w:val="nil"/>
              <w:bottom w:val="nil"/>
            </w:tcBorders>
            <w:vAlign w:val="center"/>
          </w:tcPr>
          <w:p w14:paraId="0B4F5001" w14:textId="77777777" w:rsidR="00F74A49" w:rsidRPr="00E94D8A" w:rsidRDefault="00F74A49" w:rsidP="00BE303D">
            <w:pPr>
              <w:pStyle w:val="Tablecells"/>
              <w:jc w:val="right"/>
              <w:rPr>
                <w:szCs w:val="18"/>
                <w:lang w:val="es-ES"/>
              </w:rPr>
            </w:pPr>
            <w:r w:rsidRPr="00E94D8A">
              <w:rPr>
                <w:szCs w:val="18"/>
                <w:lang w:val="es-ES"/>
              </w:rPr>
              <w:t xml:space="preserve">20.00 </w:t>
            </w:r>
          </w:p>
        </w:tc>
        <w:tc>
          <w:tcPr>
            <w:tcW w:w="1024" w:type="dxa"/>
            <w:tcBorders>
              <w:top w:val="nil"/>
              <w:bottom w:val="nil"/>
            </w:tcBorders>
            <w:vAlign w:val="center"/>
          </w:tcPr>
          <w:p w14:paraId="7CBCF72C" w14:textId="77777777" w:rsidR="00F74A49" w:rsidRPr="00E94D8A" w:rsidRDefault="00F74A49" w:rsidP="00BE303D">
            <w:pPr>
              <w:pStyle w:val="Tablecells"/>
              <w:jc w:val="right"/>
              <w:rPr>
                <w:szCs w:val="18"/>
                <w:lang w:val="es-ES"/>
              </w:rPr>
            </w:pPr>
            <w:r w:rsidRPr="00E94D8A">
              <w:rPr>
                <w:szCs w:val="18"/>
                <w:lang w:val="es-ES"/>
              </w:rPr>
              <w:t xml:space="preserve"> 21.92 </w:t>
            </w:r>
          </w:p>
        </w:tc>
        <w:tc>
          <w:tcPr>
            <w:tcW w:w="1023" w:type="dxa"/>
            <w:tcBorders>
              <w:top w:val="nil"/>
              <w:bottom w:val="nil"/>
            </w:tcBorders>
            <w:vAlign w:val="center"/>
          </w:tcPr>
          <w:p w14:paraId="786357C1" w14:textId="77777777" w:rsidR="00F74A49" w:rsidRPr="00E94D8A" w:rsidRDefault="00F74A49" w:rsidP="00BE303D">
            <w:pPr>
              <w:pStyle w:val="Tablecells"/>
              <w:jc w:val="right"/>
              <w:rPr>
                <w:szCs w:val="18"/>
                <w:lang w:val="es-ES"/>
              </w:rPr>
            </w:pPr>
            <w:r w:rsidRPr="00E94D8A">
              <w:rPr>
                <w:szCs w:val="18"/>
                <w:lang w:val="es-ES"/>
              </w:rPr>
              <w:t>-</w:t>
            </w:r>
          </w:p>
        </w:tc>
        <w:tc>
          <w:tcPr>
            <w:tcW w:w="1024" w:type="dxa"/>
            <w:tcBorders>
              <w:top w:val="nil"/>
              <w:bottom w:val="nil"/>
            </w:tcBorders>
            <w:vAlign w:val="center"/>
          </w:tcPr>
          <w:p w14:paraId="162A8239" w14:textId="77777777" w:rsidR="00F74A49" w:rsidRPr="00E94D8A" w:rsidRDefault="00F74A49" w:rsidP="00BE303D">
            <w:pPr>
              <w:pStyle w:val="Tablecells"/>
              <w:jc w:val="right"/>
              <w:rPr>
                <w:szCs w:val="18"/>
                <w:lang w:val="es-ES"/>
              </w:rPr>
            </w:pPr>
            <w:r w:rsidRPr="00E94D8A">
              <w:rPr>
                <w:szCs w:val="18"/>
                <w:lang w:val="es-ES"/>
              </w:rPr>
              <w:t>-</w:t>
            </w:r>
          </w:p>
        </w:tc>
        <w:tc>
          <w:tcPr>
            <w:tcW w:w="1024" w:type="dxa"/>
            <w:tcBorders>
              <w:top w:val="nil"/>
              <w:bottom w:val="nil"/>
            </w:tcBorders>
            <w:vAlign w:val="center"/>
          </w:tcPr>
          <w:p w14:paraId="77D288F7" w14:textId="77777777" w:rsidR="00F74A49" w:rsidRPr="00E94D8A" w:rsidRDefault="00F74A49" w:rsidP="00BE303D">
            <w:pPr>
              <w:pStyle w:val="Tablecells"/>
              <w:jc w:val="right"/>
              <w:rPr>
                <w:szCs w:val="18"/>
                <w:lang w:val="es-ES"/>
              </w:rPr>
            </w:pPr>
            <w:r w:rsidRPr="00E94D8A">
              <w:rPr>
                <w:szCs w:val="18"/>
                <w:lang w:val="es-ES"/>
              </w:rPr>
              <w:t>-</w:t>
            </w:r>
          </w:p>
        </w:tc>
        <w:tc>
          <w:tcPr>
            <w:tcW w:w="1024" w:type="dxa"/>
            <w:tcBorders>
              <w:top w:val="nil"/>
              <w:bottom w:val="nil"/>
            </w:tcBorders>
            <w:vAlign w:val="center"/>
          </w:tcPr>
          <w:p w14:paraId="62DD57C6" w14:textId="77777777" w:rsidR="00F74A49" w:rsidRPr="00E94D8A" w:rsidRDefault="00F74A49" w:rsidP="00BE303D">
            <w:pPr>
              <w:pStyle w:val="Tablecells"/>
              <w:jc w:val="right"/>
              <w:rPr>
                <w:szCs w:val="18"/>
                <w:lang w:val="es-ES"/>
              </w:rPr>
            </w:pPr>
            <w:r w:rsidRPr="00E94D8A">
              <w:rPr>
                <w:szCs w:val="18"/>
                <w:lang w:val="es-ES"/>
              </w:rPr>
              <w:t>-</w:t>
            </w:r>
          </w:p>
        </w:tc>
        <w:tc>
          <w:tcPr>
            <w:tcW w:w="1024" w:type="dxa"/>
            <w:tcBorders>
              <w:top w:val="nil"/>
              <w:bottom w:val="nil"/>
            </w:tcBorders>
            <w:vAlign w:val="center"/>
          </w:tcPr>
          <w:p w14:paraId="607D446F" w14:textId="77777777" w:rsidR="00F74A49" w:rsidRPr="00E94D8A" w:rsidRDefault="00F74A49" w:rsidP="00BE303D">
            <w:pPr>
              <w:pStyle w:val="Tablecells"/>
              <w:jc w:val="right"/>
              <w:rPr>
                <w:szCs w:val="18"/>
                <w:lang w:val="es-ES"/>
              </w:rPr>
            </w:pPr>
            <w:r w:rsidRPr="00E94D8A">
              <w:rPr>
                <w:szCs w:val="18"/>
                <w:lang w:val="es-ES"/>
              </w:rPr>
              <w:t>-</w:t>
            </w:r>
          </w:p>
        </w:tc>
      </w:tr>
      <w:tr w:rsidR="00476F90" w:rsidRPr="00E94D8A" w14:paraId="19E724E9" w14:textId="77777777" w:rsidTr="00476F90">
        <w:tc>
          <w:tcPr>
            <w:tcW w:w="2694" w:type="dxa"/>
            <w:tcBorders>
              <w:top w:val="nil"/>
              <w:bottom w:val="nil"/>
              <w:right w:val="single" w:sz="2" w:space="0" w:color="D9D9D9" w:themeColor="background1" w:themeShade="D9"/>
            </w:tcBorders>
            <w:shd w:val="clear" w:color="auto" w:fill="auto"/>
          </w:tcPr>
          <w:p w14:paraId="502C9C81" w14:textId="77777777" w:rsidR="00BB79D2" w:rsidRPr="00E94D8A" w:rsidRDefault="00BB79D2" w:rsidP="00BE303D">
            <w:pPr>
              <w:pStyle w:val="Tablecells"/>
              <w:rPr>
                <w:lang w:val="es-ES"/>
              </w:rPr>
            </w:pPr>
          </w:p>
        </w:tc>
        <w:tc>
          <w:tcPr>
            <w:tcW w:w="2126" w:type="dxa"/>
            <w:tcBorders>
              <w:top w:val="nil"/>
              <w:left w:val="single" w:sz="2" w:space="0" w:color="D9D9D9" w:themeColor="background1" w:themeShade="D9"/>
              <w:bottom w:val="nil"/>
            </w:tcBorders>
          </w:tcPr>
          <w:p w14:paraId="5A7CE7F7" w14:textId="77777777" w:rsidR="00BB79D2" w:rsidRPr="00E94D8A" w:rsidRDefault="00BB79D2" w:rsidP="00BE303D">
            <w:pPr>
              <w:pStyle w:val="Tablecells"/>
              <w:rPr>
                <w:lang w:val="es-ES"/>
              </w:rPr>
            </w:pPr>
            <w:r w:rsidRPr="00E94D8A">
              <w:rPr>
                <w:lang w:val="es-ES"/>
              </w:rPr>
              <w:t>PCS</w:t>
            </w:r>
          </w:p>
        </w:tc>
        <w:tc>
          <w:tcPr>
            <w:tcW w:w="1023" w:type="dxa"/>
            <w:tcBorders>
              <w:top w:val="nil"/>
              <w:bottom w:val="nil"/>
            </w:tcBorders>
          </w:tcPr>
          <w:p w14:paraId="04DBC62D" w14:textId="77777777" w:rsidR="00BB79D2" w:rsidRPr="00E94D8A" w:rsidRDefault="00BB79D2" w:rsidP="00BE303D">
            <w:pPr>
              <w:pStyle w:val="Tablecells"/>
              <w:jc w:val="right"/>
              <w:rPr>
                <w:szCs w:val="18"/>
                <w:lang w:val="es-ES"/>
              </w:rPr>
            </w:pPr>
            <w:r w:rsidRPr="00184248">
              <w:t>40.00</w:t>
            </w:r>
          </w:p>
        </w:tc>
        <w:tc>
          <w:tcPr>
            <w:tcW w:w="1024" w:type="dxa"/>
            <w:tcBorders>
              <w:top w:val="nil"/>
              <w:bottom w:val="nil"/>
            </w:tcBorders>
          </w:tcPr>
          <w:p w14:paraId="7E4E5ED9" w14:textId="77777777" w:rsidR="00BB79D2" w:rsidRPr="00E94D8A" w:rsidRDefault="00BB79D2" w:rsidP="00BE303D">
            <w:pPr>
              <w:pStyle w:val="Tablecells"/>
              <w:jc w:val="right"/>
              <w:rPr>
                <w:szCs w:val="18"/>
                <w:lang w:val="es-ES"/>
              </w:rPr>
            </w:pPr>
            <w:r w:rsidRPr="00184248">
              <w:t>50.00</w:t>
            </w:r>
          </w:p>
        </w:tc>
        <w:tc>
          <w:tcPr>
            <w:tcW w:w="1024" w:type="dxa"/>
            <w:gridSpan w:val="2"/>
            <w:tcBorders>
              <w:top w:val="nil"/>
              <w:bottom w:val="nil"/>
            </w:tcBorders>
          </w:tcPr>
          <w:p w14:paraId="1F999502" w14:textId="77777777" w:rsidR="00BB79D2" w:rsidRPr="00E94D8A" w:rsidRDefault="00BB79D2" w:rsidP="00BE303D">
            <w:pPr>
              <w:pStyle w:val="Tablecells"/>
              <w:jc w:val="right"/>
              <w:rPr>
                <w:szCs w:val="18"/>
                <w:lang w:val="es-ES"/>
              </w:rPr>
            </w:pPr>
            <w:r w:rsidRPr="00184248">
              <w:t>60.00</w:t>
            </w:r>
          </w:p>
        </w:tc>
        <w:tc>
          <w:tcPr>
            <w:tcW w:w="1024" w:type="dxa"/>
            <w:tcBorders>
              <w:top w:val="nil"/>
              <w:bottom w:val="nil"/>
            </w:tcBorders>
          </w:tcPr>
          <w:p w14:paraId="61F63009" w14:textId="77777777" w:rsidR="00BB79D2" w:rsidRPr="00E94D8A" w:rsidRDefault="00BB79D2" w:rsidP="00BE303D">
            <w:pPr>
              <w:pStyle w:val="Tablecells"/>
              <w:jc w:val="right"/>
              <w:rPr>
                <w:szCs w:val="18"/>
                <w:lang w:val="es-ES"/>
              </w:rPr>
            </w:pPr>
            <w:r w:rsidRPr="00184248">
              <w:t>50.00</w:t>
            </w:r>
          </w:p>
        </w:tc>
        <w:tc>
          <w:tcPr>
            <w:tcW w:w="1023" w:type="dxa"/>
            <w:tcBorders>
              <w:top w:val="nil"/>
              <w:bottom w:val="nil"/>
            </w:tcBorders>
          </w:tcPr>
          <w:p w14:paraId="3C9DBFF5" w14:textId="77777777" w:rsidR="00BB79D2" w:rsidRPr="00E94D8A" w:rsidRDefault="00BB79D2" w:rsidP="00BE303D">
            <w:pPr>
              <w:pStyle w:val="Tablecells"/>
              <w:jc w:val="right"/>
              <w:rPr>
                <w:szCs w:val="18"/>
                <w:lang w:val="es-ES"/>
              </w:rPr>
            </w:pPr>
            <w:r w:rsidRPr="00184248">
              <w:t>50.00</w:t>
            </w:r>
          </w:p>
        </w:tc>
        <w:tc>
          <w:tcPr>
            <w:tcW w:w="1024" w:type="dxa"/>
            <w:tcBorders>
              <w:top w:val="nil"/>
              <w:bottom w:val="nil"/>
            </w:tcBorders>
          </w:tcPr>
          <w:p w14:paraId="0AD9E90F" w14:textId="77777777" w:rsidR="00BB79D2" w:rsidRPr="00E94D8A" w:rsidRDefault="00BB79D2" w:rsidP="00BE303D">
            <w:pPr>
              <w:pStyle w:val="Tablecells"/>
              <w:jc w:val="right"/>
              <w:rPr>
                <w:szCs w:val="18"/>
                <w:lang w:val="es-ES"/>
              </w:rPr>
            </w:pPr>
            <w:r w:rsidRPr="00184248">
              <w:t>60.00</w:t>
            </w:r>
          </w:p>
        </w:tc>
        <w:tc>
          <w:tcPr>
            <w:tcW w:w="1024" w:type="dxa"/>
            <w:tcBorders>
              <w:top w:val="nil"/>
              <w:bottom w:val="nil"/>
            </w:tcBorders>
          </w:tcPr>
          <w:p w14:paraId="64CE89C3" w14:textId="77777777" w:rsidR="00BB79D2" w:rsidRPr="00E94D8A" w:rsidRDefault="00BB79D2" w:rsidP="00BE303D">
            <w:pPr>
              <w:pStyle w:val="Tablecells"/>
              <w:jc w:val="right"/>
              <w:rPr>
                <w:szCs w:val="18"/>
                <w:lang w:val="es-ES"/>
              </w:rPr>
            </w:pPr>
            <w:r w:rsidRPr="00184248">
              <w:t>60.00</w:t>
            </w:r>
          </w:p>
        </w:tc>
        <w:tc>
          <w:tcPr>
            <w:tcW w:w="1024" w:type="dxa"/>
            <w:tcBorders>
              <w:top w:val="nil"/>
              <w:bottom w:val="nil"/>
            </w:tcBorders>
          </w:tcPr>
          <w:p w14:paraId="6287E936" w14:textId="77777777" w:rsidR="00BB79D2" w:rsidRPr="00E94D8A" w:rsidRDefault="00BB79D2" w:rsidP="00BE303D">
            <w:pPr>
              <w:pStyle w:val="Tablecells"/>
              <w:jc w:val="right"/>
              <w:rPr>
                <w:szCs w:val="18"/>
                <w:lang w:val="es-ES"/>
              </w:rPr>
            </w:pPr>
            <w:r w:rsidRPr="00184248">
              <w:t>30.00</w:t>
            </w:r>
          </w:p>
        </w:tc>
        <w:tc>
          <w:tcPr>
            <w:tcW w:w="1024" w:type="dxa"/>
            <w:tcBorders>
              <w:top w:val="nil"/>
              <w:bottom w:val="nil"/>
            </w:tcBorders>
          </w:tcPr>
          <w:p w14:paraId="130AA1A0" w14:textId="77777777" w:rsidR="00BB79D2" w:rsidRPr="00E94D8A" w:rsidRDefault="00BB79D2" w:rsidP="00BE303D">
            <w:pPr>
              <w:pStyle w:val="Tablecells"/>
              <w:jc w:val="right"/>
              <w:rPr>
                <w:szCs w:val="18"/>
                <w:lang w:val="es-ES"/>
              </w:rPr>
            </w:pPr>
            <w:r w:rsidRPr="00184248">
              <w:t>70.00</w:t>
            </w:r>
          </w:p>
        </w:tc>
      </w:tr>
      <w:tr w:rsidR="00476F90" w:rsidRPr="00E94D8A" w14:paraId="715CA412" w14:textId="77777777" w:rsidTr="00476F90">
        <w:trPr>
          <w:cnfStyle w:val="000000100000" w:firstRow="0" w:lastRow="0" w:firstColumn="0" w:lastColumn="0" w:oddVBand="0" w:evenVBand="0" w:oddHBand="1" w:evenHBand="0" w:firstRowFirstColumn="0" w:firstRowLastColumn="0" w:lastRowFirstColumn="0" w:lastRowLastColumn="0"/>
        </w:trPr>
        <w:tc>
          <w:tcPr>
            <w:tcW w:w="2694" w:type="dxa"/>
            <w:tcBorders>
              <w:top w:val="nil"/>
              <w:bottom w:val="single" w:sz="4" w:space="0" w:color="D9D9D9" w:themeColor="background1" w:themeShade="D9"/>
              <w:right w:val="single" w:sz="2" w:space="0" w:color="D9D9D9" w:themeColor="background1" w:themeShade="D9"/>
            </w:tcBorders>
            <w:shd w:val="clear" w:color="auto" w:fill="auto"/>
          </w:tcPr>
          <w:p w14:paraId="537FB172" w14:textId="77777777" w:rsidR="00BB79D2" w:rsidRPr="00E94D8A" w:rsidRDefault="00BB79D2" w:rsidP="00BE303D">
            <w:pPr>
              <w:pStyle w:val="Tablecells"/>
              <w:rPr>
                <w:lang w:val="es-ES"/>
              </w:rPr>
            </w:pPr>
          </w:p>
        </w:tc>
        <w:tc>
          <w:tcPr>
            <w:tcW w:w="2126" w:type="dxa"/>
            <w:tcBorders>
              <w:top w:val="nil"/>
              <w:left w:val="single" w:sz="2" w:space="0" w:color="D9D9D9" w:themeColor="background1" w:themeShade="D9"/>
              <w:bottom w:val="single" w:sz="4" w:space="0" w:color="D9D9D9" w:themeColor="background1" w:themeShade="D9"/>
            </w:tcBorders>
          </w:tcPr>
          <w:p w14:paraId="64C74218" w14:textId="77777777" w:rsidR="00BB79D2" w:rsidRPr="00E94D8A" w:rsidRDefault="00BB79D2" w:rsidP="00BE303D">
            <w:pPr>
              <w:pStyle w:val="Tablecells"/>
              <w:rPr>
                <w:lang w:val="es-ES"/>
              </w:rPr>
            </w:pPr>
            <w:r w:rsidRPr="00E94D8A">
              <w:rPr>
                <w:lang w:val="es-ES"/>
              </w:rPr>
              <w:t>AWS</w:t>
            </w:r>
          </w:p>
        </w:tc>
        <w:tc>
          <w:tcPr>
            <w:tcW w:w="1023" w:type="dxa"/>
            <w:tcBorders>
              <w:top w:val="nil"/>
              <w:bottom w:val="single" w:sz="4" w:space="0" w:color="D9D9D9" w:themeColor="background1" w:themeShade="D9"/>
            </w:tcBorders>
            <w:vAlign w:val="center"/>
          </w:tcPr>
          <w:p w14:paraId="4B3F9133" w14:textId="77777777" w:rsidR="00BB79D2" w:rsidRPr="00E94D8A" w:rsidRDefault="00BB79D2" w:rsidP="00BE303D">
            <w:pPr>
              <w:pStyle w:val="Tablecells"/>
              <w:jc w:val="right"/>
              <w:rPr>
                <w:szCs w:val="18"/>
                <w:lang w:val="es-ES"/>
              </w:rPr>
            </w:pPr>
            <w:r w:rsidRPr="00E94D8A">
              <w:rPr>
                <w:szCs w:val="18"/>
                <w:lang w:val="es-ES"/>
              </w:rPr>
              <w:t>-</w:t>
            </w:r>
          </w:p>
        </w:tc>
        <w:tc>
          <w:tcPr>
            <w:tcW w:w="1024" w:type="dxa"/>
            <w:tcBorders>
              <w:top w:val="nil"/>
              <w:bottom w:val="single" w:sz="4" w:space="0" w:color="D9D9D9" w:themeColor="background1" w:themeShade="D9"/>
            </w:tcBorders>
          </w:tcPr>
          <w:p w14:paraId="60B21C61" w14:textId="77777777" w:rsidR="00BB79D2" w:rsidRPr="00E94D8A" w:rsidRDefault="00BB79D2" w:rsidP="00BE303D">
            <w:pPr>
              <w:pStyle w:val="Tablecells"/>
              <w:jc w:val="right"/>
              <w:rPr>
                <w:szCs w:val="18"/>
                <w:lang w:val="es-ES"/>
              </w:rPr>
            </w:pPr>
            <w:r w:rsidRPr="00D653F2">
              <w:t>-</w:t>
            </w:r>
          </w:p>
        </w:tc>
        <w:tc>
          <w:tcPr>
            <w:tcW w:w="1024" w:type="dxa"/>
            <w:gridSpan w:val="2"/>
            <w:tcBorders>
              <w:top w:val="nil"/>
              <w:bottom w:val="single" w:sz="4" w:space="0" w:color="D9D9D9" w:themeColor="background1" w:themeShade="D9"/>
            </w:tcBorders>
          </w:tcPr>
          <w:p w14:paraId="2BF7A0B0" w14:textId="77777777" w:rsidR="00BB79D2" w:rsidRPr="00E94D8A" w:rsidRDefault="00BB79D2" w:rsidP="00BE303D">
            <w:pPr>
              <w:pStyle w:val="Tablecells"/>
              <w:jc w:val="right"/>
              <w:rPr>
                <w:szCs w:val="18"/>
                <w:lang w:val="es-ES"/>
              </w:rPr>
            </w:pPr>
            <w:r w:rsidRPr="00D653F2">
              <w:t>-</w:t>
            </w:r>
          </w:p>
        </w:tc>
        <w:tc>
          <w:tcPr>
            <w:tcW w:w="1024" w:type="dxa"/>
            <w:tcBorders>
              <w:top w:val="nil"/>
              <w:bottom w:val="single" w:sz="4" w:space="0" w:color="D9D9D9" w:themeColor="background1" w:themeShade="D9"/>
            </w:tcBorders>
          </w:tcPr>
          <w:p w14:paraId="55DC458B" w14:textId="77777777" w:rsidR="00BB79D2" w:rsidRPr="00E94D8A" w:rsidRDefault="00BB79D2" w:rsidP="00BE303D">
            <w:pPr>
              <w:pStyle w:val="Tablecells"/>
              <w:jc w:val="right"/>
              <w:rPr>
                <w:szCs w:val="18"/>
                <w:lang w:val="es-ES"/>
              </w:rPr>
            </w:pPr>
            <w:r w:rsidRPr="00D653F2">
              <w:t>-</w:t>
            </w:r>
          </w:p>
        </w:tc>
        <w:tc>
          <w:tcPr>
            <w:tcW w:w="1023" w:type="dxa"/>
            <w:tcBorders>
              <w:top w:val="nil"/>
              <w:bottom w:val="single" w:sz="4" w:space="0" w:color="D9D9D9" w:themeColor="background1" w:themeShade="D9"/>
            </w:tcBorders>
          </w:tcPr>
          <w:p w14:paraId="7E64DBE1" w14:textId="77777777" w:rsidR="00BB79D2" w:rsidRPr="00E94D8A" w:rsidRDefault="00BB79D2" w:rsidP="00BE303D">
            <w:pPr>
              <w:pStyle w:val="Tablecells"/>
              <w:jc w:val="right"/>
              <w:rPr>
                <w:szCs w:val="18"/>
                <w:lang w:val="es-ES"/>
              </w:rPr>
            </w:pPr>
            <w:r w:rsidRPr="00D653F2">
              <w:t>-</w:t>
            </w:r>
          </w:p>
        </w:tc>
        <w:tc>
          <w:tcPr>
            <w:tcW w:w="1024" w:type="dxa"/>
            <w:tcBorders>
              <w:top w:val="nil"/>
              <w:bottom w:val="single" w:sz="4" w:space="0" w:color="D9D9D9" w:themeColor="background1" w:themeShade="D9"/>
            </w:tcBorders>
          </w:tcPr>
          <w:p w14:paraId="7E5446A3" w14:textId="77777777" w:rsidR="00BB79D2" w:rsidRPr="00E94D8A" w:rsidRDefault="00BB79D2" w:rsidP="00BE303D">
            <w:pPr>
              <w:pStyle w:val="Tablecells"/>
              <w:jc w:val="right"/>
              <w:rPr>
                <w:szCs w:val="18"/>
                <w:lang w:val="es-ES"/>
              </w:rPr>
            </w:pPr>
            <w:r w:rsidRPr="00D653F2">
              <w:t>-</w:t>
            </w:r>
          </w:p>
        </w:tc>
        <w:tc>
          <w:tcPr>
            <w:tcW w:w="1024" w:type="dxa"/>
            <w:tcBorders>
              <w:top w:val="nil"/>
              <w:bottom w:val="single" w:sz="4" w:space="0" w:color="D9D9D9" w:themeColor="background1" w:themeShade="D9"/>
            </w:tcBorders>
          </w:tcPr>
          <w:p w14:paraId="0226DDD2" w14:textId="77777777" w:rsidR="00BB79D2" w:rsidRPr="00E94D8A" w:rsidRDefault="00BB79D2" w:rsidP="00BE303D">
            <w:pPr>
              <w:pStyle w:val="Tablecells"/>
              <w:jc w:val="right"/>
              <w:rPr>
                <w:szCs w:val="18"/>
                <w:lang w:val="es-ES"/>
              </w:rPr>
            </w:pPr>
            <w:r w:rsidRPr="00D653F2">
              <w:t>-</w:t>
            </w:r>
          </w:p>
        </w:tc>
        <w:tc>
          <w:tcPr>
            <w:tcW w:w="1024" w:type="dxa"/>
            <w:tcBorders>
              <w:top w:val="nil"/>
              <w:bottom w:val="single" w:sz="4" w:space="0" w:color="D9D9D9" w:themeColor="background1" w:themeShade="D9"/>
            </w:tcBorders>
          </w:tcPr>
          <w:p w14:paraId="2818657B" w14:textId="77777777" w:rsidR="00BB79D2" w:rsidRPr="00E94D8A" w:rsidRDefault="00BB79D2" w:rsidP="00BE303D">
            <w:pPr>
              <w:pStyle w:val="Tablecells"/>
              <w:jc w:val="right"/>
              <w:rPr>
                <w:szCs w:val="18"/>
                <w:lang w:val="es-ES"/>
              </w:rPr>
            </w:pPr>
            <w:r w:rsidRPr="00D653F2">
              <w:t>-</w:t>
            </w:r>
          </w:p>
        </w:tc>
        <w:tc>
          <w:tcPr>
            <w:tcW w:w="1024" w:type="dxa"/>
            <w:tcBorders>
              <w:top w:val="nil"/>
              <w:bottom w:val="single" w:sz="4" w:space="0" w:color="D9D9D9" w:themeColor="background1" w:themeShade="D9"/>
            </w:tcBorders>
          </w:tcPr>
          <w:p w14:paraId="4AF9EF42" w14:textId="77777777" w:rsidR="00BB79D2" w:rsidRPr="00E94D8A" w:rsidRDefault="00BB79D2" w:rsidP="00BE303D">
            <w:pPr>
              <w:pStyle w:val="Tablecells"/>
              <w:jc w:val="right"/>
              <w:rPr>
                <w:szCs w:val="18"/>
                <w:lang w:val="es-ES"/>
              </w:rPr>
            </w:pPr>
            <w:r w:rsidRPr="00D653F2">
              <w:t>-</w:t>
            </w:r>
          </w:p>
        </w:tc>
      </w:tr>
      <w:tr w:rsidR="00476F90" w:rsidRPr="00E94D8A" w14:paraId="3815E652" w14:textId="77777777" w:rsidTr="00476F90">
        <w:tc>
          <w:tcPr>
            <w:tcW w:w="2694" w:type="dxa"/>
            <w:vMerge w:val="restart"/>
            <w:tcBorders>
              <w:top w:val="single" w:sz="4"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A0F325D" w14:textId="77777777" w:rsidR="00BB79D2" w:rsidRDefault="00BB79D2" w:rsidP="007858D8">
            <w:pPr>
              <w:pStyle w:val="Tablecells"/>
              <w:jc w:val="center"/>
              <w:rPr>
                <w:lang w:val="es-ES"/>
              </w:rPr>
            </w:pPr>
            <w:r>
              <w:rPr>
                <w:lang w:val="es-ES"/>
              </w:rPr>
              <w:t>AT&amp;T</w:t>
            </w:r>
          </w:p>
        </w:tc>
        <w:tc>
          <w:tcPr>
            <w:tcW w:w="2126" w:type="dxa"/>
            <w:tcBorders>
              <w:top w:val="single" w:sz="4" w:space="0" w:color="D9D9D9" w:themeColor="background1" w:themeShade="D9"/>
              <w:left w:val="single" w:sz="2" w:space="0" w:color="D9D9D9" w:themeColor="background1" w:themeShade="D9"/>
              <w:bottom w:val="nil"/>
            </w:tcBorders>
          </w:tcPr>
          <w:p w14:paraId="040BDBF3" w14:textId="77777777" w:rsidR="00BB79D2" w:rsidRPr="00E94D8A" w:rsidRDefault="00BB79D2" w:rsidP="00BE303D">
            <w:pPr>
              <w:pStyle w:val="Tablecells"/>
              <w:rPr>
                <w:lang w:val="es-ES"/>
              </w:rPr>
            </w:pPr>
            <w:r w:rsidRPr="00201454">
              <w:t>TRUNKING</w:t>
            </w:r>
          </w:p>
        </w:tc>
        <w:tc>
          <w:tcPr>
            <w:tcW w:w="1023" w:type="dxa"/>
            <w:tcBorders>
              <w:top w:val="single" w:sz="4" w:space="0" w:color="D9D9D9" w:themeColor="background1" w:themeShade="D9"/>
              <w:bottom w:val="nil"/>
            </w:tcBorders>
          </w:tcPr>
          <w:p w14:paraId="5601BBAA" w14:textId="77777777" w:rsidR="00BB79D2" w:rsidRPr="00E94D8A" w:rsidRDefault="00BB79D2" w:rsidP="00BE303D">
            <w:pPr>
              <w:pStyle w:val="Tablecells"/>
              <w:jc w:val="right"/>
              <w:rPr>
                <w:szCs w:val="18"/>
                <w:lang w:val="es-ES"/>
              </w:rPr>
            </w:pPr>
            <w:r w:rsidRPr="006B5A68">
              <w:t>12.95</w:t>
            </w:r>
          </w:p>
        </w:tc>
        <w:tc>
          <w:tcPr>
            <w:tcW w:w="1024" w:type="dxa"/>
            <w:tcBorders>
              <w:top w:val="single" w:sz="4" w:space="0" w:color="D9D9D9" w:themeColor="background1" w:themeShade="D9"/>
              <w:bottom w:val="nil"/>
            </w:tcBorders>
          </w:tcPr>
          <w:p w14:paraId="1B89400D" w14:textId="77777777" w:rsidR="00BB79D2" w:rsidRPr="00E94D8A" w:rsidRDefault="00BB79D2" w:rsidP="00BE303D">
            <w:pPr>
              <w:pStyle w:val="Tablecells"/>
              <w:jc w:val="right"/>
              <w:rPr>
                <w:szCs w:val="18"/>
                <w:lang w:val="es-ES"/>
              </w:rPr>
            </w:pPr>
            <w:r w:rsidRPr="006B5A68">
              <w:t>22.45</w:t>
            </w:r>
          </w:p>
        </w:tc>
        <w:tc>
          <w:tcPr>
            <w:tcW w:w="1024" w:type="dxa"/>
            <w:gridSpan w:val="2"/>
            <w:tcBorders>
              <w:top w:val="single" w:sz="4" w:space="0" w:color="D9D9D9" w:themeColor="background1" w:themeShade="D9"/>
              <w:bottom w:val="nil"/>
            </w:tcBorders>
          </w:tcPr>
          <w:p w14:paraId="7B6AFDA6" w14:textId="77777777" w:rsidR="00BB79D2" w:rsidRPr="00E94D8A" w:rsidRDefault="00BB79D2" w:rsidP="00BE303D">
            <w:pPr>
              <w:pStyle w:val="Tablecells"/>
              <w:jc w:val="right"/>
              <w:rPr>
                <w:szCs w:val="18"/>
                <w:lang w:val="es-ES"/>
              </w:rPr>
            </w:pPr>
            <w:r w:rsidRPr="006B5A68">
              <w:t>21.95</w:t>
            </w:r>
          </w:p>
        </w:tc>
        <w:tc>
          <w:tcPr>
            <w:tcW w:w="1024" w:type="dxa"/>
            <w:tcBorders>
              <w:top w:val="single" w:sz="4" w:space="0" w:color="D9D9D9" w:themeColor="background1" w:themeShade="D9"/>
              <w:bottom w:val="nil"/>
            </w:tcBorders>
          </w:tcPr>
          <w:p w14:paraId="5291BBB8" w14:textId="77777777" w:rsidR="00BB79D2" w:rsidRPr="00E94D8A" w:rsidRDefault="00BB79D2" w:rsidP="00BE303D">
            <w:pPr>
              <w:pStyle w:val="Tablecells"/>
              <w:jc w:val="right"/>
              <w:rPr>
                <w:szCs w:val="18"/>
                <w:lang w:val="es-ES"/>
              </w:rPr>
            </w:pPr>
            <w:r w:rsidRPr="006B5A68">
              <w:t>21.95</w:t>
            </w:r>
          </w:p>
        </w:tc>
        <w:tc>
          <w:tcPr>
            <w:tcW w:w="1023" w:type="dxa"/>
            <w:tcBorders>
              <w:top w:val="single" w:sz="4" w:space="0" w:color="D9D9D9" w:themeColor="background1" w:themeShade="D9"/>
              <w:bottom w:val="nil"/>
            </w:tcBorders>
          </w:tcPr>
          <w:p w14:paraId="3BDB69C5" w14:textId="77777777" w:rsidR="00BB79D2" w:rsidRPr="00E94D8A" w:rsidRDefault="00BB79D2" w:rsidP="00BE303D">
            <w:pPr>
              <w:pStyle w:val="Tablecells"/>
              <w:jc w:val="right"/>
              <w:rPr>
                <w:szCs w:val="18"/>
                <w:lang w:val="es-ES"/>
              </w:rPr>
            </w:pPr>
            <w:r w:rsidRPr="006B5A68">
              <w:t>23.45</w:t>
            </w:r>
          </w:p>
        </w:tc>
        <w:tc>
          <w:tcPr>
            <w:tcW w:w="1024" w:type="dxa"/>
            <w:tcBorders>
              <w:top w:val="single" w:sz="4" w:space="0" w:color="D9D9D9" w:themeColor="background1" w:themeShade="D9"/>
              <w:bottom w:val="nil"/>
            </w:tcBorders>
          </w:tcPr>
          <w:p w14:paraId="6B7581EE" w14:textId="77777777" w:rsidR="00BB79D2" w:rsidRPr="00E94D8A" w:rsidRDefault="00BB79D2" w:rsidP="00BE303D">
            <w:pPr>
              <w:pStyle w:val="Tablecells"/>
              <w:jc w:val="right"/>
              <w:rPr>
                <w:szCs w:val="18"/>
                <w:lang w:val="es-ES"/>
              </w:rPr>
            </w:pPr>
            <w:r w:rsidRPr="006B5A68">
              <w:t>22.95</w:t>
            </w:r>
          </w:p>
        </w:tc>
        <w:tc>
          <w:tcPr>
            <w:tcW w:w="1024" w:type="dxa"/>
            <w:tcBorders>
              <w:top w:val="single" w:sz="4" w:space="0" w:color="D9D9D9" w:themeColor="background1" w:themeShade="D9"/>
              <w:bottom w:val="nil"/>
            </w:tcBorders>
          </w:tcPr>
          <w:p w14:paraId="16067FB9" w14:textId="77777777" w:rsidR="00BB79D2" w:rsidRPr="00E94D8A" w:rsidRDefault="00BB79D2" w:rsidP="00BE303D">
            <w:pPr>
              <w:pStyle w:val="Tablecells"/>
              <w:jc w:val="right"/>
              <w:rPr>
                <w:szCs w:val="18"/>
                <w:lang w:val="es-ES"/>
              </w:rPr>
            </w:pPr>
            <w:r w:rsidRPr="006B5A68">
              <w:t>23.70</w:t>
            </w:r>
          </w:p>
        </w:tc>
        <w:tc>
          <w:tcPr>
            <w:tcW w:w="1024" w:type="dxa"/>
            <w:tcBorders>
              <w:top w:val="single" w:sz="4" w:space="0" w:color="D9D9D9" w:themeColor="background1" w:themeShade="D9"/>
              <w:bottom w:val="nil"/>
            </w:tcBorders>
          </w:tcPr>
          <w:p w14:paraId="125EA437" w14:textId="77777777" w:rsidR="00BB79D2" w:rsidRPr="00E94D8A" w:rsidRDefault="00BB79D2" w:rsidP="00BE303D">
            <w:pPr>
              <w:pStyle w:val="Tablecells"/>
              <w:jc w:val="right"/>
              <w:rPr>
                <w:szCs w:val="18"/>
                <w:lang w:val="es-ES"/>
              </w:rPr>
            </w:pPr>
            <w:r w:rsidRPr="006B5A68">
              <w:t>25.45</w:t>
            </w:r>
          </w:p>
        </w:tc>
        <w:tc>
          <w:tcPr>
            <w:tcW w:w="1024" w:type="dxa"/>
            <w:tcBorders>
              <w:top w:val="single" w:sz="4" w:space="0" w:color="D9D9D9" w:themeColor="background1" w:themeShade="D9"/>
              <w:bottom w:val="nil"/>
            </w:tcBorders>
          </w:tcPr>
          <w:p w14:paraId="53CE9ACF" w14:textId="77777777" w:rsidR="00BB79D2" w:rsidRPr="00E94D8A" w:rsidRDefault="00BB79D2" w:rsidP="00BE303D">
            <w:pPr>
              <w:pStyle w:val="Tablecells"/>
              <w:jc w:val="right"/>
              <w:rPr>
                <w:szCs w:val="18"/>
                <w:lang w:val="es-ES"/>
              </w:rPr>
            </w:pPr>
            <w:r w:rsidRPr="006B5A68">
              <w:t>21.95</w:t>
            </w:r>
          </w:p>
        </w:tc>
      </w:tr>
      <w:tr w:rsidR="00476F90" w:rsidRPr="00E94D8A" w14:paraId="58DD2BC7" w14:textId="77777777" w:rsidTr="00476F90">
        <w:trPr>
          <w:cnfStyle w:val="000000100000" w:firstRow="0" w:lastRow="0" w:firstColumn="0" w:lastColumn="0" w:oddVBand="0" w:evenVBand="0" w:oddHBand="1" w:evenHBand="0" w:firstRowFirstColumn="0" w:firstRowLastColumn="0" w:lastRowFirstColumn="0" w:lastRowLastColumn="0"/>
        </w:trPr>
        <w:tc>
          <w:tcPr>
            <w:tcW w:w="2694" w:type="dxa"/>
            <w:vMerge/>
            <w:tcBorders>
              <w:top w:val="nil"/>
              <w:bottom w:val="single" w:sz="2" w:space="0" w:color="D9D9D9" w:themeColor="background1" w:themeShade="D9"/>
              <w:right w:val="single" w:sz="2" w:space="0" w:color="D9D9D9" w:themeColor="background1" w:themeShade="D9"/>
            </w:tcBorders>
            <w:shd w:val="clear" w:color="auto" w:fill="auto"/>
          </w:tcPr>
          <w:p w14:paraId="3B319994" w14:textId="77777777" w:rsidR="00F74A49" w:rsidRDefault="00F74A49" w:rsidP="00BE303D">
            <w:pPr>
              <w:pStyle w:val="Tablecells"/>
              <w:rPr>
                <w:lang w:val="es-ES"/>
              </w:rPr>
            </w:pPr>
          </w:p>
        </w:tc>
        <w:tc>
          <w:tcPr>
            <w:tcW w:w="2126" w:type="dxa"/>
            <w:tcBorders>
              <w:top w:val="nil"/>
              <w:left w:val="single" w:sz="2" w:space="0" w:color="D9D9D9" w:themeColor="background1" w:themeShade="D9"/>
              <w:bottom w:val="nil"/>
            </w:tcBorders>
          </w:tcPr>
          <w:p w14:paraId="78DD88AC" w14:textId="77777777" w:rsidR="00F74A49" w:rsidRPr="00E94D8A" w:rsidRDefault="00F74A49" w:rsidP="00BE303D">
            <w:pPr>
              <w:pStyle w:val="Tablecells"/>
              <w:rPr>
                <w:lang w:val="es-ES"/>
              </w:rPr>
            </w:pPr>
            <w:r w:rsidRPr="00201454">
              <w:t>CEL</w:t>
            </w:r>
          </w:p>
        </w:tc>
        <w:tc>
          <w:tcPr>
            <w:tcW w:w="1023" w:type="dxa"/>
            <w:tcBorders>
              <w:top w:val="nil"/>
              <w:bottom w:val="nil"/>
            </w:tcBorders>
          </w:tcPr>
          <w:p w14:paraId="65D11A61" w14:textId="77777777" w:rsidR="00F74A49" w:rsidRPr="00E94D8A" w:rsidRDefault="00F74A49" w:rsidP="00BE303D">
            <w:pPr>
              <w:pStyle w:val="Tablecells"/>
              <w:jc w:val="right"/>
              <w:rPr>
                <w:szCs w:val="18"/>
                <w:lang w:val="es-ES"/>
              </w:rPr>
            </w:pPr>
            <w:r w:rsidRPr="00580E50">
              <w:t>-</w:t>
            </w:r>
          </w:p>
        </w:tc>
        <w:tc>
          <w:tcPr>
            <w:tcW w:w="1024" w:type="dxa"/>
            <w:tcBorders>
              <w:top w:val="nil"/>
              <w:bottom w:val="nil"/>
            </w:tcBorders>
          </w:tcPr>
          <w:p w14:paraId="21EDEAA9" w14:textId="77777777" w:rsidR="00F74A49" w:rsidRPr="00E94D8A" w:rsidRDefault="00F74A49" w:rsidP="00BE303D">
            <w:pPr>
              <w:pStyle w:val="Tablecells"/>
              <w:jc w:val="right"/>
              <w:rPr>
                <w:szCs w:val="18"/>
                <w:lang w:val="es-ES"/>
              </w:rPr>
            </w:pPr>
            <w:r w:rsidRPr="00580E50">
              <w:t xml:space="preserve"> -</w:t>
            </w:r>
          </w:p>
        </w:tc>
        <w:tc>
          <w:tcPr>
            <w:tcW w:w="1024" w:type="dxa"/>
            <w:gridSpan w:val="2"/>
            <w:tcBorders>
              <w:top w:val="nil"/>
              <w:bottom w:val="nil"/>
            </w:tcBorders>
          </w:tcPr>
          <w:p w14:paraId="3F500CB1" w14:textId="77777777" w:rsidR="00F74A49" w:rsidRPr="00E94D8A" w:rsidRDefault="00F74A49" w:rsidP="00BE303D">
            <w:pPr>
              <w:pStyle w:val="Tablecells"/>
              <w:jc w:val="right"/>
              <w:rPr>
                <w:szCs w:val="18"/>
                <w:lang w:val="es-ES"/>
              </w:rPr>
            </w:pPr>
            <w:r w:rsidRPr="00580E50">
              <w:t>-</w:t>
            </w:r>
          </w:p>
        </w:tc>
        <w:tc>
          <w:tcPr>
            <w:tcW w:w="1024" w:type="dxa"/>
            <w:tcBorders>
              <w:top w:val="nil"/>
              <w:bottom w:val="nil"/>
            </w:tcBorders>
          </w:tcPr>
          <w:p w14:paraId="7D03BE16" w14:textId="77777777" w:rsidR="00F74A49" w:rsidRPr="00E94D8A" w:rsidRDefault="00F74A49" w:rsidP="00BE303D">
            <w:pPr>
              <w:pStyle w:val="Tablecells"/>
              <w:jc w:val="right"/>
              <w:rPr>
                <w:szCs w:val="18"/>
                <w:lang w:val="es-ES"/>
              </w:rPr>
            </w:pPr>
            <w:r w:rsidRPr="00580E50">
              <w:t>-</w:t>
            </w:r>
          </w:p>
        </w:tc>
        <w:tc>
          <w:tcPr>
            <w:tcW w:w="1023" w:type="dxa"/>
            <w:tcBorders>
              <w:top w:val="nil"/>
              <w:bottom w:val="nil"/>
            </w:tcBorders>
          </w:tcPr>
          <w:p w14:paraId="13A03F64" w14:textId="77777777" w:rsidR="00F74A49" w:rsidRPr="00E94D8A" w:rsidRDefault="00F74A49" w:rsidP="00BE303D">
            <w:pPr>
              <w:pStyle w:val="Tablecells"/>
              <w:jc w:val="right"/>
              <w:rPr>
                <w:szCs w:val="18"/>
                <w:lang w:val="es-ES"/>
              </w:rPr>
            </w:pPr>
            <w:r w:rsidRPr="00580E50">
              <w:t xml:space="preserve">20.00 </w:t>
            </w:r>
          </w:p>
        </w:tc>
        <w:tc>
          <w:tcPr>
            <w:tcW w:w="1024" w:type="dxa"/>
            <w:tcBorders>
              <w:top w:val="nil"/>
              <w:bottom w:val="nil"/>
            </w:tcBorders>
          </w:tcPr>
          <w:p w14:paraId="05AC9A4D" w14:textId="77777777" w:rsidR="00F74A49" w:rsidRPr="00E94D8A" w:rsidRDefault="00F74A49" w:rsidP="00BE303D">
            <w:pPr>
              <w:pStyle w:val="Tablecells"/>
              <w:jc w:val="right"/>
              <w:rPr>
                <w:szCs w:val="18"/>
                <w:lang w:val="es-ES"/>
              </w:rPr>
            </w:pPr>
            <w:r w:rsidRPr="00580E50">
              <w:t xml:space="preserve">25.00 </w:t>
            </w:r>
          </w:p>
        </w:tc>
        <w:tc>
          <w:tcPr>
            <w:tcW w:w="1024" w:type="dxa"/>
            <w:tcBorders>
              <w:top w:val="nil"/>
              <w:bottom w:val="nil"/>
            </w:tcBorders>
          </w:tcPr>
          <w:p w14:paraId="49A82D93" w14:textId="77777777" w:rsidR="00F74A49" w:rsidRPr="00E94D8A" w:rsidRDefault="00F74A49" w:rsidP="00BE303D">
            <w:pPr>
              <w:pStyle w:val="Tablecells"/>
              <w:jc w:val="right"/>
              <w:rPr>
                <w:szCs w:val="18"/>
                <w:lang w:val="es-ES"/>
              </w:rPr>
            </w:pPr>
            <w:r w:rsidRPr="00580E50">
              <w:t xml:space="preserve">20.00 </w:t>
            </w:r>
          </w:p>
        </w:tc>
        <w:tc>
          <w:tcPr>
            <w:tcW w:w="1024" w:type="dxa"/>
            <w:tcBorders>
              <w:top w:val="nil"/>
              <w:bottom w:val="nil"/>
            </w:tcBorders>
          </w:tcPr>
          <w:p w14:paraId="53E943AE" w14:textId="77777777" w:rsidR="00F74A49" w:rsidRPr="00E94D8A" w:rsidRDefault="00F74A49" w:rsidP="00BE303D">
            <w:pPr>
              <w:pStyle w:val="Tablecells"/>
              <w:jc w:val="right"/>
              <w:rPr>
                <w:szCs w:val="18"/>
                <w:lang w:val="es-ES"/>
              </w:rPr>
            </w:pPr>
            <w:r w:rsidRPr="00580E50">
              <w:t xml:space="preserve">20.00 </w:t>
            </w:r>
          </w:p>
        </w:tc>
        <w:tc>
          <w:tcPr>
            <w:tcW w:w="1024" w:type="dxa"/>
            <w:tcBorders>
              <w:top w:val="nil"/>
              <w:bottom w:val="nil"/>
            </w:tcBorders>
          </w:tcPr>
          <w:p w14:paraId="36D65DE7" w14:textId="77777777" w:rsidR="00F74A49" w:rsidRPr="00E94D8A" w:rsidRDefault="00F74A49" w:rsidP="00BE303D">
            <w:pPr>
              <w:pStyle w:val="Tablecells"/>
              <w:jc w:val="right"/>
              <w:rPr>
                <w:szCs w:val="18"/>
                <w:lang w:val="es-ES"/>
              </w:rPr>
            </w:pPr>
            <w:r w:rsidRPr="00580E50">
              <w:t xml:space="preserve">25.00 </w:t>
            </w:r>
          </w:p>
        </w:tc>
      </w:tr>
      <w:tr w:rsidR="00476F90" w:rsidRPr="00E94D8A" w14:paraId="211E1487" w14:textId="77777777" w:rsidTr="00476F90">
        <w:tc>
          <w:tcPr>
            <w:tcW w:w="2694" w:type="dxa"/>
            <w:tcBorders>
              <w:top w:val="nil"/>
              <w:bottom w:val="single" w:sz="2" w:space="0" w:color="D9D9D9" w:themeColor="background1" w:themeShade="D9"/>
              <w:right w:val="single" w:sz="2" w:space="0" w:color="D9D9D9" w:themeColor="background1" w:themeShade="D9"/>
            </w:tcBorders>
            <w:shd w:val="clear" w:color="auto" w:fill="auto"/>
          </w:tcPr>
          <w:p w14:paraId="37E5485C" w14:textId="77777777" w:rsidR="00F74A49" w:rsidRDefault="00F74A49" w:rsidP="00BE303D">
            <w:pPr>
              <w:pStyle w:val="Tablecells"/>
              <w:rPr>
                <w:lang w:val="es-ES"/>
              </w:rPr>
            </w:pPr>
          </w:p>
        </w:tc>
        <w:tc>
          <w:tcPr>
            <w:tcW w:w="2126" w:type="dxa"/>
            <w:tcBorders>
              <w:top w:val="nil"/>
              <w:left w:val="single" w:sz="2" w:space="0" w:color="D9D9D9" w:themeColor="background1" w:themeShade="D9"/>
              <w:bottom w:val="nil"/>
            </w:tcBorders>
          </w:tcPr>
          <w:p w14:paraId="7215CDCE" w14:textId="77777777" w:rsidR="00F74A49" w:rsidRPr="00E94D8A" w:rsidRDefault="00F74A49" w:rsidP="00BE303D">
            <w:pPr>
              <w:pStyle w:val="Tablecells"/>
              <w:rPr>
                <w:lang w:val="es-ES"/>
              </w:rPr>
            </w:pPr>
            <w:r w:rsidRPr="00201454">
              <w:t>PCS</w:t>
            </w:r>
          </w:p>
        </w:tc>
        <w:tc>
          <w:tcPr>
            <w:tcW w:w="1023" w:type="dxa"/>
            <w:tcBorders>
              <w:top w:val="nil"/>
              <w:bottom w:val="nil"/>
            </w:tcBorders>
          </w:tcPr>
          <w:p w14:paraId="4985569D" w14:textId="77777777" w:rsidR="00F74A49" w:rsidRPr="00E94D8A" w:rsidRDefault="00F74A49" w:rsidP="00BE303D">
            <w:pPr>
              <w:pStyle w:val="Tablecells"/>
              <w:jc w:val="right"/>
              <w:rPr>
                <w:szCs w:val="18"/>
                <w:lang w:val="es-ES"/>
              </w:rPr>
            </w:pPr>
            <w:r w:rsidRPr="00016691">
              <w:t>51.60</w:t>
            </w:r>
          </w:p>
        </w:tc>
        <w:tc>
          <w:tcPr>
            <w:tcW w:w="1024" w:type="dxa"/>
            <w:tcBorders>
              <w:top w:val="nil"/>
              <w:bottom w:val="nil"/>
            </w:tcBorders>
          </w:tcPr>
          <w:p w14:paraId="1B58ABC4" w14:textId="77777777" w:rsidR="00F74A49" w:rsidRPr="00E94D8A" w:rsidRDefault="00F74A49" w:rsidP="00BE303D">
            <w:pPr>
              <w:pStyle w:val="Tablecells"/>
              <w:jc w:val="right"/>
              <w:rPr>
                <w:szCs w:val="18"/>
                <w:lang w:val="es-ES"/>
              </w:rPr>
            </w:pPr>
            <w:r w:rsidRPr="00016691">
              <w:t>41.60</w:t>
            </w:r>
            <w:bookmarkStart w:id="47" w:name="_Ref452547101"/>
            <w:r>
              <w:rPr>
                <w:rStyle w:val="Refdenotaalpie"/>
              </w:rPr>
              <w:footnoteReference w:id="16"/>
            </w:r>
            <w:bookmarkEnd w:id="47"/>
            <w:r w:rsidRPr="00016691">
              <w:t xml:space="preserve"> </w:t>
            </w:r>
          </w:p>
        </w:tc>
        <w:tc>
          <w:tcPr>
            <w:tcW w:w="1024" w:type="dxa"/>
            <w:gridSpan w:val="2"/>
            <w:tcBorders>
              <w:top w:val="nil"/>
              <w:bottom w:val="nil"/>
            </w:tcBorders>
          </w:tcPr>
          <w:p w14:paraId="33C232CE" w14:textId="77777777" w:rsidR="00F74A49" w:rsidRPr="00E94D8A" w:rsidRDefault="00F604B4" w:rsidP="00BE303D">
            <w:pPr>
              <w:pStyle w:val="Tablecells"/>
              <w:jc w:val="right"/>
              <w:rPr>
                <w:szCs w:val="18"/>
                <w:lang w:val="es-ES"/>
              </w:rPr>
            </w:pPr>
            <w:r>
              <w:t>31.60</w:t>
            </w:r>
            <w:r w:rsidRPr="007858D8">
              <w:rPr>
                <w:rStyle w:val="Refdenotaalpie"/>
              </w:rPr>
              <w:fldChar w:fldCharType="begin"/>
            </w:r>
            <w:r w:rsidRPr="007858D8">
              <w:rPr>
                <w:rStyle w:val="Refdenotaalpie"/>
              </w:rPr>
              <w:instrText xml:space="preserve"> NOTEREF _Ref452547101 \h </w:instrText>
            </w:r>
            <w:r>
              <w:rPr>
                <w:rStyle w:val="Refdenotaalpie"/>
              </w:rPr>
              <w:instrText xml:space="preserve"> \* MERGEFORMAT </w:instrText>
            </w:r>
            <w:r w:rsidRPr="007858D8">
              <w:rPr>
                <w:rStyle w:val="Refdenotaalpie"/>
              </w:rPr>
            </w:r>
            <w:r w:rsidRPr="007858D8">
              <w:rPr>
                <w:rStyle w:val="Refdenotaalpie"/>
              </w:rPr>
              <w:fldChar w:fldCharType="separate"/>
            </w:r>
            <w:r w:rsidR="00B426BC">
              <w:rPr>
                <w:rStyle w:val="Refdenotaalpie"/>
              </w:rPr>
              <w:t>12</w:t>
            </w:r>
            <w:r w:rsidRPr="007858D8">
              <w:rPr>
                <w:rStyle w:val="Refdenotaalpie"/>
              </w:rPr>
              <w:fldChar w:fldCharType="end"/>
            </w:r>
          </w:p>
        </w:tc>
        <w:tc>
          <w:tcPr>
            <w:tcW w:w="1024" w:type="dxa"/>
            <w:tcBorders>
              <w:top w:val="nil"/>
              <w:bottom w:val="nil"/>
            </w:tcBorders>
          </w:tcPr>
          <w:p w14:paraId="3C23CFF2" w14:textId="77777777" w:rsidR="00F74A49" w:rsidRPr="00E94D8A" w:rsidRDefault="00F74A49" w:rsidP="00F604B4">
            <w:pPr>
              <w:pStyle w:val="Tablecells"/>
              <w:jc w:val="right"/>
              <w:rPr>
                <w:szCs w:val="18"/>
                <w:lang w:val="es-ES"/>
              </w:rPr>
            </w:pPr>
            <w:r w:rsidRPr="00016691">
              <w:t>41.60</w:t>
            </w:r>
            <w:r w:rsidR="00F604B4" w:rsidRPr="007858D8">
              <w:rPr>
                <w:rStyle w:val="Refdenotaalpie"/>
              </w:rPr>
              <w:fldChar w:fldCharType="begin"/>
            </w:r>
            <w:r w:rsidR="00F604B4" w:rsidRPr="007858D8">
              <w:rPr>
                <w:rStyle w:val="Refdenotaalpie"/>
              </w:rPr>
              <w:instrText xml:space="preserve"> NOTEREF _Ref452547101 \h </w:instrText>
            </w:r>
            <w:r w:rsidR="00F604B4">
              <w:rPr>
                <w:rStyle w:val="Refdenotaalpie"/>
              </w:rPr>
              <w:instrText xml:space="preserve"> \* MERGEFORMAT </w:instrText>
            </w:r>
            <w:r w:rsidR="00F604B4" w:rsidRPr="007858D8">
              <w:rPr>
                <w:rStyle w:val="Refdenotaalpie"/>
              </w:rPr>
            </w:r>
            <w:r w:rsidR="00F604B4" w:rsidRPr="007858D8">
              <w:rPr>
                <w:rStyle w:val="Refdenotaalpie"/>
              </w:rPr>
              <w:fldChar w:fldCharType="separate"/>
            </w:r>
            <w:r w:rsidR="00B426BC">
              <w:rPr>
                <w:rStyle w:val="Refdenotaalpie"/>
              </w:rPr>
              <w:t>12</w:t>
            </w:r>
            <w:r w:rsidR="00F604B4" w:rsidRPr="007858D8">
              <w:rPr>
                <w:rStyle w:val="Refdenotaalpie"/>
              </w:rPr>
              <w:fldChar w:fldCharType="end"/>
            </w:r>
          </w:p>
        </w:tc>
        <w:tc>
          <w:tcPr>
            <w:tcW w:w="1023" w:type="dxa"/>
            <w:tcBorders>
              <w:top w:val="nil"/>
              <w:bottom w:val="nil"/>
            </w:tcBorders>
          </w:tcPr>
          <w:p w14:paraId="44ED38DA" w14:textId="77777777" w:rsidR="00F74A49" w:rsidRPr="00E94D8A" w:rsidRDefault="00F74A49" w:rsidP="00BE303D">
            <w:pPr>
              <w:pStyle w:val="Tablecells"/>
              <w:jc w:val="right"/>
              <w:rPr>
                <w:szCs w:val="18"/>
                <w:lang w:val="es-ES"/>
              </w:rPr>
            </w:pPr>
            <w:r w:rsidRPr="00016691">
              <w:t>41.60</w:t>
            </w:r>
          </w:p>
        </w:tc>
        <w:tc>
          <w:tcPr>
            <w:tcW w:w="1024" w:type="dxa"/>
            <w:tcBorders>
              <w:top w:val="nil"/>
              <w:bottom w:val="nil"/>
            </w:tcBorders>
          </w:tcPr>
          <w:p w14:paraId="5BAAD70A" w14:textId="77777777" w:rsidR="00F74A49" w:rsidRPr="00E94D8A" w:rsidRDefault="00F604B4" w:rsidP="00BE303D">
            <w:pPr>
              <w:pStyle w:val="Tablecells"/>
              <w:jc w:val="right"/>
              <w:rPr>
                <w:szCs w:val="18"/>
                <w:lang w:val="es-ES"/>
              </w:rPr>
            </w:pPr>
            <w:r>
              <w:t>31.60</w:t>
            </w:r>
            <w:r w:rsidRPr="007858D8">
              <w:rPr>
                <w:rStyle w:val="Refdenotaalpie"/>
              </w:rPr>
              <w:fldChar w:fldCharType="begin"/>
            </w:r>
            <w:r w:rsidRPr="007858D8">
              <w:rPr>
                <w:rStyle w:val="Refdenotaalpie"/>
              </w:rPr>
              <w:instrText xml:space="preserve"> NOTEREF _Ref452547101 \h </w:instrText>
            </w:r>
            <w:r>
              <w:rPr>
                <w:rStyle w:val="Refdenotaalpie"/>
              </w:rPr>
              <w:instrText xml:space="preserve"> \* MERGEFORMAT </w:instrText>
            </w:r>
            <w:r w:rsidRPr="007858D8">
              <w:rPr>
                <w:rStyle w:val="Refdenotaalpie"/>
              </w:rPr>
            </w:r>
            <w:r w:rsidRPr="007858D8">
              <w:rPr>
                <w:rStyle w:val="Refdenotaalpie"/>
              </w:rPr>
              <w:fldChar w:fldCharType="separate"/>
            </w:r>
            <w:r w:rsidR="00B426BC">
              <w:rPr>
                <w:rStyle w:val="Refdenotaalpie"/>
              </w:rPr>
              <w:t>12</w:t>
            </w:r>
            <w:r w:rsidRPr="007858D8">
              <w:rPr>
                <w:rStyle w:val="Refdenotaalpie"/>
              </w:rPr>
              <w:fldChar w:fldCharType="end"/>
            </w:r>
          </w:p>
        </w:tc>
        <w:tc>
          <w:tcPr>
            <w:tcW w:w="1024" w:type="dxa"/>
            <w:tcBorders>
              <w:top w:val="nil"/>
              <w:bottom w:val="nil"/>
            </w:tcBorders>
          </w:tcPr>
          <w:p w14:paraId="44087E4A" w14:textId="77777777" w:rsidR="00F74A49" w:rsidRPr="00E94D8A" w:rsidRDefault="00F604B4" w:rsidP="00BE303D">
            <w:pPr>
              <w:pStyle w:val="Tablecells"/>
              <w:jc w:val="right"/>
              <w:rPr>
                <w:szCs w:val="18"/>
                <w:lang w:val="es-ES"/>
              </w:rPr>
            </w:pPr>
            <w:r>
              <w:t>31.60</w:t>
            </w:r>
            <w:r w:rsidRPr="007858D8">
              <w:rPr>
                <w:rStyle w:val="Refdenotaalpie"/>
              </w:rPr>
              <w:fldChar w:fldCharType="begin"/>
            </w:r>
            <w:r w:rsidRPr="007858D8">
              <w:rPr>
                <w:rStyle w:val="Refdenotaalpie"/>
              </w:rPr>
              <w:instrText xml:space="preserve"> NOTEREF _Ref452547101 \h </w:instrText>
            </w:r>
            <w:r>
              <w:rPr>
                <w:rStyle w:val="Refdenotaalpie"/>
              </w:rPr>
              <w:instrText xml:space="preserve"> \* MERGEFORMAT </w:instrText>
            </w:r>
            <w:r w:rsidRPr="007858D8">
              <w:rPr>
                <w:rStyle w:val="Refdenotaalpie"/>
              </w:rPr>
            </w:r>
            <w:r w:rsidRPr="007858D8">
              <w:rPr>
                <w:rStyle w:val="Refdenotaalpie"/>
              </w:rPr>
              <w:fldChar w:fldCharType="separate"/>
            </w:r>
            <w:r w:rsidR="00B426BC">
              <w:rPr>
                <w:rStyle w:val="Refdenotaalpie"/>
              </w:rPr>
              <w:t>12</w:t>
            </w:r>
            <w:r w:rsidRPr="007858D8">
              <w:rPr>
                <w:rStyle w:val="Refdenotaalpie"/>
              </w:rPr>
              <w:fldChar w:fldCharType="end"/>
            </w:r>
          </w:p>
        </w:tc>
        <w:tc>
          <w:tcPr>
            <w:tcW w:w="1024" w:type="dxa"/>
            <w:tcBorders>
              <w:top w:val="nil"/>
              <w:bottom w:val="nil"/>
            </w:tcBorders>
          </w:tcPr>
          <w:p w14:paraId="14E1A6B1" w14:textId="77777777" w:rsidR="00F74A49" w:rsidRPr="00E94D8A" w:rsidRDefault="00F74A49" w:rsidP="00BE303D">
            <w:pPr>
              <w:pStyle w:val="Tablecells"/>
              <w:jc w:val="right"/>
              <w:rPr>
                <w:szCs w:val="18"/>
                <w:lang w:val="es-ES"/>
              </w:rPr>
            </w:pPr>
            <w:r w:rsidRPr="00016691">
              <w:t>31.60</w:t>
            </w:r>
          </w:p>
        </w:tc>
        <w:tc>
          <w:tcPr>
            <w:tcW w:w="1024" w:type="dxa"/>
            <w:tcBorders>
              <w:top w:val="nil"/>
              <w:bottom w:val="nil"/>
            </w:tcBorders>
          </w:tcPr>
          <w:p w14:paraId="2FC4848E" w14:textId="77777777" w:rsidR="00F74A49" w:rsidRPr="00E94D8A" w:rsidRDefault="00F604B4" w:rsidP="00BE303D">
            <w:pPr>
              <w:pStyle w:val="Tablecells"/>
              <w:jc w:val="right"/>
              <w:rPr>
                <w:szCs w:val="18"/>
                <w:lang w:val="es-ES"/>
              </w:rPr>
            </w:pPr>
            <w:r>
              <w:t>21.60</w:t>
            </w:r>
            <w:r w:rsidRPr="007858D8">
              <w:rPr>
                <w:rStyle w:val="Refdenotaalpie"/>
              </w:rPr>
              <w:fldChar w:fldCharType="begin"/>
            </w:r>
            <w:r w:rsidRPr="007858D8">
              <w:rPr>
                <w:rStyle w:val="Refdenotaalpie"/>
              </w:rPr>
              <w:instrText xml:space="preserve"> NOTEREF _Ref452547101 \h </w:instrText>
            </w:r>
            <w:r>
              <w:rPr>
                <w:rStyle w:val="Refdenotaalpie"/>
              </w:rPr>
              <w:instrText xml:space="preserve"> \* MERGEFORMAT </w:instrText>
            </w:r>
            <w:r w:rsidRPr="007858D8">
              <w:rPr>
                <w:rStyle w:val="Refdenotaalpie"/>
              </w:rPr>
            </w:r>
            <w:r w:rsidRPr="007858D8">
              <w:rPr>
                <w:rStyle w:val="Refdenotaalpie"/>
              </w:rPr>
              <w:fldChar w:fldCharType="separate"/>
            </w:r>
            <w:r w:rsidR="00B426BC">
              <w:rPr>
                <w:rStyle w:val="Refdenotaalpie"/>
              </w:rPr>
              <w:t>12</w:t>
            </w:r>
            <w:r w:rsidRPr="007858D8">
              <w:rPr>
                <w:rStyle w:val="Refdenotaalpie"/>
              </w:rPr>
              <w:fldChar w:fldCharType="end"/>
            </w:r>
          </w:p>
        </w:tc>
      </w:tr>
      <w:tr w:rsidR="00476F90" w:rsidRPr="00E94D8A" w14:paraId="2C3A8A6F" w14:textId="77777777" w:rsidTr="00476F90">
        <w:trPr>
          <w:cnfStyle w:val="000000100000" w:firstRow="0" w:lastRow="0" w:firstColumn="0" w:lastColumn="0" w:oddVBand="0" w:evenVBand="0" w:oddHBand="1" w:evenHBand="0" w:firstRowFirstColumn="0" w:firstRowLastColumn="0" w:lastRowFirstColumn="0" w:lastRowLastColumn="0"/>
        </w:trPr>
        <w:tc>
          <w:tcPr>
            <w:tcW w:w="2694" w:type="dxa"/>
            <w:tcBorders>
              <w:top w:val="nil"/>
              <w:bottom w:val="nil"/>
              <w:right w:val="single" w:sz="2" w:space="0" w:color="D9D9D9" w:themeColor="background1" w:themeShade="D9"/>
            </w:tcBorders>
            <w:shd w:val="clear" w:color="auto" w:fill="auto"/>
          </w:tcPr>
          <w:p w14:paraId="1A0649D3" w14:textId="77777777" w:rsidR="00F74A49" w:rsidRDefault="00F74A49" w:rsidP="00BE303D">
            <w:pPr>
              <w:pStyle w:val="Tablecells"/>
              <w:rPr>
                <w:lang w:val="es-ES"/>
              </w:rPr>
            </w:pPr>
          </w:p>
        </w:tc>
        <w:tc>
          <w:tcPr>
            <w:tcW w:w="2126" w:type="dxa"/>
            <w:tcBorders>
              <w:top w:val="nil"/>
              <w:left w:val="single" w:sz="2" w:space="0" w:color="D9D9D9" w:themeColor="background1" w:themeShade="D9"/>
              <w:bottom w:val="nil"/>
            </w:tcBorders>
          </w:tcPr>
          <w:p w14:paraId="7E4AE1C4" w14:textId="77777777" w:rsidR="00F74A49" w:rsidRPr="00E94D8A" w:rsidRDefault="00F74A49" w:rsidP="00F604B4">
            <w:pPr>
              <w:pStyle w:val="Tablecells"/>
              <w:rPr>
                <w:lang w:val="es-ES"/>
              </w:rPr>
            </w:pPr>
            <w:r w:rsidRPr="00201454">
              <w:t>AWS</w:t>
            </w:r>
          </w:p>
        </w:tc>
        <w:tc>
          <w:tcPr>
            <w:tcW w:w="1023" w:type="dxa"/>
            <w:tcBorders>
              <w:top w:val="nil"/>
              <w:bottom w:val="nil"/>
            </w:tcBorders>
          </w:tcPr>
          <w:p w14:paraId="19C40C4C" w14:textId="77777777" w:rsidR="00F74A49" w:rsidRPr="00E94D8A" w:rsidRDefault="00F74A49" w:rsidP="00BE303D">
            <w:pPr>
              <w:pStyle w:val="Tablecells"/>
              <w:jc w:val="right"/>
              <w:rPr>
                <w:szCs w:val="18"/>
                <w:lang w:val="es-ES"/>
              </w:rPr>
            </w:pPr>
            <w:r w:rsidRPr="001C0763">
              <w:t>50.00</w:t>
            </w:r>
          </w:p>
        </w:tc>
        <w:tc>
          <w:tcPr>
            <w:tcW w:w="1024" w:type="dxa"/>
            <w:tcBorders>
              <w:top w:val="nil"/>
              <w:bottom w:val="nil"/>
            </w:tcBorders>
          </w:tcPr>
          <w:p w14:paraId="11188F43" w14:textId="77777777" w:rsidR="00F74A49" w:rsidRPr="00E94D8A" w:rsidRDefault="00F74A49" w:rsidP="00BE303D">
            <w:pPr>
              <w:pStyle w:val="Tablecells"/>
              <w:jc w:val="right"/>
              <w:rPr>
                <w:szCs w:val="18"/>
                <w:lang w:val="es-ES"/>
              </w:rPr>
            </w:pPr>
            <w:r w:rsidRPr="001C0763">
              <w:t>50.00</w:t>
            </w:r>
          </w:p>
        </w:tc>
        <w:tc>
          <w:tcPr>
            <w:tcW w:w="1024" w:type="dxa"/>
            <w:gridSpan w:val="2"/>
            <w:tcBorders>
              <w:top w:val="nil"/>
              <w:bottom w:val="nil"/>
            </w:tcBorders>
          </w:tcPr>
          <w:p w14:paraId="763CB409" w14:textId="77777777" w:rsidR="00F74A49" w:rsidRPr="00E94D8A" w:rsidRDefault="00F74A49" w:rsidP="00BE303D">
            <w:pPr>
              <w:pStyle w:val="Tablecells"/>
              <w:jc w:val="right"/>
              <w:rPr>
                <w:szCs w:val="18"/>
                <w:lang w:val="es-ES"/>
              </w:rPr>
            </w:pPr>
            <w:r w:rsidRPr="001C0763">
              <w:t>50.00</w:t>
            </w:r>
          </w:p>
        </w:tc>
        <w:tc>
          <w:tcPr>
            <w:tcW w:w="1024" w:type="dxa"/>
            <w:tcBorders>
              <w:top w:val="nil"/>
              <w:bottom w:val="nil"/>
            </w:tcBorders>
          </w:tcPr>
          <w:p w14:paraId="11D3AE0A" w14:textId="77777777" w:rsidR="00F74A49" w:rsidRPr="00E94D8A" w:rsidRDefault="00F74A49" w:rsidP="00BE303D">
            <w:pPr>
              <w:pStyle w:val="Tablecells"/>
              <w:jc w:val="right"/>
              <w:rPr>
                <w:szCs w:val="18"/>
                <w:lang w:val="es-ES"/>
              </w:rPr>
            </w:pPr>
            <w:r w:rsidRPr="001C0763">
              <w:t>50.00</w:t>
            </w:r>
          </w:p>
        </w:tc>
        <w:tc>
          <w:tcPr>
            <w:tcW w:w="1023" w:type="dxa"/>
            <w:tcBorders>
              <w:top w:val="nil"/>
              <w:bottom w:val="nil"/>
            </w:tcBorders>
          </w:tcPr>
          <w:p w14:paraId="00C87759" w14:textId="77777777" w:rsidR="00F74A49" w:rsidRPr="00E94D8A" w:rsidRDefault="00F74A49" w:rsidP="00BE303D">
            <w:pPr>
              <w:pStyle w:val="Tablecells"/>
              <w:jc w:val="right"/>
              <w:rPr>
                <w:szCs w:val="18"/>
                <w:lang w:val="es-ES"/>
              </w:rPr>
            </w:pPr>
            <w:r w:rsidRPr="001C0763">
              <w:t>50.00</w:t>
            </w:r>
          </w:p>
        </w:tc>
        <w:tc>
          <w:tcPr>
            <w:tcW w:w="1024" w:type="dxa"/>
            <w:tcBorders>
              <w:top w:val="nil"/>
              <w:bottom w:val="nil"/>
            </w:tcBorders>
          </w:tcPr>
          <w:p w14:paraId="25975046" w14:textId="77777777" w:rsidR="00F74A49" w:rsidRPr="00E94D8A" w:rsidRDefault="00F74A49" w:rsidP="00BE303D">
            <w:pPr>
              <w:pStyle w:val="Tablecells"/>
              <w:jc w:val="right"/>
              <w:rPr>
                <w:szCs w:val="18"/>
                <w:lang w:val="es-ES"/>
              </w:rPr>
            </w:pPr>
            <w:r w:rsidRPr="001C0763">
              <w:t>50.00</w:t>
            </w:r>
          </w:p>
        </w:tc>
        <w:tc>
          <w:tcPr>
            <w:tcW w:w="1024" w:type="dxa"/>
            <w:tcBorders>
              <w:top w:val="nil"/>
              <w:bottom w:val="nil"/>
            </w:tcBorders>
          </w:tcPr>
          <w:p w14:paraId="38EF5716" w14:textId="77777777" w:rsidR="00F74A49" w:rsidRPr="00E94D8A" w:rsidRDefault="00F74A49" w:rsidP="00BE303D">
            <w:pPr>
              <w:pStyle w:val="Tablecells"/>
              <w:jc w:val="right"/>
              <w:rPr>
                <w:szCs w:val="18"/>
                <w:lang w:val="es-ES"/>
              </w:rPr>
            </w:pPr>
            <w:r w:rsidRPr="001C0763">
              <w:t>50.00</w:t>
            </w:r>
          </w:p>
        </w:tc>
        <w:tc>
          <w:tcPr>
            <w:tcW w:w="1024" w:type="dxa"/>
            <w:tcBorders>
              <w:top w:val="nil"/>
              <w:bottom w:val="nil"/>
            </w:tcBorders>
          </w:tcPr>
          <w:p w14:paraId="50ECBB2C" w14:textId="77777777" w:rsidR="00F74A49" w:rsidRPr="00E94D8A" w:rsidRDefault="00F74A49" w:rsidP="00BE303D">
            <w:pPr>
              <w:pStyle w:val="Tablecells"/>
              <w:jc w:val="right"/>
              <w:rPr>
                <w:szCs w:val="18"/>
                <w:lang w:val="es-ES"/>
              </w:rPr>
            </w:pPr>
            <w:r w:rsidRPr="001C0763">
              <w:t>50.00</w:t>
            </w:r>
          </w:p>
        </w:tc>
        <w:tc>
          <w:tcPr>
            <w:tcW w:w="1024" w:type="dxa"/>
            <w:tcBorders>
              <w:top w:val="nil"/>
              <w:bottom w:val="nil"/>
            </w:tcBorders>
          </w:tcPr>
          <w:p w14:paraId="24D576C8" w14:textId="77777777" w:rsidR="00F74A49" w:rsidRPr="00E94D8A" w:rsidRDefault="00F74A49" w:rsidP="00BE303D">
            <w:pPr>
              <w:pStyle w:val="Tablecells"/>
              <w:jc w:val="right"/>
              <w:rPr>
                <w:szCs w:val="18"/>
                <w:lang w:val="es-ES"/>
              </w:rPr>
            </w:pPr>
            <w:r w:rsidRPr="001C0763">
              <w:t>50.00</w:t>
            </w:r>
          </w:p>
        </w:tc>
      </w:tr>
      <w:tr w:rsidR="00C36006" w:rsidRPr="00E6325A" w14:paraId="3A3DC322" w14:textId="77777777" w:rsidTr="00476F90">
        <w:tc>
          <w:tcPr>
            <w:tcW w:w="4833" w:type="dxa"/>
            <w:gridSpan w:val="12"/>
            <w:tcBorders>
              <w:top w:val="nil"/>
              <w:bottom w:val="single" w:sz="2" w:space="0" w:color="D9D9D9" w:themeColor="background1" w:themeShade="D9"/>
            </w:tcBorders>
            <w:shd w:val="clear" w:color="auto" w:fill="auto"/>
          </w:tcPr>
          <w:p w14:paraId="5CDD8B81" w14:textId="77777777" w:rsidR="00C36006" w:rsidRPr="00A84319" w:rsidRDefault="00C36006" w:rsidP="00A84319">
            <w:pPr>
              <w:pStyle w:val="Tablenote"/>
              <w:rPr>
                <w:i/>
                <w:szCs w:val="18"/>
                <w:lang w:val="es-ES"/>
              </w:rPr>
            </w:pPr>
            <w:r w:rsidRPr="005B4A34">
              <w:rPr>
                <w:i/>
                <w:szCs w:val="18"/>
                <w:lang w:val="es-ES"/>
              </w:rPr>
              <w:t>Nota:</w:t>
            </w:r>
            <w:r>
              <w:rPr>
                <w:i/>
                <w:szCs w:val="18"/>
                <w:lang w:val="es-ES"/>
              </w:rPr>
              <w:t xml:space="preserve">    </w:t>
            </w:r>
            <w:r w:rsidRPr="00A84319">
              <w:rPr>
                <w:i/>
                <w:szCs w:val="18"/>
                <w:lang w:val="es-ES"/>
              </w:rPr>
              <w:t xml:space="preserve">TRUNKING: 800MHz; </w:t>
            </w:r>
            <w:r>
              <w:rPr>
                <w:i/>
                <w:szCs w:val="18"/>
                <w:lang w:val="es-ES"/>
              </w:rPr>
              <w:t xml:space="preserve">    </w:t>
            </w:r>
            <w:r w:rsidRPr="00A84319">
              <w:rPr>
                <w:i/>
                <w:szCs w:val="18"/>
                <w:lang w:val="es-ES"/>
              </w:rPr>
              <w:t xml:space="preserve">CEL: 850MHz; </w:t>
            </w:r>
            <w:r>
              <w:rPr>
                <w:i/>
                <w:szCs w:val="18"/>
                <w:lang w:val="es-ES"/>
              </w:rPr>
              <w:t xml:space="preserve">    </w:t>
            </w:r>
            <w:r w:rsidRPr="00A84319">
              <w:rPr>
                <w:i/>
                <w:szCs w:val="18"/>
                <w:lang w:val="es-ES"/>
              </w:rPr>
              <w:t xml:space="preserve">PCS: 1900MHz; </w:t>
            </w:r>
            <w:r>
              <w:rPr>
                <w:i/>
                <w:szCs w:val="18"/>
                <w:lang w:val="es-ES"/>
              </w:rPr>
              <w:t xml:space="preserve">    </w:t>
            </w:r>
            <w:r w:rsidRPr="00A84319">
              <w:rPr>
                <w:i/>
                <w:szCs w:val="18"/>
                <w:lang w:val="es-ES"/>
              </w:rPr>
              <w:t>AWS: 1700/2100MHz</w:t>
            </w:r>
          </w:p>
        </w:tc>
      </w:tr>
    </w:tbl>
    <w:p w14:paraId="6E73BF13" w14:textId="77777777" w:rsidR="00BE303D" w:rsidRPr="00E94D8A" w:rsidRDefault="00BE303D" w:rsidP="007858D8">
      <w:pPr>
        <w:jc w:val="left"/>
        <w:sectPr w:rsidR="00BE303D" w:rsidRPr="00E94D8A" w:rsidSect="00A37365">
          <w:pgSz w:w="16840" w:h="11907" w:orient="landscape" w:code="9"/>
          <w:pgMar w:top="1588" w:right="1418" w:bottom="1588" w:left="1418" w:header="567" w:footer="567" w:gutter="0"/>
          <w:cols w:space="720"/>
          <w:titlePg/>
          <w:docGrid w:linePitch="299"/>
        </w:sectPr>
      </w:pPr>
    </w:p>
    <w:p w14:paraId="69761FEE" w14:textId="647DAE99" w:rsidR="00BE303D" w:rsidRPr="00E94D8A" w:rsidRDefault="00BE303D" w:rsidP="00BE303D">
      <w:r w:rsidRPr="00E94D8A">
        <w:lastRenderedPageBreak/>
        <w:t xml:space="preserve">Otra característica del mercado mexicano es la estructura de sus </w:t>
      </w:r>
      <w:r w:rsidR="00923DF1">
        <w:t>concesiones</w:t>
      </w:r>
      <w:r w:rsidR="00923DF1" w:rsidRPr="00E94D8A">
        <w:t xml:space="preserve"> </w:t>
      </w:r>
      <w:r w:rsidRPr="00E94D8A">
        <w:t xml:space="preserve">de utilización de frecuencias a nivel regional, no existiendo ninguna </w:t>
      </w:r>
      <w:r w:rsidR="00923DF1">
        <w:t>concesión</w:t>
      </w:r>
      <w:r w:rsidR="00923DF1" w:rsidRPr="00E94D8A">
        <w:t xml:space="preserve"> </w:t>
      </w:r>
      <w:r w:rsidRPr="00E94D8A">
        <w:t>nacional – como se presenta en la</w:t>
      </w:r>
      <w:r w:rsidR="00E94D8A">
        <w:t xml:space="preserve"> </w:t>
      </w:r>
      <w:r w:rsidR="00E94D8A">
        <w:fldChar w:fldCharType="begin"/>
      </w:r>
      <w:r w:rsidR="00E94D8A">
        <w:instrText xml:space="preserve"> REF _Ref321212000 \h </w:instrText>
      </w:r>
      <w:r w:rsidR="00E94D8A">
        <w:fldChar w:fldCharType="separate"/>
      </w:r>
      <w:r w:rsidR="00B426BC" w:rsidRPr="00E94D8A">
        <w:t>Figur</w:t>
      </w:r>
      <w:r w:rsidR="00B426BC">
        <w:t>a</w:t>
      </w:r>
      <w:r w:rsidR="00B426BC" w:rsidRPr="00E94D8A">
        <w:t xml:space="preserve"> </w:t>
      </w:r>
      <w:r w:rsidR="00B426BC">
        <w:rPr>
          <w:noProof/>
        </w:rPr>
        <w:t>4</w:t>
      </w:r>
      <w:r w:rsidR="00B426BC" w:rsidRPr="00E94D8A">
        <w:t>.</w:t>
      </w:r>
      <w:r w:rsidR="00B426BC">
        <w:rPr>
          <w:noProof/>
        </w:rPr>
        <w:t>1</w:t>
      </w:r>
      <w:r w:rsidR="00E94D8A">
        <w:fldChar w:fldCharType="end"/>
      </w:r>
      <w:r w:rsidRPr="00E94D8A">
        <w:t>:</w:t>
      </w:r>
    </w:p>
    <w:p w14:paraId="73B3DA2E" w14:textId="77777777" w:rsidR="00BE303D" w:rsidRPr="00E94D8A" w:rsidRDefault="00BE303D" w:rsidP="00BE303D">
      <w:pPr>
        <w:pStyle w:val="ListBulletCompact"/>
      </w:pPr>
      <w:r w:rsidRPr="00E94D8A">
        <w:t>Telcel es el único operador con cobertura nacional en las cuatro bandas de espectro</w:t>
      </w:r>
    </w:p>
    <w:p w14:paraId="55C6060E" w14:textId="449FFE65" w:rsidR="006A6A9F" w:rsidRDefault="006A6A9F" w:rsidP="006A6A9F">
      <w:pPr>
        <w:pStyle w:val="ListBulletCompact"/>
      </w:pPr>
      <w:r w:rsidRPr="00E94D8A">
        <w:t xml:space="preserve">Nextel </w:t>
      </w:r>
      <w:r>
        <w:t xml:space="preserve">– ahora AT&amp;T – </w:t>
      </w:r>
      <w:r w:rsidRPr="00E94D8A">
        <w:t xml:space="preserve">adquirió </w:t>
      </w:r>
      <w:r w:rsidR="00923DF1">
        <w:t>concesiones</w:t>
      </w:r>
      <w:r w:rsidR="00923DF1" w:rsidRPr="00E94D8A">
        <w:t xml:space="preserve"> </w:t>
      </w:r>
      <w:r w:rsidRPr="00E94D8A">
        <w:t xml:space="preserve">de </w:t>
      </w:r>
      <w:proofErr w:type="spellStart"/>
      <w:r w:rsidRPr="0099097B">
        <w:rPr>
          <w:i/>
        </w:rPr>
        <w:t>trunking</w:t>
      </w:r>
      <w:proofErr w:type="spellEnd"/>
      <w:r w:rsidRPr="00E94D8A">
        <w:t xml:space="preserve"> a las que se les fue progresivamente otorgando la licencia de servicio local móvil en las diferentes áreas básicas de servicio (ABS) que controla</w:t>
      </w:r>
    </w:p>
    <w:p w14:paraId="28E31DEE" w14:textId="77777777" w:rsidR="005F3C38" w:rsidRDefault="005F3C38" w:rsidP="006A6A9F">
      <w:pPr>
        <w:pStyle w:val="ListBulletCompact"/>
      </w:pPr>
      <w:r>
        <w:t>Como resultado de la adquisición de Iusacell y Nextel</w:t>
      </w:r>
      <w:r w:rsidRPr="00C95CD0">
        <w:t xml:space="preserve"> </w:t>
      </w:r>
      <w:r>
        <w:t>por parte de AT&amp;T, la compañía matriz ha obtenido cobertura nacional en las bandas PCS y AWS</w:t>
      </w:r>
    </w:p>
    <w:p w14:paraId="2BFFFAF2" w14:textId="77777777" w:rsidR="00BE303D" w:rsidRPr="00E94D8A" w:rsidRDefault="00BE303D" w:rsidP="00BE303D">
      <w:pPr>
        <w:pStyle w:val="ListBulletCompact"/>
      </w:pPr>
      <w:r w:rsidRPr="00E94D8A">
        <w:t xml:space="preserve">Movistar </w:t>
      </w:r>
      <w:r w:rsidR="007F2986">
        <w:t xml:space="preserve">dispone de espectro radioeléctrico en </w:t>
      </w:r>
      <w:r w:rsidR="007F2986" w:rsidRPr="00E94D8A">
        <w:t xml:space="preserve">la banda celular de 850MHz </w:t>
      </w:r>
      <w:r w:rsidR="007F2986">
        <w:t>en</w:t>
      </w:r>
      <w:r w:rsidR="007F2986" w:rsidRPr="00E94D8A">
        <w:t xml:space="preserve"> </w:t>
      </w:r>
      <w:r w:rsidRPr="00E94D8A">
        <w:t xml:space="preserve">cuatro regiones mientras que </w:t>
      </w:r>
      <w:r w:rsidR="00B0029D">
        <w:t>Iu</w:t>
      </w:r>
      <w:r w:rsidRPr="00E94D8A">
        <w:t xml:space="preserve">sacell </w:t>
      </w:r>
      <w:r w:rsidR="00DA26CF">
        <w:t xml:space="preserve">– ahora AT&amp;T – </w:t>
      </w:r>
      <w:r w:rsidR="007F2986">
        <w:t>dispone del mismo en</w:t>
      </w:r>
      <w:r w:rsidR="007F2986" w:rsidRPr="00E94D8A">
        <w:t xml:space="preserve"> </w:t>
      </w:r>
      <w:r w:rsidRPr="00E94D8A">
        <w:t xml:space="preserve">las </w:t>
      </w:r>
      <w:r w:rsidR="006E4A55">
        <w:t>cinco</w:t>
      </w:r>
      <w:r w:rsidRPr="00E94D8A">
        <w:t xml:space="preserve"> regiones restantes, obligándoles a desplegar GSM </w:t>
      </w:r>
      <w:r w:rsidR="00BB79D2">
        <w:t>o</w:t>
      </w:r>
      <w:r w:rsidR="00BB79D2" w:rsidRPr="00E94D8A">
        <w:t xml:space="preserve"> </w:t>
      </w:r>
      <w:r w:rsidRPr="00E94D8A">
        <w:t>UMTS en la banda PCS de 1900MHz en las regiones en las que no disponen de espectro en la banda celular</w:t>
      </w:r>
      <w:r w:rsidR="00BB79D2">
        <w:t xml:space="preserve"> para ofrecer cobertura de voz</w:t>
      </w:r>
    </w:p>
    <w:p w14:paraId="164AD455" w14:textId="77777777" w:rsidR="00BB79D2" w:rsidRDefault="00523F34" w:rsidP="00B11376">
      <w:pPr>
        <w:pStyle w:val="Listaconvietas"/>
      </w:pPr>
      <w:r>
        <w:t xml:space="preserve">A finales de 2015, el IFT </w:t>
      </w:r>
      <w:r w:rsidR="00BB79D2" w:rsidRPr="00BB79D2">
        <w:t>autorizó</w:t>
      </w:r>
      <w:r>
        <w:t xml:space="preserve"> a</w:t>
      </w:r>
      <w:r w:rsidR="00BB79D2" w:rsidRPr="00BB79D2">
        <w:t xml:space="preserve"> AT&amp;T y </w:t>
      </w:r>
      <w:r w:rsidR="008557DC">
        <w:t>Movistar</w:t>
      </w:r>
      <w:r w:rsidR="00BB79D2" w:rsidRPr="00BB79D2">
        <w:t xml:space="preserve"> el intercambio de diversos bloques de frecuencias dentro de las bandas </w:t>
      </w:r>
      <w:r w:rsidR="008557DC">
        <w:t>PCS</w:t>
      </w:r>
      <w:r w:rsidR="00BB79D2" w:rsidRPr="00BB79D2">
        <w:t xml:space="preserve"> y </w:t>
      </w:r>
      <w:r w:rsidR="008557DC">
        <w:t>AWS</w:t>
      </w:r>
      <w:r w:rsidR="00BB79D2" w:rsidRPr="00BB79D2">
        <w:t>, en las regiones 2, 3, 4, 6, 7 y 9</w:t>
      </w:r>
      <w:r>
        <w:t>.</w:t>
      </w:r>
      <w:r w:rsidRPr="007858D8">
        <w:rPr>
          <w:rStyle w:val="Refdenotaalpie"/>
          <w:lang w:val="es-ES_tradnl"/>
        </w:rPr>
        <w:t xml:space="preserve"> </w:t>
      </w:r>
      <w:r w:rsidRPr="00B11376">
        <w:rPr>
          <w:rStyle w:val="Refdenotaalpie"/>
          <w:lang w:val="en-GB"/>
        </w:rPr>
        <w:fldChar w:fldCharType="begin"/>
      </w:r>
      <w:r w:rsidRPr="005F3C38">
        <w:rPr>
          <w:rStyle w:val="Refdenotaalpie"/>
          <w:lang w:val="es-ES_tradnl"/>
        </w:rPr>
        <w:instrText xml:space="preserve"> NOTEREF _Ref452547101 \h  \* MERGEFORMAT </w:instrText>
      </w:r>
      <w:r w:rsidRPr="00B11376">
        <w:rPr>
          <w:rStyle w:val="Refdenotaalpie"/>
          <w:lang w:val="en-GB"/>
        </w:rPr>
      </w:r>
      <w:r w:rsidRPr="00B11376">
        <w:rPr>
          <w:rStyle w:val="Refdenotaalpie"/>
          <w:lang w:val="en-GB"/>
        </w:rPr>
        <w:fldChar w:fldCharType="separate"/>
      </w:r>
      <w:r w:rsidR="00B426BC">
        <w:rPr>
          <w:rStyle w:val="Refdenotaalpie"/>
          <w:lang w:val="es-ES_tradnl"/>
        </w:rPr>
        <w:t>12</w:t>
      </w:r>
      <w:r w:rsidRPr="00B11376">
        <w:rPr>
          <w:rStyle w:val="Refdenotaalpie"/>
          <w:lang w:val="en-GB"/>
        </w:rPr>
        <w:fldChar w:fldCharType="end"/>
      </w:r>
      <w:r>
        <w:t xml:space="preserve"> Con este intercambio Movistar prescinde de su espectro en la banda AWS y consigue cobertura nacional en la banda PCS, banda desde la que proveerá servicios tanto en 3G como en 4G gracias a la neutralidad tecnológica</w:t>
      </w:r>
    </w:p>
    <w:p w14:paraId="4FC0801E" w14:textId="01C45AE3" w:rsidR="000E4EC9" w:rsidRPr="00B426BC" w:rsidRDefault="006D5326">
      <w:pPr>
        <w:rPr>
          <w:rStyle w:val="Refdenotaalpie"/>
          <w:rFonts w:ascii="Times New Roman" w:hAnsi="Times New Roman"/>
          <w:sz w:val="22"/>
          <w:vertAlign w:val="baseline"/>
        </w:rPr>
      </w:pPr>
      <w:r w:rsidRPr="00B426BC">
        <w:t>Por otra parte, tanto el IFT como la SCT y el Ejecutivo Federal se encuentran inmersos en el proceso de creación de una Red Pública Compartida de Telecomunicaciones (la “RPCT”) de Internet móvil con cobertura nacional que aproveche en su totalidad los 90MHz (2x45MHz) de la banda de 700 MHz.</w:t>
      </w:r>
      <w:r w:rsidR="000E4EC9" w:rsidRPr="00B426BC">
        <w:t xml:space="preserve"> Las principales características de </w:t>
      </w:r>
      <w:r w:rsidR="00CC38B3" w:rsidRPr="00B426BC">
        <w:t>esta red</w:t>
      </w:r>
      <w:r w:rsidR="000E4EC9" w:rsidRPr="00B426BC">
        <w:t xml:space="preserve"> serán las siguientes:</w:t>
      </w:r>
    </w:p>
    <w:p w14:paraId="26FFE46E" w14:textId="48EF483A" w:rsidR="000E4EC9" w:rsidRPr="00B426BC" w:rsidRDefault="000E4EC9" w:rsidP="007858D8">
      <w:pPr>
        <w:pStyle w:val="ListBulletCompact"/>
        <w:rPr>
          <w:rStyle w:val="Refdenotaalpie"/>
          <w:rFonts w:ascii="Times New Roman" w:hAnsi="Times New Roman"/>
          <w:sz w:val="22"/>
          <w:vertAlign w:val="baseline"/>
        </w:rPr>
      </w:pPr>
      <w:r w:rsidRPr="00B426BC">
        <w:rPr>
          <w:rStyle w:val="Refdenotaalpie"/>
          <w:rFonts w:ascii="Times New Roman" w:hAnsi="Times New Roman"/>
          <w:i/>
          <w:sz w:val="22"/>
          <w:vertAlign w:val="baseline"/>
        </w:rPr>
        <w:t>compartida</w:t>
      </w:r>
      <w:r w:rsidRPr="00B426BC">
        <w:rPr>
          <w:rStyle w:val="Refdenotaalpie"/>
          <w:rFonts w:ascii="Times New Roman" w:hAnsi="Times New Roman"/>
          <w:sz w:val="22"/>
          <w:vertAlign w:val="baseline"/>
        </w:rPr>
        <w:t>, porque ofrecerá la totalidad de sus capacidades a todos los concesionarios</w:t>
      </w:r>
      <w:r w:rsidR="00923DF1">
        <w:t xml:space="preserve"> </w:t>
      </w:r>
      <w:r w:rsidRPr="00B426BC">
        <w:rPr>
          <w:rStyle w:val="Refdenotaalpie"/>
          <w:rFonts w:ascii="Times New Roman" w:hAnsi="Times New Roman"/>
          <w:sz w:val="22"/>
          <w:vertAlign w:val="baseline"/>
        </w:rPr>
        <w:t xml:space="preserve">y </w:t>
      </w:r>
      <w:r w:rsidR="00A12003" w:rsidRPr="00B426BC">
        <w:rPr>
          <w:rStyle w:val="Refdenotaalpie"/>
          <w:rFonts w:ascii="Times New Roman" w:hAnsi="Times New Roman"/>
          <w:sz w:val="22"/>
          <w:vertAlign w:val="baseline"/>
        </w:rPr>
        <w:t>autorizados</w:t>
      </w:r>
      <w:r w:rsidRPr="00B426BC">
        <w:rPr>
          <w:rStyle w:val="Refdenotaalpie"/>
          <w:rFonts w:ascii="Times New Roman" w:hAnsi="Times New Roman"/>
          <w:sz w:val="22"/>
          <w:vertAlign w:val="baseline"/>
        </w:rPr>
        <w:t>, sin discriminar entre las que se encuentren en operación en el mercado actual y los agentes económicos que lo soliciten en el futuro</w:t>
      </w:r>
    </w:p>
    <w:p w14:paraId="41EB0828" w14:textId="77777777" w:rsidR="000E4EC9" w:rsidRPr="00B426BC" w:rsidRDefault="000E4EC9" w:rsidP="007858D8">
      <w:pPr>
        <w:pStyle w:val="ListBulletCompact"/>
        <w:rPr>
          <w:rStyle w:val="Refdenotaalpie"/>
          <w:rFonts w:ascii="Times New Roman" w:hAnsi="Times New Roman"/>
          <w:sz w:val="22"/>
          <w:vertAlign w:val="baseline"/>
        </w:rPr>
      </w:pPr>
      <w:r w:rsidRPr="00B426BC">
        <w:rPr>
          <w:rStyle w:val="Refdenotaalpie"/>
          <w:rFonts w:ascii="Times New Roman" w:hAnsi="Times New Roman"/>
          <w:i/>
          <w:sz w:val="22"/>
          <w:vertAlign w:val="baseline"/>
        </w:rPr>
        <w:t>mayorista</w:t>
      </w:r>
      <w:r w:rsidRPr="00B426BC">
        <w:rPr>
          <w:rStyle w:val="Refdenotaalpie"/>
          <w:rFonts w:ascii="Times New Roman" w:hAnsi="Times New Roman"/>
          <w:sz w:val="22"/>
          <w:vertAlign w:val="baseline"/>
        </w:rPr>
        <w:t>, porque no podrá ofrecer servicios a usuarios finales</w:t>
      </w:r>
    </w:p>
    <w:p w14:paraId="70A4C936" w14:textId="1EB2A340" w:rsidR="000E4EC9" w:rsidRPr="00B426BC" w:rsidRDefault="000E4EC9" w:rsidP="007858D8">
      <w:pPr>
        <w:pStyle w:val="ListBulletCompact"/>
        <w:rPr>
          <w:rStyle w:val="Refdenotaalpie"/>
          <w:rFonts w:ascii="Times New Roman" w:hAnsi="Times New Roman"/>
          <w:sz w:val="22"/>
          <w:vertAlign w:val="baseline"/>
        </w:rPr>
      </w:pPr>
      <w:r w:rsidRPr="00B426BC">
        <w:rPr>
          <w:rStyle w:val="Refdenotaalpie"/>
          <w:rFonts w:ascii="Times New Roman" w:hAnsi="Times New Roman"/>
          <w:i/>
          <w:sz w:val="22"/>
          <w:vertAlign w:val="baseline"/>
        </w:rPr>
        <w:t>no discriminatoria</w:t>
      </w:r>
      <w:r w:rsidRPr="00B426BC">
        <w:rPr>
          <w:rStyle w:val="Refdenotaalpie"/>
          <w:rFonts w:ascii="Times New Roman" w:hAnsi="Times New Roman"/>
          <w:sz w:val="22"/>
          <w:vertAlign w:val="baseline"/>
        </w:rPr>
        <w:t>, porque ofrecerá todas sus capacidades bajo las mismas condiciones a cualquier concesionario</w:t>
      </w:r>
      <w:r w:rsidR="00923DF1">
        <w:t xml:space="preserve"> </w:t>
      </w:r>
      <w:r w:rsidRPr="00B426BC">
        <w:rPr>
          <w:rStyle w:val="Refdenotaalpie"/>
          <w:rFonts w:ascii="Times New Roman" w:hAnsi="Times New Roman"/>
          <w:sz w:val="22"/>
          <w:vertAlign w:val="baseline"/>
        </w:rPr>
        <w:t xml:space="preserve"> y </w:t>
      </w:r>
      <w:r w:rsidR="00A12003" w:rsidRPr="00B426BC">
        <w:rPr>
          <w:rStyle w:val="Refdenotaalpie"/>
          <w:rFonts w:ascii="Times New Roman" w:hAnsi="Times New Roman"/>
          <w:sz w:val="22"/>
          <w:vertAlign w:val="baseline"/>
        </w:rPr>
        <w:t>autorizado</w:t>
      </w:r>
    </w:p>
    <w:p w14:paraId="7CC7FEEB" w14:textId="77777777" w:rsidR="000E4EC9" w:rsidRPr="00B426BC" w:rsidRDefault="000E4EC9">
      <w:pPr>
        <w:pStyle w:val="Listaconvietas"/>
      </w:pPr>
      <w:r w:rsidRPr="00B426BC">
        <w:rPr>
          <w:rStyle w:val="Refdenotaalpie"/>
          <w:rFonts w:ascii="Times New Roman" w:hAnsi="Times New Roman"/>
          <w:i/>
          <w:sz w:val="22"/>
          <w:vertAlign w:val="baseline"/>
        </w:rPr>
        <w:t>desagregada</w:t>
      </w:r>
      <w:r w:rsidRPr="00B426BC">
        <w:rPr>
          <w:rStyle w:val="Refdenotaalpie"/>
          <w:rFonts w:ascii="Times New Roman" w:hAnsi="Times New Roman"/>
          <w:sz w:val="22"/>
          <w:vertAlign w:val="baseline"/>
        </w:rPr>
        <w:t>, porque ofrecerá todas sus capacidades de manera individual y sin condicionar la compra de un servicio a otro</w:t>
      </w:r>
    </w:p>
    <w:p w14:paraId="1F8B8990" w14:textId="77777777" w:rsidR="000C550F" w:rsidRPr="00B426BC" w:rsidRDefault="000C550F" w:rsidP="000C550F">
      <w:r w:rsidRPr="00B426BC">
        <w:t>Entre los objetivos que se persiguen con su creación se encuentran la consecución de una cobertura universal de servicios móviles, el incremento de la calidad y disponibilidad de los servicios de telecomunicaciones y el fomento de la competencia. Si bien es probable que en el medio y largo plazo la RPCT impacte en mayor o menor medida en el mercado móvil mexicano, a día de hoy se considera su exclusión del modelo de costos por las razones listadas a continuación:</w:t>
      </w:r>
    </w:p>
    <w:p w14:paraId="47292D75" w14:textId="4AF73AF3" w:rsidR="000C550F" w:rsidRPr="00B426BC" w:rsidRDefault="00A12003" w:rsidP="00A84319">
      <w:pPr>
        <w:pStyle w:val="ListBulletCompact"/>
      </w:pPr>
      <w:r w:rsidRPr="00B426BC">
        <w:t xml:space="preserve">El inicio de </w:t>
      </w:r>
      <w:r w:rsidR="000C550F" w:rsidRPr="00B426BC">
        <w:t xml:space="preserve">operaciones </w:t>
      </w:r>
      <w:r w:rsidRPr="00B426BC">
        <w:t>se prevé para marzo</w:t>
      </w:r>
      <w:r w:rsidR="005513C1" w:rsidRPr="00B426BC">
        <w:t xml:space="preserve"> de</w:t>
      </w:r>
      <w:r w:rsidR="000C550F" w:rsidRPr="00B426BC">
        <w:t xml:space="preserve"> 2018</w:t>
      </w:r>
    </w:p>
    <w:p w14:paraId="11C1BAAC" w14:textId="77777777" w:rsidR="000C550F" w:rsidRPr="00B426BC" w:rsidRDefault="000C550F" w:rsidP="00A84319">
      <w:pPr>
        <w:pStyle w:val="ListBulletCompact"/>
      </w:pPr>
      <w:r w:rsidRPr="00B426BC">
        <w:t>no es posible estimar a</w:t>
      </w:r>
      <w:r w:rsidR="00A12003" w:rsidRPr="00B426BC">
        <w:t>l</w:t>
      </w:r>
      <w:r w:rsidRPr="00B426BC">
        <w:t xml:space="preserve"> día de hoy la evolución que experimentará el mercado después de la activación o puesta en marcha de la RPCT</w:t>
      </w:r>
    </w:p>
    <w:p w14:paraId="502311CE" w14:textId="62060B01" w:rsidR="004A47D9" w:rsidRDefault="00A12003" w:rsidP="00C75AA1">
      <w:pPr>
        <w:pStyle w:val="Listaconvietas"/>
      </w:pPr>
      <w:r w:rsidRPr="00B426BC">
        <w:lastRenderedPageBreak/>
        <w:t>La cobertura de población por parte de la Red Compartida será</w:t>
      </w:r>
      <w:r w:rsidR="000C550F" w:rsidRPr="00B426BC">
        <w:t xml:space="preserve"> inferior de la que ya disponen los operadores móviles nacionales</w:t>
      </w:r>
      <w:r w:rsidRPr="00B426BC">
        <w:t xml:space="preserve"> en los primeros años de operación, teniendo como</w:t>
      </w:r>
      <w:r w:rsidR="000C550F" w:rsidRPr="00B426BC">
        <w:t xml:space="preserve"> obligación </w:t>
      </w:r>
      <w:r w:rsidR="005513C1" w:rsidRPr="00B426BC">
        <w:t xml:space="preserve">una </w:t>
      </w:r>
      <w:r w:rsidR="000C550F" w:rsidRPr="00B426BC">
        <w:t>cobertura de 33% en 2018 y una cobertura estimada de 45-55% en 2020 – consiguiendo su cobertura final únicamente en 2023.</w:t>
      </w:r>
    </w:p>
    <w:p w14:paraId="6C6EE3F3" w14:textId="77777777" w:rsidR="00447EFD" w:rsidRPr="00447EFD" w:rsidRDefault="0043475A" w:rsidP="00447EFD">
      <w:pPr>
        <w:pStyle w:val="B1"/>
        <w:pBdr>
          <w:top w:val="single" w:sz="4" w:space="2" w:color="D9D9D9" w:themeColor="background1" w:themeShade="D9"/>
          <w:bottom w:val="single" w:sz="4" w:space="5" w:color="D9D9D9" w:themeColor="background1" w:themeShade="D9"/>
        </w:pBdr>
        <w:shd w:val="clear" w:color="auto" w:fill="F2F2F2" w:themeFill="background1" w:themeFillShade="F2"/>
        <w:rPr>
          <w:spacing w:val="-6"/>
        </w:rPr>
      </w:pPr>
      <w:bookmarkStart w:id="48" w:name="_Ref307564780"/>
      <w:r>
        <w:rPr>
          <w:b/>
          <w:bCs/>
          <w:spacing w:val="-6"/>
        </w:rPr>
        <w:t>Concepto propuesto</w:t>
      </w:r>
      <w:r w:rsidR="00447EFD" w:rsidRPr="00E94D8A">
        <w:rPr>
          <w:b/>
          <w:bCs/>
          <w:spacing w:val="-6"/>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6</w:t>
      </w:r>
      <w:r w:rsidR="00CB05BF" w:rsidRPr="00E94D8A">
        <w:rPr>
          <w:b/>
          <w:color w:val="000000" w:themeColor="text1"/>
        </w:rPr>
        <w:fldChar w:fldCharType="end"/>
      </w:r>
      <w:r w:rsidR="00447EFD" w:rsidRPr="00E94D8A">
        <w:rPr>
          <w:spacing w:val="-6"/>
        </w:rPr>
        <w:t xml:space="preserve">: </w:t>
      </w:r>
      <w:r w:rsidR="00447EFD" w:rsidRPr="006E4A55">
        <w:t xml:space="preserve">El modelo BULRIC móvil utilizará </w:t>
      </w:r>
      <w:r w:rsidR="00447EFD">
        <w:t>las</w:t>
      </w:r>
      <w:r w:rsidR="00447EFD" w:rsidRPr="006E4A55">
        <w:t xml:space="preserve"> tecnología</w:t>
      </w:r>
      <w:r w:rsidR="00447EFD">
        <w:t>s</w:t>
      </w:r>
      <w:r w:rsidR="00447EFD" w:rsidRPr="006E4A55">
        <w:t xml:space="preserve"> de radio 2G</w:t>
      </w:r>
      <w:r w:rsidR="00862B0C">
        <w:t>,</w:t>
      </w:r>
      <w:r w:rsidR="00447EFD" w:rsidRPr="006E4A55">
        <w:t xml:space="preserve"> 3G</w:t>
      </w:r>
      <w:r w:rsidR="00862B0C">
        <w:t xml:space="preserve"> y 4G</w:t>
      </w:r>
      <w:r w:rsidR="00447EFD" w:rsidRPr="006E4A55">
        <w:rPr>
          <w:color w:val="0000FF"/>
        </w:rPr>
        <w:t xml:space="preserve"> </w:t>
      </w:r>
      <w:r w:rsidR="00447EFD" w:rsidRPr="006E4A55">
        <w:t>a</w:t>
      </w:r>
      <w:r w:rsidR="00447EFD" w:rsidRPr="006E4A55">
        <w:rPr>
          <w:color w:val="0000FF"/>
        </w:rPr>
        <w:t xml:space="preserve"> </w:t>
      </w:r>
      <w:r w:rsidR="00447EFD" w:rsidRPr="006E4A55">
        <w:t xml:space="preserve">largo plazo, con un despliegue inicial de 2G en la banda de &lt;1GHz (850MHz) – para una red de cobertura con un despliegue consiguiente en frecuencias superiores a 1GHz–1900MHz – para incrementar la capacidad de la red. </w:t>
      </w:r>
      <w:r w:rsidR="00447EFD">
        <w:t xml:space="preserve">La tecnología </w:t>
      </w:r>
      <w:r w:rsidR="00447EFD" w:rsidRPr="006E4A55">
        <w:t>3G se desp</w:t>
      </w:r>
      <w:r w:rsidR="00447EFD">
        <w:t>legará en la banda de 1900MHz</w:t>
      </w:r>
      <w:r w:rsidR="00D83364">
        <w:t xml:space="preserve"> (PCS)</w:t>
      </w:r>
      <w:r w:rsidR="00862B0C">
        <w:t xml:space="preserve"> y 4G en la banda de 1700</w:t>
      </w:r>
      <w:r w:rsidR="00DA26CF">
        <w:t>/2100</w:t>
      </w:r>
      <w:r w:rsidR="00862B0C">
        <w:t>MHz</w:t>
      </w:r>
      <w:r w:rsidR="00DA26CF">
        <w:t xml:space="preserve"> (AWS)</w:t>
      </w:r>
      <w:r w:rsidR="00862B0C">
        <w:t>.</w:t>
      </w:r>
      <w:r w:rsidR="00D83364">
        <w:t xml:space="preserve"> </w:t>
      </w:r>
    </w:p>
    <w:p w14:paraId="752BD27E" w14:textId="77777777" w:rsidR="00BE303D" w:rsidRPr="0016300B" w:rsidRDefault="00BE303D" w:rsidP="0016300B">
      <w:pPr>
        <w:pStyle w:val="Ttulo4"/>
        <w:rPr>
          <w:b/>
        </w:rPr>
      </w:pPr>
      <w:r w:rsidRPr="0016300B">
        <w:rPr>
          <w:b/>
        </w:rPr>
        <w:t>Espectro radioeléctrico</w:t>
      </w:r>
      <w:bookmarkEnd w:id="48"/>
    </w:p>
    <w:p w14:paraId="2D37174C" w14:textId="6A782098" w:rsidR="00BE303D" w:rsidRPr="00E94D8A" w:rsidRDefault="00BE303D" w:rsidP="00BE303D">
      <w:r w:rsidRPr="00E94D8A">
        <w:t xml:space="preserve">La distribución de espectro en México destaca por la ausencia de uniformidad entre los operadores, tanto a nivel total de espectro como a nivel regional. Consideraremos un operador que obtenga una asignación equitativa de espectro </w:t>
      </w:r>
      <w:r w:rsidR="00315420">
        <w:t xml:space="preserve">no controlado por el </w:t>
      </w:r>
      <w:r w:rsidR="007949A1">
        <w:t>AEP</w:t>
      </w:r>
      <w:r w:rsidR="00315420">
        <w:t xml:space="preserve"> en un mercado de 3 operadores. </w:t>
      </w:r>
      <w:r w:rsidRPr="00E94D8A">
        <w:t xml:space="preserve">La </w:t>
      </w:r>
      <w:r w:rsidR="00E94D8A">
        <w:fldChar w:fldCharType="begin"/>
      </w:r>
      <w:r w:rsidR="00E94D8A">
        <w:instrText xml:space="preserve"> REF _Ref321212012 \h </w:instrText>
      </w:r>
      <w:r w:rsidR="00E94D8A">
        <w:fldChar w:fldCharType="separate"/>
      </w:r>
      <w:r w:rsidR="00B426BC" w:rsidRPr="00E94D8A">
        <w:rPr>
          <w:spacing w:val="-4"/>
        </w:rPr>
        <w:t>Figur</w:t>
      </w:r>
      <w:r w:rsidR="00B426BC">
        <w:rPr>
          <w:spacing w:val="-4"/>
        </w:rPr>
        <w:t>a</w:t>
      </w:r>
      <w:r w:rsidR="00B426BC" w:rsidRPr="00E94D8A">
        <w:rPr>
          <w:spacing w:val="-4"/>
        </w:rPr>
        <w:t xml:space="preserve"> </w:t>
      </w:r>
      <w:r w:rsidR="00B426BC">
        <w:rPr>
          <w:noProof/>
          <w:spacing w:val="-4"/>
        </w:rPr>
        <w:t>4</w:t>
      </w:r>
      <w:r w:rsidR="00B426BC" w:rsidRPr="00E94D8A">
        <w:rPr>
          <w:spacing w:val="-4"/>
        </w:rPr>
        <w:t>.</w:t>
      </w:r>
      <w:r w:rsidR="00B426BC">
        <w:rPr>
          <w:noProof/>
          <w:spacing w:val="-4"/>
        </w:rPr>
        <w:t>2</w:t>
      </w:r>
      <w:r w:rsidR="00E94D8A">
        <w:fldChar w:fldCharType="end"/>
      </w:r>
      <w:r w:rsidR="00E94D8A">
        <w:t xml:space="preserve"> </w:t>
      </w:r>
      <w:r w:rsidR="006E4A55">
        <w:t>muestra</w:t>
      </w:r>
      <w:r w:rsidRPr="00E94D8A">
        <w:t xml:space="preserve"> el espectro total disponible a nivel nacional utilizando una ponderación por población.</w:t>
      </w:r>
    </w:p>
    <w:p w14:paraId="35858B43" w14:textId="77777777" w:rsidR="00BE303D" w:rsidRPr="00E94D8A" w:rsidRDefault="00BE303D" w:rsidP="00BE303D">
      <w:pPr>
        <w:pStyle w:val="Descripcin"/>
        <w:rPr>
          <w:spacing w:val="-4"/>
          <w:lang w:val="es-ES"/>
        </w:rPr>
      </w:pPr>
      <w:bookmarkStart w:id="49" w:name="_Ref321212012"/>
      <w:r w:rsidRPr="00E94D8A">
        <w:rPr>
          <w:spacing w:val="-4"/>
          <w:lang w:val="es-ES"/>
        </w:rPr>
        <w:t>Figur</w:t>
      </w:r>
      <w:r w:rsidR="00E94D8A">
        <w:rPr>
          <w:spacing w:val="-4"/>
          <w:lang w:val="es-ES"/>
        </w:rPr>
        <w:t>a</w:t>
      </w:r>
      <w:r w:rsidRPr="00E94D8A">
        <w:rPr>
          <w:spacing w:val="-4"/>
          <w:lang w:val="es-ES"/>
        </w:rPr>
        <w:t xml:space="preserve"> </w:t>
      </w:r>
      <w:r w:rsidRPr="00E94D8A">
        <w:rPr>
          <w:spacing w:val="-4"/>
          <w:lang w:val="es-ES"/>
        </w:rPr>
        <w:fldChar w:fldCharType="begin"/>
      </w:r>
      <w:r w:rsidRPr="00E94D8A">
        <w:rPr>
          <w:spacing w:val="-4"/>
          <w:lang w:val="es-ES"/>
        </w:rPr>
        <w:instrText xml:space="preserve"> STYLEREF 1 \s \* MERGEFORMAT </w:instrText>
      </w:r>
      <w:r w:rsidRPr="00E94D8A">
        <w:rPr>
          <w:spacing w:val="-4"/>
          <w:lang w:val="es-ES"/>
        </w:rPr>
        <w:fldChar w:fldCharType="separate"/>
      </w:r>
      <w:r w:rsidR="00B426BC">
        <w:rPr>
          <w:noProof/>
          <w:spacing w:val="-4"/>
          <w:lang w:val="es-ES"/>
        </w:rPr>
        <w:t>4</w:t>
      </w:r>
      <w:r w:rsidRPr="00E94D8A">
        <w:rPr>
          <w:spacing w:val="-4"/>
          <w:lang w:val="es-ES"/>
        </w:rPr>
        <w:fldChar w:fldCharType="end"/>
      </w:r>
      <w:r w:rsidRPr="00E94D8A">
        <w:rPr>
          <w:spacing w:val="-4"/>
          <w:lang w:val="es-ES"/>
        </w:rPr>
        <w:t>.</w:t>
      </w:r>
      <w:r w:rsidRPr="00E94D8A">
        <w:rPr>
          <w:spacing w:val="-4"/>
          <w:lang w:val="es-ES"/>
        </w:rPr>
        <w:fldChar w:fldCharType="begin"/>
      </w:r>
      <w:r w:rsidRPr="00E94D8A">
        <w:rPr>
          <w:spacing w:val="-4"/>
          <w:lang w:val="es-ES"/>
        </w:rPr>
        <w:instrText xml:space="preserve"> </w:instrText>
      </w:r>
      <w:r w:rsidR="00A37365" w:rsidRPr="00E94D8A">
        <w:rPr>
          <w:spacing w:val="-4"/>
          <w:lang w:val="es-ES"/>
        </w:rPr>
        <w:instrText>SEQ Ilustración</w:instrText>
      </w:r>
      <w:r w:rsidRPr="00E94D8A">
        <w:rPr>
          <w:spacing w:val="-4"/>
          <w:lang w:val="es-ES"/>
        </w:rPr>
        <w:instrText xml:space="preserve"> \* ARABIC \s 1 \* MERGEFORMAT </w:instrText>
      </w:r>
      <w:r w:rsidRPr="00E94D8A">
        <w:rPr>
          <w:spacing w:val="-4"/>
          <w:lang w:val="es-ES"/>
        </w:rPr>
        <w:fldChar w:fldCharType="separate"/>
      </w:r>
      <w:r w:rsidR="00B426BC">
        <w:rPr>
          <w:noProof/>
          <w:spacing w:val="-4"/>
          <w:lang w:val="es-ES"/>
        </w:rPr>
        <w:t>2</w:t>
      </w:r>
      <w:r w:rsidRPr="00E94D8A">
        <w:rPr>
          <w:spacing w:val="-4"/>
          <w:lang w:val="es-ES"/>
        </w:rPr>
        <w:fldChar w:fldCharType="end"/>
      </w:r>
      <w:bookmarkEnd w:id="49"/>
      <w:r w:rsidRPr="00E94D8A">
        <w:rPr>
          <w:spacing w:val="-4"/>
          <w:lang w:val="es-ES"/>
        </w:rPr>
        <w:t>: Espectro total disponible a nivel nacional (ponderado por población) [</w:t>
      </w:r>
      <w:r w:rsidR="001657CE">
        <w:rPr>
          <w:spacing w:val="-4"/>
          <w:lang w:val="es-ES"/>
        </w:rPr>
        <w:t xml:space="preserve">Fuente: </w:t>
      </w:r>
      <w:proofErr w:type="spellStart"/>
      <w:r w:rsidR="001657CE">
        <w:rPr>
          <w:spacing w:val="-4"/>
          <w:lang w:val="es-ES"/>
        </w:rPr>
        <w:t>Analysys</w:t>
      </w:r>
      <w:proofErr w:type="spellEnd"/>
      <w:r w:rsidR="001657CE">
        <w:rPr>
          <w:spacing w:val="-4"/>
          <w:lang w:val="es-ES"/>
        </w:rPr>
        <w:t xml:space="preserve"> Mason, 2016</w:t>
      </w:r>
      <w:r w:rsidRPr="00E94D8A">
        <w:rPr>
          <w:spacing w:val="-4"/>
          <w:lang w:val="es-ES"/>
        </w:rPr>
        <w:t>]</w:t>
      </w:r>
    </w:p>
    <w:tbl>
      <w:tblPr>
        <w:tblStyle w:val="Sombreadomedio2-nfasis1"/>
        <w:tblW w:w="8789" w:type="dxa"/>
        <w:tblInd w:w="108" w:type="dxa"/>
        <w:tblLook w:val="0420" w:firstRow="1" w:lastRow="0" w:firstColumn="0" w:lastColumn="0" w:noHBand="0" w:noVBand="1"/>
        <w:tblCaption w:val="Figura 4.2"/>
        <w:tblDescription w:val="Espectro total disponible a nivel nacional (ponderado por población), Fuente: Analysys Mason, 2016"/>
      </w:tblPr>
      <w:tblGrid>
        <w:gridCol w:w="1843"/>
        <w:gridCol w:w="1843"/>
        <w:gridCol w:w="5103"/>
      </w:tblGrid>
      <w:tr w:rsidR="00BE303D" w:rsidRPr="00E94D8A" w14:paraId="1407F8A5" w14:textId="77777777" w:rsidTr="006E4A55">
        <w:trPr>
          <w:cnfStyle w:val="100000000000" w:firstRow="1" w:lastRow="0" w:firstColumn="0" w:lastColumn="0" w:oddVBand="0" w:evenVBand="0" w:oddHBand="0" w:evenHBand="0" w:firstRowFirstColumn="0" w:firstRowLastColumn="0" w:lastRowFirstColumn="0" w:lastRowLastColumn="0"/>
        </w:trPr>
        <w:tc>
          <w:tcPr>
            <w:tcW w:w="1843" w:type="dxa"/>
            <w:tcBorders>
              <w:top w:val="single" w:sz="18" w:space="0" w:color="221F72"/>
              <w:bottom w:val="single" w:sz="18" w:space="0" w:color="221F72"/>
            </w:tcBorders>
            <w:shd w:val="solid" w:color="221F72" w:fill="221F72"/>
          </w:tcPr>
          <w:p w14:paraId="5F3C5C35" w14:textId="77777777" w:rsidR="00BE303D" w:rsidRPr="00E94D8A" w:rsidRDefault="00BE303D" w:rsidP="00BE303D">
            <w:pPr>
              <w:pStyle w:val="Tablecells"/>
              <w:rPr>
                <w:lang w:val="es-ES"/>
              </w:rPr>
            </w:pPr>
            <w:r w:rsidRPr="00E94D8A">
              <w:rPr>
                <w:lang w:val="es-ES"/>
              </w:rPr>
              <w:t>Banda de frecuencias</w:t>
            </w:r>
          </w:p>
        </w:tc>
        <w:tc>
          <w:tcPr>
            <w:tcW w:w="1843" w:type="dxa"/>
            <w:tcBorders>
              <w:top w:val="single" w:sz="18" w:space="0" w:color="221F72"/>
              <w:bottom w:val="single" w:sz="18" w:space="0" w:color="221F72"/>
            </w:tcBorders>
            <w:shd w:val="solid" w:color="221F72" w:fill="221F72"/>
          </w:tcPr>
          <w:p w14:paraId="29AA5969" w14:textId="77777777" w:rsidR="00BE303D" w:rsidRPr="00E94D8A" w:rsidRDefault="00BE303D" w:rsidP="00BE303D">
            <w:pPr>
              <w:pStyle w:val="Tablecells"/>
              <w:rPr>
                <w:lang w:val="es-ES"/>
              </w:rPr>
            </w:pPr>
            <w:r w:rsidRPr="00E94D8A">
              <w:rPr>
                <w:lang w:val="es-ES"/>
              </w:rPr>
              <w:t>Espectro disponible (MHz)</w:t>
            </w:r>
          </w:p>
        </w:tc>
        <w:tc>
          <w:tcPr>
            <w:tcW w:w="5103" w:type="dxa"/>
            <w:tcBorders>
              <w:top w:val="single" w:sz="18" w:space="0" w:color="221F72"/>
              <w:bottom w:val="single" w:sz="18" w:space="0" w:color="221F72"/>
            </w:tcBorders>
            <w:shd w:val="solid" w:color="221F72" w:fill="221F72"/>
          </w:tcPr>
          <w:p w14:paraId="0734EA2A" w14:textId="77777777" w:rsidR="00BE303D" w:rsidRPr="00E94D8A" w:rsidRDefault="00BE303D" w:rsidP="00BE303D">
            <w:pPr>
              <w:pStyle w:val="Tablecells"/>
              <w:rPr>
                <w:lang w:val="es-ES"/>
              </w:rPr>
            </w:pPr>
            <w:r w:rsidRPr="00E94D8A">
              <w:rPr>
                <w:lang w:val="es-ES"/>
              </w:rPr>
              <w:t>Comentarios</w:t>
            </w:r>
          </w:p>
        </w:tc>
      </w:tr>
      <w:tr w:rsidR="00BE303D" w:rsidRPr="00E94D8A" w14:paraId="79F27927" w14:textId="77777777" w:rsidTr="006E4A55">
        <w:trPr>
          <w:cnfStyle w:val="000000100000" w:firstRow="0" w:lastRow="0" w:firstColumn="0" w:lastColumn="0" w:oddVBand="0" w:evenVBand="0" w:oddHBand="1" w:evenHBand="0" w:firstRowFirstColumn="0" w:firstRowLastColumn="0" w:lastRowFirstColumn="0" w:lastRowLastColumn="0"/>
        </w:trPr>
        <w:tc>
          <w:tcPr>
            <w:tcW w:w="1843" w:type="dxa"/>
            <w:tcBorders>
              <w:top w:val="single" w:sz="18" w:space="0" w:color="221F72"/>
            </w:tcBorders>
          </w:tcPr>
          <w:p w14:paraId="10DA8BF0" w14:textId="77777777" w:rsidR="00BE303D" w:rsidRPr="00E94D8A" w:rsidRDefault="00BE303D" w:rsidP="00BE303D">
            <w:pPr>
              <w:pStyle w:val="Tablecells"/>
              <w:rPr>
                <w:lang w:val="es-ES"/>
              </w:rPr>
            </w:pPr>
            <w:r w:rsidRPr="00E94D8A">
              <w:rPr>
                <w:rFonts w:cs="Arial"/>
                <w:color w:val="000000"/>
                <w:kern w:val="24"/>
                <w:lang w:val="es-ES"/>
              </w:rPr>
              <w:t>800MHz (</w:t>
            </w:r>
            <w:proofErr w:type="spellStart"/>
            <w:r w:rsidR="006E4A55" w:rsidRPr="007858D8">
              <w:rPr>
                <w:rFonts w:cs="Arial"/>
                <w:i/>
                <w:color w:val="000000"/>
                <w:kern w:val="24"/>
                <w:lang w:val="es-ES"/>
              </w:rPr>
              <w:t>trunking</w:t>
            </w:r>
            <w:proofErr w:type="spellEnd"/>
            <w:r w:rsidRPr="00E94D8A">
              <w:rPr>
                <w:rFonts w:cs="Arial"/>
                <w:color w:val="000000"/>
                <w:kern w:val="24"/>
                <w:lang w:val="es-ES"/>
              </w:rPr>
              <w:t>)</w:t>
            </w:r>
          </w:p>
        </w:tc>
        <w:tc>
          <w:tcPr>
            <w:tcW w:w="1843" w:type="dxa"/>
            <w:tcBorders>
              <w:top w:val="single" w:sz="18" w:space="0" w:color="221F72"/>
            </w:tcBorders>
          </w:tcPr>
          <w:p w14:paraId="2B37404B" w14:textId="77777777" w:rsidR="00BE303D" w:rsidRPr="00E94D8A" w:rsidRDefault="00BE303D" w:rsidP="007858D8">
            <w:pPr>
              <w:pStyle w:val="Tablecells"/>
              <w:jc w:val="center"/>
              <w:rPr>
                <w:rFonts w:cs="Arial"/>
                <w:color w:val="000000"/>
                <w:kern w:val="24"/>
                <w:lang w:val="es-ES"/>
              </w:rPr>
            </w:pPr>
            <w:r w:rsidRPr="00E94D8A">
              <w:rPr>
                <w:rFonts w:cs="Arial"/>
                <w:color w:val="000000"/>
                <w:kern w:val="24"/>
                <w:lang w:val="es-ES"/>
              </w:rPr>
              <w:t>25.39</w:t>
            </w:r>
          </w:p>
        </w:tc>
        <w:tc>
          <w:tcPr>
            <w:tcW w:w="5103" w:type="dxa"/>
            <w:tcBorders>
              <w:top w:val="single" w:sz="18" w:space="0" w:color="221F72"/>
            </w:tcBorders>
          </w:tcPr>
          <w:p w14:paraId="01AA4961" w14:textId="77777777" w:rsidR="00BE303D" w:rsidRPr="00E94D8A" w:rsidRDefault="00BE303D" w:rsidP="00BE303D">
            <w:pPr>
              <w:pStyle w:val="NormalWeb"/>
              <w:spacing w:before="0" w:beforeAutospacing="0" w:after="0" w:afterAutospacing="0"/>
              <w:rPr>
                <w:rFonts w:ascii="Arial" w:eastAsiaTheme="minorHAnsi" w:hAnsi="Arial" w:cs="Arial"/>
                <w:color w:val="000000"/>
                <w:kern w:val="24"/>
                <w:sz w:val="18"/>
                <w:szCs w:val="22"/>
                <w:lang w:eastAsia="en-US"/>
              </w:rPr>
            </w:pPr>
            <w:r w:rsidRPr="00E94D8A">
              <w:rPr>
                <w:rFonts w:ascii="Arial" w:eastAsiaTheme="minorHAnsi" w:hAnsi="Arial" w:cs="Arial"/>
                <w:color w:val="000000"/>
                <w:kern w:val="24"/>
                <w:sz w:val="18"/>
                <w:szCs w:val="22"/>
                <w:lang w:eastAsia="en-US"/>
              </w:rPr>
              <w:t>No se puede utilizar para dar servicios compatibles con las tecnologías denominadas eficientes: GSM y UMTS</w:t>
            </w:r>
          </w:p>
          <w:p w14:paraId="7CCDB054" w14:textId="77777777" w:rsidR="00BE303D" w:rsidRPr="00E94D8A" w:rsidRDefault="00BE303D" w:rsidP="00BE303D">
            <w:pPr>
              <w:pStyle w:val="Tablecells"/>
              <w:rPr>
                <w:rFonts w:cs="Arial"/>
                <w:color w:val="000000"/>
                <w:kern w:val="24"/>
                <w:lang w:val="es-ES"/>
              </w:rPr>
            </w:pPr>
            <w:r w:rsidRPr="00E94D8A">
              <w:rPr>
                <w:rFonts w:cs="Arial"/>
                <w:color w:val="000000"/>
                <w:kern w:val="24"/>
                <w:lang w:val="es-ES"/>
              </w:rPr>
              <w:t xml:space="preserve">Se puede utilizar T-GSM en la banda pero es una tecnología de </w:t>
            </w:r>
            <w:proofErr w:type="spellStart"/>
            <w:r w:rsidRPr="007858D8">
              <w:rPr>
                <w:rFonts w:cs="Arial"/>
                <w:i/>
                <w:color w:val="000000"/>
                <w:kern w:val="24"/>
                <w:lang w:val="es-ES"/>
              </w:rPr>
              <w:t>trunking</w:t>
            </w:r>
            <w:proofErr w:type="spellEnd"/>
          </w:p>
        </w:tc>
      </w:tr>
      <w:tr w:rsidR="00BE303D" w:rsidRPr="00E94D8A" w14:paraId="70FEB63E" w14:textId="77777777" w:rsidTr="006E4A55">
        <w:tc>
          <w:tcPr>
            <w:tcW w:w="1843" w:type="dxa"/>
            <w:tcBorders>
              <w:bottom w:val="nil"/>
            </w:tcBorders>
          </w:tcPr>
          <w:p w14:paraId="661ED576" w14:textId="77777777" w:rsidR="00BE303D" w:rsidRPr="00E94D8A" w:rsidRDefault="00BE303D" w:rsidP="00BE303D">
            <w:pPr>
              <w:pStyle w:val="Tablecells"/>
              <w:rPr>
                <w:lang w:val="es-ES"/>
              </w:rPr>
            </w:pPr>
            <w:r w:rsidRPr="00E94D8A">
              <w:rPr>
                <w:rFonts w:cs="Arial"/>
                <w:color w:val="000000"/>
                <w:kern w:val="24"/>
                <w:lang w:val="es-ES"/>
              </w:rPr>
              <w:t>850MHz (CEL)</w:t>
            </w:r>
          </w:p>
        </w:tc>
        <w:tc>
          <w:tcPr>
            <w:tcW w:w="1843" w:type="dxa"/>
            <w:tcBorders>
              <w:bottom w:val="nil"/>
            </w:tcBorders>
          </w:tcPr>
          <w:p w14:paraId="47EFF94B" w14:textId="77777777" w:rsidR="00BE303D" w:rsidRPr="00E94D8A" w:rsidRDefault="00BE303D" w:rsidP="006C50F4">
            <w:pPr>
              <w:pStyle w:val="Tablecells"/>
              <w:jc w:val="center"/>
              <w:rPr>
                <w:lang w:val="es-ES"/>
              </w:rPr>
            </w:pPr>
            <w:r w:rsidRPr="00E94D8A">
              <w:rPr>
                <w:rFonts w:cs="Arial"/>
                <w:color w:val="000000"/>
                <w:kern w:val="24"/>
                <w:lang w:val="es-ES"/>
              </w:rPr>
              <w:t>43.</w:t>
            </w:r>
            <w:r w:rsidR="006C50F4" w:rsidRPr="00E94D8A">
              <w:rPr>
                <w:rFonts w:cs="Arial"/>
                <w:color w:val="000000"/>
                <w:kern w:val="24"/>
                <w:lang w:val="es-ES"/>
              </w:rPr>
              <w:t>5</w:t>
            </w:r>
            <w:r w:rsidR="006C50F4">
              <w:rPr>
                <w:rFonts w:cs="Arial"/>
                <w:color w:val="000000"/>
                <w:kern w:val="24"/>
                <w:lang w:val="es-ES"/>
              </w:rPr>
              <w:t>1</w:t>
            </w:r>
          </w:p>
        </w:tc>
        <w:tc>
          <w:tcPr>
            <w:tcW w:w="5103" w:type="dxa"/>
            <w:tcBorders>
              <w:bottom w:val="nil"/>
            </w:tcBorders>
          </w:tcPr>
          <w:p w14:paraId="5C3B7B86" w14:textId="77777777" w:rsidR="00BE303D" w:rsidRPr="00E94D8A" w:rsidRDefault="00BE303D" w:rsidP="00C75AA1">
            <w:pPr>
              <w:pStyle w:val="Tablecells"/>
              <w:rPr>
                <w:lang w:val="es-ES"/>
              </w:rPr>
            </w:pPr>
            <w:r w:rsidRPr="00E94D8A">
              <w:rPr>
                <w:rFonts w:cs="Arial"/>
                <w:color w:val="000000"/>
                <w:kern w:val="24"/>
                <w:lang w:val="es-ES"/>
              </w:rPr>
              <w:t>Se puede utilizar para GSM</w:t>
            </w:r>
            <w:r w:rsidR="001545A6">
              <w:rPr>
                <w:rFonts w:cs="Arial"/>
                <w:color w:val="000000"/>
                <w:kern w:val="24"/>
                <w:lang w:val="es-ES"/>
              </w:rPr>
              <w:t>,</w:t>
            </w:r>
            <w:r w:rsidR="001545A6" w:rsidRPr="00E94D8A">
              <w:rPr>
                <w:rFonts w:cs="Arial"/>
                <w:color w:val="000000"/>
                <w:kern w:val="24"/>
                <w:lang w:val="es-ES"/>
              </w:rPr>
              <w:t xml:space="preserve"> UMTS</w:t>
            </w:r>
            <w:r w:rsidR="001545A6">
              <w:rPr>
                <w:rFonts w:cs="Arial"/>
                <w:color w:val="000000"/>
                <w:kern w:val="24"/>
                <w:lang w:val="es-ES"/>
              </w:rPr>
              <w:t xml:space="preserve"> y LTE</w:t>
            </w:r>
          </w:p>
        </w:tc>
      </w:tr>
      <w:tr w:rsidR="00BE303D" w:rsidRPr="00E94D8A" w14:paraId="480BEAEB" w14:textId="77777777" w:rsidTr="006E4A55">
        <w:trPr>
          <w:cnfStyle w:val="000000100000" w:firstRow="0" w:lastRow="0" w:firstColumn="0" w:lastColumn="0" w:oddVBand="0" w:evenVBand="0" w:oddHBand="1" w:evenHBand="0" w:firstRowFirstColumn="0" w:firstRowLastColumn="0" w:lastRowFirstColumn="0" w:lastRowLastColumn="0"/>
        </w:trPr>
        <w:tc>
          <w:tcPr>
            <w:tcW w:w="1843" w:type="dxa"/>
            <w:tcBorders>
              <w:top w:val="nil"/>
              <w:bottom w:val="nil"/>
            </w:tcBorders>
          </w:tcPr>
          <w:p w14:paraId="76A25E4F" w14:textId="77777777" w:rsidR="00BE303D" w:rsidRPr="00E94D8A" w:rsidRDefault="00BE303D" w:rsidP="00BE303D">
            <w:pPr>
              <w:pStyle w:val="Tablecells"/>
              <w:rPr>
                <w:lang w:val="es-ES"/>
              </w:rPr>
            </w:pPr>
            <w:r w:rsidRPr="00E94D8A">
              <w:rPr>
                <w:rFonts w:cs="Arial"/>
                <w:color w:val="000000"/>
                <w:kern w:val="24"/>
                <w:lang w:val="es-ES"/>
              </w:rPr>
              <w:t>1900MHz (PCS)</w:t>
            </w:r>
          </w:p>
        </w:tc>
        <w:tc>
          <w:tcPr>
            <w:tcW w:w="1843" w:type="dxa"/>
            <w:tcBorders>
              <w:top w:val="nil"/>
              <w:bottom w:val="nil"/>
            </w:tcBorders>
          </w:tcPr>
          <w:p w14:paraId="4E08EB38" w14:textId="77777777" w:rsidR="00BE303D" w:rsidRPr="00E94D8A" w:rsidRDefault="00BE303D" w:rsidP="007858D8">
            <w:pPr>
              <w:pStyle w:val="Tablecells"/>
              <w:jc w:val="center"/>
              <w:rPr>
                <w:lang w:val="es-ES"/>
              </w:rPr>
            </w:pPr>
            <w:r w:rsidRPr="00E94D8A">
              <w:rPr>
                <w:rFonts w:cs="Arial"/>
                <w:color w:val="000000"/>
                <w:kern w:val="24"/>
                <w:lang w:val="es-ES"/>
              </w:rPr>
              <w:t>120</w:t>
            </w:r>
            <w:r w:rsidR="00913D31">
              <w:rPr>
                <w:rFonts w:cs="Arial"/>
                <w:color w:val="000000"/>
                <w:kern w:val="24"/>
                <w:lang w:val="es-ES"/>
              </w:rPr>
              <w:t>.0</w:t>
            </w:r>
            <w:r w:rsidR="006C50F4">
              <w:rPr>
                <w:rFonts w:cs="Arial"/>
                <w:color w:val="000000"/>
                <w:kern w:val="24"/>
                <w:lang w:val="es-ES"/>
              </w:rPr>
              <w:t>0</w:t>
            </w:r>
          </w:p>
        </w:tc>
        <w:tc>
          <w:tcPr>
            <w:tcW w:w="5103" w:type="dxa"/>
            <w:tcBorders>
              <w:top w:val="nil"/>
              <w:bottom w:val="nil"/>
            </w:tcBorders>
          </w:tcPr>
          <w:p w14:paraId="47349A2F" w14:textId="77777777" w:rsidR="00BE303D" w:rsidRPr="00E94D8A" w:rsidRDefault="00BE303D" w:rsidP="00200F75">
            <w:pPr>
              <w:pStyle w:val="Tablecells"/>
              <w:rPr>
                <w:lang w:val="es-ES"/>
              </w:rPr>
            </w:pPr>
            <w:r w:rsidRPr="00E94D8A">
              <w:rPr>
                <w:rFonts w:cs="Arial"/>
                <w:color w:val="000000"/>
                <w:kern w:val="24"/>
                <w:lang w:val="es-ES"/>
              </w:rPr>
              <w:t>Se puede utilizar para GSM</w:t>
            </w:r>
            <w:r w:rsidR="00344F28">
              <w:rPr>
                <w:rFonts w:cs="Arial"/>
                <w:color w:val="000000"/>
                <w:kern w:val="24"/>
                <w:lang w:val="es-ES"/>
              </w:rPr>
              <w:t>,</w:t>
            </w:r>
            <w:r w:rsidRPr="00E94D8A">
              <w:rPr>
                <w:rFonts w:cs="Arial"/>
                <w:color w:val="000000"/>
                <w:kern w:val="24"/>
                <w:lang w:val="es-ES"/>
              </w:rPr>
              <w:t xml:space="preserve"> UMTS</w:t>
            </w:r>
            <w:r w:rsidR="00344F28">
              <w:rPr>
                <w:rFonts w:cs="Arial"/>
                <w:color w:val="000000"/>
                <w:kern w:val="24"/>
                <w:lang w:val="es-ES"/>
              </w:rPr>
              <w:t xml:space="preserve"> y LTE</w:t>
            </w:r>
          </w:p>
        </w:tc>
      </w:tr>
      <w:tr w:rsidR="00BE303D" w:rsidRPr="00E94D8A" w14:paraId="61778942" w14:textId="77777777" w:rsidTr="006E4A55">
        <w:tc>
          <w:tcPr>
            <w:tcW w:w="1843" w:type="dxa"/>
            <w:tcBorders>
              <w:top w:val="nil"/>
              <w:bottom w:val="single" w:sz="4" w:space="0" w:color="808080"/>
            </w:tcBorders>
          </w:tcPr>
          <w:p w14:paraId="0C401E27" w14:textId="77777777" w:rsidR="00BE303D" w:rsidRPr="00E94D8A" w:rsidRDefault="00BE303D" w:rsidP="00BE303D">
            <w:pPr>
              <w:pStyle w:val="Tablecells"/>
              <w:rPr>
                <w:lang w:val="es-ES"/>
              </w:rPr>
            </w:pPr>
            <w:r w:rsidRPr="00E94D8A">
              <w:rPr>
                <w:rFonts w:cs="Arial"/>
                <w:color w:val="000000"/>
                <w:kern w:val="24"/>
                <w:lang w:val="es-ES"/>
              </w:rPr>
              <w:t>1.7-2.1GHz (AWS)</w:t>
            </w:r>
          </w:p>
        </w:tc>
        <w:tc>
          <w:tcPr>
            <w:tcW w:w="1843" w:type="dxa"/>
            <w:tcBorders>
              <w:top w:val="nil"/>
              <w:bottom w:val="single" w:sz="4" w:space="0" w:color="808080"/>
            </w:tcBorders>
          </w:tcPr>
          <w:p w14:paraId="12D17D69" w14:textId="77777777" w:rsidR="00BE303D" w:rsidRPr="00E94D8A" w:rsidRDefault="00D0641E" w:rsidP="007858D8">
            <w:pPr>
              <w:pStyle w:val="Tablecells"/>
              <w:jc w:val="center"/>
              <w:rPr>
                <w:lang w:val="es-ES"/>
              </w:rPr>
            </w:pPr>
            <w:r>
              <w:rPr>
                <w:rFonts w:cs="Arial"/>
                <w:color w:val="000000"/>
                <w:kern w:val="24"/>
                <w:lang w:val="es-ES"/>
              </w:rPr>
              <w:t>1</w:t>
            </w:r>
            <w:r w:rsidR="00652799">
              <w:rPr>
                <w:rFonts w:cs="Arial"/>
                <w:color w:val="000000"/>
                <w:kern w:val="24"/>
                <w:lang w:val="es-ES"/>
              </w:rPr>
              <w:t>3</w:t>
            </w:r>
            <w:r w:rsidRPr="00E94D8A">
              <w:rPr>
                <w:rFonts w:cs="Arial"/>
                <w:color w:val="000000"/>
                <w:kern w:val="24"/>
                <w:lang w:val="es-ES"/>
              </w:rPr>
              <w:t>0</w:t>
            </w:r>
            <w:r w:rsidR="00BE303D" w:rsidRPr="00E94D8A">
              <w:rPr>
                <w:rFonts w:cs="Arial"/>
                <w:color w:val="000000"/>
                <w:kern w:val="24"/>
                <w:lang w:val="es-ES"/>
              </w:rPr>
              <w:t>.0</w:t>
            </w:r>
            <w:r w:rsidR="006C50F4">
              <w:rPr>
                <w:rFonts w:cs="Arial"/>
                <w:color w:val="000000"/>
                <w:kern w:val="24"/>
                <w:lang w:val="es-ES"/>
              </w:rPr>
              <w:t>0</w:t>
            </w:r>
          </w:p>
        </w:tc>
        <w:tc>
          <w:tcPr>
            <w:tcW w:w="5103" w:type="dxa"/>
            <w:tcBorders>
              <w:top w:val="nil"/>
              <w:bottom w:val="single" w:sz="4" w:space="0" w:color="808080"/>
            </w:tcBorders>
          </w:tcPr>
          <w:p w14:paraId="09C4E450" w14:textId="77777777" w:rsidR="00BE303D" w:rsidRPr="006E4A55" w:rsidRDefault="00BE303D" w:rsidP="00862B0C">
            <w:pPr>
              <w:pStyle w:val="Tablecells"/>
              <w:rPr>
                <w:spacing w:val="-4"/>
                <w:lang w:val="es-ES"/>
              </w:rPr>
            </w:pPr>
            <w:r w:rsidRPr="006E4A55">
              <w:rPr>
                <w:rFonts w:cs="Arial"/>
                <w:color w:val="000000"/>
                <w:spacing w:val="-4"/>
                <w:kern w:val="24"/>
                <w:lang w:val="es-ES"/>
              </w:rPr>
              <w:t xml:space="preserve">Se puede utilizar para </w:t>
            </w:r>
            <w:r w:rsidR="001545A6" w:rsidRPr="00E94D8A">
              <w:rPr>
                <w:rFonts w:cs="Arial"/>
                <w:color w:val="000000"/>
                <w:kern w:val="24"/>
                <w:lang w:val="es-ES"/>
              </w:rPr>
              <w:t>GSM</w:t>
            </w:r>
            <w:r w:rsidR="001545A6">
              <w:rPr>
                <w:rFonts w:cs="Arial"/>
                <w:color w:val="000000"/>
                <w:kern w:val="24"/>
                <w:lang w:val="es-ES"/>
              </w:rPr>
              <w:t>,</w:t>
            </w:r>
            <w:r w:rsidR="001545A6" w:rsidRPr="00E94D8A">
              <w:rPr>
                <w:rFonts w:cs="Arial"/>
                <w:color w:val="000000"/>
                <w:kern w:val="24"/>
                <w:lang w:val="es-ES"/>
              </w:rPr>
              <w:t xml:space="preserve"> </w:t>
            </w:r>
            <w:r w:rsidRPr="006E4A55">
              <w:rPr>
                <w:rFonts w:cs="Arial"/>
                <w:color w:val="000000"/>
                <w:spacing w:val="-4"/>
                <w:kern w:val="24"/>
                <w:lang w:val="es-ES"/>
              </w:rPr>
              <w:t>UMTS y LTE</w:t>
            </w:r>
          </w:p>
        </w:tc>
      </w:tr>
    </w:tbl>
    <w:p w14:paraId="41D98BA8" w14:textId="77777777" w:rsidR="00BE303D" w:rsidRPr="00E94D8A" w:rsidRDefault="00E94D8A" w:rsidP="007858D8">
      <w:pPr>
        <w:spacing w:before="240"/>
      </w:pPr>
      <w:r>
        <w:t>Como se ha mencionado ya en la S</w:t>
      </w:r>
      <w:r w:rsidR="00BE303D" w:rsidRPr="00E94D8A">
        <w:t>ección</w:t>
      </w:r>
      <w:r>
        <w:t> </w:t>
      </w:r>
      <w:r w:rsidR="00ED17BA">
        <w:rPr>
          <w:color w:val="0000FF"/>
        </w:rPr>
        <w:fldChar w:fldCharType="begin"/>
      </w:r>
      <w:r w:rsidR="00ED17BA">
        <w:instrText xml:space="preserve"> REF _Ref329541606 \r \h </w:instrText>
      </w:r>
      <w:r w:rsidR="00ED17BA">
        <w:rPr>
          <w:color w:val="0000FF"/>
        </w:rPr>
      </w:r>
      <w:r w:rsidR="00ED17BA">
        <w:rPr>
          <w:color w:val="0000FF"/>
        </w:rPr>
        <w:fldChar w:fldCharType="separate"/>
      </w:r>
      <w:r w:rsidR="00B426BC">
        <w:t>3.3</w:t>
      </w:r>
      <w:r w:rsidR="00ED17BA">
        <w:rPr>
          <w:color w:val="0000FF"/>
        </w:rPr>
        <w:fldChar w:fldCharType="end"/>
      </w:r>
      <w:r w:rsidR="00BE303D" w:rsidRPr="00E94D8A">
        <w:t xml:space="preserve">, la cantidad de espectro disponible y utilizado actualmente </w:t>
      </w:r>
      <w:r w:rsidR="006E4A55">
        <w:t xml:space="preserve">por los operadores </w:t>
      </w:r>
      <w:r w:rsidR="00BE303D" w:rsidRPr="00E94D8A">
        <w:t>se adecúa a un mercado de tres operadores</w:t>
      </w:r>
      <w:r w:rsidR="00D611E5">
        <w:t xml:space="preserve">, permitiendo a </w:t>
      </w:r>
      <w:r w:rsidR="00315420">
        <w:t xml:space="preserve">un operador </w:t>
      </w:r>
      <w:r w:rsidR="005F4BCC">
        <w:t xml:space="preserve">alternativo </w:t>
      </w:r>
      <w:r w:rsidR="00315420">
        <w:t xml:space="preserve">hipotético </w:t>
      </w:r>
      <w:r w:rsidR="005F4BCC">
        <w:t xml:space="preserve">existente </w:t>
      </w:r>
      <w:r w:rsidR="00BE303D" w:rsidRPr="00E94D8A">
        <w:t>dispon</w:t>
      </w:r>
      <w:r w:rsidR="00D611E5">
        <w:t>er</w:t>
      </w:r>
      <w:r w:rsidR="00BE303D" w:rsidRPr="00E94D8A">
        <w:t xml:space="preserve"> de suficiente espectro para poder operar </w:t>
      </w:r>
      <w:r w:rsidR="006E4A55">
        <w:t xml:space="preserve">una red </w:t>
      </w:r>
      <w:r w:rsidR="00BE303D" w:rsidRPr="00E94D8A">
        <w:t>2G</w:t>
      </w:r>
      <w:r w:rsidR="004F4A4C">
        <w:t>,</w:t>
      </w:r>
      <w:r w:rsidR="00BE303D" w:rsidRPr="00E94D8A">
        <w:t xml:space="preserve"> 3G</w:t>
      </w:r>
      <w:r w:rsidR="004F4A4C">
        <w:t xml:space="preserve"> y 4G</w:t>
      </w:r>
      <w:r w:rsidR="00BE303D" w:rsidRPr="00E94D8A">
        <w:t xml:space="preserve"> de manera efectiva en la</w:t>
      </w:r>
      <w:r w:rsidR="006E4A55">
        <w:t>s</w:t>
      </w:r>
      <w:r w:rsidR="00BE303D" w:rsidRPr="00E94D8A">
        <w:t xml:space="preserve"> banda</w:t>
      </w:r>
      <w:r w:rsidR="00E92A2A">
        <w:t>s</w:t>
      </w:r>
      <w:r w:rsidR="00BE303D" w:rsidRPr="00E94D8A">
        <w:t xml:space="preserve"> de 850MHz</w:t>
      </w:r>
      <w:r w:rsidR="004F4A4C">
        <w:t>,</w:t>
      </w:r>
      <w:r w:rsidR="00BE303D" w:rsidRPr="00E94D8A">
        <w:t xml:space="preserve"> 1900MHz</w:t>
      </w:r>
      <w:r w:rsidR="004F4A4C">
        <w:t xml:space="preserve"> y </w:t>
      </w:r>
      <w:r w:rsidR="00A071CF">
        <w:t>1700/2100MHz</w:t>
      </w:r>
      <w:r w:rsidR="00E01B85">
        <w:t xml:space="preserve"> respectivamente</w:t>
      </w:r>
      <w:r w:rsidR="00BE303D" w:rsidRPr="00E94D8A">
        <w:t>:</w:t>
      </w:r>
    </w:p>
    <w:p w14:paraId="51CF8E56" w14:textId="77777777" w:rsidR="00600CDE" w:rsidRDefault="00600CDE" w:rsidP="00BE303D">
      <w:pPr>
        <w:pStyle w:val="ListBulletCompact"/>
      </w:pPr>
      <w:r>
        <w:t xml:space="preserve">Los operadores alternativos hipotéticos se repartirían de forma </w:t>
      </w:r>
      <w:r w:rsidR="00CD5D97">
        <w:t xml:space="preserve">proporcional </w:t>
      </w:r>
      <w:r>
        <w:t xml:space="preserve">el espectro disponible en el mercado, una vez retirado el espectro </w:t>
      </w:r>
      <w:r w:rsidR="007949A1">
        <w:t>utilizado</w:t>
      </w:r>
      <w:r>
        <w:t xml:space="preserve"> por </w:t>
      </w:r>
      <w:r w:rsidR="007949A1">
        <w:t>el AEP</w:t>
      </w:r>
      <w:r>
        <w:t xml:space="preserve"> –</w:t>
      </w:r>
      <w:r w:rsidR="00913D31">
        <w:t xml:space="preserve"> </w:t>
      </w:r>
      <w:r>
        <w:t>20MHz</w:t>
      </w:r>
      <w:r w:rsidR="00913D31">
        <w:t xml:space="preserve"> </w:t>
      </w:r>
      <w:r>
        <w:t xml:space="preserve">en 850MHz y 28.4MHz en </w:t>
      </w:r>
      <w:r w:rsidRPr="00913D31">
        <w:t>1900MHz</w:t>
      </w:r>
      <w:r w:rsidR="004F4A4C" w:rsidRPr="00913D31">
        <w:t xml:space="preserve"> y </w:t>
      </w:r>
      <w:r w:rsidR="006C50F4">
        <w:t>8</w:t>
      </w:r>
      <w:r w:rsidR="00913D31">
        <w:t>0.0</w:t>
      </w:r>
      <w:r w:rsidR="004F4A4C" w:rsidRPr="00913D31">
        <w:t>MHz en 1700</w:t>
      </w:r>
      <w:r w:rsidR="00D611E5" w:rsidRPr="00913D31">
        <w:t>/2100</w:t>
      </w:r>
      <w:r w:rsidR="004F4A4C" w:rsidRPr="00913D31">
        <w:t>MHz</w:t>
      </w:r>
      <w:r w:rsidRPr="00913D31">
        <w:t xml:space="preserve"> a nivel nacional.</w:t>
      </w:r>
      <w:r w:rsidR="004F4A4C" w:rsidRPr="00913D31">
        <w:t xml:space="preserve"> </w:t>
      </w:r>
    </w:p>
    <w:p w14:paraId="22945F12" w14:textId="77777777" w:rsidR="00913D31" w:rsidRDefault="004F4A4C" w:rsidP="007858D8">
      <w:pPr>
        <w:pStyle w:val="ListBulletCompact"/>
      </w:pPr>
      <w:r>
        <w:t>por el momento</w:t>
      </w:r>
      <w:r w:rsidR="00D611E5">
        <w:t>,</w:t>
      </w:r>
      <w:r>
        <w:t xml:space="preserve"> y hasta el</w:t>
      </w:r>
      <w:r w:rsidR="00D43BB2">
        <w:t xml:space="preserve"> hipotético</w:t>
      </w:r>
      <w:r>
        <w:t xml:space="preserve"> despliegue de la solución </w:t>
      </w:r>
      <w:proofErr w:type="spellStart"/>
      <w:r>
        <w:t>VoLTE</w:t>
      </w:r>
      <w:proofErr w:type="spellEnd"/>
      <w:r>
        <w:t xml:space="preserve">, </w:t>
      </w:r>
      <w:r w:rsidR="00BE303D" w:rsidRPr="00E94D8A">
        <w:t>sólo dos bandas de frecuencias pueden y son utilizadas efectivamente para dar servicios móviles</w:t>
      </w:r>
      <w:r w:rsidR="005F4BCC">
        <w:t xml:space="preserve"> de voz</w:t>
      </w:r>
      <w:r w:rsidR="00BE303D" w:rsidRPr="00E94D8A">
        <w:t xml:space="preserve"> (850MHz y 1900MHz)</w:t>
      </w:r>
      <w:r w:rsidR="006E4A55">
        <w:t>,</w:t>
      </w:r>
      <w:r w:rsidR="00BE303D" w:rsidRPr="00E94D8A">
        <w:t xml:space="preserve"> lo que limita el espectro disponible y utilizado</w:t>
      </w:r>
      <w:r>
        <w:t>.</w:t>
      </w:r>
    </w:p>
    <w:p w14:paraId="3110099C" w14:textId="77777777" w:rsidR="00BE303D" w:rsidRDefault="00913D31">
      <w:pPr>
        <w:pStyle w:val="Listaconvietas"/>
      </w:pPr>
      <w:r>
        <w:t xml:space="preserve">dadas las similares características de propagación y </w:t>
      </w:r>
      <w:r w:rsidR="00A071CF">
        <w:t xml:space="preserve">la neutralidad tecnológica de las bandas de 1900MHz y 1700/2100MHz, se repartirá el espectro sobrante en ambas y </w:t>
      </w:r>
      <w:r w:rsidR="006C50F4">
        <w:t>el modelo</w:t>
      </w:r>
      <w:r w:rsidR="00A071CF">
        <w:t xml:space="preserve"> usará la </w:t>
      </w:r>
      <w:r w:rsidR="00A071CF">
        <w:lastRenderedPageBreak/>
        <w:t>banda de 1900MHz para proveer servicios de voz y datos UMTS-HSPA y la banda de 1700/2100MHz para servicios de datos de banda ancha LTE</w:t>
      </w:r>
      <w:r w:rsidR="00B11376">
        <w:t>.</w:t>
      </w:r>
    </w:p>
    <w:p w14:paraId="4F4D77DE" w14:textId="77777777" w:rsidR="00BE303D" w:rsidRPr="00E94D8A" w:rsidRDefault="00BE303D" w:rsidP="00E94D8A">
      <w:pPr>
        <w:pStyle w:val="Descripcin"/>
        <w:spacing w:line="240" w:lineRule="atLeast"/>
        <w:rPr>
          <w:lang w:val="es-ES"/>
        </w:rPr>
      </w:pPr>
      <w:bookmarkStart w:id="50" w:name="_Ref321212125"/>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4</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w:instrText>
      </w:r>
      <w:r w:rsidR="00A37365" w:rsidRPr="00E94D8A">
        <w:rPr>
          <w:lang w:val="es-ES"/>
        </w:rPr>
        <w:instrText>SEQ Ilustración</w:instrText>
      </w:r>
      <w:r w:rsidRPr="00E94D8A">
        <w:rPr>
          <w:lang w:val="es-ES"/>
        </w:rPr>
        <w:instrText xml:space="preserve"> \* ARABIC \s 1 \* MERGEFORMAT </w:instrText>
      </w:r>
      <w:r w:rsidRPr="00E94D8A">
        <w:rPr>
          <w:lang w:val="es-ES"/>
        </w:rPr>
        <w:fldChar w:fldCharType="separate"/>
      </w:r>
      <w:r w:rsidR="00B426BC">
        <w:rPr>
          <w:noProof/>
          <w:lang w:val="es-ES"/>
        </w:rPr>
        <w:t>3</w:t>
      </w:r>
      <w:r w:rsidRPr="00E94D8A">
        <w:rPr>
          <w:lang w:val="es-ES"/>
        </w:rPr>
        <w:fldChar w:fldCharType="end"/>
      </w:r>
      <w:bookmarkEnd w:id="50"/>
      <w:r w:rsidRPr="00E94D8A">
        <w:rPr>
          <w:lang w:val="es-ES"/>
        </w:rPr>
        <w:t xml:space="preserve">: </w:t>
      </w:r>
      <w:r w:rsidR="006718FB" w:rsidRPr="00E94D8A">
        <w:rPr>
          <w:lang w:val="es-ES"/>
        </w:rPr>
        <w:t>Espectro disponible a nivel nacional para el operador hipotético existente (ponderado por población) [</w:t>
      </w:r>
      <w:r w:rsidR="001657CE">
        <w:rPr>
          <w:lang w:val="es-ES"/>
        </w:rPr>
        <w:t xml:space="preserve">Fuente: </w:t>
      </w:r>
      <w:proofErr w:type="spellStart"/>
      <w:r w:rsidR="001657CE">
        <w:rPr>
          <w:lang w:val="es-ES"/>
        </w:rPr>
        <w:t>Analysys</w:t>
      </w:r>
      <w:proofErr w:type="spellEnd"/>
      <w:r w:rsidR="001657CE">
        <w:rPr>
          <w:lang w:val="es-ES"/>
        </w:rPr>
        <w:t xml:space="preserve"> Mason, 2016</w:t>
      </w:r>
      <w:r w:rsidR="006718FB" w:rsidRPr="00E94D8A">
        <w:rPr>
          <w:lang w:val="es-ES"/>
        </w:rPr>
        <w:t>]</w:t>
      </w:r>
    </w:p>
    <w:tbl>
      <w:tblPr>
        <w:tblStyle w:val="Sombreadomedio2-nfasis1"/>
        <w:tblW w:w="9072" w:type="dxa"/>
        <w:tblInd w:w="108" w:type="dxa"/>
        <w:tblLook w:val="0420" w:firstRow="1" w:lastRow="0" w:firstColumn="0" w:lastColumn="0" w:noHBand="0" w:noVBand="1"/>
        <w:tblCaption w:val="Figura 4.3"/>
        <w:tblDescription w:val="Espectro disponible a nivel nacional para el operador hipotético existente (ponderado por población), Fuente: Analysys Mason, 2016"/>
      </w:tblPr>
      <w:tblGrid>
        <w:gridCol w:w="2268"/>
        <w:gridCol w:w="1843"/>
        <w:gridCol w:w="4961"/>
      </w:tblGrid>
      <w:tr w:rsidR="000E58A8" w:rsidRPr="00E94D8A" w14:paraId="62B14E02" w14:textId="77777777" w:rsidTr="00C36006">
        <w:trPr>
          <w:cnfStyle w:val="100000000000" w:firstRow="1" w:lastRow="0" w:firstColumn="0" w:lastColumn="0" w:oddVBand="0" w:evenVBand="0" w:oddHBand="0" w:evenHBand="0" w:firstRowFirstColumn="0" w:firstRowLastColumn="0" w:lastRowFirstColumn="0" w:lastRowLastColumn="0"/>
        </w:trPr>
        <w:tc>
          <w:tcPr>
            <w:tcW w:w="2268" w:type="dxa"/>
            <w:tcBorders>
              <w:top w:val="single" w:sz="18" w:space="0" w:color="221F72"/>
              <w:bottom w:val="single" w:sz="18" w:space="0" w:color="221F72"/>
            </w:tcBorders>
            <w:shd w:val="solid" w:color="221F72" w:fill="221F72"/>
          </w:tcPr>
          <w:p w14:paraId="69FC6373" w14:textId="77777777" w:rsidR="000E58A8" w:rsidRPr="00E94D8A" w:rsidRDefault="000E58A8" w:rsidP="00E94D8A">
            <w:pPr>
              <w:pStyle w:val="Tablecells"/>
              <w:spacing w:line="220" w:lineRule="exact"/>
              <w:rPr>
                <w:lang w:val="es-ES"/>
              </w:rPr>
            </w:pPr>
            <w:r w:rsidRPr="00E94D8A">
              <w:rPr>
                <w:lang w:val="es-ES"/>
              </w:rPr>
              <w:t>Banda de frecuencias</w:t>
            </w:r>
          </w:p>
        </w:tc>
        <w:tc>
          <w:tcPr>
            <w:tcW w:w="1843" w:type="dxa"/>
            <w:tcBorders>
              <w:top w:val="single" w:sz="18" w:space="0" w:color="221F72"/>
              <w:bottom w:val="single" w:sz="18" w:space="0" w:color="221F72"/>
            </w:tcBorders>
            <w:shd w:val="solid" w:color="221F72" w:fill="221F72"/>
          </w:tcPr>
          <w:p w14:paraId="128030E2" w14:textId="77777777" w:rsidR="000E58A8" w:rsidRPr="00E94D8A" w:rsidRDefault="000E58A8" w:rsidP="00E94D8A">
            <w:pPr>
              <w:pStyle w:val="Tablecells"/>
              <w:spacing w:line="220" w:lineRule="exact"/>
              <w:rPr>
                <w:lang w:val="es-ES"/>
              </w:rPr>
            </w:pPr>
            <w:r w:rsidRPr="00E94D8A">
              <w:rPr>
                <w:lang w:val="es-ES"/>
              </w:rPr>
              <w:t xml:space="preserve">Espectro por operador </w:t>
            </w:r>
            <w:r>
              <w:rPr>
                <w:lang w:val="es-ES"/>
              </w:rPr>
              <w:t xml:space="preserve">alternativo </w:t>
            </w:r>
            <w:r w:rsidRPr="00E94D8A">
              <w:rPr>
                <w:lang w:val="es-ES"/>
              </w:rPr>
              <w:t>(MHz)</w:t>
            </w:r>
          </w:p>
        </w:tc>
        <w:tc>
          <w:tcPr>
            <w:tcW w:w="4961" w:type="dxa"/>
            <w:tcBorders>
              <w:top w:val="single" w:sz="18" w:space="0" w:color="221F72"/>
              <w:bottom w:val="single" w:sz="18" w:space="0" w:color="221F72"/>
            </w:tcBorders>
            <w:shd w:val="solid" w:color="221F72" w:fill="221F72"/>
          </w:tcPr>
          <w:p w14:paraId="5AE01C7A" w14:textId="77777777" w:rsidR="000E58A8" w:rsidRPr="00E94D8A" w:rsidRDefault="000E58A8" w:rsidP="00E94D8A">
            <w:pPr>
              <w:pStyle w:val="Tablecells"/>
              <w:spacing w:line="220" w:lineRule="exact"/>
              <w:rPr>
                <w:lang w:val="es-ES"/>
              </w:rPr>
            </w:pPr>
            <w:r w:rsidRPr="00E94D8A">
              <w:rPr>
                <w:lang w:val="es-ES"/>
              </w:rPr>
              <w:t>Comentarios</w:t>
            </w:r>
          </w:p>
        </w:tc>
      </w:tr>
      <w:tr w:rsidR="000E58A8" w:rsidRPr="00E94D8A" w14:paraId="68FEA6E3" w14:textId="77777777" w:rsidTr="00C36006">
        <w:trPr>
          <w:cnfStyle w:val="000000100000" w:firstRow="0" w:lastRow="0" w:firstColumn="0" w:lastColumn="0" w:oddVBand="0" w:evenVBand="0" w:oddHBand="1" w:evenHBand="0" w:firstRowFirstColumn="0" w:firstRowLastColumn="0" w:lastRowFirstColumn="0" w:lastRowLastColumn="0"/>
        </w:trPr>
        <w:tc>
          <w:tcPr>
            <w:tcW w:w="2268" w:type="dxa"/>
            <w:tcBorders>
              <w:top w:val="single" w:sz="18" w:space="0" w:color="221F72"/>
              <w:bottom w:val="nil"/>
            </w:tcBorders>
          </w:tcPr>
          <w:p w14:paraId="470A8CD3" w14:textId="77777777" w:rsidR="000E58A8" w:rsidRPr="00E94D8A" w:rsidRDefault="000E58A8" w:rsidP="006718FB">
            <w:pPr>
              <w:pStyle w:val="Tablecells"/>
              <w:rPr>
                <w:lang w:val="es-ES"/>
              </w:rPr>
            </w:pPr>
            <w:r w:rsidRPr="00E94D8A">
              <w:rPr>
                <w:rFonts w:cs="Arial"/>
                <w:color w:val="000000"/>
                <w:kern w:val="24"/>
                <w:lang w:val="es-ES"/>
              </w:rPr>
              <w:t>850MHz (CEL)</w:t>
            </w:r>
          </w:p>
          <w:p w14:paraId="7AC95C48" w14:textId="77777777" w:rsidR="000E58A8" w:rsidRDefault="000E58A8" w:rsidP="005F4BCC">
            <w:pPr>
              <w:pStyle w:val="Tablecells"/>
              <w:rPr>
                <w:rFonts w:cs="Arial"/>
                <w:color w:val="000000"/>
                <w:kern w:val="24"/>
                <w:lang w:val="es-ES"/>
              </w:rPr>
            </w:pPr>
          </w:p>
        </w:tc>
        <w:tc>
          <w:tcPr>
            <w:tcW w:w="1843" w:type="dxa"/>
            <w:tcBorders>
              <w:top w:val="single" w:sz="18" w:space="0" w:color="221F72"/>
              <w:bottom w:val="nil"/>
            </w:tcBorders>
          </w:tcPr>
          <w:p w14:paraId="19E62A00" w14:textId="31CA6165" w:rsidR="000E58A8" w:rsidRPr="00E94D8A" w:rsidRDefault="00254135" w:rsidP="00B426BC">
            <w:pPr>
              <w:pStyle w:val="Tablecells"/>
              <w:rPr>
                <w:rFonts w:cs="Arial"/>
                <w:color w:val="000000"/>
                <w:kern w:val="24"/>
                <w:lang w:val="es-ES"/>
              </w:rPr>
            </w:pPr>
            <w:r w:rsidRPr="00E94D8A">
              <w:rPr>
                <w:rFonts w:cs="Arial"/>
                <w:color w:val="000000"/>
                <w:kern w:val="24"/>
                <w:lang w:val="es-ES"/>
              </w:rPr>
              <w:t>1</w:t>
            </w:r>
            <w:r>
              <w:rPr>
                <w:rFonts w:cs="Arial"/>
                <w:color w:val="000000"/>
                <w:kern w:val="24"/>
                <w:lang w:val="es-ES"/>
              </w:rPr>
              <w:t>0</w:t>
            </w:r>
            <w:r w:rsidR="000E58A8" w:rsidRPr="00E94D8A">
              <w:rPr>
                <w:rFonts w:cs="Arial"/>
                <w:color w:val="000000"/>
                <w:kern w:val="24"/>
                <w:lang w:val="es-ES"/>
              </w:rPr>
              <w:t>.</w:t>
            </w:r>
            <w:r w:rsidR="000E58A8">
              <w:rPr>
                <w:rFonts w:cs="Arial"/>
                <w:color w:val="000000"/>
                <w:kern w:val="24"/>
                <w:lang w:val="es-ES"/>
              </w:rPr>
              <w:t>0</w:t>
            </w:r>
          </w:p>
        </w:tc>
        <w:tc>
          <w:tcPr>
            <w:tcW w:w="4961" w:type="dxa"/>
            <w:tcBorders>
              <w:top w:val="single" w:sz="18" w:space="0" w:color="221F72"/>
              <w:bottom w:val="nil"/>
            </w:tcBorders>
          </w:tcPr>
          <w:p w14:paraId="2DE5EE95" w14:textId="3C071AA9" w:rsidR="000E58A8" w:rsidRPr="00E94D8A" w:rsidRDefault="000E58A8" w:rsidP="003D55FC">
            <w:pPr>
              <w:pStyle w:val="Tablecells"/>
              <w:numPr>
                <w:ilvl w:val="0"/>
                <w:numId w:val="28"/>
              </w:numPr>
              <w:ind w:left="317" w:hanging="284"/>
              <w:rPr>
                <w:lang w:val="es-ES"/>
              </w:rPr>
            </w:pPr>
            <w:r>
              <w:rPr>
                <w:lang w:val="es-ES"/>
              </w:rPr>
              <w:t>Un operador con 2</w:t>
            </w:r>
            <w:r>
              <w:rPr>
                <w:rFonts w:cs="Arial"/>
                <w:lang w:val="es-ES"/>
              </w:rPr>
              <w:t>×</w:t>
            </w:r>
            <w:r>
              <w:rPr>
                <w:lang w:val="es-ES"/>
              </w:rPr>
              <w:t xml:space="preserve">5MHz dispone de suficiente espectro para ofrecer servicios GSM o </w:t>
            </w:r>
            <w:r w:rsidRPr="00E94D8A">
              <w:rPr>
                <w:lang w:val="es-ES"/>
              </w:rPr>
              <w:t>UMTS/HSPA</w:t>
            </w:r>
            <w:r>
              <w:rPr>
                <w:rStyle w:val="Refdenotaalpie"/>
                <w:lang w:val="es-ES"/>
              </w:rPr>
              <w:footnoteReference w:id="17"/>
            </w:r>
          </w:p>
        </w:tc>
      </w:tr>
      <w:tr w:rsidR="000E58A8" w:rsidRPr="00E94D8A" w14:paraId="03A812F4" w14:textId="77777777" w:rsidTr="00C36006">
        <w:tc>
          <w:tcPr>
            <w:tcW w:w="2268" w:type="dxa"/>
            <w:tcBorders>
              <w:top w:val="nil"/>
              <w:bottom w:val="nil"/>
            </w:tcBorders>
          </w:tcPr>
          <w:p w14:paraId="0C554DBA" w14:textId="77777777" w:rsidR="000E58A8" w:rsidRPr="00E94D8A" w:rsidRDefault="000E58A8" w:rsidP="006718FB">
            <w:pPr>
              <w:pStyle w:val="Tablecells"/>
              <w:rPr>
                <w:lang w:val="es-ES"/>
              </w:rPr>
            </w:pPr>
            <w:r w:rsidRPr="00E94D8A">
              <w:rPr>
                <w:rFonts w:cs="Arial"/>
                <w:color w:val="000000"/>
                <w:kern w:val="24"/>
                <w:lang w:val="es-ES"/>
              </w:rPr>
              <w:t>1900MHz (PCS)</w:t>
            </w:r>
          </w:p>
        </w:tc>
        <w:tc>
          <w:tcPr>
            <w:tcW w:w="1843" w:type="dxa"/>
            <w:tcBorders>
              <w:top w:val="nil"/>
              <w:bottom w:val="nil"/>
            </w:tcBorders>
          </w:tcPr>
          <w:p w14:paraId="3F938454" w14:textId="77777777" w:rsidR="000E58A8" w:rsidRPr="00E94D8A" w:rsidRDefault="000E58A8" w:rsidP="006C50F4">
            <w:pPr>
              <w:pStyle w:val="Tablecells"/>
              <w:rPr>
                <w:rFonts w:cs="Arial"/>
                <w:color w:val="000000"/>
                <w:kern w:val="24"/>
                <w:lang w:val="es-ES"/>
              </w:rPr>
            </w:pPr>
            <w:r w:rsidRPr="00E94D8A">
              <w:rPr>
                <w:rFonts w:cs="Arial"/>
                <w:color w:val="000000"/>
                <w:kern w:val="24"/>
                <w:lang w:val="es-ES"/>
              </w:rPr>
              <w:t>4</w:t>
            </w:r>
            <w:r>
              <w:rPr>
                <w:rFonts w:cs="Arial"/>
                <w:color w:val="000000"/>
                <w:kern w:val="24"/>
                <w:lang w:val="es-ES"/>
              </w:rPr>
              <w:t>0.8</w:t>
            </w:r>
          </w:p>
          <w:p w14:paraId="1948675B" w14:textId="77777777" w:rsidR="000E58A8" w:rsidRPr="00E94D8A" w:rsidRDefault="000E58A8" w:rsidP="00600CDE">
            <w:pPr>
              <w:pStyle w:val="Tablecells"/>
              <w:rPr>
                <w:rFonts w:cs="Arial"/>
                <w:color w:val="000000"/>
                <w:kern w:val="24"/>
                <w:lang w:val="es-ES"/>
              </w:rPr>
            </w:pPr>
          </w:p>
        </w:tc>
        <w:tc>
          <w:tcPr>
            <w:tcW w:w="4961" w:type="dxa"/>
            <w:tcBorders>
              <w:top w:val="nil"/>
              <w:bottom w:val="nil"/>
            </w:tcBorders>
          </w:tcPr>
          <w:p w14:paraId="09B1C390" w14:textId="77777777" w:rsidR="000E58A8" w:rsidRPr="00E94D8A" w:rsidRDefault="000E58A8" w:rsidP="007858D8">
            <w:pPr>
              <w:pStyle w:val="Tablecells"/>
              <w:numPr>
                <w:ilvl w:val="0"/>
                <w:numId w:val="28"/>
              </w:numPr>
              <w:ind w:left="317" w:hanging="317"/>
              <w:rPr>
                <w:lang w:val="es-ES"/>
              </w:rPr>
            </w:pPr>
            <w:r w:rsidRPr="00E94D8A">
              <w:rPr>
                <w:lang w:val="es-ES"/>
              </w:rPr>
              <w:t>4</w:t>
            </w:r>
            <w:r>
              <w:rPr>
                <w:lang w:val="es-ES"/>
              </w:rPr>
              <w:t>0.8</w:t>
            </w:r>
            <w:r w:rsidRPr="00E94D8A">
              <w:rPr>
                <w:lang w:val="es-ES"/>
              </w:rPr>
              <w:t>MHz son suficientes para acomodar despliegues de capacidad de GSM y UMTS/HSPA incluso en casos de alto tráfico de banda ancha móvil</w:t>
            </w:r>
          </w:p>
        </w:tc>
      </w:tr>
      <w:tr w:rsidR="00E01B85" w:rsidRPr="00E94D8A" w14:paraId="57F3CB4F" w14:textId="77777777" w:rsidTr="00C36006">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single" w:sz="4" w:space="0" w:color="D9D9D9" w:themeColor="background1" w:themeShade="D9"/>
            </w:tcBorders>
          </w:tcPr>
          <w:p w14:paraId="61EBD17D" w14:textId="77777777" w:rsidR="00E01B85" w:rsidRPr="00E94D8A" w:rsidRDefault="00E01B85" w:rsidP="006718FB">
            <w:pPr>
              <w:pStyle w:val="Tablecells"/>
              <w:rPr>
                <w:rFonts w:cs="Arial"/>
                <w:color w:val="000000"/>
                <w:kern w:val="24"/>
                <w:lang w:val="es-ES"/>
              </w:rPr>
            </w:pPr>
            <w:r>
              <w:rPr>
                <w:rFonts w:cs="Arial"/>
                <w:color w:val="000000"/>
                <w:kern w:val="24"/>
                <w:lang w:val="es-ES"/>
              </w:rPr>
              <w:t>1700</w:t>
            </w:r>
            <w:r w:rsidR="00692C2B">
              <w:rPr>
                <w:rFonts w:cs="Arial"/>
                <w:color w:val="000000"/>
                <w:kern w:val="24"/>
                <w:lang w:val="es-ES"/>
              </w:rPr>
              <w:t>/2100</w:t>
            </w:r>
            <w:r>
              <w:rPr>
                <w:rFonts w:cs="Arial"/>
                <w:color w:val="000000"/>
                <w:kern w:val="24"/>
                <w:lang w:val="es-ES"/>
              </w:rPr>
              <w:t>MHz (AWS)</w:t>
            </w:r>
          </w:p>
        </w:tc>
        <w:tc>
          <w:tcPr>
            <w:tcW w:w="1843" w:type="dxa"/>
            <w:tcBorders>
              <w:top w:val="nil"/>
              <w:bottom w:val="single" w:sz="4" w:space="0" w:color="D9D9D9" w:themeColor="background1" w:themeShade="D9"/>
            </w:tcBorders>
          </w:tcPr>
          <w:p w14:paraId="2ED080C1" w14:textId="77777777" w:rsidR="00E01B85" w:rsidRPr="00E94D8A" w:rsidRDefault="00A071CF" w:rsidP="00600CDE">
            <w:pPr>
              <w:pStyle w:val="Tablecells"/>
              <w:rPr>
                <w:rFonts w:cs="Arial"/>
                <w:color w:val="000000"/>
                <w:kern w:val="24"/>
                <w:lang w:val="es-ES"/>
              </w:rPr>
            </w:pPr>
            <w:r>
              <w:rPr>
                <w:rFonts w:cs="Arial"/>
                <w:color w:val="000000"/>
                <w:kern w:val="24"/>
                <w:lang w:val="es-ES"/>
              </w:rPr>
              <w:t>30</w:t>
            </w:r>
            <w:r w:rsidR="00B9575A">
              <w:rPr>
                <w:rFonts w:cs="Arial"/>
                <w:color w:val="000000"/>
                <w:kern w:val="24"/>
                <w:lang w:val="es-ES"/>
              </w:rPr>
              <w:t>.0</w:t>
            </w:r>
          </w:p>
        </w:tc>
        <w:tc>
          <w:tcPr>
            <w:tcW w:w="4961" w:type="dxa"/>
            <w:tcBorders>
              <w:top w:val="nil"/>
              <w:bottom w:val="single" w:sz="4" w:space="0" w:color="D9D9D9" w:themeColor="background1" w:themeShade="D9"/>
            </w:tcBorders>
          </w:tcPr>
          <w:p w14:paraId="0FE82583" w14:textId="77777777" w:rsidR="00E01B85" w:rsidRPr="00E94D8A" w:rsidRDefault="00B9575A" w:rsidP="007858D8">
            <w:pPr>
              <w:pStyle w:val="Tablecells"/>
              <w:numPr>
                <w:ilvl w:val="0"/>
                <w:numId w:val="28"/>
              </w:numPr>
              <w:ind w:left="317" w:hanging="317"/>
              <w:rPr>
                <w:lang w:val="es-ES"/>
              </w:rPr>
            </w:pPr>
            <w:r>
              <w:rPr>
                <w:lang w:val="es-ES"/>
              </w:rPr>
              <w:t>2x1</w:t>
            </w:r>
            <w:r w:rsidR="00D0641E">
              <w:rPr>
                <w:lang w:val="es-ES"/>
              </w:rPr>
              <w:t>5</w:t>
            </w:r>
            <w:r>
              <w:rPr>
                <w:lang w:val="es-ES"/>
              </w:rPr>
              <w:t xml:space="preserve"> MHz son suficientes para prestar servicios de banda ancha móvil LTE con velocidades pico de</w:t>
            </w:r>
            <w:r w:rsidR="00200F75">
              <w:rPr>
                <w:lang w:val="es-ES"/>
              </w:rPr>
              <w:t xml:space="preserve"> </w:t>
            </w:r>
            <w:r w:rsidR="00571301">
              <w:rPr>
                <w:lang w:val="es-ES"/>
              </w:rPr>
              <w:t>más de</w:t>
            </w:r>
            <w:r w:rsidR="00D0641E">
              <w:rPr>
                <w:lang w:val="es-ES"/>
              </w:rPr>
              <w:t xml:space="preserve"> </w:t>
            </w:r>
            <w:r w:rsidR="00571301">
              <w:rPr>
                <w:lang w:val="es-ES"/>
              </w:rPr>
              <w:t>1</w:t>
            </w:r>
            <w:r w:rsidR="00D0641E">
              <w:rPr>
                <w:lang w:val="es-ES"/>
              </w:rPr>
              <w:t>00 Mbit/s</w:t>
            </w:r>
          </w:p>
        </w:tc>
      </w:tr>
    </w:tbl>
    <w:p w14:paraId="3ECB82CC" w14:textId="77777777" w:rsidR="00B039AC" w:rsidRDefault="00B039AC" w:rsidP="003D55FC">
      <w:pPr>
        <w:pStyle w:val="Listaconvietas"/>
        <w:numPr>
          <w:ilvl w:val="0"/>
          <w:numId w:val="0"/>
        </w:numPr>
        <w:ind w:left="357"/>
        <w:rPr>
          <w:lang w:val="es-MX"/>
        </w:rPr>
      </w:pPr>
    </w:p>
    <w:p w14:paraId="20659192" w14:textId="6C35B447" w:rsidR="00315420" w:rsidRPr="00C05F9A" w:rsidRDefault="0043475A" w:rsidP="00C05F9A">
      <w:pPr>
        <w:pStyle w:val="B1"/>
        <w:pBdr>
          <w:top w:val="single" w:sz="4" w:space="2" w:color="D9D9D9" w:themeColor="background1" w:themeShade="D9"/>
          <w:bottom w:val="single" w:sz="4" w:space="5" w:color="D9D9D9" w:themeColor="background1" w:themeShade="D9"/>
        </w:pBdr>
        <w:shd w:val="clear" w:color="auto" w:fill="F2F2F2" w:themeFill="background1" w:themeFillShade="F2"/>
      </w:pPr>
      <w:r>
        <w:rPr>
          <w:b/>
          <w:bCs/>
        </w:rPr>
        <w:t>Concepto propuesto</w:t>
      </w:r>
      <w:r w:rsidR="004C5F0B" w:rsidRPr="00E94D8A">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7</w:t>
      </w:r>
      <w:r w:rsidR="00CB05BF" w:rsidRPr="00E94D8A">
        <w:rPr>
          <w:b/>
          <w:color w:val="000000" w:themeColor="text1"/>
        </w:rPr>
        <w:fldChar w:fldCharType="end"/>
      </w:r>
      <w:r w:rsidR="004C5F0B" w:rsidRPr="00E94D8A">
        <w:t xml:space="preserve">: El espectro asignado al operador </w:t>
      </w:r>
      <w:r w:rsidR="00600CDE">
        <w:t xml:space="preserve">alternativo </w:t>
      </w:r>
      <w:r w:rsidR="004C5F0B" w:rsidRPr="00E94D8A">
        <w:t xml:space="preserve">hipotético </w:t>
      </w:r>
      <w:r w:rsidR="00926537">
        <w:t>será</w:t>
      </w:r>
      <w:r w:rsidR="004C5F0B" w:rsidRPr="00E94D8A">
        <w:t xml:space="preserve"> de </w:t>
      </w:r>
      <w:r w:rsidR="005F4BCC" w:rsidRPr="00E94D8A">
        <w:t>1</w:t>
      </w:r>
      <w:r w:rsidR="005F4BCC">
        <w:t>0</w:t>
      </w:r>
      <w:r w:rsidR="00254135">
        <w:t>.0</w:t>
      </w:r>
      <w:r w:rsidR="005F4BCC" w:rsidRPr="00E94D8A">
        <w:t xml:space="preserve">MHz </w:t>
      </w:r>
      <w:r w:rsidR="004C5F0B" w:rsidRPr="00E94D8A">
        <w:t>en la banda de 850MHz</w:t>
      </w:r>
      <w:r w:rsidR="004F4A4C">
        <w:t>,</w:t>
      </w:r>
      <w:r w:rsidR="004C5F0B" w:rsidRPr="00E94D8A">
        <w:t xml:space="preserve"> d</w:t>
      </w:r>
      <w:r w:rsidR="004C5F0B">
        <w:t xml:space="preserve">e </w:t>
      </w:r>
      <w:r w:rsidR="00B11376">
        <w:t>40</w:t>
      </w:r>
      <w:r w:rsidR="005F4BCC">
        <w:t>.</w:t>
      </w:r>
      <w:r w:rsidR="006C50F4">
        <w:t>8</w:t>
      </w:r>
      <w:r w:rsidR="00B11376">
        <w:t xml:space="preserve">MHz </w:t>
      </w:r>
      <w:r w:rsidR="004C5F0B">
        <w:t>en la banda de 1900MHz</w:t>
      </w:r>
      <w:r w:rsidR="004F4A4C">
        <w:t xml:space="preserve"> y de </w:t>
      </w:r>
      <w:r w:rsidR="00D0641E">
        <w:t>3</w:t>
      </w:r>
      <w:r w:rsidR="00B9575A">
        <w:t>0</w:t>
      </w:r>
      <w:r w:rsidR="00D0641E">
        <w:t>.0</w:t>
      </w:r>
      <w:r w:rsidR="004F4A4C">
        <w:t xml:space="preserve"> MHz en la banda de 1700</w:t>
      </w:r>
      <w:r w:rsidR="006C50F4">
        <w:t>/2100</w:t>
      </w:r>
      <w:r w:rsidR="004F4A4C">
        <w:t>MHz</w:t>
      </w:r>
      <w:r w:rsidR="00096293">
        <w:rPr>
          <w:rStyle w:val="Refdenotaalpie"/>
        </w:rPr>
        <w:footnoteReference w:id="18"/>
      </w:r>
      <w:r w:rsidR="004C5F0B">
        <w:t>.</w:t>
      </w:r>
    </w:p>
    <w:p w14:paraId="738E501F" w14:textId="462DA158" w:rsidR="006718FB" w:rsidRPr="00E94D8A" w:rsidRDefault="006718FB" w:rsidP="006E4A55">
      <w:r w:rsidRPr="00E94D8A">
        <w:t xml:space="preserve">Los pagos asociados a las diferentes bandas de frecuencias se basarán en los pagos efectuados por los operadores históricos en el momento de la adquisición de la frecuencia o durante la última renovación de la </w:t>
      </w:r>
      <w:r w:rsidR="00923DF1">
        <w:t>concesión</w:t>
      </w:r>
      <w:r w:rsidR="00923DF1" w:rsidRPr="00E94D8A">
        <w:t xml:space="preserve"> </w:t>
      </w:r>
      <w:r w:rsidRPr="00E94D8A">
        <w:t>de espectro. Este enfoque es consistente con la utilización del precio de mercado del espectro.</w:t>
      </w:r>
    </w:p>
    <w:p w14:paraId="35A4BD68" w14:textId="3C2E47C6" w:rsidR="006718FB" w:rsidRPr="00E94D8A" w:rsidRDefault="006718FB" w:rsidP="00FB7938">
      <w:r w:rsidRPr="00E94D8A">
        <w:t>La inversión inicial (</w:t>
      </w:r>
      <w:proofErr w:type="spellStart"/>
      <w:r w:rsidRPr="00E94D8A">
        <w:t>capex</w:t>
      </w:r>
      <w:proofErr w:type="spellEnd"/>
      <w:r w:rsidRPr="00E94D8A">
        <w:t xml:space="preserve">) en espectro en la banda de 850MHz se calcula </w:t>
      </w:r>
      <w:r w:rsidR="00F9251F">
        <w:t xml:space="preserve">con </w:t>
      </w:r>
      <w:r w:rsidR="006E4A55">
        <w:t xml:space="preserve">base </w:t>
      </w:r>
      <w:r w:rsidR="00F9251F">
        <w:t>en el</w:t>
      </w:r>
      <w:r w:rsidR="00F9251F" w:rsidRPr="00E94D8A">
        <w:t xml:space="preserve"> </w:t>
      </w:r>
      <w:r w:rsidRPr="00E94D8A">
        <w:t>precio promedio pagado en la prórroga otorgada en mayo de 2010 por región por MHz, multiplicándolo por la cantidad de espectro que tendrá el operador hipotético.</w:t>
      </w:r>
    </w:p>
    <w:p w14:paraId="0C031A46" w14:textId="2C101344" w:rsidR="006718FB" w:rsidRDefault="006718FB" w:rsidP="007858D8">
      <w:pPr>
        <w:spacing w:before="240"/>
      </w:pPr>
      <w:r w:rsidRPr="00E94D8A">
        <w:t>De forma similar</w:t>
      </w:r>
      <w:r w:rsidR="0089299D">
        <w:t xml:space="preserve"> se calcula</w:t>
      </w:r>
      <w:r w:rsidRPr="00E94D8A">
        <w:t xml:space="preserve"> la inversión inicial (</w:t>
      </w:r>
      <w:proofErr w:type="spellStart"/>
      <w:r w:rsidRPr="00E94D8A">
        <w:t>capex</w:t>
      </w:r>
      <w:proofErr w:type="spellEnd"/>
      <w:r w:rsidRPr="00E94D8A">
        <w:t>) en espectro en la</w:t>
      </w:r>
      <w:r w:rsidR="00B9575A">
        <w:t>s</w:t>
      </w:r>
      <w:r w:rsidRPr="00E94D8A">
        <w:t xml:space="preserve"> banda</w:t>
      </w:r>
      <w:r w:rsidR="00B9575A">
        <w:t>s</w:t>
      </w:r>
      <w:r w:rsidRPr="00E94D8A">
        <w:t xml:space="preserve"> de 1900MHz</w:t>
      </w:r>
      <w:r w:rsidR="00692C2B">
        <w:t xml:space="preserve"> (PCS)</w:t>
      </w:r>
      <w:r w:rsidR="00C53C21">
        <w:t xml:space="preserve"> </w:t>
      </w:r>
      <w:r w:rsidR="00B9575A">
        <w:t>y 1700</w:t>
      </w:r>
      <w:r w:rsidR="006C50F4">
        <w:t>/2100</w:t>
      </w:r>
      <w:r w:rsidR="00B9575A">
        <w:t>MHz (AWS)</w:t>
      </w:r>
      <w:r w:rsidR="00692C2B">
        <w:t xml:space="preserve"> </w:t>
      </w:r>
      <w:r w:rsidR="00923DF1">
        <w:t xml:space="preserve">con </w:t>
      </w:r>
      <w:r w:rsidR="00EA7F32">
        <w:t xml:space="preserve">base </w:t>
      </w:r>
      <w:r w:rsidR="00923DF1">
        <w:t xml:space="preserve">en </w:t>
      </w:r>
      <w:r w:rsidR="00EA7F32">
        <w:t>los precios pagados por el espectro en</w:t>
      </w:r>
      <w:r w:rsidRPr="00E94D8A">
        <w:t xml:space="preserve"> la</w:t>
      </w:r>
      <w:r w:rsidR="0089299D">
        <w:t>s</w:t>
      </w:r>
      <w:r w:rsidRPr="00E94D8A">
        <w:t xml:space="preserve"> subasta</w:t>
      </w:r>
      <w:r w:rsidR="0089299D">
        <w:t>s</w:t>
      </w:r>
      <w:r w:rsidRPr="00E94D8A">
        <w:t xml:space="preserve"> realizada</w:t>
      </w:r>
      <w:r w:rsidR="0089299D">
        <w:t>s</w:t>
      </w:r>
      <w:r w:rsidRPr="00E94D8A">
        <w:t xml:space="preserve"> en </w:t>
      </w:r>
      <w:r w:rsidR="00D0641E">
        <w:t>los</w:t>
      </w:r>
      <w:r w:rsidR="00D0641E" w:rsidRPr="00E94D8A">
        <w:t xml:space="preserve"> </w:t>
      </w:r>
      <w:r w:rsidR="00EA7F32">
        <w:t>año</w:t>
      </w:r>
      <w:r w:rsidR="00D0641E">
        <w:t>s</w:t>
      </w:r>
      <w:r w:rsidR="00EA7F32">
        <w:t xml:space="preserve"> </w:t>
      </w:r>
      <w:r w:rsidRPr="00E94D8A">
        <w:t>2010</w:t>
      </w:r>
      <w:r w:rsidR="00D0641E">
        <w:t xml:space="preserve"> y 2016</w:t>
      </w:r>
      <w:r w:rsidRPr="00E94D8A">
        <w:t>.</w:t>
      </w:r>
    </w:p>
    <w:tbl>
      <w:tblPr>
        <w:tblStyle w:val="Tablaconcuadrcula"/>
        <w:tblW w:w="0" w:type="auto"/>
        <w:tblInd w:w="392" w:type="dxa"/>
        <w:tblLook w:val="04A0" w:firstRow="1" w:lastRow="0" w:firstColumn="1" w:lastColumn="0" w:noHBand="0" w:noVBand="1"/>
        <w:tblCaption w:val="Concepto propuesto 8"/>
        <w:tblDescription w:val="Concepto propuesto 8"/>
      </w:tblPr>
      <w:tblGrid>
        <w:gridCol w:w="8221"/>
      </w:tblGrid>
      <w:tr w:rsidR="006974ED" w14:paraId="0470B989" w14:textId="77777777" w:rsidTr="00EE6520">
        <w:tc>
          <w:tcPr>
            <w:tcW w:w="8221"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6E139A96" w14:textId="77777777" w:rsidR="006974ED" w:rsidRDefault="0043475A" w:rsidP="00EE6520">
            <w:r>
              <w:rPr>
                <w:b/>
                <w:bCs/>
              </w:rPr>
              <w:t>Concepto propuesto</w:t>
            </w:r>
            <w:r w:rsidR="006974ED" w:rsidRPr="00E94D8A">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8</w:t>
            </w:r>
            <w:r w:rsidR="00CB05BF" w:rsidRPr="00E94D8A">
              <w:rPr>
                <w:b/>
                <w:color w:val="000000" w:themeColor="text1"/>
              </w:rPr>
              <w:fldChar w:fldCharType="end"/>
            </w:r>
            <w:r w:rsidR="006974ED" w:rsidRPr="00E94D8A">
              <w:t>: El costo del</w:t>
            </w:r>
            <w:r w:rsidR="00CE2AFC">
              <w:t xml:space="preserve"> espectro </w:t>
            </w:r>
            <w:r w:rsidR="00FA50A7">
              <w:t>modelará</w:t>
            </w:r>
            <w:r w:rsidR="006974ED" w:rsidRPr="00E94D8A">
              <w:t xml:space="preserve"> de la siguiente manera:</w:t>
            </w:r>
          </w:p>
          <w:p w14:paraId="011E5E50" w14:textId="01829498" w:rsidR="006974ED" w:rsidRPr="00E94D8A" w:rsidRDefault="006974ED" w:rsidP="00EE6520">
            <w:pPr>
              <w:pStyle w:val="ListBulletCompact"/>
            </w:pPr>
            <w:r w:rsidRPr="00E94D8A">
              <w:t>la inversión inicial (</w:t>
            </w:r>
            <w:proofErr w:type="spellStart"/>
            <w:r w:rsidRPr="00E94D8A">
              <w:t>capex</w:t>
            </w:r>
            <w:proofErr w:type="spellEnd"/>
            <w:r w:rsidRPr="00E94D8A">
              <w:t>) en espectro en</w:t>
            </w:r>
            <w:r w:rsidR="00CE2AFC">
              <w:t xml:space="preserve"> la banda de 850MHz se calcula</w:t>
            </w:r>
            <w:r w:rsidR="00FA50A7">
              <w:t>rá</w:t>
            </w:r>
            <w:r w:rsidRPr="00E94D8A">
              <w:t xml:space="preserve"> </w:t>
            </w:r>
            <w:r w:rsidR="00F9251F">
              <w:t xml:space="preserve">con </w:t>
            </w:r>
            <w:r>
              <w:t>base</w:t>
            </w:r>
            <w:r w:rsidR="00F9251F">
              <w:t xml:space="preserve"> en el</w:t>
            </w:r>
            <w:r>
              <w:t xml:space="preserve"> </w:t>
            </w:r>
            <w:r w:rsidRPr="00E94D8A">
              <w:t>precio promedio pagado en la prórroga otorgada en mayo de 2010 por región por MHz, multiplicándolo por la cantidad de espectro que tendrá el operador hipotético</w:t>
            </w:r>
          </w:p>
          <w:p w14:paraId="0514D33F" w14:textId="3EEDF8F5" w:rsidR="006974ED" w:rsidRPr="00E94D8A" w:rsidRDefault="006974ED" w:rsidP="00EE6520">
            <w:pPr>
              <w:pStyle w:val="ListBulletCompact"/>
            </w:pPr>
            <w:r w:rsidRPr="00E94D8A">
              <w:lastRenderedPageBreak/>
              <w:t>de forma similar, la inversión inicial (</w:t>
            </w:r>
            <w:proofErr w:type="spellStart"/>
            <w:r w:rsidRPr="00E94D8A">
              <w:t>capex</w:t>
            </w:r>
            <w:proofErr w:type="spellEnd"/>
            <w:r w:rsidRPr="00E94D8A">
              <w:t>) en espectro en la</w:t>
            </w:r>
            <w:r w:rsidR="006721C4">
              <w:t>s</w:t>
            </w:r>
            <w:r w:rsidRPr="00E94D8A">
              <w:t xml:space="preserve"> banda</w:t>
            </w:r>
            <w:r w:rsidR="006721C4">
              <w:t>s</w:t>
            </w:r>
            <w:r w:rsidRPr="00E94D8A">
              <w:t xml:space="preserve"> de </w:t>
            </w:r>
            <w:r w:rsidR="00692C2B">
              <w:t xml:space="preserve">PCS </w:t>
            </w:r>
            <w:r w:rsidR="006721C4">
              <w:t xml:space="preserve">y </w:t>
            </w:r>
            <w:r w:rsidR="00A5498D">
              <w:t>AWS</w:t>
            </w:r>
            <w:r w:rsidRPr="00E94D8A">
              <w:t xml:space="preserve"> se calcula</w:t>
            </w:r>
            <w:r w:rsidR="00FA50A7">
              <w:t>rá</w:t>
            </w:r>
            <w:r w:rsidRPr="00E94D8A">
              <w:t xml:space="preserve"> para la cantidad de espectro del operador hipotético </w:t>
            </w:r>
            <w:r w:rsidR="00F9251F">
              <w:t xml:space="preserve">con </w:t>
            </w:r>
            <w:r>
              <w:t xml:space="preserve">base </w:t>
            </w:r>
            <w:r w:rsidR="00F9251F">
              <w:t>en el</w:t>
            </w:r>
            <w:r>
              <w:t xml:space="preserve"> precio pagado en </w:t>
            </w:r>
            <w:r w:rsidRPr="00E94D8A">
              <w:t>la</w:t>
            </w:r>
            <w:r w:rsidR="00D43BB2">
              <w:t>s</w:t>
            </w:r>
            <w:r w:rsidRPr="00E94D8A">
              <w:t xml:space="preserve"> subasta</w:t>
            </w:r>
            <w:r w:rsidR="00D43BB2">
              <w:t>s</w:t>
            </w:r>
            <w:r w:rsidRPr="00E94D8A">
              <w:t xml:space="preserve"> realizada</w:t>
            </w:r>
            <w:r w:rsidR="00D43BB2">
              <w:t>s</w:t>
            </w:r>
            <w:r w:rsidRPr="00E94D8A">
              <w:t xml:space="preserve"> en </w:t>
            </w:r>
            <w:r w:rsidR="00D43BB2">
              <w:t>los</w:t>
            </w:r>
            <w:r w:rsidR="00D43BB2" w:rsidRPr="00E94D8A">
              <w:t xml:space="preserve"> </w:t>
            </w:r>
            <w:r>
              <w:t>año</w:t>
            </w:r>
            <w:r w:rsidR="00D43BB2">
              <w:t>s</w:t>
            </w:r>
            <w:r>
              <w:t xml:space="preserve"> </w:t>
            </w:r>
            <w:r w:rsidRPr="00E94D8A">
              <w:t>2010</w:t>
            </w:r>
            <w:r w:rsidR="00D43BB2">
              <w:t xml:space="preserve"> y 2016</w:t>
            </w:r>
          </w:p>
          <w:p w14:paraId="0AF8C380" w14:textId="77777777" w:rsidR="006974ED" w:rsidRDefault="006974ED" w:rsidP="00EE6520">
            <w:pPr>
              <w:pStyle w:val="Listaconvietas"/>
            </w:pPr>
            <w:r w:rsidRPr="00E94D8A">
              <w:t>los costos operativos se calcula</w:t>
            </w:r>
            <w:r w:rsidR="00FA50A7">
              <w:t>rá</w:t>
            </w:r>
            <w:r w:rsidRPr="00E94D8A">
              <w:t xml:space="preserve">n multiplicando la cantidad de espectro en cada banda de frecuencia por el precio de derechos por kHz </w:t>
            </w:r>
            <w:r>
              <w:t xml:space="preserve">por </w:t>
            </w:r>
            <w:r w:rsidRPr="00E94D8A">
              <w:t>región</w:t>
            </w:r>
            <w:r>
              <w:t>.</w:t>
            </w:r>
          </w:p>
        </w:tc>
      </w:tr>
    </w:tbl>
    <w:p w14:paraId="738A8188" w14:textId="370012A5" w:rsidR="006718FB" w:rsidRPr="00E94D8A" w:rsidRDefault="006718FB" w:rsidP="007858D8">
      <w:pPr>
        <w:spacing w:before="240"/>
      </w:pPr>
      <w:r w:rsidRPr="00FA50A7">
        <w:lastRenderedPageBreak/>
        <w:t xml:space="preserve">Para alinear la duración de las </w:t>
      </w:r>
      <w:r w:rsidR="00923DF1">
        <w:t>concesiones</w:t>
      </w:r>
      <w:r w:rsidR="00923DF1" w:rsidRPr="00FA50A7">
        <w:t xml:space="preserve"> </w:t>
      </w:r>
      <w:r w:rsidRPr="00FA50A7">
        <w:t>móv</w:t>
      </w:r>
      <w:r w:rsidRPr="00E94D8A">
        <w:t xml:space="preserve">iles con </w:t>
      </w:r>
      <w:r w:rsidR="00EA7F32">
        <w:t xml:space="preserve">el horizonte temporal modelado </w:t>
      </w:r>
      <w:r w:rsidRPr="00E94D8A">
        <w:t>–</w:t>
      </w:r>
      <w:r w:rsidR="00EA7F32">
        <w:t xml:space="preserve"> </w:t>
      </w:r>
      <w:r w:rsidRPr="00E94D8A">
        <w:t xml:space="preserve">equivalente a 50 años – se asume que cada </w:t>
      </w:r>
      <w:r w:rsidR="00923DF1">
        <w:t>concesión</w:t>
      </w:r>
      <w:r w:rsidR="00923DF1" w:rsidRPr="00E94D8A">
        <w:t xml:space="preserve"> </w:t>
      </w:r>
      <w:r w:rsidRPr="00E94D8A">
        <w:t>es válida durante 20 años y después renovable cada 15</w:t>
      </w:r>
      <w:r w:rsidR="00EA7F32">
        <w:t> años.</w:t>
      </w:r>
      <w:r w:rsidRPr="00E94D8A">
        <w:t xml:space="preserve"> </w:t>
      </w:r>
      <w:r w:rsidR="00EA7F32">
        <w:t xml:space="preserve">Esto está en línea </w:t>
      </w:r>
      <w:r w:rsidRPr="00E94D8A">
        <w:t xml:space="preserve">con la duración de las </w:t>
      </w:r>
      <w:r w:rsidR="00923DF1">
        <w:t>concesiones</w:t>
      </w:r>
      <w:r w:rsidR="00923DF1" w:rsidRPr="00E94D8A">
        <w:t xml:space="preserve"> </w:t>
      </w:r>
      <w:r w:rsidRPr="00E94D8A">
        <w:t>actuales de los operadores.</w:t>
      </w:r>
    </w:p>
    <w:p w14:paraId="23983CB8" w14:textId="77777777" w:rsidR="006718FB" w:rsidRPr="007D421D" w:rsidRDefault="006718FB" w:rsidP="006718FB">
      <w:pPr>
        <w:pStyle w:val="Ttulo4"/>
        <w:rPr>
          <w:b/>
        </w:rPr>
      </w:pPr>
      <w:r w:rsidRPr="007D421D">
        <w:rPr>
          <w:b/>
        </w:rPr>
        <w:t xml:space="preserve">Red de conmutación </w:t>
      </w:r>
    </w:p>
    <w:p w14:paraId="225E23B4" w14:textId="77777777" w:rsidR="006718FB" w:rsidRPr="00E94D8A" w:rsidRDefault="006718FB" w:rsidP="006718FB">
      <w:r w:rsidRPr="00E94D8A">
        <w:t xml:space="preserve">Una red de radio con una única tecnología de red emplearía una conmutación legada (de una sola generación) o una estructura de conmutación de próxima generación. La red de conmutación de una red </w:t>
      </w:r>
      <w:r w:rsidR="00454402">
        <w:t>móvil</w:t>
      </w:r>
      <w:r w:rsidRPr="00E94D8A">
        <w:t xml:space="preserve"> combinada 2G+3G</w:t>
      </w:r>
      <w:r w:rsidR="006721C4">
        <w:t>+4G</w:t>
      </w:r>
      <w:r w:rsidRPr="00E94D8A">
        <w:t xml:space="preserve"> podría componerse de:</w:t>
      </w:r>
    </w:p>
    <w:p w14:paraId="108C8776" w14:textId="77777777" w:rsidR="006718FB" w:rsidRPr="00E94D8A" w:rsidRDefault="006718FB" w:rsidP="006718FB">
      <w:pPr>
        <w:pStyle w:val="ListBulletCompact"/>
      </w:pPr>
      <w:r w:rsidRPr="00E94D8A">
        <w:t>estructuras 2G</w:t>
      </w:r>
      <w:r w:rsidR="006721C4">
        <w:t>,</w:t>
      </w:r>
      <w:r w:rsidRPr="00E94D8A">
        <w:t xml:space="preserve"> </w:t>
      </w:r>
      <w:r w:rsidR="006721C4">
        <w:t xml:space="preserve">3G </w:t>
      </w:r>
      <w:r w:rsidRPr="00E94D8A">
        <w:t xml:space="preserve">y </w:t>
      </w:r>
      <w:r w:rsidR="006721C4">
        <w:t>4</w:t>
      </w:r>
      <w:r w:rsidR="006721C4" w:rsidRPr="00E94D8A">
        <w:t xml:space="preserve">G </w:t>
      </w:r>
      <w:r w:rsidRPr="00E94D8A">
        <w:t>separadas con transmisión separada, cada una conteniendo uno o más MSC, GSN y puntos de interconexión (</w:t>
      </w:r>
      <w:proofErr w:type="spellStart"/>
      <w:r w:rsidRPr="00E94D8A">
        <w:t>PoI</w:t>
      </w:r>
      <w:proofErr w:type="spellEnd"/>
      <w:r w:rsidRPr="00E94D8A">
        <w:t>) entrelazados</w:t>
      </w:r>
    </w:p>
    <w:p w14:paraId="7A356FE3" w14:textId="77777777" w:rsidR="006718FB" w:rsidRPr="00E94D8A" w:rsidRDefault="006718FB" w:rsidP="006718FB">
      <w:pPr>
        <w:pStyle w:val="ListBulletCompact"/>
      </w:pPr>
      <w:r w:rsidRPr="00E94D8A">
        <w:t>una estructura antigua mejorada con una red de transmisión combinada, conteniendo uno o más MSC, GSN y puntos de interconexión (</w:t>
      </w:r>
      <w:proofErr w:type="spellStart"/>
      <w:r w:rsidRPr="00E94D8A">
        <w:t>PoI</w:t>
      </w:r>
      <w:proofErr w:type="spellEnd"/>
      <w:r w:rsidRPr="00E94D8A">
        <w:t>) entrelazados, que sean compatibles tanto con 2G como con 3G</w:t>
      </w:r>
      <w:r w:rsidR="006721C4">
        <w:t>, y una estructura 4G separada</w:t>
      </w:r>
    </w:p>
    <w:p w14:paraId="6F12563E" w14:textId="77777777" w:rsidR="006718FB" w:rsidRPr="00E94D8A" w:rsidRDefault="006718FB" w:rsidP="006718FB">
      <w:pPr>
        <w:pStyle w:val="Listaconvietas"/>
        <w:ind w:left="360" w:hanging="360"/>
      </w:pPr>
      <w:r w:rsidRPr="00E94D8A">
        <w:t xml:space="preserve">una estructura de conmutación combinada 2G+3G con red de transmisión de nueva generación, enlazando parejas de pasarelas de medios (MGW) con uno o más </w:t>
      </w:r>
      <w:r w:rsidR="005B4A34">
        <w:t>servidores de conmutación móvil (</w:t>
      </w:r>
      <w:r w:rsidRPr="00E94D8A">
        <w:t>MSS</w:t>
      </w:r>
      <w:r w:rsidR="005B4A34">
        <w:t>)</w:t>
      </w:r>
      <w:r w:rsidRPr="00E94D8A">
        <w:t xml:space="preserve">, </w:t>
      </w:r>
      <w:proofErr w:type="spellStart"/>
      <w:r w:rsidRPr="00E94D8A">
        <w:t>routers</w:t>
      </w:r>
      <w:proofErr w:type="spellEnd"/>
      <w:r w:rsidRPr="00E94D8A">
        <w:t xml:space="preserve"> de datos y </w:t>
      </w:r>
      <w:proofErr w:type="spellStart"/>
      <w:r w:rsidRPr="00E94D8A">
        <w:t>PoI</w:t>
      </w:r>
      <w:proofErr w:type="spellEnd"/>
      <w:r w:rsidRPr="00E94D8A">
        <w:t>, con separación en capas CS y PS</w:t>
      </w:r>
      <w:r w:rsidR="006721C4">
        <w:t>, y una estructura 4G separada</w:t>
      </w:r>
      <w:r w:rsidRPr="00E94D8A">
        <w:t>.</w:t>
      </w:r>
    </w:p>
    <w:p w14:paraId="2D836F40" w14:textId="22E8C240" w:rsidR="006718FB" w:rsidRPr="00E94D8A" w:rsidRDefault="006718FB" w:rsidP="006718FB">
      <w:r w:rsidRPr="00E94D8A">
        <w:t>Las tres opciones se muestran gráficamente en la</w:t>
      </w:r>
      <w:r w:rsidR="00E94D8A">
        <w:t xml:space="preserve"> </w:t>
      </w:r>
      <w:r w:rsidR="00E94D8A">
        <w:fldChar w:fldCharType="begin"/>
      </w:r>
      <w:r w:rsidR="00E94D8A">
        <w:instrText xml:space="preserve"> REF _Ref321212129 \h </w:instrText>
      </w:r>
      <w:r w:rsidR="00E94D8A">
        <w:fldChar w:fldCharType="separate"/>
      </w:r>
      <w:r w:rsidR="00B426BC" w:rsidRPr="00E94D8A">
        <w:t>Figur</w:t>
      </w:r>
      <w:r w:rsidR="00B426BC">
        <w:t>a</w:t>
      </w:r>
      <w:r w:rsidR="00B426BC" w:rsidRPr="00E94D8A">
        <w:t xml:space="preserve"> </w:t>
      </w:r>
      <w:r w:rsidR="00B426BC">
        <w:rPr>
          <w:noProof/>
        </w:rPr>
        <w:t>4</w:t>
      </w:r>
      <w:r w:rsidR="00B426BC" w:rsidRPr="00E94D8A">
        <w:t>.</w:t>
      </w:r>
      <w:r w:rsidR="00B426BC">
        <w:rPr>
          <w:noProof/>
        </w:rPr>
        <w:t>4</w:t>
      </w:r>
      <w:r w:rsidR="00E94D8A">
        <w:fldChar w:fldCharType="end"/>
      </w:r>
      <w:r w:rsidR="00FB7938">
        <w:t xml:space="preserve"> que se incluye en la página siguiente</w:t>
      </w:r>
      <w:r w:rsidRPr="00E94D8A">
        <w:t>.</w:t>
      </w:r>
    </w:p>
    <w:p w14:paraId="264FC54A" w14:textId="77777777" w:rsidR="00BE303D" w:rsidRPr="00E94D8A" w:rsidRDefault="006718FB" w:rsidP="006718FB">
      <w:pPr>
        <w:pStyle w:val="Descripcin"/>
        <w:rPr>
          <w:lang w:val="es-ES"/>
        </w:rPr>
      </w:pPr>
      <w:bookmarkStart w:id="51" w:name="_Ref321212129"/>
      <w:r w:rsidRPr="00E94D8A">
        <w:rPr>
          <w:lang w:val="es-ES"/>
        </w:rPr>
        <w:lastRenderedPageBreak/>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4</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w:instrText>
      </w:r>
      <w:r w:rsidR="00A37365" w:rsidRPr="00E94D8A">
        <w:rPr>
          <w:lang w:val="es-ES"/>
        </w:rPr>
        <w:instrText>SEQ Ilustración</w:instrText>
      </w:r>
      <w:r w:rsidRPr="00E94D8A">
        <w:rPr>
          <w:lang w:val="es-ES"/>
        </w:rPr>
        <w:instrText xml:space="preserve"> \* ARABIC \s 1 \* MERGEFORMAT </w:instrText>
      </w:r>
      <w:r w:rsidRPr="00E94D8A">
        <w:rPr>
          <w:lang w:val="es-ES"/>
        </w:rPr>
        <w:fldChar w:fldCharType="separate"/>
      </w:r>
      <w:r w:rsidR="00B426BC">
        <w:rPr>
          <w:noProof/>
          <w:lang w:val="es-ES"/>
        </w:rPr>
        <w:t>4</w:t>
      </w:r>
      <w:r w:rsidRPr="00E94D8A">
        <w:rPr>
          <w:lang w:val="es-ES"/>
        </w:rPr>
        <w:fldChar w:fldCharType="end"/>
      </w:r>
      <w:bookmarkEnd w:id="51"/>
      <w:r w:rsidRPr="00E94D8A">
        <w:rPr>
          <w:lang w:val="es-ES"/>
        </w:rPr>
        <w:t>: Opciones de arquitectura para el modelo BULRIC móvil [</w:t>
      </w:r>
      <w:r w:rsidR="001657CE">
        <w:rPr>
          <w:lang w:val="es-ES"/>
        </w:rPr>
        <w:t xml:space="preserve">Fuente: </w:t>
      </w:r>
      <w:proofErr w:type="spellStart"/>
      <w:r w:rsidR="001657CE">
        <w:rPr>
          <w:lang w:val="es-ES"/>
        </w:rPr>
        <w:t>Analysys</w:t>
      </w:r>
      <w:proofErr w:type="spellEnd"/>
      <w:r w:rsidR="001657CE">
        <w:rPr>
          <w:lang w:val="es-ES"/>
        </w:rPr>
        <w:t xml:space="preserve"> Mason, 2016</w:t>
      </w:r>
      <w:r w:rsidRPr="00E94D8A">
        <w:rPr>
          <w:lang w:val="es-ES"/>
        </w:rPr>
        <w:t>]</w:t>
      </w:r>
    </w:p>
    <w:p w14:paraId="5D5075F5" w14:textId="77777777" w:rsidR="006718FB" w:rsidRPr="00E94D8A" w:rsidRDefault="00571430" w:rsidP="00571430">
      <w:pPr>
        <w:pStyle w:val="Border"/>
        <w:rPr>
          <w:lang w:val="es-ES"/>
        </w:rPr>
      </w:pPr>
      <w:r w:rsidRPr="00571430">
        <w:rPr>
          <w:noProof/>
          <w:lang w:val="es-MX" w:eastAsia="es-MX"/>
        </w:rPr>
        <w:drawing>
          <wp:inline distT="0" distB="0" distL="0" distR="0" wp14:anchorId="4C2E8076" wp14:editId="700AB88E">
            <wp:extent cx="5104130" cy="3282315"/>
            <wp:effectExtent l="0" t="0" r="1270" b="0"/>
            <wp:docPr id="17" name="Picture 17" descr="Opciones de arquitectura para el modelo BULRIC móvil, Fuente: Analysys Mason, 2016" title="Figura cuatro punto cua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04130" cy="3282315"/>
                    </a:xfrm>
                    <a:prstGeom prst="rect">
                      <a:avLst/>
                    </a:prstGeom>
                    <a:noFill/>
                    <a:ln>
                      <a:noFill/>
                    </a:ln>
                  </pic:spPr>
                </pic:pic>
              </a:graphicData>
            </a:graphic>
          </wp:inline>
        </w:drawing>
      </w:r>
    </w:p>
    <w:p w14:paraId="72CA1C2E" w14:textId="77777777" w:rsidR="00571430" w:rsidRDefault="00571430" w:rsidP="00FB7938">
      <w:r>
        <w:t xml:space="preserve">Todas estas opciones consideran 4G como una capa adicional funcionando en paralelo pero de forma separada. Esto es debido a que la red 4G </w:t>
      </w:r>
      <w:r w:rsidR="001B1F74">
        <w:t xml:space="preserve">se </w:t>
      </w:r>
      <w:r>
        <w:t xml:space="preserve">fundamenta en la conmutación de paquetes (PS), a diferencia de las redes 2G y 3G basadas principalmente en </w:t>
      </w:r>
      <w:r w:rsidR="00D93068">
        <w:t>c</w:t>
      </w:r>
      <w:r>
        <w:t xml:space="preserve">onmutación de circuitos (CS). La </w:t>
      </w:r>
      <w:r w:rsidR="00D93068">
        <w:t>arquitectura</w:t>
      </w:r>
      <w:r>
        <w:t xml:space="preserve"> HSPA </w:t>
      </w:r>
      <w:r w:rsidR="00D93068">
        <w:t>es un híbrido entre ambos tipos de conmutación (CS – PS).</w:t>
      </w:r>
    </w:p>
    <w:p w14:paraId="4EA80B4B" w14:textId="77777777" w:rsidR="00F94AE2" w:rsidRDefault="001B1F74" w:rsidP="000D0926">
      <w:r>
        <w:t>La evolución de</w:t>
      </w:r>
      <w:r w:rsidR="00B768EB">
        <w:t xml:space="preserve"> las redes de conmutación de telefonía móvil</w:t>
      </w:r>
      <w:r w:rsidR="0024010D">
        <w:t xml:space="preserve"> </w:t>
      </w:r>
      <w:r w:rsidR="0089299D">
        <w:t>es</w:t>
      </w:r>
      <w:r>
        <w:t xml:space="preserve"> el resultado de la rápida evolución tecnológica que experimentan desde hace años.  H</w:t>
      </w:r>
      <w:r w:rsidRPr="00FB7938">
        <w:t xml:space="preserve">oy </w:t>
      </w:r>
      <w:r w:rsidR="006718FB" w:rsidRPr="00FB7938">
        <w:t>por hoy un nuevo entrante desplegaría la</w:t>
      </w:r>
      <w:r w:rsidR="00BD1012">
        <w:t>s</w:t>
      </w:r>
      <w:r w:rsidR="006718FB" w:rsidRPr="00FB7938">
        <w:t xml:space="preserve"> última</w:t>
      </w:r>
      <w:r w:rsidR="00BD1012">
        <w:t>s</w:t>
      </w:r>
      <w:r w:rsidR="006718FB" w:rsidRPr="00FB7938">
        <w:t xml:space="preserve"> tecnología</w:t>
      </w:r>
      <w:r w:rsidR="00BD1012">
        <w:t xml:space="preserve">s disponibles para voz </w:t>
      </w:r>
      <w:r w:rsidR="00F94AE2">
        <w:t xml:space="preserve">(GSM y UMTS) </w:t>
      </w:r>
      <w:r w:rsidR="00BD1012">
        <w:t>y datos</w:t>
      </w:r>
      <w:r w:rsidR="00F94AE2">
        <w:t xml:space="preserve"> (</w:t>
      </w:r>
      <w:r w:rsidR="00BD1012">
        <w:t>UMTS y LTE</w:t>
      </w:r>
      <w:r w:rsidR="00F94AE2">
        <w:t xml:space="preserve">). Por otra parte, es </w:t>
      </w:r>
      <w:r w:rsidR="006718FB" w:rsidRPr="00FB7938">
        <w:t xml:space="preserve">probable que los operadores </w:t>
      </w:r>
      <w:r w:rsidR="00F94AE2">
        <w:t>del mercado estén priorizando la tecnología LTE sobre la UMTS-HSPA en sus procesos de despliegue y mejora de la capacidad de sus redes</w:t>
      </w:r>
      <w:r w:rsidR="006718FB" w:rsidRPr="00FB7938">
        <w:t>.</w:t>
      </w:r>
    </w:p>
    <w:p w14:paraId="1FC61C62" w14:textId="77777777" w:rsidR="00BD1012" w:rsidRDefault="006718FB" w:rsidP="00FB7938">
      <w:r w:rsidRPr="00FB7938">
        <w:t>Por consiguiente, la red de conmutación móvil que debe modelarse está estrechamente relacionada con el tipo de operador que se adopte: o bien un operador nuevo y moderno (con una red de conmutación IP combinado, MSS y MGW</w:t>
      </w:r>
      <w:r w:rsidR="005A5E16">
        <w:t xml:space="preserve">, y una estructura separada para </w:t>
      </w:r>
      <w:r w:rsidR="00F94AE2">
        <w:t>LTE</w:t>
      </w:r>
      <w:r w:rsidRPr="00FB7938">
        <w:t>), o un operador existente (que</w:t>
      </w:r>
      <w:r w:rsidR="00A071CF">
        <w:t xml:space="preserve"> ha</w:t>
      </w:r>
      <w:r w:rsidRPr="00FB7938">
        <w:t xml:space="preserve"> actualiza</w:t>
      </w:r>
      <w:r w:rsidR="00A071CF">
        <w:t>do</w:t>
      </w:r>
      <w:r w:rsidR="004938D8">
        <w:t xml:space="preserve"> la mayoría de</w:t>
      </w:r>
      <w:r w:rsidRPr="00FB7938">
        <w:t xml:space="preserve"> sus conmutadores MSC legados a la vez que desplega</w:t>
      </w:r>
      <w:r w:rsidR="00A071CF">
        <w:t>ba</w:t>
      </w:r>
      <w:r w:rsidRPr="00FB7938">
        <w:t xml:space="preserve"> </w:t>
      </w:r>
      <w:r w:rsidR="005A5E16">
        <w:t xml:space="preserve">UMTS y añade una estructura separada para </w:t>
      </w:r>
      <w:r w:rsidR="00A5498D">
        <w:t>LTE</w:t>
      </w:r>
      <w:r w:rsidRPr="00FB7938">
        <w:t>).</w:t>
      </w:r>
    </w:p>
    <w:p w14:paraId="0E3B90CE" w14:textId="77777777" w:rsidR="006718FB" w:rsidRPr="00E94D8A" w:rsidRDefault="006718FB" w:rsidP="00E94D8A">
      <w:r w:rsidRPr="00E94D8A">
        <w:t xml:space="preserve">En el caso de que se incluyan elementos legados y actualizados, la recuperación de sus costos deberían estar en consonancia con el periodo de despliegue y explotación (bien explícitamente o por medio de una tendencia de precios MEA que refleje la evolución secuencial de la tecnología de conmutación). Esto permite asegurar que los costos que arroja el modelo reflejen la oferta actualizada en todo momento durante el proceso de actualización de la red de conmutación. Como ejemplo de comparación internacional, cabe destacar que la Recomendación de la Comisión Europea </w:t>
      </w:r>
      <w:r w:rsidRPr="00E94D8A">
        <w:lastRenderedPageBreak/>
        <w:t>propone que la capa de red de conmutación “podría en principio estar basada en redes de nueva generación (NGN, por sus siglas en inglés)”.</w:t>
      </w:r>
    </w:p>
    <w:p w14:paraId="1E2EE0F7" w14:textId="77777777" w:rsidR="006718FB" w:rsidRPr="00FB7938" w:rsidRDefault="006718FB" w:rsidP="006718FB">
      <w:pPr>
        <w:rPr>
          <w:spacing w:val="-4"/>
        </w:rPr>
      </w:pPr>
      <w:r w:rsidRPr="00FB7938">
        <w:rPr>
          <w:spacing w:val="-4"/>
        </w:rPr>
        <w:t>Entendemos que en México los operadores</w:t>
      </w:r>
      <w:r w:rsidR="004938D8">
        <w:rPr>
          <w:spacing w:val="-4"/>
        </w:rPr>
        <w:t xml:space="preserve"> cuentan actualmente con una arquitectura que o bien es de conmutación IP combinada (opción c) o bien está en proceso de ser migrada a este modelo desde el de arquitectura mejorada (opción b). </w:t>
      </w:r>
    </w:p>
    <w:p w14:paraId="07792B11" w14:textId="77777777" w:rsidR="00FF55D3" w:rsidRPr="00863828" w:rsidRDefault="0043475A" w:rsidP="00571301">
      <w:pPr>
        <w:pStyle w:val="B1"/>
        <w:pBdr>
          <w:top w:val="single" w:sz="4" w:space="1" w:color="D9D9D9" w:themeColor="background1" w:themeShade="D9"/>
          <w:bottom w:val="single" w:sz="4" w:space="1" w:color="D9D9D9" w:themeColor="background1" w:themeShade="D9"/>
        </w:pBdr>
        <w:shd w:val="clear" w:color="auto" w:fill="F2F2F2" w:themeFill="background1" w:themeFillShade="F2"/>
      </w:pPr>
      <w:r>
        <w:rPr>
          <w:b/>
          <w:bCs/>
        </w:rPr>
        <w:t>Concepto propuesto</w:t>
      </w:r>
      <w:r w:rsidR="00A5754B" w:rsidRPr="00E94D8A">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9</w:t>
      </w:r>
      <w:r w:rsidR="00CB05BF" w:rsidRPr="00E94D8A">
        <w:rPr>
          <w:b/>
          <w:color w:val="000000" w:themeColor="text1"/>
        </w:rPr>
        <w:fldChar w:fldCharType="end"/>
      </w:r>
      <w:r w:rsidR="00A5754B" w:rsidRPr="00E94D8A">
        <w:t xml:space="preserve">: Se modelará </w:t>
      </w:r>
      <w:r w:rsidR="00A5754B">
        <w:t xml:space="preserve">o </w:t>
      </w:r>
      <w:r w:rsidR="00A5754B" w:rsidRPr="00E94D8A">
        <w:t>bien una arquitectura mejorada (opción b), una arquitectura de conmutación IP combinada (opción c)</w:t>
      </w:r>
      <w:r w:rsidR="00A5754B">
        <w:t>,</w:t>
      </w:r>
      <w:r w:rsidR="00A5754B" w:rsidRPr="00E94D8A">
        <w:t xml:space="preserve"> o una migración entre ambas opciones para un operador hipot</w:t>
      </w:r>
      <w:r w:rsidR="00863828">
        <w:t>ético recientemente desplegado.</w:t>
      </w:r>
      <w:r w:rsidR="00D93068">
        <w:t xml:space="preserve"> </w:t>
      </w:r>
    </w:p>
    <w:p w14:paraId="4E75DBA7" w14:textId="77777777" w:rsidR="006718FB" w:rsidRPr="007D421D" w:rsidRDefault="006718FB" w:rsidP="006718FB">
      <w:pPr>
        <w:pStyle w:val="Ttulo4"/>
        <w:rPr>
          <w:b/>
        </w:rPr>
      </w:pPr>
      <w:r w:rsidRPr="007D421D">
        <w:rPr>
          <w:b/>
        </w:rPr>
        <w:t>Red de transmisión</w:t>
      </w:r>
    </w:p>
    <w:p w14:paraId="1A788384" w14:textId="77777777" w:rsidR="006718FB" w:rsidRPr="00E94D8A" w:rsidRDefault="005B4A34" w:rsidP="006718FB">
      <w:pPr>
        <w:rPr>
          <w:color w:val="000000"/>
        </w:rPr>
      </w:pPr>
      <w:r>
        <w:rPr>
          <w:color w:val="000000"/>
        </w:rPr>
        <w:t xml:space="preserve">Existen varios tipos de </w:t>
      </w:r>
      <w:r w:rsidR="006718FB" w:rsidRPr="00E94D8A">
        <w:rPr>
          <w:color w:val="000000"/>
        </w:rPr>
        <w:t>conectividad entre nodos de redes de telefonía móvil:</w:t>
      </w:r>
    </w:p>
    <w:p w14:paraId="1C5A1D5F" w14:textId="77777777" w:rsidR="006718FB" w:rsidRPr="00E94D8A" w:rsidRDefault="006718FB" w:rsidP="007858D8">
      <w:pPr>
        <w:pStyle w:val="L1"/>
      </w:pPr>
      <w:r w:rsidRPr="00E94D8A">
        <w:t>acceso de última milla de BTS</w:t>
      </w:r>
      <w:r w:rsidR="002B6344">
        <w:t xml:space="preserve">, </w:t>
      </w:r>
      <w:proofErr w:type="spellStart"/>
      <w:r w:rsidR="002B6344">
        <w:t>NodeB</w:t>
      </w:r>
      <w:proofErr w:type="spellEnd"/>
      <w:r w:rsidR="0024010D">
        <w:t xml:space="preserve"> o </w:t>
      </w:r>
      <w:proofErr w:type="spellStart"/>
      <w:r w:rsidR="0024010D">
        <w:t>eNodeB</w:t>
      </w:r>
      <w:proofErr w:type="spellEnd"/>
      <w:r w:rsidRPr="00E94D8A">
        <w:t xml:space="preserve"> a un concentrador (</w:t>
      </w:r>
      <w:proofErr w:type="spellStart"/>
      <w:r w:rsidRPr="00E94D8A">
        <w:rPr>
          <w:i/>
        </w:rPr>
        <w:t>hub</w:t>
      </w:r>
      <w:proofErr w:type="spellEnd"/>
      <w:r w:rsidRPr="00E94D8A">
        <w:t>)</w:t>
      </w:r>
    </w:p>
    <w:p w14:paraId="482584C0" w14:textId="77777777" w:rsidR="006718FB" w:rsidRPr="00E94D8A" w:rsidRDefault="006718FB" w:rsidP="006718FB">
      <w:pPr>
        <w:pStyle w:val="ListBulletCompact"/>
      </w:pPr>
      <w:r w:rsidRPr="00E94D8A">
        <w:t>concentrador a BSC</w:t>
      </w:r>
      <w:r w:rsidR="0024010D">
        <w:t>,</w:t>
      </w:r>
      <w:r w:rsidRPr="00E94D8A">
        <w:t xml:space="preserve"> RNC</w:t>
      </w:r>
      <w:r w:rsidR="0024010D">
        <w:t xml:space="preserve"> o punto de agregación LTE (LTE-AP)</w:t>
      </w:r>
    </w:p>
    <w:p w14:paraId="62629F47" w14:textId="77777777" w:rsidR="006718FB" w:rsidRPr="00E94D8A" w:rsidRDefault="006718FB" w:rsidP="006718FB">
      <w:pPr>
        <w:pStyle w:val="ListBulletCompact"/>
      </w:pPr>
      <w:r w:rsidRPr="00E94D8A">
        <w:t>BSC</w:t>
      </w:r>
      <w:r w:rsidR="0024010D">
        <w:t>,</w:t>
      </w:r>
      <w:r w:rsidRPr="00E94D8A">
        <w:t xml:space="preserve"> RNC</w:t>
      </w:r>
      <w:r w:rsidR="0024010D">
        <w:t xml:space="preserve"> o LTE-AP</w:t>
      </w:r>
      <w:r w:rsidRPr="00E94D8A">
        <w:t xml:space="preserve"> a emplazamientos de conmutación principales (que contengan MSC</w:t>
      </w:r>
      <w:r w:rsidR="0024010D">
        <w:t>, MGW</w:t>
      </w:r>
      <w:r w:rsidRPr="00E94D8A">
        <w:t xml:space="preserve"> o </w:t>
      </w:r>
      <w:r w:rsidR="0024010D">
        <w:t>S</w:t>
      </w:r>
      <w:r w:rsidR="0024010D" w:rsidRPr="00E94D8A">
        <w:t>GW</w:t>
      </w:r>
      <w:r w:rsidRPr="00E94D8A">
        <w:t xml:space="preserve">) si no están </w:t>
      </w:r>
      <w:proofErr w:type="spellStart"/>
      <w:r w:rsidRPr="00E94D8A">
        <w:t>coubicados</w:t>
      </w:r>
      <w:proofErr w:type="spellEnd"/>
    </w:p>
    <w:p w14:paraId="7C854559" w14:textId="77777777" w:rsidR="006718FB" w:rsidRPr="00E94D8A" w:rsidRDefault="006718FB" w:rsidP="006718FB">
      <w:pPr>
        <w:pStyle w:val="Listaconvietas"/>
        <w:ind w:left="360" w:hanging="360"/>
      </w:pPr>
      <w:r w:rsidRPr="00E94D8A">
        <w:t>entre emplazamientos de conmutación principales (entre MSC</w:t>
      </w:r>
      <w:r w:rsidR="0024010D">
        <w:t>, MGW</w:t>
      </w:r>
      <w:r w:rsidRPr="00E94D8A">
        <w:t xml:space="preserve"> o </w:t>
      </w:r>
      <w:r w:rsidR="0024010D">
        <w:t>S</w:t>
      </w:r>
      <w:r w:rsidR="0024010D" w:rsidRPr="00E94D8A">
        <w:t>GW</w:t>
      </w:r>
      <w:r w:rsidRPr="00E94D8A">
        <w:t>).</w:t>
      </w:r>
    </w:p>
    <w:p w14:paraId="1FC27061" w14:textId="77777777" w:rsidR="006718FB" w:rsidRPr="00E94D8A" w:rsidRDefault="006718FB" w:rsidP="006718FB">
      <w:r w:rsidRPr="00E94D8A">
        <w:t>Soluciones típicas para la provisión de transmisión incluyen:</w:t>
      </w:r>
    </w:p>
    <w:p w14:paraId="015DF543" w14:textId="77777777" w:rsidR="002B6344" w:rsidRDefault="006718FB" w:rsidP="007858D8">
      <w:pPr>
        <w:pStyle w:val="ListBulletCompact"/>
        <w:rPr>
          <w:lang w:val="pt-PT"/>
        </w:rPr>
      </w:pPr>
      <w:r w:rsidRPr="00E94D8A">
        <w:t>enlaces dedicados (E1, STM1 y superior, 100Mbit/s y superior)</w:t>
      </w:r>
    </w:p>
    <w:p w14:paraId="0C96AB6A" w14:textId="77777777" w:rsidR="002B6344" w:rsidRPr="007858D8" w:rsidRDefault="006718FB">
      <w:pPr>
        <w:pStyle w:val="ListBulletCompact"/>
        <w:rPr>
          <w:lang w:val="pt-PT"/>
        </w:rPr>
      </w:pPr>
      <w:r w:rsidRPr="007858D8">
        <w:rPr>
          <w:lang w:val="pt-PT"/>
        </w:rPr>
        <w:t>enlaces por microondas autoprovistos (2-4-8-16-32</w:t>
      </w:r>
      <w:r w:rsidR="0024010D" w:rsidRPr="007858D8">
        <w:rPr>
          <w:lang w:val="pt-PT"/>
        </w:rPr>
        <w:t>Mbit/s</w:t>
      </w:r>
      <w:r w:rsidRPr="007858D8">
        <w:rPr>
          <w:lang w:val="pt-PT"/>
        </w:rPr>
        <w:t>, enlaces por microondas STM1, microondas Ethernet)</w:t>
      </w:r>
    </w:p>
    <w:p w14:paraId="0B3AAB19" w14:textId="77777777" w:rsidR="002B6344" w:rsidRPr="00E94D8A" w:rsidRDefault="006718FB" w:rsidP="007858D8">
      <w:pPr>
        <w:pStyle w:val="I1"/>
      </w:pPr>
      <w:r w:rsidRPr="00E94D8A">
        <w:t>red de fibra alquilada (fibra oscura alquilada/IRU</w:t>
      </w:r>
      <w:r w:rsidRPr="00E94D8A">
        <w:rPr>
          <w:rStyle w:val="Refdenotaalpie"/>
        </w:rPr>
        <w:footnoteReference w:id="19"/>
      </w:r>
      <w:r w:rsidRPr="00E94D8A">
        <w:t xml:space="preserve"> con o bien STM o bien módems de fibra Gbit/s).</w:t>
      </w:r>
    </w:p>
    <w:p w14:paraId="64C295CA" w14:textId="77777777" w:rsidR="006718FB" w:rsidRPr="00E94D8A" w:rsidRDefault="006718FB" w:rsidP="007858D8">
      <w:pPr>
        <w:pStyle w:val="ListBulletCompact"/>
        <w:numPr>
          <w:ilvl w:val="0"/>
          <w:numId w:val="0"/>
        </w:numPr>
        <w:spacing w:after="240"/>
      </w:pPr>
      <w:r w:rsidRPr="00E94D8A">
        <w:t>La elección del tipo de transmisión de la red móvil variará entre los distintos operadores móviles existentes y puede haber cambiado con el tiempo. Entendemos que hoy por hoy, un nuevo entrante tendería a adoptar una red de transmisión basada en tecnología Ethernet escalable y resistente para el futuro (</w:t>
      </w:r>
      <w:proofErr w:type="spellStart"/>
      <w:r w:rsidRPr="00E94D8A">
        <w:rPr>
          <w:i/>
        </w:rPr>
        <w:t>future-proof</w:t>
      </w:r>
      <w:proofErr w:type="spellEnd"/>
      <w:r w:rsidRPr="00E94D8A">
        <w:t>) (aunque el suministro e implementación de esta red dependa de las preferencias específica</w:t>
      </w:r>
      <w:r w:rsidRPr="00E94D8A">
        <w:rPr>
          <w:i/>
        </w:rPr>
        <w:t>s</w:t>
      </w:r>
      <w:r w:rsidRPr="00E94D8A">
        <w:t xml:space="preserve"> al nuevo entrante).</w:t>
      </w:r>
    </w:p>
    <w:p w14:paraId="17F95551" w14:textId="19782625" w:rsidR="00A57F7F" w:rsidRPr="00F250A6" w:rsidRDefault="0043475A" w:rsidP="00A57F7F">
      <w:pPr>
        <w:pStyle w:val="B1"/>
        <w:pBdr>
          <w:top w:val="single" w:sz="4" w:space="2" w:color="D9D9D9" w:themeColor="background1" w:themeShade="D9"/>
          <w:bottom w:val="single" w:sz="4" w:space="5" w:color="D9D9D9" w:themeColor="background1" w:themeShade="D9"/>
        </w:pBdr>
        <w:shd w:val="clear" w:color="auto" w:fill="F2F2F2" w:themeFill="background1" w:themeFillShade="F2"/>
      </w:pPr>
      <w:bookmarkStart w:id="52" w:name="_Ref321211965"/>
      <w:r>
        <w:rPr>
          <w:b/>
          <w:bCs/>
        </w:rPr>
        <w:t>Concepto propuesto</w:t>
      </w:r>
      <w:r w:rsidR="00A57F7F" w:rsidRPr="00E94D8A">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10</w:t>
      </w:r>
      <w:r w:rsidR="00CB05BF" w:rsidRPr="00E94D8A">
        <w:rPr>
          <w:b/>
          <w:color w:val="000000" w:themeColor="text1"/>
        </w:rPr>
        <w:fldChar w:fldCharType="end"/>
      </w:r>
      <w:r w:rsidR="00A57F7F" w:rsidRPr="00E94D8A">
        <w:t xml:space="preserve">: </w:t>
      </w:r>
      <w:r w:rsidR="00600CDE">
        <w:t xml:space="preserve">Los </w:t>
      </w:r>
      <w:r w:rsidR="006B7549">
        <w:t>operador</w:t>
      </w:r>
      <w:r w:rsidR="00600CDE">
        <w:t>es</w:t>
      </w:r>
      <w:r w:rsidR="006B7549">
        <w:t xml:space="preserve"> modelado</w:t>
      </w:r>
      <w:r w:rsidR="00600CDE">
        <w:t>s</w:t>
      </w:r>
      <w:r w:rsidR="00D977B6">
        <w:t xml:space="preserve"> dispone</w:t>
      </w:r>
      <w:r w:rsidR="00600CDE">
        <w:t>n</w:t>
      </w:r>
      <w:r w:rsidR="00A57F7F" w:rsidRPr="00E94D8A">
        <w:t xml:space="preserve"> </w:t>
      </w:r>
      <w:r w:rsidR="00B45947">
        <w:t>de</w:t>
      </w:r>
      <w:r w:rsidR="00A57F7F" w:rsidRPr="00E94D8A">
        <w:t xml:space="preserve"> una red de transmisión heredada basada principalmente en enlaces </w:t>
      </w:r>
      <w:r w:rsidR="00923DF1">
        <w:t xml:space="preserve">de </w:t>
      </w:r>
      <w:r w:rsidR="00A57F7F" w:rsidRPr="00E94D8A">
        <w:t>microondas y enlaces dedicados que migrarán progresivamente a una arquitectura de red basada en fibra y tecnología Ethernet.</w:t>
      </w:r>
      <w:r w:rsidR="00A57F7F">
        <w:t xml:space="preserve"> </w:t>
      </w:r>
      <w:r w:rsidR="00A57F7F" w:rsidRPr="00F250A6">
        <w:t>El modelo es flexible y</w:t>
      </w:r>
      <w:r w:rsidR="00A57F7F">
        <w:t xml:space="preserve"> modela una </w:t>
      </w:r>
      <w:r w:rsidR="00A57F7F" w:rsidRPr="00F250A6">
        <w:t>red de transmisión heredada (</w:t>
      </w:r>
      <w:r w:rsidR="00A57F7F" w:rsidRPr="007719A0">
        <w:t>SDH), IP</w:t>
      </w:r>
      <w:r w:rsidR="00D80FA8" w:rsidRPr="007719A0">
        <w:t xml:space="preserve"> </w:t>
      </w:r>
      <w:r w:rsidR="00A57F7F" w:rsidRPr="007719A0">
        <w:t xml:space="preserve"> o una migración entre ambas</w:t>
      </w:r>
      <w:r w:rsidR="00B45947" w:rsidRPr="007719A0">
        <w:t>.</w:t>
      </w:r>
    </w:p>
    <w:p w14:paraId="534AC803" w14:textId="77777777" w:rsidR="006718FB" w:rsidRPr="001E761B" w:rsidRDefault="006718FB" w:rsidP="001E761B">
      <w:pPr>
        <w:pStyle w:val="Ttulo3"/>
      </w:pPr>
      <w:r w:rsidRPr="001E761B">
        <w:lastRenderedPageBreak/>
        <w:t xml:space="preserve">Red de </w:t>
      </w:r>
      <w:r w:rsidR="001E761B" w:rsidRPr="001E761B">
        <w:t>telecomuni</w:t>
      </w:r>
      <w:r w:rsidR="001E761B">
        <w:t>ca</w:t>
      </w:r>
      <w:r w:rsidR="001E761B" w:rsidRPr="001E761B">
        <w:t>ciones</w:t>
      </w:r>
      <w:r w:rsidR="005C06D6" w:rsidRPr="001E761B">
        <w:t xml:space="preserve"> </w:t>
      </w:r>
      <w:r w:rsidRPr="001E761B">
        <w:t>fija</w:t>
      </w:r>
      <w:bookmarkEnd w:id="52"/>
    </w:p>
    <w:p w14:paraId="76E7EEC8" w14:textId="32130056" w:rsidR="006718FB" w:rsidRPr="00E94D8A" w:rsidRDefault="006718FB" w:rsidP="006718FB">
      <w:r w:rsidRPr="00AF51DB">
        <w:t>Al igual que con las redes móv</w:t>
      </w:r>
      <w:r w:rsidRPr="00E94D8A">
        <w:t xml:space="preserve">iles, las redes fijas suelen estar formadas de dos capas de activos, las cuales pueden ser desplegadas </w:t>
      </w:r>
      <w:r w:rsidR="00923DF1">
        <w:t>con</w:t>
      </w:r>
      <w:r w:rsidR="00923DF1" w:rsidRPr="00E94D8A">
        <w:t xml:space="preserve"> </w:t>
      </w:r>
      <w:r w:rsidRPr="00E94D8A">
        <w:t xml:space="preserve">base </w:t>
      </w:r>
      <w:r w:rsidR="00923DF1">
        <w:t>en</w:t>
      </w:r>
      <w:r w:rsidR="00923DF1" w:rsidRPr="00E94D8A">
        <w:t xml:space="preserve"> </w:t>
      </w:r>
      <w:r w:rsidRPr="00E94D8A">
        <w:t>diferentes tecnologías. Estas son generalmente la capa de acceso y la capa troncal (</w:t>
      </w:r>
      <w:proofErr w:type="spellStart"/>
      <w:r w:rsidRPr="00E94D8A">
        <w:rPr>
          <w:i/>
        </w:rPr>
        <w:t>core</w:t>
      </w:r>
      <w:proofErr w:type="spellEnd"/>
      <w:r w:rsidRPr="00E94D8A">
        <w:t>) (que incorpora la red de transmisión), aunque el límite preciso entre las dos capas depende de la tecnología y debe ser cuidadosamente definido. Se describen a continuación cada una de estas capas.</w:t>
      </w:r>
    </w:p>
    <w:p w14:paraId="3AC06ABD" w14:textId="77777777" w:rsidR="006718FB" w:rsidRPr="007D421D" w:rsidRDefault="006718FB" w:rsidP="006718FB">
      <w:pPr>
        <w:pStyle w:val="Ttulo4"/>
        <w:rPr>
          <w:b/>
        </w:rPr>
      </w:pPr>
      <w:r w:rsidRPr="007D421D">
        <w:rPr>
          <w:b/>
        </w:rPr>
        <w:t>Red de acceso</w:t>
      </w:r>
    </w:p>
    <w:p w14:paraId="02CBA6B6" w14:textId="51ABB50B" w:rsidR="006718FB" w:rsidRPr="00E94D8A" w:rsidRDefault="006718FB" w:rsidP="006718FB">
      <w:pPr>
        <w:spacing w:after="120"/>
      </w:pPr>
      <w:r w:rsidRPr="00E94D8A">
        <w:t xml:space="preserve">La capa de acceso conecta los suscriptores a la red, lo que les permite utilizar los servicios de telefonía fija. Las opciones de arquitectura para esta capa son el cobre, la fibra o el cable coaxial, que cubren la conexión desde el punto de terminación de red (NTP) en las instalaciones del usuario hasta los nodos de agregación en la estructura en árbol de la red. Estas opciones se presentan en la </w:t>
      </w:r>
      <w:r w:rsidR="00E94D8A">
        <w:fldChar w:fldCharType="begin"/>
      </w:r>
      <w:r w:rsidR="00E94D8A">
        <w:instrText xml:space="preserve"> REF _Ref321212165 \h </w:instrText>
      </w:r>
      <w:r w:rsidR="00E94D8A">
        <w:fldChar w:fldCharType="separate"/>
      </w:r>
      <w:r w:rsidR="00B426BC" w:rsidRPr="00E94D8A">
        <w:t>Figur</w:t>
      </w:r>
      <w:r w:rsidR="00B426BC">
        <w:t>a</w:t>
      </w:r>
      <w:r w:rsidR="00B426BC" w:rsidRPr="00E94D8A">
        <w:t xml:space="preserve"> </w:t>
      </w:r>
      <w:r w:rsidR="00B426BC">
        <w:rPr>
          <w:noProof/>
        </w:rPr>
        <w:t>4</w:t>
      </w:r>
      <w:r w:rsidR="00B426BC" w:rsidRPr="00E94D8A">
        <w:t>.</w:t>
      </w:r>
      <w:r w:rsidR="00B426BC">
        <w:rPr>
          <w:noProof/>
        </w:rPr>
        <w:t>5</w:t>
      </w:r>
      <w:r w:rsidR="00E94D8A">
        <w:fldChar w:fldCharType="end"/>
      </w:r>
      <w:r w:rsidR="00E94D8A">
        <w:t xml:space="preserve"> </w:t>
      </w:r>
      <w:r w:rsidRPr="00E94D8A">
        <w:t>a continuación y son los siguientes:</w:t>
      </w:r>
    </w:p>
    <w:p w14:paraId="59C7439F" w14:textId="77777777" w:rsidR="006718FB" w:rsidRPr="00E94D8A" w:rsidRDefault="006718FB" w:rsidP="006718FB">
      <w:pPr>
        <w:pStyle w:val="ListBulletCompact"/>
      </w:pPr>
      <w:r w:rsidRPr="00E94D8A">
        <w:t xml:space="preserve">una arquitectura </w:t>
      </w:r>
      <w:r w:rsidRPr="00E94D8A">
        <w:rPr>
          <w:b/>
        </w:rPr>
        <w:t>tradicional de cobre</w:t>
      </w:r>
      <w:r w:rsidRPr="00E94D8A">
        <w:t xml:space="preserve">, con cables de cobre desplegados hasta </w:t>
      </w:r>
      <w:r w:rsidR="005B4A34">
        <w:t xml:space="preserve">la central pasando por </w:t>
      </w:r>
      <w:r w:rsidRPr="00E94D8A">
        <w:t>los nodos (</w:t>
      </w:r>
      <w:proofErr w:type="spellStart"/>
      <w:r w:rsidRPr="00E94D8A">
        <w:rPr>
          <w:i/>
        </w:rPr>
        <w:t>street</w:t>
      </w:r>
      <w:proofErr w:type="spellEnd"/>
      <w:r w:rsidRPr="00E94D8A">
        <w:rPr>
          <w:i/>
        </w:rPr>
        <w:t xml:space="preserve"> </w:t>
      </w:r>
      <w:proofErr w:type="spellStart"/>
      <w:r w:rsidRPr="00E94D8A">
        <w:rPr>
          <w:i/>
        </w:rPr>
        <w:t>cabinets</w:t>
      </w:r>
      <w:proofErr w:type="spellEnd"/>
      <w:r w:rsidRPr="00E94D8A">
        <w:t>)</w:t>
      </w:r>
    </w:p>
    <w:p w14:paraId="4C7A0ABF" w14:textId="77777777" w:rsidR="006718FB" w:rsidRPr="00E94D8A" w:rsidRDefault="006718FB" w:rsidP="006718FB">
      <w:pPr>
        <w:pStyle w:val="ListBulletCompact"/>
      </w:pPr>
      <w:r w:rsidRPr="00E94D8A">
        <w:t xml:space="preserve">una arquitectura de </w:t>
      </w:r>
      <w:r w:rsidRPr="00E94D8A">
        <w:rPr>
          <w:b/>
        </w:rPr>
        <w:t>cable</w:t>
      </w:r>
      <w:r w:rsidRPr="00E94D8A">
        <w:t>, con cable coaxial desplegado hasta una jerarquía de nodos de agregación de fibra y nodos metropolitanos</w:t>
      </w:r>
    </w:p>
    <w:p w14:paraId="00FB2605" w14:textId="77777777" w:rsidR="006718FB" w:rsidRPr="00E94D8A" w:rsidRDefault="006718FB" w:rsidP="006718FB">
      <w:pPr>
        <w:pStyle w:val="ListBulletCompact"/>
      </w:pPr>
      <w:r w:rsidRPr="00E94D8A">
        <w:t>una arquitectura de nueva generación (NGA) que utiliza cable de fibra, ya sea a través de:</w:t>
      </w:r>
    </w:p>
    <w:p w14:paraId="3DEE3F1F" w14:textId="77777777" w:rsidR="006718FB" w:rsidRPr="00E94D8A" w:rsidRDefault="006718FB" w:rsidP="006718FB">
      <w:pPr>
        <w:pStyle w:val="ListBullet2Compact"/>
      </w:pPr>
      <w:r w:rsidRPr="00E94D8A">
        <w:rPr>
          <w:b/>
        </w:rPr>
        <w:t>fibra hasta el nodo (FTTN) VDSL</w:t>
      </w:r>
      <w:r w:rsidRPr="00E94D8A">
        <w:t xml:space="preserve">, que emplea casi la misma estructura que el cobre tradicional, salvo que la fibra se despliega entre los </w:t>
      </w:r>
      <w:proofErr w:type="spellStart"/>
      <w:r w:rsidRPr="00E94D8A">
        <w:rPr>
          <w:i/>
        </w:rPr>
        <w:t>street</w:t>
      </w:r>
      <w:proofErr w:type="spellEnd"/>
      <w:r w:rsidRPr="00E94D8A">
        <w:rPr>
          <w:i/>
        </w:rPr>
        <w:t xml:space="preserve"> </w:t>
      </w:r>
      <w:proofErr w:type="spellStart"/>
      <w:r w:rsidRPr="00E94D8A">
        <w:rPr>
          <w:i/>
        </w:rPr>
        <w:t>cabinets</w:t>
      </w:r>
      <w:proofErr w:type="spellEnd"/>
      <w:r w:rsidRPr="00E94D8A">
        <w:t xml:space="preserve"> y un número menor de centrales (emplazamientos troncales metropolitanos), con la electrónica de control de VDSL instalada en el </w:t>
      </w:r>
      <w:proofErr w:type="spellStart"/>
      <w:r w:rsidRPr="00E94D8A">
        <w:rPr>
          <w:i/>
        </w:rPr>
        <w:t>street</w:t>
      </w:r>
      <w:proofErr w:type="spellEnd"/>
      <w:r w:rsidRPr="00E94D8A">
        <w:rPr>
          <w:i/>
        </w:rPr>
        <w:t xml:space="preserve"> </w:t>
      </w:r>
      <w:proofErr w:type="spellStart"/>
      <w:r w:rsidRPr="00E94D8A">
        <w:rPr>
          <w:i/>
        </w:rPr>
        <w:t>cabinet</w:t>
      </w:r>
      <w:proofErr w:type="spellEnd"/>
    </w:p>
    <w:p w14:paraId="77F84FAB" w14:textId="77777777" w:rsidR="006718FB" w:rsidRPr="00E94D8A" w:rsidRDefault="006718FB" w:rsidP="006718FB">
      <w:pPr>
        <w:pStyle w:val="ListBullet2Compact"/>
      </w:pPr>
      <w:r w:rsidRPr="00E94D8A">
        <w:rPr>
          <w:b/>
        </w:rPr>
        <w:t>fibra hasta el hogar (FTTH) GPON</w:t>
      </w:r>
      <w:r w:rsidRPr="00E94D8A">
        <w:t xml:space="preserve">, que despliega la fibra desde la central en una estructura de árbol utilizando una jerarquía de </w:t>
      </w:r>
      <w:proofErr w:type="spellStart"/>
      <w:r w:rsidRPr="00E94D8A">
        <w:rPr>
          <w:i/>
        </w:rPr>
        <w:t>splitters</w:t>
      </w:r>
      <w:proofErr w:type="spellEnd"/>
    </w:p>
    <w:p w14:paraId="0C153C66" w14:textId="77777777" w:rsidR="006718FB" w:rsidRPr="00E94D8A" w:rsidRDefault="006718FB" w:rsidP="006718FB">
      <w:pPr>
        <w:pStyle w:val="II"/>
      </w:pPr>
      <w:r w:rsidRPr="00E94D8A">
        <w:rPr>
          <w:b/>
          <w:bCs/>
        </w:rPr>
        <w:t>FTTH punto a punto (PTP)</w:t>
      </w:r>
      <w:r w:rsidRPr="00E94D8A">
        <w:t xml:space="preserve">, que despliega la fibra desde la central al hogar del usuario. </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6718FB" w:rsidRPr="00E94D8A" w14:paraId="4A284011" w14:textId="77777777" w:rsidTr="006718FB">
        <w:tc>
          <w:tcPr>
            <w:tcW w:w="6576" w:type="dxa"/>
            <w:tcBorders>
              <w:right w:val="single" w:sz="4" w:space="0" w:color="auto"/>
            </w:tcBorders>
            <w:shd w:val="clear" w:color="auto" w:fill="auto"/>
          </w:tcPr>
          <w:p w14:paraId="25BAD07A" w14:textId="77777777" w:rsidR="006718FB" w:rsidRPr="00E94D8A" w:rsidRDefault="006718FB" w:rsidP="006718FB">
            <w:pPr>
              <w:pStyle w:val="Bordersmall"/>
              <w:rPr>
                <w:lang w:val="es-ES"/>
              </w:rPr>
            </w:pPr>
            <w:r w:rsidRPr="00E94D8A">
              <w:rPr>
                <w:noProof/>
                <w:lang w:val="es-MX" w:eastAsia="es-MX"/>
              </w:rPr>
              <w:lastRenderedPageBreak/>
              <w:drawing>
                <wp:inline distT="0" distB="0" distL="0" distR="0" wp14:anchorId="2104C9DA" wp14:editId="5505D27E">
                  <wp:extent cx="4173220" cy="4039870"/>
                  <wp:effectExtent l="0" t="0" r="0" b="0"/>
                  <wp:docPr id="10" name="Picture 10" descr="Arquitecturas de la red de acceso, Fuente: Analysys Mason, 2016" title="Figura cuatro punto ci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73220" cy="4039870"/>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0ADC8D60" w14:textId="77777777" w:rsidR="006718FB" w:rsidRPr="00E94D8A" w:rsidRDefault="006718FB" w:rsidP="00E94D8A">
            <w:pPr>
              <w:pStyle w:val="Captionsmall"/>
              <w:rPr>
                <w:lang w:val="es-ES"/>
              </w:rPr>
            </w:pPr>
            <w:bookmarkStart w:id="53" w:name="_Ref321212165"/>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4</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w:instrText>
            </w:r>
            <w:r w:rsidR="00A37365" w:rsidRPr="00E94D8A">
              <w:rPr>
                <w:lang w:val="es-ES"/>
              </w:rPr>
              <w:instrText>SEQ Ilustración</w:instrText>
            </w:r>
            <w:r w:rsidRPr="00E94D8A">
              <w:rPr>
                <w:lang w:val="es-ES"/>
              </w:rPr>
              <w:instrText xml:space="preserve"> \* ARABIC \s 1 \* MERGEFORMAT </w:instrText>
            </w:r>
            <w:r w:rsidRPr="00E94D8A">
              <w:rPr>
                <w:lang w:val="es-ES"/>
              </w:rPr>
              <w:fldChar w:fldCharType="separate"/>
            </w:r>
            <w:r w:rsidR="00B426BC">
              <w:rPr>
                <w:noProof/>
                <w:lang w:val="es-ES"/>
              </w:rPr>
              <w:t>5</w:t>
            </w:r>
            <w:r w:rsidRPr="00E94D8A">
              <w:rPr>
                <w:lang w:val="es-ES"/>
              </w:rPr>
              <w:fldChar w:fldCharType="end"/>
            </w:r>
            <w:bookmarkEnd w:id="53"/>
            <w:r w:rsidRPr="00E94D8A">
              <w:rPr>
                <w:lang w:val="es-ES"/>
              </w:rPr>
              <w:t>: Arquitecturas de la red de acceso [</w:t>
            </w:r>
            <w:r w:rsidR="001657CE">
              <w:rPr>
                <w:lang w:val="es-ES"/>
              </w:rPr>
              <w:t xml:space="preserve">Fuente: </w:t>
            </w:r>
            <w:proofErr w:type="spellStart"/>
            <w:r w:rsidR="001657CE">
              <w:rPr>
                <w:lang w:val="es-ES"/>
              </w:rPr>
              <w:t>Analysys</w:t>
            </w:r>
            <w:proofErr w:type="spellEnd"/>
            <w:r w:rsidR="001657CE">
              <w:rPr>
                <w:lang w:val="es-ES"/>
              </w:rPr>
              <w:t xml:space="preserve"> Mason, 2016</w:t>
            </w:r>
            <w:r w:rsidRPr="00E94D8A">
              <w:rPr>
                <w:lang w:val="es-ES"/>
              </w:rPr>
              <w:t>]</w:t>
            </w:r>
          </w:p>
        </w:tc>
      </w:tr>
    </w:tbl>
    <w:p w14:paraId="052E9BC1" w14:textId="77777777" w:rsidR="006718FB" w:rsidRPr="00E94D8A" w:rsidRDefault="006718FB" w:rsidP="006718FB"/>
    <w:p w14:paraId="6819EAD7" w14:textId="77777777" w:rsidR="006718FB" w:rsidRPr="00E94D8A" w:rsidRDefault="006718FB" w:rsidP="006718FB">
      <w:pPr>
        <w:rPr>
          <w:spacing w:val="-4"/>
        </w:rPr>
      </w:pPr>
      <w:r w:rsidRPr="00E94D8A">
        <w:rPr>
          <w:spacing w:val="-4"/>
        </w:rPr>
        <w:t xml:space="preserve">No está previsto modelar la red de acceso en el modelo fijo al no formar parte del servicio de terminación y </w:t>
      </w:r>
      <w:proofErr w:type="spellStart"/>
      <w:r w:rsidRPr="00E94D8A">
        <w:rPr>
          <w:spacing w:val="-4"/>
        </w:rPr>
        <w:t>originación</w:t>
      </w:r>
      <w:proofErr w:type="spellEnd"/>
      <w:r w:rsidRPr="00E94D8A">
        <w:rPr>
          <w:spacing w:val="-4"/>
        </w:rPr>
        <w:t>, pero su definición influenciará el diseño de la red troncal y de transmisión.</w:t>
      </w:r>
      <w:r w:rsidR="002C6C68">
        <w:rPr>
          <w:spacing w:val="-4"/>
        </w:rPr>
        <w:t xml:space="preserve"> La red modelada, en línea con el modelo anterior desarrollado por </w:t>
      </w:r>
      <w:r w:rsidR="00150BE8">
        <w:rPr>
          <w:spacing w:val="-4"/>
        </w:rPr>
        <w:t>el IFT</w:t>
      </w:r>
      <w:r w:rsidR="002C6C68">
        <w:rPr>
          <w:spacing w:val="-4"/>
        </w:rPr>
        <w:t xml:space="preserve">, </w:t>
      </w:r>
      <w:r w:rsidR="00BF5F82">
        <w:rPr>
          <w:spacing w:val="-4"/>
        </w:rPr>
        <w:t>considera como punto de demarcación el MSAN</w:t>
      </w:r>
      <w:r w:rsidR="002C6C68">
        <w:rPr>
          <w:spacing w:val="-4"/>
        </w:rPr>
        <w:t xml:space="preserve"> (</w:t>
      </w:r>
      <w:proofErr w:type="spellStart"/>
      <w:r w:rsidR="002C6C68">
        <w:rPr>
          <w:spacing w:val="-4"/>
        </w:rPr>
        <w:t>Multi</w:t>
      </w:r>
      <w:proofErr w:type="spellEnd"/>
      <w:r w:rsidR="002C6C68">
        <w:rPr>
          <w:spacing w:val="-4"/>
        </w:rPr>
        <w:t xml:space="preserve">- </w:t>
      </w:r>
      <w:proofErr w:type="spellStart"/>
      <w:r w:rsidR="002C6C68">
        <w:rPr>
          <w:spacing w:val="-4"/>
        </w:rPr>
        <w:t>Service</w:t>
      </w:r>
      <w:proofErr w:type="spellEnd"/>
      <w:r w:rsidR="002C6C68">
        <w:rPr>
          <w:spacing w:val="-4"/>
        </w:rPr>
        <w:t xml:space="preserve"> Access </w:t>
      </w:r>
      <w:proofErr w:type="spellStart"/>
      <w:r w:rsidR="002C6C68">
        <w:rPr>
          <w:spacing w:val="-4"/>
        </w:rPr>
        <w:t>Node</w:t>
      </w:r>
      <w:proofErr w:type="spellEnd"/>
      <w:r w:rsidR="002C6C68">
        <w:rPr>
          <w:spacing w:val="-4"/>
        </w:rPr>
        <w:t xml:space="preserve">) </w:t>
      </w:r>
      <w:r w:rsidR="00BF5F82">
        <w:rPr>
          <w:spacing w:val="-4"/>
        </w:rPr>
        <w:t>y supone que el operador despliega una red de última milla de cobre (no incluida en el modelo) sobre la que se despliega VDSL</w:t>
      </w:r>
      <w:r w:rsidR="005D15C8">
        <w:rPr>
          <w:spacing w:val="-4"/>
        </w:rPr>
        <w:t xml:space="preserve"> (opción c)</w:t>
      </w:r>
      <w:r w:rsidR="002C6C68">
        <w:rPr>
          <w:spacing w:val="-4"/>
        </w:rPr>
        <w:t>.</w:t>
      </w:r>
    </w:p>
    <w:p w14:paraId="45532EFE" w14:textId="77777777" w:rsidR="006718FB" w:rsidRPr="007D421D" w:rsidRDefault="006718FB" w:rsidP="006718FB">
      <w:pPr>
        <w:pStyle w:val="Ttulo4"/>
        <w:keepNext w:val="0"/>
        <w:keepLines w:val="0"/>
        <w:rPr>
          <w:b/>
        </w:rPr>
      </w:pPr>
      <w:r w:rsidRPr="007D421D">
        <w:rPr>
          <w:b/>
        </w:rPr>
        <w:t>Red troncal (</w:t>
      </w:r>
      <w:proofErr w:type="spellStart"/>
      <w:r w:rsidRPr="007D421D">
        <w:rPr>
          <w:b/>
        </w:rPr>
        <w:t>core</w:t>
      </w:r>
      <w:proofErr w:type="spellEnd"/>
      <w:r w:rsidRPr="007D421D">
        <w:rPr>
          <w:b/>
        </w:rPr>
        <w:t>)</w:t>
      </w:r>
    </w:p>
    <w:p w14:paraId="233EADE7" w14:textId="77777777" w:rsidR="006718FB" w:rsidRPr="00E94D8A" w:rsidRDefault="006718FB" w:rsidP="006718FB">
      <w:r w:rsidRPr="00E94D8A">
        <w:t>Al igual que en la red de acceso, existen arquitecturas tradicionales y de nueva generación (NGN). Una red troncal NGN se define como una plataforma convergente basada en IP que transportará todos los servicios sobre la misma plataforma. Ciertas opciones de despliegue son actualizaciones de la red PSTN, mientras que otras utilizan un transporte basado en conmutadores (</w:t>
      </w:r>
      <w:proofErr w:type="spellStart"/>
      <w:r w:rsidRPr="00E94D8A">
        <w:rPr>
          <w:i/>
        </w:rPr>
        <w:t>switches</w:t>
      </w:r>
      <w:proofErr w:type="spellEnd"/>
      <w:r w:rsidRPr="00E94D8A">
        <w:t>) y enrutadores (</w:t>
      </w:r>
      <w:proofErr w:type="spellStart"/>
      <w:r w:rsidRPr="00E94D8A">
        <w:rPr>
          <w:i/>
        </w:rPr>
        <w:t>routers</w:t>
      </w:r>
      <w:proofErr w:type="spellEnd"/>
      <w:r w:rsidRPr="00E94D8A">
        <w:t>) Ethernet e IP/MPLS. Sin embargo, la red de control NGN a modelar depende en gran medida de la arquitectura de la red de acceso. Estas opciones se encuentran resumidas a continuación:</w:t>
      </w:r>
    </w:p>
    <w:p w14:paraId="36A23269" w14:textId="77777777" w:rsidR="00C152DA" w:rsidRPr="00C152DA" w:rsidRDefault="006718FB" w:rsidP="006718FB">
      <w:pPr>
        <w:pStyle w:val="Listaconvietas"/>
        <w:ind w:left="360" w:hanging="360"/>
        <w:rPr>
          <w:rFonts w:ascii="Arial Unicode MS" w:eastAsia="Arial Unicode MS" w:hAnsi="Arial Unicode MS" w:cs="Arial Unicode MS"/>
          <w:color w:val="003A47"/>
          <w:sz w:val="24"/>
          <w:szCs w:val="24"/>
        </w:rPr>
      </w:pPr>
      <w:r w:rsidRPr="00E94D8A">
        <w:t xml:space="preserve">Una </w:t>
      </w:r>
      <w:r w:rsidRPr="00E94D8A">
        <w:rPr>
          <w:b/>
        </w:rPr>
        <w:t xml:space="preserve">red troncal de </w:t>
      </w:r>
      <w:proofErr w:type="spellStart"/>
      <w:r w:rsidRPr="00E94D8A">
        <w:rPr>
          <w:b/>
        </w:rPr>
        <w:t>multiplexación</w:t>
      </w:r>
      <w:proofErr w:type="spellEnd"/>
      <w:r w:rsidRPr="00E94D8A">
        <w:rPr>
          <w:b/>
        </w:rPr>
        <w:t xml:space="preserve"> por división de tiempo (TDM)</w:t>
      </w:r>
      <w:r w:rsidRPr="00E94D8A">
        <w:t>, donde las plataformas de voz y datos son transportadas y conmutadas por separado, pero se transmiten en la misma red de transmisión.</w:t>
      </w:r>
    </w:p>
    <w:p w14:paraId="0774C887" w14:textId="77777777" w:rsidR="006718FB" w:rsidRPr="00E94D8A" w:rsidRDefault="006718FB" w:rsidP="006718FB">
      <w:pPr>
        <w:pStyle w:val="Listaconvietas"/>
        <w:ind w:left="360" w:hanging="360"/>
        <w:rPr>
          <w:snapToGrid w:val="0"/>
        </w:rPr>
      </w:pPr>
      <w:r w:rsidRPr="00E94D8A">
        <w:rPr>
          <w:b/>
          <w:bCs/>
        </w:rPr>
        <w:lastRenderedPageBreak/>
        <w:t>Pasarelas (</w:t>
      </w:r>
      <w:proofErr w:type="spellStart"/>
      <w:r w:rsidRPr="00E94D8A">
        <w:rPr>
          <w:b/>
          <w:bCs/>
        </w:rPr>
        <w:t>gateways</w:t>
      </w:r>
      <w:proofErr w:type="spellEnd"/>
      <w:r w:rsidRPr="00E94D8A">
        <w:rPr>
          <w:b/>
          <w:bCs/>
        </w:rPr>
        <w:t>) de acceso</w:t>
      </w:r>
      <w:r w:rsidRPr="00E94D8A">
        <w:rPr>
          <w:rStyle w:val="apple-converted-space"/>
          <w:color w:val="000000"/>
        </w:rPr>
        <w:t xml:space="preserve"> </w:t>
      </w:r>
      <w:r w:rsidRPr="00E94D8A">
        <w:t>NGN (</w:t>
      </w:r>
      <w:proofErr w:type="spellStart"/>
      <w:r w:rsidRPr="00E94D8A">
        <w:t>AGWs</w:t>
      </w:r>
      <w:proofErr w:type="spellEnd"/>
      <w:r w:rsidRPr="00E94D8A">
        <w:t xml:space="preserve">), que pueden ser </w:t>
      </w:r>
      <w:proofErr w:type="spellStart"/>
      <w:r w:rsidRPr="00E94D8A">
        <w:t>coubicados</w:t>
      </w:r>
      <w:proofErr w:type="spellEnd"/>
      <w:r w:rsidRPr="00E94D8A">
        <w:t xml:space="preserve"> en los concentradores PSTN o conmutadores locales (LS) para adaptar los enlaces de </w:t>
      </w:r>
      <w:proofErr w:type="spellStart"/>
      <w:r w:rsidRPr="00E94D8A">
        <w:t>backhaul</w:t>
      </w:r>
      <w:proofErr w:type="spellEnd"/>
      <w:r w:rsidRPr="00E94D8A">
        <w:t xml:space="preserve"> TDM, conservando la separación entre voz y datos.</w:t>
      </w:r>
    </w:p>
    <w:p w14:paraId="263DA97A" w14:textId="77777777" w:rsidR="006718FB" w:rsidRPr="00E94D8A" w:rsidRDefault="006718FB" w:rsidP="006718FB">
      <w:pPr>
        <w:pStyle w:val="Listaconvietas"/>
        <w:spacing w:after="120"/>
        <w:ind w:left="360" w:hanging="360"/>
        <w:rPr>
          <w:snapToGrid w:val="0"/>
        </w:rPr>
      </w:pPr>
      <w:r w:rsidRPr="00E94D8A">
        <w:rPr>
          <w:b/>
        </w:rPr>
        <w:t xml:space="preserve">Portadoras de bucle digital </w:t>
      </w:r>
      <w:r w:rsidRPr="00E94D8A">
        <w:t>NGN (DLC, por sus siglas en inglés), que combinan la tradicional conexión cruzada TDM de los servicios tradicionales con un conmutador de banda ancha (</w:t>
      </w:r>
      <w:proofErr w:type="spellStart"/>
      <w:r w:rsidRPr="00E94D8A">
        <w:rPr>
          <w:i/>
        </w:rPr>
        <w:t>broadband</w:t>
      </w:r>
      <w:proofErr w:type="spellEnd"/>
      <w:r w:rsidRPr="00E94D8A">
        <w:rPr>
          <w:i/>
        </w:rPr>
        <w:t xml:space="preserve"> </w:t>
      </w:r>
      <w:proofErr w:type="spellStart"/>
      <w:r w:rsidRPr="00E94D8A">
        <w:rPr>
          <w:i/>
        </w:rPr>
        <w:t>switch</w:t>
      </w:r>
      <w:proofErr w:type="spellEnd"/>
      <w:r w:rsidRPr="00E94D8A">
        <w:t>) con enlaces ascendentes de ATM e Ethernet (es decir, se pueden controlar la voz y los datos con esta unidad).</w:t>
      </w:r>
      <w:r w:rsidRPr="00E94D8A">
        <w:rPr>
          <w:rStyle w:val="apple-converted-space"/>
          <w:color w:val="000000"/>
          <w:sz w:val="27"/>
          <w:szCs w:val="27"/>
        </w:rPr>
        <w:t xml:space="preserve"> </w:t>
      </w:r>
      <w:r w:rsidRPr="00E94D8A">
        <w:t xml:space="preserve">Estos incorporan funciones de </w:t>
      </w:r>
      <w:proofErr w:type="spellStart"/>
      <w:r w:rsidRPr="00E94D8A">
        <w:t>multicast</w:t>
      </w:r>
      <w:proofErr w:type="spellEnd"/>
      <w:r w:rsidRPr="00E94D8A">
        <w:t xml:space="preserve"> IP para la entrega de vídeo y un servidor </w:t>
      </w:r>
      <w:proofErr w:type="spellStart"/>
      <w:r w:rsidRPr="00E94D8A">
        <w:t>gateway</w:t>
      </w:r>
      <w:proofErr w:type="spellEnd"/>
      <w:r w:rsidRPr="00E94D8A">
        <w:t xml:space="preserve"> de </w:t>
      </w:r>
      <w:proofErr w:type="spellStart"/>
      <w:r w:rsidRPr="00E94D8A">
        <w:t>VoIP</w:t>
      </w:r>
      <w:proofErr w:type="spellEnd"/>
      <w:r w:rsidRPr="00E94D8A">
        <w:t xml:space="preserve"> para la emulación de PSTN en una red convergente.</w:t>
      </w:r>
      <w:r w:rsidRPr="00E94D8A">
        <w:rPr>
          <w:rStyle w:val="apple-converted-space"/>
          <w:color w:val="000000"/>
          <w:sz w:val="27"/>
          <w:szCs w:val="27"/>
        </w:rPr>
        <w:t xml:space="preserve"> </w:t>
      </w:r>
      <w:r w:rsidRPr="00E94D8A">
        <w:t>Estos son también conocidos como nodos de acceso multiservicio (</w:t>
      </w:r>
      <w:proofErr w:type="spellStart"/>
      <w:r w:rsidRPr="00E94D8A">
        <w:t>MSANs</w:t>
      </w:r>
      <w:proofErr w:type="spellEnd"/>
      <w:r w:rsidRPr="00E94D8A">
        <w:t>).</w:t>
      </w:r>
    </w:p>
    <w:p w14:paraId="269B7D45" w14:textId="77777777" w:rsidR="006718FB" w:rsidRPr="00E94D8A" w:rsidRDefault="006718FB" w:rsidP="006718FB">
      <w:pPr>
        <w:pStyle w:val="Listaconvietas"/>
        <w:spacing w:after="120"/>
        <w:ind w:left="360" w:hanging="360"/>
        <w:rPr>
          <w:snapToGrid w:val="0"/>
        </w:rPr>
      </w:pPr>
      <w:r w:rsidRPr="00E94D8A">
        <w:rPr>
          <w:b/>
        </w:rPr>
        <w:t xml:space="preserve">Plataformas de acceso de banda ancha IP/Ethernet </w:t>
      </w:r>
      <w:r w:rsidRPr="00E94D8A">
        <w:t>NGN</w:t>
      </w:r>
      <w:r w:rsidRPr="00E94D8A">
        <w:rPr>
          <w:b/>
          <w:bCs/>
        </w:rPr>
        <w:t xml:space="preserve"> </w:t>
      </w:r>
      <w:r w:rsidRPr="00E94D8A">
        <w:t>(IP BAP), que agregan todas las variedades de líneas de servicio, incluyendo interfaces legadas, desde tarjetas de línea habilitadas para IP agregadas a una red troncal Gigabit Ethernet.</w:t>
      </w:r>
    </w:p>
    <w:p w14:paraId="362192A3" w14:textId="77777777" w:rsidR="006718FB" w:rsidRPr="00E94D8A" w:rsidRDefault="006718FB" w:rsidP="006718FB">
      <w:r w:rsidRPr="00E94D8A">
        <w:t>Para evitar confusión sobre el concepto NGN, es importante diferenciar dos partes de la red:</w:t>
      </w:r>
    </w:p>
    <w:p w14:paraId="4103577F" w14:textId="77777777" w:rsidR="006718FB" w:rsidRPr="00E94D8A" w:rsidRDefault="00EA7F32" w:rsidP="006718FB">
      <w:pPr>
        <w:pStyle w:val="L1"/>
        <w:tabs>
          <w:tab w:val="clear" w:pos="360"/>
        </w:tabs>
      </w:pPr>
      <w:r>
        <w:rPr>
          <w:b/>
        </w:rPr>
        <w:t>r</w:t>
      </w:r>
      <w:r w:rsidR="006718FB" w:rsidRPr="00E94D8A">
        <w:rPr>
          <w:b/>
        </w:rPr>
        <w:t>ed troncal</w:t>
      </w:r>
      <w:r>
        <w:t xml:space="preserve"> – </w:t>
      </w:r>
      <w:r w:rsidR="006718FB" w:rsidRPr="00E94D8A">
        <w:t>una red basada en IP y transmisión de paquetes</w:t>
      </w:r>
    </w:p>
    <w:p w14:paraId="38408CA3" w14:textId="77777777" w:rsidR="006718FB" w:rsidRPr="00E94D8A" w:rsidRDefault="00EA7F32" w:rsidP="006718FB">
      <w:pPr>
        <w:pStyle w:val="I1"/>
        <w:tabs>
          <w:tab w:val="clear" w:pos="360"/>
        </w:tabs>
      </w:pPr>
      <w:r>
        <w:rPr>
          <w:b/>
        </w:rPr>
        <w:t>r</w:t>
      </w:r>
      <w:r w:rsidR="006718FB" w:rsidRPr="00E94D8A">
        <w:rPr>
          <w:b/>
        </w:rPr>
        <w:t>ed de acceso</w:t>
      </w:r>
      <w:r>
        <w:t xml:space="preserve"> – </w:t>
      </w:r>
      <w:r w:rsidR="006718FB" w:rsidRPr="00E94D8A">
        <w:t>conecta los usuarios finales a la red troncal NGN por medio de infraestructura fija, móvil o inalámbrica</w:t>
      </w:r>
      <w:r>
        <w:t>.</w:t>
      </w:r>
    </w:p>
    <w:p w14:paraId="1F601977" w14:textId="019F76E3" w:rsidR="006718FB" w:rsidRPr="00E94D8A" w:rsidRDefault="006718FB" w:rsidP="006718FB">
      <w:r w:rsidRPr="00E94D8A">
        <w:t xml:space="preserve">La </w:t>
      </w:r>
      <w:r w:rsidR="00EA7F32">
        <w:fldChar w:fldCharType="begin"/>
      </w:r>
      <w:r w:rsidR="00EA7F32">
        <w:instrText xml:space="preserve"> REF _Ref322512167 \h </w:instrText>
      </w:r>
      <w:r w:rsidR="00EA7F32">
        <w:fldChar w:fldCharType="separate"/>
      </w:r>
      <w:r w:rsidR="00B426BC" w:rsidRPr="00E94D8A">
        <w:t>Figur</w:t>
      </w:r>
      <w:r w:rsidR="00B426BC">
        <w:t>a</w:t>
      </w:r>
      <w:r w:rsidR="00B426BC" w:rsidRPr="00E94D8A">
        <w:t xml:space="preserve"> </w:t>
      </w:r>
      <w:r w:rsidR="00B426BC">
        <w:rPr>
          <w:noProof/>
        </w:rPr>
        <w:t>4</w:t>
      </w:r>
      <w:r w:rsidR="00B426BC" w:rsidRPr="00E94D8A">
        <w:t>.</w:t>
      </w:r>
      <w:r w:rsidR="00B426BC">
        <w:rPr>
          <w:noProof/>
        </w:rPr>
        <w:t>6</w:t>
      </w:r>
      <w:r w:rsidR="00EA7F32">
        <w:fldChar w:fldCharType="end"/>
      </w:r>
      <w:r w:rsidR="00EA7F32">
        <w:t xml:space="preserve"> muestra</w:t>
      </w:r>
      <w:r w:rsidRPr="00E94D8A">
        <w:t xml:space="preserve"> los dos componentes de una red NGN. La red troncal NGN puede dar servicio a multitud de infraestructuras de acceso, incluyendo redes fijas o inalámbricas como </w:t>
      </w:r>
      <w:proofErr w:type="spellStart"/>
      <w:r w:rsidRPr="00E94D8A">
        <w:t>WiMAX</w:t>
      </w:r>
      <w:proofErr w:type="spellEnd"/>
      <w:r w:rsidRPr="00E94D8A">
        <w:t xml:space="preserve">. Esto significa que se pueden proveer los servicios independientemente de la manera en que el usuario accede a la red. </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6718FB" w:rsidRPr="00E94D8A" w14:paraId="74D2C0EB" w14:textId="77777777" w:rsidTr="006718FB">
        <w:tc>
          <w:tcPr>
            <w:tcW w:w="6576" w:type="dxa"/>
            <w:tcBorders>
              <w:right w:val="single" w:sz="4" w:space="0" w:color="auto"/>
            </w:tcBorders>
            <w:shd w:val="clear" w:color="auto" w:fill="auto"/>
          </w:tcPr>
          <w:p w14:paraId="44BDB250" w14:textId="77777777" w:rsidR="006718FB" w:rsidRPr="00E94D8A" w:rsidRDefault="006718FB" w:rsidP="006718FB">
            <w:pPr>
              <w:pStyle w:val="Bordersmall"/>
              <w:rPr>
                <w:lang w:val="es-ES"/>
              </w:rPr>
            </w:pPr>
            <w:r w:rsidRPr="00E94D8A">
              <w:rPr>
                <w:noProof/>
                <w:lang w:val="es-MX" w:eastAsia="es-MX"/>
              </w:rPr>
              <w:drawing>
                <wp:inline distT="0" distB="0" distL="0" distR="0" wp14:anchorId="265D0563" wp14:editId="74DDD577">
                  <wp:extent cx="4172585" cy="2815590"/>
                  <wp:effectExtent l="0" t="0" r="0" b="0"/>
                  <wp:docPr id="30" name="Picture 30" descr="Diagrama ilustrativo de una NGN, Fuente: Analysys Mason" title="Figura cuatro punto s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72585" cy="2815590"/>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3C6E76DD" w14:textId="77777777" w:rsidR="006718FB" w:rsidRPr="00E94D8A" w:rsidRDefault="006718FB" w:rsidP="00E94D8A">
            <w:pPr>
              <w:pStyle w:val="Captionsmall"/>
              <w:rPr>
                <w:lang w:val="es-ES"/>
              </w:rPr>
            </w:pPr>
            <w:bookmarkStart w:id="54" w:name="_Ref322512167"/>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4</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w:instrText>
            </w:r>
            <w:r w:rsidR="00A37365" w:rsidRPr="00E94D8A">
              <w:rPr>
                <w:lang w:val="es-ES"/>
              </w:rPr>
              <w:instrText>SEQ Ilustración</w:instrText>
            </w:r>
            <w:r w:rsidRPr="00E94D8A">
              <w:rPr>
                <w:lang w:val="es-ES"/>
              </w:rPr>
              <w:instrText xml:space="preserve"> \* ARABIC \s 1 \* MERGEFORMAT </w:instrText>
            </w:r>
            <w:r w:rsidRPr="00E94D8A">
              <w:rPr>
                <w:lang w:val="es-ES"/>
              </w:rPr>
              <w:fldChar w:fldCharType="separate"/>
            </w:r>
            <w:r w:rsidR="00B426BC">
              <w:rPr>
                <w:noProof/>
                <w:lang w:val="es-ES"/>
              </w:rPr>
              <w:t>6</w:t>
            </w:r>
            <w:r w:rsidRPr="00E94D8A">
              <w:rPr>
                <w:lang w:val="es-ES"/>
              </w:rPr>
              <w:fldChar w:fldCharType="end"/>
            </w:r>
            <w:bookmarkEnd w:id="54"/>
            <w:r w:rsidRPr="00E94D8A">
              <w:rPr>
                <w:lang w:val="es-ES"/>
              </w:rPr>
              <w:t xml:space="preserve">: Diagrama ilustrativo de una NGN [Fuente: </w:t>
            </w:r>
            <w:proofErr w:type="spellStart"/>
            <w:r w:rsidRPr="00E94D8A">
              <w:rPr>
                <w:lang w:val="es-ES"/>
              </w:rPr>
              <w:t>Analysys</w:t>
            </w:r>
            <w:proofErr w:type="spellEnd"/>
            <w:r w:rsidRPr="00E94D8A">
              <w:rPr>
                <w:lang w:val="es-ES"/>
              </w:rPr>
              <w:t xml:space="preserve"> Mason]</w:t>
            </w:r>
          </w:p>
        </w:tc>
      </w:tr>
    </w:tbl>
    <w:p w14:paraId="543FDFE5" w14:textId="77777777" w:rsidR="006718FB" w:rsidRPr="00E94D8A" w:rsidRDefault="006718FB" w:rsidP="006718FB"/>
    <w:p w14:paraId="317D3D04" w14:textId="3990C816" w:rsidR="006718FB" w:rsidRPr="00E94D8A" w:rsidRDefault="006718FB" w:rsidP="006718FB">
      <w:r w:rsidRPr="00E94D8A">
        <w:t xml:space="preserve">La arquitectura de una red NGN incluye el principio de separar, desde un punto de vista físico, el transporte y el </w:t>
      </w:r>
      <w:r w:rsidR="00EA7F32">
        <w:t>enrutamiento</w:t>
      </w:r>
      <w:r w:rsidRPr="00E94D8A">
        <w:t xml:space="preserve"> de</w:t>
      </w:r>
      <w:r w:rsidR="00EA7F32">
        <w:t>l</w:t>
      </w:r>
      <w:r w:rsidRPr="00E94D8A">
        <w:t xml:space="preserve"> tráfico y la definición o creación del servicio. Como resultado, los operadores pueden ofrecer sus servicios basándose en interfaces con la red de transporte abiertos y estandarizados. En referencia al modelo de referencia OSI (</w:t>
      </w:r>
      <w:r w:rsidR="00EA7F32" w:rsidRPr="00E94D8A">
        <w:t xml:space="preserve">open </w:t>
      </w:r>
      <w:proofErr w:type="spellStart"/>
      <w:r w:rsidR="00EA7F32" w:rsidRPr="00E94D8A">
        <w:t>systems</w:t>
      </w:r>
      <w:proofErr w:type="spellEnd"/>
      <w:r w:rsidR="00EA7F32" w:rsidRPr="00E94D8A">
        <w:t xml:space="preserve"> </w:t>
      </w:r>
      <w:proofErr w:type="spellStart"/>
      <w:r w:rsidR="00EA7F32" w:rsidRPr="00E94D8A">
        <w:t>interconnection</w:t>
      </w:r>
      <w:proofErr w:type="spellEnd"/>
      <w:r w:rsidRPr="00E94D8A">
        <w:t xml:space="preserve">), todavía </w:t>
      </w:r>
      <w:r w:rsidRPr="00E94D8A">
        <w:lastRenderedPageBreak/>
        <w:t xml:space="preserve">existe un debate sobre el punto de demarcación de las capas de transporte y de servicio. Por ejemplo, la ITU ha sugerido el mapeado </w:t>
      </w:r>
      <w:r w:rsidR="00EA7F32">
        <w:t>que se muestra en</w:t>
      </w:r>
      <w:r w:rsidRPr="00E94D8A">
        <w:t xml:space="preserve"> la</w:t>
      </w:r>
      <w:r w:rsidR="00EA7F32">
        <w:t xml:space="preserve"> </w:t>
      </w:r>
      <w:r w:rsidR="00EA7F32">
        <w:fldChar w:fldCharType="begin"/>
      </w:r>
      <w:r w:rsidR="00EA7F32">
        <w:instrText xml:space="preserve"> REF _Ref322512251 \h </w:instrText>
      </w:r>
      <w:r w:rsidR="00EA7F32">
        <w:fldChar w:fldCharType="separate"/>
      </w:r>
      <w:r w:rsidR="00B426BC" w:rsidRPr="00E94D8A">
        <w:t>Figur</w:t>
      </w:r>
      <w:r w:rsidR="00B426BC">
        <w:t>a</w:t>
      </w:r>
      <w:r w:rsidR="00B426BC" w:rsidRPr="00E94D8A">
        <w:t xml:space="preserve"> </w:t>
      </w:r>
      <w:r w:rsidR="00B426BC">
        <w:rPr>
          <w:noProof/>
        </w:rPr>
        <w:t>4</w:t>
      </w:r>
      <w:r w:rsidR="00B426BC" w:rsidRPr="00E94D8A">
        <w:t>.</w:t>
      </w:r>
      <w:r w:rsidR="00B426BC">
        <w:rPr>
          <w:noProof/>
        </w:rPr>
        <w:t>7</w:t>
      </w:r>
      <w:r w:rsidR="00EA7F32">
        <w:fldChar w:fldCharType="end"/>
      </w:r>
      <w:r w:rsidR="00EA7F32">
        <w:t>.</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6718FB" w:rsidRPr="00E94D8A" w14:paraId="7DCC0A4E" w14:textId="77777777" w:rsidTr="00A37365">
        <w:tc>
          <w:tcPr>
            <w:tcW w:w="6576" w:type="dxa"/>
            <w:tcBorders>
              <w:right w:val="single" w:sz="4" w:space="0" w:color="auto"/>
            </w:tcBorders>
            <w:shd w:val="clear" w:color="auto" w:fill="auto"/>
          </w:tcPr>
          <w:p w14:paraId="2C9AA0B7" w14:textId="77777777" w:rsidR="006718FB" w:rsidRPr="00E94D8A" w:rsidRDefault="006718FB" w:rsidP="00A37365">
            <w:pPr>
              <w:pStyle w:val="Bordersmall"/>
              <w:rPr>
                <w:lang w:val="es-ES"/>
              </w:rPr>
            </w:pPr>
            <w:r w:rsidRPr="00E94D8A">
              <w:rPr>
                <w:noProof/>
                <w:lang w:val="es-MX" w:eastAsia="es-MX"/>
              </w:rPr>
              <w:drawing>
                <wp:inline distT="0" distB="0" distL="0" distR="0" wp14:anchorId="12DABF75" wp14:editId="33A1F609">
                  <wp:extent cx="2870200" cy="2476500"/>
                  <wp:effectExtent l="0" t="0" r="0" b="0"/>
                  <wp:docPr id="31" name="Picture 31" descr="Mapeado entre las capas de servicio y transporte de una red NGN y el modelo de referencia OSI, Fuente: ITU, NGNuk" title="Figura cuatro punto si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70200" cy="2476500"/>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4314534A" w14:textId="77777777" w:rsidR="006718FB" w:rsidRPr="00E94D8A" w:rsidRDefault="006718FB" w:rsidP="00E94D8A">
            <w:pPr>
              <w:pStyle w:val="Captionsmall"/>
              <w:rPr>
                <w:lang w:val="es-ES"/>
              </w:rPr>
            </w:pPr>
            <w:bookmarkStart w:id="55" w:name="_Ref322512251"/>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4</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w:instrText>
            </w:r>
            <w:r w:rsidR="00A37365" w:rsidRPr="00E94D8A">
              <w:rPr>
                <w:lang w:val="es-ES"/>
              </w:rPr>
              <w:instrText>SEQ Ilustración</w:instrText>
            </w:r>
            <w:r w:rsidRPr="00E94D8A">
              <w:rPr>
                <w:lang w:val="es-ES"/>
              </w:rPr>
              <w:instrText xml:space="preserve"> \* ARABIC \s 1 \* MERGEFORMAT </w:instrText>
            </w:r>
            <w:r w:rsidRPr="00E94D8A">
              <w:rPr>
                <w:lang w:val="es-ES"/>
              </w:rPr>
              <w:fldChar w:fldCharType="separate"/>
            </w:r>
            <w:r w:rsidR="00B426BC">
              <w:rPr>
                <w:noProof/>
                <w:lang w:val="es-ES"/>
              </w:rPr>
              <w:t>7</w:t>
            </w:r>
            <w:r w:rsidRPr="00E94D8A">
              <w:rPr>
                <w:lang w:val="es-ES"/>
              </w:rPr>
              <w:fldChar w:fldCharType="end"/>
            </w:r>
            <w:bookmarkEnd w:id="55"/>
            <w:r w:rsidRPr="00E94D8A">
              <w:rPr>
                <w:lang w:val="es-ES"/>
              </w:rPr>
              <w:t xml:space="preserve">: Mapeado entre las capas de servicio y transporte de una red NGN y el modelo de referencia OSI [Fuente: ITU, </w:t>
            </w:r>
            <w:proofErr w:type="spellStart"/>
            <w:r w:rsidRPr="00E94D8A">
              <w:rPr>
                <w:lang w:val="es-ES"/>
              </w:rPr>
              <w:t>NGNuk</w:t>
            </w:r>
            <w:proofErr w:type="spellEnd"/>
            <w:r w:rsidRPr="00E94D8A">
              <w:rPr>
                <w:lang w:val="es-ES"/>
              </w:rPr>
              <w:t>]</w:t>
            </w:r>
          </w:p>
        </w:tc>
      </w:tr>
    </w:tbl>
    <w:p w14:paraId="17B45D08" w14:textId="77777777" w:rsidR="00FB7938" w:rsidRPr="00E94D8A" w:rsidRDefault="00FB7938" w:rsidP="006718FB"/>
    <w:p w14:paraId="7D61B7C5" w14:textId="77777777" w:rsidR="006718FB" w:rsidRPr="007D421D" w:rsidRDefault="006718FB" w:rsidP="006718FB">
      <w:pPr>
        <w:pStyle w:val="Ttulo4"/>
        <w:rPr>
          <w:b/>
        </w:rPr>
      </w:pPr>
      <w:r w:rsidRPr="007D421D">
        <w:rPr>
          <w:b/>
        </w:rPr>
        <w:t>Red troncal NGN</w:t>
      </w:r>
    </w:p>
    <w:p w14:paraId="28D405CA" w14:textId="77777777" w:rsidR="006718FB" w:rsidRPr="00E94D8A" w:rsidRDefault="006718FB" w:rsidP="006718FB">
      <w:r w:rsidRPr="00E94D8A">
        <w:t>Las redes históricas PSTN se basan en tecnolo</w:t>
      </w:r>
      <w:r w:rsidR="00DF16D4">
        <w:t>gía de conmutación de circuitos. Dicha tecnología</w:t>
      </w:r>
      <w:r w:rsidRPr="00E94D8A">
        <w:t xml:space="preserve"> asigna un camino físico dedicado a cada llamada de voz y reserva una cantidad asociada de ancho de banda dedicado (habitualmente un canal de voz PSTN tiene un ancho de banda de 64kbit/s) en toda la red. Este ancho de banda es dedicado para la llamada durante la duración de la misma</w:t>
      </w:r>
      <w:r w:rsidR="00DF16D4">
        <w:t>,</w:t>
      </w:r>
      <w:r w:rsidRPr="00E94D8A">
        <w:t xml:space="preserve"> independientemente de si se está transmitiendo señal de audio entre los participantes. </w:t>
      </w:r>
    </w:p>
    <w:p w14:paraId="68EEEEB9" w14:textId="77777777" w:rsidR="006718FB" w:rsidRPr="00FB7938" w:rsidRDefault="006718FB" w:rsidP="006718FB">
      <w:pPr>
        <w:rPr>
          <w:spacing w:val="-4"/>
        </w:rPr>
      </w:pPr>
      <w:r w:rsidRPr="00FB7938">
        <w:rPr>
          <w:spacing w:val="-4"/>
        </w:rPr>
        <w:t xml:space="preserve">Por </w:t>
      </w:r>
      <w:r w:rsidR="00DF16D4" w:rsidRPr="00FB7938">
        <w:rPr>
          <w:spacing w:val="-4"/>
        </w:rPr>
        <w:t>el contrario</w:t>
      </w:r>
      <w:r w:rsidRPr="00FB7938">
        <w:rPr>
          <w:spacing w:val="-4"/>
        </w:rPr>
        <w:t>, las NGN se basan en tecnologías de conmutación de</w:t>
      </w:r>
      <w:r w:rsidR="00DF16D4" w:rsidRPr="00FB7938">
        <w:rPr>
          <w:spacing w:val="-4"/>
        </w:rPr>
        <w:t xml:space="preserve"> paquetes, gracias a las cuales</w:t>
      </w:r>
      <w:r w:rsidRPr="00FB7938">
        <w:rPr>
          <w:spacing w:val="-4"/>
        </w:rPr>
        <w:t xml:space="preserve"> la voz se envía en ‘paquetes’ de datos digitalizados utilizando </w:t>
      </w:r>
      <w:proofErr w:type="spellStart"/>
      <w:r w:rsidRPr="00FB7938">
        <w:rPr>
          <w:spacing w:val="-4"/>
        </w:rPr>
        <w:t>VoIP</w:t>
      </w:r>
      <w:proofErr w:type="spellEnd"/>
      <w:r w:rsidRPr="00FB7938">
        <w:rPr>
          <w:spacing w:val="-4"/>
        </w:rPr>
        <w:t xml:space="preserve">. Sin especificidades de red especiales, como por ejemplo, mecanismos de </w:t>
      </w:r>
      <w:proofErr w:type="spellStart"/>
      <w:r w:rsidRPr="00FB7938">
        <w:rPr>
          <w:spacing w:val="-4"/>
        </w:rPr>
        <w:t>QoS</w:t>
      </w:r>
      <w:proofErr w:type="spellEnd"/>
      <w:r w:rsidRPr="00FB7938">
        <w:rPr>
          <w:spacing w:val="-4"/>
        </w:rPr>
        <w:t xml:space="preserve">, cada paquete de voz compite en igualdad de condiciones con los paquetes de otros servicios (voz u otros tipos de datos en una red NGN) por los recursos de red disponibles, como por ejemplo el ancho de banda. Los mecanismos </w:t>
      </w:r>
      <w:r w:rsidR="00DF16D4" w:rsidRPr="00FB7938">
        <w:rPr>
          <w:spacing w:val="-4"/>
        </w:rPr>
        <w:t>existentes para garantizar la calidad de servicio</w:t>
      </w:r>
      <w:r w:rsidRPr="00FB7938">
        <w:rPr>
          <w:spacing w:val="-4"/>
        </w:rPr>
        <w:t xml:space="preserve"> pueden priorizar los paquetes que llevan voz sobre otros tipos de paquetes de datos ayudando a asegurar que los paquetes de voz circulan por la red sin problemas y según reglas de transmisión (tiempo, retardo, </w:t>
      </w:r>
      <w:proofErr w:type="spellStart"/>
      <w:r w:rsidRPr="00FB7938">
        <w:rPr>
          <w:spacing w:val="-4"/>
        </w:rPr>
        <w:t>jitter</w:t>
      </w:r>
      <w:proofErr w:type="spellEnd"/>
      <w:r w:rsidRPr="00FB7938">
        <w:rPr>
          <w:spacing w:val="-4"/>
        </w:rPr>
        <w:t>, etc</w:t>
      </w:r>
      <w:r w:rsidR="00E94D8A" w:rsidRPr="00FB7938">
        <w:rPr>
          <w:spacing w:val="-4"/>
        </w:rPr>
        <w:t>.</w:t>
      </w:r>
      <w:r w:rsidRPr="00FB7938">
        <w:rPr>
          <w:spacing w:val="-4"/>
        </w:rPr>
        <w:t>) asociadas al servicio de voz</w:t>
      </w:r>
      <w:r w:rsidR="00E94D8A" w:rsidRPr="00FB7938">
        <w:rPr>
          <w:spacing w:val="-4"/>
        </w:rPr>
        <w:t>.</w:t>
      </w:r>
      <w:r w:rsidRPr="00FB7938">
        <w:rPr>
          <w:rStyle w:val="Refdenotaalpie"/>
          <w:spacing w:val="-4"/>
        </w:rPr>
        <w:footnoteReference w:id="20"/>
      </w:r>
    </w:p>
    <w:p w14:paraId="31490EF7" w14:textId="77777777" w:rsidR="006718FB" w:rsidRPr="00E94D8A" w:rsidRDefault="006718FB" w:rsidP="00E94D8A">
      <w:pPr>
        <w:pStyle w:val="Descripcin"/>
        <w:spacing w:line="240" w:lineRule="atLeast"/>
        <w:rPr>
          <w:lang w:val="es-ES"/>
        </w:rPr>
      </w:pPr>
      <w:bookmarkStart w:id="56" w:name="_Ref321212230"/>
      <w:r w:rsidRPr="00E94D8A">
        <w:rPr>
          <w:lang w:val="es-ES"/>
        </w:rPr>
        <w:lastRenderedPageBreak/>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4</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w:instrText>
      </w:r>
      <w:r w:rsidR="00A37365" w:rsidRPr="00E94D8A">
        <w:rPr>
          <w:lang w:val="es-ES"/>
        </w:rPr>
        <w:instrText>SEQ Ilustración</w:instrText>
      </w:r>
      <w:r w:rsidRPr="00E94D8A">
        <w:rPr>
          <w:lang w:val="es-ES"/>
        </w:rPr>
        <w:instrText xml:space="preserve"> \* ARABIC \s 1 \* MERGEFORMAT </w:instrText>
      </w:r>
      <w:r w:rsidRPr="00E94D8A">
        <w:rPr>
          <w:lang w:val="es-ES"/>
        </w:rPr>
        <w:fldChar w:fldCharType="separate"/>
      </w:r>
      <w:r w:rsidR="00B426BC">
        <w:rPr>
          <w:noProof/>
          <w:lang w:val="es-ES"/>
        </w:rPr>
        <w:t>8</w:t>
      </w:r>
      <w:r w:rsidRPr="00E94D8A">
        <w:rPr>
          <w:lang w:val="es-ES"/>
        </w:rPr>
        <w:fldChar w:fldCharType="end"/>
      </w:r>
      <w:bookmarkEnd w:id="56"/>
      <w:r w:rsidRPr="00E94D8A">
        <w:rPr>
          <w:lang w:val="es-ES"/>
        </w:rPr>
        <w:t>: Comparación entre redes de conmutación de circuitos y de conmutación de paquetes [</w:t>
      </w:r>
      <w:r w:rsidR="001657CE">
        <w:rPr>
          <w:lang w:val="es-ES"/>
        </w:rPr>
        <w:t xml:space="preserve">Fuente: </w:t>
      </w:r>
      <w:proofErr w:type="spellStart"/>
      <w:r w:rsidR="001657CE">
        <w:rPr>
          <w:lang w:val="es-ES"/>
        </w:rPr>
        <w:t>Analysys</w:t>
      </w:r>
      <w:proofErr w:type="spellEnd"/>
      <w:r w:rsidR="001657CE">
        <w:rPr>
          <w:lang w:val="es-ES"/>
        </w:rPr>
        <w:t xml:space="preserve"> Mason, 2016</w:t>
      </w:r>
      <w:r w:rsidRPr="00E94D8A">
        <w:rPr>
          <w:lang w:val="es-ES"/>
        </w:rPr>
        <w:t>]</w:t>
      </w:r>
    </w:p>
    <w:p w14:paraId="5ACFF8D0" w14:textId="77777777" w:rsidR="006718FB" w:rsidRPr="00B426BC" w:rsidRDefault="006718FB" w:rsidP="006718FB">
      <w:pPr>
        <w:pStyle w:val="Border"/>
        <w:rPr>
          <w:lang w:val="es-ES"/>
        </w:rPr>
      </w:pPr>
      <w:r w:rsidRPr="00B426BC">
        <w:rPr>
          <w:noProof/>
          <w:lang w:val="es-MX" w:eastAsia="es-MX"/>
        </w:rPr>
        <w:drawing>
          <wp:inline distT="0" distB="0" distL="0" distR="0" wp14:anchorId="3F98F605" wp14:editId="4ADD04B2">
            <wp:extent cx="5543550" cy="3453177"/>
            <wp:effectExtent l="0" t="0" r="0" b="0"/>
            <wp:docPr id="32" name="Picture 32" descr="Comparación entre redes de conmutación de circuitos y de conmutación de paquetes, Fuente: Analysys Mason, 2016" title="Figura cuatro punto o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43550" cy="3453177"/>
                    </a:xfrm>
                    <a:prstGeom prst="rect">
                      <a:avLst/>
                    </a:prstGeom>
                    <a:noFill/>
                    <a:ln>
                      <a:noFill/>
                    </a:ln>
                  </pic:spPr>
                </pic:pic>
              </a:graphicData>
            </a:graphic>
          </wp:inline>
        </w:drawing>
      </w:r>
    </w:p>
    <w:p w14:paraId="1CC55299" w14:textId="77777777" w:rsidR="00B426BC" w:rsidRPr="00B426BC" w:rsidRDefault="006718FB" w:rsidP="00B426BC">
      <w:pPr>
        <w:spacing w:line="300" w:lineRule="atLeast"/>
      </w:pPr>
      <w:r w:rsidRPr="00B426BC">
        <w:t xml:space="preserve">La </w:t>
      </w:r>
      <w:r w:rsidR="00E94D8A" w:rsidRPr="00B426BC">
        <w:fldChar w:fldCharType="begin"/>
      </w:r>
      <w:r w:rsidR="00E94D8A" w:rsidRPr="00B426BC">
        <w:instrText xml:space="preserve"> REF _Ref321212230 \h </w:instrText>
      </w:r>
      <w:r w:rsidR="00B426BC">
        <w:instrText xml:space="preserve"> \* MERGEFORMAT </w:instrText>
      </w:r>
      <w:r w:rsidR="00E94D8A" w:rsidRPr="00B426BC">
        <w:fldChar w:fldCharType="separate"/>
      </w:r>
      <w:r w:rsidR="00B426BC" w:rsidRPr="00B426BC">
        <w:t xml:space="preserve">Figura </w:t>
      </w:r>
      <w:r w:rsidR="00B426BC" w:rsidRPr="00B426BC">
        <w:rPr>
          <w:noProof/>
        </w:rPr>
        <w:t>4</w:t>
      </w:r>
      <w:r w:rsidR="00B426BC" w:rsidRPr="00B426BC">
        <w:t>.</w:t>
      </w:r>
      <w:r w:rsidR="00B426BC" w:rsidRPr="00B426BC">
        <w:rPr>
          <w:noProof/>
        </w:rPr>
        <w:t>8</w:t>
      </w:r>
      <w:r w:rsidR="00E94D8A" w:rsidRPr="00B426BC">
        <w:fldChar w:fldCharType="end"/>
      </w:r>
      <w:r w:rsidR="00E94D8A" w:rsidRPr="00B426BC">
        <w:t xml:space="preserve"> </w:t>
      </w:r>
      <w:r w:rsidRPr="00B426BC">
        <w:t xml:space="preserve">y </w:t>
      </w:r>
      <w:r w:rsidR="00E94D8A" w:rsidRPr="00B426BC">
        <w:t xml:space="preserve">la </w:t>
      </w:r>
      <w:r w:rsidR="00E94D8A" w:rsidRPr="00B426BC">
        <w:fldChar w:fldCharType="begin"/>
      </w:r>
      <w:r w:rsidR="00E94D8A" w:rsidRPr="00B426BC">
        <w:instrText xml:space="preserve"> REF _Ref321212236 \h </w:instrText>
      </w:r>
      <w:r w:rsidR="00B426BC">
        <w:instrText xml:space="preserve"> \* MERGEFORMAT </w:instrText>
      </w:r>
      <w:r w:rsidR="00E94D8A" w:rsidRPr="00B426BC">
        <w:fldChar w:fldCharType="separate"/>
      </w:r>
      <w:r w:rsidR="00B426BC" w:rsidRPr="00B426BC">
        <w:t xml:space="preserve">Figura </w:t>
      </w:r>
      <w:r w:rsidR="00B426BC" w:rsidRPr="00B426BC">
        <w:rPr>
          <w:noProof/>
        </w:rPr>
        <w:t>4</w:t>
      </w:r>
      <w:r w:rsidR="00B426BC" w:rsidRPr="00B426BC">
        <w:t>.</w:t>
      </w:r>
      <w:r w:rsidR="00B426BC" w:rsidRPr="00B426BC">
        <w:rPr>
          <w:noProof/>
        </w:rPr>
        <w:t>9</w:t>
      </w:r>
      <w:r w:rsidR="00E94D8A" w:rsidRPr="00B426BC">
        <w:fldChar w:fldCharType="end"/>
      </w:r>
      <w:r w:rsidR="00E94D8A" w:rsidRPr="00B426BC">
        <w:t xml:space="preserve"> </w:t>
      </w:r>
      <w:r w:rsidRPr="00B426BC">
        <w:t>comparan la arquitectura de una red PSTN y una red NGN y se pueden ver los dos conceptos que rigen una red NGN:</w:t>
      </w:r>
    </w:p>
    <w:p w14:paraId="7F66F977" w14:textId="42668043" w:rsidR="00B426BC" w:rsidRPr="00B426BC" w:rsidRDefault="00B426BC" w:rsidP="00B426BC">
      <w:pPr>
        <w:pStyle w:val="Listaconvietas"/>
      </w:pPr>
      <w:r w:rsidRPr="00B426BC">
        <w:rPr>
          <w:i/>
        </w:rPr>
        <w:t>La separación entre los planos de control y de usuario.</w:t>
      </w:r>
      <w:r w:rsidRPr="00B426BC">
        <w:t xml:space="preserve"> En efecto, tal y como se puede ver en la </w:t>
      </w:r>
      <w:r w:rsidRPr="00B426BC">
        <w:fldChar w:fldCharType="begin"/>
      </w:r>
      <w:r w:rsidRPr="00B426BC">
        <w:instrText xml:space="preserve"> REF _Ref321212230 \h </w:instrText>
      </w:r>
      <w:r>
        <w:instrText xml:space="preserve"> \* MERGEFORMAT </w:instrText>
      </w:r>
      <w:r w:rsidRPr="00B426BC">
        <w:fldChar w:fldCharType="separate"/>
      </w:r>
      <w:r w:rsidRPr="00B426BC">
        <w:t xml:space="preserve">Figura </w:t>
      </w:r>
      <w:r w:rsidRPr="00B426BC">
        <w:rPr>
          <w:noProof/>
        </w:rPr>
        <w:t>4</w:t>
      </w:r>
      <w:r w:rsidRPr="00B426BC">
        <w:t>.</w:t>
      </w:r>
      <w:r w:rsidRPr="00B426BC">
        <w:rPr>
          <w:noProof/>
        </w:rPr>
        <w:t>8</w:t>
      </w:r>
      <w:r w:rsidRPr="00B426BC">
        <w:fldChar w:fldCharType="end"/>
      </w:r>
      <w:r w:rsidRPr="00B426BC">
        <w:t>, en una red PSTN los conmutadores (</w:t>
      </w:r>
      <w:proofErr w:type="spellStart"/>
      <w:r w:rsidRPr="00B426BC">
        <w:t>switches</w:t>
      </w:r>
      <w:proofErr w:type="spellEnd"/>
      <w:r w:rsidRPr="00B426BC">
        <w:t xml:space="preserve">) realizan la conmutación de las llamadas de voz y gestionan la señalización; en una red NGN, los </w:t>
      </w:r>
      <w:proofErr w:type="spellStart"/>
      <w:r w:rsidRPr="00B426BC">
        <w:t>call</w:t>
      </w:r>
      <w:proofErr w:type="spellEnd"/>
      <w:r w:rsidRPr="00B426BC">
        <w:t xml:space="preserve"> servers son los que gestionan la señalización, y los </w:t>
      </w:r>
      <w:proofErr w:type="spellStart"/>
      <w:r w:rsidRPr="00B426BC">
        <w:t>routers</w:t>
      </w:r>
      <w:proofErr w:type="spellEnd"/>
      <w:r w:rsidRPr="00B426BC">
        <w:t xml:space="preserve"> (o media </w:t>
      </w:r>
      <w:proofErr w:type="spellStart"/>
      <w:r w:rsidRPr="00B426BC">
        <w:t>gateways</w:t>
      </w:r>
      <w:proofErr w:type="spellEnd"/>
      <w:r w:rsidRPr="00B426BC">
        <w:t xml:space="preserve"> especializadas) </w:t>
      </w:r>
      <w:proofErr w:type="spellStart"/>
      <w:r w:rsidRPr="00B426BC">
        <w:t>enrutan</w:t>
      </w:r>
      <w:proofErr w:type="spellEnd"/>
      <w:r w:rsidRPr="00B426BC">
        <w:t xml:space="preserve"> y gestionan el tráfico de paquetes de voz. Adicionalmente, y como se puede comprobar en la </w:t>
      </w:r>
      <w:r>
        <w:fldChar w:fldCharType="begin"/>
      </w:r>
      <w:r>
        <w:instrText xml:space="preserve"> REF _Ref321212236 \h </w:instrText>
      </w:r>
      <w:r>
        <w:fldChar w:fldCharType="separate"/>
      </w:r>
      <w:r>
        <w:t>Figura</w:t>
      </w:r>
      <w:r w:rsidRPr="00E94D8A">
        <w:t xml:space="preserve"> </w:t>
      </w:r>
      <w:r>
        <w:rPr>
          <w:noProof/>
        </w:rPr>
        <w:t>4</w:t>
      </w:r>
      <w:r w:rsidRPr="00E94D8A">
        <w:t>.</w:t>
      </w:r>
      <w:r>
        <w:rPr>
          <w:noProof/>
        </w:rPr>
        <w:t>9</w:t>
      </w:r>
      <w:r>
        <w:fldChar w:fldCharType="end"/>
      </w:r>
      <w:r w:rsidRPr="00B426BC">
        <w:t xml:space="preserve">, las capas separadas de las red de </w:t>
      </w:r>
      <w:proofErr w:type="spellStart"/>
      <w:r w:rsidRPr="00B426BC">
        <w:t>switches</w:t>
      </w:r>
      <w:proofErr w:type="spellEnd"/>
      <w:r w:rsidRPr="00B426BC">
        <w:t xml:space="preserve"> locales y de tránsito se reemplazan por </w:t>
      </w:r>
      <w:proofErr w:type="spellStart"/>
      <w:r w:rsidRPr="00B426BC">
        <w:t>call</w:t>
      </w:r>
      <w:proofErr w:type="spellEnd"/>
      <w:r w:rsidRPr="00B426BC">
        <w:t xml:space="preserve"> servers en una estructura de una sola capa. Típicamente, una red PSTN de 100 </w:t>
      </w:r>
      <w:proofErr w:type="spellStart"/>
      <w:r w:rsidRPr="00B426BC">
        <w:t>switches</w:t>
      </w:r>
      <w:proofErr w:type="spellEnd"/>
      <w:r w:rsidRPr="00B426BC">
        <w:t xml:space="preserve"> locales y 10 </w:t>
      </w:r>
      <w:proofErr w:type="spellStart"/>
      <w:r w:rsidRPr="00B426BC">
        <w:t>switches</w:t>
      </w:r>
      <w:proofErr w:type="spellEnd"/>
      <w:r w:rsidRPr="00B426BC">
        <w:t xml:space="preserve"> de tránsito podría ser remplaza por un menor número de </w:t>
      </w:r>
      <w:proofErr w:type="spellStart"/>
      <w:r w:rsidRPr="00B426BC">
        <w:t>call</w:t>
      </w:r>
      <w:proofErr w:type="spellEnd"/>
      <w:r w:rsidRPr="00B426BC">
        <w:t xml:space="preserve"> servers (menos de 5) en una red NGN.</w:t>
      </w:r>
    </w:p>
    <w:p w14:paraId="12BAFBB9" w14:textId="77777777" w:rsidR="006718FB" w:rsidRPr="00E94D8A" w:rsidRDefault="006718FB" w:rsidP="006718FB">
      <w:pPr>
        <w:pStyle w:val="I1"/>
        <w:tabs>
          <w:tab w:val="clear" w:pos="360"/>
        </w:tabs>
      </w:pPr>
      <w:r w:rsidRPr="00DF16D4">
        <w:rPr>
          <w:i/>
        </w:rPr>
        <w:t xml:space="preserve">La realización de la transmisión de paquetes de voz a través de una capa de </w:t>
      </w:r>
      <w:proofErr w:type="spellStart"/>
      <w:r w:rsidRPr="00DF16D4">
        <w:rPr>
          <w:i/>
        </w:rPr>
        <w:t>routers</w:t>
      </w:r>
      <w:proofErr w:type="spellEnd"/>
      <w:r w:rsidRPr="00DF16D4">
        <w:rPr>
          <w:i/>
        </w:rPr>
        <w:t xml:space="preserve"> común al resto de servicios transmitidos por la red NGN</w:t>
      </w:r>
      <w:r w:rsidRPr="00E94D8A">
        <w:t xml:space="preserve">. Estos </w:t>
      </w:r>
      <w:proofErr w:type="spellStart"/>
      <w:r w:rsidRPr="00E94D8A">
        <w:t>routers</w:t>
      </w:r>
      <w:proofErr w:type="spellEnd"/>
      <w:r w:rsidRPr="00E94D8A">
        <w:t xml:space="preserve"> gestionan la transmisión de los paquetes IP y pueden utilizar, en las capas de transporte y física, tecnologías como Ethernet y SDH (tanto tradicional como de próxima generación) sobre fibra (utilizando tecnologías WDM) dependiendo de la relación </w:t>
      </w:r>
      <w:r w:rsidR="00CE4B8A">
        <w:t>costo</w:t>
      </w:r>
      <w:r w:rsidRPr="00E94D8A">
        <w:t>/beneficio y de la escala de la red.</w:t>
      </w:r>
    </w:p>
    <w:p w14:paraId="2A57AA98" w14:textId="77777777" w:rsidR="006718FB" w:rsidRPr="00E94D8A" w:rsidRDefault="006718FB" w:rsidP="006718FB">
      <w:r w:rsidRPr="00E94D8A">
        <w:t>La aplicación de ambos principios implica importantes ahorros en inversiones y gastos operativos.</w:t>
      </w:r>
    </w:p>
    <w:p w14:paraId="00386084" w14:textId="77777777" w:rsidR="006718FB" w:rsidRPr="00E94D8A" w:rsidRDefault="00E94D8A" w:rsidP="00E94D8A">
      <w:pPr>
        <w:pStyle w:val="Descripcin"/>
        <w:spacing w:line="240" w:lineRule="atLeast"/>
        <w:rPr>
          <w:lang w:val="es-ES"/>
        </w:rPr>
      </w:pPr>
      <w:bookmarkStart w:id="57" w:name="_Ref321212236"/>
      <w:r>
        <w:rPr>
          <w:lang w:val="es-ES"/>
        </w:rPr>
        <w:lastRenderedPageBreak/>
        <w:t>Figura</w:t>
      </w:r>
      <w:r w:rsidR="006718FB" w:rsidRPr="00E94D8A">
        <w:rPr>
          <w:lang w:val="es-ES"/>
        </w:rPr>
        <w:t xml:space="preserve"> </w:t>
      </w:r>
      <w:r w:rsidR="006718FB" w:rsidRPr="00E94D8A">
        <w:rPr>
          <w:lang w:val="es-ES"/>
        </w:rPr>
        <w:fldChar w:fldCharType="begin"/>
      </w:r>
      <w:r w:rsidR="006718FB" w:rsidRPr="00E94D8A">
        <w:rPr>
          <w:lang w:val="es-ES"/>
        </w:rPr>
        <w:instrText xml:space="preserve"> STYLEREF 1 \s \* MERGEFORMAT </w:instrText>
      </w:r>
      <w:r w:rsidR="006718FB" w:rsidRPr="00E94D8A">
        <w:rPr>
          <w:lang w:val="es-ES"/>
        </w:rPr>
        <w:fldChar w:fldCharType="separate"/>
      </w:r>
      <w:r w:rsidR="00B426BC">
        <w:rPr>
          <w:noProof/>
          <w:lang w:val="es-ES"/>
        </w:rPr>
        <w:t>4</w:t>
      </w:r>
      <w:r w:rsidR="006718FB" w:rsidRPr="00E94D8A">
        <w:rPr>
          <w:lang w:val="es-ES"/>
        </w:rPr>
        <w:fldChar w:fldCharType="end"/>
      </w:r>
      <w:r w:rsidR="006718FB" w:rsidRPr="00E94D8A">
        <w:rPr>
          <w:lang w:val="es-ES"/>
        </w:rPr>
        <w:t>.</w:t>
      </w:r>
      <w:r w:rsidR="006718FB" w:rsidRPr="00E94D8A">
        <w:rPr>
          <w:lang w:val="es-ES"/>
        </w:rPr>
        <w:fldChar w:fldCharType="begin"/>
      </w:r>
      <w:r w:rsidR="006718FB" w:rsidRPr="00E94D8A">
        <w:rPr>
          <w:lang w:val="es-ES"/>
        </w:rPr>
        <w:instrText xml:space="preserve"> </w:instrText>
      </w:r>
      <w:r w:rsidR="00A37365" w:rsidRPr="00E94D8A">
        <w:rPr>
          <w:lang w:val="es-ES"/>
        </w:rPr>
        <w:instrText>SEQ Ilustración</w:instrText>
      </w:r>
      <w:r w:rsidR="006718FB" w:rsidRPr="00E94D8A">
        <w:rPr>
          <w:lang w:val="es-ES"/>
        </w:rPr>
        <w:instrText xml:space="preserve"> \* ARABIC \s 1 \* MERGEFORMAT </w:instrText>
      </w:r>
      <w:r w:rsidR="006718FB" w:rsidRPr="00E94D8A">
        <w:rPr>
          <w:lang w:val="es-ES"/>
        </w:rPr>
        <w:fldChar w:fldCharType="separate"/>
      </w:r>
      <w:r w:rsidR="00B426BC">
        <w:rPr>
          <w:noProof/>
          <w:lang w:val="es-ES"/>
        </w:rPr>
        <w:t>9</w:t>
      </w:r>
      <w:r w:rsidR="006718FB" w:rsidRPr="00E94D8A">
        <w:rPr>
          <w:lang w:val="es-ES"/>
        </w:rPr>
        <w:fldChar w:fldCharType="end"/>
      </w:r>
      <w:bookmarkEnd w:id="57"/>
      <w:r w:rsidR="006718FB" w:rsidRPr="00E94D8A">
        <w:rPr>
          <w:lang w:val="es-ES"/>
        </w:rPr>
        <w:t>: Comparación de la red PSTN tradicional y los servicios de voz sobre una NGN [</w:t>
      </w:r>
      <w:r w:rsidR="001657CE">
        <w:rPr>
          <w:lang w:val="es-ES"/>
        </w:rPr>
        <w:t xml:space="preserve">Fuente: </w:t>
      </w:r>
      <w:proofErr w:type="spellStart"/>
      <w:r w:rsidR="001657CE">
        <w:rPr>
          <w:lang w:val="es-ES"/>
        </w:rPr>
        <w:t>Analysys</w:t>
      </w:r>
      <w:proofErr w:type="spellEnd"/>
      <w:r w:rsidR="001657CE">
        <w:rPr>
          <w:lang w:val="es-ES"/>
        </w:rPr>
        <w:t xml:space="preserve"> Mason, 2016</w:t>
      </w:r>
      <w:r w:rsidR="006718FB" w:rsidRPr="00E94D8A">
        <w:rPr>
          <w:lang w:val="es-ES"/>
        </w:rPr>
        <w:t>]</w:t>
      </w:r>
    </w:p>
    <w:p w14:paraId="0DDB4C86" w14:textId="77777777" w:rsidR="006718FB" w:rsidRPr="00E94D8A" w:rsidRDefault="006718FB" w:rsidP="006718FB">
      <w:pPr>
        <w:pStyle w:val="Border"/>
        <w:rPr>
          <w:lang w:val="es-ES"/>
        </w:rPr>
      </w:pPr>
      <w:r w:rsidRPr="00E94D8A">
        <w:rPr>
          <w:noProof/>
          <w:lang w:val="es-MX" w:eastAsia="es-MX"/>
        </w:rPr>
        <w:drawing>
          <wp:inline distT="0" distB="0" distL="0" distR="0" wp14:anchorId="5A447C8C" wp14:editId="75B7C419">
            <wp:extent cx="5543550" cy="2825762"/>
            <wp:effectExtent l="0" t="0" r="0" b="0"/>
            <wp:docPr id="33" name="Picture 33" descr="Comparación de la red PSTN tradicional y los servicios de voz sobre una NGN, Fuente: Analysys Mason, 2016" title="Figura cuatro punto nu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43550" cy="2825762"/>
                    </a:xfrm>
                    <a:prstGeom prst="rect">
                      <a:avLst/>
                    </a:prstGeom>
                    <a:noFill/>
                    <a:ln>
                      <a:noFill/>
                    </a:ln>
                  </pic:spPr>
                </pic:pic>
              </a:graphicData>
            </a:graphic>
          </wp:inline>
        </w:drawing>
      </w:r>
    </w:p>
    <w:p w14:paraId="3113565F" w14:textId="77777777" w:rsidR="006718FB" w:rsidRPr="00E94D8A" w:rsidRDefault="006718FB" w:rsidP="006718FB">
      <w:r w:rsidRPr="00E94D8A">
        <w:t>La interconexión con las redes de otros operadores en una red NGN se implementa a través de pasarelas frontera (</w:t>
      </w:r>
      <w:proofErr w:type="spellStart"/>
      <w:r w:rsidRPr="00DF16D4">
        <w:rPr>
          <w:i/>
        </w:rPr>
        <w:t>border</w:t>
      </w:r>
      <w:proofErr w:type="spellEnd"/>
      <w:r w:rsidRPr="00DF16D4">
        <w:rPr>
          <w:i/>
        </w:rPr>
        <w:t xml:space="preserve"> </w:t>
      </w:r>
      <w:proofErr w:type="spellStart"/>
      <w:r w:rsidRPr="00DF16D4">
        <w:rPr>
          <w:i/>
        </w:rPr>
        <w:t>gateways</w:t>
      </w:r>
      <w:proofErr w:type="spellEnd"/>
      <w:r w:rsidRPr="00E94D8A">
        <w:t xml:space="preserve"> en inglés) que controlan el acceso a la red. Si la red se interconecta con una red tradicional de circuitos conmutados, se necesitan media </w:t>
      </w:r>
      <w:proofErr w:type="spellStart"/>
      <w:r w:rsidRPr="00E94D8A">
        <w:t>gateways</w:t>
      </w:r>
      <w:proofErr w:type="spellEnd"/>
      <w:r w:rsidRPr="00E94D8A">
        <w:t xml:space="preserve"> o </w:t>
      </w:r>
      <w:proofErr w:type="spellStart"/>
      <w:r w:rsidRPr="00E94D8A">
        <w:t>trunking</w:t>
      </w:r>
      <w:proofErr w:type="spellEnd"/>
      <w:r w:rsidRPr="00E94D8A">
        <w:t xml:space="preserve"> </w:t>
      </w:r>
      <w:proofErr w:type="spellStart"/>
      <w:r w:rsidRPr="00E94D8A">
        <w:t>gateways</w:t>
      </w:r>
      <w:proofErr w:type="spellEnd"/>
      <w:r w:rsidRPr="00E94D8A">
        <w:t xml:space="preserve"> que conviertan los paquetes de voz en señales TDM. </w:t>
      </w:r>
    </w:p>
    <w:p w14:paraId="4DE54A5E" w14:textId="77777777" w:rsidR="006718FB" w:rsidRPr="007D421D" w:rsidRDefault="006718FB" w:rsidP="006718FB">
      <w:pPr>
        <w:pStyle w:val="Ttulo4"/>
        <w:rPr>
          <w:b/>
          <w:snapToGrid w:val="0"/>
        </w:rPr>
      </w:pPr>
      <w:r w:rsidRPr="007D421D">
        <w:rPr>
          <w:b/>
          <w:snapToGrid w:val="0"/>
        </w:rPr>
        <w:t>Situación en México</w:t>
      </w:r>
    </w:p>
    <w:p w14:paraId="7062CB9E" w14:textId="778C4592" w:rsidR="006718FB" w:rsidRPr="00E94D8A" w:rsidRDefault="006718FB" w:rsidP="006718FB">
      <w:pPr>
        <w:rPr>
          <w:spacing w:val="-4"/>
        </w:rPr>
      </w:pPr>
      <w:r w:rsidRPr="00E94D8A">
        <w:rPr>
          <w:spacing w:val="-4"/>
        </w:rPr>
        <w:t>La propia Telmex ya en 2003</w:t>
      </w:r>
      <w:r w:rsidRPr="00E94D8A">
        <w:rPr>
          <w:rStyle w:val="Refdenotaalpie"/>
          <w:spacing w:val="-4"/>
        </w:rPr>
        <w:footnoteReference w:id="21"/>
      </w:r>
      <w:r w:rsidRPr="00E94D8A">
        <w:rPr>
          <w:spacing w:val="-4"/>
        </w:rPr>
        <w:t xml:space="preserve"> comenzó el despliegue de una red NGN, lo cual se ha visto confirmado en los informes anuales de Telmex remit</w:t>
      </w:r>
      <w:r w:rsidR="00841D78">
        <w:rPr>
          <w:spacing w:val="-4"/>
        </w:rPr>
        <w:t>i</w:t>
      </w:r>
      <w:r w:rsidRPr="00E94D8A">
        <w:rPr>
          <w:spacing w:val="-4"/>
        </w:rPr>
        <w:t>dos a la Bolsa Mexicana de Valores. Entendemos, por información facilitada por Telmex a</w:t>
      </w:r>
      <w:r w:rsidR="00150BE8">
        <w:rPr>
          <w:spacing w:val="-4"/>
        </w:rPr>
        <w:t>l IFT</w:t>
      </w:r>
      <w:r w:rsidRPr="00E94D8A">
        <w:rPr>
          <w:spacing w:val="-4"/>
        </w:rPr>
        <w:t>, que una gran parte de su red troncal estaría ya basada en una red NGN</w:t>
      </w:r>
      <w:r w:rsidR="00D06789">
        <w:rPr>
          <w:spacing w:val="-4"/>
        </w:rPr>
        <w:t xml:space="preserve"> completamente</w:t>
      </w:r>
      <w:r w:rsidRPr="00E94D8A">
        <w:rPr>
          <w:spacing w:val="-4"/>
        </w:rPr>
        <w:t xml:space="preserve"> IP. Telmex estaría compartiendo la tendencia internacional de operadores comparables como BT (Reino Unido), Telefónica (España), KPN (Holanda), </w:t>
      </w:r>
      <w:proofErr w:type="spellStart"/>
      <w:r w:rsidRPr="00E94D8A">
        <w:rPr>
          <w:spacing w:val="-4"/>
        </w:rPr>
        <w:t>Belgacom</w:t>
      </w:r>
      <w:proofErr w:type="spellEnd"/>
      <w:r w:rsidRPr="00E94D8A">
        <w:rPr>
          <w:spacing w:val="-4"/>
        </w:rPr>
        <w:t xml:space="preserve"> (Bélgica), etc., quienes ya disponen en sus redes troncales de manera sustancial de una arquitectura NGN </w:t>
      </w:r>
      <w:r w:rsidR="001C4483">
        <w:rPr>
          <w:spacing w:val="-4"/>
        </w:rPr>
        <w:t xml:space="preserve">completamente </w:t>
      </w:r>
      <w:r w:rsidRPr="00E94D8A">
        <w:rPr>
          <w:spacing w:val="-4"/>
        </w:rPr>
        <w:t>IP. Es cierto que la mayor parte de estos operadores todavía mantienen en paralelo una red de transmisión histórica (</w:t>
      </w:r>
      <w:proofErr w:type="spellStart"/>
      <w:r w:rsidRPr="00E94D8A">
        <w:rPr>
          <w:i/>
          <w:spacing w:val="-4"/>
        </w:rPr>
        <w:t>legacy</w:t>
      </w:r>
      <w:proofErr w:type="spellEnd"/>
      <w:r w:rsidRPr="00E94D8A">
        <w:rPr>
          <w:spacing w:val="-4"/>
        </w:rPr>
        <w:t>, en inglés) para la provisión de servicios existentes como enlaces dedicados, etc., y es posible que aún tarden unos años en apagar completamente la red histórica. Sin embargo, los operadores alternativos a los</w:t>
      </w:r>
      <w:r w:rsidR="001C4483">
        <w:rPr>
          <w:spacing w:val="-4"/>
        </w:rPr>
        <w:t xml:space="preserve"> históricos</w:t>
      </w:r>
      <w:r w:rsidRPr="00E94D8A">
        <w:rPr>
          <w:spacing w:val="-4"/>
        </w:rPr>
        <w:t xml:space="preserve"> que han iniciado los despliegues más recientemente han optado por desplegar una red NGN basada </w:t>
      </w:r>
      <w:r w:rsidR="001C4483">
        <w:rPr>
          <w:spacing w:val="-4"/>
        </w:rPr>
        <w:t>completamente en</w:t>
      </w:r>
      <w:r w:rsidRPr="00E94D8A">
        <w:rPr>
          <w:spacing w:val="-4"/>
        </w:rPr>
        <w:t xml:space="preserve"> IP.</w:t>
      </w:r>
    </w:p>
    <w:p w14:paraId="192A5394" w14:textId="353558BD" w:rsidR="006718FB" w:rsidRPr="00E94D8A" w:rsidRDefault="006718FB" w:rsidP="006718FB">
      <w:r w:rsidRPr="00E94D8A">
        <w:t xml:space="preserve">En cualquier caso, un operador que comenzara operaciones en los últimos cuatro o cinco años o entrara en el mercado en el momento presente (y que por la utilización de la tecnología moderna establecería el nivel de precios eficiente en un mercado </w:t>
      </w:r>
      <w:r w:rsidR="001C4483">
        <w:t>dispu</w:t>
      </w:r>
      <w:r w:rsidR="001C4483" w:rsidRPr="00E94D8A">
        <w:t>table</w:t>
      </w:r>
      <w:r w:rsidRPr="00E94D8A">
        <w:t>), no desplegaría una red telefónica conmutada en la red troncal sino una red multise</w:t>
      </w:r>
      <w:r w:rsidR="00F10762">
        <w:t>r</w:t>
      </w:r>
      <w:r w:rsidRPr="00E94D8A">
        <w:t xml:space="preserve">vicio NGN basada </w:t>
      </w:r>
      <w:r w:rsidR="001C4483">
        <w:t>completamente en</w:t>
      </w:r>
      <w:r w:rsidRPr="00E94D8A">
        <w:rPr>
          <w:spacing w:val="-4"/>
        </w:rPr>
        <w:t xml:space="preserve"> IP</w:t>
      </w:r>
      <w:r w:rsidRPr="00E94D8A">
        <w:t xml:space="preserve">. El modelado de una red NGN estaría en línea con las prácticas internacionales como la establecida por </w:t>
      </w:r>
      <w:r w:rsidRPr="00E94D8A">
        <w:lastRenderedPageBreak/>
        <w:t xml:space="preserve">la Comisión Europea en su recomendación sobre el cálculo de los </w:t>
      </w:r>
      <w:r w:rsidR="00CE4B8A">
        <w:t>costo</w:t>
      </w:r>
      <w:r w:rsidRPr="00E94D8A">
        <w:t>s de terminación y su aplicación en diversos modelos realizados para reguladores de la Unión Europea. La parte troncal de la red estaría por lo tanto basada en NGN, siendo el despliegue basado en una arquitectura IP BAP como opción más apropiada.</w:t>
      </w:r>
    </w:p>
    <w:p w14:paraId="07D50CE4" w14:textId="77777777" w:rsidR="00031F4A" w:rsidRPr="00FA3424" w:rsidDel="001E0ED1" w:rsidRDefault="0043475A" w:rsidP="00CF514D">
      <w:pPr>
        <w:pStyle w:val="B1"/>
        <w:pBdr>
          <w:top w:val="single" w:sz="4" w:space="2" w:color="D9D9D9" w:themeColor="background1" w:themeShade="D9"/>
          <w:bottom w:val="single" w:sz="4" w:space="5" w:color="D9D9D9" w:themeColor="background1" w:themeShade="D9"/>
        </w:pBdr>
        <w:shd w:val="clear" w:color="auto" w:fill="F2F2F2" w:themeFill="background1" w:themeFillShade="F2"/>
        <w:rPr>
          <w:highlight w:val="yellow"/>
        </w:rPr>
      </w:pPr>
      <w:r>
        <w:rPr>
          <w:b/>
          <w:bCs/>
        </w:rPr>
        <w:t>Concepto propuesto</w:t>
      </w:r>
      <w:r w:rsidR="003161B5" w:rsidRPr="00E94D8A">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11</w:t>
      </w:r>
      <w:r w:rsidR="00CB05BF" w:rsidRPr="00E94D8A">
        <w:rPr>
          <w:b/>
          <w:color w:val="000000" w:themeColor="text1"/>
        </w:rPr>
        <w:fldChar w:fldCharType="end"/>
      </w:r>
      <w:r w:rsidR="003161B5" w:rsidRPr="00E94D8A">
        <w:t xml:space="preserve">: </w:t>
      </w:r>
      <w:r w:rsidR="003161B5">
        <w:t>E</w:t>
      </w:r>
      <w:r w:rsidR="003161B5" w:rsidRPr="00E94D8A">
        <w:t>n el modelo</w:t>
      </w:r>
      <w:r w:rsidR="003161B5">
        <w:t xml:space="preserve"> l</w:t>
      </w:r>
      <w:r w:rsidR="003161B5" w:rsidRPr="00E94D8A">
        <w:t xml:space="preserve">a red troncal </w:t>
      </w:r>
      <w:r w:rsidR="003161B5">
        <w:t>de</w:t>
      </w:r>
      <w:r w:rsidR="00CF514D">
        <w:t>l operador hipotético se basa</w:t>
      </w:r>
      <w:r w:rsidR="00D62F54">
        <w:t>rá</w:t>
      </w:r>
      <w:r w:rsidR="00CF514D">
        <w:t xml:space="preserve"> en una arquitectura NGN-</w:t>
      </w:r>
      <w:r w:rsidR="003161B5" w:rsidRPr="00E94D8A">
        <w:t>IP BAP. Los servicios de voz están habilitados por aplicaciones que utiliza</w:t>
      </w:r>
      <w:r w:rsidR="00D62F54">
        <w:t>rá</w:t>
      </w:r>
      <w:r w:rsidR="003161B5" w:rsidRPr="00E94D8A">
        <w:t xml:space="preserve">n subsistemas multimedia IP (IMS). Los </w:t>
      </w:r>
      <w:proofErr w:type="spellStart"/>
      <w:r w:rsidR="003161B5" w:rsidRPr="00E94D8A">
        <w:rPr>
          <w:i/>
        </w:rPr>
        <w:t>trunk</w:t>
      </w:r>
      <w:proofErr w:type="spellEnd"/>
      <w:r w:rsidR="003161B5" w:rsidRPr="00E94D8A">
        <w:rPr>
          <w:i/>
        </w:rPr>
        <w:t xml:space="preserve"> media </w:t>
      </w:r>
      <w:proofErr w:type="spellStart"/>
      <w:r w:rsidR="003161B5" w:rsidRPr="00E94D8A">
        <w:rPr>
          <w:i/>
        </w:rPr>
        <w:t>gateways</w:t>
      </w:r>
      <w:proofErr w:type="spellEnd"/>
      <w:r w:rsidR="003161B5" w:rsidRPr="00E94D8A">
        <w:t xml:space="preserve"> (</w:t>
      </w:r>
      <w:proofErr w:type="spellStart"/>
      <w:r w:rsidR="003161B5" w:rsidRPr="00E94D8A">
        <w:t>TGWs</w:t>
      </w:r>
      <w:proofErr w:type="spellEnd"/>
      <w:r w:rsidR="003161B5" w:rsidRPr="00E94D8A">
        <w:t>) puede</w:t>
      </w:r>
      <w:r w:rsidR="003161B5">
        <w:t>n</w:t>
      </w:r>
      <w:r w:rsidR="003161B5" w:rsidRPr="00E94D8A">
        <w:t xml:space="preserve"> </w:t>
      </w:r>
      <w:r w:rsidR="00CF514D">
        <w:t>desplegarse</w:t>
      </w:r>
      <w:r w:rsidR="003161B5" w:rsidRPr="00E94D8A">
        <w:t xml:space="preserve"> en conmutadores locales legados y en puntos de interconexión TDM, </w:t>
      </w:r>
      <w:r w:rsidR="00CF514D">
        <w:t>de ser necesario.</w:t>
      </w:r>
    </w:p>
    <w:p w14:paraId="135C3C2E" w14:textId="77777777" w:rsidR="006718FB" w:rsidRPr="007D421D" w:rsidRDefault="006718FB" w:rsidP="006718FB">
      <w:pPr>
        <w:pStyle w:val="Ttulo4"/>
        <w:spacing w:after="120"/>
        <w:rPr>
          <w:b/>
        </w:rPr>
      </w:pPr>
      <w:r w:rsidRPr="007D421D">
        <w:rPr>
          <w:b/>
        </w:rPr>
        <w:t>Red de transmisión</w:t>
      </w:r>
    </w:p>
    <w:p w14:paraId="547D70C6" w14:textId="77777777" w:rsidR="006718FB" w:rsidRPr="00E94D8A" w:rsidRDefault="006718FB" w:rsidP="006718FB">
      <w:pPr>
        <w:spacing w:after="120"/>
      </w:pPr>
      <w:r w:rsidRPr="00E94D8A">
        <w:t>La transmisión en una red fija puede realiza</w:t>
      </w:r>
      <w:r w:rsidR="00D80FA8">
        <w:t>r</w:t>
      </w:r>
      <w:r w:rsidRPr="00E94D8A">
        <w:t>se a través de una serie de métodos alternativos:</w:t>
      </w:r>
    </w:p>
    <w:p w14:paraId="6B5C4161" w14:textId="77777777" w:rsidR="006718FB" w:rsidRPr="00E94D8A" w:rsidRDefault="006718FB" w:rsidP="006718FB">
      <w:pPr>
        <w:pStyle w:val="ListBulletCompact"/>
      </w:pPr>
      <w:r w:rsidRPr="00E94D8A">
        <w:t>ATM sobre SDH</w:t>
      </w:r>
      <w:r w:rsidR="008B398E">
        <w:t xml:space="preserve"> o SDH de próxima generación</w:t>
      </w:r>
    </w:p>
    <w:p w14:paraId="4D452431" w14:textId="66577598" w:rsidR="006718FB" w:rsidRPr="00E94D8A" w:rsidRDefault="006718FB" w:rsidP="006718FB">
      <w:pPr>
        <w:pStyle w:val="ListBulletCompact"/>
      </w:pPr>
      <w:r w:rsidRPr="00E94D8A">
        <w:t>microondas STM punto</w:t>
      </w:r>
      <w:r w:rsidR="001C4483">
        <w:t xml:space="preserve"> </w:t>
      </w:r>
      <w:r w:rsidRPr="00E94D8A">
        <w:t>a</w:t>
      </w:r>
      <w:r w:rsidR="001C4483">
        <w:t xml:space="preserve"> </w:t>
      </w:r>
      <w:r w:rsidRPr="00E94D8A">
        <w:t xml:space="preserve">punto </w:t>
      </w:r>
    </w:p>
    <w:p w14:paraId="708A52AD" w14:textId="77777777" w:rsidR="006718FB" w:rsidRPr="00E94D8A" w:rsidRDefault="006718FB" w:rsidP="006718FB">
      <w:pPr>
        <w:pStyle w:val="ListBulletCompact"/>
      </w:pPr>
      <w:r w:rsidRPr="00E94D8A">
        <w:t>IP/MPLS sobre SDH</w:t>
      </w:r>
      <w:r w:rsidR="008B398E">
        <w:t xml:space="preserve"> o SDH de próxima generación</w:t>
      </w:r>
    </w:p>
    <w:p w14:paraId="05929FC0" w14:textId="77777777" w:rsidR="006718FB" w:rsidRPr="003B2D67" w:rsidRDefault="006718FB" w:rsidP="006718FB">
      <w:pPr>
        <w:pStyle w:val="Listaconvietas"/>
        <w:ind w:left="360" w:hanging="360"/>
        <w:rPr>
          <w:lang w:val="fr-FR"/>
        </w:rPr>
      </w:pPr>
      <w:r w:rsidRPr="003B2D67">
        <w:rPr>
          <w:lang w:val="fr-FR"/>
        </w:rPr>
        <w:t xml:space="preserve">IP/MPLS sobre Ethernet </w:t>
      </w:r>
      <w:proofErr w:type="spellStart"/>
      <w:r w:rsidRPr="003B2D67">
        <w:rPr>
          <w:lang w:val="fr-FR"/>
        </w:rPr>
        <w:t>nativo</w:t>
      </w:r>
      <w:proofErr w:type="spellEnd"/>
      <w:r w:rsidRPr="003B2D67">
        <w:rPr>
          <w:lang w:val="fr-FR"/>
        </w:rPr>
        <w:t>.</w:t>
      </w:r>
    </w:p>
    <w:p w14:paraId="6507479D" w14:textId="64344731" w:rsidR="006718FB" w:rsidRPr="00E94D8A" w:rsidRDefault="006718FB" w:rsidP="006718FB">
      <w:r w:rsidRPr="00E94D8A">
        <w:t>La tecnología moderna eficiente a la que todos los operadores están migrando es IP/MPLS sobre Ethernet nativo</w:t>
      </w:r>
      <w:r w:rsidR="005C29D6">
        <w:t xml:space="preserve">, siendo </w:t>
      </w:r>
      <w:r w:rsidRPr="00E94D8A">
        <w:t xml:space="preserve">considerado como mejor práctica internacional y una de las tecnologías principales desplegadas por los operadores internacionales con red troncal NGN-IP. Sin embargo, podría estar justificada la utilización del llamado SDH de próxima </w:t>
      </w:r>
      <w:r w:rsidRPr="00B426BC">
        <w:t xml:space="preserve">generación </w:t>
      </w:r>
      <w:r w:rsidRPr="00E94D8A">
        <w:t xml:space="preserve">en ciertas partes de la red (como la capa de agregación) debido, entre otras razones, a los volúmenes de tráfico que se manejen. </w:t>
      </w:r>
    </w:p>
    <w:p w14:paraId="63533B15" w14:textId="77777777" w:rsidR="00B55CDD" w:rsidRPr="00A43A7E" w:rsidRDefault="0043475A" w:rsidP="00B55CDD">
      <w:pPr>
        <w:pStyle w:val="B1"/>
        <w:pBdr>
          <w:top w:val="single" w:sz="4" w:space="2" w:color="D9D9D9" w:themeColor="background1" w:themeShade="D9"/>
          <w:bottom w:val="single" w:sz="4" w:space="5" w:color="D9D9D9" w:themeColor="background1" w:themeShade="D9"/>
        </w:pBdr>
        <w:shd w:val="clear" w:color="auto" w:fill="F2F2F2" w:themeFill="background1" w:themeFillShade="F2"/>
      </w:pPr>
      <w:bookmarkStart w:id="58" w:name="_Ref321211971"/>
      <w:r>
        <w:rPr>
          <w:b/>
          <w:bCs/>
        </w:rPr>
        <w:t>Concepto propuesto</w:t>
      </w:r>
      <w:r w:rsidR="00B55CDD" w:rsidRPr="00E94D8A">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12</w:t>
      </w:r>
      <w:r w:rsidR="00CB05BF" w:rsidRPr="00E94D8A">
        <w:rPr>
          <w:b/>
          <w:color w:val="000000" w:themeColor="text1"/>
        </w:rPr>
        <w:fldChar w:fldCharType="end"/>
      </w:r>
      <w:r w:rsidR="00A43A7E">
        <w:t xml:space="preserve">: Se </w:t>
      </w:r>
      <w:r w:rsidR="00D62F54">
        <w:t>modelará</w:t>
      </w:r>
      <w:r w:rsidR="00B55CDD" w:rsidRPr="00E94D8A">
        <w:t xml:space="preserve"> un operador hipotético con una red de transmisión IP/MPLS sobre Ethernet nativo, o SDH de próxima generación sobre </w:t>
      </w:r>
      <w:r w:rsidR="00B55CDD" w:rsidRPr="00A43A7E">
        <w:t>DWDM</w:t>
      </w:r>
      <w:r w:rsidR="00150DF0" w:rsidRPr="00A43A7E">
        <w:t>,</w:t>
      </w:r>
      <w:r w:rsidR="00B55CDD" w:rsidRPr="00A43A7E">
        <w:t xml:space="preserve"> </w:t>
      </w:r>
      <w:r w:rsidR="00150DF0" w:rsidRPr="00A43A7E">
        <w:t>dependiendo de los costos en función del volumen de tráfico trasportado en la red del operador hipotético</w:t>
      </w:r>
      <w:r w:rsidR="00B55CDD" w:rsidRPr="00A43A7E">
        <w:t>.</w:t>
      </w:r>
    </w:p>
    <w:p w14:paraId="0B0E87CC" w14:textId="77777777" w:rsidR="006718FB" w:rsidRPr="00E94D8A" w:rsidRDefault="006718FB" w:rsidP="006718FB">
      <w:pPr>
        <w:pStyle w:val="Ttulo2"/>
      </w:pPr>
      <w:bookmarkStart w:id="59" w:name="_Toc454893681"/>
      <w:r w:rsidRPr="00E94D8A">
        <w:t>Demarcación de las capas de red</w:t>
      </w:r>
      <w:bookmarkEnd w:id="58"/>
      <w:bookmarkEnd w:id="59"/>
    </w:p>
    <w:p w14:paraId="477C578E" w14:textId="77777777" w:rsidR="006718FB" w:rsidRPr="00E94D8A" w:rsidRDefault="006718FB" w:rsidP="006718FB">
      <w:r w:rsidRPr="00E94D8A">
        <w:t xml:space="preserve">En Europa, la Recomendación de la Comisión sobre el tratamiento regulatorio de las tarifas de terminación fija y móvil en la Unión Europea establece lo siguiente: “El punto de demarcación por defecto entre los </w:t>
      </w:r>
      <w:r w:rsidR="00CE4B8A">
        <w:t>costo</w:t>
      </w:r>
      <w:r w:rsidRPr="00E94D8A">
        <w:t>s relacionados con el tráfico y los no relacionados con el tráfico es normalmente el punto en el que se produce la primera concentración de tráfico.”</w:t>
      </w:r>
    </w:p>
    <w:p w14:paraId="0837B024" w14:textId="77777777" w:rsidR="006718FB" w:rsidRPr="00E94D8A" w:rsidRDefault="006718FB" w:rsidP="006718FB">
      <w:r w:rsidRPr="00E94D8A">
        <w:t>En los modelos de costos fijos, se recuperan históricamente los costos relacionados con la red de acceso a través de las cuotas de suscripción. En el caso del presente modelo, no se tendrán en cuenta los costos asociados con la red de acceso, por lo que es imprescindible definir de forma consistente y con exactitud el punto de separación entre la red de acceso y el resto de la infraestructura tanto para las redes fijas como móviles.</w:t>
      </w:r>
    </w:p>
    <w:p w14:paraId="5B6D087A" w14:textId="77777777" w:rsidR="006718FB" w:rsidRPr="00E94D8A" w:rsidRDefault="006718FB" w:rsidP="006718FB">
      <w:r w:rsidRPr="00E94D8A">
        <w:lastRenderedPageBreak/>
        <w:t xml:space="preserve">Las redes fijas y móviles utilizan una estructura en árbol de forma lógica, ya que no sería factible tener rutas dedicadas para todas las combinaciones posibles entre usuarios finales. Como resultado, el tráfico se concentra a medida que </w:t>
      </w:r>
      <w:r w:rsidR="00FC743D">
        <w:t>atraviesa</w:t>
      </w:r>
      <w:r w:rsidR="00FC743D" w:rsidRPr="00E94D8A">
        <w:t xml:space="preserve"> </w:t>
      </w:r>
      <w:r w:rsidRPr="00E94D8A">
        <w:t xml:space="preserve">la red. Los activos relacionados con la prestación de </w:t>
      </w:r>
      <w:r w:rsidRPr="00E94D8A">
        <w:rPr>
          <w:i/>
        </w:rPr>
        <w:t>acceso</w:t>
      </w:r>
      <w:r w:rsidRPr="00E94D8A">
        <w:t xml:space="preserve"> al usuario final son los que se dedican a la conexión del usuario final a la red de telecomunicaciones, lo que le permite utilizar los servicios disponibles. </w:t>
      </w:r>
    </w:p>
    <w:p w14:paraId="00EB2164" w14:textId="77777777" w:rsidR="005148B9" w:rsidRDefault="006718FB" w:rsidP="005148B9">
      <w:r w:rsidRPr="00E94D8A">
        <w:t xml:space="preserve">Esta capa transmite el tráfico y no tiene la capacidad de </w:t>
      </w:r>
      <w:r w:rsidRPr="00E94D8A">
        <w:rPr>
          <w:i/>
        </w:rPr>
        <w:t>concentrarlo en función de la carga de tráfico</w:t>
      </w:r>
      <w:r w:rsidRPr="00E94D8A">
        <w:t>. La capa de red de acceso termina en el primer activo que tiene esta capacidad específica. Los activos utilizados para la prestación de acceso sólo se utilizan con el fin de conectar los usuarios finales a la red y por lo tanto su número es proporcional al número de usuarios que utilizan la red. El resto de activos varía según el volumen de tráfico cursado en la red.</w:t>
      </w:r>
    </w:p>
    <w:p w14:paraId="576CB079" w14:textId="77777777" w:rsidR="005148B9" w:rsidRPr="00E94D8A" w:rsidRDefault="0043475A" w:rsidP="005148B9">
      <w:pPr>
        <w:pStyle w:val="B1"/>
        <w:pBdr>
          <w:top w:val="single" w:sz="4" w:space="2" w:color="D9D9D9" w:themeColor="background1" w:themeShade="D9"/>
          <w:bottom w:val="single" w:sz="4" w:space="5" w:color="D9D9D9" w:themeColor="background1" w:themeShade="D9"/>
        </w:pBdr>
        <w:shd w:val="clear" w:color="auto" w:fill="F2F2F2" w:themeFill="background1" w:themeFillShade="F2"/>
      </w:pPr>
      <w:r>
        <w:rPr>
          <w:b/>
          <w:bCs/>
        </w:rPr>
        <w:t>Concepto propuesto</w:t>
      </w:r>
      <w:r w:rsidR="005148B9" w:rsidRPr="00E94D8A">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13</w:t>
      </w:r>
      <w:r w:rsidR="00CB05BF" w:rsidRPr="00E94D8A">
        <w:rPr>
          <w:b/>
          <w:color w:val="000000" w:themeColor="text1"/>
        </w:rPr>
        <w:fldChar w:fldCharType="end"/>
      </w:r>
      <w:r w:rsidR="005148B9" w:rsidRPr="00E94D8A">
        <w:t xml:space="preserve">: </w:t>
      </w:r>
      <w:r w:rsidR="005148B9" w:rsidRPr="00E94D8A">
        <w:rPr>
          <w:color w:val="000000"/>
        </w:rPr>
        <w:t xml:space="preserve">El punto de demarcación entre la red de acceso y las otras capas de la red </w:t>
      </w:r>
      <w:r w:rsidR="00B56A98">
        <w:rPr>
          <w:color w:val="000000"/>
        </w:rPr>
        <w:t xml:space="preserve">del operador hipotético </w:t>
      </w:r>
      <w:r w:rsidR="005148B9" w:rsidRPr="00E94D8A">
        <w:rPr>
          <w:color w:val="000000"/>
        </w:rPr>
        <w:t>es el primer punto donde ocurre una concentración de tráfico</w:t>
      </w:r>
      <w:r w:rsidR="00B56A98">
        <w:rPr>
          <w:color w:val="000000"/>
        </w:rPr>
        <w:t>,</w:t>
      </w:r>
      <w:r w:rsidR="005148B9" w:rsidRPr="00E94D8A">
        <w:rPr>
          <w:color w:val="000000"/>
        </w:rPr>
        <w:t xml:space="preserve"> de manera que los recursos se asignan en función de la carga de tráfico cursado</w:t>
      </w:r>
      <w:r w:rsidR="00B56A98">
        <w:rPr>
          <w:color w:val="000000"/>
        </w:rPr>
        <w:t xml:space="preserve"> en la red</w:t>
      </w:r>
      <w:r w:rsidR="005148B9" w:rsidRPr="00E94D8A">
        <w:rPr>
          <w:color w:val="000000"/>
        </w:rPr>
        <w:t>.</w:t>
      </w:r>
    </w:p>
    <w:p w14:paraId="7FBB062B" w14:textId="68290CD3" w:rsidR="006718FB" w:rsidRPr="00E94D8A" w:rsidRDefault="006718FB" w:rsidP="006718FB">
      <w:r w:rsidRPr="00E94D8A">
        <w:rPr>
          <w:color w:val="000000"/>
        </w:rPr>
        <w:t>Esta propuesta de definición debería aplicarse de manera coherente a la arquitectura de red fija y móvil.</w:t>
      </w:r>
      <w:r w:rsidRPr="00E94D8A">
        <w:rPr>
          <w:rStyle w:val="apple-converted-space"/>
          <w:color w:val="000000"/>
          <w:sz w:val="27"/>
          <w:szCs w:val="27"/>
        </w:rPr>
        <w:t xml:space="preserve"> </w:t>
      </w:r>
      <w:r w:rsidRPr="00E94D8A">
        <w:rPr>
          <w:color w:val="000000"/>
        </w:rPr>
        <w:t>Aplicar este principio a las redes móviles y fijas lleva a las demarcaciones que se presentan a continuación en la</w:t>
      </w:r>
      <w:r w:rsidR="00E94D8A">
        <w:rPr>
          <w:color w:val="000000"/>
        </w:rPr>
        <w:t xml:space="preserve"> </w:t>
      </w:r>
      <w:r w:rsidR="00E94D8A">
        <w:rPr>
          <w:color w:val="000000"/>
        </w:rPr>
        <w:fldChar w:fldCharType="begin"/>
      </w:r>
      <w:r w:rsidR="00E94D8A">
        <w:rPr>
          <w:color w:val="000000"/>
        </w:rPr>
        <w:instrText xml:space="preserve"> REF _Ref321212285 \h </w:instrText>
      </w:r>
      <w:r w:rsidR="00E94D8A">
        <w:rPr>
          <w:color w:val="000000"/>
        </w:rPr>
      </w:r>
      <w:r w:rsidR="00E94D8A">
        <w:rPr>
          <w:color w:val="000000"/>
        </w:rPr>
        <w:fldChar w:fldCharType="separate"/>
      </w:r>
      <w:r w:rsidR="00B426BC" w:rsidRPr="00E94D8A">
        <w:t>Figur</w:t>
      </w:r>
      <w:r w:rsidR="00B426BC">
        <w:t>a</w:t>
      </w:r>
      <w:r w:rsidR="00B426BC" w:rsidRPr="00E94D8A">
        <w:t xml:space="preserve"> </w:t>
      </w:r>
      <w:r w:rsidR="00B426BC">
        <w:rPr>
          <w:noProof/>
        </w:rPr>
        <w:t>4</w:t>
      </w:r>
      <w:r w:rsidR="00B426BC" w:rsidRPr="00E94D8A">
        <w:t>.</w:t>
      </w:r>
      <w:r w:rsidR="00B426BC">
        <w:rPr>
          <w:noProof/>
        </w:rPr>
        <w:t>10</w:t>
      </w:r>
      <w:r w:rsidR="00E94D8A">
        <w:rPr>
          <w:color w:val="000000"/>
        </w:rPr>
        <w:fldChar w:fldCharType="end"/>
      </w:r>
      <w:r w:rsidRPr="00E94D8A">
        <w:rPr>
          <w:color w:val="000000"/>
        </w:rPr>
        <w:t>.</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6718FB" w:rsidRPr="00E94D8A" w14:paraId="3735A71A" w14:textId="77777777" w:rsidTr="006718FB">
        <w:tc>
          <w:tcPr>
            <w:tcW w:w="6576" w:type="dxa"/>
            <w:tcBorders>
              <w:right w:val="single" w:sz="4" w:space="0" w:color="auto"/>
            </w:tcBorders>
            <w:shd w:val="clear" w:color="auto" w:fill="auto"/>
          </w:tcPr>
          <w:p w14:paraId="44E8A0B9" w14:textId="77777777" w:rsidR="006718FB" w:rsidRPr="00E94D8A" w:rsidRDefault="006718FB" w:rsidP="006718FB">
            <w:pPr>
              <w:pStyle w:val="Bordersmall"/>
              <w:rPr>
                <w:lang w:val="es-ES"/>
              </w:rPr>
            </w:pPr>
            <w:r w:rsidRPr="00E94D8A">
              <w:rPr>
                <w:noProof/>
                <w:lang w:val="es-MX" w:eastAsia="es-MX"/>
              </w:rPr>
              <w:drawing>
                <wp:inline distT="0" distB="0" distL="0" distR="0" wp14:anchorId="71406D6B" wp14:editId="419529C4">
                  <wp:extent cx="3665220" cy="4808220"/>
                  <wp:effectExtent l="0" t="0" r="0" b="0"/>
                  <wp:docPr id="13" name="Picture 13" descr="Visión general de las jerarquías de red fijas y móviles, Fuente: Analysys Mason, 2016" title="Figura cuatro punto di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65220" cy="4808220"/>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2B6AB1D9" w14:textId="77777777" w:rsidR="006718FB" w:rsidRPr="00E94D8A" w:rsidRDefault="006718FB" w:rsidP="00E94D8A">
            <w:pPr>
              <w:pStyle w:val="Captionsmall"/>
              <w:rPr>
                <w:lang w:val="es-ES"/>
              </w:rPr>
            </w:pPr>
            <w:bookmarkStart w:id="60" w:name="_Ref321212285"/>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4</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w:instrText>
            </w:r>
            <w:r w:rsidR="00A37365" w:rsidRPr="00E94D8A">
              <w:rPr>
                <w:lang w:val="es-ES"/>
              </w:rPr>
              <w:instrText>SEQ Ilustración</w:instrText>
            </w:r>
            <w:r w:rsidRPr="00E94D8A">
              <w:rPr>
                <w:lang w:val="es-ES"/>
              </w:rPr>
              <w:instrText xml:space="preserve"> \* ARABIC \s 1 \* MERGEFORMAT </w:instrText>
            </w:r>
            <w:r w:rsidRPr="00E94D8A">
              <w:rPr>
                <w:lang w:val="es-ES"/>
              </w:rPr>
              <w:fldChar w:fldCharType="separate"/>
            </w:r>
            <w:r w:rsidR="00B426BC">
              <w:rPr>
                <w:noProof/>
                <w:lang w:val="es-ES"/>
              </w:rPr>
              <w:t>10</w:t>
            </w:r>
            <w:r w:rsidRPr="00E94D8A">
              <w:rPr>
                <w:lang w:val="es-ES"/>
              </w:rPr>
              <w:fldChar w:fldCharType="end"/>
            </w:r>
            <w:bookmarkEnd w:id="60"/>
            <w:r w:rsidRPr="00E94D8A">
              <w:rPr>
                <w:lang w:val="es-ES"/>
              </w:rPr>
              <w:t>: Visión general de las jerarquías de red fijas y móviles [</w:t>
            </w:r>
            <w:r w:rsidR="001657CE">
              <w:rPr>
                <w:lang w:val="es-ES"/>
              </w:rPr>
              <w:t xml:space="preserve">Fuente: </w:t>
            </w:r>
            <w:proofErr w:type="spellStart"/>
            <w:r w:rsidR="001657CE">
              <w:rPr>
                <w:lang w:val="es-ES"/>
              </w:rPr>
              <w:t>Analysys</w:t>
            </w:r>
            <w:proofErr w:type="spellEnd"/>
            <w:r w:rsidR="001657CE">
              <w:rPr>
                <w:lang w:val="es-ES"/>
              </w:rPr>
              <w:t xml:space="preserve"> Mason, 2016</w:t>
            </w:r>
            <w:r w:rsidRPr="00E94D8A">
              <w:rPr>
                <w:lang w:val="es-ES"/>
              </w:rPr>
              <w:t>]</w:t>
            </w:r>
          </w:p>
        </w:tc>
      </w:tr>
    </w:tbl>
    <w:p w14:paraId="20585F0C" w14:textId="77777777" w:rsidR="006718FB" w:rsidRPr="00E94D8A" w:rsidRDefault="006718FB" w:rsidP="006718FB">
      <w:pPr>
        <w:rPr>
          <w:spacing w:val="-4"/>
        </w:rPr>
      </w:pPr>
      <w:r w:rsidRPr="00E94D8A">
        <w:rPr>
          <w:spacing w:val="-4"/>
        </w:rPr>
        <w:lastRenderedPageBreak/>
        <w:t xml:space="preserve">Como se indica en la figura anterior y utilizando el principio expuesto, el </w:t>
      </w:r>
      <w:r w:rsidRPr="00E94D8A">
        <w:rPr>
          <w:i/>
          <w:spacing w:val="-4"/>
        </w:rPr>
        <w:t>punto de demarcación</w:t>
      </w:r>
      <w:r w:rsidRPr="00E94D8A">
        <w:rPr>
          <w:spacing w:val="-4"/>
        </w:rPr>
        <w:t xml:space="preserve"> estaría:</w:t>
      </w:r>
    </w:p>
    <w:p w14:paraId="79431796" w14:textId="77777777" w:rsidR="006718FB" w:rsidRPr="00E94D8A" w:rsidRDefault="006718FB" w:rsidP="006718FB">
      <w:pPr>
        <w:pStyle w:val="ListBulletCompact"/>
      </w:pPr>
      <w:r w:rsidRPr="00E94D8A">
        <w:t xml:space="preserve">para un </w:t>
      </w:r>
      <w:r w:rsidRPr="00E94D8A">
        <w:rPr>
          <w:b/>
        </w:rPr>
        <w:t>usuario de telefonía fija</w:t>
      </w:r>
      <w:r w:rsidRPr="00E94D8A">
        <w:t>, en la tarjeta (</w:t>
      </w:r>
      <w:r w:rsidRPr="00E94D8A">
        <w:rPr>
          <w:i/>
        </w:rPr>
        <w:t xml:space="preserve">line </w:t>
      </w:r>
      <w:proofErr w:type="spellStart"/>
      <w:r w:rsidRPr="00E94D8A">
        <w:rPr>
          <w:i/>
        </w:rPr>
        <w:t>card</w:t>
      </w:r>
      <w:proofErr w:type="spellEnd"/>
      <w:r w:rsidRPr="00E94D8A">
        <w:t>) del conmuta</w:t>
      </w:r>
      <w:r w:rsidR="008653B2">
        <w:t>dor o d</w:t>
      </w:r>
      <w:r w:rsidR="005C29D6">
        <w:t>e su equivalente en una red NGN</w:t>
      </w:r>
    </w:p>
    <w:p w14:paraId="1DECD998" w14:textId="77777777" w:rsidR="006718FB" w:rsidRPr="00E94D8A" w:rsidRDefault="006718FB" w:rsidP="006718FB">
      <w:pPr>
        <w:pStyle w:val="Listaconvietas"/>
        <w:ind w:left="360" w:hanging="360"/>
      </w:pPr>
      <w:r w:rsidRPr="00E94D8A">
        <w:t xml:space="preserve">para un </w:t>
      </w:r>
      <w:r w:rsidRPr="00E94D8A">
        <w:rPr>
          <w:b/>
        </w:rPr>
        <w:t>usuario de telefonía móvil</w:t>
      </w:r>
      <w:r w:rsidRPr="00E94D8A">
        <w:t xml:space="preserve">, en la tarjeta SIM, ya que </w:t>
      </w:r>
      <w:r w:rsidR="008B398E">
        <w:t>el costo de la interfaz radio depende exclusivamente del tráfico generado por los abonados y no del número de abonados</w:t>
      </w:r>
      <w:r w:rsidRPr="00E94D8A">
        <w:t>.</w:t>
      </w:r>
    </w:p>
    <w:p w14:paraId="226458B0" w14:textId="77777777" w:rsidR="006718FB" w:rsidRPr="00E94D8A" w:rsidRDefault="00A37365" w:rsidP="00A37365">
      <w:pPr>
        <w:pStyle w:val="Ttulo2"/>
      </w:pPr>
      <w:bookmarkStart w:id="61" w:name="_Toc454893682"/>
      <w:r w:rsidRPr="00E94D8A">
        <w:t>Nodos de la red</w:t>
      </w:r>
      <w:bookmarkEnd w:id="61"/>
    </w:p>
    <w:p w14:paraId="7EAB21D0" w14:textId="77777777" w:rsidR="00A37365" w:rsidRPr="00E94D8A" w:rsidRDefault="00A37365" w:rsidP="00A37365">
      <w:pPr>
        <w:spacing w:after="120"/>
      </w:pPr>
      <w:r w:rsidRPr="00E94D8A">
        <w:t>Las redes fijas y móviles pueden considerarse como una serie de nodos (con diferentes funciones) y de enlaces entre ellos. Al desarrollar los algoritmos de despliegue de estos nodos, es necesario considerar si el algoritmo refleja con exactitud el número real de nodos desplegados. Sería posible que el modelo no tuviera en cuenta el número real de nodos de los operadores en el caso en que los operadores de red no sean considerados como eficientes o con un diseño moderno.</w:t>
      </w:r>
    </w:p>
    <w:p w14:paraId="063D2C84" w14:textId="77777777" w:rsidR="00A37365" w:rsidRPr="00E94D8A" w:rsidRDefault="00A37365" w:rsidP="00A37365">
      <w:pPr>
        <w:rPr>
          <w:spacing w:val="-4"/>
        </w:rPr>
      </w:pPr>
      <w:r w:rsidRPr="00E94D8A">
        <w:rPr>
          <w:spacing w:val="-4"/>
        </w:rPr>
        <w:t xml:space="preserve">La especificación del grado de eficiencia de la red es un tema importante en el cálculo de costos. Al modelar una red eficiente utilizando un enfoque </w:t>
      </w:r>
      <w:proofErr w:type="spellStart"/>
      <w:r w:rsidRPr="00E94D8A">
        <w:rPr>
          <w:i/>
          <w:spacing w:val="-4"/>
        </w:rPr>
        <w:t>bottom</w:t>
      </w:r>
      <w:proofErr w:type="spellEnd"/>
      <w:r w:rsidRPr="00E94D8A">
        <w:rPr>
          <w:i/>
          <w:spacing w:val="-4"/>
        </w:rPr>
        <w:t>-up</w:t>
      </w:r>
      <w:r w:rsidRPr="00E94D8A">
        <w:rPr>
          <w:spacing w:val="-4"/>
        </w:rPr>
        <w:t xml:space="preserve">, hay varias opciones disponibles en cuanto al nivel de detalle utilizado en redes reales. Cuanto mayor sea el nivel de granularidad/detalle utilizado directamente en los cálculos, menor será el nivel de </w:t>
      </w:r>
      <w:proofErr w:type="spellStart"/>
      <w:r w:rsidRPr="00E94D8A">
        <w:rPr>
          <w:i/>
          <w:spacing w:val="-4"/>
        </w:rPr>
        <w:t>scorching</w:t>
      </w:r>
      <w:proofErr w:type="spellEnd"/>
      <w:r w:rsidRPr="00E94D8A">
        <w:rPr>
          <w:i/>
          <w:spacing w:val="-4"/>
        </w:rPr>
        <w:t xml:space="preserve"> </w:t>
      </w:r>
      <w:r w:rsidRPr="00E94D8A">
        <w:rPr>
          <w:spacing w:val="-4"/>
        </w:rPr>
        <w:t>utilizado. A continuación listamos las opciones consideradas más habituales en modelos similares realizados en otros países:</w:t>
      </w:r>
    </w:p>
    <w:tbl>
      <w:tblPr>
        <w:tblW w:w="8957" w:type="dxa"/>
        <w:tblInd w:w="5" w:type="dxa"/>
        <w:tblLayout w:type="fixed"/>
        <w:tblCellMar>
          <w:left w:w="113" w:type="dxa"/>
          <w:right w:w="113" w:type="dxa"/>
        </w:tblCellMar>
        <w:tblLook w:val="0000" w:firstRow="0" w:lastRow="0" w:firstColumn="0" w:lastColumn="0" w:noHBand="0" w:noVBand="0"/>
      </w:tblPr>
      <w:tblGrid>
        <w:gridCol w:w="1984"/>
        <w:gridCol w:w="6973"/>
      </w:tblGrid>
      <w:tr w:rsidR="00A37365" w:rsidRPr="00E94D8A" w14:paraId="19F23B76" w14:textId="77777777" w:rsidTr="00E94D8A">
        <w:tc>
          <w:tcPr>
            <w:tcW w:w="1984" w:type="dxa"/>
            <w:shd w:val="clear" w:color="auto" w:fill="auto"/>
          </w:tcPr>
          <w:p w14:paraId="73E1727B" w14:textId="77777777" w:rsidR="00A37365" w:rsidRPr="00E94D8A" w:rsidRDefault="00A37365" w:rsidP="00A37365">
            <w:pPr>
              <w:pStyle w:val="SBSheader"/>
            </w:pPr>
            <w:r w:rsidRPr="00E94D8A">
              <w:t>Red real</w:t>
            </w:r>
          </w:p>
        </w:tc>
        <w:tc>
          <w:tcPr>
            <w:tcW w:w="6973" w:type="dxa"/>
            <w:shd w:val="clear" w:color="auto" w:fill="auto"/>
          </w:tcPr>
          <w:p w14:paraId="2AF1D12B" w14:textId="77777777" w:rsidR="00A37365" w:rsidRPr="00E94D8A" w:rsidRDefault="00A37365" w:rsidP="00E94D8A">
            <w:r w:rsidRPr="00E94D8A">
              <w:t>Este enfoque implementa el despliegue exacto de un operador real sin necesidad de ningún ajuste en el número, ubicación o funcionamiento de los nodos en la red del operador.</w:t>
            </w:r>
          </w:p>
        </w:tc>
      </w:tr>
      <w:tr w:rsidR="00A37365" w:rsidRPr="00E94D8A" w14:paraId="26B067AB" w14:textId="77777777" w:rsidTr="00E94D8A">
        <w:tc>
          <w:tcPr>
            <w:tcW w:w="1984" w:type="dxa"/>
            <w:shd w:val="clear" w:color="auto" w:fill="auto"/>
          </w:tcPr>
          <w:p w14:paraId="7CDFD35D" w14:textId="77777777" w:rsidR="00A37365" w:rsidRPr="00E94D8A" w:rsidRDefault="00A37365" w:rsidP="00A37365">
            <w:pPr>
              <w:pStyle w:val="SBSheader"/>
            </w:pPr>
            <w:r w:rsidRPr="00E94D8A">
              <w:t xml:space="preserve">Enfoque </w:t>
            </w:r>
            <w:proofErr w:type="spellStart"/>
            <w:r w:rsidRPr="00E94D8A">
              <w:t>scorched-node</w:t>
            </w:r>
            <w:proofErr w:type="spellEnd"/>
          </w:p>
        </w:tc>
        <w:tc>
          <w:tcPr>
            <w:tcW w:w="6973" w:type="dxa"/>
            <w:shd w:val="clear" w:color="auto" w:fill="auto"/>
          </w:tcPr>
          <w:p w14:paraId="31BC8B26" w14:textId="77777777" w:rsidR="00A37365" w:rsidRPr="00E94D8A" w:rsidRDefault="00A37365" w:rsidP="00FB7938">
            <w:pPr>
              <w:spacing w:after="120"/>
            </w:pPr>
            <w:r w:rsidRPr="00E94D8A">
              <w:t xml:space="preserve">Este enfoque supone que la localización de los nodos de la red ya está determinada, y que el operador puede escoger la mejor tecnología para configurar la red alrededor de esos nodos para satisfacer la demanda de red de un operador eficiente. Por ejemplo, esto podría significar el </w:t>
            </w:r>
            <w:r w:rsidR="00F10762" w:rsidRPr="00E94D8A">
              <w:t>remplazo</w:t>
            </w:r>
            <w:r w:rsidRPr="00E94D8A">
              <w:t xml:space="preserve"> de equipos legado con los equipos actuales más modernos.</w:t>
            </w:r>
          </w:p>
          <w:p w14:paraId="29330E18" w14:textId="23F25A24" w:rsidR="00A37365" w:rsidRPr="00E94D8A" w:rsidRDefault="00A37365" w:rsidP="00E15ECF">
            <w:pPr>
              <w:spacing w:after="120"/>
              <w:rPr>
                <w:spacing w:val="-4"/>
              </w:rPr>
            </w:pPr>
            <w:r w:rsidRPr="00E94D8A">
              <w:rPr>
                <w:spacing w:val="-4"/>
              </w:rPr>
              <w:t xml:space="preserve">El enfoque </w:t>
            </w:r>
            <w:proofErr w:type="spellStart"/>
            <w:r w:rsidRPr="00E94D8A">
              <w:rPr>
                <w:i/>
                <w:spacing w:val="-4"/>
              </w:rPr>
              <w:t>scorched-node</w:t>
            </w:r>
            <w:proofErr w:type="spellEnd"/>
            <w:r w:rsidRPr="00E94D8A">
              <w:rPr>
                <w:spacing w:val="-4"/>
              </w:rPr>
              <w:t xml:space="preserve">, por lo tanto, determina el costo eficiente de una red que proporciona los mismos servicios que la red de telecomunicaciones del operador </w:t>
            </w:r>
            <w:r w:rsidR="00E15ECF">
              <w:rPr>
                <w:spacing w:val="-4"/>
              </w:rPr>
              <w:t>histórico</w:t>
            </w:r>
            <w:r w:rsidRPr="00E94D8A">
              <w:rPr>
                <w:spacing w:val="-4"/>
              </w:rPr>
              <w:t xml:space="preserve">, tomando como dato de entrada al modelo la ubicación actual y la función de los nodos de la red del </w:t>
            </w:r>
            <w:r w:rsidR="00E15ECF">
              <w:rPr>
                <w:spacing w:val="-4"/>
              </w:rPr>
              <w:t>operador histórico</w:t>
            </w:r>
            <w:r w:rsidRPr="00E94D8A">
              <w:rPr>
                <w:spacing w:val="-4"/>
              </w:rPr>
              <w:t>.</w:t>
            </w:r>
          </w:p>
        </w:tc>
      </w:tr>
      <w:tr w:rsidR="00A37365" w:rsidRPr="00E94D8A" w14:paraId="4BE8A977" w14:textId="77777777" w:rsidTr="00E94D8A">
        <w:tc>
          <w:tcPr>
            <w:tcW w:w="1984" w:type="dxa"/>
            <w:shd w:val="clear" w:color="auto" w:fill="auto"/>
          </w:tcPr>
          <w:p w14:paraId="5885C065" w14:textId="77777777" w:rsidR="00A37365" w:rsidRPr="00E94D8A" w:rsidRDefault="00A37365" w:rsidP="00A37365">
            <w:pPr>
              <w:pStyle w:val="SBSheader"/>
            </w:pPr>
            <w:r w:rsidRPr="00E94D8A">
              <w:t xml:space="preserve">Enfoque </w:t>
            </w:r>
            <w:proofErr w:type="spellStart"/>
            <w:r w:rsidRPr="00E94D8A">
              <w:t>scorched-node</w:t>
            </w:r>
            <w:proofErr w:type="spellEnd"/>
            <w:r w:rsidRPr="00E94D8A">
              <w:t xml:space="preserve"> modificado</w:t>
            </w:r>
          </w:p>
        </w:tc>
        <w:tc>
          <w:tcPr>
            <w:tcW w:w="6973" w:type="dxa"/>
            <w:shd w:val="clear" w:color="auto" w:fill="auto"/>
          </w:tcPr>
          <w:p w14:paraId="1E32C227" w14:textId="77777777" w:rsidR="00A37365" w:rsidRPr="00E94D8A" w:rsidRDefault="00A37365" w:rsidP="00FB7938">
            <w:pPr>
              <w:spacing w:after="120"/>
            </w:pPr>
            <w:r w:rsidRPr="00E94D8A">
              <w:t xml:space="preserve">El enfoque </w:t>
            </w:r>
            <w:proofErr w:type="spellStart"/>
            <w:r w:rsidRPr="00E94D8A">
              <w:rPr>
                <w:i/>
              </w:rPr>
              <w:t>scorched-node</w:t>
            </w:r>
            <w:proofErr w:type="spellEnd"/>
            <w:r w:rsidRPr="00E94D8A">
              <w:t xml:space="preserve"> puede ser modificado razonablemente para replicar una topología de red más eficiente que la existente. Por consiguiente, este enfoque parte de la topología existente y elimina las ineficiencias. En particular, el uso de este principio puede significar:</w:t>
            </w:r>
          </w:p>
          <w:p w14:paraId="1C4F1562" w14:textId="77777777" w:rsidR="00A37365" w:rsidRPr="00E94D8A" w:rsidRDefault="00A37365" w:rsidP="00FB7938">
            <w:pPr>
              <w:pStyle w:val="Listaconvietas"/>
            </w:pPr>
            <w:r w:rsidRPr="00E94D8A">
              <w:t>Una simplificación de la jerarquía de conmutación (por ejemplo, reduciendo el número de nodos en la red conmutación, o sustituyendo una serie de pequeños conmutadores con un conmutador más moderno y eficiente).</w:t>
            </w:r>
          </w:p>
          <w:p w14:paraId="20F40175" w14:textId="77777777" w:rsidR="00A37365" w:rsidRPr="00E94D8A" w:rsidRDefault="00A37365" w:rsidP="00A37365">
            <w:pPr>
              <w:pStyle w:val="I1"/>
              <w:numPr>
                <w:ilvl w:val="0"/>
                <w:numId w:val="23"/>
              </w:numPr>
            </w:pPr>
            <w:r w:rsidRPr="00E94D8A">
              <w:lastRenderedPageBreak/>
              <w:t xml:space="preserve">Cambiar la función de un nodo (por ejemplo, reduciendo una pequeña central al equivalente de un </w:t>
            </w:r>
            <w:proofErr w:type="spellStart"/>
            <w:r w:rsidRPr="00E94D8A">
              <w:t>multiplexador</w:t>
            </w:r>
            <w:proofErr w:type="spellEnd"/>
            <w:r w:rsidRPr="00E94D8A">
              <w:t xml:space="preserve"> remoto, o actualizar una </w:t>
            </w:r>
            <w:proofErr w:type="spellStart"/>
            <w:r w:rsidRPr="00E94D8A">
              <w:t>picocelda</w:t>
            </w:r>
            <w:proofErr w:type="spellEnd"/>
            <w:r w:rsidRPr="00E94D8A">
              <w:t xml:space="preserve"> a una </w:t>
            </w:r>
            <w:proofErr w:type="spellStart"/>
            <w:r w:rsidRPr="00E94D8A">
              <w:t>macrocelda</w:t>
            </w:r>
            <w:proofErr w:type="spellEnd"/>
            <w:r w:rsidRPr="00E94D8A">
              <w:t xml:space="preserve">, o eliminar un BSC en emplazamientos de </w:t>
            </w:r>
            <w:proofErr w:type="spellStart"/>
            <w:r w:rsidRPr="00E94D8A">
              <w:rPr>
                <w:i/>
              </w:rPr>
              <w:t>hub</w:t>
            </w:r>
            <w:proofErr w:type="spellEnd"/>
            <w:r w:rsidRPr="00E94D8A">
              <w:t xml:space="preserve"> y utilizar BSC </w:t>
            </w:r>
            <w:proofErr w:type="spellStart"/>
            <w:r w:rsidRPr="00E94D8A">
              <w:t>coubicados</w:t>
            </w:r>
            <w:proofErr w:type="spellEnd"/>
            <w:r w:rsidRPr="00E94D8A">
              <w:t xml:space="preserve"> con </w:t>
            </w:r>
            <w:proofErr w:type="spellStart"/>
            <w:r w:rsidRPr="00E94D8A">
              <w:t>MSCs</w:t>
            </w:r>
            <w:proofErr w:type="spellEnd"/>
            <w:r w:rsidRPr="00E94D8A">
              <w:t>).</w:t>
            </w:r>
          </w:p>
        </w:tc>
      </w:tr>
      <w:tr w:rsidR="00A37365" w:rsidRPr="00E94D8A" w14:paraId="05DF45CC" w14:textId="77777777" w:rsidTr="00E94D8A">
        <w:tc>
          <w:tcPr>
            <w:tcW w:w="1984" w:type="dxa"/>
            <w:shd w:val="clear" w:color="auto" w:fill="auto"/>
          </w:tcPr>
          <w:p w14:paraId="37BA0A68" w14:textId="77777777" w:rsidR="00A37365" w:rsidRPr="00E94D8A" w:rsidRDefault="00A37365" w:rsidP="00A37365">
            <w:pPr>
              <w:pStyle w:val="SBSheader"/>
            </w:pPr>
            <w:r w:rsidRPr="00E94D8A">
              <w:lastRenderedPageBreak/>
              <w:t xml:space="preserve">Enfoque </w:t>
            </w:r>
            <w:proofErr w:type="spellStart"/>
            <w:r w:rsidRPr="00E94D8A">
              <w:t>scorched-earth</w:t>
            </w:r>
            <w:proofErr w:type="spellEnd"/>
          </w:p>
        </w:tc>
        <w:tc>
          <w:tcPr>
            <w:tcW w:w="6973" w:type="dxa"/>
            <w:shd w:val="clear" w:color="auto" w:fill="auto"/>
          </w:tcPr>
          <w:p w14:paraId="772DF8E4" w14:textId="6F24570B" w:rsidR="00A37365" w:rsidRPr="00E94D8A" w:rsidRDefault="00A37365" w:rsidP="00A37365">
            <w:r w:rsidRPr="00E94D8A">
              <w:t xml:space="preserve">El enfoque </w:t>
            </w:r>
            <w:proofErr w:type="spellStart"/>
            <w:r w:rsidRPr="00E94D8A">
              <w:rPr>
                <w:i/>
              </w:rPr>
              <w:t>scorched-earth</w:t>
            </w:r>
            <w:proofErr w:type="spellEnd"/>
            <w:r w:rsidRPr="00E94D8A">
              <w:t xml:space="preserve"> determina el costo eficiente de una red que proporciona los mismos servicios que las redes existentes, sin poner ninguna restricción en su configuración, como puede ser la ubicación de los nodos en la red. Este enfoque modela la red que un nuevo entrante desplegaría </w:t>
            </w:r>
            <w:r w:rsidR="00F9251F">
              <w:t>con</w:t>
            </w:r>
            <w:r w:rsidR="00F9251F" w:rsidRPr="00E94D8A">
              <w:t xml:space="preserve"> </w:t>
            </w:r>
            <w:r w:rsidRPr="00E94D8A">
              <w:t xml:space="preserve">base </w:t>
            </w:r>
            <w:r w:rsidR="00F9251F">
              <w:t>en</w:t>
            </w:r>
            <w:r w:rsidR="00F9251F" w:rsidRPr="00E94D8A">
              <w:t xml:space="preserve"> </w:t>
            </w:r>
            <w:r w:rsidRPr="00E94D8A">
              <w:t>la distribución geográfica de sus clientes y a los pronósticos de la demanda de los diferentes servicios ofrecidos, si no tuviese una red previamente desplegada.</w:t>
            </w:r>
          </w:p>
          <w:p w14:paraId="39B23D1D" w14:textId="77777777" w:rsidR="00A37365" w:rsidRPr="00E94D8A" w:rsidRDefault="00A37365" w:rsidP="00A37365">
            <w:r w:rsidRPr="00E94D8A">
              <w:t>Este enfoque aportaría la estimación más reducida de los costos, ya que elimina todas las ineficiencias ligadas a la evolución histórica de una red, y supone que la red puede ser rediseñada sin problemas para responder a los criterios y demanda actual.</w:t>
            </w:r>
          </w:p>
        </w:tc>
      </w:tr>
    </w:tbl>
    <w:p w14:paraId="618568CA" w14:textId="55530A1F" w:rsidR="00A37365" w:rsidRPr="00E94D8A" w:rsidRDefault="006A7A8B" w:rsidP="00A37365">
      <w:pPr>
        <w:spacing w:before="240"/>
      </w:pPr>
      <w:r>
        <w:t>El IFT</w:t>
      </w:r>
      <w:r w:rsidR="00A37365" w:rsidRPr="00E94D8A">
        <w:t xml:space="preserve"> indica en el acuerdo </w:t>
      </w:r>
      <w:r w:rsidR="002101FE" w:rsidRPr="00FF409F">
        <w:rPr>
          <w:szCs w:val="18"/>
        </w:rPr>
        <w:t>P/IFT/EXT/161214/277</w:t>
      </w:r>
      <w:r w:rsidR="00AE77D1">
        <w:rPr>
          <w:szCs w:val="16"/>
        </w:rPr>
        <w:t xml:space="preserve"> </w:t>
      </w:r>
      <w:r w:rsidR="00A37365" w:rsidRPr="00E94D8A">
        <w:t xml:space="preserve">su preferencia por el enfoque </w:t>
      </w:r>
      <w:proofErr w:type="spellStart"/>
      <w:r w:rsidR="00A37365" w:rsidRPr="00E94D8A">
        <w:rPr>
          <w:i/>
        </w:rPr>
        <w:t>scorched-earth</w:t>
      </w:r>
      <w:proofErr w:type="spellEnd"/>
      <w:r w:rsidR="00A37365" w:rsidRPr="00E94D8A">
        <w:rPr>
          <w:i/>
        </w:rPr>
        <w:t xml:space="preserve"> </w:t>
      </w:r>
      <w:r w:rsidR="00A37365" w:rsidRPr="00E94D8A">
        <w:t xml:space="preserve">calibrado con los datos de la red de los operadores actuales. </w:t>
      </w:r>
    </w:p>
    <w:p w14:paraId="56120ABD" w14:textId="77777777" w:rsidR="00A37365" w:rsidRPr="00E94D8A" w:rsidRDefault="00A37365" w:rsidP="00A37365">
      <w:pPr>
        <w:spacing w:before="240"/>
      </w:pPr>
      <w:r w:rsidRPr="00E94D8A">
        <w:t xml:space="preserve">Nuestra interpretación es que al partir de un despliegue </w:t>
      </w:r>
      <w:proofErr w:type="spellStart"/>
      <w:r w:rsidRPr="00E94D8A">
        <w:rPr>
          <w:i/>
        </w:rPr>
        <w:t>scorched-earth</w:t>
      </w:r>
      <w:proofErr w:type="spellEnd"/>
      <w:r w:rsidRPr="00E94D8A">
        <w:rPr>
          <w:i/>
        </w:rPr>
        <w:t xml:space="preserve"> </w:t>
      </w:r>
      <w:r w:rsidRPr="00E94D8A">
        <w:t xml:space="preserve">y añadir las circunstancias asociadas a un operador existente a través del calibrado de la red resultará </w:t>
      </w:r>
      <w:r w:rsidR="005C29D6">
        <w:t>en una red más eficiente que la</w:t>
      </w:r>
      <w:r w:rsidRPr="00E94D8A">
        <w:t xml:space="preserve"> de los operadores existentes. </w:t>
      </w:r>
    </w:p>
    <w:p w14:paraId="0D32CA15" w14:textId="77777777" w:rsidR="00A37365" w:rsidRPr="00E94D8A" w:rsidRDefault="00A37365" w:rsidP="00A37365">
      <w:pPr>
        <w:spacing w:before="240"/>
      </w:pPr>
      <w:r w:rsidRPr="00E94D8A">
        <w:t xml:space="preserve">En el modelo fijo, las ineficiencias se producirán a través de todos los niveles de nodos en los que se concentra el tráfico. Un ejemplo de la aplicación del enfoque </w:t>
      </w:r>
      <w:proofErr w:type="spellStart"/>
      <w:r w:rsidRPr="00E94D8A">
        <w:rPr>
          <w:i/>
        </w:rPr>
        <w:t>scorched</w:t>
      </w:r>
      <w:proofErr w:type="spellEnd"/>
      <w:r w:rsidRPr="00E94D8A">
        <w:rPr>
          <w:i/>
        </w:rPr>
        <w:t xml:space="preserve"> </w:t>
      </w:r>
      <w:proofErr w:type="spellStart"/>
      <w:r w:rsidRPr="00E94D8A">
        <w:rPr>
          <w:i/>
        </w:rPr>
        <w:t>earth</w:t>
      </w:r>
      <w:proofErr w:type="spellEnd"/>
      <w:r w:rsidRPr="00E94D8A">
        <w:t xml:space="preserve"> calibrado para el operador fijo es el siguiente:</w:t>
      </w:r>
    </w:p>
    <w:p w14:paraId="707F3DCD" w14:textId="77777777" w:rsidR="00A37365" w:rsidRPr="00E94D8A" w:rsidRDefault="00A37365" w:rsidP="00A37365">
      <w:pPr>
        <w:pStyle w:val="ListBulletCompact"/>
      </w:pPr>
      <w:r w:rsidRPr="00E94D8A">
        <w:t>la red troncal del operador se modela teniendo en cuenta la localización de la población y la densidad de tráfico esperada</w:t>
      </w:r>
    </w:p>
    <w:p w14:paraId="5C72C7D3" w14:textId="77777777" w:rsidR="00A37365" w:rsidRPr="00E94D8A" w:rsidRDefault="00A37365" w:rsidP="00A37365">
      <w:pPr>
        <w:pStyle w:val="ListBulletCompact"/>
      </w:pPr>
      <w:r w:rsidRPr="00E94D8A">
        <w:t>se utilizan estimaciones teóricas de capacidad de nodos y se establece la jerarquía de la red basados en algoritmos de diseño de modelos de ingeniería</w:t>
      </w:r>
    </w:p>
    <w:p w14:paraId="3A68C84A" w14:textId="77777777" w:rsidR="00A37365" w:rsidRPr="00E94D8A" w:rsidRDefault="00A37365" w:rsidP="00A37365">
      <w:pPr>
        <w:pStyle w:val="ListBulletCompact"/>
      </w:pPr>
      <w:r w:rsidRPr="00E94D8A">
        <w:t>se implementan ajustes a los resultados de los algoritmos ingenieriles para tener en cuenta por ejemplo los niveles de utilización efectiva, etc.</w:t>
      </w:r>
    </w:p>
    <w:p w14:paraId="60D8822B" w14:textId="77777777" w:rsidR="00A37365" w:rsidRPr="00E94D8A" w:rsidRDefault="00A37365" w:rsidP="00A37365">
      <w:pPr>
        <w:pStyle w:val="Listaconvietas"/>
        <w:ind w:left="360" w:hanging="360"/>
      </w:pPr>
      <w:r w:rsidRPr="00E94D8A">
        <w:t>para la calibración con datos de las redes de los operadores se estima que en una red NGN el número de puntos de interconexión calculado teóricamente sea mucho menor que el actual.</w:t>
      </w:r>
    </w:p>
    <w:p w14:paraId="6D0689CE" w14:textId="77777777" w:rsidR="00A37365" w:rsidRPr="00E94D8A" w:rsidRDefault="00A37365" w:rsidP="00A37365">
      <w:r w:rsidRPr="00E94D8A">
        <w:t>A continuación se presenta un esquema con la metodología utilizada para la calibración del modelo fijo.</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A37365" w:rsidRPr="00E94D8A" w14:paraId="571E32AA" w14:textId="77777777" w:rsidTr="00A37365">
        <w:tc>
          <w:tcPr>
            <w:tcW w:w="6576" w:type="dxa"/>
            <w:tcBorders>
              <w:right w:val="single" w:sz="4" w:space="0" w:color="auto"/>
            </w:tcBorders>
            <w:shd w:val="clear" w:color="auto" w:fill="auto"/>
          </w:tcPr>
          <w:p w14:paraId="2EE18A0A" w14:textId="77777777" w:rsidR="00A37365" w:rsidRPr="00E94D8A" w:rsidRDefault="00A37365" w:rsidP="00A37365">
            <w:pPr>
              <w:pStyle w:val="Bordersmall"/>
              <w:rPr>
                <w:lang w:val="es-ES"/>
              </w:rPr>
            </w:pPr>
            <w:r w:rsidRPr="00E94D8A">
              <w:rPr>
                <w:noProof/>
                <w:lang w:val="es-MX" w:eastAsia="es-MX"/>
              </w:rPr>
              <w:lastRenderedPageBreak/>
              <w:drawing>
                <wp:inline distT="0" distB="0" distL="0" distR="0" wp14:anchorId="1100DBAC" wp14:editId="2DF8C693">
                  <wp:extent cx="3803904" cy="3423514"/>
                  <wp:effectExtent l="0" t="0" r="0" b="0"/>
                  <wp:docPr id="22" name="Picture 22" descr="Esquema de modelado scorched-earth calibrado para el operador fijo, Fuente: Analysys Mason, 2016" title="Figura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03904" cy="3423514"/>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1D79722F" w14:textId="77777777" w:rsidR="00A37365" w:rsidRPr="00E94D8A" w:rsidRDefault="00A37365" w:rsidP="00E94D8A">
            <w:pPr>
              <w:pStyle w:val="Captionsmall"/>
              <w:rPr>
                <w:lang w:val="es-ES"/>
              </w:rPr>
            </w:pPr>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4</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SEQ Ilustración \* ARABIC \s 1 \* MERGEFORMAT </w:instrText>
            </w:r>
            <w:r w:rsidRPr="00E94D8A">
              <w:rPr>
                <w:lang w:val="es-ES"/>
              </w:rPr>
              <w:fldChar w:fldCharType="separate"/>
            </w:r>
            <w:r w:rsidR="00B426BC">
              <w:rPr>
                <w:noProof/>
                <w:lang w:val="es-ES"/>
              </w:rPr>
              <w:t>11</w:t>
            </w:r>
            <w:r w:rsidRPr="00E94D8A">
              <w:rPr>
                <w:lang w:val="es-ES"/>
              </w:rPr>
              <w:fldChar w:fldCharType="end"/>
            </w:r>
            <w:r w:rsidR="005C29D6">
              <w:rPr>
                <w:lang w:val="es-ES"/>
              </w:rPr>
              <w:t xml:space="preserve">: Esquema de modelado </w:t>
            </w:r>
            <w:proofErr w:type="spellStart"/>
            <w:r w:rsidR="005C29D6">
              <w:rPr>
                <w:lang w:val="es-ES"/>
              </w:rPr>
              <w:t>scorched-</w:t>
            </w:r>
            <w:r w:rsidRPr="00E94D8A">
              <w:rPr>
                <w:lang w:val="es-ES"/>
              </w:rPr>
              <w:t>earth</w:t>
            </w:r>
            <w:proofErr w:type="spellEnd"/>
            <w:r w:rsidRPr="00E94D8A">
              <w:rPr>
                <w:lang w:val="es-ES"/>
              </w:rPr>
              <w:t xml:space="preserve"> calibrado para el operador fijo [</w:t>
            </w:r>
            <w:r w:rsidR="001657CE">
              <w:rPr>
                <w:lang w:val="es-ES"/>
              </w:rPr>
              <w:t xml:space="preserve">Fuente: </w:t>
            </w:r>
            <w:proofErr w:type="spellStart"/>
            <w:r w:rsidR="001657CE">
              <w:rPr>
                <w:lang w:val="es-ES"/>
              </w:rPr>
              <w:t>Analysys</w:t>
            </w:r>
            <w:proofErr w:type="spellEnd"/>
            <w:r w:rsidR="001657CE">
              <w:rPr>
                <w:lang w:val="es-ES"/>
              </w:rPr>
              <w:t xml:space="preserve"> Mason, 2016</w:t>
            </w:r>
            <w:r w:rsidRPr="00E94D8A">
              <w:rPr>
                <w:lang w:val="es-ES"/>
              </w:rPr>
              <w:t>]</w:t>
            </w:r>
          </w:p>
        </w:tc>
      </w:tr>
    </w:tbl>
    <w:p w14:paraId="3C8A8970" w14:textId="77777777" w:rsidR="00A37365" w:rsidRPr="00E94D8A" w:rsidRDefault="00A37365" w:rsidP="00A37365"/>
    <w:p w14:paraId="29C753D2" w14:textId="77777777" w:rsidR="00A37365" w:rsidRPr="00E94D8A" w:rsidRDefault="00A37365" w:rsidP="00A37365">
      <w:r w:rsidRPr="00E94D8A">
        <w:t>En el modelo móvil, las ineficiencias se producirán a lo largo de todos los elementos de red, incluida la capa de rad</w:t>
      </w:r>
      <w:r w:rsidR="005C29D6">
        <w:t xml:space="preserve">io (BTS, </w:t>
      </w:r>
      <w:proofErr w:type="spellStart"/>
      <w:r w:rsidR="005C29D6">
        <w:t>NodeB</w:t>
      </w:r>
      <w:proofErr w:type="spellEnd"/>
      <w:r w:rsidR="00B55E65">
        <w:t xml:space="preserve">, </w:t>
      </w:r>
      <w:proofErr w:type="spellStart"/>
      <w:r w:rsidR="00B55E65">
        <w:t>eNodeB</w:t>
      </w:r>
      <w:proofErr w:type="spellEnd"/>
      <w:r w:rsidR="005C29D6">
        <w:t>). Un ejemplo de l</w:t>
      </w:r>
      <w:r w:rsidRPr="00E94D8A">
        <w:t xml:space="preserve">a manera en que aplicamos el concepto </w:t>
      </w:r>
      <w:proofErr w:type="spellStart"/>
      <w:r w:rsidRPr="00E94D8A">
        <w:rPr>
          <w:i/>
        </w:rPr>
        <w:t>scorched</w:t>
      </w:r>
      <w:proofErr w:type="spellEnd"/>
      <w:r w:rsidRPr="00E94D8A">
        <w:rPr>
          <w:i/>
        </w:rPr>
        <w:t xml:space="preserve"> </w:t>
      </w:r>
      <w:proofErr w:type="spellStart"/>
      <w:r w:rsidRPr="00E94D8A">
        <w:rPr>
          <w:i/>
        </w:rPr>
        <w:t>earth</w:t>
      </w:r>
      <w:proofErr w:type="spellEnd"/>
      <w:r w:rsidRPr="00E94D8A">
        <w:t xml:space="preserve"> calibrado para el operador móvil es la siguiente:</w:t>
      </w:r>
    </w:p>
    <w:p w14:paraId="5EE779BA" w14:textId="77777777" w:rsidR="00A37365" w:rsidRPr="00E94D8A" w:rsidRDefault="00A37365" w:rsidP="00A37365">
      <w:pPr>
        <w:pStyle w:val="ListBulletCompact"/>
      </w:pPr>
      <w:r w:rsidRPr="00E94D8A">
        <w:t xml:space="preserve">las redes de cobertura del operador se modelan teniendo en cuenta la </w:t>
      </w:r>
      <w:r w:rsidR="005C29D6">
        <w:t>ubicación</w:t>
      </w:r>
      <w:r w:rsidRPr="00E94D8A">
        <w:t xml:space="preserve"> de la población y de las principales vías de comunicación del país</w:t>
      </w:r>
    </w:p>
    <w:p w14:paraId="7135B79F" w14:textId="77777777" w:rsidR="00A37365" w:rsidRPr="00E94D8A" w:rsidRDefault="00A37365" w:rsidP="00A37365">
      <w:pPr>
        <w:pStyle w:val="ListBulletCompact"/>
      </w:pPr>
      <w:r w:rsidRPr="00E94D8A">
        <w:t xml:space="preserve">el país y su población se dividen en varios </w:t>
      </w:r>
      <w:proofErr w:type="spellStart"/>
      <w:r w:rsidRPr="00E94D8A">
        <w:t>geotipos</w:t>
      </w:r>
      <w:proofErr w:type="spellEnd"/>
      <w:r w:rsidRPr="00E94D8A">
        <w:t xml:space="preserve">: denso urbano, urbano, suburbano y rural </w:t>
      </w:r>
    </w:p>
    <w:p w14:paraId="34D253E9" w14:textId="77777777" w:rsidR="00A37365" w:rsidRPr="00E94D8A" w:rsidRDefault="00A37365" w:rsidP="00A37365">
      <w:pPr>
        <w:pStyle w:val="ListBulletCompact"/>
      </w:pPr>
      <w:r w:rsidRPr="00E94D8A">
        <w:t>se utilizan radios de células teóricos para cada banda de frecuencias (850MHz</w:t>
      </w:r>
      <w:r w:rsidR="00B55E65">
        <w:t>, 1700</w:t>
      </w:r>
      <w:r w:rsidR="0043475A">
        <w:t>/2100</w:t>
      </w:r>
      <w:r w:rsidR="00B55E65">
        <w:t>MHz</w:t>
      </w:r>
      <w:r w:rsidRPr="00E94D8A">
        <w:t xml:space="preserve"> y 1900MHz) y </w:t>
      </w:r>
      <w:proofErr w:type="spellStart"/>
      <w:r w:rsidRPr="00E94D8A">
        <w:t>geotipo</w:t>
      </w:r>
      <w:proofErr w:type="spellEnd"/>
    </w:p>
    <w:p w14:paraId="03E9E2F2" w14:textId="77777777" w:rsidR="00A37365" w:rsidRPr="00E94D8A" w:rsidRDefault="00A37365" w:rsidP="00A37365">
      <w:pPr>
        <w:pStyle w:val="ListBulletCompact"/>
      </w:pPr>
      <w:r w:rsidRPr="00E94D8A">
        <w:t xml:space="preserve">se adaptan dichos radios teóricos para tener en cuenta factores como por ejemplo </w:t>
      </w:r>
      <w:r w:rsidR="005C29D6">
        <w:t>‘</w:t>
      </w:r>
      <w:proofErr w:type="spellStart"/>
      <w:r w:rsidRPr="00E94D8A">
        <w:t>cell</w:t>
      </w:r>
      <w:proofErr w:type="spellEnd"/>
      <w:r w:rsidRPr="00E94D8A">
        <w:t xml:space="preserve"> </w:t>
      </w:r>
      <w:proofErr w:type="spellStart"/>
      <w:r w:rsidRPr="00E94D8A">
        <w:t>breathing</w:t>
      </w:r>
      <w:proofErr w:type="spellEnd"/>
      <w:r w:rsidR="005C29D6">
        <w:t>’</w:t>
      </w:r>
    </w:p>
    <w:p w14:paraId="3EB41476" w14:textId="77777777" w:rsidR="00A37365" w:rsidRPr="00E94D8A" w:rsidRDefault="00A37365" w:rsidP="00A37365">
      <w:pPr>
        <w:pStyle w:val="Listaconvietas"/>
        <w:ind w:left="360" w:hanging="360"/>
      </w:pPr>
      <w:r w:rsidRPr="00E94D8A">
        <w:t>se comparan los resultados con los datos reales bajo supuestos eficientes y se refinan los datos de entrada</w:t>
      </w:r>
      <w:r w:rsidR="005C29D6">
        <w:t>.</w:t>
      </w:r>
    </w:p>
    <w:p w14:paraId="1D81D5B3" w14:textId="2BFC802C" w:rsidR="00A37365" w:rsidRPr="005C29D6" w:rsidRDefault="00FB7938" w:rsidP="00FB7938">
      <w:pPr>
        <w:keepNext/>
        <w:rPr>
          <w:spacing w:val="-4"/>
        </w:rPr>
      </w:pPr>
      <w:r>
        <w:rPr>
          <w:spacing w:val="-4"/>
        </w:rPr>
        <w:lastRenderedPageBreak/>
        <w:t xml:space="preserve">La </w:t>
      </w:r>
      <w:r w:rsidR="005C29D6" w:rsidRPr="005C29D6">
        <w:rPr>
          <w:spacing w:val="-4"/>
        </w:rPr>
        <w:fldChar w:fldCharType="begin"/>
      </w:r>
      <w:r w:rsidR="005C29D6" w:rsidRPr="005C29D6">
        <w:rPr>
          <w:spacing w:val="-4"/>
        </w:rPr>
        <w:instrText xml:space="preserve"> REF _Ref322512831 \h </w:instrText>
      </w:r>
      <w:r w:rsidR="005C29D6" w:rsidRPr="005C29D6">
        <w:rPr>
          <w:spacing w:val="-4"/>
        </w:rPr>
      </w:r>
      <w:r w:rsidR="005C29D6" w:rsidRPr="005C29D6">
        <w:rPr>
          <w:spacing w:val="-4"/>
        </w:rPr>
        <w:fldChar w:fldCharType="separate"/>
      </w:r>
      <w:r w:rsidR="00B426BC" w:rsidRPr="00E94D8A">
        <w:t>Figur</w:t>
      </w:r>
      <w:r w:rsidR="00B426BC">
        <w:t>a</w:t>
      </w:r>
      <w:r w:rsidR="00B426BC" w:rsidRPr="00E94D8A">
        <w:t xml:space="preserve"> </w:t>
      </w:r>
      <w:r w:rsidR="00B426BC">
        <w:rPr>
          <w:noProof/>
        </w:rPr>
        <w:t>4</w:t>
      </w:r>
      <w:r w:rsidR="00B426BC" w:rsidRPr="00E94D8A">
        <w:t>.</w:t>
      </w:r>
      <w:r w:rsidR="00B426BC">
        <w:rPr>
          <w:noProof/>
        </w:rPr>
        <w:t>12</w:t>
      </w:r>
      <w:r w:rsidR="005C29D6" w:rsidRPr="005C29D6">
        <w:rPr>
          <w:spacing w:val="-4"/>
        </w:rPr>
        <w:fldChar w:fldCharType="end"/>
      </w:r>
      <w:r w:rsidR="005C29D6" w:rsidRPr="005C29D6">
        <w:rPr>
          <w:spacing w:val="-4"/>
        </w:rPr>
        <w:t xml:space="preserve"> muestra</w:t>
      </w:r>
      <w:r w:rsidR="00A37365" w:rsidRPr="005C29D6">
        <w:rPr>
          <w:spacing w:val="-4"/>
        </w:rPr>
        <w:t xml:space="preserve"> un esquema con la metodología utilizada para la calibración del modelo móvil.</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A37365" w:rsidRPr="00E94D8A" w14:paraId="12983B78" w14:textId="77777777" w:rsidTr="00A37365">
        <w:tc>
          <w:tcPr>
            <w:tcW w:w="6576" w:type="dxa"/>
            <w:tcBorders>
              <w:right w:val="single" w:sz="4" w:space="0" w:color="auto"/>
            </w:tcBorders>
            <w:shd w:val="clear" w:color="auto" w:fill="auto"/>
          </w:tcPr>
          <w:p w14:paraId="18EFFDE9" w14:textId="77777777" w:rsidR="00A37365" w:rsidRPr="00E94D8A" w:rsidRDefault="00A37365" w:rsidP="00A37365">
            <w:pPr>
              <w:pStyle w:val="Bordersmall"/>
              <w:rPr>
                <w:lang w:val="es-ES"/>
              </w:rPr>
            </w:pPr>
            <w:r w:rsidRPr="00E94D8A">
              <w:rPr>
                <w:noProof/>
                <w:lang w:val="es-MX" w:eastAsia="es-MX"/>
              </w:rPr>
              <w:drawing>
                <wp:inline distT="0" distB="0" distL="0" distR="0" wp14:anchorId="1028E3C6" wp14:editId="650698BB">
                  <wp:extent cx="3886200" cy="3497580"/>
                  <wp:effectExtent l="0" t="0" r="0" b="0"/>
                  <wp:docPr id="27" name="Picture 27" descr="Esquema de modelado scorched earth calibrado para el operador móvil, Fuente: Analysys Mason, 2016" title="Figura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86200" cy="3497580"/>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49EC8ADE" w14:textId="77777777" w:rsidR="00A37365" w:rsidRPr="00E94D8A" w:rsidRDefault="00A37365" w:rsidP="00E94D8A">
            <w:pPr>
              <w:pStyle w:val="Captionsmall"/>
              <w:rPr>
                <w:lang w:val="es-ES"/>
              </w:rPr>
            </w:pPr>
            <w:bookmarkStart w:id="62" w:name="_Ref322512831"/>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4</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SEQ Ilustración \* ARABIC \s 1 \* MERGEFORMAT </w:instrText>
            </w:r>
            <w:r w:rsidRPr="00E94D8A">
              <w:rPr>
                <w:lang w:val="es-ES"/>
              </w:rPr>
              <w:fldChar w:fldCharType="separate"/>
            </w:r>
            <w:r w:rsidR="00B426BC">
              <w:rPr>
                <w:noProof/>
                <w:lang w:val="es-ES"/>
              </w:rPr>
              <w:t>12</w:t>
            </w:r>
            <w:r w:rsidRPr="00E94D8A">
              <w:rPr>
                <w:lang w:val="es-ES"/>
              </w:rPr>
              <w:fldChar w:fldCharType="end"/>
            </w:r>
            <w:bookmarkEnd w:id="62"/>
            <w:r w:rsidRPr="00E94D8A">
              <w:rPr>
                <w:lang w:val="es-ES"/>
              </w:rPr>
              <w:t xml:space="preserve">: Esquema de modelado </w:t>
            </w:r>
            <w:proofErr w:type="spellStart"/>
            <w:r w:rsidRPr="00E94D8A">
              <w:rPr>
                <w:lang w:val="es-ES"/>
              </w:rPr>
              <w:t>scorched</w:t>
            </w:r>
            <w:proofErr w:type="spellEnd"/>
            <w:r w:rsidRPr="00E94D8A">
              <w:rPr>
                <w:lang w:val="es-ES"/>
              </w:rPr>
              <w:t xml:space="preserve"> </w:t>
            </w:r>
            <w:proofErr w:type="spellStart"/>
            <w:r w:rsidRPr="00E94D8A">
              <w:rPr>
                <w:lang w:val="es-ES"/>
              </w:rPr>
              <w:t>earth</w:t>
            </w:r>
            <w:proofErr w:type="spellEnd"/>
            <w:r w:rsidRPr="00E94D8A">
              <w:rPr>
                <w:lang w:val="es-ES"/>
              </w:rPr>
              <w:t xml:space="preserve"> calibrado para el operador móvil [</w:t>
            </w:r>
            <w:r w:rsidR="001657CE">
              <w:rPr>
                <w:lang w:val="es-ES"/>
              </w:rPr>
              <w:t xml:space="preserve">Fuente: </w:t>
            </w:r>
            <w:proofErr w:type="spellStart"/>
            <w:r w:rsidR="001657CE">
              <w:rPr>
                <w:lang w:val="es-ES"/>
              </w:rPr>
              <w:t>Analysys</w:t>
            </w:r>
            <w:proofErr w:type="spellEnd"/>
            <w:r w:rsidR="001657CE">
              <w:rPr>
                <w:lang w:val="es-ES"/>
              </w:rPr>
              <w:t xml:space="preserve"> Mason, 2016</w:t>
            </w:r>
            <w:r w:rsidRPr="00E94D8A">
              <w:rPr>
                <w:lang w:val="es-ES"/>
              </w:rPr>
              <w:t>]</w:t>
            </w:r>
          </w:p>
        </w:tc>
      </w:tr>
    </w:tbl>
    <w:p w14:paraId="752E35BE" w14:textId="77777777" w:rsidR="00A37365" w:rsidRPr="00E94D8A" w:rsidRDefault="00A37365" w:rsidP="00A37365"/>
    <w:p w14:paraId="08D0C159" w14:textId="77777777" w:rsidR="00A37365" w:rsidRPr="00E94D8A" w:rsidRDefault="00A37365" w:rsidP="00A37365">
      <w:r w:rsidRPr="00E94D8A">
        <w:t xml:space="preserve">En este enfoque el </w:t>
      </w:r>
      <w:r w:rsidRPr="00E94D8A">
        <w:rPr>
          <w:b/>
        </w:rPr>
        <w:t xml:space="preserve">número total de nodos </w:t>
      </w:r>
      <w:r w:rsidRPr="00E94D8A">
        <w:t>no variaría (es decir, resulta calibrado con la información de la red actual de los operadores móviles), pero permite revisar su función o capacidad, lo que implica que el número de nodos por subtipo puede cambiar.</w:t>
      </w:r>
    </w:p>
    <w:p w14:paraId="4B96289B" w14:textId="77777777" w:rsidR="00DD4350" w:rsidRPr="00E94D8A" w:rsidDel="00E53686" w:rsidRDefault="0043475A" w:rsidP="00DD4350">
      <w:pPr>
        <w:pStyle w:val="B1"/>
        <w:pBdr>
          <w:top w:val="single" w:sz="4" w:space="2" w:color="D9D9D9" w:themeColor="background1" w:themeShade="D9"/>
          <w:bottom w:val="single" w:sz="4" w:space="5" w:color="D9D9D9" w:themeColor="background1" w:themeShade="D9"/>
        </w:pBdr>
        <w:shd w:val="clear" w:color="auto" w:fill="F2F2F2" w:themeFill="background1" w:themeFillShade="F2"/>
      </w:pPr>
      <w:bookmarkStart w:id="63" w:name="_Ref321211131"/>
      <w:bookmarkStart w:id="64" w:name="_Ref321211713"/>
      <w:bookmarkStart w:id="65" w:name="_Ref321211749"/>
      <w:r>
        <w:rPr>
          <w:b/>
          <w:bCs/>
        </w:rPr>
        <w:t>Concepto propuesto</w:t>
      </w:r>
      <w:r w:rsidR="00DD4350" w:rsidRPr="00E94D8A">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14</w:t>
      </w:r>
      <w:r w:rsidR="00CB05BF" w:rsidRPr="00E94D8A">
        <w:rPr>
          <w:b/>
          <w:color w:val="000000" w:themeColor="text1"/>
        </w:rPr>
        <w:fldChar w:fldCharType="end"/>
      </w:r>
      <w:r w:rsidR="00DD4350">
        <w:t>: T</w:t>
      </w:r>
      <w:r w:rsidR="00DD4350" w:rsidRPr="00E94D8A">
        <w:t xml:space="preserve">al y como </w:t>
      </w:r>
      <w:r w:rsidR="006A5EAF">
        <w:t>el IFT</w:t>
      </w:r>
      <w:r w:rsidR="00DD4350" w:rsidRPr="00E94D8A">
        <w:t xml:space="preserve"> </w:t>
      </w:r>
      <w:r w:rsidR="00DD4350">
        <w:t>dispone</w:t>
      </w:r>
      <w:r w:rsidR="00DD4350" w:rsidRPr="00E94D8A">
        <w:t xml:space="preserve"> en su</w:t>
      </w:r>
      <w:r w:rsidR="00600CDE">
        <w:t>s lineamientos</w:t>
      </w:r>
      <w:r w:rsidR="002B6344">
        <w:t>,</w:t>
      </w:r>
      <w:r w:rsidR="00F07837">
        <w:t xml:space="preserve"> </w:t>
      </w:r>
      <w:r w:rsidR="00DD4350" w:rsidRPr="00E94D8A">
        <w:t>las redes fija</w:t>
      </w:r>
      <w:r w:rsidR="00DD4350">
        <w:t>s</w:t>
      </w:r>
      <w:r w:rsidR="00DD4350" w:rsidRPr="00E94D8A">
        <w:t xml:space="preserve"> y móvil</w:t>
      </w:r>
      <w:r w:rsidR="00DD4350">
        <w:t>es</w:t>
      </w:r>
      <w:r w:rsidR="00DD4350" w:rsidRPr="00E94D8A">
        <w:t xml:space="preserve"> se modela</w:t>
      </w:r>
      <w:r w:rsidR="00516347">
        <w:t>rá</w:t>
      </w:r>
      <w:r w:rsidR="00DD4350" w:rsidRPr="00E94D8A">
        <w:t xml:space="preserve">n siguiendo un enfoque </w:t>
      </w:r>
      <w:proofErr w:type="spellStart"/>
      <w:r w:rsidR="00DD4350" w:rsidRPr="007858D8">
        <w:rPr>
          <w:i/>
        </w:rPr>
        <w:t>scorched</w:t>
      </w:r>
      <w:proofErr w:type="spellEnd"/>
      <w:r w:rsidR="00DD4350" w:rsidRPr="007858D8">
        <w:rPr>
          <w:i/>
        </w:rPr>
        <w:t xml:space="preserve"> </w:t>
      </w:r>
      <w:proofErr w:type="spellStart"/>
      <w:r w:rsidR="00DD4350" w:rsidRPr="007858D8">
        <w:rPr>
          <w:i/>
        </w:rPr>
        <w:t>earth</w:t>
      </w:r>
      <w:proofErr w:type="spellEnd"/>
      <w:r w:rsidR="00DD4350">
        <w:t>,</w:t>
      </w:r>
      <w:r w:rsidR="00DD4350" w:rsidRPr="00E94D8A">
        <w:t xml:space="preserve"> el cual se calibra</w:t>
      </w:r>
      <w:r w:rsidR="00516347">
        <w:t>rá</w:t>
      </w:r>
      <w:r w:rsidR="00B56A98" w:rsidRPr="007A6EED">
        <w:t xml:space="preserve"> con los datos </w:t>
      </w:r>
      <w:r w:rsidR="007A6EED" w:rsidRPr="007A6EED">
        <w:t xml:space="preserve">de red </w:t>
      </w:r>
      <w:r w:rsidR="00B56A98" w:rsidRPr="007A6EED">
        <w:t>pr</w:t>
      </w:r>
      <w:r w:rsidR="007A6EED">
        <w:t>oporcionados por los operadores</w:t>
      </w:r>
      <w:r w:rsidR="00DD4350" w:rsidRPr="00E94D8A">
        <w:t>.</w:t>
      </w:r>
    </w:p>
    <w:p w14:paraId="5AA0A1C4" w14:textId="77777777" w:rsidR="00A37365" w:rsidRPr="00E94D8A" w:rsidRDefault="00A37365" w:rsidP="00A37365">
      <w:pPr>
        <w:pStyle w:val="Ttulo1"/>
        <w:rPr>
          <w:lang w:val="es-ES"/>
        </w:rPr>
      </w:pPr>
      <w:bookmarkStart w:id="66" w:name="_Ref329160462"/>
      <w:bookmarkStart w:id="67" w:name="_Toc454893683"/>
      <w:r w:rsidRPr="00E94D8A">
        <w:rPr>
          <w:lang w:val="es-ES"/>
        </w:rPr>
        <w:lastRenderedPageBreak/>
        <w:t>Aspectos relacionados con los servicios</w:t>
      </w:r>
      <w:bookmarkEnd w:id="63"/>
      <w:bookmarkEnd w:id="64"/>
      <w:bookmarkEnd w:id="65"/>
      <w:bookmarkEnd w:id="66"/>
      <w:bookmarkEnd w:id="67"/>
    </w:p>
    <w:p w14:paraId="5F6AC5C7" w14:textId="77777777" w:rsidR="00A37365" w:rsidRPr="00E94D8A" w:rsidRDefault="00A37365" w:rsidP="00A37365">
      <w:pPr>
        <w:rPr>
          <w:rStyle w:val="apple-style-span"/>
          <w:color w:val="000000"/>
          <w:spacing w:val="-4"/>
        </w:rPr>
      </w:pPr>
      <w:r w:rsidRPr="00E94D8A">
        <w:rPr>
          <w:rStyle w:val="apple-style-span"/>
          <w:color w:val="000000"/>
          <w:spacing w:val="-4"/>
        </w:rPr>
        <w:t xml:space="preserve">Un aspecto fundamental de los modelos es calcular el costo de los servicios en el </w:t>
      </w:r>
      <w:r w:rsidR="005D15C8">
        <w:rPr>
          <w:rStyle w:val="apple-style-span"/>
          <w:color w:val="000000"/>
          <w:spacing w:val="-4"/>
        </w:rPr>
        <w:t>m</w:t>
      </w:r>
      <w:r w:rsidR="005D15C8" w:rsidRPr="00E94D8A">
        <w:rPr>
          <w:rStyle w:val="apple-style-span"/>
          <w:color w:val="000000"/>
          <w:spacing w:val="-4"/>
        </w:rPr>
        <w:t>ercado</w:t>
      </w:r>
      <w:r w:rsidR="005D15C8">
        <w:rPr>
          <w:rStyle w:val="apple-style-span"/>
          <w:color w:val="000000"/>
          <w:spacing w:val="-4"/>
        </w:rPr>
        <w:t xml:space="preserve"> de </w:t>
      </w:r>
      <w:r w:rsidRPr="00E94D8A">
        <w:rPr>
          <w:rStyle w:val="apple-style-span"/>
          <w:color w:val="000000"/>
          <w:spacing w:val="-4"/>
        </w:rPr>
        <w:t xml:space="preserve">terminación de llamadas en redes telefónicas públicas individuales facilitada en una ubicación fija) y en el </w:t>
      </w:r>
      <w:r w:rsidR="005D15C8">
        <w:rPr>
          <w:rStyle w:val="apple-style-span"/>
          <w:color w:val="000000"/>
          <w:spacing w:val="-4"/>
        </w:rPr>
        <w:t>m</w:t>
      </w:r>
      <w:r w:rsidR="005D15C8" w:rsidRPr="00E94D8A">
        <w:rPr>
          <w:rStyle w:val="apple-style-span"/>
          <w:color w:val="000000"/>
          <w:spacing w:val="-4"/>
        </w:rPr>
        <w:t xml:space="preserve">ercado </w:t>
      </w:r>
      <w:r w:rsidR="005D15C8">
        <w:rPr>
          <w:rStyle w:val="apple-style-span"/>
          <w:color w:val="000000"/>
          <w:spacing w:val="-4"/>
        </w:rPr>
        <w:t xml:space="preserve"> de </w:t>
      </w:r>
      <w:r w:rsidRPr="00E94D8A">
        <w:rPr>
          <w:rStyle w:val="apple-style-span"/>
          <w:color w:val="000000"/>
          <w:spacing w:val="-4"/>
        </w:rPr>
        <w:t>terminación de llamadas de voz en redes móviles individuales.</w:t>
      </w:r>
      <w:r w:rsidRPr="00E94D8A">
        <w:rPr>
          <w:rStyle w:val="apple-converted-space"/>
          <w:color w:val="000000"/>
          <w:spacing w:val="-4"/>
          <w:sz w:val="27"/>
          <w:szCs w:val="27"/>
        </w:rPr>
        <w:t xml:space="preserve"> </w:t>
      </w:r>
      <w:r w:rsidRPr="00E94D8A">
        <w:rPr>
          <w:rStyle w:val="apple-style-span"/>
          <w:color w:val="000000"/>
          <w:spacing w:val="-4"/>
        </w:rPr>
        <w:t>Sin embargo, las redes fijas y móviles suelen transportar una amplia gama de servicios.</w:t>
      </w:r>
      <w:r w:rsidRPr="00E94D8A">
        <w:rPr>
          <w:rStyle w:val="apple-style-span"/>
          <w:spacing w:val="-4"/>
        </w:rPr>
        <w:t xml:space="preserve"> La medida en la que el operador modelado puede ofrecer servicios en las zonas donde tiene cobertura determina las economías de alcance del operador</w:t>
      </w:r>
      <w:r w:rsidRPr="00E94D8A">
        <w:rPr>
          <w:rStyle w:val="apple-style-span"/>
          <w:color w:val="000000"/>
          <w:spacing w:val="-4"/>
        </w:rPr>
        <w:t xml:space="preserve">, y </w:t>
      </w:r>
      <w:r w:rsidR="00B55E65">
        <w:rPr>
          <w:rStyle w:val="apple-style-span"/>
          <w:color w:val="000000"/>
          <w:spacing w:val="-4"/>
        </w:rPr>
        <w:t>en consecuencia</w:t>
      </w:r>
      <w:r w:rsidRPr="00E94D8A">
        <w:rPr>
          <w:rStyle w:val="apple-style-span"/>
          <w:color w:val="000000"/>
          <w:spacing w:val="-4"/>
        </w:rPr>
        <w:t xml:space="preserve"> este aspecto debe ser considerado en los modelos</w:t>
      </w:r>
      <w:r w:rsidRPr="00E94D8A">
        <w:rPr>
          <w:rStyle w:val="apple-style-span"/>
          <w:spacing w:val="-4"/>
        </w:rPr>
        <w:t>.</w:t>
      </w:r>
      <w:r w:rsidRPr="00E94D8A">
        <w:rPr>
          <w:rStyle w:val="apple-style-span"/>
          <w:color w:val="000000"/>
          <w:spacing w:val="-4"/>
        </w:rPr>
        <w:t xml:space="preserve"> Por tanto, esta sección </w:t>
      </w:r>
      <w:r w:rsidRPr="00E94D8A">
        <w:t>examina los aspectos conceptuales relacionados con los servicios que se examinarán en los modelos y está estructurada como sigue:</w:t>
      </w:r>
    </w:p>
    <w:p w14:paraId="1E323A83" w14:textId="5024C2B7" w:rsidR="00A37365" w:rsidRPr="00E94D8A" w:rsidRDefault="00A37365" w:rsidP="00A37365">
      <w:pPr>
        <w:pStyle w:val="L1"/>
        <w:numPr>
          <w:ilvl w:val="0"/>
          <w:numId w:val="18"/>
        </w:numPr>
      </w:pPr>
      <w:r w:rsidRPr="00E94D8A">
        <w:t>servicios a modelar (Sección</w:t>
      </w:r>
      <w:r w:rsidR="002101FE">
        <w:t xml:space="preserve"> </w:t>
      </w:r>
      <w:r w:rsidR="00E94D8A">
        <w:fldChar w:fldCharType="begin"/>
      </w:r>
      <w:r w:rsidR="00E94D8A">
        <w:instrText xml:space="preserve"> REF _Ref321212352 \r \h </w:instrText>
      </w:r>
      <w:r w:rsidR="00E94D8A">
        <w:fldChar w:fldCharType="separate"/>
      </w:r>
      <w:r w:rsidR="00B426BC">
        <w:t>5.1</w:t>
      </w:r>
      <w:r w:rsidR="00E94D8A">
        <w:fldChar w:fldCharType="end"/>
      </w:r>
      <w:r w:rsidRPr="00E94D8A">
        <w:t>)</w:t>
      </w:r>
    </w:p>
    <w:p w14:paraId="07FB778E" w14:textId="40EFDE91" w:rsidR="00A37365" w:rsidRPr="00E94D8A" w:rsidRDefault="00A37365" w:rsidP="00A37365">
      <w:pPr>
        <w:pStyle w:val="L1"/>
        <w:numPr>
          <w:ilvl w:val="0"/>
          <w:numId w:val="18"/>
        </w:numPr>
      </w:pPr>
      <w:r w:rsidRPr="00E94D8A">
        <w:t>volúmenes de tráfico (Sección</w:t>
      </w:r>
      <w:r w:rsidR="002101FE">
        <w:t xml:space="preserve"> </w:t>
      </w:r>
      <w:r w:rsidR="0090240B">
        <w:t>5.2</w:t>
      </w:r>
      <w:r w:rsidRPr="00E94D8A">
        <w:t>)</w:t>
      </w:r>
    </w:p>
    <w:p w14:paraId="55262C65" w14:textId="4B658856" w:rsidR="00A37365" w:rsidRPr="00E94D8A" w:rsidRDefault="00CE4B8A" w:rsidP="00A37365">
      <w:pPr>
        <w:pStyle w:val="L1"/>
        <w:numPr>
          <w:ilvl w:val="0"/>
          <w:numId w:val="18"/>
        </w:numPr>
        <w:spacing w:after="240"/>
        <w:ind w:left="357" w:hanging="357"/>
      </w:pPr>
      <w:r>
        <w:t>costo</w:t>
      </w:r>
      <w:r w:rsidR="00A37365" w:rsidRPr="00E94D8A">
        <w:t>s mayoristas y minoristas (Sección</w:t>
      </w:r>
      <w:r w:rsidR="002101FE">
        <w:t xml:space="preserve"> </w:t>
      </w:r>
      <w:r w:rsidR="0090240B">
        <w:t>5.3</w:t>
      </w:r>
      <w:r w:rsidR="00A37365" w:rsidRPr="00E94D8A">
        <w:t>).</w:t>
      </w:r>
    </w:p>
    <w:p w14:paraId="3482062B" w14:textId="77777777" w:rsidR="00A37365" w:rsidRPr="00E94D8A" w:rsidRDefault="00A37365" w:rsidP="00A37365">
      <w:pPr>
        <w:pStyle w:val="Ttulo2"/>
      </w:pPr>
      <w:bookmarkStart w:id="68" w:name="_Ref321212352"/>
      <w:bookmarkStart w:id="69" w:name="_Toc454893684"/>
      <w:r w:rsidRPr="00E94D8A">
        <w:t>Servicios a modelar</w:t>
      </w:r>
      <w:bookmarkEnd w:id="68"/>
      <w:bookmarkEnd w:id="69"/>
    </w:p>
    <w:p w14:paraId="7B33738A" w14:textId="77777777" w:rsidR="00A37365" w:rsidRPr="00E94D8A" w:rsidRDefault="00A37365" w:rsidP="00A37365">
      <w:pPr>
        <w:rPr>
          <w:rStyle w:val="apple-style-span"/>
        </w:rPr>
      </w:pPr>
      <w:r w:rsidRPr="00E94D8A">
        <w:rPr>
          <w:rStyle w:val="apple-style-span"/>
        </w:rPr>
        <w:t>Las economías de alcance derivadas de la prestación de servicios de voz y datos a través de una única infraestructura resultarán en un costo unitario menor de los servicios de voz y datos. Esto es particularmente cierto para redes basadas en una arquitectura de nueva generación, donde los servicios de voz y datos pueden ser transportados a través de una plataforma única.</w:t>
      </w:r>
    </w:p>
    <w:p w14:paraId="7FE45FC1" w14:textId="77777777" w:rsidR="00A37365" w:rsidRPr="00E94D8A" w:rsidRDefault="00A37365" w:rsidP="00A37365">
      <w:pPr>
        <w:rPr>
          <w:rStyle w:val="apple-style-span"/>
        </w:rPr>
      </w:pPr>
      <w:r w:rsidRPr="00E94D8A">
        <w:rPr>
          <w:rStyle w:val="apple-style-span"/>
        </w:rPr>
        <w:t>Por consiguiente, se debe incluir una lista completa de los servicios de voz y datos en el modelo, y se deberá asignar una proporción de los costos de red a estos servicios. Esto implica también que tanto los usuarios finales como los servicios mayoristas de voz tendrán que ser modelados para que la plataforma de voz esté correctamente dimensionada y los costos sean totalmente recuperados a través de los volúmenes de tráfico correspondientes.</w:t>
      </w:r>
    </w:p>
    <w:p w14:paraId="773A5B3B" w14:textId="602C3DC0" w:rsidR="00A37365" w:rsidRPr="00E94D8A" w:rsidRDefault="00A37365" w:rsidP="00A37365">
      <w:pPr>
        <w:rPr>
          <w:rStyle w:val="apple-style-span"/>
        </w:rPr>
      </w:pPr>
      <w:r w:rsidRPr="00E94D8A">
        <w:rPr>
          <w:rStyle w:val="apple-style-span"/>
        </w:rPr>
        <w:t xml:space="preserve">La inclusión de los servicios de voz y datos en el modelo aumenta la complejidad de los cálculos y de los datos necesarios para sustentarlos. Sin embargo, la exclusión de los costos relacionados con servicios </w:t>
      </w:r>
      <w:r w:rsidR="00E15ECF">
        <w:rPr>
          <w:rStyle w:val="apple-style-span"/>
        </w:rPr>
        <w:t>que no son de voz</w:t>
      </w:r>
      <w:r w:rsidRPr="00E94D8A">
        <w:rPr>
          <w:rStyle w:val="apple-style-span"/>
        </w:rPr>
        <w:t xml:space="preserve"> (y el desarrollo de un modelo de costos de voz independiente) puede ser también un proceso complejo.</w:t>
      </w:r>
      <w:r w:rsidRPr="00E94D8A">
        <w:rPr>
          <w:rStyle w:val="Refdenotaalpie"/>
        </w:rPr>
        <w:footnoteReference w:id="22"/>
      </w:r>
    </w:p>
    <w:p w14:paraId="14CAEAD6" w14:textId="41935A29" w:rsidR="00A37365" w:rsidRPr="00E94D8A" w:rsidRDefault="00A37365" w:rsidP="00A37365">
      <w:pPr>
        <w:rPr>
          <w:rStyle w:val="apple-style-span"/>
        </w:rPr>
      </w:pPr>
      <w:r w:rsidRPr="00E94D8A">
        <w:rPr>
          <w:rStyle w:val="apple-style-span"/>
        </w:rPr>
        <w:t xml:space="preserve">Algunos de los servicios </w:t>
      </w:r>
      <w:r w:rsidR="00E15ECF">
        <w:rPr>
          <w:rStyle w:val="apple-style-span"/>
        </w:rPr>
        <w:t>que no son de voz</w:t>
      </w:r>
      <w:r w:rsidRPr="00E94D8A">
        <w:rPr>
          <w:rStyle w:val="apple-style-span"/>
        </w:rPr>
        <w:t xml:space="preserve"> son servicios </w:t>
      </w:r>
      <w:r w:rsidR="005B4A34">
        <w:rPr>
          <w:rStyle w:val="apple-style-span"/>
        </w:rPr>
        <w:t xml:space="preserve">bien conocidos </w:t>
      </w:r>
      <w:r w:rsidRPr="00E94D8A">
        <w:rPr>
          <w:rStyle w:val="apple-style-span"/>
        </w:rPr>
        <w:t xml:space="preserve"> (principalmente servicios como los SMS en redes móviles, o el acceso a Internet de banda ancha fija). Sin embargo, otros servicios </w:t>
      </w:r>
      <w:r w:rsidR="00E15ECF">
        <w:rPr>
          <w:rStyle w:val="apple-style-span"/>
        </w:rPr>
        <w:t>que no son de voz</w:t>
      </w:r>
      <w:r w:rsidRPr="00E94D8A">
        <w:rPr>
          <w:rStyle w:val="apple-style-span"/>
        </w:rPr>
        <w:t xml:space="preserve"> como la banda ancha móvil pueden dar lugar a incertidumbre sobre sus previsiones de evolución cuando se incluyen en los precios regulados del tráfico de voz. Será necesario entender las implicaciones de la incertidumbre asociada con las previsiones de los </w:t>
      </w:r>
      <w:r w:rsidRPr="00E94D8A">
        <w:rPr>
          <w:rStyle w:val="apple-style-span"/>
        </w:rPr>
        <w:lastRenderedPageBreak/>
        <w:t xml:space="preserve">servicios </w:t>
      </w:r>
      <w:r w:rsidR="00E15ECF">
        <w:rPr>
          <w:rStyle w:val="apple-style-span"/>
        </w:rPr>
        <w:t>que no son de voz</w:t>
      </w:r>
      <w:r w:rsidRPr="00E94D8A">
        <w:rPr>
          <w:rStyle w:val="apple-style-span"/>
        </w:rPr>
        <w:t xml:space="preserve"> para los costos de tráfico de voz, para lo que se podrán desarrollar una serie de escenarios con diferentes parámetros de evolución para su comprensión.</w:t>
      </w:r>
    </w:p>
    <w:p w14:paraId="479FC5B8" w14:textId="4CF6AB90" w:rsidR="00A37365" w:rsidRPr="00E94D8A" w:rsidRDefault="00A37365" w:rsidP="00A37365">
      <w:r w:rsidRPr="00E94D8A">
        <w:rPr>
          <w:rStyle w:val="apple-style-span"/>
        </w:rPr>
        <w:t xml:space="preserve">Será necesario analizar y comprender el efecto que pueden llegar a tener las previsiones de demanda de servicios </w:t>
      </w:r>
      <w:r w:rsidR="005F044C">
        <w:rPr>
          <w:rStyle w:val="apple-style-span"/>
        </w:rPr>
        <w:t>que no son de voz</w:t>
      </w:r>
      <w:r w:rsidRPr="00E94D8A">
        <w:rPr>
          <w:rStyle w:val="apple-style-span"/>
        </w:rPr>
        <w:t xml:space="preserve"> en los costos de los servicios de voz. Para ello, sería recomendable desarrollar una serie de escenarios que nos permitieran comprender mejor las implicaciones correspondientes. </w:t>
      </w:r>
    </w:p>
    <w:p w14:paraId="5771039A" w14:textId="2E2096E5" w:rsidR="00C458BA" w:rsidRPr="00E94D8A" w:rsidRDefault="0043475A" w:rsidP="00C458BA">
      <w:pPr>
        <w:pStyle w:val="B1"/>
        <w:pBdr>
          <w:top w:val="single" w:sz="4" w:space="2" w:color="D9D9D9" w:themeColor="background1" w:themeShade="D9"/>
          <w:bottom w:val="single" w:sz="4" w:space="5" w:color="D9D9D9" w:themeColor="background1" w:themeShade="D9"/>
        </w:pBdr>
        <w:shd w:val="clear" w:color="auto" w:fill="F2F2F2" w:themeFill="background1" w:themeFillShade="F2"/>
      </w:pPr>
      <w:r>
        <w:rPr>
          <w:b/>
          <w:bCs/>
        </w:rPr>
        <w:t>Concepto propuesto</w:t>
      </w:r>
      <w:r w:rsidR="00C458BA" w:rsidRPr="00E94D8A">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15</w:t>
      </w:r>
      <w:r w:rsidR="00CB05BF" w:rsidRPr="00E94D8A">
        <w:rPr>
          <w:b/>
          <w:color w:val="000000" w:themeColor="text1"/>
        </w:rPr>
        <w:fldChar w:fldCharType="end"/>
      </w:r>
      <w:r w:rsidR="00C458BA" w:rsidRPr="00E94D8A">
        <w:t xml:space="preserve">: El operador modelado debe proporcionar todos los servicios comunes </w:t>
      </w:r>
      <w:r w:rsidR="005F044C">
        <w:t>que no son de voz</w:t>
      </w:r>
      <w:r w:rsidR="00C458BA" w:rsidRPr="00E94D8A">
        <w:t xml:space="preserve"> (existentes y en el futuro) disponibles en México (acceso de banda ancha, SMS fijos y móviles, enlaces dedicados), así como los servicios de voz (</w:t>
      </w:r>
      <w:proofErr w:type="spellStart"/>
      <w:r w:rsidR="00C458BA" w:rsidRPr="00E94D8A">
        <w:t>originación</w:t>
      </w:r>
      <w:proofErr w:type="spellEnd"/>
      <w:r w:rsidR="00C458BA" w:rsidRPr="00E94D8A">
        <w:t xml:space="preserve"> y terminación de voz, </w:t>
      </w:r>
      <w:proofErr w:type="spellStart"/>
      <w:r w:rsidR="00C458BA" w:rsidRPr="00E94D8A">
        <w:t>VoIP</w:t>
      </w:r>
      <w:proofErr w:type="spellEnd"/>
      <w:r w:rsidR="00C458BA" w:rsidRPr="00E94D8A">
        <w:t>, tránsito e interconexión)</w:t>
      </w:r>
      <w:r w:rsidR="005B4A34">
        <w:t xml:space="preserve"> que tengan volúmenes de tráfico relevante</w:t>
      </w:r>
      <w:r w:rsidR="00C458BA" w:rsidRPr="00E94D8A">
        <w:t xml:space="preserve">. </w:t>
      </w:r>
      <w:r w:rsidR="00C458BA" w:rsidRPr="00CD1E21">
        <w:t>El operador hipotético tendrá un perfil de tráfico</w:t>
      </w:r>
      <w:r w:rsidR="00CD1E21">
        <w:t xml:space="preserve"> por servicio</w:t>
      </w:r>
      <w:r w:rsidR="00C458BA" w:rsidRPr="00CD1E21">
        <w:t xml:space="preserve"> igual al promedio del mercado</w:t>
      </w:r>
      <w:r w:rsidR="00CD1E21">
        <w:t xml:space="preserve"> basado</w:t>
      </w:r>
      <w:r w:rsidR="00C458BA" w:rsidRPr="00CD1E21">
        <w:t xml:space="preserve"> en las estadísticas de tráfico proporcionadas por </w:t>
      </w:r>
      <w:r w:rsidR="006A5EAF">
        <w:t>el IFT</w:t>
      </w:r>
      <w:r w:rsidR="00C458BA" w:rsidRPr="00CD1E21">
        <w:t>.</w:t>
      </w:r>
    </w:p>
    <w:p w14:paraId="25A40A08" w14:textId="77777777" w:rsidR="00A37365" w:rsidRPr="00E94D8A" w:rsidRDefault="00A37365" w:rsidP="0090240B">
      <w:pPr>
        <w:pStyle w:val="Ttulo3"/>
      </w:pPr>
      <w:r w:rsidRPr="00E94D8A">
        <w:t>Servicios que se ofrecen a través de redes fijas</w:t>
      </w:r>
    </w:p>
    <w:p w14:paraId="21219BA4" w14:textId="0EE18F74" w:rsidR="00A37365" w:rsidRPr="00E94D8A" w:rsidRDefault="00A37365" w:rsidP="00A37365">
      <w:pPr>
        <w:rPr>
          <w:rStyle w:val="apple-style-span"/>
          <w:color w:val="000000"/>
        </w:rPr>
      </w:pPr>
      <w:r w:rsidRPr="00E94D8A">
        <w:rPr>
          <w:rStyle w:val="apple-converted-space"/>
          <w:color w:val="000000"/>
        </w:rPr>
        <w:t xml:space="preserve">La </w:t>
      </w:r>
      <w:r w:rsidR="00E94D8A">
        <w:rPr>
          <w:rStyle w:val="apple-converted-space"/>
          <w:color w:val="000000"/>
        </w:rPr>
        <w:fldChar w:fldCharType="begin"/>
      </w:r>
      <w:r w:rsidR="00E94D8A">
        <w:rPr>
          <w:rStyle w:val="apple-converted-space"/>
          <w:color w:val="000000"/>
        </w:rPr>
        <w:instrText xml:space="preserve"> REF _Ref321212402 \h </w:instrText>
      </w:r>
      <w:r w:rsidR="00E94D8A">
        <w:rPr>
          <w:rStyle w:val="apple-converted-space"/>
          <w:color w:val="000000"/>
        </w:rPr>
      </w:r>
      <w:r w:rsidR="00E94D8A">
        <w:rPr>
          <w:rStyle w:val="apple-converted-space"/>
          <w:color w:val="000000"/>
        </w:rPr>
        <w:fldChar w:fldCharType="separate"/>
      </w:r>
      <w:r w:rsidR="00B426BC" w:rsidRPr="00E94D8A">
        <w:t>Figur</w:t>
      </w:r>
      <w:r w:rsidR="00B426BC">
        <w:t>a</w:t>
      </w:r>
      <w:r w:rsidR="00B426BC" w:rsidRPr="00E94D8A">
        <w:t xml:space="preserve"> </w:t>
      </w:r>
      <w:r w:rsidR="00B426BC">
        <w:rPr>
          <w:noProof/>
        </w:rPr>
        <w:t>5</w:t>
      </w:r>
      <w:r w:rsidR="00B426BC" w:rsidRPr="00E94D8A">
        <w:t>.</w:t>
      </w:r>
      <w:r w:rsidR="00B426BC">
        <w:rPr>
          <w:noProof/>
        </w:rPr>
        <w:t>1</w:t>
      </w:r>
      <w:r w:rsidR="00E94D8A">
        <w:rPr>
          <w:rStyle w:val="apple-converted-space"/>
          <w:color w:val="000000"/>
        </w:rPr>
        <w:fldChar w:fldCharType="end"/>
      </w:r>
      <w:r w:rsidR="00E94D8A">
        <w:rPr>
          <w:rStyle w:val="apple-converted-space"/>
          <w:color w:val="000000"/>
        </w:rPr>
        <w:t xml:space="preserve"> </w:t>
      </w:r>
      <w:r w:rsidRPr="00E94D8A">
        <w:rPr>
          <w:rStyle w:val="apple-converted-space"/>
          <w:color w:val="000000"/>
        </w:rPr>
        <w:t xml:space="preserve">presenta </w:t>
      </w:r>
      <w:r w:rsidRPr="00E94D8A">
        <w:rPr>
          <w:rStyle w:val="apple-style-span"/>
          <w:color w:val="000000"/>
        </w:rPr>
        <w:t>una serie de servicios de voz.</w:t>
      </w:r>
      <w:r w:rsidRPr="00E94D8A">
        <w:rPr>
          <w:rStyle w:val="apple-converted-space"/>
          <w:color w:val="000000"/>
          <w:sz w:val="27"/>
          <w:szCs w:val="27"/>
        </w:rPr>
        <w:t xml:space="preserve"> </w:t>
      </w:r>
      <w:r w:rsidRPr="00E94D8A">
        <w:rPr>
          <w:rStyle w:val="apple-style-span"/>
          <w:color w:val="000000"/>
        </w:rPr>
        <w:t>Estos servicios contribuyen a</w:t>
      </w:r>
      <w:r w:rsidR="009540B8">
        <w:rPr>
          <w:rStyle w:val="apple-style-span"/>
          <w:color w:val="000000"/>
        </w:rPr>
        <w:t>l despliegue de la red troncal.</w:t>
      </w:r>
    </w:p>
    <w:p w14:paraId="215CA80A" w14:textId="77777777" w:rsidR="00A37365" w:rsidRDefault="00A37365" w:rsidP="00E94D8A">
      <w:pPr>
        <w:pStyle w:val="Descripcin"/>
        <w:spacing w:line="240" w:lineRule="atLeast"/>
        <w:rPr>
          <w:lang w:val="es-ES"/>
        </w:rPr>
      </w:pPr>
      <w:bookmarkStart w:id="70" w:name="_Ref321212402"/>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5</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SEQ Ilustración \* ARABIC \s 1 \* MERGEFORMAT </w:instrText>
      </w:r>
      <w:r w:rsidRPr="00E94D8A">
        <w:rPr>
          <w:lang w:val="es-ES"/>
        </w:rPr>
        <w:fldChar w:fldCharType="separate"/>
      </w:r>
      <w:r w:rsidR="00B426BC">
        <w:rPr>
          <w:noProof/>
          <w:lang w:val="es-ES"/>
        </w:rPr>
        <w:t>1</w:t>
      </w:r>
      <w:r w:rsidRPr="00E94D8A">
        <w:rPr>
          <w:lang w:val="es-ES"/>
        </w:rPr>
        <w:fldChar w:fldCharType="end"/>
      </w:r>
      <w:bookmarkEnd w:id="70"/>
      <w:r w:rsidRPr="00E94D8A">
        <w:rPr>
          <w:lang w:val="es-ES"/>
        </w:rPr>
        <w:t xml:space="preserve">: Servicios que se ofrecen a través de redes fijas [Fuente: </w:t>
      </w:r>
      <w:proofErr w:type="spellStart"/>
      <w:r w:rsidRPr="00E94D8A">
        <w:rPr>
          <w:lang w:val="es-ES"/>
        </w:rPr>
        <w:t>Analysys</w:t>
      </w:r>
      <w:proofErr w:type="spellEnd"/>
      <w:r w:rsidRPr="00E94D8A">
        <w:rPr>
          <w:lang w:val="es-ES"/>
        </w:rPr>
        <w:t xml:space="preserve"> Mason]</w:t>
      </w:r>
      <w:r w:rsidRPr="00E94D8A">
        <w:rPr>
          <w:lang w:val="es-ES"/>
        </w:rPr>
        <w:br/>
        <w:t xml:space="preserve">Nota: Las llamadas salientes mayoristas corresponden al servicio de </w:t>
      </w:r>
      <w:proofErr w:type="spellStart"/>
      <w:r w:rsidRPr="00E94D8A">
        <w:rPr>
          <w:lang w:val="es-ES"/>
        </w:rPr>
        <w:t>originación</w:t>
      </w:r>
      <w:proofErr w:type="spellEnd"/>
      <w:r w:rsidRPr="00E94D8A">
        <w:rPr>
          <w:lang w:val="es-ES"/>
        </w:rPr>
        <w:t>, mientras que las llamadas entrantes mayoristas corresponden al servicio de terminación</w:t>
      </w:r>
    </w:p>
    <w:tbl>
      <w:tblPr>
        <w:tblStyle w:val="Sombreadomedio2-nfasis1"/>
        <w:tblW w:w="8789" w:type="dxa"/>
        <w:tblInd w:w="108" w:type="dxa"/>
        <w:tblLook w:val="0420" w:firstRow="1" w:lastRow="0" w:firstColumn="0" w:lastColumn="0" w:noHBand="0" w:noVBand="1"/>
        <w:tblCaption w:val="Figura 5.1"/>
        <w:tblDescription w:val="Servicios que se ofrecen a través de redes fijas, Fuente: Analysys Mason&#10;Nota: Las llamadas salientes mayoristas corresponden al servicio de originación, mientras que las llamadas entrantes mayoristas corresponden al servicio de terminación"/>
      </w:tblPr>
      <w:tblGrid>
        <w:gridCol w:w="2268"/>
        <w:gridCol w:w="6521"/>
      </w:tblGrid>
      <w:tr w:rsidR="00A37365" w:rsidRPr="00E94D8A" w14:paraId="3F4C4A9D" w14:textId="77777777" w:rsidTr="00E94D8A">
        <w:trPr>
          <w:cnfStyle w:val="100000000000" w:firstRow="1" w:lastRow="0" w:firstColumn="0" w:lastColumn="0" w:oddVBand="0" w:evenVBand="0" w:oddHBand="0" w:evenHBand="0" w:firstRowFirstColumn="0" w:firstRowLastColumn="0" w:lastRowFirstColumn="0" w:lastRowLastColumn="0"/>
          <w:tblHeader/>
        </w:trPr>
        <w:tc>
          <w:tcPr>
            <w:tcW w:w="2268" w:type="dxa"/>
            <w:tcBorders>
              <w:top w:val="single" w:sz="18" w:space="0" w:color="221F72"/>
              <w:bottom w:val="single" w:sz="18" w:space="0" w:color="221F72"/>
            </w:tcBorders>
            <w:shd w:val="solid" w:color="221F72" w:fill="221F72"/>
          </w:tcPr>
          <w:p w14:paraId="7AA749B7" w14:textId="77777777" w:rsidR="00A37365" w:rsidRPr="00E94D8A" w:rsidRDefault="00A37365" w:rsidP="00A37365">
            <w:pPr>
              <w:pStyle w:val="Tablecells"/>
              <w:rPr>
                <w:b w:val="0"/>
                <w:color w:val="auto"/>
                <w:lang w:val="es-ES"/>
              </w:rPr>
            </w:pPr>
            <w:r w:rsidRPr="00E94D8A">
              <w:rPr>
                <w:color w:val="auto"/>
                <w:lang w:val="es-ES"/>
              </w:rPr>
              <w:t>Servicio</w:t>
            </w:r>
          </w:p>
        </w:tc>
        <w:tc>
          <w:tcPr>
            <w:tcW w:w="6521" w:type="dxa"/>
            <w:tcBorders>
              <w:top w:val="single" w:sz="18" w:space="0" w:color="221F72"/>
              <w:bottom w:val="single" w:sz="18" w:space="0" w:color="221F72"/>
            </w:tcBorders>
            <w:shd w:val="solid" w:color="221F72" w:fill="221F72"/>
          </w:tcPr>
          <w:p w14:paraId="7EC3F99F" w14:textId="77777777" w:rsidR="00A37365" w:rsidRPr="00E94D8A" w:rsidRDefault="00A37365" w:rsidP="00A37365">
            <w:pPr>
              <w:pStyle w:val="Tablecells"/>
              <w:rPr>
                <w:b w:val="0"/>
                <w:color w:val="auto"/>
                <w:lang w:val="es-ES"/>
              </w:rPr>
            </w:pPr>
            <w:r w:rsidRPr="00E94D8A">
              <w:rPr>
                <w:color w:val="auto"/>
                <w:lang w:val="es-ES"/>
              </w:rPr>
              <w:t>Descripción del servicio</w:t>
            </w:r>
          </w:p>
        </w:tc>
      </w:tr>
      <w:tr w:rsidR="003B2D67" w:rsidRPr="003B2D67" w14:paraId="1A15EEC7" w14:textId="77777777" w:rsidTr="00E94D8A">
        <w:trPr>
          <w:cnfStyle w:val="000000100000" w:firstRow="0" w:lastRow="0" w:firstColumn="0" w:lastColumn="0" w:oddVBand="0" w:evenVBand="0" w:oddHBand="1" w:evenHBand="0" w:firstRowFirstColumn="0" w:firstRowLastColumn="0" w:lastRowFirstColumn="0" w:lastRowLastColumn="0"/>
        </w:trPr>
        <w:tc>
          <w:tcPr>
            <w:tcW w:w="2268" w:type="dxa"/>
            <w:tcBorders>
              <w:top w:val="single" w:sz="18" w:space="0" w:color="221F72"/>
            </w:tcBorders>
          </w:tcPr>
          <w:p w14:paraId="6CD73AA1" w14:textId="77777777" w:rsidR="003B2D67" w:rsidRPr="003B2D67" w:rsidRDefault="003B2D67" w:rsidP="003B2D67">
            <w:pPr>
              <w:pStyle w:val="Tablecells"/>
              <w:rPr>
                <w:lang w:val="es-ES"/>
              </w:rPr>
            </w:pPr>
            <w:r w:rsidRPr="008653B2">
              <w:rPr>
                <w:lang w:val="es-ES"/>
              </w:rPr>
              <w:t xml:space="preserve">Llamadas salientes local </w:t>
            </w:r>
            <w:proofErr w:type="spellStart"/>
            <w:r w:rsidRPr="008653B2">
              <w:rPr>
                <w:lang w:val="es-ES"/>
              </w:rPr>
              <w:t>on</w:t>
            </w:r>
            <w:proofErr w:type="spellEnd"/>
            <w:r w:rsidRPr="008653B2">
              <w:rPr>
                <w:lang w:val="es-ES"/>
              </w:rPr>
              <w:t>-net</w:t>
            </w:r>
          </w:p>
        </w:tc>
        <w:tc>
          <w:tcPr>
            <w:tcW w:w="6521" w:type="dxa"/>
            <w:tcBorders>
              <w:top w:val="single" w:sz="18" w:space="0" w:color="221F72"/>
            </w:tcBorders>
          </w:tcPr>
          <w:p w14:paraId="17F12B47" w14:textId="77777777" w:rsidR="003B2D67" w:rsidRPr="008653B2" w:rsidRDefault="005C730C" w:rsidP="005C730C">
            <w:pPr>
              <w:pStyle w:val="Tablecells"/>
              <w:rPr>
                <w:lang w:val="es-ES"/>
              </w:rPr>
            </w:pPr>
            <w:r w:rsidRPr="008653B2">
              <w:rPr>
                <w:lang w:val="es-ES"/>
              </w:rPr>
              <w:t>Llamadas de voz entre dos suscriptores minoristas del operador fijo modelado dentro de la misma zona de tarificación de llamada.</w:t>
            </w:r>
          </w:p>
        </w:tc>
      </w:tr>
      <w:tr w:rsidR="003B2D67" w:rsidRPr="00E94D8A" w14:paraId="6E109EAB" w14:textId="77777777" w:rsidTr="00E94D8A">
        <w:tc>
          <w:tcPr>
            <w:tcW w:w="2268" w:type="dxa"/>
            <w:tcBorders>
              <w:bottom w:val="nil"/>
            </w:tcBorders>
          </w:tcPr>
          <w:p w14:paraId="567613AB" w14:textId="77777777" w:rsidR="003B2D67" w:rsidRPr="003B2D67" w:rsidRDefault="003B2D67" w:rsidP="003B2D67">
            <w:pPr>
              <w:pStyle w:val="Tablecells"/>
              <w:rPr>
                <w:lang w:val="es-ES"/>
              </w:rPr>
            </w:pPr>
            <w:r w:rsidRPr="003B2D67">
              <w:rPr>
                <w:lang w:val="es-ES"/>
              </w:rPr>
              <w:t xml:space="preserve">Llamadas salientes </w:t>
            </w:r>
            <w:r w:rsidRPr="00B426BC">
              <w:rPr>
                <w:lang w:val="es-ES"/>
              </w:rPr>
              <w:t>larga distancia</w:t>
            </w:r>
            <w:r w:rsidRPr="003B2D67">
              <w:rPr>
                <w:lang w:val="es-ES"/>
              </w:rPr>
              <w:t xml:space="preserve"> </w:t>
            </w:r>
            <w:proofErr w:type="spellStart"/>
            <w:r w:rsidRPr="003B2D67">
              <w:rPr>
                <w:lang w:val="es-ES"/>
              </w:rPr>
              <w:t>on</w:t>
            </w:r>
            <w:proofErr w:type="spellEnd"/>
            <w:r w:rsidRPr="003B2D67">
              <w:rPr>
                <w:lang w:val="es-ES"/>
              </w:rPr>
              <w:t>-net</w:t>
            </w:r>
          </w:p>
        </w:tc>
        <w:tc>
          <w:tcPr>
            <w:tcW w:w="6521" w:type="dxa"/>
            <w:tcBorders>
              <w:bottom w:val="nil"/>
            </w:tcBorders>
          </w:tcPr>
          <w:p w14:paraId="0ADD7CFD" w14:textId="77777777" w:rsidR="003B2D67" w:rsidRPr="00E94D8A" w:rsidRDefault="005C730C" w:rsidP="00C90D2B">
            <w:pPr>
              <w:pStyle w:val="Tablecells"/>
              <w:jc w:val="both"/>
              <w:rPr>
                <w:rFonts w:cs="Arial"/>
                <w:lang w:val="es-ES"/>
              </w:rPr>
            </w:pPr>
            <w:r w:rsidRPr="00E94D8A">
              <w:rPr>
                <w:rFonts w:cs="Arial"/>
                <w:lang w:val="es-ES"/>
              </w:rPr>
              <w:t xml:space="preserve">Llamadas de voz entre dos suscriptores minoristas del operador fijo modelado </w:t>
            </w:r>
            <w:r>
              <w:rPr>
                <w:rFonts w:cs="Arial"/>
                <w:lang w:val="es-ES"/>
              </w:rPr>
              <w:t xml:space="preserve">fuera </w:t>
            </w:r>
            <w:r w:rsidRPr="00E94D8A">
              <w:rPr>
                <w:rFonts w:cs="Arial"/>
                <w:lang w:val="es-ES"/>
              </w:rPr>
              <w:t>de la misma zona de tarificación de llamada</w:t>
            </w:r>
            <w:r w:rsidR="00C90D2B">
              <w:rPr>
                <w:rFonts w:cs="Arial"/>
                <w:lang w:val="es-ES"/>
              </w:rPr>
              <w:t>, consideradas exclusivamente a nivel de enrutamiento</w:t>
            </w:r>
            <w:r w:rsidRPr="00E94D8A">
              <w:rPr>
                <w:rFonts w:cs="Arial"/>
                <w:lang w:val="es-ES"/>
              </w:rPr>
              <w:t>.</w:t>
            </w:r>
          </w:p>
        </w:tc>
      </w:tr>
      <w:tr w:rsidR="003B2D67" w:rsidRPr="00E94D8A" w14:paraId="69D0F568" w14:textId="77777777" w:rsidTr="00E94D8A">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0EA3FF22" w14:textId="77777777" w:rsidR="003B2D67" w:rsidRPr="003B2D67" w:rsidRDefault="003B2D67" w:rsidP="003B2D67">
            <w:pPr>
              <w:pStyle w:val="Tablecells"/>
              <w:rPr>
                <w:lang w:val="es-ES"/>
              </w:rPr>
            </w:pPr>
            <w:r w:rsidRPr="003B2D67">
              <w:rPr>
                <w:lang w:val="es-ES"/>
              </w:rPr>
              <w:t>Llamadas salientes local a otros operadores fijos</w:t>
            </w:r>
          </w:p>
        </w:tc>
        <w:tc>
          <w:tcPr>
            <w:tcW w:w="6521" w:type="dxa"/>
            <w:tcBorders>
              <w:top w:val="nil"/>
              <w:bottom w:val="nil"/>
            </w:tcBorders>
          </w:tcPr>
          <w:p w14:paraId="447F7C50" w14:textId="77777777" w:rsidR="003B2D67" w:rsidRPr="005C730C" w:rsidRDefault="005C730C" w:rsidP="00A37365">
            <w:pPr>
              <w:pStyle w:val="Tablecells"/>
              <w:jc w:val="both"/>
              <w:rPr>
                <w:rFonts w:cs="Arial"/>
                <w:lang w:val="es-ES"/>
              </w:rPr>
            </w:pPr>
            <w:r w:rsidRPr="00E94D8A">
              <w:rPr>
                <w:lang w:val="es-ES"/>
              </w:rPr>
              <w:t>Llamadas de voz de un suscriptor minorista del operador fijo modela</w:t>
            </w:r>
            <w:r>
              <w:rPr>
                <w:lang w:val="es-ES"/>
              </w:rPr>
              <w:t xml:space="preserve">do a un operador fijo doméstico </w:t>
            </w:r>
            <w:r w:rsidRPr="005C730C">
              <w:rPr>
                <w:lang w:val="es-ES"/>
              </w:rPr>
              <w:t>dentro de la misma zona de tarificación de llamada.</w:t>
            </w:r>
          </w:p>
        </w:tc>
      </w:tr>
      <w:tr w:rsidR="003B2D67" w:rsidRPr="00E94D8A" w14:paraId="1F8C8433" w14:textId="77777777" w:rsidTr="00E94D8A">
        <w:tc>
          <w:tcPr>
            <w:tcW w:w="2268" w:type="dxa"/>
            <w:tcBorders>
              <w:top w:val="nil"/>
              <w:bottom w:val="nil"/>
            </w:tcBorders>
          </w:tcPr>
          <w:p w14:paraId="106389A6" w14:textId="77777777" w:rsidR="003B2D67" w:rsidRPr="003B2D67" w:rsidRDefault="003B2D67" w:rsidP="003B2D67">
            <w:pPr>
              <w:pStyle w:val="Tablecells"/>
              <w:rPr>
                <w:lang w:val="es-ES"/>
              </w:rPr>
            </w:pPr>
            <w:r w:rsidRPr="003B2D67">
              <w:rPr>
                <w:lang w:val="es-ES"/>
              </w:rPr>
              <w:t>Llamadas salientes larga distancia a otros operadores fijos</w:t>
            </w:r>
          </w:p>
        </w:tc>
        <w:tc>
          <w:tcPr>
            <w:tcW w:w="6521" w:type="dxa"/>
            <w:tcBorders>
              <w:top w:val="nil"/>
              <w:bottom w:val="nil"/>
            </w:tcBorders>
          </w:tcPr>
          <w:p w14:paraId="55A46A3D" w14:textId="77777777" w:rsidR="003B2D67" w:rsidRPr="005C730C" w:rsidRDefault="005C730C" w:rsidP="005C730C">
            <w:pPr>
              <w:pStyle w:val="Tablecells"/>
              <w:jc w:val="both"/>
              <w:rPr>
                <w:rFonts w:cs="Arial"/>
                <w:lang w:val="es-ES"/>
              </w:rPr>
            </w:pPr>
            <w:r w:rsidRPr="00E94D8A">
              <w:rPr>
                <w:lang w:val="es-ES"/>
              </w:rPr>
              <w:t>Llamadas de voz de un suscriptor minorista del operador fijo modela</w:t>
            </w:r>
            <w:r>
              <w:rPr>
                <w:lang w:val="es-ES"/>
              </w:rPr>
              <w:t xml:space="preserve">do a un operador fijo doméstico fuera </w:t>
            </w:r>
            <w:r w:rsidRPr="005C730C">
              <w:rPr>
                <w:lang w:val="es-ES"/>
              </w:rPr>
              <w:t>de la misma zona de tarificación de llamada</w:t>
            </w:r>
            <w:r w:rsidR="00C90D2B">
              <w:rPr>
                <w:rFonts w:cs="Arial"/>
                <w:lang w:val="es-ES"/>
              </w:rPr>
              <w:t>, consideradas exclusivamente a nivel de enrutamiento</w:t>
            </w:r>
            <w:r w:rsidRPr="005C730C">
              <w:rPr>
                <w:lang w:val="es-ES"/>
              </w:rPr>
              <w:t>.</w:t>
            </w:r>
          </w:p>
        </w:tc>
      </w:tr>
      <w:tr w:rsidR="003B2D67" w:rsidRPr="00E94D8A" w14:paraId="709D4707" w14:textId="77777777" w:rsidTr="00E94D8A">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6CB84A6D" w14:textId="77777777" w:rsidR="003B2D67" w:rsidRPr="006670B3" w:rsidRDefault="003B2D67" w:rsidP="003B2D67">
            <w:pPr>
              <w:pStyle w:val="Tablecells"/>
            </w:pPr>
            <w:proofErr w:type="spellStart"/>
            <w:r>
              <w:t>Llamadas</w:t>
            </w:r>
            <w:proofErr w:type="spellEnd"/>
            <w:r>
              <w:t xml:space="preserve"> </w:t>
            </w:r>
            <w:proofErr w:type="spellStart"/>
            <w:r>
              <w:t>salientes</w:t>
            </w:r>
            <w:proofErr w:type="spellEnd"/>
            <w:r>
              <w:t xml:space="preserve"> a </w:t>
            </w:r>
            <w:proofErr w:type="spellStart"/>
            <w:r>
              <w:t>móvil</w:t>
            </w:r>
            <w:proofErr w:type="spellEnd"/>
          </w:p>
        </w:tc>
        <w:tc>
          <w:tcPr>
            <w:tcW w:w="6521" w:type="dxa"/>
            <w:tcBorders>
              <w:top w:val="nil"/>
              <w:bottom w:val="nil"/>
            </w:tcBorders>
          </w:tcPr>
          <w:p w14:paraId="750C36C0" w14:textId="77777777" w:rsidR="003B2D67" w:rsidRPr="00E94D8A" w:rsidRDefault="005C730C" w:rsidP="00A37365">
            <w:pPr>
              <w:pStyle w:val="Tablecells"/>
              <w:jc w:val="both"/>
              <w:rPr>
                <w:rFonts w:cs="Arial"/>
                <w:lang w:val="es-ES"/>
              </w:rPr>
            </w:pPr>
            <w:r w:rsidRPr="00E94D8A">
              <w:rPr>
                <w:lang w:val="es-ES"/>
              </w:rPr>
              <w:t>Llamadas de voz de un suscriptor minorista del operador fijo modelado a un operador móvil doméstico.</w:t>
            </w:r>
          </w:p>
        </w:tc>
      </w:tr>
      <w:tr w:rsidR="003B2D67" w:rsidRPr="00E94D8A" w14:paraId="46AB2ADC" w14:textId="77777777" w:rsidTr="00E94D8A">
        <w:tc>
          <w:tcPr>
            <w:tcW w:w="2268" w:type="dxa"/>
            <w:tcBorders>
              <w:top w:val="nil"/>
              <w:bottom w:val="nil"/>
            </w:tcBorders>
          </w:tcPr>
          <w:p w14:paraId="5CBACB4E" w14:textId="77777777" w:rsidR="003B2D67" w:rsidRPr="006670B3" w:rsidRDefault="003B2D67" w:rsidP="003B2D67">
            <w:pPr>
              <w:pStyle w:val="Tablecells"/>
            </w:pPr>
            <w:proofErr w:type="spellStart"/>
            <w:r>
              <w:t>Llamadas</w:t>
            </w:r>
            <w:proofErr w:type="spellEnd"/>
            <w:r>
              <w:t xml:space="preserve"> </w:t>
            </w:r>
            <w:proofErr w:type="spellStart"/>
            <w:r>
              <w:t>salientes</w:t>
            </w:r>
            <w:proofErr w:type="spellEnd"/>
            <w:r>
              <w:t xml:space="preserve"> a </w:t>
            </w:r>
            <w:proofErr w:type="spellStart"/>
            <w:r>
              <w:t>internacional</w:t>
            </w:r>
            <w:proofErr w:type="spellEnd"/>
          </w:p>
        </w:tc>
        <w:tc>
          <w:tcPr>
            <w:tcW w:w="6521" w:type="dxa"/>
            <w:tcBorders>
              <w:top w:val="nil"/>
              <w:bottom w:val="nil"/>
            </w:tcBorders>
          </w:tcPr>
          <w:p w14:paraId="0516619B" w14:textId="77777777" w:rsidR="003B2D67" w:rsidRPr="00E94D8A" w:rsidRDefault="005C730C" w:rsidP="00A37365">
            <w:pPr>
              <w:pStyle w:val="Tablecells"/>
              <w:jc w:val="both"/>
              <w:rPr>
                <w:rFonts w:cs="Arial"/>
                <w:lang w:val="es-ES"/>
              </w:rPr>
            </w:pPr>
            <w:r w:rsidRPr="00E94D8A">
              <w:rPr>
                <w:lang w:val="es-ES"/>
              </w:rPr>
              <w:t>Llamadas de voz de un suscriptor minorista del operador fijo modelado a un destino internacional.</w:t>
            </w:r>
          </w:p>
        </w:tc>
      </w:tr>
      <w:tr w:rsidR="003B2D67" w:rsidRPr="00E94D8A" w14:paraId="23E969BB" w14:textId="77777777" w:rsidTr="00FB7938">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2F981290" w14:textId="77777777" w:rsidR="003B2D67" w:rsidRPr="003B2D67" w:rsidRDefault="003B2D67" w:rsidP="003B2D67">
            <w:pPr>
              <w:pStyle w:val="Tablecells"/>
              <w:rPr>
                <w:lang w:val="es-ES"/>
              </w:rPr>
            </w:pPr>
            <w:r w:rsidRPr="003B2D67">
              <w:rPr>
                <w:lang w:val="es-ES"/>
              </w:rPr>
              <w:t xml:space="preserve">Llamadas salientes a números no geográficos </w:t>
            </w:r>
          </w:p>
        </w:tc>
        <w:tc>
          <w:tcPr>
            <w:tcW w:w="6521" w:type="dxa"/>
            <w:tcBorders>
              <w:top w:val="nil"/>
              <w:bottom w:val="nil"/>
            </w:tcBorders>
          </w:tcPr>
          <w:p w14:paraId="780CF394" w14:textId="77777777" w:rsidR="003B2D67" w:rsidRPr="00E94D8A" w:rsidRDefault="005C730C" w:rsidP="00A37365">
            <w:pPr>
              <w:pStyle w:val="Tablecells"/>
              <w:jc w:val="both"/>
              <w:rPr>
                <w:rFonts w:cs="Arial"/>
                <w:lang w:val="es-ES"/>
              </w:rPr>
            </w:pPr>
            <w:r w:rsidRPr="00E94D8A">
              <w:rPr>
                <w:rFonts w:cs="Arial"/>
                <w:lang w:val="es-ES"/>
              </w:rPr>
              <w:t>Llamadas de voz de un suscriptor minorista del operador fijo modelado a números no geográficos, incluidos números comerciales de pago, consultas del Directorio y servicios de emergencia.</w:t>
            </w:r>
          </w:p>
        </w:tc>
      </w:tr>
      <w:tr w:rsidR="003B2D67" w:rsidRPr="00E94D8A" w14:paraId="7515AFEB" w14:textId="77777777" w:rsidTr="00FB7938">
        <w:tc>
          <w:tcPr>
            <w:tcW w:w="2268" w:type="dxa"/>
            <w:tcBorders>
              <w:top w:val="nil"/>
              <w:bottom w:val="single" w:sz="4" w:space="0" w:color="D9D9D9" w:themeColor="background1" w:themeShade="D9"/>
            </w:tcBorders>
          </w:tcPr>
          <w:p w14:paraId="4C89F33D" w14:textId="77777777" w:rsidR="003B2D67" w:rsidRPr="003B2D67" w:rsidRDefault="003B2D67" w:rsidP="003B2D67">
            <w:pPr>
              <w:pStyle w:val="Tablecells"/>
              <w:rPr>
                <w:lang w:val="es-ES"/>
              </w:rPr>
            </w:pPr>
            <w:r w:rsidRPr="003B2D67">
              <w:rPr>
                <w:lang w:val="es-ES"/>
              </w:rPr>
              <w:t>Llamadas entrantes local de otros operadores fijos</w:t>
            </w:r>
          </w:p>
        </w:tc>
        <w:tc>
          <w:tcPr>
            <w:tcW w:w="6521" w:type="dxa"/>
            <w:tcBorders>
              <w:top w:val="nil"/>
              <w:bottom w:val="single" w:sz="4" w:space="0" w:color="D9D9D9" w:themeColor="background1" w:themeShade="D9"/>
            </w:tcBorders>
          </w:tcPr>
          <w:p w14:paraId="63454FDD" w14:textId="77777777" w:rsidR="003B2D67" w:rsidRPr="00E94D8A" w:rsidRDefault="009540B8" w:rsidP="009540B8">
            <w:pPr>
              <w:pStyle w:val="Tablecells"/>
              <w:jc w:val="both"/>
              <w:rPr>
                <w:rFonts w:cs="Arial"/>
                <w:lang w:val="es-ES"/>
              </w:rPr>
            </w:pPr>
            <w:r w:rsidRPr="00E94D8A">
              <w:rPr>
                <w:rFonts w:cs="Arial"/>
                <w:lang w:val="es-ES"/>
              </w:rPr>
              <w:t>Llamadas de voz recibidas de otro operador fijo y terminadas en la red de un suscriptor minorista del operador fijo modelado, sin tránsito en otro conmutador troncal del operador fijo modelado.</w:t>
            </w:r>
          </w:p>
        </w:tc>
      </w:tr>
      <w:tr w:rsidR="003B2D67" w:rsidRPr="00E94D8A" w14:paraId="6BC45FF1" w14:textId="77777777" w:rsidTr="00FB7938">
        <w:trPr>
          <w:cnfStyle w:val="000000100000" w:firstRow="0" w:lastRow="0" w:firstColumn="0" w:lastColumn="0" w:oddVBand="0" w:evenVBand="0" w:oddHBand="1" w:evenHBand="0" w:firstRowFirstColumn="0" w:firstRowLastColumn="0" w:lastRowFirstColumn="0" w:lastRowLastColumn="0"/>
        </w:trPr>
        <w:tc>
          <w:tcPr>
            <w:tcW w:w="2268" w:type="dxa"/>
            <w:tcBorders>
              <w:top w:val="single" w:sz="4" w:space="0" w:color="D9D9D9" w:themeColor="background1" w:themeShade="D9"/>
              <w:bottom w:val="nil"/>
            </w:tcBorders>
          </w:tcPr>
          <w:p w14:paraId="5C0AB405" w14:textId="77777777" w:rsidR="003B2D67" w:rsidRPr="003B2D67" w:rsidRDefault="003B2D67" w:rsidP="003B2D67">
            <w:pPr>
              <w:pStyle w:val="Tablecells"/>
              <w:rPr>
                <w:lang w:val="es-ES"/>
              </w:rPr>
            </w:pPr>
            <w:r w:rsidRPr="003B2D67">
              <w:rPr>
                <w:lang w:val="es-ES"/>
              </w:rPr>
              <w:lastRenderedPageBreak/>
              <w:t>Llamadas entrantes larga distancia de otros operadores fijos</w:t>
            </w:r>
          </w:p>
        </w:tc>
        <w:tc>
          <w:tcPr>
            <w:tcW w:w="6521" w:type="dxa"/>
            <w:tcBorders>
              <w:top w:val="single" w:sz="4" w:space="0" w:color="D9D9D9" w:themeColor="background1" w:themeShade="D9"/>
              <w:bottom w:val="nil"/>
            </w:tcBorders>
          </w:tcPr>
          <w:p w14:paraId="21A90227" w14:textId="77777777" w:rsidR="003B2D67" w:rsidRPr="00E94D8A" w:rsidRDefault="009540B8" w:rsidP="009540B8">
            <w:pPr>
              <w:pStyle w:val="Tablecells"/>
              <w:jc w:val="both"/>
              <w:rPr>
                <w:rFonts w:cs="Arial"/>
                <w:lang w:val="es-ES"/>
              </w:rPr>
            </w:pPr>
            <w:r w:rsidRPr="00E94D8A">
              <w:rPr>
                <w:rFonts w:cs="Arial"/>
                <w:lang w:val="es-ES"/>
              </w:rPr>
              <w:t>Llamadas de voz recibidas de otro operador fijo y terminadas en la red de un suscriptor minorista del operador fijo modelado, tras transitar en otro conmutador troncal del operador fijo modelado</w:t>
            </w:r>
            <w:r w:rsidR="00C90D2B">
              <w:rPr>
                <w:rFonts w:cs="Arial"/>
                <w:lang w:val="es-ES"/>
              </w:rPr>
              <w:t>, consideradas exclusivamente a nivel de enrutamiento</w:t>
            </w:r>
            <w:r w:rsidRPr="00E94D8A">
              <w:rPr>
                <w:rFonts w:cs="Arial"/>
                <w:lang w:val="es-ES"/>
              </w:rPr>
              <w:t>.</w:t>
            </w:r>
          </w:p>
        </w:tc>
      </w:tr>
      <w:tr w:rsidR="003B2D67" w:rsidRPr="00E94D8A" w14:paraId="700F56DD" w14:textId="77777777" w:rsidTr="00E94D8A">
        <w:tc>
          <w:tcPr>
            <w:tcW w:w="2268" w:type="dxa"/>
            <w:tcBorders>
              <w:top w:val="nil"/>
              <w:bottom w:val="nil"/>
            </w:tcBorders>
          </w:tcPr>
          <w:p w14:paraId="67A18F38" w14:textId="77777777" w:rsidR="003B2D67" w:rsidRPr="006670B3" w:rsidRDefault="003B2D67" w:rsidP="003B2D67">
            <w:pPr>
              <w:pStyle w:val="Tablecells"/>
            </w:pPr>
            <w:proofErr w:type="spellStart"/>
            <w:r>
              <w:t>Llamadas</w:t>
            </w:r>
            <w:proofErr w:type="spellEnd"/>
            <w:r>
              <w:t xml:space="preserve"> </w:t>
            </w:r>
            <w:proofErr w:type="spellStart"/>
            <w:r>
              <w:t>entrantes</w:t>
            </w:r>
            <w:proofErr w:type="spellEnd"/>
            <w:r>
              <w:t xml:space="preserve"> a </w:t>
            </w:r>
            <w:proofErr w:type="spellStart"/>
            <w:r>
              <w:t>móvil</w:t>
            </w:r>
            <w:proofErr w:type="spellEnd"/>
          </w:p>
        </w:tc>
        <w:tc>
          <w:tcPr>
            <w:tcW w:w="6521" w:type="dxa"/>
            <w:tcBorders>
              <w:top w:val="nil"/>
              <w:bottom w:val="nil"/>
            </w:tcBorders>
          </w:tcPr>
          <w:p w14:paraId="3C003C1F" w14:textId="77777777" w:rsidR="003B2D67" w:rsidRPr="00E94D8A" w:rsidRDefault="009540B8" w:rsidP="009540B8">
            <w:pPr>
              <w:pStyle w:val="Tablecells"/>
              <w:jc w:val="both"/>
              <w:rPr>
                <w:rFonts w:cs="Arial"/>
                <w:lang w:val="es-ES"/>
              </w:rPr>
            </w:pPr>
            <w:r w:rsidRPr="00E94D8A">
              <w:rPr>
                <w:rFonts w:cs="Arial"/>
                <w:lang w:val="es-ES"/>
              </w:rPr>
              <w:t>Llamadas de voz recibidas de otro operador móvil y terminadas en la red de un suscriptor minorista del operador fijo modelado, tras transitar en otro conmutador troncal del operador fijo modelado.</w:t>
            </w:r>
          </w:p>
        </w:tc>
      </w:tr>
      <w:tr w:rsidR="003B2D67" w:rsidRPr="00E94D8A" w14:paraId="1D6412D1" w14:textId="77777777" w:rsidTr="00E94D8A">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178441D1" w14:textId="77777777" w:rsidR="003B2D67" w:rsidRPr="006670B3" w:rsidRDefault="003B2D67" w:rsidP="003B2D67">
            <w:pPr>
              <w:pStyle w:val="Tablecells"/>
            </w:pPr>
            <w:proofErr w:type="spellStart"/>
            <w:r>
              <w:t>Llamadas</w:t>
            </w:r>
            <w:proofErr w:type="spellEnd"/>
            <w:r>
              <w:t xml:space="preserve"> </w:t>
            </w:r>
            <w:proofErr w:type="spellStart"/>
            <w:r>
              <w:t>entrantes</w:t>
            </w:r>
            <w:proofErr w:type="spellEnd"/>
            <w:r>
              <w:t xml:space="preserve"> a </w:t>
            </w:r>
            <w:proofErr w:type="spellStart"/>
            <w:r>
              <w:t>internacional</w:t>
            </w:r>
            <w:proofErr w:type="spellEnd"/>
          </w:p>
        </w:tc>
        <w:tc>
          <w:tcPr>
            <w:tcW w:w="6521" w:type="dxa"/>
            <w:tcBorders>
              <w:top w:val="nil"/>
              <w:bottom w:val="nil"/>
            </w:tcBorders>
          </w:tcPr>
          <w:p w14:paraId="47DDA732" w14:textId="77777777" w:rsidR="003B2D67" w:rsidRPr="00E94D8A" w:rsidRDefault="009540B8" w:rsidP="009540B8">
            <w:pPr>
              <w:pStyle w:val="Tablecells"/>
              <w:jc w:val="both"/>
              <w:rPr>
                <w:rFonts w:cs="Arial"/>
                <w:lang w:val="es-ES"/>
              </w:rPr>
            </w:pPr>
            <w:r w:rsidRPr="00E94D8A">
              <w:rPr>
                <w:rFonts w:cs="Arial"/>
                <w:lang w:val="es-ES"/>
              </w:rPr>
              <w:t xml:space="preserve">Llamadas de voz recibidas de otro operador </w:t>
            </w:r>
            <w:r>
              <w:rPr>
                <w:rFonts w:cs="Arial"/>
                <w:lang w:val="es-ES"/>
              </w:rPr>
              <w:t xml:space="preserve">internacional </w:t>
            </w:r>
            <w:r w:rsidRPr="00E94D8A">
              <w:rPr>
                <w:rFonts w:cs="Arial"/>
                <w:lang w:val="es-ES"/>
              </w:rPr>
              <w:t>y terminadas en la red de un suscriptor minorista del operador fijo modelado, tras transitar en otro conmutador troncal del operador fijo modelado.</w:t>
            </w:r>
          </w:p>
        </w:tc>
      </w:tr>
      <w:tr w:rsidR="003B2D67" w:rsidRPr="00E94D8A" w14:paraId="49332D67" w14:textId="77777777" w:rsidTr="00E94D8A">
        <w:tc>
          <w:tcPr>
            <w:tcW w:w="2268" w:type="dxa"/>
            <w:tcBorders>
              <w:top w:val="nil"/>
              <w:bottom w:val="nil"/>
            </w:tcBorders>
          </w:tcPr>
          <w:p w14:paraId="233293C0" w14:textId="77777777" w:rsidR="003B2D67" w:rsidRPr="003B2D67" w:rsidRDefault="003B2D67" w:rsidP="003B2D67">
            <w:pPr>
              <w:pStyle w:val="Tablecells"/>
              <w:rPr>
                <w:lang w:val="es-ES"/>
              </w:rPr>
            </w:pPr>
            <w:r w:rsidRPr="003B2D67">
              <w:rPr>
                <w:lang w:val="es-ES"/>
              </w:rPr>
              <w:t>Llamadas entrantes a números no geográficos</w:t>
            </w:r>
          </w:p>
        </w:tc>
        <w:tc>
          <w:tcPr>
            <w:tcW w:w="6521" w:type="dxa"/>
            <w:tcBorders>
              <w:top w:val="nil"/>
              <w:bottom w:val="nil"/>
            </w:tcBorders>
          </w:tcPr>
          <w:p w14:paraId="665AEC96" w14:textId="77777777" w:rsidR="003B2D67" w:rsidRPr="00E94D8A" w:rsidRDefault="009540B8" w:rsidP="009540B8">
            <w:pPr>
              <w:pStyle w:val="Tablecells"/>
              <w:jc w:val="both"/>
              <w:rPr>
                <w:rFonts w:cs="Arial"/>
                <w:lang w:val="es-ES"/>
              </w:rPr>
            </w:pPr>
            <w:r w:rsidRPr="00E94D8A">
              <w:rPr>
                <w:rFonts w:cs="Arial"/>
                <w:lang w:val="es-ES"/>
              </w:rPr>
              <w:t xml:space="preserve">Llamadas de voz </w:t>
            </w:r>
            <w:r>
              <w:rPr>
                <w:rFonts w:cs="Arial"/>
                <w:lang w:val="es-ES"/>
              </w:rPr>
              <w:t xml:space="preserve">recibidas de un suscriptor </w:t>
            </w:r>
            <w:r w:rsidRPr="00E94D8A">
              <w:rPr>
                <w:rFonts w:cs="Arial"/>
                <w:lang w:val="es-ES"/>
              </w:rPr>
              <w:t xml:space="preserve">minorista </w:t>
            </w:r>
            <w:r>
              <w:rPr>
                <w:rFonts w:cs="Arial"/>
                <w:lang w:val="es-ES"/>
              </w:rPr>
              <w:t xml:space="preserve">de otro operador </w:t>
            </w:r>
            <w:r w:rsidRPr="00E94D8A">
              <w:rPr>
                <w:rFonts w:cs="Arial"/>
                <w:lang w:val="es-ES"/>
              </w:rPr>
              <w:t>a números no geográficos, incluidos números comerciales de pago, consultas del Directorio y servicios de emergencia.</w:t>
            </w:r>
          </w:p>
        </w:tc>
      </w:tr>
      <w:tr w:rsidR="003B2D67" w:rsidRPr="00E94D8A" w14:paraId="1AA783F0" w14:textId="77777777" w:rsidTr="007858D8">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4B61AC5F" w14:textId="77777777" w:rsidR="003B2D67" w:rsidRPr="003B2D67" w:rsidRDefault="003B2D67" w:rsidP="003B2D67">
            <w:pPr>
              <w:pStyle w:val="Tablecells"/>
              <w:rPr>
                <w:lang w:val="es-ES"/>
              </w:rPr>
            </w:pPr>
            <w:r w:rsidRPr="003B2D67">
              <w:rPr>
                <w:lang w:val="es-ES"/>
              </w:rPr>
              <w:t>Llamadas en tránsito local</w:t>
            </w:r>
          </w:p>
        </w:tc>
        <w:tc>
          <w:tcPr>
            <w:tcW w:w="6521" w:type="dxa"/>
            <w:tcBorders>
              <w:top w:val="nil"/>
              <w:bottom w:val="nil"/>
            </w:tcBorders>
          </w:tcPr>
          <w:p w14:paraId="7D1E9E30" w14:textId="77777777" w:rsidR="003B2D67" w:rsidRPr="00E94D8A" w:rsidRDefault="009540B8" w:rsidP="009540B8">
            <w:pPr>
              <w:pStyle w:val="Tablecells"/>
              <w:jc w:val="both"/>
              <w:rPr>
                <w:rFonts w:cs="Arial"/>
                <w:lang w:val="es-ES"/>
              </w:rPr>
            </w:pPr>
            <w:r w:rsidRPr="009540B8">
              <w:rPr>
                <w:rFonts w:cs="Arial"/>
                <w:lang w:val="es-ES"/>
              </w:rPr>
              <w:t>Llamadas de voz recibidas de otro operador internacional, móvil o fijo y terminadas en la red de otro operador internacional, móvil o fijo, sin tránsito en otro conmutador troncal del operador fijo modelado.</w:t>
            </w:r>
          </w:p>
        </w:tc>
      </w:tr>
      <w:tr w:rsidR="003B2D67" w:rsidRPr="00E94D8A" w14:paraId="12B0EC7B" w14:textId="77777777" w:rsidTr="007858D8">
        <w:tc>
          <w:tcPr>
            <w:tcW w:w="2268" w:type="dxa"/>
            <w:tcBorders>
              <w:top w:val="nil"/>
              <w:bottom w:val="single" w:sz="4" w:space="0" w:color="auto"/>
            </w:tcBorders>
          </w:tcPr>
          <w:p w14:paraId="277D4244" w14:textId="77777777" w:rsidR="003B2D67" w:rsidRPr="003B2D67" w:rsidRDefault="003B2D67" w:rsidP="009540B8">
            <w:pPr>
              <w:pStyle w:val="Tablecells"/>
              <w:rPr>
                <w:lang w:val="es-ES"/>
              </w:rPr>
            </w:pPr>
            <w:r w:rsidRPr="003B2D67">
              <w:rPr>
                <w:lang w:val="es-ES"/>
              </w:rPr>
              <w:t>Llama</w:t>
            </w:r>
            <w:r w:rsidR="009540B8">
              <w:rPr>
                <w:lang w:val="es-ES"/>
              </w:rPr>
              <w:t>das en tránsito larga distancia</w:t>
            </w:r>
          </w:p>
        </w:tc>
        <w:tc>
          <w:tcPr>
            <w:tcW w:w="6521" w:type="dxa"/>
            <w:tcBorders>
              <w:top w:val="nil"/>
              <w:bottom w:val="single" w:sz="4" w:space="0" w:color="auto"/>
            </w:tcBorders>
          </w:tcPr>
          <w:p w14:paraId="0B63E766" w14:textId="77777777" w:rsidR="003B2D67" w:rsidRPr="00E94D8A" w:rsidRDefault="009540B8" w:rsidP="00A37365">
            <w:pPr>
              <w:pStyle w:val="Tablecells"/>
              <w:jc w:val="both"/>
              <w:rPr>
                <w:rFonts w:cs="Arial"/>
                <w:lang w:val="es-ES"/>
              </w:rPr>
            </w:pPr>
            <w:r w:rsidRPr="00E94D8A">
              <w:rPr>
                <w:rFonts w:cs="Arial"/>
                <w:lang w:val="es-ES"/>
              </w:rPr>
              <w:t>Llamadas de voz recibidas de otro operador internacional, móvil o fijo y terminadas en la red de otro operador internacional, móvil o fijo, tras transitar en otro conmutador troncal del operador fijo modelado</w:t>
            </w:r>
            <w:r w:rsidR="00C90D2B">
              <w:rPr>
                <w:rFonts w:cs="Arial"/>
                <w:lang w:val="es-ES"/>
              </w:rPr>
              <w:t>, consideradas exclusivamente a nivel de enrutamiento</w:t>
            </w:r>
            <w:r w:rsidRPr="00E94D8A">
              <w:rPr>
                <w:rFonts w:cs="Arial"/>
                <w:lang w:val="es-ES"/>
              </w:rPr>
              <w:t>.</w:t>
            </w:r>
          </w:p>
        </w:tc>
      </w:tr>
    </w:tbl>
    <w:p w14:paraId="286CD58B" w14:textId="77777777" w:rsidR="00A37365" w:rsidRPr="00E94D8A" w:rsidRDefault="00A37365" w:rsidP="00A37365"/>
    <w:p w14:paraId="72490B70" w14:textId="77777777" w:rsidR="00A37365" w:rsidRPr="00E94D8A" w:rsidRDefault="00A37365" w:rsidP="00A37365">
      <w:r w:rsidRPr="00E94D8A">
        <w:t>Estos servicios se han incluido a fin de estimar precisamente los costos totales y su distribución entre los servicios que utilizan la red (esto no implica que resulte en una regulación de sus precios).</w:t>
      </w:r>
    </w:p>
    <w:p w14:paraId="7748AEA3" w14:textId="77777777" w:rsidR="00C458BA" w:rsidRPr="00E94D8A" w:rsidRDefault="0043475A" w:rsidP="00C458BA">
      <w:pPr>
        <w:pStyle w:val="B1"/>
        <w:pBdr>
          <w:top w:val="single" w:sz="4" w:space="2" w:color="D9D9D9" w:themeColor="background1" w:themeShade="D9"/>
          <w:bottom w:val="single" w:sz="4" w:space="5" w:color="D9D9D9" w:themeColor="background1" w:themeShade="D9"/>
        </w:pBdr>
        <w:shd w:val="clear" w:color="auto" w:fill="F2F2F2" w:themeFill="background1" w:themeFillShade="F2"/>
        <w:rPr>
          <w:b/>
          <w:bCs/>
        </w:rPr>
      </w:pPr>
      <w:r>
        <w:rPr>
          <w:b/>
          <w:bCs/>
        </w:rPr>
        <w:t>Concepto propuesto</w:t>
      </w:r>
      <w:r w:rsidR="00C458BA" w:rsidRPr="00E94D8A">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16</w:t>
      </w:r>
      <w:r w:rsidR="00CB05BF" w:rsidRPr="00E94D8A">
        <w:rPr>
          <w:b/>
          <w:color w:val="000000" w:themeColor="text1"/>
        </w:rPr>
        <w:fldChar w:fldCharType="end"/>
      </w:r>
      <w:r w:rsidR="00C458BA" w:rsidRPr="00E94D8A">
        <w:t xml:space="preserve">: El tráfico generado </w:t>
      </w:r>
      <w:r w:rsidR="00180942">
        <w:t>por las líneas ISDN se incluirá</w:t>
      </w:r>
      <w:r w:rsidR="00C458BA" w:rsidRPr="00E94D8A">
        <w:t xml:space="preserve"> en los servicios </w:t>
      </w:r>
      <w:r w:rsidR="005E78DF">
        <w:t xml:space="preserve">fijos </w:t>
      </w:r>
      <w:r w:rsidR="00D30256">
        <w:t>de voz, es decir, no hay</w:t>
      </w:r>
      <w:r w:rsidR="00C458BA" w:rsidRPr="00E94D8A">
        <w:t xml:space="preserve"> servicios específicos de voz ISDN.</w:t>
      </w:r>
    </w:p>
    <w:p w14:paraId="3A60933C" w14:textId="33499207" w:rsidR="00A37365" w:rsidRPr="00E94D8A" w:rsidRDefault="00A37365" w:rsidP="00A37365">
      <w:r w:rsidRPr="00E94D8A">
        <w:rPr>
          <w:rStyle w:val="apple-style-span"/>
          <w:color w:val="000000"/>
        </w:rPr>
        <w:t>Los servicios relacionados con el acceso a Internet que se incluirán en el modelo se presentan en la</w:t>
      </w:r>
      <w:r w:rsidR="00E94D8A">
        <w:rPr>
          <w:rStyle w:val="apple-style-span"/>
          <w:color w:val="000000"/>
        </w:rPr>
        <w:t xml:space="preserve"> </w:t>
      </w:r>
      <w:r w:rsidR="00E94D8A">
        <w:rPr>
          <w:rStyle w:val="apple-style-span"/>
          <w:color w:val="000000"/>
        </w:rPr>
        <w:fldChar w:fldCharType="begin"/>
      </w:r>
      <w:r w:rsidR="00E94D8A">
        <w:rPr>
          <w:rStyle w:val="apple-style-span"/>
          <w:color w:val="000000"/>
        </w:rPr>
        <w:instrText xml:space="preserve"> REF _Ref321212433 \h </w:instrText>
      </w:r>
      <w:r w:rsidR="00E94D8A">
        <w:rPr>
          <w:rStyle w:val="apple-style-span"/>
          <w:color w:val="000000"/>
        </w:rPr>
      </w:r>
      <w:r w:rsidR="00E94D8A">
        <w:rPr>
          <w:rStyle w:val="apple-style-span"/>
          <w:color w:val="000000"/>
        </w:rPr>
        <w:fldChar w:fldCharType="separate"/>
      </w:r>
      <w:r w:rsidR="00B426BC" w:rsidRPr="00E94D8A">
        <w:t>Figur</w:t>
      </w:r>
      <w:r w:rsidR="00B426BC">
        <w:t>a</w:t>
      </w:r>
      <w:r w:rsidR="00B426BC" w:rsidRPr="00E94D8A">
        <w:t xml:space="preserve"> </w:t>
      </w:r>
      <w:r w:rsidR="00B426BC">
        <w:rPr>
          <w:noProof/>
        </w:rPr>
        <w:t>5</w:t>
      </w:r>
      <w:r w:rsidR="00B426BC" w:rsidRPr="00E94D8A">
        <w:t>.</w:t>
      </w:r>
      <w:r w:rsidR="00B426BC">
        <w:rPr>
          <w:noProof/>
        </w:rPr>
        <w:t>2</w:t>
      </w:r>
      <w:r w:rsidR="00E94D8A">
        <w:rPr>
          <w:rStyle w:val="apple-style-span"/>
          <w:color w:val="000000"/>
        </w:rPr>
        <w:fldChar w:fldCharType="end"/>
      </w:r>
      <w:r w:rsidRPr="00E94D8A">
        <w:rPr>
          <w:rStyle w:val="apple-style-span"/>
          <w:color w:val="000000"/>
        </w:rPr>
        <w:t>.</w:t>
      </w:r>
      <w:r w:rsidRPr="00E94D8A">
        <w:rPr>
          <w:rStyle w:val="apple-style-span"/>
        </w:rPr>
        <w:t xml:space="preserve"> Se ha incluido estos servicios para </w:t>
      </w:r>
      <w:r w:rsidRPr="00E94D8A">
        <w:rPr>
          <w:rStyle w:val="apple-style-span"/>
          <w:color w:val="000000"/>
        </w:rPr>
        <w:t xml:space="preserve">capturar los requerimientos de </w:t>
      </w:r>
      <w:proofErr w:type="spellStart"/>
      <w:r w:rsidRPr="00E94D8A">
        <w:rPr>
          <w:rStyle w:val="apple-style-span"/>
          <w:color w:val="000000"/>
        </w:rPr>
        <w:t>backhaul</w:t>
      </w:r>
      <w:proofErr w:type="spellEnd"/>
      <w:r w:rsidRPr="00E94D8A">
        <w:rPr>
          <w:rStyle w:val="apple-style-span"/>
          <w:color w:val="000000"/>
        </w:rPr>
        <w:t xml:space="preserve"> de retorno de la </w:t>
      </w:r>
      <w:r w:rsidR="008C5A37">
        <w:rPr>
          <w:rStyle w:val="apple-style-span"/>
          <w:color w:val="000000"/>
        </w:rPr>
        <w:t>central local a la red troncal.</w:t>
      </w:r>
    </w:p>
    <w:p w14:paraId="25FD2D8E" w14:textId="77777777" w:rsidR="00A37365" w:rsidRPr="00E94D8A" w:rsidRDefault="00A37365" w:rsidP="00A37365">
      <w:pPr>
        <w:pStyle w:val="Descripcin"/>
        <w:rPr>
          <w:lang w:val="es-ES"/>
        </w:rPr>
      </w:pPr>
      <w:bookmarkStart w:id="71" w:name="_Ref321212433"/>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5</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SEQ Ilustración \* ARABIC \s 1 \* MERGEFORMAT </w:instrText>
      </w:r>
      <w:r w:rsidRPr="00E94D8A">
        <w:rPr>
          <w:lang w:val="es-ES"/>
        </w:rPr>
        <w:fldChar w:fldCharType="separate"/>
      </w:r>
      <w:r w:rsidR="00B426BC">
        <w:rPr>
          <w:noProof/>
          <w:lang w:val="es-ES"/>
        </w:rPr>
        <w:t>2</w:t>
      </w:r>
      <w:r w:rsidRPr="00E94D8A">
        <w:rPr>
          <w:lang w:val="es-ES"/>
        </w:rPr>
        <w:fldChar w:fldCharType="end"/>
      </w:r>
      <w:bookmarkEnd w:id="71"/>
      <w:r w:rsidRPr="00E94D8A">
        <w:rPr>
          <w:lang w:val="es-ES"/>
        </w:rPr>
        <w:t xml:space="preserve">: Servicios de acceso a Internet [Fuente: </w:t>
      </w:r>
      <w:proofErr w:type="spellStart"/>
      <w:r w:rsidRPr="00E94D8A">
        <w:rPr>
          <w:lang w:val="es-ES"/>
        </w:rPr>
        <w:t>Analysys</w:t>
      </w:r>
      <w:proofErr w:type="spellEnd"/>
      <w:r w:rsidRPr="00E94D8A">
        <w:rPr>
          <w:lang w:val="es-ES"/>
        </w:rPr>
        <w:t xml:space="preserve"> Mason]</w:t>
      </w:r>
    </w:p>
    <w:tbl>
      <w:tblPr>
        <w:tblStyle w:val="Sombreadomedio2-nfasis1"/>
        <w:tblW w:w="8947" w:type="dxa"/>
        <w:tblInd w:w="108" w:type="dxa"/>
        <w:tblLook w:val="0420" w:firstRow="1" w:lastRow="0" w:firstColumn="0" w:lastColumn="0" w:noHBand="0" w:noVBand="1"/>
        <w:tblCaption w:val="Figura 5.2"/>
        <w:tblDescription w:val="Servicios de acceso a Internet, Fuente: Analysys Mason"/>
      </w:tblPr>
      <w:tblGrid>
        <w:gridCol w:w="2410"/>
        <w:gridCol w:w="6537"/>
      </w:tblGrid>
      <w:tr w:rsidR="00A37365" w:rsidRPr="00E94D8A" w14:paraId="41705EA1" w14:textId="77777777" w:rsidTr="00E94D8A">
        <w:trPr>
          <w:cnfStyle w:val="100000000000" w:firstRow="1" w:lastRow="0" w:firstColumn="0" w:lastColumn="0" w:oddVBand="0" w:evenVBand="0" w:oddHBand="0" w:evenHBand="0" w:firstRowFirstColumn="0" w:firstRowLastColumn="0" w:lastRowFirstColumn="0" w:lastRowLastColumn="0"/>
        </w:trPr>
        <w:tc>
          <w:tcPr>
            <w:tcW w:w="2410" w:type="dxa"/>
            <w:tcBorders>
              <w:top w:val="single" w:sz="18" w:space="0" w:color="221F72"/>
              <w:bottom w:val="single" w:sz="18" w:space="0" w:color="221F72"/>
            </w:tcBorders>
            <w:shd w:val="solid" w:color="221F72" w:fill="221F72"/>
          </w:tcPr>
          <w:p w14:paraId="7CC9625F" w14:textId="77777777" w:rsidR="00A37365" w:rsidRPr="00E94D8A" w:rsidRDefault="00A37365" w:rsidP="00A37365">
            <w:pPr>
              <w:pStyle w:val="Tablecells"/>
              <w:rPr>
                <w:b w:val="0"/>
                <w:color w:val="auto"/>
                <w:lang w:val="es-ES"/>
              </w:rPr>
            </w:pPr>
            <w:r w:rsidRPr="00E94D8A">
              <w:rPr>
                <w:color w:val="auto"/>
                <w:lang w:val="es-ES"/>
              </w:rPr>
              <w:t>Servicio</w:t>
            </w:r>
          </w:p>
        </w:tc>
        <w:tc>
          <w:tcPr>
            <w:tcW w:w="6537" w:type="dxa"/>
            <w:tcBorders>
              <w:top w:val="single" w:sz="18" w:space="0" w:color="221F72"/>
              <w:bottom w:val="single" w:sz="18" w:space="0" w:color="221F72"/>
            </w:tcBorders>
            <w:shd w:val="solid" w:color="221F72" w:fill="221F72"/>
          </w:tcPr>
          <w:p w14:paraId="54CFC2C8" w14:textId="77777777" w:rsidR="00A37365" w:rsidRPr="00E94D8A" w:rsidRDefault="00A37365" w:rsidP="00A37365">
            <w:pPr>
              <w:pStyle w:val="Tablecells"/>
              <w:rPr>
                <w:b w:val="0"/>
                <w:color w:val="auto"/>
                <w:lang w:val="es-ES"/>
              </w:rPr>
            </w:pPr>
            <w:r w:rsidRPr="00E94D8A">
              <w:rPr>
                <w:color w:val="auto"/>
                <w:lang w:val="es-ES"/>
              </w:rPr>
              <w:t>Descripción del servicio</w:t>
            </w:r>
          </w:p>
        </w:tc>
      </w:tr>
      <w:tr w:rsidR="00AE6843" w:rsidRPr="00AE6843" w14:paraId="77F2C326" w14:textId="77777777" w:rsidTr="00E94D8A">
        <w:trPr>
          <w:cnfStyle w:val="000000100000" w:firstRow="0" w:lastRow="0" w:firstColumn="0" w:lastColumn="0" w:oddVBand="0" w:evenVBand="0" w:oddHBand="1" w:evenHBand="0" w:firstRowFirstColumn="0" w:firstRowLastColumn="0" w:lastRowFirstColumn="0" w:lastRowLastColumn="0"/>
        </w:trPr>
        <w:tc>
          <w:tcPr>
            <w:tcW w:w="2410" w:type="dxa"/>
            <w:tcBorders>
              <w:top w:val="single" w:sz="18" w:space="0" w:color="221F72"/>
            </w:tcBorders>
          </w:tcPr>
          <w:p w14:paraId="0EEB1684" w14:textId="77777777" w:rsidR="00AE6843" w:rsidRPr="00AE6843" w:rsidRDefault="00AE6843" w:rsidP="00AE6843">
            <w:pPr>
              <w:pStyle w:val="Tablecells"/>
              <w:jc w:val="both"/>
              <w:rPr>
                <w:rFonts w:cs="Arial"/>
                <w:lang w:val="es-ES"/>
              </w:rPr>
            </w:pPr>
            <w:proofErr w:type="spellStart"/>
            <w:r w:rsidRPr="00AE6843">
              <w:rPr>
                <w:rFonts w:cs="Arial"/>
                <w:lang w:val="es-ES"/>
              </w:rPr>
              <w:t>xDSL</w:t>
            </w:r>
            <w:proofErr w:type="spellEnd"/>
            <w:r w:rsidRPr="00AE6843">
              <w:rPr>
                <w:rFonts w:cs="Arial"/>
                <w:lang w:val="es-ES"/>
              </w:rPr>
              <w:t xml:space="preserve"> propio (líneas)</w:t>
            </w:r>
          </w:p>
        </w:tc>
        <w:tc>
          <w:tcPr>
            <w:tcW w:w="6537" w:type="dxa"/>
            <w:tcBorders>
              <w:top w:val="single" w:sz="18" w:space="0" w:color="221F72"/>
            </w:tcBorders>
          </w:tcPr>
          <w:p w14:paraId="6BCB7920" w14:textId="77777777" w:rsidR="00AE6843" w:rsidRPr="0028542F" w:rsidRDefault="00AE6843" w:rsidP="0028542F">
            <w:pPr>
              <w:pStyle w:val="Tablecells"/>
              <w:jc w:val="both"/>
              <w:rPr>
                <w:rFonts w:cs="Arial"/>
                <w:spacing w:val="-4"/>
                <w:lang w:val="es-ES"/>
              </w:rPr>
            </w:pPr>
            <w:r w:rsidRPr="0028542F">
              <w:rPr>
                <w:rFonts w:cs="Arial"/>
                <w:spacing w:val="-4"/>
                <w:lang w:val="es-ES"/>
              </w:rPr>
              <w:t>Provisión de una línea de suscripción digital (</w:t>
            </w:r>
            <w:proofErr w:type="spellStart"/>
            <w:r w:rsidRPr="0028542F">
              <w:rPr>
                <w:rFonts w:cs="Arial"/>
                <w:spacing w:val="-4"/>
                <w:lang w:val="es-ES"/>
              </w:rPr>
              <w:t>xDSL</w:t>
            </w:r>
            <w:proofErr w:type="spellEnd"/>
            <w:r w:rsidRPr="0028542F">
              <w:rPr>
                <w:rFonts w:cs="Arial"/>
                <w:spacing w:val="-4"/>
                <w:lang w:val="es-ES"/>
              </w:rPr>
              <w:t xml:space="preserve">) para el servicio de Internet </w:t>
            </w:r>
            <w:r w:rsidR="0028542F" w:rsidRPr="0028542F">
              <w:rPr>
                <w:rFonts w:cs="Arial"/>
                <w:spacing w:val="-4"/>
                <w:lang w:val="es-ES"/>
              </w:rPr>
              <w:t>comercializado</w:t>
            </w:r>
            <w:r w:rsidRPr="0028542F">
              <w:rPr>
                <w:rFonts w:cs="Arial"/>
                <w:spacing w:val="-4"/>
                <w:lang w:val="es-ES"/>
              </w:rPr>
              <w:t xml:space="preserve"> por el departamento minorista del operador modelado.</w:t>
            </w:r>
          </w:p>
        </w:tc>
      </w:tr>
      <w:tr w:rsidR="00AE6843" w:rsidRPr="00E94D8A" w14:paraId="761A09AD" w14:textId="77777777" w:rsidTr="00E94D8A">
        <w:tc>
          <w:tcPr>
            <w:tcW w:w="2410" w:type="dxa"/>
            <w:tcBorders>
              <w:bottom w:val="nil"/>
            </w:tcBorders>
          </w:tcPr>
          <w:p w14:paraId="373572D4" w14:textId="77777777" w:rsidR="00AE6843" w:rsidRPr="006670B3" w:rsidRDefault="00AE6843" w:rsidP="005B4A34">
            <w:pPr>
              <w:pStyle w:val="Tablecells"/>
            </w:pPr>
            <w:proofErr w:type="spellStart"/>
            <w:r w:rsidRPr="006670B3">
              <w:t>xDSL</w:t>
            </w:r>
            <w:proofErr w:type="spellEnd"/>
            <w:r w:rsidRPr="006670B3">
              <w:t xml:space="preserve"> </w:t>
            </w:r>
            <w:proofErr w:type="spellStart"/>
            <w:r>
              <w:t>propio</w:t>
            </w:r>
            <w:proofErr w:type="spellEnd"/>
            <w:r>
              <w:t xml:space="preserve"> (</w:t>
            </w:r>
            <w:proofErr w:type="spellStart"/>
            <w:r>
              <w:t>contenido</w:t>
            </w:r>
            <w:proofErr w:type="spellEnd"/>
            <w:r>
              <w:t>)</w:t>
            </w:r>
          </w:p>
        </w:tc>
        <w:tc>
          <w:tcPr>
            <w:tcW w:w="6537" w:type="dxa"/>
            <w:tcBorders>
              <w:bottom w:val="nil"/>
            </w:tcBorders>
          </w:tcPr>
          <w:p w14:paraId="188309C2" w14:textId="77777777" w:rsidR="00AE6843" w:rsidRPr="0028542F" w:rsidRDefault="008C5A37" w:rsidP="008C5A37">
            <w:pPr>
              <w:pStyle w:val="Tablecells"/>
              <w:jc w:val="both"/>
              <w:rPr>
                <w:rFonts w:cs="Arial"/>
                <w:spacing w:val="-4"/>
                <w:lang w:val="es-ES"/>
              </w:rPr>
            </w:pPr>
            <w:r w:rsidRPr="0028542F">
              <w:rPr>
                <w:rFonts w:cs="Arial"/>
                <w:spacing w:val="-4"/>
                <w:lang w:val="es-ES"/>
              </w:rPr>
              <w:t>Ancho de banda en una línea de suscripción digital (</w:t>
            </w:r>
            <w:proofErr w:type="spellStart"/>
            <w:r w:rsidRPr="0028542F">
              <w:rPr>
                <w:rFonts w:cs="Arial"/>
                <w:spacing w:val="-4"/>
                <w:lang w:val="es-ES"/>
              </w:rPr>
              <w:t>xDSL</w:t>
            </w:r>
            <w:proofErr w:type="spellEnd"/>
            <w:r w:rsidRPr="0028542F">
              <w:rPr>
                <w:rFonts w:cs="Arial"/>
                <w:spacing w:val="-4"/>
                <w:lang w:val="es-ES"/>
              </w:rPr>
              <w:t xml:space="preserve">) para el servicio de Internet </w:t>
            </w:r>
            <w:r w:rsidR="0028542F" w:rsidRPr="0028542F">
              <w:rPr>
                <w:rFonts w:cs="Arial"/>
                <w:spacing w:val="-4"/>
                <w:lang w:val="es-ES"/>
              </w:rPr>
              <w:t xml:space="preserve">comercializado </w:t>
            </w:r>
            <w:r w:rsidR="00AE6843" w:rsidRPr="0028542F">
              <w:rPr>
                <w:rFonts w:cs="Arial"/>
                <w:spacing w:val="-4"/>
                <w:lang w:val="es-ES"/>
              </w:rPr>
              <w:t>por el departamento minorista del operador modelado.</w:t>
            </w:r>
          </w:p>
        </w:tc>
      </w:tr>
      <w:tr w:rsidR="008C5A37" w:rsidRPr="00E94D8A" w14:paraId="3C4B9ECA" w14:textId="77777777" w:rsidTr="00AE6843">
        <w:trPr>
          <w:cnfStyle w:val="000000100000" w:firstRow="0" w:lastRow="0" w:firstColumn="0" w:lastColumn="0" w:oddVBand="0" w:evenVBand="0" w:oddHBand="1" w:evenHBand="0" w:firstRowFirstColumn="0" w:firstRowLastColumn="0" w:lastRowFirstColumn="0" w:lastRowLastColumn="0"/>
        </w:trPr>
        <w:tc>
          <w:tcPr>
            <w:tcW w:w="2410" w:type="dxa"/>
            <w:tcBorders>
              <w:top w:val="nil"/>
              <w:bottom w:val="nil"/>
            </w:tcBorders>
          </w:tcPr>
          <w:p w14:paraId="5FF22682" w14:textId="77777777" w:rsidR="008C5A37" w:rsidRPr="006670B3" w:rsidRDefault="008C5A37" w:rsidP="00AE6843">
            <w:pPr>
              <w:pStyle w:val="Tablecells"/>
            </w:pPr>
            <w:proofErr w:type="spellStart"/>
            <w:r w:rsidRPr="006670B3">
              <w:t>xDSL</w:t>
            </w:r>
            <w:proofErr w:type="spellEnd"/>
            <w:r w:rsidRPr="006670B3">
              <w:t xml:space="preserve"> </w:t>
            </w:r>
            <w:proofErr w:type="spellStart"/>
            <w:r>
              <w:t>ajeno</w:t>
            </w:r>
            <w:proofErr w:type="spellEnd"/>
            <w:r>
              <w:t xml:space="preserve"> (</w:t>
            </w:r>
            <w:proofErr w:type="spellStart"/>
            <w:r>
              <w:t>líneas</w:t>
            </w:r>
            <w:proofErr w:type="spellEnd"/>
            <w:r>
              <w:t>)</w:t>
            </w:r>
          </w:p>
        </w:tc>
        <w:tc>
          <w:tcPr>
            <w:tcW w:w="6537" w:type="dxa"/>
            <w:tcBorders>
              <w:top w:val="nil"/>
              <w:bottom w:val="nil"/>
            </w:tcBorders>
          </w:tcPr>
          <w:p w14:paraId="67BC4262" w14:textId="77777777" w:rsidR="008C5A37" w:rsidRPr="0028542F" w:rsidRDefault="008C5A37" w:rsidP="00C33495">
            <w:pPr>
              <w:pStyle w:val="Tablecells"/>
              <w:jc w:val="both"/>
              <w:rPr>
                <w:rFonts w:cs="Arial"/>
                <w:spacing w:val="-4"/>
                <w:lang w:val="es-ES"/>
              </w:rPr>
            </w:pPr>
            <w:r w:rsidRPr="0028542F">
              <w:rPr>
                <w:rFonts w:cs="Arial"/>
                <w:spacing w:val="-4"/>
                <w:lang w:val="es-ES"/>
              </w:rPr>
              <w:t>Provisión de una línea de suscripción digital (</w:t>
            </w:r>
            <w:proofErr w:type="spellStart"/>
            <w:r w:rsidRPr="0028542F">
              <w:rPr>
                <w:rFonts w:cs="Arial"/>
                <w:spacing w:val="-4"/>
                <w:lang w:val="es-ES"/>
              </w:rPr>
              <w:t>xDSL</w:t>
            </w:r>
            <w:proofErr w:type="spellEnd"/>
            <w:r w:rsidRPr="0028542F">
              <w:rPr>
                <w:rFonts w:cs="Arial"/>
                <w:spacing w:val="-4"/>
                <w:lang w:val="es-ES"/>
              </w:rPr>
              <w:t xml:space="preserve">) para el servicio de Internet </w:t>
            </w:r>
            <w:r w:rsidR="0028542F" w:rsidRPr="0028542F">
              <w:rPr>
                <w:rFonts w:cs="Arial"/>
                <w:spacing w:val="-4"/>
                <w:lang w:val="es-ES"/>
              </w:rPr>
              <w:t xml:space="preserve">comercializado </w:t>
            </w:r>
            <w:r w:rsidRPr="0028542F">
              <w:rPr>
                <w:rFonts w:cs="Arial"/>
                <w:spacing w:val="-4"/>
                <w:lang w:val="es-ES"/>
              </w:rPr>
              <w:t>por el departamento mayorista del operador modelado.</w:t>
            </w:r>
          </w:p>
        </w:tc>
      </w:tr>
      <w:tr w:rsidR="008C5A37" w:rsidRPr="00E94D8A" w14:paraId="58486ED1" w14:textId="77777777" w:rsidTr="00E94D8A">
        <w:tc>
          <w:tcPr>
            <w:tcW w:w="2410" w:type="dxa"/>
            <w:tcBorders>
              <w:top w:val="nil"/>
              <w:bottom w:val="single" w:sz="4" w:space="0" w:color="808080"/>
            </w:tcBorders>
          </w:tcPr>
          <w:p w14:paraId="3C178885" w14:textId="77777777" w:rsidR="008C5A37" w:rsidRPr="00D17560" w:rsidRDefault="008C5A37" w:rsidP="00AE6843">
            <w:pPr>
              <w:pStyle w:val="Tablecells"/>
            </w:pPr>
            <w:proofErr w:type="spellStart"/>
            <w:r w:rsidRPr="006670B3">
              <w:t>xDSL</w:t>
            </w:r>
            <w:proofErr w:type="spellEnd"/>
            <w:r w:rsidRPr="006670B3">
              <w:t xml:space="preserve"> </w:t>
            </w:r>
            <w:proofErr w:type="spellStart"/>
            <w:r>
              <w:t>ajeno</w:t>
            </w:r>
            <w:proofErr w:type="spellEnd"/>
            <w:r>
              <w:t xml:space="preserve"> (</w:t>
            </w:r>
            <w:proofErr w:type="spellStart"/>
            <w:r>
              <w:t>bitstream</w:t>
            </w:r>
            <w:proofErr w:type="spellEnd"/>
            <w:r>
              <w:t>)</w:t>
            </w:r>
          </w:p>
        </w:tc>
        <w:tc>
          <w:tcPr>
            <w:tcW w:w="6537" w:type="dxa"/>
            <w:tcBorders>
              <w:top w:val="nil"/>
              <w:bottom w:val="single" w:sz="4" w:space="0" w:color="808080"/>
            </w:tcBorders>
          </w:tcPr>
          <w:p w14:paraId="6DDD27B0" w14:textId="77777777" w:rsidR="008C5A37" w:rsidRPr="0028542F" w:rsidRDefault="008C5A37" w:rsidP="00C33495">
            <w:pPr>
              <w:pStyle w:val="Tablecells"/>
              <w:jc w:val="both"/>
              <w:rPr>
                <w:rFonts w:cs="Arial"/>
                <w:spacing w:val="-4"/>
                <w:lang w:val="es-ES"/>
              </w:rPr>
            </w:pPr>
            <w:r w:rsidRPr="0028542F">
              <w:rPr>
                <w:rFonts w:cs="Arial"/>
                <w:spacing w:val="-4"/>
                <w:lang w:val="es-ES"/>
              </w:rPr>
              <w:t>Ancho de banda en una línea de suscripción digital (</w:t>
            </w:r>
            <w:proofErr w:type="spellStart"/>
            <w:r w:rsidRPr="0028542F">
              <w:rPr>
                <w:rFonts w:cs="Arial"/>
                <w:spacing w:val="-4"/>
                <w:lang w:val="es-ES"/>
              </w:rPr>
              <w:t>xDSL</w:t>
            </w:r>
            <w:proofErr w:type="spellEnd"/>
            <w:r w:rsidRPr="0028542F">
              <w:rPr>
                <w:rFonts w:cs="Arial"/>
                <w:spacing w:val="-4"/>
                <w:lang w:val="es-ES"/>
              </w:rPr>
              <w:t xml:space="preserve">) para el servicio de Internet </w:t>
            </w:r>
            <w:r w:rsidR="0028542F" w:rsidRPr="0028542F">
              <w:rPr>
                <w:rFonts w:cs="Arial"/>
                <w:spacing w:val="-4"/>
                <w:lang w:val="es-ES"/>
              </w:rPr>
              <w:t xml:space="preserve">comercializado </w:t>
            </w:r>
            <w:r w:rsidRPr="0028542F">
              <w:rPr>
                <w:rFonts w:cs="Arial"/>
                <w:spacing w:val="-4"/>
                <w:lang w:val="es-ES"/>
              </w:rPr>
              <w:t>por el departamento mayorista del operador modelado.</w:t>
            </w:r>
          </w:p>
        </w:tc>
      </w:tr>
    </w:tbl>
    <w:p w14:paraId="6DD026B5" w14:textId="5D2ECF97" w:rsidR="00A37365" w:rsidRPr="00E94D8A" w:rsidRDefault="00A37365" w:rsidP="00A37365">
      <w:pPr>
        <w:pageBreakBefore/>
      </w:pPr>
      <w:r w:rsidRPr="00E94D8A">
        <w:lastRenderedPageBreak/>
        <w:t>Existe además una lista de ‘otros’ servicios de telefonía fija que se incluirán también en el modelo, como se detalla en la</w:t>
      </w:r>
      <w:r w:rsidR="00E94D8A">
        <w:t xml:space="preserve"> </w:t>
      </w:r>
      <w:r w:rsidR="00E94D8A">
        <w:fldChar w:fldCharType="begin"/>
      </w:r>
      <w:r w:rsidR="00E94D8A">
        <w:instrText xml:space="preserve"> REF _Ref321212462 \h </w:instrText>
      </w:r>
      <w:r w:rsidR="00E94D8A">
        <w:fldChar w:fldCharType="separate"/>
      </w:r>
      <w:r w:rsidR="00B426BC" w:rsidRPr="00E94D8A">
        <w:t>Figur</w:t>
      </w:r>
      <w:r w:rsidR="00B426BC">
        <w:t>a</w:t>
      </w:r>
      <w:r w:rsidR="00B426BC" w:rsidRPr="00E94D8A">
        <w:t xml:space="preserve"> </w:t>
      </w:r>
      <w:r w:rsidR="00B426BC">
        <w:rPr>
          <w:noProof/>
        </w:rPr>
        <w:t>5</w:t>
      </w:r>
      <w:r w:rsidR="00B426BC" w:rsidRPr="00E94D8A">
        <w:t>.</w:t>
      </w:r>
      <w:r w:rsidR="00B426BC">
        <w:rPr>
          <w:noProof/>
        </w:rPr>
        <w:t>3</w:t>
      </w:r>
      <w:r w:rsidR="00E94D8A">
        <w:fldChar w:fldCharType="end"/>
      </w:r>
      <w:r w:rsidRPr="00E94D8A">
        <w:t>.</w:t>
      </w:r>
    </w:p>
    <w:p w14:paraId="6569E556" w14:textId="77777777" w:rsidR="00A37365" w:rsidRPr="00E94D8A" w:rsidRDefault="00A37365" w:rsidP="00A37365">
      <w:pPr>
        <w:pStyle w:val="Descripcin"/>
        <w:rPr>
          <w:lang w:val="es-ES"/>
        </w:rPr>
      </w:pPr>
      <w:bookmarkStart w:id="72" w:name="_Ref321212462"/>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5</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SEQ Ilustración \* ARABIC \s 1 \* MERGEFORMAT </w:instrText>
      </w:r>
      <w:r w:rsidRPr="00E94D8A">
        <w:rPr>
          <w:lang w:val="es-ES"/>
        </w:rPr>
        <w:fldChar w:fldCharType="separate"/>
      </w:r>
      <w:r w:rsidR="00B426BC">
        <w:rPr>
          <w:noProof/>
          <w:lang w:val="es-ES"/>
        </w:rPr>
        <w:t>3</w:t>
      </w:r>
      <w:r w:rsidRPr="00E94D8A">
        <w:rPr>
          <w:lang w:val="es-ES"/>
        </w:rPr>
        <w:fldChar w:fldCharType="end"/>
      </w:r>
      <w:bookmarkEnd w:id="72"/>
      <w:r w:rsidRPr="00E94D8A">
        <w:rPr>
          <w:lang w:val="es-ES"/>
        </w:rPr>
        <w:t xml:space="preserve">: Otros servicios fijos [Fuente: </w:t>
      </w:r>
      <w:proofErr w:type="spellStart"/>
      <w:r w:rsidRPr="00E94D8A">
        <w:rPr>
          <w:lang w:val="es-ES"/>
        </w:rPr>
        <w:t>Analysys</w:t>
      </w:r>
      <w:proofErr w:type="spellEnd"/>
      <w:r w:rsidRPr="00E94D8A">
        <w:rPr>
          <w:lang w:val="es-ES"/>
        </w:rPr>
        <w:t xml:space="preserve"> Mason]</w:t>
      </w:r>
    </w:p>
    <w:tbl>
      <w:tblPr>
        <w:tblStyle w:val="Sombreadomedio2-nfasis1"/>
        <w:tblW w:w="8947" w:type="dxa"/>
        <w:tblInd w:w="108" w:type="dxa"/>
        <w:tblLook w:val="0420" w:firstRow="1" w:lastRow="0" w:firstColumn="0" w:lastColumn="0" w:noHBand="0" w:noVBand="1"/>
        <w:tblCaption w:val="Figura 5.3"/>
        <w:tblDescription w:val="Otros servicios fijos, Fuente: Analysys Mason"/>
      </w:tblPr>
      <w:tblGrid>
        <w:gridCol w:w="2410"/>
        <w:gridCol w:w="6537"/>
      </w:tblGrid>
      <w:tr w:rsidR="00A37365" w:rsidRPr="00E94D8A" w14:paraId="34CD4211" w14:textId="77777777" w:rsidTr="00E94D8A">
        <w:trPr>
          <w:cnfStyle w:val="100000000000" w:firstRow="1" w:lastRow="0" w:firstColumn="0" w:lastColumn="0" w:oddVBand="0" w:evenVBand="0" w:oddHBand="0" w:evenHBand="0" w:firstRowFirstColumn="0" w:firstRowLastColumn="0" w:lastRowFirstColumn="0" w:lastRowLastColumn="0"/>
        </w:trPr>
        <w:tc>
          <w:tcPr>
            <w:tcW w:w="2410" w:type="dxa"/>
            <w:tcBorders>
              <w:top w:val="single" w:sz="18" w:space="0" w:color="221F72"/>
              <w:bottom w:val="single" w:sz="18" w:space="0" w:color="221F72"/>
            </w:tcBorders>
            <w:shd w:val="solid" w:color="221F72" w:fill="221F72"/>
          </w:tcPr>
          <w:p w14:paraId="2A90108D" w14:textId="77777777" w:rsidR="00A37365" w:rsidRPr="00E94D8A" w:rsidRDefault="00A37365" w:rsidP="00A37365">
            <w:pPr>
              <w:pStyle w:val="Tablecells"/>
              <w:rPr>
                <w:b w:val="0"/>
                <w:color w:val="auto"/>
                <w:lang w:val="es-ES"/>
              </w:rPr>
            </w:pPr>
            <w:r w:rsidRPr="00E94D8A">
              <w:rPr>
                <w:color w:val="auto"/>
                <w:lang w:val="es-ES"/>
              </w:rPr>
              <w:t>Servicio</w:t>
            </w:r>
          </w:p>
        </w:tc>
        <w:tc>
          <w:tcPr>
            <w:tcW w:w="6537" w:type="dxa"/>
            <w:tcBorders>
              <w:top w:val="single" w:sz="18" w:space="0" w:color="221F72"/>
              <w:bottom w:val="single" w:sz="18" w:space="0" w:color="221F72"/>
            </w:tcBorders>
            <w:shd w:val="solid" w:color="221F72" w:fill="221F72"/>
          </w:tcPr>
          <w:p w14:paraId="73D7B1CF" w14:textId="77777777" w:rsidR="00A37365" w:rsidRPr="00E94D8A" w:rsidRDefault="00A37365" w:rsidP="00A37365">
            <w:pPr>
              <w:pStyle w:val="Tablecells"/>
              <w:rPr>
                <w:b w:val="0"/>
                <w:color w:val="auto"/>
                <w:lang w:val="es-ES"/>
              </w:rPr>
            </w:pPr>
            <w:r w:rsidRPr="00E94D8A">
              <w:rPr>
                <w:color w:val="auto"/>
                <w:lang w:val="es-ES"/>
              </w:rPr>
              <w:t>Descripción del servicio</w:t>
            </w:r>
          </w:p>
        </w:tc>
      </w:tr>
      <w:tr w:rsidR="00A37365" w:rsidRPr="00E94D8A" w14:paraId="24BF6D4D" w14:textId="77777777" w:rsidTr="00E94D8A">
        <w:trPr>
          <w:cnfStyle w:val="000000100000" w:firstRow="0" w:lastRow="0" w:firstColumn="0" w:lastColumn="0" w:oddVBand="0" w:evenVBand="0" w:oddHBand="1" w:evenHBand="0" w:firstRowFirstColumn="0" w:firstRowLastColumn="0" w:lastRowFirstColumn="0" w:lastRowLastColumn="0"/>
        </w:trPr>
        <w:tc>
          <w:tcPr>
            <w:tcW w:w="2410" w:type="dxa"/>
            <w:tcBorders>
              <w:bottom w:val="nil"/>
            </w:tcBorders>
          </w:tcPr>
          <w:p w14:paraId="416C675C" w14:textId="77777777" w:rsidR="00A37365" w:rsidRPr="00E94D8A" w:rsidRDefault="00A37365" w:rsidP="00A37365">
            <w:pPr>
              <w:pStyle w:val="Tablecells"/>
              <w:rPr>
                <w:rFonts w:cs="Arial"/>
                <w:lang w:val="es-ES"/>
              </w:rPr>
            </w:pPr>
            <w:r w:rsidRPr="00E94D8A">
              <w:rPr>
                <w:rFonts w:cs="Arial"/>
                <w:lang w:val="es-ES"/>
              </w:rPr>
              <w:t>Enlaces dedicados</w:t>
            </w:r>
          </w:p>
        </w:tc>
        <w:tc>
          <w:tcPr>
            <w:tcW w:w="6537" w:type="dxa"/>
            <w:tcBorders>
              <w:bottom w:val="nil"/>
            </w:tcBorders>
          </w:tcPr>
          <w:p w14:paraId="76C5FE73" w14:textId="77777777" w:rsidR="00A37365" w:rsidRPr="00E94D8A" w:rsidRDefault="00A37365" w:rsidP="00247909">
            <w:pPr>
              <w:pStyle w:val="Tablecells"/>
              <w:jc w:val="both"/>
              <w:rPr>
                <w:rFonts w:cs="Arial"/>
                <w:lang w:val="es-ES"/>
              </w:rPr>
            </w:pPr>
            <w:r w:rsidRPr="00E94D8A">
              <w:rPr>
                <w:rFonts w:cs="Arial"/>
                <w:lang w:val="es-ES"/>
              </w:rPr>
              <w:t>Incluye servicios de líneas alquilada</w:t>
            </w:r>
            <w:r w:rsidR="00247909">
              <w:rPr>
                <w:rFonts w:cs="Arial"/>
                <w:lang w:val="es-ES"/>
              </w:rPr>
              <w:t>s</w:t>
            </w:r>
            <w:r w:rsidRPr="00E94D8A">
              <w:rPr>
                <w:rFonts w:cs="Arial"/>
                <w:lang w:val="es-ES"/>
              </w:rPr>
              <w:t>, ya sea para apr</w:t>
            </w:r>
            <w:r w:rsidR="00247909">
              <w:rPr>
                <w:rFonts w:cs="Arial"/>
                <w:lang w:val="es-ES"/>
              </w:rPr>
              <w:t>ovisionar a clientes minoristas</w:t>
            </w:r>
            <w:r w:rsidRPr="00E94D8A">
              <w:rPr>
                <w:rFonts w:cs="Arial"/>
                <w:lang w:val="es-ES"/>
              </w:rPr>
              <w:t xml:space="preserve"> </w:t>
            </w:r>
            <w:r w:rsidR="00247909">
              <w:rPr>
                <w:rFonts w:cs="Arial"/>
                <w:lang w:val="es-ES"/>
              </w:rPr>
              <w:t xml:space="preserve">u </w:t>
            </w:r>
            <w:r w:rsidRPr="00E94D8A">
              <w:rPr>
                <w:rFonts w:cs="Arial"/>
                <w:lang w:val="es-ES"/>
              </w:rPr>
              <w:t>otros operadores.</w:t>
            </w:r>
          </w:p>
        </w:tc>
      </w:tr>
      <w:tr w:rsidR="00A37365" w:rsidRPr="00E94D8A" w14:paraId="7157CF6D" w14:textId="77777777" w:rsidTr="00E94D8A">
        <w:tc>
          <w:tcPr>
            <w:tcW w:w="2410" w:type="dxa"/>
            <w:tcBorders>
              <w:top w:val="nil"/>
              <w:bottom w:val="single" w:sz="4" w:space="0" w:color="808080"/>
            </w:tcBorders>
          </w:tcPr>
          <w:p w14:paraId="5ED0EF9F" w14:textId="77777777" w:rsidR="00A37365" w:rsidRPr="00E94D8A" w:rsidRDefault="008C5A37" w:rsidP="00A37365">
            <w:pPr>
              <w:pStyle w:val="Tablecells"/>
              <w:rPr>
                <w:rFonts w:cs="Arial"/>
                <w:lang w:val="es-ES"/>
              </w:rPr>
            </w:pPr>
            <w:r>
              <w:rPr>
                <w:rFonts w:cs="Arial"/>
                <w:lang w:val="es-ES"/>
              </w:rPr>
              <w:t>Televisión</w:t>
            </w:r>
          </w:p>
        </w:tc>
        <w:tc>
          <w:tcPr>
            <w:tcW w:w="6537" w:type="dxa"/>
            <w:tcBorders>
              <w:top w:val="nil"/>
              <w:bottom w:val="single" w:sz="4" w:space="0" w:color="808080"/>
            </w:tcBorders>
          </w:tcPr>
          <w:p w14:paraId="1085A000" w14:textId="2873F148" w:rsidR="00A37365" w:rsidRPr="00E94D8A" w:rsidRDefault="00247909" w:rsidP="005F044C">
            <w:pPr>
              <w:pStyle w:val="Tablecells"/>
              <w:jc w:val="both"/>
              <w:rPr>
                <w:rFonts w:cs="Arial"/>
                <w:lang w:val="es-ES"/>
              </w:rPr>
            </w:pPr>
            <w:r>
              <w:rPr>
                <w:rFonts w:cs="Arial"/>
                <w:lang w:val="es-ES"/>
              </w:rPr>
              <w:t>Provisión de</w:t>
            </w:r>
            <w:r w:rsidR="005C29D6">
              <w:rPr>
                <w:rFonts w:cs="Arial"/>
                <w:lang w:val="es-ES"/>
              </w:rPr>
              <w:t>l</w:t>
            </w:r>
            <w:r>
              <w:rPr>
                <w:rFonts w:cs="Arial"/>
                <w:lang w:val="es-ES"/>
              </w:rPr>
              <w:t xml:space="preserve"> servicio de televisión, ya sea</w:t>
            </w:r>
            <w:r w:rsidR="005F044C">
              <w:rPr>
                <w:rFonts w:cs="Arial"/>
                <w:lang w:val="es-ES"/>
              </w:rPr>
              <w:t xml:space="preserve"> lineal</w:t>
            </w:r>
            <w:r>
              <w:rPr>
                <w:rFonts w:cs="Arial"/>
                <w:lang w:val="es-ES"/>
              </w:rPr>
              <w:t xml:space="preserve"> o </w:t>
            </w:r>
            <w:r w:rsidR="005C29D6">
              <w:rPr>
                <w:rFonts w:cs="Arial"/>
                <w:lang w:val="es-ES"/>
              </w:rPr>
              <w:t xml:space="preserve">de </w:t>
            </w:r>
            <w:proofErr w:type="spellStart"/>
            <w:r>
              <w:rPr>
                <w:rFonts w:cs="Arial"/>
                <w:lang w:val="es-ES"/>
              </w:rPr>
              <w:t>VoD</w:t>
            </w:r>
            <w:proofErr w:type="spellEnd"/>
            <w:r>
              <w:rPr>
                <w:rFonts w:cs="Arial"/>
                <w:lang w:val="es-ES"/>
              </w:rPr>
              <w:t xml:space="preserve">, </w:t>
            </w:r>
            <w:r w:rsidR="005C29D6">
              <w:rPr>
                <w:rFonts w:cs="Arial"/>
                <w:lang w:val="es-ES"/>
              </w:rPr>
              <w:t>comercializado</w:t>
            </w:r>
            <w:r w:rsidRPr="00E94D8A">
              <w:rPr>
                <w:rFonts w:cs="Arial"/>
                <w:lang w:val="es-ES"/>
              </w:rPr>
              <w:t xml:space="preserve"> </w:t>
            </w:r>
            <w:r>
              <w:rPr>
                <w:rFonts w:cs="Arial"/>
                <w:lang w:val="es-ES"/>
              </w:rPr>
              <w:t>por el departamento min</w:t>
            </w:r>
            <w:r w:rsidRPr="00E94D8A">
              <w:rPr>
                <w:rFonts w:cs="Arial"/>
                <w:lang w:val="es-ES"/>
              </w:rPr>
              <w:t>orista del operador modelado.</w:t>
            </w:r>
          </w:p>
        </w:tc>
      </w:tr>
    </w:tbl>
    <w:p w14:paraId="50BD87FA" w14:textId="77777777" w:rsidR="00A37365" w:rsidRPr="00E94D8A" w:rsidRDefault="00A37365" w:rsidP="00A37365"/>
    <w:p w14:paraId="12165392" w14:textId="77777777" w:rsidR="00725054" w:rsidRPr="000107F3" w:rsidRDefault="0043475A" w:rsidP="00725054">
      <w:pPr>
        <w:pStyle w:val="B1"/>
        <w:pBdr>
          <w:top w:val="single" w:sz="4" w:space="2" w:color="D9D9D9" w:themeColor="background1" w:themeShade="D9"/>
          <w:bottom w:val="single" w:sz="4" w:space="5" w:color="D9D9D9" w:themeColor="background1" w:themeShade="D9"/>
        </w:pBdr>
        <w:shd w:val="clear" w:color="auto" w:fill="F2F2F2" w:themeFill="background1" w:themeFillShade="F2"/>
      </w:pPr>
      <w:r>
        <w:rPr>
          <w:b/>
          <w:bCs/>
        </w:rPr>
        <w:t>Concepto propuesto</w:t>
      </w:r>
      <w:r w:rsidR="00725054">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17</w:t>
      </w:r>
      <w:r w:rsidR="00CB05BF" w:rsidRPr="00E94D8A">
        <w:rPr>
          <w:b/>
          <w:color w:val="000000" w:themeColor="text1"/>
        </w:rPr>
        <w:fldChar w:fldCharType="end"/>
      </w:r>
      <w:r w:rsidR="00725054" w:rsidRPr="00E94D8A">
        <w:t xml:space="preserve">: Los </w:t>
      </w:r>
      <w:r w:rsidR="00725054" w:rsidRPr="000107F3">
        <w:t xml:space="preserve">enlaces dedicados y la televisión a través de redes fijas se identificarán de forma separada en el modelo. </w:t>
      </w:r>
      <w:r w:rsidR="000107F3" w:rsidRPr="000107F3">
        <w:t>L</w:t>
      </w:r>
      <w:r w:rsidR="00725054" w:rsidRPr="000107F3">
        <w:t xml:space="preserve">a televisión </w:t>
      </w:r>
      <w:r w:rsidR="00184D66">
        <w:t>se incluirá como un servicio del operador alternativo hipotético pero se excluirá de</w:t>
      </w:r>
      <w:r w:rsidR="00CB5285">
        <w:t>l elenco de servicios que presta</w:t>
      </w:r>
      <w:r w:rsidR="00184D66">
        <w:t xml:space="preserve"> el operador hipotético</w:t>
      </w:r>
      <w:r w:rsidR="00CB5285">
        <w:t xml:space="preserve"> con la escala y alcance del AEP</w:t>
      </w:r>
      <w:r w:rsidR="000107F3" w:rsidRPr="000107F3">
        <w:t>.</w:t>
      </w:r>
    </w:p>
    <w:p w14:paraId="7D90C208" w14:textId="77777777" w:rsidR="00A37365" w:rsidRPr="00E94D8A" w:rsidRDefault="00A37365" w:rsidP="00A37365">
      <w:r w:rsidRPr="00E94D8A">
        <w:rPr>
          <w:rStyle w:val="apple-style-span"/>
          <w:color w:val="000000"/>
        </w:rPr>
        <w:t xml:space="preserve">Todos los servicios descritos anteriormente podrían estar disponibles tanto en una red tradicional PSTN como en una red </w:t>
      </w:r>
      <w:proofErr w:type="spellStart"/>
      <w:r w:rsidRPr="00E94D8A">
        <w:rPr>
          <w:rStyle w:val="apple-style-span"/>
          <w:i/>
          <w:color w:val="000000"/>
        </w:rPr>
        <w:t>core</w:t>
      </w:r>
      <w:proofErr w:type="spellEnd"/>
      <w:r w:rsidRPr="00E94D8A">
        <w:rPr>
          <w:rStyle w:val="apple-style-span"/>
          <w:color w:val="000000"/>
        </w:rPr>
        <w:t xml:space="preserve"> de nueva generación. Sin embargo, no se modelarán servicios de tráfico específicos a NGN.</w:t>
      </w:r>
    </w:p>
    <w:p w14:paraId="35709D60" w14:textId="77777777" w:rsidR="00A37365" w:rsidRPr="00E94D8A" w:rsidRDefault="00A37365" w:rsidP="007858D8">
      <w:pPr>
        <w:pStyle w:val="Ttulo3"/>
      </w:pPr>
      <w:r w:rsidRPr="00E94D8A">
        <w:t>Servicios que se ofrecen a través de redes móviles</w:t>
      </w:r>
    </w:p>
    <w:p w14:paraId="3C523814" w14:textId="36B61DE4" w:rsidR="00A37365" w:rsidRPr="00E94D8A" w:rsidRDefault="00A37365" w:rsidP="00A37365">
      <w:r w:rsidRPr="00E94D8A">
        <w:rPr>
          <w:rStyle w:val="apple-converted-space"/>
          <w:color w:val="000000"/>
        </w:rPr>
        <w:t xml:space="preserve">La </w:t>
      </w:r>
      <w:r w:rsidR="00E94D8A">
        <w:rPr>
          <w:rStyle w:val="apple-converted-space"/>
          <w:color w:val="000000"/>
        </w:rPr>
        <w:fldChar w:fldCharType="begin"/>
      </w:r>
      <w:r w:rsidR="00E94D8A">
        <w:rPr>
          <w:rStyle w:val="apple-converted-space"/>
          <w:color w:val="000000"/>
        </w:rPr>
        <w:instrText xml:space="preserve"> REF _Ref321212475 \h </w:instrText>
      </w:r>
      <w:r w:rsidR="00E94D8A">
        <w:rPr>
          <w:rStyle w:val="apple-converted-space"/>
          <w:color w:val="000000"/>
        </w:rPr>
      </w:r>
      <w:r w:rsidR="00E94D8A">
        <w:rPr>
          <w:rStyle w:val="apple-converted-space"/>
          <w:color w:val="000000"/>
        </w:rPr>
        <w:fldChar w:fldCharType="separate"/>
      </w:r>
      <w:r w:rsidR="00B426BC" w:rsidRPr="00E94D8A">
        <w:t>Figur</w:t>
      </w:r>
      <w:r w:rsidR="00B426BC">
        <w:t>a</w:t>
      </w:r>
      <w:r w:rsidR="00B426BC" w:rsidRPr="00E94D8A">
        <w:t xml:space="preserve"> </w:t>
      </w:r>
      <w:r w:rsidR="00B426BC">
        <w:rPr>
          <w:noProof/>
        </w:rPr>
        <w:t>5</w:t>
      </w:r>
      <w:r w:rsidR="00B426BC" w:rsidRPr="00E94D8A">
        <w:t>.</w:t>
      </w:r>
      <w:r w:rsidR="00B426BC">
        <w:rPr>
          <w:noProof/>
        </w:rPr>
        <w:t>4</w:t>
      </w:r>
      <w:r w:rsidR="00E94D8A">
        <w:rPr>
          <w:rStyle w:val="apple-converted-space"/>
          <w:color w:val="000000"/>
        </w:rPr>
        <w:fldChar w:fldCharType="end"/>
      </w:r>
      <w:r w:rsidRPr="00E94D8A">
        <w:rPr>
          <w:rStyle w:val="apple-converted-space"/>
          <w:color w:val="000000"/>
        </w:rPr>
        <w:t xml:space="preserve">presenta </w:t>
      </w:r>
      <w:r w:rsidRPr="00E94D8A">
        <w:rPr>
          <w:rStyle w:val="apple-style-span"/>
          <w:color w:val="000000"/>
        </w:rPr>
        <w:t>una serie de servicios de voz móviles.</w:t>
      </w:r>
      <w:r w:rsidRPr="00E94D8A">
        <w:t xml:space="preserve"> </w:t>
      </w:r>
      <w:r w:rsidRPr="00E94D8A">
        <w:rPr>
          <w:rStyle w:val="apple-style-span"/>
          <w:color w:val="000000"/>
        </w:rPr>
        <w:t>Estos servicios contribuyen a</w:t>
      </w:r>
      <w:r w:rsidR="002C02CE">
        <w:rPr>
          <w:rStyle w:val="apple-style-span"/>
          <w:color w:val="000000"/>
        </w:rPr>
        <w:t>l despliegue de la red troncal.</w:t>
      </w:r>
    </w:p>
    <w:p w14:paraId="393E26B1" w14:textId="77777777" w:rsidR="00A37365" w:rsidRPr="002C02CE" w:rsidRDefault="00A37365" w:rsidP="002C02CE">
      <w:pPr>
        <w:pStyle w:val="Descripcin"/>
        <w:rPr>
          <w:lang w:val="es-ES"/>
        </w:rPr>
      </w:pPr>
      <w:bookmarkStart w:id="73" w:name="_Ref321212475"/>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5</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SEQ Ilustración \* ARABIC \s 1 \* MERGEFORMAT </w:instrText>
      </w:r>
      <w:r w:rsidRPr="00E94D8A">
        <w:rPr>
          <w:lang w:val="es-ES"/>
        </w:rPr>
        <w:fldChar w:fldCharType="separate"/>
      </w:r>
      <w:r w:rsidR="00B426BC">
        <w:rPr>
          <w:noProof/>
          <w:lang w:val="es-ES"/>
        </w:rPr>
        <w:t>4</w:t>
      </w:r>
      <w:r w:rsidRPr="00E94D8A">
        <w:rPr>
          <w:lang w:val="es-ES"/>
        </w:rPr>
        <w:fldChar w:fldCharType="end"/>
      </w:r>
      <w:bookmarkEnd w:id="73"/>
      <w:r w:rsidRPr="00E94D8A">
        <w:rPr>
          <w:lang w:val="es-ES"/>
        </w:rPr>
        <w:t>: Servicios que se ofrecen a través de redes m</w:t>
      </w:r>
      <w:r w:rsidR="002C02CE">
        <w:rPr>
          <w:lang w:val="es-ES"/>
        </w:rPr>
        <w:t xml:space="preserve">óviles [Fuente: </w:t>
      </w:r>
      <w:proofErr w:type="spellStart"/>
      <w:r w:rsidR="002C02CE">
        <w:rPr>
          <w:lang w:val="es-ES"/>
        </w:rPr>
        <w:t>Analysys</w:t>
      </w:r>
      <w:proofErr w:type="spellEnd"/>
      <w:r w:rsidR="002C02CE">
        <w:rPr>
          <w:lang w:val="es-ES"/>
        </w:rPr>
        <w:t xml:space="preserve"> Mason]</w:t>
      </w:r>
    </w:p>
    <w:tbl>
      <w:tblPr>
        <w:tblStyle w:val="Sombreadomedio2-nfasis1"/>
        <w:tblW w:w="8947" w:type="dxa"/>
        <w:tblInd w:w="108" w:type="dxa"/>
        <w:tblLook w:val="0420" w:firstRow="1" w:lastRow="0" w:firstColumn="0" w:lastColumn="0" w:noHBand="0" w:noVBand="1"/>
        <w:tblCaption w:val="Figura 5.4"/>
        <w:tblDescription w:val="Servicios que se ofrecen a través de redes móviles, Fuente: Analysys Mason"/>
      </w:tblPr>
      <w:tblGrid>
        <w:gridCol w:w="2268"/>
        <w:gridCol w:w="6679"/>
      </w:tblGrid>
      <w:tr w:rsidR="00247909" w:rsidRPr="00E94D8A" w14:paraId="7D92BCF1" w14:textId="77777777" w:rsidTr="00C33495">
        <w:trPr>
          <w:cnfStyle w:val="100000000000" w:firstRow="1" w:lastRow="0" w:firstColumn="0" w:lastColumn="0" w:oddVBand="0" w:evenVBand="0" w:oddHBand="0" w:evenHBand="0" w:firstRowFirstColumn="0" w:firstRowLastColumn="0" w:lastRowFirstColumn="0" w:lastRowLastColumn="0"/>
          <w:tblHeader/>
        </w:trPr>
        <w:tc>
          <w:tcPr>
            <w:tcW w:w="2268" w:type="dxa"/>
            <w:tcBorders>
              <w:top w:val="single" w:sz="18" w:space="0" w:color="221F72"/>
              <w:bottom w:val="single" w:sz="18" w:space="0" w:color="221F72"/>
            </w:tcBorders>
            <w:shd w:val="solid" w:color="221F72" w:fill="221F72"/>
          </w:tcPr>
          <w:p w14:paraId="205F1C76" w14:textId="77777777" w:rsidR="00247909" w:rsidRPr="00E94D8A" w:rsidRDefault="00247909" w:rsidP="00C33495">
            <w:pPr>
              <w:pStyle w:val="Tablecells"/>
              <w:rPr>
                <w:b w:val="0"/>
                <w:color w:val="auto"/>
                <w:lang w:val="es-ES"/>
              </w:rPr>
            </w:pPr>
            <w:r w:rsidRPr="00E94D8A">
              <w:rPr>
                <w:color w:val="auto"/>
                <w:lang w:val="es-ES"/>
              </w:rPr>
              <w:t>Servicio</w:t>
            </w:r>
          </w:p>
        </w:tc>
        <w:tc>
          <w:tcPr>
            <w:tcW w:w="6679" w:type="dxa"/>
            <w:tcBorders>
              <w:top w:val="single" w:sz="18" w:space="0" w:color="221F72"/>
              <w:bottom w:val="single" w:sz="18" w:space="0" w:color="221F72"/>
            </w:tcBorders>
            <w:shd w:val="solid" w:color="221F72" w:fill="221F72"/>
          </w:tcPr>
          <w:p w14:paraId="7BD38B44" w14:textId="77777777" w:rsidR="00247909" w:rsidRPr="00E94D8A" w:rsidRDefault="00247909" w:rsidP="00C33495">
            <w:pPr>
              <w:pStyle w:val="Tablecells"/>
              <w:rPr>
                <w:b w:val="0"/>
                <w:color w:val="auto"/>
                <w:lang w:val="es-ES"/>
              </w:rPr>
            </w:pPr>
            <w:r w:rsidRPr="00E94D8A">
              <w:rPr>
                <w:color w:val="auto"/>
                <w:lang w:val="es-ES"/>
              </w:rPr>
              <w:t>Descripción del servicio</w:t>
            </w:r>
          </w:p>
        </w:tc>
      </w:tr>
      <w:tr w:rsidR="00247909" w:rsidRPr="00E94D8A" w14:paraId="6BD7B82C" w14:textId="77777777" w:rsidTr="00C33495">
        <w:trPr>
          <w:cnfStyle w:val="000000100000" w:firstRow="0" w:lastRow="0" w:firstColumn="0" w:lastColumn="0" w:oddVBand="0" w:evenVBand="0" w:oddHBand="1" w:evenHBand="0" w:firstRowFirstColumn="0" w:firstRowLastColumn="0" w:lastRowFirstColumn="0" w:lastRowLastColumn="0"/>
        </w:trPr>
        <w:tc>
          <w:tcPr>
            <w:tcW w:w="2268" w:type="dxa"/>
            <w:tcBorders>
              <w:bottom w:val="nil"/>
            </w:tcBorders>
          </w:tcPr>
          <w:p w14:paraId="01675288" w14:textId="77777777" w:rsidR="00247909" w:rsidRPr="00E94D8A" w:rsidRDefault="00247909" w:rsidP="00C33495">
            <w:pPr>
              <w:pStyle w:val="Tablecells"/>
              <w:rPr>
                <w:rFonts w:cs="Arial"/>
                <w:lang w:val="es-ES"/>
              </w:rPr>
            </w:pPr>
            <w:r w:rsidRPr="00E94D8A">
              <w:rPr>
                <w:rFonts w:cs="Arial"/>
                <w:lang w:val="es-ES"/>
              </w:rPr>
              <w:t xml:space="preserve">Llamadas móviles </w:t>
            </w:r>
            <w:r w:rsidRPr="00E94D8A">
              <w:rPr>
                <w:rFonts w:cs="Arial"/>
                <w:lang w:val="es-ES"/>
              </w:rPr>
              <w:br/>
            </w:r>
            <w:proofErr w:type="spellStart"/>
            <w:r w:rsidRPr="00E94D8A">
              <w:rPr>
                <w:rFonts w:cs="Arial"/>
                <w:i/>
                <w:lang w:val="es-ES"/>
              </w:rPr>
              <w:t>on</w:t>
            </w:r>
            <w:proofErr w:type="spellEnd"/>
            <w:r w:rsidRPr="00E94D8A">
              <w:rPr>
                <w:rFonts w:cs="Arial"/>
                <w:i/>
                <w:lang w:val="es-ES"/>
              </w:rPr>
              <w:t>-net</w:t>
            </w:r>
          </w:p>
        </w:tc>
        <w:tc>
          <w:tcPr>
            <w:tcW w:w="6679" w:type="dxa"/>
            <w:tcBorders>
              <w:bottom w:val="nil"/>
            </w:tcBorders>
          </w:tcPr>
          <w:p w14:paraId="73D5CAF3" w14:textId="77777777" w:rsidR="00247909" w:rsidRPr="00E94D8A" w:rsidRDefault="00247909" w:rsidP="00153D74">
            <w:pPr>
              <w:pStyle w:val="Tablecells"/>
              <w:jc w:val="both"/>
              <w:rPr>
                <w:rFonts w:cs="Arial"/>
                <w:lang w:val="es-ES"/>
              </w:rPr>
            </w:pPr>
            <w:r w:rsidRPr="00E94D8A">
              <w:rPr>
                <w:lang w:val="es-ES"/>
              </w:rPr>
              <w:t>Llamadas de voz entre dos suscriptores (minoristas u OMV) del operador móvil modelado.</w:t>
            </w:r>
          </w:p>
        </w:tc>
      </w:tr>
      <w:tr w:rsidR="00247909" w:rsidRPr="00E94D8A" w14:paraId="2F1AFE16" w14:textId="77777777" w:rsidTr="00C33495">
        <w:tc>
          <w:tcPr>
            <w:tcW w:w="2268" w:type="dxa"/>
            <w:tcBorders>
              <w:top w:val="nil"/>
              <w:bottom w:val="nil"/>
            </w:tcBorders>
          </w:tcPr>
          <w:p w14:paraId="4DC16AF1" w14:textId="77777777" w:rsidR="00247909" w:rsidRPr="00E94D8A" w:rsidRDefault="00247909" w:rsidP="00C33495">
            <w:pPr>
              <w:pStyle w:val="Tablecells"/>
              <w:rPr>
                <w:rFonts w:cs="Arial"/>
                <w:lang w:val="es-ES"/>
              </w:rPr>
            </w:pPr>
            <w:r w:rsidRPr="00E94D8A">
              <w:rPr>
                <w:rFonts w:cs="Arial"/>
                <w:lang w:val="es-ES"/>
              </w:rPr>
              <w:t xml:space="preserve">Llamadas móviles salientes a fijo </w:t>
            </w:r>
          </w:p>
        </w:tc>
        <w:tc>
          <w:tcPr>
            <w:tcW w:w="6679" w:type="dxa"/>
            <w:tcBorders>
              <w:top w:val="nil"/>
              <w:bottom w:val="nil"/>
            </w:tcBorders>
          </w:tcPr>
          <w:p w14:paraId="10307C3E" w14:textId="77777777" w:rsidR="00247909" w:rsidRPr="00E94D8A" w:rsidRDefault="00247909" w:rsidP="00153D74">
            <w:pPr>
              <w:pStyle w:val="Tablecells"/>
              <w:jc w:val="both"/>
              <w:rPr>
                <w:rFonts w:cs="Arial"/>
                <w:spacing w:val="-4"/>
                <w:lang w:val="es-ES"/>
              </w:rPr>
            </w:pPr>
            <w:r w:rsidRPr="00E94D8A">
              <w:rPr>
                <w:spacing w:val="-4"/>
                <w:lang w:val="es-ES"/>
              </w:rPr>
              <w:t>Llamadas de voz de un suscriptor (minorista u OMV) del operador móvil modelado a un destino fijo (incluyendo números no geográficos, etc.).</w:t>
            </w:r>
          </w:p>
        </w:tc>
      </w:tr>
      <w:tr w:rsidR="00247909" w:rsidRPr="00E94D8A" w14:paraId="131E9D5D" w14:textId="77777777" w:rsidTr="00C3349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3992683C" w14:textId="77777777" w:rsidR="00247909" w:rsidRPr="00E94D8A" w:rsidRDefault="00247909" w:rsidP="00C33495">
            <w:pPr>
              <w:pStyle w:val="Tablecells"/>
              <w:rPr>
                <w:rFonts w:cs="Arial"/>
                <w:lang w:val="es-ES"/>
              </w:rPr>
            </w:pPr>
            <w:r w:rsidRPr="00E94D8A">
              <w:rPr>
                <w:rFonts w:cs="Arial"/>
                <w:lang w:val="es-ES"/>
              </w:rPr>
              <w:t>Llamadas móviles salientes a internacional</w:t>
            </w:r>
          </w:p>
        </w:tc>
        <w:tc>
          <w:tcPr>
            <w:tcW w:w="6679" w:type="dxa"/>
            <w:tcBorders>
              <w:top w:val="nil"/>
              <w:bottom w:val="nil"/>
            </w:tcBorders>
          </w:tcPr>
          <w:p w14:paraId="40B5A242" w14:textId="77777777" w:rsidR="00247909" w:rsidRPr="00E94D8A" w:rsidRDefault="00247909" w:rsidP="00153D74">
            <w:pPr>
              <w:pStyle w:val="Tablecells"/>
              <w:jc w:val="both"/>
              <w:rPr>
                <w:rFonts w:cs="Arial"/>
                <w:lang w:val="es-ES"/>
              </w:rPr>
            </w:pPr>
            <w:r w:rsidRPr="00E94D8A">
              <w:rPr>
                <w:lang w:val="es-ES"/>
              </w:rPr>
              <w:t>Llamadas de voz de un suscriptor (minorista u OMV) del operador móvil modelado a un destino internacional.</w:t>
            </w:r>
          </w:p>
        </w:tc>
      </w:tr>
      <w:tr w:rsidR="00247909" w:rsidRPr="00E94D8A" w14:paraId="7DB3A9AF" w14:textId="77777777" w:rsidTr="00C33495">
        <w:tc>
          <w:tcPr>
            <w:tcW w:w="2268" w:type="dxa"/>
            <w:tcBorders>
              <w:top w:val="nil"/>
              <w:bottom w:val="nil"/>
            </w:tcBorders>
          </w:tcPr>
          <w:p w14:paraId="1887B508" w14:textId="77777777" w:rsidR="00247909" w:rsidRPr="00E94D8A" w:rsidRDefault="00247909" w:rsidP="00C33495">
            <w:pPr>
              <w:pStyle w:val="Tablecells"/>
              <w:rPr>
                <w:rFonts w:cs="Arial"/>
                <w:lang w:val="es-ES"/>
              </w:rPr>
            </w:pPr>
            <w:r w:rsidRPr="00E94D8A">
              <w:rPr>
                <w:rFonts w:cs="Arial"/>
                <w:lang w:val="es-ES"/>
              </w:rPr>
              <w:t>Llamadas móviles salientes a otros operadores móviles</w:t>
            </w:r>
          </w:p>
        </w:tc>
        <w:tc>
          <w:tcPr>
            <w:tcW w:w="6679" w:type="dxa"/>
            <w:tcBorders>
              <w:top w:val="nil"/>
              <w:bottom w:val="nil"/>
            </w:tcBorders>
          </w:tcPr>
          <w:p w14:paraId="2938A8E2" w14:textId="77777777" w:rsidR="00247909" w:rsidRPr="00E94D8A" w:rsidRDefault="00247909" w:rsidP="00153D74">
            <w:pPr>
              <w:pStyle w:val="Tablecells"/>
              <w:jc w:val="both"/>
              <w:rPr>
                <w:rFonts w:cs="Arial"/>
                <w:lang w:val="es-ES"/>
              </w:rPr>
            </w:pPr>
            <w:r w:rsidRPr="00E94D8A">
              <w:rPr>
                <w:lang w:val="es-ES"/>
              </w:rPr>
              <w:t xml:space="preserve">Llamadas de voz de </w:t>
            </w:r>
            <w:r w:rsidR="00153D74">
              <w:rPr>
                <w:lang w:val="es-ES"/>
              </w:rPr>
              <w:t>un suscriptor (minorista u OMV</w:t>
            </w:r>
            <w:r w:rsidRPr="00E94D8A">
              <w:rPr>
                <w:lang w:val="es-ES"/>
              </w:rPr>
              <w:t>) del operador móvil modelado a otro operador móvil doméstico</w:t>
            </w:r>
            <w:r w:rsidRPr="00E94D8A">
              <w:rPr>
                <w:rFonts w:cs="Arial"/>
                <w:lang w:val="es-ES"/>
              </w:rPr>
              <w:t>.</w:t>
            </w:r>
          </w:p>
        </w:tc>
      </w:tr>
      <w:tr w:rsidR="00247909" w:rsidRPr="00E94D8A" w14:paraId="64C11707" w14:textId="77777777" w:rsidTr="00C3349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708198A1" w14:textId="77777777" w:rsidR="00247909" w:rsidRPr="00E94D8A" w:rsidRDefault="00247909" w:rsidP="00C33495">
            <w:pPr>
              <w:pStyle w:val="Tablecells"/>
              <w:rPr>
                <w:rFonts w:cs="Arial"/>
                <w:lang w:val="es-ES"/>
              </w:rPr>
            </w:pPr>
            <w:r w:rsidRPr="00E94D8A">
              <w:rPr>
                <w:rFonts w:cs="Arial"/>
                <w:lang w:val="es-ES"/>
              </w:rPr>
              <w:t>Llamadas entrantes</w:t>
            </w:r>
            <w:r>
              <w:rPr>
                <w:rFonts w:cs="Arial"/>
                <w:lang w:val="es-ES"/>
              </w:rPr>
              <w:t xml:space="preserve"> de operadores fijos</w:t>
            </w:r>
          </w:p>
        </w:tc>
        <w:tc>
          <w:tcPr>
            <w:tcW w:w="6679" w:type="dxa"/>
            <w:tcBorders>
              <w:top w:val="nil"/>
              <w:bottom w:val="nil"/>
            </w:tcBorders>
          </w:tcPr>
          <w:p w14:paraId="36C954A5" w14:textId="77777777" w:rsidR="00247909" w:rsidRPr="00E94D8A" w:rsidRDefault="00247909" w:rsidP="00153D74">
            <w:pPr>
              <w:pStyle w:val="Tablecells"/>
              <w:jc w:val="both"/>
              <w:rPr>
                <w:lang w:val="es-ES"/>
              </w:rPr>
            </w:pPr>
            <w:r w:rsidRPr="00E94D8A">
              <w:rPr>
                <w:lang w:val="es-ES"/>
              </w:rPr>
              <w:t xml:space="preserve">Llamadas de voz recibidas desde otro operador fijo y terminada en la red de un suscriptor </w:t>
            </w:r>
            <w:r w:rsidRPr="00E94D8A">
              <w:rPr>
                <w:rFonts w:cs="Arial"/>
                <w:lang w:val="es-ES"/>
              </w:rPr>
              <w:t>(minorista u OMV) del operador móvil modelado</w:t>
            </w:r>
            <w:r w:rsidRPr="00E94D8A">
              <w:rPr>
                <w:lang w:val="es-ES"/>
              </w:rPr>
              <w:t>.</w:t>
            </w:r>
          </w:p>
        </w:tc>
      </w:tr>
      <w:tr w:rsidR="00247909" w:rsidRPr="00E94D8A" w14:paraId="0163D07C" w14:textId="77777777" w:rsidTr="00C33495">
        <w:tc>
          <w:tcPr>
            <w:tcW w:w="2268" w:type="dxa"/>
            <w:tcBorders>
              <w:top w:val="nil"/>
              <w:bottom w:val="nil"/>
            </w:tcBorders>
          </w:tcPr>
          <w:p w14:paraId="5E9D669F" w14:textId="77777777" w:rsidR="00247909" w:rsidRPr="00E94D8A" w:rsidRDefault="00247909" w:rsidP="00247909">
            <w:pPr>
              <w:pStyle w:val="Tablecells"/>
              <w:keepNext/>
              <w:rPr>
                <w:rFonts w:cs="Arial"/>
                <w:lang w:val="es-ES"/>
              </w:rPr>
            </w:pPr>
            <w:r w:rsidRPr="00E94D8A">
              <w:rPr>
                <w:rFonts w:cs="Arial"/>
                <w:lang w:val="es-ES"/>
              </w:rPr>
              <w:t>Llamadas entrantes</w:t>
            </w:r>
            <w:r>
              <w:rPr>
                <w:rFonts w:cs="Arial"/>
                <w:lang w:val="es-ES"/>
              </w:rPr>
              <w:t xml:space="preserve"> de operadores internacionales</w:t>
            </w:r>
          </w:p>
        </w:tc>
        <w:tc>
          <w:tcPr>
            <w:tcW w:w="6679" w:type="dxa"/>
            <w:tcBorders>
              <w:top w:val="nil"/>
              <w:bottom w:val="nil"/>
            </w:tcBorders>
          </w:tcPr>
          <w:p w14:paraId="5776BDFF" w14:textId="77777777" w:rsidR="00247909" w:rsidRPr="00E94D8A" w:rsidRDefault="00247909" w:rsidP="00153D74">
            <w:pPr>
              <w:pStyle w:val="Tablecells"/>
              <w:jc w:val="both"/>
              <w:rPr>
                <w:lang w:val="es-ES"/>
              </w:rPr>
            </w:pPr>
            <w:r w:rsidRPr="00E94D8A">
              <w:rPr>
                <w:lang w:val="es-ES"/>
              </w:rPr>
              <w:t xml:space="preserve">Llamadas de voz recibidas desde otro operador internacional y terminada en la red de un suscriptor </w:t>
            </w:r>
            <w:r w:rsidRPr="00E94D8A">
              <w:rPr>
                <w:rFonts w:cs="Arial"/>
                <w:lang w:val="es-ES"/>
              </w:rPr>
              <w:t>(minorista u OMV) del operador móvil modelado</w:t>
            </w:r>
            <w:r w:rsidRPr="00E94D8A">
              <w:rPr>
                <w:lang w:val="es-ES"/>
              </w:rPr>
              <w:t>.</w:t>
            </w:r>
          </w:p>
        </w:tc>
      </w:tr>
      <w:tr w:rsidR="00247909" w:rsidRPr="00E94D8A" w14:paraId="521964C5" w14:textId="77777777" w:rsidTr="00C3349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6D41C749" w14:textId="77777777" w:rsidR="00247909" w:rsidRPr="00FB7938" w:rsidRDefault="00247909" w:rsidP="00247909">
            <w:pPr>
              <w:pStyle w:val="Tablecells"/>
              <w:rPr>
                <w:rFonts w:cs="Arial"/>
                <w:spacing w:val="-4"/>
                <w:lang w:val="es-ES"/>
              </w:rPr>
            </w:pPr>
            <w:r w:rsidRPr="00FB7938">
              <w:rPr>
                <w:rFonts w:cs="Arial"/>
                <w:spacing w:val="-4"/>
                <w:lang w:val="es-ES"/>
              </w:rPr>
              <w:t>Llamadas entrantes de otros operadores móviles</w:t>
            </w:r>
          </w:p>
        </w:tc>
        <w:tc>
          <w:tcPr>
            <w:tcW w:w="6679" w:type="dxa"/>
            <w:tcBorders>
              <w:top w:val="nil"/>
              <w:bottom w:val="nil"/>
            </w:tcBorders>
          </w:tcPr>
          <w:p w14:paraId="0F873C1A" w14:textId="77777777" w:rsidR="00247909" w:rsidRPr="00E94D8A" w:rsidRDefault="00247909" w:rsidP="00153D74">
            <w:pPr>
              <w:pStyle w:val="Tablecells"/>
              <w:jc w:val="both"/>
              <w:rPr>
                <w:lang w:val="es-ES"/>
              </w:rPr>
            </w:pPr>
            <w:r w:rsidRPr="00E94D8A">
              <w:rPr>
                <w:lang w:val="es-ES"/>
              </w:rPr>
              <w:t xml:space="preserve">Llamadas de voz recibidas desde otro operador móvil y terminada en la red de un suscriptor </w:t>
            </w:r>
            <w:r w:rsidRPr="00E94D8A">
              <w:rPr>
                <w:rFonts w:cs="Arial"/>
                <w:lang w:val="es-ES"/>
              </w:rPr>
              <w:t>(minorista u OMV) del operador móvil modelado</w:t>
            </w:r>
            <w:r w:rsidRPr="00E94D8A">
              <w:rPr>
                <w:lang w:val="es-ES"/>
              </w:rPr>
              <w:t>.</w:t>
            </w:r>
          </w:p>
        </w:tc>
      </w:tr>
      <w:tr w:rsidR="00247909" w:rsidRPr="00E94D8A" w14:paraId="7F6FF3CD" w14:textId="77777777" w:rsidTr="00C33495">
        <w:tc>
          <w:tcPr>
            <w:tcW w:w="2268" w:type="dxa"/>
            <w:tcBorders>
              <w:top w:val="nil"/>
              <w:bottom w:val="nil"/>
            </w:tcBorders>
          </w:tcPr>
          <w:p w14:paraId="333BC3AA" w14:textId="77777777" w:rsidR="00247909" w:rsidRPr="00E94D8A" w:rsidRDefault="00153D74" w:rsidP="00C33495">
            <w:pPr>
              <w:pStyle w:val="Tablecells"/>
              <w:rPr>
                <w:rFonts w:cs="Arial"/>
                <w:lang w:val="es-ES"/>
              </w:rPr>
            </w:pPr>
            <w:proofErr w:type="spellStart"/>
            <w:r>
              <w:rPr>
                <w:rFonts w:cs="Arial"/>
                <w:lang w:val="es-ES"/>
              </w:rPr>
              <w:t>Originaci</w:t>
            </w:r>
            <w:r w:rsidRPr="00E94D8A">
              <w:rPr>
                <w:rFonts w:cs="Arial"/>
                <w:lang w:val="es-ES"/>
              </w:rPr>
              <w:t>ó</w:t>
            </w:r>
            <w:r>
              <w:rPr>
                <w:rFonts w:cs="Arial"/>
                <w:lang w:val="es-ES"/>
              </w:rPr>
              <w:t>n</w:t>
            </w:r>
            <w:proofErr w:type="spellEnd"/>
            <w:r>
              <w:rPr>
                <w:rFonts w:cs="Arial"/>
                <w:lang w:val="es-ES"/>
              </w:rPr>
              <w:t xml:space="preserve"> </w:t>
            </w:r>
            <w:proofErr w:type="spellStart"/>
            <w:r>
              <w:rPr>
                <w:rFonts w:cs="Arial"/>
                <w:lang w:val="es-ES"/>
              </w:rPr>
              <w:t>roaming</w:t>
            </w:r>
            <w:proofErr w:type="spellEnd"/>
            <w:r>
              <w:rPr>
                <w:rFonts w:cs="Arial"/>
                <w:lang w:val="es-ES"/>
              </w:rPr>
              <w:t xml:space="preserve"> in</w:t>
            </w:r>
          </w:p>
        </w:tc>
        <w:tc>
          <w:tcPr>
            <w:tcW w:w="6679" w:type="dxa"/>
            <w:tcBorders>
              <w:top w:val="nil"/>
              <w:bottom w:val="nil"/>
            </w:tcBorders>
          </w:tcPr>
          <w:p w14:paraId="16CE3264" w14:textId="77777777" w:rsidR="00247909" w:rsidRPr="0085160E" w:rsidRDefault="00153D74" w:rsidP="00DC2AEE">
            <w:pPr>
              <w:pStyle w:val="Tablecells"/>
              <w:ind w:left="567"/>
              <w:jc w:val="both"/>
              <w:rPr>
                <w:rFonts w:cs="Arial"/>
                <w:color w:val="000000"/>
                <w:lang w:val="es-ES"/>
              </w:rPr>
            </w:pPr>
            <w:r w:rsidRPr="00E94D8A">
              <w:rPr>
                <w:lang w:val="es-ES"/>
              </w:rPr>
              <w:t xml:space="preserve">Llamadas de voz </w:t>
            </w:r>
            <w:r>
              <w:rPr>
                <w:lang w:val="es-ES"/>
              </w:rPr>
              <w:t>de</w:t>
            </w:r>
            <w:r w:rsidRPr="00E94D8A">
              <w:rPr>
                <w:lang w:val="es-ES"/>
              </w:rPr>
              <w:t xml:space="preserve"> </w:t>
            </w:r>
            <w:r>
              <w:rPr>
                <w:lang w:val="es-ES"/>
              </w:rPr>
              <w:t xml:space="preserve">un visitante extranjero </w:t>
            </w:r>
            <w:r>
              <w:rPr>
                <w:rFonts w:cs="Arial"/>
                <w:lang w:val="es-ES"/>
              </w:rPr>
              <w:t>(</w:t>
            </w:r>
            <w:proofErr w:type="spellStart"/>
            <w:r w:rsidRPr="00153D74">
              <w:rPr>
                <w:rFonts w:cs="Arial"/>
                <w:i/>
                <w:lang w:val="es-ES"/>
              </w:rPr>
              <w:t>inbound</w:t>
            </w:r>
            <w:proofErr w:type="spellEnd"/>
            <w:r w:rsidRPr="00153D74">
              <w:rPr>
                <w:rFonts w:cs="Arial"/>
                <w:i/>
                <w:lang w:val="es-ES"/>
              </w:rPr>
              <w:t xml:space="preserve"> </w:t>
            </w:r>
            <w:proofErr w:type="spellStart"/>
            <w:r w:rsidRPr="00153D74">
              <w:rPr>
                <w:rFonts w:cs="Arial"/>
                <w:i/>
                <w:lang w:val="es-ES"/>
              </w:rPr>
              <w:t>roamer</w:t>
            </w:r>
            <w:proofErr w:type="spellEnd"/>
            <w:r>
              <w:rPr>
                <w:rFonts w:cs="Arial"/>
                <w:lang w:val="es-ES"/>
              </w:rPr>
              <w:t xml:space="preserve">) </w:t>
            </w:r>
            <w:r>
              <w:rPr>
                <w:lang w:val="es-ES"/>
              </w:rPr>
              <w:t xml:space="preserve">en la red del operador móvil modelado </w:t>
            </w:r>
            <w:r w:rsidRPr="00E94D8A">
              <w:rPr>
                <w:spacing w:val="-4"/>
                <w:lang w:val="es-ES"/>
              </w:rPr>
              <w:t xml:space="preserve">a un destino </w:t>
            </w:r>
            <w:r>
              <w:rPr>
                <w:spacing w:val="-4"/>
                <w:lang w:val="es-ES"/>
              </w:rPr>
              <w:t xml:space="preserve">móvil, </w:t>
            </w:r>
            <w:r w:rsidRPr="00E94D8A">
              <w:rPr>
                <w:spacing w:val="-4"/>
                <w:lang w:val="es-ES"/>
              </w:rPr>
              <w:t>fijo</w:t>
            </w:r>
            <w:r>
              <w:rPr>
                <w:spacing w:val="-4"/>
                <w:lang w:val="es-ES"/>
              </w:rPr>
              <w:t xml:space="preserve"> o internacional.</w:t>
            </w:r>
          </w:p>
        </w:tc>
      </w:tr>
      <w:tr w:rsidR="00247909" w:rsidRPr="00E94D8A" w14:paraId="5AC302DA" w14:textId="77777777" w:rsidTr="00C3349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04E8F8A3" w14:textId="77777777" w:rsidR="00247909" w:rsidRPr="00E94D8A" w:rsidRDefault="00153D74" w:rsidP="00A75A4D">
            <w:pPr>
              <w:pStyle w:val="Tablecells"/>
              <w:rPr>
                <w:rFonts w:cs="Arial"/>
                <w:lang w:val="es-ES"/>
              </w:rPr>
            </w:pPr>
            <w:r>
              <w:rPr>
                <w:rFonts w:cs="Arial"/>
                <w:lang w:val="es-ES"/>
              </w:rPr>
              <w:lastRenderedPageBreak/>
              <w:t>Terminaci</w:t>
            </w:r>
            <w:r w:rsidRPr="00E94D8A">
              <w:rPr>
                <w:rFonts w:cs="Arial"/>
                <w:lang w:val="es-ES"/>
              </w:rPr>
              <w:t>ó</w:t>
            </w:r>
            <w:r>
              <w:rPr>
                <w:rFonts w:cs="Arial"/>
                <w:lang w:val="es-ES"/>
              </w:rPr>
              <w:t xml:space="preserve">n </w:t>
            </w:r>
            <w:proofErr w:type="spellStart"/>
            <w:r>
              <w:rPr>
                <w:rFonts w:cs="Arial"/>
                <w:lang w:val="es-ES"/>
              </w:rPr>
              <w:t>roaming</w:t>
            </w:r>
            <w:proofErr w:type="spellEnd"/>
            <w:r>
              <w:rPr>
                <w:rFonts w:cs="Arial"/>
                <w:lang w:val="es-ES"/>
              </w:rPr>
              <w:t xml:space="preserve"> in</w:t>
            </w:r>
          </w:p>
        </w:tc>
        <w:tc>
          <w:tcPr>
            <w:tcW w:w="6679" w:type="dxa"/>
            <w:tcBorders>
              <w:top w:val="nil"/>
              <w:bottom w:val="nil"/>
            </w:tcBorders>
          </w:tcPr>
          <w:p w14:paraId="78972DBF" w14:textId="77777777" w:rsidR="00247909" w:rsidRPr="00E94D8A" w:rsidRDefault="00153D74" w:rsidP="00153D74">
            <w:pPr>
              <w:pStyle w:val="Tablecells"/>
              <w:jc w:val="both"/>
              <w:rPr>
                <w:rFonts w:cs="Arial"/>
                <w:lang w:val="es-ES"/>
              </w:rPr>
            </w:pPr>
            <w:r w:rsidRPr="00E94D8A">
              <w:rPr>
                <w:lang w:val="es-ES"/>
              </w:rPr>
              <w:t>Llamadas de voz recibidas desde otro operador móvil</w:t>
            </w:r>
            <w:r>
              <w:rPr>
                <w:lang w:val="es-ES"/>
              </w:rPr>
              <w:t>,</w:t>
            </w:r>
            <w:r w:rsidRPr="00E94D8A">
              <w:rPr>
                <w:lang w:val="es-ES"/>
              </w:rPr>
              <w:t xml:space="preserve"> </w:t>
            </w:r>
            <w:r w:rsidRPr="00E94D8A">
              <w:rPr>
                <w:spacing w:val="-4"/>
                <w:lang w:val="es-ES"/>
              </w:rPr>
              <w:t>fijo</w:t>
            </w:r>
            <w:r>
              <w:rPr>
                <w:spacing w:val="-4"/>
                <w:lang w:val="es-ES"/>
              </w:rPr>
              <w:t xml:space="preserve"> o internacional </w:t>
            </w:r>
            <w:r w:rsidRPr="00E94D8A">
              <w:rPr>
                <w:lang w:val="es-ES"/>
              </w:rPr>
              <w:t xml:space="preserve">y terminada en la red de un </w:t>
            </w:r>
            <w:r>
              <w:rPr>
                <w:lang w:val="es-ES"/>
              </w:rPr>
              <w:t>visitante extranjero</w:t>
            </w:r>
            <w:r w:rsidRPr="00E94D8A">
              <w:rPr>
                <w:rFonts w:cs="Arial"/>
                <w:lang w:val="es-ES"/>
              </w:rPr>
              <w:t xml:space="preserve"> </w:t>
            </w:r>
            <w:r>
              <w:rPr>
                <w:rFonts w:cs="Arial"/>
                <w:lang w:val="es-ES"/>
              </w:rPr>
              <w:t>(</w:t>
            </w:r>
            <w:proofErr w:type="spellStart"/>
            <w:r w:rsidRPr="00153D74">
              <w:rPr>
                <w:rFonts w:cs="Arial"/>
                <w:i/>
                <w:lang w:val="es-ES"/>
              </w:rPr>
              <w:t>inbound</w:t>
            </w:r>
            <w:proofErr w:type="spellEnd"/>
            <w:r w:rsidRPr="00153D74">
              <w:rPr>
                <w:rFonts w:cs="Arial"/>
                <w:i/>
                <w:lang w:val="es-ES"/>
              </w:rPr>
              <w:t xml:space="preserve"> </w:t>
            </w:r>
            <w:proofErr w:type="spellStart"/>
            <w:r w:rsidRPr="00153D74">
              <w:rPr>
                <w:rFonts w:cs="Arial"/>
                <w:i/>
                <w:lang w:val="es-ES"/>
              </w:rPr>
              <w:t>roamer</w:t>
            </w:r>
            <w:proofErr w:type="spellEnd"/>
            <w:r>
              <w:rPr>
                <w:rFonts w:cs="Arial"/>
                <w:lang w:val="es-ES"/>
              </w:rPr>
              <w:t xml:space="preserve">) </w:t>
            </w:r>
            <w:r w:rsidRPr="00E94D8A">
              <w:rPr>
                <w:rFonts w:cs="Arial"/>
                <w:lang w:val="es-ES"/>
              </w:rPr>
              <w:t>del operador móvil modelado</w:t>
            </w:r>
            <w:r w:rsidRPr="00E94D8A">
              <w:rPr>
                <w:lang w:val="es-ES"/>
              </w:rPr>
              <w:t>.</w:t>
            </w:r>
          </w:p>
        </w:tc>
      </w:tr>
      <w:tr w:rsidR="00600CDE" w:rsidRPr="002C02CE" w14:paraId="2A7DFA54" w14:textId="77777777" w:rsidTr="00C33495">
        <w:tc>
          <w:tcPr>
            <w:tcW w:w="2268" w:type="dxa"/>
            <w:tcBorders>
              <w:top w:val="nil"/>
              <w:bottom w:val="nil"/>
            </w:tcBorders>
          </w:tcPr>
          <w:p w14:paraId="065158D0" w14:textId="77777777" w:rsidR="00600CDE" w:rsidRPr="002C02CE" w:rsidRDefault="00600CDE" w:rsidP="002C02CE">
            <w:pPr>
              <w:pStyle w:val="Tablecells"/>
              <w:rPr>
                <w:lang w:val="es-ES"/>
              </w:rPr>
            </w:pPr>
            <w:r w:rsidRPr="003B2D67">
              <w:rPr>
                <w:lang w:val="es-ES"/>
              </w:rPr>
              <w:t>Llamadas en tránsito local</w:t>
            </w:r>
          </w:p>
        </w:tc>
        <w:tc>
          <w:tcPr>
            <w:tcW w:w="6679" w:type="dxa"/>
            <w:tcBorders>
              <w:top w:val="nil"/>
              <w:bottom w:val="nil"/>
            </w:tcBorders>
          </w:tcPr>
          <w:p w14:paraId="79C8E173" w14:textId="77777777" w:rsidR="00600CDE" w:rsidRPr="00E94D8A" w:rsidRDefault="00600CDE" w:rsidP="00600CDE">
            <w:pPr>
              <w:pStyle w:val="Tablecells"/>
              <w:jc w:val="both"/>
              <w:rPr>
                <w:rStyle w:val="apple-style-span"/>
                <w:rFonts w:cs="Arial"/>
                <w:color w:val="000000"/>
                <w:lang w:val="es-ES"/>
              </w:rPr>
            </w:pPr>
            <w:r w:rsidRPr="009540B8">
              <w:rPr>
                <w:rFonts w:cs="Arial"/>
                <w:lang w:val="es-ES"/>
              </w:rPr>
              <w:t xml:space="preserve">Llamadas de voz recibidas de otro operador internacional, móvil o fijo y terminadas en la red de otro operador internacional, móvil o fijo, sin tránsito en otro </w:t>
            </w:r>
            <w:r>
              <w:rPr>
                <w:rFonts w:cs="Arial"/>
                <w:lang w:val="es-ES"/>
              </w:rPr>
              <w:t xml:space="preserve">MSC </w:t>
            </w:r>
            <w:r w:rsidRPr="009540B8">
              <w:rPr>
                <w:rFonts w:cs="Arial"/>
                <w:lang w:val="es-ES"/>
              </w:rPr>
              <w:t xml:space="preserve">del operador </w:t>
            </w:r>
            <w:r>
              <w:rPr>
                <w:rFonts w:cs="Arial"/>
                <w:lang w:val="es-ES"/>
              </w:rPr>
              <w:t xml:space="preserve">móvil </w:t>
            </w:r>
            <w:r w:rsidRPr="009540B8">
              <w:rPr>
                <w:rFonts w:cs="Arial"/>
                <w:lang w:val="es-ES"/>
              </w:rPr>
              <w:t>modelado.</w:t>
            </w:r>
            <w:r w:rsidR="008D54FC">
              <w:rPr>
                <w:rFonts w:cs="Arial"/>
                <w:lang w:val="es-ES"/>
              </w:rPr>
              <w:t xml:space="preserve"> Este servicio sólo es prestado por el operador de escala y alcance del AEP.</w:t>
            </w:r>
          </w:p>
        </w:tc>
      </w:tr>
      <w:tr w:rsidR="00600CDE" w:rsidRPr="002C02CE" w14:paraId="39AC3E0B" w14:textId="77777777" w:rsidTr="00C3349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3DF9449A" w14:textId="77777777" w:rsidR="00600CDE" w:rsidRPr="002C02CE" w:rsidRDefault="00600CDE" w:rsidP="002C02CE">
            <w:pPr>
              <w:pStyle w:val="Tablecells"/>
              <w:rPr>
                <w:lang w:val="es-ES"/>
              </w:rPr>
            </w:pPr>
            <w:r w:rsidRPr="003B2D67">
              <w:rPr>
                <w:lang w:val="es-ES"/>
              </w:rPr>
              <w:t>Llama</w:t>
            </w:r>
            <w:r>
              <w:rPr>
                <w:lang w:val="es-ES"/>
              </w:rPr>
              <w:t>das en tránsito larga distancia</w:t>
            </w:r>
          </w:p>
        </w:tc>
        <w:tc>
          <w:tcPr>
            <w:tcW w:w="6679" w:type="dxa"/>
            <w:tcBorders>
              <w:top w:val="nil"/>
              <w:bottom w:val="nil"/>
            </w:tcBorders>
          </w:tcPr>
          <w:p w14:paraId="1EC9AADA" w14:textId="77777777" w:rsidR="00600CDE" w:rsidRPr="00E94D8A" w:rsidRDefault="00600CDE" w:rsidP="00600CDE">
            <w:pPr>
              <w:pStyle w:val="Tablecells"/>
              <w:jc w:val="both"/>
              <w:rPr>
                <w:rStyle w:val="apple-style-span"/>
                <w:rFonts w:cs="Arial"/>
                <w:color w:val="000000"/>
                <w:lang w:val="es-ES"/>
              </w:rPr>
            </w:pPr>
            <w:r w:rsidRPr="00E94D8A">
              <w:rPr>
                <w:rFonts w:cs="Arial"/>
                <w:lang w:val="es-ES"/>
              </w:rPr>
              <w:t xml:space="preserve">Llamadas de voz recibidas de otro operador internacional, móvil o fijo y terminadas en la red de otro operador internacional, móvil o fijo, tras transitar en otro </w:t>
            </w:r>
            <w:r>
              <w:rPr>
                <w:rFonts w:cs="Arial"/>
                <w:lang w:val="es-ES"/>
              </w:rPr>
              <w:t xml:space="preserve">MSC </w:t>
            </w:r>
            <w:r w:rsidRPr="00E94D8A">
              <w:rPr>
                <w:rFonts w:cs="Arial"/>
                <w:lang w:val="es-ES"/>
              </w:rPr>
              <w:t xml:space="preserve">del operador </w:t>
            </w:r>
            <w:r>
              <w:rPr>
                <w:rFonts w:cs="Arial"/>
                <w:lang w:val="es-ES"/>
              </w:rPr>
              <w:t xml:space="preserve">móvil </w:t>
            </w:r>
            <w:r w:rsidRPr="00E94D8A">
              <w:rPr>
                <w:rFonts w:cs="Arial"/>
                <w:lang w:val="es-ES"/>
              </w:rPr>
              <w:t>modelado.</w:t>
            </w:r>
            <w:r w:rsidR="008D54FC">
              <w:rPr>
                <w:rFonts w:cs="Arial"/>
                <w:lang w:val="es-ES"/>
              </w:rPr>
              <w:t xml:space="preserve"> Este servicio sólo es prestado por el operador de escala y alcance del AEP</w:t>
            </w:r>
            <w:r w:rsidR="006B1882">
              <w:rPr>
                <w:rFonts w:cs="Arial"/>
                <w:lang w:val="es-ES"/>
              </w:rPr>
              <w:t>, consideradas exclusivamente a nivel de enrutamiento</w:t>
            </w:r>
            <w:r w:rsidR="008D54FC">
              <w:rPr>
                <w:rFonts w:cs="Arial"/>
                <w:lang w:val="es-ES"/>
              </w:rPr>
              <w:t>.</w:t>
            </w:r>
          </w:p>
        </w:tc>
      </w:tr>
      <w:tr w:rsidR="00600CDE" w:rsidRPr="002C02CE" w14:paraId="7AAF0E71" w14:textId="77777777" w:rsidTr="00C33495">
        <w:tc>
          <w:tcPr>
            <w:tcW w:w="2268" w:type="dxa"/>
            <w:tcBorders>
              <w:top w:val="nil"/>
              <w:bottom w:val="nil"/>
            </w:tcBorders>
          </w:tcPr>
          <w:p w14:paraId="1FD50576" w14:textId="77777777" w:rsidR="00600CDE" w:rsidRPr="002C02CE" w:rsidRDefault="00600CDE" w:rsidP="002C02CE">
            <w:pPr>
              <w:pStyle w:val="Tablecells"/>
              <w:rPr>
                <w:lang w:val="es-ES"/>
              </w:rPr>
            </w:pPr>
            <w:r w:rsidRPr="002C02CE">
              <w:rPr>
                <w:lang w:val="es-ES"/>
              </w:rPr>
              <w:t xml:space="preserve">SMS </w:t>
            </w:r>
            <w:proofErr w:type="spellStart"/>
            <w:r w:rsidRPr="002C02CE">
              <w:rPr>
                <w:lang w:val="es-ES"/>
              </w:rPr>
              <w:t>on</w:t>
            </w:r>
            <w:proofErr w:type="spellEnd"/>
            <w:r w:rsidRPr="002C02CE">
              <w:rPr>
                <w:lang w:val="es-ES"/>
              </w:rPr>
              <w:t xml:space="preserve">-net </w:t>
            </w:r>
          </w:p>
        </w:tc>
        <w:tc>
          <w:tcPr>
            <w:tcW w:w="6679" w:type="dxa"/>
            <w:tcBorders>
              <w:top w:val="nil"/>
              <w:bottom w:val="nil"/>
            </w:tcBorders>
          </w:tcPr>
          <w:p w14:paraId="4A3F550F" w14:textId="77777777" w:rsidR="00600CDE" w:rsidRPr="00E94D8A" w:rsidRDefault="00600CDE" w:rsidP="00C33495">
            <w:pPr>
              <w:pStyle w:val="Tablecells"/>
              <w:jc w:val="both"/>
              <w:rPr>
                <w:rFonts w:cs="Arial"/>
                <w:lang w:val="es-ES"/>
              </w:rPr>
            </w:pPr>
            <w:r w:rsidRPr="00E94D8A">
              <w:rPr>
                <w:rStyle w:val="apple-style-span"/>
                <w:rFonts w:cs="Arial"/>
                <w:color w:val="000000"/>
                <w:lang w:val="es-ES"/>
              </w:rPr>
              <w:t xml:space="preserve">SMS entre dos suscriptores </w:t>
            </w:r>
            <w:r w:rsidRPr="00E94D8A">
              <w:rPr>
                <w:rFonts w:cs="Arial"/>
                <w:lang w:val="es-ES"/>
              </w:rPr>
              <w:t xml:space="preserve">(minoristas u OMV o </w:t>
            </w:r>
            <w:proofErr w:type="spellStart"/>
            <w:r w:rsidRPr="00E94D8A">
              <w:rPr>
                <w:rFonts w:cs="Arial"/>
                <w:i/>
                <w:lang w:val="es-ES"/>
              </w:rPr>
              <w:t>inbound</w:t>
            </w:r>
            <w:proofErr w:type="spellEnd"/>
            <w:r w:rsidRPr="00E94D8A">
              <w:rPr>
                <w:rFonts w:cs="Arial"/>
                <w:i/>
                <w:lang w:val="es-ES"/>
              </w:rPr>
              <w:t xml:space="preserve"> </w:t>
            </w:r>
            <w:proofErr w:type="spellStart"/>
            <w:r w:rsidRPr="00E94D8A">
              <w:rPr>
                <w:rFonts w:cs="Arial"/>
                <w:i/>
                <w:lang w:val="es-ES"/>
              </w:rPr>
              <w:t>roamer</w:t>
            </w:r>
            <w:proofErr w:type="spellEnd"/>
            <w:r w:rsidRPr="00E94D8A">
              <w:rPr>
                <w:rFonts w:cs="Arial"/>
                <w:lang w:val="es-ES"/>
              </w:rPr>
              <w:t xml:space="preserve">) </w:t>
            </w:r>
            <w:r w:rsidRPr="00E94D8A">
              <w:rPr>
                <w:rStyle w:val="apple-style-span"/>
                <w:rFonts w:cs="Arial"/>
                <w:color w:val="000000"/>
                <w:lang w:val="es-ES"/>
              </w:rPr>
              <w:t>del operador móvil modelado.</w:t>
            </w:r>
          </w:p>
        </w:tc>
      </w:tr>
      <w:tr w:rsidR="00600CDE" w:rsidRPr="00E94D8A" w14:paraId="29531576" w14:textId="77777777" w:rsidTr="00C3349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28C9F7C5" w14:textId="77777777" w:rsidR="00600CDE" w:rsidRPr="00153D74" w:rsidRDefault="00600CDE" w:rsidP="00153D74">
            <w:pPr>
              <w:pStyle w:val="Tablecells"/>
              <w:rPr>
                <w:lang w:val="es-ES"/>
              </w:rPr>
            </w:pPr>
            <w:r w:rsidRPr="00153D74">
              <w:rPr>
                <w:lang w:val="es-ES"/>
              </w:rPr>
              <w:t>SMS salientes a otras redes</w:t>
            </w:r>
          </w:p>
        </w:tc>
        <w:tc>
          <w:tcPr>
            <w:tcW w:w="6679" w:type="dxa"/>
            <w:tcBorders>
              <w:top w:val="nil"/>
              <w:bottom w:val="nil"/>
            </w:tcBorders>
          </w:tcPr>
          <w:p w14:paraId="6732F7A3" w14:textId="77777777" w:rsidR="00600CDE" w:rsidRPr="00E94D8A" w:rsidRDefault="00600CDE" w:rsidP="00C33495">
            <w:pPr>
              <w:pStyle w:val="Tablecells"/>
              <w:jc w:val="both"/>
              <w:rPr>
                <w:rFonts w:cs="Arial"/>
                <w:color w:val="000000"/>
                <w:lang w:val="es-ES"/>
              </w:rPr>
            </w:pPr>
            <w:r w:rsidRPr="00E94D8A">
              <w:rPr>
                <w:rStyle w:val="apple-style-span"/>
                <w:rFonts w:cs="Arial"/>
                <w:color w:val="000000"/>
                <w:lang w:val="es-ES"/>
              </w:rPr>
              <w:t xml:space="preserve">SMS de un suscriptor </w:t>
            </w:r>
            <w:r w:rsidRPr="00E94D8A">
              <w:rPr>
                <w:rFonts w:cs="Arial"/>
                <w:lang w:val="es-ES"/>
              </w:rPr>
              <w:t xml:space="preserve">(minorista u OMV o </w:t>
            </w:r>
            <w:proofErr w:type="spellStart"/>
            <w:r w:rsidRPr="00E94D8A">
              <w:rPr>
                <w:rFonts w:cs="Arial"/>
                <w:i/>
                <w:lang w:val="es-ES"/>
              </w:rPr>
              <w:t>inbound</w:t>
            </w:r>
            <w:proofErr w:type="spellEnd"/>
            <w:r w:rsidRPr="00E94D8A">
              <w:rPr>
                <w:rFonts w:cs="Arial"/>
                <w:i/>
                <w:lang w:val="es-ES"/>
              </w:rPr>
              <w:t xml:space="preserve"> </w:t>
            </w:r>
            <w:proofErr w:type="spellStart"/>
            <w:r w:rsidRPr="00E94D8A">
              <w:rPr>
                <w:rFonts w:cs="Arial"/>
                <w:i/>
                <w:lang w:val="es-ES"/>
              </w:rPr>
              <w:t>roamer</w:t>
            </w:r>
            <w:proofErr w:type="spellEnd"/>
            <w:r w:rsidRPr="00E94D8A">
              <w:rPr>
                <w:rFonts w:cs="Arial"/>
                <w:lang w:val="es-ES"/>
              </w:rPr>
              <w:t xml:space="preserve">) </w:t>
            </w:r>
            <w:r w:rsidRPr="00E94D8A">
              <w:rPr>
                <w:rStyle w:val="apple-style-span"/>
                <w:rFonts w:cs="Arial"/>
                <w:color w:val="000000"/>
                <w:lang w:val="es-ES"/>
              </w:rPr>
              <w:t>del operador móvil modelado a otro operador de red.</w:t>
            </w:r>
          </w:p>
        </w:tc>
      </w:tr>
      <w:tr w:rsidR="00600CDE" w:rsidRPr="00E94D8A" w14:paraId="2E265A64" w14:textId="77777777" w:rsidTr="00C33495">
        <w:tc>
          <w:tcPr>
            <w:tcW w:w="2268" w:type="dxa"/>
            <w:tcBorders>
              <w:top w:val="nil"/>
              <w:bottom w:val="nil"/>
            </w:tcBorders>
          </w:tcPr>
          <w:p w14:paraId="736B2342" w14:textId="77777777" w:rsidR="00600CDE" w:rsidRPr="00153D74" w:rsidRDefault="00600CDE" w:rsidP="00153D74">
            <w:pPr>
              <w:pStyle w:val="Tablecells"/>
              <w:rPr>
                <w:lang w:val="es-ES"/>
              </w:rPr>
            </w:pPr>
            <w:r w:rsidRPr="00153D74">
              <w:rPr>
                <w:lang w:val="es-ES"/>
              </w:rPr>
              <w:t>SMS entrantes de otras redes</w:t>
            </w:r>
          </w:p>
        </w:tc>
        <w:tc>
          <w:tcPr>
            <w:tcW w:w="6679" w:type="dxa"/>
            <w:tcBorders>
              <w:top w:val="nil"/>
              <w:bottom w:val="nil"/>
            </w:tcBorders>
          </w:tcPr>
          <w:p w14:paraId="7034A18C" w14:textId="77777777" w:rsidR="00600CDE" w:rsidRPr="00E94D8A" w:rsidRDefault="00600CDE" w:rsidP="00C33495">
            <w:pPr>
              <w:pStyle w:val="Tablecells"/>
              <w:jc w:val="both"/>
              <w:rPr>
                <w:rFonts w:cs="Arial"/>
                <w:lang w:val="es-ES"/>
              </w:rPr>
            </w:pPr>
            <w:r w:rsidRPr="00E94D8A">
              <w:rPr>
                <w:rStyle w:val="apple-style-span"/>
                <w:rFonts w:cs="Arial"/>
                <w:color w:val="000000"/>
                <w:lang w:val="es-ES"/>
              </w:rPr>
              <w:t xml:space="preserve">SMS recibidos de otro operador y terminado en un abonado </w:t>
            </w:r>
            <w:r w:rsidRPr="00E94D8A">
              <w:rPr>
                <w:rFonts w:cs="Arial"/>
                <w:lang w:val="es-ES"/>
              </w:rPr>
              <w:t xml:space="preserve">(minorista u OMV o </w:t>
            </w:r>
            <w:proofErr w:type="spellStart"/>
            <w:r w:rsidRPr="00E94D8A">
              <w:rPr>
                <w:rFonts w:cs="Arial"/>
                <w:i/>
                <w:lang w:val="es-ES"/>
              </w:rPr>
              <w:t>inbound</w:t>
            </w:r>
            <w:proofErr w:type="spellEnd"/>
            <w:r w:rsidRPr="00E94D8A">
              <w:rPr>
                <w:rFonts w:cs="Arial"/>
                <w:i/>
                <w:lang w:val="es-ES"/>
              </w:rPr>
              <w:t xml:space="preserve"> </w:t>
            </w:r>
            <w:proofErr w:type="spellStart"/>
            <w:r w:rsidRPr="00E94D8A">
              <w:rPr>
                <w:rFonts w:cs="Arial"/>
                <w:i/>
                <w:lang w:val="es-ES"/>
              </w:rPr>
              <w:t>roamer</w:t>
            </w:r>
            <w:proofErr w:type="spellEnd"/>
            <w:r w:rsidRPr="00E94D8A">
              <w:rPr>
                <w:rFonts w:cs="Arial"/>
                <w:lang w:val="es-ES"/>
              </w:rPr>
              <w:t xml:space="preserve">) </w:t>
            </w:r>
            <w:r w:rsidRPr="00E94D8A">
              <w:rPr>
                <w:rStyle w:val="apple-style-span"/>
                <w:rFonts w:cs="Arial"/>
                <w:color w:val="000000"/>
                <w:lang w:val="es-ES"/>
              </w:rPr>
              <w:t>del operador móvil modelado.</w:t>
            </w:r>
          </w:p>
        </w:tc>
      </w:tr>
      <w:tr w:rsidR="00600CDE" w:rsidRPr="00E94D8A" w14:paraId="54246D82" w14:textId="77777777" w:rsidTr="00153D74">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106682C7" w14:textId="77777777" w:rsidR="00600CDE" w:rsidRPr="006670B3" w:rsidRDefault="00600CDE" w:rsidP="00153D74">
            <w:pPr>
              <w:pStyle w:val="Tablecells"/>
            </w:pPr>
            <w:r w:rsidRPr="006670B3">
              <w:t>VMS</w:t>
            </w:r>
          </w:p>
        </w:tc>
        <w:tc>
          <w:tcPr>
            <w:tcW w:w="6679" w:type="dxa"/>
            <w:tcBorders>
              <w:top w:val="nil"/>
              <w:bottom w:val="nil"/>
            </w:tcBorders>
          </w:tcPr>
          <w:p w14:paraId="47B3B49B" w14:textId="77777777" w:rsidR="00600CDE" w:rsidRPr="00E94D8A" w:rsidRDefault="00600CDE" w:rsidP="002C02CE">
            <w:pPr>
              <w:pStyle w:val="Tablecells"/>
              <w:jc w:val="both"/>
              <w:rPr>
                <w:rFonts w:cs="Arial"/>
                <w:lang w:val="es-ES"/>
              </w:rPr>
            </w:pPr>
            <w:r w:rsidRPr="00E94D8A">
              <w:rPr>
                <w:lang w:val="es-ES"/>
              </w:rPr>
              <w:t xml:space="preserve">Llamadas de voz de </w:t>
            </w:r>
            <w:r>
              <w:rPr>
                <w:lang w:val="es-ES"/>
              </w:rPr>
              <w:t>un suscriptor (minorista u OMV</w:t>
            </w:r>
            <w:r w:rsidRPr="00E94D8A">
              <w:rPr>
                <w:lang w:val="es-ES"/>
              </w:rPr>
              <w:t>) a</w:t>
            </w:r>
            <w:r>
              <w:rPr>
                <w:lang w:val="es-ES"/>
              </w:rPr>
              <w:t xml:space="preserve">l contestador </w:t>
            </w:r>
            <w:r w:rsidRPr="00E94D8A">
              <w:rPr>
                <w:lang w:val="es-ES"/>
              </w:rPr>
              <w:t>del operador móvil modelado</w:t>
            </w:r>
            <w:r w:rsidRPr="00E94D8A">
              <w:rPr>
                <w:rFonts w:cs="Arial"/>
                <w:lang w:val="es-ES"/>
              </w:rPr>
              <w:t>.</w:t>
            </w:r>
          </w:p>
        </w:tc>
      </w:tr>
      <w:tr w:rsidR="00600CDE" w:rsidRPr="00E94D8A" w14:paraId="73BEC78C" w14:textId="77777777" w:rsidTr="00153D74">
        <w:tc>
          <w:tcPr>
            <w:tcW w:w="2268" w:type="dxa"/>
            <w:tcBorders>
              <w:top w:val="nil"/>
              <w:bottom w:val="nil"/>
            </w:tcBorders>
          </w:tcPr>
          <w:p w14:paraId="1489EDD8" w14:textId="77777777" w:rsidR="00600CDE" w:rsidRPr="00E94D8A" w:rsidRDefault="00600CDE" w:rsidP="00C33495">
            <w:pPr>
              <w:pStyle w:val="Tablecells"/>
              <w:rPr>
                <w:rFonts w:cs="Arial"/>
                <w:lang w:val="es-ES"/>
              </w:rPr>
            </w:pPr>
            <w:r w:rsidRPr="00E94D8A">
              <w:rPr>
                <w:rFonts w:cs="Arial"/>
                <w:lang w:val="es-ES"/>
              </w:rPr>
              <w:t>Servicio de datos GPRS</w:t>
            </w:r>
          </w:p>
        </w:tc>
        <w:tc>
          <w:tcPr>
            <w:tcW w:w="6679" w:type="dxa"/>
            <w:tcBorders>
              <w:top w:val="nil"/>
              <w:bottom w:val="nil"/>
            </w:tcBorders>
          </w:tcPr>
          <w:p w14:paraId="0A76343D" w14:textId="77777777" w:rsidR="00600CDE" w:rsidRPr="00E94D8A" w:rsidRDefault="00600CDE" w:rsidP="002C02CE">
            <w:pPr>
              <w:pStyle w:val="Tablecells"/>
              <w:jc w:val="both"/>
              <w:rPr>
                <w:rFonts w:cs="Arial"/>
                <w:lang w:val="es-ES"/>
              </w:rPr>
            </w:pPr>
            <w:proofErr w:type="spellStart"/>
            <w:r w:rsidRPr="00E94D8A">
              <w:rPr>
                <w:rStyle w:val="apple-style-span"/>
                <w:rFonts w:cs="Arial"/>
                <w:color w:val="000000"/>
                <w:lang w:val="es-ES"/>
              </w:rPr>
              <w:t>Mbytes</w:t>
            </w:r>
            <w:proofErr w:type="spellEnd"/>
            <w:r w:rsidRPr="00E94D8A">
              <w:rPr>
                <w:rStyle w:val="apple-style-span"/>
                <w:rFonts w:cs="Arial"/>
                <w:color w:val="000000"/>
                <w:lang w:val="es-ES"/>
              </w:rPr>
              <w:t xml:space="preserve"> de servicio de datos (excluyendo las cabeceras de los paquetes IP) transferidos desde y hacia un suscriptor (</w:t>
            </w:r>
            <w:r w:rsidRPr="00E94D8A">
              <w:rPr>
                <w:rFonts w:cs="Arial"/>
                <w:lang w:val="es-ES"/>
              </w:rPr>
              <w:t xml:space="preserve">minorista u OMV o </w:t>
            </w:r>
            <w:proofErr w:type="spellStart"/>
            <w:r w:rsidRPr="00E94D8A">
              <w:rPr>
                <w:rFonts w:cs="Arial"/>
                <w:i/>
                <w:lang w:val="es-ES"/>
              </w:rPr>
              <w:t>inbound</w:t>
            </w:r>
            <w:proofErr w:type="spellEnd"/>
            <w:r w:rsidRPr="00E94D8A">
              <w:rPr>
                <w:rFonts w:cs="Arial"/>
                <w:i/>
                <w:lang w:val="es-ES"/>
              </w:rPr>
              <w:t xml:space="preserve"> </w:t>
            </w:r>
            <w:proofErr w:type="spellStart"/>
            <w:r w:rsidRPr="00E94D8A">
              <w:rPr>
                <w:rFonts w:cs="Arial"/>
                <w:i/>
                <w:lang w:val="es-ES"/>
              </w:rPr>
              <w:t>roamer</w:t>
            </w:r>
            <w:proofErr w:type="spellEnd"/>
            <w:r>
              <w:rPr>
                <w:rStyle w:val="apple-style-span"/>
                <w:rFonts w:cs="Arial"/>
                <w:color w:val="000000"/>
                <w:lang w:val="es-ES"/>
              </w:rPr>
              <w:t xml:space="preserve">) a través de la red 2G </w:t>
            </w:r>
            <w:r w:rsidRPr="00E94D8A">
              <w:rPr>
                <w:rStyle w:val="apple-style-span"/>
                <w:rFonts w:cs="Arial"/>
                <w:color w:val="000000"/>
                <w:lang w:val="es-ES"/>
              </w:rPr>
              <w:t>GPRS.</w:t>
            </w:r>
          </w:p>
        </w:tc>
      </w:tr>
      <w:tr w:rsidR="00600CDE" w:rsidRPr="00E94D8A" w14:paraId="733FEDF7" w14:textId="77777777" w:rsidTr="00153D74">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78FA3952" w14:textId="77777777" w:rsidR="00600CDE" w:rsidRPr="00E94D8A" w:rsidRDefault="00600CDE" w:rsidP="002C02CE">
            <w:pPr>
              <w:pStyle w:val="Tablecells"/>
              <w:rPr>
                <w:rFonts w:cs="Arial"/>
                <w:lang w:val="es-ES"/>
              </w:rPr>
            </w:pPr>
            <w:r w:rsidRPr="00E94D8A">
              <w:rPr>
                <w:rFonts w:cs="Arial"/>
                <w:lang w:val="es-ES"/>
              </w:rPr>
              <w:t xml:space="preserve">Servicio de datos </w:t>
            </w:r>
            <w:r>
              <w:rPr>
                <w:rFonts w:cs="Arial"/>
                <w:lang w:val="es-ES"/>
              </w:rPr>
              <w:t>EDGE</w:t>
            </w:r>
          </w:p>
        </w:tc>
        <w:tc>
          <w:tcPr>
            <w:tcW w:w="6679" w:type="dxa"/>
            <w:tcBorders>
              <w:top w:val="nil"/>
              <w:bottom w:val="nil"/>
            </w:tcBorders>
          </w:tcPr>
          <w:p w14:paraId="3275FB8C" w14:textId="77777777" w:rsidR="00600CDE" w:rsidRPr="00E94D8A" w:rsidRDefault="00600CDE" w:rsidP="002C02CE">
            <w:pPr>
              <w:pStyle w:val="Tablecells"/>
              <w:jc w:val="both"/>
              <w:rPr>
                <w:rFonts w:cs="Arial"/>
                <w:color w:val="000000"/>
                <w:lang w:val="es-ES"/>
              </w:rPr>
            </w:pPr>
            <w:proofErr w:type="spellStart"/>
            <w:r w:rsidRPr="00E94D8A">
              <w:rPr>
                <w:rStyle w:val="apple-style-span"/>
                <w:rFonts w:cs="Arial"/>
                <w:color w:val="000000"/>
                <w:lang w:val="es-ES"/>
              </w:rPr>
              <w:t>Mbytes</w:t>
            </w:r>
            <w:proofErr w:type="spellEnd"/>
            <w:r w:rsidRPr="00E94D8A">
              <w:rPr>
                <w:rStyle w:val="apple-style-span"/>
                <w:rFonts w:cs="Arial"/>
                <w:color w:val="000000"/>
                <w:lang w:val="es-ES"/>
              </w:rPr>
              <w:t xml:space="preserve"> de servicio de datos (excluyendo las cabeceras de los paquetes IP) transferidos desde y hacia un suscriptor (</w:t>
            </w:r>
            <w:r w:rsidRPr="00E94D8A">
              <w:rPr>
                <w:rFonts w:cs="Arial"/>
                <w:lang w:val="es-ES"/>
              </w:rPr>
              <w:t xml:space="preserve">minorista u OMV o </w:t>
            </w:r>
            <w:proofErr w:type="spellStart"/>
            <w:r w:rsidRPr="00E94D8A">
              <w:rPr>
                <w:rFonts w:cs="Arial"/>
                <w:i/>
                <w:lang w:val="es-ES"/>
              </w:rPr>
              <w:t>inbound</w:t>
            </w:r>
            <w:proofErr w:type="spellEnd"/>
            <w:r w:rsidRPr="00E94D8A">
              <w:rPr>
                <w:rFonts w:cs="Arial"/>
                <w:i/>
                <w:lang w:val="es-ES"/>
              </w:rPr>
              <w:t xml:space="preserve"> </w:t>
            </w:r>
            <w:proofErr w:type="spellStart"/>
            <w:r w:rsidRPr="00E94D8A">
              <w:rPr>
                <w:rFonts w:cs="Arial"/>
                <w:i/>
                <w:lang w:val="es-ES"/>
              </w:rPr>
              <w:t>roamer</w:t>
            </w:r>
            <w:proofErr w:type="spellEnd"/>
            <w:r w:rsidRPr="00E94D8A">
              <w:rPr>
                <w:rStyle w:val="apple-style-span"/>
                <w:rFonts w:cs="Arial"/>
                <w:color w:val="000000"/>
                <w:lang w:val="es-ES"/>
              </w:rPr>
              <w:t xml:space="preserve">) a través de la red </w:t>
            </w:r>
            <w:r>
              <w:rPr>
                <w:rStyle w:val="apple-style-span"/>
                <w:rFonts w:cs="Arial"/>
                <w:color w:val="000000"/>
                <w:lang w:val="es-ES"/>
              </w:rPr>
              <w:t>2G EDGE</w:t>
            </w:r>
            <w:r w:rsidRPr="00E94D8A">
              <w:rPr>
                <w:rStyle w:val="apple-style-span"/>
                <w:rFonts w:cs="Arial"/>
                <w:color w:val="000000"/>
                <w:lang w:val="es-ES"/>
              </w:rPr>
              <w:t>.</w:t>
            </w:r>
          </w:p>
        </w:tc>
      </w:tr>
      <w:tr w:rsidR="00600CDE" w:rsidRPr="00E94D8A" w14:paraId="4D674B5E" w14:textId="77777777" w:rsidTr="00153D74">
        <w:tc>
          <w:tcPr>
            <w:tcW w:w="2268" w:type="dxa"/>
            <w:tcBorders>
              <w:top w:val="nil"/>
              <w:bottom w:val="nil"/>
            </w:tcBorders>
          </w:tcPr>
          <w:p w14:paraId="76992133" w14:textId="77777777" w:rsidR="00600CDE" w:rsidRPr="00E94D8A" w:rsidRDefault="00600CDE" w:rsidP="002C02CE">
            <w:pPr>
              <w:pStyle w:val="Tablecells"/>
              <w:rPr>
                <w:rFonts w:cs="Arial"/>
                <w:lang w:val="es-ES"/>
              </w:rPr>
            </w:pPr>
            <w:r w:rsidRPr="00E94D8A">
              <w:rPr>
                <w:rFonts w:cs="Arial"/>
                <w:lang w:val="es-ES"/>
              </w:rPr>
              <w:t xml:space="preserve">Servicio de datos </w:t>
            </w:r>
            <w:r>
              <w:rPr>
                <w:rFonts w:cs="Arial"/>
                <w:lang w:val="es-ES"/>
              </w:rPr>
              <w:t>R99</w:t>
            </w:r>
          </w:p>
        </w:tc>
        <w:tc>
          <w:tcPr>
            <w:tcW w:w="6679" w:type="dxa"/>
            <w:tcBorders>
              <w:top w:val="nil"/>
              <w:bottom w:val="nil"/>
            </w:tcBorders>
          </w:tcPr>
          <w:p w14:paraId="6B9BA71F" w14:textId="77777777" w:rsidR="00600CDE" w:rsidRPr="00E94D8A" w:rsidRDefault="00600CDE" w:rsidP="00C33495">
            <w:pPr>
              <w:pStyle w:val="Tablecells"/>
              <w:jc w:val="both"/>
              <w:rPr>
                <w:rFonts w:cs="Arial"/>
                <w:color w:val="000000"/>
                <w:lang w:val="es-ES"/>
              </w:rPr>
            </w:pPr>
            <w:proofErr w:type="spellStart"/>
            <w:r w:rsidRPr="00E94D8A">
              <w:rPr>
                <w:rStyle w:val="apple-style-span"/>
                <w:rFonts w:cs="Arial"/>
                <w:color w:val="000000"/>
                <w:lang w:val="es-ES"/>
              </w:rPr>
              <w:t>Mbytes</w:t>
            </w:r>
            <w:proofErr w:type="spellEnd"/>
            <w:r w:rsidRPr="00E94D8A">
              <w:rPr>
                <w:rStyle w:val="apple-style-span"/>
                <w:rFonts w:cs="Arial"/>
                <w:color w:val="000000"/>
                <w:lang w:val="es-ES"/>
              </w:rPr>
              <w:t xml:space="preserve"> de servicio de datos (excluyendo las cabeceras de los paquetes IP) transferidos desde y hacia un suscriptor (</w:t>
            </w:r>
            <w:r w:rsidRPr="00E94D8A">
              <w:rPr>
                <w:rFonts w:cs="Arial"/>
                <w:lang w:val="es-ES"/>
              </w:rPr>
              <w:t xml:space="preserve">minorista u OMV o </w:t>
            </w:r>
            <w:proofErr w:type="spellStart"/>
            <w:r w:rsidRPr="00E94D8A">
              <w:rPr>
                <w:rFonts w:cs="Arial"/>
                <w:i/>
                <w:lang w:val="es-ES"/>
              </w:rPr>
              <w:t>inbound</w:t>
            </w:r>
            <w:proofErr w:type="spellEnd"/>
            <w:r w:rsidRPr="00E94D8A">
              <w:rPr>
                <w:rFonts w:cs="Arial"/>
                <w:i/>
                <w:lang w:val="es-ES"/>
              </w:rPr>
              <w:t xml:space="preserve"> </w:t>
            </w:r>
            <w:proofErr w:type="spellStart"/>
            <w:r w:rsidRPr="00E94D8A">
              <w:rPr>
                <w:rFonts w:cs="Arial"/>
                <w:i/>
                <w:lang w:val="es-ES"/>
              </w:rPr>
              <w:t>roamer</w:t>
            </w:r>
            <w:proofErr w:type="spellEnd"/>
            <w:r w:rsidRPr="00E94D8A">
              <w:rPr>
                <w:rStyle w:val="apple-style-span"/>
                <w:rFonts w:cs="Arial"/>
                <w:color w:val="000000"/>
                <w:lang w:val="es-ES"/>
              </w:rPr>
              <w:t xml:space="preserve">) a través de la red de datos de baja velocidad 3G (portadoras </w:t>
            </w:r>
            <w:proofErr w:type="spellStart"/>
            <w:r w:rsidRPr="00E94D8A">
              <w:rPr>
                <w:rStyle w:val="apple-style-span"/>
                <w:rFonts w:cs="Arial"/>
                <w:color w:val="000000"/>
                <w:lang w:val="es-ES"/>
              </w:rPr>
              <w:t>Release</w:t>
            </w:r>
            <w:proofErr w:type="spellEnd"/>
            <w:r w:rsidRPr="00E94D8A">
              <w:rPr>
                <w:rStyle w:val="apple-style-span"/>
                <w:rFonts w:cs="Arial"/>
                <w:color w:val="000000"/>
                <w:lang w:val="es-ES"/>
              </w:rPr>
              <w:t xml:space="preserve"> 99).</w:t>
            </w:r>
          </w:p>
        </w:tc>
      </w:tr>
      <w:tr w:rsidR="00600CDE" w:rsidRPr="00E94D8A" w14:paraId="0424E208" w14:textId="77777777" w:rsidTr="002C02CE">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0EC33FC6" w14:textId="77777777" w:rsidR="00600CDE" w:rsidRPr="00E94D8A" w:rsidRDefault="00600CDE" w:rsidP="00C33495">
            <w:pPr>
              <w:pStyle w:val="Tablecells"/>
              <w:rPr>
                <w:rFonts w:cs="Arial"/>
                <w:lang w:val="es-ES"/>
              </w:rPr>
            </w:pPr>
            <w:r w:rsidRPr="00E94D8A">
              <w:rPr>
                <w:rFonts w:cs="Arial"/>
                <w:lang w:val="es-ES"/>
              </w:rPr>
              <w:t>Servicio de datos HS</w:t>
            </w:r>
            <w:r>
              <w:rPr>
                <w:rFonts w:cs="Arial"/>
                <w:lang w:val="es-ES"/>
              </w:rPr>
              <w:t>D</w:t>
            </w:r>
            <w:r w:rsidRPr="00E94D8A">
              <w:rPr>
                <w:rFonts w:cs="Arial"/>
                <w:lang w:val="es-ES"/>
              </w:rPr>
              <w:t>PA</w:t>
            </w:r>
          </w:p>
        </w:tc>
        <w:tc>
          <w:tcPr>
            <w:tcW w:w="6679" w:type="dxa"/>
            <w:tcBorders>
              <w:top w:val="nil"/>
              <w:bottom w:val="nil"/>
            </w:tcBorders>
          </w:tcPr>
          <w:p w14:paraId="7372549C" w14:textId="77777777" w:rsidR="00600CDE" w:rsidRPr="00E94D8A" w:rsidRDefault="00600CDE" w:rsidP="002C02CE">
            <w:pPr>
              <w:pStyle w:val="Tablecells"/>
              <w:jc w:val="both"/>
              <w:rPr>
                <w:rFonts w:cs="Arial"/>
                <w:lang w:val="es-ES"/>
              </w:rPr>
            </w:pPr>
            <w:proofErr w:type="spellStart"/>
            <w:r w:rsidRPr="00E94D8A">
              <w:rPr>
                <w:rStyle w:val="apple-style-span"/>
                <w:rFonts w:cs="Arial"/>
                <w:color w:val="000000"/>
                <w:lang w:val="es-ES"/>
              </w:rPr>
              <w:t>Mbytes</w:t>
            </w:r>
            <w:proofErr w:type="spellEnd"/>
            <w:r w:rsidRPr="00E94D8A">
              <w:rPr>
                <w:rStyle w:val="apple-style-span"/>
                <w:rFonts w:cs="Arial"/>
                <w:color w:val="000000"/>
                <w:lang w:val="es-ES"/>
              </w:rPr>
              <w:t xml:space="preserve"> de servicio de datos (excluyendo las cabeceras de los paquetes IP) transferidos hacia un suscriptor (</w:t>
            </w:r>
            <w:r w:rsidRPr="00E94D8A">
              <w:rPr>
                <w:rFonts w:cs="Arial"/>
                <w:lang w:val="es-ES"/>
              </w:rPr>
              <w:t xml:space="preserve">minorista u OMV o </w:t>
            </w:r>
            <w:proofErr w:type="spellStart"/>
            <w:r w:rsidRPr="00C36006">
              <w:rPr>
                <w:rFonts w:cs="Arial"/>
                <w:i/>
                <w:lang w:val="es-ES"/>
              </w:rPr>
              <w:t>inbound</w:t>
            </w:r>
            <w:proofErr w:type="spellEnd"/>
            <w:r w:rsidRPr="00C36006">
              <w:rPr>
                <w:rFonts w:cs="Arial"/>
                <w:i/>
                <w:lang w:val="es-ES"/>
              </w:rPr>
              <w:t xml:space="preserve"> </w:t>
            </w:r>
            <w:proofErr w:type="spellStart"/>
            <w:r w:rsidRPr="00C36006">
              <w:rPr>
                <w:rFonts w:cs="Arial"/>
                <w:i/>
                <w:lang w:val="es-ES"/>
              </w:rPr>
              <w:t>roamer</w:t>
            </w:r>
            <w:proofErr w:type="spellEnd"/>
            <w:r w:rsidRPr="00E94D8A">
              <w:rPr>
                <w:rStyle w:val="apple-style-span"/>
                <w:rFonts w:cs="Arial"/>
                <w:color w:val="000000"/>
                <w:lang w:val="es-ES"/>
              </w:rPr>
              <w:t>) a través de la red HSPA.</w:t>
            </w:r>
          </w:p>
        </w:tc>
      </w:tr>
      <w:tr w:rsidR="00600CDE" w:rsidRPr="00E94D8A" w14:paraId="53473629" w14:textId="77777777" w:rsidTr="007858D8">
        <w:tc>
          <w:tcPr>
            <w:tcW w:w="2268" w:type="dxa"/>
            <w:tcBorders>
              <w:top w:val="nil"/>
              <w:bottom w:val="nil"/>
            </w:tcBorders>
          </w:tcPr>
          <w:p w14:paraId="15FFFC0A" w14:textId="77777777" w:rsidR="00600CDE" w:rsidRPr="00E94D8A" w:rsidRDefault="00600CDE" w:rsidP="002C02CE">
            <w:pPr>
              <w:pStyle w:val="Tablecells"/>
              <w:rPr>
                <w:rFonts w:cs="Arial"/>
                <w:lang w:val="es-ES"/>
              </w:rPr>
            </w:pPr>
            <w:r w:rsidRPr="00E94D8A">
              <w:rPr>
                <w:rFonts w:cs="Arial"/>
                <w:lang w:val="es-ES"/>
              </w:rPr>
              <w:t>Servicio de datos HS</w:t>
            </w:r>
            <w:r>
              <w:rPr>
                <w:rFonts w:cs="Arial"/>
                <w:lang w:val="es-ES"/>
              </w:rPr>
              <w:t>U</w:t>
            </w:r>
            <w:r w:rsidRPr="00E94D8A">
              <w:rPr>
                <w:rFonts w:cs="Arial"/>
                <w:lang w:val="es-ES"/>
              </w:rPr>
              <w:t>PA</w:t>
            </w:r>
          </w:p>
        </w:tc>
        <w:tc>
          <w:tcPr>
            <w:tcW w:w="6679" w:type="dxa"/>
            <w:tcBorders>
              <w:top w:val="nil"/>
              <w:bottom w:val="nil"/>
            </w:tcBorders>
          </w:tcPr>
          <w:p w14:paraId="1874C8C7" w14:textId="77777777" w:rsidR="00600CDE" w:rsidRPr="00E94D8A" w:rsidRDefault="00600CDE" w:rsidP="002C02CE">
            <w:pPr>
              <w:pStyle w:val="Tablecells"/>
              <w:jc w:val="both"/>
              <w:rPr>
                <w:rFonts w:cs="Arial"/>
                <w:lang w:val="es-ES"/>
              </w:rPr>
            </w:pPr>
            <w:proofErr w:type="spellStart"/>
            <w:r w:rsidRPr="00E94D8A">
              <w:rPr>
                <w:rStyle w:val="apple-style-span"/>
                <w:rFonts w:cs="Arial"/>
                <w:color w:val="000000"/>
                <w:lang w:val="es-ES"/>
              </w:rPr>
              <w:t>Mbytes</w:t>
            </w:r>
            <w:proofErr w:type="spellEnd"/>
            <w:r w:rsidRPr="00E94D8A">
              <w:rPr>
                <w:rStyle w:val="apple-style-span"/>
                <w:rFonts w:cs="Arial"/>
                <w:color w:val="000000"/>
                <w:lang w:val="es-ES"/>
              </w:rPr>
              <w:t xml:space="preserve"> de servicio de datos (excluyendo las cabeceras de los paquetes IP) transferidos desde un suscriptor (</w:t>
            </w:r>
            <w:r w:rsidRPr="00E94D8A">
              <w:rPr>
                <w:rFonts w:cs="Arial"/>
                <w:lang w:val="es-ES"/>
              </w:rPr>
              <w:t xml:space="preserve">minorista u OMV o </w:t>
            </w:r>
            <w:proofErr w:type="spellStart"/>
            <w:r w:rsidRPr="00C36006">
              <w:rPr>
                <w:rFonts w:cs="Arial"/>
                <w:i/>
                <w:lang w:val="es-ES"/>
              </w:rPr>
              <w:t>inbound</w:t>
            </w:r>
            <w:proofErr w:type="spellEnd"/>
            <w:r w:rsidRPr="00C36006">
              <w:rPr>
                <w:rFonts w:cs="Arial"/>
                <w:i/>
                <w:lang w:val="es-ES"/>
              </w:rPr>
              <w:t xml:space="preserve"> </w:t>
            </w:r>
            <w:proofErr w:type="spellStart"/>
            <w:r w:rsidRPr="00C36006">
              <w:rPr>
                <w:rFonts w:cs="Arial"/>
                <w:i/>
                <w:lang w:val="es-ES"/>
              </w:rPr>
              <w:t>roamer</w:t>
            </w:r>
            <w:proofErr w:type="spellEnd"/>
            <w:r w:rsidRPr="00E94D8A">
              <w:rPr>
                <w:rStyle w:val="apple-style-span"/>
                <w:rFonts w:cs="Arial"/>
                <w:color w:val="000000"/>
                <w:lang w:val="es-ES"/>
              </w:rPr>
              <w:t>) a través de la red HSPA.</w:t>
            </w:r>
          </w:p>
        </w:tc>
      </w:tr>
      <w:tr w:rsidR="00A75A4D" w:rsidRPr="00E94D8A" w14:paraId="79151F3B" w14:textId="77777777" w:rsidTr="00C3349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single" w:sz="4" w:space="0" w:color="808080"/>
            </w:tcBorders>
          </w:tcPr>
          <w:p w14:paraId="6DF5A1C0" w14:textId="77777777" w:rsidR="00A75A4D" w:rsidRPr="00E94D8A" w:rsidRDefault="00A75A4D" w:rsidP="002C02CE">
            <w:pPr>
              <w:pStyle w:val="Tablecells"/>
              <w:rPr>
                <w:rFonts w:cs="Arial"/>
                <w:lang w:val="es-ES"/>
              </w:rPr>
            </w:pPr>
            <w:r>
              <w:rPr>
                <w:rFonts w:cs="Arial"/>
                <w:lang w:val="es-ES"/>
              </w:rPr>
              <w:t>Servicio de datos LTE</w:t>
            </w:r>
          </w:p>
        </w:tc>
        <w:tc>
          <w:tcPr>
            <w:tcW w:w="6679" w:type="dxa"/>
            <w:tcBorders>
              <w:top w:val="nil"/>
              <w:bottom w:val="single" w:sz="4" w:space="0" w:color="808080"/>
            </w:tcBorders>
          </w:tcPr>
          <w:p w14:paraId="034B414F" w14:textId="77777777" w:rsidR="0043475A" w:rsidRPr="00E94D8A" w:rsidRDefault="00A75A4D" w:rsidP="000D0926">
            <w:pPr>
              <w:pStyle w:val="Tablecells"/>
              <w:jc w:val="both"/>
              <w:rPr>
                <w:rStyle w:val="apple-style-span"/>
                <w:rFonts w:cs="Arial"/>
                <w:color w:val="000000"/>
                <w:lang w:val="es-ES"/>
              </w:rPr>
            </w:pPr>
            <w:proofErr w:type="spellStart"/>
            <w:r w:rsidRPr="00A75A4D">
              <w:rPr>
                <w:rStyle w:val="apple-style-span"/>
                <w:rFonts w:cs="Arial"/>
                <w:color w:val="000000"/>
                <w:lang w:val="es-ES"/>
              </w:rPr>
              <w:t>Mbytes</w:t>
            </w:r>
            <w:proofErr w:type="spellEnd"/>
            <w:r w:rsidRPr="00A75A4D">
              <w:rPr>
                <w:rStyle w:val="apple-style-span"/>
                <w:rFonts w:cs="Arial"/>
                <w:color w:val="000000"/>
                <w:lang w:val="es-ES"/>
              </w:rPr>
              <w:t xml:space="preserve"> de servicio de datos (excluyendo las cabeceras de los paquetes IP) transferidos desde y hacia un suscriptor (minorista u OMV o </w:t>
            </w:r>
            <w:proofErr w:type="spellStart"/>
            <w:r w:rsidRPr="00C36006">
              <w:rPr>
                <w:rStyle w:val="apple-style-span"/>
                <w:rFonts w:cs="Arial"/>
                <w:i/>
                <w:color w:val="000000"/>
                <w:lang w:val="es-ES"/>
              </w:rPr>
              <w:t>inbound</w:t>
            </w:r>
            <w:proofErr w:type="spellEnd"/>
            <w:r w:rsidRPr="00C36006">
              <w:rPr>
                <w:rStyle w:val="apple-style-span"/>
                <w:rFonts w:cs="Arial"/>
                <w:i/>
                <w:color w:val="000000"/>
                <w:lang w:val="es-ES"/>
              </w:rPr>
              <w:t xml:space="preserve"> </w:t>
            </w:r>
            <w:proofErr w:type="spellStart"/>
            <w:r w:rsidRPr="00C36006">
              <w:rPr>
                <w:rStyle w:val="apple-style-span"/>
                <w:rFonts w:cs="Arial"/>
                <w:i/>
                <w:color w:val="000000"/>
                <w:lang w:val="es-ES"/>
              </w:rPr>
              <w:t>roamer</w:t>
            </w:r>
            <w:proofErr w:type="spellEnd"/>
            <w:r w:rsidRPr="00A75A4D">
              <w:rPr>
                <w:rStyle w:val="apple-style-span"/>
                <w:rFonts w:cs="Arial"/>
                <w:color w:val="000000"/>
                <w:lang w:val="es-ES"/>
              </w:rPr>
              <w:t>) a través de la red</w:t>
            </w:r>
            <w:r>
              <w:rPr>
                <w:rStyle w:val="apple-style-span"/>
                <w:rFonts w:cs="Arial"/>
                <w:color w:val="000000"/>
                <w:lang w:val="es-ES"/>
              </w:rPr>
              <w:t xml:space="preserve"> LTE</w:t>
            </w:r>
            <w:r w:rsidRPr="00A75A4D">
              <w:rPr>
                <w:rStyle w:val="apple-style-span"/>
                <w:rFonts w:cs="Arial"/>
                <w:color w:val="000000"/>
                <w:lang w:val="es-ES"/>
              </w:rPr>
              <w:t>.</w:t>
            </w:r>
            <w:r w:rsidR="0043475A">
              <w:rPr>
                <w:rStyle w:val="apple-style-span"/>
                <w:rFonts w:cs="Arial"/>
                <w:color w:val="000000"/>
                <w:lang w:val="es-ES"/>
              </w:rPr>
              <w:t xml:space="preserve"> </w:t>
            </w:r>
          </w:p>
        </w:tc>
      </w:tr>
    </w:tbl>
    <w:p w14:paraId="3A5C08BB" w14:textId="77777777" w:rsidR="00247909" w:rsidRPr="00E94D8A" w:rsidRDefault="00247909" w:rsidP="00A37365"/>
    <w:p w14:paraId="77C7C6DF" w14:textId="77777777" w:rsidR="00C458BA" w:rsidRPr="00E94D8A" w:rsidRDefault="0043475A" w:rsidP="00C458BA">
      <w:pPr>
        <w:pStyle w:val="B1"/>
        <w:pBdr>
          <w:top w:val="single" w:sz="4" w:space="2" w:color="D9D9D9" w:themeColor="background1" w:themeShade="D9"/>
          <w:bottom w:val="single" w:sz="4" w:space="5" w:color="D9D9D9" w:themeColor="background1" w:themeShade="D9"/>
        </w:pBdr>
        <w:shd w:val="clear" w:color="auto" w:fill="F2F2F2" w:themeFill="background1" w:themeFillShade="F2"/>
      </w:pPr>
      <w:bookmarkStart w:id="74" w:name="_Ref321212356"/>
      <w:r>
        <w:rPr>
          <w:b/>
          <w:bCs/>
        </w:rPr>
        <w:t>Concepto propuesto</w:t>
      </w:r>
      <w:r w:rsidR="00C458BA" w:rsidRPr="00E94D8A">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18</w:t>
      </w:r>
      <w:r w:rsidR="00CB05BF" w:rsidRPr="00E94D8A">
        <w:rPr>
          <w:b/>
          <w:color w:val="000000" w:themeColor="text1"/>
        </w:rPr>
        <w:fldChar w:fldCharType="end"/>
      </w:r>
      <w:r w:rsidR="00C458BA" w:rsidRPr="00E94D8A">
        <w:t>: Se agregarán los servicios de tráfico móvil para las diferentes clases de suscriptores (</w:t>
      </w:r>
      <w:r w:rsidR="001C7F02">
        <w:t>ej.</w:t>
      </w:r>
      <w:r w:rsidR="00C458BA" w:rsidRPr="00E94D8A">
        <w:t xml:space="preserve">, venta minorista, </w:t>
      </w:r>
      <w:proofErr w:type="spellStart"/>
      <w:r w:rsidR="00C458BA" w:rsidRPr="00E94D8A">
        <w:rPr>
          <w:i/>
        </w:rPr>
        <w:t>inbound</w:t>
      </w:r>
      <w:proofErr w:type="spellEnd"/>
      <w:r w:rsidR="00C458BA" w:rsidRPr="00E94D8A">
        <w:rPr>
          <w:i/>
        </w:rPr>
        <w:t xml:space="preserve"> </w:t>
      </w:r>
      <w:proofErr w:type="spellStart"/>
      <w:r w:rsidR="00C458BA" w:rsidRPr="00E94D8A">
        <w:rPr>
          <w:i/>
        </w:rPr>
        <w:t>roamer</w:t>
      </w:r>
      <w:proofErr w:type="spellEnd"/>
      <w:r w:rsidR="00C458BA" w:rsidRPr="00E94D8A">
        <w:t xml:space="preserve">) para identificar los </w:t>
      </w:r>
      <w:r w:rsidR="00CE4B8A">
        <w:t>costo</w:t>
      </w:r>
      <w:r w:rsidR="00C458BA" w:rsidRPr="00E94D8A">
        <w:t>s subyacentes del tráfico de red en el modelo móvil.</w:t>
      </w:r>
    </w:p>
    <w:p w14:paraId="46254A27" w14:textId="77777777" w:rsidR="00A37365" w:rsidRPr="00E94D8A" w:rsidRDefault="00A37365" w:rsidP="00A37365">
      <w:pPr>
        <w:pStyle w:val="Ttulo2"/>
      </w:pPr>
      <w:bookmarkStart w:id="75" w:name="_Toc329109189"/>
      <w:bookmarkStart w:id="76" w:name="_Toc329109227"/>
      <w:bookmarkStart w:id="77" w:name="_Toc454893685"/>
      <w:bookmarkEnd w:id="75"/>
      <w:bookmarkEnd w:id="76"/>
      <w:r w:rsidRPr="00E94D8A">
        <w:lastRenderedPageBreak/>
        <w:t>Volúmenes de tráfico</w:t>
      </w:r>
      <w:bookmarkEnd w:id="74"/>
      <w:bookmarkEnd w:id="77"/>
    </w:p>
    <w:p w14:paraId="1F9A9ECD" w14:textId="77777777" w:rsidR="00A37365" w:rsidRPr="00E94D8A" w:rsidRDefault="00A37365" w:rsidP="00A37365">
      <w:r w:rsidRPr="00E94D8A">
        <w:rPr>
          <w:rStyle w:val="apple-style-span"/>
          <w:color w:val="000000"/>
        </w:rPr>
        <w:t>Es necesario definir el volumen y el perfil</w:t>
      </w:r>
      <w:r w:rsidRPr="00E94D8A">
        <w:rPr>
          <w:rStyle w:val="Refdenotaalpie"/>
        </w:rPr>
        <w:footnoteReference w:id="23"/>
      </w:r>
      <w:r w:rsidRPr="00E94D8A">
        <w:rPr>
          <w:rStyle w:val="apple-style-span"/>
          <w:color w:val="000000"/>
        </w:rPr>
        <w:t xml:space="preserve"> del tráfico cursado en la red del operador modelado.</w:t>
      </w:r>
      <w:r w:rsidRPr="00E94D8A">
        <w:rPr>
          <w:rStyle w:val="apple-style-span"/>
        </w:rPr>
        <w:t xml:space="preserve"> </w:t>
      </w:r>
      <w:r w:rsidRPr="00E94D8A">
        <w:rPr>
          <w:rStyle w:val="apple-style-span"/>
          <w:color w:val="000000"/>
        </w:rPr>
        <w:t>Dado que la definición del operador incorpora la definición de una cuota de mercado, se propone definir el volumen de tráfico y su perfil para un abonado promedio.</w:t>
      </w:r>
      <w:r w:rsidRPr="00E94D8A">
        <w:rPr>
          <w:rStyle w:val="apple-style-span"/>
        </w:rPr>
        <w:t xml:space="preserve"> </w:t>
      </w:r>
      <w:r w:rsidRPr="00E94D8A">
        <w:rPr>
          <w:rStyle w:val="apple-style-span"/>
          <w:color w:val="000000"/>
        </w:rPr>
        <w:t>Este perfil de tráfico deberá tener en cuenta el equilibrio de tráfico entre los diferentes servicios que compiten en el mercado.</w:t>
      </w:r>
      <w:r w:rsidRPr="00E94D8A">
        <w:rPr>
          <w:rStyle w:val="apple-style-span"/>
        </w:rPr>
        <w:t xml:space="preserve"> Se requerirá por lo tanto </w:t>
      </w:r>
      <w:r w:rsidRPr="00E94D8A">
        <w:rPr>
          <w:rStyle w:val="apple-style-span"/>
          <w:color w:val="000000"/>
        </w:rPr>
        <w:t>un enfoque integral para la estimación de la evolución del tráfico de voz y datos.</w:t>
      </w:r>
      <w:r w:rsidRPr="00E94D8A">
        <w:rPr>
          <w:rStyle w:val="apple-style-span"/>
        </w:rPr>
        <w:t xml:space="preserve"> </w:t>
      </w:r>
      <w:r w:rsidRPr="00E94D8A">
        <w:rPr>
          <w:rStyle w:val="apple-style-span"/>
          <w:color w:val="000000"/>
        </w:rPr>
        <w:t>En consecuencia, los diferentes modelos deberían basarse en un módulo común de predicción de tráfico</w:t>
      </w:r>
      <w:r w:rsidRPr="00E94D8A">
        <w:t>.</w:t>
      </w:r>
    </w:p>
    <w:p w14:paraId="09CACFC7" w14:textId="77777777" w:rsidR="00A37365" w:rsidRPr="00E94D8A" w:rsidRDefault="00A37365" w:rsidP="00A37365">
      <w:r w:rsidRPr="00E94D8A">
        <w:t>El volumen de tráfico asociado a los abonados del operador modelado es el principal inductor de los costos asociados con la red troncal, y la medida que permitirá explotar las economías de escala.</w:t>
      </w:r>
    </w:p>
    <w:p w14:paraId="4491CCB3" w14:textId="77777777" w:rsidR="00A37365" w:rsidRPr="00E94D8A" w:rsidRDefault="00A37365" w:rsidP="00A37365">
      <w:pPr>
        <w:rPr>
          <w:spacing w:val="-4"/>
        </w:rPr>
      </w:pPr>
      <w:r w:rsidRPr="00E94D8A">
        <w:rPr>
          <w:spacing w:val="-4"/>
        </w:rPr>
        <w:t>En el mercado hipotético competitivo la base de suscriptores de cada operador tendrá el mismo perfil de uso. Por lo tanto, el perfil de tráfico del operador modelado debería ser definido como la media del mercado, manteniendo la consistencia con la escala de dicho operador.</w:t>
      </w:r>
      <w:r w:rsidRPr="00E94D8A">
        <w:rPr>
          <w:rStyle w:val="Refdenotaalpie"/>
          <w:spacing w:val="-4"/>
        </w:rPr>
        <w:footnoteReference w:id="24"/>
      </w:r>
    </w:p>
    <w:p w14:paraId="2866CCD7" w14:textId="77777777" w:rsidR="00725054" w:rsidRPr="00E94D8A" w:rsidRDefault="0043475A" w:rsidP="00725054">
      <w:pPr>
        <w:pStyle w:val="B1"/>
        <w:pBdr>
          <w:top w:val="single" w:sz="4" w:space="2" w:color="D9D9D9" w:themeColor="background1" w:themeShade="D9"/>
          <w:bottom w:val="single" w:sz="4" w:space="5" w:color="D9D9D9" w:themeColor="background1" w:themeShade="D9"/>
        </w:pBdr>
        <w:shd w:val="clear" w:color="auto" w:fill="F2F2F2" w:themeFill="background1" w:themeFillShade="F2"/>
      </w:pPr>
      <w:bookmarkStart w:id="78" w:name="_Ref321212362"/>
      <w:r>
        <w:rPr>
          <w:b/>
          <w:bCs/>
        </w:rPr>
        <w:t>Concepto propuesto</w:t>
      </w:r>
      <w:r w:rsidR="00725054" w:rsidRPr="00E94D8A">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19</w:t>
      </w:r>
      <w:r w:rsidR="00CB05BF" w:rsidRPr="00E94D8A">
        <w:rPr>
          <w:b/>
          <w:color w:val="000000" w:themeColor="text1"/>
        </w:rPr>
        <w:fldChar w:fldCharType="end"/>
      </w:r>
      <w:r w:rsidR="00725054" w:rsidRPr="00E94D8A">
        <w:t xml:space="preserve">: La previsión del perfil de tráfico del operador modelado </w:t>
      </w:r>
      <w:r w:rsidR="00180942">
        <w:t>se basará</w:t>
      </w:r>
      <w:r w:rsidR="00725054" w:rsidRPr="00E94D8A">
        <w:t xml:space="preserve"> en el perfil de la media del mercado</w:t>
      </w:r>
      <w:r w:rsidR="005135A3">
        <w:t xml:space="preserve">, es decir </w:t>
      </w:r>
      <w:r w:rsidR="005135A3" w:rsidRPr="005135A3">
        <w:t>la base de suscriptores de cada operador tendrá el mismo perfil de uso</w:t>
      </w:r>
      <w:r w:rsidR="00725054" w:rsidRPr="00E94D8A">
        <w:t>.</w:t>
      </w:r>
    </w:p>
    <w:p w14:paraId="0ACD1778" w14:textId="77777777" w:rsidR="00A37365" w:rsidRPr="00E94D8A" w:rsidRDefault="00CE4B8A" w:rsidP="00A37365">
      <w:pPr>
        <w:pStyle w:val="Ttulo2"/>
      </w:pPr>
      <w:bookmarkStart w:id="79" w:name="_Toc454893686"/>
      <w:r>
        <w:t>Costo</w:t>
      </w:r>
      <w:r w:rsidR="00A37365" w:rsidRPr="00E94D8A">
        <w:t>s mayoristas o minoristas</w:t>
      </w:r>
      <w:bookmarkEnd w:id="78"/>
      <w:bookmarkEnd w:id="79"/>
    </w:p>
    <w:p w14:paraId="790A1561" w14:textId="007AB20B" w:rsidR="00A37365" w:rsidRPr="00E94D8A" w:rsidRDefault="00A37365" w:rsidP="00A37365">
      <w:r w:rsidRPr="00E94D8A">
        <w:t xml:space="preserve">Este aspecto se describe en la </w:t>
      </w:r>
      <w:r w:rsidR="00E94D8A">
        <w:fldChar w:fldCharType="begin"/>
      </w:r>
      <w:r w:rsidR="00E94D8A">
        <w:instrText xml:space="preserve"> REF _Ref321212494 \h </w:instrText>
      </w:r>
      <w:r w:rsidR="00E94D8A">
        <w:fldChar w:fldCharType="separate"/>
      </w:r>
      <w:r w:rsidR="00B426BC" w:rsidRPr="00E94D8A">
        <w:t>Figur</w:t>
      </w:r>
      <w:r w:rsidR="00B426BC">
        <w:t>a</w:t>
      </w:r>
      <w:r w:rsidR="00B426BC" w:rsidRPr="00E94D8A">
        <w:t xml:space="preserve"> </w:t>
      </w:r>
      <w:r w:rsidR="00B426BC">
        <w:rPr>
          <w:noProof/>
        </w:rPr>
        <w:t>5</w:t>
      </w:r>
      <w:r w:rsidR="00B426BC" w:rsidRPr="00E94D8A">
        <w:t>.</w:t>
      </w:r>
      <w:r w:rsidR="00B426BC">
        <w:rPr>
          <w:noProof/>
        </w:rPr>
        <w:t>5</w:t>
      </w:r>
      <w:r w:rsidR="00E94D8A">
        <w:fldChar w:fldCharType="end"/>
      </w:r>
      <w:r w:rsidR="00E94D8A">
        <w:t xml:space="preserve"> </w:t>
      </w:r>
      <w:r w:rsidRPr="00E94D8A">
        <w:t>a continuación.</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A37365" w:rsidRPr="00E94D8A" w14:paraId="2219AC71" w14:textId="77777777" w:rsidTr="00A37365">
        <w:tc>
          <w:tcPr>
            <w:tcW w:w="6576" w:type="dxa"/>
            <w:tcBorders>
              <w:right w:val="single" w:sz="4" w:space="0" w:color="auto"/>
            </w:tcBorders>
            <w:shd w:val="clear" w:color="auto" w:fill="auto"/>
          </w:tcPr>
          <w:p w14:paraId="12E332B0" w14:textId="77777777" w:rsidR="00A37365" w:rsidRPr="00E94D8A" w:rsidRDefault="00A37365" w:rsidP="00A37365">
            <w:pPr>
              <w:pStyle w:val="Bordersmall"/>
              <w:rPr>
                <w:lang w:val="es-ES"/>
              </w:rPr>
            </w:pPr>
            <w:r w:rsidRPr="00E94D8A">
              <w:rPr>
                <w:noProof/>
                <w:lang w:val="es-MX" w:eastAsia="es-MX"/>
              </w:rPr>
              <w:drawing>
                <wp:inline distT="0" distB="0" distL="0" distR="0" wp14:anchorId="0032469F" wp14:editId="090CBAC2">
                  <wp:extent cx="3141749" cy="1865871"/>
                  <wp:effectExtent l="0" t="0" r="1905" b="0"/>
                  <wp:docPr id="14" name="Picture 14" descr="Costos mayoristas o minoristas, Fuente: Analysys Mason" title="Figur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46852" cy="1868902"/>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311C3493" w14:textId="77777777" w:rsidR="00A37365" w:rsidRPr="00E94D8A" w:rsidRDefault="00A37365" w:rsidP="00E94D8A">
            <w:pPr>
              <w:pStyle w:val="Captionsmall"/>
              <w:rPr>
                <w:lang w:val="es-ES"/>
              </w:rPr>
            </w:pPr>
            <w:bookmarkStart w:id="80" w:name="_Ref321212494"/>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5</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SEQ Ilustración \* ARABIC \s 1 \* MERGEFORMAT </w:instrText>
            </w:r>
            <w:r w:rsidRPr="00E94D8A">
              <w:rPr>
                <w:lang w:val="es-ES"/>
              </w:rPr>
              <w:fldChar w:fldCharType="separate"/>
            </w:r>
            <w:r w:rsidR="00B426BC">
              <w:rPr>
                <w:noProof/>
                <w:lang w:val="es-ES"/>
              </w:rPr>
              <w:t>5</w:t>
            </w:r>
            <w:r w:rsidRPr="00E94D8A">
              <w:rPr>
                <w:lang w:val="es-ES"/>
              </w:rPr>
              <w:fldChar w:fldCharType="end"/>
            </w:r>
            <w:bookmarkEnd w:id="80"/>
            <w:r w:rsidRPr="00E94D8A">
              <w:rPr>
                <w:lang w:val="es-ES"/>
              </w:rPr>
              <w:t xml:space="preserve">: </w:t>
            </w:r>
            <w:r w:rsidR="00CE4B8A">
              <w:rPr>
                <w:lang w:val="es-ES"/>
              </w:rPr>
              <w:t>Costo</w:t>
            </w:r>
            <w:r w:rsidRPr="00E94D8A">
              <w:rPr>
                <w:lang w:val="es-ES"/>
              </w:rPr>
              <w:t xml:space="preserve">s mayoristas o minoristas [Fuente: </w:t>
            </w:r>
            <w:proofErr w:type="spellStart"/>
            <w:r w:rsidRPr="00E94D8A">
              <w:rPr>
                <w:lang w:val="es-ES"/>
              </w:rPr>
              <w:t>Analysys</w:t>
            </w:r>
            <w:proofErr w:type="spellEnd"/>
            <w:r w:rsidRPr="00E94D8A">
              <w:rPr>
                <w:lang w:val="es-ES"/>
              </w:rPr>
              <w:t xml:space="preserve"> Mason]</w:t>
            </w:r>
          </w:p>
        </w:tc>
      </w:tr>
    </w:tbl>
    <w:p w14:paraId="4DF93800" w14:textId="77777777" w:rsidR="00A37365" w:rsidRPr="00E94D8A" w:rsidRDefault="00A37365" w:rsidP="00A37365"/>
    <w:p w14:paraId="6CE646BE" w14:textId="77777777" w:rsidR="00A37365" w:rsidRPr="00E94D8A" w:rsidRDefault="00A37365" w:rsidP="00A37365">
      <w:r w:rsidRPr="00E94D8A">
        <w:t xml:space="preserve">En el modelo separado verticalmente, los servicios de red (tales como el tráfico) son presupuestados por separado de las actividades minoristas (como las subvenciones de los terminales o el marketing). </w:t>
      </w:r>
      <w:r w:rsidR="008B398E">
        <w:t>L</w:t>
      </w:r>
      <w:r w:rsidRPr="00E94D8A">
        <w:t>os gastos generales se añade</w:t>
      </w:r>
      <w:r w:rsidR="008B398E">
        <w:t>n</w:t>
      </w:r>
      <w:r w:rsidRPr="00E94D8A">
        <w:t xml:space="preserve"> </w:t>
      </w:r>
      <w:r w:rsidR="008B398E">
        <w:t xml:space="preserve">como </w:t>
      </w:r>
      <w:proofErr w:type="spellStart"/>
      <w:r w:rsidRPr="007858D8">
        <w:rPr>
          <w:i/>
        </w:rPr>
        <w:t>mark</w:t>
      </w:r>
      <w:proofErr w:type="spellEnd"/>
      <w:r w:rsidRPr="007858D8">
        <w:rPr>
          <w:i/>
        </w:rPr>
        <w:t>-up</w:t>
      </w:r>
      <w:r w:rsidRPr="00E94D8A">
        <w:t xml:space="preserve"> </w:t>
      </w:r>
      <w:r w:rsidR="008B398E">
        <w:t>a</w:t>
      </w:r>
      <w:r w:rsidR="005B4A34">
        <w:t xml:space="preserve"> los costes de </w:t>
      </w:r>
      <w:r w:rsidRPr="00E94D8A">
        <w:t xml:space="preserve">la red y las actividades minoristas, y </w:t>
      </w:r>
      <w:r w:rsidRPr="00E94D8A">
        <w:lastRenderedPageBreak/>
        <w:t>se considera para el costo mayorista de suministro de terminación de voz únicamente los costos de la red más la proporción de los gastos generales.</w:t>
      </w:r>
    </w:p>
    <w:p w14:paraId="5934D2B2" w14:textId="77777777" w:rsidR="00A37365" w:rsidRPr="00E94D8A" w:rsidRDefault="00A37365" w:rsidP="00A37365">
      <w:pPr>
        <w:rPr>
          <w:spacing w:val="-2"/>
        </w:rPr>
      </w:pPr>
      <w:r w:rsidRPr="00E94D8A">
        <w:rPr>
          <w:rStyle w:val="apple-style-span"/>
          <w:color w:val="000000"/>
        </w:rPr>
        <w:t xml:space="preserve">En el modelo de integración vertical, los costos minoristas se consideran como parte integral de los servicios de red y se incluyen en los costos del servicio a través de un </w:t>
      </w:r>
      <w:proofErr w:type="spellStart"/>
      <w:r w:rsidRPr="00E94D8A">
        <w:rPr>
          <w:rStyle w:val="apple-style-span"/>
          <w:i/>
          <w:color w:val="000000"/>
        </w:rPr>
        <w:t>mark</w:t>
      </w:r>
      <w:proofErr w:type="spellEnd"/>
      <w:r w:rsidRPr="00E94D8A">
        <w:rPr>
          <w:rStyle w:val="apple-style-span"/>
          <w:i/>
          <w:color w:val="000000"/>
        </w:rPr>
        <w:t>-up</w:t>
      </w:r>
      <w:r w:rsidRPr="00E94D8A">
        <w:rPr>
          <w:rStyle w:val="apple-style-span"/>
          <w:color w:val="000000"/>
        </w:rPr>
        <w:t>, junto con los gastos generales.</w:t>
      </w:r>
      <w:r w:rsidRPr="00E94D8A">
        <w:rPr>
          <w:rStyle w:val="apple-converted-space"/>
          <w:color w:val="000000"/>
          <w:sz w:val="27"/>
          <w:szCs w:val="27"/>
        </w:rPr>
        <w:t xml:space="preserve"> </w:t>
      </w:r>
      <w:r w:rsidRPr="00E94D8A">
        <w:rPr>
          <w:rStyle w:val="apple-style-span"/>
          <w:color w:val="000000"/>
        </w:rPr>
        <w:t>En consecuencia, no existe el concepto de acceso ‘mayorista’ a la terminación de llamadas móviles en el modelo de integración vertical ya que todos los costos minoristas se incluyen en el cálculo de los costos de los servicios.</w:t>
      </w:r>
    </w:p>
    <w:p w14:paraId="5A83D140" w14:textId="221312E8" w:rsidR="00A37365" w:rsidRPr="00E94D8A" w:rsidRDefault="002B4967" w:rsidP="00A37365">
      <w:pPr>
        <w:rPr>
          <w:rStyle w:val="apple-style-span"/>
          <w:color w:val="000000"/>
        </w:rPr>
      </w:pPr>
      <w:r>
        <w:rPr>
          <w:rStyle w:val="apple-style-span"/>
          <w:color w:val="000000"/>
        </w:rPr>
        <w:t>De conformidad con la metodología de costos</w:t>
      </w:r>
      <w:r w:rsidR="00A37365" w:rsidRPr="00E94D8A">
        <w:rPr>
          <w:rStyle w:val="apple-style-span"/>
          <w:color w:val="000000"/>
        </w:rPr>
        <w:t xml:space="preserve">, </w:t>
      </w:r>
      <w:r w:rsidR="006A7A8B">
        <w:rPr>
          <w:rStyle w:val="apple-style-span"/>
          <w:color w:val="000000"/>
        </w:rPr>
        <w:t>el IFT</w:t>
      </w:r>
      <w:r w:rsidR="00A37365" w:rsidRPr="00E94D8A">
        <w:rPr>
          <w:rStyle w:val="apple-style-span"/>
          <w:color w:val="000000"/>
        </w:rPr>
        <w:t xml:space="preserve"> tiene la intención de considerar sólo aquellos costos que son relevantes para la prestación de los servicios mayoristas de un negocio verticalmente separado</w:t>
      </w:r>
      <w:r w:rsidR="00A37365" w:rsidRPr="00E94D8A" w:rsidDel="00C671A9">
        <w:rPr>
          <w:rStyle w:val="apple-style-span"/>
          <w:color w:val="000000"/>
        </w:rPr>
        <w:t xml:space="preserve"> </w:t>
      </w:r>
      <w:r w:rsidR="00A37365" w:rsidRPr="00E94D8A">
        <w:rPr>
          <w:rStyle w:val="apple-style-span"/>
          <w:color w:val="000000"/>
        </w:rPr>
        <w:t>que se pretenden regular con el desarrollo del modelo.</w:t>
      </w:r>
      <w:r w:rsidR="00A37365" w:rsidRPr="00E94D8A">
        <w:rPr>
          <w:rStyle w:val="apple-style-span"/>
        </w:rPr>
        <w:t xml:space="preserve"> </w:t>
      </w:r>
      <w:r w:rsidR="00A37365" w:rsidRPr="00E94D8A">
        <w:rPr>
          <w:rStyle w:val="apple-style-span"/>
          <w:color w:val="000000"/>
        </w:rPr>
        <w:t>Sin embargo, los costos comunes a las actividades de red y minoristas pueden ser recuperados a través de los servicios de red mayoristas y los servicios minoristas</w:t>
      </w:r>
      <w:r w:rsidR="00120B87">
        <w:rPr>
          <w:rStyle w:val="apple-style-span"/>
          <w:color w:val="000000"/>
        </w:rPr>
        <w:t xml:space="preserve"> en el caso de un modelo LRAIC (</w:t>
      </w:r>
      <w:r w:rsidR="00120B87" w:rsidRPr="00E94D8A">
        <w:rPr>
          <w:rStyle w:val="apple-style-span"/>
          <w:color w:val="000000"/>
        </w:rPr>
        <w:t xml:space="preserve">tratados como un </w:t>
      </w:r>
      <w:proofErr w:type="spellStart"/>
      <w:r w:rsidR="00120B87" w:rsidRPr="00E94D8A">
        <w:rPr>
          <w:rStyle w:val="apple-style-span"/>
          <w:i/>
          <w:color w:val="000000"/>
        </w:rPr>
        <w:t>mark</w:t>
      </w:r>
      <w:proofErr w:type="spellEnd"/>
      <w:r w:rsidR="00120B87" w:rsidRPr="00E94D8A">
        <w:rPr>
          <w:rStyle w:val="apple-style-span"/>
          <w:i/>
          <w:color w:val="000000"/>
        </w:rPr>
        <w:t>-up</w:t>
      </w:r>
      <w:r w:rsidR="00120B87" w:rsidRPr="00E94D8A">
        <w:rPr>
          <w:rStyle w:val="apple-style-span"/>
          <w:color w:val="000000"/>
        </w:rPr>
        <w:t xml:space="preserve"> del resultado del LRAIC</w:t>
      </w:r>
      <w:r w:rsidR="00120B87">
        <w:rPr>
          <w:rStyle w:val="apple-style-span"/>
          <w:color w:val="000000"/>
        </w:rPr>
        <w:t>) pero no en el caso de un modelo LRIC puro</w:t>
      </w:r>
      <w:r w:rsidR="00A37365" w:rsidRPr="00E94D8A">
        <w:rPr>
          <w:rStyle w:val="apple-style-span"/>
          <w:color w:val="000000"/>
        </w:rPr>
        <w:t>.</w:t>
      </w:r>
      <w:r w:rsidR="00A37365" w:rsidRPr="00E94D8A">
        <w:rPr>
          <w:rStyle w:val="apple-style-span"/>
        </w:rPr>
        <w:t xml:space="preserve"> </w:t>
      </w:r>
    </w:p>
    <w:p w14:paraId="0DFF753F" w14:textId="50C9201A" w:rsidR="00A37365" w:rsidRPr="00E94D8A" w:rsidRDefault="00A37365" w:rsidP="00A37365">
      <w:pPr>
        <w:rPr>
          <w:spacing w:val="-2"/>
        </w:rPr>
      </w:pPr>
      <w:r w:rsidRPr="00E94D8A">
        <w:rPr>
          <w:rStyle w:val="apple-style-span"/>
          <w:color w:val="000000"/>
        </w:rPr>
        <w:t xml:space="preserve">Un enfoque de separación vertical resulta en la exclusión de bastantes costos </w:t>
      </w:r>
      <w:r w:rsidR="005F044C">
        <w:rPr>
          <w:rStyle w:val="apple-style-span"/>
          <w:color w:val="000000"/>
        </w:rPr>
        <w:t>que no son de red,</w:t>
      </w:r>
      <w:r w:rsidRPr="00E94D8A">
        <w:rPr>
          <w:rStyle w:val="apple-style-span"/>
          <w:color w:val="000000"/>
        </w:rPr>
        <w:t xml:space="preserve"> de los costos de terminación.</w:t>
      </w:r>
      <w:r w:rsidRPr="00E94D8A">
        <w:rPr>
          <w:rStyle w:val="apple-style-span"/>
        </w:rPr>
        <w:t xml:space="preserve"> </w:t>
      </w:r>
      <w:r w:rsidRPr="00E94D8A">
        <w:rPr>
          <w:rStyle w:val="apple-style-span"/>
          <w:color w:val="000000"/>
        </w:rPr>
        <w:t>Sin embargo, trae consigo la necesidad de determinar el tamaño relativo de los costos económicos de las actividades minoristas con el fin de determinar la magnitud de los costos generales (</w:t>
      </w:r>
      <w:proofErr w:type="spellStart"/>
      <w:r w:rsidRPr="00E94D8A">
        <w:rPr>
          <w:rStyle w:val="apple-style-span"/>
          <w:i/>
          <w:color w:val="000000"/>
        </w:rPr>
        <w:t>business</w:t>
      </w:r>
      <w:proofErr w:type="spellEnd"/>
      <w:r w:rsidRPr="00E94D8A">
        <w:rPr>
          <w:rStyle w:val="apple-style-span"/>
          <w:i/>
          <w:color w:val="000000"/>
        </w:rPr>
        <w:t xml:space="preserve"> </w:t>
      </w:r>
      <w:proofErr w:type="spellStart"/>
      <w:r w:rsidRPr="00E94D8A">
        <w:rPr>
          <w:rStyle w:val="apple-style-span"/>
          <w:i/>
          <w:color w:val="000000"/>
        </w:rPr>
        <w:t>overheads</w:t>
      </w:r>
      <w:proofErr w:type="spellEnd"/>
      <w:r w:rsidRPr="00E94D8A">
        <w:rPr>
          <w:rStyle w:val="apple-style-span"/>
          <w:color w:val="000000"/>
        </w:rPr>
        <w:t xml:space="preserve">, en inglés) a añadir a los </w:t>
      </w:r>
      <w:r w:rsidR="00CE4B8A">
        <w:rPr>
          <w:rStyle w:val="apple-style-span"/>
          <w:color w:val="000000"/>
        </w:rPr>
        <w:t>costo</w:t>
      </w:r>
      <w:r w:rsidRPr="00E94D8A">
        <w:rPr>
          <w:rStyle w:val="apple-style-span"/>
          <w:color w:val="000000"/>
        </w:rPr>
        <w:t>s de red incrementales.</w:t>
      </w:r>
    </w:p>
    <w:p w14:paraId="1C41A211" w14:textId="77777777" w:rsidR="00725054" w:rsidRDefault="0043475A" w:rsidP="00725054">
      <w:pPr>
        <w:pStyle w:val="B1"/>
        <w:pBdr>
          <w:top w:val="single" w:sz="4" w:space="2" w:color="D9D9D9" w:themeColor="background1" w:themeShade="D9"/>
          <w:bottom w:val="single" w:sz="4" w:space="5" w:color="D9D9D9" w:themeColor="background1" w:themeShade="D9"/>
        </w:pBdr>
        <w:shd w:val="clear" w:color="auto" w:fill="F2F2F2" w:themeFill="background1" w:themeFillShade="F2"/>
      </w:pPr>
      <w:bookmarkStart w:id="81" w:name="_Ref321211137"/>
      <w:r>
        <w:rPr>
          <w:b/>
          <w:bCs/>
        </w:rPr>
        <w:t>Concepto propuesto</w:t>
      </w:r>
      <w:r w:rsidR="00725054" w:rsidRPr="00E94D8A">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20</w:t>
      </w:r>
      <w:r w:rsidR="00CB05BF" w:rsidRPr="00E94D8A">
        <w:rPr>
          <w:b/>
          <w:color w:val="000000" w:themeColor="text1"/>
        </w:rPr>
        <w:fldChar w:fldCharType="end"/>
      </w:r>
      <w:r w:rsidR="00725054" w:rsidRPr="00E94D8A">
        <w:t xml:space="preserve">: </w:t>
      </w:r>
      <w:r w:rsidR="00725054">
        <w:t>Ú</w:t>
      </w:r>
      <w:r w:rsidR="00725054" w:rsidRPr="00E94D8A">
        <w:t>nicamente los costos de red mayoristas</w:t>
      </w:r>
      <w:r w:rsidR="00725054">
        <w:t xml:space="preserve"> serán incluidos en los modelos de costos. Los costos minoristas se excluyen del modelo. </w:t>
      </w:r>
    </w:p>
    <w:p w14:paraId="1CF33826" w14:textId="77777777" w:rsidR="00725054" w:rsidRPr="00E94D8A" w:rsidRDefault="00725054" w:rsidP="00725054">
      <w:pPr>
        <w:pStyle w:val="B1"/>
        <w:pBdr>
          <w:top w:val="single" w:sz="4" w:space="2" w:color="D9D9D9" w:themeColor="background1" w:themeShade="D9"/>
          <w:bottom w:val="single" w:sz="4" w:space="5" w:color="D9D9D9" w:themeColor="background1" w:themeShade="D9"/>
        </w:pBdr>
        <w:shd w:val="clear" w:color="auto" w:fill="F2F2F2" w:themeFill="background1" w:themeFillShade="F2"/>
      </w:pPr>
      <w:r>
        <w:t>La proporción de gastos generales comunes que corresponde a la red se recupera como un costo operativo</w:t>
      </w:r>
      <w:r w:rsidR="00320376">
        <w:t>, que</w:t>
      </w:r>
      <w:r>
        <w:t xml:space="preserve"> </w:t>
      </w:r>
      <w:r w:rsidR="00320376">
        <w:t xml:space="preserve">se </w:t>
      </w:r>
      <w:r>
        <w:t>revisa anualmente con la inflación y se distribuye entre todos los servicios</w:t>
      </w:r>
      <w:r w:rsidR="009F1619">
        <w:t xml:space="preserve"> en el caso de un modelo LRAIC pero se excluyen de los gastos distribuibles al servicio de terminación en un modelo LRIC puro</w:t>
      </w:r>
      <w:r>
        <w:t>.</w:t>
      </w:r>
    </w:p>
    <w:p w14:paraId="39BDD8B4" w14:textId="77777777" w:rsidR="00A37365" w:rsidRPr="00E94D8A" w:rsidRDefault="00A37365" w:rsidP="00A37365">
      <w:pPr>
        <w:pStyle w:val="Ttulo1"/>
        <w:rPr>
          <w:spacing w:val="-4"/>
          <w:lang w:val="es-ES"/>
        </w:rPr>
      </w:pPr>
      <w:bookmarkStart w:id="82" w:name="_Toc454893687"/>
      <w:r w:rsidRPr="00E94D8A">
        <w:rPr>
          <w:spacing w:val="-4"/>
          <w:lang w:val="es-ES"/>
        </w:rPr>
        <w:lastRenderedPageBreak/>
        <w:t>Aspectos relacionados con la implementación de los modelos</w:t>
      </w:r>
      <w:bookmarkEnd w:id="81"/>
      <w:bookmarkEnd w:id="82"/>
    </w:p>
    <w:p w14:paraId="432F557F" w14:textId="77777777" w:rsidR="00A37365" w:rsidRPr="00E94D8A" w:rsidRDefault="00A37365" w:rsidP="00A37365">
      <w:r w:rsidRPr="00E94D8A">
        <w:t>Esta sección trata los aspectos conceptuales relacionados con la implementación de los modelos. Está estructura como sigue:</w:t>
      </w:r>
    </w:p>
    <w:p w14:paraId="09EFB664" w14:textId="2AB287E1" w:rsidR="00A37365" w:rsidRPr="00E94D8A" w:rsidRDefault="00A37365" w:rsidP="00A37365">
      <w:pPr>
        <w:pStyle w:val="L1"/>
        <w:numPr>
          <w:ilvl w:val="0"/>
          <w:numId w:val="18"/>
        </w:numPr>
      </w:pPr>
      <w:r w:rsidRPr="00E94D8A">
        <w:t>selección del incremento de servicio (Sección</w:t>
      </w:r>
      <w:r w:rsidR="0087524E">
        <w:t xml:space="preserve"> </w:t>
      </w:r>
      <w:r w:rsidR="00E94D8A">
        <w:fldChar w:fldCharType="begin"/>
      </w:r>
      <w:r w:rsidR="00E94D8A">
        <w:instrText xml:space="preserve"> REF _Ref321212513 \r \h </w:instrText>
      </w:r>
      <w:r w:rsidR="00E94D8A">
        <w:fldChar w:fldCharType="separate"/>
      </w:r>
      <w:r w:rsidR="00B426BC">
        <w:t>6.1</w:t>
      </w:r>
      <w:r w:rsidR="00E94D8A">
        <w:fldChar w:fldCharType="end"/>
      </w:r>
      <w:r w:rsidRPr="00E94D8A">
        <w:t xml:space="preserve">) </w:t>
      </w:r>
    </w:p>
    <w:p w14:paraId="4C34D838" w14:textId="6C5A45C3" w:rsidR="00A37365" w:rsidRPr="00E94D8A" w:rsidRDefault="00A37365" w:rsidP="00A37365">
      <w:pPr>
        <w:pStyle w:val="L1"/>
        <w:numPr>
          <w:ilvl w:val="0"/>
          <w:numId w:val="18"/>
        </w:numPr>
      </w:pPr>
      <w:r w:rsidRPr="00E94D8A">
        <w:t>método de depreciación económica (Sección</w:t>
      </w:r>
      <w:r w:rsidR="0087524E">
        <w:t xml:space="preserve"> </w:t>
      </w:r>
      <w:r w:rsidR="00E94D8A">
        <w:fldChar w:fldCharType="begin"/>
      </w:r>
      <w:r w:rsidR="00E94D8A">
        <w:instrText xml:space="preserve"> REF _Ref321212516 \r \h </w:instrText>
      </w:r>
      <w:r w:rsidR="00E94D8A">
        <w:fldChar w:fldCharType="separate"/>
      </w:r>
      <w:r w:rsidR="00B426BC">
        <w:t>6.2</w:t>
      </w:r>
      <w:r w:rsidR="00E94D8A">
        <w:fldChar w:fldCharType="end"/>
      </w:r>
      <w:r w:rsidRPr="00E94D8A">
        <w:t xml:space="preserve">) </w:t>
      </w:r>
    </w:p>
    <w:p w14:paraId="2257B789" w14:textId="6D6D9F31" w:rsidR="00A37365" w:rsidRDefault="00A37365" w:rsidP="00A37365">
      <w:pPr>
        <w:pStyle w:val="L1"/>
        <w:numPr>
          <w:ilvl w:val="0"/>
          <w:numId w:val="18"/>
        </w:numPr>
      </w:pPr>
      <w:r w:rsidRPr="00E94D8A">
        <w:t xml:space="preserve">costo de capital promedio ponderado (WACC, del inglés </w:t>
      </w:r>
      <w:proofErr w:type="spellStart"/>
      <w:r w:rsidRPr="00E94D8A">
        <w:rPr>
          <w:i/>
        </w:rPr>
        <w:t>weighted</w:t>
      </w:r>
      <w:proofErr w:type="spellEnd"/>
      <w:r w:rsidRPr="00E94D8A">
        <w:rPr>
          <w:i/>
        </w:rPr>
        <w:t xml:space="preserve"> </w:t>
      </w:r>
      <w:proofErr w:type="spellStart"/>
      <w:r w:rsidRPr="00E94D8A">
        <w:rPr>
          <w:i/>
        </w:rPr>
        <w:t>average</w:t>
      </w:r>
      <w:proofErr w:type="spellEnd"/>
      <w:r w:rsidRPr="00E94D8A">
        <w:rPr>
          <w:i/>
        </w:rPr>
        <w:t xml:space="preserve"> </w:t>
      </w:r>
      <w:proofErr w:type="spellStart"/>
      <w:r w:rsidRPr="00E94D8A">
        <w:rPr>
          <w:i/>
        </w:rPr>
        <w:t>cost</w:t>
      </w:r>
      <w:proofErr w:type="spellEnd"/>
      <w:r w:rsidRPr="00E94D8A">
        <w:rPr>
          <w:i/>
        </w:rPr>
        <w:t xml:space="preserve"> of capital</w:t>
      </w:r>
      <w:r w:rsidRPr="00E94D8A">
        <w:t>) (Sección</w:t>
      </w:r>
      <w:r w:rsidR="0087524E">
        <w:t xml:space="preserve"> </w:t>
      </w:r>
      <w:r w:rsidR="000B205F">
        <w:fldChar w:fldCharType="begin"/>
      </w:r>
      <w:r w:rsidR="000B205F">
        <w:instrText xml:space="preserve"> REF _Ref452739943 \r \h </w:instrText>
      </w:r>
      <w:r w:rsidR="000B205F">
        <w:fldChar w:fldCharType="separate"/>
      </w:r>
      <w:r w:rsidR="00B426BC">
        <w:t>6.3</w:t>
      </w:r>
      <w:r w:rsidR="000B205F">
        <w:fldChar w:fldCharType="end"/>
      </w:r>
      <w:r w:rsidRPr="00E94D8A">
        <w:t>)</w:t>
      </w:r>
    </w:p>
    <w:p w14:paraId="1A28B86C" w14:textId="6D7D8F25" w:rsidR="00E94D8A" w:rsidRPr="00E94D8A" w:rsidRDefault="00CE4B8A" w:rsidP="00A37365">
      <w:pPr>
        <w:pStyle w:val="L1"/>
        <w:numPr>
          <w:ilvl w:val="0"/>
          <w:numId w:val="18"/>
        </w:numPr>
      </w:pPr>
      <w:r>
        <w:t>costo</w:t>
      </w:r>
      <w:r w:rsidR="00E94D8A">
        <w:t xml:space="preserve"> de la deuda (Sección</w:t>
      </w:r>
      <w:r w:rsidR="0087524E">
        <w:t xml:space="preserve"> </w:t>
      </w:r>
      <w:r w:rsidR="00E94D8A">
        <w:fldChar w:fldCharType="begin"/>
      </w:r>
      <w:r w:rsidR="00E94D8A">
        <w:instrText xml:space="preserve"> REF _Ref321212527 \r \h </w:instrText>
      </w:r>
      <w:r w:rsidR="00E94D8A">
        <w:fldChar w:fldCharType="separate"/>
      </w:r>
      <w:r w:rsidR="00B426BC">
        <w:t>6.3.5</w:t>
      </w:r>
      <w:r w:rsidR="00E94D8A">
        <w:fldChar w:fldCharType="end"/>
      </w:r>
      <w:r w:rsidR="00E94D8A">
        <w:t>)</w:t>
      </w:r>
    </w:p>
    <w:p w14:paraId="2737BCCF" w14:textId="0A0E8FE6" w:rsidR="00A37365" w:rsidRPr="00E94D8A" w:rsidRDefault="00A37365" w:rsidP="00A37365">
      <w:pPr>
        <w:pStyle w:val="Listaconvietas"/>
      </w:pPr>
      <w:r w:rsidRPr="00E94D8A">
        <w:t xml:space="preserve">aplicación de un </w:t>
      </w:r>
      <w:proofErr w:type="spellStart"/>
      <w:r w:rsidRPr="00E94D8A">
        <w:rPr>
          <w:i/>
        </w:rPr>
        <w:t>mark</w:t>
      </w:r>
      <w:proofErr w:type="spellEnd"/>
      <w:r w:rsidRPr="00E94D8A">
        <w:rPr>
          <w:i/>
        </w:rPr>
        <w:t>-up</w:t>
      </w:r>
      <w:r w:rsidRPr="00E94D8A">
        <w:t xml:space="preserve"> (Sección</w:t>
      </w:r>
      <w:r w:rsidR="0087524E">
        <w:t xml:space="preserve"> </w:t>
      </w:r>
      <w:r w:rsidR="00E94D8A">
        <w:fldChar w:fldCharType="begin"/>
      </w:r>
      <w:r w:rsidR="00E94D8A">
        <w:instrText xml:space="preserve"> REF _Ref321212560 \r \h </w:instrText>
      </w:r>
      <w:r w:rsidR="00E94D8A">
        <w:fldChar w:fldCharType="separate"/>
      </w:r>
      <w:r w:rsidR="00B426BC">
        <w:t>6.4</w:t>
      </w:r>
      <w:r w:rsidR="00E94D8A">
        <w:fldChar w:fldCharType="end"/>
      </w:r>
      <w:r w:rsidRPr="00E94D8A">
        <w:t>).</w:t>
      </w:r>
    </w:p>
    <w:p w14:paraId="2053262C" w14:textId="77777777" w:rsidR="00A37365" w:rsidRPr="00E94D8A" w:rsidRDefault="00A37365" w:rsidP="00A37365">
      <w:pPr>
        <w:pStyle w:val="Ttulo2"/>
      </w:pPr>
      <w:bookmarkStart w:id="83" w:name="_Ref321212513"/>
      <w:bookmarkStart w:id="84" w:name="_Toc454893688"/>
      <w:r w:rsidRPr="00E94D8A">
        <w:t>Selección del incremento de servicio</w:t>
      </w:r>
      <w:bookmarkEnd w:id="83"/>
      <w:bookmarkEnd w:id="84"/>
    </w:p>
    <w:p w14:paraId="30EC18B6" w14:textId="096CA358" w:rsidR="00A37365" w:rsidRPr="00FB7938" w:rsidRDefault="00A37365" w:rsidP="00A37365">
      <w:pPr>
        <w:rPr>
          <w:spacing w:val="-4"/>
        </w:rPr>
      </w:pPr>
      <w:r w:rsidRPr="00FB7938">
        <w:rPr>
          <w:spacing w:val="-4"/>
        </w:rPr>
        <w:t xml:space="preserve">Por un lado, el </w:t>
      </w:r>
      <w:r w:rsidR="00CE4B8A">
        <w:rPr>
          <w:spacing w:val="-4"/>
        </w:rPr>
        <w:t>costo</w:t>
      </w:r>
      <w:r w:rsidRPr="00FB7938">
        <w:rPr>
          <w:spacing w:val="-4"/>
        </w:rPr>
        <w:t xml:space="preserve"> incremental es el </w:t>
      </w:r>
      <w:r w:rsidR="00CE4B8A">
        <w:rPr>
          <w:spacing w:val="-4"/>
        </w:rPr>
        <w:t>costo</w:t>
      </w:r>
      <w:r w:rsidRPr="00FB7938">
        <w:rPr>
          <w:spacing w:val="-4"/>
        </w:rPr>
        <w:t xml:space="preserve"> que incurre un operador para satisfacer el incremento en la demanda de uno de sus servicios, bajo el supuesto de que la demanda de los otros servicios que ofrece el operador no sufre cambios. Por otro lado, es el costo total que evitaría el operador si cesara la provisión de ese servicio particular. Los incrementos toman la forma de un servicio, o conjunto de servicios, al que se distribuyen los costos, ya sea de forma directa (en el caso de los costos incrementales) o mediante un </w:t>
      </w:r>
      <w:r w:rsidR="005F044C">
        <w:rPr>
          <w:spacing w:val="-4"/>
        </w:rPr>
        <w:t xml:space="preserve">margen o </w:t>
      </w:r>
      <w:proofErr w:type="spellStart"/>
      <w:r w:rsidRPr="00FB7938">
        <w:rPr>
          <w:i/>
          <w:spacing w:val="-4"/>
        </w:rPr>
        <w:t>mark</w:t>
      </w:r>
      <w:proofErr w:type="spellEnd"/>
      <w:r w:rsidRPr="00FB7938">
        <w:rPr>
          <w:i/>
          <w:spacing w:val="-4"/>
        </w:rPr>
        <w:t>-up</w:t>
      </w:r>
      <w:r w:rsidRPr="00FB7938">
        <w:rPr>
          <w:spacing w:val="-4"/>
        </w:rPr>
        <w:t xml:space="preserve"> (si se incluyen los costos comunes). El tamaño y número del incremento afecta la complejidad</w:t>
      </w:r>
      <w:r w:rsidRPr="00FB7938">
        <w:rPr>
          <w:rStyle w:val="Refdenotaalpie"/>
          <w:spacing w:val="-4"/>
        </w:rPr>
        <w:footnoteReference w:id="25"/>
      </w:r>
      <w:r w:rsidRPr="00FB7938">
        <w:rPr>
          <w:spacing w:val="-4"/>
        </w:rPr>
        <w:t xml:space="preserve"> de los resultados y la magnitud</w:t>
      </w:r>
      <w:r w:rsidRPr="00FB7938">
        <w:rPr>
          <w:rStyle w:val="Refdenotaalpie"/>
          <w:spacing w:val="-4"/>
        </w:rPr>
        <w:footnoteReference w:id="26"/>
      </w:r>
      <w:r w:rsidRPr="00FB7938">
        <w:rPr>
          <w:spacing w:val="-4"/>
        </w:rPr>
        <w:t xml:space="preserve"> de los costos resultantes.</w:t>
      </w:r>
    </w:p>
    <w:p w14:paraId="6C7CD6D4" w14:textId="77777777" w:rsidR="00A37365" w:rsidRPr="00E94D8A" w:rsidRDefault="00A37365" w:rsidP="00A37365">
      <w:pPr>
        <w:pStyle w:val="Ttulo4"/>
      </w:pPr>
      <w:r w:rsidRPr="00E94D8A">
        <w:t>Enfoques genéricos</w:t>
      </w:r>
    </w:p>
    <w:p w14:paraId="0C4A859E" w14:textId="77777777" w:rsidR="00A37365" w:rsidRPr="00E94D8A" w:rsidRDefault="00A37365" w:rsidP="00A37365">
      <w:r w:rsidRPr="00E94D8A">
        <w:t xml:space="preserve">Durante los últimos diez años, ha evolucionado el enfoque adoptado para definir el incremento, tanto en redes de telefonía móvil como (en menor medida) en redes de telefonía fija. A continuación se presentan tres ejemplos gráficos de enfoques comunes de </w:t>
      </w:r>
      <w:r w:rsidR="00CE4B8A">
        <w:t>costo</w:t>
      </w:r>
      <w:r w:rsidRPr="00E94D8A">
        <w:t>s incrementales.</w:t>
      </w:r>
    </w:p>
    <w:p w14:paraId="21F4C8F4" w14:textId="77777777" w:rsidR="00A37365" w:rsidRPr="00E94D8A" w:rsidRDefault="00E94D8A" w:rsidP="00A37365">
      <w:pPr>
        <w:pStyle w:val="Descripcin"/>
        <w:rPr>
          <w:lang w:val="es-ES"/>
        </w:rPr>
      </w:pPr>
      <w:bookmarkStart w:id="85" w:name="_Ref329353157"/>
      <w:r>
        <w:rPr>
          <w:lang w:val="es-ES"/>
        </w:rPr>
        <w:lastRenderedPageBreak/>
        <w:t>Figura</w:t>
      </w:r>
      <w:r w:rsidR="00A37365" w:rsidRPr="00E94D8A">
        <w:rPr>
          <w:lang w:val="es-ES"/>
        </w:rPr>
        <w:t xml:space="preserve"> </w:t>
      </w:r>
      <w:r w:rsidR="00A37365" w:rsidRPr="00E94D8A">
        <w:rPr>
          <w:lang w:val="es-ES"/>
        </w:rPr>
        <w:fldChar w:fldCharType="begin"/>
      </w:r>
      <w:r w:rsidR="00A37365" w:rsidRPr="00E94D8A">
        <w:rPr>
          <w:lang w:val="es-ES"/>
        </w:rPr>
        <w:instrText xml:space="preserve"> STYLEREF 1 \s \* MERGEFORMAT </w:instrText>
      </w:r>
      <w:r w:rsidR="00A37365" w:rsidRPr="00E94D8A">
        <w:rPr>
          <w:lang w:val="es-ES"/>
        </w:rPr>
        <w:fldChar w:fldCharType="separate"/>
      </w:r>
      <w:r w:rsidR="00B426BC">
        <w:rPr>
          <w:noProof/>
          <w:lang w:val="es-ES"/>
        </w:rPr>
        <w:t>6</w:t>
      </w:r>
      <w:r w:rsidR="00A37365" w:rsidRPr="00E94D8A">
        <w:rPr>
          <w:lang w:val="es-ES"/>
        </w:rPr>
        <w:fldChar w:fldCharType="end"/>
      </w:r>
      <w:r w:rsidR="00A37365" w:rsidRPr="00E94D8A">
        <w:rPr>
          <w:lang w:val="es-ES"/>
        </w:rPr>
        <w:t>.</w:t>
      </w:r>
      <w:r w:rsidR="00A37365" w:rsidRPr="00E94D8A">
        <w:rPr>
          <w:lang w:val="es-ES"/>
        </w:rPr>
        <w:fldChar w:fldCharType="begin"/>
      </w:r>
      <w:r w:rsidR="00A37365" w:rsidRPr="00E94D8A">
        <w:rPr>
          <w:lang w:val="es-ES"/>
        </w:rPr>
        <w:instrText xml:space="preserve"> SEQ Ilustración \* ARABIC \s 1 \* MERGEFORMAT </w:instrText>
      </w:r>
      <w:r w:rsidR="00A37365" w:rsidRPr="00E94D8A">
        <w:rPr>
          <w:lang w:val="es-ES"/>
        </w:rPr>
        <w:fldChar w:fldCharType="separate"/>
      </w:r>
      <w:r w:rsidR="00B426BC">
        <w:rPr>
          <w:noProof/>
          <w:lang w:val="es-ES"/>
        </w:rPr>
        <w:t>1</w:t>
      </w:r>
      <w:r w:rsidR="00A37365" w:rsidRPr="00E94D8A">
        <w:rPr>
          <w:lang w:val="es-ES"/>
        </w:rPr>
        <w:fldChar w:fldCharType="end"/>
      </w:r>
      <w:bookmarkEnd w:id="85"/>
      <w:r w:rsidR="00A37365" w:rsidRPr="00E94D8A">
        <w:rPr>
          <w:lang w:val="es-ES"/>
        </w:rPr>
        <w:t>: Enfoques para definir el incr</w:t>
      </w:r>
      <w:r w:rsidR="008653B2">
        <w:rPr>
          <w:lang w:val="es-ES"/>
        </w:rPr>
        <w:t xml:space="preserve">emento [Fuente: </w:t>
      </w:r>
      <w:proofErr w:type="spellStart"/>
      <w:r w:rsidR="008653B2">
        <w:rPr>
          <w:lang w:val="es-ES"/>
        </w:rPr>
        <w:t>Analysys</w:t>
      </w:r>
      <w:proofErr w:type="spellEnd"/>
      <w:r w:rsidR="008653B2">
        <w:rPr>
          <w:lang w:val="es-ES"/>
        </w:rPr>
        <w:t xml:space="preserve"> Mason]</w:t>
      </w:r>
    </w:p>
    <w:p w14:paraId="46CE0837" w14:textId="77777777" w:rsidR="00A37365" w:rsidRPr="00E94D8A" w:rsidRDefault="008653B2" w:rsidP="008653B2">
      <w:pPr>
        <w:pStyle w:val="Border"/>
        <w:rPr>
          <w:lang w:val="es-ES"/>
        </w:rPr>
      </w:pPr>
      <w:r w:rsidRPr="008653B2">
        <w:rPr>
          <w:noProof/>
          <w:lang w:val="es-MX" w:eastAsia="es-MX"/>
        </w:rPr>
        <w:drawing>
          <wp:inline distT="0" distB="0" distL="0" distR="0" wp14:anchorId="6249D9CE" wp14:editId="18A54A41">
            <wp:extent cx="4966602" cy="2540127"/>
            <wp:effectExtent l="0" t="0" r="5715" b="0"/>
            <wp:docPr id="140" name="Picture 140" descr="Enfoques para definir el incremento, Fuente: Analysys Mason" title="Figura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66741" cy="2540198"/>
                    </a:xfrm>
                    <a:prstGeom prst="rect">
                      <a:avLst/>
                    </a:prstGeom>
                    <a:noFill/>
                    <a:ln>
                      <a:noFill/>
                    </a:ln>
                  </pic:spPr>
                </pic:pic>
              </a:graphicData>
            </a:graphic>
          </wp:inline>
        </w:drawing>
      </w:r>
    </w:p>
    <w:p w14:paraId="691DFC12" w14:textId="77777777" w:rsidR="00A37365" w:rsidRPr="00E94D8A" w:rsidRDefault="00A37365" w:rsidP="00A37365">
      <w:r w:rsidRPr="00E94D8A">
        <w:t xml:space="preserve">Primeramente se observa el costo marginal a futuro (LRMC) representa un enfoque extremo donde solamente los costos incrementales de un minuto adicional de tráfico son considerados. Obviamente este enfoque es impráctico para definir precios regulatorios, ya que implicaría que cada minuto adicional entregado por los operadores tendría su propio costo específico (asumiendo que la relación costo volumen no es lineal). </w:t>
      </w:r>
    </w:p>
    <w:p w14:paraId="3E5C336D" w14:textId="77777777" w:rsidR="00A37365" w:rsidRPr="00E94D8A" w:rsidRDefault="00A37365" w:rsidP="00A37365">
      <w:r w:rsidRPr="00E94D8A">
        <w:t xml:space="preserve">Después está el costo incremental promedio de largo plazo (LRAIC o CITLP)  que es más consistente con el costeo “promedio” aplicado actualmente en la mayoría de la regulación fija y móvil. Este puede ser descrito como como un enfoque de grandes incrementos – todos los servicios que contribuyen a las economías de escala en la red se suman en un gran incremento; los costos de servicios individuales se identifican mediante la repartición del gran costo incremental (tráfico) de acuerdo con los factores de ruteo del uso de recursos promedio. La adopción de un gran incremento – en general alguna forma de “tráfico” agregado – significa que todos los servicios que son suministrados se tratan juntos y con </w:t>
      </w:r>
      <w:r w:rsidRPr="00E94D8A">
        <w:rPr>
          <w:i/>
        </w:rPr>
        <w:t>igualdad</w:t>
      </w:r>
      <w:r w:rsidRPr="00E94D8A">
        <w:t>. Cuando uno de estos servicios es regulado, es beneficiado por las economías de escala promedio y no por un mayor o menor grado en estas economías. El uso de un gran incremento también limita los costos comunes a una evaluación del mínimo despliegue de red necesario para ofrecer el servicio.</w:t>
      </w:r>
    </w:p>
    <w:p w14:paraId="722DC439" w14:textId="77777777" w:rsidR="00A37365" w:rsidRPr="00E94D8A" w:rsidRDefault="00A37365" w:rsidP="00A37365">
      <w:pPr>
        <w:rPr>
          <w:spacing w:val="-4"/>
        </w:rPr>
      </w:pPr>
      <w:r w:rsidRPr="00E94D8A">
        <w:rPr>
          <w:spacing w:val="-4"/>
        </w:rPr>
        <w:t>Por último, el costeo incremental de largo plazo puro (</w:t>
      </w:r>
      <w:proofErr w:type="spellStart"/>
      <w:r w:rsidR="008A50DB">
        <w:rPr>
          <w:spacing w:val="-4"/>
        </w:rPr>
        <w:t>Pure</w:t>
      </w:r>
      <w:proofErr w:type="spellEnd"/>
      <w:r w:rsidR="008A50DB">
        <w:rPr>
          <w:spacing w:val="-4"/>
        </w:rPr>
        <w:t xml:space="preserve"> </w:t>
      </w:r>
      <w:r w:rsidRPr="00E94D8A">
        <w:rPr>
          <w:spacing w:val="-4"/>
        </w:rPr>
        <w:t>LRIC o CILP</w:t>
      </w:r>
      <w:r w:rsidR="008A50DB">
        <w:rPr>
          <w:spacing w:val="-4"/>
        </w:rPr>
        <w:t>P</w:t>
      </w:r>
      <w:r w:rsidRPr="00E94D8A">
        <w:rPr>
          <w:spacing w:val="-4"/>
        </w:rPr>
        <w:t xml:space="preserve">) es consistente con la recomendación de la Comisión Europea para el tratamiento regulatorio de terminación fija y móvil. </w:t>
      </w:r>
    </w:p>
    <w:p w14:paraId="60CDA090" w14:textId="767240C0" w:rsidR="00A37365" w:rsidRPr="00E94D8A" w:rsidRDefault="00A37365" w:rsidP="00A37365">
      <w:r w:rsidRPr="00E94D8A">
        <w:t>En nuestra interpretación de la Recomendación</w:t>
      </w:r>
      <w:r w:rsidR="006C78A6">
        <w:t xml:space="preserve"> de la Comisión Europea </w:t>
      </w:r>
      <w:r w:rsidR="006C78A6" w:rsidRPr="006C78A6">
        <w:t>2009/396/CE</w:t>
      </w:r>
      <w:r w:rsidRPr="00E94D8A">
        <w:t xml:space="preserve">, el costo incremental de </w:t>
      </w:r>
      <w:r w:rsidRPr="00E94D8A">
        <w:rPr>
          <w:bCs/>
        </w:rPr>
        <w:t>sólo el volumen de terminación mayorista</w:t>
      </w:r>
      <w:r w:rsidRPr="00E94D8A">
        <w:t xml:space="preserve"> se evalúa ‘al margen’ de la función de costo. Al construir un modelo de costos ascendente que contenga algoritmos de diseño de red, es posible usar el modelo para calcular el </w:t>
      </w:r>
      <w:r w:rsidR="00CE4B8A">
        <w:t>costo</w:t>
      </w:r>
      <w:r w:rsidRPr="00E94D8A">
        <w:t xml:space="preserve"> incremental: ejecutándolo </w:t>
      </w:r>
      <w:r w:rsidRPr="00E94D8A">
        <w:rPr>
          <w:i/>
          <w:iCs/>
        </w:rPr>
        <w:t xml:space="preserve">con </w:t>
      </w:r>
      <w:r w:rsidRPr="00E94D8A">
        <w:t>y</w:t>
      </w:r>
      <w:r w:rsidRPr="00E94D8A">
        <w:rPr>
          <w:i/>
          <w:iCs/>
        </w:rPr>
        <w:t xml:space="preserve"> sin</w:t>
      </w:r>
      <w:r w:rsidRPr="00E94D8A">
        <w:t xml:space="preserve"> el incremento de que se trate (véase la</w:t>
      </w:r>
      <w:r w:rsidR="00E94D8A">
        <w:t xml:space="preserve"> </w:t>
      </w:r>
      <w:r w:rsidR="00E94D8A">
        <w:fldChar w:fldCharType="begin"/>
      </w:r>
      <w:r w:rsidR="00E94D8A">
        <w:instrText xml:space="preserve"> REF _Ref321212593 \h </w:instrText>
      </w:r>
      <w:r w:rsidR="00E94D8A">
        <w:fldChar w:fldCharType="separate"/>
      </w:r>
      <w:r w:rsidR="00B426BC">
        <w:t>Figura </w:t>
      </w:r>
      <w:r w:rsidR="00B426BC">
        <w:rPr>
          <w:noProof/>
        </w:rPr>
        <w:t>6</w:t>
      </w:r>
      <w:r w:rsidR="00B426BC" w:rsidRPr="00E94D8A">
        <w:t>.</w:t>
      </w:r>
      <w:r w:rsidR="00B426BC">
        <w:rPr>
          <w:noProof/>
        </w:rPr>
        <w:t>2</w:t>
      </w:r>
      <w:r w:rsidR="00E94D8A">
        <w:fldChar w:fldCharType="end"/>
      </w:r>
      <w:r w:rsidRPr="00E94D8A">
        <w:t>). Los costos unitarios de terminación de voz son entonces determinados como el cociente entre este costo y el volumen total de servicio.</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A37365" w:rsidRPr="00E94D8A" w14:paraId="6234EFCF" w14:textId="77777777" w:rsidTr="00A37365">
        <w:tc>
          <w:tcPr>
            <w:tcW w:w="6576" w:type="dxa"/>
            <w:tcBorders>
              <w:right w:val="single" w:sz="4" w:space="0" w:color="auto"/>
            </w:tcBorders>
            <w:shd w:val="clear" w:color="auto" w:fill="auto"/>
          </w:tcPr>
          <w:p w14:paraId="4B9596D8" w14:textId="77777777" w:rsidR="00A37365" w:rsidRPr="00E94D8A" w:rsidRDefault="00A37365" w:rsidP="00A37365">
            <w:pPr>
              <w:pStyle w:val="Bordersmall"/>
              <w:rPr>
                <w:lang w:val="es-ES"/>
              </w:rPr>
            </w:pPr>
            <w:r w:rsidRPr="00E94D8A">
              <w:rPr>
                <w:noProof/>
                <w:lang w:val="es-MX" w:eastAsia="es-MX"/>
              </w:rPr>
              <w:lastRenderedPageBreak/>
              <w:drawing>
                <wp:inline distT="0" distB="0" distL="0" distR="0" wp14:anchorId="1454604D" wp14:editId="1FE57D40">
                  <wp:extent cx="3455175" cy="2603597"/>
                  <wp:effectExtent l="0" t="0" r="0" b="6350"/>
                  <wp:docPr id="24" name="Picture 24" descr="Cálculo del costo incremental del tráfico de terminación, Fuente: Analysys Mason" title="Figura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6470"/>
                          <a:stretch/>
                        </pic:blipFill>
                        <pic:spPr bwMode="auto">
                          <a:xfrm>
                            <a:off x="0" y="0"/>
                            <a:ext cx="3453765" cy="26025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54" w:type="dxa"/>
            <w:tcBorders>
              <w:left w:val="single" w:sz="4" w:space="0" w:color="auto"/>
            </w:tcBorders>
            <w:shd w:val="clear" w:color="auto" w:fill="auto"/>
          </w:tcPr>
          <w:p w14:paraId="44C8B0D7" w14:textId="77777777" w:rsidR="00A37365" w:rsidRPr="00E94D8A" w:rsidRDefault="00E94D8A" w:rsidP="00E94D8A">
            <w:pPr>
              <w:pStyle w:val="Captionsmall"/>
              <w:rPr>
                <w:lang w:val="es-ES"/>
              </w:rPr>
            </w:pPr>
            <w:bookmarkStart w:id="86" w:name="_Ref321212593"/>
            <w:r>
              <w:rPr>
                <w:lang w:val="es-ES"/>
              </w:rPr>
              <w:t>Figura </w:t>
            </w:r>
            <w:r w:rsidR="00A37365" w:rsidRPr="00E94D8A">
              <w:rPr>
                <w:lang w:val="es-ES"/>
              </w:rPr>
              <w:fldChar w:fldCharType="begin"/>
            </w:r>
            <w:r w:rsidR="00A37365" w:rsidRPr="00E94D8A">
              <w:rPr>
                <w:lang w:val="es-ES"/>
              </w:rPr>
              <w:instrText xml:space="preserve"> STYLEREF 1 \s \* MERGEFORMAT </w:instrText>
            </w:r>
            <w:r w:rsidR="00A37365" w:rsidRPr="00E94D8A">
              <w:rPr>
                <w:lang w:val="es-ES"/>
              </w:rPr>
              <w:fldChar w:fldCharType="separate"/>
            </w:r>
            <w:r w:rsidR="00B426BC">
              <w:rPr>
                <w:noProof/>
                <w:lang w:val="es-ES"/>
              </w:rPr>
              <w:t>6</w:t>
            </w:r>
            <w:r w:rsidR="00A37365" w:rsidRPr="00E94D8A">
              <w:rPr>
                <w:lang w:val="es-ES"/>
              </w:rPr>
              <w:fldChar w:fldCharType="end"/>
            </w:r>
            <w:r w:rsidR="00A37365" w:rsidRPr="00E94D8A">
              <w:rPr>
                <w:lang w:val="es-ES"/>
              </w:rPr>
              <w:t>.</w:t>
            </w:r>
            <w:r w:rsidR="00A37365" w:rsidRPr="00E94D8A">
              <w:rPr>
                <w:lang w:val="es-ES"/>
              </w:rPr>
              <w:fldChar w:fldCharType="begin"/>
            </w:r>
            <w:r w:rsidR="00A37365" w:rsidRPr="00E94D8A">
              <w:rPr>
                <w:lang w:val="es-ES"/>
              </w:rPr>
              <w:instrText xml:space="preserve"> SEQ Ilustración \* ARABIC \s 1 \* MERGEFORMAT </w:instrText>
            </w:r>
            <w:r w:rsidR="00A37365" w:rsidRPr="00E94D8A">
              <w:rPr>
                <w:lang w:val="es-ES"/>
              </w:rPr>
              <w:fldChar w:fldCharType="separate"/>
            </w:r>
            <w:r w:rsidR="00B426BC">
              <w:rPr>
                <w:noProof/>
                <w:lang w:val="es-ES"/>
              </w:rPr>
              <w:t>2</w:t>
            </w:r>
            <w:r w:rsidR="00A37365" w:rsidRPr="00E94D8A">
              <w:rPr>
                <w:lang w:val="es-ES"/>
              </w:rPr>
              <w:fldChar w:fldCharType="end"/>
            </w:r>
            <w:bookmarkEnd w:id="86"/>
            <w:r w:rsidR="00A37365" w:rsidRPr="00E94D8A">
              <w:rPr>
                <w:lang w:val="es-ES"/>
              </w:rPr>
              <w:t xml:space="preserve">: Cálculo del </w:t>
            </w:r>
            <w:r w:rsidR="00CE4B8A">
              <w:rPr>
                <w:lang w:val="es-ES"/>
              </w:rPr>
              <w:t>costo</w:t>
            </w:r>
            <w:r w:rsidR="00A37365" w:rsidRPr="00E94D8A">
              <w:rPr>
                <w:lang w:val="es-ES"/>
              </w:rPr>
              <w:t xml:space="preserve"> incremental del tráfico de terminación [Fuente: </w:t>
            </w:r>
            <w:proofErr w:type="spellStart"/>
            <w:r w:rsidR="00A37365" w:rsidRPr="00E94D8A">
              <w:rPr>
                <w:lang w:val="es-ES"/>
              </w:rPr>
              <w:t>Analysys</w:t>
            </w:r>
            <w:proofErr w:type="spellEnd"/>
            <w:r w:rsidR="00A37365" w:rsidRPr="00E94D8A">
              <w:rPr>
                <w:lang w:val="es-ES"/>
              </w:rPr>
              <w:t xml:space="preserve"> Mason]</w:t>
            </w:r>
          </w:p>
        </w:tc>
      </w:tr>
    </w:tbl>
    <w:p w14:paraId="23E0D1E3" w14:textId="77777777" w:rsidR="00A37365" w:rsidRPr="00E94D8A" w:rsidRDefault="00A37365" w:rsidP="00A37365">
      <w:pPr>
        <w:pStyle w:val="Ttulo4"/>
      </w:pPr>
      <w:r w:rsidRPr="00E94D8A">
        <w:t>Tamaño del incremento y costos comunes</w:t>
      </w:r>
    </w:p>
    <w:p w14:paraId="02E0A458" w14:textId="77777777" w:rsidR="00A37365" w:rsidRPr="001535D7" w:rsidRDefault="00A37365" w:rsidP="00A37365">
      <w:pPr>
        <w:rPr>
          <w:spacing w:val="-4"/>
        </w:rPr>
      </w:pPr>
      <w:r w:rsidRPr="001535D7">
        <w:rPr>
          <w:spacing w:val="-4"/>
        </w:rPr>
        <w:t xml:space="preserve">El modelo de </w:t>
      </w:r>
      <w:r w:rsidR="00CE4B8A">
        <w:rPr>
          <w:spacing w:val="-4"/>
        </w:rPr>
        <w:t>costo</w:t>
      </w:r>
      <w:r w:rsidRPr="001535D7">
        <w:rPr>
          <w:spacing w:val="-4"/>
        </w:rPr>
        <w:t xml:space="preserve">s puede usarse para calcular los </w:t>
      </w:r>
      <w:r w:rsidR="00CE4B8A">
        <w:rPr>
          <w:spacing w:val="-4"/>
        </w:rPr>
        <w:t>costo</w:t>
      </w:r>
      <w:r w:rsidRPr="001535D7">
        <w:rPr>
          <w:spacing w:val="-4"/>
        </w:rPr>
        <w:t>s incrementales y comunes de otros servicios que no son de terminación.</w:t>
      </w:r>
      <w:r w:rsidR="008653B2" w:rsidRPr="001535D7">
        <w:rPr>
          <w:spacing w:val="-4"/>
        </w:rPr>
        <w:t xml:space="preserve"> El tamaño del incremento afecta a la cantidad de costos comunes.</w:t>
      </w:r>
    </w:p>
    <w:p w14:paraId="7F0D8441" w14:textId="30EF5CDB" w:rsidR="00A37365" w:rsidRPr="00E94D8A" w:rsidRDefault="00A37365" w:rsidP="00A37365">
      <w:r w:rsidRPr="00E94D8A">
        <w:t xml:space="preserve">Por ejemplo, la utilización de incrementos grandes significa que las economías de escala generadas a lo largo del negocio se incorporan al costo incremental. Esto maximiza el costo incremental y minimiza los costos comunes. Asimismo, la definición propuesta por la Comisión Europea es el uso de incrementos menores generando una alta proporción de costos comunes. La </w:t>
      </w:r>
      <w:r w:rsidR="00E94D8A">
        <w:fldChar w:fldCharType="begin"/>
      </w:r>
      <w:r w:rsidR="00E94D8A">
        <w:instrText xml:space="preserve"> REF _Ref321212606 \h </w:instrText>
      </w:r>
      <w:r w:rsidR="00E94D8A">
        <w:fldChar w:fldCharType="separate"/>
      </w:r>
      <w:r w:rsidR="00B426BC" w:rsidRPr="00E94D8A">
        <w:t>Figur</w:t>
      </w:r>
      <w:r w:rsidR="00B426BC">
        <w:t>a</w:t>
      </w:r>
      <w:r w:rsidR="00B426BC" w:rsidRPr="00E94D8A">
        <w:t xml:space="preserve"> </w:t>
      </w:r>
      <w:r w:rsidR="00B426BC">
        <w:rPr>
          <w:noProof/>
        </w:rPr>
        <w:t>6</w:t>
      </w:r>
      <w:r w:rsidR="00B426BC" w:rsidRPr="00E94D8A">
        <w:t>.</w:t>
      </w:r>
      <w:r w:rsidR="00B426BC">
        <w:rPr>
          <w:noProof/>
        </w:rPr>
        <w:t>3</w:t>
      </w:r>
      <w:r w:rsidR="00E94D8A">
        <w:fldChar w:fldCharType="end"/>
      </w:r>
      <w:r w:rsidR="00E94D8A">
        <w:t xml:space="preserve"> </w:t>
      </w:r>
      <w:r w:rsidRPr="00E94D8A">
        <w:t xml:space="preserve">ilustra el impacto que el tamaño del incremento tiene sobre los costos comunes. </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A37365" w:rsidRPr="00E94D8A" w14:paraId="5923ABCC" w14:textId="77777777" w:rsidTr="00A37365">
        <w:tc>
          <w:tcPr>
            <w:tcW w:w="6576" w:type="dxa"/>
            <w:tcBorders>
              <w:right w:val="single" w:sz="4" w:space="0" w:color="auto"/>
            </w:tcBorders>
            <w:shd w:val="clear" w:color="auto" w:fill="auto"/>
          </w:tcPr>
          <w:p w14:paraId="4497ABF9" w14:textId="77777777" w:rsidR="00A37365" w:rsidRPr="00E94D8A" w:rsidRDefault="00A37365" w:rsidP="00A37365">
            <w:pPr>
              <w:pStyle w:val="Bordersmall"/>
              <w:rPr>
                <w:lang w:val="es-ES"/>
              </w:rPr>
            </w:pPr>
            <w:r w:rsidRPr="00E94D8A">
              <w:rPr>
                <w:noProof/>
                <w:lang w:val="es-MX" w:eastAsia="es-MX"/>
              </w:rPr>
              <w:drawing>
                <wp:inline distT="0" distB="0" distL="0" distR="0" wp14:anchorId="6DC8EE8F" wp14:editId="4B51346E">
                  <wp:extent cx="3733334" cy="1619048"/>
                  <wp:effectExtent l="0" t="0" r="635" b="635"/>
                  <wp:docPr id="11" name="Picture 11" descr="Incrementos grandes y pequeños, Fuente: Analysys Mason" title="Figur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3733334" cy="1619048"/>
                          </a:xfrm>
                          <a:prstGeom prst="rect">
                            <a:avLst/>
                          </a:prstGeom>
                        </pic:spPr>
                      </pic:pic>
                    </a:graphicData>
                  </a:graphic>
                </wp:inline>
              </w:drawing>
            </w:r>
          </w:p>
        </w:tc>
        <w:tc>
          <w:tcPr>
            <w:tcW w:w="2154" w:type="dxa"/>
            <w:tcBorders>
              <w:left w:val="single" w:sz="4" w:space="0" w:color="auto"/>
            </w:tcBorders>
            <w:shd w:val="clear" w:color="auto" w:fill="auto"/>
          </w:tcPr>
          <w:p w14:paraId="09AD51B1" w14:textId="77777777" w:rsidR="00A37365" w:rsidRPr="00E94D8A" w:rsidRDefault="00A37365" w:rsidP="00E94D8A">
            <w:pPr>
              <w:pStyle w:val="Captionsmall"/>
              <w:rPr>
                <w:lang w:val="es-ES"/>
              </w:rPr>
            </w:pPr>
            <w:bookmarkStart w:id="87" w:name="_Ref321212606"/>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6</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SEQ Ilustración \* ARABIC \s 1 \* MERGEFORMAT </w:instrText>
            </w:r>
            <w:r w:rsidRPr="00E94D8A">
              <w:rPr>
                <w:lang w:val="es-ES"/>
              </w:rPr>
              <w:fldChar w:fldCharType="separate"/>
            </w:r>
            <w:r w:rsidR="00B426BC">
              <w:rPr>
                <w:noProof/>
                <w:lang w:val="es-ES"/>
              </w:rPr>
              <w:t>3</w:t>
            </w:r>
            <w:r w:rsidRPr="00E94D8A">
              <w:rPr>
                <w:lang w:val="es-ES"/>
              </w:rPr>
              <w:fldChar w:fldCharType="end"/>
            </w:r>
            <w:bookmarkEnd w:id="87"/>
            <w:r w:rsidRPr="00E94D8A">
              <w:rPr>
                <w:lang w:val="es-ES"/>
              </w:rPr>
              <w:t xml:space="preserve">: Incrementos grandes y pequeños [Fuente: </w:t>
            </w:r>
            <w:proofErr w:type="spellStart"/>
            <w:r w:rsidRPr="00E94D8A">
              <w:rPr>
                <w:lang w:val="es-ES"/>
              </w:rPr>
              <w:t>Analysys</w:t>
            </w:r>
            <w:proofErr w:type="spellEnd"/>
            <w:r w:rsidRPr="00E94D8A">
              <w:rPr>
                <w:lang w:val="es-ES"/>
              </w:rPr>
              <w:t xml:space="preserve"> Mason]</w:t>
            </w:r>
          </w:p>
        </w:tc>
      </w:tr>
    </w:tbl>
    <w:p w14:paraId="4882894D" w14:textId="77777777" w:rsidR="00A37365" w:rsidRPr="00FB7938" w:rsidRDefault="001535D7" w:rsidP="00A37365">
      <w:pPr>
        <w:rPr>
          <w:spacing w:val="-4"/>
        </w:rPr>
      </w:pPr>
      <w:r>
        <w:rPr>
          <w:spacing w:val="-4"/>
        </w:rPr>
        <w:br/>
      </w:r>
      <w:r w:rsidR="00A37365" w:rsidRPr="00FB7938">
        <w:rPr>
          <w:spacing w:val="-4"/>
        </w:rPr>
        <w:t>Debido a los requisitos específicos de la regulación</w:t>
      </w:r>
      <w:r w:rsidR="00556421">
        <w:rPr>
          <w:spacing w:val="-4"/>
        </w:rPr>
        <w:t xml:space="preserve"> y de</w:t>
      </w:r>
      <w:r w:rsidR="00175EB9">
        <w:rPr>
          <w:spacing w:val="-4"/>
        </w:rPr>
        <w:t xml:space="preserve"> los lineam</w:t>
      </w:r>
      <w:r w:rsidR="00175EB9" w:rsidRPr="003D55FC">
        <w:rPr>
          <w:spacing w:val="-4"/>
        </w:rPr>
        <w:t>ientos de</w:t>
      </w:r>
      <w:r w:rsidR="00556421" w:rsidRPr="00556421">
        <w:rPr>
          <w:spacing w:val="-4"/>
        </w:rPr>
        <w:t>l Acuerdo del 16 de Diciembre de 2014</w:t>
      </w:r>
      <w:r w:rsidR="00556421">
        <w:rPr>
          <w:spacing w:val="-4"/>
        </w:rPr>
        <w:t>,</w:t>
      </w:r>
      <w:r w:rsidR="00556421" w:rsidRPr="00556421">
        <w:rPr>
          <w:spacing w:val="-4"/>
        </w:rPr>
        <w:t xml:space="preserve"> </w:t>
      </w:r>
      <w:r w:rsidR="00A37365" w:rsidRPr="003D55FC">
        <w:rPr>
          <w:spacing w:val="-4"/>
        </w:rPr>
        <w:t>es necesario utilizar una metodología de costos que:</w:t>
      </w:r>
      <w:r w:rsidR="00A37365" w:rsidRPr="00FB7938">
        <w:rPr>
          <w:spacing w:val="-4"/>
        </w:rPr>
        <w:t xml:space="preserve"> </w:t>
      </w:r>
    </w:p>
    <w:p w14:paraId="52DA20CB" w14:textId="77777777" w:rsidR="00A37365" w:rsidRPr="00E94D8A" w:rsidRDefault="00A37365" w:rsidP="00A37365">
      <w:pPr>
        <w:pStyle w:val="ListBulletCompact"/>
      </w:pPr>
      <w:r w:rsidRPr="00E94D8A">
        <w:t xml:space="preserve">permita calcular </w:t>
      </w:r>
      <w:r w:rsidR="007223DB">
        <w:t>los costos incrementales puros cada</w:t>
      </w:r>
      <w:r w:rsidRPr="00E94D8A">
        <w:t xml:space="preserve"> incremento de </w:t>
      </w:r>
      <w:r w:rsidR="007223DB">
        <w:t xml:space="preserve">los siguientes: tráfico de terminación, tráfico de </w:t>
      </w:r>
      <w:proofErr w:type="spellStart"/>
      <w:r w:rsidR="007223DB">
        <w:t>originación</w:t>
      </w:r>
      <w:proofErr w:type="spellEnd"/>
      <w:r w:rsidR="007223DB">
        <w:t>, y tránsito</w:t>
      </w:r>
    </w:p>
    <w:p w14:paraId="1528F313" w14:textId="77777777" w:rsidR="00A37365" w:rsidRPr="00E94D8A" w:rsidRDefault="0023361D" w:rsidP="00A37365">
      <w:pPr>
        <w:pStyle w:val="ListBulletCompact"/>
      </w:pPr>
      <w:r>
        <w:t>excluya los</w:t>
      </w:r>
      <w:r w:rsidRPr="00E94D8A">
        <w:t xml:space="preserve"> </w:t>
      </w:r>
      <w:r w:rsidR="00A37365" w:rsidRPr="00E94D8A">
        <w:t>costos compartidos y comunes a los servicios de interconexión</w:t>
      </w:r>
      <w:r>
        <w:t xml:space="preserve"> de los asignables a los servicios costeados con un modelo LRIC puro</w:t>
      </w:r>
    </w:p>
    <w:p w14:paraId="5F01E5E2" w14:textId="77777777" w:rsidR="00A37365" w:rsidRPr="00E94D8A" w:rsidRDefault="00A37365" w:rsidP="00A37365">
      <w:pPr>
        <w:pStyle w:val="Listaconvietas"/>
        <w:ind w:left="360" w:hanging="360"/>
      </w:pPr>
      <w:r w:rsidRPr="00E94D8A">
        <w:t>así mismo, permita ser competitivamente neutral con las operaciones móvil y fija.</w:t>
      </w:r>
    </w:p>
    <w:p w14:paraId="66DD01F7" w14:textId="77777777" w:rsidR="00A37365" w:rsidRPr="00E94D8A" w:rsidRDefault="00A37365" w:rsidP="00A37365">
      <w:pPr>
        <w:pStyle w:val="Ttulo4"/>
        <w:spacing w:after="120"/>
      </w:pPr>
      <w:r w:rsidRPr="00E94D8A">
        <w:lastRenderedPageBreak/>
        <w:t>Enfoque LRAIC plus</w:t>
      </w:r>
    </w:p>
    <w:p w14:paraId="47A14C07" w14:textId="77777777" w:rsidR="00A37365" w:rsidRPr="00E94D8A" w:rsidRDefault="00A37365" w:rsidP="00E94D8A">
      <w:r w:rsidRPr="00E94D8A">
        <w:t xml:space="preserve">Como se mencionó anteriormente, los costos de tráfico se definen como un agregado y después son distribuidos a los diferentes servicios de tráfico mediante factores de </w:t>
      </w:r>
      <w:r w:rsidR="000B205F">
        <w:t>enrutamiento</w:t>
      </w:r>
      <w:r w:rsidRPr="00E94D8A">
        <w:t xml:space="preserve">. Esto implica que se requerirá una matriz de factores de </w:t>
      </w:r>
      <w:r w:rsidR="000B205F">
        <w:t>enrutamiento</w:t>
      </w:r>
      <w:r w:rsidR="000B205F" w:rsidRPr="00E94D8A" w:rsidDel="000B205F">
        <w:t xml:space="preserve"> </w:t>
      </w:r>
      <w:r w:rsidRPr="00E94D8A">
        <w:t xml:space="preserve">promedio para cada modelo. </w:t>
      </w:r>
    </w:p>
    <w:p w14:paraId="11EE8695" w14:textId="4EE16CC5" w:rsidR="00A37365" w:rsidRPr="00E94D8A" w:rsidRDefault="00A37365" w:rsidP="00E94D8A">
      <w:r w:rsidRPr="00E94D8A">
        <w:t xml:space="preserve">La denominación Plus utilizada implica la inclusión de costos comunes, p.ej. costos de la red que son comunes a todo el tráfico como pueden ser cobertura, </w:t>
      </w:r>
      <w:r w:rsidR="002B1410">
        <w:t>concesiones</w:t>
      </w:r>
      <w:r w:rsidR="002B1410" w:rsidRPr="00E94D8A">
        <w:t xml:space="preserve"> </w:t>
      </w:r>
      <w:r w:rsidRPr="00E94D8A">
        <w:t>y gastos generales. El uso de un incremento grande implica que los costos comunes para los servicios de tráfico son automáticamente incluidos en el incremento.</w:t>
      </w:r>
    </w:p>
    <w:p w14:paraId="06ADB409" w14:textId="77777777" w:rsidR="00A37365" w:rsidRPr="00E94D8A" w:rsidRDefault="00A37365" w:rsidP="00E94D8A">
      <w:r w:rsidRPr="00E94D8A">
        <w:t>Es también necesario identificar un incremento de usuarios que capture los costos que varían con el volumen de usuarios (no por cambios en volumen</w:t>
      </w:r>
      <w:r w:rsidR="000B205F">
        <w:t xml:space="preserve"> de tráfico</w:t>
      </w:r>
      <w:r w:rsidRPr="00E94D8A">
        <w:t>). El incremento de usuarios, que capturará estos costos, debe ser definido con cuidado para ser consistente y transparente para las redes fija y móvil. Estos costos son definidos como los costos promedio incrementales cuando nuevos usuarios son agregados a la red.</w:t>
      </w:r>
    </w:p>
    <w:p w14:paraId="50E06FB2" w14:textId="77777777" w:rsidR="00A37365" w:rsidRPr="00E94D8A" w:rsidRDefault="00A37365" w:rsidP="00A37365">
      <w:pPr>
        <w:pStyle w:val="ListBulletCompact"/>
      </w:pPr>
      <w:r w:rsidRPr="00E94D8A">
        <w:t>en una red móvil, un nuevo usuario recibe una tarjeta SIM para poder enviar y recibir tráfico en el punto de concentración (el aire es la interface)</w:t>
      </w:r>
    </w:p>
    <w:p w14:paraId="4D29E2DE" w14:textId="77777777" w:rsidR="00A37365" w:rsidRPr="00E94D8A" w:rsidRDefault="00A37365" w:rsidP="00E94D8A">
      <w:pPr>
        <w:pStyle w:val="Listaconvietas"/>
      </w:pPr>
      <w:r w:rsidRPr="00E94D8A">
        <w:t>en una red fija, un nuevo usuario requerirá ser conectado a la tarjeta del conmutador, o equivalente en una red de nueva generación, mediante cobre/cable/fibra que vaya del usuario al punto de concentración.</w:t>
      </w:r>
    </w:p>
    <w:p w14:paraId="5AF14B5E" w14:textId="77777777" w:rsidR="00A37365" w:rsidRPr="00FB7938" w:rsidRDefault="00A37365" w:rsidP="00E94D8A">
      <w:pPr>
        <w:rPr>
          <w:spacing w:val="-4"/>
        </w:rPr>
      </w:pPr>
      <w:r w:rsidRPr="00FB7938">
        <w:rPr>
          <w:spacing w:val="-4"/>
        </w:rPr>
        <w:t xml:space="preserve">Se propone que este “servicio incremental de usuario” sea definido sencillamente como el derecho a unirse a la red de usuarios. Cualquier otro costo, incluyendo costos requeridos para establecer una red operacional pero sólo con capacidad mínima, son recuperados mediante los incrementos de uso. Por consiguiente, todo el equipo para usuarios será también excluido (p.ej. teléfonos, módems, etc.). </w:t>
      </w:r>
    </w:p>
    <w:p w14:paraId="75E5447D" w14:textId="77777777" w:rsidR="00A37365" w:rsidRPr="00E94D8A" w:rsidRDefault="00A37365" w:rsidP="00A37365">
      <w:pPr>
        <w:pStyle w:val="I1"/>
        <w:numPr>
          <w:ilvl w:val="0"/>
          <w:numId w:val="0"/>
        </w:numPr>
        <w:spacing w:after="120"/>
      </w:pPr>
      <w:r w:rsidRPr="00E94D8A">
        <w:t>En el siguiente diagrama se encuentran rellenos los costos a incluirse siguiendo este método.</w:t>
      </w:r>
    </w:p>
    <w:p w14:paraId="77816C76" w14:textId="77777777" w:rsidR="00A37365" w:rsidRPr="00E94D8A" w:rsidRDefault="00A37365" w:rsidP="00A37365">
      <w:pPr>
        <w:pStyle w:val="Descripcin"/>
        <w:rPr>
          <w:lang w:val="es-ES"/>
        </w:rPr>
      </w:pPr>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6</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SEQ Ilustración \* ARABIC \s 1 \* MERGEFORMAT </w:instrText>
      </w:r>
      <w:r w:rsidRPr="00E94D8A">
        <w:rPr>
          <w:lang w:val="es-ES"/>
        </w:rPr>
        <w:fldChar w:fldCharType="separate"/>
      </w:r>
      <w:r w:rsidR="00B426BC">
        <w:rPr>
          <w:noProof/>
          <w:lang w:val="es-ES"/>
        </w:rPr>
        <w:t>4</w:t>
      </w:r>
      <w:r w:rsidRPr="00E94D8A">
        <w:rPr>
          <w:lang w:val="es-ES"/>
        </w:rPr>
        <w:fldChar w:fldCharType="end"/>
      </w:r>
      <w:r w:rsidRPr="00E94D8A">
        <w:rPr>
          <w:lang w:val="es-ES"/>
        </w:rPr>
        <w:t xml:space="preserve">: Distribución de costos usando CITLP Plus [Fuente: </w:t>
      </w:r>
      <w:proofErr w:type="spellStart"/>
      <w:r w:rsidRPr="00E94D8A">
        <w:rPr>
          <w:lang w:val="es-ES"/>
        </w:rPr>
        <w:t>Analysys</w:t>
      </w:r>
      <w:proofErr w:type="spellEnd"/>
      <w:r w:rsidRPr="00E94D8A">
        <w:rPr>
          <w:lang w:val="es-ES"/>
        </w:rPr>
        <w:t xml:space="preserve"> Mason]</w:t>
      </w:r>
    </w:p>
    <w:p w14:paraId="3B2AF137" w14:textId="77777777" w:rsidR="00CF0D34" w:rsidRPr="000E4B08" w:rsidRDefault="00A37365" w:rsidP="003D55FC">
      <w:r w:rsidRPr="00E94D8A">
        <w:rPr>
          <w:rFonts w:eastAsiaTheme="majorEastAsia" w:cstheme="majorBidi"/>
          <w:bCs/>
          <w:i/>
          <w:iCs/>
          <w:noProof/>
          <w:lang w:val="es-MX" w:eastAsia="es-MX"/>
        </w:rPr>
        <w:drawing>
          <wp:inline distT="0" distB="0" distL="0" distR="0" wp14:anchorId="2C22C35E" wp14:editId="0F4690C9">
            <wp:extent cx="5060315" cy="2366010"/>
            <wp:effectExtent l="0" t="0" r="6985" b="0"/>
            <wp:docPr id="34" name="Picture 34" descr="Distribución de costos usando CITLP Plus, Fuente: Analysys Mason" title="Figura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60315" cy="2366010"/>
                    </a:xfrm>
                    <a:prstGeom prst="rect">
                      <a:avLst/>
                    </a:prstGeom>
                    <a:noFill/>
                    <a:ln>
                      <a:noFill/>
                    </a:ln>
                  </pic:spPr>
                </pic:pic>
              </a:graphicData>
            </a:graphic>
          </wp:inline>
        </w:drawing>
      </w:r>
    </w:p>
    <w:p w14:paraId="797498AE" w14:textId="77777777" w:rsidR="008A50DB" w:rsidRDefault="008A50DB" w:rsidP="003D55FC">
      <w:pPr>
        <w:pStyle w:val="Ttulo4"/>
      </w:pPr>
      <w:r>
        <w:lastRenderedPageBreak/>
        <w:t xml:space="preserve">Enfoque </w:t>
      </w:r>
      <w:r w:rsidR="00702FEE">
        <w:t>LRIC puro</w:t>
      </w:r>
    </w:p>
    <w:p w14:paraId="091232EA" w14:textId="77777777" w:rsidR="008A50DB" w:rsidRPr="004442FB" w:rsidRDefault="008A50DB" w:rsidP="008A50DB">
      <w:pPr>
        <w:spacing w:after="120"/>
      </w:pPr>
      <w:r>
        <w:t xml:space="preserve">Este enfoque es </w:t>
      </w:r>
      <w:r w:rsidRPr="004442FB">
        <w:rPr>
          <w:spacing w:val="-4"/>
        </w:rPr>
        <w:t>consistente con la recomendación de la Comisión Europea para el tratamiento regulatorio de terminación fija y móvil</w:t>
      </w:r>
      <w:r>
        <w:rPr>
          <w:spacing w:val="-4"/>
        </w:rPr>
        <w:t>, y va en línea con los lineamientos definidos por el IFT</w:t>
      </w:r>
      <w:r w:rsidRPr="004442FB">
        <w:rPr>
          <w:spacing w:val="-4"/>
        </w:rPr>
        <w:t xml:space="preserve">. Dicha recomendación considera el incremento como el tráfico de un único servicio, </w:t>
      </w:r>
      <w:r>
        <w:rPr>
          <w:spacing w:val="-4"/>
        </w:rPr>
        <w:t xml:space="preserve">como por ejemplo el tráfico de </w:t>
      </w:r>
      <w:r w:rsidRPr="004442FB">
        <w:rPr>
          <w:spacing w:val="-4"/>
        </w:rPr>
        <w:t>terminación de voz.</w:t>
      </w:r>
    </w:p>
    <w:p w14:paraId="1A37FD79" w14:textId="361AB683" w:rsidR="00CF0D34" w:rsidRPr="007F2DC4" w:rsidRDefault="00CF0D34" w:rsidP="00CF0D34">
      <w:r w:rsidRPr="007F2DC4">
        <w:t xml:space="preserve">El LRIC puro calcula los </w:t>
      </w:r>
      <w:r w:rsidR="00CE4B8A">
        <w:t>costo</w:t>
      </w:r>
      <w:r w:rsidRPr="007F2DC4">
        <w:t xml:space="preserve">s de un servicio </w:t>
      </w:r>
      <w:r w:rsidR="002B1410">
        <w:t>con</w:t>
      </w:r>
      <w:r w:rsidR="002B1410" w:rsidRPr="007F2DC4">
        <w:t xml:space="preserve"> </w:t>
      </w:r>
      <w:r w:rsidRPr="007F2DC4">
        <w:t xml:space="preserve">base </w:t>
      </w:r>
      <w:r w:rsidR="002B1410">
        <w:t>en</w:t>
      </w:r>
      <w:r w:rsidR="002B1410" w:rsidRPr="007F2DC4">
        <w:t xml:space="preserve"> </w:t>
      </w:r>
      <w:r w:rsidRPr="007F2DC4">
        <w:t xml:space="preserve">la diferencia entre los </w:t>
      </w:r>
      <w:r w:rsidR="00CE4B8A">
        <w:t>costo</w:t>
      </w:r>
      <w:r w:rsidRPr="007F2DC4">
        <w:t xml:space="preserve">s totales a largo plazo de un operador que provee el abanico total de servicios y los </w:t>
      </w:r>
      <w:r w:rsidR="00CE4B8A">
        <w:t>costo</w:t>
      </w:r>
      <w:r w:rsidRPr="007F2DC4">
        <w:t>s totales a largo plazo de un operador que ofrece todos los servicios salvo el del servicio que se está costeando, tal y como se muestra en la siguiente figura.</w:t>
      </w:r>
    </w:p>
    <w:p w14:paraId="7103C2DA" w14:textId="5617D93C" w:rsidR="008A50DB" w:rsidRPr="00FB30E0" w:rsidRDefault="008A50DB" w:rsidP="008A50DB">
      <w:r>
        <w:t>Para el cálculo del LRIC puro, se calcula el cost</w:t>
      </w:r>
      <w:r w:rsidR="00CF0D34">
        <w:t>o</w:t>
      </w:r>
      <w:r>
        <w:t xml:space="preserve"> incremental ejecutando el modelo </w:t>
      </w:r>
      <w:r>
        <w:rPr>
          <w:i/>
        </w:rPr>
        <w:t xml:space="preserve">con </w:t>
      </w:r>
      <w:r>
        <w:t xml:space="preserve">y </w:t>
      </w:r>
      <w:r>
        <w:rPr>
          <w:i/>
        </w:rPr>
        <w:t xml:space="preserve">sin </w:t>
      </w:r>
      <w:r>
        <w:t xml:space="preserve">el incremento que se quiera costear. </w:t>
      </w:r>
      <w:r w:rsidRPr="00EA3BD7">
        <w:t xml:space="preserve">Los </w:t>
      </w:r>
      <w:r w:rsidR="00CE4B8A">
        <w:t>costo</w:t>
      </w:r>
      <w:r w:rsidRPr="00EA3BD7">
        <w:t>s unitarios son entonces determinados como el cociente entre este cost</w:t>
      </w:r>
      <w:r w:rsidR="00CF0D34">
        <w:t>o</w:t>
      </w:r>
      <w:r w:rsidRPr="00EA3BD7">
        <w:t xml:space="preserve"> </w:t>
      </w:r>
      <w:r>
        <w:t xml:space="preserve">incremental </w:t>
      </w:r>
      <w:r w:rsidRPr="00EA3BD7">
        <w:t xml:space="preserve">y el volumen </w:t>
      </w:r>
      <w:r>
        <w:t xml:space="preserve">de tráfico incremental </w:t>
      </w:r>
      <w:r w:rsidRPr="00EA3BD7">
        <w:t>de</w:t>
      </w:r>
      <w:r>
        <w:t>l servicio (ver</w:t>
      </w:r>
      <w:r w:rsidR="007011E0">
        <w:t xml:space="preserve"> </w:t>
      </w:r>
      <w:r w:rsidR="00C75AA1">
        <w:fldChar w:fldCharType="begin"/>
      </w:r>
      <w:r w:rsidR="00C75AA1">
        <w:instrText xml:space="preserve"> REF _Ref406502493 \h </w:instrText>
      </w:r>
      <w:r w:rsidR="00C75AA1">
        <w:fldChar w:fldCharType="separate"/>
      </w:r>
      <w:r w:rsidR="00B426BC" w:rsidRPr="00FB37C4">
        <w:t xml:space="preserve">Figura </w:t>
      </w:r>
      <w:r w:rsidR="00B426BC">
        <w:rPr>
          <w:noProof/>
        </w:rPr>
        <w:t>6</w:t>
      </w:r>
      <w:r w:rsidR="00B426BC" w:rsidRPr="00FB37C4">
        <w:t>.</w:t>
      </w:r>
      <w:r w:rsidR="00B426BC">
        <w:rPr>
          <w:noProof/>
        </w:rPr>
        <w:t>5</w:t>
      </w:r>
      <w:r w:rsidR="00C75AA1">
        <w:fldChar w:fldCharType="end"/>
      </w:r>
      <w:r>
        <w:t>).</w:t>
      </w:r>
    </w:p>
    <w:tbl>
      <w:tblPr>
        <w:tblW w:w="8730" w:type="dxa"/>
        <w:tblInd w:w="-3" w:type="dxa"/>
        <w:tblLayout w:type="fixed"/>
        <w:tblCellMar>
          <w:left w:w="0" w:type="dxa"/>
          <w:right w:w="0" w:type="dxa"/>
        </w:tblCellMar>
        <w:tblLook w:val="04A0" w:firstRow="1" w:lastRow="0" w:firstColumn="1" w:lastColumn="0" w:noHBand="0" w:noVBand="1"/>
      </w:tblPr>
      <w:tblGrid>
        <w:gridCol w:w="6576"/>
        <w:gridCol w:w="2154"/>
      </w:tblGrid>
      <w:tr w:rsidR="008A50DB" w:rsidRPr="00755ACD" w14:paraId="641D079A" w14:textId="77777777" w:rsidTr="000B1EE5">
        <w:tc>
          <w:tcPr>
            <w:tcW w:w="6576" w:type="dxa"/>
            <w:tcBorders>
              <w:top w:val="nil"/>
              <w:left w:val="nil"/>
              <w:bottom w:val="nil"/>
              <w:right w:val="single" w:sz="4" w:space="0" w:color="auto"/>
            </w:tcBorders>
            <w:hideMark/>
          </w:tcPr>
          <w:p w14:paraId="3857125E" w14:textId="77777777" w:rsidR="008A50DB" w:rsidRPr="00FB37C4" w:rsidRDefault="008A50DB" w:rsidP="000B1EE5">
            <w:pPr>
              <w:pStyle w:val="Bordersmall"/>
              <w:rPr>
                <w:lang w:val="es-ES"/>
              </w:rPr>
            </w:pPr>
            <w:r>
              <w:rPr>
                <w:noProof/>
                <w:lang w:val="es-MX" w:eastAsia="es-MX"/>
              </w:rPr>
              <w:drawing>
                <wp:inline distT="0" distB="0" distL="0" distR="0" wp14:anchorId="3E3F718B" wp14:editId="6B98B989">
                  <wp:extent cx="3154374" cy="2380988"/>
                  <wp:effectExtent l="0" t="0" r="8255" b="635"/>
                  <wp:docPr id="107" name="Picture 107" descr="Cálculo del costo incremental del tráfico de terminación, Fuente: Analysys Mason" title="Figura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7" cstate="print">
                            <a:extLst>
                              <a:ext uri="{28A0092B-C50C-407E-A947-70E740481C1C}">
                                <a14:useLocalDpi xmlns:a14="http://schemas.microsoft.com/office/drawing/2010/main" val="0"/>
                              </a:ext>
                            </a:extLst>
                          </a:blip>
                          <a:srcRect b="6462"/>
                          <a:stretch>
                            <a:fillRect/>
                          </a:stretch>
                        </pic:blipFill>
                        <pic:spPr bwMode="auto">
                          <a:xfrm>
                            <a:off x="0" y="0"/>
                            <a:ext cx="3156650" cy="2382706"/>
                          </a:xfrm>
                          <a:prstGeom prst="rect">
                            <a:avLst/>
                          </a:prstGeom>
                          <a:noFill/>
                          <a:ln>
                            <a:noFill/>
                          </a:ln>
                        </pic:spPr>
                      </pic:pic>
                    </a:graphicData>
                  </a:graphic>
                </wp:inline>
              </w:drawing>
            </w:r>
          </w:p>
        </w:tc>
        <w:tc>
          <w:tcPr>
            <w:tcW w:w="2154" w:type="dxa"/>
            <w:tcBorders>
              <w:top w:val="nil"/>
              <w:left w:val="single" w:sz="4" w:space="0" w:color="auto"/>
              <w:bottom w:val="nil"/>
              <w:right w:val="nil"/>
            </w:tcBorders>
            <w:hideMark/>
          </w:tcPr>
          <w:p w14:paraId="7F686CA6" w14:textId="77777777" w:rsidR="008A50DB" w:rsidRPr="00FB37C4" w:rsidRDefault="008A50DB" w:rsidP="000E4B08">
            <w:pPr>
              <w:pStyle w:val="Captionsmall"/>
              <w:rPr>
                <w:lang w:val="es-ES"/>
              </w:rPr>
            </w:pPr>
            <w:bookmarkStart w:id="88" w:name="_Ref406502493"/>
            <w:bookmarkStart w:id="89" w:name="_Ref451528683"/>
            <w:r w:rsidRPr="00FB37C4">
              <w:rPr>
                <w:lang w:val="es-ES"/>
              </w:rPr>
              <w:t xml:space="preserve">Figura </w:t>
            </w:r>
            <w:r w:rsidRPr="00FB37C4">
              <w:rPr>
                <w:lang w:val="es-ES"/>
              </w:rPr>
              <w:fldChar w:fldCharType="begin"/>
            </w:r>
            <w:r w:rsidRPr="00FB37C4">
              <w:rPr>
                <w:lang w:val="es-ES"/>
              </w:rPr>
              <w:instrText xml:space="preserve"> STYLEREF 1 \s </w:instrText>
            </w:r>
            <w:r w:rsidRPr="00FB37C4">
              <w:rPr>
                <w:lang w:val="es-ES"/>
              </w:rPr>
              <w:fldChar w:fldCharType="separate"/>
            </w:r>
            <w:r w:rsidR="00B426BC">
              <w:rPr>
                <w:noProof/>
                <w:lang w:val="es-ES"/>
              </w:rPr>
              <w:t>6</w:t>
            </w:r>
            <w:r w:rsidRPr="00FB37C4">
              <w:rPr>
                <w:lang w:val="es-ES"/>
              </w:rPr>
              <w:fldChar w:fldCharType="end"/>
            </w:r>
            <w:r w:rsidRPr="00FB37C4">
              <w:rPr>
                <w:lang w:val="es-ES"/>
              </w:rPr>
              <w:t>.</w:t>
            </w:r>
            <w:r w:rsidRPr="00FB37C4">
              <w:rPr>
                <w:lang w:val="es-ES"/>
              </w:rPr>
              <w:fldChar w:fldCharType="begin"/>
            </w:r>
            <w:r w:rsidRPr="00FB37C4">
              <w:rPr>
                <w:lang w:val="es-ES"/>
              </w:rPr>
              <w:instrText xml:space="preserve"> SEQ Ilustración \* ARABIC \s 1 </w:instrText>
            </w:r>
            <w:r w:rsidRPr="00FB37C4">
              <w:rPr>
                <w:lang w:val="es-ES"/>
              </w:rPr>
              <w:fldChar w:fldCharType="separate"/>
            </w:r>
            <w:r w:rsidR="00B426BC">
              <w:rPr>
                <w:noProof/>
                <w:lang w:val="es-ES"/>
              </w:rPr>
              <w:t>5</w:t>
            </w:r>
            <w:r w:rsidRPr="00FB37C4">
              <w:rPr>
                <w:lang w:val="es-ES"/>
              </w:rPr>
              <w:fldChar w:fldCharType="end"/>
            </w:r>
            <w:bookmarkEnd w:id="88"/>
            <w:r w:rsidRPr="00FB37C4">
              <w:rPr>
                <w:lang w:val="es-ES"/>
              </w:rPr>
              <w:t>: Cálculo del cost</w:t>
            </w:r>
            <w:r w:rsidR="00CF0D34">
              <w:rPr>
                <w:lang w:val="es-ES"/>
              </w:rPr>
              <w:t>o</w:t>
            </w:r>
            <w:r w:rsidRPr="00FB37C4">
              <w:rPr>
                <w:lang w:val="es-ES"/>
              </w:rPr>
              <w:t xml:space="preserve"> incremental del tráfico de terminación [Fuente: </w:t>
            </w:r>
            <w:proofErr w:type="spellStart"/>
            <w:r w:rsidRPr="00FB37C4">
              <w:rPr>
                <w:lang w:val="es-ES"/>
              </w:rPr>
              <w:t>Analysys</w:t>
            </w:r>
            <w:proofErr w:type="spellEnd"/>
            <w:r w:rsidRPr="00FB37C4">
              <w:rPr>
                <w:lang w:val="es-ES"/>
              </w:rPr>
              <w:t xml:space="preserve"> Mason]</w:t>
            </w:r>
            <w:bookmarkEnd w:id="89"/>
          </w:p>
        </w:tc>
      </w:tr>
    </w:tbl>
    <w:p w14:paraId="48B97CFB" w14:textId="01E75423" w:rsidR="008A50DB" w:rsidRPr="00EA3BD7" w:rsidRDefault="008A50DB" w:rsidP="007858D8">
      <w:pPr>
        <w:spacing w:before="240"/>
      </w:pPr>
      <w:r w:rsidRPr="00EA3BD7">
        <w:t xml:space="preserve">El cálculo de los resultados </w:t>
      </w:r>
      <w:r>
        <w:t xml:space="preserve">obtenidos al aplicar la metodología </w:t>
      </w:r>
      <w:r w:rsidRPr="00EA3BD7">
        <w:t>LRIC</w:t>
      </w:r>
      <w:r w:rsidR="00D515F4">
        <w:t xml:space="preserve"> puro</w:t>
      </w:r>
      <w:r w:rsidRPr="00EA3BD7">
        <w:t xml:space="preserve"> se basa </w:t>
      </w:r>
      <w:r w:rsidR="00CF0D34">
        <w:t xml:space="preserve">en </w:t>
      </w:r>
      <w:r w:rsidRPr="00EA3BD7">
        <w:t>los siguientes pasos</w:t>
      </w:r>
      <w:r>
        <w:t xml:space="preserve"> (ver </w:t>
      </w:r>
      <w:r>
        <w:fldChar w:fldCharType="begin"/>
      </w:r>
      <w:r>
        <w:instrText xml:space="preserve"> REF _Ref335213719 \h </w:instrText>
      </w:r>
      <w:r>
        <w:fldChar w:fldCharType="separate"/>
      </w:r>
      <w:r w:rsidR="00B426BC">
        <w:t>Figura</w:t>
      </w:r>
      <w:r w:rsidR="00B426BC" w:rsidRPr="00CC7919">
        <w:t xml:space="preserve"> </w:t>
      </w:r>
      <w:r w:rsidR="00B426BC">
        <w:rPr>
          <w:noProof/>
        </w:rPr>
        <w:t>6</w:t>
      </w:r>
      <w:r w:rsidR="00B426BC" w:rsidRPr="00CC7919">
        <w:t>.</w:t>
      </w:r>
      <w:r w:rsidR="00B426BC">
        <w:rPr>
          <w:noProof/>
        </w:rPr>
        <w:t>6</w:t>
      </w:r>
      <w:r>
        <w:fldChar w:fldCharType="end"/>
      </w:r>
      <w:r>
        <w:t>):</w:t>
      </w:r>
    </w:p>
    <w:p w14:paraId="0EFC8174" w14:textId="6BB32CA4" w:rsidR="008A50DB" w:rsidRPr="00EA3BD7" w:rsidRDefault="00CF0D34" w:rsidP="008A50DB">
      <w:pPr>
        <w:pStyle w:val="ListBulletCompact"/>
      </w:pPr>
      <w:r>
        <w:t xml:space="preserve">cálculo de </w:t>
      </w:r>
      <w:r w:rsidR="008A50DB" w:rsidRPr="00EA3BD7">
        <w:t>los cost</w:t>
      </w:r>
      <w:r>
        <w:t>o</w:t>
      </w:r>
      <w:r w:rsidR="008A50DB" w:rsidRPr="00EA3BD7">
        <w:t xml:space="preserve">s de la red completa del operador, </w:t>
      </w:r>
      <w:r w:rsidR="008A50DB" w:rsidRPr="00EA3BD7">
        <w:rPr>
          <w:i/>
        </w:rPr>
        <w:t>sin</w:t>
      </w:r>
      <w:r w:rsidR="008A50DB" w:rsidRPr="00EA3BD7">
        <w:t xml:space="preserve"> el incremento del servicio considerado (tráfico de </w:t>
      </w:r>
      <w:proofErr w:type="spellStart"/>
      <w:r w:rsidR="008A50DB" w:rsidRPr="00EA3BD7">
        <w:t>originación</w:t>
      </w:r>
      <w:proofErr w:type="spellEnd"/>
      <w:r w:rsidR="008A50DB">
        <w:t xml:space="preserve">, </w:t>
      </w:r>
      <w:r w:rsidR="008A50DB" w:rsidRPr="00EA3BD7">
        <w:t>o terminación de otras redes</w:t>
      </w:r>
      <w:r w:rsidR="00083AF2">
        <w:t xml:space="preserve"> o tránsito</w:t>
      </w:r>
      <w:r w:rsidR="008A50DB" w:rsidRPr="00EA3BD7">
        <w:t>)</w:t>
      </w:r>
      <w:r w:rsidR="0087524E">
        <w:t>;</w:t>
      </w:r>
    </w:p>
    <w:p w14:paraId="07FEF192" w14:textId="53C4715C" w:rsidR="008A50DB" w:rsidRPr="00EA3BD7" w:rsidRDefault="00CF0D34" w:rsidP="008A50DB">
      <w:pPr>
        <w:pStyle w:val="ListBulletCompact"/>
      </w:pPr>
      <w:r>
        <w:t xml:space="preserve">cálculo de </w:t>
      </w:r>
      <w:r w:rsidR="008A50DB" w:rsidRPr="00EA3BD7">
        <w:t>los cost</w:t>
      </w:r>
      <w:r>
        <w:t>o</w:t>
      </w:r>
      <w:r w:rsidR="008A50DB" w:rsidRPr="00EA3BD7">
        <w:t xml:space="preserve">s de la red completa del operador, </w:t>
      </w:r>
      <w:r w:rsidR="008A50DB" w:rsidRPr="00EA3BD7">
        <w:rPr>
          <w:i/>
        </w:rPr>
        <w:t xml:space="preserve">con </w:t>
      </w:r>
      <w:r w:rsidR="008A50DB" w:rsidRPr="00EA3BD7">
        <w:t xml:space="preserve">el incremento del servicio considerado (tráfico de </w:t>
      </w:r>
      <w:proofErr w:type="spellStart"/>
      <w:r w:rsidR="008A50DB" w:rsidRPr="00EA3BD7">
        <w:t>originación</w:t>
      </w:r>
      <w:proofErr w:type="spellEnd"/>
      <w:r w:rsidR="008A50DB">
        <w:t xml:space="preserve">, </w:t>
      </w:r>
      <w:r w:rsidR="0064141C">
        <w:t>,</w:t>
      </w:r>
      <w:r w:rsidR="008A50DB" w:rsidRPr="00EA3BD7">
        <w:t xml:space="preserve"> terminación de otras redes</w:t>
      </w:r>
      <w:r w:rsidR="0064141C">
        <w:t xml:space="preserve"> o tránsito</w:t>
      </w:r>
      <w:r w:rsidR="008A50DB" w:rsidRPr="00EA3BD7">
        <w:t>)</w:t>
      </w:r>
      <w:r w:rsidR="0087524E">
        <w:t>;</w:t>
      </w:r>
    </w:p>
    <w:p w14:paraId="5A862AE1" w14:textId="4260E6B7" w:rsidR="008A50DB" w:rsidRPr="00EA3BD7" w:rsidRDefault="00CF0D34" w:rsidP="008A50DB">
      <w:pPr>
        <w:pStyle w:val="ListBulletCompact"/>
      </w:pPr>
      <w:r>
        <w:t xml:space="preserve">obtención de </w:t>
      </w:r>
      <w:r w:rsidR="008A50DB" w:rsidRPr="00EA3BD7">
        <w:t>la diferencia en cost</w:t>
      </w:r>
      <w:r>
        <w:t>o</w:t>
      </w:r>
      <w:r w:rsidR="008A50DB" w:rsidRPr="00EA3BD7">
        <w:t xml:space="preserve">s entre los dos cálculos obtenidos y </w:t>
      </w:r>
      <w:proofErr w:type="spellStart"/>
      <w:r w:rsidR="008A50DB" w:rsidRPr="00EA3BD7">
        <w:t>anualiza</w:t>
      </w:r>
      <w:r>
        <w:t>ción</w:t>
      </w:r>
      <w:proofErr w:type="spellEnd"/>
      <w:r>
        <w:t xml:space="preserve"> de</w:t>
      </w:r>
      <w:r w:rsidR="008A50DB" w:rsidRPr="00EA3BD7">
        <w:t xml:space="preserve"> esta diferencia </w:t>
      </w:r>
      <w:r w:rsidR="00F9251F">
        <w:t>con</w:t>
      </w:r>
      <w:r w:rsidR="00F9251F" w:rsidRPr="00EA3BD7">
        <w:t xml:space="preserve"> </w:t>
      </w:r>
      <w:r w:rsidR="008A50DB" w:rsidRPr="00EA3BD7">
        <w:t xml:space="preserve">base </w:t>
      </w:r>
      <w:r w:rsidR="00F9251F">
        <w:t>en</w:t>
      </w:r>
      <w:r w:rsidR="00F9251F" w:rsidRPr="00EA3BD7">
        <w:t xml:space="preserve"> </w:t>
      </w:r>
      <w:r w:rsidR="008A50DB" w:rsidRPr="00EA3BD7">
        <w:t>la metodología de depreciación económica</w:t>
      </w:r>
      <w:r w:rsidR="0087524E">
        <w:t>;</w:t>
      </w:r>
    </w:p>
    <w:p w14:paraId="6827E675" w14:textId="77777777" w:rsidR="008A50DB" w:rsidRPr="00EA3BD7" w:rsidRDefault="00CF0D34" w:rsidP="008A50DB">
      <w:pPr>
        <w:pStyle w:val="Listaconvietas"/>
      </w:pPr>
      <w:r>
        <w:t>división d</w:t>
      </w:r>
      <w:r w:rsidR="008A50DB" w:rsidRPr="00EA3BD7">
        <w:t xml:space="preserve">el </w:t>
      </w:r>
      <w:r w:rsidR="00CE4B8A">
        <w:t>costo</w:t>
      </w:r>
      <w:r w:rsidR="008A50DB" w:rsidRPr="00EA3BD7">
        <w:t xml:space="preserve"> anualizado total por el número de minutos </w:t>
      </w:r>
      <w:r w:rsidR="008A50DB">
        <w:t xml:space="preserve">incrementales </w:t>
      </w:r>
      <w:r w:rsidR="008A50DB" w:rsidRPr="00EA3BD7">
        <w:t>del servicio considerado (</w:t>
      </w:r>
      <w:proofErr w:type="spellStart"/>
      <w:r w:rsidR="008A50DB" w:rsidRPr="00EA3BD7">
        <w:t>originación</w:t>
      </w:r>
      <w:proofErr w:type="spellEnd"/>
      <w:r w:rsidR="008A50DB">
        <w:t xml:space="preserve">, tráfico de </w:t>
      </w:r>
      <w:proofErr w:type="spellStart"/>
      <w:r w:rsidR="008A50DB">
        <w:t>originación</w:t>
      </w:r>
      <w:proofErr w:type="spellEnd"/>
      <w:r w:rsidR="008A50DB">
        <w:t xml:space="preserve"> </w:t>
      </w:r>
      <w:r w:rsidR="00775F5A">
        <w:t>,</w:t>
      </w:r>
      <w:r w:rsidR="008A50DB" w:rsidRPr="00EA3BD7">
        <w:t xml:space="preserve"> terminación de otras redes</w:t>
      </w:r>
      <w:r w:rsidR="00775F5A">
        <w:t xml:space="preserve"> o tránsito</w:t>
      </w:r>
      <w:r w:rsidR="008A50DB" w:rsidRPr="00EA3BD7">
        <w:t xml:space="preserve">) para </w:t>
      </w:r>
      <w:r>
        <w:t>la obtención d</w:t>
      </w:r>
      <w:r w:rsidR="008A50DB" w:rsidRPr="00EA3BD7">
        <w:t xml:space="preserve">el </w:t>
      </w:r>
      <w:r w:rsidR="00CE4B8A">
        <w:t>costo</w:t>
      </w:r>
      <w:r w:rsidR="008A50DB" w:rsidRPr="00EA3BD7">
        <w:t xml:space="preserve"> del minuto incremental.</w:t>
      </w:r>
    </w:p>
    <w:p w14:paraId="5DC105D9" w14:textId="77777777" w:rsidR="008A50DB" w:rsidRPr="00CC7919" w:rsidRDefault="008A50DB" w:rsidP="008A50DB">
      <w:pPr>
        <w:pStyle w:val="Descripcin"/>
        <w:rPr>
          <w:lang w:val="es-ES"/>
        </w:rPr>
      </w:pPr>
      <w:bookmarkStart w:id="90" w:name="_Ref335213719"/>
      <w:r>
        <w:rPr>
          <w:lang w:val="es-ES"/>
        </w:rPr>
        <w:lastRenderedPageBreak/>
        <w:t>Figura</w:t>
      </w:r>
      <w:r w:rsidRPr="00CC7919">
        <w:rPr>
          <w:lang w:val="es-ES"/>
        </w:rPr>
        <w:t xml:space="preserve"> </w:t>
      </w:r>
      <w:r>
        <w:rPr>
          <w:lang w:val="es-ES"/>
        </w:rPr>
        <w:fldChar w:fldCharType="begin"/>
      </w:r>
      <w:r w:rsidRPr="00CC7919">
        <w:rPr>
          <w:lang w:val="es-ES"/>
        </w:rPr>
        <w:instrText xml:space="preserve"> STYLEREF 1 \s \* MERGEFORMAT </w:instrText>
      </w:r>
      <w:r>
        <w:rPr>
          <w:lang w:val="es-ES"/>
        </w:rPr>
        <w:fldChar w:fldCharType="separate"/>
      </w:r>
      <w:r w:rsidR="00B426BC">
        <w:rPr>
          <w:noProof/>
          <w:lang w:val="es-ES"/>
        </w:rPr>
        <w:t>6</w:t>
      </w:r>
      <w:r>
        <w:rPr>
          <w:lang w:val="es-ES"/>
        </w:rPr>
        <w:fldChar w:fldCharType="end"/>
      </w:r>
      <w:r w:rsidRPr="00CC7919">
        <w:rPr>
          <w:lang w:val="es-ES"/>
        </w:rPr>
        <w:t>.</w:t>
      </w:r>
      <w:r>
        <w:rPr>
          <w:lang w:val="es-ES"/>
        </w:rPr>
        <w:fldChar w:fldCharType="begin"/>
      </w:r>
      <w:r w:rsidRPr="00CC7919">
        <w:rPr>
          <w:lang w:val="es-ES"/>
        </w:rPr>
        <w:instrText xml:space="preserve"> </w:instrText>
      </w:r>
      <w:r>
        <w:rPr>
          <w:lang w:val="es-ES"/>
        </w:rPr>
        <w:instrText>SEQ Ilustración</w:instrText>
      </w:r>
      <w:r w:rsidRPr="00CC7919">
        <w:rPr>
          <w:lang w:val="es-ES"/>
        </w:rPr>
        <w:instrText xml:space="preserve"> \* ARABIC \s 1 \* MERGEFORMAT </w:instrText>
      </w:r>
      <w:r>
        <w:rPr>
          <w:lang w:val="es-ES"/>
        </w:rPr>
        <w:fldChar w:fldCharType="separate"/>
      </w:r>
      <w:r w:rsidR="00B426BC">
        <w:rPr>
          <w:noProof/>
          <w:lang w:val="es-ES"/>
        </w:rPr>
        <w:t>6</w:t>
      </w:r>
      <w:r>
        <w:rPr>
          <w:lang w:val="es-ES"/>
        </w:rPr>
        <w:fldChar w:fldCharType="end"/>
      </w:r>
      <w:bookmarkEnd w:id="90"/>
      <w:r w:rsidRPr="00CC7919">
        <w:rPr>
          <w:lang w:val="es-ES"/>
        </w:rPr>
        <w:t xml:space="preserve">: </w:t>
      </w:r>
      <w:r w:rsidRPr="00A16D66">
        <w:rPr>
          <w:lang w:val="es-ES"/>
        </w:rPr>
        <w:t xml:space="preserve">Etapas </w:t>
      </w:r>
      <w:r w:rsidR="00CF0D34">
        <w:rPr>
          <w:lang w:val="es-ES"/>
        </w:rPr>
        <w:t xml:space="preserve">necesarias </w:t>
      </w:r>
      <w:r>
        <w:rPr>
          <w:lang w:val="es-ES"/>
        </w:rPr>
        <w:t>para el cálculo del LRIC p</w:t>
      </w:r>
      <w:r w:rsidRPr="00A16D66">
        <w:rPr>
          <w:lang w:val="es-ES"/>
        </w:rPr>
        <w:t xml:space="preserve">uro </w:t>
      </w:r>
      <w:r w:rsidRPr="00CC7919">
        <w:rPr>
          <w:lang w:val="es-ES"/>
        </w:rPr>
        <w:t>[</w:t>
      </w:r>
      <w:r>
        <w:rPr>
          <w:lang w:val="es-ES"/>
        </w:rPr>
        <w:t>Fuente</w:t>
      </w:r>
      <w:r w:rsidRPr="00CC7919">
        <w:rPr>
          <w:lang w:val="es-ES"/>
        </w:rPr>
        <w:t xml:space="preserve">: </w:t>
      </w:r>
      <w:proofErr w:type="spellStart"/>
      <w:r w:rsidRPr="00CC7919">
        <w:rPr>
          <w:lang w:val="es-ES"/>
        </w:rPr>
        <w:t>Analysys</w:t>
      </w:r>
      <w:proofErr w:type="spellEnd"/>
      <w:r w:rsidRPr="00CC7919">
        <w:rPr>
          <w:lang w:val="es-ES"/>
        </w:rPr>
        <w:t xml:space="preserve"> Mason]</w:t>
      </w:r>
    </w:p>
    <w:p w14:paraId="510A2C86" w14:textId="77777777" w:rsidR="00C458BA" w:rsidRDefault="00CF0D34" w:rsidP="003D55FC">
      <w:pPr>
        <w:pStyle w:val="Border"/>
        <w:jc w:val="both"/>
      </w:pPr>
      <w:r w:rsidRPr="00CF0D34">
        <w:rPr>
          <w:noProof/>
          <w:lang w:val="es-MX" w:eastAsia="es-MX"/>
        </w:rPr>
        <w:drawing>
          <wp:inline distT="0" distB="0" distL="0" distR="0" wp14:anchorId="7C71F7E2" wp14:editId="149F51F3">
            <wp:extent cx="5544185" cy="3608025"/>
            <wp:effectExtent l="0" t="0" r="0" b="0"/>
            <wp:docPr id="7" name="Picture 7" descr="Etapas necesarias para el cálculo del LRIC puro, Fuente: Analysys Mason" title="Figur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44185" cy="3608025"/>
                    </a:xfrm>
                    <a:prstGeom prst="rect">
                      <a:avLst/>
                    </a:prstGeom>
                    <a:noFill/>
                    <a:ln>
                      <a:noFill/>
                    </a:ln>
                  </pic:spPr>
                </pic:pic>
              </a:graphicData>
            </a:graphic>
          </wp:inline>
        </w:drawing>
      </w:r>
    </w:p>
    <w:p w14:paraId="0E5AF097" w14:textId="77777777" w:rsidR="00925892" w:rsidRPr="001535D7" w:rsidRDefault="0043475A" w:rsidP="001535D7">
      <w:pPr>
        <w:pStyle w:val="B1"/>
        <w:keepLines w:val="0"/>
        <w:pBdr>
          <w:top w:val="single" w:sz="4" w:space="0" w:color="D9D9D9" w:themeColor="background1" w:themeShade="D9"/>
          <w:bottom w:val="single" w:sz="4" w:space="5" w:color="D9D9D9" w:themeColor="background1" w:themeShade="D9"/>
        </w:pBdr>
        <w:shd w:val="clear" w:color="auto" w:fill="F2F2F2" w:themeFill="background1" w:themeFillShade="F2"/>
        <w:spacing w:after="0"/>
      </w:pPr>
      <w:r>
        <w:rPr>
          <w:b/>
          <w:bCs/>
        </w:rPr>
        <w:t>Concepto propuesto</w:t>
      </w:r>
      <w:r w:rsidR="00C458BA" w:rsidRPr="00E94D8A">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21</w:t>
      </w:r>
      <w:r w:rsidR="00CB05BF" w:rsidRPr="00E94D8A">
        <w:rPr>
          <w:b/>
          <w:color w:val="000000" w:themeColor="text1"/>
        </w:rPr>
        <w:fldChar w:fldCharType="end"/>
      </w:r>
      <w:r w:rsidR="00C458BA" w:rsidRPr="00E94D8A">
        <w:t xml:space="preserve">: En línea con los requisitos establecidos por </w:t>
      </w:r>
      <w:r w:rsidR="006A5EAF">
        <w:t>el IFT</w:t>
      </w:r>
      <w:r w:rsidR="00C458BA" w:rsidRPr="00E94D8A">
        <w:t>, el modelo calcula</w:t>
      </w:r>
      <w:r w:rsidR="00180942">
        <w:t>rá</w:t>
      </w:r>
      <w:r w:rsidR="00C458BA" w:rsidRPr="00E94D8A">
        <w:t xml:space="preserve"> los costos utilizando un modelo </w:t>
      </w:r>
      <w:r w:rsidR="00E31BFD">
        <w:t xml:space="preserve">LRIC puro si bien el modelo será capaz de calcular los costos mediante la metodología </w:t>
      </w:r>
      <w:r w:rsidR="00C458BA" w:rsidRPr="00E94D8A">
        <w:t xml:space="preserve">LRAIC </w:t>
      </w:r>
      <w:r w:rsidR="001535D7">
        <w:t>p</w:t>
      </w:r>
      <w:r w:rsidR="00C458BA" w:rsidRPr="00E94D8A">
        <w:t>lus (es decir CITLP)</w:t>
      </w:r>
      <w:r w:rsidR="006A5EAF">
        <w:t xml:space="preserve"> </w:t>
      </w:r>
      <w:r w:rsidR="00E31BFD">
        <w:t>de manera informativa</w:t>
      </w:r>
      <w:r w:rsidR="00C458BA" w:rsidRPr="00E94D8A">
        <w:t>.</w:t>
      </w:r>
    </w:p>
    <w:p w14:paraId="51CC9783" w14:textId="77777777" w:rsidR="00A37365" w:rsidRPr="00E94D8A" w:rsidRDefault="00A37365" w:rsidP="00A37365">
      <w:pPr>
        <w:pStyle w:val="Ttulo2"/>
      </w:pPr>
      <w:bookmarkStart w:id="91" w:name="_Ref321212516"/>
      <w:bookmarkStart w:id="92" w:name="_Toc454893689"/>
      <w:r w:rsidRPr="00E94D8A">
        <w:t>Depreciación</w:t>
      </w:r>
      <w:bookmarkEnd w:id="91"/>
      <w:bookmarkEnd w:id="92"/>
    </w:p>
    <w:p w14:paraId="30DD6172" w14:textId="77777777" w:rsidR="00A37365" w:rsidRPr="00E94D8A" w:rsidRDefault="00A37365" w:rsidP="00A37365">
      <w:pPr>
        <w:spacing w:after="120"/>
      </w:pPr>
      <w:r w:rsidRPr="00E94D8A">
        <w:t>El modelo calculará los costos de inversión y operacionales relevantes. Estos costos tendrán que ser recuperados a través del tiempo para asegurar que los operadores obtengan un retorno sobre su inversión. Para ello, se debe elegir un método de depreciación adecuado. Existen cuatro opciones:</w:t>
      </w:r>
    </w:p>
    <w:p w14:paraId="37F0189F" w14:textId="03DF092C" w:rsidR="00A37365" w:rsidRPr="00E94D8A" w:rsidRDefault="00A37365" w:rsidP="00A37365">
      <w:pPr>
        <w:pStyle w:val="ListBulletCompact"/>
      </w:pPr>
      <w:r w:rsidRPr="00E94D8A">
        <w:t>depreciación de costos contables históricos (HCA)</w:t>
      </w:r>
      <w:r w:rsidR="0087524E">
        <w:t>;</w:t>
      </w:r>
    </w:p>
    <w:p w14:paraId="10ED6D2C" w14:textId="1E6F8214" w:rsidR="00A37365" w:rsidRPr="00E94D8A" w:rsidRDefault="00A37365" w:rsidP="00A37365">
      <w:pPr>
        <w:pStyle w:val="ListBulletCompact"/>
      </w:pPr>
      <w:r w:rsidRPr="00E94D8A">
        <w:t>depreciación de costos contables corrientes (CCA)</w:t>
      </w:r>
      <w:r w:rsidR="0087524E">
        <w:t>;</w:t>
      </w:r>
    </w:p>
    <w:p w14:paraId="7F81E98D" w14:textId="36DDE95F" w:rsidR="00A37365" w:rsidRPr="00E94D8A" w:rsidRDefault="00A37365" w:rsidP="00A37365">
      <w:pPr>
        <w:pStyle w:val="ListBulletCompact"/>
      </w:pPr>
      <w:r w:rsidRPr="00E94D8A">
        <w:t>anualidad inclinada (</w:t>
      </w:r>
      <w:proofErr w:type="spellStart"/>
      <w:r w:rsidRPr="00E94D8A">
        <w:rPr>
          <w:i/>
        </w:rPr>
        <w:t>tilted</w:t>
      </w:r>
      <w:proofErr w:type="spellEnd"/>
      <w:r w:rsidRPr="00E94D8A">
        <w:rPr>
          <w:i/>
        </w:rPr>
        <w:t xml:space="preserve"> </w:t>
      </w:r>
      <w:proofErr w:type="spellStart"/>
      <w:r w:rsidRPr="00E94D8A">
        <w:rPr>
          <w:i/>
        </w:rPr>
        <w:t>annuity</w:t>
      </w:r>
      <w:proofErr w:type="spellEnd"/>
      <w:r w:rsidRPr="00E94D8A">
        <w:t>)</w:t>
      </w:r>
      <w:r w:rsidR="0087524E">
        <w:t>;</w:t>
      </w:r>
    </w:p>
    <w:p w14:paraId="35E9CBBF" w14:textId="77777777" w:rsidR="00A37365" w:rsidRPr="00E94D8A" w:rsidRDefault="00A37365" w:rsidP="00A37365">
      <w:pPr>
        <w:pStyle w:val="Listaconvietas"/>
        <w:spacing w:after="120"/>
        <w:ind w:left="360" w:hanging="360"/>
      </w:pPr>
      <w:r w:rsidRPr="00E94D8A">
        <w:t>depreciación económica.</w:t>
      </w:r>
    </w:p>
    <w:p w14:paraId="653A2C3C" w14:textId="0FEEBDF3" w:rsidR="00A37365" w:rsidRDefault="00A37365" w:rsidP="00A37365">
      <w:r w:rsidRPr="00E94D8A">
        <w:t xml:space="preserve">Se recomienda la utilización de la depreciación económica en los modelos, lo cual concuerda con lo establecido por </w:t>
      </w:r>
      <w:r w:rsidR="006A7A8B">
        <w:t>el IFT</w:t>
      </w:r>
      <w:r w:rsidRPr="00E94D8A">
        <w:t xml:space="preserve">. La </w:t>
      </w:r>
      <w:r w:rsidR="00E94D8A">
        <w:fldChar w:fldCharType="begin"/>
      </w:r>
      <w:r w:rsidR="00E94D8A">
        <w:instrText xml:space="preserve"> REF _Ref321212640 \h </w:instrText>
      </w:r>
      <w:r w:rsidR="00E94D8A">
        <w:fldChar w:fldCharType="separate"/>
      </w:r>
      <w:r w:rsidR="00B426BC">
        <w:t>Figura</w:t>
      </w:r>
      <w:r w:rsidR="00B426BC" w:rsidRPr="00E94D8A">
        <w:t xml:space="preserve"> </w:t>
      </w:r>
      <w:r w:rsidR="00B426BC">
        <w:rPr>
          <w:noProof/>
        </w:rPr>
        <w:t>6</w:t>
      </w:r>
      <w:r w:rsidR="00B426BC" w:rsidRPr="00E94D8A">
        <w:t>.</w:t>
      </w:r>
      <w:r w:rsidR="00B426BC">
        <w:rPr>
          <w:noProof/>
        </w:rPr>
        <w:t>7</w:t>
      </w:r>
      <w:r w:rsidR="00E94D8A">
        <w:fldChar w:fldCharType="end"/>
      </w:r>
      <w:r w:rsidR="00E94D8A">
        <w:t xml:space="preserve"> </w:t>
      </w:r>
      <w:r w:rsidRPr="00E94D8A">
        <w:t>muestra que solamente este método considera todos los factores relevantes potenciales de depreciación.</w:t>
      </w:r>
    </w:p>
    <w:p w14:paraId="03BFEF70" w14:textId="77777777" w:rsidR="00B11376" w:rsidRPr="00E94D8A" w:rsidRDefault="00B11376" w:rsidP="00A37365"/>
    <w:p w14:paraId="755155E7" w14:textId="77777777" w:rsidR="00A37365" w:rsidRPr="00E94D8A" w:rsidRDefault="00E94D8A" w:rsidP="00A37365">
      <w:pPr>
        <w:pStyle w:val="Descripcin"/>
        <w:rPr>
          <w:lang w:val="es-ES"/>
        </w:rPr>
      </w:pPr>
      <w:bookmarkStart w:id="93" w:name="_Ref321212640"/>
      <w:r>
        <w:rPr>
          <w:lang w:val="es-ES"/>
        </w:rPr>
        <w:t>Figura</w:t>
      </w:r>
      <w:r w:rsidR="00A37365" w:rsidRPr="00E94D8A">
        <w:rPr>
          <w:lang w:val="es-ES"/>
        </w:rPr>
        <w:t xml:space="preserve"> </w:t>
      </w:r>
      <w:r w:rsidR="00A37365" w:rsidRPr="00E94D8A">
        <w:rPr>
          <w:lang w:val="es-ES"/>
        </w:rPr>
        <w:fldChar w:fldCharType="begin"/>
      </w:r>
      <w:r w:rsidR="00A37365" w:rsidRPr="00E94D8A">
        <w:rPr>
          <w:lang w:val="es-ES"/>
        </w:rPr>
        <w:instrText xml:space="preserve"> STYLEREF 1 \s \* MERGEFORMAT </w:instrText>
      </w:r>
      <w:r w:rsidR="00A37365" w:rsidRPr="00E94D8A">
        <w:rPr>
          <w:lang w:val="es-ES"/>
        </w:rPr>
        <w:fldChar w:fldCharType="separate"/>
      </w:r>
      <w:r w:rsidR="00B426BC">
        <w:rPr>
          <w:noProof/>
          <w:lang w:val="es-ES"/>
        </w:rPr>
        <w:t>6</w:t>
      </w:r>
      <w:r w:rsidR="00A37365" w:rsidRPr="00E94D8A">
        <w:rPr>
          <w:lang w:val="es-ES"/>
        </w:rPr>
        <w:fldChar w:fldCharType="end"/>
      </w:r>
      <w:r w:rsidR="00A37365" w:rsidRPr="00E94D8A">
        <w:rPr>
          <w:lang w:val="es-ES"/>
        </w:rPr>
        <w:t>.</w:t>
      </w:r>
      <w:r w:rsidR="00A37365" w:rsidRPr="00E94D8A">
        <w:rPr>
          <w:lang w:val="es-ES"/>
        </w:rPr>
        <w:fldChar w:fldCharType="begin"/>
      </w:r>
      <w:r w:rsidR="00A37365" w:rsidRPr="00E94D8A">
        <w:rPr>
          <w:lang w:val="es-ES"/>
        </w:rPr>
        <w:instrText xml:space="preserve"> SEQ Ilustración \* ARABIC \s 1 \* MERGEFORMAT </w:instrText>
      </w:r>
      <w:r w:rsidR="00A37365" w:rsidRPr="00E94D8A">
        <w:rPr>
          <w:lang w:val="es-ES"/>
        </w:rPr>
        <w:fldChar w:fldCharType="separate"/>
      </w:r>
      <w:r w:rsidR="00B426BC">
        <w:rPr>
          <w:noProof/>
          <w:lang w:val="es-ES"/>
        </w:rPr>
        <w:t>7</w:t>
      </w:r>
      <w:r w:rsidR="00A37365" w:rsidRPr="00E94D8A">
        <w:rPr>
          <w:lang w:val="es-ES"/>
        </w:rPr>
        <w:fldChar w:fldCharType="end"/>
      </w:r>
      <w:bookmarkEnd w:id="93"/>
      <w:r w:rsidR="00A37365" w:rsidRPr="00E94D8A">
        <w:rPr>
          <w:lang w:val="es-ES"/>
        </w:rPr>
        <w:t xml:space="preserve">: Factores considerados por los métodos de depreciación [Fuente: </w:t>
      </w:r>
      <w:proofErr w:type="spellStart"/>
      <w:r w:rsidR="00A37365" w:rsidRPr="00E94D8A">
        <w:rPr>
          <w:lang w:val="es-ES"/>
        </w:rPr>
        <w:t>Analysys</w:t>
      </w:r>
      <w:proofErr w:type="spellEnd"/>
      <w:r w:rsidR="00A37365" w:rsidRPr="00E94D8A">
        <w:rPr>
          <w:lang w:val="es-ES"/>
        </w:rPr>
        <w:t xml:space="preserve"> Mason]</w:t>
      </w:r>
    </w:p>
    <w:tbl>
      <w:tblPr>
        <w:tblStyle w:val="Sombreadomedio2-nfasis1"/>
        <w:tblW w:w="8789" w:type="dxa"/>
        <w:tblInd w:w="108" w:type="dxa"/>
        <w:tblLayout w:type="fixed"/>
        <w:tblLook w:val="0420" w:firstRow="1" w:lastRow="0" w:firstColumn="0" w:lastColumn="0" w:noHBand="0" w:noVBand="1"/>
        <w:tblCaption w:val="Figura 6.7"/>
        <w:tblDescription w:val="Factores considerados por los métodos de depreciación, Fuente: Analysys Mason"/>
      </w:tblPr>
      <w:tblGrid>
        <w:gridCol w:w="4253"/>
        <w:gridCol w:w="921"/>
        <w:gridCol w:w="922"/>
        <w:gridCol w:w="1346"/>
        <w:gridCol w:w="1347"/>
      </w:tblGrid>
      <w:tr w:rsidR="00A37365" w:rsidRPr="00E94D8A" w14:paraId="0F337140" w14:textId="77777777" w:rsidTr="00A37365">
        <w:trPr>
          <w:cnfStyle w:val="100000000000" w:firstRow="1" w:lastRow="0" w:firstColumn="0" w:lastColumn="0" w:oddVBand="0" w:evenVBand="0" w:oddHBand="0" w:evenHBand="0" w:firstRowFirstColumn="0" w:firstRowLastColumn="0" w:lastRowFirstColumn="0" w:lastRowLastColumn="0"/>
        </w:trPr>
        <w:tc>
          <w:tcPr>
            <w:tcW w:w="4253" w:type="dxa"/>
            <w:tcBorders>
              <w:top w:val="single" w:sz="18" w:space="0" w:color="221F72"/>
              <w:bottom w:val="single" w:sz="18" w:space="0" w:color="221F72"/>
            </w:tcBorders>
            <w:shd w:val="solid" w:color="221F72" w:fill="221F72"/>
          </w:tcPr>
          <w:p w14:paraId="4C59844A" w14:textId="77777777" w:rsidR="00A37365" w:rsidRPr="00E94D8A" w:rsidRDefault="00A37365" w:rsidP="00A37365">
            <w:pPr>
              <w:pStyle w:val="Tablecells"/>
              <w:jc w:val="center"/>
              <w:rPr>
                <w:b w:val="0"/>
                <w:i/>
                <w:color w:val="auto"/>
                <w:lang w:val="es-ES"/>
              </w:rPr>
            </w:pPr>
          </w:p>
        </w:tc>
        <w:tc>
          <w:tcPr>
            <w:tcW w:w="921" w:type="dxa"/>
            <w:tcBorders>
              <w:top w:val="single" w:sz="18" w:space="0" w:color="221F72"/>
              <w:bottom w:val="single" w:sz="18" w:space="0" w:color="221F72"/>
            </w:tcBorders>
            <w:shd w:val="solid" w:color="221F72" w:fill="221F72"/>
          </w:tcPr>
          <w:p w14:paraId="2134F103" w14:textId="77777777" w:rsidR="00A37365" w:rsidRPr="00E94D8A" w:rsidRDefault="00A37365" w:rsidP="00A37365">
            <w:pPr>
              <w:pStyle w:val="Tablecells"/>
              <w:jc w:val="center"/>
              <w:rPr>
                <w:b w:val="0"/>
                <w:i/>
                <w:color w:val="auto"/>
                <w:lang w:val="es-ES"/>
              </w:rPr>
            </w:pPr>
            <w:r w:rsidRPr="00E94D8A">
              <w:rPr>
                <w:i/>
                <w:color w:val="auto"/>
                <w:lang w:val="es-ES"/>
              </w:rPr>
              <w:t>HCA</w:t>
            </w:r>
          </w:p>
        </w:tc>
        <w:tc>
          <w:tcPr>
            <w:tcW w:w="922" w:type="dxa"/>
            <w:tcBorders>
              <w:top w:val="single" w:sz="18" w:space="0" w:color="221F72"/>
              <w:bottom w:val="single" w:sz="18" w:space="0" w:color="221F72"/>
            </w:tcBorders>
            <w:shd w:val="solid" w:color="221F72" w:fill="221F72"/>
          </w:tcPr>
          <w:p w14:paraId="070EC9AC" w14:textId="77777777" w:rsidR="00A37365" w:rsidRPr="00E94D8A" w:rsidRDefault="00A37365" w:rsidP="00A37365">
            <w:pPr>
              <w:pStyle w:val="Tablecells"/>
              <w:jc w:val="center"/>
              <w:rPr>
                <w:b w:val="0"/>
                <w:i/>
                <w:color w:val="auto"/>
                <w:lang w:val="es-ES"/>
              </w:rPr>
            </w:pPr>
            <w:r w:rsidRPr="00E94D8A">
              <w:rPr>
                <w:i/>
                <w:color w:val="auto"/>
                <w:lang w:val="es-ES"/>
              </w:rPr>
              <w:t>CCA</w:t>
            </w:r>
          </w:p>
        </w:tc>
        <w:tc>
          <w:tcPr>
            <w:tcW w:w="1346" w:type="dxa"/>
            <w:tcBorders>
              <w:top w:val="single" w:sz="18" w:space="0" w:color="221F72"/>
              <w:bottom w:val="single" w:sz="18" w:space="0" w:color="221F72"/>
            </w:tcBorders>
            <w:shd w:val="solid" w:color="221F72" w:fill="221F72"/>
          </w:tcPr>
          <w:p w14:paraId="5D5B8D32" w14:textId="77777777" w:rsidR="00A37365" w:rsidRPr="00E94D8A" w:rsidRDefault="00A37365" w:rsidP="00A37365">
            <w:pPr>
              <w:pStyle w:val="Tablecells"/>
              <w:jc w:val="center"/>
              <w:rPr>
                <w:b w:val="0"/>
                <w:i/>
                <w:color w:val="auto"/>
                <w:lang w:val="es-ES"/>
              </w:rPr>
            </w:pPr>
            <w:r w:rsidRPr="00E94D8A">
              <w:rPr>
                <w:i/>
                <w:color w:val="auto"/>
                <w:lang w:val="es-ES"/>
              </w:rPr>
              <w:t>Anualidad</w:t>
            </w:r>
          </w:p>
        </w:tc>
        <w:tc>
          <w:tcPr>
            <w:tcW w:w="1347" w:type="dxa"/>
            <w:tcBorders>
              <w:top w:val="single" w:sz="18" w:space="0" w:color="221F72"/>
              <w:bottom w:val="single" w:sz="18" w:space="0" w:color="221F72"/>
            </w:tcBorders>
            <w:shd w:val="solid" w:color="221F72" w:fill="221F72"/>
          </w:tcPr>
          <w:p w14:paraId="1C449C78" w14:textId="77777777" w:rsidR="00A37365" w:rsidRPr="00E94D8A" w:rsidRDefault="00A37365" w:rsidP="00A37365">
            <w:pPr>
              <w:pStyle w:val="Tablecells"/>
              <w:jc w:val="center"/>
              <w:rPr>
                <w:b w:val="0"/>
                <w:i/>
                <w:color w:val="auto"/>
                <w:lang w:val="es-ES"/>
              </w:rPr>
            </w:pPr>
            <w:r w:rsidRPr="00E94D8A">
              <w:rPr>
                <w:i/>
                <w:color w:val="auto"/>
                <w:lang w:val="es-ES"/>
              </w:rPr>
              <w:t>Económica</w:t>
            </w:r>
          </w:p>
        </w:tc>
      </w:tr>
      <w:tr w:rsidR="00A37365" w:rsidRPr="00E94D8A" w14:paraId="5A309AAB" w14:textId="77777777" w:rsidTr="00A37365">
        <w:trPr>
          <w:cnfStyle w:val="000000100000" w:firstRow="0" w:lastRow="0" w:firstColumn="0" w:lastColumn="0" w:oddVBand="0" w:evenVBand="0" w:oddHBand="1" w:evenHBand="0" w:firstRowFirstColumn="0" w:firstRowLastColumn="0" w:lastRowFirstColumn="0" w:lastRowLastColumn="0"/>
        </w:trPr>
        <w:tc>
          <w:tcPr>
            <w:tcW w:w="4253" w:type="dxa"/>
            <w:tcBorders>
              <w:top w:val="single" w:sz="18" w:space="0" w:color="221F72"/>
            </w:tcBorders>
          </w:tcPr>
          <w:p w14:paraId="438C6CEE" w14:textId="77777777" w:rsidR="00A37365" w:rsidRPr="00E94D8A" w:rsidRDefault="00A37365" w:rsidP="00A37365">
            <w:pPr>
              <w:pStyle w:val="Tablecells"/>
              <w:spacing w:before="20" w:after="20"/>
              <w:rPr>
                <w:lang w:val="es-ES"/>
              </w:rPr>
            </w:pPr>
            <w:r w:rsidRPr="00E94D8A">
              <w:rPr>
                <w:lang w:val="es-ES"/>
              </w:rPr>
              <w:lastRenderedPageBreak/>
              <w:t>Costo del activo equivalente moderno (MEA) hoy</w:t>
            </w:r>
          </w:p>
        </w:tc>
        <w:tc>
          <w:tcPr>
            <w:tcW w:w="921" w:type="dxa"/>
            <w:tcBorders>
              <w:top w:val="single" w:sz="18" w:space="0" w:color="221F72"/>
            </w:tcBorders>
            <w:vAlign w:val="center"/>
          </w:tcPr>
          <w:p w14:paraId="7D3BC7A4" w14:textId="77777777" w:rsidR="00A37365" w:rsidRPr="00E94D8A" w:rsidRDefault="00A37365" w:rsidP="00A37365">
            <w:pPr>
              <w:pStyle w:val="Tablecells"/>
              <w:spacing w:before="20" w:after="20"/>
              <w:jc w:val="center"/>
              <w:rPr>
                <w:sz w:val="24"/>
                <w:lang w:val="es-ES"/>
              </w:rPr>
            </w:pPr>
          </w:p>
        </w:tc>
        <w:tc>
          <w:tcPr>
            <w:tcW w:w="922" w:type="dxa"/>
            <w:tcBorders>
              <w:top w:val="single" w:sz="18" w:space="0" w:color="221F72"/>
            </w:tcBorders>
            <w:vAlign w:val="center"/>
          </w:tcPr>
          <w:p w14:paraId="7966CEF8" w14:textId="77777777" w:rsidR="00A37365" w:rsidRPr="00E94D8A" w:rsidRDefault="00A37365" w:rsidP="00A37365">
            <w:pPr>
              <w:pStyle w:val="Tablecells"/>
              <w:spacing w:before="20" w:after="20"/>
              <w:jc w:val="center"/>
              <w:rPr>
                <w:sz w:val="24"/>
                <w:lang w:val="es-ES"/>
              </w:rPr>
            </w:pPr>
            <w:r w:rsidRPr="00E94D8A">
              <w:rPr>
                <w:sz w:val="24"/>
                <w:lang w:val="es-ES"/>
              </w:rPr>
              <w:sym w:font="Wingdings" w:char="F0FC"/>
            </w:r>
          </w:p>
        </w:tc>
        <w:tc>
          <w:tcPr>
            <w:tcW w:w="1346" w:type="dxa"/>
            <w:tcBorders>
              <w:top w:val="single" w:sz="18" w:space="0" w:color="221F72"/>
            </w:tcBorders>
            <w:vAlign w:val="center"/>
          </w:tcPr>
          <w:p w14:paraId="781EEB9D" w14:textId="77777777" w:rsidR="00A37365" w:rsidRPr="00E94D8A" w:rsidRDefault="00A37365" w:rsidP="00A37365">
            <w:pPr>
              <w:pStyle w:val="Tablecells"/>
              <w:spacing w:before="20" w:after="20"/>
              <w:jc w:val="center"/>
              <w:rPr>
                <w:sz w:val="24"/>
                <w:lang w:val="es-ES"/>
              </w:rPr>
            </w:pPr>
            <w:r w:rsidRPr="00E94D8A">
              <w:rPr>
                <w:sz w:val="24"/>
                <w:lang w:val="es-ES"/>
              </w:rPr>
              <w:sym w:font="Wingdings" w:char="F0FC"/>
            </w:r>
          </w:p>
        </w:tc>
        <w:tc>
          <w:tcPr>
            <w:tcW w:w="1347" w:type="dxa"/>
            <w:tcBorders>
              <w:top w:val="single" w:sz="18" w:space="0" w:color="221F72"/>
            </w:tcBorders>
            <w:vAlign w:val="center"/>
          </w:tcPr>
          <w:p w14:paraId="5541D90D" w14:textId="77777777" w:rsidR="00A37365" w:rsidRPr="00E94D8A" w:rsidRDefault="00A37365" w:rsidP="00A37365">
            <w:pPr>
              <w:pStyle w:val="Tablecells"/>
              <w:spacing w:before="20" w:after="20"/>
              <w:jc w:val="center"/>
              <w:rPr>
                <w:sz w:val="24"/>
                <w:lang w:val="es-ES"/>
              </w:rPr>
            </w:pPr>
            <w:r w:rsidRPr="00E94D8A">
              <w:rPr>
                <w:sz w:val="24"/>
                <w:lang w:val="es-ES"/>
              </w:rPr>
              <w:sym w:font="Wingdings" w:char="F0FC"/>
            </w:r>
          </w:p>
        </w:tc>
      </w:tr>
      <w:tr w:rsidR="00A37365" w:rsidRPr="00E94D8A" w14:paraId="7232C13F" w14:textId="77777777" w:rsidTr="00E94D8A">
        <w:tc>
          <w:tcPr>
            <w:tcW w:w="4253" w:type="dxa"/>
            <w:tcBorders>
              <w:bottom w:val="nil"/>
            </w:tcBorders>
          </w:tcPr>
          <w:p w14:paraId="15AA6EE3" w14:textId="77777777" w:rsidR="00A37365" w:rsidRPr="00E94D8A" w:rsidRDefault="00A37365" w:rsidP="00A37365">
            <w:pPr>
              <w:pStyle w:val="Tablecells"/>
              <w:spacing w:before="20" w:after="20"/>
              <w:rPr>
                <w:lang w:val="es-ES"/>
              </w:rPr>
            </w:pPr>
            <w:r w:rsidRPr="00E94D8A">
              <w:rPr>
                <w:lang w:val="es-ES"/>
              </w:rPr>
              <w:t>Pronóstico de costo del MEA</w:t>
            </w:r>
          </w:p>
        </w:tc>
        <w:tc>
          <w:tcPr>
            <w:tcW w:w="921" w:type="dxa"/>
            <w:tcBorders>
              <w:bottom w:val="nil"/>
            </w:tcBorders>
            <w:vAlign w:val="center"/>
          </w:tcPr>
          <w:p w14:paraId="466CA8FF" w14:textId="77777777" w:rsidR="00A37365" w:rsidRPr="00E94D8A" w:rsidRDefault="00A37365" w:rsidP="00A37365">
            <w:pPr>
              <w:pStyle w:val="Tablecells"/>
              <w:spacing w:before="20" w:after="20"/>
              <w:jc w:val="center"/>
              <w:rPr>
                <w:sz w:val="24"/>
                <w:lang w:val="es-ES"/>
              </w:rPr>
            </w:pPr>
          </w:p>
        </w:tc>
        <w:tc>
          <w:tcPr>
            <w:tcW w:w="922" w:type="dxa"/>
            <w:tcBorders>
              <w:bottom w:val="nil"/>
            </w:tcBorders>
            <w:vAlign w:val="center"/>
          </w:tcPr>
          <w:p w14:paraId="519C10C2" w14:textId="77777777" w:rsidR="00A37365" w:rsidRPr="00E94D8A" w:rsidRDefault="00A37365" w:rsidP="00A37365">
            <w:pPr>
              <w:pStyle w:val="Tablecells"/>
              <w:spacing w:before="20" w:after="20"/>
              <w:jc w:val="center"/>
              <w:rPr>
                <w:sz w:val="24"/>
                <w:lang w:val="es-ES"/>
              </w:rPr>
            </w:pPr>
          </w:p>
        </w:tc>
        <w:tc>
          <w:tcPr>
            <w:tcW w:w="1346" w:type="dxa"/>
            <w:tcBorders>
              <w:bottom w:val="nil"/>
            </w:tcBorders>
            <w:vAlign w:val="center"/>
          </w:tcPr>
          <w:p w14:paraId="6B3BBF4F" w14:textId="77777777" w:rsidR="00A37365" w:rsidRPr="00E94D8A" w:rsidRDefault="00A37365" w:rsidP="00A37365">
            <w:pPr>
              <w:pStyle w:val="Tablecells"/>
              <w:spacing w:before="20" w:after="20"/>
              <w:jc w:val="center"/>
              <w:rPr>
                <w:sz w:val="24"/>
                <w:lang w:val="es-ES"/>
              </w:rPr>
            </w:pPr>
            <w:r w:rsidRPr="00E94D8A">
              <w:rPr>
                <w:sz w:val="24"/>
                <w:lang w:val="es-ES"/>
              </w:rPr>
              <w:sym w:font="Wingdings" w:char="F0FC"/>
            </w:r>
          </w:p>
        </w:tc>
        <w:tc>
          <w:tcPr>
            <w:tcW w:w="1347" w:type="dxa"/>
            <w:tcBorders>
              <w:bottom w:val="nil"/>
            </w:tcBorders>
            <w:vAlign w:val="center"/>
          </w:tcPr>
          <w:p w14:paraId="6E273BEC" w14:textId="77777777" w:rsidR="00A37365" w:rsidRPr="00E94D8A" w:rsidRDefault="00A37365" w:rsidP="00A37365">
            <w:pPr>
              <w:pStyle w:val="Tablecells"/>
              <w:spacing w:before="20" w:after="20"/>
              <w:jc w:val="center"/>
              <w:rPr>
                <w:sz w:val="24"/>
                <w:lang w:val="es-ES"/>
              </w:rPr>
            </w:pPr>
            <w:r w:rsidRPr="00E94D8A">
              <w:rPr>
                <w:sz w:val="24"/>
                <w:lang w:val="es-ES"/>
              </w:rPr>
              <w:sym w:font="Wingdings" w:char="F0FC"/>
            </w:r>
          </w:p>
        </w:tc>
      </w:tr>
      <w:tr w:rsidR="00A37365" w:rsidRPr="00E94D8A" w14:paraId="205E0DDE" w14:textId="77777777" w:rsidTr="00E94D8A">
        <w:trPr>
          <w:cnfStyle w:val="000000100000" w:firstRow="0" w:lastRow="0" w:firstColumn="0" w:lastColumn="0" w:oddVBand="0" w:evenVBand="0" w:oddHBand="1" w:evenHBand="0" w:firstRowFirstColumn="0" w:firstRowLastColumn="0" w:lastRowFirstColumn="0" w:lastRowLastColumn="0"/>
        </w:trPr>
        <w:tc>
          <w:tcPr>
            <w:tcW w:w="4253" w:type="dxa"/>
            <w:tcBorders>
              <w:top w:val="nil"/>
              <w:bottom w:val="nil"/>
            </w:tcBorders>
          </w:tcPr>
          <w:p w14:paraId="202C791D" w14:textId="77777777" w:rsidR="00A37365" w:rsidRPr="00E94D8A" w:rsidRDefault="00A37365" w:rsidP="00A37365">
            <w:pPr>
              <w:pStyle w:val="Tablecells"/>
              <w:spacing w:before="20" w:after="20"/>
              <w:rPr>
                <w:lang w:val="es-ES"/>
              </w:rPr>
            </w:pPr>
            <w:r w:rsidRPr="00E94D8A">
              <w:rPr>
                <w:lang w:val="es-ES"/>
              </w:rPr>
              <w:t>Producción de la red a través del tiempo</w:t>
            </w:r>
          </w:p>
        </w:tc>
        <w:tc>
          <w:tcPr>
            <w:tcW w:w="921" w:type="dxa"/>
            <w:tcBorders>
              <w:top w:val="nil"/>
              <w:bottom w:val="nil"/>
            </w:tcBorders>
            <w:vAlign w:val="center"/>
          </w:tcPr>
          <w:p w14:paraId="652EFE50" w14:textId="77777777" w:rsidR="00A37365" w:rsidRPr="00E94D8A" w:rsidRDefault="00A37365" w:rsidP="00A37365">
            <w:pPr>
              <w:pStyle w:val="Tablecells"/>
              <w:spacing w:before="20" w:after="20"/>
              <w:jc w:val="center"/>
              <w:rPr>
                <w:sz w:val="24"/>
                <w:lang w:val="es-ES"/>
              </w:rPr>
            </w:pPr>
          </w:p>
        </w:tc>
        <w:tc>
          <w:tcPr>
            <w:tcW w:w="922" w:type="dxa"/>
            <w:tcBorders>
              <w:top w:val="nil"/>
              <w:bottom w:val="nil"/>
            </w:tcBorders>
            <w:vAlign w:val="center"/>
          </w:tcPr>
          <w:p w14:paraId="56DF266B" w14:textId="77777777" w:rsidR="00A37365" w:rsidRPr="00E94D8A" w:rsidRDefault="00A37365" w:rsidP="00A37365">
            <w:pPr>
              <w:pStyle w:val="Tablecells"/>
              <w:spacing w:before="20" w:after="20"/>
              <w:jc w:val="center"/>
              <w:rPr>
                <w:sz w:val="24"/>
                <w:lang w:val="es-ES"/>
              </w:rPr>
            </w:pPr>
          </w:p>
        </w:tc>
        <w:tc>
          <w:tcPr>
            <w:tcW w:w="1346" w:type="dxa"/>
            <w:tcBorders>
              <w:top w:val="nil"/>
              <w:bottom w:val="nil"/>
            </w:tcBorders>
            <w:vAlign w:val="center"/>
          </w:tcPr>
          <w:p w14:paraId="49D1AB2A" w14:textId="77777777" w:rsidR="00A37365" w:rsidRPr="00E94D8A" w:rsidRDefault="00A37365" w:rsidP="00A37365">
            <w:pPr>
              <w:pStyle w:val="Tablecells"/>
              <w:spacing w:before="20" w:after="20"/>
              <w:jc w:val="center"/>
              <w:rPr>
                <w:sz w:val="24"/>
                <w:lang w:val="es-ES"/>
              </w:rPr>
            </w:pPr>
            <w:r w:rsidRPr="00E94D8A">
              <w:rPr>
                <w:rStyle w:val="Refdenotaalpie"/>
                <w:lang w:val="es-ES"/>
              </w:rPr>
              <w:footnoteReference w:id="27"/>
            </w:r>
          </w:p>
        </w:tc>
        <w:tc>
          <w:tcPr>
            <w:tcW w:w="1347" w:type="dxa"/>
            <w:tcBorders>
              <w:top w:val="nil"/>
              <w:bottom w:val="nil"/>
            </w:tcBorders>
            <w:vAlign w:val="center"/>
          </w:tcPr>
          <w:p w14:paraId="0BA0515D" w14:textId="77777777" w:rsidR="00A37365" w:rsidRPr="00E94D8A" w:rsidRDefault="00A37365" w:rsidP="00A37365">
            <w:pPr>
              <w:pStyle w:val="Tablecells"/>
              <w:spacing w:before="20" w:after="20"/>
              <w:jc w:val="center"/>
              <w:rPr>
                <w:sz w:val="24"/>
                <w:lang w:val="es-ES"/>
              </w:rPr>
            </w:pPr>
            <w:r w:rsidRPr="00E94D8A">
              <w:rPr>
                <w:sz w:val="24"/>
                <w:lang w:val="es-ES"/>
              </w:rPr>
              <w:sym w:font="Wingdings" w:char="F0FC"/>
            </w:r>
          </w:p>
        </w:tc>
      </w:tr>
      <w:tr w:rsidR="00A37365" w:rsidRPr="00E94D8A" w14:paraId="367009D9" w14:textId="77777777" w:rsidTr="00E94D8A">
        <w:tc>
          <w:tcPr>
            <w:tcW w:w="4253" w:type="dxa"/>
            <w:tcBorders>
              <w:top w:val="nil"/>
              <w:bottom w:val="single" w:sz="4" w:space="0" w:color="808080"/>
            </w:tcBorders>
          </w:tcPr>
          <w:p w14:paraId="5346B026" w14:textId="77777777" w:rsidR="00A37365" w:rsidRPr="00E94D8A" w:rsidRDefault="00A37365" w:rsidP="00A37365">
            <w:pPr>
              <w:pStyle w:val="Tablecells"/>
              <w:spacing w:before="20" w:after="20"/>
              <w:rPr>
                <w:lang w:val="es-ES"/>
              </w:rPr>
            </w:pPr>
            <w:r w:rsidRPr="00E94D8A">
              <w:rPr>
                <w:lang w:val="es-ES"/>
              </w:rPr>
              <w:t>Vida financiera de los activos</w:t>
            </w:r>
          </w:p>
        </w:tc>
        <w:tc>
          <w:tcPr>
            <w:tcW w:w="921" w:type="dxa"/>
            <w:tcBorders>
              <w:top w:val="nil"/>
              <w:bottom w:val="single" w:sz="4" w:space="0" w:color="808080"/>
            </w:tcBorders>
            <w:vAlign w:val="center"/>
          </w:tcPr>
          <w:p w14:paraId="59E08BFA" w14:textId="77777777" w:rsidR="00A37365" w:rsidRPr="00E94D8A" w:rsidRDefault="00A37365" w:rsidP="00A37365">
            <w:pPr>
              <w:pStyle w:val="Tablecells"/>
              <w:spacing w:before="20" w:after="20"/>
              <w:jc w:val="center"/>
              <w:rPr>
                <w:sz w:val="24"/>
                <w:lang w:val="es-ES"/>
              </w:rPr>
            </w:pPr>
            <w:r w:rsidRPr="00E94D8A">
              <w:rPr>
                <w:sz w:val="24"/>
                <w:lang w:val="es-ES"/>
              </w:rPr>
              <w:sym w:font="Wingdings" w:char="F0FC"/>
            </w:r>
          </w:p>
        </w:tc>
        <w:tc>
          <w:tcPr>
            <w:tcW w:w="922" w:type="dxa"/>
            <w:tcBorders>
              <w:top w:val="nil"/>
              <w:bottom w:val="single" w:sz="4" w:space="0" w:color="808080"/>
            </w:tcBorders>
            <w:vAlign w:val="center"/>
          </w:tcPr>
          <w:p w14:paraId="1666DE6C" w14:textId="77777777" w:rsidR="00A37365" w:rsidRPr="00E94D8A" w:rsidRDefault="00A37365" w:rsidP="00A37365">
            <w:pPr>
              <w:pStyle w:val="Tablecells"/>
              <w:spacing w:before="20" w:after="20"/>
              <w:jc w:val="center"/>
              <w:rPr>
                <w:sz w:val="24"/>
                <w:lang w:val="es-ES"/>
              </w:rPr>
            </w:pPr>
            <w:r w:rsidRPr="00E94D8A">
              <w:rPr>
                <w:sz w:val="24"/>
                <w:lang w:val="es-ES"/>
              </w:rPr>
              <w:sym w:font="Wingdings" w:char="F0FC"/>
            </w:r>
          </w:p>
        </w:tc>
        <w:tc>
          <w:tcPr>
            <w:tcW w:w="1346" w:type="dxa"/>
            <w:tcBorders>
              <w:top w:val="nil"/>
              <w:bottom w:val="single" w:sz="4" w:space="0" w:color="808080"/>
            </w:tcBorders>
            <w:vAlign w:val="center"/>
          </w:tcPr>
          <w:p w14:paraId="036F9E98" w14:textId="77777777" w:rsidR="00A37365" w:rsidRPr="00E94D8A" w:rsidRDefault="00A37365" w:rsidP="00A37365">
            <w:pPr>
              <w:pStyle w:val="Tablecells"/>
              <w:spacing w:before="20" w:after="20"/>
              <w:jc w:val="center"/>
              <w:rPr>
                <w:b/>
                <w:bCs/>
                <w:sz w:val="24"/>
                <w:lang w:val="es-ES"/>
              </w:rPr>
            </w:pPr>
            <w:r w:rsidRPr="00E94D8A">
              <w:rPr>
                <w:sz w:val="24"/>
                <w:lang w:val="es-ES"/>
              </w:rPr>
              <w:sym w:font="Wingdings" w:char="F0FC"/>
            </w:r>
          </w:p>
        </w:tc>
        <w:tc>
          <w:tcPr>
            <w:tcW w:w="1347" w:type="dxa"/>
            <w:tcBorders>
              <w:top w:val="nil"/>
              <w:bottom w:val="single" w:sz="4" w:space="0" w:color="808080"/>
            </w:tcBorders>
            <w:vAlign w:val="center"/>
          </w:tcPr>
          <w:p w14:paraId="6C23DA06" w14:textId="77777777" w:rsidR="00A37365" w:rsidRPr="00E94D8A" w:rsidRDefault="00A37365" w:rsidP="00A37365">
            <w:pPr>
              <w:pStyle w:val="Tablecells"/>
              <w:spacing w:before="20" w:after="20"/>
              <w:jc w:val="center"/>
              <w:rPr>
                <w:b/>
                <w:bCs/>
                <w:sz w:val="24"/>
                <w:lang w:val="es-ES"/>
              </w:rPr>
            </w:pPr>
            <w:r w:rsidRPr="00E94D8A">
              <w:rPr>
                <w:sz w:val="24"/>
                <w:lang w:val="es-ES"/>
              </w:rPr>
              <w:sym w:font="Wingdings" w:char="F0FC"/>
            </w:r>
            <w:r w:rsidRPr="00E94D8A">
              <w:rPr>
                <w:rStyle w:val="Refdenotaalpie"/>
                <w:lang w:val="es-ES"/>
              </w:rPr>
              <w:footnoteReference w:id="28"/>
            </w:r>
          </w:p>
        </w:tc>
      </w:tr>
      <w:tr w:rsidR="00A37365" w:rsidRPr="00E94D8A" w14:paraId="149CAB32" w14:textId="77777777" w:rsidTr="00A37365">
        <w:trPr>
          <w:cnfStyle w:val="000000100000" w:firstRow="0" w:lastRow="0" w:firstColumn="0" w:lastColumn="0" w:oddVBand="0" w:evenVBand="0" w:oddHBand="1" w:evenHBand="0" w:firstRowFirstColumn="0" w:firstRowLastColumn="0" w:lastRowFirstColumn="0" w:lastRowLastColumn="0"/>
        </w:trPr>
        <w:tc>
          <w:tcPr>
            <w:tcW w:w="4253" w:type="dxa"/>
            <w:tcBorders>
              <w:top w:val="nil"/>
              <w:bottom w:val="single" w:sz="4" w:space="0" w:color="808080"/>
            </w:tcBorders>
          </w:tcPr>
          <w:p w14:paraId="03369271" w14:textId="77777777" w:rsidR="00A37365" w:rsidRPr="00E94D8A" w:rsidRDefault="00A37365" w:rsidP="00A37365">
            <w:pPr>
              <w:pStyle w:val="Tablecells"/>
              <w:spacing w:before="20" w:after="20"/>
              <w:rPr>
                <w:lang w:val="es-ES"/>
              </w:rPr>
            </w:pPr>
            <w:r w:rsidRPr="00E94D8A">
              <w:rPr>
                <w:lang w:val="es-ES"/>
              </w:rPr>
              <w:t>Vida económica de los activos</w:t>
            </w:r>
          </w:p>
        </w:tc>
        <w:tc>
          <w:tcPr>
            <w:tcW w:w="921" w:type="dxa"/>
            <w:tcBorders>
              <w:top w:val="nil"/>
              <w:bottom w:val="single" w:sz="4" w:space="0" w:color="808080"/>
            </w:tcBorders>
            <w:vAlign w:val="center"/>
          </w:tcPr>
          <w:p w14:paraId="5F9CACE6" w14:textId="77777777" w:rsidR="00A37365" w:rsidRPr="00E94D8A" w:rsidRDefault="00A37365" w:rsidP="00A37365">
            <w:pPr>
              <w:pStyle w:val="Tablecells"/>
              <w:spacing w:before="20" w:after="20"/>
              <w:jc w:val="center"/>
              <w:rPr>
                <w:sz w:val="24"/>
                <w:lang w:val="es-ES"/>
              </w:rPr>
            </w:pPr>
          </w:p>
        </w:tc>
        <w:tc>
          <w:tcPr>
            <w:tcW w:w="922" w:type="dxa"/>
            <w:tcBorders>
              <w:top w:val="nil"/>
              <w:bottom w:val="single" w:sz="4" w:space="0" w:color="808080"/>
            </w:tcBorders>
            <w:vAlign w:val="center"/>
          </w:tcPr>
          <w:p w14:paraId="18A1E813" w14:textId="77777777" w:rsidR="00A37365" w:rsidRPr="00E94D8A" w:rsidRDefault="00A37365" w:rsidP="00A37365">
            <w:pPr>
              <w:pStyle w:val="Tablecells"/>
              <w:spacing w:before="20" w:after="20"/>
              <w:jc w:val="center"/>
              <w:rPr>
                <w:sz w:val="24"/>
                <w:lang w:val="es-ES"/>
              </w:rPr>
            </w:pPr>
          </w:p>
        </w:tc>
        <w:tc>
          <w:tcPr>
            <w:tcW w:w="1346" w:type="dxa"/>
            <w:tcBorders>
              <w:top w:val="nil"/>
              <w:bottom w:val="single" w:sz="4" w:space="0" w:color="808080"/>
            </w:tcBorders>
            <w:vAlign w:val="center"/>
          </w:tcPr>
          <w:p w14:paraId="1650D654" w14:textId="77777777" w:rsidR="00A37365" w:rsidRPr="00E94D8A" w:rsidRDefault="00A37365" w:rsidP="00A37365">
            <w:pPr>
              <w:pStyle w:val="Tablecells"/>
              <w:spacing w:before="20" w:after="20"/>
              <w:jc w:val="center"/>
              <w:rPr>
                <w:sz w:val="24"/>
                <w:lang w:val="es-ES"/>
              </w:rPr>
            </w:pPr>
            <w:r w:rsidRPr="00E94D8A">
              <w:rPr>
                <w:sz w:val="24"/>
                <w:lang w:val="es-ES"/>
              </w:rPr>
              <w:sym w:font="Wingdings" w:char="F0FC"/>
            </w:r>
          </w:p>
        </w:tc>
        <w:tc>
          <w:tcPr>
            <w:tcW w:w="1347" w:type="dxa"/>
            <w:tcBorders>
              <w:top w:val="nil"/>
              <w:bottom w:val="single" w:sz="4" w:space="0" w:color="808080"/>
            </w:tcBorders>
            <w:vAlign w:val="center"/>
          </w:tcPr>
          <w:p w14:paraId="363B1B8C" w14:textId="77777777" w:rsidR="00A37365" w:rsidRPr="00E94D8A" w:rsidRDefault="00A37365" w:rsidP="00A37365">
            <w:pPr>
              <w:pStyle w:val="Tablecells"/>
              <w:spacing w:before="20" w:after="20"/>
              <w:jc w:val="center"/>
              <w:rPr>
                <w:sz w:val="24"/>
                <w:lang w:val="es-ES"/>
              </w:rPr>
            </w:pPr>
            <w:r w:rsidRPr="00E94D8A">
              <w:rPr>
                <w:sz w:val="24"/>
                <w:lang w:val="es-ES"/>
              </w:rPr>
              <w:sym w:font="Wingdings" w:char="F0FC"/>
            </w:r>
          </w:p>
        </w:tc>
      </w:tr>
    </w:tbl>
    <w:p w14:paraId="59604EC4" w14:textId="77777777" w:rsidR="00A37365" w:rsidRPr="00E94D8A" w:rsidRDefault="00A37365" w:rsidP="00A37365"/>
    <w:p w14:paraId="5EBA987B" w14:textId="77777777" w:rsidR="00A37365" w:rsidRPr="00E94D8A" w:rsidRDefault="00A37365" w:rsidP="00E94D8A">
      <w:r w:rsidRPr="00E94D8A">
        <w:t xml:space="preserve">La producción de la red a través del tiempo es un factor clave en la elección del método de depreciación. En lo que respecta a las redes móviles, en general los volúmenes de tráfico </w:t>
      </w:r>
      <w:r w:rsidR="00C40E98">
        <w:t xml:space="preserve">de Internet móvil </w:t>
      </w:r>
      <w:r w:rsidRPr="00E94D8A">
        <w:t xml:space="preserve">han experimentado un crecimiento significativo en los últimos años, mientras que los volúmenes de </w:t>
      </w:r>
      <w:r w:rsidR="00C40E98">
        <w:t xml:space="preserve">voz </w:t>
      </w:r>
      <w:r w:rsidRPr="00E94D8A">
        <w:t xml:space="preserve">móvil han crecido a un ritmo comparativamente más lento. </w:t>
      </w:r>
    </w:p>
    <w:p w14:paraId="37789A60" w14:textId="77777777" w:rsidR="00A37365" w:rsidRPr="00E94D8A" w:rsidRDefault="00A37365" w:rsidP="00E94D8A">
      <w:r w:rsidRPr="00E94D8A">
        <w:t>La situación en las redes fijas es aún más complicada. Durante muchos años el tráfico cursado había estado dominado por los servicios de voz y era bastante estable. En los últimos años, sin embargo, esto ha cambiado notablemente:</w:t>
      </w:r>
    </w:p>
    <w:p w14:paraId="28C719BC" w14:textId="373D16F9" w:rsidR="00A37365" w:rsidRPr="00E94D8A" w:rsidRDefault="00A37365" w:rsidP="00A37365">
      <w:pPr>
        <w:pStyle w:val="ListBulletCompact"/>
        <w:rPr>
          <w:spacing w:val="-4"/>
        </w:rPr>
      </w:pPr>
      <w:r w:rsidRPr="00E94D8A">
        <w:rPr>
          <w:spacing w:val="-4"/>
        </w:rPr>
        <w:t xml:space="preserve">los volúmenes de tráfico de voz han decrecido </w:t>
      </w:r>
      <w:r w:rsidR="0087524E">
        <w:rPr>
          <w:spacing w:val="-4"/>
        </w:rPr>
        <w:t xml:space="preserve">y </w:t>
      </w:r>
      <w:r w:rsidRPr="00E94D8A">
        <w:rPr>
          <w:spacing w:val="-4"/>
        </w:rPr>
        <w:t>e</w:t>
      </w:r>
      <w:r w:rsidR="0087524E">
        <w:rPr>
          <w:spacing w:val="-4"/>
        </w:rPr>
        <w:t>l</w:t>
      </w:r>
      <w:r w:rsidRPr="00E94D8A">
        <w:rPr>
          <w:spacing w:val="-4"/>
        </w:rPr>
        <w:t xml:space="preserve"> Internet conmutado prácticamente ya no existe</w:t>
      </w:r>
    </w:p>
    <w:p w14:paraId="7933185C" w14:textId="77777777" w:rsidR="00A37365" w:rsidRPr="00E94D8A" w:rsidRDefault="00A37365" w:rsidP="00E94D8A">
      <w:pPr>
        <w:pStyle w:val="Listaconvietas"/>
      </w:pPr>
      <w:r w:rsidRPr="00E94D8A">
        <w:t>los volúmenes de banda ancha y otros servicios de datos han aumentado considerablemente.</w:t>
      </w:r>
    </w:p>
    <w:p w14:paraId="383A842C" w14:textId="77777777" w:rsidR="00A37365" w:rsidRPr="00E94D8A" w:rsidRDefault="00A37365" w:rsidP="00A37365">
      <w:pPr>
        <w:spacing w:after="280"/>
      </w:pPr>
      <w:r w:rsidRPr="00E94D8A">
        <w:t xml:space="preserve">Por lo tanto, el uso de anualidades inclinadas también diferiría de la depreciación económica en el </w:t>
      </w:r>
      <w:proofErr w:type="spellStart"/>
      <w:r w:rsidRPr="00E94D8A">
        <w:t>costeo</w:t>
      </w:r>
      <w:proofErr w:type="spellEnd"/>
      <w:r w:rsidRPr="00E94D8A">
        <w:t xml:space="preserve"> fijo. Sin embargo, considerando la necesidad de consistencia entre los modelos fijo y móvil y que los volúmenes están cambiando en ambas redes, se debe utilizar un solo método que refleje esto situación. Esto implica que la depreciación económica debe utilizarse en ambos modelos.</w:t>
      </w:r>
    </w:p>
    <w:p w14:paraId="37ED647A" w14:textId="77777777" w:rsidR="00307FB5" w:rsidRPr="004038A7" w:rsidRDefault="0043475A" w:rsidP="00307FB5">
      <w:pPr>
        <w:pStyle w:val="B1"/>
        <w:pBdr>
          <w:top w:val="single" w:sz="4" w:space="2" w:color="D9D9D9" w:themeColor="background1" w:themeShade="D9"/>
          <w:bottom w:val="single" w:sz="4" w:space="5" w:color="D9D9D9" w:themeColor="background1" w:themeShade="D9"/>
        </w:pBdr>
        <w:shd w:val="clear" w:color="auto" w:fill="F2F2F2" w:themeFill="background1" w:themeFillShade="F2"/>
        <w:rPr>
          <w:spacing w:val="-4"/>
        </w:rPr>
      </w:pPr>
      <w:r>
        <w:rPr>
          <w:b/>
          <w:bCs/>
          <w:spacing w:val="-4"/>
        </w:rPr>
        <w:t>Concepto propuesto</w:t>
      </w:r>
      <w:r w:rsidR="00307FB5" w:rsidRPr="004038A7">
        <w:rPr>
          <w:b/>
          <w:bCs/>
          <w:spacing w:val="-4"/>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22</w:t>
      </w:r>
      <w:r w:rsidR="00CB05BF" w:rsidRPr="00E94D8A">
        <w:rPr>
          <w:b/>
          <w:color w:val="000000" w:themeColor="text1"/>
        </w:rPr>
        <w:fldChar w:fldCharType="end"/>
      </w:r>
      <w:r w:rsidR="00D30256">
        <w:rPr>
          <w:spacing w:val="-4"/>
        </w:rPr>
        <w:t>: Se utiliza</w:t>
      </w:r>
      <w:r w:rsidR="00180942">
        <w:t>rá</w:t>
      </w:r>
      <w:r w:rsidR="00307FB5" w:rsidRPr="004038A7">
        <w:rPr>
          <w:spacing w:val="-4"/>
        </w:rPr>
        <w:t xml:space="preserve"> la depreciación económica tanto en el modelo fijo como en el móvil.</w:t>
      </w:r>
    </w:p>
    <w:p w14:paraId="293463A7" w14:textId="77777777" w:rsidR="00A37365" w:rsidRDefault="00A37365" w:rsidP="0090240B">
      <w:pPr>
        <w:pStyle w:val="Ttulo3"/>
        <w:numPr>
          <w:ilvl w:val="2"/>
          <w:numId w:val="39"/>
        </w:numPr>
      </w:pPr>
      <w:r w:rsidRPr="00E94D8A">
        <w:t>Implicaciones para los modelos de costos</w:t>
      </w:r>
    </w:p>
    <w:p w14:paraId="59DFD482" w14:textId="77777777" w:rsidR="00A37365" w:rsidRPr="00E94D8A" w:rsidRDefault="00A37365" w:rsidP="00A37365">
      <w:r w:rsidRPr="00E94D8A">
        <w:t>Como la depreciación económica es un método para determinar cuál es la recuperación de costos económicamente racional debe:</w:t>
      </w:r>
    </w:p>
    <w:p w14:paraId="7AE86D11" w14:textId="77777777" w:rsidR="00A37365" w:rsidRPr="00E94D8A" w:rsidRDefault="00A37365" w:rsidP="00A37365">
      <w:pPr>
        <w:pStyle w:val="ListBulletCompact"/>
      </w:pPr>
      <w:r w:rsidRPr="00E94D8A">
        <w:t>reflejar los costos subyacentes de producción: tendencias de precio del MEA</w:t>
      </w:r>
    </w:p>
    <w:p w14:paraId="41AD3051" w14:textId="77777777" w:rsidR="00A37365" w:rsidRPr="00E94D8A" w:rsidRDefault="00A37365" w:rsidP="00A37365">
      <w:pPr>
        <w:pStyle w:val="Listaconvietas"/>
        <w:ind w:left="360" w:hanging="360"/>
      </w:pPr>
      <w:r w:rsidRPr="00E94D8A">
        <w:t>reflejar la producción de los elementos de la red en el largo plazo.</w:t>
      </w:r>
    </w:p>
    <w:p w14:paraId="2C23791B" w14:textId="7B5A1B8D" w:rsidR="00A37365" w:rsidRPr="00E94D8A" w:rsidRDefault="00A37365" w:rsidP="00A37365">
      <w:r w:rsidRPr="00E94D8A">
        <w:t xml:space="preserve">El primer factor relaciona la recuperación de costos a la de un nuevo entrante en el mercado (si el mercado es </w:t>
      </w:r>
      <w:r w:rsidR="002B1410">
        <w:t>dispu</w:t>
      </w:r>
      <w:r w:rsidR="002B1410" w:rsidRPr="00E94D8A">
        <w:t>table</w:t>
      </w:r>
      <w:r w:rsidRPr="00E94D8A">
        <w:t xml:space="preserve">) que podría ofrecer servicios </w:t>
      </w:r>
      <w:r w:rsidR="00F9251F">
        <w:t>con</w:t>
      </w:r>
      <w:r w:rsidR="00F9251F" w:rsidRPr="00E94D8A">
        <w:t xml:space="preserve"> </w:t>
      </w:r>
      <w:r w:rsidRPr="00E94D8A">
        <w:t xml:space="preserve">base </w:t>
      </w:r>
      <w:r w:rsidR="00F9251F">
        <w:t>en</w:t>
      </w:r>
      <w:r w:rsidR="00F9251F" w:rsidRPr="00E94D8A">
        <w:t xml:space="preserve"> </w:t>
      </w:r>
      <w:r w:rsidRPr="00E94D8A">
        <w:t>los costos actuales de producción.</w:t>
      </w:r>
    </w:p>
    <w:p w14:paraId="67E9C6F0" w14:textId="77777777" w:rsidR="00A37365" w:rsidRPr="00E94D8A" w:rsidRDefault="00A37365" w:rsidP="00A37365">
      <w:pPr>
        <w:rPr>
          <w:spacing w:val="-4"/>
        </w:rPr>
      </w:pPr>
      <w:r w:rsidRPr="00E94D8A">
        <w:rPr>
          <w:spacing w:val="-4"/>
        </w:rPr>
        <w:t xml:space="preserve">El segundo factor relaciona la recuperación de costos con la ‘vida’ de la red – en el sentido de que las inversiones y otros gastos van realizando a través del tiempo con la finalidad de poder recuperarlos mediante la demanda de servicio que se genera durante la vida de la operación. En un mercado </w:t>
      </w:r>
      <w:r w:rsidRPr="00E94D8A">
        <w:rPr>
          <w:spacing w:val="-4"/>
        </w:rPr>
        <w:lastRenderedPageBreak/>
        <w:t xml:space="preserve">competitivo estos retornos generan una utilidad normal en el largo plazo (por consiguiente, no extraordinaria). Todos los operadores del mercado deben realizar grandes inversiones iniciales y solo recuperan estos costos a través del tiempo. Estos dos factores no se reflejan en la depreciación histórica, que simplemente considera cuando fue adquirido un activo y en qué periodo será depreciado. </w:t>
      </w:r>
    </w:p>
    <w:p w14:paraId="0E81E5FE" w14:textId="77777777" w:rsidR="00A37365" w:rsidRPr="00E94D8A" w:rsidRDefault="00A37365" w:rsidP="00A37365">
      <w:r w:rsidRPr="00E94D8A">
        <w:t xml:space="preserve">La implementación de depreciación económica a ser usada en los modelos de costos está basada en el principio que establece que </w:t>
      </w:r>
      <w:r w:rsidRPr="00E94D8A">
        <w:rPr>
          <w:i/>
        </w:rPr>
        <w:t>todos los costos incurridos (eficientemente) deben ser completamente recuperados en forma económicamente racional</w:t>
      </w:r>
      <w:r w:rsidRPr="00E94D8A">
        <w:t xml:space="preserve">. La recuperación total de estos costos se garantiza al comprobar que el valor presente (PV) de los gastos sea igual al valor presente de los costos económicos recuperados, o alternativamente, que el valor presente neto (NPV) de los costos recuperados menos los gastos sea cero.  </w:t>
      </w:r>
    </w:p>
    <w:p w14:paraId="2860FDF8" w14:textId="77777777" w:rsidR="00A37365" w:rsidRPr="00E94D8A" w:rsidRDefault="00A37365" w:rsidP="0090240B">
      <w:pPr>
        <w:pStyle w:val="Ttulo3"/>
      </w:pPr>
      <w:r w:rsidRPr="00E94D8A">
        <w:t>Serie de tiempo</w:t>
      </w:r>
    </w:p>
    <w:p w14:paraId="2BFBCB84" w14:textId="77777777" w:rsidR="00A37365" w:rsidRPr="00E94D8A" w:rsidRDefault="00A37365" w:rsidP="00A37365">
      <w:pPr>
        <w:rPr>
          <w:rFonts w:eastAsia="MS Mincho"/>
        </w:rPr>
      </w:pPr>
      <w:r w:rsidRPr="00E94D8A">
        <w:rPr>
          <w:rFonts w:eastAsia="MS Mincho"/>
        </w:rPr>
        <w:t>La serie de tiempo, o el número de años para el que se calcularan los volúmenes de demanda y activos, es un insumo muy importante. Una serie de tiempo larga:</w:t>
      </w:r>
    </w:p>
    <w:p w14:paraId="75BB582C" w14:textId="77777777" w:rsidR="00A37365" w:rsidRPr="00E94D8A" w:rsidRDefault="00A37365" w:rsidP="00A37365">
      <w:pPr>
        <w:pStyle w:val="ListBulletCompact"/>
      </w:pPr>
      <w:r w:rsidRPr="00E94D8A">
        <w:t>permite que se consideren todos los costos en el tiempo, suministrando la mayor claridad dentro del modelo en relación a las implicaciones de adoptar depreciación económica.</w:t>
      </w:r>
    </w:p>
    <w:p w14:paraId="2F328C4B" w14:textId="77777777" w:rsidR="00A37365" w:rsidRPr="00E94D8A" w:rsidRDefault="00A37365" w:rsidP="00A37365">
      <w:pPr>
        <w:pStyle w:val="ListBulletCompact"/>
      </w:pPr>
      <w:r w:rsidRPr="00E94D8A">
        <w:t xml:space="preserve">puede ser utilizado para estimar grandes pérdidas/ganancias resultantes de cambios en el costeo, permitiendo mayor transparencia sobre la recuperación de todos los costos incurridos por proveer los servicios </w:t>
      </w:r>
    </w:p>
    <w:p w14:paraId="413CD9E9" w14:textId="77777777" w:rsidR="00A37365" w:rsidRPr="00E94D8A" w:rsidRDefault="00A37365" w:rsidP="00A37365">
      <w:pPr>
        <w:pStyle w:val="ListBulletCompact"/>
      </w:pPr>
      <w:r w:rsidRPr="00E94D8A">
        <w:t>genera una gran cantidad de información para entender como varían los costos del operador modelado a través del tiempo en respuesta a cambios en la demanda o la evolución de la red</w:t>
      </w:r>
    </w:p>
    <w:p w14:paraId="5680901E" w14:textId="77777777" w:rsidR="00A37365" w:rsidRPr="00E94D8A" w:rsidRDefault="00A37365" w:rsidP="00A37365">
      <w:pPr>
        <w:pStyle w:val="Listaconvietas"/>
        <w:ind w:left="360" w:hanging="360"/>
      </w:pPr>
      <w:r w:rsidRPr="00E94D8A">
        <w:t>puede incluir otras formas de deprecación con un esfuerzo mínimo.</w:t>
      </w:r>
    </w:p>
    <w:p w14:paraId="1D25ABE3" w14:textId="77777777" w:rsidR="00A37365" w:rsidRPr="00E94D8A" w:rsidRDefault="00A37365" w:rsidP="00A37365">
      <w:r w:rsidRPr="00E94D8A">
        <w:t xml:space="preserve">La serie de tiempo debería ser igual a la vida del operador, permitiendo la recuperación total de los costos en la vida del negocio, mas no es práctico identificar que tan larga será </w:t>
      </w:r>
      <w:r w:rsidR="00C40E98">
        <w:t>é</w:t>
      </w:r>
      <w:r w:rsidR="00C40E98" w:rsidRPr="00E94D8A">
        <w:t>sta</w:t>
      </w:r>
      <w:r w:rsidRPr="00E94D8A">
        <w:t>. Debido a esto, se propone utilizar una serie de tiempo que sea por lo menos tan larga como la vida del activo más longevo y que ambos modelos utilicen esta serie de tiempo.</w:t>
      </w:r>
    </w:p>
    <w:p w14:paraId="493FE6E6" w14:textId="77777777" w:rsidR="00A37365" w:rsidRPr="00E94D8A" w:rsidRDefault="00A37365" w:rsidP="00A37365">
      <w:pPr>
        <w:rPr>
          <w:rFonts w:eastAsia="MS Mincho"/>
        </w:rPr>
      </w:pPr>
      <w:r w:rsidRPr="00E94D8A">
        <w:rPr>
          <w:rFonts w:eastAsia="MS Mincho"/>
        </w:rPr>
        <w:t>Para un operador móvil, las vidas más largas de los activos son normalmente entre 25 y 40 años por lo que se llegan a utilizar series de tiempo de hasta 50 años. Sin embargo, se pueden asumir vidas aún más largas para algunos activos de las redes fijas como los túneles y ductos. Como resultado, puede ser necesario desarrollar un modelo capaz de calcular costos de activos con vidas de al menos 50 años.</w:t>
      </w:r>
    </w:p>
    <w:p w14:paraId="3389F1AD" w14:textId="77777777" w:rsidR="00A37365" w:rsidRPr="004038A7" w:rsidRDefault="00A37365" w:rsidP="00A37365">
      <w:pPr>
        <w:pStyle w:val="Ttulo4"/>
        <w:rPr>
          <w:rFonts w:eastAsia="MS Mincho"/>
          <w:b/>
        </w:rPr>
      </w:pPr>
      <w:r w:rsidRPr="004038A7">
        <w:rPr>
          <w:rFonts w:eastAsia="MS Mincho"/>
          <w:b/>
        </w:rPr>
        <w:t>Implementación de la previsión de tráfico durante la serie de tiempo definida</w:t>
      </w:r>
    </w:p>
    <w:p w14:paraId="4E0957CF" w14:textId="77777777" w:rsidR="00A37365" w:rsidRPr="00E94D8A" w:rsidRDefault="0028542F" w:rsidP="00A37365">
      <w:r>
        <w:t>Dado que</w:t>
      </w:r>
      <w:r w:rsidR="00A37365" w:rsidRPr="00E94D8A">
        <w:t xml:space="preserve"> no sería realista efectuar una previsión detallada y precisa para el periodo total del modelo, el modelo pretende efectuar una previsión para un periodo razonable de tiempo que cubra un periodo similar al </w:t>
      </w:r>
      <w:r>
        <w:t>periodo regulatorio (de cuatro a diez</w:t>
      </w:r>
      <w:r w:rsidR="00A37365" w:rsidRPr="00E94D8A">
        <w:t xml:space="preserve"> años). </w:t>
      </w:r>
    </w:p>
    <w:p w14:paraId="577A717F" w14:textId="77777777" w:rsidR="00A37365" w:rsidRPr="00E94D8A" w:rsidRDefault="00A37365" w:rsidP="00A37365">
      <w:r w:rsidRPr="00E94D8A">
        <w:lastRenderedPageBreak/>
        <w:t>El modelo se limita a modelar tecnologías existentes y no prevé introducir tecnologías que puedan aparecer en el futuro y no estén presentes actualmente en México.</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A37365" w:rsidRPr="00E94D8A" w14:paraId="512BB6AE" w14:textId="77777777" w:rsidTr="00A37365">
        <w:tc>
          <w:tcPr>
            <w:tcW w:w="6576" w:type="dxa"/>
            <w:tcBorders>
              <w:right w:val="single" w:sz="4" w:space="0" w:color="auto"/>
            </w:tcBorders>
            <w:shd w:val="clear" w:color="auto" w:fill="auto"/>
          </w:tcPr>
          <w:p w14:paraId="0F60F20D" w14:textId="77777777" w:rsidR="00A37365" w:rsidRPr="00E94D8A" w:rsidRDefault="00A37365" w:rsidP="00A37365">
            <w:pPr>
              <w:pStyle w:val="Bordersmall"/>
              <w:rPr>
                <w:lang w:val="es-ES"/>
              </w:rPr>
            </w:pPr>
            <w:r w:rsidRPr="00E94D8A">
              <w:rPr>
                <w:noProof/>
                <w:lang w:val="es-MX" w:eastAsia="es-MX"/>
              </w:rPr>
              <w:drawing>
                <wp:inline distT="0" distB="0" distL="0" distR="0" wp14:anchorId="11E6374A" wp14:editId="563EDEC4">
                  <wp:extent cx="4169410" cy="1810385"/>
                  <wp:effectExtent l="0" t="0" r="0" b="0"/>
                  <wp:docPr id="29" name="Picture 29" descr="Ejemplo de la evolución del mercado para los modelos fijo y móvil, Fuente: Analysys Mason" title="Figur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69410" cy="1810385"/>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15329931" w14:textId="77777777" w:rsidR="00A37365" w:rsidRPr="00E94D8A" w:rsidRDefault="00A37365" w:rsidP="00E94D8A">
            <w:pPr>
              <w:pStyle w:val="Captionsmall"/>
              <w:rPr>
                <w:lang w:val="es-ES"/>
              </w:rPr>
            </w:pPr>
            <w:bookmarkStart w:id="94" w:name="_Ref321212669"/>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6</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SEQ Ilustración \* ARABIC \s 1 \* MERGEFORMAT </w:instrText>
            </w:r>
            <w:r w:rsidRPr="00E94D8A">
              <w:rPr>
                <w:lang w:val="es-ES"/>
              </w:rPr>
              <w:fldChar w:fldCharType="separate"/>
            </w:r>
            <w:r w:rsidR="00B426BC">
              <w:rPr>
                <w:noProof/>
                <w:lang w:val="es-ES"/>
              </w:rPr>
              <w:t>8</w:t>
            </w:r>
            <w:r w:rsidRPr="00E94D8A">
              <w:rPr>
                <w:lang w:val="es-ES"/>
              </w:rPr>
              <w:fldChar w:fldCharType="end"/>
            </w:r>
            <w:bookmarkEnd w:id="94"/>
            <w:r w:rsidRPr="00E94D8A">
              <w:rPr>
                <w:lang w:val="es-ES"/>
              </w:rPr>
              <w:t xml:space="preserve">: Ejemplo de </w:t>
            </w:r>
            <w:r w:rsidR="0028542F">
              <w:rPr>
                <w:lang w:val="es-ES"/>
              </w:rPr>
              <w:t xml:space="preserve">la </w:t>
            </w:r>
            <w:r w:rsidRPr="00E94D8A">
              <w:rPr>
                <w:lang w:val="es-ES"/>
              </w:rPr>
              <w:t>evolución de</w:t>
            </w:r>
            <w:r w:rsidR="0028542F">
              <w:rPr>
                <w:lang w:val="es-ES"/>
              </w:rPr>
              <w:t>l</w:t>
            </w:r>
            <w:r w:rsidRPr="00E94D8A">
              <w:rPr>
                <w:lang w:val="es-ES"/>
              </w:rPr>
              <w:t xml:space="preserve"> mercado para los modelos fijo y móvil [Fuente: </w:t>
            </w:r>
            <w:proofErr w:type="spellStart"/>
            <w:r w:rsidRPr="00E94D8A">
              <w:rPr>
                <w:lang w:val="es-ES"/>
              </w:rPr>
              <w:t>Analysys</w:t>
            </w:r>
            <w:proofErr w:type="spellEnd"/>
            <w:r w:rsidRPr="00E94D8A">
              <w:rPr>
                <w:lang w:val="es-ES"/>
              </w:rPr>
              <w:t xml:space="preserve"> Mason]</w:t>
            </w:r>
          </w:p>
        </w:tc>
      </w:tr>
    </w:tbl>
    <w:p w14:paraId="150C0ECD" w14:textId="77777777" w:rsidR="00A37365" w:rsidRPr="00E94D8A" w:rsidRDefault="00A37365" w:rsidP="00A37365"/>
    <w:p w14:paraId="0AA07CEF" w14:textId="78BC0036" w:rsidR="00A37365" w:rsidRPr="00E94D8A" w:rsidRDefault="00A37365" w:rsidP="00A37365">
      <w:r w:rsidRPr="00E94D8A">
        <w:t>Como ilustra la</w:t>
      </w:r>
      <w:r w:rsidR="00E94D8A">
        <w:t xml:space="preserve"> </w:t>
      </w:r>
      <w:r w:rsidR="00E94D8A">
        <w:fldChar w:fldCharType="begin"/>
      </w:r>
      <w:r w:rsidR="00E94D8A">
        <w:instrText xml:space="preserve"> REF _Ref321212669 \h </w:instrText>
      </w:r>
      <w:r w:rsidR="00E94D8A">
        <w:fldChar w:fldCharType="separate"/>
      </w:r>
      <w:r w:rsidR="00B426BC" w:rsidRPr="00E94D8A">
        <w:t>Figur</w:t>
      </w:r>
      <w:r w:rsidR="00B426BC">
        <w:t>a</w:t>
      </w:r>
      <w:r w:rsidR="00B426BC" w:rsidRPr="00E94D8A">
        <w:t xml:space="preserve"> </w:t>
      </w:r>
      <w:r w:rsidR="00B426BC">
        <w:rPr>
          <w:noProof/>
        </w:rPr>
        <w:t>6</w:t>
      </w:r>
      <w:r w:rsidR="00B426BC" w:rsidRPr="00E94D8A">
        <w:t>.</w:t>
      </w:r>
      <w:r w:rsidR="00B426BC">
        <w:rPr>
          <w:noProof/>
        </w:rPr>
        <w:t>8</w:t>
      </w:r>
      <w:r w:rsidR="00E94D8A">
        <w:fldChar w:fldCharType="end"/>
      </w:r>
      <w:r w:rsidRPr="00E94D8A">
        <w:t xml:space="preserve">, se </w:t>
      </w:r>
      <w:r w:rsidR="0028542F">
        <w:t xml:space="preserve">prevé que </w:t>
      </w:r>
      <w:r w:rsidRPr="00E94D8A">
        <w:t>el</w:t>
      </w:r>
      <w:r w:rsidR="0028542F">
        <w:t xml:space="preserve"> tráfico y el número de suscriptores se </w:t>
      </w:r>
      <w:r w:rsidR="0017416C">
        <w:t>estabilicen</w:t>
      </w:r>
      <w:r w:rsidR="0028542F">
        <w:t xml:space="preserve"> </w:t>
      </w:r>
      <w:r w:rsidRPr="00E94D8A">
        <w:t>tras el periodo regulatorio por varias razones:</w:t>
      </w:r>
    </w:p>
    <w:p w14:paraId="49E5819D" w14:textId="77777777" w:rsidR="00A37365" w:rsidRPr="00E94D8A" w:rsidRDefault="00A37365" w:rsidP="00A37365">
      <w:pPr>
        <w:pStyle w:val="ListBulletCompact"/>
      </w:pPr>
      <w:r w:rsidRPr="00E94D8A">
        <w:t>limitar el impacto de errores asociados a un periodo demasiado largo (nuevas tecnologías desconocidas, etc.)</w:t>
      </w:r>
    </w:p>
    <w:p w14:paraId="04AA44FF" w14:textId="77777777" w:rsidR="00A37365" w:rsidRPr="00E94D8A" w:rsidRDefault="00A37365" w:rsidP="00A37365">
      <w:pPr>
        <w:pStyle w:val="Listaconvietas"/>
        <w:ind w:left="360" w:hanging="360"/>
      </w:pPr>
      <w:r w:rsidRPr="00E94D8A">
        <w:t>limitar el impacto que tendría un exceso de demanda en años posteriores sobre el costo final de los servicios modelados debido a la depreciación económica</w:t>
      </w:r>
      <w:r w:rsidR="0028542F">
        <w:t>.</w:t>
      </w:r>
    </w:p>
    <w:p w14:paraId="13259FC4" w14:textId="4ADFDCF1" w:rsidR="00A37365" w:rsidRPr="004038A7" w:rsidRDefault="00A37365" w:rsidP="00A37365">
      <w:pPr>
        <w:pStyle w:val="Ttulo4"/>
        <w:rPr>
          <w:b/>
        </w:rPr>
      </w:pPr>
      <w:r w:rsidRPr="004038A7">
        <w:rPr>
          <w:b/>
        </w:rPr>
        <w:t xml:space="preserve">Impacto sobre la vida útil de las </w:t>
      </w:r>
      <w:r w:rsidR="002B1410">
        <w:rPr>
          <w:b/>
        </w:rPr>
        <w:t>concesiones</w:t>
      </w:r>
      <w:r w:rsidR="002B1410" w:rsidRPr="004038A7">
        <w:rPr>
          <w:b/>
        </w:rPr>
        <w:t xml:space="preserve"> </w:t>
      </w:r>
      <w:r w:rsidRPr="004038A7">
        <w:rPr>
          <w:b/>
        </w:rPr>
        <w:t>móviles</w:t>
      </w:r>
    </w:p>
    <w:p w14:paraId="256ECD5D" w14:textId="76FB1FC0" w:rsidR="00E94D8A" w:rsidRDefault="00A37365" w:rsidP="0090240B">
      <w:r w:rsidRPr="00E94D8A">
        <w:t xml:space="preserve">Para alinear la duración de las </w:t>
      </w:r>
      <w:r w:rsidR="002B1410">
        <w:t>concesione</w:t>
      </w:r>
      <w:r w:rsidR="002B1410" w:rsidRPr="00E94D8A">
        <w:t xml:space="preserve">s </w:t>
      </w:r>
      <w:r w:rsidRPr="00E94D8A">
        <w:t>móviles con la serie de tiempo elegida para el modelo –</w:t>
      </w:r>
      <w:r w:rsidR="0028542F">
        <w:t xml:space="preserve"> </w:t>
      </w:r>
      <w:r w:rsidRPr="00E94D8A">
        <w:t xml:space="preserve">equivalente a 50 años – se asume que cada </w:t>
      </w:r>
      <w:r w:rsidR="002B1410">
        <w:t>concesión</w:t>
      </w:r>
      <w:r w:rsidR="002B1410" w:rsidRPr="00E94D8A">
        <w:t xml:space="preserve"> </w:t>
      </w:r>
      <w:r w:rsidRPr="00E94D8A">
        <w:t xml:space="preserve">es válida durante </w:t>
      </w:r>
      <w:r w:rsidR="0028542F">
        <w:t xml:space="preserve">un periodo de </w:t>
      </w:r>
      <w:r w:rsidRPr="00E94D8A">
        <w:t>20 años y después renovable cada 15 años.</w:t>
      </w:r>
    </w:p>
    <w:p w14:paraId="26C9343D" w14:textId="77777777" w:rsidR="00307FB5" w:rsidRPr="00E94D8A" w:rsidRDefault="0043475A" w:rsidP="00307FB5">
      <w:pPr>
        <w:pStyle w:val="B1"/>
        <w:pBdr>
          <w:top w:val="single" w:sz="4" w:space="2" w:color="D9D9D9" w:themeColor="background1" w:themeShade="D9"/>
          <w:bottom w:val="single" w:sz="4" w:space="5" w:color="D9D9D9" w:themeColor="background1" w:themeShade="D9"/>
        </w:pBdr>
        <w:shd w:val="clear" w:color="auto" w:fill="F2F2F2" w:themeFill="background1" w:themeFillShade="F2"/>
        <w:rPr>
          <w:color w:val="000000"/>
        </w:rPr>
      </w:pPr>
      <w:bookmarkStart w:id="95" w:name="_Ref321212522"/>
      <w:r>
        <w:rPr>
          <w:b/>
          <w:bCs/>
        </w:rPr>
        <w:t>Concepto propuesto</w:t>
      </w:r>
      <w:r w:rsidR="00307FB5" w:rsidRPr="00E94D8A">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23</w:t>
      </w:r>
      <w:r w:rsidR="00CB05BF" w:rsidRPr="00E94D8A">
        <w:rPr>
          <w:b/>
          <w:color w:val="000000" w:themeColor="text1"/>
        </w:rPr>
        <w:fldChar w:fldCharType="end"/>
      </w:r>
      <w:r w:rsidR="00307FB5" w:rsidRPr="00E94D8A">
        <w:t xml:space="preserve">: Ambos modelos deben tener la misma serie de tiempo. </w:t>
      </w:r>
      <w:r w:rsidR="00307FB5">
        <w:t xml:space="preserve">El horizonte temporal </w:t>
      </w:r>
      <w:r w:rsidR="00180942">
        <w:t>será</w:t>
      </w:r>
      <w:r w:rsidR="00307FB5" w:rsidRPr="00E94D8A">
        <w:t xml:space="preserve"> al menos tan </w:t>
      </w:r>
      <w:r w:rsidR="00307FB5">
        <w:t xml:space="preserve">amplio </w:t>
      </w:r>
      <w:r w:rsidR="00307FB5" w:rsidRPr="00E94D8A">
        <w:t xml:space="preserve">como </w:t>
      </w:r>
      <w:r w:rsidR="00307FB5">
        <w:t xml:space="preserve">el periodo más largo de vida </w:t>
      </w:r>
      <w:r w:rsidR="00307FB5" w:rsidRPr="00E94D8A">
        <w:t>de</w:t>
      </w:r>
      <w:r w:rsidR="00307FB5">
        <w:t xml:space="preserve"> los activos</w:t>
      </w:r>
      <w:r w:rsidR="00307FB5" w:rsidRPr="00E94D8A">
        <w:t>, por lo que se sugiere</w:t>
      </w:r>
      <w:r w:rsidR="00307FB5">
        <w:t xml:space="preserve"> que los modelos se construyan incorporando un horizonte temporal de</w:t>
      </w:r>
      <w:r w:rsidR="00307FB5" w:rsidRPr="00E94D8A">
        <w:t xml:space="preserve"> 50 años.</w:t>
      </w:r>
    </w:p>
    <w:p w14:paraId="0FE5DEA1" w14:textId="77777777" w:rsidR="00A37365" w:rsidRDefault="00A37365" w:rsidP="00A37365">
      <w:pPr>
        <w:pStyle w:val="Ttulo2"/>
      </w:pPr>
      <w:bookmarkStart w:id="96" w:name="_Ref452739943"/>
      <w:bookmarkStart w:id="97" w:name="_Toc454893690"/>
      <w:r w:rsidRPr="00E94D8A">
        <w:t>Costo de capital promedio ponderado (CCPP)</w:t>
      </w:r>
      <w:bookmarkEnd w:id="95"/>
      <w:bookmarkEnd w:id="96"/>
      <w:bookmarkEnd w:id="97"/>
    </w:p>
    <w:p w14:paraId="009A917F" w14:textId="77777777" w:rsidR="00A37365" w:rsidRPr="00E94D8A" w:rsidRDefault="00A37365" w:rsidP="00A37365">
      <w:r w:rsidRPr="00E94D8A">
        <w:t xml:space="preserve">El modelo debe incluir un retorno razonable sobre los activos, determinado a través del </w:t>
      </w:r>
      <w:r w:rsidR="00CE4B8A">
        <w:t>costo</w:t>
      </w:r>
      <w:r w:rsidRPr="00E94D8A">
        <w:t xml:space="preserve"> de capital promedio ponderado (CCPP). El CCPP antes de impuestos se calcula de la siguiente forma:</w:t>
      </w:r>
    </w:p>
    <w:p w14:paraId="44CC61CB" w14:textId="3691C2EA" w:rsidR="00A37365" w:rsidRPr="00E94D8A" w:rsidRDefault="002C5C2B" w:rsidP="00A37365">
      <w:pPr>
        <w:jc w:val="center"/>
      </w:pPr>
      <w:r w:rsidRPr="00E94D8A">
        <w:rPr>
          <w:position w:val="-24"/>
        </w:rPr>
        <w:object w:dxaOrig="3300" w:dyaOrig="620" w14:anchorId="0ABAA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órmula" style="width:163.5pt;height:30.75pt" o:ole="">
            <v:imagedata r:id="rId40" o:title=""/>
          </v:shape>
          <o:OLEObject Type="Embed" ProgID="Equation.3" ShapeID="_x0000_i1025" DrawAspect="Content" ObjectID="_1538929418" r:id="rId41"/>
        </w:object>
      </w:r>
    </w:p>
    <w:p w14:paraId="6FD08C79" w14:textId="77777777" w:rsidR="00A37365" w:rsidRPr="00E94D8A" w:rsidRDefault="0043475A" w:rsidP="00A37365">
      <w:pPr>
        <w:pStyle w:val="01"/>
      </w:pPr>
      <w:r w:rsidRPr="00E94D8A">
        <w:t>Dónde</w:t>
      </w:r>
      <w:r w:rsidR="00A37365" w:rsidRPr="00E94D8A">
        <w:t>:</w:t>
      </w:r>
    </w:p>
    <w:p w14:paraId="2EAA008F" w14:textId="77777777" w:rsidR="00A37365" w:rsidRPr="00E94D8A" w:rsidRDefault="00A37365" w:rsidP="00A37365">
      <w:pPr>
        <w:pStyle w:val="01"/>
      </w:pPr>
    </w:p>
    <w:p w14:paraId="4AE43881" w14:textId="03F9680C" w:rsidR="00A37365" w:rsidRPr="00E94D8A" w:rsidRDefault="002C5C2B" w:rsidP="00A37365">
      <w:pPr>
        <w:pStyle w:val="01"/>
      </w:pPr>
      <w:r w:rsidRPr="00E94D8A">
        <w:rPr>
          <w:position w:val="-12"/>
        </w:rPr>
        <w:object w:dxaOrig="320" w:dyaOrig="360" w14:anchorId="36A6A26A">
          <v:shape id="_x0000_i1026" type="#_x0000_t75" alt="Fórmula" style="width:19.5pt;height:19.5pt" o:ole="">
            <v:imagedata r:id="rId42" o:title=""/>
          </v:shape>
          <o:OLEObject Type="Embed" ProgID="Equation.3" ShapeID="_x0000_i1026" DrawAspect="Content" ObjectID="_1538929419" r:id="rId43"/>
        </w:object>
      </w:r>
      <w:r w:rsidR="00A37365" w:rsidRPr="00E94D8A">
        <w:t xml:space="preserve"> </w:t>
      </w:r>
      <w:proofErr w:type="gramStart"/>
      <w:r w:rsidR="00A37365" w:rsidRPr="00E94D8A">
        <w:t>es</w:t>
      </w:r>
      <w:proofErr w:type="gramEnd"/>
      <w:r w:rsidR="00A37365" w:rsidRPr="00E94D8A">
        <w:t xml:space="preserve"> el costo de la deuda</w:t>
      </w:r>
    </w:p>
    <w:p w14:paraId="30587C70" w14:textId="5D700260" w:rsidR="00A37365" w:rsidRPr="00E94D8A" w:rsidRDefault="002C5C2B" w:rsidP="00A37365">
      <w:pPr>
        <w:pStyle w:val="01"/>
      </w:pPr>
      <w:r w:rsidRPr="00E94D8A">
        <w:rPr>
          <w:position w:val="-12"/>
        </w:rPr>
        <w:object w:dxaOrig="300" w:dyaOrig="360" w14:anchorId="31B1960C">
          <v:shape id="_x0000_i1027" type="#_x0000_t75" alt="Fórmula" style="width:15pt;height:19.5pt" o:ole="">
            <v:imagedata r:id="rId44" o:title=""/>
          </v:shape>
          <o:OLEObject Type="Embed" ProgID="Equation.3" ShapeID="_x0000_i1027" DrawAspect="Content" ObjectID="_1538929420" r:id="rId45"/>
        </w:object>
      </w:r>
      <w:r w:rsidR="00A37365" w:rsidRPr="00E94D8A">
        <w:t xml:space="preserve"> </w:t>
      </w:r>
      <w:proofErr w:type="gramStart"/>
      <w:r w:rsidR="00A37365" w:rsidRPr="00E94D8A">
        <w:t>es</w:t>
      </w:r>
      <w:proofErr w:type="gramEnd"/>
      <w:r w:rsidR="00A37365" w:rsidRPr="00E94D8A">
        <w:t xml:space="preserve"> el costo del capital de la empresa antes de impuestos</w:t>
      </w:r>
    </w:p>
    <w:p w14:paraId="4DAAAAC8" w14:textId="77777777" w:rsidR="00A37365" w:rsidRPr="00E94D8A" w:rsidRDefault="00A37365" w:rsidP="00A37365">
      <w:pPr>
        <w:pStyle w:val="01"/>
      </w:pPr>
      <w:r w:rsidRPr="00E94D8A">
        <w:rPr>
          <w:position w:val="-4"/>
        </w:rPr>
        <w:object w:dxaOrig="260" w:dyaOrig="260" w14:anchorId="04D62686">
          <v:shape id="_x0000_i1028" type="#_x0000_t75" style="width:14.25pt;height:14.25pt" o:ole="" o:bullet="t">
            <v:imagedata r:id="rId46" o:title=""/>
          </v:shape>
          <o:OLEObject Type="Embed" ProgID="Equation.3" ShapeID="_x0000_i1028" DrawAspect="Content" ObjectID="_1538929421" r:id="rId47"/>
        </w:object>
      </w:r>
      <w:r w:rsidRPr="00E94D8A">
        <w:t xml:space="preserve"> </w:t>
      </w:r>
      <w:proofErr w:type="gramStart"/>
      <w:r w:rsidRPr="00E94D8A">
        <w:t>es</w:t>
      </w:r>
      <w:proofErr w:type="gramEnd"/>
      <w:r w:rsidRPr="00E94D8A">
        <w:t xml:space="preserve"> el valor de la deuda del operador</w:t>
      </w:r>
    </w:p>
    <w:p w14:paraId="2766892F" w14:textId="77777777" w:rsidR="00A37365" w:rsidRPr="00E94D8A" w:rsidRDefault="00A37365" w:rsidP="00A37365">
      <w:r w:rsidRPr="00E94D8A">
        <w:rPr>
          <w:position w:val="-4"/>
        </w:rPr>
        <w:object w:dxaOrig="240" w:dyaOrig="260" w14:anchorId="2690A631">
          <v:shape id="_x0000_i1029" type="#_x0000_t75" style="width:12.75pt;height:14.25pt" o:ole="" o:bullet="t">
            <v:imagedata r:id="rId48" o:title=""/>
          </v:shape>
          <o:OLEObject Type="Embed" ProgID="Equation.3" ShapeID="_x0000_i1029" DrawAspect="Content" ObjectID="_1538929422" r:id="rId49"/>
        </w:object>
      </w:r>
      <w:r w:rsidRPr="00E94D8A">
        <w:t xml:space="preserve"> </w:t>
      </w:r>
      <w:proofErr w:type="gramStart"/>
      <w:r w:rsidRPr="00E94D8A">
        <w:t>es</w:t>
      </w:r>
      <w:proofErr w:type="gramEnd"/>
      <w:r w:rsidRPr="00E94D8A">
        <w:t xml:space="preserve"> el valor del capital (</w:t>
      </w:r>
      <w:proofErr w:type="spellStart"/>
      <w:r w:rsidRPr="00E94D8A">
        <w:rPr>
          <w:i/>
        </w:rPr>
        <w:t>equity</w:t>
      </w:r>
      <w:proofErr w:type="spellEnd"/>
      <w:r w:rsidRPr="00E94D8A">
        <w:t>) del operador</w:t>
      </w:r>
    </w:p>
    <w:p w14:paraId="23A99157" w14:textId="77777777" w:rsidR="00A37365" w:rsidRPr="00E94D8A" w:rsidRDefault="00A37365" w:rsidP="00A37365">
      <w:r w:rsidRPr="00E94D8A">
        <w:t>Ya que estos parámetros, o estimaciones de los mismos se encuentran disponibles en forma nominal, se calcula el CCPP nominal antes de impuestos y se convierte al CCPP real</w:t>
      </w:r>
      <w:r w:rsidRPr="00E94D8A">
        <w:rPr>
          <w:rStyle w:val="Refdenotaalpie"/>
          <w:i/>
          <w:iCs/>
        </w:rPr>
        <w:footnoteReference w:id="29"/>
      </w:r>
      <w:r w:rsidRPr="00E94D8A">
        <w:t xml:space="preserve"> antes de impuestos de la siguiente manera:</w:t>
      </w:r>
    </w:p>
    <w:p w14:paraId="3B397219" w14:textId="200A694F" w:rsidR="00A37365" w:rsidRPr="00E94D8A" w:rsidRDefault="002C5C2B" w:rsidP="00A37365">
      <w:pPr>
        <w:jc w:val="center"/>
      </w:pPr>
      <w:r w:rsidRPr="00E94D8A">
        <w:rPr>
          <w:b/>
          <w:position w:val="-28"/>
        </w:rPr>
        <w:object w:dxaOrig="3900" w:dyaOrig="660" w14:anchorId="16447288">
          <v:shape id="_x0000_i1030" type="#_x0000_t75" alt="Fórmula" style="width:197.25pt;height:30.75pt" o:ole="">
            <v:imagedata r:id="rId50" o:title=""/>
          </v:shape>
          <o:OLEObject Type="Embed" ProgID="Equation.3" ShapeID="_x0000_i1030" DrawAspect="Content" ObjectID="_1538929423" r:id="rId51"/>
        </w:object>
      </w:r>
    </w:p>
    <w:p w14:paraId="25DB0B77" w14:textId="77777777" w:rsidR="00A37365" w:rsidRPr="00E94D8A" w:rsidRDefault="0043475A" w:rsidP="00A37365">
      <w:r w:rsidRPr="00E94D8A">
        <w:t>Dónde</w:t>
      </w:r>
      <w:r w:rsidR="00A37365" w:rsidRPr="00E94D8A">
        <w:t>:</w:t>
      </w:r>
    </w:p>
    <w:p w14:paraId="5F539AA9" w14:textId="77777777" w:rsidR="00A37365" w:rsidRPr="00E94D8A" w:rsidRDefault="00A37365" w:rsidP="00A37365">
      <w:pPr>
        <w:pStyle w:val="Listaconvietas"/>
        <w:ind w:left="360" w:hanging="360"/>
      </w:pPr>
      <w:r w:rsidRPr="00E94D8A">
        <w:rPr>
          <w:i/>
          <w:iCs/>
        </w:rPr>
        <w:t xml:space="preserve">IPC </w:t>
      </w:r>
      <w:r w:rsidRPr="00E94D8A">
        <w:t xml:space="preserve">es la tasa de inflación medida por el índice de precios de consumo. </w:t>
      </w:r>
    </w:p>
    <w:p w14:paraId="25613BB5" w14:textId="77777777" w:rsidR="00A37365" w:rsidRPr="00E94D8A" w:rsidRDefault="00A37365" w:rsidP="00A37365">
      <w:r w:rsidRPr="00E94D8A">
        <w:t>Entramos a continuación a tratar los supuestos que soportan cada uno de los parámetros en el cálculo del CCPP.</w:t>
      </w:r>
    </w:p>
    <w:p w14:paraId="1E3C6154" w14:textId="77777777" w:rsidR="00A37365" w:rsidRPr="00E94D8A" w:rsidRDefault="00A37365" w:rsidP="00A37365">
      <w:pPr>
        <w:pStyle w:val="Ttulo3"/>
      </w:pPr>
      <w:r w:rsidRPr="00E94D8A">
        <w:t>Costo del capital (</w:t>
      </w:r>
      <w:proofErr w:type="spellStart"/>
      <w:r w:rsidRPr="00E94D8A">
        <w:t>equity</w:t>
      </w:r>
      <w:proofErr w:type="spellEnd"/>
      <w:r w:rsidRPr="00E94D8A">
        <w:t>)</w:t>
      </w:r>
    </w:p>
    <w:p w14:paraId="0D6E8D70" w14:textId="77777777" w:rsidR="00A37365" w:rsidRPr="00E94D8A" w:rsidRDefault="00A37365" w:rsidP="00A37365">
      <w:pPr>
        <w:spacing w:after="120"/>
      </w:pPr>
      <w:r w:rsidRPr="00E94D8A">
        <w:t>El costo del capital (</w:t>
      </w:r>
      <w:proofErr w:type="spellStart"/>
      <w:r w:rsidRPr="00E94D8A">
        <w:rPr>
          <w:i/>
        </w:rPr>
        <w:t>equity</w:t>
      </w:r>
      <w:proofErr w:type="spellEnd"/>
      <w:r w:rsidRPr="00E94D8A">
        <w:t xml:space="preserve">) se puede calcular utilizando varias metodologías. No obstante, la más común, y la establecida por </w:t>
      </w:r>
      <w:r w:rsidR="006A7A8B">
        <w:t>el IFT</w:t>
      </w:r>
      <w:r w:rsidRPr="00E94D8A">
        <w:t xml:space="preserve">, es el método conocido como valuación de activos financieros (CAPM) debido a su relativa sencillez, por lo que se utilizará en ambos modelos. </w:t>
      </w:r>
    </w:p>
    <w:p w14:paraId="6534C4D2" w14:textId="77777777" w:rsidR="00A37365" w:rsidRPr="00E94D8A" w:rsidRDefault="00A37365" w:rsidP="00A37365">
      <w:pPr>
        <w:spacing w:after="120"/>
      </w:pPr>
      <w:r w:rsidRPr="00E94D8A">
        <w:t>El costo del capital (</w:t>
      </w:r>
      <w:proofErr w:type="spellStart"/>
      <w:r w:rsidRPr="00225BA5">
        <w:rPr>
          <w:i/>
        </w:rPr>
        <w:t>equity</w:t>
      </w:r>
      <w:proofErr w:type="spellEnd"/>
      <w:r w:rsidRPr="00E94D8A">
        <w:t>) se calculará para dos operadores diferentes:</w:t>
      </w:r>
    </w:p>
    <w:p w14:paraId="346FA2E7" w14:textId="77777777" w:rsidR="00A37365" w:rsidRPr="00E94D8A" w:rsidRDefault="00A37365" w:rsidP="00A37365">
      <w:pPr>
        <w:pStyle w:val="ListBulletCompact"/>
      </w:pPr>
      <w:r w:rsidRPr="00E94D8A">
        <w:t>un operador eficiente de servicios móviles en México</w:t>
      </w:r>
    </w:p>
    <w:p w14:paraId="39C94000" w14:textId="77777777" w:rsidR="00A37365" w:rsidRPr="00E94D8A" w:rsidRDefault="00A37365" w:rsidP="00A37365">
      <w:pPr>
        <w:pStyle w:val="Listaconvietas"/>
        <w:ind w:left="360" w:hanging="360"/>
      </w:pPr>
      <w:r w:rsidRPr="00E94D8A">
        <w:t>un operador eficiente de servicios fijos en México.</w:t>
      </w:r>
    </w:p>
    <w:p w14:paraId="78A90FCC" w14:textId="77777777" w:rsidR="00307FB5" w:rsidRPr="00720933" w:rsidRDefault="0043475A" w:rsidP="0090240B">
      <w:pPr>
        <w:pStyle w:val="B1"/>
        <w:pBdr>
          <w:top w:val="single" w:sz="4" w:space="2" w:color="D9D9D9" w:themeColor="background1" w:themeShade="D9"/>
          <w:bottom w:val="single" w:sz="4" w:space="5" w:color="D9D9D9" w:themeColor="background1" w:themeShade="D9"/>
        </w:pBdr>
        <w:shd w:val="clear" w:color="auto" w:fill="F2F2F2" w:themeFill="background1" w:themeFillShade="F2"/>
      </w:pPr>
      <w:r>
        <w:rPr>
          <w:b/>
          <w:bCs/>
        </w:rPr>
        <w:t>Concepto propuesto</w:t>
      </w:r>
      <w:r w:rsidR="00A37365" w:rsidRPr="00E94D8A">
        <w:rPr>
          <w:b/>
          <w:bCs/>
        </w:rPr>
        <w:t xml:space="preserve"> </w:t>
      </w:r>
      <w:r w:rsidR="00A37365" w:rsidRPr="00E94D8A">
        <w:rPr>
          <w:b/>
        </w:rPr>
        <w:fldChar w:fldCharType="begin"/>
      </w:r>
      <w:r w:rsidR="00A37365" w:rsidRPr="00E94D8A">
        <w:rPr>
          <w:b/>
        </w:rPr>
        <w:instrText xml:space="preserve"> SEQ Recommendation \* ARABIC \s 0 </w:instrText>
      </w:r>
      <w:r w:rsidR="00A37365" w:rsidRPr="00E94D8A">
        <w:rPr>
          <w:b/>
        </w:rPr>
        <w:fldChar w:fldCharType="separate"/>
      </w:r>
      <w:r w:rsidR="00B426BC">
        <w:rPr>
          <w:b/>
          <w:noProof/>
        </w:rPr>
        <w:t>24</w:t>
      </w:r>
      <w:r w:rsidR="00A37365" w:rsidRPr="00E94D8A">
        <w:rPr>
          <w:b/>
        </w:rPr>
        <w:fldChar w:fldCharType="end"/>
      </w:r>
      <w:r w:rsidR="00A37365" w:rsidRPr="00E94D8A">
        <w:t xml:space="preserve">: Se </w:t>
      </w:r>
      <w:r w:rsidR="00265246">
        <w:t>usará el método</w:t>
      </w:r>
      <w:r w:rsidR="00A37365" w:rsidRPr="00E94D8A">
        <w:t xml:space="preserve"> CAPM para calcular el costo del capital (</w:t>
      </w:r>
      <w:proofErr w:type="spellStart"/>
      <w:r w:rsidR="00A37365" w:rsidRPr="00E94D8A">
        <w:rPr>
          <w:i/>
        </w:rPr>
        <w:t>equity</w:t>
      </w:r>
      <w:proofErr w:type="spellEnd"/>
      <w:r w:rsidR="00A37365" w:rsidRPr="00E94D8A">
        <w:t>) para un operador eficiente móvil y un operador eficiente fijo.</w:t>
      </w:r>
    </w:p>
    <w:p w14:paraId="08CFF01C" w14:textId="77777777" w:rsidR="00A37365" w:rsidRPr="00E94D8A" w:rsidRDefault="00A37365" w:rsidP="00A37365">
      <w:r w:rsidRPr="00E94D8A">
        <w:t>Siguiendo esta metodología, el CAPM se calcula de la siguiente manera:</w:t>
      </w:r>
    </w:p>
    <w:p w14:paraId="2C3B2456" w14:textId="5AEF5C83" w:rsidR="00A37365" w:rsidRPr="00E94D8A" w:rsidRDefault="002C5C2B" w:rsidP="00A37365">
      <w:pPr>
        <w:jc w:val="center"/>
      </w:pPr>
      <w:r w:rsidRPr="00E94D8A">
        <w:rPr>
          <w:position w:val="-14"/>
        </w:rPr>
        <w:object w:dxaOrig="1700" w:dyaOrig="380" w14:anchorId="5AEA7EE1">
          <v:shape id="_x0000_i1031" type="#_x0000_t75" alt="Fórmula" style="width:86.25pt;height:19.5pt" o:ole="">
            <v:imagedata r:id="rId52" o:title=""/>
          </v:shape>
          <o:OLEObject Type="Embed" ProgID="Equation.3" ShapeID="_x0000_i1031" DrawAspect="Content" ObjectID="_1538929424" r:id="rId53"/>
        </w:object>
      </w:r>
    </w:p>
    <w:p w14:paraId="73EDB9A0" w14:textId="77777777" w:rsidR="00A37365" w:rsidRPr="00E94D8A" w:rsidRDefault="00A37365" w:rsidP="00A37365">
      <w:pPr>
        <w:spacing w:after="120"/>
      </w:pPr>
      <w:r w:rsidRPr="00E94D8A">
        <w:t>Donde:</w:t>
      </w:r>
    </w:p>
    <w:p w14:paraId="01F72CC9" w14:textId="06A6DC2C" w:rsidR="00A37365" w:rsidRPr="00E94D8A" w:rsidRDefault="002C5C2B" w:rsidP="00A37365">
      <w:pPr>
        <w:pStyle w:val="01"/>
        <w:spacing w:line="280" w:lineRule="atLeast"/>
      </w:pPr>
      <w:r w:rsidRPr="00E94D8A">
        <w:rPr>
          <w:position w:val="-14"/>
        </w:rPr>
        <w:object w:dxaOrig="340" w:dyaOrig="380" w14:anchorId="711275C5">
          <v:shape id="_x0000_i1032" type="#_x0000_t75" alt="Fórmula" style="width:19.5pt;height:19.5pt" o:ole="">
            <v:imagedata r:id="rId54" o:title=""/>
          </v:shape>
          <o:OLEObject Type="Embed" ProgID="Equation.3" ShapeID="_x0000_i1032" DrawAspect="Content" ObjectID="_1538929425" r:id="rId55"/>
        </w:object>
      </w:r>
      <w:r w:rsidR="00A37365" w:rsidRPr="00E94D8A">
        <w:t xml:space="preserve"> </w:t>
      </w:r>
      <w:proofErr w:type="gramStart"/>
      <w:r w:rsidR="00A37365" w:rsidRPr="00E94D8A">
        <w:t>es</w:t>
      </w:r>
      <w:proofErr w:type="gramEnd"/>
      <w:r w:rsidR="00A37365" w:rsidRPr="00E94D8A">
        <w:t xml:space="preserve"> la tasa de retorno libre de riesgo</w:t>
      </w:r>
    </w:p>
    <w:p w14:paraId="027DBFAA" w14:textId="17C69BC3" w:rsidR="00A37365" w:rsidRPr="00E94D8A" w:rsidRDefault="002C5C2B" w:rsidP="00A37365">
      <w:pPr>
        <w:pStyle w:val="01"/>
        <w:spacing w:line="280" w:lineRule="atLeast"/>
      </w:pPr>
      <w:r w:rsidRPr="00E94D8A">
        <w:rPr>
          <w:position w:val="-12"/>
        </w:rPr>
        <w:object w:dxaOrig="300" w:dyaOrig="360" w14:anchorId="6C3D0651">
          <v:shape id="_x0000_i1033" type="#_x0000_t75" alt="Fórmula" style="width:15pt;height:19.5pt" o:ole="">
            <v:imagedata r:id="rId56" o:title=""/>
          </v:shape>
          <o:OLEObject Type="Embed" ProgID="Equation.3" ShapeID="_x0000_i1033" DrawAspect="Content" ObjectID="_1538929426" r:id="rId57"/>
        </w:object>
      </w:r>
      <w:r w:rsidR="00A37365" w:rsidRPr="00E94D8A">
        <w:t xml:space="preserve"> </w:t>
      </w:r>
      <w:proofErr w:type="gramStart"/>
      <w:r w:rsidR="00A37365" w:rsidRPr="00E94D8A">
        <w:t>es</w:t>
      </w:r>
      <w:proofErr w:type="gramEnd"/>
      <w:r w:rsidR="00A37365" w:rsidRPr="00E94D8A">
        <w:t xml:space="preserve"> la prima del riesgo del capital</w:t>
      </w:r>
    </w:p>
    <w:p w14:paraId="2D2E896B" w14:textId="76FE927B" w:rsidR="00A37365" w:rsidRPr="00E94D8A" w:rsidRDefault="002C5C2B" w:rsidP="00A37365">
      <w:r w:rsidRPr="00E94D8A">
        <w:rPr>
          <w:position w:val="-10"/>
        </w:rPr>
        <w:object w:dxaOrig="240" w:dyaOrig="320" w14:anchorId="7C284616">
          <v:shape id="_x0000_i1034" type="#_x0000_t75" alt="Fórmula" style="width:12.75pt;height:19.5pt" o:ole="" o:bullet="t">
            <v:imagedata r:id="rId58" o:title=""/>
          </v:shape>
          <o:OLEObject Type="Embed" ProgID="Equation.3" ShapeID="_x0000_i1034" DrawAspect="Content" ObjectID="_1538929427" r:id="rId59"/>
        </w:object>
      </w:r>
      <w:r w:rsidR="00A37365" w:rsidRPr="00E94D8A">
        <w:t xml:space="preserve"> </w:t>
      </w:r>
      <w:proofErr w:type="gramStart"/>
      <w:r w:rsidR="00A37365" w:rsidRPr="00E94D8A">
        <w:t>es</w:t>
      </w:r>
      <w:proofErr w:type="gramEnd"/>
      <w:r w:rsidR="00A37365" w:rsidRPr="00E94D8A">
        <w:t xml:space="preserve"> la medida de lo arriesgado de una compañía particular o sector de manera relativa a la economía nacional.</w:t>
      </w:r>
    </w:p>
    <w:p w14:paraId="6D5AA23C" w14:textId="77777777" w:rsidR="00A37365" w:rsidRPr="00E94D8A" w:rsidRDefault="00A37365" w:rsidP="00A37365">
      <w:r w:rsidRPr="00E94D8A">
        <w:t>Cada uno de estos parámetros se trata a continuación.</w:t>
      </w:r>
    </w:p>
    <w:p w14:paraId="490EBE39" w14:textId="0A2A147B" w:rsidR="00A37365" w:rsidRPr="00E94D8A" w:rsidRDefault="00A37365" w:rsidP="00A37365">
      <w:pPr>
        <w:pStyle w:val="Ttulo4"/>
        <w:spacing w:after="120"/>
        <w:rPr>
          <w:position w:val="-14"/>
        </w:rPr>
      </w:pPr>
      <w:r w:rsidRPr="00E94D8A">
        <w:lastRenderedPageBreak/>
        <w:t xml:space="preserve">Tasa de retorno libre de riesgo, </w:t>
      </w:r>
      <w:r w:rsidR="002C5C2B" w:rsidRPr="00E94D8A">
        <w:rPr>
          <w:position w:val="-14"/>
        </w:rPr>
        <w:object w:dxaOrig="340" w:dyaOrig="380" w14:anchorId="3015B327">
          <v:shape id="_x0000_i1035" type="#_x0000_t75" alt="Fórmula" style="width:19.5pt;height:19.5pt" o:ole="">
            <v:imagedata r:id="rId54" o:title=""/>
          </v:shape>
          <o:OLEObject Type="Embed" ProgID="Equation.3" ShapeID="_x0000_i1035" DrawAspect="Content" ObjectID="_1538929428" r:id="rId60"/>
        </w:object>
      </w:r>
    </w:p>
    <w:p w14:paraId="55A4763C" w14:textId="77777777" w:rsidR="00A37365" w:rsidRPr="00E94D8A" w:rsidRDefault="00A37365" w:rsidP="00A37365">
      <w:r w:rsidRPr="00E94D8A">
        <w:t>Habitualmente se asume que la tasa de retorno libre de riesgo es la de los bonos del estado a largo plazo. Según el IRG,</w:t>
      </w:r>
      <w:r w:rsidRPr="00E94D8A">
        <w:rPr>
          <w:rStyle w:val="Refdenotaalpie"/>
        </w:rPr>
        <w:footnoteReference w:id="30"/>
      </w:r>
      <w:r w:rsidRPr="00E94D8A">
        <w:t xml:space="preserve"> se deben considerar los siguientes aspectos: qué referencia utilizar (qué gobierno), qué período de madurez (horizonte temporal de inversión o periodo regulatorio), y qué tipo de información se debe utilizar (actual, histórica, promedio).</w:t>
      </w:r>
    </w:p>
    <w:p w14:paraId="2158BA5C" w14:textId="788A7E28" w:rsidR="00A37365" w:rsidRPr="00E94D8A" w:rsidRDefault="0043475A" w:rsidP="00A37365">
      <w:pPr>
        <w:pStyle w:val="B1"/>
        <w:pBdr>
          <w:top w:val="single" w:sz="4" w:space="2" w:color="D9D9D9" w:themeColor="background1" w:themeShade="D9"/>
          <w:bottom w:val="single" w:sz="4" w:space="5" w:color="D9D9D9" w:themeColor="background1" w:themeShade="D9"/>
        </w:pBdr>
        <w:shd w:val="clear" w:color="auto" w:fill="F2F2F2" w:themeFill="background1" w:themeFillShade="F2"/>
        <w:rPr>
          <w:spacing w:val="-4"/>
        </w:rPr>
      </w:pPr>
      <w:r>
        <w:rPr>
          <w:b/>
          <w:bCs/>
          <w:spacing w:val="-4"/>
        </w:rPr>
        <w:t>Concepto propuesto</w:t>
      </w:r>
      <w:r w:rsidR="00A37365" w:rsidRPr="00E94D8A">
        <w:rPr>
          <w:b/>
          <w:spacing w:val="-4"/>
        </w:rPr>
        <w:t xml:space="preserve"> </w:t>
      </w:r>
      <w:r w:rsidR="00A37365" w:rsidRPr="00E94D8A">
        <w:rPr>
          <w:b/>
          <w:spacing w:val="-4"/>
        </w:rPr>
        <w:fldChar w:fldCharType="begin"/>
      </w:r>
      <w:r w:rsidR="00A37365" w:rsidRPr="00E94D8A">
        <w:rPr>
          <w:b/>
          <w:spacing w:val="-4"/>
        </w:rPr>
        <w:instrText xml:space="preserve"> SEQ Recommendation \* ARABIC \s 0 </w:instrText>
      </w:r>
      <w:r w:rsidR="00A37365" w:rsidRPr="00E94D8A">
        <w:rPr>
          <w:b/>
          <w:spacing w:val="-4"/>
        </w:rPr>
        <w:fldChar w:fldCharType="separate"/>
      </w:r>
      <w:r w:rsidR="00B426BC">
        <w:rPr>
          <w:b/>
          <w:noProof/>
          <w:spacing w:val="-4"/>
        </w:rPr>
        <w:t>25</w:t>
      </w:r>
      <w:r w:rsidR="00A37365" w:rsidRPr="00E94D8A">
        <w:rPr>
          <w:b/>
          <w:spacing w:val="-4"/>
        </w:rPr>
        <w:fldChar w:fldCharType="end"/>
      </w:r>
      <w:r w:rsidR="00265246" w:rsidRPr="00980148">
        <w:rPr>
          <w:spacing w:val="-4"/>
        </w:rPr>
        <w:t>: Se utiliza</w:t>
      </w:r>
      <w:r w:rsidR="00265246" w:rsidRPr="00980148">
        <w:t>rá</w:t>
      </w:r>
      <w:r w:rsidR="00265246" w:rsidRPr="00980148">
        <w:rPr>
          <w:spacing w:val="-4"/>
        </w:rPr>
        <w:t xml:space="preserve"> la tasa de retorno libre de riesgo (</w:t>
      </w:r>
      <w:r w:rsidR="002C5C2B" w:rsidRPr="00E94D8A">
        <w:rPr>
          <w:spacing w:val="-4"/>
          <w:position w:val="-14"/>
        </w:rPr>
        <w:object w:dxaOrig="340" w:dyaOrig="380" w14:anchorId="4B86AE11">
          <v:shape id="_x0000_i1036" type="#_x0000_t75" alt="Fórmula" style="width:15.75pt;height:19.5pt" o:ole="">
            <v:imagedata r:id="rId54" o:title=""/>
          </v:shape>
          <o:OLEObject Type="Embed" ProgID="Equation.3" ShapeID="_x0000_i1036" DrawAspect="Content" ObjectID="_1538929429" r:id="rId61"/>
        </w:object>
      </w:r>
      <w:r w:rsidR="00265246" w:rsidRPr="00980148">
        <w:rPr>
          <w:spacing w:val="-4"/>
        </w:rPr>
        <w:t xml:space="preserve">) de los bonos gubernamentales estadunidenses de 30 años </w:t>
      </w:r>
      <w:r w:rsidR="00265246" w:rsidRPr="00980148">
        <w:t>más una prima de riesgo país asociada a México</w:t>
      </w:r>
      <w:r w:rsidR="00265246" w:rsidRPr="00980148">
        <w:rPr>
          <w:spacing w:val="-4"/>
        </w:rPr>
        <w:t>. Este parámetro será el mismo en ambos modelos.</w:t>
      </w:r>
    </w:p>
    <w:p w14:paraId="63F217BD" w14:textId="678C237F" w:rsidR="00A37365" w:rsidRPr="00E94D8A" w:rsidRDefault="00A37365" w:rsidP="00A37365">
      <w:pPr>
        <w:pStyle w:val="Ttulo4"/>
        <w:rPr>
          <w:position w:val="-12"/>
        </w:rPr>
      </w:pPr>
      <w:r w:rsidRPr="00E94D8A">
        <w:t xml:space="preserve">Prima del riesgo del capital, </w:t>
      </w:r>
      <w:r w:rsidR="002C5C2B" w:rsidRPr="00E94D8A">
        <w:rPr>
          <w:position w:val="-12"/>
        </w:rPr>
        <w:object w:dxaOrig="300" w:dyaOrig="360" w14:anchorId="08D0A649">
          <v:shape id="_x0000_i1037" type="#_x0000_t75" alt="Fórmula" style="width:15pt;height:19.5pt" o:ole="">
            <v:imagedata r:id="rId56" o:title=""/>
          </v:shape>
          <o:OLEObject Type="Embed" ProgID="Equation.3" ShapeID="_x0000_i1037" DrawAspect="Content" ObjectID="_1538929430" r:id="rId62"/>
        </w:object>
      </w:r>
    </w:p>
    <w:p w14:paraId="59858FF7" w14:textId="77777777" w:rsidR="00A37365" w:rsidRPr="00E94D8A" w:rsidRDefault="00A37365" w:rsidP="00A37365">
      <w:r w:rsidRPr="00E94D8A">
        <w:t>La prima de riesgo del capital es el incremento sobre la tasa de retorno libre de riesgo que los inversores demandan del capital (</w:t>
      </w:r>
      <w:proofErr w:type="spellStart"/>
      <w:r w:rsidRPr="00E94D8A">
        <w:rPr>
          <w:i/>
        </w:rPr>
        <w:t>equity</w:t>
      </w:r>
      <w:proofErr w:type="spellEnd"/>
      <w:r w:rsidRPr="00E94D8A">
        <w:t xml:space="preserve">). Ya que invertir en acciones conlleva un mayor riesgo que invertir en bonos del estado, los inversionistas requieren una prima al invertir en acciones. Normalmente, las empresas que cotizan en el mercado </w:t>
      </w:r>
      <w:r w:rsidR="00BD0E87" w:rsidRPr="00E94D8A">
        <w:t xml:space="preserve">nacional </w:t>
      </w:r>
      <w:r w:rsidRPr="00E94D8A">
        <w:t xml:space="preserve">de valores son utilizadas como muestra </w:t>
      </w:r>
      <w:r w:rsidR="00BD0E87">
        <w:t>sobre</w:t>
      </w:r>
      <w:r w:rsidRPr="00E94D8A">
        <w:t xml:space="preserve"> la que se calcula el promedio.</w:t>
      </w:r>
    </w:p>
    <w:p w14:paraId="73F0DC8E" w14:textId="77777777" w:rsidR="00A37365" w:rsidRPr="00E94D8A" w:rsidRDefault="00A37365" w:rsidP="00A37365">
      <w:r w:rsidRPr="00E94D8A">
        <w:t xml:space="preserve">El IRG recomienda un enfoque equilibrado al considerar la relevancia y calidad de la información disponible, utilizando uno o más de estos métodos: prima histórica (ajustada), prima de una muestra o </w:t>
      </w:r>
      <w:r w:rsidRPr="00E94D8A">
        <w:rPr>
          <w:i/>
        </w:rPr>
        <w:t>benchmarking</w:t>
      </w:r>
      <w:r w:rsidRPr="00E94D8A">
        <w:t xml:space="preserve">. Debido a que el cálculo de este dato es altamente complejo, utilizaremos las cifras calculadas por fuentes reconocidas que se encuentren en el ámbito público como puede ser la del profesor </w:t>
      </w:r>
      <w:proofErr w:type="spellStart"/>
      <w:r w:rsidRPr="00E94D8A">
        <w:t>Aswath</w:t>
      </w:r>
      <w:proofErr w:type="spellEnd"/>
      <w:r w:rsidRPr="00E94D8A">
        <w:t xml:space="preserve"> </w:t>
      </w:r>
      <w:proofErr w:type="spellStart"/>
      <w:r w:rsidRPr="00E94D8A">
        <w:t>Damodaran</w:t>
      </w:r>
      <w:proofErr w:type="spellEnd"/>
      <w:r w:rsidRPr="00E94D8A">
        <w:t xml:space="preserve"> de la Universidad de Nueva York. </w:t>
      </w:r>
    </w:p>
    <w:p w14:paraId="7A4A2E04" w14:textId="77777777" w:rsidR="00A37365" w:rsidRPr="00E94D8A" w:rsidRDefault="0043475A" w:rsidP="00A37365">
      <w:pPr>
        <w:pStyle w:val="B1"/>
        <w:pBdr>
          <w:top w:val="single" w:sz="4" w:space="2" w:color="D9D9D9" w:themeColor="background1" w:themeShade="D9"/>
          <w:bottom w:val="single" w:sz="4" w:space="5" w:color="D9D9D9" w:themeColor="background1" w:themeShade="D9"/>
        </w:pBdr>
        <w:shd w:val="clear" w:color="auto" w:fill="F2F2F2" w:themeFill="background1" w:themeFillShade="F2"/>
      </w:pPr>
      <w:r>
        <w:rPr>
          <w:b/>
          <w:bCs/>
        </w:rPr>
        <w:t>Concepto propuesto</w:t>
      </w:r>
      <w:r w:rsidR="00A37365" w:rsidRPr="00E94D8A">
        <w:rPr>
          <w:b/>
        </w:rPr>
        <w:t xml:space="preserve"> </w:t>
      </w:r>
      <w:r w:rsidR="00A37365" w:rsidRPr="00E94D8A">
        <w:rPr>
          <w:b/>
        </w:rPr>
        <w:fldChar w:fldCharType="begin"/>
      </w:r>
      <w:r w:rsidR="00A37365" w:rsidRPr="00E94D8A">
        <w:rPr>
          <w:b/>
        </w:rPr>
        <w:instrText xml:space="preserve"> SEQ Recommendation \* ARABIC \s 0 </w:instrText>
      </w:r>
      <w:r w:rsidR="00A37365" w:rsidRPr="00E94D8A">
        <w:rPr>
          <w:b/>
        </w:rPr>
        <w:fldChar w:fldCharType="separate"/>
      </w:r>
      <w:r w:rsidR="00B426BC">
        <w:rPr>
          <w:b/>
          <w:noProof/>
        </w:rPr>
        <w:t>26</w:t>
      </w:r>
      <w:r w:rsidR="00A37365" w:rsidRPr="00E94D8A">
        <w:rPr>
          <w:b/>
        </w:rPr>
        <w:fldChar w:fldCharType="end"/>
      </w:r>
      <w:r w:rsidR="00A37365" w:rsidRPr="00E94D8A">
        <w:t xml:space="preserve">: </w:t>
      </w:r>
      <w:r w:rsidR="00265246" w:rsidRPr="00980148">
        <w:t>Se utilizará la prima de riesgo del capital (</w:t>
      </w:r>
      <w:r w:rsidR="00265246" w:rsidRPr="00980148">
        <w:rPr>
          <w:i/>
        </w:rPr>
        <w:t>Re</w:t>
      </w:r>
      <w:r w:rsidR="00265246" w:rsidRPr="00980148">
        <w:t>) de un mercado maduro</w:t>
      </w:r>
      <w:r w:rsidR="00265246" w:rsidRPr="00980148" w:rsidDel="00AA5BC5">
        <w:t xml:space="preserve"> </w:t>
      </w:r>
      <w:r w:rsidR="00265246" w:rsidRPr="00980148">
        <w:t xml:space="preserve">propuesta por </w:t>
      </w:r>
      <w:proofErr w:type="spellStart"/>
      <w:r w:rsidR="00265246" w:rsidRPr="00980148">
        <w:t>Aswath</w:t>
      </w:r>
      <w:proofErr w:type="spellEnd"/>
      <w:r w:rsidR="00265246" w:rsidRPr="00980148">
        <w:t xml:space="preserve"> </w:t>
      </w:r>
      <w:proofErr w:type="spellStart"/>
      <w:r w:rsidR="00265246" w:rsidRPr="00980148">
        <w:t>Damodaran</w:t>
      </w:r>
      <w:proofErr w:type="spellEnd"/>
      <w:r w:rsidR="00265246" w:rsidRPr="00980148">
        <w:t xml:space="preserve">. </w:t>
      </w:r>
      <w:r w:rsidR="00265246" w:rsidRPr="00E94D8A">
        <w:t>Este parámetro será el mismo para ambos modelos.</w:t>
      </w:r>
    </w:p>
    <w:p w14:paraId="0AD4482B" w14:textId="77777777" w:rsidR="00A37365" w:rsidRPr="00E94D8A" w:rsidRDefault="00A37365" w:rsidP="0090240B">
      <w:pPr>
        <w:pStyle w:val="Ttulo3"/>
      </w:pPr>
      <w:r w:rsidRPr="00E94D8A">
        <w:t xml:space="preserve">Beta para los operadores de telecomunicaciones, </w:t>
      </w:r>
      <w:r w:rsidRPr="00E94D8A">
        <w:sym w:font="Symbol" w:char="F062"/>
      </w:r>
    </w:p>
    <w:p w14:paraId="0CE13EB7" w14:textId="77777777" w:rsidR="00A37365" w:rsidRPr="00E94D8A" w:rsidRDefault="00A37365" w:rsidP="00A37365">
      <w:r w:rsidRPr="00E94D8A">
        <w:t>Cuando alguien invierte en cualquier tipo de acción, se enfrenta con dos tipos de riesgo: sistemático y no sistemático. El no sistemático está causado por el riesgo relacionado con la empresa específica en la que se invierte. El inversionista disminuye este riesgo mediante la diversificación de la inversión en varias empresas (portafolio de inversión).</w:t>
      </w:r>
    </w:p>
    <w:p w14:paraId="382FA296" w14:textId="77777777" w:rsidR="00A37365" w:rsidRPr="00E94D8A" w:rsidRDefault="00A37365" w:rsidP="00A37365">
      <w:pPr>
        <w:rPr>
          <w:b/>
        </w:rPr>
      </w:pPr>
      <w:r w:rsidRPr="00E94D8A">
        <w:t>El riesgo sistemático se da por la naturaleza intrínseca de invertir. Este riesgo se denomina como Beta (</w:t>
      </w:r>
      <w:r w:rsidRPr="00E94D8A">
        <w:rPr>
          <w:i/>
          <w:iCs/>
        </w:rPr>
        <w:sym w:font="Symbol" w:char="F062"/>
      </w:r>
      <w:r w:rsidRPr="00E94D8A">
        <w:t>) y se mide como la variación entre el retorno de una acción específica y el retorno de</w:t>
      </w:r>
      <w:r w:rsidR="004E58F7">
        <w:t xml:space="preserve"> un port</w:t>
      </w:r>
      <w:r w:rsidRPr="00E94D8A">
        <w:t xml:space="preserve">folio </w:t>
      </w:r>
      <w:r w:rsidRPr="004E58F7">
        <w:t>con</w:t>
      </w:r>
      <w:r w:rsidR="00D24824">
        <w:t xml:space="preserve"> </w:t>
      </w:r>
      <w:r w:rsidRPr="00E94D8A">
        <w:t xml:space="preserve">acciones de todo el mercado. Para el inversionista, no es posible evitar el riesgo </w:t>
      </w:r>
      <w:r w:rsidRPr="00E94D8A">
        <w:lastRenderedPageBreak/>
        <w:t>sistemático, por lo que siempre requerirá una prima de riesgo. La magnitud de esta prima variará de acuerdo con la covarianza entre la acción específica y las fluctuaciones totales del mercado.</w:t>
      </w:r>
    </w:p>
    <w:p w14:paraId="167D1F80" w14:textId="77777777" w:rsidR="00A37365" w:rsidRPr="00E94D8A" w:rsidRDefault="00A37365" w:rsidP="00A37365">
      <w:pPr>
        <w:spacing w:after="120"/>
        <w:rPr>
          <w:lang w:eastAsia="en-GB"/>
        </w:rPr>
      </w:pPr>
      <w:r w:rsidRPr="00E94D8A">
        <w:rPr>
          <w:lang w:eastAsia="en-GB"/>
        </w:rPr>
        <w:t xml:space="preserve">Es posible estimar la </w:t>
      </w:r>
      <w:r w:rsidRPr="00E94D8A">
        <w:rPr>
          <w:i/>
          <w:iCs/>
        </w:rPr>
        <w:sym w:font="Symbol" w:char="F062"/>
      </w:r>
      <w:r w:rsidRPr="00E94D8A">
        <w:rPr>
          <w:i/>
          <w:iCs/>
        </w:rPr>
        <w:t xml:space="preserve"> </w:t>
      </w:r>
      <w:r w:rsidRPr="00E94D8A">
        <w:rPr>
          <w:iCs/>
        </w:rPr>
        <w:t xml:space="preserve">mediante una comparación de las fluctuaciones en el precio de las acciones de una empresa con un grupo amplio de empresas durante un periodo de tiempo determinado. Sin embargo, estas medidas siempre serán inciertas y producirán una gran variedad en los resultados dependiendo de la metodología utilizada. Asimismo, </w:t>
      </w:r>
      <w:r w:rsidRPr="00E94D8A">
        <w:rPr>
          <w:lang w:eastAsia="en-GB"/>
        </w:rPr>
        <w:t xml:space="preserve">la determinación empírica y precisa de la </w:t>
      </w:r>
      <w:r w:rsidRPr="00E94D8A">
        <w:rPr>
          <w:i/>
          <w:iCs/>
        </w:rPr>
        <w:sym w:font="Symbol" w:char="F062"/>
      </w:r>
      <w:r w:rsidRPr="00E94D8A">
        <w:rPr>
          <w:i/>
          <w:iCs/>
        </w:rPr>
        <w:t xml:space="preserve"> </w:t>
      </w:r>
      <w:r w:rsidRPr="00E94D8A">
        <w:rPr>
          <w:lang w:eastAsia="en-GB"/>
        </w:rPr>
        <w:t xml:space="preserve">requiere grandes cantidades de datos históricos. Se trata, por lo tanto, de un área de considerable subjetividad. Sólo en los Estados Unidos, y quizás otros pocos países con bolsas o mercados de acciones de larga tradición e historia, tienen estimaciones razonables de la </w:t>
      </w:r>
      <w:r w:rsidRPr="00E94D8A">
        <w:rPr>
          <w:i/>
          <w:iCs/>
        </w:rPr>
        <w:sym w:font="Symbol" w:char="F062"/>
      </w:r>
      <w:r w:rsidRPr="00E94D8A">
        <w:rPr>
          <w:lang w:eastAsia="en-GB"/>
        </w:rPr>
        <w:t>.</w:t>
      </w:r>
    </w:p>
    <w:p w14:paraId="592E1E28" w14:textId="77777777" w:rsidR="00A37365" w:rsidRPr="00E94D8A" w:rsidRDefault="00A37365" w:rsidP="00A37365">
      <w:pPr>
        <w:spacing w:after="120"/>
      </w:pPr>
      <w:r w:rsidRPr="00E94D8A">
        <w:rPr>
          <w:lang w:eastAsia="en-GB"/>
        </w:rPr>
        <w:t xml:space="preserve">Sin embargo, dado que la </w:t>
      </w:r>
      <w:r w:rsidRPr="00E94D8A">
        <w:rPr>
          <w:i/>
          <w:iCs/>
        </w:rPr>
        <w:sym w:font="Symbol" w:char="F062"/>
      </w:r>
      <w:r w:rsidRPr="00E94D8A">
        <w:rPr>
          <w:rFonts w:ascii="Symbol" w:hAnsi="Symbol" w:cs="Symbol"/>
          <w:sz w:val="26"/>
          <w:szCs w:val="26"/>
          <w:lang w:eastAsia="en-GB"/>
        </w:rPr>
        <w:t></w:t>
      </w:r>
      <w:r w:rsidRPr="00E94D8A">
        <w:rPr>
          <w:lang w:eastAsia="en-GB"/>
        </w:rPr>
        <w:t xml:space="preserve">representa el riesgo de una industria particular o compañía relativa al mercado, se esperaría que la </w:t>
      </w:r>
      <w:r w:rsidRPr="00E94D8A">
        <w:rPr>
          <w:i/>
          <w:iCs/>
        </w:rPr>
        <w:sym w:font="Symbol" w:char="F062"/>
      </w:r>
      <w:r w:rsidRPr="00E94D8A">
        <w:rPr>
          <w:rFonts w:ascii="Symbol" w:hAnsi="Symbol" w:cs="Symbol"/>
          <w:sz w:val="26"/>
          <w:szCs w:val="26"/>
          <w:lang w:eastAsia="en-GB"/>
        </w:rPr>
        <w:t></w:t>
      </w:r>
      <w:r w:rsidRPr="00E94D8A">
        <w:rPr>
          <w:lang w:eastAsia="en-GB"/>
        </w:rPr>
        <w:t xml:space="preserve">de una empresa en particular – en este caso un operador – fuera similar en diferentes países. Comparar la </w:t>
      </w:r>
      <w:r w:rsidRPr="00E94D8A">
        <w:rPr>
          <w:i/>
          <w:iCs/>
        </w:rPr>
        <w:sym w:font="Symbol" w:char="F062"/>
      </w:r>
      <w:r w:rsidRPr="00E94D8A">
        <w:rPr>
          <w:rFonts w:ascii="Symbol" w:hAnsi="Symbol" w:cs="Symbol"/>
          <w:sz w:val="26"/>
          <w:szCs w:val="26"/>
          <w:lang w:eastAsia="en-GB"/>
        </w:rPr>
        <w:t></w:t>
      </w:r>
      <w:r w:rsidRPr="00E94D8A">
        <w:rPr>
          <w:lang w:eastAsia="en-GB"/>
        </w:rPr>
        <w:t xml:space="preserve">de esta manera requiere una </w:t>
      </w:r>
      <w:r w:rsidRPr="00E94D8A">
        <w:rPr>
          <w:i/>
          <w:iCs/>
        </w:rPr>
        <w:sym w:font="Symbol" w:char="F062"/>
      </w:r>
      <w:r w:rsidRPr="00E94D8A">
        <w:rPr>
          <w:rFonts w:ascii="Symbol" w:hAnsi="Symbol" w:cs="Symbol"/>
          <w:sz w:val="26"/>
          <w:szCs w:val="26"/>
          <w:lang w:eastAsia="en-GB"/>
        </w:rPr>
        <w:t></w:t>
      </w:r>
      <w:proofErr w:type="spellStart"/>
      <w:r w:rsidRPr="00E94D8A">
        <w:rPr>
          <w:lang w:eastAsia="en-GB"/>
        </w:rPr>
        <w:t>desapalancada</w:t>
      </w:r>
      <w:proofErr w:type="spellEnd"/>
      <w:r w:rsidRPr="00E94D8A">
        <w:rPr>
          <w:lang w:eastAsia="en-GB"/>
        </w:rPr>
        <w:t xml:space="preserve"> (</w:t>
      </w:r>
      <w:proofErr w:type="spellStart"/>
      <w:r w:rsidRPr="00E94D8A">
        <w:rPr>
          <w:lang w:eastAsia="en-GB"/>
        </w:rPr>
        <w:t>asset</w:t>
      </w:r>
      <w:proofErr w:type="spellEnd"/>
      <w:r w:rsidRPr="00E94D8A">
        <w:rPr>
          <w:lang w:eastAsia="en-GB"/>
        </w:rPr>
        <w:t>) más que una apalancada (</w:t>
      </w:r>
      <w:proofErr w:type="spellStart"/>
      <w:r w:rsidRPr="00E94D8A">
        <w:rPr>
          <w:lang w:eastAsia="en-GB"/>
        </w:rPr>
        <w:t>equity</w:t>
      </w:r>
      <w:proofErr w:type="spellEnd"/>
      <w:r w:rsidRPr="00E94D8A">
        <w:rPr>
          <w:lang w:eastAsia="en-GB"/>
        </w:rPr>
        <w:t>).</w:t>
      </w:r>
    </w:p>
    <w:p w14:paraId="5947C842" w14:textId="0131281F" w:rsidR="00A37365" w:rsidRPr="00E94D8A" w:rsidRDefault="00A37365" w:rsidP="00A37365">
      <w:pPr>
        <w:tabs>
          <w:tab w:val="num" w:pos="720"/>
        </w:tabs>
        <w:ind w:left="360"/>
        <w:jc w:val="center"/>
      </w:pPr>
      <w:r w:rsidRPr="00E94D8A">
        <w:rPr>
          <w:position w:val="-10"/>
        </w:rPr>
        <w:object w:dxaOrig="240" w:dyaOrig="320" w14:anchorId="4787E568">
          <v:shape id="_x0000_i1038" type="#_x0000_t75" style="width:12.75pt;height:19.5pt" o:ole="" o:bullet="t">
            <v:imagedata r:id="rId58" o:title=""/>
          </v:shape>
          <o:OLEObject Type="Embed" ProgID="Equation.3" ShapeID="_x0000_i1038" DrawAspect="Content" ObjectID="_1538929431" r:id="rId63"/>
        </w:object>
      </w:r>
      <w:proofErr w:type="spellStart"/>
      <w:proofErr w:type="gramStart"/>
      <w:r w:rsidRPr="00E94D8A">
        <w:rPr>
          <w:vertAlign w:val="subscript"/>
        </w:rPr>
        <w:t>asset</w:t>
      </w:r>
      <w:proofErr w:type="spellEnd"/>
      <w:proofErr w:type="gramEnd"/>
      <w:r w:rsidRPr="00E94D8A">
        <w:t xml:space="preserve"> = </w:t>
      </w:r>
      <w:r w:rsidR="002C5C2B" w:rsidRPr="00E94D8A">
        <w:rPr>
          <w:position w:val="-10"/>
        </w:rPr>
        <w:object w:dxaOrig="240" w:dyaOrig="320" w14:anchorId="4378AB09">
          <v:shape id="_x0000_i1039" type="#_x0000_t75" alt="Fórmula" style="width:12.75pt;height:19.5pt" o:ole="">
            <v:imagedata r:id="rId58" o:title=""/>
          </v:shape>
          <o:OLEObject Type="Embed" ProgID="Equation.3" ShapeID="_x0000_i1039" DrawAspect="Content" ObjectID="_1538929432" r:id="rId64"/>
        </w:object>
      </w:r>
      <w:proofErr w:type="spellStart"/>
      <w:r w:rsidRPr="00E94D8A">
        <w:rPr>
          <w:vertAlign w:val="subscript"/>
        </w:rPr>
        <w:t>equity</w:t>
      </w:r>
      <w:proofErr w:type="spellEnd"/>
      <w:r w:rsidRPr="00E94D8A">
        <w:t xml:space="preserve"> / (1+D/E)</w:t>
      </w:r>
    </w:p>
    <w:p w14:paraId="31DA831D" w14:textId="77777777" w:rsidR="00A37365" w:rsidRPr="00E94D8A" w:rsidRDefault="00A37365" w:rsidP="00A37365">
      <w:pPr>
        <w:rPr>
          <w:iCs/>
          <w:spacing w:val="-4"/>
        </w:rPr>
      </w:pPr>
      <w:r w:rsidRPr="00E94D8A">
        <w:rPr>
          <w:spacing w:val="-4"/>
        </w:rPr>
        <w:t xml:space="preserve">El IRG recomienda estimar la </w:t>
      </w:r>
      <w:r w:rsidRPr="00E94D8A">
        <w:rPr>
          <w:i/>
          <w:iCs/>
          <w:spacing w:val="-4"/>
        </w:rPr>
        <w:sym w:font="Symbol" w:char="F062"/>
      </w:r>
      <w:r w:rsidRPr="00E94D8A">
        <w:rPr>
          <w:i/>
          <w:iCs/>
          <w:spacing w:val="-4"/>
        </w:rPr>
        <w:t xml:space="preserve"> </w:t>
      </w:r>
      <w:r w:rsidRPr="00E94D8A">
        <w:rPr>
          <w:spacing w:val="-4"/>
        </w:rPr>
        <w:t xml:space="preserve">de una empresa ya sea mediante: información histórica de la relación entre los retornos de la empresa y los del mercado; benchmarking de las </w:t>
      </w:r>
      <w:r w:rsidRPr="00E94D8A">
        <w:rPr>
          <w:i/>
          <w:iCs/>
          <w:spacing w:val="-4"/>
        </w:rPr>
        <w:sym w:font="Symbol" w:char="F062"/>
      </w:r>
      <w:r w:rsidRPr="00E94D8A">
        <w:rPr>
          <w:spacing w:val="-4"/>
        </w:rPr>
        <w:t xml:space="preserve"> de empresas comparables o mediante la definición de una </w:t>
      </w:r>
      <w:r w:rsidRPr="00E94D8A">
        <w:rPr>
          <w:i/>
          <w:iCs/>
          <w:spacing w:val="-4"/>
        </w:rPr>
        <w:sym w:font="Symbol" w:char="F062"/>
      </w:r>
      <w:r w:rsidRPr="00E94D8A">
        <w:rPr>
          <w:i/>
          <w:iCs/>
          <w:spacing w:val="-4"/>
        </w:rPr>
        <w:t xml:space="preserve"> </w:t>
      </w:r>
      <w:r w:rsidRPr="00E94D8A">
        <w:rPr>
          <w:iCs/>
          <w:spacing w:val="-4"/>
        </w:rPr>
        <w:t>objetivo; dependiendo de las condiciones del mercado y la información disponible. Como indica la IRG, se debe asegurar que las compañías usadas en una comparativa sean comparables en términos de regulación, ambiente competitivo, tamaño e impuestos.</w:t>
      </w:r>
    </w:p>
    <w:p w14:paraId="26E4C208" w14:textId="77777777" w:rsidR="00A37365" w:rsidRPr="00E94D8A" w:rsidRDefault="00A37365" w:rsidP="00A37365">
      <w:r w:rsidRPr="00E94D8A">
        <w:rPr>
          <w:iCs/>
        </w:rPr>
        <w:t xml:space="preserve">El mercado mexicano, y también el latinoamericano, se encuentran dominados por dos grandes operadores, América Móvil y Telefónica de España. Sin embargo, estas empresas presentan resultados consolidados lo cual dificulta la utilización de sus parámetros, como </w:t>
      </w:r>
      <w:r w:rsidRPr="00E94D8A">
        <w:rPr>
          <w:i/>
          <w:iCs/>
        </w:rPr>
        <w:sym w:font="Symbol" w:char="F062"/>
      </w:r>
      <w:r w:rsidRPr="00E94D8A">
        <w:rPr>
          <w:i/>
          <w:iCs/>
        </w:rPr>
        <w:t>,</w:t>
      </w:r>
      <w:r w:rsidRPr="00E94D8A">
        <w:rPr>
          <w:iCs/>
        </w:rPr>
        <w:t xml:space="preserve"> en forma específica para el mercado mexicano. Debido a esto, aunque utilizaremos los datos de estas empresas, nuestro </w:t>
      </w:r>
      <w:proofErr w:type="spellStart"/>
      <w:r w:rsidRPr="00E94D8A">
        <w:rPr>
          <w:iCs/>
        </w:rPr>
        <w:t>benchmark</w:t>
      </w:r>
      <w:proofErr w:type="spellEnd"/>
      <w:r w:rsidRPr="00E94D8A">
        <w:rPr>
          <w:iCs/>
        </w:rPr>
        <w:t xml:space="preserve"> tendrá que ser más amplio.  </w:t>
      </w:r>
    </w:p>
    <w:p w14:paraId="30F48639" w14:textId="77777777" w:rsidR="00A37365" w:rsidRPr="00E94D8A" w:rsidRDefault="0043475A" w:rsidP="00A37365">
      <w:pPr>
        <w:pStyle w:val="B1"/>
        <w:pBdr>
          <w:top w:val="single" w:sz="4" w:space="2" w:color="D9D9D9" w:themeColor="background1" w:themeShade="D9"/>
          <w:bottom w:val="single" w:sz="4" w:space="5" w:color="D9D9D9" w:themeColor="background1" w:themeShade="D9"/>
        </w:pBdr>
        <w:shd w:val="clear" w:color="auto" w:fill="F2F2F2" w:themeFill="background1" w:themeFillShade="F2"/>
      </w:pPr>
      <w:r>
        <w:rPr>
          <w:b/>
          <w:bCs/>
        </w:rPr>
        <w:t>Concepto propuesto</w:t>
      </w:r>
      <w:r w:rsidR="00A37365" w:rsidRPr="00E94D8A">
        <w:rPr>
          <w:b/>
        </w:rPr>
        <w:t xml:space="preserve"> </w:t>
      </w:r>
      <w:r w:rsidR="00A37365" w:rsidRPr="00E94D8A">
        <w:rPr>
          <w:b/>
        </w:rPr>
        <w:fldChar w:fldCharType="begin"/>
      </w:r>
      <w:r w:rsidR="00A37365" w:rsidRPr="00E94D8A">
        <w:rPr>
          <w:b/>
        </w:rPr>
        <w:instrText xml:space="preserve"> SEQ Recommendation \* ARABIC \s 0 </w:instrText>
      </w:r>
      <w:r w:rsidR="00A37365" w:rsidRPr="00E94D8A">
        <w:rPr>
          <w:b/>
        </w:rPr>
        <w:fldChar w:fldCharType="separate"/>
      </w:r>
      <w:r w:rsidR="00B426BC">
        <w:rPr>
          <w:b/>
          <w:noProof/>
        </w:rPr>
        <w:t>27</w:t>
      </w:r>
      <w:r w:rsidR="00A37365" w:rsidRPr="00E94D8A">
        <w:rPr>
          <w:b/>
        </w:rPr>
        <w:fldChar w:fldCharType="end"/>
      </w:r>
      <w:r w:rsidR="00A37365" w:rsidRPr="00E94D8A">
        <w:t xml:space="preserve">: </w:t>
      </w:r>
      <w:r w:rsidR="00265246" w:rsidRPr="00980148">
        <w:t xml:space="preserve">Se usará una comparativa de compañías de telecomunicaciones, prestando especial atención a mercados similares al mexicano, para identificar las </w:t>
      </w:r>
      <w:r w:rsidR="00265246" w:rsidRPr="00E94D8A">
        <w:rPr>
          <w:i/>
          <w:iCs/>
        </w:rPr>
        <w:sym w:font="Symbol" w:char="F062"/>
      </w:r>
      <w:r w:rsidR="00265246" w:rsidRPr="00980148">
        <w:t xml:space="preserve"> específicas de los mercados fijo y móvil</w:t>
      </w:r>
      <w:r w:rsidR="00265246" w:rsidRPr="00980148">
        <w:rPr>
          <w:color w:val="0000FF"/>
        </w:rPr>
        <w:t>.</w:t>
      </w:r>
    </w:p>
    <w:p w14:paraId="2FCDFFF7" w14:textId="77777777" w:rsidR="00A37365" w:rsidRPr="00E94D8A" w:rsidRDefault="00A37365" w:rsidP="0090240B">
      <w:pPr>
        <w:pStyle w:val="Ttulo3"/>
      </w:pPr>
      <w:r w:rsidRPr="00E94D8A">
        <w:t xml:space="preserve">Método propuesto para derivar las </w:t>
      </w:r>
      <w:r w:rsidRPr="007C7045">
        <w:rPr>
          <w:i/>
        </w:rPr>
        <w:sym w:font="Symbol" w:char="F062"/>
      </w:r>
      <w:proofErr w:type="spellStart"/>
      <w:r w:rsidRPr="007C7045">
        <w:rPr>
          <w:i/>
          <w:vertAlign w:val="subscript"/>
        </w:rPr>
        <w:t>asset</w:t>
      </w:r>
      <w:proofErr w:type="spellEnd"/>
      <w:r w:rsidRPr="00E94D8A">
        <w:t xml:space="preserve"> de los operadores fijos y móviles</w:t>
      </w:r>
    </w:p>
    <w:p w14:paraId="0CE1769C" w14:textId="77777777" w:rsidR="00A37365" w:rsidRPr="00E94D8A" w:rsidRDefault="00A37365" w:rsidP="00A37365">
      <w:pPr>
        <w:spacing w:after="120"/>
      </w:pPr>
      <w:r w:rsidRPr="00E94D8A">
        <w:t xml:space="preserve">Debido a que cada día hay menos operadores </w:t>
      </w:r>
      <w:proofErr w:type="spellStart"/>
      <w:r w:rsidRPr="00E94D8A">
        <w:rPr>
          <w:i/>
        </w:rPr>
        <w:t>pure-play</w:t>
      </w:r>
      <w:proofErr w:type="spellEnd"/>
      <w:r w:rsidRPr="00E94D8A">
        <w:t xml:space="preserve">, se recomienda derivar los valores de </w:t>
      </w:r>
      <w:r w:rsidRPr="00E94D8A">
        <w:rPr>
          <w:i/>
          <w:iCs/>
        </w:rPr>
        <w:sym w:font="Symbol" w:char="F062"/>
      </w:r>
      <w:proofErr w:type="spellStart"/>
      <w:r w:rsidRPr="00E94D8A">
        <w:rPr>
          <w:vertAlign w:val="subscript"/>
        </w:rPr>
        <w:t>asset</w:t>
      </w:r>
      <w:proofErr w:type="spellEnd"/>
      <w:r w:rsidRPr="00E94D8A">
        <w:t xml:space="preserve"> para los operadores fijos y móviles mediante una aproximación. Primeramente se agrupar los operadores del </w:t>
      </w:r>
      <w:proofErr w:type="spellStart"/>
      <w:r w:rsidRPr="00E94D8A">
        <w:t>benchmark</w:t>
      </w:r>
      <w:proofErr w:type="spellEnd"/>
      <w:r w:rsidRPr="00E94D8A">
        <w:t xml:space="preserve"> en tres grupos, utilizando la utilidad antes de impuestos, intereses, depreciación y amortización (EBITDA) como una aproximación de la capitalización de mercado hipotética de las divisiones fija y móvil de los operadores mixtos:</w:t>
      </w:r>
    </w:p>
    <w:p w14:paraId="408FE3E9" w14:textId="77777777" w:rsidR="00A37365" w:rsidRPr="00E94D8A" w:rsidRDefault="00A37365" w:rsidP="00A37365">
      <w:pPr>
        <w:pStyle w:val="ListBulletCompact"/>
      </w:pPr>
      <w:r w:rsidRPr="00E94D8A">
        <w:t>predominantemente móviles: aquellos donde la porción de EBITDA móvil represente una porción significativa del total de EBITDA</w:t>
      </w:r>
    </w:p>
    <w:p w14:paraId="6B27460C" w14:textId="77777777" w:rsidR="00A37365" w:rsidRPr="00E94D8A" w:rsidRDefault="00A37365" w:rsidP="00A37365">
      <w:pPr>
        <w:pStyle w:val="ListBulletCompact"/>
      </w:pPr>
      <w:r w:rsidRPr="00E94D8A">
        <w:lastRenderedPageBreak/>
        <w:t>híbridos fijo–-móvil: aquellos donde ni el EBITDA móvil ni el fijo, representen una porción significativa del total del EBITDA</w:t>
      </w:r>
    </w:p>
    <w:p w14:paraId="5CB7237B" w14:textId="77777777" w:rsidR="00A37365" w:rsidRPr="00E94D8A" w:rsidRDefault="00A37365" w:rsidP="00A37365">
      <w:pPr>
        <w:pStyle w:val="Listaconvietas"/>
        <w:ind w:left="360" w:hanging="360"/>
      </w:pPr>
      <w:r w:rsidRPr="00E94D8A">
        <w:t>predominantemente fijos: aquellos donde el EBITDA móvil represente una porción significativa</w:t>
      </w:r>
      <w:r w:rsidRPr="00E94D8A" w:rsidDel="0096683F">
        <w:t xml:space="preserve"> </w:t>
      </w:r>
      <w:r w:rsidRPr="00E94D8A">
        <w:t>del EBITDA total.</w:t>
      </w:r>
    </w:p>
    <w:p w14:paraId="78D91FE3" w14:textId="77777777" w:rsidR="00A37365" w:rsidRPr="00E94D8A" w:rsidRDefault="00A37365" w:rsidP="008653B2">
      <w:r w:rsidRPr="00E94D8A">
        <w:t xml:space="preserve">Después de esto se calculan los valores de </w:t>
      </w:r>
      <w:r w:rsidRPr="00E94D8A">
        <w:rPr>
          <w:i/>
          <w:iCs/>
        </w:rPr>
        <w:sym w:font="Symbol" w:char="F062"/>
      </w:r>
      <w:proofErr w:type="spellStart"/>
      <w:r w:rsidRPr="00E94D8A">
        <w:rPr>
          <w:vertAlign w:val="subscript"/>
        </w:rPr>
        <w:t>asset</w:t>
      </w:r>
      <w:proofErr w:type="spellEnd"/>
      <w:r w:rsidRPr="00E94D8A">
        <w:t xml:space="preserve"> para el operador móvil con el promedio del primer grupo y para el operador fijo con el promedio del tercer</w:t>
      </w:r>
      <w:r w:rsidR="008653B2">
        <w:t>o.</w:t>
      </w:r>
    </w:p>
    <w:p w14:paraId="3CA9517C" w14:textId="1EF50707" w:rsidR="00A37365" w:rsidRPr="00E94D8A" w:rsidRDefault="0043475A" w:rsidP="00A37365">
      <w:pPr>
        <w:pStyle w:val="B1"/>
        <w:pBdr>
          <w:top w:val="single" w:sz="4" w:space="2" w:color="D9D9D9" w:themeColor="background1" w:themeShade="D9"/>
          <w:bottom w:val="single" w:sz="4" w:space="5" w:color="D9D9D9" w:themeColor="background1" w:themeShade="D9"/>
        </w:pBdr>
        <w:shd w:val="clear" w:color="auto" w:fill="F2F2F2" w:themeFill="background1" w:themeFillShade="F2"/>
      </w:pPr>
      <w:r>
        <w:rPr>
          <w:b/>
          <w:bCs/>
        </w:rPr>
        <w:t>Concepto propuesto</w:t>
      </w:r>
      <w:r w:rsidR="00A37365" w:rsidRPr="00E94D8A">
        <w:rPr>
          <w:b/>
        </w:rPr>
        <w:t xml:space="preserve"> </w:t>
      </w:r>
      <w:r w:rsidR="00A37365" w:rsidRPr="00E94D8A">
        <w:rPr>
          <w:b/>
        </w:rPr>
        <w:fldChar w:fldCharType="begin"/>
      </w:r>
      <w:r w:rsidR="00A37365" w:rsidRPr="00E94D8A">
        <w:rPr>
          <w:b/>
        </w:rPr>
        <w:instrText xml:space="preserve"> SEQ Recommendation \* ARABIC \s 0 </w:instrText>
      </w:r>
      <w:r w:rsidR="00A37365" w:rsidRPr="00E94D8A">
        <w:rPr>
          <w:b/>
        </w:rPr>
        <w:fldChar w:fldCharType="separate"/>
      </w:r>
      <w:r w:rsidR="00B426BC">
        <w:rPr>
          <w:b/>
          <w:noProof/>
        </w:rPr>
        <w:t>28</w:t>
      </w:r>
      <w:r w:rsidR="00A37365" w:rsidRPr="00E94D8A">
        <w:rPr>
          <w:b/>
        </w:rPr>
        <w:fldChar w:fldCharType="end"/>
      </w:r>
      <w:r w:rsidR="00A37365" w:rsidRPr="00E94D8A">
        <w:t xml:space="preserve">: </w:t>
      </w:r>
      <w:r w:rsidR="00265246" w:rsidRPr="00980148">
        <w:t xml:space="preserve">Se calculará </w:t>
      </w:r>
      <w:r w:rsidR="00265246" w:rsidRPr="00980148">
        <w:rPr>
          <w:iCs/>
        </w:rPr>
        <w:t>la</w:t>
      </w:r>
      <w:r w:rsidR="00265246" w:rsidRPr="00980148">
        <w:rPr>
          <w:i/>
          <w:iCs/>
        </w:rPr>
        <w:t xml:space="preserve"> </w:t>
      </w:r>
      <w:r w:rsidR="00265246" w:rsidRPr="00E94D8A">
        <w:rPr>
          <w:i/>
          <w:iCs/>
        </w:rPr>
        <w:sym w:font="Symbol" w:char="F062"/>
      </w:r>
      <w:proofErr w:type="spellStart"/>
      <w:r w:rsidR="00265246" w:rsidRPr="00980148">
        <w:rPr>
          <w:i/>
          <w:iCs/>
          <w:vertAlign w:val="subscript"/>
        </w:rPr>
        <w:t>asset</w:t>
      </w:r>
      <w:proofErr w:type="spellEnd"/>
      <w:r w:rsidR="00265246" w:rsidRPr="00980148">
        <w:t xml:space="preserve"> para los grupos predominantemente fijos y predominantemente móviles </w:t>
      </w:r>
      <w:r w:rsidR="00F9251F">
        <w:t>con</w:t>
      </w:r>
      <w:r w:rsidR="00F9251F" w:rsidRPr="00980148">
        <w:t xml:space="preserve"> </w:t>
      </w:r>
      <w:r w:rsidR="00265246" w:rsidRPr="00980148">
        <w:t xml:space="preserve">base </w:t>
      </w:r>
      <w:r w:rsidR="00F9251F">
        <w:t>en</w:t>
      </w:r>
      <w:r w:rsidR="00F9251F" w:rsidRPr="00980148">
        <w:t xml:space="preserve"> </w:t>
      </w:r>
      <w:r w:rsidR="00265246" w:rsidRPr="00980148">
        <w:t>una comparativa de operadores que estén presentes en Latinoamérica.</w:t>
      </w:r>
    </w:p>
    <w:p w14:paraId="46A7CC00" w14:textId="391B597B" w:rsidR="00A37365" w:rsidRPr="00E94D8A" w:rsidRDefault="002B1410" w:rsidP="00A37365">
      <w:pPr>
        <w:pStyle w:val="Ttulo3"/>
      </w:pPr>
      <w:r>
        <w:t>Relación</w:t>
      </w:r>
      <w:r w:rsidRPr="00E94D8A">
        <w:t xml:space="preserve"> </w:t>
      </w:r>
      <w:r w:rsidR="00A37365" w:rsidRPr="00E94D8A">
        <w:t>deuda/capital (</w:t>
      </w:r>
      <w:r w:rsidR="00A37365" w:rsidRPr="007C7045">
        <w:rPr>
          <w:i/>
        </w:rPr>
        <w:t>D/E</w:t>
      </w:r>
      <w:r w:rsidR="00A37365" w:rsidRPr="00E94D8A">
        <w:t>)</w:t>
      </w:r>
    </w:p>
    <w:p w14:paraId="2E4A008E" w14:textId="77777777" w:rsidR="00A37365" w:rsidRPr="00FB7938" w:rsidRDefault="00A37365" w:rsidP="00FB7938">
      <w:r w:rsidRPr="00FB7938">
        <w:t>Finalmente, es necesario definir la estructura de financiamiento para el operador basada en una estimación de la proporción (óptima) de deuda y capital en el negocio. El nivel de apalancamiento denota la deuda como proporción de las necesidades de financiamiento de la empresa, y se expresa como:</w:t>
      </w:r>
    </w:p>
    <w:p w14:paraId="68041848" w14:textId="0B7A11D4" w:rsidR="00A37365" w:rsidRPr="00E94D8A" w:rsidRDefault="00A37365" w:rsidP="00A37365">
      <w:pPr>
        <w:jc w:val="center"/>
        <w:rPr>
          <w:position w:val="-24"/>
        </w:rPr>
      </w:pPr>
      <w:r w:rsidRPr="00E94D8A">
        <w:rPr>
          <w:i/>
        </w:rPr>
        <w:t>Apalancamiento</w:t>
      </w:r>
      <w:r w:rsidRPr="00E94D8A">
        <w:t xml:space="preserve"> = </w:t>
      </w:r>
      <w:r w:rsidR="002C5C2B" w:rsidRPr="00E94D8A">
        <w:rPr>
          <w:position w:val="-24"/>
        </w:rPr>
        <w:object w:dxaOrig="700" w:dyaOrig="620" w14:anchorId="07465376">
          <v:shape id="_x0000_i1040" type="#_x0000_t75" alt="Fórmula" style="width:35.25pt;height:30.75pt" o:ole="">
            <v:imagedata r:id="rId65" o:title=""/>
          </v:shape>
          <o:OLEObject Type="Embed" ProgID="Equation.3" ShapeID="_x0000_i1040" DrawAspect="Content" ObjectID="_1538929433" r:id="rId66"/>
        </w:object>
      </w:r>
    </w:p>
    <w:p w14:paraId="0024740D" w14:textId="77777777" w:rsidR="00A37365" w:rsidRPr="00E94D8A" w:rsidRDefault="00A37365" w:rsidP="00A37365">
      <w:pPr>
        <w:rPr>
          <w:spacing w:val="-4"/>
        </w:rPr>
      </w:pPr>
      <w:r w:rsidRPr="00E94D8A">
        <w:rPr>
          <w:spacing w:val="-4"/>
        </w:rPr>
        <w:t>Generalmente, la expectativa en lo que respecta al nivel de retorno del capital (</w:t>
      </w:r>
      <w:proofErr w:type="spellStart"/>
      <w:r w:rsidRPr="00E94D8A">
        <w:rPr>
          <w:spacing w:val="-4"/>
        </w:rPr>
        <w:t>equity</w:t>
      </w:r>
      <w:proofErr w:type="spellEnd"/>
      <w:r w:rsidRPr="00E94D8A">
        <w:rPr>
          <w:spacing w:val="-4"/>
        </w:rPr>
        <w:t>) será mayor que la del retorno de la deuda. Si aumenta el nivel de apalancamiento, la deuda tendrá una prima de riesgo mayor ya que los acreedores requerirán un mayor interés al existir menor certidumbre en el pago.</w:t>
      </w:r>
    </w:p>
    <w:p w14:paraId="1184CDCC" w14:textId="77777777" w:rsidR="00A37365" w:rsidRPr="00E94D8A" w:rsidRDefault="00A37365" w:rsidP="00A37365">
      <w:pPr>
        <w:rPr>
          <w:spacing w:val="-4"/>
        </w:rPr>
      </w:pPr>
      <w:r w:rsidRPr="00E94D8A">
        <w:rPr>
          <w:spacing w:val="-4"/>
        </w:rPr>
        <w:t>Por eso mismo, la teoría financiera asume que existe una estructura financiera óptima que minimiza el costo del capital y se le conoce como apalancamiento objetivo. En la práctica, este apalancamiento óptimo es difícil de determinar y variará en función del tipo y forma de la compañía.</w:t>
      </w:r>
    </w:p>
    <w:p w14:paraId="2ED7D1FF" w14:textId="77777777" w:rsidR="00A37365" w:rsidRPr="00E94D8A" w:rsidRDefault="00A37365" w:rsidP="00A37365">
      <w:r w:rsidRPr="00E94D8A">
        <w:t>El IRG específica tres enfoques posibles:</w:t>
      </w:r>
    </w:p>
    <w:p w14:paraId="289FDF0A" w14:textId="77777777" w:rsidR="00A37365" w:rsidRPr="00E94D8A" w:rsidRDefault="00A37365" w:rsidP="00A37365">
      <w:pPr>
        <w:pStyle w:val="L1"/>
        <w:numPr>
          <w:ilvl w:val="0"/>
          <w:numId w:val="18"/>
        </w:numPr>
      </w:pPr>
      <w:r w:rsidRPr="00E94D8A">
        <w:t>usar valores en libros para calcular el apalancamiento</w:t>
      </w:r>
    </w:p>
    <w:p w14:paraId="183C3F8D" w14:textId="77777777" w:rsidR="00A37365" w:rsidRPr="00E94D8A" w:rsidRDefault="00A37365" w:rsidP="00A37365">
      <w:pPr>
        <w:pStyle w:val="L1"/>
        <w:numPr>
          <w:ilvl w:val="0"/>
          <w:numId w:val="18"/>
        </w:numPr>
      </w:pPr>
      <w:r w:rsidRPr="00E94D8A">
        <w:t>usar valores de mercado para calcular el apalancamiento</w:t>
      </w:r>
    </w:p>
    <w:p w14:paraId="5A5ED18C" w14:textId="77777777" w:rsidR="00A37365" w:rsidRPr="00E94D8A" w:rsidRDefault="00A37365" w:rsidP="00A37365">
      <w:pPr>
        <w:pStyle w:val="L1"/>
        <w:numPr>
          <w:ilvl w:val="0"/>
          <w:numId w:val="18"/>
        </w:numPr>
      </w:pPr>
      <w:r w:rsidRPr="00E94D8A">
        <w:t>usar el apalancamiento óptimo.</w:t>
      </w:r>
    </w:p>
    <w:p w14:paraId="0299D316" w14:textId="77777777" w:rsidR="00A37365" w:rsidRPr="00E94D8A" w:rsidRDefault="00A37365" w:rsidP="00E94D8A">
      <w:pPr>
        <w:pStyle w:val="Ttulo4"/>
        <w:keepNext w:val="0"/>
        <w:keepLines w:val="0"/>
      </w:pPr>
      <w:r w:rsidRPr="00E94D8A">
        <w:t>Enfoque propuesto para definir el apalancamiento del operador fijo y móvil</w:t>
      </w:r>
    </w:p>
    <w:p w14:paraId="6243A3B2" w14:textId="77777777" w:rsidR="00A37365" w:rsidRPr="00E94D8A" w:rsidRDefault="00A37365" w:rsidP="00E94D8A">
      <w:r w:rsidRPr="00E94D8A">
        <w:t xml:space="preserve">Se propone utilizar una comparativa de los niveles de apalancamiento actual de operadores sólo móviles, sólo fijos y fijos–móviles, usando un método similar al definido para estimar </w:t>
      </w:r>
      <w:r w:rsidRPr="00E94D8A">
        <w:rPr>
          <w:i/>
          <w:iCs/>
        </w:rPr>
        <w:sym w:font="Symbol" w:char="F062"/>
      </w:r>
      <w:proofErr w:type="spellStart"/>
      <w:r w:rsidRPr="00E94D8A">
        <w:rPr>
          <w:i/>
          <w:vertAlign w:val="subscript"/>
        </w:rPr>
        <w:t>asset</w:t>
      </w:r>
      <w:proofErr w:type="spellEnd"/>
      <w:r w:rsidRPr="00E94D8A">
        <w:rPr>
          <w:vertAlign w:val="subscript"/>
        </w:rPr>
        <w:t xml:space="preserve"> </w:t>
      </w:r>
      <w:r w:rsidRPr="00E94D8A">
        <w:t>para derivar el nivel de apalancamiento de cada operador.</w:t>
      </w:r>
    </w:p>
    <w:p w14:paraId="57EBC00D" w14:textId="55150C65" w:rsidR="00A37365" w:rsidRPr="00E94D8A" w:rsidRDefault="0043475A" w:rsidP="00E94D8A">
      <w:pPr>
        <w:pStyle w:val="B1"/>
        <w:keepLines w:val="0"/>
        <w:pBdr>
          <w:top w:val="single" w:sz="4" w:space="2" w:color="D9D9D9" w:themeColor="background1" w:themeShade="D9"/>
          <w:bottom w:val="single" w:sz="4" w:space="5" w:color="D9D9D9" w:themeColor="background1" w:themeShade="D9"/>
        </w:pBdr>
        <w:shd w:val="clear" w:color="auto" w:fill="F2F2F2" w:themeFill="background1" w:themeFillShade="F2"/>
      </w:pPr>
      <w:r>
        <w:rPr>
          <w:b/>
          <w:bCs/>
        </w:rPr>
        <w:t>Concepto propuesto</w:t>
      </w:r>
      <w:r w:rsidR="00A37365" w:rsidRPr="00E94D8A">
        <w:rPr>
          <w:b/>
        </w:rPr>
        <w:t xml:space="preserve"> </w:t>
      </w:r>
      <w:r w:rsidR="00A37365" w:rsidRPr="00E94D8A">
        <w:rPr>
          <w:b/>
        </w:rPr>
        <w:fldChar w:fldCharType="begin"/>
      </w:r>
      <w:r w:rsidR="00A37365" w:rsidRPr="00E94D8A">
        <w:rPr>
          <w:b/>
        </w:rPr>
        <w:instrText xml:space="preserve"> SEQ Recommendation \* ARABIC \s 0 </w:instrText>
      </w:r>
      <w:r w:rsidR="00A37365" w:rsidRPr="00E94D8A">
        <w:rPr>
          <w:b/>
        </w:rPr>
        <w:fldChar w:fldCharType="separate"/>
      </w:r>
      <w:r w:rsidR="00B426BC">
        <w:rPr>
          <w:b/>
          <w:noProof/>
        </w:rPr>
        <w:t>29</w:t>
      </w:r>
      <w:r w:rsidR="00A37365" w:rsidRPr="00E94D8A">
        <w:rPr>
          <w:b/>
        </w:rPr>
        <w:fldChar w:fldCharType="end"/>
      </w:r>
      <w:r w:rsidR="00A37365" w:rsidRPr="00E94D8A">
        <w:t xml:space="preserve">: </w:t>
      </w:r>
      <w:r w:rsidR="00265246" w:rsidRPr="00980148">
        <w:t xml:space="preserve">De forma similar al método seguido para determinar la </w:t>
      </w:r>
      <w:r w:rsidR="00265246" w:rsidRPr="00E94D8A">
        <w:rPr>
          <w:i/>
          <w:iCs/>
        </w:rPr>
        <w:sym w:font="Symbol" w:char="F062"/>
      </w:r>
      <w:proofErr w:type="spellStart"/>
      <w:r w:rsidR="00265246" w:rsidRPr="00980148">
        <w:rPr>
          <w:i/>
          <w:vertAlign w:val="subscript"/>
        </w:rPr>
        <w:t>asset</w:t>
      </w:r>
      <w:proofErr w:type="spellEnd"/>
      <w:r w:rsidR="00265246" w:rsidRPr="00980148">
        <w:t xml:space="preserve">, se evaluará el nivel apropiado de apalancamiento utilizando la misma comparativa de operadores </w:t>
      </w:r>
      <w:r w:rsidR="00265246" w:rsidRPr="00980148">
        <w:lastRenderedPageBreak/>
        <w:t xml:space="preserve">en Latinoamérica. Se aplica </w:t>
      </w:r>
      <w:r w:rsidR="0017052B" w:rsidRPr="0017052B">
        <w:t xml:space="preserve">información pública financiera con fuente en </w:t>
      </w:r>
      <w:proofErr w:type="spellStart"/>
      <w:r w:rsidR="0017052B" w:rsidRPr="0017052B">
        <w:t>Financial</w:t>
      </w:r>
      <w:proofErr w:type="spellEnd"/>
      <w:r w:rsidR="0017052B" w:rsidRPr="0017052B">
        <w:t xml:space="preserve"> Times y Reuters</w:t>
      </w:r>
      <w:r w:rsidR="00265246" w:rsidRPr="00980148">
        <w:t>.</w:t>
      </w:r>
    </w:p>
    <w:p w14:paraId="0A33A225" w14:textId="77777777" w:rsidR="00A37365" w:rsidRPr="00E94D8A" w:rsidRDefault="00A37365" w:rsidP="0090240B">
      <w:pPr>
        <w:pStyle w:val="Ttulo3"/>
      </w:pPr>
      <w:bookmarkStart w:id="98" w:name="_Ref321212527"/>
      <w:r w:rsidRPr="00E94D8A">
        <w:t>Cost</w:t>
      </w:r>
      <w:r w:rsidR="00FB7938">
        <w:t>o</w:t>
      </w:r>
      <w:r w:rsidRPr="00E94D8A">
        <w:t xml:space="preserve"> de la deuda</w:t>
      </w:r>
      <w:bookmarkEnd w:id="98"/>
    </w:p>
    <w:p w14:paraId="79E01CBC" w14:textId="77777777" w:rsidR="00A37365" w:rsidRPr="00E94D8A" w:rsidRDefault="00A37365" w:rsidP="00A37365">
      <w:r w:rsidRPr="00E94D8A">
        <w:t>El costo de la deuda se define como:</w:t>
      </w:r>
    </w:p>
    <w:p w14:paraId="25BB5A73" w14:textId="0D3EC0D8" w:rsidR="00A37365" w:rsidRPr="00E94D8A" w:rsidRDefault="002C5C2B" w:rsidP="00A37365">
      <w:pPr>
        <w:jc w:val="center"/>
      </w:pPr>
      <w:r w:rsidRPr="00E94D8A">
        <w:rPr>
          <w:position w:val="-14"/>
        </w:rPr>
        <w:object w:dxaOrig="2420" w:dyaOrig="380" w14:anchorId="2FFC8B84">
          <v:shape id="_x0000_i1041" type="#_x0000_t75" alt="Fórmula" style="width:122.25pt;height:19.5pt" o:ole="">
            <v:imagedata r:id="rId67" o:title=""/>
          </v:shape>
          <o:OLEObject Type="Embed" ProgID="Equation.3" ShapeID="_x0000_i1041" DrawAspect="Content" ObjectID="_1538929434" r:id="rId68"/>
        </w:object>
      </w:r>
    </w:p>
    <w:p w14:paraId="1F89B4E3" w14:textId="77777777" w:rsidR="00A37365" w:rsidRPr="00E94D8A" w:rsidRDefault="00A37365" w:rsidP="00A37365">
      <w:r w:rsidRPr="00E94D8A">
        <w:t>Dónde:</w:t>
      </w:r>
    </w:p>
    <w:p w14:paraId="00ED2A68" w14:textId="77777777" w:rsidR="00A37365" w:rsidRPr="00E94D8A" w:rsidRDefault="00A37365" w:rsidP="00A37365">
      <w:pPr>
        <w:pStyle w:val="ListBulletCompact"/>
      </w:pPr>
      <w:r w:rsidRPr="00E94D8A">
        <w:rPr>
          <w:i/>
          <w:iCs/>
        </w:rPr>
        <w:t>R</w:t>
      </w:r>
      <w:r w:rsidRPr="00E94D8A">
        <w:rPr>
          <w:i/>
          <w:iCs/>
          <w:vertAlign w:val="subscript"/>
        </w:rPr>
        <w:t>f</w:t>
      </w:r>
      <w:r w:rsidRPr="00E94D8A">
        <w:t xml:space="preserve"> es la tasa de retorno libre de riesgo</w:t>
      </w:r>
    </w:p>
    <w:p w14:paraId="25808544" w14:textId="77777777" w:rsidR="00A37365" w:rsidRPr="00E94D8A" w:rsidRDefault="00A37365" w:rsidP="00A37365">
      <w:pPr>
        <w:pStyle w:val="ListBulletCompact"/>
      </w:pPr>
      <w:r w:rsidRPr="00E94D8A">
        <w:rPr>
          <w:i/>
          <w:iCs/>
        </w:rPr>
        <w:t>R</w:t>
      </w:r>
      <w:r w:rsidRPr="00E94D8A">
        <w:rPr>
          <w:i/>
          <w:iCs/>
          <w:vertAlign w:val="subscript"/>
        </w:rPr>
        <w:t>D</w:t>
      </w:r>
      <w:r w:rsidRPr="00E94D8A">
        <w:t xml:space="preserve"> es la prima de riesgo de deuda</w:t>
      </w:r>
    </w:p>
    <w:p w14:paraId="4E853EFF" w14:textId="77777777" w:rsidR="00A37365" w:rsidRPr="00E94D8A" w:rsidRDefault="00A37365" w:rsidP="00A37365">
      <w:pPr>
        <w:pStyle w:val="Listaconvietas"/>
        <w:ind w:left="360" w:hanging="360"/>
      </w:pPr>
      <w:r w:rsidRPr="00E94D8A">
        <w:rPr>
          <w:i/>
          <w:iCs/>
        </w:rPr>
        <w:t>T</w:t>
      </w:r>
      <w:r w:rsidRPr="00E94D8A">
        <w:t xml:space="preserve"> es la tasa de impuestos corporativa.</w:t>
      </w:r>
    </w:p>
    <w:p w14:paraId="68CE91F1" w14:textId="77777777" w:rsidR="00A37365" w:rsidRPr="00E94D8A" w:rsidRDefault="00A37365" w:rsidP="00A37365">
      <w:r w:rsidRPr="00E94D8A">
        <w:t xml:space="preserve">En México existen dos impuestos corporativos, el impuesto empresarial a tasa única (IETU) y el Impuesto sobre la renta (ISR). Ya que la cantidad de cada impuesto no es fácil de calcular, solicitaremos el apoyo </w:t>
      </w:r>
      <w:r w:rsidR="006A7A8B">
        <w:t>del IFT</w:t>
      </w:r>
      <w:r w:rsidRPr="00E94D8A">
        <w:t xml:space="preserve"> para definir la tasa adecuada de impuestos corporativos (T) para efectos de este ejercicio.</w:t>
      </w:r>
    </w:p>
    <w:p w14:paraId="57C1AFDA" w14:textId="77777777" w:rsidR="00A37365" w:rsidRPr="00E94D8A" w:rsidRDefault="00A37365" w:rsidP="00A37365">
      <w:r w:rsidRPr="00E94D8A">
        <w:t>La prima de riesgo de deuda de una empresa es la diferencia entre lo que una empresa tiene que pagar a sus acreedores al adquirir un préstamo y la tasa libre de riesgo. Típicamente, la prima de riesgo de deuda varía de acuerdo con el apalancamiento de la empresa – cuanto mayor sea la proporción de financiamiento a través de deuda, mayor es la prima (el IRG presenta una aproximación lineal) debido a la presión ejercida sobre los flujos de efectivo.</w:t>
      </w:r>
    </w:p>
    <w:p w14:paraId="3C842E37" w14:textId="77777777" w:rsidR="00A37365" w:rsidRPr="00E94D8A" w:rsidRDefault="00A37365" w:rsidP="00A37365">
      <w:r w:rsidRPr="00E94D8A">
        <w:t xml:space="preserve">El IRG menciona tres posibles métodos para determinar el costo de la deuda: </w:t>
      </w:r>
    </w:p>
    <w:p w14:paraId="35EDBCA9" w14:textId="77777777" w:rsidR="00A37365" w:rsidRPr="00E94D8A" w:rsidRDefault="00A37365" w:rsidP="00A37365">
      <w:pPr>
        <w:pStyle w:val="ListBulletCompact"/>
      </w:pPr>
      <w:r w:rsidRPr="00E94D8A">
        <w:t>el uso de información contable como pueden ser deudas actuales</w:t>
      </w:r>
    </w:p>
    <w:p w14:paraId="7C6B8093" w14:textId="0775F9B4" w:rsidR="00A37365" w:rsidRPr="00E94D8A" w:rsidRDefault="00A37365" w:rsidP="00A37365">
      <w:pPr>
        <w:pStyle w:val="ListBulletCompact"/>
      </w:pPr>
      <w:r w:rsidRPr="00E94D8A">
        <w:t xml:space="preserve">calcular el nivel eficiente de endeudamiento y el costo asociado de la deuda </w:t>
      </w:r>
      <w:r w:rsidR="00F9251F">
        <w:t>con</w:t>
      </w:r>
      <w:r w:rsidR="00F9251F" w:rsidRPr="00E94D8A">
        <w:t xml:space="preserve"> </w:t>
      </w:r>
      <w:r w:rsidRPr="00E94D8A">
        <w:t xml:space="preserve">base </w:t>
      </w:r>
      <w:r w:rsidR="00F9251F">
        <w:t>en</w:t>
      </w:r>
      <w:r w:rsidR="00F9251F" w:rsidRPr="00E94D8A">
        <w:t xml:space="preserve"> </w:t>
      </w:r>
      <w:r w:rsidRPr="00E94D8A">
        <w:t>calificaciones de crédito</w:t>
      </w:r>
    </w:p>
    <w:p w14:paraId="433077CB" w14:textId="152DEF00" w:rsidR="00A37365" w:rsidRPr="00E94D8A" w:rsidRDefault="00A37365" w:rsidP="00A37365">
      <w:pPr>
        <w:pStyle w:val="I1"/>
        <w:numPr>
          <w:ilvl w:val="0"/>
          <w:numId w:val="23"/>
        </w:numPr>
      </w:pPr>
      <w:r w:rsidRPr="00E94D8A">
        <w:t xml:space="preserve">sumar a la tasa libre de riesgo la prima de riesgo de la deuda asociada con la empresa, </w:t>
      </w:r>
      <w:r w:rsidR="00F9251F">
        <w:t xml:space="preserve">con </w:t>
      </w:r>
      <w:r w:rsidR="00F9251F" w:rsidRPr="00E94D8A">
        <w:t xml:space="preserve"> </w:t>
      </w:r>
      <w:r w:rsidRPr="00E94D8A">
        <w:t xml:space="preserve">base </w:t>
      </w:r>
      <w:r w:rsidR="00F9251F">
        <w:t>en</w:t>
      </w:r>
      <w:r w:rsidR="00F9251F" w:rsidRPr="00E94D8A">
        <w:t xml:space="preserve"> </w:t>
      </w:r>
      <w:r w:rsidRPr="00E94D8A">
        <w:t xml:space="preserve">una comparativa de las tasas de retorno de la deuda (p.ej. Eurobonos corporativos) de empresas comparables con riesgo o madurez semejantes. </w:t>
      </w:r>
    </w:p>
    <w:p w14:paraId="35709245" w14:textId="77777777" w:rsidR="003C2691" w:rsidRDefault="0043475A" w:rsidP="003C2691">
      <w:pPr>
        <w:pStyle w:val="B1"/>
        <w:keepLines w:val="0"/>
        <w:pBdr>
          <w:top w:val="single" w:sz="4" w:space="2" w:color="D9D9D9" w:themeColor="background1" w:themeShade="D9"/>
          <w:bottom w:val="single" w:sz="4" w:space="5" w:color="D9D9D9" w:themeColor="background1" w:themeShade="D9"/>
        </w:pBdr>
        <w:shd w:val="clear" w:color="auto" w:fill="F2F2F2" w:themeFill="background1" w:themeFillShade="F2"/>
      </w:pPr>
      <w:r>
        <w:rPr>
          <w:b/>
          <w:bCs/>
        </w:rPr>
        <w:t>Concepto propuesto</w:t>
      </w:r>
      <w:r w:rsidR="003C2691" w:rsidRPr="00E94D8A">
        <w:rPr>
          <w:b/>
          <w:bCs/>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30</w:t>
      </w:r>
      <w:r w:rsidR="00CB05BF" w:rsidRPr="00E94D8A">
        <w:rPr>
          <w:b/>
          <w:color w:val="000000" w:themeColor="text1"/>
        </w:rPr>
        <w:fldChar w:fldCharType="end"/>
      </w:r>
      <w:r w:rsidR="003C2691" w:rsidRPr="00E94D8A">
        <w:t>: Se usa</w:t>
      </w:r>
      <w:r w:rsidR="003C2691">
        <w:t>rá</w:t>
      </w:r>
      <w:r w:rsidR="003C2691" w:rsidRPr="00E94D8A">
        <w:t xml:space="preserve"> un costo de la deuda para el operador móvil que corresponde con la tasa de retorno libre de riesgo de México</w:t>
      </w:r>
      <w:r w:rsidR="003C2691">
        <w:t>,</w:t>
      </w:r>
      <w:r w:rsidR="003C2691" w:rsidRPr="00E94D8A">
        <w:t xml:space="preserve"> </w:t>
      </w:r>
      <w:r w:rsidR="003C2691">
        <w:t>más</w:t>
      </w:r>
      <w:r w:rsidR="003C2691" w:rsidRPr="00E94D8A">
        <w:t xml:space="preserve"> una prima de deuda por </w:t>
      </w:r>
      <w:r w:rsidR="003C2691">
        <w:t>el mayor riesgo que tiene un</w:t>
      </w:r>
      <w:r w:rsidR="003C2691" w:rsidRPr="00E94D8A">
        <w:t xml:space="preserve"> operador </w:t>
      </w:r>
      <w:r w:rsidR="003C2691">
        <w:t xml:space="preserve">en comparación </w:t>
      </w:r>
      <w:r w:rsidR="003C2691" w:rsidRPr="00E94D8A">
        <w:t xml:space="preserve">con el país. Para definir la prima </w:t>
      </w:r>
      <w:r w:rsidR="003C2691">
        <w:t xml:space="preserve">se ha utilizado </w:t>
      </w:r>
      <w:r w:rsidR="003C2691" w:rsidRPr="00E94D8A">
        <w:t xml:space="preserve">una comparativa internacional. </w:t>
      </w:r>
    </w:p>
    <w:p w14:paraId="3AA82DA5" w14:textId="77777777" w:rsidR="003C2691" w:rsidRDefault="003C2691" w:rsidP="003C2691">
      <w:pPr>
        <w:pStyle w:val="B1"/>
        <w:keepLines w:val="0"/>
        <w:pBdr>
          <w:top w:val="single" w:sz="4" w:space="2" w:color="D9D9D9" w:themeColor="background1" w:themeShade="D9"/>
          <w:bottom w:val="single" w:sz="4" w:space="5" w:color="D9D9D9" w:themeColor="background1" w:themeShade="D9"/>
        </w:pBdr>
        <w:shd w:val="clear" w:color="auto" w:fill="F2F2F2" w:themeFill="background1" w:themeFillShade="F2"/>
      </w:pPr>
      <w:r>
        <w:t>Se aplicará l</w:t>
      </w:r>
      <w:r w:rsidRPr="00E94D8A">
        <w:t xml:space="preserve">a misma metodología para determinar el costo de la deuda del operador fijo </w:t>
      </w:r>
      <w:r>
        <w:t>en línea</w:t>
      </w:r>
      <w:r w:rsidRPr="00E94D8A">
        <w:t xml:space="preserve"> </w:t>
      </w:r>
      <w:r>
        <w:t>con el observado en los operadores móviles.</w:t>
      </w:r>
    </w:p>
    <w:p w14:paraId="60EBDED8" w14:textId="66AABFC1" w:rsidR="003C2691" w:rsidRPr="00E94D8A" w:rsidRDefault="006A7A8B" w:rsidP="00A37365">
      <w:pPr>
        <w:pStyle w:val="B1"/>
        <w:keepLines w:val="0"/>
        <w:pBdr>
          <w:top w:val="single" w:sz="4" w:space="2" w:color="D9D9D9" w:themeColor="background1" w:themeShade="D9"/>
          <w:bottom w:val="single" w:sz="4" w:space="5" w:color="D9D9D9" w:themeColor="background1" w:themeShade="D9"/>
        </w:pBdr>
        <w:shd w:val="clear" w:color="auto" w:fill="F2F2F2" w:themeFill="background1" w:themeFillShade="F2"/>
      </w:pPr>
      <w:r>
        <w:lastRenderedPageBreak/>
        <w:t>El IFT</w:t>
      </w:r>
      <w:r w:rsidR="003C2691" w:rsidRPr="00E94D8A">
        <w:t xml:space="preserve"> </w:t>
      </w:r>
      <w:r w:rsidR="003C2691">
        <w:t xml:space="preserve">ha </w:t>
      </w:r>
      <w:r w:rsidR="003C2691" w:rsidRPr="00E94D8A">
        <w:t>defini</w:t>
      </w:r>
      <w:r w:rsidR="003C2691">
        <w:t>do</w:t>
      </w:r>
      <w:r w:rsidR="003C2691" w:rsidRPr="00E94D8A">
        <w:t xml:space="preserve"> </w:t>
      </w:r>
      <w:r w:rsidR="003C2691" w:rsidRPr="00695288">
        <w:t xml:space="preserve">el IRS </w:t>
      </w:r>
      <w:r w:rsidR="003C2691">
        <w:t xml:space="preserve">como </w:t>
      </w:r>
      <w:r w:rsidR="003C2691" w:rsidRPr="00E94D8A">
        <w:t>la tasa adecuada de impuestos corporativos (T).</w:t>
      </w:r>
      <w:r w:rsidR="003C2691">
        <w:t xml:space="preserve"> Si bien el </w:t>
      </w:r>
      <w:r w:rsidR="003C2691" w:rsidRPr="00695288">
        <w:t xml:space="preserve">valor </w:t>
      </w:r>
      <w:r w:rsidR="003C2691">
        <w:t xml:space="preserve">para el año </w:t>
      </w:r>
      <w:r w:rsidR="00C40E98">
        <w:t xml:space="preserve">2016 </w:t>
      </w:r>
      <w:r w:rsidR="003C2691">
        <w:t xml:space="preserve">es </w:t>
      </w:r>
      <w:r w:rsidR="003C2691" w:rsidRPr="00695288">
        <w:t>de</w:t>
      </w:r>
      <w:r w:rsidR="003C2691">
        <w:t>l 30%,</w:t>
      </w:r>
      <w:r w:rsidR="003C2691" w:rsidRPr="00695288">
        <w:t xml:space="preserve"> se </w:t>
      </w:r>
      <w:r w:rsidR="003C2691">
        <w:t xml:space="preserve">recomienda considerar </w:t>
      </w:r>
      <w:r w:rsidR="003C2691" w:rsidRPr="00695288">
        <w:t>la tasa de i</w:t>
      </w:r>
      <w:r w:rsidR="003C2691">
        <w:t>mpuestos vigente en el momento de resolver desacuerdos entre operadores.</w:t>
      </w:r>
    </w:p>
    <w:p w14:paraId="53D0DE62" w14:textId="77777777" w:rsidR="00A37365" w:rsidRPr="00E94D8A" w:rsidRDefault="00A37365" w:rsidP="00A37365">
      <w:pPr>
        <w:pStyle w:val="Ttulo3"/>
      </w:pPr>
      <w:r w:rsidRPr="00E94D8A">
        <w:t>Sensibilidad del costo de capital a cambios en los parámetros de cálculo</w:t>
      </w:r>
    </w:p>
    <w:p w14:paraId="0EF02E3F" w14:textId="5CBA7A8E" w:rsidR="00A37365" w:rsidRPr="00E94D8A" w:rsidRDefault="00A37365" w:rsidP="00A37365">
      <w:r w:rsidRPr="00E94D8A">
        <w:t>Para calcular el CCPP es necesario especificar el nivel de apalancamiento de la empresa para sopesar los costos relativos del capital (</w:t>
      </w:r>
      <w:proofErr w:type="spellStart"/>
      <w:r w:rsidRPr="00E94D8A">
        <w:rPr>
          <w:i/>
        </w:rPr>
        <w:t>equity</w:t>
      </w:r>
      <w:proofErr w:type="spellEnd"/>
      <w:r w:rsidRPr="00E94D8A">
        <w:t xml:space="preserve">) y la deuda. El apalancamiento de la empresa también influye en el cálculo de </w:t>
      </w:r>
      <w:r w:rsidR="002C5C2B" w:rsidRPr="00E94D8A">
        <w:rPr>
          <w:position w:val="-10"/>
        </w:rPr>
        <w:object w:dxaOrig="240" w:dyaOrig="320" w14:anchorId="068122E5">
          <v:shape id="_x0000_i1042" type="#_x0000_t75" alt="Fórmula" style="width:12.75pt;height:19.5pt" o:ole="">
            <v:imagedata r:id="rId58" o:title=""/>
          </v:shape>
          <o:OLEObject Type="Embed" ProgID="Equation.3" ShapeID="_x0000_i1042" DrawAspect="Content" ObjectID="_1538929435" r:id="rId69"/>
        </w:object>
      </w:r>
      <w:proofErr w:type="spellStart"/>
      <w:r w:rsidRPr="00E94D8A">
        <w:rPr>
          <w:i/>
          <w:vertAlign w:val="subscript"/>
        </w:rPr>
        <w:t>equity</w:t>
      </w:r>
      <w:proofErr w:type="spellEnd"/>
      <w:r w:rsidRPr="00E94D8A">
        <w:t>,</w:t>
      </w:r>
      <w:r w:rsidRPr="00E94D8A">
        <w:rPr>
          <w:i/>
          <w:iCs/>
          <w:vertAlign w:val="subscript"/>
        </w:rPr>
        <w:t xml:space="preserve"> </w:t>
      </w:r>
      <w:r w:rsidRPr="00E94D8A">
        <w:t xml:space="preserve">que específica la tasa de retorno requerida para el capital y la prima de riesgo de deuda que especifica la tasa de retorno de la deuda. El retorno sobre el capital es después de impuestos, mientras que el retorno de la deuda es antes de impuestos, por lo que al calcular el CCPP antes de impuestos de un operador típico se puede observar que éste es insensible al nivel de apalancamiento. Con un apalancamiento mayor, una proporción mayor del costo de capital se debe al retorno sobre la deuda – con una tasa menor que el capital. Sin embargo, con un apalancamiento mayor la prima de riesgo de la deuda y </w:t>
      </w:r>
      <w:r w:rsidR="002C5C2B" w:rsidRPr="00E94D8A">
        <w:rPr>
          <w:position w:val="-10"/>
        </w:rPr>
        <w:object w:dxaOrig="240" w:dyaOrig="320" w14:anchorId="232459CD">
          <v:shape id="_x0000_i1043" type="#_x0000_t75" alt="Fórmula" style="width:12.75pt;height:19.5pt" o:ole="">
            <v:imagedata r:id="rId58" o:title=""/>
          </v:shape>
          <o:OLEObject Type="Embed" ProgID="Equation.3" ShapeID="_x0000_i1043" DrawAspect="Content" ObjectID="_1538929436" r:id="rId70"/>
        </w:object>
      </w:r>
      <w:proofErr w:type="spellStart"/>
      <w:r w:rsidRPr="00E94D8A">
        <w:rPr>
          <w:i/>
          <w:vertAlign w:val="subscript"/>
        </w:rPr>
        <w:t>equity</w:t>
      </w:r>
      <w:proofErr w:type="spellEnd"/>
      <w:r w:rsidRPr="00E94D8A">
        <w:t xml:space="preserve"> aumentan, lo cual neutraliza en gran medida los ahorros logrados mediante un mayor financiamiento a través de deuda. Esto está ampliamente documentado y explicado en la hipótesis </w:t>
      </w:r>
      <w:proofErr w:type="spellStart"/>
      <w:r w:rsidRPr="00E94D8A">
        <w:t>Modigliani</w:t>
      </w:r>
      <w:proofErr w:type="spellEnd"/>
      <w:r w:rsidRPr="00E94D8A">
        <w:t xml:space="preserve">-Miller. </w:t>
      </w:r>
    </w:p>
    <w:p w14:paraId="2F2AD5CB" w14:textId="70CDD56B" w:rsidR="00A37365" w:rsidRDefault="00A37365" w:rsidP="00A37365">
      <w:r w:rsidRPr="00E94D8A">
        <w:t xml:space="preserve">Por lo tanto, </w:t>
      </w:r>
      <w:r w:rsidR="00782F05">
        <w:t xml:space="preserve">el nivel de apalancamiento de la empresa </w:t>
      </w:r>
      <w:r w:rsidRPr="00E94D8A">
        <w:t xml:space="preserve">es el parámetro que tiene </w:t>
      </w:r>
      <w:r w:rsidR="00782F05">
        <w:t xml:space="preserve">menor </w:t>
      </w:r>
      <w:r w:rsidRPr="00E94D8A">
        <w:t xml:space="preserve">impacto </w:t>
      </w:r>
      <w:r w:rsidR="00782F05">
        <w:t xml:space="preserve">que la </w:t>
      </w:r>
      <w:r w:rsidR="002C5C2B" w:rsidRPr="00E94D8A">
        <w:rPr>
          <w:position w:val="-10"/>
        </w:rPr>
        <w:object w:dxaOrig="240" w:dyaOrig="320" w14:anchorId="4495C033">
          <v:shape id="_x0000_i1044" type="#_x0000_t75" alt="Fórmula" style="width:12.75pt;height:19.5pt" o:ole="">
            <v:imagedata r:id="rId58" o:title=""/>
          </v:shape>
          <o:OLEObject Type="Embed" ProgID="Equation.3" ShapeID="_x0000_i1044" DrawAspect="Content" ObjectID="_1538929437" r:id="rId71"/>
        </w:object>
      </w:r>
      <w:proofErr w:type="spellStart"/>
      <w:r w:rsidR="00782F05" w:rsidRPr="00E94D8A">
        <w:rPr>
          <w:i/>
          <w:vertAlign w:val="subscript"/>
        </w:rPr>
        <w:t>equity</w:t>
      </w:r>
      <w:proofErr w:type="spellEnd"/>
      <w:r w:rsidR="00782F05">
        <w:t xml:space="preserve"> </w:t>
      </w:r>
      <w:r w:rsidRPr="00E94D8A">
        <w:t xml:space="preserve">en el nivel de CCPP. </w:t>
      </w:r>
    </w:p>
    <w:p w14:paraId="19589B59" w14:textId="77777777" w:rsidR="00A37365" w:rsidRPr="00E94D8A" w:rsidRDefault="00A37365" w:rsidP="00A37365">
      <w:pPr>
        <w:pStyle w:val="Ttulo2"/>
      </w:pPr>
      <w:bookmarkStart w:id="99" w:name="_Ref321212560"/>
      <w:bookmarkStart w:id="100" w:name="_Toc454893691"/>
      <w:r w:rsidRPr="00E94D8A">
        <w:t xml:space="preserve">Aplicación de un </w:t>
      </w:r>
      <w:proofErr w:type="spellStart"/>
      <w:r w:rsidRPr="00844B67">
        <w:rPr>
          <w:i/>
        </w:rPr>
        <w:t>mark</w:t>
      </w:r>
      <w:proofErr w:type="spellEnd"/>
      <w:r w:rsidRPr="00844B67">
        <w:rPr>
          <w:i/>
        </w:rPr>
        <w:t>-up</w:t>
      </w:r>
      <w:bookmarkEnd w:id="99"/>
      <w:bookmarkEnd w:id="100"/>
    </w:p>
    <w:p w14:paraId="774C6D8F" w14:textId="77777777" w:rsidR="00A37365" w:rsidRPr="00E94D8A" w:rsidRDefault="00A37365" w:rsidP="00A37365">
      <w:r w:rsidRPr="00E94D8A">
        <w:t xml:space="preserve">El cálculo de costos incrementales para un operador identificará algunos costos que son comunes a </w:t>
      </w:r>
      <w:r w:rsidR="00C40E98">
        <w:t xml:space="preserve">y/o compartidos con </w:t>
      </w:r>
      <w:r w:rsidRPr="00E94D8A">
        <w:t xml:space="preserve">varios incrementos. Estos costos comunes </w:t>
      </w:r>
      <w:r w:rsidR="00C40E98">
        <w:t xml:space="preserve">y compartidos </w:t>
      </w:r>
      <w:r w:rsidRPr="00E94D8A">
        <w:t xml:space="preserve">son requeridos para soportar uno o varios servicios, en dos o más incrementos, y no son atribuibles a incrementos en forma </w:t>
      </w:r>
      <w:proofErr w:type="spellStart"/>
      <w:r w:rsidRPr="00E94D8A">
        <w:t>causal</w:t>
      </w:r>
      <w:proofErr w:type="spellEnd"/>
      <w:r w:rsidRPr="00E94D8A">
        <w:t>. Estos tienden a ser:</w:t>
      </w:r>
    </w:p>
    <w:p w14:paraId="4A140B0C" w14:textId="1E368594" w:rsidR="00A37365" w:rsidRPr="00E94D8A" w:rsidRDefault="00A37365" w:rsidP="00A37365">
      <w:pPr>
        <w:pStyle w:val="Listaconvietas"/>
        <w:ind w:left="360" w:hanging="360"/>
      </w:pPr>
      <w:r w:rsidRPr="00E94D8A">
        <w:t xml:space="preserve">Costos comunes de tráfico – partes de la red desplegada por tráfico que son comunes a todos los servicios de la red (p.ej. la plataforma de voz o la </w:t>
      </w:r>
      <w:r w:rsidR="004249E6">
        <w:t>concesión</w:t>
      </w:r>
      <w:r w:rsidR="004249E6" w:rsidRPr="00E94D8A">
        <w:t xml:space="preserve"> </w:t>
      </w:r>
      <w:r w:rsidRPr="00E94D8A">
        <w:t>para servicios móviles).</w:t>
      </w:r>
    </w:p>
    <w:p w14:paraId="7DF8AE30" w14:textId="77777777" w:rsidR="00A37365" w:rsidRPr="00E94D8A" w:rsidRDefault="00A37365" w:rsidP="00A37365">
      <w:pPr>
        <w:pStyle w:val="Listaconvietas"/>
        <w:ind w:left="360" w:hanging="360"/>
      </w:pPr>
      <w:r w:rsidRPr="00E94D8A">
        <w:t xml:space="preserve">Costos comunes de redes troncales (tráfico) y de acceso – como puede ser el espacio físico requerido para un conmutador donde se define la frontera entre la red troncal y la de acceso o un túnel compartido. Estos no son aplicables para redes móviles. </w:t>
      </w:r>
    </w:p>
    <w:p w14:paraId="483F57AE" w14:textId="77777777" w:rsidR="00A37365" w:rsidRPr="00E94D8A" w:rsidRDefault="00A37365" w:rsidP="00A37365">
      <w:pPr>
        <w:pStyle w:val="Listaconvietas"/>
        <w:ind w:left="360" w:hanging="360"/>
      </w:pPr>
      <w:r w:rsidRPr="00E94D8A">
        <w:t>La red de acceso – puede ser considerada como un prerrequisito para todos los servicios de tráfico que usen los usuarios.</w:t>
      </w:r>
    </w:p>
    <w:p w14:paraId="41138BF2" w14:textId="77777777" w:rsidR="00A37365" w:rsidRPr="00E94D8A" w:rsidRDefault="00A37365" w:rsidP="00A37365">
      <w:pPr>
        <w:pStyle w:val="Listaconvietas"/>
        <w:ind w:left="360" w:hanging="360"/>
        <w:rPr>
          <w:spacing w:val="-4"/>
        </w:rPr>
      </w:pPr>
      <w:r w:rsidRPr="00E94D8A">
        <w:rPr>
          <w:spacing w:val="-4"/>
        </w:rPr>
        <w:t xml:space="preserve">Costos comunes que no son de red, o de administración, comunes a los servicios de red y a los minoristas – componentes de costos comunes a todas las funciones del negocio (p.ej. </w:t>
      </w:r>
      <w:r w:rsidR="00957479">
        <w:rPr>
          <w:spacing w:val="-4"/>
        </w:rPr>
        <w:t>p</w:t>
      </w:r>
      <w:r w:rsidRPr="00E94D8A">
        <w:rPr>
          <w:spacing w:val="-4"/>
        </w:rPr>
        <w:t xml:space="preserve">residente). </w:t>
      </w:r>
    </w:p>
    <w:p w14:paraId="25ECA5AC" w14:textId="2CAF498C" w:rsidR="00A37365" w:rsidRPr="00E94D8A" w:rsidRDefault="00A37365" w:rsidP="00A37365">
      <w:pPr>
        <w:rPr>
          <w:spacing w:val="-4"/>
        </w:rPr>
      </w:pPr>
      <w:r w:rsidRPr="00E94D8A">
        <w:rPr>
          <w:spacing w:val="-4"/>
        </w:rPr>
        <w:t xml:space="preserve">Si todos los costos comunes están en un mismo incremento, al CILP del incremento se le agrega un margen adicional hasta llegar al costo ‘stand </w:t>
      </w:r>
      <w:proofErr w:type="spellStart"/>
      <w:r w:rsidRPr="00E94D8A">
        <w:rPr>
          <w:spacing w:val="-4"/>
        </w:rPr>
        <w:t>alone</w:t>
      </w:r>
      <w:proofErr w:type="spellEnd"/>
      <w:r w:rsidRPr="00E94D8A">
        <w:rPr>
          <w:spacing w:val="-4"/>
        </w:rPr>
        <w:t xml:space="preserve">’ (SAC) de proveer este incremento. Por tanto, el SAC </w:t>
      </w:r>
      <w:r w:rsidRPr="00E94D8A">
        <w:rPr>
          <w:spacing w:val="-4"/>
        </w:rPr>
        <w:lastRenderedPageBreak/>
        <w:t xml:space="preserve">representa el máximo costo con margen adicional para cualquier incremento – y en esa situación el margen adicional para los otros incrementos sería cero. En una situación donde los costos comunes son compartidos entre varios incrementos, se requiere </w:t>
      </w:r>
      <w:r w:rsidRPr="00957479">
        <w:rPr>
          <w:spacing w:val="-4"/>
        </w:rPr>
        <w:t>un mecanismo de márgenes adicionales</w:t>
      </w:r>
      <w:r w:rsidRPr="00E94D8A">
        <w:rPr>
          <w:spacing w:val="-4"/>
        </w:rPr>
        <w:t xml:space="preserve"> para producir los CILP relevantes (CILP+). Esto se muestra en la</w:t>
      </w:r>
      <w:r w:rsidR="00E94D8A">
        <w:rPr>
          <w:spacing w:val="-4"/>
        </w:rPr>
        <w:t xml:space="preserve"> </w:t>
      </w:r>
      <w:r w:rsidR="00E94D8A">
        <w:rPr>
          <w:spacing w:val="-4"/>
        </w:rPr>
        <w:fldChar w:fldCharType="begin"/>
      </w:r>
      <w:r w:rsidR="00E94D8A">
        <w:rPr>
          <w:spacing w:val="-4"/>
        </w:rPr>
        <w:instrText xml:space="preserve"> REF _Ref321212765 \h </w:instrText>
      </w:r>
      <w:r w:rsidR="00E94D8A">
        <w:rPr>
          <w:spacing w:val="-4"/>
        </w:rPr>
      </w:r>
      <w:r w:rsidR="00E94D8A">
        <w:rPr>
          <w:spacing w:val="-4"/>
        </w:rPr>
        <w:fldChar w:fldCharType="separate"/>
      </w:r>
      <w:r w:rsidR="00B426BC" w:rsidRPr="00E94D8A">
        <w:t>Figur</w:t>
      </w:r>
      <w:r w:rsidR="00B426BC">
        <w:t>a</w:t>
      </w:r>
      <w:r w:rsidR="00B426BC" w:rsidRPr="00E94D8A">
        <w:t xml:space="preserve"> </w:t>
      </w:r>
      <w:r w:rsidR="00B426BC">
        <w:rPr>
          <w:noProof/>
        </w:rPr>
        <w:t>6</w:t>
      </w:r>
      <w:r w:rsidR="00B426BC" w:rsidRPr="00E94D8A">
        <w:t>.</w:t>
      </w:r>
      <w:r w:rsidR="00B426BC">
        <w:rPr>
          <w:noProof/>
        </w:rPr>
        <w:t>9</w:t>
      </w:r>
      <w:r w:rsidR="00E94D8A">
        <w:rPr>
          <w:spacing w:val="-4"/>
        </w:rPr>
        <w:fldChar w:fldCharType="end"/>
      </w:r>
      <w:r w:rsidRPr="00E94D8A">
        <w:rPr>
          <w:spacing w:val="-4"/>
        </w:rPr>
        <w:t xml:space="preserve">. </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A37365" w:rsidRPr="00E94D8A" w14:paraId="35CF5B81" w14:textId="77777777" w:rsidTr="00A37365">
        <w:tc>
          <w:tcPr>
            <w:tcW w:w="6576" w:type="dxa"/>
            <w:tcBorders>
              <w:right w:val="single" w:sz="4" w:space="0" w:color="auto"/>
            </w:tcBorders>
            <w:shd w:val="clear" w:color="auto" w:fill="auto"/>
          </w:tcPr>
          <w:p w14:paraId="029C7A66" w14:textId="77777777" w:rsidR="00A37365" w:rsidRPr="00E94D8A" w:rsidRDefault="00A37365" w:rsidP="00A37365">
            <w:pPr>
              <w:pStyle w:val="Bordersmall"/>
              <w:rPr>
                <w:lang w:val="es-ES"/>
              </w:rPr>
            </w:pPr>
            <w:r w:rsidRPr="00E94D8A">
              <w:rPr>
                <w:noProof/>
                <w:lang w:val="es-MX" w:eastAsia="es-MX"/>
              </w:rPr>
              <w:drawing>
                <wp:inline distT="0" distB="0" distL="0" distR="0" wp14:anchorId="3FFB3D3E" wp14:editId="6AE702FD">
                  <wp:extent cx="2952381" cy="2333333"/>
                  <wp:effectExtent l="0" t="0" r="635" b="0"/>
                  <wp:docPr id="12" name="Picture 12" descr="CILP, SAC y CILP+, Fuente: Analysys Mason" title="Figur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2952381" cy="2333333"/>
                          </a:xfrm>
                          <a:prstGeom prst="rect">
                            <a:avLst/>
                          </a:prstGeom>
                        </pic:spPr>
                      </pic:pic>
                    </a:graphicData>
                  </a:graphic>
                </wp:inline>
              </w:drawing>
            </w:r>
          </w:p>
        </w:tc>
        <w:tc>
          <w:tcPr>
            <w:tcW w:w="2154" w:type="dxa"/>
            <w:tcBorders>
              <w:left w:val="single" w:sz="4" w:space="0" w:color="auto"/>
            </w:tcBorders>
            <w:shd w:val="clear" w:color="auto" w:fill="auto"/>
          </w:tcPr>
          <w:p w14:paraId="48105666" w14:textId="77777777" w:rsidR="00A37365" w:rsidRPr="00E94D8A" w:rsidRDefault="00A37365" w:rsidP="00E94D8A">
            <w:pPr>
              <w:pStyle w:val="Captionsmall"/>
              <w:rPr>
                <w:lang w:val="es-ES"/>
              </w:rPr>
            </w:pPr>
            <w:bookmarkStart w:id="101" w:name="_Ref321212765"/>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1 \s \* MERGEFORMAT </w:instrText>
            </w:r>
            <w:r w:rsidRPr="00E94D8A">
              <w:rPr>
                <w:lang w:val="es-ES"/>
              </w:rPr>
              <w:fldChar w:fldCharType="separate"/>
            </w:r>
            <w:r w:rsidR="00B426BC">
              <w:rPr>
                <w:noProof/>
                <w:lang w:val="es-ES"/>
              </w:rPr>
              <w:t>6</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SEQ Ilustración \* ARABIC \s 1 \* MERGEFORMAT </w:instrText>
            </w:r>
            <w:r w:rsidRPr="00E94D8A">
              <w:rPr>
                <w:lang w:val="es-ES"/>
              </w:rPr>
              <w:fldChar w:fldCharType="separate"/>
            </w:r>
            <w:r w:rsidR="00B426BC">
              <w:rPr>
                <w:noProof/>
                <w:lang w:val="es-ES"/>
              </w:rPr>
              <w:t>9</w:t>
            </w:r>
            <w:r w:rsidRPr="00E94D8A">
              <w:rPr>
                <w:lang w:val="es-ES"/>
              </w:rPr>
              <w:fldChar w:fldCharType="end"/>
            </w:r>
            <w:bookmarkEnd w:id="101"/>
            <w:r w:rsidRPr="00E94D8A">
              <w:rPr>
                <w:lang w:val="es-ES"/>
              </w:rPr>
              <w:t xml:space="preserve">: CILP, SAC y CILP+ [Fuente: </w:t>
            </w:r>
            <w:proofErr w:type="spellStart"/>
            <w:r w:rsidRPr="00E94D8A">
              <w:rPr>
                <w:lang w:val="es-ES"/>
              </w:rPr>
              <w:t>Analysys</w:t>
            </w:r>
            <w:proofErr w:type="spellEnd"/>
            <w:r w:rsidRPr="00E94D8A">
              <w:rPr>
                <w:lang w:val="es-ES"/>
              </w:rPr>
              <w:t xml:space="preserve"> Mason]</w:t>
            </w:r>
          </w:p>
        </w:tc>
      </w:tr>
    </w:tbl>
    <w:p w14:paraId="6EF6232D" w14:textId="77777777" w:rsidR="00A37365" w:rsidRPr="00E94D8A" w:rsidRDefault="00A37365" w:rsidP="00A37365"/>
    <w:p w14:paraId="73B061D7" w14:textId="77777777" w:rsidR="00A37365" w:rsidRPr="00E94D8A" w:rsidRDefault="00A37365" w:rsidP="00A37365">
      <w:r w:rsidRPr="00E94D8A">
        <w:t>El mecanismo de márgenes adicionales utilizado en la mayoría de los modelos de costos es el de igual proporción de margen adicional (EPMU, por sus siglas en inglés). Mediante este método, los costos comunes se recuperan en proporción al costo incremental asignando a los distintos servicios producidos. Su aplicación es sencilla, y resulta en un tratamiento uniforme de todos los servicios del negocio y no necesita parámetros adicionales.</w:t>
      </w:r>
    </w:p>
    <w:p w14:paraId="50A675E8" w14:textId="77777777" w:rsidR="00A37365" w:rsidRPr="00E94D8A" w:rsidRDefault="00A37365" w:rsidP="00A37365">
      <w:r w:rsidRPr="00E94D8A">
        <w:t xml:space="preserve">El EPMU es el método generalmente utilizado debido a su objetividad y facilidad de implementación. Es consistente con las prácticas regulatorias a nivel mundial, por lo que </w:t>
      </w:r>
      <w:r w:rsidR="006A7A8B">
        <w:t>IFT</w:t>
      </w:r>
      <w:r w:rsidRPr="00E94D8A">
        <w:t xml:space="preserve"> también ha decidido utilizarlo en los modelos de costos fijo y móvil.</w:t>
      </w:r>
    </w:p>
    <w:p w14:paraId="1D06286A" w14:textId="5BA53DF9" w:rsidR="001E54F8" w:rsidRPr="00E94D8A" w:rsidRDefault="0043475A" w:rsidP="001E54F8">
      <w:pPr>
        <w:pStyle w:val="B1"/>
        <w:pBdr>
          <w:top w:val="single" w:sz="4" w:space="2" w:color="D9D9D9" w:themeColor="background1" w:themeShade="D9"/>
          <w:bottom w:val="single" w:sz="4" w:space="5" w:color="D9D9D9" w:themeColor="background1" w:themeShade="D9"/>
        </w:pBdr>
        <w:shd w:val="clear" w:color="auto" w:fill="F2F2F2" w:themeFill="background1" w:themeFillShade="F2"/>
        <w:rPr>
          <w:spacing w:val="-4"/>
        </w:rPr>
      </w:pPr>
      <w:r>
        <w:rPr>
          <w:b/>
          <w:bCs/>
          <w:spacing w:val="-4"/>
        </w:rPr>
        <w:t>Concepto propuesto</w:t>
      </w:r>
      <w:r w:rsidR="001E54F8" w:rsidRPr="00250298">
        <w:rPr>
          <w:b/>
          <w:bCs/>
          <w:spacing w:val="-4"/>
        </w:rPr>
        <w:t xml:space="preserve"> </w:t>
      </w:r>
      <w:r w:rsidR="00CB05BF" w:rsidRPr="00E94D8A">
        <w:rPr>
          <w:b/>
          <w:color w:val="000000" w:themeColor="text1"/>
        </w:rPr>
        <w:fldChar w:fldCharType="begin"/>
      </w:r>
      <w:r w:rsidR="00CB05BF" w:rsidRPr="00E94D8A">
        <w:rPr>
          <w:b/>
          <w:color w:val="000000" w:themeColor="text1"/>
        </w:rPr>
        <w:instrText xml:space="preserve"> SEQ Recommendation \* ARABIC \s 0 </w:instrText>
      </w:r>
      <w:r w:rsidR="00CB05BF" w:rsidRPr="00E94D8A">
        <w:rPr>
          <w:b/>
          <w:color w:val="000000" w:themeColor="text1"/>
        </w:rPr>
        <w:fldChar w:fldCharType="separate"/>
      </w:r>
      <w:r w:rsidR="00B426BC">
        <w:rPr>
          <w:b/>
          <w:noProof/>
          <w:color w:val="000000" w:themeColor="text1"/>
        </w:rPr>
        <w:t>31</w:t>
      </w:r>
      <w:r w:rsidR="00CB05BF" w:rsidRPr="00E94D8A">
        <w:rPr>
          <w:b/>
          <w:color w:val="000000" w:themeColor="text1"/>
        </w:rPr>
        <w:fldChar w:fldCharType="end"/>
      </w:r>
      <w:r w:rsidR="001E54F8" w:rsidRPr="00250298">
        <w:rPr>
          <w:spacing w:val="-4"/>
        </w:rPr>
        <w:t xml:space="preserve">: </w:t>
      </w:r>
      <w:r w:rsidR="00250298" w:rsidRPr="00250298">
        <w:rPr>
          <w:spacing w:val="-4"/>
        </w:rPr>
        <w:t>Se emplea</w:t>
      </w:r>
      <w:r w:rsidR="0035482C" w:rsidRPr="00250298">
        <w:rPr>
          <w:spacing w:val="-4"/>
        </w:rPr>
        <w:t xml:space="preserve"> el método </w:t>
      </w:r>
      <w:r w:rsidR="004249E6" w:rsidRPr="00250298">
        <w:rPr>
          <w:spacing w:val="-4"/>
        </w:rPr>
        <w:t>E</w:t>
      </w:r>
      <w:r w:rsidR="004249E6">
        <w:rPr>
          <w:spacing w:val="-4"/>
        </w:rPr>
        <w:t>PM</w:t>
      </w:r>
      <w:r w:rsidR="004249E6" w:rsidRPr="00250298">
        <w:rPr>
          <w:spacing w:val="-4"/>
        </w:rPr>
        <w:t xml:space="preserve">U </w:t>
      </w:r>
      <w:r w:rsidR="0035482C" w:rsidRPr="00250298">
        <w:rPr>
          <w:spacing w:val="-4"/>
        </w:rPr>
        <w:t xml:space="preserve">para distribuir los </w:t>
      </w:r>
      <w:r w:rsidR="00250298" w:rsidRPr="00250298">
        <w:rPr>
          <w:spacing w:val="-4"/>
        </w:rPr>
        <w:t>costos comunes a cada servicio</w:t>
      </w:r>
      <w:r w:rsidR="00AB37FC">
        <w:rPr>
          <w:spacing w:val="-4"/>
        </w:rPr>
        <w:t xml:space="preserve"> en el modelo LRAIC (para uso meramente informativo) pero se excluirá el </w:t>
      </w:r>
      <w:proofErr w:type="spellStart"/>
      <w:r w:rsidR="00AB37FC">
        <w:rPr>
          <w:spacing w:val="-4"/>
        </w:rPr>
        <w:t>mark</w:t>
      </w:r>
      <w:proofErr w:type="spellEnd"/>
      <w:r w:rsidR="00AB37FC">
        <w:rPr>
          <w:spacing w:val="-4"/>
        </w:rPr>
        <w:t>-up del modelo LRIC puro</w:t>
      </w:r>
      <w:r w:rsidR="00250298" w:rsidRPr="00250298">
        <w:rPr>
          <w:spacing w:val="-4"/>
        </w:rPr>
        <w:t>.</w:t>
      </w:r>
      <w:r w:rsidR="0035482C" w:rsidRPr="0035482C">
        <w:rPr>
          <w:color w:val="0000FF"/>
          <w:spacing w:val="-4"/>
        </w:rPr>
        <w:t xml:space="preserve"> </w:t>
      </w:r>
    </w:p>
    <w:p w14:paraId="104929E6" w14:textId="77777777" w:rsidR="00A37365" w:rsidRPr="00E94D8A" w:rsidRDefault="00A37365" w:rsidP="006E361B"/>
    <w:p w14:paraId="61D929A7" w14:textId="77777777" w:rsidR="00C57384" w:rsidRPr="00E94D8A" w:rsidRDefault="00C57384" w:rsidP="00C57384">
      <w:pPr>
        <w:sectPr w:rsidR="00C57384" w:rsidRPr="00E94D8A" w:rsidSect="00A37365">
          <w:pgSz w:w="11907" w:h="16840" w:code="9"/>
          <w:pgMar w:top="1418" w:right="1588" w:bottom="1418" w:left="1588" w:header="567" w:footer="567" w:gutter="0"/>
          <w:cols w:space="720"/>
          <w:titlePg/>
          <w:docGrid w:linePitch="224"/>
        </w:sectPr>
      </w:pPr>
    </w:p>
    <w:p w14:paraId="631FE859" w14:textId="77777777" w:rsidR="00C57384" w:rsidRPr="00E94D8A" w:rsidRDefault="00A37365" w:rsidP="00FB7938">
      <w:pPr>
        <w:pStyle w:val="Annex1"/>
        <w:spacing w:after="400"/>
        <w:rPr>
          <w:lang w:val="es-ES"/>
        </w:rPr>
      </w:pPr>
      <w:bookmarkStart w:id="102" w:name="_Toc321210904"/>
      <w:bookmarkStart w:id="103" w:name="_Toc321210954"/>
      <w:bookmarkStart w:id="104" w:name="_Toc321210988"/>
      <w:bookmarkStart w:id="105" w:name="_Toc321211084"/>
      <w:bookmarkStart w:id="106" w:name="_Toc321212860"/>
      <w:bookmarkStart w:id="107" w:name="_Toc321212892"/>
      <w:bookmarkStart w:id="108" w:name="_Toc322514093"/>
      <w:bookmarkStart w:id="109" w:name="_Toc322514447"/>
      <w:bookmarkStart w:id="110" w:name="_Toc327175979"/>
      <w:bookmarkStart w:id="111" w:name="_Toc327181108"/>
      <w:bookmarkStart w:id="112" w:name="_Toc329008930"/>
      <w:bookmarkStart w:id="113" w:name="_Toc329082833"/>
      <w:bookmarkStart w:id="114" w:name="_Toc329082976"/>
      <w:bookmarkStart w:id="115" w:name="_Toc329109203"/>
      <w:bookmarkStart w:id="116" w:name="_Toc329109241"/>
      <w:bookmarkStart w:id="117" w:name="_Toc329262772"/>
      <w:bookmarkStart w:id="118" w:name="_Toc329329937"/>
      <w:bookmarkStart w:id="119" w:name="_Toc329363078"/>
      <w:bookmarkStart w:id="120" w:name="_Toc329564522"/>
      <w:bookmarkStart w:id="121" w:name="_Toc329564661"/>
      <w:bookmarkStart w:id="122" w:name="_Toc329564694"/>
      <w:bookmarkStart w:id="123" w:name="_Toc330550765"/>
      <w:bookmarkStart w:id="124" w:name="_Toc330551502"/>
      <w:bookmarkStart w:id="125" w:name="_Toc330551769"/>
      <w:bookmarkStart w:id="126" w:name="_Toc330552042"/>
      <w:bookmarkStart w:id="127" w:name="_Toc330566323"/>
      <w:bookmarkStart w:id="128" w:name="_Toc406529109"/>
      <w:bookmarkStart w:id="129" w:name="_Toc414894745"/>
      <w:bookmarkStart w:id="130" w:name="_Toc414894774"/>
      <w:bookmarkStart w:id="131" w:name="_Toc453948572"/>
      <w:bookmarkStart w:id="132" w:name="_Toc453948581"/>
      <w:bookmarkStart w:id="133" w:name="_Toc453948597"/>
      <w:bookmarkStart w:id="134" w:name="_Toc453948612"/>
      <w:bookmarkStart w:id="135" w:name="_Toc453948630"/>
      <w:bookmarkStart w:id="136" w:name="_Toc453948665"/>
      <w:bookmarkStart w:id="137" w:name="_Toc453948696"/>
      <w:bookmarkStart w:id="138" w:name="_Toc453948724"/>
      <w:bookmarkStart w:id="139" w:name="_Toc453948738"/>
      <w:bookmarkStart w:id="140" w:name="_Toc453948751"/>
      <w:bookmarkStart w:id="141" w:name="_Toc453948788"/>
      <w:bookmarkStart w:id="142" w:name="_Toc454893692"/>
      <w:bookmarkEnd w:id="4"/>
      <w:r w:rsidRPr="00E94D8A">
        <w:rPr>
          <w:lang w:val="es-ES"/>
        </w:rPr>
        <w:lastRenderedPageBreak/>
        <w:t>Aplicación de la depreciación económica</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A2181C3" w14:textId="77777777" w:rsidR="00A37365" w:rsidRPr="00E94D8A" w:rsidRDefault="00A37365" w:rsidP="00A37365">
      <w:pPr>
        <w:spacing w:after="120"/>
      </w:pPr>
      <w:r w:rsidRPr="00E94D8A">
        <w:t xml:space="preserve">Operar una red de telefonía móvil o fija se caracteriza por incurrir en gastos e inversiones a lo largo del tiempo. Estos </w:t>
      </w:r>
      <w:r w:rsidR="00CE4B8A">
        <w:t>costo</w:t>
      </w:r>
      <w:r w:rsidRPr="00E94D8A">
        <w:t>s se contabilizan de la siguiente manera:</w:t>
      </w:r>
    </w:p>
    <w:p w14:paraId="527BF11A" w14:textId="77777777" w:rsidR="00A37365" w:rsidRPr="00E94D8A" w:rsidRDefault="00A37365" w:rsidP="00A37365">
      <w:pPr>
        <w:pStyle w:val="ListBulletCompact"/>
      </w:pPr>
      <w:r w:rsidRPr="00E94D8A">
        <w:rPr>
          <w:b/>
          <w:bCs/>
        </w:rPr>
        <w:t>gastos operativos (</w:t>
      </w:r>
      <w:proofErr w:type="spellStart"/>
      <w:r w:rsidRPr="00E94D8A">
        <w:rPr>
          <w:b/>
          <w:bCs/>
        </w:rPr>
        <w:t>opex</w:t>
      </w:r>
      <w:proofErr w:type="spellEnd"/>
      <w:r w:rsidRPr="00E94D8A">
        <w:rPr>
          <w:b/>
          <w:bCs/>
        </w:rPr>
        <w:t>) –</w:t>
      </w:r>
      <w:r w:rsidRPr="00E94D8A">
        <w:t xml:space="preserve"> los cuales son reflejados en la cuenta de pérdidas y ganancias del año en que se incurren – por lo tanto no suponen la utilización de capital (excepto el capital circulante mensual necesario)</w:t>
      </w:r>
    </w:p>
    <w:p w14:paraId="77DD556C" w14:textId="77777777" w:rsidR="00A37365" w:rsidRPr="00E94D8A" w:rsidRDefault="00A37365" w:rsidP="00A37365">
      <w:pPr>
        <w:pStyle w:val="Listaconvietas"/>
        <w:ind w:left="360" w:hanging="360"/>
      </w:pPr>
      <w:r w:rsidRPr="00E94D8A">
        <w:rPr>
          <w:b/>
          <w:bCs/>
        </w:rPr>
        <w:t>gastos de capital (</w:t>
      </w:r>
      <w:proofErr w:type="spellStart"/>
      <w:r w:rsidRPr="00E94D8A">
        <w:rPr>
          <w:b/>
          <w:bCs/>
        </w:rPr>
        <w:t>capex</w:t>
      </w:r>
      <w:proofErr w:type="spellEnd"/>
      <w:r w:rsidRPr="00E94D8A">
        <w:rPr>
          <w:b/>
          <w:bCs/>
        </w:rPr>
        <w:t>) –</w:t>
      </w:r>
      <w:r w:rsidRPr="00E94D8A">
        <w:t xml:space="preserve"> los cuales se registran en el libro de activos de la empresa y se amortizan con el tiempo, generando un retorno sobre la inversión debido al </w:t>
      </w:r>
      <w:r w:rsidR="00CE4B8A">
        <w:t>costo</w:t>
      </w:r>
      <w:r w:rsidRPr="00E94D8A">
        <w:t xml:space="preserve"> de oportunidad del capital empleado en los activos tangibles e intangibles.</w:t>
      </w:r>
    </w:p>
    <w:p w14:paraId="01230E6B" w14:textId="77777777" w:rsidR="00A37365" w:rsidRPr="00E94D8A" w:rsidRDefault="00A37365" w:rsidP="00A37365">
      <w:pPr>
        <w:spacing w:after="120"/>
      </w:pPr>
      <w:r w:rsidRPr="00E94D8A">
        <w:t xml:space="preserve">El nivel de </w:t>
      </w:r>
      <w:proofErr w:type="spellStart"/>
      <w:r w:rsidRPr="00E94D8A">
        <w:t>capex</w:t>
      </w:r>
      <w:proofErr w:type="spellEnd"/>
      <w:r w:rsidRPr="00E94D8A">
        <w:t xml:space="preserve"> incurrido por el negocio se puede expresar de varias formas: </w:t>
      </w:r>
    </w:p>
    <w:p w14:paraId="38ECCDDA" w14:textId="77777777" w:rsidR="00A37365" w:rsidRPr="00E94D8A" w:rsidRDefault="00A37365" w:rsidP="00A37365">
      <w:pPr>
        <w:pStyle w:val="ListBulletCompact"/>
      </w:pPr>
      <w:proofErr w:type="spellStart"/>
      <w:r w:rsidRPr="00E94D8A">
        <w:rPr>
          <w:b/>
          <w:bCs/>
        </w:rPr>
        <w:t>capex</w:t>
      </w:r>
      <w:proofErr w:type="spellEnd"/>
      <w:r w:rsidRPr="00E94D8A">
        <w:rPr>
          <w:b/>
          <w:bCs/>
        </w:rPr>
        <w:t xml:space="preserve"> acumulado</w:t>
      </w:r>
      <w:r w:rsidRPr="00E94D8A">
        <w:rPr>
          <w:bCs/>
          <w:i/>
        </w:rPr>
        <w:t xml:space="preserve"> </w:t>
      </w:r>
      <w:r w:rsidRPr="00E94D8A">
        <w:rPr>
          <w:b/>
          <w:bCs/>
        </w:rPr>
        <w:t>–</w:t>
      </w:r>
      <w:r w:rsidRPr="00E94D8A">
        <w:t xml:space="preserve"> el total de todas las inversiones de capital hechas en el negocio</w:t>
      </w:r>
    </w:p>
    <w:p w14:paraId="6FA1F9C3" w14:textId="77777777" w:rsidR="00A37365" w:rsidRPr="00E94D8A" w:rsidRDefault="00A37365" w:rsidP="00A37365">
      <w:pPr>
        <w:pStyle w:val="ListBulletCompact"/>
      </w:pPr>
      <w:r w:rsidRPr="00E94D8A">
        <w:rPr>
          <w:b/>
          <w:bCs/>
        </w:rPr>
        <w:t>valor contable bruto</w:t>
      </w:r>
      <w:r w:rsidRPr="00E94D8A">
        <w:rPr>
          <w:bCs/>
          <w:i/>
        </w:rPr>
        <w:t xml:space="preserve"> (</w:t>
      </w:r>
      <w:proofErr w:type="spellStart"/>
      <w:r w:rsidRPr="00E94D8A">
        <w:rPr>
          <w:bCs/>
          <w:i/>
        </w:rPr>
        <w:t>gross</w:t>
      </w:r>
      <w:proofErr w:type="spellEnd"/>
      <w:r w:rsidRPr="00E94D8A">
        <w:rPr>
          <w:bCs/>
          <w:i/>
        </w:rPr>
        <w:t xml:space="preserve"> </w:t>
      </w:r>
      <w:proofErr w:type="spellStart"/>
      <w:r w:rsidRPr="00E94D8A">
        <w:rPr>
          <w:bCs/>
          <w:i/>
        </w:rPr>
        <w:t>book</w:t>
      </w:r>
      <w:proofErr w:type="spellEnd"/>
      <w:r w:rsidRPr="00E94D8A">
        <w:rPr>
          <w:bCs/>
          <w:i/>
        </w:rPr>
        <w:t xml:space="preserve"> </w:t>
      </w:r>
      <w:proofErr w:type="spellStart"/>
      <w:r w:rsidRPr="00E94D8A">
        <w:rPr>
          <w:bCs/>
          <w:i/>
        </w:rPr>
        <w:t>value</w:t>
      </w:r>
      <w:proofErr w:type="spellEnd"/>
      <w:r w:rsidRPr="00E94D8A">
        <w:rPr>
          <w:bCs/>
          <w:i/>
        </w:rPr>
        <w:t xml:space="preserve">, </w:t>
      </w:r>
      <w:r w:rsidRPr="00E94D8A">
        <w:rPr>
          <w:bCs/>
        </w:rPr>
        <w:t>GBV en inglés</w:t>
      </w:r>
      <w:r w:rsidRPr="00E94D8A">
        <w:rPr>
          <w:bCs/>
          <w:i/>
        </w:rPr>
        <w:t>)</w:t>
      </w:r>
      <w:r w:rsidRPr="00E94D8A">
        <w:rPr>
          <w:i/>
        </w:rPr>
        <w:t xml:space="preserve"> –</w:t>
      </w:r>
      <w:r w:rsidRPr="00E94D8A">
        <w:t xml:space="preserve"> el total de todas las inversiones de capital hechas en el negocio, menos las inversiones hechas en activos que se han amortizado completamente o que se han retirado</w:t>
      </w:r>
    </w:p>
    <w:p w14:paraId="33F7A3C7" w14:textId="77777777" w:rsidR="00A37365" w:rsidRPr="00E94D8A" w:rsidRDefault="00A37365" w:rsidP="00A37365">
      <w:pPr>
        <w:pStyle w:val="ListBulletCompact"/>
      </w:pPr>
      <w:r w:rsidRPr="00E94D8A">
        <w:rPr>
          <w:b/>
          <w:bCs/>
        </w:rPr>
        <w:t xml:space="preserve">valor de </w:t>
      </w:r>
      <w:r w:rsidR="00F10762" w:rsidRPr="00E94D8A">
        <w:rPr>
          <w:b/>
          <w:bCs/>
        </w:rPr>
        <w:t>remplazo</w:t>
      </w:r>
      <w:r w:rsidRPr="00E94D8A">
        <w:rPr>
          <w:b/>
          <w:bCs/>
        </w:rPr>
        <w:t xml:space="preserve"> bruto</w:t>
      </w:r>
      <w:r w:rsidRPr="00E94D8A">
        <w:rPr>
          <w:bCs/>
          <w:i/>
        </w:rPr>
        <w:t xml:space="preserve"> </w:t>
      </w:r>
      <w:r w:rsidRPr="00E94D8A">
        <w:rPr>
          <w:bCs/>
        </w:rPr>
        <w:t>(</w:t>
      </w:r>
      <w:proofErr w:type="spellStart"/>
      <w:r w:rsidRPr="00E94D8A">
        <w:rPr>
          <w:bCs/>
          <w:i/>
        </w:rPr>
        <w:t>gross</w:t>
      </w:r>
      <w:proofErr w:type="spellEnd"/>
      <w:r w:rsidRPr="00E94D8A">
        <w:rPr>
          <w:bCs/>
          <w:i/>
        </w:rPr>
        <w:t xml:space="preserve"> </w:t>
      </w:r>
      <w:proofErr w:type="spellStart"/>
      <w:r w:rsidRPr="00E94D8A">
        <w:rPr>
          <w:bCs/>
          <w:i/>
        </w:rPr>
        <w:t>replacement</w:t>
      </w:r>
      <w:proofErr w:type="spellEnd"/>
      <w:r w:rsidRPr="00E94D8A">
        <w:rPr>
          <w:bCs/>
          <w:i/>
        </w:rPr>
        <w:t xml:space="preserve"> </w:t>
      </w:r>
      <w:proofErr w:type="spellStart"/>
      <w:r w:rsidRPr="00E94D8A">
        <w:rPr>
          <w:bCs/>
          <w:i/>
        </w:rPr>
        <w:t>cost</w:t>
      </w:r>
      <w:proofErr w:type="spellEnd"/>
      <w:r w:rsidRPr="00E94D8A">
        <w:rPr>
          <w:bCs/>
        </w:rPr>
        <w:t>, GRC en inglés)</w:t>
      </w:r>
      <w:r w:rsidRPr="00E94D8A">
        <w:t xml:space="preserve"> – el </w:t>
      </w:r>
      <w:proofErr w:type="spellStart"/>
      <w:r w:rsidRPr="00E94D8A">
        <w:t>capex</w:t>
      </w:r>
      <w:proofErr w:type="spellEnd"/>
      <w:r w:rsidRPr="00E94D8A">
        <w:t xml:space="preserve"> total que se requeriría para </w:t>
      </w:r>
      <w:r w:rsidR="00F10762" w:rsidRPr="00E94D8A">
        <w:t>remplazar</w:t>
      </w:r>
      <w:r w:rsidRPr="00E94D8A">
        <w:t xml:space="preserve"> todos los activos de la red en el momento actual</w:t>
      </w:r>
    </w:p>
    <w:p w14:paraId="3E52DF89" w14:textId="77777777" w:rsidR="00A37365" w:rsidRPr="00E94D8A" w:rsidRDefault="00A37365" w:rsidP="00A37365">
      <w:pPr>
        <w:pStyle w:val="Listaconvietas"/>
        <w:ind w:left="360" w:hanging="360"/>
      </w:pPr>
      <w:r w:rsidRPr="00E94D8A">
        <w:rPr>
          <w:b/>
          <w:bCs/>
        </w:rPr>
        <w:t>valor contable neto</w:t>
      </w:r>
      <w:r w:rsidRPr="00E94D8A">
        <w:rPr>
          <w:bCs/>
        </w:rPr>
        <w:t xml:space="preserve"> (</w:t>
      </w:r>
      <w:r w:rsidRPr="00E94D8A">
        <w:rPr>
          <w:bCs/>
          <w:i/>
        </w:rPr>
        <w:t xml:space="preserve">net </w:t>
      </w:r>
      <w:proofErr w:type="spellStart"/>
      <w:r w:rsidRPr="00E94D8A">
        <w:rPr>
          <w:bCs/>
          <w:i/>
        </w:rPr>
        <w:t>book</w:t>
      </w:r>
      <w:proofErr w:type="spellEnd"/>
      <w:r w:rsidRPr="00E94D8A">
        <w:rPr>
          <w:bCs/>
          <w:i/>
        </w:rPr>
        <w:t xml:space="preserve"> </w:t>
      </w:r>
      <w:proofErr w:type="spellStart"/>
      <w:r w:rsidRPr="00E94D8A">
        <w:rPr>
          <w:bCs/>
          <w:i/>
        </w:rPr>
        <w:t>value</w:t>
      </w:r>
      <w:proofErr w:type="spellEnd"/>
      <w:r w:rsidRPr="00E94D8A">
        <w:rPr>
          <w:bCs/>
        </w:rPr>
        <w:t>, NBV en inglés)</w:t>
      </w:r>
      <w:r w:rsidRPr="00E94D8A">
        <w:t xml:space="preserve"> – es el GBV menos la amortización acumulada de los activos.</w:t>
      </w:r>
    </w:p>
    <w:p w14:paraId="0C56673C" w14:textId="77777777" w:rsidR="00A37365" w:rsidRPr="00E94D8A" w:rsidRDefault="00A37365" w:rsidP="00A37365">
      <w:pPr>
        <w:spacing w:after="120"/>
      </w:pPr>
      <w:r w:rsidRPr="00E94D8A">
        <w:t xml:space="preserve">Los </w:t>
      </w:r>
      <w:r w:rsidR="00CE4B8A">
        <w:t>costo</w:t>
      </w:r>
      <w:r w:rsidRPr="00E94D8A">
        <w:t xml:space="preserve">s que se incurren en un negocio móvil o fijo necesitan ser recuperados con el tiempo y cualquier capital empleado (es decir, los que no se recuperan en el año en el que se incurren) debe conseguir un retorno a la inversión. El método por el cual se recuperan estos </w:t>
      </w:r>
      <w:r w:rsidR="00CE4B8A">
        <w:t>costo</w:t>
      </w:r>
      <w:r w:rsidRPr="00E94D8A">
        <w:t>s es, en términos generales, el método de depreciación.</w:t>
      </w:r>
    </w:p>
    <w:p w14:paraId="69C321D1" w14:textId="77777777" w:rsidR="00A37365" w:rsidRPr="00E94D8A" w:rsidRDefault="00A37365" w:rsidP="00A37365">
      <w:pPr>
        <w:spacing w:after="120"/>
        <w:rPr>
          <w:spacing w:val="-4"/>
        </w:rPr>
      </w:pPr>
      <w:r w:rsidRPr="00E94D8A">
        <w:rPr>
          <w:spacing w:val="-4"/>
        </w:rPr>
        <w:t>Teóricamente, ‘la depreciación económica’ es el método apropiado para el costeo regulatorio ya que tiene en cuenta todos los factores subyacentes que influyen en el valor económico de un activo:</w:t>
      </w:r>
    </w:p>
    <w:p w14:paraId="7DF53187" w14:textId="77777777" w:rsidR="00A37365" w:rsidRPr="00E94D8A" w:rsidRDefault="00A37365" w:rsidP="00A37365">
      <w:pPr>
        <w:pStyle w:val="ListBulletCompact"/>
      </w:pPr>
      <w:r w:rsidRPr="00E94D8A">
        <w:t xml:space="preserve">tendencias proyectadas en los gastos operativos asociados a un activo (tendencias de </w:t>
      </w:r>
      <w:proofErr w:type="spellStart"/>
      <w:r w:rsidRPr="00E94D8A">
        <w:t>opex</w:t>
      </w:r>
      <w:proofErr w:type="spellEnd"/>
      <w:r w:rsidRPr="00E94D8A">
        <w:t xml:space="preserve"> MEA)</w:t>
      </w:r>
    </w:p>
    <w:p w14:paraId="427A09BE" w14:textId="77777777" w:rsidR="00A37365" w:rsidRPr="00E94D8A" w:rsidRDefault="00A37365" w:rsidP="00A37365">
      <w:pPr>
        <w:pStyle w:val="ListBulletCompact"/>
        <w:rPr>
          <w:spacing w:val="-4"/>
        </w:rPr>
      </w:pPr>
      <w:r w:rsidRPr="00E94D8A">
        <w:rPr>
          <w:spacing w:val="-4"/>
        </w:rPr>
        <w:t xml:space="preserve">tendencias proyectadas para el </w:t>
      </w:r>
      <w:r w:rsidR="00F10762" w:rsidRPr="00E94D8A">
        <w:rPr>
          <w:spacing w:val="-4"/>
        </w:rPr>
        <w:t>remplazo</w:t>
      </w:r>
      <w:r w:rsidRPr="00E94D8A">
        <w:rPr>
          <w:spacing w:val="-4"/>
        </w:rPr>
        <w:t xml:space="preserve"> de un activo por su unidad moderna equivalente (tendencias de inversiones en MEA, por sus siglas en inglés) </w:t>
      </w:r>
    </w:p>
    <w:p w14:paraId="5ED4A80C" w14:textId="273F0D1F" w:rsidR="00A37365" w:rsidRPr="00E94D8A" w:rsidRDefault="00CF313D" w:rsidP="00A37365">
      <w:pPr>
        <w:pStyle w:val="Listaconvietas"/>
        <w:ind w:left="360" w:hanging="360"/>
      </w:pPr>
      <w:r>
        <w:t>la producción</w:t>
      </w:r>
      <w:r w:rsidR="00A37365" w:rsidRPr="00E94D8A">
        <w:t xml:space="preserve"> que pueden ser generad</w:t>
      </w:r>
      <w:r>
        <w:t>a</w:t>
      </w:r>
      <w:r w:rsidR="00A37365" w:rsidRPr="00E94D8A">
        <w:t xml:space="preserve"> por el </w:t>
      </w:r>
      <w:r w:rsidR="003247B0" w:rsidRPr="00E94D8A">
        <w:t>activ</w:t>
      </w:r>
      <w:r w:rsidR="003247B0">
        <w:t>o</w:t>
      </w:r>
    </w:p>
    <w:p w14:paraId="1F3FAF06" w14:textId="09AAFC20" w:rsidR="00A37365" w:rsidRPr="00E94D8A" w:rsidRDefault="00A37365" w:rsidP="00593660">
      <w:pPr>
        <w:spacing w:line="300" w:lineRule="atLeast"/>
      </w:pPr>
      <w:r w:rsidRPr="00E94D8A">
        <w:t xml:space="preserve">En las redes móviles, </w:t>
      </w:r>
      <w:r w:rsidR="00CF313D">
        <w:t>la producción</w:t>
      </w:r>
      <w:r w:rsidRPr="00E94D8A">
        <w:t xml:space="preserve"> de los elementos de red ha crecido enormemente a medida que su utilización ha crecido en los últimos diez años. Mientras que algunos activos de red (como los TRX) escalan de manera razonable con los volúmenes de tráfico, otros activos, como aquellos relacionados con la red de cobertura o el </w:t>
      </w:r>
      <w:r w:rsidR="00CE4B8A">
        <w:t>costo</w:t>
      </w:r>
      <w:r w:rsidRPr="00E94D8A">
        <w:t xml:space="preserve"> de una </w:t>
      </w:r>
      <w:r w:rsidR="003247B0">
        <w:t>concesión</w:t>
      </w:r>
      <w:r w:rsidRPr="00E94D8A">
        <w:t xml:space="preserve">, han experimentado incrementos de un orden de magnitud en términos de </w:t>
      </w:r>
      <w:r w:rsidR="00CF313D">
        <w:t>producción</w:t>
      </w:r>
      <w:r w:rsidRPr="00E94D8A">
        <w:t xml:space="preserve">. Como tal, la aplicación de la depreciación económica está más extendida en los modelos de </w:t>
      </w:r>
      <w:r w:rsidR="00CE4B8A">
        <w:t>costo</w:t>
      </w:r>
      <w:r w:rsidRPr="00E94D8A">
        <w:t>s móviles que el proxy de la anualidad inclinada (</w:t>
      </w:r>
      <w:proofErr w:type="spellStart"/>
      <w:r w:rsidRPr="00E94D8A">
        <w:rPr>
          <w:i/>
        </w:rPr>
        <w:t>tilted</w:t>
      </w:r>
      <w:proofErr w:type="spellEnd"/>
      <w:r w:rsidRPr="00E94D8A">
        <w:rPr>
          <w:i/>
        </w:rPr>
        <w:t xml:space="preserve"> </w:t>
      </w:r>
      <w:proofErr w:type="spellStart"/>
      <w:r w:rsidRPr="00E94D8A">
        <w:rPr>
          <w:i/>
        </w:rPr>
        <w:t>annuity</w:t>
      </w:r>
      <w:proofErr w:type="spellEnd"/>
      <w:r w:rsidRPr="00E94D8A">
        <w:t>). El efecto de incluir un perfil de</w:t>
      </w:r>
      <w:r w:rsidR="003247B0">
        <w:t xml:space="preserve"> </w:t>
      </w:r>
      <w:r w:rsidR="00CF313D">
        <w:t>producción</w:t>
      </w:r>
      <w:r w:rsidRPr="00E94D8A">
        <w:t xml:space="preserve"> creciente en el cálculo de la depreciación es un mayor nivel de </w:t>
      </w:r>
      <w:r w:rsidR="00CE4B8A">
        <w:t>costo</w:t>
      </w:r>
      <w:r w:rsidRPr="00E94D8A">
        <w:t>s de amortización en los años en los que la utilización de los activos es mayor, sujeto a la inversión y a que se recupere completamente el capital empleado.</w:t>
      </w:r>
    </w:p>
    <w:p w14:paraId="692A4AC6" w14:textId="6FD8C9F8" w:rsidR="00A37365" w:rsidRPr="00E94D8A" w:rsidRDefault="00A37365" w:rsidP="00A37365">
      <w:r w:rsidRPr="00E94D8A">
        <w:lastRenderedPageBreak/>
        <w:t xml:space="preserve">La depreciación económica puede ser implementada de muchas maneras diferentes con varias fórmulas. Sin embargo, es probable que todos los métodos de depreciación económica se apoyen en un cálculo del </w:t>
      </w:r>
      <w:r w:rsidR="009F62A4">
        <w:t>valor presente neto (</w:t>
      </w:r>
      <w:r w:rsidRPr="00E94D8A">
        <w:t>NPV</w:t>
      </w:r>
      <w:r w:rsidR="009F62A4">
        <w:t>)</w:t>
      </w:r>
      <w:r w:rsidRPr="00E94D8A">
        <w:t xml:space="preserve"> de algún tipo. El cálculo del NPV asegura que el perfil de recuperación de los </w:t>
      </w:r>
      <w:r w:rsidR="00CE4B8A">
        <w:t>costo</w:t>
      </w:r>
      <w:r w:rsidRPr="00E94D8A">
        <w:t xml:space="preserve">s proyectados (es decir los ingresos) recupera todos los gastos además del </w:t>
      </w:r>
      <w:r w:rsidR="00CE4B8A">
        <w:t>costo</w:t>
      </w:r>
      <w:r w:rsidRPr="00E94D8A">
        <w:t xml:space="preserve"> de oportunidad del capital empleado. Como tal, es posible aplicar la depreciación económica a los gastos operativos, ya que estos gastos del negocio son como cualquier otro gastos: si se contabilizan en la cuenta de pérdidas y ganancias o a través de la depreciación de los gasto, se requiere que compensen por el retraso en la recuperación de los </w:t>
      </w:r>
      <w:r w:rsidR="00CE4B8A">
        <w:t>costo</w:t>
      </w:r>
      <w:r w:rsidRPr="00E94D8A">
        <w:t>s (es decir conseguir un retorno al capital empleado).</w:t>
      </w:r>
    </w:p>
    <w:p w14:paraId="168386B8" w14:textId="5F9D611C" w:rsidR="00A37365" w:rsidRPr="00E94D8A" w:rsidRDefault="00A37365" w:rsidP="00A37365">
      <w:pPr>
        <w:spacing w:after="120"/>
      </w:pPr>
      <w:r w:rsidRPr="00E94D8A">
        <w:t>En los diferentes métodos de depreciación económica</w:t>
      </w:r>
      <w:r w:rsidRPr="00E94D8A">
        <w:rPr>
          <w:rStyle w:val="Refdenotaalpie"/>
        </w:rPr>
        <w:footnoteReference w:id="31"/>
      </w:r>
      <w:r w:rsidRPr="00E94D8A">
        <w:t xml:space="preserve"> se ha aplicado varios perfiles para dar forma al perfil de recuperación de </w:t>
      </w:r>
      <w:r w:rsidR="00CE4B8A">
        <w:t>costo</w:t>
      </w:r>
      <w:r w:rsidRPr="00E94D8A">
        <w:t xml:space="preserve">s a lo largo del tiempo (p.ej. relacionados con las tendencias de precios, la escala de un operador individual, la </w:t>
      </w:r>
      <w:r w:rsidR="003247B0">
        <w:t>dispu</w:t>
      </w:r>
      <w:r w:rsidR="003247B0" w:rsidRPr="00E94D8A">
        <w:t xml:space="preserve">tabilidad </w:t>
      </w:r>
      <w:r w:rsidRPr="00E94D8A">
        <w:t xml:space="preserve">del mercado). Sin embargo, para los modelos </w:t>
      </w:r>
      <w:r w:rsidR="006A7A8B">
        <w:t>del IFT</w:t>
      </w:r>
      <w:r w:rsidRPr="00E94D8A">
        <w:t>, proponemos adoptar una forma clara y concisa de depreciación económica que considere:</w:t>
      </w:r>
    </w:p>
    <w:p w14:paraId="4ED3ECD3" w14:textId="77777777" w:rsidR="00A37365" w:rsidRPr="00E94D8A" w:rsidRDefault="00A37365" w:rsidP="00A37365">
      <w:pPr>
        <w:pStyle w:val="ListBulletCompact"/>
      </w:pPr>
      <w:r w:rsidRPr="00E94D8A">
        <w:t>series temporales completas de gastos incurridos eficientemente</w:t>
      </w:r>
    </w:p>
    <w:p w14:paraId="33314C65" w14:textId="075C6D3C" w:rsidR="00A37365" w:rsidRPr="00E94D8A" w:rsidRDefault="00A37365" w:rsidP="00A37365">
      <w:pPr>
        <w:pStyle w:val="ListBulletCompact"/>
      </w:pPr>
      <w:r w:rsidRPr="00E94D8A">
        <w:t xml:space="preserve">un perfil de recuperación de </w:t>
      </w:r>
      <w:r w:rsidR="00CE4B8A">
        <w:t>costo</w:t>
      </w:r>
      <w:r w:rsidRPr="00E94D8A">
        <w:t xml:space="preserve">s que refleje el cambio en precios de los MEA que se utilicen en la producción </w:t>
      </w:r>
    </w:p>
    <w:p w14:paraId="054C8E32" w14:textId="03AD231E" w:rsidR="00A37365" w:rsidRPr="00E94D8A" w:rsidRDefault="00A37365" w:rsidP="00A37365">
      <w:pPr>
        <w:pStyle w:val="Listaconvietas"/>
        <w:spacing w:after="120"/>
        <w:ind w:left="360" w:hanging="360"/>
      </w:pPr>
      <w:r w:rsidRPr="00E94D8A">
        <w:t>el perfil de</w:t>
      </w:r>
      <w:r w:rsidR="003247B0">
        <w:t xml:space="preserve"> </w:t>
      </w:r>
      <w:r w:rsidR="009F62A4">
        <w:t>la producción</w:t>
      </w:r>
      <w:r w:rsidRPr="00E94D8A">
        <w:t xml:space="preserve"> a lo largo del tiempo, que refleje el nivel de demanda que cada operador ha conseguido (y que se proyecta que consiga) a lo largo del tiempo</w:t>
      </w:r>
    </w:p>
    <w:p w14:paraId="64F7BCEC" w14:textId="1E753209" w:rsidR="00A37365" w:rsidRPr="00E94D8A" w:rsidRDefault="00A37365" w:rsidP="00A37365">
      <w:pPr>
        <w:spacing w:after="120"/>
      </w:pPr>
      <w:r w:rsidRPr="00E94D8A">
        <w:t xml:space="preserve">Recurriendo a un ejemplo, ilustramos el perfil de </w:t>
      </w:r>
      <w:r w:rsidR="00CE4B8A">
        <w:t>costo</w:t>
      </w:r>
      <w:r w:rsidRPr="00E94D8A">
        <w:t xml:space="preserve">s anualizados a través de la depreciación económica para la situación en la que </w:t>
      </w:r>
      <w:r w:rsidR="003247B0">
        <w:t>los ingresos</w:t>
      </w:r>
      <w:r w:rsidRPr="00E94D8A">
        <w:t xml:space="preserve"> de los elementos de red se incrementa</w:t>
      </w:r>
      <w:r w:rsidR="003247B0">
        <w:t>n</w:t>
      </w:r>
      <w:r w:rsidRPr="00E94D8A">
        <w:t xml:space="preserve"> (tomando la forma de una curva) de 10 en el año 1 a 100 en el año 4. El perfil de la depreciación se encuentra </w:t>
      </w:r>
      <w:r w:rsidR="003247B0" w:rsidRPr="00E94D8A">
        <w:t>influid</w:t>
      </w:r>
      <w:r w:rsidR="003247B0">
        <w:t>o</w:t>
      </w:r>
      <w:r w:rsidR="003247B0" w:rsidRPr="00E94D8A">
        <w:t xml:space="preserve"> </w:t>
      </w:r>
      <w:r w:rsidRPr="00E94D8A">
        <w:t>por la forma de</w:t>
      </w:r>
      <w:r w:rsidR="003247B0">
        <w:t xml:space="preserve"> los ingresos</w:t>
      </w:r>
      <w:r w:rsidRPr="00E94D8A">
        <w:t xml:space="preserve"> a lo largo del tiempo y la disminución de los precios de los MEA que se pueden ver en la</w:t>
      </w:r>
      <w:r w:rsidR="00E94D8A">
        <w:t xml:space="preserve"> </w:t>
      </w:r>
      <w:r w:rsidR="00E94D8A">
        <w:fldChar w:fldCharType="begin"/>
      </w:r>
      <w:r w:rsidR="00E94D8A">
        <w:instrText xml:space="preserve"> REF _Ref321212782 \h </w:instrText>
      </w:r>
      <w:r w:rsidR="00E94D8A">
        <w:fldChar w:fldCharType="separate"/>
      </w:r>
      <w:r w:rsidR="00B426BC" w:rsidRPr="00E94D8A">
        <w:t>Figur</w:t>
      </w:r>
      <w:r w:rsidR="00B426BC">
        <w:t>a</w:t>
      </w:r>
      <w:r w:rsidR="00B426BC" w:rsidRPr="00E94D8A">
        <w:t xml:space="preserve"> </w:t>
      </w:r>
      <w:r w:rsidR="00B426BC">
        <w:rPr>
          <w:noProof/>
        </w:rPr>
        <w:t>A</w:t>
      </w:r>
      <w:r w:rsidR="00B426BC" w:rsidRPr="00E94D8A">
        <w:t>.</w:t>
      </w:r>
      <w:r w:rsidR="00B426BC">
        <w:rPr>
          <w:noProof/>
        </w:rPr>
        <w:t>1</w:t>
      </w:r>
      <w:r w:rsidR="00E94D8A">
        <w:fldChar w:fldCharType="end"/>
      </w:r>
      <w:r w:rsidRPr="00E94D8A">
        <w:t>.</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A37365" w:rsidRPr="00E94D8A" w14:paraId="478774CF" w14:textId="77777777" w:rsidTr="00A37365">
        <w:tc>
          <w:tcPr>
            <w:tcW w:w="6576" w:type="dxa"/>
            <w:tcBorders>
              <w:right w:val="single" w:sz="4" w:space="0" w:color="auto"/>
            </w:tcBorders>
            <w:shd w:val="clear" w:color="auto" w:fill="auto"/>
          </w:tcPr>
          <w:p w14:paraId="0F17A2BF" w14:textId="77777777" w:rsidR="00A37365" w:rsidRPr="00E94D8A" w:rsidRDefault="00A37365" w:rsidP="00A37365">
            <w:pPr>
              <w:pStyle w:val="Bordersmall"/>
              <w:rPr>
                <w:lang w:val="es-ES"/>
              </w:rPr>
            </w:pPr>
            <w:r w:rsidRPr="00E94D8A">
              <w:rPr>
                <w:noProof/>
                <w:lang w:val="es-MX" w:eastAsia="es-MX"/>
              </w:rPr>
              <w:drawing>
                <wp:inline distT="0" distB="0" distL="0" distR="0" wp14:anchorId="7725B651" wp14:editId="48729B35">
                  <wp:extent cx="2847619" cy="2638095"/>
                  <wp:effectExtent l="0" t="0" r="0" b="0"/>
                  <wp:docPr id="18" name="Picture 18" descr="Depreciación económica, Fuente: Analysys Mason" title="Figura 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2847619" cy="2638095"/>
                          </a:xfrm>
                          <a:prstGeom prst="rect">
                            <a:avLst/>
                          </a:prstGeom>
                        </pic:spPr>
                      </pic:pic>
                    </a:graphicData>
                  </a:graphic>
                </wp:inline>
              </w:drawing>
            </w:r>
          </w:p>
        </w:tc>
        <w:tc>
          <w:tcPr>
            <w:tcW w:w="2154" w:type="dxa"/>
            <w:tcBorders>
              <w:left w:val="single" w:sz="4" w:space="0" w:color="auto"/>
            </w:tcBorders>
            <w:shd w:val="clear" w:color="auto" w:fill="auto"/>
          </w:tcPr>
          <w:p w14:paraId="18CB3A47" w14:textId="77777777" w:rsidR="00A37365" w:rsidRPr="00E94D8A" w:rsidRDefault="00A37365" w:rsidP="00E94D8A">
            <w:pPr>
              <w:pStyle w:val="Captionsmall"/>
              <w:rPr>
                <w:lang w:val="es-ES"/>
              </w:rPr>
            </w:pPr>
            <w:bookmarkStart w:id="143" w:name="_Ref321212782"/>
            <w:r w:rsidRPr="00E94D8A">
              <w:rPr>
                <w:lang w:val="es-ES"/>
              </w:rPr>
              <w:t>Figur</w:t>
            </w:r>
            <w:r w:rsidR="00E94D8A">
              <w:rPr>
                <w:lang w:val="es-ES"/>
              </w:rPr>
              <w:t>a</w:t>
            </w:r>
            <w:r w:rsidRPr="00E94D8A">
              <w:rPr>
                <w:lang w:val="es-ES"/>
              </w:rPr>
              <w:t xml:space="preserve"> </w:t>
            </w:r>
            <w:r w:rsidRPr="00E94D8A">
              <w:rPr>
                <w:lang w:val="es-ES"/>
              </w:rPr>
              <w:fldChar w:fldCharType="begin"/>
            </w:r>
            <w:r w:rsidRPr="00E94D8A">
              <w:rPr>
                <w:lang w:val="es-ES"/>
              </w:rPr>
              <w:instrText xml:space="preserve"> STYLEREF "Annex 1" \s \* MERGEFORMAT </w:instrText>
            </w:r>
            <w:r w:rsidRPr="00E94D8A">
              <w:rPr>
                <w:lang w:val="es-ES"/>
              </w:rPr>
              <w:fldChar w:fldCharType="separate"/>
            </w:r>
            <w:r w:rsidR="00B426BC">
              <w:rPr>
                <w:noProof/>
                <w:lang w:val="es-ES"/>
              </w:rPr>
              <w:t>A</w:t>
            </w:r>
            <w:r w:rsidRPr="00E94D8A">
              <w:rPr>
                <w:lang w:val="es-ES"/>
              </w:rPr>
              <w:fldChar w:fldCharType="end"/>
            </w:r>
            <w:r w:rsidRPr="00E94D8A">
              <w:rPr>
                <w:lang w:val="es-ES"/>
              </w:rPr>
              <w:t>.</w:t>
            </w:r>
            <w:r w:rsidRPr="00E94D8A">
              <w:rPr>
                <w:lang w:val="es-ES"/>
              </w:rPr>
              <w:fldChar w:fldCharType="begin"/>
            </w:r>
            <w:r w:rsidRPr="00E94D8A">
              <w:rPr>
                <w:lang w:val="es-ES"/>
              </w:rPr>
              <w:instrText xml:space="preserve"> SEQ Ilustración \r 1 \* MERGEFORMAT </w:instrText>
            </w:r>
            <w:r w:rsidRPr="00E94D8A">
              <w:rPr>
                <w:lang w:val="es-ES"/>
              </w:rPr>
              <w:fldChar w:fldCharType="separate"/>
            </w:r>
            <w:r w:rsidR="00B426BC">
              <w:rPr>
                <w:noProof/>
                <w:lang w:val="es-ES"/>
              </w:rPr>
              <w:t>1</w:t>
            </w:r>
            <w:r w:rsidRPr="00E94D8A">
              <w:rPr>
                <w:lang w:val="es-ES"/>
              </w:rPr>
              <w:fldChar w:fldCharType="end"/>
            </w:r>
            <w:bookmarkEnd w:id="143"/>
            <w:r w:rsidRPr="00E94D8A">
              <w:rPr>
                <w:lang w:val="es-ES"/>
              </w:rPr>
              <w:t xml:space="preserve">: Depreciación económica [Fuente: </w:t>
            </w:r>
            <w:proofErr w:type="spellStart"/>
            <w:r w:rsidRPr="00E94D8A">
              <w:rPr>
                <w:lang w:val="es-ES"/>
              </w:rPr>
              <w:t>Analysys</w:t>
            </w:r>
            <w:proofErr w:type="spellEnd"/>
            <w:r w:rsidRPr="00E94D8A">
              <w:rPr>
                <w:lang w:val="es-ES"/>
              </w:rPr>
              <w:t xml:space="preserve"> Mason]</w:t>
            </w:r>
          </w:p>
        </w:tc>
      </w:tr>
    </w:tbl>
    <w:p w14:paraId="3298F9D3" w14:textId="77777777" w:rsidR="00C57384" w:rsidRPr="00E94D8A" w:rsidRDefault="00C57384" w:rsidP="00277EB9"/>
    <w:p w14:paraId="31B4D837" w14:textId="77777777" w:rsidR="003F6CB3" w:rsidRPr="00E94D8A" w:rsidRDefault="003F6CB3" w:rsidP="00593660"/>
    <w:sectPr w:rsidR="003F6CB3" w:rsidRPr="00E94D8A" w:rsidSect="00D42DA0">
      <w:headerReference w:type="first" r:id="rId74"/>
      <w:footerReference w:type="first" r:id="rId75"/>
      <w:pgSz w:w="11907" w:h="16840"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3ADEC" w14:textId="77777777" w:rsidR="00B702ED" w:rsidRDefault="00B702ED" w:rsidP="003C6172">
      <w:pPr>
        <w:spacing w:after="0" w:line="240" w:lineRule="auto"/>
      </w:pPr>
      <w:r>
        <w:separator/>
      </w:r>
    </w:p>
  </w:endnote>
  <w:endnote w:type="continuationSeparator" w:id="0">
    <w:p w14:paraId="3FACB560" w14:textId="77777777" w:rsidR="00B702ED" w:rsidRDefault="00B702ED" w:rsidP="003C6172">
      <w:pPr>
        <w:spacing w:after="0" w:line="240" w:lineRule="auto"/>
      </w:pPr>
      <w:r>
        <w:continuationSeparator/>
      </w:r>
    </w:p>
  </w:endnote>
  <w:endnote w:type="continuationNotice" w:id="1">
    <w:p w14:paraId="0C4C8ED8" w14:textId="77777777" w:rsidR="00B702ED" w:rsidRDefault="00B70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A783F" w14:textId="77777777" w:rsidR="008947E6" w:rsidRDefault="008947E6">
    <w:pPr>
      <w:pStyle w:val="Piedepgina"/>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BE787" w14:textId="77777777" w:rsidR="008947E6" w:rsidRPr="000B63A0" w:rsidRDefault="008947E6" w:rsidP="000B63A0">
    <w:pPr>
      <w:pStyle w:val="Piedepgina"/>
      <w:spacing w:before="720"/>
      <w:ind w:firstLine="1939"/>
    </w:pPr>
    <w:r>
      <w:tab/>
    </w:r>
    <w:r>
      <w:rPr>
        <w:rStyle w:val="ConfidentialFooter"/>
      </w:rPr>
      <w:fldChar w:fldCharType="begin"/>
    </w:r>
    <w:r>
      <w:rPr>
        <w:rStyle w:val="ConfidentialFooter"/>
      </w:rPr>
      <w:instrText xml:space="preserve"> DOCPROPERTY "Descriptor" \* MERGEFORMAT </w:instrText>
    </w:r>
    <w:r>
      <w:rPr>
        <w:rStyle w:val="ConfidentialFooter"/>
      </w:rPr>
      <w:fldChar w:fldCharType="separate"/>
    </w:r>
    <w:r>
      <w:rPr>
        <w:rStyle w:val="ConfidentialFooter"/>
      </w:rPr>
      <w:t>.</w:t>
    </w:r>
    <w:r>
      <w:rPr>
        <w:rStyle w:val="ConfidentialFooter"/>
      </w:rPr>
      <w:fldChar w:fldCharType="end"/>
    </w:r>
    <w:r>
      <w:tab/>
    </w:r>
    <w:r>
      <w:rPr>
        <w:noProof/>
        <w:lang w:val="es-MX" w:eastAsia="es-MX"/>
      </w:rPr>
      <w:drawing>
        <wp:anchor distT="0" distB="0" distL="114300" distR="114300" simplePos="0" relativeHeight="251669504" behindDoc="0" locked="0" layoutInCell="1" allowOverlap="1" wp14:anchorId="28ED946C" wp14:editId="4F5A21BC">
          <wp:simplePos x="0" y="0"/>
          <wp:positionH relativeFrom="page">
            <wp:posOffset>493395</wp:posOffset>
          </wp:positionH>
          <wp:positionV relativeFrom="page">
            <wp:posOffset>9879330</wp:posOffset>
          </wp:positionV>
          <wp:extent cx="1436400" cy="486000"/>
          <wp:effectExtent l="0" t="0" r="0" b="9525"/>
          <wp:wrapNone/>
          <wp:docPr id="5" name="Picture 4" descr="P:\projects\EG011\WP\EG011040\New logos (2011)\Red and blue\1049-logo-2-Colour.pn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EG011\WP\EG011040\New logos (2011)\Red and blue\1049-logo-2-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64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2ED">
      <w:fldChar w:fldCharType="begin"/>
    </w:r>
    <w:r w:rsidR="00B702ED">
      <w:instrText xml:space="preserve"> Styleref "Title: RefNo" \* MERGEFORMAT </w:instrText>
    </w:r>
    <w:r w:rsidR="00B702ED">
      <w:fldChar w:fldCharType="separate"/>
    </w:r>
    <w:r>
      <w:rPr>
        <w:noProof/>
      </w:rPr>
      <w:t>Referencia: 2007387-216</w:t>
    </w:r>
    <w:r w:rsidR="00B702E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F55F0" w14:textId="6D0564B2" w:rsidR="008947E6" w:rsidRPr="007739D8" w:rsidRDefault="008947E6" w:rsidP="000B63A0">
    <w:pPr>
      <w:pStyle w:val="Piedepgina"/>
      <w:spacing w:before="720"/>
      <w:rPr>
        <w:lang w:val="es-E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C1985" w14:textId="6BDF0FA6" w:rsidR="008947E6" w:rsidRPr="007739D8" w:rsidRDefault="008947E6" w:rsidP="000B63A0">
    <w:pPr>
      <w:pStyle w:val="Piedepgina"/>
      <w:spacing w:before="720"/>
      <w:rPr>
        <w:lang w:val="es-ES"/>
      </w:rPr>
    </w:pPr>
    <w:r w:rsidRPr="007739D8">
      <w:rPr>
        <w:lang w:val="es-ES"/>
      </w:rPr>
      <w:tab/>
    </w:r>
    <w:r>
      <w:rPr>
        <w:rStyle w:val="ConfidentialFooter"/>
      </w:rPr>
      <w:fldChar w:fldCharType="begin"/>
    </w:r>
    <w:r w:rsidRPr="007739D8">
      <w:rPr>
        <w:rStyle w:val="ConfidentialFooter"/>
        <w:lang w:val="es-ES"/>
      </w:rPr>
      <w:instrText xml:space="preserve"> DOCPROPERTY "Descriptor" \* MERGEFORMAT </w:instrText>
    </w:r>
    <w:r>
      <w:rPr>
        <w:rStyle w:val="ConfidentialFooter"/>
      </w:rPr>
      <w:fldChar w:fldCharType="separate"/>
    </w:r>
    <w:r>
      <w:rPr>
        <w:rStyle w:val="ConfidentialFooter"/>
        <w:lang w:val="es-ES"/>
      </w:rPr>
      <w:t>.</w:t>
    </w:r>
    <w:r>
      <w:rPr>
        <w:rStyle w:val="ConfidentialFooter"/>
      </w:rPr>
      <w:fldChar w:fldCharType="end"/>
    </w:r>
    <w:r w:rsidRPr="007739D8">
      <w:rPr>
        <w:lang w:val="es-E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A6222" w14:textId="77777777" w:rsidR="008947E6" w:rsidRPr="008B7633" w:rsidRDefault="008947E6" w:rsidP="008B76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126D5" w14:textId="77777777" w:rsidR="00B702ED" w:rsidRDefault="00B702ED" w:rsidP="003C6172">
      <w:pPr>
        <w:spacing w:after="0" w:line="240" w:lineRule="auto"/>
      </w:pPr>
      <w:r>
        <w:separator/>
      </w:r>
    </w:p>
  </w:footnote>
  <w:footnote w:type="continuationSeparator" w:id="0">
    <w:p w14:paraId="516FA187" w14:textId="77777777" w:rsidR="00B702ED" w:rsidRDefault="00B702ED" w:rsidP="003C6172">
      <w:pPr>
        <w:spacing w:after="0" w:line="240" w:lineRule="auto"/>
      </w:pPr>
      <w:r>
        <w:continuationSeparator/>
      </w:r>
    </w:p>
  </w:footnote>
  <w:footnote w:type="continuationNotice" w:id="1">
    <w:p w14:paraId="5848C14C" w14:textId="77777777" w:rsidR="00B702ED" w:rsidRDefault="00B702ED">
      <w:pPr>
        <w:spacing w:after="0" w:line="240" w:lineRule="auto"/>
      </w:pPr>
    </w:p>
  </w:footnote>
  <w:footnote w:id="2">
    <w:p w14:paraId="5EFE6435" w14:textId="77777777" w:rsidR="008947E6" w:rsidRPr="0087358C" w:rsidRDefault="008947E6">
      <w:pPr>
        <w:pStyle w:val="Textonotapie"/>
        <w:rPr>
          <w:lang w:val="es-ES"/>
        </w:rPr>
      </w:pPr>
      <w:r>
        <w:rPr>
          <w:rStyle w:val="Refdenotaalpie"/>
        </w:rPr>
        <w:footnoteRef/>
      </w:r>
      <w:r w:rsidRPr="0087358C">
        <w:rPr>
          <w:lang w:val="es-ES"/>
        </w:rPr>
        <w:t xml:space="preserve"> </w:t>
      </w:r>
      <w:r w:rsidRPr="001B0CE1">
        <w:rPr>
          <w:lang w:val="es-ES"/>
        </w:rPr>
        <w:t>P/IFT/EXT/161214/277</w:t>
      </w:r>
      <w:r>
        <w:rPr>
          <w:lang w:val="es-ES"/>
        </w:rPr>
        <w:t>, “</w:t>
      </w:r>
      <w:r w:rsidRPr="001B0CE1">
        <w:rPr>
          <w:lang w:val="es-ES"/>
        </w:rPr>
        <w:t>Acuerdo mediante el cual el Pleno del Instituto Federal de Telecomunicaciones emite la metodología para el cálculo de costos de interconexión de conformidad con la Ley Federal de Telecomunicaciones y Radiodifusión.</w:t>
      </w:r>
      <w:r>
        <w:rPr>
          <w:lang w:val="es-ES"/>
        </w:rPr>
        <w:t>”, publicado el 18 de diciembre de 2014</w:t>
      </w:r>
    </w:p>
  </w:footnote>
  <w:footnote w:id="3">
    <w:p w14:paraId="60571B6B" w14:textId="77777777" w:rsidR="008947E6" w:rsidRPr="003D318F" w:rsidRDefault="008947E6" w:rsidP="006E361B">
      <w:pPr>
        <w:pStyle w:val="Textonotapie"/>
        <w:rPr>
          <w:lang w:val="es-MX"/>
        </w:rPr>
      </w:pPr>
      <w:r>
        <w:rPr>
          <w:rStyle w:val="Refdenotaalpie"/>
        </w:rPr>
        <w:footnoteRef/>
      </w:r>
      <w:r w:rsidRPr="003D318F">
        <w:rPr>
          <w:lang w:val="es-MX"/>
        </w:rPr>
        <w:t xml:space="preserve"> </w:t>
      </w:r>
      <w:r w:rsidRPr="003D318F">
        <w:rPr>
          <w:lang w:val="es-MX"/>
        </w:rPr>
        <w:tab/>
        <w:t>Por ejemplo: la más eficiente en México, la más eficiente en Latino América, la más eficiente en el mundo</w:t>
      </w:r>
    </w:p>
  </w:footnote>
  <w:footnote w:id="4">
    <w:p w14:paraId="08C3D3BB" w14:textId="48935265" w:rsidR="008947E6" w:rsidRPr="00FB7938" w:rsidRDefault="008947E6" w:rsidP="006E361B">
      <w:pPr>
        <w:pStyle w:val="Textonotapie"/>
        <w:rPr>
          <w:spacing w:val="-4"/>
          <w:lang w:val="es-MX"/>
        </w:rPr>
      </w:pPr>
      <w:r w:rsidRPr="00FB7938">
        <w:rPr>
          <w:rStyle w:val="Refdenotaalpie"/>
          <w:spacing w:val="-4"/>
        </w:rPr>
        <w:footnoteRef/>
      </w:r>
      <w:r w:rsidRPr="00FB7938">
        <w:rPr>
          <w:spacing w:val="-4"/>
          <w:lang w:val="es-MX"/>
        </w:rPr>
        <w:t xml:space="preserve"> </w:t>
      </w:r>
      <w:r w:rsidRPr="00FB7938">
        <w:rPr>
          <w:spacing w:val="-4"/>
          <w:lang w:val="es-MX"/>
        </w:rPr>
        <w:tab/>
        <w:t xml:space="preserve">Recomendación de la Comisión de 7 de mayo de 2009 </w:t>
      </w:r>
      <w:r w:rsidRPr="00FB7938">
        <w:rPr>
          <w:i/>
          <w:spacing w:val="-4"/>
          <w:lang w:val="es-MX"/>
        </w:rPr>
        <w:t xml:space="preserve">sobre el tratamiento normativo de las tarifas de terminación de la telefonía fija y móvil en la UE tratamiento normativo de las tarifas de terminación de la telefonía fija y móvil en la UE (2009/396/CE). </w:t>
      </w:r>
      <w:r w:rsidRPr="00FB7938">
        <w:rPr>
          <w:spacing w:val="-4"/>
          <w:lang w:val="es-MX"/>
        </w:rPr>
        <w:t xml:space="preserve">Disponible en </w:t>
      </w:r>
      <w:r w:rsidRPr="00F1440B">
        <w:rPr>
          <w:lang w:val="es-ES"/>
        </w:rPr>
        <w:t>http://eur-lex.europa.eu/legal-content/ES/ALL/?uri=celex%3A32009H0396</w:t>
      </w:r>
    </w:p>
  </w:footnote>
  <w:footnote w:id="5">
    <w:p w14:paraId="47A714F4" w14:textId="676F2F27" w:rsidR="008947E6" w:rsidRPr="00D820C3" w:rsidRDefault="008947E6" w:rsidP="00081648">
      <w:pPr>
        <w:pStyle w:val="Textonotapie"/>
        <w:rPr>
          <w:lang w:val="es-MX"/>
        </w:rPr>
      </w:pPr>
      <w:r>
        <w:rPr>
          <w:rStyle w:val="Refdenotaalpie"/>
        </w:rPr>
        <w:footnoteRef/>
      </w:r>
      <w:r w:rsidRPr="00D820C3">
        <w:rPr>
          <w:lang w:val="es-MX"/>
        </w:rPr>
        <w:t xml:space="preserve"> </w:t>
      </w:r>
      <w:r>
        <w:rPr>
          <w:lang w:val="es-MX"/>
        </w:rPr>
        <w:t>Si bien la tecnología 2G no sería propiamente una tecnología moderna, si es una tecnología eficiente disponible en el sentido de que es utilizada en las redes de los concesionarios que proveen los servicios de telecomunicaciones en nuestro país y existen un gran número de terminales que la utilizan.</w:t>
      </w:r>
    </w:p>
  </w:footnote>
  <w:footnote w:id="6">
    <w:p w14:paraId="5B9E6A13" w14:textId="77777777" w:rsidR="008947E6" w:rsidRPr="003D55FC" w:rsidRDefault="008947E6" w:rsidP="00BE303D">
      <w:pPr>
        <w:pStyle w:val="Textonotapie"/>
        <w:spacing w:after="0"/>
        <w:rPr>
          <w:lang w:val="es-ES_tradnl"/>
        </w:rPr>
      </w:pPr>
      <w:r>
        <w:rPr>
          <w:rStyle w:val="Refdenotaalpie"/>
        </w:rPr>
        <w:footnoteRef/>
      </w:r>
      <w:r w:rsidRPr="00CF3B34">
        <w:rPr>
          <w:lang w:val="es-MX"/>
        </w:rPr>
        <w:t xml:space="preserve"> </w:t>
      </w:r>
      <w:r w:rsidRPr="00CF3B34">
        <w:rPr>
          <w:lang w:val="es-MX"/>
        </w:rPr>
        <w:tab/>
        <w:t xml:space="preserve">Recomendación de la Comisión de 7 de mayo de 2009, </w:t>
      </w:r>
      <w:r w:rsidRPr="00CF3B34">
        <w:rPr>
          <w:i/>
          <w:lang w:val="es-MX"/>
        </w:rPr>
        <w:t xml:space="preserve">sobre el tratamiento normativo de las tarifas de terminación de la telefonía fija y móvil en la UE (2009/396/CE). </w:t>
      </w:r>
      <w:r w:rsidRPr="003D55FC">
        <w:rPr>
          <w:lang w:val="es-ES_tradnl"/>
        </w:rPr>
        <w:t>Disponible en</w:t>
      </w:r>
      <w:r w:rsidRPr="003D55FC">
        <w:rPr>
          <w:i/>
          <w:lang w:val="es-ES_tradnl"/>
        </w:rPr>
        <w:t xml:space="preserve"> </w:t>
      </w:r>
      <w:r w:rsidRPr="003D55FC">
        <w:rPr>
          <w:lang w:val="es-ES_tradnl"/>
        </w:rPr>
        <w:t>http://eur-lex.europa.eu/LexUriServ/LexUriServ.do?uri=OJ:L:2009:124:0067:0074:ES:PDF.</w:t>
      </w:r>
    </w:p>
  </w:footnote>
  <w:footnote w:id="7">
    <w:p w14:paraId="69C995B1" w14:textId="2BAA61E4" w:rsidR="008947E6" w:rsidRPr="00D820C3" w:rsidRDefault="008947E6">
      <w:pPr>
        <w:pStyle w:val="Textonotapie"/>
        <w:rPr>
          <w:lang w:val="es-MX"/>
        </w:rPr>
      </w:pPr>
      <w:r>
        <w:rPr>
          <w:rStyle w:val="Refdenotaalpie"/>
        </w:rPr>
        <w:footnoteRef/>
      </w:r>
      <w:r w:rsidRPr="00D820C3">
        <w:rPr>
          <w:lang w:val="es-MX"/>
        </w:rPr>
        <w:t xml:space="preserve"> </w:t>
      </w:r>
      <w:r>
        <w:rPr>
          <w:lang w:val="es-MX"/>
        </w:rPr>
        <w:t>GSM y GPRS, UMTS, HSPA y HSDPA, y LTE.</w:t>
      </w:r>
    </w:p>
  </w:footnote>
  <w:footnote w:id="8">
    <w:p w14:paraId="67583D22" w14:textId="77777777" w:rsidR="008947E6" w:rsidRPr="00F8278B" w:rsidRDefault="008947E6" w:rsidP="00BE303D">
      <w:pPr>
        <w:pStyle w:val="Textonotapie"/>
        <w:rPr>
          <w:lang w:val="es-MX"/>
        </w:rPr>
      </w:pPr>
      <w:r>
        <w:rPr>
          <w:rStyle w:val="Refdenotaalpie"/>
        </w:rPr>
        <w:footnoteRef/>
      </w:r>
      <w:r w:rsidRPr="000E290F">
        <w:rPr>
          <w:lang w:val="es-MX"/>
        </w:rPr>
        <w:t xml:space="preserve"> </w:t>
      </w:r>
      <w:r w:rsidRPr="000E290F">
        <w:rPr>
          <w:lang w:val="es-MX"/>
        </w:rPr>
        <w:tab/>
        <w:t>En el caso de una red fija, la calidad</w:t>
      </w:r>
      <w:r>
        <w:rPr>
          <w:lang w:val="es-MX"/>
        </w:rPr>
        <w:t xml:space="preserve"> está relacionada con la disponibilidad, accesos compartidos, etc. En el caso de las redes móviles, la </w:t>
      </w:r>
      <w:r w:rsidRPr="00347E43">
        <w:rPr>
          <w:color w:val="000000" w:themeColor="text1"/>
          <w:lang w:val="es-MX"/>
        </w:rPr>
        <w:t>calidad de la</w:t>
      </w:r>
      <w:r>
        <w:rPr>
          <w:lang w:val="es-MX"/>
        </w:rPr>
        <w:t xml:space="preserve"> cobertura se determina por la densidad de la señal radioeléctrica – en el interior de edificios, en lugares de difícil acceso, en lugares especiales (p.ej. aeropuertos, metro). </w:t>
      </w:r>
    </w:p>
  </w:footnote>
  <w:footnote w:id="9">
    <w:p w14:paraId="3F2E2036" w14:textId="77777777" w:rsidR="008947E6" w:rsidRPr="00CF3B34" w:rsidRDefault="008947E6" w:rsidP="00BE303D">
      <w:pPr>
        <w:pStyle w:val="Textonotapie"/>
        <w:spacing w:after="120"/>
        <w:rPr>
          <w:lang w:val="es-MX"/>
        </w:rPr>
      </w:pPr>
      <w:r>
        <w:rPr>
          <w:rStyle w:val="Refdenotaalpie"/>
        </w:rPr>
        <w:footnoteRef/>
      </w:r>
      <w:r w:rsidRPr="00CF3B34">
        <w:rPr>
          <w:lang w:val="es-MX"/>
        </w:rPr>
        <w:t xml:space="preserve"> </w:t>
      </w:r>
      <w:r w:rsidRPr="00CF3B34">
        <w:rPr>
          <w:lang w:val="es-MX"/>
        </w:rPr>
        <w:tab/>
      </w:r>
      <w:r>
        <w:rPr>
          <w:lang w:val="es-ES_tradnl"/>
        </w:rPr>
        <w:t>Resulta muy difícil estimar este efecto.</w:t>
      </w:r>
      <w:r w:rsidRPr="00CF3B34">
        <w:rPr>
          <w:lang w:val="es-MX"/>
        </w:rPr>
        <w:t xml:space="preserve"> </w:t>
      </w:r>
      <w:r>
        <w:rPr>
          <w:lang w:val="es-ES_tradnl"/>
        </w:rPr>
        <w:t xml:space="preserve">Por ejemplo, en oficinas de empresa, la gente cambia de mesa o pasa tiempo en salas de reuniones; algunos edificios como los centros comerciales o aeropuertos no disponen de una solución de línea fija (PSTN), aunque podrían ser posibles métodos </w:t>
      </w:r>
      <w:proofErr w:type="spellStart"/>
      <w:r>
        <w:rPr>
          <w:lang w:val="es-ES_tradnl"/>
        </w:rPr>
        <w:t>WiFi</w:t>
      </w:r>
      <w:proofErr w:type="spellEnd"/>
      <w:r>
        <w:rPr>
          <w:lang w:val="es-ES_tradnl"/>
        </w:rPr>
        <w:t>; la gente puede encontrarse en otros edificios (ej. segunda vivienda, casa del vecino, etc.).</w:t>
      </w:r>
    </w:p>
  </w:footnote>
  <w:footnote w:id="10">
    <w:p w14:paraId="67968FCE" w14:textId="77777777" w:rsidR="008947E6" w:rsidRPr="00CF3B34" w:rsidRDefault="008947E6" w:rsidP="00BE303D">
      <w:pPr>
        <w:pStyle w:val="Textonotapie"/>
        <w:spacing w:after="120"/>
        <w:rPr>
          <w:lang w:val="es-MX"/>
        </w:rPr>
      </w:pPr>
      <w:r>
        <w:rPr>
          <w:rStyle w:val="Refdenotaalpie"/>
        </w:rPr>
        <w:footnoteRef/>
      </w:r>
      <w:r w:rsidRPr="00CF3B34">
        <w:rPr>
          <w:lang w:val="es-MX"/>
        </w:rPr>
        <w:t xml:space="preserve"> </w:t>
      </w:r>
      <w:r w:rsidRPr="00CF3B34">
        <w:rPr>
          <w:lang w:val="es-MX"/>
        </w:rPr>
        <w:tab/>
      </w:r>
      <w:r>
        <w:rPr>
          <w:lang w:val="es-ES_tradnl"/>
        </w:rPr>
        <w:t xml:space="preserve">Las cabinas telefónicas o </w:t>
      </w:r>
      <w:proofErr w:type="spellStart"/>
      <w:r>
        <w:rPr>
          <w:lang w:val="es-ES_tradnl"/>
        </w:rPr>
        <w:t>VoIP</w:t>
      </w:r>
      <w:proofErr w:type="spellEnd"/>
      <w:r>
        <w:rPr>
          <w:lang w:val="es-ES_tradnl"/>
        </w:rPr>
        <w:t xml:space="preserve"> basado en WLAN podrían estar en el exterior o lejos de casa.</w:t>
      </w:r>
    </w:p>
  </w:footnote>
  <w:footnote w:id="11">
    <w:p w14:paraId="1617CA06" w14:textId="77777777" w:rsidR="008947E6" w:rsidRPr="00CF3B34" w:rsidRDefault="008947E6" w:rsidP="00BE303D">
      <w:pPr>
        <w:pStyle w:val="Textonotapie"/>
        <w:spacing w:after="120"/>
        <w:rPr>
          <w:lang w:val="es-MX"/>
        </w:rPr>
      </w:pPr>
      <w:r>
        <w:rPr>
          <w:rStyle w:val="Refdenotaalpie"/>
        </w:rPr>
        <w:footnoteRef/>
      </w:r>
      <w:r w:rsidRPr="00CF3B34">
        <w:rPr>
          <w:lang w:val="es-MX"/>
        </w:rPr>
        <w:t xml:space="preserve"> </w:t>
      </w:r>
      <w:r w:rsidRPr="00CF3B34">
        <w:rPr>
          <w:lang w:val="es-MX"/>
        </w:rPr>
        <w:tab/>
      </w:r>
      <w:r>
        <w:rPr>
          <w:lang w:val="es-ES_tradnl"/>
        </w:rPr>
        <w:t>Fuente:</w:t>
      </w:r>
      <w:r w:rsidRPr="00CF3B34">
        <w:rPr>
          <w:lang w:val="es-MX"/>
        </w:rPr>
        <w:t xml:space="preserve"> </w:t>
      </w:r>
      <w:r>
        <w:rPr>
          <w:lang w:val="es-ES_tradnl"/>
        </w:rPr>
        <w:t>Nokia estima que alrededor del 70% del tráfico de telefonía móvil se produce en el interior de edificios (</w:t>
      </w:r>
      <w:r w:rsidRPr="00962B7E">
        <w:rPr>
          <w:lang w:val="es-ES_tradnl"/>
        </w:rPr>
        <w:t>http://networks.nokia.com/portfolio/services/network-implementation/in-building-solutions</w:t>
      </w:r>
      <w:r>
        <w:rPr>
          <w:lang w:val="es-ES_tradnl"/>
        </w:rPr>
        <w:t xml:space="preserve">); </w:t>
      </w:r>
      <w:proofErr w:type="spellStart"/>
      <w:r>
        <w:rPr>
          <w:lang w:val="es-ES_tradnl"/>
        </w:rPr>
        <w:t>Commscope</w:t>
      </w:r>
      <w:proofErr w:type="spellEnd"/>
      <w:r>
        <w:rPr>
          <w:lang w:val="es-ES_tradnl"/>
        </w:rPr>
        <w:t xml:space="preserve"> estima que cerca del 80% tráfico móvil es originado o terminado en el interior de edificios (</w:t>
      </w:r>
      <w:r w:rsidRPr="00784EF1">
        <w:rPr>
          <w:lang w:val="es-ES_tradnl"/>
        </w:rPr>
        <w:t>http://www.commscope.com/NewsCenter/PressReleases/Building-Professionals-Believe-Indoor-Mobile-Systems--Can-Increase-Property-Value-Significantly/</w:t>
      </w:r>
      <w:r w:rsidRPr="00784EF1" w:rsidDel="00784EF1">
        <w:rPr>
          <w:lang w:val="es-ES_tradnl"/>
        </w:rPr>
        <w:t xml:space="preserve"> </w:t>
      </w:r>
      <w:r>
        <w:rPr>
          <w:lang w:val="es-ES_tradnl"/>
        </w:rPr>
        <w:t>)</w:t>
      </w:r>
    </w:p>
  </w:footnote>
  <w:footnote w:id="12">
    <w:p w14:paraId="29AE0925" w14:textId="77777777" w:rsidR="008947E6" w:rsidRPr="00E25ADE" w:rsidRDefault="008947E6" w:rsidP="00BE303D">
      <w:pPr>
        <w:pStyle w:val="Textonotapie"/>
        <w:rPr>
          <w:spacing w:val="-4"/>
          <w:lang w:val="es-MX"/>
        </w:rPr>
      </w:pPr>
      <w:r>
        <w:rPr>
          <w:rStyle w:val="Refdenotaalpie"/>
          <w:spacing w:val="-4"/>
        </w:rPr>
        <w:footnoteRef/>
      </w:r>
      <w:r w:rsidRPr="00E25ADE">
        <w:rPr>
          <w:spacing w:val="-4"/>
          <w:lang w:val="es-MX"/>
        </w:rPr>
        <w:t xml:space="preserve"> </w:t>
      </w:r>
      <w:r w:rsidRPr="00E25ADE">
        <w:rPr>
          <w:spacing w:val="-4"/>
          <w:lang w:val="es-MX"/>
        </w:rPr>
        <w:tab/>
        <w:t xml:space="preserve">P.ej. el valor presente neto de la demanda – refleja </w:t>
      </w:r>
      <w:r>
        <w:rPr>
          <w:spacing w:val="-4"/>
          <w:lang w:val="es-MX"/>
        </w:rPr>
        <w:t>el descuento</w:t>
      </w:r>
      <w:r w:rsidRPr="00E25ADE">
        <w:rPr>
          <w:spacing w:val="-4"/>
          <w:lang w:val="es-MX"/>
        </w:rPr>
        <w:t xml:space="preserve"> </w:t>
      </w:r>
      <w:r>
        <w:rPr>
          <w:spacing w:val="-4"/>
          <w:lang w:val="es-MX"/>
        </w:rPr>
        <w:t xml:space="preserve">de la </w:t>
      </w:r>
      <w:r w:rsidRPr="00E25ADE">
        <w:rPr>
          <w:spacing w:val="-4"/>
          <w:lang w:val="es-MX"/>
        </w:rPr>
        <w:t xml:space="preserve">combinación de </w:t>
      </w:r>
      <w:r>
        <w:rPr>
          <w:spacing w:val="-4"/>
          <w:lang w:val="es-MX"/>
        </w:rPr>
        <w:t xml:space="preserve">la </w:t>
      </w:r>
      <w:r w:rsidRPr="00E25ADE">
        <w:rPr>
          <w:spacing w:val="-4"/>
          <w:lang w:val="es-MX"/>
        </w:rPr>
        <w:t xml:space="preserve">cuota de mercado eventual y </w:t>
      </w:r>
      <w:r>
        <w:rPr>
          <w:spacing w:val="-4"/>
          <w:lang w:val="es-MX"/>
        </w:rPr>
        <w:t>la velocidad de adquisición de esta.</w:t>
      </w:r>
    </w:p>
  </w:footnote>
  <w:footnote w:id="13">
    <w:p w14:paraId="14A1966D" w14:textId="77777777" w:rsidR="008947E6" w:rsidRPr="00563164" w:rsidRDefault="008947E6" w:rsidP="00315420">
      <w:pPr>
        <w:pStyle w:val="Textonotapie"/>
        <w:rPr>
          <w:lang w:val="es-ES"/>
        </w:rPr>
      </w:pPr>
      <w:r>
        <w:rPr>
          <w:rStyle w:val="Refdenotaalpie"/>
        </w:rPr>
        <w:footnoteRef/>
      </w:r>
      <w:r w:rsidRPr="00563164">
        <w:rPr>
          <w:lang w:val="es-MX"/>
        </w:rPr>
        <w:t xml:space="preserve"> </w:t>
      </w:r>
      <w:r w:rsidRPr="00E25ADE">
        <w:rPr>
          <w:spacing w:val="-4"/>
          <w:lang w:val="es-MX"/>
        </w:rPr>
        <w:tab/>
      </w:r>
      <w:r w:rsidRPr="00563164">
        <w:rPr>
          <w:lang w:val="es-MX"/>
        </w:rPr>
        <w:t>http://www.dof.gob.mx/nota_detalle.php?codigo=5352323&amp;fecha=14/07/2014</w:t>
      </w:r>
    </w:p>
  </w:footnote>
  <w:footnote w:id="14">
    <w:p w14:paraId="1614A01A" w14:textId="50DA0CB8" w:rsidR="008947E6" w:rsidRPr="00563164" w:rsidRDefault="008947E6" w:rsidP="00315420">
      <w:pPr>
        <w:pStyle w:val="Textonotapie"/>
        <w:rPr>
          <w:lang w:val="es-MX"/>
        </w:rPr>
      </w:pPr>
      <w:r>
        <w:rPr>
          <w:rStyle w:val="Refdenotaalpie"/>
        </w:rPr>
        <w:footnoteRef/>
      </w:r>
      <w:r w:rsidRPr="00563164">
        <w:rPr>
          <w:lang w:val="es-MX"/>
        </w:rPr>
        <w:t xml:space="preserve"> </w:t>
      </w:r>
      <w:r w:rsidRPr="00E25ADE">
        <w:rPr>
          <w:spacing w:val="-4"/>
          <w:lang w:val="es-MX"/>
        </w:rPr>
        <w:tab/>
      </w:r>
      <w:r w:rsidRPr="00AE77D1">
        <w:rPr>
          <w:lang w:val="es-MX"/>
        </w:rPr>
        <w:t>http://www.ift.org.mx/sites/default/files/p_ift_ext_060314_76_version_publica_hoja.pdf</w:t>
      </w:r>
    </w:p>
  </w:footnote>
  <w:footnote w:id="15">
    <w:p w14:paraId="0AC64B9D" w14:textId="104F4C39" w:rsidR="008947E6" w:rsidRPr="00B426BC" w:rsidRDefault="008947E6" w:rsidP="00B426BC">
      <w:pPr>
        <w:pStyle w:val="Textonotapie"/>
        <w:rPr>
          <w:lang w:val="es-MX"/>
        </w:rPr>
      </w:pPr>
      <w:r>
        <w:rPr>
          <w:rStyle w:val="Refdenotaalpie"/>
        </w:rPr>
        <w:footnoteRef/>
      </w:r>
      <w:r w:rsidRPr="00B426BC">
        <w:rPr>
          <w:lang w:val="es-MX"/>
        </w:rPr>
        <w:t xml:space="preserve"> Reporte anual </w:t>
      </w:r>
      <w:r>
        <w:rPr>
          <w:lang w:val="es-MX"/>
        </w:rPr>
        <w:t xml:space="preserve">de </w:t>
      </w:r>
      <w:r w:rsidRPr="00B426BC">
        <w:rPr>
          <w:lang w:val="es-MX"/>
        </w:rPr>
        <w:t>América Móvil por el año terminado el 31 de diciembre de 2014.</w:t>
      </w:r>
      <w:r>
        <w:rPr>
          <w:lang w:val="es-MX"/>
        </w:rPr>
        <w:t xml:space="preserve"> </w:t>
      </w:r>
      <w:r w:rsidRPr="00B426BC">
        <w:rPr>
          <w:lang w:val="es-MX"/>
        </w:rPr>
        <w:t>http://www.americamovil.com/amx/cm/filings/170615.pdf</w:t>
      </w:r>
    </w:p>
  </w:footnote>
  <w:footnote w:id="16">
    <w:p w14:paraId="304ECA61" w14:textId="77777777" w:rsidR="008947E6" w:rsidRPr="007858D8" w:rsidRDefault="008947E6" w:rsidP="00F604B4">
      <w:pPr>
        <w:pStyle w:val="Textonotapie"/>
        <w:rPr>
          <w:lang w:val="es-ES_tradnl"/>
        </w:rPr>
      </w:pPr>
      <w:r>
        <w:rPr>
          <w:rStyle w:val="Refdenotaalpie"/>
        </w:rPr>
        <w:footnoteRef/>
      </w:r>
      <w:r w:rsidRPr="007858D8">
        <w:rPr>
          <w:lang w:val="es-ES_tradnl"/>
        </w:rPr>
        <w:t xml:space="preserve"> </w:t>
      </w:r>
      <w:r>
        <w:rPr>
          <w:lang w:val="es-ES_tradnl"/>
        </w:rPr>
        <w:tab/>
      </w:r>
      <w:r w:rsidRPr="00F604B4">
        <w:rPr>
          <w:lang w:val="es-ES_tradnl"/>
        </w:rPr>
        <w:t>http://www.ift.org.mx/sites/default/files/conocenos/pleno/sesiones_pleno/acuerdo_liga/p_ift_ext_151215_187.pdf</w:t>
      </w:r>
    </w:p>
  </w:footnote>
  <w:footnote w:id="17">
    <w:p w14:paraId="59B6C946" w14:textId="77777777" w:rsidR="008947E6" w:rsidRPr="00F250A6" w:rsidRDefault="008947E6">
      <w:pPr>
        <w:pStyle w:val="Textonotapie"/>
        <w:rPr>
          <w:lang w:val="es-ES"/>
        </w:rPr>
      </w:pPr>
      <w:r>
        <w:rPr>
          <w:rStyle w:val="Refdenotaalpie"/>
        </w:rPr>
        <w:footnoteRef/>
      </w:r>
      <w:r w:rsidRPr="00F250A6">
        <w:rPr>
          <w:lang w:val="es-ES"/>
        </w:rPr>
        <w:t xml:space="preserve"> </w:t>
      </w:r>
      <w:r>
        <w:rPr>
          <w:lang w:val="es-ES"/>
        </w:rPr>
        <w:t>El operador hipotético no despliega 3G en la banda de 850MHz</w:t>
      </w:r>
    </w:p>
  </w:footnote>
  <w:footnote w:id="18">
    <w:p w14:paraId="635203A6" w14:textId="6345B7CF" w:rsidR="008947E6" w:rsidRPr="00D820C3" w:rsidRDefault="008947E6">
      <w:pPr>
        <w:pStyle w:val="Textonotapie"/>
        <w:rPr>
          <w:lang w:val="es-MX"/>
        </w:rPr>
      </w:pPr>
      <w:r>
        <w:rPr>
          <w:rStyle w:val="Refdenotaalpie"/>
        </w:rPr>
        <w:footnoteRef/>
      </w:r>
      <w:r w:rsidRPr="00D820C3">
        <w:rPr>
          <w:lang w:val="es-MX"/>
        </w:rPr>
        <w:t xml:space="preserve"> Estos anchos de banda son suficientes para establecer los </w:t>
      </w:r>
      <w:r>
        <w:rPr>
          <w:lang w:val="es-MX"/>
        </w:rPr>
        <w:t>canales para transmitir y recibir.</w:t>
      </w:r>
    </w:p>
  </w:footnote>
  <w:footnote w:id="19">
    <w:p w14:paraId="54545AB2" w14:textId="77777777" w:rsidR="008947E6" w:rsidRPr="00B61568" w:rsidRDefault="008947E6" w:rsidP="006718FB">
      <w:pPr>
        <w:pStyle w:val="Textonotapie"/>
        <w:rPr>
          <w:lang w:val="es-ES"/>
        </w:rPr>
      </w:pPr>
      <w:r>
        <w:rPr>
          <w:rStyle w:val="Refdenotaalpie"/>
        </w:rPr>
        <w:footnoteRef/>
      </w:r>
      <w:r w:rsidRPr="007858D8">
        <w:rPr>
          <w:lang w:val="es-ES_tradnl"/>
        </w:rPr>
        <w:t xml:space="preserve"> </w:t>
      </w:r>
      <w:r w:rsidRPr="007858D8">
        <w:rPr>
          <w:lang w:val="es-ES_tradnl"/>
        </w:rPr>
        <w:tab/>
        <w:t xml:space="preserve">IRU: </w:t>
      </w:r>
      <w:proofErr w:type="spellStart"/>
      <w:r w:rsidRPr="007858D8">
        <w:rPr>
          <w:i/>
          <w:lang w:val="es-ES_tradnl"/>
        </w:rPr>
        <w:t>Indefeasible</w:t>
      </w:r>
      <w:proofErr w:type="spellEnd"/>
      <w:r w:rsidRPr="007858D8">
        <w:rPr>
          <w:i/>
          <w:lang w:val="es-ES_tradnl"/>
        </w:rPr>
        <w:t xml:space="preserve"> </w:t>
      </w:r>
      <w:proofErr w:type="spellStart"/>
      <w:r w:rsidRPr="007858D8">
        <w:rPr>
          <w:i/>
          <w:lang w:val="es-ES_tradnl"/>
        </w:rPr>
        <w:t>right</w:t>
      </w:r>
      <w:proofErr w:type="spellEnd"/>
      <w:r w:rsidRPr="007858D8">
        <w:rPr>
          <w:i/>
          <w:lang w:val="es-ES_tradnl"/>
        </w:rPr>
        <w:t xml:space="preserve"> of use</w:t>
      </w:r>
      <w:r w:rsidRPr="007858D8">
        <w:rPr>
          <w:lang w:val="es-ES_tradnl"/>
        </w:rPr>
        <w:t xml:space="preserve">, derecho de uso irrevocable. </w:t>
      </w:r>
      <w:r w:rsidRPr="00B61568">
        <w:rPr>
          <w:lang w:val="es-ES"/>
        </w:rPr>
        <w:t xml:space="preserve">Se trata de un derecho de uso </w:t>
      </w:r>
      <w:r>
        <w:rPr>
          <w:lang w:val="es-ES"/>
        </w:rPr>
        <w:t>a largo plazo (o propiedad temporal) de una porción de la capacidad de un enlace de transmisión.</w:t>
      </w:r>
    </w:p>
  </w:footnote>
  <w:footnote w:id="20">
    <w:p w14:paraId="43283774" w14:textId="77777777" w:rsidR="008947E6" w:rsidRPr="0062177B" w:rsidRDefault="008947E6" w:rsidP="006718FB">
      <w:pPr>
        <w:pStyle w:val="Textonotapie"/>
        <w:spacing w:after="0"/>
        <w:ind w:left="0" w:firstLine="0"/>
        <w:rPr>
          <w:lang w:val="es-ES"/>
        </w:rPr>
      </w:pPr>
      <w:r>
        <w:rPr>
          <w:rStyle w:val="Refdenotaalpie"/>
        </w:rPr>
        <w:footnoteRef/>
      </w:r>
      <w:r w:rsidRPr="0081078E">
        <w:rPr>
          <w:lang w:val="es-ES"/>
        </w:rPr>
        <w:t xml:space="preserve"> Un ancho de banda abundante</w:t>
      </w:r>
      <w:r>
        <w:rPr>
          <w:lang w:val="es-ES"/>
        </w:rPr>
        <w:t xml:space="preserve"> y suficiente para todos los servicios/llamadas</w:t>
      </w:r>
      <w:r w:rsidRPr="0081078E">
        <w:rPr>
          <w:lang w:val="es-ES"/>
        </w:rPr>
        <w:t xml:space="preserve"> también puede mejorar la calidad de la llamada en el caso de que no se ap</w:t>
      </w:r>
      <w:r>
        <w:rPr>
          <w:lang w:val="es-ES"/>
        </w:rPr>
        <w:t xml:space="preserve">liquen otros mecanismos de </w:t>
      </w:r>
      <w:proofErr w:type="spellStart"/>
      <w:r>
        <w:rPr>
          <w:lang w:val="es-ES"/>
        </w:rPr>
        <w:t>QoS</w:t>
      </w:r>
      <w:proofErr w:type="spellEnd"/>
      <w:r>
        <w:rPr>
          <w:lang w:val="es-ES"/>
        </w:rPr>
        <w:t xml:space="preserve">. </w:t>
      </w:r>
      <w:r w:rsidRPr="0081078E">
        <w:rPr>
          <w:lang w:val="es-ES"/>
        </w:rPr>
        <w:t xml:space="preserve">Sin embargo, la falta de mecanismos de </w:t>
      </w:r>
      <w:proofErr w:type="spellStart"/>
      <w:r w:rsidRPr="0081078E">
        <w:rPr>
          <w:lang w:val="es-ES"/>
        </w:rPr>
        <w:t>QoS</w:t>
      </w:r>
      <w:proofErr w:type="spellEnd"/>
      <w:r w:rsidRPr="0081078E">
        <w:rPr>
          <w:lang w:val="es-ES"/>
        </w:rPr>
        <w:t xml:space="preserve"> y un ancho de banda limitado puede</w:t>
      </w:r>
      <w:r>
        <w:rPr>
          <w:lang w:val="es-ES"/>
        </w:rPr>
        <w:t>n</w:t>
      </w:r>
      <w:r w:rsidRPr="0081078E">
        <w:rPr>
          <w:lang w:val="es-ES"/>
        </w:rPr>
        <w:t xml:space="preserve"> llevar a calidades en las llamadas </w:t>
      </w:r>
      <w:r>
        <w:rPr>
          <w:lang w:val="es-ES"/>
        </w:rPr>
        <w:t>que resulten inaceptables en las horas punta</w:t>
      </w:r>
      <w:r w:rsidRPr="0062177B">
        <w:rPr>
          <w:lang w:val="es-ES"/>
        </w:rPr>
        <w:t>.</w:t>
      </w:r>
    </w:p>
  </w:footnote>
  <w:footnote w:id="21">
    <w:p w14:paraId="78E44058" w14:textId="77777777" w:rsidR="008947E6" w:rsidRPr="00D6731F" w:rsidRDefault="008947E6" w:rsidP="006718FB">
      <w:pPr>
        <w:pStyle w:val="Textonotapie"/>
        <w:ind w:left="0" w:firstLine="0"/>
        <w:rPr>
          <w:lang w:val="es-ES"/>
        </w:rPr>
      </w:pPr>
      <w:r>
        <w:rPr>
          <w:rStyle w:val="Refdenotaalpie"/>
        </w:rPr>
        <w:footnoteRef/>
      </w:r>
      <w:r w:rsidRPr="00D6731F">
        <w:rPr>
          <w:lang w:val="es-ES"/>
        </w:rPr>
        <w:t xml:space="preserve"> </w:t>
      </w:r>
      <w:r>
        <w:rPr>
          <w:lang w:val="es-ES"/>
        </w:rPr>
        <w:t xml:space="preserve">Reportes anuales de Telmex presentados a la Bolsa Mexicana de Valores. </w:t>
      </w:r>
    </w:p>
  </w:footnote>
  <w:footnote w:id="22">
    <w:p w14:paraId="67855CB0" w14:textId="77777777" w:rsidR="008947E6" w:rsidRPr="00C02C6F" w:rsidRDefault="008947E6" w:rsidP="00A37365">
      <w:pPr>
        <w:pStyle w:val="Textonotapie"/>
        <w:rPr>
          <w:spacing w:val="-4"/>
          <w:lang w:val="es-ES"/>
        </w:rPr>
      </w:pPr>
      <w:r w:rsidRPr="00C02C6F">
        <w:rPr>
          <w:rStyle w:val="Refdenotaalpie"/>
          <w:spacing w:val="-4"/>
        </w:rPr>
        <w:footnoteRef/>
      </w:r>
      <w:r w:rsidRPr="00C02C6F">
        <w:rPr>
          <w:spacing w:val="-4"/>
          <w:lang w:val="es-ES"/>
        </w:rPr>
        <w:t xml:space="preserve"> </w:t>
      </w:r>
      <w:r w:rsidRPr="00C02C6F">
        <w:rPr>
          <w:spacing w:val="-4"/>
          <w:lang w:val="es-ES"/>
        </w:rPr>
        <w:tab/>
        <w:t xml:space="preserve">Por ejemplo, los costos actuales </w:t>
      </w:r>
      <w:r w:rsidRPr="00C02C6F">
        <w:rPr>
          <w:i/>
          <w:spacing w:val="-4"/>
          <w:lang w:val="es-ES"/>
        </w:rPr>
        <w:t>top-</w:t>
      </w:r>
      <w:proofErr w:type="spellStart"/>
      <w:r w:rsidRPr="00C02C6F">
        <w:rPr>
          <w:i/>
          <w:spacing w:val="-4"/>
          <w:lang w:val="es-ES"/>
        </w:rPr>
        <w:t>down</w:t>
      </w:r>
      <w:proofErr w:type="spellEnd"/>
      <w:r w:rsidRPr="00C02C6F">
        <w:rPr>
          <w:spacing w:val="-4"/>
          <w:lang w:val="es-ES"/>
        </w:rPr>
        <w:t xml:space="preserve"> que representan operaciones de voz y datos necesitan ser divididos en costes independientes de voz relevantes y costes adicionales de datos. Las redes únicamente de voz no existen comúnmente en la realidad, lo que implica que la red modelada no puede ser comparada con ningún operador del mundo real.</w:t>
      </w:r>
    </w:p>
  </w:footnote>
  <w:footnote w:id="23">
    <w:p w14:paraId="0241BB5C" w14:textId="77777777" w:rsidR="008947E6" w:rsidRPr="00404740" w:rsidRDefault="008947E6" w:rsidP="00A37365">
      <w:pPr>
        <w:pStyle w:val="Textonotapie"/>
        <w:rPr>
          <w:lang w:val="es-ES"/>
        </w:rPr>
      </w:pPr>
      <w:r>
        <w:rPr>
          <w:rStyle w:val="Refdenotaalpie"/>
        </w:rPr>
        <w:footnoteRef/>
      </w:r>
      <w:r w:rsidRPr="00404740">
        <w:rPr>
          <w:lang w:val="es-ES"/>
        </w:rPr>
        <w:t xml:space="preserve"> </w:t>
      </w:r>
      <w:r w:rsidRPr="00404740">
        <w:rPr>
          <w:lang w:val="es-ES"/>
        </w:rPr>
        <w:tab/>
        <w:t>Por ‘perfil’ entendemos las proporciones de llamadas desde/a varios destinos fijos y móviles, por hora del día y usos de otros servicios</w:t>
      </w:r>
      <w:r>
        <w:rPr>
          <w:lang w:val="es-ES"/>
        </w:rPr>
        <w:t>.</w:t>
      </w:r>
    </w:p>
  </w:footnote>
  <w:footnote w:id="24">
    <w:p w14:paraId="2EBD6FB8" w14:textId="77777777" w:rsidR="008947E6" w:rsidRPr="00A84319" w:rsidRDefault="008947E6" w:rsidP="005B4A34">
      <w:pPr>
        <w:pStyle w:val="Textonotapie"/>
        <w:rPr>
          <w:lang w:val="es-ES"/>
        </w:rPr>
      </w:pPr>
      <w:r>
        <w:rPr>
          <w:rStyle w:val="Refdenotaalpie"/>
        </w:rPr>
        <w:footnoteRef/>
      </w:r>
      <w:r w:rsidRPr="00A84319">
        <w:rPr>
          <w:lang w:val="es-ES"/>
        </w:rPr>
        <w:t xml:space="preserve"> </w:t>
      </w:r>
      <w:r w:rsidRPr="00A84319">
        <w:rPr>
          <w:lang w:val="es-ES"/>
        </w:rPr>
        <w:tab/>
        <w:t xml:space="preserve">P.ej. </w:t>
      </w:r>
      <w:r>
        <w:rPr>
          <w:lang w:val="es-ES"/>
        </w:rPr>
        <w:t xml:space="preserve">se puede esperar que </w:t>
      </w:r>
      <w:r w:rsidRPr="00A84319">
        <w:rPr>
          <w:lang w:val="es-ES"/>
        </w:rPr>
        <w:t xml:space="preserve">la proporción de llamadas originadas que son </w:t>
      </w:r>
      <w:proofErr w:type="spellStart"/>
      <w:r w:rsidRPr="00A84319">
        <w:rPr>
          <w:lang w:val="es-ES"/>
        </w:rPr>
        <w:t>on</w:t>
      </w:r>
      <w:proofErr w:type="spellEnd"/>
      <w:r w:rsidRPr="00A84319">
        <w:rPr>
          <w:lang w:val="es-ES"/>
        </w:rPr>
        <w:t>-net</w:t>
      </w:r>
      <w:r>
        <w:rPr>
          <w:lang w:val="es-ES"/>
        </w:rPr>
        <w:t xml:space="preserve">, manteniendo todos los otros factores constantes, estén relacionadas con el tamaño de la base de suscriptores del operador. Claramente, a medida que cambie con el tiempo el tamaño del operador modelado, una proporción cambiante dinámicamente del tráfico tendría que ser estimada como </w:t>
      </w:r>
      <w:proofErr w:type="spellStart"/>
      <w:r>
        <w:rPr>
          <w:lang w:val="es-ES"/>
        </w:rPr>
        <w:t>on</w:t>
      </w:r>
      <w:proofErr w:type="spellEnd"/>
      <w:r>
        <w:rPr>
          <w:lang w:val="es-ES"/>
        </w:rPr>
        <w:t>-net.</w:t>
      </w:r>
    </w:p>
  </w:footnote>
  <w:footnote w:id="25">
    <w:p w14:paraId="3473C1A2" w14:textId="77777777" w:rsidR="008947E6" w:rsidRPr="000E3756" w:rsidRDefault="008947E6" w:rsidP="00A37365">
      <w:pPr>
        <w:pStyle w:val="Textonotapie"/>
        <w:rPr>
          <w:lang w:val="es-ES"/>
        </w:rPr>
      </w:pPr>
      <w:r>
        <w:rPr>
          <w:rStyle w:val="Refdenotaalpie"/>
        </w:rPr>
        <w:footnoteRef/>
      </w:r>
      <w:r w:rsidRPr="00FA097F">
        <w:rPr>
          <w:lang w:val="es-MX"/>
        </w:rPr>
        <w:t xml:space="preserve"> </w:t>
      </w:r>
      <w:r w:rsidRPr="00FA097F">
        <w:rPr>
          <w:lang w:val="es-MX"/>
        </w:rPr>
        <w:tab/>
        <w:t>En</w:t>
      </w:r>
      <w:r>
        <w:rPr>
          <w:lang w:val="es-MX"/>
        </w:rPr>
        <w:t>t</w:t>
      </w:r>
      <w:r w:rsidRPr="00FA097F">
        <w:rPr>
          <w:lang w:val="es-MX"/>
        </w:rPr>
        <w:t xml:space="preserve">re más incrementos, más cálculos se necesitan en el modelo y más costos comunes </w:t>
      </w:r>
      <w:r>
        <w:rPr>
          <w:lang w:val="es-MX"/>
        </w:rPr>
        <w:t xml:space="preserve">(o agregado de costos comunes) tienen que ser distribuidos como </w:t>
      </w:r>
      <w:proofErr w:type="spellStart"/>
      <w:r w:rsidRPr="00C02C6F">
        <w:rPr>
          <w:i/>
          <w:lang w:val="es-MX"/>
        </w:rPr>
        <w:t>mark</w:t>
      </w:r>
      <w:proofErr w:type="spellEnd"/>
      <w:r w:rsidRPr="00C02C6F">
        <w:rPr>
          <w:i/>
          <w:lang w:val="es-MX"/>
        </w:rPr>
        <w:t>-up</w:t>
      </w:r>
      <w:r>
        <w:rPr>
          <w:i/>
          <w:lang w:val="es-MX"/>
        </w:rPr>
        <w:t>.</w:t>
      </w:r>
    </w:p>
  </w:footnote>
  <w:footnote w:id="26">
    <w:p w14:paraId="57D841E3" w14:textId="77777777" w:rsidR="008947E6" w:rsidRPr="00FA097F" w:rsidRDefault="008947E6" w:rsidP="00A37365">
      <w:pPr>
        <w:pStyle w:val="Textonotapie"/>
        <w:spacing w:after="0"/>
        <w:rPr>
          <w:lang w:val="es-MX"/>
        </w:rPr>
      </w:pPr>
      <w:r>
        <w:rPr>
          <w:rStyle w:val="Refdenotaalpie"/>
        </w:rPr>
        <w:footnoteRef/>
      </w:r>
      <w:r w:rsidRPr="00FA097F">
        <w:rPr>
          <w:lang w:val="es-MX"/>
        </w:rPr>
        <w:t xml:space="preserve"> </w:t>
      </w:r>
      <w:r w:rsidRPr="00FA097F">
        <w:rPr>
          <w:lang w:val="es-MX"/>
        </w:rPr>
        <w:tab/>
        <w:t xml:space="preserve">Por las economías de escala y el mecanismo de márgenes adicionales. </w:t>
      </w:r>
    </w:p>
  </w:footnote>
  <w:footnote w:id="27">
    <w:p w14:paraId="1E6479BC" w14:textId="77777777" w:rsidR="008947E6" w:rsidRPr="00B6693B" w:rsidRDefault="008947E6" w:rsidP="00A37365">
      <w:pPr>
        <w:pStyle w:val="Textonotapie"/>
        <w:rPr>
          <w:lang w:val="es-MX"/>
        </w:rPr>
      </w:pPr>
      <w:r>
        <w:rPr>
          <w:rStyle w:val="Refdenotaalpie"/>
        </w:rPr>
        <w:footnoteRef/>
      </w:r>
      <w:r w:rsidRPr="002E7923">
        <w:rPr>
          <w:lang w:val="es-MX"/>
        </w:rPr>
        <w:t xml:space="preserve"> </w:t>
      </w:r>
      <w:r w:rsidRPr="002E7923">
        <w:rPr>
          <w:lang w:val="es-MX"/>
        </w:rPr>
        <w:tab/>
        <w:t xml:space="preserve">Una aproximación para el cambio en producción a través del tiempo puede ser aplicada </w:t>
      </w:r>
      <w:r>
        <w:rPr>
          <w:lang w:val="es-MX"/>
        </w:rPr>
        <w:t>con la anualidad inclinada asumiendo un factor de crecimiento de la producción de x% por año.</w:t>
      </w:r>
    </w:p>
  </w:footnote>
  <w:footnote w:id="28">
    <w:p w14:paraId="0F9ED3BA" w14:textId="77777777" w:rsidR="008947E6" w:rsidRPr="000E3756" w:rsidRDefault="008947E6" w:rsidP="00A37365">
      <w:pPr>
        <w:pStyle w:val="Textonotapie"/>
        <w:rPr>
          <w:lang w:val="es-ES"/>
        </w:rPr>
      </w:pPr>
      <w:r>
        <w:rPr>
          <w:rStyle w:val="Refdenotaalpie"/>
        </w:rPr>
        <w:footnoteRef/>
      </w:r>
      <w:r w:rsidRPr="002E7923">
        <w:rPr>
          <w:lang w:val="es-MX"/>
        </w:rPr>
        <w:t xml:space="preserve"> </w:t>
      </w:r>
      <w:r w:rsidRPr="002E7923">
        <w:rPr>
          <w:lang w:val="es-MX"/>
        </w:rPr>
        <w:tab/>
        <w:t>La depreciación económica puede usar la vida financier</w:t>
      </w:r>
      <w:r>
        <w:rPr>
          <w:lang w:val="es-MX"/>
        </w:rPr>
        <w:t>a</w:t>
      </w:r>
      <w:r w:rsidRPr="002E7923">
        <w:rPr>
          <w:lang w:val="es-MX"/>
        </w:rPr>
        <w:t xml:space="preserve"> de los activos, aunque estrictamente debe usar</w:t>
      </w:r>
      <w:r>
        <w:rPr>
          <w:lang w:val="es-MX"/>
        </w:rPr>
        <w:t xml:space="preserve"> la vida económica (que puede ser menor, mayor o igual a la financiera)</w:t>
      </w:r>
    </w:p>
  </w:footnote>
  <w:footnote w:id="29">
    <w:p w14:paraId="5B2D4369" w14:textId="77777777" w:rsidR="008947E6" w:rsidRPr="00717CF5" w:rsidRDefault="008947E6" w:rsidP="00A37365">
      <w:pPr>
        <w:pStyle w:val="Textonotapie"/>
        <w:rPr>
          <w:lang w:val="es-MX"/>
        </w:rPr>
      </w:pPr>
      <w:r>
        <w:rPr>
          <w:rStyle w:val="Refdenotaalpie"/>
        </w:rPr>
        <w:footnoteRef/>
      </w:r>
      <w:r w:rsidRPr="004D353D">
        <w:rPr>
          <w:lang w:val="es-MX"/>
        </w:rPr>
        <w:t xml:space="preserve"> </w:t>
      </w:r>
      <w:r w:rsidRPr="004D353D">
        <w:rPr>
          <w:lang w:val="es-MX"/>
        </w:rPr>
        <w:tab/>
        <w:t>La experiencia ha demostrado que es más transparente para construir modelos ascendentes de costos.</w:t>
      </w:r>
      <w:r>
        <w:rPr>
          <w:lang w:val="es-MX"/>
        </w:rPr>
        <w:t xml:space="preserve"> Cualquier </w:t>
      </w:r>
      <w:proofErr w:type="spellStart"/>
      <w:r>
        <w:rPr>
          <w:lang w:val="es-MX"/>
        </w:rPr>
        <w:t>metodo</w:t>
      </w:r>
      <w:proofErr w:type="spellEnd"/>
      <w:r>
        <w:rPr>
          <w:lang w:val="es-MX"/>
        </w:rPr>
        <w:t xml:space="preserve"> utilizado necesitará un factor de inflación ya sea en la tendencia de los precios o en el CCPP.</w:t>
      </w:r>
    </w:p>
  </w:footnote>
  <w:footnote w:id="30">
    <w:p w14:paraId="727FFFDD" w14:textId="77777777" w:rsidR="008947E6" w:rsidRDefault="008947E6" w:rsidP="00A37365">
      <w:pPr>
        <w:pStyle w:val="Textonotapie"/>
      </w:pPr>
      <w:r>
        <w:rPr>
          <w:rStyle w:val="Refdenotaalpie"/>
        </w:rPr>
        <w:footnoteRef/>
      </w:r>
      <w:r>
        <w:t xml:space="preserve"> </w:t>
      </w:r>
      <w:r>
        <w:tab/>
        <w:t xml:space="preserve">International Regulators Group. </w:t>
      </w:r>
      <w:r>
        <w:rPr>
          <w:i/>
          <w:iCs/>
        </w:rPr>
        <w:t>Regulatory accounting: Principles of Implementation and Best Practice for WACC calculation</w:t>
      </w:r>
      <w:r>
        <w:t xml:space="preserve">, </w:t>
      </w:r>
      <w:proofErr w:type="spellStart"/>
      <w:r>
        <w:t>febrero</w:t>
      </w:r>
      <w:proofErr w:type="spellEnd"/>
      <w:r>
        <w:t xml:space="preserve"> de 2007.</w:t>
      </w:r>
    </w:p>
  </w:footnote>
  <w:footnote w:id="31">
    <w:p w14:paraId="3387B0A1" w14:textId="77777777" w:rsidR="008947E6" w:rsidRPr="003F6CB3" w:rsidRDefault="008947E6" w:rsidP="00A37365">
      <w:pPr>
        <w:pStyle w:val="Textonotapie"/>
        <w:rPr>
          <w:spacing w:val="-4"/>
          <w:lang w:val="es-ES"/>
        </w:rPr>
      </w:pPr>
      <w:r w:rsidRPr="00593660">
        <w:rPr>
          <w:rStyle w:val="Refdenotaalpie"/>
          <w:spacing w:val="-4"/>
        </w:rPr>
        <w:footnoteRef/>
      </w:r>
      <w:r w:rsidRPr="00593660">
        <w:rPr>
          <w:spacing w:val="-4"/>
          <w:lang w:val="es-ES"/>
        </w:rPr>
        <w:t xml:space="preserve"> </w:t>
      </w:r>
      <w:r w:rsidRPr="00593660">
        <w:rPr>
          <w:spacing w:val="-4"/>
          <w:lang w:val="es-ES"/>
        </w:rPr>
        <w:tab/>
        <w:t xml:space="preserve">Específicamente, los métodos implementados por </w:t>
      </w:r>
      <w:proofErr w:type="spellStart"/>
      <w:r w:rsidRPr="00593660">
        <w:rPr>
          <w:spacing w:val="-4"/>
          <w:lang w:val="es-ES"/>
        </w:rPr>
        <w:t>Analysys</w:t>
      </w:r>
      <w:proofErr w:type="spellEnd"/>
      <w:r w:rsidRPr="00593660">
        <w:rPr>
          <w:spacing w:val="-4"/>
          <w:lang w:val="es-ES"/>
        </w:rPr>
        <w:t xml:space="preserve"> Mason para los reguladores del Reino Unido, Suecia y Noruega </w:t>
      </w:r>
      <w:r>
        <w:rPr>
          <w:spacing w:val="-4"/>
          <w:lang w:val="es-ES"/>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851F7" w14:textId="77777777" w:rsidR="008947E6" w:rsidRPr="0001576F" w:rsidRDefault="008947E6">
    <w:pPr>
      <w:pStyle w:val="Encabezado"/>
      <w:rPr>
        <w:lang w:val="es-ES"/>
      </w:rPr>
    </w:pPr>
    <w:r>
      <w:fldChar w:fldCharType="begin"/>
    </w:r>
    <w:r w:rsidRPr="0001576F">
      <w:rPr>
        <w:lang w:val="es-ES"/>
      </w:rPr>
      <w:instrText xml:space="preserve"> STYLEREF “Title: Main” </w:instrText>
    </w:r>
    <w:r>
      <w:fldChar w:fldCharType="separate"/>
    </w:r>
    <w:r>
      <w:rPr>
        <w:noProof/>
        <w:lang w:val="es-ES"/>
      </w:rPr>
      <w:t xml:space="preserve">Servicios de asesoría especializados para la adaptación de los modelos de costos de servicios de interconexión para la fijación de tarifas asimétricas de interconexión – </w:t>
    </w:r>
    <w:r>
      <w:rPr>
        <w:noProof/>
        <w:lang w:val="es-ES"/>
      </w:rPr>
      <w:br/>
      <w:t>Enfoque conceptual - DRAFT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FAEB0" w14:textId="77777777" w:rsidR="008947E6" w:rsidRDefault="008947E6">
    <w:pPr>
      <w:pStyle w:val="Encabezado"/>
    </w:pPr>
    <w:proofErr w:type="spellStart"/>
    <w:r w:rsidRPr="00A37365">
      <w:t>Enfoque</w:t>
    </w:r>
    <w:proofErr w:type="spellEnd"/>
    <w:r w:rsidRPr="00A37365">
      <w:t xml:space="preserve"> conceptual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BA83A" w14:textId="77777777" w:rsidR="008947E6" w:rsidRDefault="008947E6">
    <w:pPr>
      <w:pStyle w:val="Encabezado"/>
    </w:pPr>
    <w:proofErr w:type="spellStart"/>
    <w:r>
      <w:t>Enfoque</w:t>
    </w:r>
    <w:proofErr w:type="spellEnd"/>
    <w:r>
      <w:t xml:space="preserve"> conceptual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43E73" w14:textId="77777777" w:rsidR="008947E6" w:rsidRPr="0001576F" w:rsidRDefault="008947E6">
    <w:pPr>
      <w:pStyle w:val="Encabezado"/>
      <w:rPr>
        <w:lang w:val="es-ES"/>
      </w:rPr>
    </w:pPr>
    <w:r>
      <w:rPr>
        <w:rStyle w:val="Nmerodepgina"/>
      </w:rPr>
      <w:fldChar w:fldCharType="begin"/>
    </w:r>
    <w:r w:rsidRPr="0001576F">
      <w:rPr>
        <w:rStyle w:val="Nmerodepgina"/>
        <w:lang w:val="es-ES"/>
      </w:rPr>
      <w:instrText xml:space="preserve"> PAGE </w:instrText>
    </w:r>
    <w:r>
      <w:rPr>
        <w:rStyle w:val="Nmerodepgina"/>
      </w:rPr>
      <w:fldChar w:fldCharType="separate"/>
    </w:r>
    <w:r w:rsidRPr="0001576F">
      <w:rPr>
        <w:rStyle w:val="Nmerodepgina"/>
        <w:noProof/>
        <w:lang w:val="es-ES"/>
      </w:rPr>
      <w:t>60</w:t>
    </w:r>
    <w:r>
      <w:rPr>
        <w:rStyle w:val="Nmerodepgina"/>
      </w:rPr>
      <w:fldChar w:fldCharType="end"/>
    </w:r>
    <w:r w:rsidRPr="0001576F">
      <w:rPr>
        <w:rStyle w:val="Nmerodepgina"/>
        <w:lang w:val="es-ES"/>
      </w:rPr>
      <w:t xml:space="preserve">  |  </w:t>
    </w:r>
    <w:r>
      <w:fldChar w:fldCharType="begin"/>
    </w:r>
    <w:r w:rsidRPr="0001576F">
      <w:rPr>
        <w:lang w:val="es-ES"/>
      </w:rPr>
      <w:instrText xml:space="preserve"> STYLEREF “Title: Main” </w:instrText>
    </w:r>
    <w:r>
      <w:fldChar w:fldCharType="separate"/>
    </w:r>
    <w:r>
      <w:rPr>
        <w:noProof/>
        <w:lang w:val="es-ES"/>
      </w:rPr>
      <w:t xml:space="preserve">Servicios de asesoría especializados para la adaptación de los modelos de costos de servicios de interconexión para la fijación de tarifas asimétricas de interconexión – </w:t>
    </w:r>
    <w:r>
      <w:rPr>
        <w:noProof/>
        <w:lang w:val="es-ES"/>
      </w:rPr>
      <w:br/>
      <w:t>Enfoque conceptual - DRAFT</w:t>
    </w:r>
    <w:r>
      <w:rPr>
        <w:noProof/>
      </w:rPr>
      <w:fldChar w:fldCharType="end"/>
    </w:r>
    <w:r w:rsidRPr="0001576F">
      <w:rPr>
        <w:lang w:val="es-ES"/>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352BA" w14:textId="36E576BE" w:rsidR="008947E6" w:rsidRDefault="008947E6">
    <w:pPr>
      <w:pStyle w:val="Encabezado"/>
    </w:pPr>
    <w:proofErr w:type="spellStart"/>
    <w:r w:rsidRPr="00A37365">
      <w:t>Enfoque</w:t>
    </w:r>
    <w:proofErr w:type="spellEnd"/>
    <w:r w:rsidRPr="00A37365">
      <w:t xml:space="preserve"> conceptual</w:t>
    </w:r>
    <w:r>
      <w:t xml:space="preserve"> | </w:t>
    </w:r>
    <w:r>
      <w:rPr>
        <w:rStyle w:val="Nmerodepgina"/>
      </w:rPr>
      <w:fldChar w:fldCharType="begin"/>
    </w:r>
    <w:r>
      <w:rPr>
        <w:rStyle w:val="Nmerodepgina"/>
      </w:rPr>
      <w:instrText xml:space="preserve"> PAGE </w:instrText>
    </w:r>
    <w:r>
      <w:rPr>
        <w:rStyle w:val="Nmerodepgina"/>
      </w:rPr>
      <w:fldChar w:fldCharType="separate"/>
    </w:r>
    <w:r w:rsidR="00965353">
      <w:rPr>
        <w:rStyle w:val="Nmerodepgina"/>
        <w:noProof/>
      </w:rPr>
      <w:t>18</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E6E63" w14:textId="61F5F99E" w:rsidR="008947E6" w:rsidRDefault="008947E6">
    <w:pPr>
      <w:pStyle w:val="Encabezado"/>
      <w:tabs>
        <w:tab w:val="clear" w:pos="9214"/>
      </w:tabs>
      <w:ind w:left="0" w:right="-510"/>
    </w:pPr>
    <w:proofErr w:type="spellStart"/>
    <w:r w:rsidRPr="00A37365">
      <w:t>Enfoque</w:t>
    </w:r>
    <w:proofErr w:type="spellEnd"/>
    <w:r w:rsidRPr="00A37365">
      <w:t xml:space="preserve"> </w:t>
    </w:r>
    <w:proofErr w:type="gramStart"/>
    <w:r w:rsidRPr="00A37365">
      <w:t>conceptual</w:t>
    </w:r>
    <w:r>
      <w:t xml:space="preserve">  |</w:t>
    </w:r>
    <w:proofErr w:type="gramEnd"/>
    <w:r>
      <w:t xml:space="preserve">  </w:t>
    </w:r>
    <w:r>
      <w:rPr>
        <w:rStyle w:val="Nmerodepgina"/>
      </w:rPr>
      <w:fldChar w:fldCharType="begin"/>
    </w:r>
    <w:r>
      <w:rPr>
        <w:rStyle w:val="Nmerodepgina"/>
      </w:rPr>
      <w:instrText xml:space="preserve"> PAGE </w:instrText>
    </w:r>
    <w:r>
      <w:rPr>
        <w:rStyle w:val="Nmerodepgina"/>
      </w:rPr>
      <w:fldChar w:fldCharType="separate"/>
    </w:r>
    <w:r w:rsidR="00965353">
      <w:rPr>
        <w:rStyle w:val="Nmerodepgina"/>
        <w:noProof/>
      </w:rPr>
      <w:t>1</w:t>
    </w:r>
    <w:r>
      <w:rPr>
        <w:rStyle w:val="Nmerodepgin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2A5A6" w14:textId="77777777" w:rsidR="008947E6" w:rsidRPr="008B7633" w:rsidRDefault="008947E6" w:rsidP="008B76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4C77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52A8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EE14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C8A0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4C47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3E6C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F0C6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D598E3BA"/>
    <w:lvl w:ilvl="0">
      <w:start w:val="1"/>
      <w:numFmt w:val="bullet"/>
      <w:pStyle w:val="Listaconvietas"/>
      <w:lvlText w:val=""/>
      <w:lvlJc w:val="left"/>
      <w:pPr>
        <w:tabs>
          <w:tab w:val="num" w:pos="360"/>
        </w:tabs>
        <w:ind w:left="360" w:hanging="360"/>
      </w:pPr>
      <w:rPr>
        <w:rFonts w:ascii="Symbol" w:hAnsi="Symbol" w:hint="default"/>
        <w:color w:val="auto"/>
        <w:lang w:val="es-ES"/>
      </w:rPr>
    </w:lvl>
  </w:abstractNum>
  <w:abstractNum w:abstractNumId="10" w15:restartNumberingAfterBreak="0">
    <w:nsid w:val="00C7044E"/>
    <w:multiLevelType w:val="singleLevel"/>
    <w:tmpl w:val="17240298"/>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00F97D4F"/>
    <w:multiLevelType w:val="multilevel"/>
    <w:tmpl w:val="8484493A"/>
    <w:lvl w:ilvl="0">
      <w:start w:val="1"/>
      <w:numFmt w:val="upperLetter"/>
      <w:lvlText w:val="Annex %1"/>
      <w:lvlJc w:val="left"/>
      <w:pPr>
        <w:tabs>
          <w:tab w:val="num" w:pos="1633"/>
        </w:tabs>
        <w:ind w:left="499"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055B2D56"/>
    <w:multiLevelType w:val="hybridMultilevel"/>
    <w:tmpl w:val="FCFAA04C"/>
    <w:lvl w:ilvl="0" w:tplc="2EBAFA86">
      <w:start w:val="1"/>
      <w:numFmt w:val="bullet"/>
      <w:lvlText w:val=""/>
      <w:lvlJc w:val="left"/>
      <w:pPr>
        <w:tabs>
          <w:tab w:val="num" w:pos="720"/>
        </w:tabs>
        <w:ind w:left="720" w:hanging="360"/>
      </w:pPr>
      <w:rPr>
        <w:rFonts w:ascii="Wingdings" w:hAnsi="Wingdings" w:hint="default"/>
      </w:rPr>
    </w:lvl>
    <w:lvl w:ilvl="1" w:tplc="713EDDB4" w:tentative="1">
      <w:start w:val="1"/>
      <w:numFmt w:val="bullet"/>
      <w:lvlText w:val=""/>
      <w:lvlJc w:val="left"/>
      <w:pPr>
        <w:tabs>
          <w:tab w:val="num" w:pos="1440"/>
        </w:tabs>
        <w:ind w:left="1440" w:hanging="360"/>
      </w:pPr>
      <w:rPr>
        <w:rFonts w:ascii="Wingdings" w:hAnsi="Wingdings" w:hint="default"/>
      </w:rPr>
    </w:lvl>
    <w:lvl w:ilvl="2" w:tplc="DE3C5656" w:tentative="1">
      <w:start w:val="1"/>
      <w:numFmt w:val="bullet"/>
      <w:lvlText w:val=""/>
      <w:lvlJc w:val="left"/>
      <w:pPr>
        <w:tabs>
          <w:tab w:val="num" w:pos="2160"/>
        </w:tabs>
        <w:ind w:left="2160" w:hanging="360"/>
      </w:pPr>
      <w:rPr>
        <w:rFonts w:ascii="Wingdings" w:hAnsi="Wingdings" w:hint="default"/>
      </w:rPr>
    </w:lvl>
    <w:lvl w:ilvl="3" w:tplc="81A86718" w:tentative="1">
      <w:start w:val="1"/>
      <w:numFmt w:val="bullet"/>
      <w:lvlText w:val=""/>
      <w:lvlJc w:val="left"/>
      <w:pPr>
        <w:tabs>
          <w:tab w:val="num" w:pos="2880"/>
        </w:tabs>
        <w:ind w:left="2880" w:hanging="360"/>
      </w:pPr>
      <w:rPr>
        <w:rFonts w:ascii="Wingdings" w:hAnsi="Wingdings" w:hint="default"/>
      </w:rPr>
    </w:lvl>
    <w:lvl w:ilvl="4" w:tplc="73064FA0" w:tentative="1">
      <w:start w:val="1"/>
      <w:numFmt w:val="bullet"/>
      <w:lvlText w:val=""/>
      <w:lvlJc w:val="left"/>
      <w:pPr>
        <w:tabs>
          <w:tab w:val="num" w:pos="3600"/>
        </w:tabs>
        <w:ind w:left="3600" w:hanging="360"/>
      </w:pPr>
      <w:rPr>
        <w:rFonts w:ascii="Wingdings" w:hAnsi="Wingdings" w:hint="default"/>
      </w:rPr>
    </w:lvl>
    <w:lvl w:ilvl="5" w:tplc="3E5A78D8" w:tentative="1">
      <w:start w:val="1"/>
      <w:numFmt w:val="bullet"/>
      <w:lvlText w:val=""/>
      <w:lvlJc w:val="left"/>
      <w:pPr>
        <w:tabs>
          <w:tab w:val="num" w:pos="4320"/>
        </w:tabs>
        <w:ind w:left="4320" w:hanging="360"/>
      </w:pPr>
      <w:rPr>
        <w:rFonts w:ascii="Wingdings" w:hAnsi="Wingdings" w:hint="default"/>
      </w:rPr>
    </w:lvl>
    <w:lvl w:ilvl="6" w:tplc="5F6892BE" w:tentative="1">
      <w:start w:val="1"/>
      <w:numFmt w:val="bullet"/>
      <w:lvlText w:val=""/>
      <w:lvlJc w:val="left"/>
      <w:pPr>
        <w:tabs>
          <w:tab w:val="num" w:pos="5040"/>
        </w:tabs>
        <w:ind w:left="5040" w:hanging="360"/>
      </w:pPr>
      <w:rPr>
        <w:rFonts w:ascii="Wingdings" w:hAnsi="Wingdings" w:hint="default"/>
      </w:rPr>
    </w:lvl>
    <w:lvl w:ilvl="7" w:tplc="1BB07A28" w:tentative="1">
      <w:start w:val="1"/>
      <w:numFmt w:val="bullet"/>
      <w:lvlText w:val=""/>
      <w:lvlJc w:val="left"/>
      <w:pPr>
        <w:tabs>
          <w:tab w:val="num" w:pos="5760"/>
        </w:tabs>
        <w:ind w:left="5760" w:hanging="360"/>
      </w:pPr>
      <w:rPr>
        <w:rFonts w:ascii="Wingdings" w:hAnsi="Wingdings" w:hint="default"/>
      </w:rPr>
    </w:lvl>
    <w:lvl w:ilvl="8" w:tplc="D1E00EF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4A6759"/>
    <w:multiLevelType w:val="hybridMultilevel"/>
    <w:tmpl w:val="00F287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D8E2A56"/>
    <w:multiLevelType w:val="multilevel"/>
    <w:tmpl w:val="8484493A"/>
    <w:lvl w:ilvl="0">
      <w:start w:val="1"/>
      <w:numFmt w:val="upperLetter"/>
      <w:lvlText w:val="Annex %1"/>
      <w:lvlJc w:val="left"/>
      <w:pPr>
        <w:tabs>
          <w:tab w:val="num" w:pos="1633"/>
        </w:tabs>
        <w:ind w:left="499"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5" w15:restartNumberingAfterBreak="0">
    <w:nsid w:val="0DB6421E"/>
    <w:multiLevelType w:val="hybridMultilevel"/>
    <w:tmpl w:val="996C73BA"/>
    <w:lvl w:ilvl="0" w:tplc="422E6672">
      <w:start w:val="1"/>
      <w:numFmt w:val="bullet"/>
      <w:pStyle w:val="Listaconvietas2"/>
      <w:lvlText w:val="—"/>
      <w:lvlJc w:val="left"/>
      <w:pPr>
        <w:ind w:left="1077" w:hanging="360"/>
      </w:pPr>
      <w:rPr>
        <w:rFonts w:ascii="Times New Roman" w:hAnsi="Times New Roman"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0FD75021"/>
    <w:multiLevelType w:val="hybridMultilevel"/>
    <w:tmpl w:val="9C2A6250"/>
    <w:lvl w:ilvl="0" w:tplc="08090001">
      <w:start w:val="1"/>
      <w:numFmt w:val="bullet"/>
      <w:lvlText w:val=""/>
      <w:lvlJc w:val="left"/>
      <w:pPr>
        <w:ind w:left="859" w:hanging="360"/>
      </w:pPr>
      <w:rPr>
        <w:rFonts w:ascii="Symbol" w:hAnsi="Symbol" w:hint="default"/>
      </w:rPr>
    </w:lvl>
    <w:lvl w:ilvl="1" w:tplc="08090003" w:tentative="1">
      <w:start w:val="1"/>
      <w:numFmt w:val="bullet"/>
      <w:lvlText w:val="o"/>
      <w:lvlJc w:val="left"/>
      <w:pPr>
        <w:ind w:left="1579" w:hanging="360"/>
      </w:pPr>
      <w:rPr>
        <w:rFonts w:ascii="Courier New" w:hAnsi="Courier New" w:cs="Courier New" w:hint="default"/>
      </w:rPr>
    </w:lvl>
    <w:lvl w:ilvl="2" w:tplc="08090005" w:tentative="1">
      <w:start w:val="1"/>
      <w:numFmt w:val="bullet"/>
      <w:lvlText w:val=""/>
      <w:lvlJc w:val="left"/>
      <w:pPr>
        <w:ind w:left="2299" w:hanging="360"/>
      </w:pPr>
      <w:rPr>
        <w:rFonts w:ascii="Wingdings" w:hAnsi="Wingdings" w:hint="default"/>
      </w:rPr>
    </w:lvl>
    <w:lvl w:ilvl="3" w:tplc="08090001" w:tentative="1">
      <w:start w:val="1"/>
      <w:numFmt w:val="bullet"/>
      <w:lvlText w:val=""/>
      <w:lvlJc w:val="left"/>
      <w:pPr>
        <w:ind w:left="3019" w:hanging="360"/>
      </w:pPr>
      <w:rPr>
        <w:rFonts w:ascii="Symbol" w:hAnsi="Symbol" w:hint="default"/>
      </w:rPr>
    </w:lvl>
    <w:lvl w:ilvl="4" w:tplc="08090003" w:tentative="1">
      <w:start w:val="1"/>
      <w:numFmt w:val="bullet"/>
      <w:lvlText w:val="o"/>
      <w:lvlJc w:val="left"/>
      <w:pPr>
        <w:ind w:left="3739" w:hanging="360"/>
      </w:pPr>
      <w:rPr>
        <w:rFonts w:ascii="Courier New" w:hAnsi="Courier New" w:cs="Courier New" w:hint="default"/>
      </w:rPr>
    </w:lvl>
    <w:lvl w:ilvl="5" w:tplc="08090005" w:tentative="1">
      <w:start w:val="1"/>
      <w:numFmt w:val="bullet"/>
      <w:lvlText w:val=""/>
      <w:lvlJc w:val="left"/>
      <w:pPr>
        <w:ind w:left="4459" w:hanging="360"/>
      </w:pPr>
      <w:rPr>
        <w:rFonts w:ascii="Wingdings" w:hAnsi="Wingdings" w:hint="default"/>
      </w:rPr>
    </w:lvl>
    <w:lvl w:ilvl="6" w:tplc="08090001" w:tentative="1">
      <w:start w:val="1"/>
      <w:numFmt w:val="bullet"/>
      <w:lvlText w:val=""/>
      <w:lvlJc w:val="left"/>
      <w:pPr>
        <w:ind w:left="5179" w:hanging="360"/>
      </w:pPr>
      <w:rPr>
        <w:rFonts w:ascii="Symbol" w:hAnsi="Symbol" w:hint="default"/>
      </w:rPr>
    </w:lvl>
    <w:lvl w:ilvl="7" w:tplc="08090003" w:tentative="1">
      <w:start w:val="1"/>
      <w:numFmt w:val="bullet"/>
      <w:lvlText w:val="o"/>
      <w:lvlJc w:val="left"/>
      <w:pPr>
        <w:ind w:left="5899" w:hanging="360"/>
      </w:pPr>
      <w:rPr>
        <w:rFonts w:ascii="Courier New" w:hAnsi="Courier New" w:cs="Courier New" w:hint="default"/>
      </w:rPr>
    </w:lvl>
    <w:lvl w:ilvl="8" w:tplc="08090005" w:tentative="1">
      <w:start w:val="1"/>
      <w:numFmt w:val="bullet"/>
      <w:lvlText w:val=""/>
      <w:lvlJc w:val="left"/>
      <w:pPr>
        <w:ind w:left="6619" w:hanging="360"/>
      </w:pPr>
      <w:rPr>
        <w:rFonts w:ascii="Wingdings" w:hAnsi="Wingdings" w:hint="default"/>
      </w:rPr>
    </w:lvl>
  </w:abstractNum>
  <w:abstractNum w:abstractNumId="17" w15:restartNumberingAfterBreak="0">
    <w:nsid w:val="12C424CF"/>
    <w:multiLevelType w:val="hybridMultilevel"/>
    <w:tmpl w:val="B7A47F2C"/>
    <w:lvl w:ilvl="0" w:tplc="616E2382">
      <w:start w:val="1"/>
      <w:numFmt w:val="bullet"/>
      <w:lvlText w:val="•"/>
      <w:lvlJc w:val="left"/>
      <w:pPr>
        <w:tabs>
          <w:tab w:val="num" w:pos="720"/>
        </w:tabs>
        <w:ind w:left="720" w:hanging="360"/>
      </w:pPr>
      <w:rPr>
        <w:rFonts w:ascii="Arial" w:hAnsi="Arial" w:hint="default"/>
      </w:rPr>
    </w:lvl>
    <w:lvl w:ilvl="1" w:tplc="AB1857A2" w:tentative="1">
      <w:start w:val="1"/>
      <w:numFmt w:val="bullet"/>
      <w:lvlText w:val="•"/>
      <w:lvlJc w:val="left"/>
      <w:pPr>
        <w:tabs>
          <w:tab w:val="num" w:pos="1440"/>
        </w:tabs>
        <w:ind w:left="1440" w:hanging="360"/>
      </w:pPr>
      <w:rPr>
        <w:rFonts w:ascii="Arial" w:hAnsi="Arial" w:hint="default"/>
      </w:rPr>
    </w:lvl>
    <w:lvl w:ilvl="2" w:tplc="5B320410" w:tentative="1">
      <w:start w:val="1"/>
      <w:numFmt w:val="bullet"/>
      <w:lvlText w:val="•"/>
      <w:lvlJc w:val="left"/>
      <w:pPr>
        <w:tabs>
          <w:tab w:val="num" w:pos="2160"/>
        </w:tabs>
        <w:ind w:left="2160" w:hanging="360"/>
      </w:pPr>
      <w:rPr>
        <w:rFonts w:ascii="Arial" w:hAnsi="Arial" w:hint="default"/>
      </w:rPr>
    </w:lvl>
    <w:lvl w:ilvl="3" w:tplc="24206C42" w:tentative="1">
      <w:start w:val="1"/>
      <w:numFmt w:val="bullet"/>
      <w:lvlText w:val="•"/>
      <w:lvlJc w:val="left"/>
      <w:pPr>
        <w:tabs>
          <w:tab w:val="num" w:pos="2880"/>
        </w:tabs>
        <w:ind w:left="2880" w:hanging="360"/>
      </w:pPr>
      <w:rPr>
        <w:rFonts w:ascii="Arial" w:hAnsi="Arial" w:hint="default"/>
      </w:rPr>
    </w:lvl>
    <w:lvl w:ilvl="4" w:tplc="A40CDF4E" w:tentative="1">
      <w:start w:val="1"/>
      <w:numFmt w:val="bullet"/>
      <w:lvlText w:val="•"/>
      <w:lvlJc w:val="left"/>
      <w:pPr>
        <w:tabs>
          <w:tab w:val="num" w:pos="3600"/>
        </w:tabs>
        <w:ind w:left="3600" w:hanging="360"/>
      </w:pPr>
      <w:rPr>
        <w:rFonts w:ascii="Arial" w:hAnsi="Arial" w:hint="default"/>
      </w:rPr>
    </w:lvl>
    <w:lvl w:ilvl="5" w:tplc="560ED910" w:tentative="1">
      <w:start w:val="1"/>
      <w:numFmt w:val="bullet"/>
      <w:lvlText w:val="•"/>
      <w:lvlJc w:val="left"/>
      <w:pPr>
        <w:tabs>
          <w:tab w:val="num" w:pos="4320"/>
        </w:tabs>
        <w:ind w:left="4320" w:hanging="360"/>
      </w:pPr>
      <w:rPr>
        <w:rFonts w:ascii="Arial" w:hAnsi="Arial" w:hint="default"/>
      </w:rPr>
    </w:lvl>
    <w:lvl w:ilvl="6" w:tplc="BF026B46" w:tentative="1">
      <w:start w:val="1"/>
      <w:numFmt w:val="bullet"/>
      <w:lvlText w:val="•"/>
      <w:lvlJc w:val="left"/>
      <w:pPr>
        <w:tabs>
          <w:tab w:val="num" w:pos="5040"/>
        </w:tabs>
        <w:ind w:left="5040" w:hanging="360"/>
      </w:pPr>
      <w:rPr>
        <w:rFonts w:ascii="Arial" w:hAnsi="Arial" w:hint="default"/>
      </w:rPr>
    </w:lvl>
    <w:lvl w:ilvl="7" w:tplc="DA629F86" w:tentative="1">
      <w:start w:val="1"/>
      <w:numFmt w:val="bullet"/>
      <w:lvlText w:val="•"/>
      <w:lvlJc w:val="left"/>
      <w:pPr>
        <w:tabs>
          <w:tab w:val="num" w:pos="5760"/>
        </w:tabs>
        <w:ind w:left="5760" w:hanging="360"/>
      </w:pPr>
      <w:rPr>
        <w:rFonts w:ascii="Arial" w:hAnsi="Arial" w:hint="default"/>
      </w:rPr>
    </w:lvl>
    <w:lvl w:ilvl="8" w:tplc="43C0B0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44965EF"/>
    <w:multiLevelType w:val="hybridMultilevel"/>
    <w:tmpl w:val="8B9C84DE"/>
    <w:lvl w:ilvl="0" w:tplc="A9083948">
      <w:start w:val="1"/>
      <w:numFmt w:val="bullet"/>
      <w:lvlText w:val="•"/>
      <w:lvlJc w:val="left"/>
      <w:pPr>
        <w:tabs>
          <w:tab w:val="num" w:pos="720"/>
        </w:tabs>
        <w:ind w:left="720" w:hanging="360"/>
      </w:pPr>
      <w:rPr>
        <w:rFonts w:ascii="Arial" w:hAnsi="Arial" w:hint="default"/>
      </w:rPr>
    </w:lvl>
    <w:lvl w:ilvl="1" w:tplc="E716D4AC" w:tentative="1">
      <w:start w:val="1"/>
      <w:numFmt w:val="bullet"/>
      <w:lvlText w:val="•"/>
      <w:lvlJc w:val="left"/>
      <w:pPr>
        <w:tabs>
          <w:tab w:val="num" w:pos="1440"/>
        </w:tabs>
        <w:ind w:left="1440" w:hanging="360"/>
      </w:pPr>
      <w:rPr>
        <w:rFonts w:ascii="Arial" w:hAnsi="Arial" w:hint="default"/>
      </w:rPr>
    </w:lvl>
    <w:lvl w:ilvl="2" w:tplc="4E0A4EDA" w:tentative="1">
      <w:start w:val="1"/>
      <w:numFmt w:val="bullet"/>
      <w:lvlText w:val="•"/>
      <w:lvlJc w:val="left"/>
      <w:pPr>
        <w:tabs>
          <w:tab w:val="num" w:pos="2160"/>
        </w:tabs>
        <w:ind w:left="2160" w:hanging="360"/>
      </w:pPr>
      <w:rPr>
        <w:rFonts w:ascii="Arial" w:hAnsi="Arial" w:hint="default"/>
      </w:rPr>
    </w:lvl>
    <w:lvl w:ilvl="3" w:tplc="5108F366" w:tentative="1">
      <w:start w:val="1"/>
      <w:numFmt w:val="bullet"/>
      <w:lvlText w:val="•"/>
      <w:lvlJc w:val="left"/>
      <w:pPr>
        <w:tabs>
          <w:tab w:val="num" w:pos="2880"/>
        </w:tabs>
        <w:ind w:left="2880" w:hanging="360"/>
      </w:pPr>
      <w:rPr>
        <w:rFonts w:ascii="Arial" w:hAnsi="Arial" w:hint="default"/>
      </w:rPr>
    </w:lvl>
    <w:lvl w:ilvl="4" w:tplc="14A4495A" w:tentative="1">
      <w:start w:val="1"/>
      <w:numFmt w:val="bullet"/>
      <w:lvlText w:val="•"/>
      <w:lvlJc w:val="left"/>
      <w:pPr>
        <w:tabs>
          <w:tab w:val="num" w:pos="3600"/>
        </w:tabs>
        <w:ind w:left="3600" w:hanging="360"/>
      </w:pPr>
      <w:rPr>
        <w:rFonts w:ascii="Arial" w:hAnsi="Arial" w:hint="default"/>
      </w:rPr>
    </w:lvl>
    <w:lvl w:ilvl="5" w:tplc="91B09E36" w:tentative="1">
      <w:start w:val="1"/>
      <w:numFmt w:val="bullet"/>
      <w:lvlText w:val="•"/>
      <w:lvlJc w:val="left"/>
      <w:pPr>
        <w:tabs>
          <w:tab w:val="num" w:pos="4320"/>
        </w:tabs>
        <w:ind w:left="4320" w:hanging="360"/>
      </w:pPr>
      <w:rPr>
        <w:rFonts w:ascii="Arial" w:hAnsi="Arial" w:hint="default"/>
      </w:rPr>
    </w:lvl>
    <w:lvl w:ilvl="6" w:tplc="E4681EA2" w:tentative="1">
      <w:start w:val="1"/>
      <w:numFmt w:val="bullet"/>
      <w:lvlText w:val="•"/>
      <w:lvlJc w:val="left"/>
      <w:pPr>
        <w:tabs>
          <w:tab w:val="num" w:pos="5040"/>
        </w:tabs>
        <w:ind w:left="5040" w:hanging="360"/>
      </w:pPr>
      <w:rPr>
        <w:rFonts w:ascii="Arial" w:hAnsi="Arial" w:hint="default"/>
      </w:rPr>
    </w:lvl>
    <w:lvl w:ilvl="7" w:tplc="880E28C2" w:tentative="1">
      <w:start w:val="1"/>
      <w:numFmt w:val="bullet"/>
      <w:lvlText w:val="•"/>
      <w:lvlJc w:val="left"/>
      <w:pPr>
        <w:tabs>
          <w:tab w:val="num" w:pos="5760"/>
        </w:tabs>
        <w:ind w:left="5760" w:hanging="360"/>
      </w:pPr>
      <w:rPr>
        <w:rFonts w:ascii="Arial" w:hAnsi="Arial" w:hint="default"/>
      </w:rPr>
    </w:lvl>
    <w:lvl w:ilvl="8" w:tplc="219CB0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4BF1549"/>
    <w:multiLevelType w:val="hybridMultilevel"/>
    <w:tmpl w:val="6E68FE5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0"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2" w15:restartNumberingAfterBreak="0">
    <w:nsid w:val="1EAB2BA1"/>
    <w:multiLevelType w:val="hybridMultilevel"/>
    <w:tmpl w:val="EF32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2E60DE"/>
    <w:multiLevelType w:val="multilevel"/>
    <w:tmpl w:val="9CFC0396"/>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4" w15:restartNumberingAfterBreak="0">
    <w:nsid w:val="1F681FB2"/>
    <w:multiLevelType w:val="hybridMultilevel"/>
    <w:tmpl w:val="ADBED10A"/>
    <w:lvl w:ilvl="0" w:tplc="B9F43C5A">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2E3735F4"/>
    <w:multiLevelType w:val="multilevel"/>
    <w:tmpl w:val="D786B366"/>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pStyle w:val="Ttulo2"/>
      <w:lvlText w:val="%1.%2"/>
      <w:lvlJc w:val="left"/>
      <w:pPr>
        <w:ind w:left="0" w:hanging="499"/>
      </w:pPr>
      <w:rPr>
        <w:rFonts w:ascii="Times New Roman Bold" w:hAnsi="Times New Roman Bold" w:hint="default"/>
        <w:b/>
        <w:i w:val="0"/>
        <w:sz w:val="24"/>
      </w:rPr>
    </w:lvl>
    <w:lvl w:ilvl="2">
      <w:start w:val="1"/>
      <w:numFmt w:val="decimal"/>
      <w:pStyle w:val="Ttulo3"/>
      <w:lvlText w:val="%1.%2.%3"/>
      <w:lvlJc w:val="left"/>
      <w:pPr>
        <w:ind w:left="0" w:hanging="499"/>
      </w:pPr>
      <w:rPr>
        <w:rFonts w:ascii="Times New Roman Bold" w:hAnsi="Times New Roman Bold" w:hint="default"/>
        <w:b/>
        <w:i w:val="0"/>
        <w:sz w:val="22"/>
      </w:rPr>
    </w:lvl>
    <w:lvl w:ilvl="3">
      <w:start w:val="1"/>
      <w:numFmt w:val="none"/>
      <w:pStyle w:val="Ttulo4"/>
      <w:suff w:val="nothing"/>
      <w:lvlText w:val=""/>
      <w:lvlJc w:val="left"/>
      <w:pPr>
        <w:ind w:left="0" w:firstLine="0"/>
      </w:pPr>
      <w:rPr>
        <w:rFonts w:ascii="Times New Roman" w:hAnsi="Times New Roman" w:hint="default"/>
        <w:b w:val="0"/>
        <w:i/>
        <w:sz w:val="22"/>
        <w:lang w:val="es-ES"/>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6" w15:restartNumberingAfterBreak="0">
    <w:nsid w:val="2F644E07"/>
    <w:multiLevelType w:val="hybridMultilevel"/>
    <w:tmpl w:val="32D0E140"/>
    <w:lvl w:ilvl="0" w:tplc="813084DA">
      <w:start w:val="1"/>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30E035C0"/>
    <w:multiLevelType w:val="multilevel"/>
    <w:tmpl w:val="006465E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8" w15:restartNumberingAfterBreak="0">
    <w:nsid w:val="323A192B"/>
    <w:multiLevelType w:val="hybridMultilevel"/>
    <w:tmpl w:val="661CAC08"/>
    <w:lvl w:ilvl="0" w:tplc="7F9C0692">
      <w:start w:val="1"/>
      <w:numFmt w:val="bullet"/>
      <w:lvlText w:val=""/>
      <w:lvlJc w:val="left"/>
      <w:pPr>
        <w:ind w:left="644" w:hanging="360"/>
      </w:pPr>
      <w:rPr>
        <w:rFonts w:ascii="Symbol" w:hAnsi="Symbol" w:hint="default"/>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34759FE"/>
    <w:multiLevelType w:val="multilevel"/>
    <w:tmpl w:val="8484493A"/>
    <w:lvl w:ilvl="0">
      <w:start w:val="1"/>
      <w:numFmt w:val="upperLetter"/>
      <w:lvlText w:val="Annex %1"/>
      <w:lvlJc w:val="left"/>
      <w:pPr>
        <w:tabs>
          <w:tab w:val="num" w:pos="1633"/>
        </w:tabs>
        <w:ind w:left="499"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30" w15:restartNumberingAfterBreak="0">
    <w:nsid w:val="33796079"/>
    <w:multiLevelType w:val="hybridMultilevel"/>
    <w:tmpl w:val="B04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876717"/>
    <w:multiLevelType w:val="hybridMultilevel"/>
    <w:tmpl w:val="324CD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420194C"/>
    <w:multiLevelType w:val="hybridMultilevel"/>
    <w:tmpl w:val="80C8E5C4"/>
    <w:lvl w:ilvl="0" w:tplc="FD04126E">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F3844"/>
    <w:multiLevelType w:val="hybridMultilevel"/>
    <w:tmpl w:val="8DAA505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6" w15:restartNumberingAfterBreak="0">
    <w:nsid w:val="705370A7"/>
    <w:multiLevelType w:val="hybridMultilevel"/>
    <w:tmpl w:val="FECED8A2"/>
    <w:lvl w:ilvl="0" w:tplc="56682734">
      <w:start w:val="1"/>
      <w:numFmt w:val="bullet"/>
      <w:lvlText w:val=""/>
      <w:lvlJc w:val="left"/>
      <w:pPr>
        <w:tabs>
          <w:tab w:val="num" w:pos="720"/>
        </w:tabs>
        <w:ind w:left="720" w:hanging="360"/>
      </w:pPr>
      <w:rPr>
        <w:rFonts w:ascii="Wingdings" w:hAnsi="Wingdings" w:hint="default"/>
      </w:rPr>
    </w:lvl>
    <w:lvl w:ilvl="1" w:tplc="701C5EDA" w:tentative="1">
      <w:start w:val="1"/>
      <w:numFmt w:val="bullet"/>
      <w:lvlText w:val=""/>
      <w:lvlJc w:val="left"/>
      <w:pPr>
        <w:tabs>
          <w:tab w:val="num" w:pos="1440"/>
        </w:tabs>
        <w:ind w:left="1440" w:hanging="360"/>
      </w:pPr>
      <w:rPr>
        <w:rFonts w:ascii="Wingdings" w:hAnsi="Wingdings" w:hint="default"/>
      </w:rPr>
    </w:lvl>
    <w:lvl w:ilvl="2" w:tplc="631E04A6" w:tentative="1">
      <w:start w:val="1"/>
      <w:numFmt w:val="bullet"/>
      <w:lvlText w:val=""/>
      <w:lvlJc w:val="left"/>
      <w:pPr>
        <w:tabs>
          <w:tab w:val="num" w:pos="2160"/>
        </w:tabs>
        <w:ind w:left="2160" w:hanging="360"/>
      </w:pPr>
      <w:rPr>
        <w:rFonts w:ascii="Wingdings" w:hAnsi="Wingdings" w:hint="default"/>
      </w:rPr>
    </w:lvl>
    <w:lvl w:ilvl="3" w:tplc="CD328C82" w:tentative="1">
      <w:start w:val="1"/>
      <w:numFmt w:val="bullet"/>
      <w:lvlText w:val=""/>
      <w:lvlJc w:val="left"/>
      <w:pPr>
        <w:tabs>
          <w:tab w:val="num" w:pos="2880"/>
        </w:tabs>
        <w:ind w:left="2880" w:hanging="360"/>
      </w:pPr>
      <w:rPr>
        <w:rFonts w:ascii="Wingdings" w:hAnsi="Wingdings" w:hint="default"/>
      </w:rPr>
    </w:lvl>
    <w:lvl w:ilvl="4" w:tplc="B8644D90" w:tentative="1">
      <w:start w:val="1"/>
      <w:numFmt w:val="bullet"/>
      <w:lvlText w:val=""/>
      <w:lvlJc w:val="left"/>
      <w:pPr>
        <w:tabs>
          <w:tab w:val="num" w:pos="3600"/>
        </w:tabs>
        <w:ind w:left="3600" w:hanging="360"/>
      </w:pPr>
      <w:rPr>
        <w:rFonts w:ascii="Wingdings" w:hAnsi="Wingdings" w:hint="default"/>
      </w:rPr>
    </w:lvl>
    <w:lvl w:ilvl="5" w:tplc="E35CC66A" w:tentative="1">
      <w:start w:val="1"/>
      <w:numFmt w:val="bullet"/>
      <w:lvlText w:val=""/>
      <w:lvlJc w:val="left"/>
      <w:pPr>
        <w:tabs>
          <w:tab w:val="num" w:pos="4320"/>
        </w:tabs>
        <w:ind w:left="4320" w:hanging="360"/>
      </w:pPr>
      <w:rPr>
        <w:rFonts w:ascii="Wingdings" w:hAnsi="Wingdings" w:hint="default"/>
      </w:rPr>
    </w:lvl>
    <w:lvl w:ilvl="6" w:tplc="511404E8" w:tentative="1">
      <w:start w:val="1"/>
      <w:numFmt w:val="bullet"/>
      <w:lvlText w:val=""/>
      <w:lvlJc w:val="left"/>
      <w:pPr>
        <w:tabs>
          <w:tab w:val="num" w:pos="5040"/>
        </w:tabs>
        <w:ind w:left="5040" w:hanging="360"/>
      </w:pPr>
      <w:rPr>
        <w:rFonts w:ascii="Wingdings" w:hAnsi="Wingdings" w:hint="default"/>
      </w:rPr>
    </w:lvl>
    <w:lvl w:ilvl="7" w:tplc="A4C005AC" w:tentative="1">
      <w:start w:val="1"/>
      <w:numFmt w:val="bullet"/>
      <w:lvlText w:val=""/>
      <w:lvlJc w:val="left"/>
      <w:pPr>
        <w:tabs>
          <w:tab w:val="num" w:pos="5760"/>
        </w:tabs>
        <w:ind w:left="5760" w:hanging="360"/>
      </w:pPr>
      <w:rPr>
        <w:rFonts w:ascii="Wingdings" w:hAnsi="Wingdings" w:hint="default"/>
      </w:rPr>
    </w:lvl>
    <w:lvl w:ilvl="8" w:tplc="1B24BE6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D262E1"/>
    <w:multiLevelType w:val="hybridMultilevel"/>
    <w:tmpl w:val="598A7CC4"/>
    <w:lvl w:ilvl="0" w:tplc="7F9C0692">
      <w:start w:val="1"/>
      <w:numFmt w:val="bullet"/>
      <w:lvlText w:val=""/>
      <w:lvlJc w:val="left"/>
      <w:pPr>
        <w:ind w:left="644" w:hanging="360"/>
      </w:pPr>
      <w:rPr>
        <w:rFonts w:ascii="Symbol" w:hAnsi="Symbol" w:hint="default"/>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72FE58BD"/>
    <w:multiLevelType w:val="hybridMultilevel"/>
    <w:tmpl w:val="3904D43A"/>
    <w:lvl w:ilvl="0" w:tplc="661491D2">
      <w:start w:val="1"/>
      <w:numFmt w:val="bullet"/>
      <w:lvlText w:val=""/>
      <w:lvlJc w:val="left"/>
      <w:pPr>
        <w:tabs>
          <w:tab w:val="num" w:pos="360"/>
        </w:tabs>
        <w:ind w:left="360" w:hanging="360"/>
      </w:pPr>
      <w:rPr>
        <w:rFonts w:ascii="Symbol" w:hAnsi="Symbol" w:hint="default"/>
        <w:color w:val="auto"/>
        <w:sz w:val="20"/>
        <w:lang w:val="es-ES"/>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0413A6"/>
    <w:multiLevelType w:val="hybridMultilevel"/>
    <w:tmpl w:val="EA9E44D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abstractNumId w:val="9"/>
  </w:num>
  <w:num w:numId="2">
    <w:abstractNumId w:val="7"/>
  </w:num>
  <w:num w:numId="3">
    <w:abstractNumId w:val="15"/>
  </w:num>
  <w:num w:numId="4">
    <w:abstractNumId w:val="8"/>
  </w:num>
  <w:num w:numId="5">
    <w:abstractNumId w:val="21"/>
  </w:num>
  <w:num w:numId="6">
    <w:abstractNumId w:val="32"/>
  </w:num>
  <w:num w:numId="7">
    <w:abstractNumId w:val="20"/>
  </w:num>
  <w:num w:numId="8">
    <w:abstractNumId w:val="25"/>
  </w:num>
  <w:num w:numId="9">
    <w:abstractNumId w:val="34"/>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7"/>
  </w:num>
  <w:num w:numId="18">
    <w:abstractNumId w:val="10"/>
  </w:num>
  <w:num w:numId="19">
    <w:abstractNumId w:val="29"/>
  </w:num>
  <w:num w:numId="20">
    <w:abstractNumId w:val="23"/>
  </w:num>
  <w:num w:numId="21">
    <w:abstractNumId w:val="14"/>
  </w:num>
  <w:num w:numId="22">
    <w:abstractNumId w:val="11"/>
  </w:num>
  <w:num w:numId="23">
    <w:abstractNumId w:val="38"/>
  </w:num>
  <w:num w:numId="24">
    <w:abstractNumId w:val="26"/>
  </w:num>
  <w:num w:numId="25">
    <w:abstractNumId w:val="18"/>
  </w:num>
  <w:num w:numId="26">
    <w:abstractNumId w:val="17"/>
  </w:num>
  <w:num w:numId="27">
    <w:abstractNumId w:val="19"/>
  </w:num>
  <w:num w:numId="28">
    <w:abstractNumId w:val="39"/>
  </w:num>
  <w:num w:numId="29">
    <w:abstractNumId w:val="35"/>
  </w:num>
  <w:num w:numId="30">
    <w:abstractNumId w:val="22"/>
  </w:num>
  <w:num w:numId="31">
    <w:abstractNumId w:val="31"/>
  </w:num>
  <w:num w:numId="32">
    <w:abstractNumId w:val="13"/>
  </w:num>
  <w:num w:numId="33">
    <w:abstractNumId w:val="16"/>
  </w:num>
  <w:num w:numId="34">
    <w:abstractNumId w:val="30"/>
  </w:num>
  <w:num w:numId="35">
    <w:abstractNumId w:val="33"/>
  </w:num>
  <w:num w:numId="36">
    <w:abstractNumId w:val="37"/>
  </w:num>
  <w:num w:numId="37">
    <w:abstractNumId w:val="24"/>
  </w:num>
  <w:num w:numId="38">
    <w:abstractNumId w:val="28"/>
  </w:num>
  <w:num w:numId="39">
    <w:abstractNumId w:val="2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6"/>
  </w:num>
  <w:num w:numId="42">
    <w:abstractNumId w:val="12"/>
  </w:num>
  <w:num w:numId="43">
    <w:abstractNumId w:val="9"/>
  </w:num>
  <w:num w:numId="44">
    <w:abstractNumId w:val="9"/>
  </w:num>
  <w:num w:numId="45">
    <w:abstractNumId w:val="9"/>
  </w:num>
  <w:num w:numId="46">
    <w:abstractNumId w:val="9"/>
  </w:num>
  <w:num w:numId="4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93"/>
    <w:rsid w:val="00003335"/>
    <w:rsid w:val="00006535"/>
    <w:rsid w:val="000107F3"/>
    <w:rsid w:val="00011431"/>
    <w:rsid w:val="0001184E"/>
    <w:rsid w:val="00011DE9"/>
    <w:rsid w:val="000126BF"/>
    <w:rsid w:val="000156A4"/>
    <w:rsid w:val="0001576F"/>
    <w:rsid w:val="00020373"/>
    <w:rsid w:val="00020719"/>
    <w:rsid w:val="0002111A"/>
    <w:rsid w:val="00022570"/>
    <w:rsid w:val="00023C40"/>
    <w:rsid w:val="00031F4A"/>
    <w:rsid w:val="00031F61"/>
    <w:rsid w:val="00032116"/>
    <w:rsid w:val="00036465"/>
    <w:rsid w:val="0003749C"/>
    <w:rsid w:val="00045724"/>
    <w:rsid w:val="00045E89"/>
    <w:rsid w:val="000462D0"/>
    <w:rsid w:val="000469C2"/>
    <w:rsid w:val="00050D57"/>
    <w:rsid w:val="0005175C"/>
    <w:rsid w:val="00051CCA"/>
    <w:rsid w:val="00052B27"/>
    <w:rsid w:val="000541AC"/>
    <w:rsid w:val="00055139"/>
    <w:rsid w:val="00055633"/>
    <w:rsid w:val="00055D05"/>
    <w:rsid w:val="00056CE1"/>
    <w:rsid w:val="00061F91"/>
    <w:rsid w:val="000641D2"/>
    <w:rsid w:val="00065628"/>
    <w:rsid w:val="00066589"/>
    <w:rsid w:val="00067505"/>
    <w:rsid w:val="00067DE9"/>
    <w:rsid w:val="000721ED"/>
    <w:rsid w:val="00073C2C"/>
    <w:rsid w:val="00074B91"/>
    <w:rsid w:val="00075D06"/>
    <w:rsid w:val="00080519"/>
    <w:rsid w:val="00081648"/>
    <w:rsid w:val="0008191A"/>
    <w:rsid w:val="00082102"/>
    <w:rsid w:val="00082800"/>
    <w:rsid w:val="00083AF2"/>
    <w:rsid w:val="00083D31"/>
    <w:rsid w:val="00090BA1"/>
    <w:rsid w:val="00091EF1"/>
    <w:rsid w:val="00092CCA"/>
    <w:rsid w:val="0009498C"/>
    <w:rsid w:val="00096293"/>
    <w:rsid w:val="00097090"/>
    <w:rsid w:val="000A0B66"/>
    <w:rsid w:val="000A1D15"/>
    <w:rsid w:val="000A3B98"/>
    <w:rsid w:val="000A694C"/>
    <w:rsid w:val="000A7C0A"/>
    <w:rsid w:val="000B0584"/>
    <w:rsid w:val="000B12A8"/>
    <w:rsid w:val="000B1EE5"/>
    <w:rsid w:val="000B205F"/>
    <w:rsid w:val="000B51B2"/>
    <w:rsid w:val="000B63A0"/>
    <w:rsid w:val="000B7EF8"/>
    <w:rsid w:val="000C039F"/>
    <w:rsid w:val="000C0577"/>
    <w:rsid w:val="000C21E9"/>
    <w:rsid w:val="000C23A8"/>
    <w:rsid w:val="000C49E3"/>
    <w:rsid w:val="000C4EA6"/>
    <w:rsid w:val="000C550F"/>
    <w:rsid w:val="000C6C0D"/>
    <w:rsid w:val="000D0926"/>
    <w:rsid w:val="000D1AF4"/>
    <w:rsid w:val="000D2886"/>
    <w:rsid w:val="000D2C67"/>
    <w:rsid w:val="000D4317"/>
    <w:rsid w:val="000D55CC"/>
    <w:rsid w:val="000D6E4F"/>
    <w:rsid w:val="000E06F2"/>
    <w:rsid w:val="000E188B"/>
    <w:rsid w:val="000E4801"/>
    <w:rsid w:val="000E4B08"/>
    <w:rsid w:val="000E4EC9"/>
    <w:rsid w:val="000E58A8"/>
    <w:rsid w:val="000F5063"/>
    <w:rsid w:val="000F60C6"/>
    <w:rsid w:val="000F7EFC"/>
    <w:rsid w:val="001019CF"/>
    <w:rsid w:val="0010224A"/>
    <w:rsid w:val="001035F4"/>
    <w:rsid w:val="00110371"/>
    <w:rsid w:val="00111605"/>
    <w:rsid w:val="00115268"/>
    <w:rsid w:val="00120B87"/>
    <w:rsid w:val="00130C93"/>
    <w:rsid w:val="00135699"/>
    <w:rsid w:val="0013763A"/>
    <w:rsid w:val="001406E4"/>
    <w:rsid w:val="0014795D"/>
    <w:rsid w:val="001501A1"/>
    <w:rsid w:val="00150388"/>
    <w:rsid w:val="00150BE8"/>
    <w:rsid w:val="00150DF0"/>
    <w:rsid w:val="0015241F"/>
    <w:rsid w:val="001535D7"/>
    <w:rsid w:val="00153D74"/>
    <w:rsid w:val="001542A0"/>
    <w:rsid w:val="001545A6"/>
    <w:rsid w:val="00156BAF"/>
    <w:rsid w:val="00157447"/>
    <w:rsid w:val="00157D64"/>
    <w:rsid w:val="00160A10"/>
    <w:rsid w:val="00162ED9"/>
    <w:rsid w:val="0016300B"/>
    <w:rsid w:val="001657CE"/>
    <w:rsid w:val="001671D4"/>
    <w:rsid w:val="001677A4"/>
    <w:rsid w:val="0017052B"/>
    <w:rsid w:val="00170A6C"/>
    <w:rsid w:val="00171621"/>
    <w:rsid w:val="00173C87"/>
    <w:rsid w:val="0017416C"/>
    <w:rsid w:val="0017555A"/>
    <w:rsid w:val="00175EB9"/>
    <w:rsid w:val="00175F2D"/>
    <w:rsid w:val="00176250"/>
    <w:rsid w:val="001765FC"/>
    <w:rsid w:val="00177715"/>
    <w:rsid w:val="00180942"/>
    <w:rsid w:val="00180CEA"/>
    <w:rsid w:val="001814A5"/>
    <w:rsid w:val="00181B09"/>
    <w:rsid w:val="001820C8"/>
    <w:rsid w:val="00182455"/>
    <w:rsid w:val="00184D66"/>
    <w:rsid w:val="00184DCA"/>
    <w:rsid w:val="001852F6"/>
    <w:rsid w:val="00187D32"/>
    <w:rsid w:val="00187E5E"/>
    <w:rsid w:val="001913F8"/>
    <w:rsid w:val="00191C41"/>
    <w:rsid w:val="00192547"/>
    <w:rsid w:val="0019302D"/>
    <w:rsid w:val="00193324"/>
    <w:rsid w:val="001945ED"/>
    <w:rsid w:val="00195AB0"/>
    <w:rsid w:val="001A0CE6"/>
    <w:rsid w:val="001A1494"/>
    <w:rsid w:val="001A5353"/>
    <w:rsid w:val="001A5F00"/>
    <w:rsid w:val="001A78C6"/>
    <w:rsid w:val="001B0CE1"/>
    <w:rsid w:val="001B14FF"/>
    <w:rsid w:val="001B1F74"/>
    <w:rsid w:val="001B2463"/>
    <w:rsid w:val="001B401D"/>
    <w:rsid w:val="001B532C"/>
    <w:rsid w:val="001C01E1"/>
    <w:rsid w:val="001C3A22"/>
    <w:rsid w:val="001C3E95"/>
    <w:rsid w:val="001C4483"/>
    <w:rsid w:val="001C4ACB"/>
    <w:rsid w:val="001C4E20"/>
    <w:rsid w:val="001C7F02"/>
    <w:rsid w:val="001D1C93"/>
    <w:rsid w:val="001D3389"/>
    <w:rsid w:val="001D3DF5"/>
    <w:rsid w:val="001E0ED1"/>
    <w:rsid w:val="001E181A"/>
    <w:rsid w:val="001E4098"/>
    <w:rsid w:val="001E54F8"/>
    <w:rsid w:val="001E5A60"/>
    <w:rsid w:val="001E725B"/>
    <w:rsid w:val="001E761B"/>
    <w:rsid w:val="001F3484"/>
    <w:rsid w:val="001F3AB9"/>
    <w:rsid w:val="001F6A2F"/>
    <w:rsid w:val="001F72E6"/>
    <w:rsid w:val="00200F75"/>
    <w:rsid w:val="00202402"/>
    <w:rsid w:val="002040BA"/>
    <w:rsid w:val="0020463F"/>
    <w:rsid w:val="0020550D"/>
    <w:rsid w:val="002061B5"/>
    <w:rsid w:val="002101FE"/>
    <w:rsid w:val="00215031"/>
    <w:rsid w:val="0021726C"/>
    <w:rsid w:val="002208A4"/>
    <w:rsid w:val="002222A7"/>
    <w:rsid w:val="002227C4"/>
    <w:rsid w:val="00224FE0"/>
    <w:rsid w:val="00225BA5"/>
    <w:rsid w:val="0022648C"/>
    <w:rsid w:val="002271DD"/>
    <w:rsid w:val="00230387"/>
    <w:rsid w:val="00230ABA"/>
    <w:rsid w:val="0023327E"/>
    <w:rsid w:val="0023361D"/>
    <w:rsid w:val="00234134"/>
    <w:rsid w:val="002351F3"/>
    <w:rsid w:val="00236933"/>
    <w:rsid w:val="0024010D"/>
    <w:rsid w:val="00240981"/>
    <w:rsid w:val="00242C65"/>
    <w:rsid w:val="00243B42"/>
    <w:rsid w:val="00245939"/>
    <w:rsid w:val="00247909"/>
    <w:rsid w:val="00250298"/>
    <w:rsid w:val="00252585"/>
    <w:rsid w:val="002527E9"/>
    <w:rsid w:val="00252BED"/>
    <w:rsid w:val="00254135"/>
    <w:rsid w:val="00256EB9"/>
    <w:rsid w:val="0026300A"/>
    <w:rsid w:val="00265246"/>
    <w:rsid w:val="0026545D"/>
    <w:rsid w:val="0026753F"/>
    <w:rsid w:val="00270D42"/>
    <w:rsid w:val="00271B50"/>
    <w:rsid w:val="00272043"/>
    <w:rsid w:val="00272797"/>
    <w:rsid w:val="00272D3B"/>
    <w:rsid w:val="002750D4"/>
    <w:rsid w:val="002762A7"/>
    <w:rsid w:val="002766D8"/>
    <w:rsid w:val="00277EAD"/>
    <w:rsid w:val="00277EB9"/>
    <w:rsid w:val="0028064F"/>
    <w:rsid w:val="00281940"/>
    <w:rsid w:val="00282A31"/>
    <w:rsid w:val="00282B1C"/>
    <w:rsid w:val="0028542F"/>
    <w:rsid w:val="00285C1D"/>
    <w:rsid w:val="002862DA"/>
    <w:rsid w:val="00290083"/>
    <w:rsid w:val="002943F4"/>
    <w:rsid w:val="00294EC5"/>
    <w:rsid w:val="002A389F"/>
    <w:rsid w:val="002A67D9"/>
    <w:rsid w:val="002B1410"/>
    <w:rsid w:val="002B43C1"/>
    <w:rsid w:val="002B464D"/>
    <w:rsid w:val="002B4967"/>
    <w:rsid w:val="002B5D62"/>
    <w:rsid w:val="002B5DE4"/>
    <w:rsid w:val="002B6344"/>
    <w:rsid w:val="002B6D52"/>
    <w:rsid w:val="002B7FE2"/>
    <w:rsid w:val="002C02CE"/>
    <w:rsid w:val="002C2016"/>
    <w:rsid w:val="002C22BD"/>
    <w:rsid w:val="002C3F91"/>
    <w:rsid w:val="002C44D7"/>
    <w:rsid w:val="002C5C2B"/>
    <w:rsid w:val="002C6C68"/>
    <w:rsid w:val="002C76B2"/>
    <w:rsid w:val="002D0247"/>
    <w:rsid w:val="002D4014"/>
    <w:rsid w:val="002D599B"/>
    <w:rsid w:val="002D6428"/>
    <w:rsid w:val="002E0226"/>
    <w:rsid w:val="002E0BD0"/>
    <w:rsid w:val="002E1A92"/>
    <w:rsid w:val="002E480C"/>
    <w:rsid w:val="002E724A"/>
    <w:rsid w:val="002F5D0C"/>
    <w:rsid w:val="00301A5C"/>
    <w:rsid w:val="00304049"/>
    <w:rsid w:val="003040C9"/>
    <w:rsid w:val="0030505B"/>
    <w:rsid w:val="00306459"/>
    <w:rsid w:val="00307FB5"/>
    <w:rsid w:val="00310B18"/>
    <w:rsid w:val="003110D4"/>
    <w:rsid w:val="00312097"/>
    <w:rsid w:val="00315420"/>
    <w:rsid w:val="003161B5"/>
    <w:rsid w:val="0031786D"/>
    <w:rsid w:val="00320376"/>
    <w:rsid w:val="003204AC"/>
    <w:rsid w:val="00320F3B"/>
    <w:rsid w:val="003216F4"/>
    <w:rsid w:val="003226EB"/>
    <w:rsid w:val="0032426F"/>
    <w:rsid w:val="003247B0"/>
    <w:rsid w:val="00327D8A"/>
    <w:rsid w:val="0033211A"/>
    <w:rsid w:val="00336BCA"/>
    <w:rsid w:val="00337756"/>
    <w:rsid w:val="00337E8B"/>
    <w:rsid w:val="003400F1"/>
    <w:rsid w:val="00343F41"/>
    <w:rsid w:val="00344F28"/>
    <w:rsid w:val="00345B0B"/>
    <w:rsid w:val="00350458"/>
    <w:rsid w:val="00351984"/>
    <w:rsid w:val="0035482C"/>
    <w:rsid w:val="00356309"/>
    <w:rsid w:val="00360858"/>
    <w:rsid w:val="003660E1"/>
    <w:rsid w:val="0036796F"/>
    <w:rsid w:val="00371618"/>
    <w:rsid w:val="00372E2A"/>
    <w:rsid w:val="00373625"/>
    <w:rsid w:val="00373A05"/>
    <w:rsid w:val="0037639D"/>
    <w:rsid w:val="003773EB"/>
    <w:rsid w:val="0038079E"/>
    <w:rsid w:val="003921D9"/>
    <w:rsid w:val="003934A0"/>
    <w:rsid w:val="00394BC1"/>
    <w:rsid w:val="003A0886"/>
    <w:rsid w:val="003A500E"/>
    <w:rsid w:val="003B0656"/>
    <w:rsid w:val="003B2D67"/>
    <w:rsid w:val="003B31EB"/>
    <w:rsid w:val="003B37C6"/>
    <w:rsid w:val="003B3B61"/>
    <w:rsid w:val="003B4BA5"/>
    <w:rsid w:val="003B5D70"/>
    <w:rsid w:val="003B7274"/>
    <w:rsid w:val="003C1F76"/>
    <w:rsid w:val="003C2691"/>
    <w:rsid w:val="003C275A"/>
    <w:rsid w:val="003C4FF9"/>
    <w:rsid w:val="003C6172"/>
    <w:rsid w:val="003D1B37"/>
    <w:rsid w:val="003D4BBC"/>
    <w:rsid w:val="003D5255"/>
    <w:rsid w:val="003D55FC"/>
    <w:rsid w:val="003D7D0B"/>
    <w:rsid w:val="003E04D9"/>
    <w:rsid w:val="003E0883"/>
    <w:rsid w:val="003E39DA"/>
    <w:rsid w:val="003E3F62"/>
    <w:rsid w:val="003E4807"/>
    <w:rsid w:val="003E52D6"/>
    <w:rsid w:val="003E7EE5"/>
    <w:rsid w:val="003F024B"/>
    <w:rsid w:val="003F096D"/>
    <w:rsid w:val="003F122D"/>
    <w:rsid w:val="003F1B1A"/>
    <w:rsid w:val="003F4749"/>
    <w:rsid w:val="003F4DEF"/>
    <w:rsid w:val="003F56DA"/>
    <w:rsid w:val="003F6CB3"/>
    <w:rsid w:val="00401F1A"/>
    <w:rsid w:val="004026A0"/>
    <w:rsid w:val="004038A7"/>
    <w:rsid w:val="00404334"/>
    <w:rsid w:val="00405747"/>
    <w:rsid w:val="0041186F"/>
    <w:rsid w:val="0041280E"/>
    <w:rsid w:val="00414199"/>
    <w:rsid w:val="00417CB6"/>
    <w:rsid w:val="00420BB7"/>
    <w:rsid w:val="00423A06"/>
    <w:rsid w:val="004249E6"/>
    <w:rsid w:val="004260AA"/>
    <w:rsid w:val="00426D5F"/>
    <w:rsid w:val="0042710E"/>
    <w:rsid w:val="004275C0"/>
    <w:rsid w:val="00430544"/>
    <w:rsid w:val="0043251D"/>
    <w:rsid w:val="00432D07"/>
    <w:rsid w:val="0043475A"/>
    <w:rsid w:val="004347BF"/>
    <w:rsid w:val="004377D0"/>
    <w:rsid w:val="00440395"/>
    <w:rsid w:val="0044444C"/>
    <w:rsid w:val="00444DA5"/>
    <w:rsid w:val="0044611C"/>
    <w:rsid w:val="00447013"/>
    <w:rsid w:val="00447CA4"/>
    <w:rsid w:val="00447EFD"/>
    <w:rsid w:val="0045023C"/>
    <w:rsid w:val="00452CA3"/>
    <w:rsid w:val="00453668"/>
    <w:rsid w:val="004536B1"/>
    <w:rsid w:val="00454402"/>
    <w:rsid w:val="00456882"/>
    <w:rsid w:val="0046061B"/>
    <w:rsid w:val="00460CE9"/>
    <w:rsid w:val="00471594"/>
    <w:rsid w:val="004727D7"/>
    <w:rsid w:val="00473BC5"/>
    <w:rsid w:val="00476AD7"/>
    <w:rsid w:val="00476BA9"/>
    <w:rsid w:val="00476F90"/>
    <w:rsid w:val="00483419"/>
    <w:rsid w:val="004856B6"/>
    <w:rsid w:val="00485E66"/>
    <w:rsid w:val="00486181"/>
    <w:rsid w:val="004903F0"/>
    <w:rsid w:val="00491F91"/>
    <w:rsid w:val="00492477"/>
    <w:rsid w:val="004938D8"/>
    <w:rsid w:val="00495BBE"/>
    <w:rsid w:val="00496627"/>
    <w:rsid w:val="00497406"/>
    <w:rsid w:val="004A233B"/>
    <w:rsid w:val="004A47D9"/>
    <w:rsid w:val="004A61D6"/>
    <w:rsid w:val="004A65E3"/>
    <w:rsid w:val="004B0229"/>
    <w:rsid w:val="004B30E7"/>
    <w:rsid w:val="004B3732"/>
    <w:rsid w:val="004B413D"/>
    <w:rsid w:val="004B6691"/>
    <w:rsid w:val="004B6C6B"/>
    <w:rsid w:val="004C1D35"/>
    <w:rsid w:val="004C3E28"/>
    <w:rsid w:val="004C4B5F"/>
    <w:rsid w:val="004C5F0B"/>
    <w:rsid w:val="004D034C"/>
    <w:rsid w:val="004D1216"/>
    <w:rsid w:val="004D26FC"/>
    <w:rsid w:val="004D4211"/>
    <w:rsid w:val="004D77FB"/>
    <w:rsid w:val="004E2ED6"/>
    <w:rsid w:val="004E3222"/>
    <w:rsid w:val="004E3790"/>
    <w:rsid w:val="004E58F7"/>
    <w:rsid w:val="004F382E"/>
    <w:rsid w:val="004F3AF3"/>
    <w:rsid w:val="004F4A4C"/>
    <w:rsid w:val="004F7010"/>
    <w:rsid w:val="00502C83"/>
    <w:rsid w:val="0050459F"/>
    <w:rsid w:val="00504731"/>
    <w:rsid w:val="00505099"/>
    <w:rsid w:val="00505399"/>
    <w:rsid w:val="005061F4"/>
    <w:rsid w:val="00506E34"/>
    <w:rsid w:val="005123E7"/>
    <w:rsid w:val="005135A3"/>
    <w:rsid w:val="00514802"/>
    <w:rsid w:val="005148B9"/>
    <w:rsid w:val="00514FBE"/>
    <w:rsid w:val="00516347"/>
    <w:rsid w:val="00517391"/>
    <w:rsid w:val="00523F34"/>
    <w:rsid w:val="005278DF"/>
    <w:rsid w:val="0053181C"/>
    <w:rsid w:val="00533D31"/>
    <w:rsid w:val="005347E7"/>
    <w:rsid w:val="005417CA"/>
    <w:rsid w:val="00542ECA"/>
    <w:rsid w:val="00544F32"/>
    <w:rsid w:val="005468FE"/>
    <w:rsid w:val="005513C1"/>
    <w:rsid w:val="00551BAD"/>
    <w:rsid w:val="00551F63"/>
    <w:rsid w:val="005524BD"/>
    <w:rsid w:val="005529A1"/>
    <w:rsid w:val="005541D8"/>
    <w:rsid w:val="005551C4"/>
    <w:rsid w:val="00555888"/>
    <w:rsid w:val="00555F01"/>
    <w:rsid w:val="00555F3D"/>
    <w:rsid w:val="00556421"/>
    <w:rsid w:val="0055748C"/>
    <w:rsid w:val="00561490"/>
    <w:rsid w:val="00571301"/>
    <w:rsid w:val="00571430"/>
    <w:rsid w:val="00573F72"/>
    <w:rsid w:val="00573FF9"/>
    <w:rsid w:val="005757CF"/>
    <w:rsid w:val="0057665B"/>
    <w:rsid w:val="0058057E"/>
    <w:rsid w:val="00580741"/>
    <w:rsid w:val="00581EE6"/>
    <w:rsid w:val="00583FE9"/>
    <w:rsid w:val="00584E51"/>
    <w:rsid w:val="00587D3F"/>
    <w:rsid w:val="00592182"/>
    <w:rsid w:val="00593660"/>
    <w:rsid w:val="00595141"/>
    <w:rsid w:val="005974BC"/>
    <w:rsid w:val="005974DA"/>
    <w:rsid w:val="005A230A"/>
    <w:rsid w:val="005A3BDC"/>
    <w:rsid w:val="005A46B9"/>
    <w:rsid w:val="005A5E16"/>
    <w:rsid w:val="005A7C87"/>
    <w:rsid w:val="005B2CE9"/>
    <w:rsid w:val="005B4A34"/>
    <w:rsid w:val="005C0657"/>
    <w:rsid w:val="005C06D6"/>
    <w:rsid w:val="005C0F40"/>
    <w:rsid w:val="005C15E0"/>
    <w:rsid w:val="005C17AB"/>
    <w:rsid w:val="005C2971"/>
    <w:rsid w:val="005C29D6"/>
    <w:rsid w:val="005C730C"/>
    <w:rsid w:val="005D15C8"/>
    <w:rsid w:val="005D2373"/>
    <w:rsid w:val="005D6F1E"/>
    <w:rsid w:val="005D7223"/>
    <w:rsid w:val="005E0C78"/>
    <w:rsid w:val="005E0F45"/>
    <w:rsid w:val="005E3179"/>
    <w:rsid w:val="005E6DBD"/>
    <w:rsid w:val="005E70B9"/>
    <w:rsid w:val="005E78DF"/>
    <w:rsid w:val="005F044C"/>
    <w:rsid w:val="005F0A7F"/>
    <w:rsid w:val="005F17F5"/>
    <w:rsid w:val="005F3C38"/>
    <w:rsid w:val="005F403D"/>
    <w:rsid w:val="005F4BCC"/>
    <w:rsid w:val="00600CDE"/>
    <w:rsid w:val="00600F0B"/>
    <w:rsid w:val="00601597"/>
    <w:rsid w:val="006030D4"/>
    <w:rsid w:val="00603BDD"/>
    <w:rsid w:val="00603D37"/>
    <w:rsid w:val="00604334"/>
    <w:rsid w:val="006048FC"/>
    <w:rsid w:val="006123F3"/>
    <w:rsid w:val="0061390C"/>
    <w:rsid w:val="006147FF"/>
    <w:rsid w:val="00616389"/>
    <w:rsid w:val="00616534"/>
    <w:rsid w:val="00616E5F"/>
    <w:rsid w:val="006202E5"/>
    <w:rsid w:val="00623324"/>
    <w:rsid w:val="00623520"/>
    <w:rsid w:val="00624E8E"/>
    <w:rsid w:val="00625453"/>
    <w:rsid w:val="00625D84"/>
    <w:rsid w:val="00633469"/>
    <w:rsid w:val="006342C4"/>
    <w:rsid w:val="006371B1"/>
    <w:rsid w:val="00637B9E"/>
    <w:rsid w:val="0064141C"/>
    <w:rsid w:val="00641CB9"/>
    <w:rsid w:val="00644CBD"/>
    <w:rsid w:val="006461FC"/>
    <w:rsid w:val="006463E0"/>
    <w:rsid w:val="006469C0"/>
    <w:rsid w:val="00647B4E"/>
    <w:rsid w:val="00650E85"/>
    <w:rsid w:val="006516A9"/>
    <w:rsid w:val="00652799"/>
    <w:rsid w:val="006539E6"/>
    <w:rsid w:val="00660BFA"/>
    <w:rsid w:val="006642FB"/>
    <w:rsid w:val="0067149E"/>
    <w:rsid w:val="006718FB"/>
    <w:rsid w:val="00671E0A"/>
    <w:rsid w:val="006721C4"/>
    <w:rsid w:val="006721D8"/>
    <w:rsid w:val="00674840"/>
    <w:rsid w:val="00682B77"/>
    <w:rsid w:val="00684617"/>
    <w:rsid w:val="00685F22"/>
    <w:rsid w:val="006871C4"/>
    <w:rsid w:val="00691966"/>
    <w:rsid w:val="00692C2B"/>
    <w:rsid w:val="00692F59"/>
    <w:rsid w:val="006936C0"/>
    <w:rsid w:val="0069421D"/>
    <w:rsid w:val="0069500B"/>
    <w:rsid w:val="00695026"/>
    <w:rsid w:val="00695878"/>
    <w:rsid w:val="00696058"/>
    <w:rsid w:val="00696966"/>
    <w:rsid w:val="00696BFE"/>
    <w:rsid w:val="006974ED"/>
    <w:rsid w:val="00697970"/>
    <w:rsid w:val="006A026D"/>
    <w:rsid w:val="006A0897"/>
    <w:rsid w:val="006A0E66"/>
    <w:rsid w:val="006A19A0"/>
    <w:rsid w:val="006A1C1E"/>
    <w:rsid w:val="006A3E72"/>
    <w:rsid w:val="006A4BF6"/>
    <w:rsid w:val="006A57CF"/>
    <w:rsid w:val="006A5EAF"/>
    <w:rsid w:val="006A6A9F"/>
    <w:rsid w:val="006A7A8B"/>
    <w:rsid w:val="006A7C39"/>
    <w:rsid w:val="006B125F"/>
    <w:rsid w:val="006B1882"/>
    <w:rsid w:val="006B450A"/>
    <w:rsid w:val="006B6789"/>
    <w:rsid w:val="006B722E"/>
    <w:rsid w:val="006B7549"/>
    <w:rsid w:val="006C062C"/>
    <w:rsid w:val="006C1B9B"/>
    <w:rsid w:val="006C41D7"/>
    <w:rsid w:val="006C50F4"/>
    <w:rsid w:val="006C52ED"/>
    <w:rsid w:val="006C6D78"/>
    <w:rsid w:val="006C78A6"/>
    <w:rsid w:val="006D2C06"/>
    <w:rsid w:val="006D5115"/>
    <w:rsid w:val="006D5326"/>
    <w:rsid w:val="006D7C14"/>
    <w:rsid w:val="006E310D"/>
    <w:rsid w:val="006E361B"/>
    <w:rsid w:val="006E4A55"/>
    <w:rsid w:val="006E53E3"/>
    <w:rsid w:val="006E7F1C"/>
    <w:rsid w:val="006F33E0"/>
    <w:rsid w:val="006F4154"/>
    <w:rsid w:val="006F54B6"/>
    <w:rsid w:val="006F5A38"/>
    <w:rsid w:val="006F76B9"/>
    <w:rsid w:val="007011E0"/>
    <w:rsid w:val="00702FEE"/>
    <w:rsid w:val="00703750"/>
    <w:rsid w:val="00710B61"/>
    <w:rsid w:val="00711405"/>
    <w:rsid w:val="007124C8"/>
    <w:rsid w:val="00714024"/>
    <w:rsid w:val="007146F0"/>
    <w:rsid w:val="007165CA"/>
    <w:rsid w:val="007179D3"/>
    <w:rsid w:val="00721160"/>
    <w:rsid w:val="007223DB"/>
    <w:rsid w:val="007236F8"/>
    <w:rsid w:val="00725054"/>
    <w:rsid w:val="00726B26"/>
    <w:rsid w:val="0073016C"/>
    <w:rsid w:val="00732A89"/>
    <w:rsid w:val="00734EE8"/>
    <w:rsid w:val="00734FCE"/>
    <w:rsid w:val="00737F9E"/>
    <w:rsid w:val="00740D83"/>
    <w:rsid w:val="00743DCD"/>
    <w:rsid w:val="007441BF"/>
    <w:rsid w:val="007467EB"/>
    <w:rsid w:val="007470B6"/>
    <w:rsid w:val="00747184"/>
    <w:rsid w:val="00752327"/>
    <w:rsid w:val="007564BD"/>
    <w:rsid w:val="007577E4"/>
    <w:rsid w:val="00757FCB"/>
    <w:rsid w:val="00761BDE"/>
    <w:rsid w:val="0076581D"/>
    <w:rsid w:val="00765EF8"/>
    <w:rsid w:val="00766F97"/>
    <w:rsid w:val="00770909"/>
    <w:rsid w:val="007719A0"/>
    <w:rsid w:val="007724C2"/>
    <w:rsid w:val="007739D8"/>
    <w:rsid w:val="00775F5A"/>
    <w:rsid w:val="007763B8"/>
    <w:rsid w:val="007818F7"/>
    <w:rsid w:val="007821C5"/>
    <w:rsid w:val="00782F05"/>
    <w:rsid w:val="00783EDB"/>
    <w:rsid w:val="00784EF1"/>
    <w:rsid w:val="00785755"/>
    <w:rsid w:val="007858D8"/>
    <w:rsid w:val="00787C8C"/>
    <w:rsid w:val="00787F37"/>
    <w:rsid w:val="00792EF2"/>
    <w:rsid w:val="00792F48"/>
    <w:rsid w:val="00793316"/>
    <w:rsid w:val="007949A1"/>
    <w:rsid w:val="0079764E"/>
    <w:rsid w:val="00797F95"/>
    <w:rsid w:val="007A2BB9"/>
    <w:rsid w:val="007A6041"/>
    <w:rsid w:val="007A6EED"/>
    <w:rsid w:val="007A7E79"/>
    <w:rsid w:val="007B02CC"/>
    <w:rsid w:val="007B2A1C"/>
    <w:rsid w:val="007B377D"/>
    <w:rsid w:val="007B69D9"/>
    <w:rsid w:val="007B6C07"/>
    <w:rsid w:val="007C37EC"/>
    <w:rsid w:val="007C504A"/>
    <w:rsid w:val="007C6FB3"/>
    <w:rsid w:val="007C7045"/>
    <w:rsid w:val="007D1924"/>
    <w:rsid w:val="007D382C"/>
    <w:rsid w:val="007D421D"/>
    <w:rsid w:val="007D49F2"/>
    <w:rsid w:val="007E1720"/>
    <w:rsid w:val="007E21D3"/>
    <w:rsid w:val="007E4403"/>
    <w:rsid w:val="007E48E7"/>
    <w:rsid w:val="007E64CD"/>
    <w:rsid w:val="007F2986"/>
    <w:rsid w:val="007F6721"/>
    <w:rsid w:val="007F6D25"/>
    <w:rsid w:val="00803361"/>
    <w:rsid w:val="00803375"/>
    <w:rsid w:val="00803CD6"/>
    <w:rsid w:val="0080489E"/>
    <w:rsid w:val="008053DB"/>
    <w:rsid w:val="00810551"/>
    <w:rsid w:val="008110A1"/>
    <w:rsid w:val="00811702"/>
    <w:rsid w:val="0081594F"/>
    <w:rsid w:val="00816239"/>
    <w:rsid w:val="00820B20"/>
    <w:rsid w:val="00823850"/>
    <w:rsid w:val="00826402"/>
    <w:rsid w:val="00830B7D"/>
    <w:rsid w:val="00836942"/>
    <w:rsid w:val="008402B5"/>
    <w:rsid w:val="00841284"/>
    <w:rsid w:val="00841D78"/>
    <w:rsid w:val="008428A6"/>
    <w:rsid w:val="00843F1F"/>
    <w:rsid w:val="008447F5"/>
    <w:rsid w:val="008449D7"/>
    <w:rsid w:val="00844B67"/>
    <w:rsid w:val="00845499"/>
    <w:rsid w:val="00845F17"/>
    <w:rsid w:val="0085160E"/>
    <w:rsid w:val="0085183A"/>
    <w:rsid w:val="008528C5"/>
    <w:rsid w:val="0085365F"/>
    <w:rsid w:val="00853C1D"/>
    <w:rsid w:val="008557DC"/>
    <w:rsid w:val="00856C53"/>
    <w:rsid w:val="00857B6E"/>
    <w:rsid w:val="008601BE"/>
    <w:rsid w:val="00861BF2"/>
    <w:rsid w:val="00862B0C"/>
    <w:rsid w:val="00862F37"/>
    <w:rsid w:val="00863828"/>
    <w:rsid w:val="0086457E"/>
    <w:rsid w:val="008653B2"/>
    <w:rsid w:val="00867EB6"/>
    <w:rsid w:val="0087260B"/>
    <w:rsid w:val="0087358C"/>
    <w:rsid w:val="00874286"/>
    <w:rsid w:val="0087463C"/>
    <w:rsid w:val="0087524E"/>
    <w:rsid w:val="00881C6E"/>
    <w:rsid w:val="0088289C"/>
    <w:rsid w:val="00884B97"/>
    <w:rsid w:val="00885E2D"/>
    <w:rsid w:val="0088661A"/>
    <w:rsid w:val="0089299D"/>
    <w:rsid w:val="00893476"/>
    <w:rsid w:val="008940F3"/>
    <w:rsid w:val="008947E6"/>
    <w:rsid w:val="008A0145"/>
    <w:rsid w:val="008A08C3"/>
    <w:rsid w:val="008A38A2"/>
    <w:rsid w:val="008A50DB"/>
    <w:rsid w:val="008A515A"/>
    <w:rsid w:val="008B045C"/>
    <w:rsid w:val="008B058A"/>
    <w:rsid w:val="008B0934"/>
    <w:rsid w:val="008B1856"/>
    <w:rsid w:val="008B3815"/>
    <w:rsid w:val="008B398E"/>
    <w:rsid w:val="008B3F33"/>
    <w:rsid w:val="008B5A68"/>
    <w:rsid w:val="008B5A8C"/>
    <w:rsid w:val="008B7633"/>
    <w:rsid w:val="008B79C7"/>
    <w:rsid w:val="008C0412"/>
    <w:rsid w:val="008C4688"/>
    <w:rsid w:val="008C5A37"/>
    <w:rsid w:val="008C75F8"/>
    <w:rsid w:val="008C7852"/>
    <w:rsid w:val="008C7B8A"/>
    <w:rsid w:val="008D3F8A"/>
    <w:rsid w:val="008D54FC"/>
    <w:rsid w:val="008E5718"/>
    <w:rsid w:val="008E70E8"/>
    <w:rsid w:val="008E7D9F"/>
    <w:rsid w:val="008F158F"/>
    <w:rsid w:val="008F2034"/>
    <w:rsid w:val="008F250F"/>
    <w:rsid w:val="008F557B"/>
    <w:rsid w:val="008F7884"/>
    <w:rsid w:val="009014E1"/>
    <w:rsid w:val="0090196E"/>
    <w:rsid w:val="0090240B"/>
    <w:rsid w:val="0090334B"/>
    <w:rsid w:val="00905EEC"/>
    <w:rsid w:val="009066C0"/>
    <w:rsid w:val="00907DB9"/>
    <w:rsid w:val="00913B0E"/>
    <w:rsid w:val="00913D31"/>
    <w:rsid w:val="00914DDE"/>
    <w:rsid w:val="00914FAE"/>
    <w:rsid w:val="009168BF"/>
    <w:rsid w:val="00917C04"/>
    <w:rsid w:val="0092149A"/>
    <w:rsid w:val="00922A2D"/>
    <w:rsid w:val="009237B5"/>
    <w:rsid w:val="00923DF1"/>
    <w:rsid w:val="009240D5"/>
    <w:rsid w:val="00924C1E"/>
    <w:rsid w:val="00924E76"/>
    <w:rsid w:val="00925892"/>
    <w:rsid w:val="00926537"/>
    <w:rsid w:val="0092685E"/>
    <w:rsid w:val="009268D7"/>
    <w:rsid w:val="009351F8"/>
    <w:rsid w:val="00936BC6"/>
    <w:rsid w:val="00940DF3"/>
    <w:rsid w:val="0094168D"/>
    <w:rsid w:val="00945E12"/>
    <w:rsid w:val="009479CD"/>
    <w:rsid w:val="00952544"/>
    <w:rsid w:val="009540B8"/>
    <w:rsid w:val="00955580"/>
    <w:rsid w:val="00955ABF"/>
    <w:rsid w:val="00955FA0"/>
    <w:rsid w:val="00957479"/>
    <w:rsid w:val="00957B01"/>
    <w:rsid w:val="00957DE7"/>
    <w:rsid w:val="0096201F"/>
    <w:rsid w:val="00962B7E"/>
    <w:rsid w:val="009636ED"/>
    <w:rsid w:val="009645E1"/>
    <w:rsid w:val="00965353"/>
    <w:rsid w:val="00965520"/>
    <w:rsid w:val="00972FE4"/>
    <w:rsid w:val="00976355"/>
    <w:rsid w:val="00977EE9"/>
    <w:rsid w:val="009806C7"/>
    <w:rsid w:val="0098103E"/>
    <w:rsid w:val="009847BD"/>
    <w:rsid w:val="00985537"/>
    <w:rsid w:val="0098784E"/>
    <w:rsid w:val="00987962"/>
    <w:rsid w:val="00992535"/>
    <w:rsid w:val="009955E1"/>
    <w:rsid w:val="009A20F5"/>
    <w:rsid w:val="009A3298"/>
    <w:rsid w:val="009A32B8"/>
    <w:rsid w:val="009A6208"/>
    <w:rsid w:val="009B2B03"/>
    <w:rsid w:val="009B3BBD"/>
    <w:rsid w:val="009B448F"/>
    <w:rsid w:val="009B5154"/>
    <w:rsid w:val="009B5914"/>
    <w:rsid w:val="009B66DE"/>
    <w:rsid w:val="009B6E56"/>
    <w:rsid w:val="009C1011"/>
    <w:rsid w:val="009C1F0D"/>
    <w:rsid w:val="009C36E0"/>
    <w:rsid w:val="009C4244"/>
    <w:rsid w:val="009C5E69"/>
    <w:rsid w:val="009D2AA9"/>
    <w:rsid w:val="009D320E"/>
    <w:rsid w:val="009D3344"/>
    <w:rsid w:val="009E3A70"/>
    <w:rsid w:val="009E4E61"/>
    <w:rsid w:val="009F1619"/>
    <w:rsid w:val="009F1C40"/>
    <w:rsid w:val="009F2316"/>
    <w:rsid w:val="009F5510"/>
    <w:rsid w:val="009F62A4"/>
    <w:rsid w:val="009F6768"/>
    <w:rsid w:val="009F6A9E"/>
    <w:rsid w:val="00A071CF"/>
    <w:rsid w:val="00A075D5"/>
    <w:rsid w:val="00A12003"/>
    <w:rsid w:val="00A12237"/>
    <w:rsid w:val="00A15173"/>
    <w:rsid w:val="00A1738B"/>
    <w:rsid w:val="00A21723"/>
    <w:rsid w:val="00A21FB6"/>
    <w:rsid w:val="00A25B3B"/>
    <w:rsid w:val="00A25BF3"/>
    <w:rsid w:val="00A27BDA"/>
    <w:rsid w:val="00A326BB"/>
    <w:rsid w:val="00A339E7"/>
    <w:rsid w:val="00A3417D"/>
    <w:rsid w:val="00A3479B"/>
    <w:rsid w:val="00A37365"/>
    <w:rsid w:val="00A379E7"/>
    <w:rsid w:val="00A37B9A"/>
    <w:rsid w:val="00A428AC"/>
    <w:rsid w:val="00A43A7E"/>
    <w:rsid w:val="00A45C9F"/>
    <w:rsid w:val="00A5153C"/>
    <w:rsid w:val="00A52443"/>
    <w:rsid w:val="00A5498D"/>
    <w:rsid w:val="00A5754B"/>
    <w:rsid w:val="00A57584"/>
    <w:rsid w:val="00A57F7F"/>
    <w:rsid w:val="00A6303F"/>
    <w:rsid w:val="00A653E9"/>
    <w:rsid w:val="00A65D8D"/>
    <w:rsid w:val="00A705E9"/>
    <w:rsid w:val="00A73836"/>
    <w:rsid w:val="00A73DB8"/>
    <w:rsid w:val="00A75217"/>
    <w:rsid w:val="00A75A4D"/>
    <w:rsid w:val="00A771F7"/>
    <w:rsid w:val="00A824FE"/>
    <w:rsid w:val="00A838C7"/>
    <w:rsid w:val="00A84319"/>
    <w:rsid w:val="00A851C0"/>
    <w:rsid w:val="00A8565F"/>
    <w:rsid w:val="00A85E38"/>
    <w:rsid w:val="00A8754E"/>
    <w:rsid w:val="00A92C56"/>
    <w:rsid w:val="00A97CD1"/>
    <w:rsid w:val="00AA02E1"/>
    <w:rsid w:val="00AA2CCF"/>
    <w:rsid w:val="00AA4402"/>
    <w:rsid w:val="00AA51C2"/>
    <w:rsid w:val="00AA54E0"/>
    <w:rsid w:val="00AA6EB3"/>
    <w:rsid w:val="00AA7E2A"/>
    <w:rsid w:val="00AB0145"/>
    <w:rsid w:val="00AB230E"/>
    <w:rsid w:val="00AB341C"/>
    <w:rsid w:val="00AB37FC"/>
    <w:rsid w:val="00AB3FB7"/>
    <w:rsid w:val="00AC072D"/>
    <w:rsid w:val="00AC0A29"/>
    <w:rsid w:val="00AC1EBC"/>
    <w:rsid w:val="00AC3817"/>
    <w:rsid w:val="00AC3C00"/>
    <w:rsid w:val="00AC58A3"/>
    <w:rsid w:val="00AC630A"/>
    <w:rsid w:val="00AD06B7"/>
    <w:rsid w:val="00AD2A13"/>
    <w:rsid w:val="00AD32D6"/>
    <w:rsid w:val="00AD5627"/>
    <w:rsid w:val="00AD5FEA"/>
    <w:rsid w:val="00AD7E0E"/>
    <w:rsid w:val="00AE0F00"/>
    <w:rsid w:val="00AE1D8D"/>
    <w:rsid w:val="00AE4E0C"/>
    <w:rsid w:val="00AE6843"/>
    <w:rsid w:val="00AE6D69"/>
    <w:rsid w:val="00AE74D7"/>
    <w:rsid w:val="00AE77D1"/>
    <w:rsid w:val="00AF0210"/>
    <w:rsid w:val="00AF1EA6"/>
    <w:rsid w:val="00AF51DB"/>
    <w:rsid w:val="00AF730B"/>
    <w:rsid w:val="00B001F8"/>
    <w:rsid w:val="00B0029D"/>
    <w:rsid w:val="00B029F2"/>
    <w:rsid w:val="00B02DAB"/>
    <w:rsid w:val="00B039AC"/>
    <w:rsid w:val="00B039EC"/>
    <w:rsid w:val="00B03FB1"/>
    <w:rsid w:val="00B05D61"/>
    <w:rsid w:val="00B07286"/>
    <w:rsid w:val="00B07D2C"/>
    <w:rsid w:val="00B11376"/>
    <w:rsid w:val="00B11EC8"/>
    <w:rsid w:val="00B1241A"/>
    <w:rsid w:val="00B13207"/>
    <w:rsid w:val="00B13ABB"/>
    <w:rsid w:val="00B15A8F"/>
    <w:rsid w:val="00B164E7"/>
    <w:rsid w:val="00B17BE3"/>
    <w:rsid w:val="00B20E6C"/>
    <w:rsid w:val="00B23C3D"/>
    <w:rsid w:val="00B26AD0"/>
    <w:rsid w:val="00B273FF"/>
    <w:rsid w:val="00B27471"/>
    <w:rsid w:val="00B27F80"/>
    <w:rsid w:val="00B308AF"/>
    <w:rsid w:val="00B32380"/>
    <w:rsid w:val="00B329FB"/>
    <w:rsid w:val="00B33C07"/>
    <w:rsid w:val="00B3765C"/>
    <w:rsid w:val="00B40D8E"/>
    <w:rsid w:val="00B4222D"/>
    <w:rsid w:val="00B426BC"/>
    <w:rsid w:val="00B45947"/>
    <w:rsid w:val="00B46718"/>
    <w:rsid w:val="00B47314"/>
    <w:rsid w:val="00B51203"/>
    <w:rsid w:val="00B51D81"/>
    <w:rsid w:val="00B53336"/>
    <w:rsid w:val="00B55CDD"/>
    <w:rsid w:val="00B55E65"/>
    <w:rsid w:val="00B56A98"/>
    <w:rsid w:val="00B5793F"/>
    <w:rsid w:val="00B615AD"/>
    <w:rsid w:val="00B61D9E"/>
    <w:rsid w:val="00B620F8"/>
    <w:rsid w:val="00B62953"/>
    <w:rsid w:val="00B62D09"/>
    <w:rsid w:val="00B63DD1"/>
    <w:rsid w:val="00B6737A"/>
    <w:rsid w:val="00B67962"/>
    <w:rsid w:val="00B67F70"/>
    <w:rsid w:val="00B702ED"/>
    <w:rsid w:val="00B7396A"/>
    <w:rsid w:val="00B7451D"/>
    <w:rsid w:val="00B757DF"/>
    <w:rsid w:val="00B768EB"/>
    <w:rsid w:val="00B7694B"/>
    <w:rsid w:val="00B816C2"/>
    <w:rsid w:val="00B8322A"/>
    <w:rsid w:val="00B840EE"/>
    <w:rsid w:val="00B95185"/>
    <w:rsid w:val="00B9575A"/>
    <w:rsid w:val="00B959C2"/>
    <w:rsid w:val="00B97F05"/>
    <w:rsid w:val="00BA0754"/>
    <w:rsid w:val="00BA1171"/>
    <w:rsid w:val="00BA3940"/>
    <w:rsid w:val="00BA44A5"/>
    <w:rsid w:val="00BA6041"/>
    <w:rsid w:val="00BA61A4"/>
    <w:rsid w:val="00BA61FC"/>
    <w:rsid w:val="00BB1D24"/>
    <w:rsid w:val="00BB2BB7"/>
    <w:rsid w:val="00BB69DF"/>
    <w:rsid w:val="00BB7668"/>
    <w:rsid w:val="00BB79D2"/>
    <w:rsid w:val="00BC0A31"/>
    <w:rsid w:val="00BC4379"/>
    <w:rsid w:val="00BC50A5"/>
    <w:rsid w:val="00BC6088"/>
    <w:rsid w:val="00BD084A"/>
    <w:rsid w:val="00BD0E87"/>
    <w:rsid w:val="00BD1012"/>
    <w:rsid w:val="00BD2EDA"/>
    <w:rsid w:val="00BD534C"/>
    <w:rsid w:val="00BE0988"/>
    <w:rsid w:val="00BE1C30"/>
    <w:rsid w:val="00BE1DE3"/>
    <w:rsid w:val="00BE303D"/>
    <w:rsid w:val="00BE4026"/>
    <w:rsid w:val="00BE4487"/>
    <w:rsid w:val="00BE5397"/>
    <w:rsid w:val="00BF0ABD"/>
    <w:rsid w:val="00BF14B2"/>
    <w:rsid w:val="00BF1C7A"/>
    <w:rsid w:val="00BF1D16"/>
    <w:rsid w:val="00BF2B83"/>
    <w:rsid w:val="00BF318D"/>
    <w:rsid w:val="00BF3873"/>
    <w:rsid w:val="00BF4861"/>
    <w:rsid w:val="00BF5F82"/>
    <w:rsid w:val="00C036A6"/>
    <w:rsid w:val="00C05F9A"/>
    <w:rsid w:val="00C147B1"/>
    <w:rsid w:val="00C14ABC"/>
    <w:rsid w:val="00C152DA"/>
    <w:rsid w:val="00C164D3"/>
    <w:rsid w:val="00C216B1"/>
    <w:rsid w:val="00C219A3"/>
    <w:rsid w:val="00C21F9B"/>
    <w:rsid w:val="00C24C60"/>
    <w:rsid w:val="00C250C8"/>
    <w:rsid w:val="00C30817"/>
    <w:rsid w:val="00C33495"/>
    <w:rsid w:val="00C3431B"/>
    <w:rsid w:val="00C36006"/>
    <w:rsid w:val="00C40DEB"/>
    <w:rsid w:val="00C40E98"/>
    <w:rsid w:val="00C41328"/>
    <w:rsid w:val="00C42B0E"/>
    <w:rsid w:val="00C44194"/>
    <w:rsid w:val="00C45082"/>
    <w:rsid w:val="00C458BA"/>
    <w:rsid w:val="00C46EAA"/>
    <w:rsid w:val="00C500AB"/>
    <w:rsid w:val="00C51B33"/>
    <w:rsid w:val="00C51D4F"/>
    <w:rsid w:val="00C52B83"/>
    <w:rsid w:val="00C532F6"/>
    <w:rsid w:val="00C53C21"/>
    <w:rsid w:val="00C556AB"/>
    <w:rsid w:val="00C56AF6"/>
    <w:rsid w:val="00C56BBB"/>
    <w:rsid w:val="00C57384"/>
    <w:rsid w:val="00C63365"/>
    <w:rsid w:val="00C64CB7"/>
    <w:rsid w:val="00C65A53"/>
    <w:rsid w:val="00C66176"/>
    <w:rsid w:val="00C666B0"/>
    <w:rsid w:val="00C7073F"/>
    <w:rsid w:val="00C726CC"/>
    <w:rsid w:val="00C73781"/>
    <w:rsid w:val="00C75AA1"/>
    <w:rsid w:val="00C76B13"/>
    <w:rsid w:val="00C7765C"/>
    <w:rsid w:val="00C8269D"/>
    <w:rsid w:val="00C83940"/>
    <w:rsid w:val="00C842CD"/>
    <w:rsid w:val="00C84F97"/>
    <w:rsid w:val="00C90D2B"/>
    <w:rsid w:val="00C911BF"/>
    <w:rsid w:val="00C918DB"/>
    <w:rsid w:val="00C922E1"/>
    <w:rsid w:val="00C92ECF"/>
    <w:rsid w:val="00C9575C"/>
    <w:rsid w:val="00C95CD0"/>
    <w:rsid w:val="00C9675E"/>
    <w:rsid w:val="00CA49F6"/>
    <w:rsid w:val="00CB05BF"/>
    <w:rsid w:val="00CB1F1E"/>
    <w:rsid w:val="00CB5285"/>
    <w:rsid w:val="00CB6244"/>
    <w:rsid w:val="00CB6E9E"/>
    <w:rsid w:val="00CC2310"/>
    <w:rsid w:val="00CC38B3"/>
    <w:rsid w:val="00CC3B92"/>
    <w:rsid w:val="00CC6A09"/>
    <w:rsid w:val="00CC74E1"/>
    <w:rsid w:val="00CD09B7"/>
    <w:rsid w:val="00CD1E21"/>
    <w:rsid w:val="00CD5D97"/>
    <w:rsid w:val="00CD6531"/>
    <w:rsid w:val="00CD680D"/>
    <w:rsid w:val="00CD68B6"/>
    <w:rsid w:val="00CD7412"/>
    <w:rsid w:val="00CE1F4A"/>
    <w:rsid w:val="00CE2AFC"/>
    <w:rsid w:val="00CE44DE"/>
    <w:rsid w:val="00CE4B8A"/>
    <w:rsid w:val="00CF0D34"/>
    <w:rsid w:val="00CF11BE"/>
    <w:rsid w:val="00CF313D"/>
    <w:rsid w:val="00CF514D"/>
    <w:rsid w:val="00CF572B"/>
    <w:rsid w:val="00CF65D8"/>
    <w:rsid w:val="00D005A1"/>
    <w:rsid w:val="00D013AF"/>
    <w:rsid w:val="00D031A1"/>
    <w:rsid w:val="00D0410D"/>
    <w:rsid w:val="00D05F54"/>
    <w:rsid w:val="00D0641E"/>
    <w:rsid w:val="00D06789"/>
    <w:rsid w:val="00D13420"/>
    <w:rsid w:val="00D149ED"/>
    <w:rsid w:val="00D14B40"/>
    <w:rsid w:val="00D20015"/>
    <w:rsid w:val="00D223D7"/>
    <w:rsid w:val="00D24824"/>
    <w:rsid w:val="00D25121"/>
    <w:rsid w:val="00D30256"/>
    <w:rsid w:val="00D32787"/>
    <w:rsid w:val="00D33B09"/>
    <w:rsid w:val="00D3433A"/>
    <w:rsid w:val="00D34F31"/>
    <w:rsid w:val="00D375EA"/>
    <w:rsid w:val="00D37623"/>
    <w:rsid w:val="00D40F15"/>
    <w:rsid w:val="00D42DA0"/>
    <w:rsid w:val="00D43BB2"/>
    <w:rsid w:val="00D43E94"/>
    <w:rsid w:val="00D46670"/>
    <w:rsid w:val="00D51303"/>
    <w:rsid w:val="00D515F4"/>
    <w:rsid w:val="00D522D5"/>
    <w:rsid w:val="00D56B0E"/>
    <w:rsid w:val="00D579C2"/>
    <w:rsid w:val="00D611E5"/>
    <w:rsid w:val="00D62F54"/>
    <w:rsid w:val="00D645F7"/>
    <w:rsid w:val="00D655C9"/>
    <w:rsid w:val="00D67E0D"/>
    <w:rsid w:val="00D67E96"/>
    <w:rsid w:val="00D70EF6"/>
    <w:rsid w:val="00D718D4"/>
    <w:rsid w:val="00D72850"/>
    <w:rsid w:val="00D728BC"/>
    <w:rsid w:val="00D73171"/>
    <w:rsid w:val="00D74D08"/>
    <w:rsid w:val="00D7666B"/>
    <w:rsid w:val="00D77C8F"/>
    <w:rsid w:val="00D80FA8"/>
    <w:rsid w:val="00D820C3"/>
    <w:rsid w:val="00D82498"/>
    <w:rsid w:val="00D82872"/>
    <w:rsid w:val="00D83364"/>
    <w:rsid w:val="00D833C6"/>
    <w:rsid w:val="00D84A4E"/>
    <w:rsid w:val="00D85134"/>
    <w:rsid w:val="00D85D06"/>
    <w:rsid w:val="00D86306"/>
    <w:rsid w:val="00D925AB"/>
    <w:rsid w:val="00D93068"/>
    <w:rsid w:val="00D94F85"/>
    <w:rsid w:val="00D95A93"/>
    <w:rsid w:val="00D96484"/>
    <w:rsid w:val="00D977B6"/>
    <w:rsid w:val="00DA1323"/>
    <w:rsid w:val="00DA1677"/>
    <w:rsid w:val="00DA18E9"/>
    <w:rsid w:val="00DA26CF"/>
    <w:rsid w:val="00DA790E"/>
    <w:rsid w:val="00DB0514"/>
    <w:rsid w:val="00DB1F34"/>
    <w:rsid w:val="00DB2804"/>
    <w:rsid w:val="00DB2EDD"/>
    <w:rsid w:val="00DB4001"/>
    <w:rsid w:val="00DC0AB3"/>
    <w:rsid w:val="00DC2AEE"/>
    <w:rsid w:val="00DC5380"/>
    <w:rsid w:val="00DC6D94"/>
    <w:rsid w:val="00DC6F25"/>
    <w:rsid w:val="00DD049F"/>
    <w:rsid w:val="00DD1DB3"/>
    <w:rsid w:val="00DD4350"/>
    <w:rsid w:val="00DD543E"/>
    <w:rsid w:val="00DE25E4"/>
    <w:rsid w:val="00DE301F"/>
    <w:rsid w:val="00DE56D2"/>
    <w:rsid w:val="00DE5786"/>
    <w:rsid w:val="00DE6C5D"/>
    <w:rsid w:val="00DE7AB9"/>
    <w:rsid w:val="00DF16D4"/>
    <w:rsid w:val="00DF19E7"/>
    <w:rsid w:val="00DF2B0D"/>
    <w:rsid w:val="00DF2C83"/>
    <w:rsid w:val="00DF3B88"/>
    <w:rsid w:val="00DF441A"/>
    <w:rsid w:val="00DF4E9F"/>
    <w:rsid w:val="00DF6D62"/>
    <w:rsid w:val="00DF6FC9"/>
    <w:rsid w:val="00DF7A03"/>
    <w:rsid w:val="00E0065E"/>
    <w:rsid w:val="00E01B85"/>
    <w:rsid w:val="00E033AB"/>
    <w:rsid w:val="00E05F65"/>
    <w:rsid w:val="00E06ABD"/>
    <w:rsid w:val="00E14AB8"/>
    <w:rsid w:val="00E15ECF"/>
    <w:rsid w:val="00E17811"/>
    <w:rsid w:val="00E2003F"/>
    <w:rsid w:val="00E27205"/>
    <w:rsid w:val="00E275AE"/>
    <w:rsid w:val="00E30B61"/>
    <w:rsid w:val="00E31BFD"/>
    <w:rsid w:val="00E32F92"/>
    <w:rsid w:val="00E36832"/>
    <w:rsid w:val="00E43A41"/>
    <w:rsid w:val="00E43DB9"/>
    <w:rsid w:val="00E46A16"/>
    <w:rsid w:val="00E502EC"/>
    <w:rsid w:val="00E502F8"/>
    <w:rsid w:val="00E5118A"/>
    <w:rsid w:val="00E52206"/>
    <w:rsid w:val="00E534D4"/>
    <w:rsid w:val="00E54026"/>
    <w:rsid w:val="00E54D7E"/>
    <w:rsid w:val="00E56CB6"/>
    <w:rsid w:val="00E6325A"/>
    <w:rsid w:val="00E635D1"/>
    <w:rsid w:val="00E7209D"/>
    <w:rsid w:val="00E74B9D"/>
    <w:rsid w:val="00E76C42"/>
    <w:rsid w:val="00E77393"/>
    <w:rsid w:val="00E81983"/>
    <w:rsid w:val="00E836D0"/>
    <w:rsid w:val="00E86664"/>
    <w:rsid w:val="00E86FF3"/>
    <w:rsid w:val="00E87049"/>
    <w:rsid w:val="00E904EF"/>
    <w:rsid w:val="00E90524"/>
    <w:rsid w:val="00E92A2A"/>
    <w:rsid w:val="00E93344"/>
    <w:rsid w:val="00E94D8A"/>
    <w:rsid w:val="00E97ABE"/>
    <w:rsid w:val="00EA04D3"/>
    <w:rsid w:val="00EA103F"/>
    <w:rsid w:val="00EA10BC"/>
    <w:rsid w:val="00EA234A"/>
    <w:rsid w:val="00EA391D"/>
    <w:rsid w:val="00EA3BEE"/>
    <w:rsid w:val="00EA41BC"/>
    <w:rsid w:val="00EA6702"/>
    <w:rsid w:val="00EA794E"/>
    <w:rsid w:val="00EA7B6F"/>
    <w:rsid w:val="00EA7F26"/>
    <w:rsid w:val="00EA7F32"/>
    <w:rsid w:val="00EB4AD8"/>
    <w:rsid w:val="00EB5ECB"/>
    <w:rsid w:val="00EB7729"/>
    <w:rsid w:val="00EC58BB"/>
    <w:rsid w:val="00EC5FDE"/>
    <w:rsid w:val="00EC6971"/>
    <w:rsid w:val="00EC744C"/>
    <w:rsid w:val="00EC7966"/>
    <w:rsid w:val="00EC7EAE"/>
    <w:rsid w:val="00ED17BA"/>
    <w:rsid w:val="00ED2E5B"/>
    <w:rsid w:val="00ED54A6"/>
    <w:rsid w:val="00ED6B10"/>
    <w:rsid w:val="00ED7CB8"/>
    <w:rsid w:val="00EE1155"/>
    <w:rsid w:val="00EE18FC"/>
    <w:rsid w:val="00EE587F"/>
    <w:rsid w:val="00EE6520"/>
    <w:rsid w:val="00EE74BA"/>
    <w:rsid w:val="00EF2645"/>
    <w:rsid w:val="00EF358C"/>
    <w:rsid w:val="00EF3847"/>
    <w:rsid w:val="00EF43ED"/>
    <w:rsid w:val="00EF649E"/>
    <w:rsid w:val="00F003B8"/>
    <w:rsid w:val="00F00974"/>
    <w:rsid w:val="00F00A76"/>
    <w:rsid w:val="00F069E4"/>
    <w:rsid w:val="00F07837"/>
    <w:rsid w:val="00F07C9C"/>
    <w:rsid w:val="00F10762"/>
    <w:rsid w:val="00F11D1B"/>
    <w:rsid w:val="00F1440B"/>
    <w:rsid w:val="00F1478C"/>
    <w:rsid w:val="00F1570E"/>
    <w:rsid w:val="00F15E1C"/>
    <w:rsid w:val="00F16561"/>
    <w:rsid w:val="00F16F1A"/>
    <w:rsid w:val="00F20F68"/>
    <w:rsid w:val="00F2109C"/>
    <w:rsid w:val="00F23FBA"/>
    <w:rsid w:val="00F24F7E"/>
    <w:rsid w:val="00F250A6"/>
    <w:rsid w:val="00F258EF"/>
    <w:rsid w:val="00F2712D"/>
    <w:rsid w:val="00F2767E"/>
    <w:rsid w:val="00F277AF"/>
    <w:rsid w:val="00F3200A"/>
    <w:rsid w:val="00F36502"/>
    <w:rsid w:val="00F366FF"/>
    <w:rsid w:val="00F37185"/>
    <w:rsid w:val="00F37DD6"/>
    <w:rsid w:val="00F42AFA"/>
    <w:rsid w:val="00F432C4"/>
    <w:rsid w:val="00F43D50"/>
    <w:rsid w:val="00F4435F"/>
    <w:rsid w:val="00F456EC"/>
    <w:rsid w:val="00F45919"/>
    <w:rsid w:val="00F47B63"/>
    <w:rsid w:val="00F51F20"/>
    <w:rsid w:val="00F53018"/>
    <w:rsid w:val="00F54310"/>
    <w:rsid w:val="00F56F87"/>
    <w:rsid w:val="00F57548"/>
    <w:rsid w:val="00F604B4"/>
    <w:rsid w:val="00F61BC3"/>
    <w:rsid w:val="00F64EC3"/>
    <w:rsid w:val="00F67A53"/>
    <w:rsid w:val="00F72E26"/>
    <w:rsid w:val="00F72E6B"/>
    <w:rsid w:val="00F74A49"/>
    <w:rsid w:val="00F80775"/>
    <w:rsid w:val="00F82993"/>
    <w:rsid w:val="00F84B96"/>
    <w:rsid w:val="00F84BE2"/>
    <w:rsid w:val="00F86702"/>
    <w:rsid w:val="00F86B41"/>
    <w:rsid w:val="00F875F9"/>
    <w:rsid w:val="00F91A02"/>
    <w:rsid w:val="00F9251F"/>
    <w:rsid w:val="00F94AE2"/>
    <w:rsid w:val="00F97850"/>
    <w:rsid w:val="00FA1079"/>
    <w:rsid w:val="00FA4E57"/>
    <w:rsid w:val="00FA50A7"/>
    <w:rsid w:val="00FA5DC5"/>
    <w:rsid w:val="00FA7E6F"/>
    <w:rsid w:val="00FB1757"/>
    <w:rsid w:val="00FB321F"/>
    <w:rsid w:val="00FB32AC"/>
    <w:rsid w:val="00FB4424"/>
    <w:rsid w:val="00FB7938"/>
    <w:rsid w:val="00FC42B8"/>
    <w:rsid w:val="00FC6FA7"/>
    <w:rsid w:val="00FC743D"/>
    <w:rsid w:val="00FD06BC"/>
    <w:rsid w:val="00FD0A14"/>
    <w:rsid w:val="00FD2211"/>
    <w:rsid w:val="00FD341C"/>
    <w:rsid w:val="00FD5B3D"/>
    <w:rsid w:val="00FD5BD8"/>
    <w:rsid w:val="00FD65A0"/>
    <w:rsid w:val="00FE2DD6"/>
    <w:rsid w:val="00FE3818"/>
    <w:rsid w:val="00FE5944"/>
    <w:rsid w:val="00FE5BAC"/>
    <w:rsid w:val="00FE6028"/>
    <w:rsid w:val="00FE6F10"/>
    <w:rsid w:val="00FF299A"/>
    <w:rsid w:val="00FF5185"/>
    <w:rsid w:val="00FF55D3"/>
    <w:rsid w:val="00FF5BE0"/>
    <w:rsid w:val="00FF5F78"/>
    <w:rsid w:val="00FF6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C6EF8"/>
  <w15:docId w15:val="{9F753679-BEB3-4AD5-A349-365BEEB7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F63"/>
    <w:pPr>
      <w:spacing w:after="240" w:line="320" w:lineRule="atLeast"/>
      <w:jc w:val="both"/>
    </w:pPr>
    <w:rPr>
      <w:rFonts w:ascii="Times New Roman" w:hAnsi="Times New Roman"/>
      <w:lang w:val="es-ES"/>
    </w:rPr>
  </w:style>
  <w:style w:type="paragraph" w:styleId="Ttulo1">
    <w:name w:val="heading 1"/>
    <w:aliases w:val="h1"/>
    <w:next w:val="Normal"/>
    <w:link w:val="Ttulo1Car"/>
    <w:uiPriority w:val="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aliases w:val="h2"/>
    <w:basedOn w:val="Normal"/>
    <w:next w:val="Normal"/>
    <w:link w:val="Ttulo2Car"/>
    <w:uiPriority w:val="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aliases w:val="h3"/>
    <w:basedOn w:val="Normal"/>
    <w:next w:val="Normal"/>
    <w:link w:val="Ttulo3Car"/>
    <w:uiPriority w:val="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2222A7"/>
    <w:pPr>
      <w:keepLines/>
      <w:numPr>
        <w:numId w:val="3"/>
      </w:numPr>
      <w:ind w:left="714" w:hanging="357"/>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600" w:line="320" w:lineRule="atLeast"/>
      <w:jc w:val="center"/>
    </w:pPr>
    <w:rPr>
      <w:rFonts w:ascii="Times New Roman" w:hAnsi="Times New Roman"/>
    </w:rPr>
  </w:style>
  <w:style w:type="paragraph" w:styleId="Descripcin">
    <w:name w:val="caption"/>
    <w:aliases w:val="Resp caption"/>
    <w:next w:val="Normal"/>
    <w:uiPriority w:val="35"/>
    <w:qFormat/>
    <w:rsid w:val="00DF2C83"/>
    <w:pPr>
      <w:keepNext/>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282B1C"/>
    <w:rPr>
      <w:rFonts w:ascii="Times New Roman" w:hAnsi="Times New Roman"/>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Footnote Text3,ALTS FOOTNOTE"/>
    <w:link w:val="TextonotapieCar"/>
    <w:uiPriority w:val="99"/>
    <w:unhideWhenUsed/>
    <w:qFormat/>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8B3F33"/>
    <w:pPr>
      <w:numPr>
        <w:numId w:val="1"/>
      </w:numPr>
      <w:ind w:left="357" w:hanging="357"/>
    </w:pPr>
  </w:style>
  <w:style w:type="paragraph" w:customStyle="1" w:styleId="ListBulletCompact">
    <w:name w:val="List Bullet Compact"/>
    <w:basedOn w:val="Listaconvietas"/>
    <w:qFormat/>
    <w:rsid w:val="00685F22"/>
    <w:pPr>
      <w:spacing w:after="0"/>
      <w:ind w:left="360" w:hanging="360"/>
    </w:pPr>
  </w:style>
  <w:style w:type="paragraph" w:customStyle="1" w:styleId="ListBullet2Compact">
    <w:name w:val="List Bullet 2 Compact"/>
    <w:basedOn w:val="Listaconvietas2"/>
    <w:qFormat/>
    <w:rsid w:val="00685F22"/>
    <w:pPr>
      <w:spacing w:after="0"/>
    </w:pPr>
  </w:style>
  <w:style w:type="paragraph" w:styleId="Listaconnmeros">
    <w:name w:val="List Number"/>
    <w:basedOn w:val="Normal"/>
    <w:uiPriority w:val="99"/>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aliases w:val="h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aliases w:val="h2 Car"/>
    <w:basedOn w:val="Fuentedeprrafopredeter"/>
    <w:link w:val="Ttulo2"/>
    <w:uiPriority w:val="9"/>
    <w:rsid w:val="00BE4026"/>
    <w:rPr>
      <w:rFonts w:ascii="Times New Roman" w:eastAsiaTheme="majorEastAsia" w:hAnsi="Times New Roman" w:cstheme="majorBidi"/>
      <w:b/>
      <w:bCs/>
      <w:sz w:val="24"/>
      <w:szCs w:val="26"/>
      <w:lang w:val="es-ES"/>
    </w:rPr>
  </w:style>
  <w:style w:type="character" w:customStyle="1" w:styleId="Ttulo3Car">
    <w:name w:val="Título 3 Car"/>
    <w:aliases w:val="h3 Car"/>
    <w:basedOn w:val="Fuentedeprrafopredeter"/>
    <w:link w:val="Ttulo3"/>
    <w:uiPriority w:val="9"/>
    <w:rsid w:val="0013763A"/>
    <w:rPr>
      <w:rFonts w:ascii="Times New Roman" w:eastAsiaTheme="majorEastAsia" w:hAnsi="Times New Roman" w:cstheme="majorBidi"/>
      <w:b/>
      <w:bCs/>
      <w:lang w:val="es-ES"/>
    </w:rPr>
  </w:style>
  <w:style w:type="numbering" w:styleId="1ai">
    <w:name w:val="Outline List 1"/>
    <w:basedOn w:val="Sinlista"/>
    <w:uiPriority w:val="99"/>
    <w:semiHidden/>
    <w:unhideWhenUsed/>
    <w:rsid w:val="003C6172"/>
    <w:pPr>
      <w:numPr>
        <w:numId w:val="6"/>
      </w:numPr>
    </w:p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
    <w:basedOn w:val="Fuentedeprrafopredeter"/>
    <w:link w:val="Textonotapie"/>
    <w:uiPriority w:val="99"/>
    <w:rsid w:val="00A705E9"/>
    <w:rPr>
      <w:rFonts w:ascii="Arial" w:hAnsi="Arial"/>
      <w:sz w:val="16"/>
      <w:szCs w:val="20"/>
    </w:rPr>
  </w:style>
  <w:style w:type="character" w:styleId="Refdenotaalpie">
    <w:name w:val="footnote reference"/>
    <w:aliases w:val="(NECG) Footnote Reference,o,fr,Style 3,Appel note de bas de p,Style 12,Style 124,Ref,de nota al pie,Ref. de nota al pie 2"/>
    <w:basedOn w:val="Fuentedeprrafopredeter"/>
    <w:uiPriority w:val="99"/>
    <w:unhideWhenUsed/>
    <w:qFormat/>
    <w:rsid w:val="00486181"/>
    <w:rPr>
      <w:rFonts w:ascii="Arial" w:hAnsi="Arial"/>
      <w:b w:val="0"/>
      <w:i w:val="0"/>
      <w:sz w:val="20"/>
      <w:vertAlign w:val="superscript"/>
    </w:rPr>
  </w:style>
  <w:style w:type="paragraph" w:styleId="Piedepgina">
    <w:name w:val="footer"/>
    <w:link w:val="PiedepginaCar"/>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link w:val="I1Char1"/>
    <w:qFormat/>
    <w:rsid w:val="00C21F9B"/>
    <w:pPr>
      <w:ind w:left="360" w:hanging="360"/>
    </w:pPr>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semiHidden/>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6B7"/>
    <w:rPr>
      <w:rFonts w:ascii="Times New Roman" w:hAnsi="Times New Roman"/>
      <w:sz w:val="20"/>
      <w:szCs w:val="20"/>
    </w:rPr>
  </w:style>
  <w:style w:type="character" w:customStyle="1" w:styleId="ConfidentialFooter">
    <w:name w:val="ConfidentialFooter"/>
    <w:basedOn w:val="Fuentedeprrafopredeter"/>
    <w:rsid w:val="00AD06B7"/>
    <w:rPr>
      <w:color w:val="FFFFFF"/>
      <w:sz w:val="2"/>
    </w:rPr>
  </w:style>
  <w:style w:type="paragraph" w:customStyle="1" w:styleId="ConfidentialFront">
    <w:name w:val="ConfidentialFront"/>
    <w:basedOn w:val="Normal"/>
    <w:qFormat/>
    <w:rsid w:val="003E3F62"/>
    <w:pPr>
      <w:spacing w:before="960"/>
      <w:ind w:left="5103" w:right="-397"/>
    </w:pPr>
    <w:rPr>
      <w:rFonts w:ascii="Arial" w:hAnsi="Arial"/>
      <w:color w:val="FFFFFF"/>
      <w:sz w:val="2"/>
      <w:lang w:val="en-GB"/>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lang w:val="es-E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3E3F62"/>
    <w:pPr>
      <w:spacing w:before="2240" w:after="240" w:line="510" w:lineRule="exact"/>
      <w:ind w:left="5103" w:right="-397"/>
    </w:pPr>
    <w:rPr>
      <w:rFonts w:ascii="Arial" w:eastAsiaTheme="majorEastAsia" w:hAnsi="Arial" w:cstheme="majorBidi"/>
      <w:b/>
      <w:bCs/>
      <w:color w:val="003352"/>
      <w:spacing w:val="8"/>
      <w:sz w:val="24"/>
      <w:szCs w:val="24"/>
      <w:lang w:val="es-ES"/>
    </w:rPr>
  </w:style>
  <w:style w:type="paragraph" w:customStyle="1" w:styleId="Titlemain">
    <w:name w:val="Title: main"/>
    <w:next w:val="Titleauthor"/>
    <w:qFormat/>
    <w:rsid w:val="003E3F62"/>
    <w:pPr>
      <w:spacing w:after="40" w:line="510" w:lineRule="exact"/>
      <w:ind w:left="5103" w:right="-397"/>
    </w:pPr>
    <w:rPr>
      <w:rFonts w:ascii="Arial" w:eastAsiaTheme="majorEastAsia" w:hAnsi="Arial" w:cstheme="majorBidi"/>
      <w:bCs/>
      <w:spacing w:val="8"/>
      <w:sz w:val="34"/>
      <w:szCs w:val="34"/>
    </w:rPr>
  </w:style>
  <w:style w:type="paragraph" w:customStyle="1" w:styleId="Titleauthor">
    <w:name w:val="Title: author"/>
    <w:basedOn w:val="Titletype"/>
    <w:next w:val="Titledate"/>
    <w:qFormat/>
    <w:rsid w:val="003E3F62"/>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3E3F62"/>
    <w:pPr>
      <w:spacing w:after="160"/>
    </w:pPr>
    <w:rPr>
      <w:i/>
      <w:color w:val="003352"/>
      <w:sz w:val="24"/>
      <w:szCs w:val="24"/>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86457E"/>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69421D"/>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80489E"/>
    <w:pPr>
      <w:ind w:left="567"/>
    </w:pPr>
  </w:style>
  <w:style w:type="paragraph" w:customStyle="1" w:styleId="L1">
    <w:name w:val="L1"/>
    <w:basedOn w:val="ListBulletCompact"/>
    <w:link w:val="L1Char"/>
    <w:qFormat/>
    <w:rsid w:val="007C6FB3"/>
  </w:style>
  <w:style w:type="paragraph" w:customStyle="1" w:styleId="Titleversion">
    <w:name w:val="Title: version"/>
    <w:basedOn w:val="Normal"/>
    <w:rsid w:val="00C52B83"/>
    <w:pPr>
      <w:jc w:val="center"/>
    </w:pPr>
    <w:rPr>
      <w:rFonts w:eastAsia="Times New Roman" w:cs="Times New Roman"/>
      <w:szCs w:val="20"/>
    </w:rPr>
  </w:style>
  <w:style w:type="paragraph" w:customStyle="1" w:styleId="01-reference">
    <w:name w:val="01-reference"/>
    <w:basedOn w:val="TitleRefNo"/>
    <w:rsid w:val="00C52B83"/>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eastAsia="Times New Roman" w:hAnsi="Times New Roman" w:cs="Times New Roman"/>
      <w:bCs w:val="0"/>
      <w:i/>
      <w:spacing w:val="0"/>
      <w:sz w:val="30"/>
      <w:szCs w:val="20"/>
      <w:lang w:val="es-ES"/>
    </w:rPr>
  </w:style>
  <w:style w:type="character" w:customStyle="1" w:styleId="L1Char">
    <w:name w:val="L1 Char"/>
    <w:link w:val="L1"/>
    <w:rsid w:val="006E361B"/>
    <w:rPr>
      <w:rFonts w:ascii="Times New Roman" w:hAnsi="Times New Roman"/>
      <w:lang w:val="es-ES"/>
    </w:rPr>
  </w:style>
  <w:style w:type="character" w:customStyle="1" w:styleId="I1Char1">
    <w:name w:val="I1 Char1"/>
    <w:link w:val="I1"/>
    <w:rsid w:val="006E361B"/>
    <w:rPr>
      <w:rFonts w:ascii="Times New Roman" w:hAnsi="Times New Roman"/>
      <w:lang w:val="es-ES"/>
    </w:rPr>
  </w:style>
  <w:style w:type="paragraph" w:styleId="Textodeglobo">
    <w:name w:val="Balloon Text"/>
    <w:basedOn w:val="Normal"/>
    <w:link w:val="TextodegloboCar"/>
    <w:uiPriority w:val="99"/>
    <w:semiHidden/>
    <w:unhideWhenUsed/>
    <w:rsid w:val="006E36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61B"/>
    <w:rPr>
      <w:rFonts w:ascii="Tahoma" w:hAnsi="Tahoma" w:cs="Tahoma"/>
      <w:sz w:val="16"/>
      <w:szCs w:val="16"/>
      <w:lang w:val="es-ES"/>
    </w:rPr>
  </w:style>
  <w:style w:type="table" w:styleId="Tablaconcuadrcula">
    <w:name w:val="Table Grid"/>
    <w:basedOn w:val="Tablanormal"/>
    <w:uiPriority w:val="59"/>
    <w:rsid w:val="006E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6E36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BE303D"/>
    <w:pPr>
      <w:spacing w:before="100" w:beforeAutospacing="1" w:after="100" w:afterAutospacing="1" w:line="240" w:lineRule="auto"/>
      <w:jc w:val="left"/>
    </w:pPr>
    <w:rPr>
      <w:rFonts w:eastAsia="Times New Roman" w:cs="Times New Roman"/>
      <w:sz w:val="24"/>
      <w:szCs w:val="24"/>
      <w:lang w:eastAsia="es-ES"/>
    </w:rPr>
  </w:style>
  <w:style w:type="character" w:customStyle="1" w:styleId="apple-converted-space">
    <w:name w:val="apple-converted-space"/>
    <w:rsid w:val="006718FB"/>
  </w:style>
  <w:style w:type="character" w:customStyle="1" w:styleId="apple-style-span">
    <w:name w:val="apple-style-span"/>
    <w:rsid w:val="00A37365"/>
  </w:style>
  <w:style w:type="paragraph" w:styleId="Prrafodelista">
    <w:name w:val="List Paragraph"/>
    <w:basedOn w:val="Normal"/>
    <w:uiPriority w:val="34"/>
    <w:qFormat/>
    <w:rsid w:val="004A65E3"/>
    <w:pPr>
      <w:ind w:left="720"/>
      <w:contextualSpacing/>
    </w:pPr>
    <w:rPr>
      <w:lang w:val="en-GB"/>
    </w:rPr>
  </w:style>
  <w:style w:type="character" w:styleId="Refdecomentario">
    <w:name w:val="annotation reference"/>
    <w:basedOn w:val="Fuentedeprrafopredeter"/>
    <w:uiPriority w:val="99"/>
    <w:semiHidden/>
    <w:unhideWhenUsed/>
    <w:rsid w:val="005551C4"/>
    <w:rPr>
      <w:sz w:val="16"/>
      <w:szCs w:val="16"/>
    </w:rPr>
  </w:style>
  <w:style w:type="paragraph" w:styleId="Asuntodelcomentario">
    <w:name w:val="annotation subject"/>
    <w:basedOn w:val="Textocomentario"/>
    <w:next w:val="Textocomentario"/>
    <w:link w:val="AsuntodelcomentarioCar"/>
    <w:uiPriority w:val="99"/>
    <w:semiHidden/>
    <w:unhideWhenUsed/>
    <w:rsid w:val="005551C4"/>
    <w:rPr>
      <w:b/>
      <w:bCs/>
    </w:rPr>
  </w:style>
  <w:style w:type="character" w:customStyle="1" w:styleId="AsuntodelcomentarioCar">
    <w:name w:val="Asunto del comentario Car"/>
    <w:basedOn w:val="TextocomentarioCar"/>
    <w:link w:val="Asuntodelcomentario"/>
    <w:uiPriority w:val="99"/>
    <w:semiHidden/>
    <w:rsid w:val="005551C4"/>
    <w:rPr>
      <w:rFonts w:ascii="Times New Roman" w:hAnsi="Times New Roman"/>
      <w:b/>
      <w:bCs/>
      <w:sz w:val="20"/>
      <w:szCs w:val="20"/>
      <w:lang w:val="es-ES"/>
    </w:rPr>
  </w:style>
  <w:style w:type="paragraph" w:customStyle="1" w:styleId="Default">
    <w:name w:val="Default"/>
    <w:rsid w:val="00EC58BB"/>
    <w:pPr>
      <w:autoSpaceDE w:val="0"/>
      <w:autoSpaceDN w:val="0"/>
      <w:adjustRightInd w:val="0"/>
      <w:spacing w:after="0" w:line="240" w:lineRule="auto"/>
    </w:pPr>
    <w:rPr>
      <w:rFonts w:ascii="Arial" w:hAnsi="Arial" w:cs="Arial"/>
      <w:color w:val="000000"/>
      <w:sz w:val="24"/>
      <w:szCs w:val="24"/>
      <w:lang w:val="es-ES"/>
    </w:rPr>
  </w:style>
  <w:style w:type="paragraph" w:styleId="Revisin">
    <w:name w:val="Revision"/>
    <w:hidden/>
    <w:uiPriority w:val="99"/>
    <w:semiHidden/>
    <w:rsid w:val="00A5498D"/>
    <w:pPr>
      <w:spacing w:after="0" w:line="240" w:lineRule="auto"/>
    </w:pPr>
    <w:rPr>
      <w:rFonts w:ascii="Times New Roman" w:hAnsi="Times New Roman"/>
      <w:lang w:val="es-ES"/>
    </w:rPr>
  </w:style>
  <w:style w:type="paragraph" w:styleId="Textonotaalfinal">
    <w:name w:val="endnote text"/>
    <w:basedOn w:val="Normal"/>
    <w:link w:val="TextonotaalfinalCar"/>
    <w:uiPriority w:val="99"/>
    <w:semiHidden/>
    <w:unhideWhenUsed/>
    <w:rsid w:val="0045366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53668"/>
    <w:rPr>
      <w:rFonts w:ascii="Times New Roman" w:hAnsi="Times New Roman"/>
      <w:sz w:val="20"/>
      <w:szCs w:val="20"/>
      <w:lang w:val="es-ES"/>
    </w:rPr>
  </w:style>
  <w:style w:type="character" w:styleId="Refdenotaalfinal">
    <w:name w:val="endnote reference"/>
    <w:basedOn w:val="Fuentedeprrafopredeter"/>
    <w:uiPriority w:val="99"/>
    <w:semiHidden/>
    <w:unhideWhenUsed/>
    <w:rsid w:val="004536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1761">
      <w:bodyDiv w:val="1"/>
      <w:marLeft w:val="0"/>
      <w:marRight w:val="0"/>
      <w:marTop w:val="0"/>
      <w:marBottom w:val="0"/>
      <w:divBdr>
        <w:top w:val="none" w:sz="0" w:space="0" w:color="auto"/>
        <w:left w:val="none" w:sz="0" w:space="0" w:color="auto"/>
        <w:bottom w:val="none" w:sz="0" w:space="0" w:color="auto"/>
        <w:right w:val="none" w:sz="0" w:space="0" w:color="auto"/>
      </w:divBdr>
    </w:div>
    <w:div w:id="141433331">
      <w:bodyDiv w:val="1"/>
      <w:marLeft w:val="0"/>
      <w:marRight w:val="0"/>
      <w:marTop w:val="0"/>
      <w:marBottom w:val="0"/>
      <w:divBdr>
        <w:top w:val="none" w:sz="0" w:space="0" w:color="auto"/>
        <w:left w:val="none" w:sz="0" w:space="0" w:color="auto"/>
        <w:bottom w:val="none" w:sz="0" w:space="0" w:color="auto"/>
        <w:right w:val="none" w:sz="0" w:space="0" w:color="auto"/>
      </w:divBdr>
    </w:div>
    <w:div w:id="311712338">
      <w:bodyDiv w:val="1"/>
      <w:marLeft w:val="0"/>
      <w:marRight w:val="0"/>
      <w:marTop w:val="0"/>
      <w:marBottom w:val="0"/>
      <w:divBdr>
        <w:top w:val="none" w:sz="0" w:space="0" w:color="auto"/>
        <w:left w:val="none" w:sz="0" w:space="0" w:color="auto"/>
        <w:bottom w:val="none" w:sz="0" w:space="0" w:color="auto"/>
        <w:right w:val="none" w:sz="0" w:space="0" w:color="auto"/>
      </w:divBdr>
    </w:div>
    <w:div w:id="347146876">
      <w:bodyDiv w:val="1"/>
      <w:marLeft w:val="0"/>
      <w:marRight w:val="0"/>
      <w:marTop w:val="0"/>
      <w:marBottom w:val="0"/>
      <w:divBdr>
        <w:top w:val="none" w:sz="0" w:space="0" w:color="auto"/>
        <w:left w:val="none" w:sz="0" w:space="0" w:color="auto"/>
        <w:bottom w:val="none" w:sz="0" w:space="0" w:color="auto"/>
        <w:right w:val="none" w:sz="0" w:space="0" w:color="auto"/>
      </w:divBdr>
      <w:divsChild>
        <w:div w:id="2112701182">
          <w:marLeft w:val="274"/>
          <w:marRight w:val="0"/>
          <w:marTop w:val="0"/>
          <w:marBottom w:val="0"/>
          <w:divBdr>
            <w:top w:val="none" w:sz="0" w:space="0" w:color="auto"/>
            <w:left w:val="none" w:sz="0" w:space="0" w:color="auto"/>
            <w:bottom w:val="none" w:sz="0" w:space="0" w:color="auto"/>
            <w:right w:val="none" w:sz="0" w:space="0" w:color="auto"/>
          </w:divBdr>
        </w:div>
      </w:divsChild>
    </w:div>
    <w:div w:id="623269546">
      <w:bodyDiv w:val="1"/>
      <w:marLeft w:val="0"/>
      <w:marRight w:val="0"/>
      <w:marTop w:val="0"/>
      <w:marBottom w:val="0"/>
      <w:divBdr>
        <w:top w:val="none" w:sz="0" w:space="0" w:color="auto"/>
        <w:left w:val="none" w:sz="0" w:space="0" w:color="auto"/>
        <w:bottom w:val="none" w:sz="0" w:space="0" w:color="auto"/>
        <w:right w:val="none" w:sz="0" w:space="0" w:color="auto"/>
      </w:divBdr>
      <w:divsChild>
        <w:div w:id="67579683">
          <w:marLeft w:val="274"/>
          <w:marRight w:val="0"/>
          <w:marTop w:val="0"/>
          <w:marBottom w:val="0"/>
          <w:divBdr>
            <w:top w:val="none" w:sz="0" w:space="0" w:color="auto"/>
            <w:left w:val="none" w:sz="0" w:space="0" w:color="auto"/>
            <w:bottom w:val="none" w:sz="0" w:space="0" w:color="auto"/>
            <w:right w:val="none" w:sz="0" w:space="0" w:color="auto"/>
          </w:divBdr>
        </w:div>
        <w:div w:id="301933314">
          <w:marLeft w:val="274"/>
          <w:marRight w:val="0"/>
          <w:marTop w:val="0"/>
          <w:marBottom w:val="0"/>
          <w:divBdr>
            <w:top w:val="none" w:sz="0" w:space="0" w:color="auto"/>
            <w:left w:val="none" w:sz="0" w:space="0" w:color="auto"/>
            <w:bottom w:val="none" w:sz="0" w:space="0" w:color="auto"/>
            <w:right w:val="none" w:sz="0" w:space="0" w:color="auto"/>
          </w:divBdr>
        </w:div>
      </w:divsChild>
    </w:div>
    <w:div w:id="668214522">
      <w:bodyDiv w:val="1"/>
      <w:marLeft w:val="0"/>
      <w:marRight w:val="0"/>
      <w:marTop w:val="0"/>
      <w:marBottom w:val="0"/>
      <w:divBdr>
        <w:top w:val="none" w:sz="0" w:space="0" w:color="auto"/>
        <w:left w:val="none" w:sz="0" w:space="0" w:color="auto"/>
        <w:bottom w:val="none" w:sz="0" w:space="0" w:color="auto"/>
        <w:right w:val="none" w:sz="0" w:space="0" w:color="auto"/>
      </w:divBdr>
    </w:div>
    <w:div w:id="1896309497">
      <w:bodyDiv w:val="1"/>
      <w:marLeft w:val="0"/>
      <w:marRight w:val="0"/>
      <w:marTop w:val="0"/>
      <w:marBottom w:val="0"/>
      <w:divBdr>
        <w:top w:val="none" w:sz="0" w:space="0" w:color="auto"/>
        <w:left w:val="none" w:sz="0" w:space="0" w:color="auto"/>
        <w:bottom w:val="none" w:sz="0" w:space="0" w:color="auto"/>
        <w:right w:val="none" w:sz="0" w:space="0" w:color="auto"/>
      </w:divBdr>
    </w:div>
    <w:div w:id="21256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header" Target="header5.xml"/><Relationship Id="rId42" Type="http://schemas.openxmlformats.org/officeDocument/2006/relationships/image" Target="media/image23.wmf"/><Relationship Id="rId47" Type="http://schemas.openxmlformats.org/officeDocument/2006/relationships/oleObject" Target="embeddings/oleObject4.bin"/><Relationship Id="rId63" Type="http://schemas.openxmlformats.org/officeDocument/2006/relationships/oleObject" Target="embeddings/oleObject14.bin"/><Relationship Id="rId68" Type="http://schemas.openxmlformats.org/officeDocument/2006/relationships/oleObject" Target="embeddings/oleObject17.bin"/><Relationship Id="rId16" Type="http://schemas.openxmlformats.org/officeDocument/2006/relationships/footer" Target="footer4.xml"/><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oleObject" Target="embeddings/oleObject3.bin"/><Relationship Id="rId53" Type="http://schemas.openxmlformats.org/officeDocument/2006/relationships/oleObject" Target="embeddings/oleObject7.bin"/><Relationship Id="rId58" Type="http://schemas.openxmlformats.org/officeDocument/2006/relationships/image" Target="media/image31.wmf"/><Relationship Id="rId66" Type="http://schemas.openxmlformats.org/officeDocument/2006/relationships/oleObject" Target="embeddings/oleObject16.bin"/><Relationship Id="rId74" Type="http://schemas.openxmlformats.org/officeDocument/2006/relationships/header" Target="header7.xml"/><Relationship Id="rId5" Type="http://schemas.openxmlformats.org/officeDocument/2006/relationships/styles" Target="styles.xml"/><Relationship Id="rId61" Type="http://schemas.openxmlformats.org/officeDocument/2006/relationships/oleObject" Target="embeddings/oleObject12.bin"/><Relationship Id="rId19" Type="http://schemas.openxmlformats.org/officeDocument/2006/relationships/image" Target="media/image4.wmf"/><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png"/><Relationship Id="rId43" Type="http://schemas.openxmlformats.org/officeDocument/2006/relationships/oleObject" Target="embeddings/oleObject2.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oleObject" Target="embeddings/oleObject15.bin"/><Relationship Id="rId69" Type="http://schemas.openxmlformats.org/officeDocument/2006/relationships/oleObject" Target="embeddings/oleObject18.bin"/><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oleObject" Target="embeddings/oleObject6.bin"/><Relationship Id="rId72" Type="http://schemas.openxmlformats.org/officeDocument/2006/relationships/image" Target="media/image34.png"/><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image" Target="media/image25.wmf"/><Relationship Id="rId59" Type="http://schemas.openxmlformats.org/officeDocument/2006/relationships/oleObject" Target="embeddings/oleObject10.bin"/><Relationship Id="rId67" Type="http://schemas.openxmlformats.org/officeDocument/2006/relationships/image" Target="media/image33.wmf"/><Relationship Id="rId20" Type="http://schemas.openxmlformats.org/officeDocument/2006/relationships/header" Target="header4.xml"/><Relationship Id="rId41" Type="http://schemas.openxmlformats.org/officeDocument/2006/relationships/oleObject" Target="embeddings/oleObject1.bin"/><Relationship Id="rId54" Type="http://schemas.openxmlformats.org/officeDocument/2006/relationships/image" Target="media/image29.wmf"/><Relationship Id="rId62" Type="http://schemas.openxmlformats.org/officeDocument/2006/relationships/oleObject" Target="embeddings/oleObject13.bin"/><Relationship Id="rId70" Type="http://schemas.openxmlformats.org/officeDocument/2006/relationships/oleObject" Target="embeddings/oleObject19.bin"/><Relationship Id="rId75"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emf"/><Relationship Id="rId49" Type="http://schemas.openxmlformats.org/officeDocument/2006/relationships/oleObject" Target="embeddings/oleObject5.bin"/><Relationship Id="rId57" Type="http://schemas.openxmlformats.org/officeDocument/2006/relationships/oleObject" Target="embeddings/oleObject9.bin"/><Relationship Id="rId10" Type="http://schemas.openxmlformats.org/officeDocument/2006/relationships/footer" Target="footer1.xml"/><Relationship Id="rId31" Type="http://schemas.openxmlformats.org/officeDocument/2006/relationships/image" Target="media/image13.wmf"/><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oleObject" Target="embeddings/oleObject11.bin"/><Relationship Id="rId65" Type="http://schemas.openxmlformats.org/officeDocument/2006/relationships/image" Target="media/image32.wmf"/><Relationship Id="rId73" Type="http://schemas.openxmlformats.org/officeDocument/2006/relationships/image" Target="media/image35.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9" Type="http://schemas.openxmlformats.org/officeDocument/2006/relationships/image" Target="media/image21.wmf"/><Relationship Id="rId34" Type="http://schemas.openxmlformats.org/officeDocument/2006/relationships/image" Target="media/image16.wmf"/><Relationship Id="rId50" Type="http://schemas.openxmlformats.org/officeDocument/2006/relationships/image" Target="media/image27.wmf"/><Relationship Id="rId55" Type="http://schemas.openxmlformats.org/officeDocument/2006/relationships/oleObject" Target="embeddings/oleObject8.bin"/><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oleObject" Target="embeddings/oleObject20.bin"/><Relationship Id="rId2" Type="http://schemas.openxmlformats.org/officeDocument/2006/relationships/customXml" Target="../customXml/item2.xml"/><Relationship Id="rId29" Type="http://schemas.openxmlformats.org/officeDocument/2006/relationships/image" Target="media/image11.wm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ReportMadrid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E8060-F84B-4043-82FB-DAA83437E116}">
  <ds:schemaRefs>
    <ds:schemaRef ds:uri="http://schemas.openxmlformats.org/officeDocument/2006/bibliography"/>
  </ds:schemaRefs>
</ds:datastoreItem>
</file>

<file path=customXml/itemProps2.xml><?xml version="1.0" encoding="utf-8"?>
<ds:datastoreItem xmlns:ds="http://schemas.openxmlformats.org/officeDocument/2006/customXml" ds:itemID="{985E1AF3-C501-45C3-9B0B-C5938FFB9D9C}">
  <ds:schemaRefs>
    <ds:schemaRef ds:uri="http://schemas.openxmlformats.org/officeDocument/2006/bibliography"/>
  </ds:schemaRefs>
</ds:datastoreItem>
</file>

<file path=customXml/itemProps3.xml><?xml version="1.0" encoding="utf-8"?>
<ds:datastoreItem xmlns:ds="http://schemas.openxmlformats.org/officeDocument/2006/customXml" ds:itemID="{E9D79693-7CBA-4354-AD14-C6ABAD9B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ReportMadridSpanish.dotx</Template>
  <TotalTime>28</TotalTime>
  <Pages>68</Pages>
  <Words>21641</Words>
  <Characters>119027</Characters>
  <Application>Microsoft Office Word</Application>
  <DocSecurity>0</DocSecurity>
  <Lines>991</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Analysys Mason document</vt:lpstr>
      <vt:lpstr>Analysys Mason document</vt:lpstr>
    </vt:vector>
  </TitlesOfParts>
  <Manager>-</Manager>
  <Company>Analysys Mason Ltd</Company>
  <LinksUpToDate>false</LinksUpToDate>
  <CharactersWithSpaces>140388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Analysys Mason document</dc:title>
  <dc:subject>Version dated 09/07/2012</dc:subject>
  <dc:creator>-</dc:creator>
  <cp:lastModifiedBy>Sostenes Diaz Gonzalez</cp:lastModifiedBy>
  <cp:revision>7</cp:revision>
  <cp:lastPrinted>2016-06-17T15:44:00Z</cp:lastPrinted>
  <dcterms:created xsi:type="dcterms:W3CDTF">2016-10-25T18:06:00Z</dcterms:created>
  <dcterms:modified xsi:type="dcterms:W3CDTF">2016-10-26T00:29:00Z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or">
    <vt:lpwstr>.</vt:lpwstr>
  </property>
</Properties>
</file>