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FEE" w:rsidRPr="004E7E79" w:rsidRDefault="004E7E79" w:rsidP="004E7E79">
      <w:pPr>
        <w:spacing w:after="0" w:line="276" w:lineRule="auto"/>
        <w:jc w:val="both"/>
        <w:rPr>
          <w:rFonts w:ascii="ITC Avant Garde" w:hAnsi="ITC Avant Garde"/>
          <w:b/>
        </w:rPr>
      </w:pPr>
      <w:r w:rsidRPr="004E7E79">
        <w:rPr>
          <w:rFonts w:ascii="ITC Avant Garde" w:hAnsi="ITC Avant Garde"/>
          <w:b/>
        </w:rPr>
        <w:t>ACUERDO MEDIANTE EL CUAL EL PLENO DEL INSTITUTO FEDERAL DE TELECOMUNICACIONES DETERMINA SOMETER A CONSULTA PÚBLICA EL ANTEPROYECTO DE LINEAMIENTOS GENERALES PARA LA PUBLICACIÓN DE INFORMACIÓN TRANSPARENTE, COMPARABLE, ADECUADA Y ACTUALIZADA RELACIONADA CON LOS SERVICIOS DE TELECOMUNICACIONES.</w:t>
      </w:r>
    </w:p>
    <w:p w:rsidR="004E7E79" w:rsidRPr="00084E43" w:rsidRDefault="004E7E79" w:rsidP="00084E43">
      <w:pPr>
        <w:spacing w:after="0" w:line="240" w:lineRule="auto"/>
        <w:jc w:val="both"/>
        <w:rPr>
          <w:rFonts w:ascii="ITC Avant Garde" w:hAnsi="ITC Avant Garde"/>
          <w:b/>
        </w:rPr>
      </w:pPr>
    </w:p>
    <w:p w:rsidR="004E7E79" w:rsidRPr="004E7E79" w:rsidRDefault="004E7E79" w:rsidP="004E7E79">
      <w:pPr>
        <w:pStyle w:val="Default"/>
        <w:spacing w:line="276" w:lineRule="auto"/>
        <w:jc w:val="center"/>
        <w:rPr>
          <w:rFonts w:ascii="ITC Avant Garde" w:hAnsi="ITC Avant Garde"/>
          <w:b/>
          <w:bCs/>
          <w:sz w:val="22"/>
          <w:szCs w:val="22"/>
          <w:lang w:val="es-ES_tradnl"/>
        </w:rPr>
      </w:pPr>
      <w:r w:rsidRPr="004E7E79">
        <w:rPr>
          <w:rFonts w:ascii="ITC Avant Garde" w:hAnsi="ITC Avant Garde"/>
          <w:b/>
          <w:bCs/>
          <w:sz w:val="22"/>
          <w:szCs w:val="22"/>
          <w:lang w:val="es-ES_tradnl"/>
        </w:rPr>
        <w:t>A N T E C E D E N T E S</w:t>
      </w:r>
    </w:p>
    <w:p w:rsidR="004E7E79" w:rsidRPr="00084E43" w:rsidRDefault="004E7E79" w:rsidP="00084E43">
      <w:pPr>
        <w:pStyle w:val="Default"/>
        <w:jc w:val="center"/>
        <w:rPr>
          <w:rFonts w:ascii="ITC Avant Garde" w:hAnsi="ITC Avant Garde"/>
          <w:b/>
          <w:bCs/>
          <w:sz w:val="22"/>
          <w:szCs w:val="22"/>
          <w:lang w:val="es-ES_tradnl"/>
        </w:rPr>
      </w:pPr>
    </w:p>
    <w:p w:rsidR="004E7E79" w:rsidRPr="004E7E79" w:rsidRDefault="004E7E79" w:rsidP="004E7E79">
      <w:pPr>
        <w:spacing w:after="0" w:line="276" w:lineRule="auto"/>
        <w:jc w:val="both"/>
        <w:rPr>
          <w:rFonts w:ascii="ITC Avant Garde" w:hAnsi="ITC Avant Garde"/>
        </w:rPr>
      </w:pPr>
      <w:r w:rsidRPr="004E7E79">
        <w:rPr>
          <w:rFonts w:ascii="ITC Avant Garde" w:hAnsi="ITC Avant Garde"/>
          <w:b/>
        </w:rPr>
        <w:t>I.-</w:t>
      </w:r>
      <w:r w:rsidRPr="004E7E79">
        <w:rPr>
          <w:rFonts w:ascii="ITC Avant Garde" w:hAnsi="ITC Avant Garde"/>
        </w:rPr>
        <w:t xml:space="preserve"> El 11 de junio de 2013, se creó el Instituto Federal de Telecomunicaciones (en lo sucesivo, el “Instituto”) como un órgano autónomo con personalidad jurídica y patrimonio propio, para regular, promover y supervisar el uso, aprovechamiento y explotación de los servicios de radiodifusión y telecomunicaciones, además de ser la autoridad en materia de competencia económica en los sectores de los servicios antes aludidos, conforme a lo dispuesto en el </w:t>
      </w:r>
      <w:r w:rsidRPr="004E7E79">
        <w:rPr>
          <w:rFonts w:ascii="ITC Avant Garde" w:hAnsi="ITC Avant Garde"/>
          <w:i/>
        </w:rPr>
        <w:t>“Decreto por el que se reforman y adicionan diversas disposiciones de los artículos 6o., 7o., 27, 28, 73, 78, 94 y 105 de la Constitución Política de los Estados Unidos Mexicanos, en materia de telecomunicaciones”</w:t>
      </w:r>
      <w:r w:rsidRPr="004E7E79">
        <w:rPr>
          <w:rFonts w:ascii="ITC Avant Garde" w:hAnsi="ITC Avant Garde"/>
        </w:rPr>
        <w:t xml:space="preserve"> (en lo sucesivo, el “Decreto”).</w:t>
      </w:r>
    </w:p>
    <w:p w:rsidR="004E7E79" w:rsidRPr="00084E43" w:rsidRDefault="004E7E79" w:rsidP="004E7E79">
      <w:pPr>
        <w:spacing w:after="0" w:line="276" w:lineRule="auto"/>
        <w:jc w:val="both"/>
        <w:rPr>
          <w:rFonts w:ascii="ITC Avant Garde" w:hAnsi="ITC Avant Garde"/>
        </w:rPr>
      </w:pPr>
    </w:p>
    <w:p w:rsidR="004E7E79" w:rsidRPr="004E7E79" w:rsidRDefault="004E7E79" w:rsidP="004E7E79">
      <w:pPr>
        <w:spacing w:after="0" w:line="276" w:lineRule="auto"/>
        <w:jc w:val="both"/>
        <w:rPr>
          <w:rFonts w:ascii="ITC Avant Garde" w:hAnsi="ITC Avant Garde"/>
        </w:rPr>
      </w:pPr>
      <w:r w:rsidRPr="004E7E79">
        <w:rPr>
          <w:rFonts w:ascii="ITC Avant Garde" w:hAnsi="ITC Avant Garde"/>
          <w:b/>
        </w:rPr>
        <w:t>II.-</w:t>
      </w:r>
      <w:r w:rsidRPr="004E7E79">
        <w:rPr>
          <w:rFonts w:ascii="ITC Avant Garde" w:hAnsi="ITC Avant Garde"/>
        </w:rPr>
        <w:t xml:space="preserve"> El 14 de julio de 2014, se publicó en el Diario Oficial de la Federación (en lo sucesivo, el DOF), el </w:t>
      </w:r>
      <w:r w:rsidRPr="004E7E79">
        <w:rPr>
          <w:rFonts w:ascii="ITC Avant Garde" w:hAnsi="ITC Avant Garde"/>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E7E79">
        <w:rPr>
          <w:rFonts w:ascii="ITC Avant Garde" w:hAnsi="ITC Avant Garde"/>
        </w:rPr>
        <w:t xml:space="preserve"> ordenamientos que entraron en vigor treinta días naturales siguientes a su publicación, es decir, el 13 de agosto de 2014.</w:t>
      </w:r>
    </w:p>
    <w:p w:rsidR="004E7E79" w:rsidRPr="00084E43" w:rsidRDefault="004E7E79" w:rsidP="004E7E79">
      <w:pPr>
        <w:spacing w:after="0" w:line="276" w:lineRule="auto"/>
        <w:jc w:val="both"/>
        <w:rPr>
          <w:rFonts w:ascii="ITC Avant Garde" w:hAnsi="ITC Avant Garde"/>
        </w:rPr>
      </w:pPr>
    </w:p>
    <w:p w:rsidR="004E7E79" w:rsidRPr="004E7E79" w:rsidRDefault="004E7E79" w:rsidP="004E7E79">
      <w:pPr>
        <w:spacing w:after="0" w:line="276" w:lineRule="auto"/>
        <w:jc w:val="both"/>
        <w:rPr>
          <w:rFonts w:ascii="ITC Avant Garde" w:hAnsi="ITC Avant Garde"/>
        </w:rPr>
      </w:pPr>
      <w:r w:rsidRPr="004E7E79">
        <w:rPr>
          <w:rFonts w:ascii="ITC Avant Garde" w:hAnsi="ITC Avant Garde"/>
          <w:b/>
        </w:rPr>
        <w:t>III.-</w:t>
      </w:r>
      <w:r w:rsidRPr="004E7E79">
        <w:rPr>
          <w:rFonts w:ascii="ITC Avant Garde" w:hAnsi="ITC Avant Garde"/>
        </w:rPr>
        <w:t xml:space="preserve"> El 4 de septiembre de 2014, </w:t>
      </w:r>
      <w:r w:rsidRPr="004E7E79">
        <w:rPr>
          <w:rFonts w:ascii="ITC Avant Garde" w:hAnsi="ITC Avant Garde"/>
          <w:lang w:val="es-ES_tradnl"/>
        </w:rPr>
        <w:t>se publicó en el DOF el Estatuto Orgánico del Instituto (en lo sucesivo, “Estatuto Orgánico”), el cual en términos de lo dispuesto por su artículo Primero Transitorio, entró en vigor el día 26 del mismo mes y año</w:t>
      </w:r>
      <w:r w:rsidRPr="004E7E79">
        <w:rPr>
          <w:rFonts w:ascii="ITC Avant Garde" w:hAnsi="ITC Avant Garde"/>
        </w:rPr>
        <w:t>.</w:t>
      </w:r>
    </w:p>
    <w:p w:rsidR="00FE2F68" w:rsidRPr="00084E43" w:rsidRDefault="00FE2F68" w:rsidP="004E7E79">
      <w:pPr>
        <w:spacing w:after="0" w:line="276" w:lineRule="auto"/>
        <w:jc w:val="both"/>
        <w:rPr>
          <w:rFonts w:ascii="ITC Avant Garde" w:hAnsi="ITC Avant Garde"/>
          <w:bCs/>
          <w:lang w:val="es-ES_tradnl"/>
        </w:rPr>
      </w:pPr>
    </w:p>
    <w:p w:rsidR="004E7E79" w:rsidRPr="004E7E79" w:rsidRDefault="004E7E79" w:rsidP="004E7E79">
      <w:pPr>
        <w:spacing w:after="0" w:line="276" w:lineRule="auto"/>
        <w:jc w:val="both"/>
        <w:rPr>
          <w:rFonts w:ascii="ITC Avant Garde" w:hAnsi="ITC Avant Garde"/>
          <w:bCs/>
          <w:lang w:val="es-ES_tradnl"/>
        </w:rPr>
      </w:pPr>
      <w:r w:rsidRPr="004E7E79">
        <w:rPr>
          <w:rFonts w:ascii="ITC Avant Garde" w:hAnsi="ITC Avant Garde"/>
          <w:bCs/>
          <w:lang w:val="es-ES_tradnl"/>
        </w:rPr>
        <w:t>Derivado de lo anterior</w:t>
      </w:r>
      <w:r w:rsidR="00FE2F68">
        <w:rPr>
          <w:rFonts w:ascii="ITC Avant Garde" w:hAnsi="ITC Avant Garde"/>
          <w:bCs/>
          <w:lang w:val="es-ES_tradnl"/>
        </w:rPr>
        <w:t>,</w:t>
      </w:r>
      <w:r w:rsidRPr="004E7E79">
        <w:rPr>
          <w:rFonts w:ascii="ITC Avant Garde" w:hAnsi="ITC Avant Garde"/>
          <w:bCs/>
          <w:lang w:val="es-ES_tradnl"/>
        </w:rPr>
        <w:t xml:space="preserve"> y:</w:t>
      </w:r>
    </w:p>
    <w:p w:rsidR="004E7E79" w:rsidRPr="004E7E79" w:rsidRDefault="004E7E79" w:rsidP="004E7E79">
      <w:pPr>
        <w:spacing w:after="0" w:line="276" w:lineRule="auto"/>
        <w:jc w:val="both"/>
        <w:rPr>
          <w:rFonts w:ascii="ITC Avant Garde" w:hAnsi="ITC Avant Garde"/>
        </w:rPr>
      </w:pPr>
    </w:p>
    <w:p w:rsidR="004E7E79" w:rsidRPr="004E7E79" w:rsidRDefault="004E7E79" w:rsidP="004E7E79">
      <w:pPr>
        <w:spacing w:after="0" w:line="276" w:lineRule="auto"/>
        <w:jc w:val="center"/>
        <w:rPr>
          <w:rFonts w:ascii="ITC Avant Garde" w:hAnsi="ITC Avant Garde"/>
          <w:b/>
          <w:bCs/>
        </w:rPr>
      </w:pPr>
      <w:r w:rsidRPr="004E7E79">
        <w:rPr>
          <w:rFonts w:ascii="ITC Avant Garde" w:hAnsi="ITC Avant Garde"/>
          <w:b/>
          <w:bCs/>
        </w:rPr>
        <w:t>CONSIDERANDO</w:t>
      </w:r>
    </w:p>
    <w:p w:rsidR="004E7E79" w:rsidRPr="004E7E79" w:rsidRDefault="004E7E79" w:rsidP="004E7E79">
      <w:pPr>
        <w:spacing w:after="0" w:line="276" w:lineRule="auto"/>
        <w:jc w:val="both"/>
        <w:rPr>
          <w:rFonts w:ascii="ITC Avant Garde" w:hAnsi="ITC Avant Garde"/>
          <w:b/>
          <w:bCs/>
        </w:rPr>
      </w:pPr>
    </w:p>
    <w:p w:rsidR="004E7E79" w:rsidRPr="004E7E79" w:rsidRDefault="004E7E79" w:rsidP="004E7E79">
      <w:pPr>
        <w:spacing w:after="0" w:line="276" w:lineRule="auto"/>
        <w:jc w:val="both"/>
        <w:rPr>
          <w:rFonts w:ascii="ITC Avant Garde" w:hAnsi="ITC Avant Garde"/>
        </w:rPr>
      </w:pPr>
      <w:r w:rsidRPr="004E7E79">
        <w:rPr>
          <w:rFonts w:ascii="ITC Avant Garde" w:hAnsi="ITC Avant Garde"/>
          <w:b/>
        </w:rPr>
        <w:t xml:space="preserve">PRIMERO.- </w:t>
      </w:r>
      <w:r w:rsidRPr="004E7E79">
        <w:rPr>
          <w:rFonts w:ascii="ITC Avant Garde" w:hAnsi="ITC Avant Garde"/>
        </w:rPr>
        <w:t>De conformidad con lo establecido por el párrafo décimo quinto del artículo 28 de la Constitución Política de los Estados Unidos Mexicanos (la “Constitución”), el Instituto Federal de Telecomunicaciones (el “Instituto”) es un órgano autónomo, con personalidad jurídica y patrimonio propio, que tiene por objeto el desarrollo eficiente de la radiodifusión y las telecomunicaciones, conforme a lo dispuesto en la Constitución y en los términos que fijen las leyes.</w:t>
      </w:r>
    </w:p>
    <w:p w:rsidR="004E7E79" w:rsidRDefault="004E7E79" w:rsidP="004E7E79">
      <w:pPr>
        <w:spacing w:after="0" w:line="276" w:lineRule="auto"/>
        <w:jc w:val="both"/>
        <w:rPr>
          <w:rFonts w:ascii="ITC Avant Garde" w:hAnsi="ITC Avant Garde"/>
        </w:rPr>
      </w:pPr>
      <w:r w:rsidRPr="004E7E79">
        <w:rPr>
          <w:rFonts w:ascii="ITC Avant Garde" w:hAnsi="ITC Avant Garde"/>
        </w:rPr>
        <w:lastRenderedPageBreak/>
        <w:t>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0230D1" w:rsidRPr="00084E43" w:rsidRDefault="000230D1" w:rsidP="004E7E79">
      <w:pPr>
        <w:spacing w:after="0" w:line="276" w:lineRule="auto"/>
        <w:jc w:val="both"/>
        <w:rPr>
          <w:rFonts w:ascii="ITC Avant Garde" w:hAnsi="ITC Avant Garde"/>
          <w:sz w:val="20"/>
        </w:rPr>
      </w:pPr>
    </w:p>
    <w:p w:rsidR="004E7E79" w:rsidRPr="004E7E79" w:rsidRDefault="004E7E79" w:rsidP="004E7E79">
      <w:pPr>
        <w:spacing w:after="0" w:line="276" w:lineRule="auto"/>
        <w:jc w:val="both"/>
        <w:rPr>
          <w:rFonts w:ascii="ITC Avant Garde" w:hAnsi="ITC Avant Garde"/>
        </w:rPr>
      </w:pPr>
      <w:r w:rsidRPr="004E7E79">
        <w:rPr>
          <w:rFonts w:ascii="ITC Avant Garde" w:hAnsi="ITC Avant Garde"/>
        </w:rPr>
        <w:t>Asimismo, el vigésimo párrafo, fracción IV del artículo 28 de la Constitución, señala que el Instituto podrá emitir disposiciones administrativas de carácter general exclusivamente para el cumplimiento de su función regulatoria en el sector de su competencia. En ese sentido, el artículo 15, fracción I de la Ley Federal de Telecomunicaciones y Radiodifusión (la “Ley”),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Ley.</w:t>
      </w:r>
    </w:p>
    <w:p w:rsidR="004E7E79" w:rsidRPr="00084E43" w:rsidRDefault="004E7E79" w:rsidP="004E7E79">
      <w:pPr>
        <w:spacing w:after="0" w:line="276" w:lineRule="auto"/>
        <w:jc w:val="both"/>
        <w:rPr>
          <w:rFonts w:ascii="ITC Avant Garde" w:hAnsi="ITC Avant Garde"/>
          <w:sz w:val="20"/>
        </w:rPr>
      </w:pPr>
    </w:p>
    <w:p w:rsidR="004E7E79" w:rsidRPr="004E7E79" w:rsidRDefault="004E7E79" w:rsidP="004E7E79">
      <w:pPr>
        <w:spacing w:after="0" w:line="276" w:lineRule="auto"/>
        <w:jc w:val="both"/>
        <w:rPr>
          <w:rFonts w:ascii="ITC Avant Garde" w:hAnsi="ITC Avant Garde"/>
        </w:rPr>
      </w:pPr>
      <w:r w:rsidRPr="004E7E79">
        <w:rPr>
          <w:rFonts w:ascii="ITC Avant Garde" w:hAnsi="ITC Avant Garde"/>
        </w:rPr>
        <w:t>Por lo anterior, con fundamento en los artículos 6o., y 28, párrafos décimo quinto, décimo sexto y vigésimo fracción IV, de la Constitución Política de los Estados Unidos Mexicanos; 1°, 2, 7, 15, fracción I, 16 y 17 fracción I de la Ley Federal de Telecomunicaciones y Radiodifusión; 1, 4, fracción I, 6, fracción XXXVII, 33, fracción XXIV, 35 fracción XVII, 71, fracción V, del Estatuto Orgánico del Instituto Federal de Telecomunicaciones, el Pleno del Instituto es competente para emitir el presente Acuerdo.</w:t>
      </w:r>
    </w:p>
    <w:p w:rsidR="004E7E79" w:rsidRPr="00084E43" w:rsidRDefault="004E7E79" w:rsidP="004E7E79">
      <w:pPr>
        <w:spacing w:after="0" w:line="276" w:lineRule="auto"/>
        <w:jc w:val="both"/>
        <w:rPr>
          <w:rFonts w:ascii="ITC Avant Garde" w:hAnsi="ITC Avant Garde"/>
          <w:sz w:val="20"/>
        </w:rPr>
      </w:pPr>
    </w:p>
    <w:p w:rsidR="004E7E79" w:rsidRPr="004E7E79" w:rsidRDefault="004E7E79" w:rsidP="004E7E79">
      <w:pPr>
        <w:spacing w:after="0" w:line="276" w:lineRule="auto"/>
        <w:jc w:val="both"/>
        <w:rPr>
          <w:rFonts w:ascii="ITC Avant Garde" w:hAnsi="ITC Avant Garde"/>
        </w:rPr>
      </w:pPr>
      <w:r w:rsidRPr="004E7E79">
        <w:rPr>
          <w:rFonts w:ascii="ITC Avant Garde" w:hAnsi="ITC Avant Garde"/>
          <w:b/>
        </w:rPr>
        <w:t xml:space="preserve">SEGUNDO.- </w:t>
      </w:r>
      <w:r w:rsidRPr="004E7E79">
        <w:rPr>
          <w:rFonts w:ascii="ITC Avant Garde" w:hAnsi="ITC Avant Garde"/>
        </w:rPr>
        <w:t xml:space="preserve">El Título Noveno, Capítulo I de la Ley relativo a </w:t>
      </w:r>
      <w:r w:rsidRPr="004E7E79">
        <w:rPr>
          <w:rFonts w:ascii="ITC Avant Garde" w:hAnsi="ITC Avant Garde"/>
          <w:bCs/>
          <w:lang w:val="es-ES"/>
        </w:rPr>
        <w:t>los Derechos de los Usuarios y sus Mecanismos de Protección, establece en su artículo 191,</w:t>
      </w:r>
      <w:r w:rsidRPr="004E7E79">
        <w:rPr>
          <w:rFonts w:ascii="ITC Avant Garde" w:hAnsi="ITC Avant Garde"/>
        </w:rPr>
        <w:t xml:space="preserve"> los derechos de los usuarios de servicios de telecomunicaciones, dentro de los cuales se destacan aquellos relacionados con el acceso a la información y los tendientes a empoderar a los usuarios con la información necesaria que les permita elegir libremente al concesionario o autorizado  que más les convenga, a conocer las condiciones comerciales bajo las cuales contratan sus servicios y, en general, a tomar decisiones informadas sobre el uso y contratación de servicios de telecomunicaciones. </w:t>
      </w:r>
    </w:p>
    <w:p w:rsidR="004E7E79" w:rsidRPr="00084E43" w:rsidRDefault="004E7E79" w:rsidP="004E7E79">
      <w:pPr>
        <w:spacing w:after="0" w:line="276" w:lineRule="auto"/>
        <w:jc w:val="both"/>
        <w:rPr>
          <w:rFonts w:ascii="ITC Avant Garde" w:hAnsi="ITC Avant Garde"/>
          <w:sz w:val="20"/>
        </w:rPr>
      </w:pPr>
    </w:p>
    <w:p w:rsidR="004E7E79" w:rsidRPr="004E7E79" w:rsidRDefault="004E7E79" w:rsidP="004E7E79">
      <w:pPr>
        <w:spacing w:after="0" w:line="276" w:lineRule="auto"/>
        <w:jc w:val="both"/>
        <w:rPr>
          <w:rFonts w:ascii="ITC Avant Garde" w:hAnsi="ITC Avant Garde"/>
        </w:rPr>
      </w:pPr>
      <w:r w:rsidRPr="004E7E79">
        <w:rPr>
          <w:rFonts w:ascii="ITC Avant Garde" w:hAnsi="ITC Avant Garde"/>
        </w:rPr>
        <w:t>Para tales efectos, se establece que los concesionarios y los autorizados estarán obligados a informar y respetar los precios, tarifas, garantías, penalidades, compensaciones, cantidades, calidad, medidas, intereses, cargos, términos, plazos, fechas, modalidades, reservaciones y demás condiciones de la prestación del servicio conforme a las cuales se hubiera ofrecido, obligado o convenido con el usuario o suscriptor y bajo ninguna circunstancia serán negados estos bienes o servicios a persona alguna.</w:t>
      </w:r>
    </w:p>
    <w:p w:rsidR="004E7E79" w:rsidRPr="004E7E79" w:rsidRDefault="004E7E79" w:rsidP="004E7E79">
      <w:pPr>
        <w:spacing w:after="0" w:line="276" w:lineRule="auto"/>
        <w:jc w:val="both"/>
        <w:rPr>
          <w:rFonts w:ascii="ITC Avant Garde" w:hAnsi="ITC Avant Garde"/>
        </w:rPr>
      </w:pPr>
      <w:r w:rsidRPr="004E7E79">
        <w:rPr>
          <w:rFonts w:ascii="ITC Avant Garde" w:hAnsi="ITC Avant Garde"/>
        </w:rPr>
        <w:lastRenderedPageBreak/>
        <w:t>En atención a lo anterior, en el segundo párrafo del artículo 195 de la Ley, se faculta al Instituto para emitir las disposiciones que establezcan las condiciones para que los concesionarios y los autorizados publiquen información transparente, comparable, adecuada y actualizada sobre los precios y tarifas aplicables, sobre los gastos eventuales relacionados con la terminación del contrato, así como información sobre el acceso y la utilización de los servicios que prestan a los usuarios o suscriptores, estableciendo que dicha información deberá publicarse de forma clara, comprensible y fácilmente accesible.</w:t>
      </w:r>
    </w:p>
    <w:p w:rsidR="004E7E79" w:rsidRPr="004E7E79" w:rsidRDefault="004E7E79" w:rsidP="004E7E79">
      <w:pPr>
        <w:spacing w:after="0" w:line="276" w:lineRule="auto"/>
        <w:jc w:val="both"/>
        <w:rPr>
          <w:rFonts w:ascii="ITC Avant Garde" w:hAnsi="ITC Avant Garde"/>
        </w:rPr>
      </w:pPr>
    </w:p>
    <w:p w:rsidR="004E7E79" w:rsidRPr="004E7E79" w:rsidRDefault="004E7E79" w:rsidP="004E7E79">
      <w:pPr>
        <w:spacing w:after="0" w:line="276" w:lineRule="auto"/>
        <w:jc w:val="both"/>
        <w:rPr>
          <w:rFonts w:ascii="ITC Avant Garde" w:hAnsi="ITC Avant Garde"/>
        </w:rPr>
      </w:pPr>
      <w:r w:rsidRPr="004E7E79">
        <w:rPr>
          <w:rFonts w:ascii="ITC Avant Garde" w:hAnsi="ITC Avant Garde"/>
        </w:rPr>
        <w:t>Por lo expuesto, y con fundamento en el artículo 15, fracción I de la Ley, relativo a la expedición de disposiciones administrativas de carácter general, el Instituto considera necesaria la emisión de los lineamientos generales para la publicación de Información transparente, comparable, adecuada y actualizada relacionada con los servicios de telecomunicaciones.</w:t>
      </w:r>
    </w:p>
    <w:p w:rsidR="004E7E79" w:rsidRDefault="004E7E79" w:rsidP="004E7E79">
      <w:pPr>
        <w:spacing w:after="0" w:line="276" w:lineRule="auto"/>
        <w:jc w:val="both"/>
        <w:rPr>
          <w:rFonts w:ascii="ITC Avant Garde" w:hAnsi="ITC Avant Garde"/>
        </w:rPr>
      </w:pPr>
    </w:p>
    <w:p w:rsidR="004E7E79" w:rsidRPr="004E7E79" w:rsidRDefault="004E7E79" w:rsidP="004E7E79">
      <w:pPr>
        <w:spacing w:after="0" w:line="276" w:lineRule="auto"/>
        <w:jc w:val="both"/>
        <w:rPr>
          <w:rFonts w:ascii="ITC Avant Garde" w:hAnsi="ITC Avant Garde"/>
          <w:lang w:val="es-ES_tradnl"/>
        </w:rPr>
      </w:pPr>
      <w:r w:rsidRPr="004E7E79">
        <w:rPr>
          <w:rFonts w:ascii="ITC Avant Garde" w:hAnsi="ITC Avant Garde"/>
          <w:b/>
        </w:rPr>
        <w:t>TERCERO.</w:t>
      </w:r>
      <w:r w:rsidRPr="004E7E79">
        <w:rPr>
          <w:rFonts w:ascii="ITC Avant Garde" w:hAnsi="ITC Avant Garde"/>
        </w:rPr>
        <w:t xml:space="preserve"> </w:t>
      </w:r>
      <w:r w:rsidRPr="004E7E79">
        <w:rPr>
          <w:rFonts w:ascii="ITC Avant Garde" w:hAnsi="ITC Avant Garde"/>
          <w:lang w:val="es-ES_tradnl"/>
        </w:rPr>
        <w:t>El artículo 51 de la Ley establece que para la emisión y modificación de reglas, lineamientos o disposiciones administrativas de carácter general, el Instituto deberá realizar consultas públicas bajo los principios de transparencia y participación ciudadana.</w:t>
      </w:r>
    </w:p>
    <w:p w:rsidR="004E7E79" w:rsidRPr="004E7E79" w:rsidRDefault="004E7E79" w:rsidP="004E7E79">
      <w:pPr>
        <w:spacing w:after="0" w:line="276" w:lineRule="auto"/>
        <w:jc w:val="both"/>
        <w:rPr>
          <w:rFonts w:ascii="ITC Avant Garde" w:hAnsi="ITC Avant Garde"/>
        </w:rPr>
      </w:pPr>
    </w:p>
    <w:p w:rsidR="004E7E79" w:rsidRPr="004E7E79" w:rsidRDefault="004E7E79" w:rsidP="004E7E79">
      <w:pPr>
        <w:spacing w:after="0" w:line="276" w:lineRule="auto"/>
        <w:jc w:val="both"/>
        <w:rPr>
          <w:rFonts w:ascii="ITC Avant Garde" w:hAnsi="ITC Avant Garde"/>
          <w:lang w:val="es-ES_tradnl"/>
        </w:rPr>
      </w:pPr>
      <w:r w:rsidRPr="004E7E79">
        <w:rPr>
          <w:rFonts w:ascii="ITC Avant Garde" w:hAnsi="ITC Avant Garde"/>
          <w:lang w:val="es-ES_tradnl"/>
        </w:rPr>
        <w:t>Asimismo, en el párrafo tercero del artículo 51 de la Ley, se señala que el Instituto contará con un espacio dentro del portal de Internet destinado específicamente a publicar y mantener actualizados los procesos de consultas públicas. Las respuestas o propuestas que se hagan al Instituto no tendrán carácter vinculante.</w:t>
      </w:r>
    </w:p>
    <w:p w:rsidR="004E7E79" w:rsidRPr="004E7E79" w:rsidRDefault="004E7E79" w:rsidP="004E7E79">
      <w:pPr>
        <w:spacing w:after="0" w:line="276" w:lineRule="auto"/>
        <w:jc w:val="both"/>
        <w:rPr>
          <w:rFonts w:ascii="ITC Avant Garde" w:hAnsi="ITC Avant Garde"/>
        </w:rPr>
      </w:pPr>
    </w:p>
    <w:p w:rsidR="004E7E79" w:rsidRPr="004E7E79" w:rsidRDefault="004E7E79" w:rsidP="004E7E79">
      <w:pPr>
        <w:spacing w:after="0" w:line="276" w:lineRule="auto"/>
        <w:jc w:val="both"/>
        <w:rPr>
          <w:rFonts w:ascii="ITC Avant Garde" w:hAnsi="ITC Avant Garde"/>
          <w:lang w:val="es-ES_tradnl"/>
        </w:rPr>
      </w:pPr>
      <w:r w:rsidRPr="004E7E79">
        <w:rPr>
          <w:rFonts w:ascii="ITC Avant Garde" w:hAnsi="ITC Avant Garde"/>
          <w:lang w:val="es-ES_tradnl"/>
        </w:rPr>
        <w:t>En tal virtud, el Pleno del Instituto somete a consulta pública el documento denominado “Anteproyecto de Lineamientos Generales para la Publicación de Información Transparente, Comparable, Adecuada y Actualizada Relacionada con los Servicios de Telecomunicaciones”, mismo que forma parte integrante del presente Acuerdo como Anexo, por un período razonable a fin de transparentar y fomentar la participación ciudadana en los procesos de emisión de disposiciones de carácter general que emita el Instituto, a efecto de dar cabal cumplimiento a lo establecido en la Ley.</w:t>
      </w:r>
    </w:p>
    <w:p w:rsidR="004E7E79" w:rsidRPr="007A300D" w:rsidRDefault="004E7E79" w:rsidP="004E7E79">
      <w:pPr>
        <w:spacing w:after="0" w:line="276" w:lineRule="auto"/>
        <w:jc w:val="both"/>
        <w:rPr>
          <w:rFonts w:ascii="ITC Avant Garde" w:hAnsi="ITC Avant Garde"/>
          <w:sz w:val="20"/>
          <w:lang w:val="es-ES_tradnl"/>
        </w:rPr>
      </w:pPr>
    </w:p>
    <w:p w:rsidR="004E7E79" w:rsidRPr="004E7E79" w:rsidRDefault="004E7E79" w:rsidP="004E7E79">
      <w:pPr>
        <w:spacing w:after="0" w:line="276" w:lineRule="auto"/>
        <w:jc w:val="both"/>
        <w:rPr>
          <w:rFonts w:ascii="ITC Avant Garde" w:hAnsi="ITC Avant Garde"/>
          <w:lang w:val="es-ES_tradnl"/>
        </w:rPr>
      </w:pPr>
      <w:r w:rsidRPr="004E7E79">
        <w:rPr>
          <w:rFonts w:ascii="ITC Avant Garde" w:hAnsi="ITC Avant Garde"/>
          <w:lang w:val="es-ES_tradnl"/>
        </w:rPr>
        <w:t xml:space="preserve">Por lo anterior, con fundamento en los artículos 6o., y 28, párrafos décimo quinto y décimo sexto </w:t>
      </w:r>
      <w:r w:rsidRPr="004E7E79">
        <w:rPr>
          <w:rFonts w:ascii="ITC Avant Garde" w:hAnsi="ITC Avant Garde"/>
        </w:rPr>
        <w:t xml:space="preserve">y vigésimo fracción IV, </w:t>
      </w:r>
      <w:r w:rsidRPr="004E7E79">
        <w:rPr>
          <w:rFonts w:ascii="ITC Avant Garde" w:hAnsi="ITC Avant Garde"/>
          <w:lang w:val="es-ES_tradnl"/>
        </w:rPr>
        <w:t xml:space="preserve">de la Constitución Política de los Estados Unidos Mexicanos; 1°, 2, 7, 15, fracción I, 17, fracción I, 51, 191, 195, de la Ley Federal de Telecomunicaciones y Radiodifusión, así como 1, 4, fracción I, 6, fracción XXXVII, </w:t>
      </w:r>
      <w:r w:rsidRPr="004E7E79">
        <w:rPr>
          <w:rFonts w:ascii="ITC Avant Garde" w:hAnsi="ITC Avant Garde"/>
        </w:rPr>
        <w:t>33, fracción XXIV, 35 fracción XVII, 71, fracción V,</w:t>
      </w:r>
      <w:r w:rsidRPr="004E7E79">
        <w:rPr>
          <w:rFonts w:ascii="ITC Avant Garde" w:hAnsi="ITC Avant Garde"/>
          <w:lang w:val="es-ES_tradnl"/>
        </w:rPr>
        <w:t xml:space="preserve"> del Estatuto Orgánico del Instituto Federal de Telecomunicaciones, el Pleno del Instituto emite el siguiente:</w:t>
      </w:r>
    </w:p>
    <w:p w:rsidR="004E7E79" w:rsidRPr="004E7E79" w:rsidRDefault="004E7E79" w:rsidP="004E7E79">
      <w:pPr>
        <w:spacing w:after="0" w:line="276" w:lineRule="auto"/>
        <w:jc w:val="center"/>
        <w:rPr>
          <w:rFonts w:ascii="ITC Avant Garde" w:hAnsi="ITC Avant Garde"/>
          <w:b/>
          <w:bCs/>
        </w:rPr>
      </w:pPr>
      <w:r w:rsidRPr="004E7E79">
        <w:rPr>
          <w:rFonts w:ascii="ITC Avant Garde" w:hAnsi="ITC Avant Garde"/>
          <w:b/>
          <w:bCs/>
        </w:rPr>
        <w:lastRenderedPageBreak/>
        <w:t>ACUERDO</w:t>
      </w:r>
    </w:p>
    <w:p w:rsidR="004E7E79" w:rsidRPr="007A300D" w:rsidRDefault="004E7E79" w:rsidP="004E7E79">
      <w:pPr>
        <w:spacing w:after="0" w:line="276" w:lineRule="auto"/>
        <w:jc w:val="both"/>
        <w:rPr>
          <w:rFonts w:ascii="ITC Avant Garde" w:hAnsi="ITC Avant Garde"/>
          <w:b/>
          <w:bCs/>
          <w:sz w:val="16"/>
        </w:rPr>
      </w:pPr>
    </w:p>
    <w:p w:rsidR="004E7E79" w:rsidRPr="004E7E79" w:rsidRDefault="004E7E79" w:rsidP="004E7E79">
      <w:pPr>
        <w:spacing w:after="0" w:line="276" w:lineRule="auto"/>
        <w:jc w:val="both"/>
        <w:rPr>
          <w:rFonts w:ascii="ITC Avant Garde" w:hAnsi="ITC Avant Garde"/>
        </w:rPr>
      </w:pPr>
      <w:r w:rsidRPr="004E7E79">
        <w:rPr>
          <w:rFonts w:ascii="ITC Avant Garde" w:hAnsi="ITC Avant Garde"/>
          <w:b/>
          <w:bCs/>
        </w:rPr>
        <w:t>PRIMERO</w:t>
      </w:r>
      <w:r w:rsidRPr="004E7E79">
        <w:rPr>
          <w:rFonts w:ascii="ITC Avant Garde" w:hAnsi="ITC Avant Garde"/>
          <w:bCs/>
        </w:rPr>
        <w:t xml:space="preserve">.- Se determina someter a consulta pública, por un plazo de 30 (treinta) días hábiles contados a partir del día hábil siguiente al de su publicación en el portal de Internet del Instituto Federal de Telecomunicaciones el </w:t>
      </w:r>
      <w:r w:rsidRPr="004E7E79">
        <w:rPr>
          <w:rFonts w:ascii="ITC Avant Garde" w:hAnsi="ITC Avant Garde"/>
        </w:rPr>
        <w:t>“</w:t>
      </w:r>
      <w:r w:rsidRPr="004E7E79">
        <w:rPr>
          <w:rFonts w:ascii="ITC Avant Garde" w:hAnsi="ITC Avant Garde"/>
          <w:b/>
        </w:rPr>
        <w:t>ANTEPROYECTO DE LINEAMIENTOS GENERALES PARA LA PUBLICACIÓN DE INFORMACIÓN TRANSPARENTE, COMPARABLE, ADECUADA Y ACTUALIZADA RELACIONADA CON LOS SERVICIOS DE TELECOMUNICACIONES”,</w:t>
      </w:r>
      <w:r w:rsidRPr="004E7E79">
        <w:rPr>
          <w:rFonts w:ascii="ITC Avant Garde" w:hAnsi="ITC Avant Garde"/>
        </w:rPr>
        <w:t xml:space="preserve"> mismos que se agregan como Anexo Único al presente Acuerdo.</w:t>
      </w:r>
    </w:p>
    <w:p w:rsidR="004E7E79" w:rsidRPr="007A300D" w:rsidRDefault="004E7E79" w:rsidP="004E7E79">
      <w:pPr>
        <w:spacing w:after="0" w:line="276" w:lineRule="auto"/>
        <w:jc w:val="both"/>
        <w:rPr>
          <w:rFonts w:ascii="ITC Avant Garde" w:hAnsi="ITC Avant Garde"/>
          <w:sz w:val="18"/>
        </w:rPr>
      </w:pPr>
    </w:p>
    <w:p w:rsidR="004E7E79" w:rsidRPr="004E7E79" w:rsidRDefault="004E7E79" w:rsidP="004E7E79">
      <w:pPr>
        <w:spacing w:after="0" w:line="276" w:lineRule="auto"/>
        <w:jc w:val="both"/>
        <w:rPr>
          <w:rFonts w:ascii="ITC Avant Garde" w:hAnsi="ITC Avant Garde"/>
        </w:rPr>
      </w:pPr>
      <w:r w:rsidRPr="004E7E79">
        <w:rPr>
          <w:rFonts w:ascii="ITC Avant Garde" w:hAnsi="ITC Avant Garde"/>
          <w:b/>
        </w:rPr>
        <w:t>SEGUNDO.</w:t>
      </w:r>
      <w:r w:rsidRPr="004E7E79">
        <w:rPr>
          <w:rFonts w:ascii="ITC Avant Garde" w:hAnsi="ITC Avant Garde"/>
        </w:rPr>
        <w:t>- Se instruye a la Coordinación General de Política del Usuario a recibir y dar la atención que corresponda, en el ámbito de sus atribuciones, a las opiniones que sean vertidas con motivo de la consulta pública materia del presente Acuerdo.</w:t>
      </w:r>
    </w:p>
    <w:p w:rsidR="004E7E79" w:rsidRPr="007A300D" w:rsidRDefault="004E7E79" w:rsidP="004E7E79">
      <w:pPr>
        <w:spacing w:after="0" w:line="276" w:lineRule="auto"/>
        <w:jc w:val="both"/>
        <w:rPr>
          <w:rFonts w:ascii="ITC Avant Garde" w:hAnsi="ITC Avant Garde"/>
          <w:sz w:val="18"/>
        </w:rPr>
      </w:pPr>
    </w:p>
    <w:p w:rsidR="004E7E79" w:rsidRPr="004E7E79" w:rsidRDefault="004E7E79" w:rsidP="004E7E79">
      <w:pPr>
        <w:spacing w:after="0" w:line="276" w:lineRule="auto"/>
        <w:jc w:val="both"/>
        <w:rPr>
          <w:rFonts w:ascii="ITC Avant Garde" w:hAnsi="ITC Avant Garde"/>
        </w:rPr>
      </w:pPr>
      <w:r w:rsidRPr="004E7E79">
        <w:rPr>
          <w:rFonts w:ascii="ITC Avant Garde" w:hAnsi="ITC Avant Garde"/>
          <w:b/>
        </w:rPr>
        <w:t>TERCERO.</w:t>
      </w:r>
      <w:r w:rsidRPr="004E7E79">
        <w:rPr>
          <w:rFonts w:ascii="ITC Avant Garde" w:hAnsi="ITC Avant Garde"/>
        </w:rPr>
        <w:t>- Publíquese en la página de Internet del Instituto Federal de Telecomunicaciones.</w:t>
      </w:r>
    </w:p>
    <w:p w:rsidR="00084E43" w:rsidRDefault="00084E43" w:rsidP="004A524B">
      <w:pPr>
        <w:shd w:val="clear" w:color="auto" w:fill="FFFFFF"/>
        <w:spacing w:after="0" w:line="276" w:lineRule="auto"/>
        <w:rPr>
          <w:rFonts w:ascii="ITC Avant Garde" w:eastAsia="Times New Roman" w:hAnsi="ITC Avant Garde" w:cs="Arial"/>
          <w:b/>
          <w:lang w:eastAsia="es-MX"/>
        </w:rPr>
      </w:pPr>
    </w:p>
    <w:p w:rsidR="00084E43" w:rsidRDefault="00084E43" w:rsidP="004A524B">
      <w:pPr>
        <w:shd w:val="clear" w:color="auto" w:fill="FFFFFF"/>
        <w:spacing w:after="0" w:line="276" w:lineRule="auto"/>
        <w:rPr>
          <w:rFonts w:ascii="ITC Avant Garde" w:eastAsia="Times New Roman" w:hAnsi="ITC Avant Garde" w:cs="Arial"/>
          <w:b/>
          <w:lang w:eastAsia="es-MX"/>
        </w:rPr>
      </w:pPr>
    </w:p>
    <w:p w:rsidR="00084E43" w:rsidRDefault="00084E43" w:rsidP="004A524B">
      <w:pPr>
        <w:shd w:val="clear" w:color="auto" w:fill="FFFFFF"/>
        <w:spacing w:after="0" w:line="276" w:lineRule="auto"/>
        <w:rPr>
          <w:rFonts w:ascii="ITC Avant Garde" w:eastAsia="Times New Roman" w:hAnsi="ITC Avant Garde" w:cs="Arial"/>
          <w:b/>
          <w:lang w:eastAsia="es-MX"/>
        </w:rPr>
      </w:pPr>
    </w:p>
    <w:p w:rsidR="004A524B" w:rsidRPr="007A300D" w:rsidRDefault="004A524B" w:rsidP="004A524B">
      <w:pPr>
        <w:shd w:val="clear" w:color="auto" w:fill="FFFFFF"/>
        <w:spacing w:after="0" w:line="276" w:lineRule="auto"/>
        <w:jc w:val="center"/>
        <w:rPr>
          <w:rFonts w:ascii="ITC Avant Garde" w:eastAsia="Times New Roman" w:hAnsi="ITC Avant Garde" w:cs="Arial"/>
          <w:b/>
          <w:sz w:val="16"/>
          <w:lang w:eastAsia="es-MX"/>
        </w:rPr>
      </w:pPr>
    </w:p>
    <w:p w:rsidR="007A300D" w:rsidRPr="00DD578F" w:rsidRDefault="007A300D" w:rsidP="004A524B">
      <w:pPr>
        <w:shd w:val="clear" w:color="auto" w:fill="FFFFFF"/>
        <w:spacing w:after="0" w:line="276" w:lineRule="auto"/>
        <w:jc w:val="center"/>
        <w:rPr>
          <w:rFonts w:ascii="ITC Avant Garde" w:eastAsia="Times New Roman" w:hAnsi="ITC Avant Garde" w:cs="Arial"/>
          <w:b/>
          <w:lang w:eastAsia="es-MX"/>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RMAS COMISIONADOS"/>
        <w:tblDescription w:val="En esta tabla se encuentran los nombres de los 7 comisionados del Instituto Federal de Telecomunicaciones donde incluye su firma autógrafa"/>
      </w:tblPr>
      <w:tblGrid>
        <w:gridCol w:w="4414"/>
        <w:gridCol w:w="4414"/>
        <w:gridCol w:w="670"/>
      </w:tblGrid>
      <w:tr w:rsidR="004A524B" w:rsidRPr="00DD578F" w:rsidTr="002A58D4">
        <w:trPr>
          <w:gridAfter w:val="1"/>
          <w:wAfter w:w="670" w:type="dxa"/>
        </w:trPr>
        <w:tc>
          <w:tcPr>
            <w:tcW w:w="8828" w:type="dxa"/>
            <w:gridSpan w:val="2"/>
          </w:tcPr>
          <w:p w:rsidR="004A524B" w:rsidRPr="00DD578F" w:rsidRDefault="004A524B" w:rsidP="00202CCF">
            <w:pPr>
              <w:shd w:val="clear" w:color="auto" w:fill="FFFFFF"/>
              <w:spacing w:line="276" w:lineRule="auto"/>
              <w:jc w:val="center"/>
              <w:rPr>
                <w:rFonts w:ascii="ITC Avant Garde" w:eastAsia="Times New Roman" w:hAnsi="ITC Avant Garde" w:cs="Arial"/>
                <w:b/>
                <w:lang w:eastAsia="es-MX"/>
              </w:rPr>
            </w:pPr>
            <w:r w:rsidRPr="00DD578F">
              <w:rPr>
                <w:rFonts w:ascii="ITC Avant Garde" w:eastAsia="Times New Roman" w:hAnsi="ITC Avant Garde" w:cs="Arial"/>
                <w:b/>
                <w:bCs/>
                <w:lang w:eastAsia="es-MX"/>
              </w:rPr>
              <w:t>Gabriel Oswaldo Contreras Saldívar</w:t>
            </w:r>
          </w:p>
          <w:p w:rsidR="004A524B" w:rsidRPr="00DD578F" w:rsidRDefault="004A524B" w:rsidP="00202CCF">
            <w:pPr>
              <w:shd w:val="clear" w:color="auto" w:fill="FFFFFF"/>
              <w:spacing w:line="276" w:lineRule="auto"/>
              <w:jc w:val="center"/>
              <w:rPr>
                <w:rFonts w:ascii="ITC Avant Garde" w:eastAsia="Times New Roman" w:hAnsi="ITC Avant Garde" w:cs="Arial"/>
                <w:b/>
                <w:lang w:eastAsia="es-MX"/>
              </w:rPr>
            </w:pPr>
            <w:r>
              <w:rPr>
                <w:rFonts w:ascii="ITC Avant Garde" w:eastAsia="Times New Roman" w:hAnsi="ITC Avant Garde" w:cs="Arial"/>
                <w:b/>
                <w:lang w:eastAsia="es-MX"/>
              </w:rPr>
              <w:t xml:space="preserve">Comisionado </w:t>
            </w:r>
            <w:r w:rsidRPr="00DD578F">
              <w:rPr>
                <w:rFonts w:ascii="ITC Avant Garde" w:eastAsia="Times New Roman" w:hAnsi="ITC Avant Garde" w:cs="Arial"/>
                <w:b/>
                <w:lang w:eastAsia="es-MX"/>
              </w:rPr>
              <w:t>Presidente</w:t>
            </w:r>
          </w:p>
          <w:p w:rsidR="004A524B" w:rsidRDefault="004A524B" w:rsidP="00202CCF">
            <w:pPr>
              <w:spacing w:line="276" w:lineRule="auto"/>
              <w:jc w:val="center"/>
              <w:rPr>
                <w:rFonts w:ascii="ITC Avant Garde" w:eastAsia="Times New Roman" w:hAnsi="ITC Avant Garde" w:cs="Arial"/>
                <w:b/>
                <w:bCs/>
                <w:lang w:eastAsia="es-MX"/>
              </w:rPr>
            </w:pPr>
          </w:p>
          <w:p w:rsidR="004A524B" w:rsidRDefault="004A524B" w:rsidP="00202CCF">
            <w:pPr>
              <w:spacing w:line="276" w:lineRule="auto"/>
              <w:jc w:val="center"/>
              <w:rPr>
                <w:rFonts w:ascii="ITC Avant Garde" w:eastAsia="Times New Roman" w:hAnsi="ITC Avant Garde" w:cs="Arial"/>
                <w:b/>
                <w:bCs/>
                <w:lang w:eastAsia="es-MX"/>
              </w:rPr>
            </w:pPr>
          </w:p>
          <w:p w:rsidR="004A524B" w:rsidRPr="00DD578F" w:rsidRDefault="004A524B" w:rsidP="00202CCF">
            <w:pPr>
              <w:spacing w:line="276" w:lineRule="auto"/>
              <w:jc w:val="center"/>
              <w:rPr>
                <w:rFonts w:ascii="ITC Avant Garde" w:eastAsia="Times New Roman" w:hAnsi="ITC Avant Garde" w:cs="Arial"/>
                <w:b/>
                <w:bCs/>
                <w:lang w:eastAsia="es-MX"/>
              </w:rPr>
            </w:pPr>
          </w:p>
        </w:tc>
      </w:tr>
      <w:tr w:rsidR="002A58D4" w:rsidRPr="00DD578F" w:rsidTr="002A58D4">
        <w:trPr>
          <w:gridAfter w:val="1"/>
          <w:wAfter w:w="670" w:type="dxa"/>
        </w:trPr>
        <w:tc>
          <w:tcPr>
            <w:tcW w:w="4414" w:type="dxa"/>
          </w:tcPr>
          <w:p w:rsidR="002A58D4" w:rsidRPr="00DD578F" w:rsidRDefault="002A58D4" w:rsidP="002A58D4">
            <w:pPr>
              <w:spacing w:line="276" w:lineRule="auto"/>
              <w:jc w:val="center"/>
              <w:rPr>
                <w:rFonts w:ascii="ITC Avant Garde" w:eastAsia="Times New Roman" w:hAnsi="ITC Avant Garde" w:cs="Arial"/>
                <w:b/>
                <w:lang w:eastAsia="es-MX"/>
              </w:rPr>
            </w:pPr>
            <w:r w:rsidRPr="00DD578F">
              <w:rPr>
                <w:rFonts w:ascii="ITC Avant Garde" w:eastAsia="Times New Roman" w:hAnsi="ITC Avant Garde" w:cs="Arial"/>
                <w:b/>
                <w:bCs/>
                <w:lang w:eastAsia="es-MX"/>
              </w:rPr>
              <w:t>Ernesto Estrada González</w:t>
            </w:r>
          </w:p>
        </w:tc>
        <w:tc>
          <w:tcPr>
            <w:tcW w:w="4414" w:type="dxa"/>
          </w:tcPr>
          <w:p w:rsidR="002A58D4" w:rsidRPr="00DD578F" w:rsidRDefault="002A58D4" w:rsidP="002A58D4">
            <w:pPr>
              <w:spacing w:line="276" w:lineRule="auto"/>
              <w:jc w:val="center"/>
              <w:rPr>
                <w:rFonts w:ascii="ITC Avant Garde" w:eastAsia="Times New Roman" w:hAnsi="ITC Avant Garde" w:cs="Arial"/>
                <w:b/>
                <w:lang w:eastAsia="es-MX"/>
              </w:rPr>
            </w:pPr>
            <w:r w:rsidRPr="00DD578F">
              <w:rPr>
                <w:rFonts w:ascii="ITC Avant Garde" w:eastAsia="Times New Roman" w:hAnsi="ITC Avant Garde" w:cs="Arial"/>
                <w:b/>
                <w:bCs/>
                <w:lang w:eastAsia="es-MX"/>
              </w:rPr>
              <w:t>Adriana Sofía Labardini Inzunza</w:t>
            </w:r>
          </w:p>
        </w:tc>
      </w:tr>
      <w:tr w:rsidR="002A58D4" w:rsidRPr="00DD578F" w:rsidTr="002A58D4">
        <w:trPr>
          <w:gridAfter w:val="1"/>
          <w:wAfter w:w="670" w:type="dxa"/>
        </w:trPr>
        <w:tc>
          <w:tcPr>
            <w:tcW w:w="4414" w:type="dxa"/>
          </w:tcPr>
          <w:p w:rsidR="002A58D4" w:rsidRPr="00DD578F" w:rsidRDefault="002A58D4" w:rsidP="002A58D4">
            <w:pPr>
              <w:spacing w:line="276" w:lineRule="auto"/>
              <w:jc w:val="center"/>
              <w:rPr>
                <w:rFonts w:ascii="ITC Avant Garde" w:eastAsia="Times New Roman" w:hAnsi="ITC Avant Garde" w:cs="Arial"/>
                <w:b/>
                <w:lang w:eastAsia="es-MX"/>
              </w:rPr>
            </w:pPr>
            <w:r w:rsidRPr="00DD578F">
              <w:rPr>
                <w:rFonts w:ascii="ITC Avant Garde" w:eastAsia="Times New Roman" w:hAnsi="ITC Avant Garde" w:cs="Arial"/>
                <w:b/>
                <w:lang w:eastAsia="es-MX"/>
              </w:rPr>
              <w:t>Comisionado</w:t>
            </w:r>
          </w:p>
        </w:tc>
        <w:tc>
          <w:tcPr>
            <w:tcW w:w="4414" w:type="dxa"/>
          </w:tcPr>
          <w:p w:rsidR="002A58D4" w:rsidRPr="00DD578F" w:rsidRDefault="002A58D4" w:rsidP="002A58D4">
            <w:pPr>
              <w:spacing w:line="276" w:lineRule="auto"/>
              <w:jc w:val="center"/>
              <w:rPr>
                <w:rFonts w:ascii="ITC Avant Garde" w:eastAsia="Times New Roman" w:hAnsi="ITC Avant Garde" w:cs="Arial"/>
                <w:b/>
                <w:lang w:eastAsia="es-MX"/>
              </w:rPr>
            </w:pPr>
            <w:r w:rsidRPr="00DD578F">
              <w:rPr>
                <w:rFonts w:ascii="ITC Avant Garde" w:eastAsia="Times New Roman" w:hAnsi="ITC Avant Garde" w:cs="Arial"/>
                <w:b/>
                <w:lang w:eastAsia="es-MX"/>
              </w:rPr>
              <w:t>Comisionad</w:t>
            </w:r>
            <w:r>
              <w:rPr>
                <w:rFonts w:ascii="ITC Avant Garde" w:eastAsia="Times New Roman" w:hAnsi="ITC Avant Garde" w:cs="Arial"/>
                <w:b/>
                <w:lang w:eastAsia="es-MX"/>
              </w:rPr>
              <w:t>a</w:t>
            </w:r>
          </w:p>
        </w:tc>
      </w:tr>
      <w:tr w:rsidR="002A58D4" w:rsidRPr="00DD578F" w:rsidTr="002A58D4">
        <w:trPr>
          <w:gridAfter w:val="1"/>
          <w:wAfter w:w="670" w:type="dxa"/>
        </w:trPr>
        <w:tc>
          <w:tcPr>
            <w:tcW w:w="4414" w:type="dxa"/>
          </w:tcPr>
          <w:p w:rsidR="002A58D4" w:rsidRDefault="002A58D4" w:rsidP="002A58D4">
            <w:pPr>
              <w:spacing w:line="276" w:lineRule="auto"/>
              <w:rPr>
                <w:rFonts w:ascii="ITC Avant Garde" w:eastAsia="Times New Roman" w:hAnsi="ITC Avant Garde" w:cs="Arial"/>
                <w:b/>
                <w:bCs/>
                <w:lang w:eastAsia="es-MX"/>
              </w:rPr>
            </w:pPr>
          </w:p>
          <w:p w:rsidR="002A58D4" w:rsidRDefault="002A58D4" w:rsidP="002A58D4">
            <w:pPr>
              <w:spacing w:line="276" w:lineRule="auto"/>
              <w:rPr>
                <w:rFonts w:ascii="ITC Avant Garde" w:eastAsia="Times New Roman" w:hAnsi="ITC Avant Garde" w:cs="Arial"/>
                <w:b/>
                <w:bCs/>
                <w:lang w:eastAsia="es-MX"/>
              </w:rPr>
            </w:pPr>
          </w:p>
          <w:p w:rsidR="002A58D4" w:rsidRPr="00DD578F" w:rsidRDefault="002A58D4" w:rsidP="002A58D4">
            <w:pPr>
              <w:spacing w:line="276" w:lineRule="auto"/>
              <w:jc w:val="center"/>
              <w:rPr>
                <w:rFonts w:ascii="ITC Avant Garde" w:eastAsia="Times New Roman" w:hAnsi="ITC Avant Garde" w:cs="Arial"/>
                <w:b/>
                <w:bCs/>
                <w:lang w:eastAsia="es-MX"/>
              </w:rPr>
            </w:pPr>
          </w:p>
          <w:p w:rsidR="002A58D4" w:rsidRPr="00DD578F" w:rsidRDefault="002A58D4" w:rsidP="002A58D4">
            <w:pPr>
              <w:spacing w:line="276" w:lineRule="auto"/>
              <w:jc w:val="center"/>
              <w:rPr>
                <w:rFonts w:ascii="ITC Avant Garde" w:eastAsia="Times New Roman" w:hAnsi="ITC Avant Garde" w:cs="Arial"/>
                <w:b/>
                <w:lang w:eastAsia="es-MX"/>
              </w:rPr>
            </w:pPr>
            <w:r w:rsidRPr="00DD578F">
              <w:rPr>
                <w:rFonts w:ascii="ITC Avant Garde" w:eastAsia="Times New Roman" w:hAnsi="ITC Avant Garde" w:cs="Arial"/>
                <w:b/>
                <w:bCs/>
                <w:lang w:eastAsia="es-MX"/>
              </w:rPr>
              <w:t>María Elena Estavillo Flores</w:t>
            </w:r>
          </w:p>
        </w:tc>
        <w:tc>
          <w:tcPr>
            <w:tcW w:w="4414" w:type="dxa"/>
          </w:tcPr>
          <w:p w:rsidR="002A58D4" w:rsidRDefault="002A58D4" w:rsidP="002A58D4">
            <w:pPr>
              <w:spacing w:line="276" w:lineRule="auto"/>
              <w:jc w:val="center"/>
              <w:rPr>
                <w:rFonts w:ascii="ITC Avant Garde" w:eastAsia="Times New Roman" w:hAnsi="ITC Avant Garde" w:cs="Arial"/>
                <w:b/>
                <w:bCs/>
                <w:lang w:eastAsia="es-MX"/>
              </w:rPr>
            </w:pPr>
          </w:p>
          <w:p w:rsidR="002A58D4" w:rsidRDefault="002A58D4" w:rsidP="002A58D4">
            <w:pPr>
              <w:spacing w:line="276" w:lineRule="auto"/>
              <w:jc w:val="center"/>
              <w:rPr>
                <w:rFonts w:ascii="ITC Avant Garde" w:eastAsia="Times New Roman" w:hAnsi="ITC Avant Garde" w:cs="Arial"/>
                <w:b/>
                <w:bCs/>
                <w:lang w:eastAsia="es-MX"/>
              </w:rPr>
            </w:pPr>
          </w:p>
          <w:p w:rsidR="002A58D4" w:rsidRDefault="002A58D4" w:rsidP="002A58D4">
            <w:pPr>
              <w:spacing w:line="276" w:lineRule="auto"/>
              <w:rPr>
                <w:rFonts w:ascii="ITC Avant Garde" w:eastAsia="Times New Roman" w:hAnsi="ITC Avant Garde" w:cs="Arial"/>
                <w:b/>
                <w:bCs/>
                <w:lang w:eastAsia="es-MX"/>
              </w:rPr>
            </w:pPr>
          </w:p>
          <w:p w:rsidR="002A58D4" w:rsidRPr="00DD578F" w:rsidRDefault="002A58D4" w:rsidP="002A58D4">
            <w:pPr>
              <w:spacing w:line="276" w:lineRule="auto"/>
              <w:jc w:val="center"/>
              <w:rPr>
                <w:rFonts w:ascii="ITC Avant Garde" w:eastAsia="Times New Roman" w:hAnsi="ITC Avant Garde" w:cs="Arial"/>
                <w:b/>
                <w:lang w:eastAsia="es-MX"/>
              </w:rPr>
            </w:pPr>
            <w:r w:rsidRPr="00DD578F">
              <w:rPr>
                <w:rFonts w:ascii="ITC Avant Garde" w:eastAsia="Times New Roman" w:hAnsi="ITC Avant Garde" w:cs="Arial"/>
                <w:b/>
                <w:bCs/>
                <w:lang w:eastAsia="es-MX"/>
              </w:rPr>
              <w:t>Mario Germán Fromow Rangel</w:t>
            </w:r>
          </w:p>
        </w:tc>
      </w:tr>
      <w:tr w:rsidR="002A58D4" w:rsidRPr="00DD578F" w:rsidTr="002A58D4">
        <w:trPr>
          <w:gridAfter w:val="1"/>
          <w:wAfter w:w="670" w:type="dxa"/>
        </w:trPr>
        <w:tc>
          <w:tcPr>
            <w:tcW w:w="4414" w:type="dxa"/>
          </w:tcPr>
          <w:p w:rsidR="002A58D4" w:rsidRPr="00DD578F" w:rsidRDefault="002A58D4" w:rsidP="002A58D4">
            <w:pPr>
              <w:spacing w:line="276" w:lineRule="auto"/>
              <w:jc w:val="center"/>
              <w:rPr>
                <w:rFonts w:ascii="ITC Avant Garde" w:eastAsia="Times New Roman" w:hAnsi="ITC Avant Garde" w:cs="Arial"/>
                <w:b/>
                <w:bCs/>
                <w:lang w:eastAsia="es-MX"/>
              </w:rPr>
            </w:pPr>
            <w:r>
              <w:rPr>
                <w:rFonts w:ascii="ITC Avant Garde" w:eastAsia="Times New Roman" w:hAnsi="ITC Avant Garde" w:cs="Arial"/>
                <w:b/>
                <w:lang w:eastAsia="es-MX"/>
              </w:rPr>
              <w:t>Comisionada</w:t>
            </w:r>
          </w:p>
        </w:tc>
        <w:tc>
          <w:tcPr>
            <w:tcW w:w="4414" w:type="dxa"/>
          </w:tcPr>
          <w:p w:rsidR="002A58D4" w:rsidRPr="00DD578F" w:rsidRDefault="002A58D4" w:rsidP="002A58D4">
            <w:pPr>
              <w:spacing w:line="276" w:lineRule="auto"/>
              <w:jc w:val="center"/>
              <w:rPr>
                <w:rFonts w:ascii="ITC Avant Garde" w:eastAsia="Times New Roman" w:hAnsi="ITC Avant Garde" w:cs="Arial"/>
                <w:b/>
                <w:bCs/>
                <w:lang w:eastAsia="es-MX"/>
              </w:rPr>
            </w:pPr>
            <w:r>
              <w:rPr>
                <w:rFonts w:ascii="ITC Avant Garde" w:eastAsia="Times New Roman" w:hAnsi="ITC Avant Garde" w:cs="Arial"/>
                <w:b/>
                <w:lang w:eastAsia="es-MX"/>
              </w:rPr>
              <w:t>Comisionado</w:t>
            </w:r>
          </w:p>
        </w:tc>
      </w:tr>
      <w:tr w:rsidR="002A58D4" w:rsidRPr="00DD578F" w:rsidTr="002A58D4">
        <w:tc>
          <w:tcPr>
            <w:tcW w:w="9498" w:type="dxa"/>
            <w:gridSpan w:val="3"/>
          </w:tcPr>
          <w:p w:rsidR="002A58D4" w:rsidRDefault="002A58D4" w:rsidP="002A58D4">
            <w:pPr>
              <w:tabs>
                <w:tab w:val="left" w:pos="4198"/>
              </w:tabs>
              <w:spacing w:line="276" w:lineRule="auto"/>
              <w:ind w:right="743"/>
              <w:jc w:val="center"/>
              <w:rPr>
                <w:rFonts w:ascii="ITC Avant Garde" w:eastAsia="Times New Roman" w:hAnsi="ITC Avant Garde" w:cs="Arial"/>
                <w:b/>
                <w:bCs/>
                <w:lang w:eastAsia="es-MX"/>
              </w:rPr>
            </w:pPr>
          </w:p>
          <w:p w:rsidR="002A58D4" w:rsidRDefault="002A58D4" w:rsidP="002A58D4">
            <w:pPr>
              <w:tabs>
                <w:tab w:val="left" w:pos="4198"/>
              </w:tabs>
              <w:spacing w:line="276" w:lineRule="auto"/>
              <w:ind w:right="743"/>
              <w:jc w:val="center"/>
              <w:rPr>
                <w:rFonts w:ascii="ITC Avant Garde" w:eastAsia="Times New Roman" w:hAnsi="ITC Avant Garde" w:cs="Arial"/>
                <w:b/>
                <w:bCs/>
                <w:lang w:eastAsia="es-MX"/>
              </w:rPr>
            </w:pPr>
          </w:p>
          <w:p w:rsidR="002A58D4" w:rsidRPr="00DD578F" w:rsidRDefault="002A58D4" w:rsidP="002A58D4">
            <w:pPr>
              <w:tabs>
                <w:tab w:val="left" w:pos="4198"/>
              </w:tabs>
              <w:spacing w:line="276" w:lineRule="auto"/>
              <w:ind w:right="743"/>
              <w:jc w:val="center"/>
              <w:rPr>
                <w:rFonts w:ascii="ITC Avant Garde" w:eastAsia="Times New Roman" w:hAnsi="ITC Avant Garde" w:cs="Arial"/>
                <w:b/>
                <w:bCs/>
                <w:lang w:eastAsia="es-MX"/>
              </w:rPr>
            </w:pPr>
            <w:r w:rsidRPr="00DD578F">
              <w:rPr>
                <w:rFonts w:ascii="ITC Avant Garde" w:eastAsia="Times New Roman" w:hAnsi="ITC Avant Garde" w:cs="Arial"/>
                <w:b/>
                <w:bCs/>
                <w:lang w:eastAsia="es-MX"/>
              </w:rPr>
              <w:t>Adolfo Cuevas Teja</w:t>
            </w:r>
          </w:p>
        </w:tc>
      </w:tr>
      <w:tr w:rsidR="002A58D4" w:rsidRPr="00DD578F" w:rsidTr="002A58D4">
        <w:tc>
          <w:tcPr>
            <w:tcW w:w="9498" w:type="dxa"/>
            <w:gridSpan w:val="3"/>
          </w:tcPr>
          <w:p w:rsidR="002A58D4" w:rsidRPr="00DD578F" w:rsidRDefault="002A58D4" w:rsidP="002A58D4">
            <w:pPr>
              <w:tabs>
                <w:tab w:val="left" w:pos="4198"/>
              </w:tabs>
              <w:spacing w:line="276" w:lineRule="auto"/>
              <w:ind w:right="743"/>
              <w:jc w:val="center"/>
              <w:rPr>
                <w:rFonts w:ascii="ITC Avant Garde" w:eastAsia="Times New Roman" w:hAnsi="ITC Avant Garde" w:cs="Arial"/>
                <w:b/>
                <w:bCs/>
                <w:lang w:eastAsia="es-MX"/>
              </w:rPr>
            </w:pPr>
            <w:r w:rsidRPr="00DD578F">
              <w:rPr>
                <w:rFonts w:ascii="ITC Avant Garde" w:eastAsia="Times New Roman" w:hAnsi="ITC Avant Garde" w:cs="Arial"/>
                <w:b/>
                <w:lang w:eastAsia="es-MX"/>
              </w:rPr>
              <w:t>Comisionado</w:t>
            </w:r>
          </w:p>
        </w:tc>
      </w:tr>
    </w:tbl>
    <w:p w:rsidR="007A300D" w:rsidRPr="007A300D" w:rsidRDefault="007A300D" w:rsidP="007A300D">
      <w:pPr>
        <w:pStyle w:val="Sinespaciado"/>
        <w:jc w:val="both"/>
        <w:rPr>
          <w:rFonts w:ascii="ITC Avant Garde" w:hAnsi="ITC Avant Garde"/>
          <w:sz w:val="2"/>
        </w:rPr>
      </w:pPr>
    </w:p>
    <w:p w:rsidR="004A524B" w:rsidRDefault="007A300D" w:rsidP="007A300D">
      <w:pPr>
        <w:pStyle w:val="Sinespaciado"/>
        <w:jc w:val="both"/>
        <w:rPr>
          <w:rFonts w:ascii="ITC Avant Garde" w:hAnsi="ITC Avant Garde"/>
          <w:b/>
          <w:sz w:val="20"/>
          <w:szCs w:val="20"/>
        </w:rPr>
      </w:pPr>
      <w:r w:rsidRPr="007A300D">
        <w:rPr>
          <w:rFonts w:ascii="ITC Avant Garde" w:hAnsi="ITC Avant Garde"/>
          <w:sz w:val="14"/>
        </w:rPr>
        <w:t xml:space="preserve">El presente Acuerdo fue aprobado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w:t>
      </w:r>
      <w:r w:rsidRPr="007A300D">
        <w:rPr>
          <w:rFonts w:ascii="ITC Avant Garde" w:hAnsi="ITC Avant Garde"/>
          <w:sz w:val="14"/>
        </w:rPr>
        <w:lastRenderedPageBreak/>
        <w:t>7, 16 y 45 de la Ley Federal de Telecomunicaciones y Radiodifusión; así como en los artículos 1, 7, 8 y 12 del Estatuto Orgánico del Instituto Federal de Telecomunicaciones, mediante Acuerdo P/IFT/270416/164.</w:t>
      </w:r>
      <w:bookmarkStart w:id="0" w:name="_GoBack"/>
      <w:bookmarkEnd w:id="0"/>
    </w:p>
    <w:sectPr w:rsidR="004A524B" w:rsidSect="00084E43">
      <w:footerReference w:type="default" r:id="rId6"/>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E43" w:rsidRDefault="00084E43" w:rsidP="00084E43">
      <w:pPr>
        <w:spacing w:after="0" w:line="240" w:lineRule="auto"/>
      </w:pPr>
      <w:r>
        <w:separator/>
      </w:r>
    </w:p>
  </w:endnote>
  <w:endnote w:type="continuationSeparator" w:id="0">
    <w:p w:rsidR="00084E43" w:rsidRDefault="00084E43" w:rsidP="0008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304617"/>
      <w:docPartObj>
        <w:docPartGallery w:val="Page Numbers (Bottom of Page)"/>
        <w:docPartUnique/>
      </w:docPartObj>
    </w:sdtPr>
    <w:sdtEndPr>
      <w:rPr>
        <w:rFonts w:ascii="ITC Avant Garde" w:hAnsi="ITC Avant Garde"/>
        <w:sz w:val="20"/>
        <w:szCs w:val="20"/>
      </w:rPr>
    </w:sdtEndPr>
    <w:sdtContent>
      <w:p w:rsidR="00084E43" w:rsidRPr="00084E43" w:rsidRDefault="00084E43">
        <w:pPr>
          <w:pStyle w:val="Piedepgina"/>
          <w:jc w:val="right"/>
          <w:rPr>
            <w:rFonts w:ascii="ITC Avant Garde" w:hAnsi="ITC Avant Garde"/>
            <w:sz w:val="20"/>
            <w:szCs w:val="20"/>
          </w:rPr>
        </w:pPr>
        <w:r w:rsidRPr="00084E43">
          <w:rPr>
            <w:rFonts w:ascii="ITC Avant Garde" w:hAnsi="ITC Avant Garde"/>
            <w:sz w:val="20"/>
            <w:szCs w:val="20"/>
          </w:rPr>
          <w:fldChar w:fldCharType="begin"/>
        </w:r>
        <w:r w:rsidRPr="00084E43">
          <w:rPr>
            <w:rFonts w:ascii="ITC Avant Garde" w:hAnsi="ITC Avant Garde"/>
            <w:sz w:val="20"/>
            <w:szCs w:val="20"/>
          </w:rPr>
          <w:instrText>PAGE   \* MERGEFORMAT</w:instrText>
        </w:r>
        <w:r w:rsidRPr="00084E43">
          <w:rPr>
            <w:rFonts w:ascii="ITC Avant Garde" w:hAnsi="ITC Avant Garde"/>
            <w:sz w:val="20"/>
            <w:szCs w:val="20"/>
          </w:rPr>
          <w:fldChar w:fldCharType="separate"/>
        </w:r>
        <w:r w:rsidR="007A300D" w:rsidRPr="007A300D">
          <w:rPr>
            <w:rFonts w:ascii="ITC Avant Garde" w:hAnsi="ITC Avant Garde"/>
            <w:noProof/>
            <w:sz w:val="20"/>
            <w:szCs w:val="20"/>
            <w:lang w:val="es-ES"/>
          </w:rPr>
          <w:t>4</w:t>
        </w:r>
        <w:r w:rsidRPr="00084E4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E43" w:rsidRDefault="00084E43" w:rsidP="00084E43">
      <w:pPr>
        <w:spacing w:after="0" w:line="240" w:lineRule="auto"/>
      </w:pPr>
      <w:r>
        <w:separator/>
      </w:r>
    </w:p>
  </w:footnote>
  <w:footnote w:type="continuationSeparator" w:id="0">
    <w:p w:rsidR="00084E43" w:rsidRDefault="00084E43" w:rsidP="00084E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79"/>
    <w:rsid w:val="000230D1"/>
    <w:rsid w:val="00084E43"/>
    <w:rsid w:val="002A58D4"/>
    <w:rsid w:val="004A524B"/>
    <w:rsid w:val="004E7E79"/>
    <w:rsid w:val="00726FEE"/>
    <w:rsid w:val="007A300D"/>
    <w:rsid w:val="00FE2F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A199F-7FF9-41A3-90E0-C5DC1D58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E7E7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table" w:styleId="Tablaconcuadrcula">
    <w:name w:val="Table Grid"/>
    <w:basedOn w:val="Tablanormal"/>
    <w:uiPriority w:val="39"/>
    <w:rsid w:val="004A5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84E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4E43"/>
  </w:style>
  <w:style w:type="paragraph" w:styleId="Piedepgina">
    <w:name w:val="footer"/>
    <w:basedOn w:val="Normal"/>
    <w:link w:val="PiedepginaCar"/>
    <w:uiPriority w:val="99"/>
    <w:unhideWhenUsed/>
    <w:rsid w:val="00084E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4E43"/>
  </w:style>
  <w:style w:type="paragraph" w:styleId="Sinespaciado">
    <w:name w:val="No Spacing"/>
    <w:link w:val="SinespaciadoCar"/>
    <w:uiPriority w:val="1"/>
    <w:qFormat/>
    <w:rsid w:val="007A300D"/>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7A30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1479</Words>
  <Characters>8136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CGPU</dc:creator>
  <cp:keywords/>
  <dc:description/>
  <cp:lastModifiedBy>Karen Beatriz Martinez Munguia</cp:lastModifiedBy>
  <cp:revision>3</cp:revision>
  <dcterms:created xsi:type="dcterms:W3CDTF">2016-04-29T14:52:00Z</dcterms:created>
  <dcterms:modified xsi:type="dcterms:W3CDTF">2016-04-29T14:55:00Z</dcterms:modified>
</cp:coreProperties>
</file>