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9DCF41" w14:textId="08253318" w:rsidR="00D93D75" w:rsidRPr="00377FDC" w:rsidRDefault="00D93D75" w:rsidP="00E036DF">
      <w:pPr>
        <w:autoSpaceDE w:val="0"/>
        <w:autoSpaceDN w:val="0"/>
        <w:adjustRightInd w:val="0"/>
        <w:spacing w:line="240" w:lineRule="auto"/>
        <w:ind w:right="-126"/>
        <w:jc w:val="left"/>
        <w:rPr>
          <w:rFonts w:ascii="ITC Avant Garde" w:hAnsi="ITC Avant Garde"/>
          <w:b/>
          <w:szCs w:val="22"/>
        </w:rPr>
      </w:pPr>
      <w:r w:rsidRPr="00377FDC">
        <w:rPr>
          <w:rFonts w:ascii="ITC Avant Garde" w:hAnsi="ITC Avant Garde"/>
          <w:b/>
          <w:szCs w:val="22"/>
        </w:rPr>
        <w:t xml:space="preserve">RESPUESTAS GENERALES QUE </w:t>
      </w:r>
      <w:r w:rsidR="00FC09B0" w:rsidRPr="00377FDC">
        <w:rPr>
          <w:rFonts w:ascii="ITC Avant Garde" w:hAnsi="ITC Avant Garde"/>
          <w:b/>
          <w:szCs w:val="22"/>
        </w:rPr>
        <w:t xml:space="preserve">PROPORCIONA </w:t>
      </w:r>
      <w:r w:rsidRPr="00377FDC">
        <w:rPr>
          <w:rFonts w:ascii="ITC Avant Garde" w:hAnsi="ITC Avant Garde"/>
          <w:b/>
          <w:szCs w:val="22"/>
        </w:rPr>
        <w:t>EL INSTITUTO FEDERAL DE</w:t>
      </w:r>
    </w:p>
    <w:p w14:paraId="1D24A0B8" w14:textId="77777777" w:rsidR="00D93D75" w:rsidRPr="00377FDC" w:rsidRDefault="00D93D75" w:rsidP="00E036DF">
      <w:pPr>
        <w:autoSpaceDE w:val="0"/>
        <w:autoSpaceDN w:val="0"/>
        <w:adjustRightInd w:val="0"/>
        <w:spacing w:line="240" w:lineRule="auto"/>
        <w:jc w:val="left"/>
        <w:rPr>
          <w:rFonts w:ascii="ITC Avant Garde" w:hAnsi="ITC Avant Garde"/>
          <w:b/>
          <w:szCs w:val="22"/>
        </w:rPr>
      </w:pPr>
      <w:r w:rsidRPr="00377FDC">
        <w:rPr>
          <w:rFonts w:ascii="ITC Avant Garde" w:hAnsi="ITC Avant Garde"/>
          <w:b/>
          <w:szCs w:val="22"/>
        </w:rPr>
        <w:t>TELECOMUNICACIONES A LAS MANIFESTACIONES, OPINIONES, COMENTARIOS Y</w:t>
      </w:r>
    </w:p>
    <w:p w14:paraId="21367DD9" w14:textId="77777777" w:rsidR="00D93D75" w:rsidRPr="00377FDC" w:rsidRDefault="00D93D75" w:rsidP="00E036DF">
      <w:pPr>
        <w:autoSpaceDE w:val="0"/>
        <w:autoSpaceDN w:val="0"/>
        <w:adjustRightInd w:val="0"/>
        <w:spacing w:line="240" w:lineRule="auto"/>
        <w:jc w:val="left"/>
        <w:rPr>
          <w:rFonts w:ascii="ITC Avant Garde" w:hAnsi="ITC Avant Garde"/>
          <w:b/>
          <w:szCs w:val="22"/>
        </w:rPr>
      </w:pPr>
      <w:r w:rsidRPr="00377FDC">
        <w:rPr>
          <w:rFonts w:ascii="ITC Avant Garde" w:hAnsi="ITC Avant Garde"/>
          <w:b/>
          <w:szCs w:val="22"/>
        </w:rPr>
        <w:t>PROPUESTAS PRESENTADAS DURANTE LA CONSULTA PÚBLICA DEL:</w:t>
      </w:r>
    </w:p>
    <w:p w14:paraId="4286C0DA" w14:textId="77777777" w:rsidR="00D93D75" w:rsidRPr="00377FDC" w:rsidRDefault="00D93D75" w:rsidP="00D93D75">
      <w:pPr>
        <w:autoSpaceDE w:val="0"/>
        <w:autoSpaceDN w:val="0"/>
        <w:adjustRightInd w:val="0"/>
        <w:spacing w:line="240" w:lineRule="auto"/>
        <w:jc w:val="center"/>
        <w:rPr>
          <w:rFonts w:ascii="ITC Avant Garde" w:hAnsi="ITC Avant Garde"/>
          <w:b/>
          <w:szCs w:val="22"/>
        </w:rPr>
      </w:pPr>
    </w:p>
    <w:p w14:paraId="46A14EED" w14:textId="0A015DF8" w:rsidR="00D93D75" w:rsidRPr="00377FDC" w:rsidRDefault="00D93D75" w:rsidP="00D93D75">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 xml:space="preserve"> “</w:t>
      </w:r>
      <w:r w:rsidR="00897DB0" w:rsidRPr="00377FDC">
        <w:rPr>
          <w:rFonts w:ascii="ITC Avant Garde" w:hAnsi="ITC Avant Garde"/>
          <w:b/>
          <w:szCs w:val="22"/>
        </w:rPr>
        <w:t>ANTEPROYECTO DE LINEAMIENTOS QUE FIJAN LOS TÉRMINOS PARA QUE EL AGENTE ECONÓMICO PREPONDERANTE EN EL SECTOR DE</w:t>
      </w:r>
      <w:r w:rsidR="00E036DF">
        <w:rPr>
          <w:rFonts w:ascii="ITC Avant Garde" w:hAnsi="ITC Avant Garde"/>
          <w:b/>
          <w:szCs w:val="22"/>
        </w:rPr>
        <w:t xml:space="preserve"> LAS</w:t>
      </w:r>
      <w:r w:rsidR="00897DB0" w:rsidRPr="00377FDC">
        <w:rPr>
          <w:rFonts w:ascii="ITC Avant Garde" w:hAnsi="ITC Avant Garde"/>
          <w:b/>
          <w:szCs w:val="22"/>
        </w:rPr>
        <w:t xml:space="preserve"> TELECOMUNICACIONES O CON PODER SUSTANCIAL TENGA PRESENCIA FÍSICA EN LOS PUNTOS DE INTERCAMBIO DE TRÁFICO DE INTERNET EN EL TERRITORIO NACIONAL Y CELEBRE LOS CONVENIOS QUE PERMITAN A LOS PROVEEDORES DE SERVICIOS DE INTERNET EL INTERCAMBIO </w:t>
      </w:r>
      <w:r w:rsidR="00166529">
        <w:rPr>
          <w:rFonts w:ascii="ITC Avant Garde" w:hAnsi="ITC Avant Garde"/>
          <w:b/>
          <w:szCs w:val="22"/>
        </w:rPr>
        <w:t xml:space="preserve">INTERNO </w:t>
      </w:r>
      <w:r w:rsidR="00897DB0" w:rsidRPr="00377FDC">
        <w:rPr>
          <w:rFonts w:ascii="ITC Avant Garde" w:hAnsi="ITC Avant Garde"/>
          <w:b/>
          <w:szCs w:val="22"/>
        </w:rPr>
        <w:t>DE TRÁFICO DE MANERA MÁS EFICIENTE Y MENOS COSTOSA</w:t>
      </w:r>
      <w:r w:rsidRPr="00377FDC">
        <w:rPr>
          <w:rFonts w:ascii="ITC Avant Garde" w:hAnsi="ITC Avant Garde"/>
          <w:b/>
          <w:szCs w:val="22"/>
        </w:rPr>
        <w:t>”.</w:t>
      </w:r>
    </w:p>
    <w:p w14:paraId="355DAADF" w14:textId="77777777" w:rsidR="00D93D75" w:rsidRPr="00377FDC" w:rsidRDefault="00D93D75" w:rsidP="00D93D75">
      <w:pPr>
        <w:autoSpaceDE w:val="0"/>
        <w:autoSpaceDN w:val="0"/>
        <w:adjustRightInd w:val="0"/>
        <w:spacing w:line="240" w:lineRule="auto"/>
        <w:rPr>
          <w:rFonts w:ascii="ITC Avant Garde" w:hAnsi="ITC Avant Garde"/>
          <w:szCs w:val="22"/>
        </w:rPr>
      </w:pPr>
    </w:p>
    <w:p w14:paraId="6570FF81" w14:textId="1569A62F" w:rsidR="00D93D75" w:rsidRPr="00377FDC" w:rsidRDefault="00D93D75" w:rsidP="0039427F">
      <w:pPr>
        <w:autoSpaceDE w:val="0"/>
        <w:autoSpaceDN w:val="0"/>
        <w:adjustRightInd w:val="0"/>
        <w:spacing w:line="240" w:lineRule="auto"/>
        <w:rPr>
          <w:rFonts w:ascii="ITC Avant Garde" w:hAnsi="ITC Avant Garde"/>
          <w:szCs w:val="22"/>
        </w:rPr>
      </w:pPr>
      <w:r w:rsidRPr="00377FDC">
        <w:rPr>
          <w:rFonts w:ascii="ITC Avant Garde" w:hAnsi="ITC Avant Garde"/>
          <w:szCs w:val="22"/>
        </w:rPr>
        <w:t>Con relación a las manifestaciones, opiniones, comentarios y propuestas concretas recibidas</w:t>
      </w:r>
      <w:r w:rsidR="005E16C1" w:rsidRPr="00377FDC">
        <w:rPr>
          <w:rFonts w:ascii="ITC Avant Garde" w:hAnsi="ITC Avant Garde"/>
          <w:szCs w:val="22"/>
        </w:rPr>
        <w:t xml:space="preserve"> </w:t>
      </w:r>
      <w:r w:rsidR="00551332" w:rsidRPr="00377FDC">
        <w:rPr>
          <w:rFonts w:ascii="ITC Avant Garde" w:hAnsi="ITC Avant Garde"/>
          <w:szCs w:val="22"/>
        </w:rPr>
        <w:t>durante el periodo comprendido d</w:t>
      </w:r>
      <w:r w:rsidR="005E16C1" w:rsidRPr="00377FDC">
        <w:rPr>
          <w:rFonts w:ascii="ITC Avant Garde" w:hAnsi="ITC Avant Garde"/>
          <w:szCs w:val="22"/>
        </w:rPr>
        <w:t>e</w:t>
      </w:r>
      <w:r w:rsidR="00897DB0" w:rsidRPr="00377FDC">
        <w:rPr>
          <w:rFonts w:ascii="ITC Avant Garde" w:hAnsi="ITC Avant Garde"/>
          <w:szCs w:val="22"/>
        </w:rPr>
        <w:t xml:space="preserve">l </w:t>
      </w:r>
      <w:r w:rsidR="005E16C1" w:rsidRPr="00377FDC">
        <w:rPr>
          <w:rFonts w:ascii="ITC Avant Garde" w:hAnsi="ITC Avant Garde"/>
          <w:szCs w:val="22"/>
        </w:rPr>
        <w:t xml:space="preserve">6 de </w:t>
      </w:r>
      <w:r w:rsidR="00897DB0" w:rsidRPr="00377FDC">
        <w:rPr>
          <w:rFonts w:ascii="ITC Avant Garde" w:hAnsi="ITC Avant Garde"/>
          <w:szCs w:val="22"/>
        </w:rPr>
        <w:t>septiembre</w:t>
      </w:r>
      <w:r w:rsidRPr="00377FDC">
        <w:rPr>
          <w:rFonts w:ascii="ITC Avant Garde" w:hAnsi="ITC Avant Garde"/>
          <w:szCs w:val="22"/>
        </w:rPr>
        <w:t xml:space="preserve"> </w:t>
      </w:r>
      <w:r w:rsidR="00551332" w:rsidRPr="00377FDC">
        <w:rPr>
          <w:rFonts w:ascii="ITC Avant Garde" w:hAnsi="ITC Avant Garde"/>
          <w:szCs w:val="22"/>
        </w:rPr>
        <w:t>al</w:t>
      </w:r>
      <w:r w:rsidR="00897DB0" w:rsidRPr="00377FDC">
        <w:rPr>
          <w:rFonts w:ascii="ITC Avant Garde" w:hAnsi="ITC Avant Garde"/>
          <w:szCs w:val="22"/>
        </w:rPr>
        <w:t xml:space="preserve"> 18</w:t>
      </w:r>
      <w:r w:rsidRPr="00377FDC">
        <w:rPr>
          <w:rFonts w:ascii="ITC Avant Garde" w:hAnsi="ITC Avant Garde"/>
          <w:szCs w:val="22"/>
        </w:rPr>
        <w:t xml:space="preserve"> de </w:t>
      </w:r>
      <w:r w:rsidR="00897DB0" w:rsidRPr="00377FDC">
        <w:rPr>
          <w:rFonts w:ascii="ITC Avant Garde" w:hAnsi="ITC Avant Garde"/>
          <w:szCs w:val="22"/>
        </w:rPr>
        <w:t>octubre de 2016</w:t>
      </w:r>
      <w:r w:rsidRPr="00377FDC">
        <w:rPr>
          <w:rFonts w:ascii="ITC Avant Garde" w:hAnsi="ITC Avant Garde"/>
          <w:szCs w:val="22"/>
        </w:rPr>
        <w:t xml:space="preserve">, </w:t>
      </w:r>
      <w:r w:rsidR="00551332" w:rsidRPr="00377FDC">
        <w:rPr>
          <w:rFonts w:ascii="ITC Avant Garde" w:hAnsi="ITC Avant Garde"/>
          <w:szCs w:val="22"/>
        </w:rPr>
        <w:t>respecto</w:t>
      </w:r>
      <w:r w:rsidRPr="00377FDC">
        <w:rPr>
          <w:rFonts w:ascii="ITC Avant Garde" w:hAnsi="ITC Avant Garde"/>
          <w:szCs w:val="22"/>
        </w:rPr>
        <w:t xml:space="preserve"> al Anteproyecto materia de la consulta pública de mérito, se informa que el Instituto Federal de Telecomunicaciones (</w:t>
      </w:r>
      <w:r w:rsidR="00551332" w:rsidRPr="00377FDC">
        <w:rPr>
          <w:rFonts w:ascii="ITC Avant Garde" w:hAnsi="ITC Avant Garde"/>
          <w:szCs w:val="22"/>
        </w:rPr>
        <w:t xml:space="preserve">en lo sucesivo, </w:t>
      </w:r>
      <w:r w:rsidRPr="00377FDC">
        <w:rPr>
          <w:rFonts w:ascii="ITC Avant Garde" w:hAnsi="ITC Avant Garde"/>
          <w:szCs w:val="22"/>
        </w:rPr>
        <w:t xml:space="preserve">el “Instituto”) </w:t>
      </w:r>
      <w:r w:rsidR="00551332" w:rsidRPr="00377FDC">
        <w:rPr>
          <w:rFonts w:ascii="ITC Avant Garde" w:hAnsi="ITC Avant Garde"/>
          <w:szCs w:val="22"/>
        </w:rPr>
        <w:t>identificó diversos temas, por lo que para efectos de su atención</w:t>
      </w:r>
      <w:r w:rsidR="00A07209" w:rsidRPr="00377FDC">
        <w:rPr>
          <w:rFonts w:ascii="ITC Avant Garde" w:hAnsi="ITC Avant Garde"/>
          <w:szCs w:val="22"/>
        </w:rPr>
        <w:t>, estos han sido agrupados de manera genérica para su mejor referencia</w:t>
      </w:r>
      <w:r w:rsidRPr="00377FDC">
        <w:rPr>
          <w:rFonts w:ascii="ITC Avant Garde" w:hAnsi="ITC Avant Garde"/>
          <w:szCs w:val="22"/>
        </w:rPr>
        <w:t xml:space="preserve">. No obstante lo anterior, se menciona que todas las opiniones y pronunciamientos recibidos, se encuentran disponibles para su consulta en </w:t>
      </w:r>
      <w:r w:rsidR="00A07209" w:rsidRPr="00377FDC">
        <w:rPr>
          <w:rFonts w:ascii="ITC Avant Garde" w:hAnsi="ITC Avant Garde"/>
          <w:szCs w:val="22"/>
        </w:rPr>
        <w:t>el portal</w:t>
      </w:r>
      <w:r w:rsidRPr="00377FDC">
        <w:rPr>
          <w:rFonts w:ascii="ITC Avant Garde" w:hAnsi="ITC Avant Garde"/>
          <w:szCs w:val="22"/>
        </w:rPr>
        <w:t xml:space="preserve"> de </w:t>
      </w:r>
      <w:r w:rsidR="00A07209" w:rsidRPr="00377FDC">
        <w:rPr>
          <w:rFonts w:ascii="ITC Avant Garde" w:hAnsi="ITC Avant Garde"/>
          <w:szCs w:val="22"/>
        </w:rPr>
        <w:t>I</w:t>
      </w:r>
      <w:r w:rsidRPr="00377FDC">
        <w:rPr>
          <w:rFonts w:ascii="ITC Avant Garde" w:hAnsi="ITC Avant Garde"/>
          <w:szCs w:val="22"/>
        </w:rPr>
        <w:t>nternet del Instituto.</w:t>
      </w:r>
    </w:p>
    <w:p w14:paraId="3B06F78B" w14:textId="77777777" w:rsidR="00D93D75" w:rsidRPr="00377FDC" w:rsidRDefault="00D93D75">
      <w:pPr>
        <w:autoSpaceDE w:val="0"/>
        <w:autoSpaceDN w:val="0"/>
        <w:adjustRightInd w:val="0"/>
        <w:spacing w:line="240" w:lineRule="auto"/>
        <w:rPr>
          <w:rFonts w:ascii="ITC Avant Garde" w:hAnsi="ITC Avant Garde"/>
          <w:szCs w:val="22"/>
        </w:rPr>
      </w:pPr>
    </w:p>
    <w:p w14:paraId="155356C1" w14:textId="39DC4303" w:rsidR="00D93D75" w:rsidRPr="00377FDC" w:rsidRDefault="00D93D75">
      <w:pPr>
        <w:autoSpaceDE w:val="0"/>
        <w:autoSpaceDN w:val="0"/>
        <w:adjustRightInd w:val="0"/>
        <w:spacing w:line="240" w:lineRule="auto"/>
        <w:rPr>
          <w:rFonts w:ascii="ITC Avant Garde" w:hAnsi="ITC Avant Garde"/>
          <w:szCs w:val="22"/>
        </w:rPr>
      </w:pPr>
      <w:r w:rsidRPr="00377FDC">
        <w:rPr>
          <w:rFonts w:ascii="ITC Avant Garde" w:hAnsi="ITC Avant Garde"/>
          <w:szCs w:val="22"/>
        </w:rPr>
        <w:t>Lo contenido en la</w:t>
      </w:r>
      <w:r w:rsidR="005E16C1" w:rsidRPr="00377FDC">
        <w:rPr>
          <w:rFonts w:ascii="ITC Avant Garde" w:hAnsi="ITC Avant Garde"/>
          <w:szCs w:val="22"/>
        </w:rPr>
        <w:t>s</w:t>
      </w:r>
      <w:r w:rsidRPr="00377FDC">
        <w:rPr>
          <w:rFonts w:ascii="ITC Avant Garde" w:hAnsi="ITC Avant Garde"/>
          <w:szCs w:val="22"/>
        </w:rPr>
        <w:t xml:space="preserve"> presentes Respuestas Generales atiende únicamente lo relacionado con las observaciones realizadas por los </w:t>
      </w:r>
      <w:r w:rsidR="005E16C1" w:rsidRPr="00377FDC">
        <w:rPr>
          <w:rFonts w:ascii="ITC Avant Garde" w:hAnsi="ITC Avant Garde"/>
          <w:szCs w:val="22"/>
        </w:rPr>
        <w:t>participantes</w:t>
      </w:r>
      <w:r w:rsidRPr="00377FDC">
        <w:rPr>
          <w:rFonts w:ascii="ITC Avant Garde" w:hAnsi="ITC Avant Garde"/>
          <w:szCs w:val="22"/>
        </w:rPr>
        <w:t xml:space="preserve"> en la Consulta Pública a los temas presentados en el Anteproyecto. </w:t>
      </w:r>
    </w:p>
    <w:p w14:paraId="3933F9FD" w14:textId="77777777" w:rsidR="00D93D75" w:rsidRPr="00377FDC" w:rsidRDefault="00D93D75">
      <w:pPr>
        <w:autoSpaceDE w:val="0"/>
        <w:autoSpaceDN w:val="0"/>
        <w:adjustRightInd w:val="0"/>
        <w:spacing w:line="240" w:lineRule="auto"/>
        <w:rPr>
          <w:rFonts w:ascii="ITC Avant Garde" w:hAnsi="ITC Avant Garde"/>
          <w:szCs w:val="22"/>
        </w:rPr>
      </w:pPr>
    </w:p>
    <w:p w14:paraId="12BE4467" w14:textId="13A7FE84" w:rsidR="00D93D75" w:rsidRPr="00377FDC" w:rsidRDefault="00D93D75">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Una vez concluido el plazo de consulta respectivo, se publicaron en el portal de </w:t>
      </w:r>
      <w:r w:rsidR="00F34E12" w:rsidRPr="00377FDC">
        <w:rPr>
          <w:rFonts w:ascii="ITC Avant Garde" w:hAnsi="ITC Avant Garde"/>
          <w:szCs w:val="22"/>
        </w:rPr>
        <w:t>I</w:t>
      </w:r>
      <w:r w:rsidRPr="00377FDC">
        <w:rPr>
          <w:rFonts w:ascii="ITC Avant Garde" w:hAnsi="ITC Avant Garde"/>
          <w:szCs w:val="22"/>
        </w:rPr>
        <w:t>nternet del Instituto todos y cada uno de los comentarios, opiniones y propuestas concretas recibidas respecto del Anteproyecto materia de dicha Consulta Pública</w:t>
      </w:r>
      <w:r w:rsidR="00A07209" w:rsidRPr="00377FDC">
        <w:rPr>
          <w:rFonts w:ascii="ITC Avant Garde" w:hAnsi="ITC Avant Garde"/>
          <w:szCs w:val="22"/>
        </w:rPr>
        <w:t xml:space="preserve">. </w:t>
      </w:r>
      <w:r w:rsidRPr="00377FDC">
        <w:rPr>
          <w:rFonts w:ascii="ITC Avant Garde" w:hAnsi="ITC Avant Garde"/>
          <w:szCs w:val="22"/>
        </w:rPr>
        <w:t xml:space="preserve">Asimismo, durante el plazo de duración de la </w:t>
      </w:r>
      <w:r w:rsidR="00A07209" w:rsidRPr="00377FDC">
        <w:rPr>
          <w:rFonts w:ascii="ITC Avant Garde" w:hAnsi="ITC Avant Garde"/>
          <w:szCs w:val="22"/>
        </w:rPr>
        <w:t>c</w:t>
      </w:r>
      <w:r w:rsidRPr="00377FDC">
        <w:rPr>
          <w:rFonts w:ascii="ITC Avant Garde" w:hAnsi="ITC Avant Garde"/>
          <w:szCs w:val="22"/>
        </w:rPr>
        <w:t xml:space="preserve">onsulta </w:t>
      </w:r>
      <w:r w:rsidR="00A07209" w:rsidRPr="00377FDC">
        <w:rPr>
          <w:rFonts w:ascii="ITC Avant Garde" w:hAnsi="ITC Avant Garde"/>
          <w:szCs w:val="22"/>
        </w:rPr>
        <w:t>p</w:t>
      </w:r>
      <w:r w:rsidRPr="00377FDC">
        <w:rPr>
          <w:rFonts w:ascii="ITC Avant Garde" w:hAnsi="ITC Avant Garde"/>
          <w:szCs w:val="22"/>
        </w:rPr>
        <w:t xml:space="preserve">ública de mérito, se recibieron </w:t>
      </w:r>
      <w:r w:rsidR="000302DE" w:rsidRPr="00377FDC">
        <w:rPr>
          <w:rFonts w:ascii="ITC Avant Garde" w:hAnsi="ITC Avant Garde"/>
          <w:szCs w:val="22"/>
        </w:rPr>
        <w:t>11</w:t>
      </w:r>
      <w:r w:rsidRPr="00377FDC">
        <w:rPr>
          <w:rFonts w:ascii="ITC Avant Garde" w:hAnsi="ITC Avant Garde"/>
          <w:szCs w:val="22"/>
        </w:rPr>
        <w:t xml:space="preserve"> p</w:t>
      </w:r>
      <w:r w:rsidR="005E16C1" w:rsidRPr="00377FDC">
        <w:rPr>
          <w:rFonts w:ascii="ITC Avant Garde" w:hAnsi="ITC Avant Garde"/>
          <w:szCs w:val="22"/>
        </w:rPr>
        <w:t>articipaciones</w:t>
      </w:r>
      <w:r w:rsidR="00F34E12" w:rsidRPr="00377FDC">
        <w:rPr>
          <w:rFonts w:ascii="ITC Avant Garde" w:hAnsi="ITC Avant Garde"/>
          <w:szCs w:val="22"/>
        </w:rPr>
        <w:t xml:space="preserve"> de</w:t>
      </w:r>
      <w:r w:rsidR="001C07D8" w:rsidRPr="00377FDC">
        <w:rPr>
          <w:rFonts w:ascii="ITC Avant Garde" w:hAnsi="ITC Avant Garde"/>
          <w:szCs w:val="22"/>
        </w:rPr>
        <w:t xml:space="preserve"> </w:t>
      </w:r>
      <w:r w:rsidR="00377FDC">
        <w:rPr>
          <w:rFonts w:ascii="ITC Avant Garde" w:hAnsi="ITC Avant Garde"/>
          <w:szCs w:val="22"/>
        </w:rPr>
        <w:t>1</w:t>
      </w:r>
      <w:r w:rsidR="00D722D7" w:rsidRPr="00377FDC">
        <w:rPr>
          <w:rFonts w:ascii="ITC Avant Garde" w:hAnsi="ITC Avant Garde"/>
          <w:szCs w:val="22"/>
        </w:rPr>
        <w:t xml:space="preserve"> personas f</w:t>
      </w:r>
      <w:r w:rsidR="000302DE" w:rsidRPr="00377FDC">
        <w:rPr>
          <w:rFonts w:ascii="ITC Avant Garde" w:hAnsi="ITC Avant Garde"/>
          <w:szCs w:val="22"/>
        </w:rPr>
        <w:t>ísicas y 1</w:t>
      </w:r>
      <w:r w:rsidR="00377FDC">
        <w:rPr>
          <w:rFonts w:ascii="ITC Avant Garde" w:hAnsi="ITC Avant Garde"/>
          <w:szCs w:val="22"/>
        </w:rPr>
        <w:t>0</w:t>
      </w:r>
      <w:r w:rsidR="000302DE" w:rsidRPr="00377FDC">
        <w:rPr>
          <w:rFonts w:ascii="ITC Avant Garde" w:hAnsi="ITC Avant Garde"/>
          <w:szCs w:val="22"/>
        </w:rPr>
        <w:t xml:space="preserve"> persona</w:t>
      </w:r>
      <w:r w:rsidR="00377FDC">
        <w:rPr>
          <w:rFonts w:ascii="ITC Avant Garde" w:hAnsi="ITC Avant Garde"/>
          <w:szCs w:val="22"/>
        </w:rPr>
        <w:t>s</w:t>
      </w:r>
      <w:r w:rsidR="000302DE" w:rsidRPr="00377FDC">
        <w:rPr>
          <w:rFonts w:ascii="ITC Avant Garde" w:hAnsi="ITC Avant Garde"/>
          <w:szCs w:val="22"/>
        </w:rPr>
        <w:t xml:space="preserve"> moral</w:t>
      </w:r>
      <w:r w:rsidR="00377FDC">
        <w:rPr>
          <w:rFonts w:ascii="ITC Avant Garde" w:hAnsi="ITC Avant Garde"/>
          <w:szCs w:val="22"/>
        </w:rPr>
        <w:t>es</w:t>
      </w:r>
      <w:r w:rsidR="000302DE" w:rsidRPr="00377FDC">
        <w:rPr>
          <w:rFonts w:ascii="ITC Avant Garde" w:hAnsi="ITC Avant Garde"/>
          <w:szCs w:val="22"/>
        </w:rPr>
        <w:t>, en la forma de 8</w:t>
      </w:r>
      <w:r w:rsidR="00F34E12" w:rsidRPr="00377FDC">
        <w:rPr>
          <w:rFonts w:ascii="ITC Avant Garde" w:hAnsi="ITC Avant Garde"/>
          <w:szCs w:val="22"/>
        </w:rPr>
        <w:t xml:space="preserve"> partici</w:t>
      </w:r>
      <w:r w:rsidR="003B64F7" w:rsidRPr="00377FDC">
        <w:rPr>
          <w:rFonts w:ascii="ITC Avant Garde" w:hAnsi="ITC Avant Garde"/>
          <w:szCs w:val="22"/>
        </w:rPr>
        <w:t>paciones</w:t>
      </w:r>
      <w:r w:rsidR="00377FDC">
        <w:rPr>
          <w:rFonts w:ascii="ITC Avant Garde" w:hAnsi="ITC Avant Garde"/>
          <w:szCs w:val="22"/>
        </w:rPr>
        <w:t xml:space="preserve"> diferentes</w:t>
      </w:r>
      <w:r w:rsidR="003B64F7" w:rsidRPr="00377FDC">
        <w:rPr>
          <w:rFonts w:ascii="ITC Avant Garde" w:hAnsi="ITC Avant Garde"/>
          <w:szCs w:val="22"/>
        </w:rPr>
        <w:t>:</w:t>
      </w:r>
    </w:p>
    <w:p w14:paraId="2852D0D4" w14:textId="77777777" w:rsidR="00D25D3C" w:rsidRPr="00377FDC" w:rsidRDefault="00D25D3C">
      <w:pPr>
        <w:autoSpaceDE w:val="0"/>
        <w:autoSpaceDN w:val="0"/>
        <w:adjustRightInd w:val="0"/>
        <w:spacing w:line="240" w:lineRule="auto"/>
        <w:rPr>
          <w:rFonts w:ascii="ITC Avant Garde" w:hAnsi="ITC Avant Garde"/>
          <w:szCs w:val="22"/>
        </w:rPr>
      </w:pPr>
    </w:p>
    <w:p w14:paraId="0C220B58" w14:textId="5642DE1A" w:rsidR="00D93D75"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Avantel, S. de R.L. de C.V (“Avantel”)</w:t>
      </w:r>
      <w:r w:rsidR="00D25D3C" w:rsidRPr="00377FDC">
        <w:rPr>
          <w:rFonts w:ascii="ITC Avant Garde" w:hAnsi="ITC Avant Garde"/>
          <w:szCs w:val="22"/>
        </w:rPr>
        <w:t>;</w:t>
      </w:r>
    </w:p>
    <w:p w14:paraId="1119D689" w14:textId="66B8CD28" w:rsidR="00D25D3C"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Alestra, S. de R.L. de C.V (“Alestra”)</w:t>
      </w:r>
      <w:r w:rsidR="00D25D3C" w:rsidRPr="00377FDC">
        <w:rPr>
          <w:rFonts w:ascii="ITC Avant Garde" w:hAnsi="ITC Avant Garde"/>
          <w:szCs w:val="22"/>
        </w:rPr>
        <w:t>;</w:t>
      </w:r>
    </w:p>
    <w:p w14:paraId="107041D0" w14:textId="24E21F45" w:rsidR="000302DE"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Axtel, S.A.B. de C.V (“Axtel”)</w:t>
      </w:r>
      <w:r w:rsidR="00D722D7" w:rsidRPr="00377FDC">
        <w:rPr>
          <w:rFonts w:ascii="ITC Avant Garde" w:hAnsi="ITC Avant Garde"/>
          <w:szCs w:val="22"/>
        </w:rPr>
        <w:t>;</w:t>
      </w:r>
    </w:p>
    <w:p w14:paraId="44385D4E" w14:textId="7A2F7DF1" w:rsidR="000302DE" w:rsidRPr="00377FDC" w:rsidRDefault="000302DE">
      <w:pPr>
        <w:pStyle w:val="Prrafodelista"/>
        <w:numPr>
          <w:ilvl w:val="0"/>
          <w:numId w:val="1"/>
        </w:numPr>
        <w:autoSpaceDE w:val="0"/>
        <w:autoSpaceDN w:val="0"/>
        <w:adjustRightInd w:val="0"/>
        <w:spacing w:line="240" w:lineRule="auto"/>
        <w:rPr>
          <w:rFonts w:ascii="ITC Avant Garde" w:hAnsi="ITC Avant Garde"/>
          <w:szCs w:val="22"/>
          <w:lang w:val="en-US"/>
        </w:rPr>
      </w:pPr>
      <w:r w:rsidRPr="00377FDC">
        <w:rPr>
          <w:rFonts w:ascii="ITC Avant Garde" w:hAnsi="ITC Avant Garde"/>
          <w:szCs w:val="22"/>
          <w:lang w:val="en-US"/>
        </w:rPr>
        <w:t>Bestphone, S.A. de C.V.(“Bestphone”);</w:t>
      </w:r>
    </w:p>
    <w:p w14:paraId="11AEFF29" w14:textId="21CA98DD" w:rsidR="00D722D7"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Raúl Godoy Montañez</w:t>
      </w:r>
      <w:r w:rsidR="00D722D7" w:rsidRPr="00377FDC">
        <w:rPr>
          <w:rFonts w:ascii="ITC Avant Garde" w:hAnsi="ITC Avant Garde"/>
          <w:szCs w:val="22"/>
        </w:rPr>
        <w:t>;</w:t>
      </w:r>
    </w:p>
    <w:p w14:paraId="74572242" w14:textId="515AF8A1" w:rsidR="000302DE" w:rsidRPr="00377FDC" w:rsidRDefault="00347986">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Teléfonos del Noroeste </w:t>
      </w:r>
      <w:r w:rsidR="000302DE" w:rsidRPr="00377FDC">
        <w:rPr>
          <w:rFonts w:ascii="ITC Avant Garde" w:hAnsi="ITC Avant Garde"/>
          <w:szCs w:val="22"/>
        </w:rPr>
        <w:t>(“Telnor”);</w:t>
      </w:r>
    </w:p>
    <w:p w14:paraId="4DCA4539" w14:textId="17A3CF7A" w:rsidR="000302DE" w:rsidRPr="00377FDC" w:rsidRDefault="00347986">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Teléfonos de México, S.A.B. de C.V. </w:t>
      </w:r>
      <w:r w:rsidR="000302DE" w:rsidRPr="00377FDC">
        <w:rPr>
          <w:rFonts w:ascii="ITC Avant Garde" w:hAnsi="ITC Avant Garde"/>
          <w:szCs w:val="22"/>
        </w:rPr>
        <w:t>(“Telmex”);</w:t>
      </w:r>
    </w:p>
    <w:p w14:paraId="01B71697" w14:textId="4C414A54" w:rsidR="000302DE"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Corporación Universitaria para Desarrollo de Internet, A.C (“CUDI”);</w:t>
      </w:r>
    </w:p>
    <w:p w14:paraId="70E2EA3E" w14:textId="547DC4A4" w:rsidR="000302DE"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Grupo de Telecomunicaciones Mexicanas, S.A. de C.V y Pegaso PCS, S.A de C.V (“Telefónica”);</w:t>
      </w:r>
    </w:p>
    <w:p w14:paraId="7FCD5174" w14:textId="5688D3E9" w:rsidR="000302DE"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Consorcio para el intercambio de Tráfico de Internet, A.C (“CITI”);</w:t>
      </w:r>
    </w:p>
    <w:p w14:paraId="017F8B2F" w14:textId="65028400" w:rsidR="00D722D7" w:rsidRPr="00377FDC" w:rsidRDefault="000302DE">
      <w:pPr>
        <w:pStyle w:val="Prrafodelista"/>
        <w:numPr>
          <w:ilvl w:val="0"/>
          <w:numId w:val="1"/>
        </w:numPr>
        <w:autoSpaceDE w:val="0"/>
        <w:autoSpaceDN w:val="0"/>
        <w:adjustRightInd w:val="0"/>
        <w:spacing w:line="240" w:lineRule="auto"/>
        <w:rPr>
          <w:rFonts w:ascii="ITC Avant Garde" w:hAnsi="ITC Avant Garde"/>
          <w:szCs w:val="22"/>
        </w:rPr>
      </w:pPr>
      <w:r w:rsidRPr="00377FDC">
        <w:rPr>
          <w:rFonts w:ascii="ITC Avant Garde" w:hAnsi="ITC Avant Garde"/>
          <w:szCs w:val="22"/>
        </w:rPr>
        <w:t>Cámara Nacional de la Industria Electrónica, de Telecomunicaciones y Tecnologías de la Información (“CANIETI”);</w:t>
      </w:r>
    </w:p>
    <w:p w14:paraId="67F908DE" w14:textId="77777777" w:rsidR="00E161A4" w:rsidRPr="00377FDC" w:rsidRDefault="00E161A4" w:rsidP="009E6488">
      <w:pPr>
        <w:spacing w:line="240" w:lineRule="auto"/>
        <w:rPr>
          <w:rFonts w:ascii="ITC Avant Garde" w:hAnsi="ITC Avant Garde"/>
          <w:szCs w:val="22"/>
        </w:rPr>
      </w:pPr>
    </w:p>
    <w:p w14:paraId="11C13030" w14:textId="77777777" w:rsidR="0028697B" w:rsidRPr="00377FDC" w:rsidRDefault="0028697B" w:rsidP="009E6488">
      <w:pPr>
        <w:spacing w:line="240" w:lineRule="auto"/>
        <w:rPr>
          <w:rFonts w:ascii="ITC Avant Garde" w:hAnsi="ITC Avant Garde"/>
          <w:szCs w:val="22"/>
        </w:rPr>
      </w:pPr>
    </w:p>
    <w:p w14:paraId="5AB0EFB1" w14:textId="77777777" w:rsidR="00436234" w:rsidRPr="00377FDC" w:rsidRDefault="00436234" w:rsidP="0039427F">
      <w:pPr>
        <w:pStyle w:val="Normal1"/>
        <w:spacing w:line="240" w:lineRule="auto"/>
        <w:jc w:val="center"/>
        <w:rPr>
          <w:rFonts w:ascii="ITC Avant Garde" w:hAnsi="ITC Avant Garde"/>
          <w:b/>
          <w:szCs w:val="22"/>
          <w:lang w:val="es-ES_tradnl"/>
        </w:rPr>
      </w:pPr>
      <w:r w:rsidRPr="00377FDC">
        <w:rPr>
          <w:rFonts w:ascii="ITC Avant Garde" w:hAnsi="ITC Avant Garde"/>
          <w:b/>
          <w:szCs w:val="22"/>
          <w:lang w:val="es-ES_tradnl"/>
        </w:rPr>
        <w:t>CAPÍTULO I</w:t>
      </w:r>
    </w:p>
    <w:p w14:paraId="50E84D37" w14:textId="77777777" w:rsidR="00436234" w:rsidRPr="00377FDC" w:rsidRDefault="00436234">
      <w:pPr>
        <w:pStyle w:val="Normal1"/>
        <w:spacing w:line="240" w:lineRule="auto"/>
        <w:jc w:val="center"/>
        <w:rPr>
          <w:rFonts w:ascii="ITC Avant Garde" w:hAnsi="ITC Avant Garde"/>
          <w:szCs w:val="22"/>
          <w:lang w:val="es-ES_tradnl"/>
        </w:rPr>
      </w:pPr>
      <w:r w:rsidRPr="00377FDC">
        <w:rPr>
          <w:rFonts w:ascii="ITC Avant Garde" w:hAnsi="ITC Avant Garde"/>
          <w:b/>
          <w:szCs w:val="22"/>
          <w:lang w:val="es-ES_tradnl"/>
        </w:rPr>
        <w:t>DISPOSICIONES GENERALES</w:t>
      </w:r>
    </w:p>
    <w:p w14:paraId="7AE710BE" w14:textId="77777777" w:rsidR="00436234" w:rsidRPr="00377FDC" w:rsidRDefault="00436234">
      <w:pPr>
        <w:autoSpaceDE w:val="0"/>
        <w:autoSpaceDN w:val="0"/>
        <w:adjustRightInd w:val="0"/>
        <w:spacing w:line="240" w:lineRule="auto"/>
        <w:rPr>
          <w:rFonts w:ascii="ITC Avant Garde" w:hAnsi="ITC Avant Garde"/>
          <w:szCs w:val="22"/>
        </w:rPr>
      </w:pPr>
    </w:p>
    <w:p w14:paraId="0D7A3A18" w14:textId="77777777" w:rsidR="00436234" w:rsidRPr="00377FDC" w:rsidRDefault="00436234">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Primero</w:t>
      </w:r>
    </w:p>
    <w:p w14:paraId="251361F1" w14:textId="77777777" w:rsidR="00436234" w:rsidRPr="00377FDC" w:rsidRDefault="00436234">
      <w:pPr>
        <w:autoSpaceDE w:val="0"/>
        <w:autoSpaceDN w:val="0"/>
        <w:adjustRightInd w:val="0"/>
        <w:spacing w:line="240" w:lineRule="auto"/>
        <w:rPr>
          <w:rFonts w:ascii="ITC Avant Garde" w:hAnsi="ITC Avant Garde"/>
          <w:b/>
          <w:szCs w:val="22"/>
        </w:rPr>
      </w:pPr>
    </w:p>
    <w:p w14:paraId="5450EA54" w14:textId="2E414671" w:rsidR="0028697B" w:rsidRPr="00377FDC" w:rsidRDefault="00614671"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CANIETI</w:t>
      </w:r>
      <w:r w:rsidR="00020502">
        <w:rPr>
          <w:rFonts w:ascii="ITC Avant Garde" w:hAnsi="ITC Avant Garde"/>
          <w:szCs w:val="22"/>
        </w:rPr>
        <w:t xml:space="preserve">, </w:t>
      </w:r>
      <w:r w:rsidR="00020502" w:rsidRPr="00101360">
        <w:rPr>
          <w:rFonts w:ascii="ITC Avant Garde" w:hAnsi="ITC Avant Garde"/>
          <w:b/>
          <w:szCs w:val="22"/>
        </w:rPr>
        <w:t>Bestphone</w:t>
      </w:r>
      <w:r w:rsidR="00020502" w:rsidRPr="00377FDC">
        <w:rPr>
          <w:rFonts w:ascii="ITC Avant Garde" w:hAnsi="ITC Avant Garde"/>
          <w:szCs w:val="22"/>
        </w:rPr>
        <w:t xml:space="preserve"> </w:t>
      </w:r>
      <w:r w:rsidR="0028697B" w:rsidRPr="00377FDC">
        <w:rPr>
          <w:rFonts w:ascii="ITC Avant Garde" w:hAnsi="ITC Avant Garde"/>
          <w:szCs w:val="22"/>
        </w:rPr>
        <w:t xml:space="preserve">y </w:t>
      </w:r>
      <w:r w:rsidR="0028697B" w:rsidRPr="00377FDC">
        <w:rPr>
          <w:rFonts w:ascii="ITC Avant Garde" w:hAnsi="ITC Avant Garde"/>
          <w:b/>
          <w:szCs w:val="22"/>
        </w:rPr>
        <w:t>Telefónica</w:t>
      </w:r>
      <w:r w:rsidR="00325E18" w:rsidRPr="00377FDC">
        <w:rPr>
          <w:rFonts w:ascii="ITC Avant Garde" w:hAnsi="ITC Avant Garde"/>
          <w:szCs w:val="22"/>
        </w:rPr>
        <w:t xml:space="preserve"> solicita</w:t>
      </w:r>
      <w:r w:rsidR="0028697B" w:rsidRPr="00377FDC">
        <w:rPr>
          <w:rFonts w:ascii="ITC Avant Garde" w:hAnsi="ITC Avant Garde"/>
          <w:szCs w:val="22"/>
        </w:rPr>
        <w:t>n</w:t>
      </w:r>
      <w:r w:rsidR="00377FDC">
        <w:rPr>
          <w:rFonts w:ascii="ITC Avant Garde" w:hAnsi="ITC Avant Garde"/>
          <w:szCs w:val="22"/>
        </w:rPr>
        <w:t xml:space="preserve"> </w:t>
      </w:r>
      <w:r w:rsidR="00325E18" w:rsidRPr="00377FDC">
        <w:rPr>
          <w:rFonts w:ascii="ITC Avant Garde" w:hAnsi="ITC Avant Garde"/>
          <w:szCs w:val="22"/>
        </w:rPr>
        <w:t xml:space="preserve">especificar si el intercambio de tráfico es del tipo tránsito </w:t>
      </w:r>
      <w:r w:rsidRPr="00377FDC">
        <w:rPr>
          <w:rFonts w:ascii="ITC Avant Garde" w:hAnsi="ITC Avant Garde"/>
          <w:szCs w:val="22"/>
        </w:rPr>
        <w:t xml:space="preserve">o del tipo peering. Indican que el IXP debe ser apto para manejar cualquier tipo de tráfico, no sólo Internet. </w:t>
      </w:r>
    </w:p>
    <w:p w14:paraId="73A12F5E" w14:textId="20663FFA" w:rsidR="00436234" w:rsidRPr="00377FDC" w:rsidRDefault="00614671"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Pr="00377FDC">
        <w:rPr>
          <w:rFonts w:ascii="ITC Avant Garde" w:hAnsi="ITC Avant Garde"/>
          <w:szCs w:val="22"/>
        </w:rPr>
        <w:t xml:space="preserve"> </w:t>
      </w:r>
      <w:r w:rsidR="0028697B" w:rsidRPr="00377FDC">
        <w:rPr>
          <w:rFonts w:ascii="ITC Avant Garde" w:hAnsi="ITC Avant Garde"/>
          <w:szCs w:val="22"/>
        </w:rPr>
        <w:t xml:space="preserve">y </w:t>
      </w:r>
      <w:r w:rsidR="0028697B" w:rsidRPr="00377FDC">
        <w:rPr>
          <w:rFonts w:ascii="ITC Avant Garde" w:hAnsi="ITC Avant Garde"/>
          <w:b/>
          <w:szCs w:val="22"/>
        </w:rPr>
        <w:t>CUDI</w:t>
      </w:r>
      <w:r w:rsidR="0028697B" w:rsidRPr="00377FDC">
        <w:rPr>
          <w:rFonts w:ascii="ITC Avant Garde" w:hAnsi="ITC Avant Garde"/>
          <w:szCs w:val="22"/>
        </w:rPr>
        <w:t xml:space="preserve"> </w:t>
      </w:r>
      <w:r w:rsidRPr="00377FDC">
        <w:rPr>
          <w:rFonts w:ascii="ITC Avant Garde" w:hAnsi="ITC Avant Garde"/>
          <w:szCs w:val="22"/>
        </w:rPr>
        <w:t>sugiere</w:t>
      </w:r>
      <w:r w:rsidR="0028697B" w:rsidRPr="00377FDC">
        <w:rPr>
          <w:rFonts w:ascii="ITC Avant Garde" w:hAnsi="ITC Avant Garde"/>
          <w:szCs w:val="22"/>
        </w:rPr>
        <w:t>n</w:t>
      </w:r>
      <w:r w:rsidRPr="00377FDC">
        <w:rPr>
          <w:rFonts w:ascii="ITC Avant Garde" w:hAnsi="ITC Avant Garde"/>
          <w:szCs w:val="22"/>
        </w:rPr>
        <w:t xml:space="preserve"> modificar la redacci</w:t>
      </w:r>
      <w:r w:rsidR="0028697B" w:rsidRPr="00377FDC">
        <w:rPr>
          <w:rFonts w:ascii="ITC Avant Garde" w:hAnsi="ITC Avant Garde"/>
          <w:szCs w:val="22"/>
        </w:rPr>
        <w:t xml:space="preserve">ón para dejar abierto el poder celebrar convenios de intercambio de tráfico con cualquier tipo de agente económico y no limitarlo a que sea únicamente con proveedores del servicio de Internet (ISP). Dado que el intercambio de tráfico no se da únicamente entre ISP sino que también existe otro tipo de entidades como los proveedores de contenido o CDN’s (del inglés, </w:t>
      </w:r>
      <w:r w:rsidR="0028697B" w:rsidRPr="00377FDC">
        <w:rPr>
          <w:rFonts w:ascii="ITC Avant Garde" w:hAnsi="ITC Avant Garde"/>
          <w:i/>
          <w:szCs w:val="22"/>
        </w:rPr>
        <w:t>Content Delivery Network</w:t>
      </w:r>
      <w:r w:rsidR="0028697B" w:rsidRPr="00377FDC">
        <w:rPr>
          <w:rFonts w:ascii="ITC Avant Garde" w:hAnsi="ITC Avant Garde"/>
          <w:szCs w:val="22"/>
        </w:rPr>
        <w:t>).</w:t>
      </w:r>
      <w:r w:rsidR="00BA6F3E" w:rsidRPr="00377FDC">
        <w:rPr>
          <w:rFonts w:ascii="ITC Avant Garde" w:hAnsi="ITC Avant Garde"/>
          <w:szCs w:val="22"/>
        </w:rPr>
        <w:t xml:space="preserve"> </w:t>
      </w:r>
      <w:r w:rsidR="00BA6F3E" w:rsidRPr="00377FDC">
        <w:rPr>
          <w:rFonts w:ascii="ITC Avant Garde" w:hAnsi="ITC Avant Garde"/>
          <w:b/>
          <w:szCs w:val="22"/>
        </w:rPr>
        <w:t>CUDI</w:t>
      </w:r>
      <w:r w:rsidR="00BA6F3E" w:rsidRPr="00377FDC">
        <w:rPr>
          <w:rFonts w:ascii="ITC Avant Garde" w:hAnsi="ITC Avant Garde"/>
          <w:szCs w:val="22"/>
        </w:rPr>
        <w:t xml:space="preserve"> remarca la importancia de mencionar que los beneficios económicos y técnicos para los agentes económicos se trasladarían a los costos ofertados al público final.</w:t>
      </w:r>
    </w:p>
    <w:p w14:paraId="790A6F8C" w14:textId="188C9F13" w:rsidR="00BA6F3E" w:rsidRPr="00377FDC" w:rsidRDefault="00BA6F3E"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especificar que los lineamientos sólo aplican para el tráfico de Internet que se intercambia de manera local o nacional.</w:t>
      </w:r>
    </w:p>
    <w:p w14:paraId="45D293D0" w14:textId="2575B3E5" w:rsidR="00472AEB" w:rsidRPr="00377FDC" w:rsidRDefault="00472AEB"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Pr="00377FDC">
        <w:rPr>
          <w:rFonts w:ascii="ITC Avant Garde" w:hAnsi="ITC Avant Garde"/>
          <w:szCs w:val="22"/>
        </w:rPr>
        <w:t xml:space="preserve"> exponen la actual existencia de acuerdos de intercambio de </w:t>
      </w:r>
      <w:r w:rsidR="0020555C">
        <w:rPr>
          <w:rFonts w:ascii="ITC Avant Garde" w:hAnsi="ITC Avant Garde"/>
          <w:szCs w:val="22"/>
        </w:rPr>
        <w:t>I</w:t>
      </w:r>
      <w:r w:rsidRPr="00377FDC">
        <w:rPr>
          <w:rFonts w:ascii="ITC Avant Garde" w:hAnsi="ITC Avant Garde"/>
          <w:szCs w:val="22"/>
        </w:rPr>
        <w:t>nternet o peering con el Agente Económico Preponderante (AEP)</w:t>
      </w:r>
      <w:r w:rsidR="00691C5B" w:rsidRPr="00377FDC">
        <w:rPr>
          <w:rFonts w:ascii="ITC Avant Garde" w:hAnsi="ITC Avant Garde"/>
          <w:szCs w:val="22"/>
        </w:rPr>
        <w:t xml:space="preserve"> donde existe el intercambio equitativo de tráfico y su gratuidad.</w:t>
      </w:r>
    </w:p>
    <w:p w14:paraId="612573C7" w14:textId="38380424" w:rsidR="00691C5B" w:rsidRPr="00377FDC" w:rsidRDefault="00691C5B"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Raúl Godoy</w:t>
      </w:r>
      <w:r w:rsidRPr="00377FDC">
        <w:rPr>
          <w:rFonts w:ascii="ITC Avant Garde" w:hAnsi="ITC Avant Garde"/>
          <w:szCs w:val="22"/>
        </w:rPr>
        <w:t xml:space="preserve"> opina</w:t>
      </w:r>
      <w:r w:rsidR="00C21D63" w:rsidRPr="00377FDC">
        <w:rPr>
          <w:rFonts w:ascii="ITC Avant Garde" w:hAnsi="ITC Avant Garde"/>
          <w:szCs w:val="22"/>
        </w:rPr>
        <w:t xml:space="preserve"> se maneje la definición de sistema autónomo para referirse a todo tipo de entidades que pueden formar parte de un IXP, en lugar de utilizar el término de ISPs.</w:t>
      </w:r>
    </w:p>
    <w:p w14:paraId="38FFE0E4" w14:textId="77777777" w:rsidR="00614671" w:rsidRPr="00377FDC" w:rsidRDefault="00614671" w:rsidP="0039427F">
      <w:pPr>
        <w:autoSpaceDE w:val="0"/>
        <w:autoSpaceDN w:val="0"/>
        <w:adjustRightInd w:val="0"/>
        <w:spacing w:line="240" w:lineRule="auto"/>
        <w:rPr>
          <w:rFonts w:ascii="ITC Avant Garde" w:hAnsi="ITC Avant Garde"/>
          <w:szCs w:val="22"/>
        </w:rPr>
      </w:pPr>
    </w:p>
    <w:p w14:paraId="0FA0286E" w14:textId="2CA6E1B0" w:rsidR="00981F40" w:rsidRPr="00377FDC" w:rsidRDefault="00774BF0" w:rsidP="0039427F">
      <w:pPr>
        <w:autoSpaceDE w:val="0"/>
        <w:autoSpaceDN w:val="0"/>
        <w:adjustRightInd w:val="0"/>
        <w:spacing w:line="240" w:lineRule="auto"/>
        <w:rPr>
          <w:rFonts w:ascii="ITC Avant Garde" w:hAnsi="ITC Avant Garde"/>
          <w:szCs w:val="22"/>
        </w:rPr>
      </w:pPr>
      <w:r>
        <w:rPr>
          <w:rFonts w:ascii="ITC Avant Garde" w:hAnsi="ITC Avant Garde"/>
          <w:b/>
        </w:rPr>
        <w:t xml:space="preserve">Respuesta. </w:t>
      </w:r>
      <w:r w:rsidRPr="009E6488">
        <w:rPr>
          <w:rFonts w:ascii="ITC Avant Garde" w:hAnsi="ITC Avant Garde"/>
        </w:rPr>
        <w:t>D</w:t>
      </w:r>
      <w:r w:rsidRPr="00377FDC">
        <w:rPr>
          <w:rFonts w:ascii="ITC Avant Garde" w:hAnsi="ITC Avant Garde"/>
          <w:szCs w:val="22"/>
        </w:rPr>
        <w:t>e acuerdo a lo establecido en la Ley Federal de Telecomunicaciones y Radiodifusión (LFTR), el servicio de voz queda fuera del alcance de los lineamientos</w:t>
      </w:r>
      <w:r>
        <w:rPr>
          <w:rFonts w:ascii="ITC Avant Garde" w:hAnsi="ITC Avant Garde"/>
          <w:szCs w:val="22"/>
        </w:rPr>
        <w:t xml:space="preserve">. </w:t>
      </w:r>
      <w:r w:rsidR="00166529">
        <w:rPr>
          <w:rFonts w:ascii="ITC Avant Garde" w:hAnsi="ITC Avant Garde"/>
          <w:szCs w:val="22"/>
        </w:rPr>
        <w:t>L</w:t>
      </w:r>
      <w:r>
        <w:rPr>
          <w:rFonts w:ascii="ITC Avant Garde" w:hAnsi="ITC Avant Garde"/>
          <w:szCs w:val="22"/>
        </w:rPr>
        <w:t>a</w:t>
      </w:r>
      <w:r w:rsidRPr="00377FDC">
        <w:rPr>
          <w:rFonts w:ascii="ITC Avant Garde" w:hAnsi="ITC Avant Garde"/>
          <w:szCs w:val="22"/>
        </w:rPr>
        <w:t xml:space="preserve"> LFTR, en su artículo 138, fracción VIII establece que la obligación de intercambiar tráfico de Internet aplica </w:t>
      </w:r>
      <w:r w:rsidR="00466951">
        <w:rPr>
          <w:rFonts w:ascii="ITC Avant Garde" w:hAnsi="ITC Avant Garde"/>
          <w:szCs w:val="22"/>
        </w:rPr>
        <w:t>entre</w:t>
      </w:r>
      <w:r w:rsidR="00466951" w:rsidRPr="00377FDC">
        <w:rPr>
          <w:rFonts w:ascii="ITC Avant Garde" w:hAnsi="ITC Avant Garde"/>
          <w:szCs w:val="22"/>
        </w:rPr>
        <w:t xml:space="preserve"> </w:t>
      </w:r>
      <w:r w:rsidR="00466951">
        <w:rPr>
          <w:rFonts w:ascii="ITC Avant Garde" w:hAnsi="ITC Avant Garde"/>
          <w:szCs w:val="22"/>
        </w:rPr>
        <w:t>el AEP y los ISP</w:t>
      </w:r>
      <w:r w:rsidRPr="00377FDC">
        <w:rPr>
          <w:rFonts w:ascii="ITC Avant Garde" w:hAnsi="ITC Avant Garde"/>
          <w:szCs w:val="22"/>
        </w:rPr>
        <w:t>.</w:t>
      </w:r>
    </w:p>
    <w:p w14:paraId="26EFF338" w14:textId="139ABA0D" w:rsidR="00981F40" w:rsidRPr="00377FDC" w:rsidRDefault="009C669C">
      <w:pPr>
        <w:autoSpaceDE w:val="0"/>
        <w:autoSpaceDN w:val="0"/>
        <w:adjustRightInd w:val="0"/>
        <w:spacing w:line="240" w:lineRule="auto"/>
        <w:rPr>
          <w:rFonts w:ascii="ITC Avant Garde" w:hAnsi="ITC Avant Garde"/>
          <w:szCs w:val="22"/>
        </w:rPr>
      </w:pPr>
      <w:r>
        <w:rPr>
          <w:rFonts w:ascii="ITC Avant Garde" w:hAnsi="ITC Avant Garde"/>
          <w:szCs w:val="22"/>
        </w:rPr>
        <w:t>Por la misma razón,</w:t>
      </w:r>
      <w:r w:rsidR="00981F40">
        <w:rPr>
          <w:rFonts w:ascii="ITC Avant Garde" w:hAnsi="ITC Avant Garde"/>
          <w:szCs w:val="22"/>
        </w:rPr>
        <w:t xml:space="preserve"> l</w:t>
      </w:r>
      <w:r w:rsidR="00B73EA8" w:rsidRPr="00377FDC">
        <w:rPr>
          <w:rFonts w:ascii="ITC Avant Garde" w:hAnsi="ITC Avant Garde"/>
          <w:szCs w:val="22"/>
        </w:rPr>
        <w:t xml:space="preserve">os lineamientos sólo </w:t>
      </w:r>
      <w:r>
        <w:rPr>
          <w:rFonts w:ascii="ITC Avant Garde" w:hAnsi="ITC Avant Garde"/>
          <w:szCs w:val="22"/>
        </w:rPr>
        <w:t>consideran</w:t>
      </w:r>
      <w:r w:rsidR="00B73EA8" w:rsidRPr="00377FDC">
        <w:rPr>
          <w:rFonts w:ascii="ITC Avant Garde" w:hAnsi="ITC Avant Garde"/>
          <w:szCs w:val="22"/>
        </w:rPr>
        <w:t xml:space="preserve"> el intercambio de tráfico del tipo peering quedando fuera el tráfico del tipo tránsito</w:t>
      </w:r>
      <w:r w:rsidR="00166529">
        <w:rPr>
          <w:rFonts w:ascii="ITC Avant Garde" w:hAnsi="ITC Avant Garde"/>
          <w:szCs w:val="22"/>
        </w:rPr>
        <w:t>.</w:t>
      </w:r>
    </w:p>
    <w:p w14:paraId="7DD237DE" w14:textId="5FB3B119" w:rsidR="008B6DDD" w:rsidRPr="00377FDC" w:rsidRDefault="008B6DDD">
      <w:pPr>
        <w:autoSpaceDE w:val="0"/>
        <w:autoSpaceDN w:val="0"/>
        <w:adjustRightInd w:val="0"/>
        <w:spacing w:line="240" w:lineRule="auto"/>
        <w:rPr>
          <w:rFonts w:ascii="ITC Avant Garde" w:hAnsi="ITC Avant Garde"/>
          <w:szCs w:val="22"/>
        </w:rPr>
      </w:pPr>
      <w:r w:rsidRPr="00377FDC">
        <w:rPr>
          <w:rFonts w:ascii="ITC Avant Garde" w:hAnsi="ITC Avant Garde"/>
          <w:szCs w:val="22"/>
        </w:rPr>
        <w:t>En cuanto al comentario de Telmex y Telnor</w:t>
      </w:r>
      <w:r w:rsidR="00981F40">
        <w:rPr>
          <w:rFonts w:ascii="ITC Avant Garde" w:hAnsi="ITC Avant Garde"/>
          <w:szCs w:val="22"/>
        </w:rPr>
        <w:t xml:space="preserve">, la definición de Intercambio de tráfico, en el lineamiento Tercero, </w:t>
      </w:r>
      <w:r w:rsidR="00C20C81">
        <w:rPr>
          <w:rFonts w:ascii="ITC Avant Garde" w:hAnsi="ITC Avant Garde"/>
          <w:szCs w:val="22"/>
        </w:rPr>
        <w:t>aclara que el intercambio interno de tráfico a que hace referencia lo establecido en la LFTR,</w:t>
      </w:r>
      <w:r w:rsidR="00981F40">
        <w:rPr>
          <w:rFonts w:ascii="ITC Avant Garde" w:hAnsi="ITC Avant Garde"/>
          <w:szCs w:val="22"/>
        </w:rPr>
        <w:t xml:space="preserve"> se </w:t>
      </w:r>
      <w:r w:rsidR="00C20C81">
        <w:rPr>
          <w:rFonts w:ascii="ITC Avant Garde" w:hAnsi="ITC Avant Garde"/>
          <w:szCs w:val="22"/>
        </w:rPr>
        <w:t>refiere a</w:t>
      </w:r>
      <w:r w:rsidR="00981F40">
        <w:rPr>
          <w:rFonts w:ascii="ITC Avant Garde" w:hAnsi="ITC Avant Garde"/>
          <w:szCs w:val="22"/>
        </w:rPr>
        <w:t xml:space="preserve"> la conducción de tráfico nacional.</w:t>
      </w:r>
    </w:p>
    <w:p w14:paraId="025A3669" w14:textId="77777777" w:rsidR="0020555C" w:rsidRPr="00377FDC" w:rsidRDefault="0020555C">
      <w:pPr>
        <w:autoSpaceDE w:val="0"/>
        <w:autoSpaceDN w:val="0"/>
        <w:adjustRightInd w:val="0"/>
        <w:spacing w:line="240" w:lineRule="auto"/>
        <w:rPr>
          <w:rFonts w:ascii="ITC Avant Garde" w:hAnsi="ITC Avant Garde"/>
          <w:szCs w:val="22"/>
        </w:rPr>
      </w:pPr>
    </w:p>
    <w:p w14:paraId="40134830" w14:textId="77777777" w:rsidR="00981F40" w:rsidRPr="00377FDC" w:rsidRDefault="00981F40">
      <w:pPr>
        <w:autoSpaceDE w:val="0"/>
        <w:autoSpaceDN w:val="0"/>
        <w:adjustRightInd w:val="0"/>
        <w:spacing w:line="240" w:lineRule="auto"/>
        <w:rPr>
          <w:rFonts w:ascii="ITC Avant Garde" w:hAnsi="ITC Avant Garde"/>
          <w:b/>
          <w:szCs w:val="22"/>
        </w:rPr>
      </w:pPr>
    </w:p>
    <w:p w14:paraId="5C93B30D" w14:textId="77777777" w:rsidR="00436234" w:rsidRPr="00377FDC" w:rsidRDefault="00436234">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Segundo</w:t>
      </w:r>
    </w:p>
    <w:p w14:paraId="41A47733" w14:textId="77777777" w:rsidR="00691C5B" w:rsidRPr="00377FDC" w:rsidRDefault="00691C5B">
      <w:pPr>
        <w:autoSpaceDE w:val="0"/>
        <w:autoSpaceDN w:val="0"/>
        <w:adjustRightInd w:val="0"/>
        <w:spacing w:line="240" w:lineRule="auto"/>
        <w:rPr>
          <w:rFonts w:ascii="ITC Avant Garde" w:hAnsi="ITC Avant Garde"/>
          <w:b/>
          <w:szCs w:val="22"/>
        </w:rPr>
      </w:pPr>
    </w:p>
    <w:p w14:paraId="3806CC57" w14:textId="671394FA"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CITI</w:t>
      </w:r>
      <w:r w:rsidR="0022410E" w:rsidRPr="00377FDC">
        <w:rPr>
          <w:rFonts w:ascii="ITC Avant Garde" w:hAnsi="ITC Avant Garde"/>
          <w:szCs w:val="22"/>
        </w:rPr>
        <w:t xml:space="preserve">, </w:t>
      </w:r>
      <w:r w:rsidRPr="00377FDC">
        <w:rPr>
          <w:rFonts w:ascii="ITC Avant Garde" w:hAnsi="ITC Avant Garde"/>
          <w:b/>
          <w:szCs w:val="22"/>
        </w:rPr>
        <w:t>CUDI</w:t>
      </w:r>
      <w:r w:rsidR="00F61C2C" w:rsidRPr="00377FDC">
        <w:rPr>
          <w:rFonts w:ascii="ITC Avant Garde" w:hAnsi="ITC Avant Garde"/>
          <w:szCs w:val="22"/>
        </w:rPr>
        <w:t xml:space="preserve"> </w:t>
      </w:r>
      <w:r w:rsidR="0022410E" w:rsidRPr="00377FDC">
        <w:rPr>
          <w:rFonts w:ascii="ITC Avant Garde" w:hAnsi="ITC Avant Garde"/>
          <w:szCs w:val="22"/>
        </w:rPr>
        <w:t xml:space="preserve">y </w:t>
      </w:r>
      <w:r w:rsidR="0022410E" w:rsidRPr="00377FDC">
        <w:rPr>
          <w:rFonts w:ascii="ITC Avant Garde" w:hAnsi="ITC Avant Garde"/>
          <w:b/>
          <w:szCs w:val="22"/>
        </w:rPr>
        <w:t>Raúl Godoy</w:t>
      </w:r>
      <w:r w:rsidR="0022410E" w:rsidRPr="00377FDC">
        <w:rPr>
          <w:rFonts w:ascii="ITC Avant Garde" w:hAnsi="ITC Avant Garde"/>
          <w:szCs w:val="22"/>
        </w:rPr>
        <w:t xml:space="preserve"> </w:t>
      </w:r>
      <w:r w:rsidR="00774BF0">
        <w:rPr>
          <w:rFonts w:ascii="ITC Avant Garde" w:hAnsi="ITC Avant Garde"/>
          <w:szCs w:val="22"/>
        </w:rPr>
        <w:t>sugieren</w:t>
      </w:r>
      <w:r w:rsidR="00F61C2C" w:rsidRPr="00377FDC">
        <w:rPr>
          <w:rFonts w:ascii="ITC Avant Garde" w:hAnsi="ITC Avant Garde"/>
          <w:szCs w:val="22"/>
        </w:rPr>
        <w:t xml:space="preserve"> </w:t>
      </w:r>
      <w:r w:rsidR="00844054">
        <w:rPr>
          <w:rFonts w:ascii="ITC Avant Garde" w:hAnsi="ITC Avant Garde"/>
          <w:szCs w:val="22"/>
        </w:rPr>
        <w:t>que</w:t>
      </w:r>
      <w:r w:rsidR="0022410E" w:rsidRPr="00377FDC">
        <w:rPr>
          <w:rFonts w:ascii="ITC Avant Garde" w:hAnsi="ITC Avant Garde"/>
          <w:szCs w:val="22"/>
        </w:rPr>
        <w:t xml:space="preserve"> </w:t>
      </w:r>
      <w:r w:rsidR="002A1E53" w:rsidRPr="00377FDC">
        <w:rPr>
          <w:rFonts w:ascii="ITC Avant Garde" w:hAnsi="ITC Avant Garde"/>
          <w:szCs w:val="22"/>
        </w:rPr>
        <w:t>la obligación del AEP de tener presencia física en los IXP debe aplicar para todos los IXP, eliminando la condición que se especifica de que exista al menos un ISP con el cual el AEP no haya establecido algún convenio pre</w:t>
      </w:r>
      <w:r w:rsidR="0022410E" w:rsidRPr="00377FDC">
        <w:rPr>
          <w:rFonts w:ascii="ITC Avant Garde" w:hAnsi="ITC Avant Garde"/>
          <w:szCs w:val="22"/>
        </w:rPr>
        <w:t>vio de intercambio de Internet. Se indica que los costos intercambiados directos son un costo hundido que no deben considerarse como una justificación para no hacer el sistema más eficiente.</w:t>
      </w:r>
    </w:p>
    <w:p w14:paraId="16FA33EE" w14:textId="77777777" w:rsidR="002A1E53" w:rsidRPr="00377FDC" w:rsidRDefault="002A1E53"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lastRenderedPageBreak/>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el especificar que los lineamientos sólo aplican para el tráfico de Internet que se intercambia de manera local o nacional.</w:t>
      </w:r>
    </w:p>
    <w:p w14:paraId="3B7FC0AB" w14:textId="75472930" w:rsidR="00FD1358" w:rsidRPr="00377FDC" w:rsidRDefault="00691C5B" w:rsidP="0039427F">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Pr="00377FDC">
        <w:rPr>
          <w:rFonts w:ascii="ITC Avant Garde" w:hAnsi="ITC Avant Garde"/>
          <w:szCs w:val="22"/>
        </w:rPr>
        <w:t xml:space="preserve"> </w:t>
      </w:r>
      <w:r w:rsidR="00C351AA" w:rsidRPr="00377FDC">
        <w:rPr>
          <w:rFonts w:ascii="ITC Avant Garde" w:hAnsi="ITC Avant Garde"/>
          <w:szCs w:val="22"/>
        </w:rPr>
        <w:t xml:space="preserve">comentan que actualmente ya existen </w:t>
      </w:r>
      <w:r w:rsidR="003D2163" w:rsidRPr="00377FDC">
        <w:rPr>
          <w:rFonts w:ascii="ITC Avant Garde" w:hAnsi="ITC Avant Garde"/>
          <w:szCs w:val="22"/>
        </w:rPr>
        <w:t xml:space="preserve">enlaces con los </w:t>
      </w:r>
      <w:r w:rsidR="00C351AA" w:rsidRPr="00377FDC">
        <w:rPr>
          <w:rFonts w:ascii="ITC Avant Garde" w:hAnsi="ITC Avant Garde"/>
          <w:szCs w:val="22"/>
        </w:rPr>
        <w:t>punto</w:t>
      </w:r>
      <w:r w:rsidR="003D2163" w:rsidRPr="00377FDC">
        <w:rPr>
          <w:rFonts w:ascii="ITC Avant Garde" w:hAnsi="ITC Avant Garde"/>
          <w:szCs w:val="22"/>
        </w:rPr>
        <w:t>s de intercambio de tráfico de I</w:t>
      </w:r>
      <w:r w:rsidR="00732C68" w:rsidRPr="00377FDC">
        <w:rPr>
          <w:rFonts w:ascii="ITC Avant Garde" w:hAnsi="ITC Avant Garde"/>
          <w:szCs w:val="22"/>
        </w:rPr>
        <w:t xml:space="preserve">nternet </w:t>
      </w:r>
      <w:r w:rsidR="003D2163" w:rsidRPr="00377FDC">
        <w:rPr>
          <w:rFonts w:ascii="ITC Avant Garde" w:hAnsi="ITC Avant Garde"/>
          <w:szCs w:val="22"/>
        </w:rPr>
        <w:t>del</w:t>
      </w:r>
      <w:r w:rsidR="00732C68" w:rsidRPr="00377FDC">
        <w:rPr>
          <w:rFonts w:ascii="ITC Avant Garde" w:hAnsi="ITC Avant Garde"/>
          <w:szCs w:val="22"/>
        </w:rPr>
        <w:t xml:space="preserve"> AEP. </w:t>
      </w:r>
      <w:r w:rsidR="003D2163" w:rsidRPr="00377FDC">
        <w:rPr>
          <w:rFonts w:ascii="ITC Avant Garde" w:hAnsi="ITC Avant Garde"/>
          <w:szCs w:val="22"/>
        </w:rPr>
        <w:t xml:space="preserve">Para el intercambio de Internet, no se establecen </w:t>
      </w:r>
      <w:r w:rsidR="00C351AA" w:rsidRPr="00377FDC">
        <w:rPr>
          <w:rFonts w:ascii="ITC Avant Garde" w:hAnsi="ITC Avant Garde"/>
          <w:szCs w:val="22"/>
        </w:rPr>
        <w:t>cobros o restricciones</w:t>
      </w:r>
      <w:r w:rsidR="003D2163" w:rsidRPr="00377FDC">
        <w:rPr>
          <w:rFonts w:ascii="ITC Avant Garde" w:hAnsi="ITC Avant Garde"/>
          <w:szCs w:val="22"/>
        </w:rPr>
        <w:t>, únicamente l</w:t>
      </w:r>
      <w:r w:rsidR="006E17A9" w:rsidRPr="00377FDC">
        <w:rPr>
          <w:rFonts w:ascii="ITC Avant Garde" w:hAnsi="ITC Avant Garde"/>
          <w:szCs w:val="22"/>
        </w:rPr>
        <w:t>as partes u</w:t>
      </w:r>
      <w:r w:rsidR="00C351AA" w:rsidRPr="00377FDC">
        <w:rPr>
          <w:rFonts w:ascii="ITC Avant Garde" w:hAnsi="ITC Avant Garde"/>
          <w:szCs w:val="22"/>
        </w:rPr>
        <w:t xml:space="preserve"> operadores </w:t>
      </w:r>
      <w:r w:rsidR="00732C68" w:rsidRPr="00377FDC">
        <w:rPr>
          <w:rFonts w:ascii="ITC Avant Garde" w:hAnsi="ITC Avant Garde"/>
          <w:szCs w:val="22"/>
        </w:rPr>
        <w:t>deben acudir a travé</w:t>
      </w:r>
      <w:r w:rsidR="00C351AA" w:rsidRPr="00377FDC">
        <w:rPr>
          <w:rFonts w:ascii="ITC Avant Garde" w:hAnsi="ITC Avant Garde"/>
          <w:szCs w:val="22"/>
        </w:rPr>
        <w:t>s de</w:t>
      </w:r>
      <w:r w:rsidR="006E17A9" w:rsidRPr="00377FDC">
        <w:rPr>
          <w:rFonts w:ascii="ITC Avant Garde" w:hAnsi="ITC Avant Garde"/>
          <w:szCs w:val="22"/>
        </w:rPr>
        <w:t xml:space="preserve"> medios propios </w:t>
      </w:r>
      <w:r w:rsidR="003D2163" w:rsidRPr="00377FDC">
        <w:rPr>
          <w:rFonts w:ascii="ITC Avant Garde" w:hAnsi="ITC Avant Garde"/>
          <w:szCs w:val="22"/>
        </w:rPr>
        <w:t xml:space="preserve">(enlaces) </w:t>
      </w:r>
      <w:r w:rsidR="006E17A9" w:rsidRPr="00377FDC">
        <w:rPr>
          <w:rFonts w:ascii="ITC Avant Garde" w:hAnsi="ITC Avant Garde"/>
          <w:szCs w:val="22"/>
        </w:rPr>
        <w:t>para realizar la</w:t>
      </w:r>
      <w:r w:rsidR="00C351AA" w:rsidRPr="00377FDC">
        <w:rPr>
          <w:rFonts w:ascii="ITC Avant Garde" w:hAnsi="ITC Avant Garde"/>
          <w:szCs w:val="22"/>
        </w:rPr>
        <w:t xml:space="preserve"> intercon</w:t>
      </w:r>
      <w:r w:rsidR="006E17A9" w:rsidRPr="00377FDC">
        <w:rPr>
          <w:rFonts w:ascii="ITC Avant Garde" w:hAnsi="ITC Avant Garde"/>
          <w:szCs w:val="22"/>
        </w:rPr>
        <w:t>exión</w:t>
      </w:r>
      <w:r w:rsidR="00C351AA" w:rsidRPr="00377FDC">
        <w:rPr>
          <w:rFonts w:ascii="ITC Avant Garde" w:hAnsi="ITC Avant Garde"/>
          <w:szCs w:val="22"/>
        </w:rPr>
        <w:t xml:space="preserve">. Adicionalmente, </w:t>
      </w:r>
      <w:r w:rsidR="006E17A9" w:rsidRPr="00377FDC">
        <w:rPr>
          <w:rFonts w:ascii="ITC Avant Garde" w:hAnsi="ITC Avant Garde"/>
          <w:szCs w:val="22"/>
        </w:rPr>
        <w:t xml:space="preserve">mencionan que </w:t>
      </w:r>
      <w:r w:rsidR="00C351AA" w:rsidRPr="00377FDC">
        <w:rPr>
          <w:rFonts w:ascii="ITC Avant Garde" w:hAnsi="ITC Avant Garde"/>
          <w:szCs w:val="22"/>
        </w:rPr>
        <w:t xml:space="preserve">no debe de existir obligación alguna para los demás concesionarios de tener presencia física en los </w:t>
      </w:r>
      <w:r w:rsidR="006E17A9" w:rsidRPr="00377FDC">
        <w:rPr>
          <w:rFonts w:ascii="ITC Avant Garde" w:hAnsi="ITC Avant Garde"/>
          <w:szCs w:val="22"/>
        </w:rPr>
        <w:t>IXP</w:t>
      </w:r>
      <w:r w:rsidR="00C351AA" w:rsidRPr="00377FDC">
        <w:rPr>
          <w:rFonts w:ascii="ITC Avant Garde" w:hAnsi="ITC Avant Garde"/>
          <w:szCs w:val="22"/>
        </w:rPr>
        <w:t xml:space="preserve"> si ya </w:t>
      </w:r>
      <w:r w:rsidR="003D2163" w:rsidRPr="00377FDC">
        <w:rPr>
          <w:rFonts w:ascii="ITC Avant Garde" w:hAnsi="ITC Avant Garde"/>
          <w:szCs w:val="22"/>
        </w:rPr>
        <w:t>se cuentan con lo</w:t>
      </w:r>
      <w:r w:rsidR="00C351AA" w:rsidRPr="00377FDC">
        <w:rPr>
          <w:rFonts w:ascii="ITC Avant Garde" w:hAnsi="ITC Avant Garde"/>
          <w:szCs w:val="22"/>
        </w:rPr>
        <w:t>s puntos con el AEP</w:t>
      </w:r>
      <w:r w:rsidR="00CE62A4" w:rsidRPr="00377FDC">
        <w:rPr>
          <w:rFonts w:ascii="ITC Avant Garde" w:hAnsi="ITC Avant Garde"/>
          <w:szCs w:val="22"/>
        </w:rPr>
        <w:t>.</w:t>
      </w:r>
    </w:p>
    <w:p w14:paraId="05E50CEF" w14:textId="77777777" w:rsidR="00691C5B" w:rsidRPr="00377FDC" w:rsidRDefault="00691C5B">
      <w:pPr>
        <w:autoSpaceDE w:val="0"/>
        <w:autoSpaceDN w:val="0"/>
        <w:adjustRightInd w:val="0"/>
        <w:spacing w:line="240" w:lineRule="auto"/>
        <w:rPr>
          <w:rFonts w:ascii="ITC Avant Garde" w:hAnsi="ITC Avant Garde"/>
          <w:szCs w:val="22"/>
        </w:rPr>
      </w:pPr>
    </w:p>
    <w:p w14:paraId="348C9CD6" w14:textId="77777777" w:rsidR="00322902" w:rsidRPr="00377FDC" w:rsidRDefault="00322902">
      <w:pPr>
        <w:autoSpaceDE w:val="0"/>
        <w:autoSpaceDN w:val="0"/>
        <w:adjustRightInd w:val="0"/>
        <w:spacing w:line="240" w:lineRule="auto"/>
        <w:rPr>
          <w:rFonts w:ascii="ITC Avant Garde" w:hAnsi="ITC Avant Garde"/>
          <w:szCs w:val="22"/>
        </w:rPr>
      </w:pPr>
    </w:p>
    <w:p w14:paraId="1169A093" w14:textId="0B9E00AD" w:rsidR="00322902" w:rsidRPr="00377FDC" w:rsidRDefault="00844054">
      <w:pPr>
        <w:autoSpaceDE w:val="0"/>
        <w:autoSpaceDN w:val="0"/>
        <w:adjustRightInd w:val="0"/>
        <w:spacing w:line="240" w:lineRule="auto"/>
        <w:rPr>
          <w:rFonts w:ascii="ITC Avant Garde" w:hAnsi="ITC Avant Garde"/>
          <w:szCs w:val="22"/>
        </w:rPr>
      </w:pPr>
      <w:r w:rsidRPr="003C7CAF">
        <w:rPr>
          <w:rFonts w:ascii="ITC Avant Garde" w:hAnsi="ITC Avant Garde"/>
          <w:b/>
        </w:rPr>
        <w:t xml:space="preserve">Respuesta. </w:t>
      </w:r>
      <w:r w:rsidR="00322902" w:rsidRPr="00377FDC">
        <w:rPr>
          <w:rFonts w:ascii="ITC Avant Garde" w:hAnsi="ITC Avant Garde"/>
          <w:szCs w:val="22"/>
        </w:rPr>
        <w:t>Dado que el objetivo de los lineamientos</w:t>
      </w:r>
      <w:r>
        <w:rPr>
          <w:rFonts w:ascii="ITC Avant Garde" w:hAnsi="ITC Avant Garde"/>
          <w:szCs w:val="22"/>
        </w:rPr>
        <w:t>,</w:t>
      </w:r>
      <w:r w:rsidR="00322902" w:rsidRPr="00377FDC">
        <w:rPr>
          <w:rFonts w:ascii="ITC Avant Garde" w:hAnsi="ITC Avant Garde"/>
          <w:szCs w:val="22"/>
        </w:rPr>
        <w:t xml:space="preserve"> conforme a lo establecido en la </w:t>
      </w:r>
      <w:r>
        <w:rPr>
          <w:rFonts w:ascii="ITC Avant Garde" w:hAnsi="ITC Avant Garde"/>
          <w:szCs w:val="22"/>
        </w:rPr>
        <w:t>LFTR,</w:t>
      </w:r>
      <w:r w:rsidR="00322902" w:rsidRPr="00377FDC">
        <w:rPr>
          <w:rFonts w:ascii="ITC Avant Garde" w:hAnsi="ITC Avant Garde"/>
          <w:szCs w:val="22"/>
        </w:rPr>
        <w:t xml:space="preserve"> es lograr el intercambio de tráfico de Internet entre los proveedores del servicio de Internet y el AEP, </w:t>
      </w:r>
      <w:r w:rsidR="00C20C81">
        <w:rPr>
          <w:rFonts w:ascii="ITC Avant Garde" w:hAnsi="ITC Avant Garde"/>
          <w:szCs w:val="22"/>
        </w:rPr>
        <w:t>la existencia de</w:t>
      </w:r>
      <w:r w:rsidR="00322902" w:rsidRPr="00377FDC">
        <w:rPr>
          <w:rFonts w:ascii="ITC Avant Garde" w:hAnsi="ITC Avant Garde"/>
          <w:szCs w:val="22"/>
        </w:rPr>
        <w:t xml:space="preserve"> convenios de peering previos implica que esta condición ya se cumple y no sería necesario forzar la presencia física del AEP. Los ISP pueden decidir terminar su relación contractual previa con el AEP y adherirse a un IXP para que a través de éste se realice el intercambio de tráfico de Internet con el AEP y con otros miembros del mismo IXP.</w:t>
      </w:r>
    </w:p>
    <w:p w14:paraId="6FEB64F2" w14:textId="478C923D" w:rsidR="00322902" w:rsidRPr="00377FDC" w:rsidRDefault="00322902">
      <w:pPr>
        <w:autoSpaceDE w:val="0"/>
        <w:autoSpaceDN w:val="0"/>
        <w:adjustRightInd w:val="0"/>
        <w:spacing w:line="240" w:lineRule="auto"/>
        <w:rPr>
          <w:rFonts w:ascii="ITC Avant Garde" w:hAnsi="ITC Avant Garde"/>
          <w:szCs w:val="22"/>
        </w:rPr>
      </w:pPr>
      <w:r w:rsidRPr="00377FDC">
        <w:rPr>
          <w:rFonts w:ascii="ITC Avant Garde" w:hAnsi="ITC Avant Garde"/>
          <w:szCs w:val="22"/>
        </w:rPr>
        <w:t>En cuanto al comentario de Telmex y Telnor</w:t>
      </w:r>
      <w:r w:rsidR="00384737">
        <w:rPr>
          <w:rFonts w:ascii="ITC Avant Garde" w:hAnsi="ITC Avant Garde"/>
          <w:szCs w:val="22"/>
        </w:rPr>
        <w:t xml:space="preserve">, la definición de Intercambio de tráfico, en el lineamiento Tercero, </w:t>
      </w:r>
      <w:r w:rsidR="00C20C81">
        <w:rPr>
          <w:rFonts w:ascii="ITC Avant Garde" w:hAnsi="ITC Avant Garde"/>
          <w:szCs w:val="22"/>
        </w:rPr>
        <w:t xml:space="preserve">aclara que el intercambio interno de tráfico a que hace referencia lo establecido en la LFTR, se refiere a </w:t>
      </w:r>
      <w:r w:rsidR="00384737">
        <w:rPr>
          <w:rFonts w:ascii="ITC Avant Garde" w:hAnsi="ITC Avant Garde"/>
          <w:szCs w:val="22"/>
        </w:rPr>
        <w:t>la conducción de tráfico nacional.</w:t>
      </w:r>
    </w:p>
    <w:p w14:paraId="625AA3D0" w14:textId="504EDB20" w:rsidR="003D2163" w:rsidRPr="00377FDC" w:rsidRDefault="00D0391E">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Se hace </w:t>
      </w:r>
      <w:r w:rsidR="00F60ED4" w:rsidRPr="00377FDC">
        <w:rPr>
          <w:rFonts w:ascii="ITC Avant Garde" w:hAnsi="ITC Avant Garde"/>
          <w:szCs w:val="22"/>
        </w:rPr>
        <w:t>énfasis</w:t>
      </w:r>
      <w:r w:rsidRPr="00377FDC">
        <w:rPr>
          <w:rFonts w:ascii="ITC Avant Garde" w:hAnsi="ITC Avant Garde"/>
          <w:szCs w:val="22"/>
        </w:rPr>
        <w:t xml:space="preserve"> que l</w:t>
      </w:r>
      <w:r w:rsidR="00322902" w:rsidRPr="00377FDC">
        <w:rPr>
          <w:rFonts w:ascii="ITC Avant Garde" w:hAnsi="ITC Avant Garde"/>
          <w:szCs w:val="22"/>
        </w:rPr>
        <w:t xml:space="preserve">a </w:t>
      </w:r>
      <w:r w:rsidR="003D2163" w:rsidRPr="00377FDC">
        <w:rPr>
          <w:rFonts w:ascii="ITC Avant Garde" w:hAnsi="ITC Avant Garde"/>
          <w:szCs w:val="22"/>
        </w:rPr>
        <w:t xml:space="preserve">LFTR, en su artículo 138, fracción VIII establece que la obligación de </w:t>
      </w:r>
      <w:r w:rsidR="00384737">
        <w:rPr>
          <w:rFonts w:ascii="ITC Avant Garde" w:hAnsi="ITC Avant Garde"/>
          <w:szCs w:val="22"/>
        </w:rPr>
        <w:t>tener presencia física sólo aplica para el AEP</w:t>
      </w:r>
      <w:r w:rsidR="003D2163" w:rsidRPr="00377FDC">
        <w:rPr>
          <w:rFonts w:ascii="ITC Avant Garde" w:hAnsi="ITC Avant Garde"/>
          <w:szCs w:val="22"/>
        </w:rPr>
        <w:t>.</w:t>
      </w:r>
      <w:r w:rsidR="00B470DD" w:rsidRPr="00377FDC">
        <w:rPr>
          <w:rFonts w:ascii="ITC Avant Garde" w:hAnsi="ITC Avant Garde"/>
          <w:szCs w:val="22"/>
        </w:rPr>
        <w:t xml:space="preserve"> </w:t>
      </w:r>
    </w:p>
    <w:p w14:paraId="558E8635" w14:textId="77777777" w:rsidR="00322902" w:rsidRPr="00C20C81" w:rsidRDefault="00322902">
      <w:pPr>
        <w:pStyle w:val="Normal1"/>
        <w:spacing w:line="240" w:lineRule="auto"/>
        <w:jc w:val="center"/>
        <w:rPr>
          <w:rFonts w:ascii="ITC Avant Garde" w:hAnsi="ITC Avant Garde"/>
          <w:b/>
          <w:szCs w:val="22"/>
        </w:rPr>
      </w:pPr>
    </w:p>
    <w:p w14:paraId="51FB6012" w14:textId="77777777" w:rsidR="00436234" w:rsidRPr="00377FDC" w:rsidRDefault="00436234">
      <w:pPr>
        <w:pStyle w:val="Normal1"/>
        <w:spacing w:line="240" w:lineRule="auto"/>
        <w:jc w:val="center"/>
        <w:rPr>
          <w:rFonts w:ascii="ITC Avant Garde" w:hAnsi="ITC Avant Garde"/>
          <w:szCs w:val="22"/>
          <w:lang w:val="es-ES_tradnl"/>
        </w:rPr>
      </w:pPr>
      <w:r w:rsidRPr="00377FDC">
        <w:rPr>
          <w:rFonts w:ascii="ITC Avant Garde" w:hAnsi="ITC Avant Garde"/>
          <w:b/>
          <w:szCs w:val="22"/>
          <w:lang w:val="es-ES_tradnl"/>
        </w:rPr>
        <w:t>CAPÍTULO II</w:t>
      </w:r>
    </w:p>
    <w:p w14:paraId="5306D410" w14:textId="77777777" w:rsidR="00436234" w:rsidRPr="00377FDC" w:rsidRDefault="00436234">
      <w:pPr>
        <w:pStyle w:val="Normal1"/>
        <w:spacing w:line="240" w:lineRule="auto"/>
        <w:jc w:val="center"/>
        <w:rPr>
          <w:rFonts w:ascii="ITC Avant Garde" w:hAnsi="ITC Avant Garde"/>
          <w:szCs w:val="22"/>
          <w:lang w:val="es-ES_tradnl"/>
        </w:rPr>
      </w:pPr>
      <w:r w:rsidRPr="00377FDC">
        <w:rPr>
          <w:rFonts w:ascii="ITC Avant Garde" w:hAnsi="ITC Avant Garde"/>
          <w:b/>
          <w:szCs w:val="22"/>
          <w:lang w:val="es-ES_tradnl"/>
        </w:rPr>
        <w:t>DEFINICIONES</w:t>
      </w:r>
    </w:p>
    <w:p w14:paraId="48025BA1" w14:textId="77777777" w:rsidR="00436234" w:rsidRPr="00377FDC" w:rsidRDefault="00436234">
      <w:pPr>
        <w:autoSpaceDE w:val="0"/>
        <w:autoSpaceDN w:val="0"/>
        <w:adjustRightInd w:val="0"/>
        <w:spacing w:line="240" w:lineRule="auto"/>
        <w:rPr>
          <w:rFonts w:ascii="ITC Avant Garde" w:hAnsi="ITC Avant Garde"/>
          <w:szCs w:val="22"/>
        </w:rPr>
      </w:pPr>
    </w:p>
    <w:p w14:paraId="1D8205F5" w14:textId="2A6CD238" w:rsidR="00436234" w:rsidRPr="00377FDC" w:rsidRDefault="00436234">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 xml:space="preserve">Lineamiento </w:t>
      </w:r>
      <w:r w:rsidR="00FD1358" w:rsidRPr="00377FDC">
        <w:rPr>
          <w:rFonts w:ascii="ITC Avant Garde" w:hAnsi="ITC Avant Garde"/>
          <w:b/>
          <w:szCs w:val="22"/>
        </w:rPr>
        <w:t>Tercero</w:t>
      </w:r>
    </w:p>
    <w:p w14:paraId="398E23A1" w14:textId="77777777" w:rsidR="00691C5B" w:rsidRPr="00377FDC" w:rsidRDefault="00691C5B">
      <w:pPr>
        <w:autoSpaceDE w:val="0"/>
        <w:autoSpaceDN w:val="0"/>
        <w:adjustRightInd w:val="0"/>
        <w:spacing w:line="240" w:lineRule="auto"/>
        <w:rPr>
          <w:rFonts w:ascii="ITC Avant Garde" w:hAnsi="ITC Avant Garde"/>
          <w:b/>
          <w:szCs w:val="22"/>
        </w:rPr>
      </w:pPr>
    </w:p>
    <w:p w14:paraId="1109C3DF" w14:textId="64F0A186" w:rsidR="00966DE5"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CANIETI</w:t>
      </w:r>
      <w:r w:rsidR="00723EE4" w:rsidRPr="00377FDC">
        <w:rPr>
          <w:rFonts w:ascii="ITC Avant Garde" w:hAnsi="ITC Avant Garde"/>
          <w:b/>
          <w:szCs w:val="22"/>
        </w:rPr>
        <w:t xml:space="preserve"> y </w:t>
      </w:r>
      <w:r w:rsidR="00897C35" w:rsidRPr="00101360">
        <w:rPr>
          <w:rFonts w:ascii="ITC Avant Garde" w:hAnsi="ITC Avant Garde"/>
          <w:b/>
          <w:szCs w:val="22"/>
        </w:rPr>
        <w:t>Bestphone</w:t>
      </w:r>
      <w:r w:rsidR="00966DE5" w:rsidRPr="00377FDC">
        <w:rPr>
          <w:rFonts w:ascii="ITC Avant Garde" w:hAnsi="ITC Avant Garde"/>
          <w:b/>
          <w:szCs w:val="22"/>
        </w:rPr>
        <w:t xml:space="preserve"> </w:t>
      </w:r>
      <w:r w:rsidR="00966DE5" w:rsidRPr="00377FDC">
        <w:rPr>
          <w:rFonts w:ascii="ITC Avant Garde" w:hAnsi="ITC Avant Garde"/>
          <w:szCs w:val="22"/>
        </w:rPr>
        <w:t>considera</w:t>
      </w:r>
      <w:r w:rsidR="00723EE4" w:rsidRPr="00377FDC">
        <w:rPr>
          <w:rFonts w:ascii="ITC Avant Garde" w:hAnsi="ITC Avant Garde"/>
          <w:szCs w:val="22"/>
        </w:rPr>
        <w:t>n</w:t>
      </w:r>
      <w:r w:rsidR="00966DE5" w:rsidRPr="00377FDC">
        <w:rPr>
          <w:rFonts w:ascii="ITC Avant Garde" w:hAnsi="ITC Avant Garde"/>
          <w:szCs w:val="22"/>
        </w:rPr>
        <w:t xml:space="preserve"> que hace falta incorporar la definición de “Titulares de IXP”, ya que para tener un IXP la LFTR </w:t>
      </w:r>
      <w:r w:rsidR="00966DE5" w:rsidRPr="00C2256E">
        <w:rPr>
          <w:rFonts w:ascii="ITC Avant Garde" w:hAnsi="ITC Avant Garde"/>
          <w:szCs w:val="22"/>
        </w:rPr>
        <w:t xml:space="preserve">no </w:t>
      </w:r>
      <w:r w:rsidR="00C2256E">
        <w:rPr>
          <w:rFonts w:ascii="ITC Avant Garde" w:hAnsi="ITC Avant Garde"/>
          <w:szCs w:val="22"/>
        </w:rPr>
        <w:t>requiere</w:t>
      </w:r>
      <w:r w:rsidR="00966DE5" w:rsidRPr="00377FDC">
        <w:rPr>
          <w:rFonts w:ascii="ITC Avant Garde" w:hAnsi="ITC Avant Garde"/>
          <w:szCs w:val="22"/>
        </w:rPr>
        <w:t xml:space="preserve"> ni concesi</w:t>
      </w:r>
      <w:r w:rsidR="007E6F89" w:rsidRPr="00377FDC">
        <w:rPr>
          <w:rFonts w:ascii="ITC Avant Garde" w:hAnsi="ITC Avant Garde"/>
          <w:szCs w:val="22"/>
        </w:rPr>
        <w:t>ón ni permiso, s</w:t>
      </w:r>
      <w:r w:rsidR="00966DE5" w:rsidRPr="00377FDC">
        <w:rPr>
          <w:rFonts w:ascii="ITC Avant Garde" w:hAnsi="ITC Avant Garde"/>
          <w:szCs w:val="22"/>
        </w:rPr>
        <w:t xml:space="preserve">in embargo, en los lineamientos se definen derechos y obligaciones a los titulares de IXP. </w:t>
      </w:r>
    </w:p>
    <w:p w14:paraId="410B4564" w14:textId="7E716D3D" w:rsidR="007E6F89"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7E6F89" w:rsidRPr="00377FDC">
        <w:rPr>
          <w:rFonts w:ascii="ITC Avant Garde" w:hAnsi="ITC Avant Garde"/>
          <w:szCs w:val="22"/>
        </w:rPr>
        <w:t xml:space="preserve"> </w:t>
      </w:r>
      <w:r w:rsidR="00994641" w:rsidRPr="00377FDC">
        <w:rPr>
          <w:rFonts w:ascii="ITC Avant Garde" w:hAnsi="ITC Avant Garde"/>
          <w:szCs w:val="22"/>
        </w:rPr>
        <w:t xml:space="preserve">y </w:t>
      </w:r>
      <w:r w:rsidR="00994641" w:rsidRPr="00377FDC">
        <w:rPr>
          <w:rFonts w:ascii="ITC Avant Garde" w:hAnsi="ITC Avant Garde"/>
          <w:b/>
          <w:szCs w:val="22"/>
        </w:rPr>
        <w:t>CUDI</w:t>
      </w:r>
      <w:r w:rsidR="00994641" w:rsidRPr="00377FDC">
        <w:rPr>
          <w:rFonts w:ascii="ITC Avant Garde" w:hAnsi="ITC Avant Garde"/>
          <w:szCs w:val="22"/>
        </w:rPr>
        <w:t xml:space="preserve"> </w:t>
      </w:r>
      <w:r w:rsidR="007E6F89" w:rsidRPr="00377FDC">
        <w:rPr>
          <w:rFonts w:ascii="ITC Avant Garde" w:hAnsi="ITC Avant Garde"/>
          <w:szCs w:val="22"/>
        </w:rPr>
        <w:t>expresa</w:t>
      </w:r>
      <w:r w:rsidR="00994641" w:rsidRPr="00377FDC">
        <w:rPr>
          <w:rFonts w:ascii="ITC Avant Garde" w:hAnsi="ITC Avant Garde"/>
          <w:szCs w:val="22"/>
        </w:rPr>
        <w:t>n</w:t>
      </w:r>
      <w:r w:rsidR="007E6F89" w:rsidRPr="00377FDC">
        <w:rPr>
          <w:rFonts w:ascii="ITC Avant Garde" w:hAnsi="ITC Avant Garde"/>
          <w:szCs w:val="22"/>
        </w:rPr>
        <w:t xml:space="preserve"> que los IXP deben contar con una concesión para poder prestar servicios</w:t>
      </w:r>
      <w:r w:rsidR="00994641" w:rsidRPr="00377FDC">
        <w:rPr>
          <w:rFonts w:ascii="ITC Avant Garde" w:hAnsi="ITC Avant Garde"/>
          <w:szCs w:val="22"/>
        </w:rPr>
        <w:t xml:space="preserve">. </w:t>
      </w:r>
      <w:r w:rsidR="00C2256E" w:rsidRPr="00377FDC">
        <w:rPr>
          <w:rFonts w:ascii="ITC Avant Garde" w:hAnsi="ITC Avant Garde"/>
          <w:b/>
          <w:szCs w:val="22"/>
        </w:rPr>
        <w:t>CITI</w:t>
      </w:r>
      <w:r w:rsidR="00C2256E" w:rsidRPr="00377FDC">
        <w:rPr>
          <w:rFonts w:ascii="ITC Avant Garde" w:hAnsi="ITC Avant Garde"/>
          <w:szCs w:val="22"/>
        </w:rPr>
        <w:t xml:space="preserve"> enuncia</w:t>
      </w:r>
      <w:r w:rsidR="00994641" w:rsidRPr="00377FDC">
        <w:rPr>
          <w:rFonts w:ascii="ITC Avant Garde" w:hAnsi="ITC Avant Garde"/>
          <w:szCs w:val="22"/>
        </w:rPr>
        <w:t xml:space="preserve"> </w:t>
      </w:r>
      <w:r w:rsidR="007E6F89" w:rsidRPr="00377FDC">
        <w:rPr>
          <w:rFonts w:ascii="ITC Avant Garde" w:hAnsi="ITC Avant Garde"/>
          <w:szCs w:val="22"/>
        </w:rPr>
        <w:t xml:space="preserve">lo establecido en el artículo 66 de la LFTR “…se requerirá concesión única para prestar todo tipo de servicio públicos de telecomunicaciones y radiodifusión…”.  Por lo anterior, </w:t>
      </w:r>
      <w:r w:rsidR="00994641" w:rsidRPr="00377FDC">
        <w:rPr>
          <w:rFonts w:ascii="ITC Avant Garde" w:hAnsi="ITC Avant Garde"/>
          <w:b/>
          <w:szCs w:val="22"/>
        </w:rPr>
        <w:t>CITI</w:t>
      </w:r>
      <w:r w:rsidR="00994641" w:rsidRPr="00377FDC">
        <w:rPr>
          <w:rFonts w:ascii="ITC Avant Garde" w:hAnsi="ITC Avant Garde"/>
          <w:szCs w:val="22"/>
        </w:rPr>
        <w:t xml:space="preserve"> opina que </w:t>
      </w:r>
      <w:r w:rsidR="007E6F89" w:rsidRPr="00377FDC">
        <w:rPr>
          <w:rFonts w:ascii="ITC Avant Garde" w:hAnsi="ITC Avant Garde"/>
          <w:szCs w:val="22"/>
        </w:rPr>
        <w:t>existe inconsistencia al mencionar en los lineamientos que un concesionario no puede operar un IXP. Se propone alcanzar el objetivo de neutralidad estableciendo un porcentaje de participación de los concesionarios en el órgano de gobierno del IXP de no más del 20%.</w:t>
      </w:r>
      <w:r w:rsidR="00994641" w:rsidRPr="00377FDC">
        <w:rPr>
          <w:rFonts w:ascii="ITC Avant Garde" w:hAnsi="ITC Avant Garde"/>
          <w:szCs w:val="22"/>
        </w:rPr>
        <w:t xml:space="preserve"> Por el lado de </w:t>
      </w:r>
      <w:r w:rsidR="00994641" w:rsidRPr="00377FDC">
        <w:rPr>
          <w:rFonts w:ascii="ITC Avant Garde" w:hAnsi="ITC Avant Garde"/>
          <w:b/>
          <w:szCs w:val="22"/>
        </w:rPr>
        <w:t>CUDI</w:t>
      </w:r>
      <w:r w:rsidR="00994641" w:rsidRPr="00377FDC">
        <w:rPr>
          <w:rFonts w:ascii="ITC Avant Garde" w:hAnsi="ITC Avant Garde"/>
          <w:szCs w:val="22"/>
        </w:rPr>
        <w:t>, la entidad propone el considerar otros mecanismos que garanticen la neutralidad.</w:t>
      </w:r>
    </w:p>
    <w:p w14:paraId="6AB8F63E" w14:textId="10E151BC" w:rsidR="007E6F89" w:rsidRPr="00377FDC" w:rsidRDefault="007E6F89">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Telefónica</w:t>
      </w:r>
      <w:r w:rsidR="00E50BCD" w:rsidRPr="00377FDC">
        <w:rPr>
          <w:rFonts w:ascii="ITC Avant Garde" w:hAnsi="ITC Avant Garde"/>
          <w:b/>
          <w:szCs w:val="22"/>
        </w:rPr>
        <w:t xml:space="preserve"> </w:t>
      </w:r>
      <w:r w:rsidR="00BC4F8D" w:rsidRPr="00377FDC">
        <w:rPr>
          <w:rFonts w:ascii="ITC Avant Garde" w:hAnsi="ITC Avant Garde"/>
          <w:szCs w:val="22"/>
        </w:rPr>
        <w:t>y</w:t>
      </w:r>
      <w:r w:rsidR="00BC4F8D" w:rsidRPr="00377FDC">
        <w:rPr>
          <w:rFonts w:ascii="ITC Avant Garde" w:hAnsi="ITC Avant Garde"/>
          <w:b/>
          <w:szCs w:val="22"/>
        </w:rPr>
        <w:t xml:space="preserve"> CANIETI </w:t>
      </w:r>
      <w:r w:rsidR="00E50BCD" w:rsidRPr="00377FDC">
        <w:rPr>
          <w:rFonts w:ascii="ITC Avant Garde" w:hAnsi="ITC Avant Garde"/>
          <w:szCs w:val="22"/>
        </w:rPr>
        <w:t>opina</w:t>
      </w:r>
      <w:r w:rsidR="00BC4F8D" w:rsidRPr="00377FDC">
        <w:rPr>
          <w:rFonts w:ascii="ITC Avant Garde" w:hAnsi="ITC Avant Garde"/>
          <w:szCs w:val="22"/>
        </w:rPr>
        <w:t>n</w:t>
      </w:r>
      <w:r w:rsidR="00E50BCD" w:rsidRPr="00377FDC">
        <w:rPr>
          <w:rFonts w:ascii="ITC Avant Garde" w:hAnsi="ITC Avant Garde"/>
          <w:szCs w:val="22"/>
        </w:rPr>
        <w:t xml:space="preserve"> que no existe un sustento para definir que los IXP sean neutrales, siendo </w:t>
      </w:r>
      <w:r w:rsidR="00723EE4" w:rsidRPr="00377FDC">
        <w:rPr>
          <w:rFonts w:ascii="ITC Avant Garde" w:hAnsi="ITC Avant Garde"/>
          <w:szCs w:val="22"/>
        </w:rPr>
        <w:t>discriminatoria</w:t>
      </w:r>
      <w:r w:rsidR="00E50BCD" w:rsidRPr="00377FDC">
        <w:rPr>
          <w:rFonts w:ascii="ITC Avant Garde" w:hAnsi="ITC Avant Garde"/>
          <w:szCs w:val="22"/>
        </w:rPr>
        <w:t xml:space="preserve"> la condición establecida en la definición de IXP al no permitirse que ningún concesionario pueda ser socio u operarlo. </w:t>
      </w:r>
      <w:r w:rsidR="00BC4F8D" w:rsidRPr="00377FDC">
        <w:rPr>
          <w:rFonts w:ascii="ITC Avant Garde" w:hAnsi="ITC Avant Garde"/>
          <w:b/>
          <w:szCs w:val="22"/>
        </w:rPr>
        <w:t>Telefónica</w:t>
      </w:r>
      <w:r w:rsidR="00723EE4" w:rsidRPr="00377FDC">
        <w:rPr>
          <w:rFonts w:ascii="ITC Avant Garde" w:hAnsi="ITC Avant Garde"/>
          <w:szCs w:val="22"/>
        </w:rPr>
        <w:t xml:space="preserve"> hace referencia al documento “Broadband Policies for Latin America and the Caribbean" de la OCDE donde se desarrolla la importancia de los IXP y la importancia de los gobiernos y entes de regulación para apoyar su desarrollo. </w:t>
      </w:r>
      <w:r w:rsidR="00723EE4" w:rsidRPr="00377FDC">
        <w:rPr>
          <w:rFonts w:ascii="ITC Avant Garde" w:hAnsi="ITC Avant Garde"/>
          <w:b/>
          <w:szCs w:val="22"/>
        </w:rPr>
        <w:t>Telefónica</w:t>
      </w:r>
      <w:r w:rsidR="00723EE4" w:rsidRPr="00377FDC">
        <w:rPr>
          <w:rFonts w:ascii="ITC Avant Garde" w:hAnsi="ITC Avant Garde"/>
          <w:szCs w:val="22"/>
        </w:rPr>
        <w:t xml:space="preserve"> menciona que en este </w:t>
      </w:r>
      <w:r w:rsidR="00723EE4" w:rsidRPr="00377FDC">
        <w:rPr>
          <w:rFonts w:ascii="ITC Avant Garde" w:hAnsi="ITC Avant Garde"/>
          <w:szCs w:val="22"/>
        </w:rPr>
        <w:lastRenderedPageBreak/>
        <w:t xml:space="preserve">estudio en ningún momento se recomienda limitar la participación de los concesionarios en los IXP. </w:t>
      </w:r>
    </w:p>
    <w:p w14:paraId="77B36D3B" w14:textId="2F095CA9" w:rsidR="00994641" w:rsidRPr="00377FDC" w:rsidRDefault="00EE55DA">
      <w:pPr>
        <w:autoSpaceDE w:val="0"/>
        <w:autoSpaceDN w:val="0"/>
        <w:adjustRightInd w:val="0"/>
        <w:spacing w:line="240" w:lineRule="auto"/>
        <w:rPr>
          <w:rFonts w:ascii="ITC Avant Garde" w:hAnsi="ITC Avant Garde"/>
          <w:szCs w:val="22"/>
        </w:rPr>
      </w:pPr>
      <w:r w:rsidRPr="00377FDC">
        <w:rPr>
          <w:rFonts w:ascii="ITC Avant Garde" w:hAnsi="ITC Avant Garde"/>
          <w:b/>
          <w:szCs w:val="22"/>
        </w:rPr>
        <w:t>CUDI</w:t>
      </w:r>
      <w:r w:rsidRPr="00377FDC">
        <w:rPr>
          <w:rFonts w:ascii="ITC Avant Garde" w:hAnsi="ITC Avant Garde"/>
          <w:szCs w:val="22"/>
        </w:rPr>
        <w:t xml:space="preserve"> sugiere incluir en la definición de Intercambio de tráfico que dicho intercambio se puede dar entre cualquier agente económico que posea algún sistema autónomo y no limitarlo a los proveedores de servicio de Internet.</w:t>
      </w:r>
      <w:r w:rsidR="00994641" w:rsidRPr="00377FDC">
        <w:rPr>
          <w:rFonts w:ascii="ITC Avant Garde" w:hAnsi="ITC Avant Garde"/>
          <w:szCs w:val="22"/>
        </w:rPr>
        <w:t xml:space="preserve"> O</w:t>
      </w:r>
      <w:r w:rsidRPr="00377FDC">
        <w:rPr>
          <w:rFonts w:ascii="ITC Avant Garde" w:hAnsi="ITC Avant Garde"/>
          <w:szCs w:val="22"/>
        </w:rPr>
        <w:t>pinan que el intercambio de tráfico entre el AEP y los ISP u otros agentes económicos participantes del IXP debe ser gratuito</w:t>
      </w:r>
      <w:r w:rsidR="00F60ED4" w:rsidRPr="00377FDC">
        <w:rPr>
          <w:rFonts w:ascii="ITC Avant Garde" w:hAnsi="ITC Avant Garde"/>
          <w:szCs w:val="22"/>
        </w:rPr>
        <w:t>, sin el cobro de alguna contraprestación entre las partes.</w:t>
      </w:r>
      <w:r w:rsidR="00994641" w:rsidRPr="00377FDC">
        <w:rPr>
          <w:rFonts w:ascii="ITC Avant Garde" w:hAnsi="ITC Avant Garde"/>
          <w:szCs w:val="22"/>
        </w:rPr>
        <w:t xml:space="preserve"> Y precisan el reforzar los requerimientos mínimos del IXP en términos de seguridad y espacio físico para que no existan controversias por parte del AEP respecto</w:t>
      </w:r>
      <w:r w:rsidR="00721815" w:rsidRPr="00377FDC">
        <w:rPr>
          <w:rFonts w:ascii="ITC Avant Garde" w:hAnsi="ITC Avant Garde"/>
          <w:szCs w:val="22"/>
        </w:rPr>
        <w:t xml:space="preserve"> de la obligación de conectarse a estos puntos o bien, el definirlos en las políticas del registro del IXP ante el IFT.</w:t>
      </w:r>
    </w:p>
    <w:p w14:paraId="6F3359A8" w14:textId="2BAF7139" w:rsidR="00B470DD" w:rsidRPr="00377FDC" w:rsidRDefault="00B470DD"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el especificar </w:t>
      </w:r>
      <w:r w:rsidR="007F15E1" w:rsidRPr="00377FDC">
        <w:rPr>
          <w:rFonts w:ascii="ITC Avant Garde" w:hAnsi="ITC Avant Garde"/>
          <w:szCs w:val="22"/>
        </w:rPr>
        <w:t>en la definición de Intercambio de tráfico que sólo aplica</w:t>
      </w:r>
      <w:r w:rsidRPr="00377FDC">
        <w:rPr>
          <w:rFonts w:ascii="ITC Avant Garde" w:hAnsi="ITC Avant Garde"/>
          <w:szCs w:val="22"/>
        </w:rPr>
        <w:t xml:space="preserve"> para el tráfico de Internet que se intercambia de manera local o nacional.</w:t>
      </w:r>
    </w:p>
    <w:p w14:paraId="3BCA34A2" w14:textId="28242226" w:rsidR="007F15E1" w:rsidRPr="00377FDC" w:rsidRDefault="007F15E1"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Pr="00377FDC">
        <w:rPr>
          <w:rFonts w:ascii="ITC Avant Garde" w:hAnsi="ITC Avant Garde"/>
          <w:szCs w:val="22"/>
        </w:rPr>
        <w:t xml:space="preserve"> explican la importancia de seguir considerando el tráfico IPv4, ya que actualmente no todos los concesionarios han migrado a IPv6.</w:t>
      </w:r>
    </w:p>
    <w:p w14:paraId="1D4CBBE2" w14:textId="22E01850" w:rsidR="00691C5B" w:rsidRPr="00377FDC" w:rsidRDefault="00691C5B" w:rsidP="0039427F">
      <w:pPr>
        <w:autoSpaceDE w:val="0"/>
        <w:autoSpaceDN w:val="0"/>
        <w:adjustRightInd w:val="0"/>
        <w:spacing w:line="240" w:lineRule="auto"/>
        <w:rPr>
          <w:rFonts w:ascii="ITC Avant Garde" w:hAnsi="ITC Avant Garde"/>
          <w:szCs w:val="22"/>
        </w:rPr>
      </w:pPr>
      <w:r w:rsidRPr="00377FDC">
        <w:rPr>
          <w:rFonts w:ascii="ITC Avant Garde" w:hAnsi="ITC Avant Garde"/>
          <w:b/>
          <w:szCs w:val="22"/>
        </w:rPr>
        <w:t>Raúl Godoy</w:t>
      </w:r>
      <w:r w:rsidR="00184D6E" w:rsidRPr="00377FDC">
        <w:rPr>
          <w:rFonts w:ascii="ITC Avant Garde" w:hAnsi="ITC Avant Garde"/>
          <w:b/>
          <w:szCs w:val="22"/>
        </w:rPr>
        <w:t xml:space="preserve"> </w:t>
      </w:r>
      <w:r w:rsidR="00184D6E" w:rsidRPr="00377FDC">
        <w:rPr>
          <w:rFonts w:ascii="ITC Avant Garde" w:hAnsi="ITC Avant Garde"/>
          <w:szCs w:val="22"/>
        </w:rPr>
        <w:t>recomienda usar definiciones respaldadas por organismos como la IEFT o libros especializados en telecomunicaciones.</w:t>
      </w:r>
    </w:p>
    <w:p w14:paraId="76DC7057" w14:textId="77777777" w:rsidR="00FD1358" w:rsidRPr="00377FDC" w:rsidRDefault="00FD1358">
      <w:pPr>
        <w:autoSpaceDE w:val="0"/>
        <w:autoSpaceDN w:val="0"/>
        <w:adjustRightInd w:val="0"/>
        <w:spacing w:line="240" w:lineRule="auto"/>
        <w:rPr>
          <w:rFonts w:ascii="ITC Avant Garde" w:hAnsi="ITC Avant Garde"/>
          <w:szCs w:val="22"/>
        </w:rPr>
      </w:pPr>
    </w:p>
    <w:p w14:paraId="4725E42C" w14:textId="41CA6012" w:rsidR="00BC4F8D" w:rsidRPr="00377FDC" w:rsidRDefault="00C2256E">
      <w:pPr>
        <w:autoSpaceDE w:val="0"/>
        <w:autoSpaceDN w:val="0"/>
        <w:adjustRightInd w:val="0"/>
        <w:spacing w:line="240" w:lineRule="auto"/>
        <w:rPr>
          <w:rFonts w:ascii="ITC Avant Garde" w:hAnsi="ITC Avant Garde"/>
          <w:szCs w:val="22"/>
        </w:rPr>
      </w:pPr>
      <w:r w:rsidRPr="003C7CAF">
        <w:rPr>
          <w:rFonts w:ascii="ITC Avant Garde" w:hAnsi="ITC Avant Garde"/>
          <w:b/>
        </w:rPr>
        <w:t xml:space="preserve">Respuesta. </w:t>
      </w:r>
      <w:r w:rsidR="00BC4F8D" w:rsidRPr="00377FDC">
        <w:rPr>
          <w:rFonts w:ascii="ITC Avant Garde" w:hAnsi="ITC Avant Garde"/>
          <w:szCs w:val="22"/>
        </w:rPr>
        <w:t xml:space="preserve">Las definiciones de los términos utilizados en los lineamientos se obtuvieron de referencias internacionales como </w:t>
      </w:r>
      <w:r w:rsidR="00947600">
        <w:rPr>
          <w:rFonts w:ascii="ITC Avant Garde" w:hAnsi="ITC Avant Garde"/>
          <w:szCs w:val="22"/>
        </w:rPr>
        <w:t>el</w:t>
      </w:r>
      <w:r w:rsidR="00BC4F8D" w:rsidRPr="00377FDC">
        <w:rPr>
          <w:rFonts w:ascii="ITC Avant Garde" w:hAnsi="ITC Avant Garde"/>
          <w:szCs w:val="22"/>
        </w:rPr>
        <w:t xml:space="preserve"> ETSI, </w:t>
      </w:r>
      <w:r w:rsidR="00947600">
        <w:rPr>
          <w:rFonts w:ascii="ITC Avant Garde" w:hAnsi="ITC Avant Garde"/>
          <w:szCs w:val="22"/>
        </w:rPr>
        <w:t xml:space="preserve">la </w:t>
      </w:r>
      <w:r w:rsidR="00BC4F8D" w:rsidRPr="00377FDC">
        <w:rPr>
          <w:rFonts w:ascii="ITC Avant Garde" w:hAnsi="ITC Avant Garde"/>
          <w:szCs w:val="22"/>
        </w:rPr>
        <w:t xml:space="preserve">ITU o entidades especializadas en estos temas como </w:t>
      </w:r>
      <w:r w:rsidR="00632125">
        <w:rPr>
          <w:rFonts w:ascii="ITC Avant Garde" w:hAnsi="ITC Avant Garde"/>
          <w:szCs w:val="22"/>
        </w:rPr>
        <w:t>la IETF</w:t>
      </w:r>
      <w:r w:rsidR="00BC4F8D" w:rsidRPr="00377FDC">
        <w:rPr>
          <w:rFonts w:ascii="ITC Avant Garde" w:hAnsi="ITC Avant Garde"/>
          <w:szCs w:val="22"/>
        </w:rPr>
        <w:t xml:space="preserve">, por ejemplo. Todas las referencias para la elaboración de los lineamientos se enlistarán en el correspondiente Acuerdo de Impacto Regulatorio (AIR). </w:t>
      </w:r>
    </w:p>
    <w:p w14:paraId="0BA2E73E" w14:textId="4FBAD674" w:rsidR="00CE62A4" w:rsidRPr="00377FDC" w:rsidRDefault="00D70D78">
      <w:pPr>
        <w:autoSpaceDE w:val="0"/>
        <w:autoSpaceDN w:val="0"/>
        <w:adjustRightInd w:val="0"/>
        <w:spacing w:line="240" w:lineRule="auto"/>
        <w:rPr>
          <w:rFonts w:ascii="ITC Avant Garde" w:hAnsi="ITC Avant Garde"/>
          <w:szCs w:val="22"/>
        </w:rPr>
      </w:pPr>
      <w:r w:rsidRPr="00377FDC">
        <w:rPr>
          <w:rFonts w:ascii="ITC Avant Garde" w:hAnsi="ITC Avant Garde"/>
          <w:szCs w:val="22"/>
        </w:rPr>
        <w:t>El objetivo de neutralidad surge a partir de un análisis del marco internacional e identi</w:t>
      </w:r>
      <w:r w:rsidR="00566F08" w:rsidRPr="00377FDC">
        <w:rPr>
          <w:rFonts w:ascii="ITC Avant Garde" w:hAnsi="ITC Avant Garde"/>
          <w:szCs w:val="22"/>
        </w:rPr>
        <w:t xml:space="preserve">ficación de mejores prácticas. </w:t>
      </w:r>
      <w:r w:rsidR="00632125">
        <w:rPr>
          <w:rFonts w:ascii="ITC Avant Garde" w:hAnsi="ITC Avant Garde"/>
          <w:szCs w:val="22"/>
        </w:rPr>
        <w:t>En las referencias se</w:t>
      </w:r>
      <w:r w:rsidR="00566F08" w:rsidRPr="00377FDC">
        <w:rPr>
          <w:rFonts w:ascii="ITC Avant Garde" w:hAnsi="ITC Avant Garde"/>
          <w:szCs w:val="22"/>
        </w:rPr>
        <w:t xml:space="preserve"> hace énfasis que la n</w:t>
      </w:r>
      <w:r w:rsidRPr="00377FDC">
        <w:rPr>
          <w:rFonts w:ascii="ITC Avant Garde" w:hAnsi="ITC Avant Garde"/>
          <w:szCs w:val="22"/>
        </w:rPr>
        <w:t>eutralidad</w:t>
      </w:r>
      <w:r w:rsidR="00566F08" w:rsidRPr="00377FDC">
        <w:rPr>
          <w:rFonts w:ascii="ITC Avant Garde" w:hAnsi="ITC Avant Garde"/>
          <w:szCs w:val="22"/>
        </w:rPr>
        <w:t xml:space="preserve"> de un IXP es un elemento indispensable y de importancia para garantizar </w:t>
      </w:r>
      <w:r w:rsidR="00632125">
        <w:rPr>
          <w:rFonts w:ascii="ITC Avant Garde" w:hAnsi="ITC Avant Garde"/>
          <w:szCs w:val="22"/>
        </w:rPr>
        <w:t>el buen funcionamiento del mismo</w:t>
      </w:r>
      <w:r w:rsidRPr="00377FDC">
        <w:rPr>
          <w:rFonts w:ascii="ITC Avant Garde" w:hAnsi="ITC Avant Garde"/>
          <w:szCs w:val="22"/>
        </w:rPr>
        <w:t xml:space="preserve">. </w:t>
      </w:r>
      <w:r w:rsidR="00CF7DF7" w:rsidRPr="00377FDC">
        <w:rPr>
          <w:rFonts w:ascii="ITC Avant Garde" w:hAnsi="ITC Avant Garde"/>
          <w:szCs w:val="22"/>
        </w:rPr>
        <w:t xml:space="preserve">Considerando </w:t>
      </w:r>
      <w:r w:rsidR="00566F08" w:rsidRPr="00377FDC">
        <w:rPr>
          <w:rFonts w:ascii="ITC Avant Garde" w:hAnsi="ITC Avant Garde"/>
          <w:szCs w:val="22"/>
        </w:rPr>
        <w:t>uno de estos documentos</w:t>
      </w:r>
      <w:r w:rsidR="00CF7DF7" w:rsidRPr="00377FDC">
        <w:rPr>
          <w:rFonts w:ascii="ITC Avant Garde" w:hAnsi="ITC Avant Garde"/>
          <w:szCs w:val="22"/>
        </w:rPr>
        <w:t xml:space="preserve"> internacionales</w:t>
      </w:r>
      <w:r w:rsidR="00566F08" w:rsidRPr="00377FDC">
        <w:rPr>
          <w:rFonts w:ascii="ITC Avant Garde" w:hAnsi="ITC Avant Garde"/>
          <w:szCs w:val="22"/>
        </w:rPr>
        <w:t xml:space="preserve"> estudiados se menciona: “</w:t>
      </w:r>
      <w:r w:rsidRPr="00377FDC">
        <w:rPr>
          <w:rFonts w:ascii="ITC Avant Garde" w:hAnsi="ITC Avant Garde"/>
          <w:szCs w:val="22"/>
        </w:rPr>
        <w:t>Que el punto de intercambio de tráfico sea neutral es de gran importancia para que los ISP, OTT y los demás posibles miembros de un IXP se conecten al punto de intercambio y no comprometan sus intereses particulares. Con la neutralidad se garantiza la no discriminación de empresas pequeñas y medianas, y consecuentemente se reducen las condiciones asimétricas de los mercados.</w:t>
      </w:r>
      <w:r w:rsidR="00566F08" w:rsidRPr="00377FDC">
        <w:rPr>
          <w:rFonts w:ascii="ITC Avant Garde" w:hAnsi="ITC Avant Garde"/>
          <w:szCs w:val="22"/>
        </w:rPr>
        <w:t>”</w:t>
      </w:r>
    </w:p>
    <w:p w14:paraId="4CC47683" w14:textId="13009847" w:rsidR="00F60ED4" w:rsidRPr="00377FDC" w:rsidRDefault="00F60ED4">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Se hace énfasis que la LFTR, en su artículo 138, fracción VIII establece que la obligación de intercambiar tráfico de Internet aplica </w:t>
      </w:r>
      <w:r w:rsidR="00466951">
        <w:rPr>
          <w:rFonts w:ascii="ITC Avant Garde" w:hAnsi="ITC Avant Garde"/>
          <w:szCs w:val="22"/>
        </w:rPr>
        <w:t>entre</w:t>
      </w:r>
      <w:r w:rsidR="00466951" w:rsidRPr="00377FDC">
        <w:rPr>
          <w:rFonts w:ascii="ITC Avant Garde" w:hAnsi="ITC Avant Garde"/>
          <w:szCs w:val="22"/>
        </w:rPr>
        <w:t xml:space="preserve"> </w:t>
      </w:r>
      <w:r w:rsidR="00466951">
        <w:rPr>
          <w:rFonts w:ascii="ITC Avant Garde" w:hAnsi="ITC Avant Garde"/>
          <w:szCs w:val="22"/>
        </w:rPr>
        <w:t>el AEP y los ISP</w:t>
      </w:r>
      <w:r w:rsidRPr="00377FDC">
        <w:rPr>
          <w:rFonts w:ascii="ITC Avant Garde" w:hAnsi="ITC Avant Garde"/>
          <w:szCs w:val="22"/>
        </w:rPr>
        <w:t>. También se reitera que la obligaci</w:t>
      </w:r>
      <w:r w:rsidR="005205E9">
        <w:rPr>
          <w:rFonts w:ascii="ITC Avant Garde" w:hAnsi="ITC Avant Garde"/>
          <w:szCs w:val="22"/>
        </w:rPr>
        <w:t>ó</w:t>
      </w:r>
      <w:r w:rsidRPr="00377FDC">
        <w:rPr>
          <w:rFonts w:ascii="ITC Avant Garde" w:hAnsi="ITC Avant Garde"/>
          <w:szCs w:val="22"/>
        </w:rPr>
        <w:t>n</w:t>
      </w:r>
      <w:r w:rsidR="005205E9">
        <w:rPr>
          <w:rFonts w:ascii="ITC Avant Garde" w:hAnsi="ITC Avant Garde"/>
          <w:szCs w:val="22"/>
        </w:rPr>
        <w:t xml:space="preserve"> de tener presencia física sólo aplica para el </w:t>
      </w:r>
      <w:r w:rsidRPr="00377FDC">
        <w:rPr>
          <w:rFonts w:ascii="ITC Avant Garde" w:hAnsi="ITC Avant Garde"/>
          <w:szCs w:val="22"/>
        </w:rPr>
        <w:t>AEP</w:t>
      </w:r>
      <w:r w:rsidR="00E100FA" w:rsidRPr="00377FDC">
        <w:rPr>
          <w:rFonts w:ascii="ITC Avant Garde" w:hAnsi="ITC Avant Garde"/>
          <w:szCs w:val="22"/>
        </w:rPr>
        <w:t>.</w:t>
      </w:r>
    </w:p>
    <w:p w14:paraId="37A5607E" w14:textId="1EFB0373" w:rsidR="00721815" w:rsidRPr="00377FDC" w:rsidRDefault="00721815">
      <w:pPr>
        <w:autoSpaceDE w:val="0"/>
        <w:autoSpaceDN w:val="0"/>
        <w:adjustRightInd w:val="0"/>
        <w:spacing w:line="240" w:lineRule="auto"/>
        <w:rPr>
          <w:rFonts w:ascii="ITC Avant Garde" w:hAnsi="ITC Avant Garde"/>
          <w:szCs w:val="22"/>
        </w:rPr>
      </w:pPr>
      <w:r w:rsidRPr="00377FDC">
        <w:rPr>
          <w:rFonts w:ascii="ITC Avant Garde" w:hAnsi="ITC Avant Garde"/>
          <w:szCs w:val="22"/>
        </w:rPr>
        <w:t>El establecer requerimientos mínimos de seguridad y espacio físico puede dejar fuera aquellos IXP sin fines de lucro o de universidades que no logren cumplirlos</w:t>
      </w:r>
      <w:r w:rsidR="00967D9F">
        <w:rPr>
          <w:rFonts w:ascii="ITC Avant Garde" w:hAnsi="ITC Avant Garde"/>
          <w:szCs w:val="22"/>
        </w:rPr>
        <w:t>.</w:t>
      </w:r>
    </w:p>
    <w:p w14:paraId="68C8DFCE" w14:textId="76D2FA22" w:rsidR="00B470DD" w:rsidRPr="00377FDC" w:rsidRDefault="00B470DD">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En cuanto al comentario de Telmex y Telnor, </w:t>
      </w:r>
      <w:r w:rsidR="005205E9">
        <w:rPr>
          <w:rFonts w:ascii="ITC Avant Garde" w:hAnsi="ITC Avant Garde" w:cs="ITC Avant Garde"/>
          <w:szCs w:val="22"/>
        </w:rPr>
        <w:t xml:space="preserve">la definición de Intercambio de tráfico, en el lineamiento Tercero, </w:t>
      </w:r>
      <w:r w:rsidR="00C20C81">
        <w:rPr>
          <w:rFonts w:ascii="ITC Avant Garde" w:hAnsi="ITC Avant Garde"/>
          <w:szCs w:val="22"/>
        </w:rPr>
        <w:t>aclara que el intercambio interno de tráfico a que hace referencia lo establecido en la LFTR, se refiere a</w:t>
      </w:r>
      <w:r w:rsidR="005205E9">
        <w:rPr>
          <w:rFonts w:ascii="ITC Avant Garde" w:hAnsi="ITC Avant Garde" w:cs="ITC Avant Garde"/>
          <w:szCs w:val="22"/>
        </w:rPr>
        <w:t xml:space="preserve"> la conducción de tráfico nacional.</w:t>
      </w:r>
    </w:p>
    <w:p w14:paraId="0D3ECE75" w14:textId="3F92E515" w:rsidR="007F15E1" w:rsidRPr="00377FDC" w:rsidRDefault="007F15E1">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Los lineamientos </w:t>
      </w:r>
      <w:r w:rsidR="00632125">
        <w:rPr>
          <w:rFonts w:ascii="ITC Avant Garde" w:hAnsi="ITC Avant Garde"/>
          <w:szCs w:val="22"/>
        </w:rPr>
        <w:t>tampoco</w:t>
      </w:r>
      <w:r w:rsidRPr="00377FDC">
        <w:rPr>
          <w:rFonts w:ascii="ITC Avant Garde" w:hAnsi="ITC Avant Garde"/>
          <w:szCs w:val="22"/>
        </w:rPr>
        <w:t xml:space="preserve"> establecen como obligatorio el uso exclusivo del protocolo IPv4, ya que se especifica que en caso de requerirse, se deberán aceptar conexiones en IPv6 sin ser esto un requisito exigible para todas las conexiones.</w:t>
      </w:r>
    </w:p>
    <w:p w14:paraId="7D72FC09" w14:textId="77777777" w:rsidR="00FD1358" w:rsidRPr="00377FDC" w:rsidRDefault="00FD1358">
      <w:pPr>
        <w:autoSpaceDE w:val="0"/>
        <w:autoSpaceDN w:val="0"/>
        <w:adjustRightInd w:val="0"/>
        <w:spacing w:line="240" w:lineRule="auto"/>
        <w:rPr>
          <w:rFonts w:ascii="ITC Avant Garde" w:hAnsi="ITC Avant Garde"/>
          <w:b/>
          <w:szCs w:val="22"/>
        </w:rPr>
      </w:pPr>
    </w:p>
    <w:p w14:paraId="202B5302" w14:textId="77777777" w:rsidR="00436234" w:rsidRPr="00377FDC" w:rsidRDefault="00436234">
      <w:pPr>
        <w:autoSpaceDE w:val="0"/>
        <w:autoSpaceDN w:val="0"/>
        <w:adjustRightInd w:val="0"/>
        <w:spacing w:line="240" w:lineRule="auto"/>
        <w:rPr>
          <w:rFonts w:ascii="ITC Avant Garde" w:hAnsi="ITC Avant Garde"/>
          <w:szCs w:val="22"/>
        </w:rPr>
      </w:pPr>
    </w:p>
    <w:p w14:paraId="42A25F10" w14:textId="77777777" w:rsidR="00436234" w:rsidRPr="00377FDC" w:rsidRDefault="00436234">
      <w:pPr>
        <w:autoSpaceDE w:val="0"/>
        <w:autoSpaceDN w:val="0"/>
        <w:adjustRightInd w:val="0"/>
        <w:spacing w:line="240" w:lineRule="auto"/>
        <w:rPr>
          <w:rFonts w:ascii="ITC Avant Garde" w:hAnsi="ITC Avant Garde"/>
          <w:szCs w:val="22"/>
        </w:rPr>
      </w:pPr>
    </w:p>
    <w:p w14:paraId="6A25B829" w14:textId="77777777" w:rsidR="00436234" w:rsidRPr="00377FDC" w:rsidRDefault="00436234" w:rsidP="009E6488">
      <w:pPr>
        <w:pStyle w:val="Normal1"/>
        <w:tabs>
          <w:tab w:val="left" w:pos="1336"/>
        </w:tabs>
        <w:spacing w:line="240" w:lineRule="auto"/>
        <w:ind w:right="-59"/>
        <w:jc w:val="center"/>
        <w:rPr>
          <w:rFonts w:ascii="ITC Avant Garde" w:hAnsi="ITC Avant Garde"/>
          <w:szCs w:val="22"/>
          <w:lang w:val="es-ES_tradnl"/>
        </w:rPr>
      </w:pPr>
      <w:r w:rsidRPr="00377FDC">
        <w:rPr>
          <w:rFonts w:ascii="ITC Avant Garde" w:hAnsi="ITC Avant Garde"/>
          <w:b/>
          <w:szCs w:val="22"/>
          <w:lang w:val="es-ES_tradnl"/>
        </w:rPr>
        <w:lastRenderedPageBreak/>
        <w:t>CAPÍTULO III</w:t>
      </w:r>
    </w:p>
    <w:p w14:paraId="4416E472" w14:textId="77777777" w:rsidR="00436234" w:rsidRPr="00377FDC" w:rsidRDefault="00436234" w:rsidP="0039427F">
      <w:pPr>
        <w:pStyle w:val="Normal1"/>
        <w:spacing w:line="240" w:lineRule="auto"/>
        <w:jc w:val="center"/>
        <w:rPr>
          <w:rFonts w:ascii="ITC Avant Garde" w:hAnsi="ITC Avant Garde"/>
          <w:b/>
          <w:szCs w:val="22"/>
          <w:lang w:val="es-ES_tradnl"/>
        </w:rPr>
      </w:pPr>
    </w:p>
    <w:p w14:paraId="5EE5A479" w14:textId="65ACA78C" w:rsidR="00436234" w:rsidRPr="00377FDC" w:rsidRDefault="00FD1358">
      <w:pPr>
        <w:autoSpaceDE w:val="0"/>
        <w:autoSpaceDN w:val="0"/>
        <w:adjustRightInd w:val="0"/>
        <w:spacing w:line="240" w:lineRule="auto"/>
        <w:jc w:val="center"/>
        <w:rPr>
          <w:rFonts w:ascii="ITC Avant Garde" w:hAnsi="ITC Avant Garde"/>
          <w:b/>
          <w:szCs w:val="22"/>
          <w:lang w:val="es-ES_tradnl" w:eastAsia="es-ES"/>
        </w:rPr>
      </w:pPr>
      <w:r w:rsidRPr="00377FDC">
        <w:rPr>
          <w:rFonts w:ascii="ITC Avant Garde" w:hAnsi="ITC Avant Garde"/>
          <w:b/>
          <w:szCs w:val="22"/>
          <w:lang w:val="es-ES_tradnl" w:eastAsia="es-ES"/>
        </w:rPr>
        <w:t>DE LA PRESENCIA FÍSICA DEL AEP O DEL AGENTE ECONÓMICO CON PODER SUSTANCIAL</w:t>
      </w:r>
    </w:p>
    <w:p w14:paraId="2BA48A31" w14:textId="77777777" w:rsidR="00FD1358" w:rsidRPr="00377FDC" w:rsidRDefault="00FD1358">
      <w:pPr>
        <w:autoSpaceDE w:val="0"/>
        <w:autoSpaceDN w:val="0"/>
        <w:adjustRightInd w:val="0"/>
        <w:spacing w:line="240" w:lineRule="auto"/>
        <w:rPr>
          <w:rFonts w:ascii="ITC Avant Garde" w:hAnsi="ITC Avant Garde"/>
          <w:szCs w:val="22"/>
        </w:rPr>
      </w:pPr>
    </w:p>
    <w:p w14:paraId="2AE3A261" w14:textId="283FAAE5" w:rsidR="00436234" w:rsidRPr="00377FDC" w:rsidRDefault="00436234">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 xml:space="preserve">Lineamiento </w:t>
      </w:r>
      <w:r w:rsidR="00FD1358" w:rsidRPr="00377FDC">
        <w:rPr>
          <w:rFonts w:ascii="ITC Avant Garde" w:hAnsi="ITC Avant Garde"/>
          <w:b/>
          <w:szCs w:val="22"/>
        </w:rPr>
        <w:t>Cuarto</w:t>
      </w:r>
    </w:p>
    <w:p w14:paraId="23D09290" w14:textId="77777777" w:rsidR="00691C5B" w:rsidRPr="00377FDC" w:rsidRDefault="00691C5B">
      <w:pPr>
        <w:autoSpaceDE w:val="0"/>
        <w:autoSpaceDN w:val="0"/>
        <w:adjustRightInd w:val="0"/>
        <w:spacing w:line="240" w:lineRule="auto"/>
        <w:rPr>
          <w:rFonts w:ascii="ITC Avant Garde" w:hAnsi="ITC Avant Garde"/>
          <w:b/>
          <w:szCs w:val="22"/>
        </w:rPr>
      </w:pPr>
    </w:p>
    <w:p w14:paraId="13936067" w14:textId="2D26C17D" w:rsidR="00691C5B" w:rsidRPr="00377FDC" w:rsidRDefault="00691C5B">
      <w:pPr>
        <w:autoSpaceDE w:val="0"/>
        <w:autoSpaceDN w:val="0"/>
        <w:adjustRightInd w:val="0"/>
        <w:spacing w:line="240" w:lineRule="auto"/>
        <w:rPr>
          <w:rFonts w:ascii="ITC Avant Garde" w:hAnsi="ITC Avant Garde"/>
          <w:color w:val="C45911" w:themeColor="accent2" w:themeShade="BF"/>
          <w:szCs w:val="22"/>
        </w:rPr>
      </w:pPr>
      <w:r w:rsidRPr="00101360">
        <w:rPr>
          <w:rFonts w:ascii="ITC Avant Garde" w:hAnsi="ITC Avant Garde"/>
          <w:b/>
          <w:color w:val="000000" w:themeColor="text1"/>
          <w:szCs w:val="22"/>
        </w:rPr>
        <w:t>CANIETI</w:t>
      </w:r>
      <w:r w:rsidR="00897C35" w:rsidRPr="00101360">
        <w:rPr>
          <w:rFonts w:ascii="ITC Avant Garde" w:hAnsi="ITC Avant Garde"/>
          <w:b/>
          <w:color w:val="000000" w:themeColor="text1"/>
          <w:szCs w:val="22"/>
        </w:rPr>
        <w:t xml:space="preserve"> </w:t>
      </w:r>
      <w:r w:rsidR="000F4C39" w:rsidRPr="00101360">
        <w:rPr>
          <w:rFonts w:ascii="ITC Avant Garde" w:hAnsi="ITC Avant Garde"/>
          <w:b/>
          <w:color w:val="000000" w:themeColor="text1"/>
          <w:szCs w:val="22"/>
        </w:rPr>
        <w:t xml:space="preserve">y </w:t>
      </w:r>
      <w:r w:rsidR="00897C35" w:rsidRPr="00101360">
        <w:rPr>
          <w:rFonts w:ascii="ITC Avant Garde" w:hAnsi="ITC Avant Garde"/>
          <w:b/>
          <w:color w:val="000000" w:themeColor="text1"/>
          <w:szCs w:val="22"/>
        </w:rPr>
        <w:t>Bestphone</w:t>
      </w:r>
      <w:r w:rsidR="00E23F5A" w:rsidRPr="00101360">
        <w:rPr>
          <w:rFonts w:ascii="ITC Avant Garde" w:hAnsi="ITC Avant Garde"/>
          <w:b/>
          <w:color w:val="000000" w:themeColor="text1"/>
          <w:szCs w:val="22"/>
        </w:rPr>
        <w:t xml:space="preserve"> </w:t>
      </w:r>
      <w:r w:rsidR="00E23F5A" w:rsidRPr="00101360">
        <w:rPr>
          <w:rFonts w:ascii="ITC Avant Garde" w:hAnsi="ITC Avant Garde"/>
          <w:color w:val="000000" w:themeColor="text1"/>
          <w:szCs w:val="22"/>
        </w:rPr>
        <w:t>indica</w:t>
      </w:r>
      <w:r w:rsidR="000F4C39" w:rsidRPr="00101360">
        <w:rPr>
          <w:rFonts w:ascii="ITC Avant Garde" w:hAnsi="ITC Avant Garde"/>
          <w:color w:val="000000" w:themeColor="text1"/>
          <w:szCs w:val="22"/>
        </w:rPr>
        <w:t>n</w:t>
      </w:r>
      <w:r w:rsidR="00E23F5A" w:rsidRPr="00101360">
        <w:rPr>
          <w:rFonts w:ascii="ITC Avant Garde" w:hAnsi="ITC Avant Garde"/>
          <w:color w:val="000000" w:themeColor="text1"/>
          <w:szCs w:val="22"/>
        </w:rPr>
        <w:t xml:space="preserve"> que el Instituto debe emitir una constancia una vez que se realice el registro del IXP</w:t>
      </w:r>
      <w:r w:rsidR="00E23F5A" w:rsidRPr="00377FDC">
        <w:rPr>
          <w:rFonts w:ascii="ITC Avant Garde" w:hAnsi="ITC Avant Garde"/>
          <w:color w:val="C45911" w:themeColor="accent2" w:themeShade="BF"/>
          <w:szCs w:val="22"/>
        </w:rPr>
        <w:t>.</w:t>
      </w:r>
    </w:p>
    <w:p w14:paraId="641D3AB7" w14:textId="4F7477B6" w:rsidR="00E23F5A"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E23F5A" w:rsidRPr="00377FDC">
        <w:rPr>
          <w:rFonts w:ascii="ITC Avant Garde" w:hAnsi="ITC Avant Garde"/>
          <w:szCs w:val="22"/>
        </w:rPr>
        <w:t xml:space="preserve"> </w:t>
      </w:r>
      <w:r w:rsidR="00781391" w:rsidRPr="00377FDC">
        <w:rPr>
          <w:rFonts w:ascii="ITC Avant Garde" w:hAnsi="ITC Avant Garde"/>
          <w:szCs w:val="22"/>
        </w:rPr>
        <w:t>sugiere un listado de requisitos mínimos que deben cumplir los IXPs al momento de realizar el registro antes el Instituto:</w:t>
      </w:r>
    </w:p>
    <w:p w14:paraId="738740F6"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I.-Indicar su razón social</w:t>
      </w:r>
    </w:p>
    <w:p w14:paraId="26D4207E"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II.- Indicar su capacidad técnica</w:t>
      </w:r>
    </w:p>
    <w:p w14:paraId="32EF56D1"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 xml:space="preserve">III.- Indicar su domicilio social </w:t>
      </w:r>
    </w:p>
    <w:p w14:paraId="22E26FFC"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 xml:space="preserve">IV.- Hacer públicos sus estatutos, </w:t>
      </w:r>
    </w:p>
    <w:p w14:paraId="63EEEB24"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 xml:space="preserve">V.- Hacer públicas sus reglas de operación y especificaciones técnicas, </w:t>
      </w:r>
    </w:p>
    <w:p w14:paraId="5FBFA0B0"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VI.- Hacer públicas las cuotas y tarifas que deberán cubrir los participantes por hospedaje, capacidad, conexiones o cualquier otro concepto.</w:t>
      </w:r>
    </w:p>
    <w:p w14:paraId="55846D42"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VII.- Indicar el domicilio donde se ubica el IXP</w:t>
      </w:r>
    </w:p>
    <w:p w14:paraId="54605757"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VIII.- Presentar y mantener actualizada la lista de sus participantes</w:t>
      </w:r>
    </w:p>
    <w:p w14:paraId="0F0380B2"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IX.-Presentar su título de concesión</w:t>
      </w:r>
    </w:p>
    <w:p w14:paraId="146CE936"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X.- Presentar sus estadísticas de tráfico</w:t>
      </w:r>
    </w:p>
    <w:p w14:paraId="313B671A"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XI.- Presentar listado con los equipos de conmutación de datos con que cuente.</w:t>
      </w:r>
    </w:p>
    <w:p w14:paraId="4EEF29E9"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XII.- Declarar la capacidad existente en el IXP, tanto en puertos de interconexión como de unidades de hospedaje disponibles.</w:t>
      </w:r>
    </w:p>
    <w:p w14:paraId="4827A4D6"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XIII.- Demonstrar la capacidad para hospedar equipos de al menos 5 participantes incluyendo los equipos del AEP.</w:t>
      </w:r>
    </w:p>
    <w:p w14:paraId="33EB93BD"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XIV.- Operar sobre bases de estricta neutralidad competitiva, ofreciendo capacidad de conexión sobre bases de primero en tiempo, primero en atención.</w:t>
      </w:r>
    </w:p>
    <w:p w14:paraId="6F8F8602" w14:textId="77777777"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XV.- Contar con un enlace de gran capacidad a Internet o a alguno de los puntos de intercambio de tráfico certificados.</w:t>
      </w:r>
    </w:p>
    <w:p w14:paraId="604EF0B0" w14:textId="7014FE73" w:rsidR="00781391" w:rsidRPr="00377FDC" w:rsidRDefault="00781391">
      <w:pPr>
        <w:autoSpaceDE w:val="0"/>
        <w:autoSpaceDN w:val="0"/>
        <w:adjustRightInd w:val="0"/>
        <w:spacing w:line="240" w:lineRule="auto"/>
        <w:ind w:left="720"/>
        <w:rPr>
          <w:rFonts w:ascii="ITC Avant Garde" w:hAnsi="ITC Avant Garde"/>
          <w:szCs w:val="22"/>
        </w:rPr>
      </w:pPr>
      <w:r w:rsidRPr="00377FDC">
        <w:rPr>
          <w:rFonts w:ascii="ITC Avant Garde" w:hAnsi="ITC Avant Garde"/>
          <w:szCs w:val="22"/>
        </w:rPr>
        <w:t>XVI.- Comprometerse por escrito a aumentar la capacidad de dicha conexión cuando se exceda el 80% de dicha capacidad….”</w:t>
      </w:r>
    </w:p>
    <w:p w14:paraId="6CC57B34" w14:textId="336314E7" w:rsidR="00E23F5A" w:rsidRPr="00377FDC" w:rsidRDefault="00E23F5A">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Telefónica</w:t>
      </w:r>
      <w:r w:rsidR="00835940" w:rsidRPr="00377FDC">
        <w:rPr>
          <w:rFonts w:ascii="ITC Avant Garde" w:hAnsi="ITC Avant Garde"/>
          <w:b/>
          <w:szCs w:val="22"/>
        </w:rPr>
        <w:t xml:space="preserve"> </w:t>
      </w:r>
      <w:r w:rsidR="00835940" w:rsidRPr="00377FDC">
        <w:rPr>
          <w:rFonts w:ascii="ITC Avant Garde" w:hAnsi="ITC Avant Garde"/>
          <w:szCs w:val="22"/>
        </w:rPr>
        <w:t>menciona que no existe definición para “Titulares de IXP”. Hace la observación que la LFTR no establece la obligación de tener que obtener alguna concesión o permiso para poder operar un IXP. Por lo que sugieren eliminar</w:t>
      </w:r>
      <w:r w:rsidR="005E4CDB" w:rsidRPr="00377FDC">
        <w:rPr>
          <w:rFonts w:ascii="ITC Avant Garde" w:hAnsi="ITC Avant Garde"/>
          <w:szCs w:val="22"/>
        </w:rPr>
        <w:t xml:space="preserve"> las obligaciones para los concesionarios participantes del IXP, ya que se estaría sobreregulando el mercado.</w:t>
      </w:r>
      <w:r w:rsidR="00A51674" w:rsidRPr="00377FDC">
        <w:rPr>
          <w:rFonts w:ascii="ITC Avant Garde" w:hAnsi="ITC Avant Garde"/>
          <w:szCs w:val="22"/>
        </w:rPr>
        <w:t xml:space="preserve"> </w:t>
      </w:r>
    </w:p>
    <w:p w14:paraId="17E60AD7" w14:textId="42D9B612"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CUDI</w:t>
      </w:r>
      <w:r w:rsidR="00513F36" w:rsidRPr="00377FDC">
        <w:rPr>
          <w:rFonts w:ascii="ITC Avant Garde" w:hAnsi="ITC Avant Garde"/>
          <w:b/>
          <w:szCs w:val="22"/>
        </w:rPr>
        <w:t xml:space="preserve"> </w:t>
      </w:r>
      <w:r w:rsidR="00513F36" w:rsidRPr="00377FDC">
        <w:rPr>
          <w:rFonts w:ascii="ITC Avant Garde" w:hAnsi="ITC Avant Garde"/>
          <w:szCs w:val="22"/>
        </w:rPr>
        <w:t>opina que la información requerida en el registro del IXP debe incluir aquella que lo comprometa a contar con enlaces de gran capacidad para interconectarse con otros IXP y garantizar la eficiencia de conectividad. Tambi</w:t>
      </w:r>
      <w:r w:rsidR="000F4C39" w:rsidRPr="00377FDC">
        <w:rPr>
          <w:rFonts w:ascii="ITC Avant Garde" w:hAnsi="ITC Avant Garde"/>
          <w:szCs w:val="22"/>
        </w:rPr>
        <w:t xml:space="preserve">én sugiere que </w:t>
      </w:r>
      <w:r w:rsidR="00513F36" w:rsidRPr="00377FDC">
        <w:rPr>
          <w:rFonts w:ascii="ITC Avant Garde" w:hAnsi="ITC Avant Garde"/>
          <w:szCs w:val="22"/>
        </w:rPr>
        <w:t xml:space="preserve">el Instituto debería </w:t>
      </w:r>
      <w:r w:rsidR="000F4C39" w:rsidRPr="00377FDC">
        <w:rPr>
          <w:rFonts w:ascii="ITC Avant Garde" w:hAnsi="ITC Avant Garde"/>
          <w:szCs w:val="22"/>
        </w:rPr>
        <w:t>contar con</w:t>
      </w:r>
      <w:r w:rsidR="00513F36" w:rsidRPr="00377FDC">
        <w:rPr>
          <w:rFonts w:ascii="ITC Avant Garde" w:hAnsi="ITC Avant Garde"/>
          <w:szCs w:val="22"/>
        </w:rPr>
        <w:t xml:space="preserve"> un mecanismo para certificar a los IXP</w:t>
      </w:r>
      <w:r w:rsidR="000F4C39" w:rsidRPr="00377FDC">
        <w:rPr>
          <w:rFonts w:ascii="ITC Avant Garde" w:hAnsi="ITC Avant Garde"/>
          <w:szCs w:val="22"/>
        </w:rPr>
        <w:t xml:space="preserve"> de tal manera que se asegure</w:t>
      </w:r>
      <w:r w:rsidR="00513F36" w:rsidRPr="00377FDC">
        <w:rPr>
          <w:rFonts w:ascii="ITC Avant Garde" w:hAnsi="ITC Avant Garde"/>
          <w:szCs w:val="22"/>
        </w:rPr>
        <w:t xml:space="preserve"> la existencia de las condiciones para el intercambio de tráfico entre los participantes. </w:t>
      </w:r>
    </w:p>
    <w:p w14:paraId="7C4667A3" w14:textId="065325C4"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Raúl Godoy</w:t>
      </w:r>
      <w:r w:rsidR="00101A83" w:rsidRPr="00377FDC">
        <w:rPr>
          <w:rFonts w:ascii="ITC Avant Garde" w:hAnsi="ITC Avant Garde"/>
          <w:b/>
          <w:szCs w:val="22"/>
        </w:rPr>
        <w:t xml:space="preserve"> </w:t>
      </w:r>
      <w:r w:rsidR="00491293" w:rsidRPr="00491293">
        <w:rPr>
          <w:rFonts w:ascii="ITC Avant Garde" w:hAnsi="ITC Avant Garde"/>
          <w:szCs w:val="22"/>
        </w:rPr>
        <w:t>solicita</w:t>
      </w:r>
      <w:r w:rsidR="00101A83" w:rsidRPr="00377FDC">
        <w:rPr>
          <w:rFonts w:ascii="ITC Avant Garde" w:hAnsi="ITC Avant Garde"/>
          <w:szCs w:val="22"/>
        </w:rPr>
        <w:t xml:space="preserve"> dejar claro que un IXP no requiere de una concesión, a menos de que éste solicite </w:t>
      </w:r>
      <w:r w:rsidR="00FA65A7" w:rsidRPr="00377FDC">
        <w:rPr>
          <w:rFonts w:ascii="ITC Avant Garde" w:hAnsi="ITC Avant Garde"/>
          <w:szCs w:val="22"/>
        </w:rPr>
        <w:t xml:space="preserve">que el AEP tenga presencia física. También el exigir la información de los títulos de concesión, permisos o autorizaciones no necesariamente aplicaría a todos </w:t>
      </w:r>
      <w:r w:rsidR="00FA65A7" w:rsidRPr="00377FDC">
        <w:rPr>
          <w:rFonts w:ascii="ITC Avant Garde" w:hAnsi="ITC Avant Garde"/>
          <w:szCs w:val="22"/>
        </w:rPr>
        <w:lastRenderedPageBreak/>
        <w:t xml:space="preserve">los miembros del IXP si es una información que se solicite a los propietarios de un sistema autónomo. </w:t>
      </w:r>
    </w:p>
    <w:p w14:paraId="6904389E" w14:textId="77777777" w:rsidR="00FD1358" w:rsidRPr="00377FDC" w:rsidRDefault="00FD1358">
      <w:pPr>
        <w:autoSpaceDE w:val="0"/>
        <w:autoSpaceDN w:val="0"/>
        <w:adjustRightInd w:val="0"/>
        <w:spacing w:line="240" w:lineRule="auto"/>
        <w:rPr>
          <w:rFonts w:ascii="ITC Avant Garde" w:hAnsi="ITC Avant Garde"/>
          <w:szCs w:val="22"/>
        </w:rPr>
      </w:pPr>
    </w:p>
    <w:p w14:paraId="61FD0659" w14:textId="3C694DF6" w:rsidR="00FD1358" w:rsidRPr="00101360" w:rsidRDefault="00491293">
      <w:pPr>
        <w:autoSpaceDE w:val="0"/>
        <w:autoSpaceDN w:val="0"/>
        <w:adjustRightInd w:val="0"/>
        <w:spacing w:line="240" w:lineRule="auto"/>
        <w:rPr>
          <w:rFonts w:ascii="ITC Avant Garde" w:hAnsi="ITC Avant Garde"/>
          <w:color w:val="000000" w:themeColor="text1"/>
          <w:szCs w:val="22"/>
        </w:rPr>
      </w:pPr>
      <w:r w:rsidRPr="00101360">
        <w:rPr>
          <w:rFonts w:ascii="ITC Avant Garde" w:hAnsi="ITC Avant Garde"/>
          <w:b/>
          <w:color w:val="000000" w:themeColor="text1"/>
        </w:rPr>
        <w:t xml:space="preserve">Respuesta. </w:t>
      </w:r>
      <w:r w:rsidR="00E23F5A" w:rsidRPr="00101360">
        <w:rPr>
          <w:rFonts w:ascii="ITC Avant Garde" w:hAnsi="ITC Avant Garde"/>
          <w:color w:val="000000" w:themeColor="text1"/>
          <w:szCs w:val="22"/>
        </w:rPr>
        <w:t xml:space="preserve">El Instituto entregará </w:t>
      </w:r>
      <w:r w:rsidR="00C129B5">
        <w:rPr>
          <w:rFonts w:ascii="ITC Avant Garde" w:hAnsi="ITC Avant Garde"/>
          <w:color w:val="000000" w:themeColor="text1"/>
          <w:szCs w:val="22"/>
        </w:rPr>
        <w:t xml:space="preserve">una constancia de </w:t>
      </w:r>
      <w:r w:rsidR="00CB2AE1">
        <w:rPr>
          <w:rFonts w:ascii="ITC Avant Garde" w:hAnsi="ITC Avant Garde"/>
          <w:color w:val="000000" w:themeColor="text1"/>
          <w:szCs w:val="22"/>
        </w:rPr>
        <w:t>registro</w:t>
      </w:r>
      <w:r w:rsidR="00401C02">
        <w:rPr>
          <w:rFonts w:ascii="ITC Avant Garde" w:hAnsi="ITC Avant Garde"/>
          <w:color w:val="000000" w:themeColor="text1"/>
          <w:szCs w:val="22"/>
        </w:rPr>
        <w:t xml:space="preserve"> </w:t>
      </w:r>
      <w:r w:rsidR="00E23F5A" w:rsidRPr="00101360">
        <w:rPr>
          <w:rFonts w:ascii="ITC Avant Garde" w:hAnsi="ITC Avant Garde"/>
          <w:color w:val="000000" w:themeColor="text1"/>
          <w:szCs w:val="22"/>
        </w:rPr>
        <w:t>al IXP confirmando su registro, bajo el mismo proceso que se realiza una inscripción al registro público de concesiones.</w:t>
      </w:r>
    </w:p>
    <w:p w14:paraId="5132F051" w14:textId="7990CB09" w:rsidR="00FD1358" w:rsidRPr="00377FDC" w:rsidRDefault="005E4CDB">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Con base en el objetivo de los lineamientos, </w:t>
      </w:r>
      <w:r w:rsidR="00CD39B6">
        <w:rPr>
          <w:rFonts w:ascii="ITC Avant Garde" w:hAnsi="ITC Avant Garde"/>
          <w:szCs w:val="22"/>
        </w:rPr>
        <w:t xml:space="preserve">el Anexo II </w:t>
      </w:r>
      <w:r w:rsidRPr="00377FDC">
        <w:rPr>
          <w:rFonts w:ascii="ITC Avant Garde" w:hAnsi="ITC Avant Garde"/>
          <w:szCs w:val="22"/>
        </w:rPr>
        <w:t xml:space="preserve">cubre la información mínima requerida para el registro del IXP en el registro público de concesiones. </w:t>
      </w:r>
    </w:p>
    <w:p w14:paraId="28238807" w14:textId="57098F94" w:rsidR="00A51674" w:rsidRPr="00377FDC" w:rsidRDefault="00A51674">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Se reitera que las obligaciones </w:t>
      </w:r>
      <w:r w:rsidR="00491293" w:rsidRPr="00377FDC">
        <w:rPr>
          <w:rFonts w:ascii="ITC Avant Garde" w:hAnsi="ITC Avant Garde"/>
          <w:szCs w:val="22"/>
        </w:rPr>
        <w:t xml:space="preserve">establecidas en los lineamientos </w:t>
      </w:r>
      <w:r w:rsidR="00491293">
        <w:rPr>
          <w:rFonts w:ascii="ITC Avant Garde" w:hAnsi="ITC Avant Garde"/>
          <w:szCs w:val="22"/>
        </w:rPr>
        <w:t>van dirigidas</w:t>
      </w:r>
      <w:r w:rsidRPr="00377FDC">
        <w:rPr>
          <w:rFonts w:ascii="ITC Avant Garde" w:hAnsi="ITC Avant Garde"/>
          <w:szCs w:val="22"/>
        </w:rPr>
        <w:t xml:space="preserve"> </w:t>
      </w:r>
      <w:r w:rsidR="00491293">
        <w:rPr>
          <w:rFonts w:ascii="ITC Avant Garde" w:hAnsi="ITC Avant Garde"/>
          <w:szCs w:val="22"/>
        </w:rPr>
        <w:t>a</w:t>
      </w:r>
      <w:r w:rsidRPr="00377FDC">
        <w:rPr>
          <w:rFonts w:ascii="ITC Avant Garde" w:hAnsi="ITC Avant Garde"/>
          <w:szCs w:val="22"/>
        </w:rPr>
        <w:t>l AEP</w:t>
      </w:r>
      <w:r w:rsidR="0011204D" w:rsidRPr="00377FDC">
        <w:rPr>
          <w:rFonts w:ascii="ITC Avant Garde" w:hAnsi="ITC Avant Garde"/>
          <w:szCs w:val="22"/>
        </w:rPr>
        <w:t>, sólo se consideran las condiciones mínimas que deben presentar para lograr el intercambio de tráfico de Internet con el AEP de manera más eficiente y menos costosa como lo mandata el artículo 138, fracción VIII de la LFTR</w:t>
      </w:r>
      <w:r w:rsidRPr="00377FDC">
        <w:rPr>
          <w:rFonts w:ascii="ITC Avant Garde" w:hAnsi="ITC Avant Garde"/>
          <w:szCs w:val="22"/>
        </w:rPr>
        <w:t>.</w:t>
      </w:r>
    </w:p>
    <w:p w14:paraId="52AE20CA" w14:textId="4121D98C" w:rsidR="000F4C39" w:rsidRPr="00377FDC" w:rsidRDefault="000F4C39">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El lineamento </w:t>
      </w:r>
      <w:r w:rsidR="00CD39B6">
        <w:rPr>
          <w:rFonts w:ascii="ITC Avant Garde" w:hAnsi="ITC Avant Garde"/>
          <w:szCs w:val="22"/>
        </w:rPr>
        <w:t>décimo</w:t>
      </w:r>
      <w:r w:rsidR="00CD39B6" w:rsidRPr="00377FDC">
        <w:rPr>
          <w:rFonts w:ascii="ITC Avant Garde" w:hAnsi="ITC Avant Garde"/>
          <w:szCs w:val="22"/>
        </w:rPr>
        <w:t xml:space="preserve"> </w:t>
      </w:r>
      <w:r w:rsidRPr="00377FDC">
        <w:rPr>
          <w:rFonts w:ascii="ITC Avant Garde" w:hAnsi="ITC Avant Garde"/>
          <w:szCs w:val="22"/>
        </w:rPr>
        <w:t xml:space="preserve">cubre las obligaciones para el AEP a lo que se refiere a capacidad. </w:t>
      </w:r>
    </w:p>
    <w:p w14:paraId="71AF6A9D" w14:textId="7D2CBD92" w:rsidR="000F4C39" w:rsidRPr="00377FDC" w:rsidRDefault="000F4C39">
      <w:pPr>
        <w:autoSpaceDE w:val="0"/>
        <w:autoSpaceDN w:val="0"/>
        <w:adjustRightInd w:val="0"/>
        <w:spacing w:line="240" w:lineRule="auto"/>
        <w:rPr>
          <w:rFonts w:ascii="ITC Avant Garde" w:hAnsi="ITC Avant Garde"/>
          <w:szCs w:val="22"/>
        </w:rPr>
      </w:pPr>
      <w:r w:rsidRPr="00377FDC">
        <w:rPr>
          <w:rFonts w:ascii="ITC Avant Garde" w:hAnsi="ITC Avant Garde"/>
          <w:szCs w:val="22"/>
        </w:rPr>
        <w:t>Tener un mecanismo para certificar al IXP se encuentra fuera del alcance de los lineamientos y de lo establecido en el artículo 138, fracción VIII de la LFTR.</w:t>
      </w:r>
    </w:p>
    <w:p w14:paraId="60B46BCC" w14:textId="6C9C869E" w:rsidR="00891EDD" w:rsidRPr="00377FDC" w:rsidRDefault="00891EDD">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Se hace énfasis que la LFTR, en su artículo 138, fracción VIII establece que la obligación de intercambiar tráfico de Internet aplica </w:t>
      </w:r>
      <w:r w:rsidR="00466951">
        <w:rPr>
          <w:rFonts w:ascii="ITC Avant Garde" w:hAnsi="ITC Avant Garde"/>
          <w:szCs w:val="22"/>
        </w:rPr>
        <w:t>entre</w:t>
      </w:r>
      <w:r w:rsidR="00466951" w:rsidRPr="00377FDC">
        <w:rPr>
          <w:rFonts w:ascii="ITC Avant Garde" w:hAnsi="ITC Avant Garde"/>
          <w:szCs w:val="22"/>
        </w:rPr>
        <w:t xml:space="preserve"> </w:t>
      </w:r>
      <w:r w:rsidR="00466951">
        <w:rPr>
          <w:rFonts w:ascii="ITC Avant Garde" w:hAnsi="ITC Avant Garde"/>
          <w:szCs w:val="22"/>
        </w:rPr>
        <w:t>el AEP y los ISP</w:t>
      </w:r>
      <w:r w:rsidRPr="00377FDC">
        <w:rPr>
          <w:rFonts w:ascii="ITC Avant Garde" w:hAnsi="ITC Avant Garde"/>
          <w:szCs w:val="22"/>
        </w:rPr>
        <w:t xml:space="preserve">. También se reitera que las obligaciones </w:t>
      </w:r>
      <w:r w:rsidR="00491293" w:rsidRPr="00377FDC">
        <w:rPr>
          <w:rFonts w:ascii="ITC Avant Garde" w:hAnsi="ITC Avant Garde"/>
          <w:szCs w:val="22"/>
        </w:rPr>
        <w:t xml:space="preserve">establecidas en los lineamientos </w:t>
      </w:r>
      <w:r w:rsidR="00491293">
        <w:rPr>
          <w:rFonts w:ascii="ITC Avant Garde" w:hAnsi="ITC Avant Garde"/>
          <w:szCs w:val="22"/>
        </w:rPr>
        <w:t>van dirigidas a</w:t>
      </w:r>
      <w:r w:rsidRPr="00377FDC">
        <w:rPr>
          <w:rFonts w:ascii="ITC Avant Garde" w:hAnsi="ITC Avant Garde"/>
          <w:szCs w:val="22"/>
        </w:rPr>
        <w:t>l AEP</w:t>
      </w:r>
      <w:r w:rsidR="00CD39B6">
        <w:rPr>
          <w:rFonts w:ascii="ITC Avant Garde" w:hAnsi="ITC Avant Garde"/>
          <w:szCs w:val="22"/>
        </w:rPr>
        <w:t xml:space="preserve"> </w:t>
      </w:r>
      <w:r w:rsidR="00491293">
        <w:rPr>
          <w:rFonts w:ascii="ITC Avant Garde" w:hAnsi="ITC Avant Garde"/>
          <w:szCs w:val="22"/>
        </w:rPr>
        <w:t>por lo que  no existe una</w:t>
      </w:r>
      <w:r w:rsidRPr="00377FDC">
        <w:rPr>
          <w:rFonts w:ascii="ITC Avant Garde" w:hAnsi="ITC Avant Garde"/>
          <w:szCs w:val="22"/>
        </w:rPr>
        <w:t xml:space="preserve"> carga regulatoria para los ISPs, más que la mínima requerida para poder intercambiar tráfico con el AEP.</w:t>
      </w:r>
    </w:p>
    <w:p w14:paraId="068D3BF8" w14:textId="77777777" w:rsidR="005E4CDB" w:rsidRPr="00377FDC" w:rsidRDefault="005E4CDB">
      <w:pPr>
        <w:autoSpaceDE w:val="0"/>
        <w:autoSpaceDN w:val="0"/>
        <w:adjustRightInd w:val="0"/>
        <w:spacing w:line="240" w:lineRule="auto"/>
        <w:rPr>
          <w:rFonts w:ascii="ITC Avant Garde" w:hAnsi="ITC Avant Garde"/>
          <w:b/>
          <w:szCs w:val="22"/>
        </w:rPr>
      </w:pPr>
    </w:p>
    <w:p w14:paraId="0FC21AAF" w14:textId="58B74FED" w:rsidR="00FD1358" w:rsidRPr="00377FDC" w:rsidRDefault="00FD1358">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Quinto</w:t>
      </w:r>
    </w:p>
    <w:p w14:paraId="3402DBA4" w14:textId="77777777" w:rsidR="00691C5B" w:rsidRPr="00377FDC" w:rsidRDefault="00691C5B">
      <w:pPr>
        <w:autoSpaceDE w:val="0"/>
        <w:autoSpaceDN w:val="0"/>
        <w:adjustRightInd w:val="0"/>
        <w:spacing w:line="240" w:lineRule="auto"/>
        <w:rPr>
          <w:rFonts w:ascii="ITC Avant Garde" w:hAnsi="ITC Avant Garde"/>
          <w:b/>
          <w:szCs w:val="22"/>
        </w:rPr>
      </w:pPr>
    </w:p>
    <w:p w14:paraId="1C9748E6" w14:textId="0C09F60F" w:rsidR="00F119B5"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F119B5" w:rsidRPr="00377FDC">
        <w:rPr>
          <w:rFonts w:ascii="ITC Avant Garde" w:hAnsi="ITC Avant Garde"/>
          <w:szCs w:val="22"/>
        </w:rPr>
        <w:t xml:space="preserve"> hace énfasis en que el AEP debe intercambiar tráfico gratuitamente con los participantes del IXP que soliciten establecer intercambio de tráfico de Internet. </w:t>
      </w:r>
    </w:p>
    <w:p w14:paraId="5A8600ED" w14:textId="116220EF"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CUDI</w:t>
      </w:r>
      <w:r w:rsidR="001D0A15" w:rsidRPr="00377FDC">
        <w:rPr>
          <w:rFonts w:ascii="ITC Avant Garde" w:hAnsi="ITC Avant Garde"/>
          <w:b/>
          <w:szCs w:val="22"/>
        </w:rPr>
        <w:t xml:space="preserve"> y Raúl Godoy</w:t>
      </w:r>
      <w:r w:rsidR="00D33CF7" w:rsidRPr="00377FDC">
        <w:rPr>
          <w:rFonts w:ascii="ITC Avant Garde" w:hAnsi="ITC Avant Garde"/>
          <w:b/>
          <w:szCs w:val="22"/>
        </w:rPr>
        <w:t xml:space="preserve"> </w:t>
      </w:r>
      <w:r w:rsidR="00E60F4D" w:rsidRPr="00377FDC">
        <w:rPr>
          <w:rFonts w:ascii="ITC Avant Garde" w:hAnsi="ITC Avant Garde"/>
          <w:szCs w:val="22"/>
        </w:rPr>
        <w:t>pide</w:t>
      </w:r>
      <w:r w:rsidR="001D0A15" w:rsidRPr="00377FDC">
        <w:rPr>
          <w:rFonts w:ascii="ITC Avant Garde" w:hAnsi="ITC Avant Garde"/>
          <w:szCs w:val="22"/>
        </w:rPr>
        <w:t>n</w:t>
      </w:r>
      <w:r w:rsidR="00E60F4D" w:rsidRPr="00377FDC">
        <w:rPr>
          <w:rFonts w:ascii="ITC Avant Garde" w:hAnsi="ITC Avant Garde"/>
          <w:szCs w:val="22"/>
        </w:rPr>
        <w:t xml:space="preserve"> precisar el medio de transmisión óptico, indicando por ejemplo si se trata de enlaces de fibra óptica </w:t>
      </w:r>
      <w:r w:rsidR="003F7B3F" w:rsidRPr="00377FDC">
        <w:rPr>
          <w:rFonts w:ascii="ITC Avant Garde" w:hAnsi="ITC Avant Garde"/>
          <w:szCs w:val="22"/>
        </w:rPr>
        <w:t xml:space="preserve">o enlaces ópticos por aire con láser. </w:t>
      </w:r>
      <w:r w:rsidR="001D0A15" w:rsidRPr="00377FDC">
        <w:rPr>
          <w:rFonts w:ascii="ITC Avant Garde" w:hAnsi="ITC Avant Garde"/>
          <w:b/>
          <w:szCs w:val="22"/>
        </w:rPr>
        <w:t xml:space="preserve">CUDI </w:t>
      </w:r>
      <w:r w:rsidR="003F7B3F" w:rsidRPr="00377FDC">
        <w:rPr>
          <w:rFonts w:ascii="ITC Avant Garde" w:hAnsi="ITC Avant Garde"/>
          <w:szCs w:val="22"/>
        </w:rPr>
        <w:t>solicita el que el AEP cuente con una conectividad redundante.</w:t>
      </w:r>
    </w:p>
    <w:p w14:paraId="01D91DC9" w14:textId="77777777" w:rsidR="00FD1358" w:rsidRPr="00377FDC" w:rsidRDefault="00FD1358">
      <w:pPr>
        <w:autoSpaceDE w:val="0"/>
        <w:autoSpaceDN w:val="0"/>
        <w:adjustRightInd w:val="0"/>
        <w:spacing w:line="240" w:lineRule="auto"/>
        <w:rPr>
          <w:rFonts w:ascii="ITC Avant Garde" w:hAnsi="ITC Avant Garde"/>
          <w:szCs w:val="22"/>
        </w:rPr>
      </w:pPr>
    </w:p>
    <w:p w14:paraId="01585AC0" w14:textId="5F9DE097" w:rsidR="00FD1358" w:rsidRPr="00377FDC" w:rsidRDefault="00491293">
      <w:pPr>
        <w:autoSpaceDE w:val="0"/>
        <w:autoSpaceDN w:val="0"/>
        <w:adjustRightInd w:val="0"/>
        <w:spacing w:line="240" w:lineRule="auto"/>
        <w:rPr>
          <w:rFonts w:ascii="ITC Avant Garde" w:hAnsi="ITC Avant Garde"/>
          <w:szCs w:val="22"/>
        </w:rPr>
      </w:pPr>
      <w:r w:rsidRPr="003C7CAF">
        <w:rPr>
          <w:rFonts w:ascii="ITC Avant Garde" w:hAnsi="ITC Avant Garde"/>
          <w:b/>
        </w:rPr>
        <w:t xml:space="preserve">Respuesta. </w:t>
      </w:r>
      <w:r w:rsidR="00F119B5" w:rsidRPr="00377FDC">
        <w:rPr>
          <w:rFonts w:ascii="ITC Avant Garde" w:hAnsi="ITC Avant Garde"/>
          <w:szCs w:val="22"/>
        </w:rPr>
        <w:t xml:space="preserve">Los lineamientos establecen las obligaciones para que el AEP permita el intercambio de tráfico con los </w:t>
      </w:r>
      <w:r w:rsidR="00687235">
        <w:rPr>
          <w:rFonts w:ascii="ITC Avant Garde" w:hAnsi="ITC Avant Garde"/>
          <w:szCs w:val="22"/>
        </w:rPr>
        <w:t>ISP</w:t>
      </w:r>
      <w:r w:rsidR="00687235" w:rsidRPr="00377FDC">
        <w:rPr>
          <w:rFonts w:ascii="ITC Avant Garde" w:hAnsi="ITC Avant Garde"/>
          <w:szCs w:val="22"/>
        </w:rPr>
        <w:t xml:space="preserve"> </w:t>
      </w:r>
      <w:r w:rsidR="00F119B5" w:rsidRPr="00377FDC">
        <w:rPr>
          <w:rFonts w:ascii="ITC Avant Garde" w:hAnsi="ITC Avant Garde"/>
          <w:szCs w:val="22"/>
        </w:rPr>
        <w:t>participantes del IXP, de tal manera que éste asuma los costos que permitan garantizar la conectividad y su continuidad.</w:t>
      </w:r>
      <w:r w:rsidR="003F7B3F" w:rsidRPr="00377FDC">
        <w:rPr>
          <w:rFonts w:ascii="ITC Avant Garde" w:hAnsi="ITC Avant Garde"/>
          <w:szCs w:val="22"/>
        </w:rPr>
        <w:t xml:space="preserve"> </w:t>
      </w:r>
    </w:p>
    <w:p w14:paraId="663E3917" w14:textId="7F0832FA" w:rsidR="00FD1358" w:rsidRPr="00377FDC" w:rsidRDefault="003F7B3F">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Se atiende la solicitud de CUDI y se adapta la redacción </w:t>
      </w:r>
      <w:r w:rsidR="00051BE7">
        <w:rPr>
          <w:rFonts w:ascii="ITC Avant Garde" w:hAnsi="ITC Avant Garde"/>
          <w:szCs w:val="22"/>
        </w:rPr>
        <w:t>para aclarar el</w:t>
      </w:r>
      <w:r w:rsidRPr="00377FDC">
        <w:rPr>
          <w:rFonts w:ascii="ITC Avant Garde" w:hAnsi="ITC Avant Garde"/>
          <w:szCs w:val="22"/>
        </w:rPr>
        <w:t xml:space="preserve"> medio de transmisión </w:t>
      </w:r>
      <w:r w:rsidR="00051BE7">
        <w:rPr>
          <w:rFonts w:ascii="ITC Avant Garde" w:hAnsi="ITC Avant Garde"/>
          <w:szCs w:val="22"/>
        </w:rPr>
        <w:t>referido</w:t>
      </w:r>
      <w:r w:rsidRPr="00377FDC">
        <w:rPr>
          <w:rFonts w:ascii="ITC Avant Garde" w:hAnsi="ITC Avant Garde"/>
          <w:szCs w:val="22"/>
        </w:rPr>
        <w:t xml:space="preserve">. También se hace el recordatorio de que el lineamiento noveno </w:t>
      </w:r>
      <w:r w:rsidR="00491293">
        <w:rPr>
          <w:rFonts w:ascii="ITC Avant Garde" w:hAnsi="ITC Avant Garde"/>
          <w:szCs w:val="22"/>
        </w:rPr>
        <w:t>ya contempla</w:t>
      </w:r>
      <w:r w:rsidRPr="00377FDC">
        <w:rPr>
          <w:rFonts w:ascii="ITC Avant Garde" w:hAnsi="ITC Avant Garde"/>
          <w:szCs w:val="22"/>
        </w:rPr>
        <w:t xml:space="preserve"> obligaciones de redundancia para el AEP.</w:t>
      </w:r>
    </w:p>
    <w:p w14:paraId="334CFE09" w14:textId="77777777" w:rsidR="003F7B3F" w:rsidRDefault="003F7B3F">
      <w:pPr>
        <w:autoSpaceDE w:val="0"/>
        <w:autoSpaceDN w:val="0"/>
        <w:adjustRightInd w:val="0"/>
        <w:spacing w:line="240" w:lineRule="auto"/>
        <w:rPr>
          <w:rFonts w:ascii="ITC Avant Garde" w:hAnsi="ITC Avant Garde"/>
          <w:szCs w:val="22"/>
        </w:rPr>
      </w:pPr>
    </w:p>
    <w:p w14:paraId="701B546F" w14:textId="77777777" w:rsidR="006E7005" w:rsidRPr="00377FDC" w:rsidRDefault="006E7005">
      <w:pPr>
        <w:autoSpaceDE w:val="0"/>
        <w:autoSpaceDN w:val="0"/>
        <w:adjustRightInd w:val="0"/>
        <w:spacing w:line="240" w:lineRule="auto"/>
        <w:rPr>
          <w:rFonts w:ascii="ITC Avant Garde" w:hAnsi="ITC Avant Garde"/>
          <w:szCs w:val="22"/>
        </w:rPr>
      </w:pPr>
    </w:p>
    <w:p w14:paraId="1AA1DC8B" w14:textId="21873D6F" w:rsidR="00FD1358" w:rsidRPr="00377FDC" w:rsidRDefault="00FD1358">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Sexto</w:t>
      </w:r>
    </w:p>
    <w:p w14:paraId="0769878F" w14:textId="77777777" w:rsidR="00691C5B" w:rsidRPr="00377FDC" w:rsidRDefault="00691C5B">
      <w:pPr>
        <w:autoSpaceDE w:val="0"/>
        <w:autoSpaceDN w:val="0"/>
        <w:adjustRightInd w:val="0"/>
        <w:spacing w:line="240" w:lineRule="auto"/>
        <w:rPr>
          <w:rFonts w:ascii="ITC Avant Garde" w:hAnsi="ITC Avant Garde"/>
          <w:b/>
          <w:szCs w:val="22"/>
        </w:rPr>
      </w:pPr>
    </w:p>
    <w:p w14:paraId="76822DEC" w14:textId="66352D71"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CANIETI</w:t>
      </w:r>
      <w:r w:rsidR="00F44421" w:rsidRPr="00377FDC">
        <w:rPr>
          <w:rFonts w:ascii="ITC Avant Garde" w:hAnsi="ITC Avant Garde"/>
          <w:b/>
          <w:szCs w:val="22"/>
        </w:rPr>
        <w:t xml:space="preserve"> </w:t>
      </w:r>
      <w:r w:rsidR="00F44421" w:rsidRPr="00377FDC">
        <w:rPr>
          <w:rFonts w:ascii="ITC Avant Garde" w:hAnsi="ITC Avant Garde"/>
          <w:szCs w:val="22"/>
        </w:rPr>
        <w:t>y</w:t>
      </w:r>
      <w:r w:rsidR="00F44421" w:rsidRPr="00377FDC">
        <w:rPr>
          <w:rFonts w:ascii="ITC Avant Garde" w:hAnsi="ITC Avant Garde"/>
          <w:b/>
          <w:szCs w:val="22"/>
        </w:rPr>
        <w:t xml:space="preserve"> Bestphone</w:t>
      </w:r>
      <w:r w:rsidR="00E27FFA" w:rsidRPr="00377FDC">
        <w:rPr>
          <w:rFonts w:ascii="ITC Avant Garde" w:hAnsi="ITC Avant Garde"/>
          <w:szCs w:val="22"/>
        </w:rPr>
        <w:t xml:space="preserve"> comenta</w:t>
      </w:r>
      <w:r w:rsidR="00094914" w:rsidRPr="00377FDC">
        <w:rPr>
          <w:rFonts w:ascii="ITC Avant Garde" w:hAnsi="ITC Avant Garde"/>
          <w:szCs w:val="22"/>
        </w:rPr>
        <w:t>n</w:t>
      </w:r>
      <w:r w:rsidR="00E27FFA" w:rsidRPr="00377FDC">
        <w:rPr>
          <w:rFonts w:ascii="ITC Avant Garde" w:hAnsi="ITC Avant Garde"/>
          <w:szCs w:val="22"/>
        </w:rPr>
        <w:t xml:space="preserve"> que el AEP debe ser quien instale la infraestructura necesaria en el IXP para que pueda operar como punto de interconexión de conformidad con la resolución que establece</w:t>
      </w:r>
      <w:r w:rsidR="00094914" w:rsidRPr="00377FDC">
        <w:rPr>
          <w:rFonts w:ascii="ITC Avant Garde" w:hAnsi="ITC Avant Garde"/>
          <w:szCs w:val="22"/>
        </w:rPr>
        <w:t>n</w:t>
      </w:r>
      <w:r w:rsidR="00E27FFA" w:rsidRPr="00377FDC">
        <w:rPr>
          <w:rFonts w:ascii="ITC Avant Garde" w:hAnsi="ITC Avant Garde"/>
          <w:szCs w:val="22"/>
        </w:rPr>
        <w:t xml:space="preserve"> las condiciones mínimas de interconexión.</w:t>
      </w:r>
    </w:p>
    <w:p w14:paraId="30EB02C0" w14:textId="6DEEC3FE" w:rsidR="00E27FFA"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lastRenderedPageBreak/>
        <w:t>CITI</w:t>
      </w:r>
      <w:r w:rsidR="00E27FFA" w:rsidRPr="00377FDC">
        <w:rPr>
          <w:rFonts w:ascii="ITC Avant Garde" w:hAnsi="ITC Avant Garde"/>
          <w:b/>
          <w:szCs w:val="22"/>
        </w:rPr>
        <w:t xml:space="preserve"> </w:t>
      </w:r>
      <w:r w:rsidR="00E27FFA" w:rsidRPr="00377FDC">
        <w:rPr>
          <w:rFonts w:ascii="ITC Avant Garde" w:hAnsi="ITC Avant Garde"/>
          <w:szCs w:val="22"/>
        </w:rPr>
        <w:t>y</w:t>
      </w:r>
      <w:r w:rsidR="00E27FFA" w:rsidRPr="00377FDC">
        <w:rPr>
          <w:rFonts w:ascii="ITC Avant Garde" w:hAnsi="ITC Avant Garde"/>
          <w:b/>
          <w:szCs w:val="22"/>
        </w:rPr>
        <w:t xml:space="preserve"> CUDI </w:t>
      </w:r>
      <w:r w:rsidR="00E27FFA" w:rsidRPr="00377FDC">
        <w:rPr>
          <w:rFonts w:ascii="ITC Avant Garde" w:hAnsi="ITC Avant Garde"/>
          <w:szCs w:val="22"/>
        </w:rPr>
        <w:t>proponen cambiar la redacción del lineamiento, especificando que el IXP debe cumplir con las normas técnicas correspondientes para permitir el intercambio de tráfico de Internet.</w:t>
      </w:r>
    </w:p>
    <w:p w14:paraId="4B7F2D53" w14:textId="77777777" w:rsidR="00E27FFA" w:rsidRPr="00377FDC" w:rsidRDefault="00E27FFA"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el especificar que los lineamientos sólo aplican para el tráfico de Internet que se intercambia de manera local o nacional.</w:t>
      </w:r>
    </w:p>
    <w:p w14:paraId="1DBAF5B8" w14:textId="583369FE" w:rsidR="00691C5B" w:rsidRPr="00377FDC" w:rsidRDefault="00691C5B" w:rsidP="0039427F">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Raúl Godoy</w:t>
      </w:r>
      <w:r w:rsidR="00094914" w:rsidRPr="00377FDC">
        <w:rPr>
          <w:rFonts w:ascii="ITC Avant Garde" w:hAnsi="ITC Avant Garde"/>
          <w:b/>
          <w:szCs w:val="22"/>
        </w:rPr>
        <w:t xml:space="preserve"> </w:t>
      </w:r>
      <w:r w:rsidR="00094914" w:rsidRPr="00377FDC">
        <w:rPr>
          <w:rFonts w:ascii="ITC Avant Garde" w:hAnsi="ITC Avant Garde"/>
          <w:szCs w:val="22"/>
        </w:rPr>
        <w:t>indica que a lo largo de todo el documento hay que referirse a participantes del IXP y no sólo ISPs.</w:t>
      </w:r>
    </w:p>
    <w:p w14:paraId="712B6702" w14:textId="77777777" w:rsidR="00FD1358" w:rsidRPr="00377FDC" w:rsidRDefault="00FD1358">
      <w:pPr>
        <w:autoSpaceDE w:val="0"/>
        <w:autoSpaceDN w:val="0"/>
        <w:adjustRightInd w:val="0"/>
        <w:spacing w:line="240" w:lineRule="auto"/>
        <w:rPr>
          <w:rFonts w:ascii="ITC Avant Garde" w:hAnsi="ITC Avant Garde"/>
          <w:szCs w:val="22"/>
        </w:rPr>
      </w:pPr>
    </w:p>
    <w:p w14:paraId="291BB695" w14:textId="101EAF1C" w:rsidR="00FD1358" w:rsidRPr="00377FDC" w:rsidRDefault="00FA4A94">
      <w:pPr>
        <w:autoSpaceDE w:val="0"/>
        <w:autoSpaceDN w:val="0"/>
        <w:adjustRightInd w:val="0"/>
        <w:spacing w:line="240" w:lineRule="auto"/>
        <w:rPr>
          <w:rFonts w:ascii="ITC Avant Garde" w:hAnsi="ITC Avant Garde"/>
          <w:szCs w:val="22"/>
        </w:rPr>
      </w:pPr>
      <w:r w:rsidRPr="003C7CAF">
        <w:rPr>
          <w:rFonts w:ascii="ITC Avant Garde" w:hAnsi="ITC Avant Garde"/>
          <w:b/>
        </w:rPr>
        <w:t xml:space="preserve">Respuesta. </w:t>
      </w:r>
      <w:r w:rsidR="00E27FFA" w:rsidRPr="00377FDC">
        <w:rPr>
          <w:rFonts w:ascii="ITC Avant Garde" w:hAnsi="ITC Avant Garde"/>
          <w:szCs w:val="22"/>
        </w:rPr>
        <w:t>Las condiciones mínimas de interconexión establecen los requerimientos específicamente para el servicio de voz</w:t>
      </w:r>
      <w:r w:rsidR="007755D4">
        <w:rPr>
          <w:rFonts w:ascii="ITC Avant Garde" w:hAnsi="ITC Avant Garde"/>
          <w:szCs w:val="22"/>
        </w:rPr>
        <w:t>; dicho servicio</w:t>
      </w:r>
      <w:r w:rsidR="007755D4" w:rsidRPr="00377FDC">
        <w:rPr>
          <w:rFonts w:ascii="ITC Avant Garde" w:hAnsi="ITC Avant Garde"/>
          <w:szCs w:val="22"/>
        </w:rPr>
        <w:t xml:space="preserve"> </w:t>
      </w:r>
      <w:r w:rsidR="00E27FFA" w:rsidRPr="00377FDC">
        <w:rPr>
          <w:rFonts w:ascii="ITC Avant Garde" w:hAnsi="ITC Avant Garde"/>
          <w:szCs w:val="22"/>
        </w:rPr>
        <w:t>queda fuera del alcance de los lineamientos propuestos.</w:t>
      </w:r>
    </w:p>
    <w:p w14:paraId="25F6C6C0" w14:textId="6A8FED0A" w:rsidR="00E27FFA" w:rsidRPr="00377FDC" w:rsidRDefault="00E27FFA">
      <w:pPr>
        <w:autoSpaceDE w:val="0"/>
        <w:autoSpaceDN w:val="0"/>
        <w:adjustRightInd w:val="0"/>
        <w:spacing w:line="240" w:lineRule="auto"/>
        <w:rPr>
          <w:rFonts w:ascii="ITC Avant Garde" w:hAnsi="ITC Avant Garde"/>
          <w:szCs w:val="22"/>
        </w:rPr>
      </w:pPr>
      <w:r w:rsidRPr="00377FDC">
        <w:rPr>
          <w:rFonts w:ascii="ITC Avant Garde" w:hAnsi="ITC Avant Garde"/>
          <w:szCs w:val="22"/>
        </w:rPr>
        <w:t>El Instituto modifica la redacción del lineamiento, tomando en cuenta la propuesta de CITI, en cuanto a los requerimientos técnicos se refiere.</w:t>
      </w:r>
    </w:p>
    <w:p w14:paraId="65841630" w14:textId="043070DC" w:rsidR="002438B8" w:rsidRPr="00377FDC" w:rsidRDefault="002438B8">
      <w:pPr>
        <w:autoSpaceDE w:val="0"/>
        <w:autoSpaceDN w:val="0"/>
        <w:adjustRightInd w:val="0"/>
        <w:spacing w:line="240" w:lineRule="auto"/>
        <w:rPr>
          <w:rFonts w:ascii="ITC Avant Garde" w:hAnsi="ITC Avant Garde"/>
          <w:szCs w:val="22"/>
        </w:rPr>
      </w:pPr>
      <w:r w:rsidRPr="00377FDC">
        <w:rPr>
          <w:rFonts w:ascii="ITC Avant Garde" w:hAnsi="ITC Avant Garde"/>
          <w:szCs w:val="22"/>
        </w:rPr>
        <w:t>En cuanto al comentario de Telmex y Telnor</w:t>
      </w:r>
      <w:r w:rsidR="004507A4">
        <w:rPr>
          <w:rFonts w:ascii="ITC Avant Garde" w:hAnsi="ITC Avant Garde" w:cs="ITC Avant Garde"/>
          <w:szCs w:val="22"/>
        </w:rPr>
        <w:t xml:space="preserve">, la definición de Intercambio de tráfico, en el lineamiento Tercero, </w:t>
      </w:r>
      <w:r w:rsidR="007755D4">
        <w:rPr>
          <w:rFonts w:ascii="ITC Avant Garde" w:hAnsi="ITC Avant Garde" w:cs="ITC Avant Garde"/>
          <w:szCs w:val="22"/>
        </w:rPr>
        <w:t xml:space="preserve">se </w:t>
      </w:r>
      <w:r w:rsidR="007755D4">
        <w:rPr>
          <w:rFonts w:ascii="ITC Avant Garde" w:hAnsi="ITC Avant Garde"/>
          <w:szCs w:val="22"/>
        </w:rPr>
        <w:t>aclara que el intercambio interno de tráfico a que hace referencia lo establecido en la LFTR, se refiere a</w:t>
      </w:r>
      <w:r w:rsidR="007755D4">
        <w:rPr>
          <w:rFonts w:ascii="ITC Avant Garde" w:hAnsi="ITC Avant Garde" w:cs="ITC Avant Garde"/>
          <w:szCs w:val="22"/>
        </w:rPr>
        <w:t xml:space="preserve"> </w:t>
      </w:r>
      <w:r w:rsidR="004507A4">
        <w:rPr>
          <w:rFonts w:ascii="ITC Avant Garde" w:hAnsi="ITC Avant Garde" w:cs="ITC Avant Garde"/>
          <w:szCs w:val="22"/>
        </w:rPr>
        <w:t>la conducción de tráfico nacional.</w:t>
      </w:r>
    </w:p>
    <w:p w14:paraId="16CA01BC" w14:textId="38233E43" w:rsidR="00094914" w:rsidRPr="00377FDC" w:rsidRDefault="00094914">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Se hace énfasis que la LFTR, en su artículo 138, fracción VIII establece que la obligación de intercambiar tráfico de Internet aplica </w:t>
      </w:r>
      <w:r w:rsidR="00466951">
        <w:rPr>
          <w:rFonts w:ascii="ITC Avant Garde" w:hAnsi="ITC Avant Garde"/>
          <w:szCs w:val="22"/>
        </w:rPr>
        <w:t>entre</w:t>
      </w:r>
      <w:r w:rsidR="00466951" w:rsidRPr="00377FDC">
        <w:rPr>
          <w:rFonts w:ascii="ITC Avant Garde" w:hAnsi="ITC Avant Garde"/>
          <w:szCs w:val="22"/>
        </w:rPr>
        <w:t xml:space="preserve"> </w:t>
      </w:r>
      <w:r w:rsidR="00466951">
        <w:rPr>
          <w:rFonts w:ascii="ITC Avant Garde" w:hAnsi="ITC Avant Garde"/>
          <w:szCs w:val="22"/>
        </w:rPr>
        <w:t>el AEP y los ISP</w:t>
      </w:r>
      <w:r w:rsidRPr="00377FDC">
        <w:rPr>
          <w:rFonts w:ascii="ITC Avant Garde" w:hAnsi="ITC Avant Garde"/>
          <w:szCs w:val="22"/>
        </w:rPr>
        <w:t>.</w:t>
      </w:r>
    </w:p>
    <w:p w14:paraId="5DFDBEDC" w14:textId="77777777" w:rsidR="00E27FFA" w:rsidRPr="00377FDC" w:rsidRDefault="00E27FFA">
      <w:pPr>
        <w:autoSpaceDE w:val="0"/>
        <w:autoSpaceDN w:val="0"/>
        <w:adjustRightInd w:val="0"/>
        <w:spacing w:line="240" w:lineRule="auto"/>
        <w:rPr>
          <w:rFonts w:ascii="ITC Avant Garde" w:hAnsi="ITC Avant Garde"/>
          <w:szCs w:val="22"/>
        </w:rPr>
      </w:pPr>
    </w:p>
    <w:p w14:paraId="7C210AA2" w14:textId="77777777" w:rsidR="00FD1358" w:rsidRPr="00377FDC" w:rsidRDefault="00FD1358">
      <w:pPr>
        <w:autoSpaceDE w:val="0"/>
        <w:autoSpaceDN w:val="0"/>
        <w:adjustRightInd w:val="0"/>
        <w:spacing w:line="240" w:lineRule="auto"/>
        <w:rPr>
          <w:rFonts w:ascii="ITC Avant Garde" w:hAnsi="ITC Avant Garde"/>
          <w:szCs w:val="22"/>
        </w:rPr>
      </w:pPr>
    </w:p>
    <w:p w14:paraId="33041A95" w14:textId="47206471" w:rsidR="00FD1358" w:rsidRPr="00377FDC" w:rsidRDefault="00FD1358">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Séptimo</w:t>
      </w:r>
    </w:p>
    <w:p w14:paraId="28716657" w14:textId="77777777" w:rsidR="00691C5B" w:rsidRPr="00377FDC" w:rsidRDefault="00691C5B">
      <w:pPr>
        <w:autoSpaceDE w:val="0"/>
        <w:autoSpaceDN w:val="0"/>
        <w:adjustRightInd w:val="0"/>
        <w:spacing w:line="240" w:lineRule="auto"/>
        <w:rPr>
          <w:rFonts w:ascii="ITC Avant Garde" w:hAnsi="ITC Avant Garde"/>
          <w:b/>
          <w:szCs w:val="22"/>
        </w:rPr>
      </w:pPr>
    </w:p>
    <w:p w14:paraId="69EB2A3E" w14:textId="178A0FC3" w:rsidR="00161B69"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2438B8" w:rsidRPr="00377FDC">
        <w:rPr>
          <w:rFonts w:ascii="ITC Avant Garde" w:hAnsi="ITC Avant Garde"/>
          <w:b/>
          <w:szCs w:val="22"/>
        </w:rPr>
        <w:t xml:space="preserve">, </w:t>
      </w:r>
      <w:r w:rsidR="009A7221" w:rsidRPr="00377FDC">
        <w:rPr>
          <w:rFonts w:ascii="ITC Avant Garde" w:hAnsi="ITC Avant Garde"/>
          <w:b/>
          <w:szCs w:val="22"/>
        </w:rPr>
        <w:t xml:space="preserve">CUDI </w:t>
      </w:r>
      <w:r w:rsidR="002438B8" w:rsidRPr="00377FDC">
        <w:rPr>
          <w:rFonts w:ascii="ITC Avant Garde" w:hAnsi="ITC Avant Garde"/>
          <w:szCs w:val="22"/>
        </w:rPr>
        <w:t>y</w:t>
      </w:r>
      <w:r w:rsidR="002438B8" w:rsidRPr="00377FDC">
        <w:rPr>
          <w:rFonts w:ascii="ITC Avant Garde" w:hAnsi="ITC Avant Garde"/>
          <w:b/>
          <w:szCs w:val="22"/>
        </w:rPr>
        <w:t xml:space="preserve"> Raúl Godoy </w:t>
      </w:r>
      <w:r w:rsidR="00161B69" w:rsidRPr="00377FDC">
        <w:rPr>
          <w:rFonts w:ascii="ITC Avant Garde" w:hAnsi="ITC Avant Garde"/>
          <w:szCs w:val="22"/>
        </w:rPr>
        <w:t>propone</w:t>
      </w:r>
      <w:r w:rsidR="009A7221" w:rsidRPr="00377FDC">
        <w:rPr>
          <w:rFonts w:ascii="ITC Avant Garde" w:hAnsi="ITC Avant Garde"/>
          <w:szCs w:val="22"/>
        </w:rPr>
        <w:t>n</w:t>
      </w:r>
      <w:r w:rsidR="00161B69" w:rsidRPr="00377FDC">
        <w:rPr>
          <w:rFonts w:ascii="ITC Avant Garde" w:hAnsi="ITC Avant Garde"/>
          <w:szCs w:val="22"/>
        </w:rPr>
        <w:t xml:space="preserve"> que el AEP debe cubrir las cuotas, tarifas y otros conceptos, establecidas de acuerdo a sus estatutos y reglas de operación, mismas que son impuestas a los otros participantes.</w:t>
      </w:r>
      <w:r w:rsidR="002438B8" w:rsidRPr="00377FDC">
        <w:rPr>
          <w:rFonts w:ascii="ITC Avant Garde" w:hAnsi="ITC Avant Garde"/>
          <w:szCs w:val="22"/>
        </w:rPr>
        <w:t xml:space="preserve"> </w:t>
      </w:r>
    </w:p>
    <w:p w14:paraId="3BD7AAF6" w14:textId="0EE12E34" w:rsidR="002438B8" w:rsidRPr="00377FDC" w:rsidRDefault="002438B8"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00FA4A94">
        <w:rPr>
          <w:rFonts w:ascii="ITC Avant Garde" w:hAnsi="ITC Avant Garde"/>
          <w:szCs w:val="22"/>
        </w:rPr>
        <w:t xml:space="preserve"> consideran importante </w:t>
      </w:r>
      <w:r w:rsidRPr="00377FDC">
        <w:rPr>
          <w:rFonts w:ascii="ITC Avant Garde" w:hAnsi="ITC Avant Garde"/>
          <w:szCs w:val="22"/>
        </w:rPr>
        <w:t>especificar que los lineamientos sólo aplican para el tráfico de Internet que se intercambia de manera local o nacional.</w:t>
      </w:r>
    </w:p>
    <w:p w14:paraId="284C2765" w14:textId="77777777" w:rsidR="00FD1358" w:rsidRPr="00377FDC" w:rsidRDefault="00FD1358" w:rsidP="0039427F">
      <w:pPr>
        <w:autoSpaceDE w:val="0"/>
        <w:autoSpaceDN w:val="0"/>
        <w:adjustRightInd w:val="0"/>
        <w:spacing w:line="240" w:lineRule="auto"/>
        <w:rPr>
          <w:rFonts w:ascii="ITC Avant Garde" w:hAnsi="ITC Avant Garde"/>
          <w:szCs w:val="22"/>
        </w:rPr>
      </w:pPr>
    </w:p>
    <w:p w14:paraId="78E5AD78" w14:textId="5E34D094" w:rsidR="00DB6554" w:rsidRPr="00377FDC" w:rsidRDefault="000C14A3">
      <w:pPr>
        <w:autoSpaceDE w:val="0"/>
        <w:autoSpaceDN w:val="0"/>
        <w:adjustRightInd w:val="0"/>
        <w:spacing w:line="240" w:lineRule="auto"/>
        <w:rPr>
          <w:rFonts w:ascii="ITC Avant Garde" w:hAnsi="ITC Avant Garde"/>
          <w:szCs w:val="22"/>
        </w:rPr>
      </w:pPr>
      <w:r w:rsidRPr="003C7CAF">
        <w:rPr>
          <w:rFonts w:ascii="ITC Avant Garde" w:hAnsi="ITC Avant Garde"/>
          <w:b/>
        </w:rPr>
        <w:t xml:space="preserve">Respuesta. </w:t>
      </w:r>
      <w:r w:rsidR="00FA4A94">
        <w:rPr>
          <w:rFonts w:ascii="ITC Avant Garde" w:hAnsi="ITC Avant Garde"/>
          <w:szCs w:val="22"/>
        </w:rPr>
        <w:t>Los lineamientos establece</w:t>
      </w:r>
      <w:r w:rsidR="00E930FE">
        <w:rPr>
          <w:rFonts w:ascii="ITC Avant Garde" w:hAnsi="ITC Avant Garde"/>
          <w:szCs w:val="22"/>
        </w:rPr>
        <w:t>n</w:t>
      </w:r>
      <w:r w:rsidR="00DB6554" w:rsidRPr="00377FDC">
        <w:rPr>
          <w:rFonts w:ascii="ITC Avant Garde" w:hAnsi="ITC Avant Garde"/>
          <w:szCs w:val="22"/>
        </w:rPr>
        <w:t xml:space="preserve"> </w:t>
      </w:r>
      <w:r w:rsidR="002438B8" w:rsidRPr="00377FDC">
        <w:rPr>
          <w:rFonts w:ascii="ITC Avant Garde" w:hAnsi="ITC Avant Garde"/>
          <w:szCs w:val="22"/>
        </w:rPr>
        <w:t>la obligación del AEP</w:t>
      </w:r>
      <w:r w:rsidR="00FA4A94">
        <w:rPr>
          <w:rFonts w:ascii="ITC Avant Garde" w:hAnsi="ITC Avant Garde"/>
          <w:szCs w:val="22"/>
        </w:rPr>
        <w:t>, a su costo,</w:t>
      </w:r>
      <w:r w:rsidR="002438B8" w:rsidRPr="00377FDC">
        <w:rPr>
          <w:rFonts w:ascii="ITC Avant Garde" w:hAnsi="ITC Avant Garde"/>
          <w:szCs w:val="22"/>
        </w:rPr>
        <w:t xml:space="preserve"> de tener presencia física en cada uno de los IXP</w:t>
      </w:r>
      <w:r w:rsidR="003729E0">
        <w:rPr>
          <w:rFonts w:ascii="ITC Avant Garde" w:hAnsi="ITC Avant Garde"/>
          <w:szCs w:val="22"/>
        </w:rPr>
        <w:t xml:space="preserve"> que se lo soliciten y que cuenten con la constancia de registro en el registro público de concesiones</w:t>
      </w:r>
      <w:r w:rsidR="00FA4A94">
        <w:rPr>
          <w:rFonts w:ascii="ITC Avant Garde" w:hAnsi="ITC Avant Garde"/>
          <w:szCs w:val="22"/>
        </w:rPr>
        <w:t xml:space="preserve">. Dicha obligación implica </w:t>
      </w:r>
      <w:r w:rsidR="002438B8" w:rsidRPr="00377FDC">
        <w:rPr>
          <w:rFonts w:ascii="ITC Avant Garde" w:hAnsi="ITC Avant Garde"/>
          <w:szCs w:val="22"/>
        </w:rPr>
        <w:t>establecer la conectividad, capacidad y redundancia requerida, por mencionar las características principales, que permitan el continuo intercambio de tráfico de Inte</w:t>
      </w:r>
      <w:r w:rsidR="00FA4A94">
        <w:rPr>
          <w:rFonts w:ascii="ITC Avant Garde" w:hAnsi="ITC Avant Garde"/>
          <w:szCs w:val="22"/>
        </w:rPr>
        <w:t xml:space="preserve">rnet </w:t>
      </w:r>
      <w:r w:rsidR="004B384C">
        <w:rPr>
          <w:rFonts w:ascii="ITC Avant Garde" w:hAnsi="ITC Avant Garde"/>
          <w:szCs w:val="22"/>
        </w:rPr>
        <w:t>de conformidad con lo establecido en</w:t>
      </w:r>
      <w:r w:rsidR="00FA4A94">
        <w:rPr>
          <w:rFonts w:ascii="ITC Avant Garde" w:hAnsi="ITC Avant Garde"/>
          <w:szCs w:val="22"/>
        </w:rPr>
        <w:t xml:space="preserve"> la LFTR, por lo que el cobro de cuotas o tarifas queda fuera del alcance de los lineamientos.</w:t>
      </w:r>
    </w:p>
    <w:p w14:paraId="3EA9EEF7" w14:textId="2B32B1C2" w:rsidR="002438B8" w:rsidRPr="00377FDC" w:rsidRDefault="002438B8">
      <w:pPr>
        <w:autoSpaceDE w:val="0"/>
        <w:autoSpaceDN w:val="0"/>
        <w:adjustRightInd w:val="0"/>
        <w:spacing w:line="240" w:lineRule="auto"/>
        <w:rPr>
          <w:rFonts w:ascii="ITC Avant Garde" w:hAnsi="ITC Avant Garde"/>
          <w:szCs w:val="22"/>
        </w:rPr>
      </w:pPr>
      <w:r w:rsidRPr="00377FDC">
        <w:rPr>
          <w:rFonts w:ascii="ITC Avant Garde" w:hAnsi="ITC Avant Garde"/>
          <w:szCs w:val="22"/>
        </w:rPr>
        <w:t>En cuanto al comentario de Telmex y Telnor</w:t>
      </w:r>
      <w:r w:rsidR="00E930FE">
        <w:rPr>
          <w:rFonts w:ascii="ITC Avant Garde" w:hAnsi="ITC Avant Garde" w:cs="ITC Avant Garde"/>
          <w:szCs w:val="22"/>
        </w:rPr>
        <w:t>, la definición de Intercambio de tráfico, en el lineamiento Tercero,</w:t>
      </w:r>
      <w:r w:rsidR="004B384C">
        <w:rPr>
          <w:rFonts w:ascii="ITC Avant Garde" w:hAnsi="ITC Avant Garde" w:cs="ITC Avant Garde"/>
          <w:szCs w:val="22"/>
        </w:rPr>
        <w:t xml:space="preserve"> se</w:t>
      </w:r>
      <w:r w:rsidR="00E930FE">
        <w:rPr>
          <w:rFonts w:ascii="ITC Avant Garde" w:hAnsi="ITC Avant Garde" w:cs="ITC Avant Garde"/>
          <w:szCs w:val="22"/>
        </w:rPr>
        <w:t xml:space="preserve"> </w:t>
      </w:r>
      <w:r w:rsidR="004B384C">
        <w:rPr>
          <w:rFonts w:ascii="ITC Avant Garde" w:hAnsi="ITC Avant Garde"/>
          <w:szCs w:val="22"/>
        </w:rPr>
        <w:t>aclara que el intercambio interno de tráfico a que hace referencia lo establecido en la LFTR, se refiere a</w:t>
      </w:r>
      <w:r w:rsidR="004B384C">
        <w:rPr>
          <w:rFonts w:ascii="ITC Avant Garde" w:hAnsi="ITC Avant Garde" w:cs="ITC Avant Garde"/>
          <w:szCs w:val="22"/>
        </w:rPr>
        <w:t xml:space="preserve"> </w:t>
      </w:r>
      <w:r w:rsidR="00E930FE">
        <w:rPr>
          <w:rFonts w:ascii="ITC Avant Garde" w:hAnsi="ITC Avant Garde" w:cs="ITC Avant Garde"/>
          <w:szCs w:val="22"/>
        </w:rPr>
        <w:t>la conducción de tráfico nacional.</w:t>
      </w:r>
    </w:p>
    <w:p w14:paraId="123CB9A0" w14:textId="77777777" w:rsidR="002438B8" w:rsidRPr="00377FDC" w:rsidRDefault="002438B8">
      <w:pPr>
        <w:autoSpaceDE w:val="0"/>
        <w:autoSpaceDN w:val="0"/>
        <w:adjustRightInd w:val="0"/>
        <w:spacing w:line="240" w:lineRule="auto"/>
        <w:rPr>
          <w:rFonts w:ascii="ITC Avant Garde" w:hAnsi="ITC Avant Garde"/>
          <w:szCs w:val="22"/>
        </w:rPr>
      </w:pPr>
    </w:p>
    <w:p w14:paraId="2738398A" w14:textId="77777777" w:rsidR="00FD1358" w:rsidRPr="00377FDC" w:rsidRDefault="00FD1358">
      <w:pPr>
        <w:autoSpaceDE w:val="0"/>
        <w:autoSpaceDN w:val="0"/>
        <w:adjustRightInd w:val="0"/>
        <w:spacing w:line="240" w:lineRule="auto"/>
        <w:rPr>
          <w:rFonts w:ascii="ITC Avant Garde" w:hAnsi="ITC Avant Garde"/>
          <w:szCs w:val="22"/>
        </w:rPr>
      </w:pPr>
    </w:p>
    <w:p w14:paraId="42282FD2" w14:textId="0B821A88" w:rsidR="00FD1358" w:rsidRPr="00377FDC" w:rsidRDefault="00FD1358">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Octavo</w:t>
      </w:r>
    </w:p>
    <w:p w14:paraId="19FE5F34" w14:textId="77777777" w:rsidR="00691C5B" w:rsidRPr="00377FDC" w:rsidRDefault="00691C5B">
      <w:pPr>
        <w:autoSpaceDE w:val="0"/>
        <w:autoSpaceDN w:val="0"/>
        <w:adjustRightInd w:val="0"/>
        <w:spacing w:line="240" w:lineRule="auto"/>
        <w:rPr>
          <w:rFonts w:ascii="ITC Avant Garde" w:hAnsi="ITC Avant Garde"/>
          <w:b/>
          <w:szCs w:val="22"/>
        </w:rPr>
      </w:pPr>
    </w:p>
    <w:p w14:paraId="063CF732" w14:textId="3A1BA65D" w:rsidR="006559FD"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Pr="00377FDC">
        <w:rPr>
          <w:rFonts w:ascii="ITC Avant Garde" w:hAnsi="ITC Avant Garde"/>
          <w:szCs w:val="22"/>
        </w:rPr>
        <w:t xml:space="preserve"> y </w:t>
      </w:r>
      <w:r w:rsidRPr="00377FDC">
        <w:rPr>
          <w:rFonts w:ascii="ITC Avant Garde" w:hAnsi="ITC Avant Garde"/>
          <w:b/>
          <w:szCs w:val="22"/>
        </w:rPr>
        <w:t>CUDI</w:t>
      </w:r>
      <w:r w:rsidR="00EE26A6" w:rsidRPr="00377FDC">
        <w:rPr>
          <w:rFonts w:ascii="ITC Avant Garde" w:hAnsi="ITC Avant Garde"/>
          <w:b/>
          <w:szCs w:val="22"/>
        </w:rPr>
        <w:t xml:space="preserve"> </w:t>
      </w:r>
      <w:r w:rsidR="00EE26A6" w:rsidRPr="00377FDC">
        <w:rPr>
          <w:rFonts w:ascii="ITC Avant Garde" w:hAnsi="ITC Avant Garde"/>
          <w:szCs w:val="22"/>
        </w:rPr>
        <w:t>señalan</w:t>
      </w:r>
      <w:r w:rsidR="006559FD" w:rsidRPr="00377FDC">
        <w:rPr>
          <w:rFonts w:ascii="ITC Avant Garde" w:hAnsi="ITC Avant Garde"/>
          <w:szCs w:val="22"/>
        </w:rPr>
        <w:t xml:space="preserve"> que la adopción de arquitecturas abiertas que garanticen el intercambio de tráfico de Internet y la interoperabilidad debe ser una obligación no sólo para el AEP y los ISP sino para todos los participantes del IXP. </w:t>
      </w:r>
    </w:p>
    <w:p w14:paraId="2F2569EE" w14:textId="77777777" w:rsidR="00EE26A6" w:rsidRPr="00377FDC" w:rsidRDefault="00EE26A6"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lastRenderedPageBreak/>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el especificar que los lineamientos sólo aplican para el tráfico de Internet que se intercambia de manera local o nacional.</w:t>
      </w:r>
    </w:p>
    <w:p w14:paraId="39081226" w14:textId="77777777" w:rsidR="00FD1358" w:rsidRPr="00377FDC" w:rsidRDefault="00FD1358" w:rsidP="0039427F">
      <w:pPr>
        <w:autoSpaceDE w:val="0"/>
        <w:autoSpaceDN w:val="0"/>
        <w:adjustRightInd w:val="0"/>
        <w:spacing w:line="240" w:lineRule="auto"/>
        <w:rPr>
          <w:rFonts w:ascii="ITC Avant Garde" w:hAnsi="ITC Avant Garde"/>
          <w:szCs w:val="22"/>
        </w:rPr>
      </w:pPr>
    </w:p>
    <w:p w14:paraId="05AD01B7" w14:textId="4FC0FEAD" w:rsidR="00FD1358" w:rsidRPr="00377FDC" w:rsidRDefault="00D0686A">
      <w:pPr>
        <w:autoSpaceDE w:val="0"/>
        <w:autoSpaceDN w:val="0"/>
        <w:adjustRightInd w:val="0"/>
        <w:spacing w:line="240" w:lineRule="auto"/>
        <w:rPr>
          <w:rFonts w:ascii="ITC Avant Garde" w:hAnsi="ITC Avant Garde"/>
          <w:szCs w:val="22"/>
        </w:rPr>
      </w:pPr>
      <w:r w:rsidRPr="003C7CAF">
        <w:rPr>
          <w:rFonts w:ascii="ITC Avant Garde" w:hAnsi="ITC Avant Garde"/>
          <w:b/>
        </w:rPr>
        <w:t xml:space="preserve">Respuesta. </w:t>
      </w:r>
      <w:r w:rsidR="00EE26A6" w:rsidRPr="00377FDC">
        <w:rPr>
          <w:rFonts w:ascii="ITC Avant Garde" w:hAnsi="ITC Avant Garde"/>
          <w:szCs w:val="22"/>
        </w:rPr>
        <w:t xml:space="preserve">Se hace énfasis que la LFTR, en su artículo 138, fracción VIII establece que la obligación de intercambiar tráfico de Internet </w:t>
      </w:r>
      <w:r w:rsidR="00466951">
        <w:rPr>
          <w:rFonts w:ascii="ITC Avant Garde" w:hAnsi="ITC Avant Garde"/>
          <w:szCs w:val="22"/>
        </w:rPr>
        <w:t>entre</w:t>
      </w:r>
      <w:r w:rsidR="00EE26A6" w:rsidRPr="00377FDC">
        <w:rPr>
          <w:rFonts w:ascii="ITC Avant Garde" w:hAnsi="ITC Avant Garde"/>
          <w:szCs w:val="22"/>
        </w:rPr>
        <w:t xml:space="preserve"> </w:t>
      </w:r>
      <w:r w:rsidR="00EF7FA5">
        <w:rPr>
          <w:rFonts w:ascii="ITC Avant Garde" w:hAnsi="ITC Avant Garde"/>
          <w:szCs w:val="22"/>
        </w:rPr>
        <w:t>e</w:t>
      </w:r>
      <w:r w:rsidR="00442009">
        <w:rPr>
          <w:rFonts w:ascii="ITC Avant Garde" w:hAnsi="ITC Avant Garde"/>
          <w:szCs w:val="22"/>
        </w:rPr>
        <w:t>l AEP</w:t>
      </w:r>
      <w:r w:rsidR="00466951">
        <w:rPr>
          <w:rFonts w:ascii="ITC Avant Garde" w:hAnsi="ITC Avant Garde"/>
          <w:szCs w:val="22"/>
        </w:rPr>
        <w:t xml:space="preserve"> y los ISP</w:t>
      </w:r>
      <w:r w:rsidR="00EE26A6" w:rsidRPr="00377FDC">
        <w:rPr>
          <w:rFonts w:ascii="ITC Avant Garde" w:hAnsi="ITC Avant Garde"/>
          <w:szCs w:val="22"/>
        </w:rPr>
        <w:t>.</w:t>
      </w:r>
    </w:p>
    <w:p w14:paraId="3B6DFA2B" w14:textId="11C70D06" w:rsidR="00EE26A6" w:rsidRPr="00377FDC" w:rsidRDefault="00F51177">
      <w:pPr>
        <w:autoSpaceDE w:val="0"/>
        <w:autoSpaceDN w:val="0"/>
        <w:adjustRightInd w:val="0"/>
        <w:spacing w:line="240" w:lineRule="auto"/>
        <w:rPr>
          <w:rFonts w:ascii="ITC Avant Garde" w:hAnsi="ITC Avant Garde"/>
          <w:szCs w:val="22"/>
        </w:rPr>
      </w:pPr>
      <w:r w:rsidRPr="00377FDC">
        <w:rPr>
          <w:rFonts w:ascii="ITC Avant Garde" w:hAnsi="ITC Avant Garde"/>
          <w:szCs w:val="22"/>
        </w:rPr>
        <w:t>En cuanto al comentario de Telmex y Telnor</w:t>
      </w:r>
      <w:r w:rsidR="00E930FE">
        <w:rPr>
          <w:rFonts w:ascii="ITC Avant Garde" w:hAnsi="ITC Avant Garde" w:cs="ITC Avant Garde"/>
          <w:szCs w:val="22"/>
        </w:rPr>
        <w:t>, la definición de Intercambio de tráfico, en el lineamiento Tercero,</w:t>
      </w:r>
      <w:r w:rsidR="00AA3029">
        <w:rPr>
          <w:rFonts w:ascii="ITC Avant Garde" w:hAnsi="ITC Avant Garde" w:cs="ITC Avant Garde"/>
          <w:szCs w:val="22"/>
        </w:rPr>
        <w:t xml:space="preserve"> se</w:t>
      </w:r>
      <w:r w:rsidR="00E930FE">
        <w:rPr>
          <w:rFonts w:ascii="ITC Avant Garde" w:hAnsi="ITC Avant Garde" w:cs="ITC Avant Garde"/>
          <w:szCs w:val="22"/>
        </w:rPr>
        <w:t xml:space="preserve"> </w:t>
      </w:r>
      <w:r w:rsidR="00AA3029">
        <w:rPr>
          <w:rFonts w:ascii="ITC Avant Garde" w:hAnsi="ITC Avant Garde"/>
          <w:szCs w:val="22"/>
        </w:rPr>
        <w:t>aclara que el intercambio interno de tráfico a que hace referencia lo establecido en la LFTR, se refiere a</w:t>
      </w:r>
      <w:r w:rsidR="00AA3029">
        <w:rPr>
          <w:rFonts w:ascii="ITC Avant Garde" w:hAnsi="ITC Avant Garde" w:cs="ITC Avant Garde"/>
          <w:szCs w:val="22"/>
        </w:rPr>
        <w:t xml:space="preserve"> </w:t>
      </w:r>
      <w:r w:rsidR="00E930FE">
        <w:rPr>
          <w:rFonts w:ascii="ITC Avant Garde" w:hAnsi="ITC Avant Garde" w:cs="ITC Avant Garde"/>
          <w:szCs w:val="22"/>
        </w:rPr>
        <w:t>la conducción de tráfico nacional.</w:t>
      </w:r>
    </w:p>
    <w:p w14:paraId="0D52922F" w14:textId="77777777" w:rsidR="00F643D6" w:rsidRPr="00377FDC" w:rsidRDefault="00F643D6">
      <w:pPr>
        <w:autoSpaceDE w:val="0"/>
        <w:autoSpaceDN w:val="0"/>
        <w:adjustRightInd w:val="0"/>
        <w:spacing w:line="240" w:lineRule="auto"/>
        <w:rPr>
          <w:rFonts w:ascii="ITC Avant Garde" w:hAnsi="ITC Avant Garde"/>
          <w:szCs w:val="22"/>
        </w:rPr>
      </w:pPr>
    </w:p>
    <w:p w14:paraId="33BECF98" w14:textId="77777777" w:rsidR="00F643D6" w:rsidRPr="00377FDC" w:rsidRDefault="00F643D6">
      <w:pPr>
        <w:autoSpaceDE w:val="0"/>
        <w:autoSpaceDN w:val="0"/>
        <w:adjustRightInd w:val="0"/>
        <w:spacing w:line="240" w:lineRule="auto"/>
        <w:rPr>
          <w:rFonts w:ascii="ITC Avant Garde" w:hAnsi="ITC Avant Garde"/>
          <w:szCs w:val="22"/>
        </w:rPr>
      </w:pPr>
    </w:p>
    <w:p w14:paraId="512B39E3" w14:textId="6E697BD4" w:rsidR="00FD1358" w:rsidRPr="00377FDC" w:rsidRDefault="00FD1358">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Noveno</w:t>
      </w:r>
    </w:p>
    <w:p w14:paraId="67B4F57A" w14:textId="77777777" w:rsidR="00691C5B" w:rsidRPr="00377FDC" w:rsidRDefault="00691C5B">
      <w:pPr>
        <w:autoSpaceDE w:val="0"/>
        <w:autoSpaceDN w:val="0"/>
        <w:adjustRightInd w:val="0"/>
        <w:spacing w:line="240" w:lineRule="auto"/>
        <w:rPr>
          <w:rFonts w:ascii="ITC Avant Garde" w:hAnsi="ITC Avant Garde"/>
          <w:b/>
          <w:szCs w:val="22"/>
        </w:rPr>
      </w:pPr>
    </w:p>
    <w:p w14:paraId="14B73C9B" w14:textId="77777777" w:rsidR="00F643D6"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F643D6" w:rsidRPr="00377FDC">
        <w:rPr>
          <w:rFonts w:ascii="ITC Avant Garde" w:hAnsi="ITC Avant Garde"/>
          <w:szCs w:val="22"/>
        </w:rPr>
        <w:t xml:space="preserve"> y </w:t>
      </w:r>
      <w:r w:rsidR="00F643D6" w:rsidRPr="00377FDC">
        <w:rPr>
          <w:rFonts w:ascii="ITC Avant Garde" w:hAnsi="ITC Avant Garde"/>
          <w:b/>
          <w:szCs w:val="22"/>
        </w:rPr>
        <w:t xml:space="preserve">Raúl Godoy </w:t>
      </w:r>
      <w:r w:rsidR="00F643D6" w:rsidRPr="00377FDC">
        <w:rPr>
          <w:rFonts w:ascii="ITC Avant Garde" w:hAnsi="ITC Avant Garde"/>
          <w:szCs w:val="22"/>
        </w:rPr>
        <w:t xml:space="preserve">proponen que el AEP debe cubrir las cuotas, tarifas y otros conceptos, establecidas de acuerdo a sus estatutos y reglas de operación, mismas que son impuestas a los otros participantes. </w:t>
      </w:r>
    </w:p>
    <w:p w14:paraId="786964CF" w14:textId="0CA93FA3" w:rsidR="00911B11" w:rsidRPr="00377FDC" w:rsidRDefault="00911B11">
      <w:pPr>
        <w:autoSpaceDE w:val="0"/>
        <w:autoSpaceDN w:val="0"/>
        <w:adjustRightInd w:val="0"/>
        <w:spacing w:line="240" w:lineRule="auto"/>
        <w:rPr>
          <w:rFonts w:ascii="ITC Avant Garde" w:hAnsi="ITC Avant Garde"/>
          <w:szCs w:val="22"/>
        </w:rPr>
      </w:pPr>
      <w:r w:rsidRPr="00377FDC">
        <w:rPr>
          <w:rFonts w:ascii="ITC Avant Garde" w:hAnsi="ITC Avant Garde"/>
          <w:b/>
          <w:szCs w:val="22"/>
        </w:rPr>
        <w:t xml:space="preserve">CUDI </w:t>
      </w:r>
      <w:r w:rsidRPr="00377FDC">
        <w:rPr>
          <w:rFonts w:ascii="ITC Avant Garde" w:hAnsi="ITC Avant Garde"/>
          <w:szCs w:val="22"/>
        </w:rPr>
        <w:t xml:space="preserve">recalca que las obligaciones de continuidad en el intercambio de tráfico de Internet deben ser para todos los miembros o participantes del IXP y no </w:t>
      </w:r>
      <w:r w:rsidR="002A5C45" w:rsidRPr="00377FDC">
        <w:rPr>
          <w:rFonts w:ascii="ITC Avant Garde" w:hAnsi="ITC Avant Garde"/>
          <w:szCs w:val="22"/>
        </w:rPr>
        <w:t>únicamente para AEP.</w:t>
      </w:r>
    </w:p>
    <w:p w14:paraId="7549610A" w14:textId="03F9E18F" w:rsidR="004F338A" w:rsidRPr="00377FDC" w:rsidRDefault="004F338A">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Pr="00377FDC">
        <w:rPr>
          <w:rFonts w:ascii="ITC Avant Garde" w:hAnsi="ITC Avant Garde"/>
          <w:szCs w:val="22"/>
        </w:rPr>
        <w:t xml:space="preserve"> indican que actualmente la infraestructura con la que se cuenta en el punto de intercambio de tráfico de Internet del AEP es redundante.</w:t>
      </w:r>
    </w:p>
    <w:p w14:paraId="1D6C87D7" w14:textId="1A178E35" w:rsidR="00F643D6" w:rsidRPr="00377FDC" w:rsidRDefault="00F643D6">
      <w:pPr>
        <w:autoSpaceDE w:val="0"/>
        <w:autoSpaceDN w:val="0"/>
        <w:adjustRightInd w:val="0"/>
        <w:spacing w:line="240" w:lineRule="auto"/>
        <w:rPr>
          <w:rFonts w:ascii="ITC Avant Garde" w:hAnsi="ITC Avant Garde"/>
          <w:b/>
          <w:szCs w:val="22"/>
        </w:rPr>
      </w:pPr>
    </w:p>
    <w:p w14:paraId="1B1CB1E6" w14:textId="77777777" w:rsidR="004F338A" w:rsidRPr="00377FDC" w:rsidRDefault="004F338A">
      <w:pPr>
        <w:autoSpaceDE w:val="0"/>
        <w:autoSpaceDN w:val="0"/>
        <w:adjustRightInd w:val="0"/>
        <w:spacing w:line="240" w:lineRule="auto"/>
        <w:rPr>
          <w:rFonts w:ascii="ITC Avant Garde" w:hAnsi="ITC Avant Garde"/>
          <w:b/>
          <w:szCs w:val="22"/>
        </w:rPr>
      </w:pPr>
    </w:p>
    <w:p w14:paraId="244EEA31" w14:textId="64F2A305" w:rsidR="004F338A" w:rsidRPr="00377FDC" w:rsidRDefault="000C14A3">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Pr>
          <w:rFonts w:ascii="ITC Avant Garde" w:hAnsi="ITC Avant Garde"/>
          <w:szCs w:val="22"/>
        </w:rPr>
        <w:t>Los lineamientos establece</w:t>
      </w:r>
      <w:r w:rsidR="00CA0400">
        <w:rPr>
          <w:rFonts w:ascii="ITC Avant Garde" w:hAnsi="ITC Avant Garde"/>
          <w:szCs w:val="22"/>
        </w:rPr>
        <w:t>n</w:t>
      </w:r>
      <w:r w:rsidRPr="00377FDC">
        <w:rPr>
          <w:rFonts w:ascii="ITC Avant Garde" w:hAnsi="ITC Avant Garde"/>
          <w:szCs w:val="22"/>
        </w:rPr>
        <w:t xml:space="preserve"> la obligación del AEP</w:t>
      </w:r>
      <w:r>
        <w:rPr>
          <w:rFonts w:ascii="ITC Avant Garde" w:hAnsi="ITC Avant Garde"/>
          <w:szCs w:val="22"/>
        </w:rPr>
        <w:t>, a su costo,</w:t>
      </w:r>
      <w:r w:rsidRPr="00377FDC">
        <w:rPr>
          <w:rFonts w:ascii="ITC Avant Garde" w:hAnsi="ITC Avant Garde"/>
          <w:szCs w:val="22"/>
        </w:rPr>
        <w:t xml:space="preserve"> de tener presencia física en cada uno de los IXP</w:t>
      </w:r>
      <w:r>
        <w:rPr>
          <w:rFonts w:ascii="ITC Avant Garde" w:hAnsi="ITC Avant Garde"/>
          <w:szCs w:val="22"/>
        </w:rPr>
        <w:t xml:space="preserve">. Dicha obligación implica </w:t>
      </w:r>
      <w:r w:rsidRPr="00377FDC">
        <w:rPr>
          <w:rFonts w:ascii="ITC Avant Garde" w:hAnsi="ITC Avant Garde"/>
          <w:szCs w:val="22"/>
        </w:rPr>
        <w:t>establecer la conectividad, capacidad y redundancia requerida, por mencionar las características principales, que permitan el continuo intercambio de tráfico de Inte</w:t>
      </w:r>
      <w:r>
        <w:rPr>
          <w:rFonts w:ascii="ITC Avant Garde" w:hAnsi="ITC Avant Garde"/>
          <w:szCs w:val="22"/>
        </w:rPr>
        <w:t xml:space="preserve">rnet como lo establece la LFTR, por lo que el cobro de cuotas o tarifas queda fuera del alcance de los lineamientos. </w:t>
      </w:r>
      <w:r w:rsidR="002A5C45" w:rsidRPr="00377FDC">
        <w:rPr>
          <w:rFonts w:ascii="ITC Avant Garde" w:hAnsi="ITC Avant Garde"/>
          <w:szCs w:val="22"/>
        </w:rPr>
        <w:t xml:space="preserve">Se hace énfasis que la LFTR, en su artículo 138, fracción VIII establece que la obligación de tener presencia física en los IXP sólo aplica para el AEP de tal forma </w:t>
      </w:r>
      <w:r w:rsidR="004F338A" w:rsidRPr="00377FDC">
        <w:rPr>
          <w:rFonts w:ascii="ITC Avant Garde" w:hAnsi="ITC Avant Garde"/>
          <w:szCs w:val="22"/>
        </w:rPr>
        <w:t xml:space="preserve">que </w:t>
      </w:r>
      <w:r w:rsidR="002A5C45" w:rsidRPr="00377FDC">
        <w:rPr>
          <w:rFonts w:ascii="ITC Avant Garde" w:hAnsi="ITC Avant Garde"/>
          <w:szCs w:val="22"/>
        </w:rPr>
        <w:t>el intercambio de tráfico de Internet sea con los ISPs.</w:t>
      </w:r>
    </w:p>
    <w:p w14:paraId="77A85995" w14:textId="621D69B1" w:rsidR="00F643D6" w:rsidRPr="00377FDC" w:rsidRDefault="00F643D6">
      <w:pPr>
        <w:autoSpaceDE w:val="0"/>
        <w:autoSpaceDN w:val="0"/>
        <w:adjustRightInd w:val="0"/>
        <w:spacing w:line="240" w:lineRule="auto"/>
        <w:rPr>
          <w:rFonts w:ascii="ITC Avant Garde" w:hAnsi="ITC Avant Garde"/>
          <w:szCs w:val="22"/>
        </w:rPr>
      </w:pPr>
    </w:p>
    <w:p w14:paraId="5320EA55" w14:textId="77777777" w:rsidR="00AA3029" w:rsidRDefault="00AA3029">
      <w:pPr>
        <w:autoSpaceDE w:val="0"/>
        <w:autoSpaceDN w:val="0"/>
        <w:adjustRightInd w:val="0"/>
        <w:spacing w:line="240" w:lineRule="auto"/>
        <w:rPr>
          <w:rFonts w:ascii="ITC Avant Garde" w:hAnsi="ITC Avant Garde"/>
          <w:b/>
          <w:szCs w:val="22"/>
        </w:rPr>
      </w:pPr>
    </w:p>
    <w:p w14:paraId="2DD323FE" w14:textId="05A0D1D5" w:rsidR="004E14F1" w:rsidRPr="00377FDC" w:rsidRDefault="004E14F1">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 xml:space="preserve">Lineamiento Décimo </w:t>
      </w:r>
    </w:p>
    <w:p w14:paraId="18189BB8" w14:textId="77777777" w:rsidR="004E14F1" w:rsidRPr="00377FDC" w:rsidRDefault="004E14F1">
      <w:pPr>
        <w:autoSpaceDE w:val="0"/>
        <w:autoSpaceDN w:val="0"/>
        <w:adjustRightInd w:val="0"/>
        <w:spacing w:line="240" w:lineRule="auto"/>
        <w:rPr>
          <w:rFonts w:ascii="ITC Avant Garde" w:hAnsi="ITC Avant Garde"/>
          <w:szCs w:val="22"/>
        </w:rPr>
      </w:pPr>
    </w:p>
    <w:p w14:paraId="031AB086" w14:textId="77777777" w:rsidR="004E14F1" w:rsidRPr="00377FDC" w:rsidRDefault="004E14F1">
      <w:pPr>
        <w:autoSpaceDE w:val="0"/>
        <w:autoSpaceDN w:val="0"/>
        <w:adjustRightInd w:val="0"/>
        <w:spacing w:line="240" w:lineRule="auto"/>
        <w:rPr>
          <w:rFonts w:ascii="ITC Avant Garde" w:hAnsi="ITC Avant Garde"/>
          <w:b/>
          <w:szCs w:val="22"/>
        </w:rPr>
      </w:pPr>
    </w:p>
    <w:p w14:paraId="092F9E32" w14:textId="7AA2DC1E" w:rsidR="00BB0A4C" w:rsidRPr="00377FDC" w:rsidRDefault="004E14F1">
      <w:pPr>
        <w:autoSpaceDE w:val="0"/>
        <w:autoSpaceDN w:val="0"/>
        <w:adjustRightInd w:val="0"/>
        <w:spacing w:line="240" w:lineRule="auto"/>
        <w:rPr>
          <w:rFonts w:ascii="ITC Avant Garde" w:hAnsi="ITC Avant Garde"/>
          <w:szCs w:val="22"/>
        </w:rPr>
      </w:pPr>
      <w:r w:rsidRPr="00377FDC">
        <w:rPr>
          <w:rFonts w:ascii="ITC Avant Garde" w:hAnsi="ITC Avant Garde"/>
          <w:b/>
          <w:szCs w:val="22"/>
        </w:rPr>
        <w:t>CANIETI</w:t>
      </w:r>
      <w:r w:rsidR="00BB0A4C" w:rsidRPr="00377FDC">
        <w:rPr>
          <w:rFonts w:ascii="ITC Avant Garde" w:hAnsi="ITC Avant Garde"/>
          <w:szCs w:val="22"/>
        </w:rPr>
        <w:t xml:space="preserve"> </w:t>
      </w:r>
      <w:r w:rsidRPr="00377FDC">
        <w:rPr>
          <w:rFonts w:ascii="ITC Avant Garde" w:hAnsi="ITC Avant Garde"/>
          <w:b/>
          <w:szCs w:val="22"/>
        </w:rPr>
        <w:t xml:space="preserve">y Bestphone </w:t>
      </w:r>
      <w:r w:rsidR="001F6587" w:rsidRPr="00377FDC">
        <w:rPr>
          <w:rFonts w:ascii="ITC Avant Garde" w:hAnsi="ITC Avant Garde"/>
          <w:szCs w:val="22"/>
        </w:rPr>
        <w:t xml:space="preserve">piden aclarar si el documento del </w:t>
      </w:r>
      <w:r w:rsidR="00012F50">
        <w:rPr>
          <w:rFonts w:ascii="ITC Avant Garde" w:hAnsi="ITC Avant Garde"/>
          <w:szCs w:val="22"/>
        </w:rPr>
        <w:t>A</w:t>
      </w:r>
      <w:r w:rsidR="001F6587" w:rsidRPr="00377FDC">
        <w:rPr>
          <w:rFonts w:ascii="ITC Avant Garde" w:hAnsi="ITC Avant Garde"/>
          <w:szCs w:val="22"/>
        </w:rPr>
        <w:t>nexo I de los lineamientos será la referencia formal para solicitar crecimiento en capacidad al AEP</w:t>
      </w:r>
      <w:r w:rsidR="00BB0A4C" w:rsidRPr="00377FDC">
        <w:rPr>
          <w:rFonts w:ascii="ITC Avant Garde" w:hAnsi="ITC Avant Garde"/>
          <w:szCs w:val="22"/>
        </w:rPr>
        <w:t xml:space="preserve">. Ambos participantes en conjunto con </w:t>
      </w:r>
      <w:r w:rsidR="00BB0A4C" w:rsidRPr="00377FDC">
        <w:rPr>
          <w:rFonts w:ascii="ITC Avant Garde" w:hAnsi="ITC Avant Garde"/>
          <w:b/>
          <w:szCs w:val="22"/>
        </w:rPr>
        <w:t xml:space="preserve">Telefónica </w:t>
      </w:r>
      <w:r w:rsidR="00BB0A4C" w:rsidRPr="00377FDC">
        <w:rPr>
          <w:rFonts w:ascii="ITC Avant Garde" w:hAnsi="ITC Avant Garde"/>
          <w:szCs w:val="22"/>
        </w:rPr>
        <w:t xml:space="preserve">sugieren cambiar de 20 a 10 días, el tiempo que tiene el AEP para atender la solicitud de crecimiento de capacidad. </w:t>
      </w:r>
    </w:p>
    <w:p w14:paraId="45F77A92" w14:textId="6A08DC6E" w:rsidR="004E14F1" w:rsidRPr="00377FDC" w:rsidRDefault="004E14F1">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BB0A4C" w:rsidRPr="00377FDC">
        <w:rPr>
          <w:rFonts w:ascii="ITC Avant Garde" w:hAnsi="ITC Avant Garde"/>
          <w:szCs w:val="22"/>
        </w:rPr>
        <w:t xml:space="preserve"> </w:t>
      </w:r>
      <w:r w:rsidR="005A7D1B" w:rsidRPr="00377FDC">
        <w:rPr>
          <w:rFonts w:ascii="ITC Avant Garde" w:hAnsi="ITC Avant Garde"/>
          <w:szCs w:val="22"/>
        </w:rPr>
        <w:t xml:space="preserve">y </w:t>
      </w:r>
      <w:r w:rsidR="005A7D1B" w:rsidRPr="00377FDC">
        <w:rPr>
          <w:rFonts w:ascii="ITC Avant Garde" w:hAnsi="ITC Avant Garde"/>
          <w:b/>
          <w:szCs w:val="22"/>
        </w:rPr>
        <w:t>CUDI</w:t>
      </w:r>
      <w:r w:rsidR="005A7D1B" w:rsidRPr="00377FDC">
        <w:rPr>
          <w:rFonts w:ascii="ITC Avant Garde" w:hAnsi="ITC Avant Garde"/>
          <w:szCs w:val="22"/>
        </w:rPr>
        <w:t xml:space="preserve"> </w:t>
      </w:r>
      <w:r w:rsidR="00BB0A4C" w:rsidRPr="00377FDC">
        <w:rPr>
          <w:rFonts w:ascii="ITC Avant Garde" w:hAnsi="ITC Avant Garde"/>
          <w:szCs w:val="22"/>
        </w:rPr>
        <w:t>considera</w:t>
      </w:r>
      <w:r w:rsidR="005A7D1B" w:rsidRPr="00377FDC">
        <w:rPr>
          <w:rFonts w:ascii="ITC Avant Garde" w:hAnsi="ITC Avant Garde"/>
          <w:szCs w:val="22"/>
        </w:rPr>
        <w:t>n</w:t>
      </w:r>
      <w:r w:rsidR="00BB0A4C" w:rsidRPr="00377FDC">
        <w:rPr>
          <w:rFonts w:ascii="ITC Avant Garde" w:hAnsi="ITC Avant Garde"/>
          <w:szCs w:val="22"/>
        </w:rPr>
        <w:t xml:space="preserve"> que debe eliminarse la posibilidad de efectuar acuerdos</w:t>
      </w:r>
      <w:r w:rsidR="005A7D1B" w:rsidRPr="00377FDC">
        <w:rPr>
          <w:rFonts w:ascii="ITC Avant Garde" w:hAnsi="ITC Avant Garde"/>
          <w:szCs w:val="22"/>
        </w:rPr>
        <w:t>, por lo que CUDI propone se limite a los 20 días hábiles, el plazo que debe cumplirse para realizar el incremento de capacidad para no dejarlo sujeto a algún tipo de acuerdo entre el AEP y el IXP</w:t>
      </w:r>
      <w:r w:rsidR="00BB0A4C" w:rsidRPr="00377FDC">
        <w:rPr>
          <w:rFonts w:ascii="ITC Avant Garde" w:hAnsi="ITC Avant Garde"/>
          <w:szCs w:val="22"/>
        </w:rPr>
        <w:t xml:space="preserve">. </w:t>
      </w:r>
      <w:r w:rsidR="005A7D1B" w:rsidRPr="00377FDC">
        <w:rPr>
          <w:rFonts w:ascii="ITC Avant Garde" w:hAnsi="ITC Avant Garde"/>
          <w:szCs w:val="22"/>
        </w:rPr>
        <w:t xml:space="preserve">Por otra parte, </w:t>
      </w:r>
      <w:r w:rsidR="005A7D1B" w:rsidRPr="00377FDC">
        <w:rPr>
          <w:rFonts w:ascii="ITC Avant Garde" w:hAnsi="ITC Avant Garde"/>
          <w:b/>
          <w:szCs w:val="22"/>
        </w:rPr>
        <w:t>CITI</w:t>
      </w:r>
      <w:r w:rsidR="004653E5" w:rsidRPr="00377FDC">
        <w:rPr>
          <w:rFonts w:ascii="ITC Avant Garde" w:hAnsi="ITC Avant Garde"/>
          <w:szCs w:val="22"/>
        </w:rPr>
        <w:t xml:space="preserve">, </w:t>
      </w:r>
      <w:r w:rsidRPr="00377FDC">
        <w:rPr>
          <w:rFonts w:ascii="ITC Avant Garde" w:hAnsi="ITC Avant Garde"/>
          <w:b/>
          <w:szCs w:val="22"/>
        </w:rPr>
        <w:t>CUDI</w:t>
      </w:r>
      <w:r w:rsidR="004653E5" w:rsidRPr="00377FDC">
        <w:rPr>
          <w:rFonts w:ascii="ITC Avant Garde" w:hAnsi="ITC Avant Garde"/>
          <w:b/>
          <w:szCs w:val="22"/>
        </w:rPr>
        <w:t xml:space="preserve"> y Raúl Godoy</w:t>
      </w:r>
      <w:r w:rsidR="00BB0A4C" w:rsidRPr="00377FDC">
        <w:rPr>
          <w:rFonts w:ascii="ITC Avant Garde" w:hAnsi="ITC Avant Garde"/>
          <w:szCs w:val="22"/>
        </w:rPr>
        <w:t xml:space="preserve">, sugieren un incremento de capacidad de un 30%. </w:t>
      </w:r>
    </w:p>
    <w:p w14:paraId="422606CF" w14:textId="31A2529C" w:rsidR="004E14F1" w:rsidRPr="00301B41" w:rsidRDefault="004E14F1">
      <w:pPr>
        <w:autoSpaceDE w:val="0"/>
        <w:autoSpaceDN w:val="0"/>
        <w:adjustRightInd w:val="0"/>
        <w:spacing w:line="240" w:lineRule="auto"/>
        <w:rPr>
          <w:rFonts w:ascii="ITC Avant Garde" w:hAnsi="ITC Avant Garde"/>
          <w:color w:val="auto"/>
          <w:szCs w:val="22"/>
        </w:rPr>
      </w:pPr>
      <w:r w:rsidRPr="00301B41">
        <w:rPr>
          <w:rFonts w:ascii="ITC Avant Garde" w:hAnsi="ITC Avant Garde"/>
          <w:b/>
          <w:color w:val="auto"/>
          <w:szCs w:val="22"/>
        </w:rPr>
        <w:lastRenderedPageBreak/>
        <w:t>Telmex</w:t>
      </w:r>
      <w:r w:rsidRPr="00301B41">
        <w:rPr>
          <w:rFonts w:ascii="ITC Avant Garde" w:hAnsi="ITC Avant Garde"/>
          <w:color w:val="auto"/>
          <w:szCs w:val="22"/>
        </w:rPr>
        <w:t xml:space="preserve"> y </w:t>
      </w:r>
      <w:r w:rsidRPr="00301B41">
        <w:rPr>
          <w:rFonts w:ascii="ITC Avant Garde" w:hAnsi="ITC Avant Garde"/>
          <w:b/>
          <w:color w:val="auto"/>
          <w:szCs w:val="22"/>
        </w:rPr>
        <w:t>Telnor</w:t>
      </w:r>
      <w:r w:rsidR="001B2B4F" w:rsidRPr="00301B41">
        <w:rPr>
          <w:rFonts w:ascii="ITC Avant Garde" w:hAnsi="ITC Avant Garde"/>
          <w:b/>
          <w:color w:val="auto"/>
          <w:szCs w:val="22"/>
        </w:rPr>
        <w:t xml:space="preserve"> </w:t>
      </w:r>
      <w:r w:rsidR="001B2B4F" w:rsidRPr="00301B41">
        <w:rPr>
          <w:rFonts w:ascii="ITC Avant Garde" w:hAnsi="ITC Avant Garde"/>
          <w:color w:val="auto"/>
          <w:szCs w:val="22"/>
        </w:rPr>
        <w:t>comenta</w:t>
      </w:r>
      <w:r w:rsidR="00CA5CA3" w:rsidRPr="00301B41">
        <w:rPr>
          <w:rFonts w:ascii="ITC Avant Garde" w:hAnsi="ITC Avant Garde"/>
          <w:color w:val="auto"/>
          <w:szCs w:val="22"/>
        </w:rPr>
        <w:t>n</w:t>
      </w:r>
      <w:r w:rsidR="001B2B4F" w:rsidRPr="00301B41">
        <w:rPr>
          <w:rFonts w:ascii="ITC Avant Garde" w:hAnsi="ITC Avant Garde"/>
          <w:color w:val="auto"/>
          <w:szCs w:val="22"/>
        </w:rPr>
        <w:t xml:space="preserve"> que la metodología P95 tiene base mensual, por lo que solicitan modificar el lineamiento quedando </w:t>
      </w:r>
      <w:r w:rsidR="00CA5CA3" w:rsidRPr="00301B41">
        <w:rPr>
          <w:rFonts w:ascii="ITC Avant Garde" w:hAnsi="ITC Avant Garde"/>
          <w:color w:val="auto"/>
          <w:szCs w:val="22"/>
        </w:rPr>
        <w:t>de manera mensual la referencia para observar aquellos tráficos que rebasen el 80% y no sobre las observaciones de dos días al mes.</w:t>
      </w:r>
    </w:p>
    <w:p w14:paraId="47E00FE3" w14:textId="54E374EA" w:rsidR="004E14F1" w:rsidRPr="00377FDC" w:rsidRDefault="004E14F1">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004653E5" w:rsidRPr="00377FDC">
        <w:rPr>
          <w:rFonts w:ascii="ITC Avant Garde" w:hAnsi="ITC Avant Garde"/>
          <w:szCs w:val="22"/>
        </w:rPr>
        <w:t xml:space="preserve"> expresan que tanto los plazos como los porcentajes aplican de la misma manera en el intercambio de tráfico de </w:t>
      </w:r>
      <w:r w:rsidR="00075A6D">
        <w:rPr>
          <w:rFonts w:ascii="ITC Avant Garde" w:hAnsi="ITC Avant Garde"/>
          <w:szCs w:val="22"/>
        </w:rPr>
        <w:t>I</w:t>
      </w:r>
      <w:r w:rsidR="004653E5" w:rsidRPr="00377FDC">
        <w:rPr>
          <w:rFonts w:ascii="ITC Avant Garde" w:hAnsi="ITC Avant Garde"/>
          <w:szCs w:val="22"/>
        </w:rPr>
        <w:t>nternet en los puntos de intercambio ya establecidos con el AEP.</w:t>
      </w:r>
    </w:p>
    <w:p w14:paraId="7948E391" w14:textId="77777777" w:rsidR="004E14F1" w:rsidRPr="00377FDC" w:rsidRDefault="004E14F1">
      <w:pPr>
        <w:autoSpaceDE w:val="0"/>
        <w:autoSpaceDN w:val="0"/>
        <w:adjustRightInd w:val="0"/>
        <w:spacing w:line="240" w:lineRule="auto"/>
        <w:rPr>
          <w:rFonts w:ascii="ITC Avant Garde" w:hAnsi="ITC Avant Garde"/>
          <w:szCs w:val="22"/>
        </w:rPr>
      </w:pPr>
    </w:p>
    <w:p w14:paraId="7C4F3492" w14:textId="35092554" w:rsidR="004E14F1" w:rsidRPr="00377FDC" w:rsidRDefault="00CD6404">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sidR="00BB0A4C" w:rsidRPr="00377FDC">
        <w:rPr>
          <w:rFonts w:ascii="ITC Avant Garde" w:hAnsi="ITC Avant Garde"/>
          <w:szCs w:val="22"/>
        </w:rPr>
        <w:t xml:space="preserve">El </w:t>
      </w:r>
      <w:r w:rsidR="00075A6D">
        <w:rPr>
          <w:rFonts w:ascii="ITC Avant Garde" w:hAnsi="ITC Avant Garde"/>
          <w:szCs w:val="22"/>
        </w:rPr>
        <w:t>A</w:t>
      </w:r>
      <w:r w:rsidR="00BB0A4C" w:rsidRPr="00377FDC">
        <w:rPr>
          <w:rFonts w:ascii="ITC Avant Garde" w:hAnsi="ITC Avant Garde"/>
          <w:szCs w:val="22"/>
        </w:rPr>
        <w:t xml:space="preserve">nexo I de los lineamientos sólo hace referencia a la entrega de información con fines estadísticos. </w:t>
      </w:r>
    </w:p>
    <w:p w14:paraId="43C66BE3" w14:textId="76BE3048" w:rsidR="00BB0A4C" w:rsidRPr="00377FDC" w:rsidRDefault="001B2B4F">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El plazo de 20 días para dar </w:t>
      </w:r>
      <w:r w:rsidR="00BB0A4C" w:rsidRPr="00377FDC">
        <w:rPr>
          <w:rFonts w:ascii="ITC Avant Garde" w:hAnsi="ITC Avant Garde"/>
          <w:szCs w:val="22"/>
        </w:rPr>
        <w:t>cumplimiento al crecimiento de capacidad</w:t>
      </w:r>
      <w:r w:rsidRPr="00377FDC">
        <w:rPr>
          <w:rFonts w:ascii="ITC Avant Garde" w:hAnsi="ITC Avant Garde"/>
          <w:szCs w:val="22"/>
        </w:rPr>
        <w:t xml:space="preserve"> se mantiene dado que se considera un </w:t>
      </w:r>
      <w:r w:rsidR="00B02D28">
        <w:rPr>
          <w:rFonts w:ascii="ITC Avant Garde" w:hAnsi="ITC Avant Garde"/>
          <w:szCs w:val="22"/>
        </w:rPr>
        <w:t>periodo de tiempo necesario</w:t>
      </w:r>
      <w:r w:rsidRPr="00377FDC">
        <w:rPr>
          <w:rFonts w:ascii="ITC Avant Garde" w:hAnsi="ITC Avant Garde"/>
          <w:szCs w:val="22"/>
        </w:rPr>
        <w:t xml:space="preserve"> para llevar a cabo los trabajos pertinentes</w:t>
      </w:r>
      <w:r w:rsidR="00CD6404">
        <w:rPr>
          <w:rFonts w:ascii="ITC Avant Garde" w:hAnsi="ITC Avant Garde"/>
          <w:szCs w:val="22"/>
        </w:rPr>
        <w:t xml:space="preserve"> e implementar dicho crecimiento</w:t>
      </w:r>
      <w:r w:rsidRPr="00377FDC">
        <w:rPr>
          <w:rFonts w:ascii="ITC Avant Garde" w:hAnsi="ITC Avant Garde"/>
          <w:szCs w:val="22"/>
        </w:rPr>
        <w:t xml:space="preserve">. </w:t>
      </w:r>
    </w:p>
    <w:p w14:paraId="2BC71D1A" w14:textId="794F2C58" w:rsidR="00E30AA2" w:rsidRPr="00377FDC" w:rsidRDefault="00B02D28">
      <w:pPr>
        <w:autoSpaceDE w:val="0"/>
        <w:autoSpaceDN w:val="0"/>
        <w:adjustRightInd w:val="0"/>
        <w:spacing w:line="240" w:lineRule="auto"/>
        <w:rPr>
          <w:rFonts w:ascii="ITC Avant Garde" w:hAnsi="ITC Avant Garde"/>
          <w:color w:val="auto"/>
          <w:szCs w:val="22"/>
        </w:rPr>
      </w:pPr>
      <w:r>
        <w:rPr>
          <w:rFonts w:ascii="ITC Avant Garde" w:hAnsi="ITC Avant Garde"/>
          <w:color w:val="auto"/>
          <w:szCs w:val="22"/>
        </w:rPr>
        <w:t>Por otro lado,</w:t>
      </w:r>
      <w:r w:rsidRPr="00377FDC">
        <w:rPr>
          <w:rFonts w:ascii="ITC Avant Garde" w:hAnsi="ITC Avant Garde"/>
          <w:color w:val="auto"/>
          <w:szCs w:val="22"/>
        </w:rPr>
        <w:t xml:space="preserve"> </w:t>
      </w:r>
      <w:r w:rsidR="00E30AA2" w:rsidRPr="00377FDC">
        <w:rPr>
          <w:rFonts w:ascii="ITC Avant Garde" w:hAnsi="ITC Avant Garde"/>
          <w:color w:val="auto"/>
          <w:szCs w:val="22"/>
        </w:rPr>
        <w:t xml:space="preserve">se </w:t>
      </w:r>
      <w:r w:rsidR="001B2B4F" w:rsidRPr="00377FDC">
        <w:rPr>
          <w:rFonts w:ascii="ITC Avant Garde" w:hAnsi="ITC Avant Garde"/>
          <w:color w:val="auto"/>
          <w:szCs w:val="22"/>
        </w:rPr>
        <w:t xml:space="preserve">agrega y </w:t>
      </w:r>
      <w:r w:rsidR="00E30AA2" w:rsidRPr="00377FDC">
        <w:rPr>
          <w:rFonts w:ascii="ITC Avant Garde" w:hAnsi="ITC Avant Garde"/>
          <w:color w:val="auto"/>
          <w:szCs w:val="22"/>
        </w:rPr>
        <w:t>define</w:t>
      </w:r>
      <w:r w:rsidR="005A7D1B" w:rsidRPr="00377FDC">
        <w:rPr>
          <w:rFonts w:ascii="ITC Avant Garde" w:hAnsi="ITC Avant Garde"/>
          <w:color w:val="auto"/>
          <w:szCs w:val="22"/>
        </w:rPr>
        <w:t xml:space="preserve"> </w:t>
      </w:r>
      <w:r w:rsidR="00E30AA2" w:rsidRPr="00377FDC">
        <w:rPr>
          <w:rFonts w:ascii="ITC Avant Garde" w:hAnsi="ITC Avant Garde"/>
          <w:color w:val="auto"/>
          <w:szCs w:val="22"/>
        </w:rPr>
        <w:t>el porcentaje de crecimiento que deber</w:t>
      </w:r>
      <w:r w:rsidR="005A7D1B" w:rsidRPr="00377FDC">
        <w:rPr>
          <w:rFonts w:ascii="ITC Avant Garde" w:hAnsi="ITC Avant Garde"/>
          <w:color w:val="auto"/>
          <w:szCs w:val="22"/>
        </w:rPr>
        <w:t>á efectuar el AEP</w:t>
      </w:r>
      <w:r w:rsidR="001B2B4F" w:rsidRPr="00377FDC">
        <w:rPr>
          <w:rFonts w:ascii="ITC Avant Garde" w:hAnsi="ITC Avant Garde"/>
          <w:color w:val="auto"/>
          <w:szCs w:val="22"/>
        </w:rPr>
        <w:t xml:space="preserve"> establecido en un 30%</w:t>
      </w:r>
      <w:r w:rsidR="005A7D1B" w:rsidRPr="00377FDC">
        <w:rPr>
          <w:rFonts w:ascii="ITC Avant Garde" w:hAnsi="ITC Avant Garde"/>
          <w:color w:val="auto"/>
          <w:szCs w:val="22"/>
        </w:rPr>
        <w:t>.</w:t>
      </w:r>
    </w:p>
    <w:p w14:paraId="2D1DCA0C" w14:textId="6807B090" w:rsidR="00CA5CA3" w:rsidRPr="00301B41" w:rsidRDefault="00CA5CA3">
      <w:pPr>
        <w:autoSpaceDE w:val="0"/>
        <w:autoSpaceDN w:val="0"/>
        <w:adjustRightInd w:val="0"/>
        <w:spacing w:line="240" w:lineRule="auto"/>
        <w:rPr>
          <w:rFonts w:ascii="ITC Avant Garde" w:hAnsi="ITC Avant Garde"/>
          <w:color w:val="auto"/>
          <w:szCs w:val="22"/>
        </w:rPr>
      </w:pPr>
      <w:r w:rsidRPr="00301B41">
        <w:rPr>
          <w:rFonts w:ascii="ITC Avant Garde" w:hAnsi="ITC Avant Garde"/>
          <w:color w:val="auto"/>
          <w:szCs w:val="22"/>
        </w:rPr>
        <w:t>Se atiende el comentario de Telmex y Telnor</w:t>
      </w:r>
      <w:r w:rsidR="00B02D28">
        <w:rPr>
          <w:rFonts w:ascii="ITC Avant Garde" w:hAnsi="ITC Avant Garde"/>
          <w:color w:val="auto"/>
          <w:szCs w:val="22"/>
        </w:rPr>
        <w:t xml:space="preserve"> y, con base en recomendaciones del ETSI y a UIT, se </w:t>
      </w:r>
      <w:r w:rsidRPr="00301B41">
        <w:rPr>
          <w:rFonts w:ascii="ITC Avant Garde" w:hAnsi="ITC Avant Garde"/>
          <w:color w:val="auto"/>
          <w:szCs w:val="22"/>
        </w:rPr>
        <w:t xml:space="preserve">establece que serán las observaciones de cada mes las que serán evaluadas para identificar el </w:t>
      </w:r>
      <w:r w:rsidR="00B02D28">
        <w:rPr>
          <w:rFonts w:ascii="ITC Avant Garde" w:hAnsi="ITC Avant Garde"/>
          <w:color w:val="auto"/>
          <w:szCs w:val="22"/>
        </w:rPr>
        <w:t>volumen</w:t>
      </w:r>
      <w:r w:rsidR="00B02D28" w:rsidRPr="00301B41">
        <w:rPr>
          <w:rFonts w:ascii="ITC Avant Garde" w:hAnsi="ITC Avant Garde"/>
          <w:color w:val="auto"/>
          <w:szCs w:val="22"/>
        </w:rPr>
        <w:t xml:space="preserve"> </w:t>
      </w:r>
      <w:r w:rsidRPr="00301B41">
        <w:rPr>
          <w:rFonts w:ascii="ITC Avant Garde" w:hAnsi="ITC Avant Garde"/>
          <w:color w:val="auto"/>
          <w:szCs w:val="22"/>
        </w:rPr>
        <w:t xml:space="preserve">de </w:t>
      </w:r>
      <w:r w:rsidR="009E6488" w:rsidRPr="00301B41">
        <w:rPr>
          <w:rFonts w:ascii="ITC Avant Garde" w:hAnsi="ITC Avant Garde"/>
          <w:color w:val="auto"/>
          <w:szCs w:val="22"/>
        </w:rPr>
        <w:t>tráfico superior</w:t>
      </w:r>
      <w:r w:rsidRPr="00301B41">
        <w:rPr>
          <w:rFonts w:ascii="ITC Avant Garde" w:hAnsi="ITC Avant Garde"/>
          <w:color w:val="auto"/>
          <w:szCs w:val="22"/>
        </w:rPr>
        <w:t xml:space="preserve"> al 80%.</w:t>
      </w:r>
    </w:p>
    <w:p w14:paraId="4D36C629" w14:textId="77777777" w:rsidR="00691C5B" w:rsidRPr="00377FDC" w:rsidRDefault="00691C5B">
      <w:pPr>
        <w:autoSpaceDE w:val="0"/>
        <w:autoSpaceDN w:val="0"/>
        <w:adjustRightInd w:val="0"/>
        <w:spacing w:line="240" w:lineRule="auto"/>
        <w:rPr>
          <w:rFonts w:ascii="ITC Avant Garde" w:hAnsi="ITC Avant Garde"/>
          <w:szCs w:val="22"/>
        </w:rPr>
      </w:pPr>
    </w:p>
    <w:p w14:paraId="6F3B5195" w14:textId="77777777" w:rsidR="00DE0331" w:rsidRPr="00377FDC" w:rsidRDefault="00DE0331">
      <w:pPr>
        <w:autoSpaceDE w:val="0"/>
        <w:autoSpaceDN w:val="0"/>
        <w:adjustRightInd w:val="0"/>
        <w:spacing w:line="240" w:lineRule="auto"/>
        <w:rPr>
          <w:rFonts w:ascii="ITC Avant Garde" w:hAnsi="ITC Avant Garde"/>
          <w:szCs w:val="22"/>
        </w:rPr>
      </w:pPr>
    </w:p>
    <w:p w14:paraId="51B5BEB5" w14:textId="77777777" w:rsidR="00DE0331" w:rsidRPr="00377FDC" w:rsidRDefault="00DE0331">
      <w:pPr>
        <w:autoSpaceDE w:val="0"/>
        <w:autoSpaceDN w:val="0"/>
        <w:adjustRightInd w:val="0"/>
        <w:spacing w:line="240" w:lineRule="auto"/>
        <w:rPr>
          <w:rFonts w:ascii="ITC Avant Garde" w:hAnsi="ITC Avant Garde"/>
          <w:szCs w:val="22"/>
        </w:rPr>
      </w:pPr>
    </w:p>
    <w:p w14:paraId="3E714B45" w14:textId="38AB801D" w:rsidR="00FD1358" w:rsidRPr="00377FDC" w:rsidRDefault="00FD1358">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Primero</w:t>
      </w:r>
    </w:p>
    <w:p w14:paraId="1B616438" w14:textId="77777777" w:rsidR="00FD1358" w:rsidRPr="00377FDC" w:rsidRDefault="00FD1358">
      <w:pPr>
        <w:autoSpaceDE w:val="0"/>
        <w:autoSpaceDN w:val="0"/>
        <w:adjustRightInd w:val="0"/>
        <w:spacing w:line="240" w:lineRule="auto"/>
        <w:rPr>
          <w:rFonts w:ascii="ITC Avant Garde" w:hAnsi="ITC Avant Garde"/>
          <w:szCs w:val="22"/>
        </w:rPr>
      </w:pPr>
    </w:p>
    <w:p w14:paraId="70A891E6" w14:textId="77777777" w:rsidR="00691C5B" w:rsidRPr="00377FDC" w:rsidRDefault="00691C5B">
      <w:pPr>
        <w:autoSpaceDE w:val="0"/>
        <w:autoSpaceDN w:val="0"/>
        <w:adjustRightInd w:val="0"/>
        <w:spacing w:line="240" w:lineRule="auto"/>
        <w:rPr>
          <w:rFonts w:ascii="ITC Avant Garde" w:hAnsi="ITC Avant Garde"/>
          <w:b/>
          <w:szCs w:val="22"/>
        </w:rPr>
      </w:pPr>
    </w:p>
    <w:p w14:paraId="1D73387C" w14:textId="2B2C944E"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Pr="00377FDC">
        <w:rPr>
          <w:rFonts w:ascii="ITC Avant Garde" w:hAnsi="ITC Avant Garde"/>
          <w:szCs w:val="22"/>
        </w:rPr>
        <w:t xml:space="preserve"> y </w:t>
      </w:r>
      <w:r w:rsidRPr="00377FDC">
        <w:rPr>
          <w:rFonts w:ascii="ITC Avant Garde" w:hAnsi="ITC Avant Garde"/>
          <w:b/>
          <w:szCs w:val="22"/>
        </w:rPr>
        <w:t>CUDI</w:t>
      </w:r>
      <w:r w:rsidR="00DE0331" w:rsidRPr="00377FDC">
        <w:rPr>
          <w:rFonts w:ascii="ITC Avant Garde" w:hAnsi="ITC Avant Garde"/>
          <w:b/>
          <w:szCs w:val="22"/>
        </w:rPr>
        <w:t xml:space="preserve"> </w:t>
      </w:r>
      <w:r w:rsidR="00B0765F">
        <w:rPr>
          <w:rFonts w:ascii="ITC Avant Garde" w:hAnsi="ITC Avant Garde"/>
          <w:szCs w:val="22"/>
        </w:rPr>
        <w:t>son</w:t>
      </w:r>
      <w:r w:rsidR="00E1547A" w:rsidRPr="00377FDC">
        <w:rPr>
          <w:rFonts w:ascii="ITC Avant Garde" w:hAnsi="ITC Avant Garde"/>
          <w:szCs w:val="22"/>
        </w:rPr>
        <w:t xml:space="preserve"> de la opinión que el </w:t>
      </w:r>
      <w:r w:rsidR="00DE0331" w:rsidRPr="00377FDC">
        <w:rPr>
          <w:rFonts w:ascii="ITC Avant Garde" w:hAnsi="ITC Avant Garde"/>
          <w:szCs w:val="22"/>
        </w:rPr>
        <w:t xml:space="preserve">intercambio de tráfico debe ser gratuito entre el AEP y los ISP u otros agentes económicos participantes del IXP sin el cobro de ninguna contraprestación entre las partes. Con base en esto, se sugiere que las condiciones de no </w:t>
      </w:r>
      <w:r w:rsidR="00B0765F" w:rsidRPr="00377FDC">
        <w:rPr>
          <w:rFonts w:ascii="ITC Avant Garde" w:hAnsi="ITC Avant Garde"/>
          <w:szCs w:val="22"/>
        </w:rPr>
        <w:t>discrim</w:t>
      </w:r>
      <w:r w:rsidR="00B0765F">
        <w:rPr>
          <w:rFonts w:ascii="ITC Avant Garde" w:hAnsi="ITC Avant Garde"/>
          <w:szCs w:val="22"/>
        </w:rPr>
        <w:t>ina</w:t>
      </w:r>
      <w:r w:rsidR="00B0765F" w:rsidRPr="00377FDC">
        <w:rPr>
          <w:rFonts w:ascii="ITC Avant Garde" w:hAnsi="ITC Avant Garde"/>
          <w:szCs w:val="22"/>
        </w:rPr>
        <w:t>ción</w:t>
      </w:r>
      <w:r w:rsidR="00DE0331" w:rsidRPr="00377FDC">
        <w:rPr>
          <w:rFonts w:ascii="ITC Avant Garde" w:hAnsi="ITC Avant Garde"/>
          <w:szCs w:val="22"/>
        </w:rPr>
        <w:t xml:space="preserve"> e igualdad en el trato sean referidas a la calidad en el servicio ofrecido por AEP.</w:t>
      </w:r>
    </w:p>
    <w:p w14:paraId="14334CE1" w14:textId="24477E81"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Pr="00377FDC">
        <w:rPr>
          <w:rFonts w:ascii="ITC Avant Garde" w:hAnsi="ITC Avant Garde"/>
          <w:szCs w:val="22"/>
        </w:rPr>
        <w:t xml:space="preserve"> </w:t>
      </w:r>
      <w:r w:rsidR="00E1547A" w:rsidRPr="00377FDC">
        <w:rPr>
          <w:rFonts w:ascii="ITC Avant Garde" w:hAnsi="ITC Avant Garde"/>
          <w:szCs w:val="22"/>
        </w:rPr>
        <w:t>indican que las especificaciones de conectividad con el AEP aplican de la misma manera para todos los concesionarios que se interconectan, quedando estipuladas en los contratos respectivos.</w:t>
      </w:r>
    </w:p>
    <w:p w14:paraId="18232B17" w14:textId="77777777" w:rsidR="00FD1358" w:rsidRPr="00377FDC" w:rsidRDefault="00FD1358">
      <w:pPr>
        <w:autoSpaceDE w:val="0"/>
        <w:autoSpaceDN w:val="0"/>
        <w:adjustRightInd w:val="0"/>
        <w:spacing w:line="240" w:lineRule="auto"/>
        <w:rPr>
          <w:rFonts w:ascii="ITC Avant Garde" w:hAnsi="ITC Avant Garde"/>
          <w:szCs w:val="22"/>
        </w:rPr>
      </w:pPr>
    </w:p>
    <w:p w14:paraId="1838CB81" w14:textId="2506249C" w:rsidR="00FD1358" w:rsidRPr="00377FDC" w:rsidRDefault="00B0765F">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sidR="00047BCE" w:rsidRPr="00377FDC">
        <w:rPr>
          <w:rFonts w:ascii="ITC Avant Garde" w:hAnsi="ITC Avant Garde"/>
          <w:szCs w:val="22"/>
        </w:rPr>
        <w:t xml:space="preserve">Se atiende la sugerencia de </w:t>
      </w:r>
      <w:r w:rsidR="00047BCE" w:rsidRPr="00377FDC">
        <w:rPr>
          <w:rFonts w:ascii="ITC Avant Garde" w:hAnsi="ITC Avant Garde"/>
          <w:b/>
          <w:szCs w:val="22"/>
        </w:rPr>
        <w:t>CITI</w:t>
      </w:r>
      <w:r w:rsidR="00047BCE" w:rsidRPr="00377FDC">
        <w:rPr>
          <w:rFonts w:ascii="ITC Avant Garde" w:hAnsi="ITC Avant Garde"/>
          <w:szCs w:val="22"/>
        </w:rPr>
        <w:t xml:space="preserve"> y </w:t>
      </w:r>
      <w:r w:rsidR="00047BCE" w:rsidRPr="00377FDC">
        <w:rPr>
          <w:rFonts w:ascii="ITC Avant Garde" w:hAnsi="ITC Avant Garde"/>
          <w:b/>
          <w:szCs w:val="22"/>
        </w:rPr>
        <w:t>CUDI</w:t>
      </w:r>
      <w:r w:rsidR="00047BCE" w:rsidRPr="00377FDC">
        <w:rPr>
          <w:rFonts w:ascii="ITC Avant Garde" w:hAnsi="ITC Avant Garde"/>
          <w:szCs w:val="22"/>
        </w:rPr>
        <w:t xml:space="preserve"> y se especifica en el lineamiento que el intercambio </w:t>
      </w:r>
      <w:r w:rsidR="004F179B">
        <w:rPr>
          <w:rFonts w:ascii="ITC Avant Garde" w:hAnsi="ITC Avant Garde"/>
          <w:szCs w:val="22"/>
        </w:rPr>
        <w:t xml:space="preserve">interno </w:t>
      </w:r>
      <w:r w:rsidR="00047BCE" w:rsidRPr="00377FDC">
        <w:rPr>
          <w:rFonts w:ascii="ITC Avant Garde" w:hAnsi="ITC Avant Garde"/>
          <w:szCs w:val="22"/>
        </w:rPr>
        <w:t>de tráfico debe ser bajo las mismas condiciones de disponibilidad, seguridad y calidad de servicio, entre otras, que el AEP emplee en su propia operación o preste a través de sus afiliadas, filiales, subsidiarias o empresas que pertenezcan al mismo grupo de interés económico.</w:t>
      </w:r>
    </w:p>
    <w:p w14:paraId="59278F03" w14:textId="77777777" w:rsidR="00FD1358" w:rsidRPr="00377FDC" w:rsidRDefault="00FD1358">
      <w:pPr>
        <w:autoSpaceDE w:val="0"/>
        <w:autoSpaceDN w:val="0"/>
        <w:adjustRightInd w:val="0"/>
        <w:spacing w:line="240" w:lineRule="auto"/>
        <w:rPr>
          <w:rFonts w:ascii="ITC Avant Garde" w:hAnsi="ITC Avant Garde"/>
          <w:szCs w:val="22"/>
        </w:rPr>
      </w:pPr>
    </w:p>
    <w:p w14:paraId="61860069" w14:textId="77777777" w:rsidR="00D80EDD" w:rsidRPr="00377FDC" w:rsidRDefault="00D80EDD">
      <w:pPr>
        <w:autoSpaceDE w:val="0"/>
        <w:autoSpaceDN w:val="0"/>
        <w:adjustRightInd w:val="0"/>
        <w:spacing w:line="240" w:lineRule="auto"/>
        <w:rPr>
          <w:rFonts w:ascii="ITC Avant Garde" w:hAnsi="ITC Avant Garde"/>
          <w:szCs w:val="22"/>
        </w:rPr>
      </w:pPr>
    </w:p>
    <w:p w14:paraId="44975A3D" w14:textId="4A318391" w:rsidR="00FD1358" w:rsidRPr="00377FDC" w:rsidRDefault="00FD1358">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Segundo</w:t>
      </w:r>
    </w:p>
    <w:p w14:paraId="495D01CA" w14:textId="77777777" w:rsidR="00691C5B" w:rsidRPr="00377FDC" w:rsidRDefault="00691C5B">
      <w:pPr>
        <w:autoSpaceDE w:val="0"/>
        <w:autoSpaceDN w:val="0"/>
        <w:adjustRightInd w:val="0"/>
        <w:spacing w:line="240" w:lineRule="auto"/>
        <w:rPr>
          <w:rFonts w:ascii="ITC Avant Garde" w:hAnsi="ITC Avant Garde"/>
          <w:b/>
          <w:szCs w:val="22"/>
        </w:rPr>
      </w:pPr>
    </w:p>
    <w:p w14:paraId="34728481" w14:textId="0A5BFDC4" w:rsidR="00D80EDD"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D80EDD" w:rsidRPr="00377FDC">
        <w:rPr>
          <w:rFonts w:ascii="ITC Avant Garde" w:hAnsi="ITC Avant Garde"/>
          <w:b/>
          <w:szCs w:val="22"/>
        </w:rPr>
        <w:t xml:space="preserve"> </w:t>
      </w:r>
      <w:r w:rsidR="00D80EDD" w:rsidRPr="00377FDC">
        <w:rPr>
          <w:rFonts w:ascii="ITC Avant Garde" w:hAnsi="ITC Avant Garde"/>
          <w:szCs w:val="22"/>
        </w:rPr>
        <w:t>comenta que este lineamiento tiene el mismo objetivo que el anterior por lo que debe eliminarse.</w:t>
      </w:r>
    </w:p>
    <w:p w14:paraId="621F73C2" w14:textId="3AE9C5B5"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lastRenderedPageBreak/>
        <w:t>CUDI</w:t>
      </w:r>
      <w:r w:rsidR="00167DB3" w:rsidRPr="00377FDC">
        <w:rPr>
          <w:rFonts w:ascii="ITC Avant Garde" w:hAnsi="ITC Avant Garde"/>
          <w:b/>
          <w:szCs w:val="22"/>
        </w:rPr>
        <w:t xml:space="preserve"> </w:t>
      </w:r>
      <w:r w:rsidR="00167DB3" w:rsidRPr="00377FDC">
        <w:rPr>
          <w:rFonts w:ascii="ITC Avant Garde" w:hAnsi="ITC Avant Garde"/>
          <w:szCs w:val="22"/>
        </w:rPr>
        <w:t>señala que los IXP son los que deberían especificar las condiciones requeridas para el intercambio de tráfico de Internet para no dejar que sean las mismas que utiliza el AEP. Dado que puede ocurrir que no se cumplan con las condiciones necesarias requeridas por el IXP.</w:t>
      </w:r>
    </w:p>
    <w:p w14:paraId="6A4AB2BD" w14:textId="260AE27F" w:rsidR="00F51177" w:rsidRPr="00377FDC" w:rsidRDefault="00F51177"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especificar que los lineamientos sólo aplican para el tráfico de Internet que se intercambia de manera local o nacional.</w:t>
      </w:r>
    </w:p>
    <w:p w14:paraId="447D9EDF" w14:textId="5D8964F2" w:rsidR="00691C5B" w:rsidRPr="00377FDC" w:rsidRDefault="00691C5B" w:rsidP="0039427F">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00F51177" w:rsidRPr="00377FDC">
        <w:rPr>
          <w:rFonts w:ascii="ITC Avant Garde" w:hAnsi="ITC Avant Garde"/>
          <w:szCs w:val="22"/>
        </w:rPr>
        <w:t xml:space="preserve"> co</w:t>
      </w:r>
      <w:r w:rsidR="007873C1" w:rsidRPr="00377FDC">
        <w:rPr>
          <w:rFonts w:ascii="ITC Avant Garde" w:hAnsi="ITC Avant Garde"/>
          <w:szCs w:val="22"/>
        </w:rPr>
        <w:t>mentan que las especificaciones de conectividad con el AEP aplican de la misma manera para todos los concesionarios que se interconectan, quedando estipuladas en los contratos respectivos.</w:t>
      </w:r>
    </w:p>
    <w:p w14:paraId="76AC2326" w14:textId="77777777" w:rsidR="00FD1358" w:rsidRPr="00377FDC" w:rsidRDefault="00FD1358">
      <w:pPr>
        <w:autoSpaceDE w:val="0"/>
        <w:autoSpaceDN w:val="0"/>
        <w:adjustRightInd w:val="0"/>
        <w:spacing w:line="240" w:lineRule="auto"/>
        <w:rPr>
          <w:rFonts w:ascii="ITC Avant Garde" w:hAnsi="ITC Avant Garde"/>
          <w:szCs w:val="22"/>
        </w:rPr>
      </w:pPr>
    </w:p>
    <w:p w14:paraId="44CD5B38" w14:textId="4BFE83C6" w:rsidR="00FD1358" w:rsidRPr="00377FDC" w:rsidRDefault="00DF4A39">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Pr>
          <w:rFonts w:ascii="ITC Avant Garde" w:hAnsi="ITC Avant Garde"/>
          <w:szCs w:val="22"/>
        </w:rPr>
        <w:t xml:space="preserve">Se atiende el comentario de CITI y </w:t>
      </w:r>
      <w:r w:rsidRPr="00377FDC">
        <w:rPr>
          <w:rFonts w:ascii="ITC Avant Garde" w:hAnsi="ITC Avant Garde"/>
          <w:szCs w:val="22"/>
        </w:rPr>
        <w:t xml:space="preserve">se </w:t>
      </w:r>
      <w:r w:rsidR="003307B3">
        <w:rPr>
          <w:rFonts w:ascii="ITC Avant Garde" w:hAnsi="ITC Avant Garde"/>
          <w:szCs w:val="22"/>
        </w:rPr>
        <w:t>modifica</w:t>
      </w:r>
      <w:r w:rsidR="003307B3" w:rsidRPr="00377FDC">
        <w:rPr>
          <w:rFonts w:ascii="ITC Avant Garde" w:hAnsi="ITC Avant Garde"/>
          <w:szCs w:val="22"/>
        </w:rPr>
        <w:t xml:space="preserve"> </w:t>
      </w:r>
      <w:r>
        <w:rPr>
          <w:rFonts w:ascii="ITC Avant Garde" w:hAnsi="ITC Avant Garde"/>
          <w:szCs w:val="22"/>
        </w:rPr>
        <w:t>l</w:t>
      </w:r>
      <w:r w:rsidR="00D80EDD" w:rsidRPr="00377FDC">
        <w:rPr>
          <w:rFonts w:ascii="ITC Avant Garde" w:hAnsi="ITC Avant Garde"/>
          <w:szCs w:val="22"/>
        </w:rPr>
        <w:t xml:space="preserve">a redacción del lineamiento Décimo Primero con la del lineamiento Décimo Segundo, eliminando </w:t>
      </w:r>
      <w:r w:rsidR="003307B3">
        <w:rPr>
          <w:rFonts w:ascii="ITC Avant Garde" w:hAnsi="ITC Avant Garde"/>
          <w:szCs w:val="22"/>
        </w:rPr>
        <w:t>e</w:t>
      </w:r>
      <w:r w:rsidR="00D80EDD" w:rsidRPr="00377FDC">
        <w:rPr>
          <w:rFonts w:ascii="ITC Avant Garde" w:hAnsi="ITC Avant Garde"/>
          <w:szCs w:val="22"/>
        </w:rPr>
        <w:t xml:space="preserve">ste último. </w:t>
      </w:r>
    </w:p>
    <w:p w14:paraId="60489237" w14:textId="2568B5D6" w:rsidR="00167DB3" w:rsidRPr="00377FDC" w:rsidRDefault="00DF4A39">
      <w:pPr>
        <w:autoSpaceDE w:val="0"/>
        <w:autoSpaceDN w:val="0"/>
        <w:adjustRightInd w:val="0"/>
        <w:spacing w:line="240" w:lineRule="auto"/>
        <w:rPr>
          <w:rFonts w:ascii="ITC Avant Garde" w:hAnsi="ITC Avant Garde"/>
          <w:szCs w:val="22"/>
        </w:rPr>
      </w:pPr>
      <w:r>
        <w:rPr>
          <w:rFonts w:ascii="ITC Avant Garde" w:hAnsi="ITC Avant Garde"/>
          <w:szCs w:val="22"/>
        </w:rPr>
        <w:t>Por otro lado, l</w:t>
      </w:r>
      <w:r w:rsidR="00167DB3" w:rsidRPr="00377FDC">
        <w:rPr>
          <w:rFonts w:ascii="ITC Avant Garde" w:hAnsi="ITC Avant Garde"/>
          <w:szCs w:val="22"/>
        </w:rPr>
        <w:t>os lineamientos establecen que las condiciones que preste el AEP deben ser igual o mejores a las brindadas a las empresas de su mismo grupo de interés.</w:t>
      </w:r>
    </w:p>
    <w:p w14:paraId="10E6BC4A" w14:textId="17F7C277" w:rsidR="00F51177" w:rsidRPr="00377FDC" w:rsidRDefault="00F51177">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En cuanto al comentario de Telmex y Telnor, </w:t>
      </w:r>
      <w:r w:rsidR="00206D58">
        <w:rPr>
          <w:rFonts w:ascii="ITC Avant Garde" w:hAnsi="ITC Avant Garde" w:cs="ITC Avant Garde"/>
          <w:szCs w:val="22"/>
        </w:rPr>
        <w:t xml:space="preserve">la definición de Intercambio de tráfico, en el lineamiento Tercero, </w:t>
      </w:r>
      <w:r w:rsidR="003307B3">
        <w:rPr>
          <w:rFonts w:ascii="ITC Avant Garde" w:hAnsi="ITC Avant Garde" w:cs="ITC Avant Garde"/>
          <w:szCs w:val="22"/>
        </w:rPr>
        <w:t xml:space="preserve">se </w:t>
      </w:r>
      <w:r w:rsidR="003307B3">
        <w:rPr>
          <w:rFonts w:ascii="ITC Avant Garde" w:hAnsi="ITC Avant Garde"/>
          <w:szCs w:val="22"/>
        </w:rPr>
        <w:t>aclara que el intercambio interno de tráfico a que hace referencia lo establecido en la LFTR, se refiere a</w:t>
      </w:r>
      <w:r w:rsidR="003307B3">
        <w:rPr>
          <w:rFonts w:ascii="ITC Avant Garde" w:hAnsi="ITC Avant Garde" w:cs="ITC Avant Garde"/>
          <w:szCs w:val="22"/>
        </w:rPr>
        <w:t xml:space="preserve"> </w:t>
      </w:r>
      <w:r w:rsidR="00206D58">
        <w:rPr>
          <w:rFonts w:ascii="ITC Avant Garde" w:hAnsi="ITC Avant Garde" w:cs="ITC Avant Garde"/>
          <w:szCs w:val="22"/>
        </w:rPr>
        <w:t>la conducción de tráfico nacional.</w:t>
      </w:r>
    </w:p>
    <w:p w14:paraId="732C9897" w14:textId="77777777" w:rsidR="00F51177" w:rsidRPr="00377FDC" w:rsidRDefault="00F51177">
      <w:pPr>
        <w:autoSpaceDE w:val="0"/>
        <w:autoSpaceDN w:val="0"/>
        <w:adjustRightInd w:val="0"/>
        <w:spacing w:line="240" w:lineRule="auto"/>
        <w:rPr>
          <w:rFonts w:ascii="ITC Avant Garde" w:hAnsi="ITC Avant Garde"/>
          <w:szCs w:val="22"/>
        </w:rPr>
      </w:pPr>
    </w:p>
    <w:p w14:paraId="55E3DC8B" w14:textId="77777777" w:rsidR="00FD1358" w:rsidRPr="00377FDC" w:rsidRDefault="00FD1358">
      <w:pPr>
        <w:autoSpaceDE w:val="0"/>
        <w:autoSpaceDN w:val="0"/>
        <w:adjustRightInd w:val="0"/>
        <w:spacing w:line="240" w:lineRule="auto"/>
        <w:rPr>
          <w:rFonts w:ascii="ITC Avant Garde" w:hAnsi="ITC Avant Garde"/>
          <w:szCs w:val="22"/>
        </w:rPr>
      </w:pPr>
    </w:p>
    <w:p w14:paraId="0B8EB3F9" w14:textId="2993CB86"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Tercero</w:t>
      </w:r>
    </w:p>
    <w:p w14:paraId="3DB1D202" w14:textId="77777777" w:rsidR="00691C5B" w:rsidRPr="00377FDC" w:rsidRDefault="00691C5B">
      <w:pPr>
        <w:autoSpaceDE w:val="0"/>
        <w:autoSpaceDN w:val="0"/>
        <w:adjustRightInd w:val="0"/>
        <w:spacing w:line="240" w:lineRule="auto"/>
        <w:rPr>
          <w:rFonts w:ascii="ITC Avant Garde" w:hAnsi="ITC Avant Garde"/>
          <w:b/>
          <w:szCs w:val="22"/>
        </w:rPr>
      </w:pPr>
    </w:p>
    <w:p w14:paraId="338B826B" w14:textId="132B158E" w:rsidR="00091290"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091290" w:rsidRPr="00377FDC">
        <w:rPr>
          <w:rFonts w:ascii="ITC Avant Garde" w:hAnsi="ITC Avant Garde"/>
          <w:szCs w:val="22"/>
        </w:rPr>
        <w:t xml:space="preserve"> </w:t>
      </w:r>
      <w:r w:rsidR="00A01CAF" w:rsidRPr="00377FDC">
        <w:rPr>
          <w:rFonts w:ascii="ITC Avant Garde" w:hAnsi="ITC Avant Garde"/>
          <w:szCs w:val="22"/>
        </w:rPr>
        <w:t xml:space="preserve">sugiere especificar que además de establecer el utilizar el protocolo BGP se agregue </w:t>
      </w:r>
      <w:r w:rsidR="00B12C01">
        <w:rPr>
          <w:rFonts w:ascii="ITC Avant Garde" w:hAnsi="ITC Avant Garde"/>
          <w:szCs w:val="22"/>
        </w:rPr>
        <w:t>la propuesta de</w:t>
      </w:r>
      <w:r w:rsidR="00A01CAF" w:rsidRPr="00377FDC">
        <w:rPr>
          <w:rFonts w:ascii="ITC Avant Garde" w:hAnsi="ITC Avant Garde"/>
          <w:szCs w:val="22"/>
        </w:rPr>
        <w:t xml:space="preserve"> recurrir a lo establecido en las normas técnicas del IXP.</w:t>
      </w:r>
    </w:p>
    <w:p w14:paraId="488E83D9" w14:textId="75CF1F8E"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CUDI</w:t>
      </w:r>
      <w:r w:rsidR="00A01CAF" w:rsidRPr="00377FDC">
        <w:rPr>
          <w:rFonts w:ascii="ITC Avant Garde" w:hAnsi="ITC Avant Garde"/>
          <w:b/>
          <w:szCs w:val="22"/>
        </w:rPr>
        <w:t xml:space="preserve"> </w:t>
      </w:r>
      <w:r w:rsidR="00A01CAF" w:rsidRPr="00377FDC">
        <w:rPr>
          <w:rFonts w:ascii="ITC Avant Garde" w:hAnsi="ITC Avant Garde"/>
          <w:szCs w:val="22"/>
        </w:rPr>
        <w:t xml:space="preserve">propone completar el lineamiento con la condición de que lo establecido en éste, acerca del </w:t>
      </w:r>
      <w:r w:rsidR="00B12C01" w:rsidRPr="00377FDC">
        <w:rPr>
          <w:rFonts w:ascii="ITC Avant Garde" w:hAnsi="ITC Avant Garde"/>
          <w:szCs w:val="22"/>
        </w:rPr>
        <w:t>protocolo de</w:t>
      </w:r>
      <w:r w:rsidR="00A01CAF" w:rsidRPr="00377FDC">
        <w:rPr>
          <w:rFonts w:ascii="ITC Avant Garde" w:hAnsi="ITC Avant Garde"/>
          <w:szCs w:val="22"/>
        </w:rPr>
        <w:t xml:space="preserve"> intercambio de Internet, se aplique siempre y cuando se cumpla el lineamiento </w:t>
      </w:r>
      <w:r w:rsidR="00EF2ED7">
        <w:rPr>
          <w:rFonts w:ascii="ITC Avant Garde" w:hAnsi="ITC Avant Garde"/>
          <w:szCs w:val="22"/>
        </w:rPr>
        <w:t>O</w:t>
      </w:r>
      <w:r w:rsidR="00A01CAF" w:rsidRPr="00377FDC">
        <w:rPr>
          <w:rFonts w:ascii="ITC Avant Garde" w:hAnsi="ITC Avant Garde"/>
          <w:szCs w:val="22"/>
        </w:rPr>
        <w:t>ctavo.</w:t>
      </w:r>
    </w:p>
    <w:p w14:paraId="23738AAC" w14:textId="7BBF018F"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Pr="00377FDC">
        <w:rPr>
          <w:rFonts w:ascii="ITC Avant Garde" w:hAnsi="ITC Avant Garde"/>
          <w:szCs w:val="22"/>
        </w:rPr>
        <w:t xml:space="preserve"> </w:t>
      </w:r>
      <w:r w:rsidR="00D82083" w:rsidRPr="00377FDC">
        <w:rPr>
          <w:rFonts w:ascii="ITC Avant Garde" w:hAnsi="ITC Avant Garde"/>
          <w:szCs w:val="22"/>
        </w:rPr>
        <w:t xml:space="preserve">manifiestan que en la actualidad, el intercambio de tráfico de Internet con el AEP y los concesionarios, se maneja con el protocolo de enrutamiento BGP-4. </w:t>
      </w:r>
      <w:r w:rsidR="004B1AF4" w:rsidRPr="00377FDC">
        <w:rPr>
          <w:rFonts w:ascii="ITC Avant Garde" w:hAnsi="ITC Avant Garde"/>
          <w:szCs w:val="22"/>
        </w:rPr>
        <w:t>S</w:t>
      </w:r>
      <w:r w:rsidR="00D82083" w:rsidRPr="00377FDC">
        <w:rPr>
          <w:rFonts w:ascii="ITC Avant Garde" w:hAnsi="ITC Avant Garde"/>
          <w:szCs w:val="22"/>
        </w:rPr>
        <w:t>olicita</w:t>
      </w:r>
      <w:r w:rsidR="004B1AF4" w:rsidRPr="00377FDC">
        <w:rPr>
          <w:rFonts w:ascii="ITC Avant Garde" w:hAnsi="ITC Avant Garde"/>
          <w:szCs w:val="22"/>
        </w:rPr>
        <w:t>n</w:t>
      </w:r>
      <w:r w:rsidR="00D82083" w:rsidRPr="00377FDC">
        <w:rPr>
          <w:rFonts w:ascii="ITC Avant Garde" w:hAnsi="ITC Avant Garde"/>
          <w:szCs w:val="22"/>
        </w:rPr>
        <w:t xml:space="preserve"> incluir un apartado para poder incorporar una solución de Black Hole Filtering en caso de así desearlo</w:t>
      </w:r>
      <w:r w:rsidR="004B1AF4" w:rsidRPr="00377FDC">
        <w:rPr>
          <w:rFonts w:ascii="ITC Avant Garde" w:hAnsi="ITC Avant Garde"/>
          <w:szCs w:val="22"/>
        </w:rPr>
        <w:t>, lo cual</w:t>
      </w:r>
      <w:r w:rsidR="00D82083" w:rsidRPr="00377FDC">
        <w:rPr>
          <w:rFonts w:ascii="ITC Avant Garde" w:hAnsi="ITC Avant Garde"/>
          <w:szCs w:val="22"/>
        </w:rPr>
        <w:t xml:space="preserve"> permitiría mitigar ataques masivos en </w:t>
      </w:r>
      <w:r w:rsidR="004B1AF4" w:rsidRPr="00377FDC">
        <w:rPr>
          <w:rFonts w:ascii="ITC Avant Garde" w:hAnsi="ITC Avant Garde"/>
          <w:szCs w:val="22"/>
        </w:rPr>
        <w:t>los puntos</w:t>
      </w:r>
      <w:r w:rsidR="00D82083" w:rsidRPr="00377FDC">
        <w:rPr>
          <w:rFonts w:ascii="ITC Avant Garde" w:hAnsi="ITC Avant Garde"/>
          <w:szCs w:val="22"/>
        </w:rPr>
        <w:t xml:space="preserve"> de interconexión. </w:t>
      </w:r>
    </w:p>
    <w:p w14:paraId="56CAA5DD" w14:textId="77777777" w:rsidR="00E9448D" w:rsidRPr="00377FDC" w:rsidRDefault="00E9448D">
      <w:pPr>
        <w:autoSpaceDE w:val="0"/>
        <w:autoSpaceDN w:val="0"/>
        <w:adjustRightInd w:val="0"/>
        <w:spacing w:line="240" w:lineRule="auto"/>
        <w:rPr>
          <w:rFonts w:ascii="ITC Avant Garde" w:hAnsi="ITC Avant Garde"/>
          <w:szCs w:val="22"/>
        </w:rPr>
      </w:pPr>
    </w:p>
    <w:p w14:paraId="3749E48E" w14:textId="3E42130C" w:rsidR="00E9448D" w:rsidRPr="00377FDC" w:rsidRDefault="00B12C01">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sidR="00A01CAF" w:rsidRPr="00377FDC">
        <w:rPr>
          <w:rFonts w:ascii="ITC Avant Garde" w:hAnsi="ITC Avant Garde"/>
          <w:szCs w:val="22"/>
        </w:rPr>
        <w:t>Se considera que el lineamiento ya contempla lo propuesto por CITI con la redacción “…o, en su caso, aquél que el AEP y los ISPs miembros</w:t>
      </w:r>
      <w:r w:rsidR="00AB0A50">
        <w:rPr>
          <w:rFonts w:ascii="ITC Avant Garde" w:hAnsi="ITC Avant Garde"/>
          <w:szCs w:val="22"/>
        </w:rPr>
        <w:t xml:space="preserve"> del IXP acuerden</w:t>
      </w:r>
      <w:r w:rsidR="00A01CAF" w:rsidRPr="00377FDC">
        <w:rPr>
          <w:rFonts w:ascii="ITC Avant Garde" w:hAnsi="ITC Avant Garde"/>
          <w:szCs w:val="22"/>
        </w:rPr>
        <w:t xml:space="preserve">…”. </w:t>
      </w:r>
    </w:p>
    <w:p w14:paraId="4FE3B79D" w14:textId="16EC0FE5" w:rsidR="00A01CAF" w:rsidRPr="00377FDC" w:rsidRDefault="00A01CAF">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El lineamiento octavo es de carácter obligatorio </w:t>
      </w:r>
      <w:r w:rsidR="00B12C01">
        <w:rPr>
          <w:rFonts w:ascii="ITC Avant Garde" w:hAnsi="ITC Avant Garde"/>
          <w:szCs w:val="22"/>
        </w:rPr>
        <w:t>e</w:t>
      </w:r>
      <w:r w:rsidR="00B12C01" w:rsidRPr="00377FDC">
        <w:rPr>
          <w:rFonts w:ascii="ITC Avant Garde" w:hAnsi="ITC Avant Garde"/>
          <w:szCs w:val="22"/>
        </w:rPr>
        <w:t xml:space="preserve"> independiente</w:t>
      </w:r>
      <w:r w:rsidRPr="00377FDC">
        <w:rPr>
          <w:rFonts w:ascii="ITC Avant Garde" w:hAnsi="ITC Avant Garde"/>
          <w:szCs w:val="22"/>
        </w:rPr>
        <w:t xml:space="preserve"> de la obligatoriedad de utilizar el protocolo BGP como lo establece este lineamiento.</w:t>
      </w:r>
      <w:r w:rsidR="00B12C01">
        <w:rPr>
          <w:rFonts w:ascii="ITC Avant Garde" w:hAnsi="ITC Avant Garde"/>
          <w:szCs w:val="22"/>
        </w:rPr>
        <w:t xml:space="preserve"> Por lo que hace al comentario de </w:t>
      </w:r>
      <w:r w:rsidR="00B12C01" w:rsidRPr="00B12C01">
        <w:rPr>
          <w:rFonts w:ascii="ITC Avant Garde" w:hAnsi="ITC Avant Garde"/>
          <w:szCs w:val="22"/>
        </w:rPr>
        <w:t>Axtel, Alestra y Avantel</w:t>
      </w:r>
      <w:r w:rsidR="00B12C01">
        <w:rPr>
          <w:rFonts w:ascii="ITC Avant Garde" w:hAnsi="ITC Avant Garde"/>
          <w:szCs w:val="22"/>
        </w:rPr>
        <w:t xml:space="preserve">, las cuestiones de seguridad ya se encuentran consideradas en el lineamiento </w:t>
      </w:r>
      <w:r w:rsidR="00AB0A50">
        <w:rPr>
          <w:rFonts w:ascii="ITC Avant Garde" w:hAnsi="ITC Avant Garde"/>
          <w:szCs w:val="22"/>
        </w:rPr>
        <w:t>octavo</w:t>
      </w:r>
      <w:r w:rsidR="00B12C01">
        <w:rPr>
          <w:rFonts w:ascii="ITC Avant Garde" w:hAnsi="ITC Avant Garde"/>
          <w:szCs w:val="22"/>
        </w:rPr>
        <w:t>.</w:t>
      </w:r>
    </w:p>
    <w:p w14:paraId="5DA65582" w14:textId="77777777" w:rsidR="00FD1358" w:rsidRPr="00377FDC" w:rsidRDefault="00FD1358">
      <w:pPr>
        <w:autoSpaceDE w:val="0"/>
        <w:autoSpaceDN w:val="0"/>
        <w:adjustRightInd w:val="0"/>
        <w:spacing w:line="240" w:lineRule="auto"/>
        <w:rPr>
          <w:rFonts w:ascii="ITC Avant Garde" w:hAnsi="ITC Avant Garde"/>
          <w:szCs w:val="22"/>
        </w:rPr>
      </w:pPr>
    </w:p>
    <w:p w14:paraId="692302F2" w14:textId="0EFBA883"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Cuarto</w:t>
      </w:r>
    </w:p>
    <w:p w14:paraId="7F34F8B8" w14:textId="77777777" w:rsidR="00E9448D" w:rsidRPr="00377FDC" w:rsidRDefault="00E9448D">
      <w:pPr>
        <w:autoSpaceDE w:val="0"/>
        <w:autoSpaceDN w:val="0"/>
        <w:adjustRightInd w:val="0"/>
        <w:spacing w:line="240" w:lineRule="auto"/>
        <w:rPr>
          <w:rFonts w:ascii="ITC Avant Garde" w:hAnsi="ITC Avant Garde"/>
          <w:szCs w:val="22"/>
        </w:rPr>
      </w:pPr>
    </w:p>
    <w:p w14:paraId="78E2FAC2" w14:textId="25FA77D5"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CITI</w:t>
      </w:r>
      <w:r w:rsidRPr="00377FDC">
        <w:rPr>
          <w:rFonts w:ascii="ITC Avant Garde" w:hAnsi="ITC Avant Garde"/>
          <w:szCs w:val="22"/>
        </w:rPr>
        <w:t xml:space="preserve"> y </w:t>
      </w:r>
      <w:r w:rsidRPr="00377FDC">
        <w:rPr>
          <w:rFonts w:ascii="ITC Avant Garde" w:hAnsi="ITC Avant Garde"/>
          <w:b/>
          <w:szCs w:val="22"/>
        </w:rPr>
        <w:t>CUDI</w:t>
      </w:r>
      <w:r w:rsidR="00793BB8" w:rsidRPr="00377FDC">
        <w:rPr>
          <w:rFonts w:ascii="ITC Avant Garde" w:hAnsi="ITC Avant Garde"/>
          <w:b/>
          <w:szCs w:val="22"/>
        </w:rPr>
        <w:t xml:space="preserve"> </w:t>
      </w:r>
      <w:r w:rsidR="00793BB8" w:rsidRPr="00377FDC">
        <w:rPr>
          <w:rFonts w:ascii="ITC Avant Garde" w:hAnsi="ITC Avant Garde"/>
          <w:szCs w:val="22"/>
        </w:rPr>
        <w:t xml:space="preserve">resaltan que el intercambio de </w:t>
      </w:r>
      <w:r w:rsidR="00EF2ED7">
        <w:rPr>
          <w:rFonts w:ascii="ITC Avant Garde" w:hAnsi="ITC Avant Garde"/>
          <w:szCs w:val="22"/>
        </w:rPr>
        <w:t>I</w:t>
      </w:r>
      <w:r w:rsidR="00793BB8" w:rsidRPr="00377FDC">
        <w:rPr>
          <w:rFonts w:ascii="ITC Avant Garde" w:hAnsi="ITC Avant Garde"/>
          <w:szCs w:val="22"/>
        </w:rPr>
        <w:t>nternet debe ser entre el AEP y todos los participantes del IXP.</w:t>
      </w:r>
    </w:p>
    <w:p w14:paraId="38E40FFA" w14:textId="6AF0CE9E"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00B65CFC" w:rsidRPr="00377FDC">
        <w:rPr>
          <w:rFonts w:ascii="ITC Avant Garde" w:hAnsi="ITC Avant Garde"/>
          <w:szCs w:val="22"/>
        </w:rPr>
        <w:t xml:space="preserve"> solicitan no excluir el protocolo IPv4, ya que aún existen concesionarios que lo siguen manejando.</w:t>
      </w:r>
    </w:p>
    <w:p w14:paraId="00A07074" w14:textId="77777777" w:rsidR="00E9448D" w:rsidRPr="00377FDC" w:rsidRDefault="00E9448D">
      <w:pPr>
        <w:autoSpaceDE w:val="0"/>
        <w:autoSpaceDN w:val="0"/>
        <w:adjustRightInd w:val="0"/>
        <w:spacing w:line="240" w:lineRule="auto"/>
        <w:rPr>
          <w:rFonts w:ascii="ITC Avant Garde" w:hAnsi="ITC Avant Garde"/>
          <w:szCs w:val="22"/>
        </w:rPr>
      </w:pPr>
    </w:p>
    <w:p w14:paraId="7595ED26" w14:textId="3D8B7AB3" w:rsidR="00793BB8" w:rsidRPr="00377FDC" w:rsidRDefault="00421A80">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sidR="00793BB8" w:rsidRPr="00377FDC">
        <w:rPr>
          <w:rFonts w:ascii="ITC Avant Garde" w:hAnsi="ITC Avant Garde"/>
          <w:szCs w:val="22"/>
        </w:rPr>
        <w:t>Se hace énfasis que la LFTR, en su artículo 138, fracción VIII establece que la obligación de tener presencia física en los IXP sólo aplica para el AEP de tal forma que el intercambio de tráfico de Internet sea con los ISP.</w:t>
      </w:r>
    </w:p>
    <w:p w14:paraId="33336E9F" w14:textId="7FA9BD84" w:rsidR="00B65CFC" w:rsidRPr="00377FDC" w:rsidRDefault="00B65CFC">
      <w:pPr>
        <w:autoSpaceDE w:val="0"/>
        <w:autoSpaceDN w:val="0"/>
        <w:adjustRightInd w:val="0"/>
        <w:spacing w:line="240" w:lineRule="auto"/>
        <w:rPr>
          <w:rFonts w:ascii="ITC Avant Garde" w:hAnsi="ITC Avant Garde"/>
          <w:szCs w:val="22"/>
        </w:rPr>
      </w:pPr>
      <w:r w:rsidRPr="00377FDC">
        <w:rPr>
          <w:rFonts w:ascii="ITC Avant Garde" w:hAnsi="ITC Avant Garde"/>
          <w:szCs w:val="22"/>
        </w:rPr>
        <w:t>De acuerdo a la redacción del lineamiento, no se excluye la utilización del protocolo IPv4.</w:t>
      </w:r>
    </w:p>
    <w:p w14:paraId="03EFC5AC" w14:textId="77777777" w:rsidR="00FD1358" w:rsidRDefault="00FD1358">
      <w:pPr>
        <w:autoSpaceDE w:val="0"/>
        <w:autoSpaceDN w:val="0"/>
        <w:adjustRightInd w:val="0"/>
        <w:spacing w:line="240" w:lineRule="auto"/>
        <w:rPr>
          <w:rFonts w:ascii="ITC Avant Garde" w:hAnsi="ITC Avant Garde"/>
          <w:szCs w:val="22"/>
        </w:rPr>
      </w:pPr>
    </w:p>
    <w:p w14:paraId="0EA431D3" w14:textId="77777777" w:rsidR="00EF2ED7" w:rsidRPr="00377FDC" w:rsidRDefault="00EF2ED7">
      <w:pPr>
        <w:autoSpaceDE w:val="0"/>
        <w:autoSpaceDN w:val="0"/>
        <w:adjustRightInd w:val="0"/>
        <w:spacing w:line="240" w:lineRule="auto"/>
        <w:rPr>
          <w:rFonts w:ascii="ITC Avant Garde" w:hAnsi="ITC Avant Garde"/>
          <w:szCs w:val="22"/>
        </w:rPr>
      </w:pPr>
    </w:p>
    <w:p w14:paraId="0C43196D" w14:textId="2858EEDE"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Quinto</w:t>
      </w:r>
    </w:p>
    <w:p w14:paraId="053318FB" w14:textId="77777777" w:rsidR="00E9448D" w:rsidRPr="00377FDC" w:rsidRDefault="00E9448D">
      <w:pPr>
        <w:autoSpaceDE w:val="0"/>
        <w:autoSpaceDN w:val="0"/>
        <w:adjustRightInd w:val="0"/>
        <w:spacing w:line="240" w:lineRule="auto"/>
        <w:rPr>
          <w:rFonts w:ascii="ITC Avant Garde" w:hAnsi="ITC Avant Garde"/>
          <w:szCs w:val="22"/>
        </w:rPr>
      </w:pPr>
    </w:p>
    <w:p w14:paraId="311C48CC" w14:textId="77777777" w:rsidR="00691C5B" w:rsidRPr="00377FDC" w:rsidRDefault="00691C5B">
      <w:pPr>
        <w:autoSpaceDE w:val="0"/>
        <w:autoSpaceDN w:val="0"/>
        <w:adjustRightInd w:val="0"/>
        <w:spacing w:line="240" w:lineRule="auto"/>
        <w:rPr>
          <w:rFonts w:ascii="ITC Avant Garde" w:hAnsi="ITC Avant Garde"/>
          <w:b/>
          <w:szCs w:val="22"/>
        </w:rPr>
      </w:pPr>
    </w:p>
    <w:p w14:paraId="25219347" w14:textId="6983C1EB" w:rsidR="00691C5B" w:rsidRPr="00301B41" w:rsidRDefault="00691C5B">
      <w:pPr>
        <w:autoSpaceDE w:val="0"/>
        <w:autoSpaceDN w:val="0"/>
        <w:adjustRightInd w:val="0"/>
        <w:spacing w:line="240" w:lineRule="auto"/>
        <w:rPr>
          <w:rFonts w:ascii="ITC Avant Garde" w:hAnsi="ITC Avant Garde"/>
          <w:b/>
          <w:color w:val="auto"/>
          <w:szCs w:val="22"/>
        </w:rPr>
      </w:pPr>
      <w:r w:rsidRPr="00301B41">
        <w:rPr>
          <w:rFonts w:ascii="ITC Avant Garde" w:hAnsi="ITC Avant Garde"/>
          <w:b/>
          <w:color w:val="auto"/>
          <w:szCs w:val="22"/>
        </w:rPr>
        <w:t>CANIETI</w:t>
      </w:r>
      <w:r w:rsidR="00802954" w:rsidRPr="00301B41">
        <w:rPr>
          <w:rFonts w:ascii="ITC Avant Garde" w:hAnsi="ITC Avant Garde"/>
          <w:color w:val="auto"/>
          <w:szCs w:val="22"/>
        </w:rPr>
        <w:t xml:space="preserve"> y </w:t>
      </w:r>
      <w:r w:rsidR="00421A80" w:rsidRPr="00301B41">
        <w:rPr>
          <w:rFonts w:ascii="ITC Avant Garde" w:hAnsi="ITC Avant Garde"/>
          <w:b/>
          <w:color w:val="auto"/>
          <w:szCs w:val="22"/>
        </w:rPr>
        <w:t xml:space="preserve">Telefónica </w:t>
      </w:r>
      <w:r w:rsidR="00421A80" w:rsidRPr="00301B41">
        <w:rPr>
          <w:rFonts w:ascii="ITC Avant Garde" w:hAnsi="ITC Avant Garde"/>
          <w:color w:val="auto"/>
          <w:szCs w:val="22"/>
        </w:rPr>
        <w:t>aconsejan</w:t>
      </w:r>
      <w:r w:rsidR="001006E3" w:rsidRPr="00301B41">
        <w:rPr>
          <w:rFonts w:ascii="ITC Avant Garde" w:hAnsi="ITC Avant Garde"/>
          <w:color w:val="auto"/>
          <w:szCs w:val="22"/>
        </w:rPr>
        <w:t xml:space="preserve"> utilizar el verbo propagar en lugar de anunciar, para lo que se refiere el dar a conocer las rutas.</w:t>
      </w:r>
    </w:p>
    <w:p w14:paraId="5C12D06A" w14:textId="70652857" w:rsidR="005828CE"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CITI</w:t>
      </w:r>
      <w:r w:rsidR="005828CE" w:rsidRPr="00377FDC">
        <w:rPr>
          <w:rFonts w:ascii="ITC Avant Garde" w:hAnsi="ITC Avant Garde"/>
          <w:szCs w:val="22"/>
        </w:rPr>
        <w:t xml:space="preserve"> </w:t>
      </w:r>
      <w:r w:rsidR="005D3C69" w:rsidRPr="00377FDC">
        <w:rPr>
          <w:rFonts w:ascii="ITC Avant Garde" w:hAnsi="ITC Avant Garde"/>
          <w:szCs w:val="22"/>
        </w:rPr>
        <w:t xml:space="preserve">y </w:t>
      </w:r>
      <w:r w:rsidR="005D3C69" w:rsidRPr="00377FDC">
        <w:rPr>
          <w:rFonts w:ascii="ITC Avant Garde" w:hAnsi="ITC Avant Garde"/>
          <w:b/>
          <w:szCs w:val="22"/>
        </w:rPr>
        <w:t>CUDI</w:t>
      </w:r>
      <w:r w:rsidR="005D3C69" w:rsidRPr="00377FDC">
        <w:rPr>
          <w:rFonts w:ascii="ITC Avant Garde" w:hAnsi="ITC Avant Garde"/>
          <w:szCs w:val="22"/>
        </w:rPr>
        <w:t xml:space="preserve"> </w:t>
      </w:r>
      <w:r w:rsidR="005828CE" w:rsidRPr="00377FDC">
        <w:rPr>
          <w:rFonts w:ascii="ITC Avant Garde" w:hAnsi="ITC Avant Garde"/>
          <w:szCs w:val="22"/>
        </w:rPr>
        <w:t>opina</w:t>
      </w:r>
      <w:r w:rsidR="005D3C69" w:rsidRPr="00377FDC">
        <w:rPr>
          <w:rFonts w:ascii="ITC Avant Garde" w:hAnsi="ITC Avant Garde"/>
          <w:szCs w:val="22"/>
        </w:rPr>
        <w:t>n</w:t>
      </w:r>
      <w:r w:rsidR="005828CE" w:rsidRPr="00377FDC">
        <w:rPr>
          <w:rFonts w:ascii="ITC Avant Garde" w:hAnsi="ITC Avant Garde"/>
          <w:szCs w:val="22"/>
        </w:rPr>
        <w:t xml:space="preserve"> que la obligación de este lineamiento debe ser asimétrica para el AEP, es decir, que sólo éste anuncie la totalidad de sus rutas a los clientes y acepte todas las rutas enviadas por los participantes del IXP; y no que sea una obligación equitativa tanto para el AEP como para los participantes del IXP.</w:t>
      </w:r>
    </w:p>
    <w:p w14:paraId="594E04DA" w14:textId="77777777" w:rsidR="00FC6A75" w:rsidRPr="00377FDC" w:rsidRDefault="00FC6A75"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el especificar que los lineamientos sólo aplican para el tráfico de Internet que se intercambia de manera local o nacional.</w:t>
      </w:r>
    </w:p>
    <w:p w14:paraId="0F87C0AA" w14:textId="56DDBAF5" w:rsidR="00DB1771" w:rsidRPr="00377FDC" w:rsidRDefault="00691C5B" w:rsidP="0039427F">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00DB1771" w:rsidRPr="00377FDC">
        <w:rPr>
          <w:rFonts w:ascii="ITC Avant Garde" w:hAnsi="ITC Avant Garde"/>
          <w:szCs w:val="22"/>
        </w:rPr>
        <w:t xml:space="preserve"> recomiendan establecer el detalle del mecanismo de actualización de las rutas que contenga: </w:t>
      </w:r>
      <w:r w:rsidR="002E3F02">
        <w:rPr>
          <w:rFonts w:ascii="ITC Avant Garde" w:hAnsi="ITC Avant Garde"/>
          <w:szCs w:val="22"/>
        </w:rPr>
        <w:t>l</w:t>
      </w:r>
      <w:r w:rsidR="00DB1771" w:rsidRPr="00377FDC">
        <w:rPr>
          <w:rFonts w:ascii="ITC Avant Garde" w:hAnsi="ITC Avant Garde"/>
          <w:szCs w:val="22"/>
        </w:rPr>
        <w:t xml:space="preserve">os periodos y plazos de actualización, definición en los contratos de las áreas de contactos técnicos para solicitar actualizaciones, el establecimiento en los contratos de los responsables del mantenimientos de las rutas, el establecimiento en los contratos del horario en que puede llevarse a cabo la actualización y otros términos. </w:t>
      </w:r>
    </w:p>
    <w:p w14:paraId="114828DF" w14:textId="77777777" w:rsidR="00925733" w:rsidRPr="00377FDC" w:rsidRDefault="00925733">
      <w:pPr>
        <w:autoSpaceDE w:val="0"/>
        <w:autoSpaceDN w:val="0"/>
        <w:adjustRightInd w:val="0"/>
        <w:spacing w:line="240" w:lineRule="auto"/>
        <w:rPr>
          <w:rFonts w:ascii="ITC Avant Garde" w:hAnsi="ITC Avant Garde"/>
          <w:szCs w:val="22"/>
        </w:rPr>
      </w:pPr>
    </w:p>
    <w:p w14:paraId="2D0F5C2F" w14:textId="792A94A9" w:rsidR="00E9448D" w:rsidRPr="00301B41" w:rsidRDefault="002E3F02">
      <w:pPr>
        <w:autoSpaceDE w:val="0"/>
        <w:autoSpaceDN w:val="0"/>
        <w:adjustRightInd w:val="0"/>
        <w:spacing w:line="240" w:lineRule="auto"/>
        <w:rPr>
          <w:rFonts w:ascii="ITC Avant Garde" w:hAnsi="ITC Avant Garde"/>
          <w:b/>
          <w:color w:val="auto"/>
          <w:szCs w:val="22"/>
        </w:rPr>
      </w:pPr>
      <w:r w:rsidRPr="00301B41">
        <w:rPr>
          <w:rFonts w:ascii="ITC Avant Garde" w:hAnsi="ITC Avant Garde"/>
          <w:b/>
          <w:color w:val="auto"/>
        </w:rPr>
        <w:t xml:space="preserve">Respuesta. </w:t>
      </w:r>
      <w:r w:rsidR="00921ACE" w:rsidRPr="00301B41">
        <w:rPr>
          <w:rFonts w:ascii="ITC Avant Garde" w:hAnsi="ITC Avant Garde"/>
          <w:color w:val="auto"/>
          <w:szCs w:val="22"/>
        </w:rPr>
        <w:t xml:space="preserve">Se </w:t>
      </w:r>
      <w:r w:rsidR="008540EF">
        <w:rPr>
          <w:rFonts w:ascii="ITC Avant Garde" w:hAnsi="ITC Avant Garde"/>
          <w:color w:val="auto"/>
          <w:szCs w:val="22"/>
        </w:rPr>
        <w:t xml:space="preserve">mantiene el verbo anunciar ya que en la mayoría de la literatura se </w:t>
      </w:r>
      <w:r w:rsidR="00BE112C">
        <w:rPr>
          <w:rFonts w:ascii="ITC Avant Garde" w:hAnsi="ITC Avant Garde"/>
          <w:color w:val="auto"/>
          <w:szCs w:val="22"/>
        </w:rPr>
        <w:t xml:space="preserve">encuentra </w:t>
      </w:r>
      <w:r w:rsidR="008540EF">
        <w:rPr>
          <w:rFonts w:ascii="ITC Avant Garde" w:hAnsi="ITC Avant Garde"/>
          <w:color w:val="auto"/>
          <w:szCs w:val="22"/>
        </w:rPr>
        <w:t xml:space="preserve">de esta manera. </w:t>
      </w:r>
    </w:p>
    <w:p w14:paraId="1CCAB8AE" w14:textId="179AABAA" w:rsidR="005828CE" w:rsidRPr="00377FDC" w:rsidRDefault="005828CE">
      <w:pPr>
        <w:autoSpaceDE w:val="0"/>
        <w:autoSpaceDN w:val="0"/>
        <w:adjustRightInd w:val="0"/>
        <w:spacing w:line="240" w:lineRule="auto"/>
        <w:rPr>
          <w:rFonts w:ascii="ITC Avant Garde" w:hAnsi="ITC Avant Garde"/>
          <w:szCs w:val="22"/>
        </w:rPr>
      </w:pPr>
      <w:r w:rsidRPr="00377FDC">
        <w:rPr>
          <w:rFonts w:ascii="ITC Avant Garde" w:hAnsi="ITC Avant Garde"/>
          <w:szCs w:val="22"/>
        </w:rPr>
        <w:t>Se</w:t>
      </w:r>
      <w:r w:rsidR="005D3C69" w:rsidRPr="00377FDC">
        <w:rPr>
          <w:rFonts w:ascii="ITC Avant Garde" w:hAnsi="ITC Avant Garde"/>
          <w:szCs w:val="22"/>
        </w:rPr>
        <w:t xml:space="preserve"> </w:t>
      </w:r>
      <w:r w:rsidR="008540EF">
        <w:rPr>
          <w:rFonts w:ascii="ITC Avant Garde" w:hAnsi="ITC Avant Garde"/>
          <w:szCs w:val="22"/>
        </w:rPr>
        <w:t>atiende el comentario de CITI y CUDI y se modifica la redacción reflejando la asimetría</w:t>
      </w:r>
      <w:r w:rsidR="005D3C69" w:rsidRPr="00377FDC">
        <w:rPr>
          <w:rFonts w:ascii="ITC Avant Garde" w:hAnsi="ITC Avant Garde"/>
          <w:szCs w:val="22"/>
        </w:rPr>
        <w:t>.</w:t>
      </w:r>
    </w:p>
    <w:p w14:paraId="6F205030" w14:textId="268CD4E6" w:rsidR="00FC6A75" w:rsidRPr="00377FDC" w:rsidRDefault="00FC6A75">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En cuanto al comentario de Telmex y Telnor, </w:t>
      </w:r>
      <w:r w:rsidR="008540EF">
        <w:rPr>
          <w:rFonts w:ascii="ITC Avant Garde" w:hAnsi="ITC Avant Garde" w:cs="ITC Avant Garde"/>
          <w:szCs w:val="22"/>
        </w:rPr>
        <w:t>la definición de Intercambio de tráfico, en el lineamiento Tercero,</w:t>
      </w:r>
      <w:r w:rsidR="00BE112C">
        <w:rPr>
          <w:rFonts w:ascii="ITC Avant Garde" w:hAnsi="ITC Avant Garde" w:cs="ITC Avant Garde"/>
          <w:szCs w:val="22"/>
        </w:rPr>
        <w:t xml:space="preserve"> se </w:t>
      </w:r>
      <w:r w:rsidR="00BE112C">
        <w:rPr>
          <w:rFonts w:ascii="ITC Avant Garde" w:hAnsi="ITC Avant Garde"/>
          <w:szCs w:val="22"/>
        </w:rPr>
        <w:t>aclara que el intercambio interno de tráfico a que hace referencia lo establecido en la LFTR, se refiere a</w:t>
      </w:r>
      <w:r w:rsidR="008540EF">
        <w:rPr>
          <w:rFonts w:ascii="ITC Avant Garde" w:hAnsi="ITC Avant Garde" w:cs="ITC Avant Garde"/>
          <w:szCs w:val="22"/>
        </w:rPr>
        <w:t xml:space="preserve"> la conducción de tráfico nacional.</w:t>
      </w:r>
    </w:p>
    <w:p w14:paraId="4068EB62" w14:textId="64CA65F3" w:rsidR="00DB1771" w:rsidRPr="00377FDC" w:rsidRDefault="00DB1771">
      <w:pPr>
        <w:autoSpaceDE w:val="0"/>
        <w:autoSpaceDN w:val="0"/>
        <w:adjustRightInd w:val="0"/>
        <w:spacing w:line="240" w:lineRule="auto"/>
        <w:rPr>
          <w:rFonts w:ascii="ITC Avant Garde" w:hAnsi="ITC Avant Garde"/>
          <w:szCs w:val="22"/>
        </w:rPr>
      </w:pPr>
      <w:r w:rsidRPr="00377FDC">
        <w:rPr>
          <w:rFonts w:ascii="ITC Avant Garde" w:hAnsi="ITC Avant Garde"/>
          <w:szCs w:val="22"/>
        </w:rPr>
        <w:t>También se menciona que las obligaciones contractuales entre los ISPs y el AEP quedan fuera del alcance de los lineamientos.</w:t>
      </w:r>
    </w:p>
    <w:p w14:paraId="6EE61867" w14:textId="77777777" w:rsidR="00E9448D" w:rsidRPr="00377FDC" w:rsidRDefault="00E9448D">
      <w:pPr>
        <w:autoSpaceDE w:val="0"/>
        <w:autoSpaceDN w:val="0"/>
        <w:adjustRightInd w:val="0"/>
        <w:spacing w:line="240" w:lineRule="auto"/>
        <w:rPr>
          <w:rFonts w:ascii="ITC Avant Garde" w:hAnsi="ITC Avant Garde"/>
          <w:szCs w:val="22"/>
        </w:rPr>
      </w:pPr>
    </w:p>
    <w:p w14:paraId="4084FAF5" w14:textId="38D7E85D"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Sexto</w:t>
      </w:r>
    </w:p>
    <w:p w14:paraId="489C5D99" w14:textId="77777777" w:rsidR="00E9448D" w:rsidRPr="00377FDC" w:rsidRDefault="00E9448D">
      <w:pPr>
        <w:autoSpaceDE w:val="0"/>
        <w:autoSpaceDN w:val="0"/>
        <w:adjustRightInd w:val="0"/>
        <w:spacing w:line="240" w:lineRule="auto"/>
        <w:rPr>
          <w:rFonts w:ascii="ITC Avant Garde" w:hAnsi="ITC Avant Garde"/>
          <w:szCs w:val="22"/>
        </w:rPr>
      </w:pPr>
    </w:p>
    <w:p w14:paraId="06BEB155" w14:textId="08D75F49"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CUDI</w:t>
      </w:r>
      <w:r w:rsidR="00161E19" w:rsidRPr="00377FDC">
        <w:rPr>
          <w:rFonts w:ascii="ITC Avant Garde" w:hAnsi="ITC Avant Garde"/>
          <w:b/>
          <w:szCs w:val="22"/>
        </w:rPr>
        <w:t xml:space="preserve"> </w:t>
      </w:r>
      <w:r w:rsidR="00161E19" w:rsidRPr="00377FDC">
        <w:rPr>
          <w:rFonts w:ascii="ITC Avant Garde" w:hAnsi="ITC Avant Garde"/>
          <w:szCs w:val="22"/>
        </w:rPr>
        <w:t>es de la opinión que el plazo para que el AEP tenga presencia física en los IXPs debe ser un tiempo flexible dependiendo de las condiciones requeridas por los mismos IXPs.</w:t>
      </w:r>
    </w:p>
    <w:p w14:paraId="7FFA15FB" w14:textId="7A02C715" w:rsidR="00386B06"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00161E19" w:rsidRPr="00377FDC">
        <w:rPr>
          <w:rFonts w:ascii="ITC Avant Garde" w:hAnsi="ITC Avant Garde"/>
          <w:szCs w:val="22"/>
        </w:rPr>
        <w:t xml:space="preserve"> también recomiendan que el plazo de implementación sea un acuerdo previo entre el AEP y los concesionarios.</w:t>
      </w:r>
    </w:p>
    <w:p w14:paraId="1D7EAC20" w14:textId="77777777" w:rsidR="00E9448D" w:rsidRPr="00377FDC" w:rsidRDefault="00E9448D">
      <w:pPr>
        <w:autoSpaceDE w:val="0"/>
        <w:autoSpaceDN w:val="0"/>
        <w:adjustRightInd w:val="0"/>
        <w:spacing w:line="240" w:lineRule="auto"/>
        <w:rPr>
          <w:rFonts w:ascii="ITC Avant Garde" w:hAnsi="ITC Avant Garde"/>
          <w:szCs w:val="22"/>
        </w:rPr>
      </w:pPr>
    </w:p>
    <w:p w14:paraId="1F9DFBA1" w14:textId="2731E071" w:rsidR="00E9448D" w:rsidRPr="00377FDC" w:rsidRDefault="00052E94">
      <w:pPr>
        <w:autoSpaceDE w:val="0"/>
        <w:autoSpaceDN w:val="0"/>
        <w:adjustRightInd w:val="0"/>
        <w:spacing w:line="240" w:lineRule="auto"/>
        <w:rPr>
          <w:rFonts w:ascii="ITC Avant Garde" w:hAnsi="ITC Avant Garde"/>
          <w:szCs w:val="22"/>
        </w:rPr>
      </w:pPr>
      <w:r w:rsidRPr="003C7CAF">
        <w:rPr>
          <w:rFonts w:ascii="ITC Avant Garde" w:hAnsi="ITC Avant Garde"/>
          <w:b/>
        </w:rPr>
        <w:lastRenderedPageBreak/>
        <w:t>Respuesta.</w:t>
      </w:r>
      <w:r>
        <w:rPr>
          <w:rFonts w:ascii="ITC Avant Garde" w:hAnsi="ITC Avant Garde"/>
          <w:b/>
        </w:rPr>
        <w:t xml:space="preserve"> </w:t>
      </w:r>
      <w:r w:rsidR="00161E19" w:rsidRPr="00377FDC">
        <w:rPr>
          <w:rFonts w:ascii="ITC Avant Garde" w:hAnsi="ITC Avant Garde"/>
          <w:szCs w:val="22"/>
        </w:rPr>
        <w:t xml:space="preserve">Se considera que el plazo propuesto en consulta de 90 días es un tiempo </w:t>
      </w:r>
      <w:r>
        <w:rPr>
          <w:rFonts w:ascii="ITC Avant Garde" w:hAnsi="ITC Avant Garde"/>
          <w:szCs w:val="22"/>
        </w:rPr>
        <w:t>suficiente para llevar a cabo los trabajos necesarios para establecer la presencia física del AEP como lo son el establecimiento de conectividad, redundancia, etc</w:t>
      </w:r>
      <w:r w:rsidR="00161E19" w:rsidRPr="00377FDC">
        <w:rPr>
          <w:rFonts w:ascii="ITC Avant Garde" w:hAnsi="ITC Avant Garde"/>
          <w:szCs w:val="22"/>
        </w:rPr>
        <w:t>. Sin embargo, se toma en cuenta los comentarios para fijar este plazo como el máximo pudiendo entonces que el AEP tenga presencia física en un tiempo menor al fijado.</w:t>
      </w:r>
    </w:p>
    <w:p w14:paraId="2D6C6A3C" w14:textId="77777777" w:rsidR="00B02EDE" w:rsidRPr="00377FDC" w:rsidRDefault="00B02EDE">
      <w:pPr>
        <w:autoSpaceDE w:val="0"/>
        <w:autoSpaceDN w:val="0"/>
        <w:adjustRightInd w:val="0"/>
        <w:spacing w:line="240" w:lineRule="auto"/>
        <w:rPr>
          <w:rFonts w:ascii="ITC Avant Garde" w:hAnsi="ITC Avant Garde"/>
          <w:szCs w:val="22"/>
        </w:rPr>
      </w:pPr>
    </w:p>
    <w:p w14:paraId="33344D59" w14:textId="77777777" w:rsidR="00B02EDE" w:rsidRDefault="00B02EDE">
      <w:pPr>
        <w:autoSpaceDE w:val="0"/>
        <w:autoSpaceDN w:val="0"/>
        <w:adjustRightInd w:val="0"/>
        <w:spacing w:line="240" w:lineRule="auto"/>
        <w:rPr>
          <w:rFonts w:ascii="ITC Avant Garde" w:hAnsi="ITC Avant Garde"/>
          <w:szCs w:val="22"/>
        </w:rPr>
      </w:pPr>
    </w:p>
    <w:p w14:paraId="188A96C3" w14:textId="77777777" w:rsidR="006F1BE7" w:rsidRPr="00377FDC" w:rsidRDefault="006F1BE7">
      <w:pPr>
        <w:autoSpaceDE w:val="0"/>
        <w:autoSpaceDN w:val="0"/>
        <w:adjustRightInd w:val="0"/>
        <w:spacing w:line="240" w:lineRule="auto"/>
        <w:rPr>
          <w:rFonts w:ascii="ITC Avant Garde" w:hAnsi="ITC Avant Garde"/>
          <w:szCs w:val="22"/>
        </w:rPr>
      </w:pPr>
    </w:p>
    <w:p w14:paraId="5410D9CA" w14:textId="77777777" w:rsidR="00436234" w:rsidRPr="00377FDC" w:rsidRDefault="00436234">
      <w:pPr>
        <w:pStyle w:val="Normal1"/>
        <w:spacing w:line="240" w:lineRule="auto"/>
        <w:jc w:val="center"/>
        <w:rPr>
          <w:rFonts w:ascii="ITC Avant Garde" w:hAnsi="ITC Avant Garde"/>
          <w:szCs w:val="22"/>
          <w:lang w:val="es-ES_tradnl"/>
        </w:rPr>
      </w:pPr>
      <w:r w:rsidRPr="00377FDC">
        <w:rPr>
          <w:rFonts w:ascii="ITC Avant Garde" w:hAnsi="ITC Avant Garde"/>
          <w:b/>
          <w:szCs w:val="22"/>
          <w:lang w:val="es-ES_tradnl"/>
        </w:rPr>
        <w:t>CAPÍTULO IV</w:t>
      </w:r>
    </w:p>
    <w:p w14:paraId="257FF7BF" w14:textId="77777777" w:rsidR="00436234" w:rsidRPr="00377FDC" w:rsidRDefault="00436234">
      <w:pPr>
        <w:pStyle w:val="Normal1"/>
        <w:spacing w:line="240" w:lineRule="auto"/>
        <w:jc w:val="center"/>
        <w:rPr>
          <w:rFonts w:ascii="ITC Avant Garde" w:hAnsi="ITC Avant Garde"/>
          <w:b/>
          <w:szCs w:val="22"/>
          <w:lang w:val="es-ES_tradnl"/>
        </w:rPr>
      </w:pPr>
    </w:p>
    <w:p w14:paraId="39501A4D" w14:textId="2161D9A4" w:rsidR="00436234" w:rsidRPr="00377FDC" w:rsidRDefault="00436234">
      <w:pPr>
        <w:pStyle w:val="Normal1"/>
        <w:spacing w:line="240" w:lineRule="auto"/>
        <w:jc w:val="center"/>
        <w:rPr>
          <w:rFonts w:ascii="ITC Avant Garde" w:hAnsi="ITC Avant Garde"/>
          <w:szCs w:val="22"/>
          <w:lang w:val="es-ES_tradnl"/>
        </w:rPr>
      </w:pPr>
      <w:r w:rsidRPr="00377FDC">
        <w:rPr>
          <w:rFonts w:ascii="ITC Avant Garde" w:hAnsi="ITC Avant Garde"/>
          <w:b/>
          <w:szCs w:val="22"/>
          <w:lang w:val="es-ES_tradnl"/>
        </w:rPr>
        <w:t>DE L</w:t>
      </w:r>
      <w:r w:rsidR="00FD1358" w:rsidRPr="00377FDC">
        <w:rPr>
          <w:rFonts w:ascii="ITC Avant Garde" w:hAnsi="ITC Avant Garde"/>
          <w:b/>
          <w:szCs w:val="22"/>
          <w:lang w:val="es-ES_tradnl"/>
        </w:rPr>
        <w:t>A INFORMACIÓN</w:t>
      </w:r>
    </w:p>
    <w:p w14:paraId="510DD37D" w14:textId="77777777" w:rsidR="00436234" w:rsidRDefault="00436234">
      <w:pPr>
        <w:autoSpaceDE w:val="0"/>
        <w:autoSpaceDN w:val="0"/>
        <w:adjustRightInd w:val="0"/>
        <w:spacing w:line="240" w:lineRule="auto"/>
        <w:rPr>
          <w:rFonts w:ascii="ITC Avant Garde" w:hAnsi="ITC Avant Garde"/>
          <w:szCs w:val="22"/>
          <w:lang w:val="es-ES_tradnl"/>
        </w:rPr>
      </w:pPr>
    </w:p>
    <w:p w14:paraId="0A0D6BA4" w14:textId="77777777" w:rsidR="009E6488" w:rsidRPr="00377FDC" w:rsidRDefault="009E6488">
      <w:pPr>
        <w:autoSpaceDE w:val="0"/>
        <w:autoSpaceDN w:val="0"/>
        <w:adjustRightInd w:val="0"/>
        <w:spacing w:line="240" w:lineRule="auto"/>
        <w:rPr>
          <w:rFonts w:ascii="ITC Avant Garde" w:hAnsi="ITC Avant Garde"/>
          <w:szCs w:val="22"/>
          <w:lang w:val="es-ES_tradnl"/>
        </w:rPr>
      </w:pPr>
    </w:p>
    <w:p w14:paraId="67B75B66" w14:textId="6720139D"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Séptimo</w:t>
      </w:r>
    </w:p>
    <w:p w14:paraId="003A4CF2" w14:textId="77777777" w:rsidR="00E9448D" w:rsidRPr="00377FDC" w:rsidRDefault="00E9448D">
      <w:pPr>
        <w:autoSpaceDE w:val="0"/>
        <w:autoSpaceDN w:val="0"/>
        <w:adjustRightInd w:val="0"/>
        <w:spacing w:line="240" w:lineRule="auto"/>
        <w:rPr>
          <w:rFonts w:ascii="ITC Avant Garde" w:hAnsi="ITC Avant Garde"/>
          <w:szCs w:val="22"/>
        </w:rPr>
      </w:pPr>
    </w:p>
    <w:p w14:paraId="01DF2EE6" w14:textId="77777777" w:rsidR="00691C5B" w:rsidRPr="00377FDC" w:rsidRDefault="00691C5B">
      <w:pPr>
        <w:autoSpaceDE w:val="0"/>
        <w:autoSpaceDN w:val="0"/>
        <w:adjustRightInd w:val="0"/>
        <w:spacing w:line="240" w:lineRule="auto"/>
        <w:rPr>
          <w:rFonts w:ascii="ITC Avant Garde" w:hAnsi="ITC Avant Garde"/>
          <w:b/>
          <w:szCs w:val="22"/>
        </w:rPr>
      </w:pPr>
    </w:p>
    <w:p w14:paraId="097C1054" w14:textId="03D0485C"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CITI</w:t>
      </w:r>
      <w:r w:rsidR="00E26900" w:rsidRPr="00377FDC">
        <w:rPr>
          <w:rFonts w:ascii="ITC Avant Garde" w:hAnsi="ITC Avant Garde"/>
          <w:b/>
          <w:szCs w:val="22"/>
        </w:rPr>
        <w:t xml:space="preserve"> y </w:t>
      </w:r>
      <w:r w:rsidR="00427B3B" w:rsidRPr="00377FDC">
        <w:rPr>
          <w:rFonts w:ascii="ITC Avant Garde" w:hAnsi="ITC Avant Garde"/>
          <w:b/>
          <w:szCs w:val="22"/>
        </w:rPr>
        <w:t>CUDI</w:t>
      </w:r>
      <w:r w:rsidR="00E26900" w:rsidRPr="00377FDC">
        <w:rPr>
          <w:rFonts w:ascii="ITC Avant Garde" w:hAnsi="ITC Avant Garde"/>
          <w:b/>
          <w:szCs w:val="22"/>
        </w:rPr>
        <w:t xml:space="preserve"> </w:t>
      </w:r>
      <w:r w:rsidR="002F658D" w:rsidRPr="00377FDC">
        <w:rPr>
          <w:rFonts w:ascii="ITC Avant Garde" w:hAnsi="ITC Avant Garde"/>
          <w:szCs w:val="22"/>
        </w:rPr>
        <w:t>sugiere</w:t>
      </w:r>
      <w:r w:rsidR="00E26900" w:rsidRPr="00377FDC">
        <w:rPr>
          <w:rFonts w:ascii="ITC Avant Garde" w:hAnsi="ITC Avant Garde"/>
          <w:szCs w:val="22"/>
        </w:rPr>
        <w:t>n</w:t>
      </w:r>
      <w:r w:rsidR="002F658D" w:rsidRPr="00377FDC">
        <w:rPr>
          <w:rFonts w:ascii="ITC Avant Garde" w:hAnsi="ITC Avant Garde"/>
          <w:szCs w:val="22"/>
        </w:rPr>
        <w:t xml:space="preserve"> una redacción para este lineamiento considerando que la entrega de información también sea extensiva a los participantes del IXP.</w:t>
      </w:r>
      <w:r w:rsidR="00E26900" w:rsidRPr="00377FDC">
        <w:rPr>
          <w:rFonts w:ascii="ITC Avant Garde" w:hAnsi="ITC Avant Garde"/>
          <w:szCs w:val="22"/>
        </w:rPr>
        <w:t xml:space="preserve"> Además </w:t>
      </w:r>
      <w:r w:rsidRPr="00377FDC">
        <w:rPr>
          <w:rFonts w:ascii="ITC Avant Garde" w:hAnsi="ITC Avant Garde"/>
          <w:b/>
          <w:szCs w:val="22"/>
        </w:rPr>
        <w:t>CUDI</w:t>
      </w:r>
      <w:r w:rsidR="00E26900" w:rsidRPr="00377FDC">
        <w:rPr>
          <w:rFonts w:ascii="ITC Avant Garde" w:hAnsi="ITC Avant Garde"/>
          <w:b/>
          <w:szCs w:val="22"/>
        </w:rPr>
        <w:t xml:space="preserve"> </w:t>
      </w:r>
      <w:r w:rsidR="00427B3B" w:rsidRPr="00377FDC">
        <w:rPr>
          <w:rFonts w:ascii="ITC Avant Garde" w:hAnsi="ITC Avant Garde"/>
          <w:szCs w:val="22"/>
        </w:rPr>
        <w:t>sugiere incluir en la solicitud de información estadística, información relacionada con</w:t>
      </w:r>
      <w:r w:rsidR="00E26900" w:rsidRPr="00377FDC">
        <w:rPr>
          <w:rFonts w:ascii="ITC Avant Garde" w:hAnsi="ITC Avant Garde"/>
          <w:szCs w:val="22"/>
        </w:rPr>
        <w:t xml:space="preserve"> los enlaces Internac</w:t>
      </w:r>
      <w:r w:rsidR="00427B3B" w:rsidRPr="00377FDC">
        <w:rPr>
          <w:rFonts w:ascii="ITC Avant Garde" w:hAnsi="ITC Avant Garde"/>
          <w:szCs w:val="22"/>
        </w:rPr>
        <w:t>ionales de cada miembro del IXP, ya que debería resultar que el</w:t>
      </w:r>
      <w:r w:rsidR="00E26900" w:rsidRPr="00377FDC">
        <w:rPr>
          <w:rFonts w:ascii="ITC Avant Garde" w:hAnsi="ITC Avant Garde"/>
          <w:szCs w:val="22"/>
        </w:rPr>
        <w:t xml:space="preserve"> tráfico que pasa por el IXP debiera </w:t>
      </w:r>
      <w:r w:rsidR="00427B3B" w:rsidRPr="00377FDC">
        <w:rPr>
          <w:rFonts w:ascii="ITC Avant Garde" w:hAnsi="ITC Avant Garde"/>
          <w:szCs w:val="22"/>
        </w:rPr>
        <w:t xml:space="preserve">tener un incremento al </w:t>
      </w:r>
      <w:r w:rsidR="00E26900" w:rsidRPr="00377FDC">
        <w:rPr>
          <w:rFonts w:ascii="ITC Avant Garde" w:hAnsi="ITC Avant Garde"/>
          <w:szCs w:val="22"/>
        </w:rPr>
        <w:t>restarse de los enlace</w:t>
      </w:r>
      <w:r w:rsidR="00427B3B" w:rsidRPr="00377FDC">
        <w:rPr>
          <w:rFonts w:ascii="ITC Avant Garde" w:hAnsi="ITC Avant Garde"/>
          <w:szCs w:val="22"/>
        </w:rPr>
        <w:t xml:space="preserve">s Internacionales propios ya existentes de cada ISP, </w:t>
      </w:r>
      <w:r w:rsidR="00E26900" w:rsidRPr="00377FDC">
        <w:rPr>
          <w:rFonts w:ascii="ITC Avant Garde" w:hAnsi="ITC Avant Garde"/>
          <w:szCs w:val="22"/>
        </w:rPr>
        <w:t>reduci</w:t>
      </w:r>
      <w:r w:rsidR="00427B3B" w:rsidRPr="00377FDC">
        <w:rPr>
          <w:rFonts w:ascii="ITC Avant Garde" w:hAnsi="ITC Avant Garde"/>
          <w:szCs w:val="22"/>
        </w:rPr>
        <w:t xml:space="preserve">éndose </w:t>
      </w:r>
      <w:r w:rsidR="00E26900" w:rsidRPr="00377FDC">
        <w:rPr>
          <w:rFonts w:ascii="ITC Avant Garde" w:hAnsi="ITC Avant Garde"/>
          <w:szCs w:val="22"/>
        </w:rPr>
        <w:t>la cantidad de</w:t>
      </w:r>
      <w:r w:rsidR="00427B3B" w:rsidRPr="00377FDC">
        <w:rPr>
          <w:rFonts w:ascii="ITC Avant Garde" w:hAnsi="ITC Avant Garde"/>
          <w:szCs w:val="22"/>
        </w:rPr>
        <w:t xml:space="preserve"> tráfico de</w:t>
      </w:r>
      <w:r w:rsidR="00E26900" w:rsidRPr="00377FDC">
        <w:rPr>
          <w:rFonts w:ascii="ITC Avant Garde" w:hAnsi="ITC Avant Garde"/>
          <w:szCs w:val="22"/>
        </w:rPr>
        <w:t xml:space="preserve"> tránsito internacional y su costo</w:t>
      </w:r>
      <w:r w:rsidR="00427B3B" w:rsidRPr="00377FDC">
        <w:rPr>
          <w:rFonts w:ascii="ITC Avant Garde" w:hAnsi="ITC Avant Garde"/>
          <w:szCs w:val="22"/>
        </w:rPr>
        <w:t>. El</w:t>
      </w:r>
      <w:r w:rsidR="00E26900" w:rsidRPr="00377FDC">
        <w:rPr>
          <w:rFonts w:ascii="ITC Avant Garde" w:hAnsi="ITC Avant Garde"/>
          <w:szCs w:val="22"/>
        </w:rPr>
        <w:t xml:space="preserve"> conocimiento de esta estadíst</w:t>
      </w:r>
      <w:r w:rsidR="00427B3B" w:rsidRPr="00377FDC">
        <w:rPr>
          <w:rFonts w:ascii="ITC Avant Garde" w:hAnsi="ITC Avant Garde"/>
          <w:szCs w:val="22"/>
        </w:rPr>
        <w:t>ica podría ayudar a conocer este</w:t>
      </w:r>
      <w:r w:rsidR="00E26900" w:rsidRPr="00377FDC">
        <w:rPr>
          <w:rFonts w:ascii="ITC Avant Garde" w:hAnsi="ITC Avant Garde"/>
          <w:szCs w:val="22"/>
        </w:rPr>
        <w:t xml:space="preserve"> comportamiento y validar que el uso del IXP es benéfico para los miembros del IXP y sobre todo para sus usuarios reflejándose en mejor servicio (mayor velocidad de transferencia, menores costos por Mb cursado, etc)</w:t>
      </w:r>
      <w:r w:rsidR="00C379EF">
        <w:rPr>
          <w:rFonts w:ascii="ITC Avant Garde" w:hAnsi="ITC Avant Garde"/>
          <w:szCs w:val="22"/>
        </w:rPr>
        <w:t>.</w:t>
      </w:r>
    </w:p>
    <w:p w14:paraId="2D7CA1F0" w14:textId="1D2BDD90"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00B077B9" w:rsidRPr="00377FDC">
        <w:rPr>
          <w:rFonts w:ascii="ITC Avant Garde" w:hAnsi="ITC Avant Garde"/>
          <w:szCs w:val="22"/>
        </w:rPr>
        <w:t xml:space="preserve"> expresan que la estadística debe ser un elemento que se comparte al momento de querer corroborar información y acordar nuevos crecimientos.</w:t>
      </w:r>
    </w:p>
    <w:p w14:paraId="215D52AD" w14:textId="49E542F2"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Raúl Godoy</w:t>
      </w:r>
      <w:r w:rsidR="005F2551" w:rsidRPr="00377FDC">
        <w:rPr>
          <w:rFonts w:ascii="ITC Avant Garde" w:hAnsi="ITC Avant Garde"/>
          <w:szCs w:val="22"/>
        </w:rPr>
        <w:t xml:space="preserve"> </w:t>
      </w:r>
      <w:r w:rsidR="00DB2024" w:rsidRPr="00377FDC">
        <w:rPr>
          <w:rFonts w:ascii="ITC Avant Garde" w:hAnsi="ITC Avant Garde"/>
          <w:szCs w:val="22"/>
        </w:rPr>
        <w:t>sugiere que la entrega de información debe ser de manera mensual y no trimestral, dado que un trimestre es un tiempo demasiado largo para observar si un servicio está presentando crecimientos altos en el volumen.</w:t>
      </w:r>
    </w:p>
    <w:p w14:paraId="2E821D35" w14:textId="77777777" w:rsidR="00E9448D" w:rsidRPr="00377FDC" w:rsidRDefault="00E9448D">
      <w:pPr>
        <w:autoSpaceDE w:val="0"/>
        <w:autoSpaceDN w:val="0"/>
        <w:adjustRightInd w:val="0"/>
        <w:spacing w:line="240" w:lineRule="auto"/>
        <w:rPr>
          <w:rFonts w:ascii="ITC Avant Garde" w:hAnsi="ITC Avant Garde"/>
          <w:szCs w:val="22"/>
        </w:rPr>
      </w:pPr>
    </w:p>
    <w:p w14:paraId="2D06011A" w14:textId="7EFE9D8A" w:rsidR="002F658D" w:rsidRPr="00377FDC" w:rsidRDefault="00A20D04">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sidR="00B86BC6">
        <w:rPr>
          <w:rFonts w:ascii="ITC Avant Garde" w:hAnsi="ITC Avant Garde"/>
          <w:szCs w:val="22"/>
        </w:rPr>
        <w:t>La entrega de información se requiere tanto al AEP como a los IXP a través de los cuales se tendrá información de sus miembros.</w:t>
      </w:r>
    </w:p>
    <w:p w14:paraId="5AE425DE" w14:textId="6874ABDD" w:rsidR="00427B3B" w:rsidRPr="00377FDC" w:rsidRDefault="00B83906">
      <w:pPr>
        <w:autoSpaceDE w:val="0"/>
        <w:autoSpaceDN w:val="0"/>
        <w:adjustRightInd w:val="0"/>
        <w:spacing w:line="240" w:lineRule="auto"/>
        <w:rPr>
          <w:rFonts w:ascii="ITC Avant Garde" w:hAnsi="ITC Avant Garde"/>
          <w:szCs w:val="22"/>
        </w:rPr>
      </w:pPr>
      <w:r>
        <w:rPr>
          <w:rFonts w:ascii="ITC Avant Garde" w:hAnsi="ITC Avant Garde"/>
          <w:szCs w:val="22"/>
        </w:rPr>
        <w:t xml:space="preserve">Para los fines de la información estadística no se considera necesario </w:t>
      </w:r>
      <w:r w:rsidRPr="00377FDC">
        <w:rPr>
          <w:rFonts w:ascii="ITC Avant Garde" w:hAnsi="ITC Avant Garde"/>
          <w:szCs w:val="22"/>
        </w:rPr>
        <w:t>inclu</w:t>
      </w:r>
      <w:r>
        <w:rPr>
          <w:rFonts w:ascii="ITC Avant Garde" w:hAnsi="ITC Avant Garde"/>
          <w:szCs w:val="22"/>
        </w:rPr>
        <w:t>ir</w:t>
      </w:r>
      <w:r w:rsidRPr="00377FDC">
        <w:rPr>
          <w:rFonts w:ascii="ITC Avant Garde" w:hAnsi="ITC Avant Garde"/>
          <w:szCs w:val="22"/>
        </w:rPr>
        <w:t xml:space="preserve"> </w:t>
      </w:r>
      <w:r w:rsidR="00427B3B" w:rsidRPr="00377FDC">
        <w:rPr>
          <w:rFonts w:ascii="ITC Avant Garde" w:hAnsi="ITC Avant Garde"/>
          <w:szCs w:val="22"/>
        </w:rPr>
        <w:t>elementos relacionados con el tráfico intercambiado en el extranjero</w:t>
      </w:r>
      <w:r>
        <w:rPr>
          <w:rFonts w:ascii="ITC Avant Garde" w:hAnsi="ITC Avant Garde"/>
          <w:szCs w:val="22"/>
        </w:rPr>
        <w:t>, ya que</w:t>
      </w:r>
      <w:r w:rsidR="00C129B5">
        <w:rPr>
          <w:rFonts w:ascii="ITC Avant Garde" w:hAnsi="ITC Avant Garde"/>
          <w:szCs w:val="22"/>
        </w:rPr>
        <w:t xml:space="preserve"> el objeto de</w:t>
      </w:r>
      <w:r>
        <w:rPr>
          <w:rFonts w:ascii="ITC Avant Garde" w:hAnsi="ITC Avant Garde"/>
          <w:szCs w:val="22"/>
        </w:rPr>
        <w:t xml:space="preserve"> </w:t>
      </w:r>
      <w:r w:rsidR="00C129B5">
        <w:rPr>
          <w:rFonts w:ascii="ITC Avant Garde" w:hAnsi="ITC Avant Garde"/>
          <w:szCs w:val="22"/>
        </w:rPr>
        <w:t xml:space="preserve">los lineamientos es el intercambio </w:t>
      </w:r>
      <w:r w:rsidR="00BE112C">
        <w:rPr>
          <w:rFonts w:ascii="ITC Avant Garde" w:hAnsi="ITC Avant Garde"/>
          <w:szCs w:val="22"/>
        </w:rPr>
        <w:t xml:space="preserve">interno </w:t>
      </w:r>
      <w:r w:rsidR="00C129B5">
        <w:rPr>
          <w:rFonts w:ascii="ITC Avant Garde" w:hAnsi="ITC Avant Garde"/>
          <w:szCs w:val="22"/>
        </w:rPr>
        <w:t>de tráfico</w:t>
      </w:r>
      <w:r w:rsidR="00BE112C">
        <w:rPr>
          <w:rFonts w:ascii="ITC Avant Garde" w:hAnsi="ITC Avant Garde"/>
          <w:szCs w:val="22"/>
        </w:rPr>
        <w:t xml:space="preserve">, entendido como la conducción de tráfico </w:t>
      </w:r>
      <w:r w:rsidR="00C129B5">
        <w:rPr>
          <w:rFonts w:ascii="ITC Avant Garde" w:hAnsi="ITC Avant Garde"/>
          <w:szCs w:val="22"/>
        </w:rPr>
        <w:t>nacional</w:t>
      </w:r>
      <w:r w:rsidR="00427B3B" w:rsidRPr="00377FDC">
        <w:rPr>
          <w:rFonts w:ascii="ITC Avant Garde" w:hAnsi="ITC Avant Garde"/>
          <w:szCs w:val="22"/>
        </w:rPr>
        <w:t>.</w:t>
      </w:r>
    </w:p>
    <w:p w14:paraId="7B461F05" w14:textId="0C564B4B" w:rsidR="00DB2024" w:rsidRPr="00377FDC" w:rsidRDefault="00A20D04">
      <w:pPr>
        <w:autoSpaceDE w:val="0"/>
        <w:autoSpaceDN w:val="0"/>
        <w:adjustRightInd w:val="0"/>
        <w:spacing w:line="240" w:lineRule="auto"/>
        <w:rPr>
          <w:rFonts w:ascii="ITC Avant Garde" w:hAnsi="ITC Avant Garde"/>
          <w:szCs w:val="22"/>
        </w:rPr>
      </w:pPr>
      <w:r>
        <w:rPr>
          <w:rFonts w:ascii="ITC Avant Garde" w:hAnsi="ITC Avant Garde"/>
          <w:szCs w:val="22"/>
        </w:rPr>
        <w:t>Por otro lado, e</w:t>
      </w:r>
      <w:r w:rsidR="00DB2024" w:rsidRPr="00377FDC">
        <w:rPr>
          <w:rFonts w:ascii="ITC Avant Garde" w:hAnsi="ITC Avant Garde"/>
          <w:szCs w:val="22"/>
        </w:rPr>
        <w:t xml:space="preserve">l plazo trimestral está </w:t>
      </w:r>
      <w:r w:rsidR="00DB2024" w:rsidRPr="009605ED">
        <w:rPr>
          <w:rFonts w:ascii="ITC Avant Garde" w:hAnsi="ITC Avant Garde"/>
          <w:color w:val="auto"/>
          <w:szCs w:val="22"/>
        </w:rPr>
        <w:t>pensado para disminuir la carga regulatoria y se considera suficiente para darle seguimiento</w:t>
      </w:r>
      <w:r w:rsidR="003F3C4D" w:rsidRPr="009605ED">
        <w:rPr>
          <w:rFonts w:ascii="ITC Avant Garde" w:hAnsi="ITC Avant Garde"/>
          <w:color w:val="auto"/>
          <w:szCs w:val="22"/>
        </w:rPr>
        <w:t xml:space="preserve">, </w:t>
      </w:r>
      <w:r w:rsidR="009605ED">
        <w:rPr>
          <w:rFonts w:ascii="ITC Avant Garde" w:hAnsi="ITC Avant Garde"/>
          <w:color w:val="auto"/>
          <w:szCs w:val="22"/>
        </w:rPr>
        <w:t>sin embargo, la</w:t>
      </w:r>
      <w:r w:rsidR="003F3C4D" w:rsidRPr="009605ED">
        <w:rPr>
          <w:rFonts w:ascii="ITC Avant Garde" w:hAnsi="ITC Avant Garde"/>
          <w:color w:val="auto"/>
          <w:szCs w:val="22"/>
        </w:rPr>
        <w:t xml:space="preserve"> información debe </w:t>
      </w:r>
      <w:r w:rsidR="00BE112C">
        <w:rPr>
          <w:rFonts w:ascii="ITC Avant Garde" w:hAnsi="ITC Avant Garde"/>
          <w:color w:val="auto"/>
          <w:szCs w:val="22"/>
        </w:rPr>
        <w:t>presentarse desagregada</w:t>
      </w:r>
      <w:r w:rsidR="003F3C4D" w:rsidRPr="009605ED">
        <w:rPr>
          <w:rFonts w:ascii="ITC Avant Garde" w:hAnsi="ITC Avant Garde"/>
          <w:color w:val="auto"/>
          <w:szCs w:val="22"/>
        </w:rPr>
        <w:t xml:space="preserve"> de manera mensual.</w:t>
      </w:r>
    </w:p>
    <w:p w14:paraId="3C01C908" w14:textId="77777777" w:rsidR="00E9448D" w:rsidRPr="00377FDC" w:rsidRDefault="00E9448D">
      <w:pPr>
        <w:autoSpaceDE w:val="0"/>
        <w:autoSpaceDN w:val="0"/>
        <w:adjustRightInd w:val="0"/>
        <w:spacing w:line="240" w:lineRule="auto"/>
        <w:rPr>
          <w:rFonts w:ascii="ITC Avant Garde" w:hAnsi="ITC Avant Garde"/>
          <w:szCs w:val="22"/>
        </w:rPr>
      </w:pPr>
    </w:p>
    <w:p w14:paraId="78882918" w14:textId="77777777" w:rsidR="00B02EDE" w:rsidRDefault="00B02EDE">
      <w:pPr>
        <w:autoSpaceDE w:val="0"/>
        <w:autoSpaceDN w:val="0"/>
        <w:adjustRightInd w:val="0"/>
        <w:spacing w:line="240" w:lineRule="auto"/>
        <w:rPr>
          <w:rFonts w:ascii="ITC Avant Garde" w:hAnsi="ITC Avant Garde"/>
          <w:szCs w:val="22"/>
        </w:rPr>
      </w:pPr>
    </w:p>
    <w:p w14:paraId="3FE73890" w14:textId="77777777" w:rsidR="009E6488" w:rsidRDefault="009E6488">
      <w:pPr>
        <w:autoSpaceDE w:val="0"/>
        <w:autoSpaceDN w:val="0"/>
        <w:adjustRightInd w:val="0"/>
        <w:spacing w:line="240" w:lineRule="auto"/>
        <w:rPr>
          <w:rFonts w:ascii="ITC Avant Garde" w:hAnsi="ITC Avant Garde"/>
          <w:szCs w:val="22"/>
        </w:rPr>
      </w:pPr>
    </w:p>
    <w:p w14:paraId="2471B8D1" w14:textId="77777777" w:rsidR="009E6488" w:rsidRPr="00377FDC" w:rsidRDefault="009E6488">
      <w:pPr>
        <w:autoSpaceDE w:val="0"/>
        <w:autoSpaceDN w:val="0"/>
        <w:adjustRightInd w:val="0"/>
        <w:spacing w:line="240" w:lineRule="auto"/>
        <w:rPr>
          <w:rFonts w:ascii="ITC Avant Garde" w:hAnsi="ITC Avant Garde"/>
          <w:szCs w:val="22"/>
        </w:rPr>
      </w:pPr>
    </w:p>
    <w:p w14:paraId="2B8A163E" w14:textId="35BD95CB"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lastRenderedPageBreak/>
        <w:t>Lineamiento Décimo Octavo</w:t>
      </w:r>
    </w:p>
    <w:p w14:paraId="6B84164C" w14:textId="77777777" w:rsidR="00E9448D" w:rsidRPr="00377FDC" w:rsidRDefault="00E9448D">
      <w:pPr>
        <w:autoSpaceDE w:val="0"/>
        <w:autoSpaceDN w:val="0"/>
        <w:adjustRightInd w:val="0"/>
        <w:spacing w:line="240" w:lineRule="auto"/>
        <w:rPr>
          <w:rFonts w:ascii="ITC Avant Garde" w:hAnsi="ITC Avant Garde"/>
          <w:szCs w:val="22"/>
        </w:rPr>
      </w:pPr>
    </w:p>
    <w:p w14:paraId="5235A64F" w14:textId="0EEC2B19" w:rsidR="00691C5B" w:rsidRPr="009605ED" w:rsidRDefault="00691C5B">
      <w:pPr>
        <w:autoSpaceDE w:val="0"/>
        <w:autoSpaceDN w:val="0"/>
        <w:adjustRightInd w:val="0"/>
        <w:spacing w:line="240" w:lineRule="auto"/>
        <w:rPr>
          <w:rFonts w:ascii="ITC Avant Garde" w:hAnsi="ITC Avant Garde"/>
          <w:color w:val="auto"/>
          <w:szCs w:val="22"/>
        </w:rPr>
      </w:pPr>
      <w:r w:rsidRPr="009605ED">
        <w:rPr>
          <w:rFonts w:ascii="ITC Avant Garde" w:hAnsi="ITC Avant Garde"/>
          <w:b/>
          <w:color w:val="auto"/>
          <w:szCs w:val="22"/>
        </w:rPr>
        <w:t>CUDI</w:t>
      </w:r>
      <w:r w:rsidR="00AC1FAB" w:rsidRPr="009605ED">
        <w:rPr>
          <w:rFonts w:ascii="ITC Avant Garde" w:hAnsi="ITC Avant Garde"/>
          <w:b/>
          <w:color w:val="auto"/>
          <w:szCs w:val="22"/>
        </w:rPr>
        <w:t xml:space="preserve"> </w:t>
      </w:r>
      <w:r w:rsidR="00AC1FAB" w:rsidRPr="009605ED">
        <w:rPr>
          <w:rFonts w:ascii="ITC Avant Garde" w:hAnsi="ITC Avant Garde"/>
          <w:color w:val="auto"/>
          <w:szCs w:val="22"/>
        </w:rPr>
        <w:t>sugiere que sea el IXP la entidad que consolide toda la información señalada, tanto de todos los miembros del IXP como las del AEP.</w:t>
      </w:r>
    </w:p>
    <w:p w14:paraId="50072ABB" w14:textId="77777777" w:rsidR="00637EF1" w:rsidRPr="00377FDC" w:rsidRDefault="00637EF1" w:rsidP="009E6488">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Pr="00377FDC">
        <w:rPr>
          <w:rFonts w:ascii="ITC Avant Garde" w:hAnsi="ITC Avant Garde"/>
          <w:szCs w:val="22"/>
        </w:rPr>
        <w:t xml:space="preserve"> consideran importante el especificar que los lineamientos sólo aplican para el tráfico de Internet que se intercambia de manera local o nacional.</w:t>
      </w:r>
    </w:p>
    <w:p w14:paraId="1E96496E" w14:textId="40EE3782" w:rsidR="00691C5B" w:rsidRPr="00377FDC" w:rsidRDefault="00691C5B" w:rsidP="0039427F">
      <w:pPr>
        <w:autoSpaceDE w:val="0"/>
        <w:autoSpaceDN w:val="0"/>
        <w:adjustRightInd w:val="0"/>
        <w:spacing w:line="240" w:lineRule="auto"/>
        <w:rPr>
          <w:rFonts w:ascii="ITC Avant Garde" w:hAnsi="ITC Avant Garde"/>
          <w:szCs w:val="22"/>
        </w:rPr>
      </w:pPr>
      <w:r w:rsidRPr="00377FDC">
        <w:rPr>
          <w:rFonts w:ascii="ITC Avant Garde" w:hAnsi="ITC Avant Garde"/>
          <w:b/>
          <w:szCs w:val="22"/>
        </w:rPr>
        <w:t>Axtel</w:t>
      </w:r>
      <w:r w:rsidRPr="00377FDC">
        <w:rPr>
          <w:rFonts w:ascii="ITC Avant Garde" w:hAnsi="ITC Avant Garde"/>
          <w:szCs w:val="22"/>
        </w:rPr>
        <w:t xml:space="preserve">, </w:t>
      </w:r>
      <w:r w:rsidRPr="00377FDC">
        <w:rPr>
          <w:rFonts w:ascii="ITC Avant Garde" w:hAnsi="ITC Avant Garde"/>
          <w:b/>
          <w:szCs w:val="22"/>
        </w:rPr>
        <w:t>Alestra</w:t>
      </w:r>
      <w:r w:rsidRPr="00377FDC">
        <w:rPr>
          <w:rFonts w:ascii="ITC Avant Garde" w:hAnsi="ITC Avant Garde"/>
          <w:szCs w:val="22"/>
        </w:rPr>
        <w:t xml:space="preserve"> y </w:t>
      </w:r>
      <w:r w:rsidRPr="00377FDC">
        <w:rPr>
          <w:rFonts w:ascii="ITC Avant Garde" w:hAnsi="ITC Avant Garde"/>
          <w:b/>
          <w:szCs w:val="22"/>
        </w:rPr>
        <w:t>Avantel</w:t>
      </w:r>
      <w:r w:rsidRPr="00377FDC">
        <w:rPr>
          <w:rFonts w:ascii="ITC Avant Garde" w:hAnsi="ITC Avant Garde"/>
          <w:szCs w:val="22"/>
        </w:rPr>
        <w:t xml:space="preserve"> exponen</w:t>
      </w:r>
      <w:r w:rsidR="00637EF1" w:rsidRPr="00377FDC">
        <w:rPr>
          <w:rFonts w:ascii="ITC Avant Garde" w:hAnsi="ITC Avant Garde"/>
          <w:szCs w:val="22"/>
        </w:rPr>
        <w:t xml:space="preserve"> que el AEP y el agente económico con poder sustancial deben de informar las políticas de enrutamiento del IXP para los casos en que se requiera realizar alguna mo</w:t>
      </w:r>
      <w:r w:rsidR="00325041" w:rsidRPr="00377FDC">
        <w:rPr>
          <w:rFonts w:ascii="ITC Avant Garde" w:hAnsi="ITC Avant Garde"/>
          <w:szCs w:val="22"/>
        </w:rPr>
        <w:t>dificación, y las tablas de ruteo se mantengan</w:t>
      </w:r>
      <w:r w:rsidR="00637EF1" w:rsidRPr="00377FDC">
        <w:rPr>
          <w:rFonts w:ascii="ITC Avant Garde" w:hAnsi="ITC Avant Garde"/>
          <w:szCs w:val="22"/>
        </w:rPr>
        <w:t xml:space="preserve"> actualizadas.</w:t>
      </w:r>
    </w:p>
    <w:p w14:paraId="068BB471" w14:textId="13E2C331"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Raúl Godoy</w:t>
      </w:r>
      <w:r w:rsidR="00C47B8E" w:rsidRPr="00377FDC">
        <w:rPr>
          <w:rFonts w:ascii="ITC Avant Garde" w:hAnsi="ITC Avant Garde"/>
          <w:b/>
          <w:szCs w:val="22"/>
        </w:rPr>
        <w:t xml:space="preserve"> </w:t>
      </w:r>
      <w:r w:rsidR="00C47B8E" w:rsidRPr="00377FDC">
        <w:rPr>
          <w:rFonts w:ascii="ITC Avant Garde" w:hAnsi="ITC Avant Garde"/>
          <w:szCs w:val="22"/>
        </w:rPr>
        <w:t>expresa que dado que la seguridad no depende del intercambio de información, se sugiere eliminar el siguiente enunciado del lineamiento; "y demás información necesaria para asegurar que el Intercambio de tráfico de Internet preserve la privacidad de los usuarios y la seguridad de la red."</w:t>
      </w:r>
    </w:p>
    <w:p w14:paraId="680C9892" w14:textId="77777777" w:rsidR="00E9448D" w:rsidRPr="00377FDC" w:rsidRDefault="00E9448D">
      <w:pPr>
        <w:autoSpaceDE w:val="0"/>
        <w:autoSpaceDN w:val="0"/>
        <w:adjustRightInd w:val="0"/>
        <w:spacing w:line="240" w:lineRule="auto"/>
        <w:rPr>
          <w:rFonts w:ascii="ITC Avant Garde" w:hAnsi="ITC Avant Garde"/>
          <w:szCs w:val="22"/>
        </w:rPr>
      </w:pPr>
    </w:p>
    <w:p w14:paraId="4645FEA4" w14:textId="659346F3" w:rsidR="00E9448D" w:rsidRPr="00377FDC" w:rsidRDefault="009605ED">
      <w:pPr>
        <w:autoSpaceDE w:val="0"/>
        <w:autoSpaceDN w:val="0"/>
        <w:adjustRightInd w:val="0"/>
        <w:spacing w:line="240" w:lineRule="auto"/>
        <w:rPr>
          <w:rFonts w:ascii="ITC Avant Garde" w:hAnsi="ITC Avant Garde"/>
          <w:color w:val="C00000"/>
          <w:szCs w:val="22"/>
        </w:rPr>
      </w:pPr>
      <w:r w:rsidRPr="003C7CAF">
        <w:rPr>
          <w:rFonts w:ascii="ITC Avant Garde" w:hAnsi="ITC Avant Garde"/>
          <w:b/>
        </w:rPr>
        <w:t>Respuesta.</w:t>
      </w:r>
      <w:r>
        <w:rPr>
          <w:rFonts w:ascii="ITC Avant Garde" w:hAnsi="ITC Avant Garde"/>
          <w:b/>
        </w:rPr>
        <w:t xml:space="preserve">  </w:t>
      </w:r>
      <w:r w:rsidR="0030173A">
        <w:rPr>
          <w:rFonts w:ascii="ITC Avant Garde" w:hAnsi="ITC Avant Garde"/>
        </w:rPr>
        <w:t>Las pol</w:t>
      </w:r>
      <w:r w:rsidR="00562BF5">
        <w:rPr>
          <w:rFonts w:ascii="ITC Avant Garde" w:hAnsi="ITC Avant Garde"/>
        </w:rPr>
        <w:t>í</w:t>
      </w:r>
      <w:r w:rsidR="0030173A">
        <w:rPr>
          <w:rFonts w:ascii="ITC Avant Garde" w:hAnsi="ITC Avant Garde"/>
        </w:rPr>
        <w:t xml:space="preserve">ticas de enrutamiento se informan a los </w:t>
      </w:r>
      <w:r w:rsidR="00EF7FA5">
        <w:rPr>
          <w:rFonts w:ascii="ITC Avant Garde" w:hAnsi="ITC Avant Garde"/>
        </w:rPr>
        <w:t xml:space="preserve">ISP </w:t>
      </w:r>
      <w:r w:rsidR="0030173A">
        <w:rPr>
          <w:rFonts w:ascii="ITC Avant Garde" w:hAnsi="ITC Avant Garde"/>
        </w:rPr>
        <w:t>miembros del IXP para poder lograr el intercambio eficiente de tráfico, al ser éstos con quienes el AEP realiza el intercambio de tráfico.</w:t>
      </w:r>
    </w:p>
    <w:p w14:paraId="7F8BBCED" w14:textId="01EBD43D" w:rsidR="00637EF1" w:rsidRPr="00377FDC" w:rsidRDefault="00637EF1">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En cuanto al comentario de Telmex y Telnor, </w:t>
      </w:r>
      <w:r w:rsidR="00332F37">
        <w:rPr>
          <w:rFonts w:ascii="ITC Avant Garde" w:hAnsi="ITC Avant Garde" w:cs="ITC Avant Garde"/>
          <w:szCs w:val="22"/>
        </w:rPr>
        <w:t xml:space="preserve">la definición de </w:t>
      </w:r>
      <w:r w:rsidR="00562BF5">
        <w:rPr>
          <w:rFonts w:ascii="ITC Avant Garde" w:hAnsi="ITC Avant Garde" w:cs="ITC Avant Garde"/>
          <w:szCs w:val="22"/>
        </w:rPr>
        <w:t>i</w:t>
      </w:r>
      <w:r w:rsidR="00332F37">
        <w:rPr>
          <w:rFonts w:ascii="ITC Avant Garde" w:hAnsi="ITC Avant Garde" w:cs="ITC Avant Garde"/>
          <w:szCs w:val="22"/>
        </w:rPr>
        <w:t>ntercambio de tráfico, en el lineamiento Tercero,</w:t>
      </w:r>
      <w:r w:rsidR="00274902">
        <w:rPr>
          <w:rFonts w:ascii="ITC Avant Garde" w:hAnsi="ITC Avant Garde" w:cs="ITC Avant Garde"/>
          <w:szCs w:val="22"/>
        </w:rPr>
        <w:t xml:space="preserve"> se</w:t>
      </w:r>
      <w:r w:rsidR="00274902" w:rsidRPr="00274902">
        <w:rPr>
          <w:rFonts w:ascii="ITC Avant Garde" w:hAnsi="ITC Avant Garde"/>
          <w:szCs w:val="22"/>
        </w:rPr>
        <w:t xml:space="preserve"> </w:t>
      </w:r>
      <w:r w:rsidR="00274902">
        <w:rPr>
          <w:rFonts w:ascii="ITC Avant Garde" w:hAnsi="ITC Avant Garde"/>
          <w:szCs w:val="22"/>
        </w:rPr>
        <w:t>aclara que el intercambio interno de tráfico a que hace referencia lo establecido en la LFTR, se refiere a</w:t>
      </w:r>
      <w:r w:rsidR="00332F37">
        <w:rPr>
          <w:rFonts w:ascii="ITC Avant Garde" w:hAnsi="ITC Avant Garde" w:cs="ITC Avant Garde"/>
          <w:szCs w:val="22"/>
        </w:rPr>
        <w:t xml:space="preserve"> la</w:t>
      </w:r>
      <w:r w:rsidR="006F1BE7">
        <w:rPr>
          <w:rFonts w:ascii="ITC Avant Garde" w:hAnsi="ITC Avant Garde" w:cs="ITC Avant Garde"/>
          <w:szCs w:val="22"/>
        </w:rPr>
        <w:t xml:space="preserve"> conducción de tráfico nacional</w:t>
      </w:r>
      <w:r w:rsidRPr="00377FDC">
        <w:rPr>
          <w:rFonts w:ascii="ITC Avant Garde" w:hAnsi="ITC Avant Garde"/>
          <w:szCs w:val="22"/>
        </w:rPr>
        <w:t>.</w:t>
      </w:r>
    </w:p>
    <w:p w14:paraId="0DD4449B" w14:textId="4F39D112" w:rsidR="00325041" w:rsidRPr="00377FDC" w:rsidRDefault="009605ED">
      <w:pPr>
        <w:autoSpaceDE w:val="0"/>
        <w:autoSpaceDN w:val="0"/>
        <w:adjustRightInd w:val="0"/>
        <w:spacing w:line="240" w:lineRule="auto"/>
        <w:rPr>
          <w:rFonts w:ascii="ITC Avant Garde" w:hAnsi="ITC Avant Garde"/>
          <w:szCs w:val="22"/>
        </w:rPr>
      </w:pPr>
      <w:r>
        <w:rPr>
          <w:rFonts w:ascii="ITC Avant Garde" w:hAnsi="ITC Avant Garde"/>
          <w:szCs w:val="22"/>
        </w:rPr>
        <w:t xml:space="preserve">Por lo que hace al comentario de </w:t>
      </w:r>
      <w:r w:rsidRPr="009605ED">
        <w:rPr>
          <w:rFonts w:ascii="ITC Avant Garde" w:hAnsi="ITC Avant Garde"/>
          <w:szCs w:val="22"/>
        </w:rPr>
        <w:t xml:space="preserve">Axtel, Alestra y Avantel </w:t>
      </w:r>
      <w:r>
        <w:rPr>
          <w:rFonts w:ascii="ITC Avant Garde" w:hAnsi="ITC Avant Garde"/>
          <w:szCs w:val="22"/>
        </w:rPr>
        <w:t>no se considera que</w:t>
      </w:r>
      <w:r w:rsidR="00325041" w:rsidRPr="00377FDC">
        <w:rPr>
          <w:rFonts w:ascii="ITC Avant Garde" w:hAnsi="ITC Avant Garde"/>
          <w:szCs w:val="22"/>
        </w:rPr>
        <w:t xml:space="preserve"> el AEP t</w:t>
      </w:r>
      <w:r>
        <w:rPr>
          <w:rFonts w:ascii="ITC Avant Garde" w:hAnsi="ITC Avant Garde"/>
          <w:szCs w:val="22"/>
        </w:rPr>
        <w:t>enga</w:t>
      </w:r>
      <w:r w:rsidR="00325041" w:rsidRPr="00377FDC">
        <w:rPr>
          <w:rFonts w:ascii="ITC Avant Garde" w:hAnsi="ITC Avant Garde"/>
          <w:szCs w:val="22"/>
        </w:rPr>
        <w:t xml:space="preserve"> injerencia </w:t>
      </w:r>
      <w:r w:rsidR="00C47B8E" w:rsidRPr="00377FDC">
        <w:rPr>
          <w:rFonts w:ascii="ITC Avant Garde" w:hAnsi="ITC Avant Garde"/>
          <w:szCs w:val="22"/>
        </w:rPr>
        <w:t>para</w:t>
      </w:r>
      <w:r w:rsidR="00325041" w:rsidRPr="00377FDC">
        <w:rPr>
          <w:rFonts w:ascii="ITC Avant Garde" w:hAnsi="ITC Avant Garde"/>
          <w:szCs w:val="22"/>
        </w:rPr>
        <w:t xml:space="preserve"> informar las políticas de enrutamiento del IXP</w:t>
      </w:r>
      <w:r w:rsidR="00274902">
        <w:rPr>
          <w:rFonts w:ascii="ITC Avant Garde" w:hAnsi="ITC Avant Garde"/>
          <w:szCs w:val="22"/>
        </w:rPr>
        <w:t xml:space="preserve"> dado que c</w:t>
      </w:r>
      <w:r w:rsidR="00325041" w:rsidRPr="00377FDC">
        <w:rPr>
          <w:rFonts w:ascii="ITC Avant Garde" w:hAnsi="ITC Avant Garde"/>
          <w:szCs w:val="22"/>
        </w:rPr>
        <w:t>ada parte maneja su propia información.</w:t>
      </w:r>
    </w:p>
    <w:p w14:paraId="7319E063" w14:textId="7816801F" w:rsidR="00C47B8E" w:rsidRPr="00377FDC" w:rsidRDefault="00C47B8E">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Los elementos de privacidad de los usuarios y la seguridad de la red que menciona </w:t>
      </w:r>
      <w:r w:rsidRPr="00377FDC">
        <w:rPr>
          <w:rFonts w:ascii="ITC Avant Garde" w:hAnsi="ITC Avant Garde"/>
          <w:b/>
          <w:szCs w:val="22"/>
        </w:rPr>
        <w:t>Raúl Godoy</w:t>
      </w:r>
      <w:r w:rsidRPr="00377FDC">
        <w:rPr>
          <w:rFonts w:ascii="ITC Avant Garde" w:hAnsi="ITC Avant Garde"/>
          <w:szCs w:val="22"/>
        </w:rPr>
        <w:t xml:space="preserve"> se incorpora</w:t>
      </w:r>
      <w:r w:rsidR="009605ED">
        <w:rPr>
          <w:rFonts w:ascii="ITC Avant Garde" w:hAnsi="ITC Avant Garde"/>
          <w:szCs w:val="22"/>
        </w:rPr>
        <w:t>n</w:t>
      </w:r>
      <w:r w:rsidRPr="00377FDC">
        <w:rPr>
          <w:rFonts w:ascii="ITC Avant Garde" w:hAnsi="ITC Avant Garde"/>
          <w:szCs w:val="22"/>
        </w:rPr>
        <w:t xml:space="preserve"> </w:t>
      </w:r>
      <w:r w:rsidR="009605ED">
        <w:rPr>
          <w:rFonts w:ascii="ITC Avant Garde" w:hAnsi="ITC Avant Garde"/>
          <w:szCs w:val="22"/>
        </w:rPr>
        <w:t>a</w:t>
      </w:r>
      <w:r w:rsidRPr="00377FDC">
        <w:rPr>
          <w:rFonts w:ascii="ITC Avant Garde" w:hAnsi="ITC Avant Garde"/>
          <w:szCs w:val="22"/>
        </w:rPr>
        <w:t xml:space="preserve">l lineamiento </w:t>
      </w:r>
      <w:r w:rsidR="00562BF5">
        <w:rPr>
          <w:rFonts w:ascii="ITC Avant Garde" w:hAnsi="ITC Avant Garde"/>
          <w:szCs w:val="22"/>
        </w:rPr>
        <w:t>octavo</w:t>
      </w:r>
      <w:r w:rsidRPr="00377FDC">
        <w:rPr>
          <w:rFonts w:ascii="ITC Avant Garde" w:hAnsi="ITC Avant Garde"/>
          <w:szCs w:val="22"/>
        </w:rPr>
        <w:t>.</w:t>
      </w:r>
    </w:p>
    <w:p w14:paraId="43D90AAD" w14:textId="77777777" w:rsidR="00274902" w:rsidRDefault="00274902" w:rsidP="009E6488">
      <w:pPr>
        <w:pStyle w:val="Normal1"/>
        <w:spacing w:line="240" w:lineRule="auto"/>
        <w:rPr>
          <w:rFonts w:ascii="ITC Avant Garde" w:hAnsi="ITC Avant Garde"/>
          <w:b/>
          <w:szCs w:val="22"/>
          <w:lang w:val="es-ES_tradnl"/>
        </w:rPr>
      </w:pPr>
    </w:p>
    <w:p w14:paraId="787B5940" w14:textId="77777777" w:rsidR="00274902" w:rsidRDefault="00274902">
      <w:pPr>
        <w:pStyle w:val="Normal1"/>
        <w:spacing w:line="240" w:lineRule="auto"/>
        <w:jc w:val="center"/>
        <w:rPr>
          <w:rFonts w:ascii="ITC Avant Garde" w:hAnsi="ITC Avant Garde"/>
          <w:b/>
          <w:szCs w:val="22"/>
          <w:lang w:val="es-ES_tradnl"/>
        </w:rPr>
      </w:pPr>
    </w:p>
    <w:p w14:paraId="2F1BD440" w14:textId="77777777" w:rsidR="00274902" w:rsidRDefault="00274902">
      <w:pPr>
        <w:pStyle w:val="Normal1"/>
        <w:spacing w:line="240" w:lineRule="auto"/>
        <w:jc w:val="center"/>
        <w:rPr>
          <w:rFonts w:ascii="ITC Avant Garde" w:hAnsi="ITC Avant Garde"/>
          <w:b/>
          <w:szCs w:val="22"/>
          <w:lang w:val="es-ES_tradnl"/>
        </w:rPr>
      </w:pPr>
    </w:p>
    <w:p w14:paraId="2CD99FBF" w14:textId="77777777" w:rsidR="00436234" w:rsidRPr="00377FDC" w:rsidRDefault="00436234">
      <w:pPr>
        <w:pStyle w:val="Normal1"/>
        <w:spacing w:line="240" w:lineRule="auto"/>
        <w:jc w:val="center"/>
        <w:rPr>
          <w:rFonts w:ascii="ITC Avant Garde" w:hAnsi="ITC Avant Garde"/>
          <w:szCs w:val="22"/>
          <w:lang w:val="es-ES_tradnl"/>
        </w:rPr>
      </w:pPr>
      <w:r w:rsidRPr="00377FDC">
        <w:rPr>
          <w:rFonts w:ascii="ITC Avant Garde" w:hAnsi="ITC Avant Garde"/>
          <w:b/>
          <w:szCs w:val="22"/>
          <w:lang w:val="es-ES_tradnl"/>
        </w:rPr>
        <w:t>CAPÍTULO V</w:t>
      </w:r>
    </w:p>
    <w:p w14:paraId="33D2254C" w14:textId="77777777" w:rsidR="00436234" w:rsidRPr="00377FDC" w:rsidRDefault="00436234">
      <w:pPr>
        <w:pStyle w:val="Normal1"/>
        <w:spacing w:line="240" w:lineRule="auto"/>
        <w:jc w:val="center"/>
        <w:rPr>
          <w:rFonts w:ascii="ITC Avant Garde" w:hAnsi="ITC Avant Garde"/>
          <w:b/>
          <w:szCs w:val="22"/>
          <w:lang w:val="es-ES_tradnl"/>
        </w:rPr>
      </w:pPr>
    </w:p>
    <w:p w14:paraId="1FEDB651" w14:textId="11166150" w:rsidR="00436234" w:rsidRPr="00377FDC" w:rsidRDefault="00436234">
      <w:pPr>
        <w:pStyle w:val="Normal1"/>
        <w:spacing w:line="240" w:lineRule="auto"/>
        <w:jc w:val="center"/>
        <w:rPr>
          <w:rFonts w:ascii="ITC Avant Garde" w:hAnsi="ITC Avant Garde"/>
          <w:szCs w:val="22"/>
          <w:lang w:val="es-ES_tradnl"/>
        </w:rPr>
      </w:pPr>
      <w:r w:rsidRPr="005F5DFC">
        <w:rPr>
          <w:rFonts w:ascii="ITC Avant Garde" w:hAnsi="ITC Avant Garde"/>
          <w:b/>
          <w:szCs w:val="22"/>
          <w:lang w:val="es-ES_tradnl"/>
        </w:rPr>
        <w:t xml:space="preserve">DE LOS </w:t>
      </w:r>
      <w:r w:rsidR="005F5DFC">
        <w:rPr>
          <w:rFonts w:ascii="ITC Avant Garde" w:hAnsi="ITC Avant Garde"/>
          <w:b/>
          <w:szCs w:val="22"/>
          <w:lang w:val="es-ES_tradnl"/>
        </w:rPr>
        <w:t>CONVENIOS</w:t>
      </w:r>
    </w:p>
    <w:p w14:paraId="7D7815DE" w14:textId="77777777" w:rsidR="00436234" w:rsidRPr="00377FDC" w:rsidRDefault="00436234">
      <w:pPr>
        <w:autoSpaceDE w:val="0"/>
        <w:autoSpaceDN w:val="0"/>
        <w:adjustRightInd w:val="0"/>
        <w:spacing w:line="240" w:lineRule="auto"/>
        <w:rPr>
          <w:rFonts w:ascii="ITC Avant Garde" w:hAnsi="ITC Avant Garde"/>
          <w:szCs w:val="22"/>
          <w:lang w:val="es-ES_tradnl"/>
        </w:rPr>
      </w:pPr>
    </w:p>
    <w:p w14:paraId="73C3AFAE" w14:textId="2FA80855"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Décimo Noveno</w:t>
      </w:r>
    </w:p>
    <w:p w14:paraId="2D31614A" w14:textId="77777777" w:rsidR="00436234" w:rsidRPr="00377FDC" w:rsidRDefault="00436234">
      <w:pPr>
        <w:autoSpaceDE w:val="0"/>
        <w:autoSpaceDN w:val="0"/>
        <w:adjustRightInd w:val="0"/>
        <w:spacing w:line="240" w:lineRule="auto"/>
        <w:rPr>
          <w:rFonts w:ascii="ITC Avant Garde" w:hAnsi="ITC Avant Garde"/>
          <w:b/>
          <w:szCs w:val="22"/>
        </w:rPr>
      </w:pPr>
    </w:p>
    <w:p w14:paraId="3895FE5C" w14:textId="77777777" w:rsidR="00691C5B" w:rsidRPr="00377FDC" w:rsidRDefault="00691C5B">
      <w:pPr>
        <w:autoSpaceDE w:val="0"/>
        <w:autoSpaceDN w:val="0"/>
        <w:adjustRightInd w:val="0"/>
        <w:spacing w:line="240" w:lineRule="auto"/>
        <w:rPr>
          <w:rFonts w:ascii="ITC Avant Garde" w:hAnsi="ITC Avant Garde"/>
          <w:b/>
          <w:szCs w:val="22"/>
        </w:rPr>
      </w:pPr>
    </w:p>
    <w:p w14:paraId="6D4BE8CF" w14:textId="4689D6B6" w:rsidR="00691C5B" w:rsidRPr="00377FDC" w:rsidRDefault="00691C5B">
      <w:pPr>
        <w:autoSpaceDE w:val="0"/>
        <w:autoSpaceDN w:val="0"/>
        <w:adjustRightInd w:val="0"/>
        <w:spacing w:line="240" w:lineRule="auto"/>
        <w:rPr>
          <w:rFonts w:ascii="ITC Avant Garde" w:hAnsi="ITC Avant Garde"/>
          <w:color w:val="C00000"/>
          <w:szCs w:val="22"/>
        </w:rPr>
      </w:pPr>
      <w:r w:rsidRPr="002D0659">
        <w:rPr>
          <w:rFonts w:ascii="ITC Avant Garde" w:hAnsi="ITC Avant Garde"/>
          <w:b/>
          <w:color w:val="auto"/>
          <w:szCs w:val="22"/>
        </w:rPr>
        <w:t>CANIETI</w:t>
      </w:r>
      <w:r w:rsidRPr="002D0659">
        <w:rPr>
          <w:rFonts w:ascii="ITC Avant Garde" w:hAnsi="ITC Avant Garde"/>
          <w:color w:val="auto"/>
          <w:szCs w:val="22"/>
        </w:rPr>
        <w:t xml:space="preserve"> </w:t>
      </w:r>
      <w:r w:rsidR="00E971A5" w:rsidRPr="002D0659">
        <w:rPr>
          <w:rFonts w:ascii="ITC Avant Garde" w:hAnsi="ITC Avant Garde"/>
          <w:color w:val="auto"/>
          <w:szCs w:val="22"/>
        </w:rPr>
        <w:t xml:space="preserve">y </w:t>
      </w:r>
      <w:r w:rsidR="00E971A5" w:rsidRPr="002D0659">
        <w:rPr>
          <w:rFonts w:ascii="ITC Avant Garde" w:hAnsi="ITC Avant Garde"/>
          <w:b/>
          <w:color w:val="auto"/>
          <w:szCs w:val="22"/>
        </w:rPr>
        <w:t>Bestphone</w:t>
      </w:r>
      <w:r w:rsidR="00E971A5" w:rsidRPr="002D0659">
        <w:rPr>
          <w:rFonts w:ascii="ITC Avant Garde" w:hAnsi="ITC Avant Garde"/>
          <w:color w:val="auto"/>
          <w:szCs w:val="22"/>
        </w:rPr>
        <w:t xml:space="preserve"> </w:t>
      </w:r>
      <w:r w:rsidR="00373D95" w:rsidRPr="002D0659">
        <w:rPr>
          <w:rFonts w:ascii="ITC Avant Garde" w:hAnsi="ITC Avant Garde"/>
          <w:color w:val="auto"/>
          <w:szCs w:val="22"/>
        </w:rPr>
        <w:t>opina</w:t>
      </w:r>
      <w:r w:rsidR="00E971A5" w:rsidRPr="002D0659">
        <w:rPr>
          <w:rFonts w:ascii="ITC Avant Garde" w:hAnsi="ITC Avant Garde"/>
          <w:color w:val="auto"/>
          <w:szCs w:val="22"/>
        </w:rPr>
        <w:t>n</w:t>
      </w:r>
      <w:r w:rsidR="00373D95" w:rsidRPr="002D0659">
        <w:rPr>
          <w:rFonts w:ascii="ITC Avant Garde" w:hAnsi="ITC Avant Garde"/>
          <w:color w:val="auto"/>
          <w:szCs w:val="22"/>
        </w:rPr>
        <w:t xml:space="preserve"> que el AEP no debe aplicar medidas para disminuir el tráfico intercambiado. Adicionalmente </w:t>
      </w:r>
      <w:r w:rsidR="000A775F" w:rsidRPr="002D0659">
        <w:rPr>
          <w:rFonts w:ascii="ITC Avant Garde" w:hAnsi="ITC Avant Garde"/>
          <w:color w:val="auto"/>
          <w:szCs w:val="22"/>
        </w:rPr>
        <w:t xml:space="preserve">menciona que </w:t>
      </w:r>
      <w:r w:rsidR="00373D95" w:rsidRPr="002D0659">
        <w:rPr>
          <w:rFonts w:ascii="ITC Avant Garde" w:hAnsi="ITC Avant Garde"/>
          <w:color w:val="auto"/>
          <w:szCs w:val="22"/>
        </w:rPr>
        <w:t>es responsabilidad del AEP aplicar las medidas necesarias para que se utilice el o los IXPs como el o los principales puntos de intercambio de tráfico con su red para evitar que el tráfico transite indirectamente por ISPs internacionales</w:t>
      </w:r>
      <w:r w:rsidR="000A775F" w:rsidRPr="002D0659">
        <w:rPr>
          <w:rFonts w:ascii="ITC Avant Garde" w:hAnsi="ITC Avant Garde"/>
          <w:color w:val="auto"/>
          <w:szCs w:val="22"/>
        </w:rPr>
        <w:t xml:space="preserve">.  </w:t>
      </w:r>
      <w:r w:rsidR="000A775F" w:rsidRPr="00377FDC">
        <w:rPr>
          <w:rFonts w:ascii="ITC Avant Garde" w:hAnsi="ITC Avant Garde"/>
          <w:szCs w:val="22"/>
        </w:rPr>
        <w:t>Además, d</w:t>
      </w:r>
      <w:r w:rsidR="00373D95" w:rsidRPr="00377FDC">
        <w:rPr>
          <w:rFonts w:ascii="ITC Avant Garde" w:hAnsi="ITC Avant Garde"/>
          <w:szCs w:val="22"/>
        </w:rPr>
        <w:t>ado el eminente agotamiento de las direcciones IPv4 y el acaparamiento de las mismas por el AEP, se prevé que el resto de los ISPs sean los primeros en utilizar direccionamiento IPv6. Bajo este escenario el AEP debe implementar direcciones IPv6 para alcanzar el contenido IPv6 de los ISPs. Para tal efecto el AEP debe ofrecer a sus clientes direcciones IPv6 y aplicar medidas de NAT46.</w:t>
      </w:r>
    </w:p>
    <w:p w14:paraId="6E8ABE77" w14:textId="3CEC19E4" w:rsidR="009B38AD"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lastRenderedPageBreak/>
        <w:t>CITI</w:t>
      </w:r>
      <w:r w:rsidR="0028573C" w:rsidRPr="00377FDC">
        <w:rPr>
          <w:rFonts w:ascii="ITC Avant Garde" w:hAnsi="ITC Avant Garde"/>
          <w:b/>
          <w:szCs w:val="22"/>
        </w:rPr>
        <w:t xml:space="preserve"> </w:t>
      </w:r>
      <w:r w:rsidR="0028573C" w:rsidRPr="00377FDC">
        <w:rPr>
          <w:rFonts w:ascii="ITC Avant Garde" w:hAnsi="ITC Avant Garde"/>
          <w:szCs w:val="22"/>
        </w:rPr>
        <w:t>sugiere una redacción para este lineamiento que incorpora a todos los participantes del IXP en lugar de mencionar los ISPs.</w:t>
      </w:r>
    </w:p>
    <w:p w14:paraId="142F41CA" w14:textId="733881FF" w:rsidR="00691C5B" w:rsidRPr="00377FDC" w:rsidRDefault="00691C5B">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CUDI</w:t>
      </w:r>
      <w:r w:rsidR="0028573C" w:rsidRPr="00377FDC">
        <w:rPr>
          <w:rFonts w:ascii="ITC Avant Garde" w:hAnsi="ITC Avant Garde"/>
          <w:b/>
          <w:szCs w:val="22"/>
        </w:rPr>
        <w:t xml:space="preserve"> </w:t>
      </w:r>
      <w:r w:rsidR="008F0EE2" w:rsidRPr="00377FDC">
        <w:rPr>
          <w:rFonts w:ascii="ITC Avant Garde" w:hAnsi="ITC Avant Garde"/>
          <w:szCs w:val="22"/>
        </w:rPr>
        <w:t>y</w:t>
      </w:r>
      <w:r w:rsidR="008F0EE2" w:rsidRPr="00377FDC">
        <w:rPr>
          <w:rFonts w:ascii="ITC Avant Garde" w:hAnsi="ITC Avant Garde"/>
          <w:b/>
          <w:szCs w:val="22"/>
        </w:rPr>
        <w:t xml:space="preserve"> Raúl Godoy </w:t>
      </w:r>
      <w:r w:rsidR="0028573C" w:rsidRPr="00377FDC">
        <w:rPr>
          <w:rFonts w:ascii="ITC Avant Garde" w:hAnsi="ITC Avant Garde"/>
          <w:szCs w:val="22"/>
        </w:rPr>
        <w:t>menciona</w:t>
      </w:r>
      <w:r w:rsidR="008F0EE2" w:rsidRPr="00377FDC">
        <w:rPr>
          <w:rFonts w:ascii="ITC Avant Garde" w:hAnsi="ITC Avant Garde"/>
          <w:szCs w:val="22"/>
        </w:rPr>
        <w:t>n</w:t>
      </w:r>
      <w:r w:rsidR="0028573C" w:rsidRPr="00377FDC">
        <w:rPr>
          <w:rFonts w:ascii="ITC Avant Garde" w:hAnsi="ITC Avant Garde"/>
          <w:szCs w:val="22"/>
        </w:rPr>
        <w:t xml:space="preserve"> que </w:t>
      </w:r>
      <w:r w:rsidR="008F0EE2" w:rsidRPr="00377FDC">
        <w:rPr>
          <w:rFonts w:ascii="ITC Avant Garde" w:hAnsi="ITC Avant Garde"/>
          <w:szCs w:val="22"/>
        </w:rPr>
        <w:t xml:space="preserve">en </w:t>
      </w:r>
      <w:r w:rsidR="0028573C" w:rsidRPr="00377FDC">
        <w:rPr>
          <w:rFonts w:ascii="ITC Avant Garde" w:hAnsi="ITC Avant Garde"/>
          <w:szCs w:val="22"/>
        </w:rPr>
        <w:t>este lineamiento se debe aclarar que el intercambio de tráfico de Internet entre el AEP y la otra parte debe ser ofrecido de manera gratuita.</w:t>
      </w:r>
    </w:p>
    <w:p w14:paraId="73FBAE22" w14:textId="508AFB79"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00B87A03" w:rsidRPr="00377FDC">
        <w:rPr>
          <w:rFonts w:ascii="ITC Avant Garde" w:hAnsi="ITC Avant Garde"/>
          <w:b/>
          <w:szCs w:val="22"/>
        </w:rPr>
        <w:t xml:space="preserve"> </w:t>
      </w:r>
      <w:r w:rsidR="00B87A03" w:rsidRPr="00377FDC">
        <w:rPr>
          <w:rFonts w:ascii="ITC Avant Garde" w:hAnsi="ITC Avant Garde"/>
          <w:szCs w:val="22"/>
        </w:rPr>
        <w:t>considera incluir en el lineamiento un enunciado que mencione el poder celebrar convenios de Intercambio de tráfico</w:t>
      </w:r>
      <w:r w:rsidR="00685006" w:rsidRPr="00377FDC">
        <w:rPr>
          <w:rFonts w:ascii="ITC Avant Garde" w:hAnsi="ITC Avant Garde"/>
          <w:szCs w:val="22"/>
        </w:rPr>
        <w:t xml:space="preserve"> nacional de Internet del tipo peering p</w:t>
      </w:r>
      <w:r w:rsidR="00B87A03" w:rsidRPr="00377FDC">
        <w:rPr>
          <w:rFonts w:ascii="ITC Avant Garde" w:hAnsi="ITC Avant Garde"/>
          <w:szCs w:val="22"/>
        </w:rPr>
        <w:t>rivado entre el AEP y</w:t>
      </w:r>
      <w:r w:rsidR="00685006" w:rsidRPr="00377FDC">
        <w:rPr>
          <w:rFonts w:ascii="ITC Avant Garde" w:hAnsi="ITC Avant Garde"/>
          <w:szCs w:val="22"/>
        </w:rPr>
        <w:t xml:space="preserve"> cualquier ISP miembro del IXP.</w:t>
      </w:r>
    </w:p>
    <w:p w14:paraId="72DEE62F" w14:textId="77777777" w:rsidR="00E9448D" w:rsidRPr="00377FDC" w:rsidRDefault="00E9448D">
      <w:pPr>
        <w:autoSpaceDE w:val="0"/>
        <w:autoSpaceDN w:val="0"/>
        <w:adjustRightInd w:val="0"/>
        <w:spacing w:line="240" w:lineRule="auto"/>
        <w:rPr>
          <w:rFonts w:ascii="ITC Avant Garde" w:hAnsi="ITC Avant Garde"/>
          <w:szCs w:val="22"/>
        </w:rPr>
      </w:pPr>
    </w:p>
    <w:p w14:paraId="6C319993" w14:textId="4A49CE45" w:rsidR="00E9448D" w:rsidRPr="00377FDC" w:rsidRDefault="002D0659">
      <w:pPr>
        <w:autoSpaceDE w:val="0"/>
        <w:autoSpaceDN w:val="0"/>
        <w:adjustRightInd w:val="0"/>
        <w:spacing w:line="240" w:lineRule="auto"/>
        <w:rPr>
          <w:rFonts w:ascii="ITC Avant Garde" w:hAnsi="ITC Avant Garde"/>
          <w:color w:val="C00000"/>
          <w:szCs w:val="22"/>
        </w:rPr>
      </w:pPr>
      <w:r w:rsidRPr="003C7CAF">
        <w:rPr>
          <w:rFonts w:ascii="ITC Avant Garde" w:hAnsi="ITC Avant Garde"/>
          <w:b/>
        </w:rPr>
        <w:t>Respuesta.</w:t>
      </w:r>
      <w:r>
        <w:rPr>
          <w:rFonts w:ascii="ITC Avant Garde" w:hAnsi="ITC Avant Garde"/>
          <w:b/>
        </w:rPr>
        <w:t xml:space="preserve">  </w:t>
      </w:r>
      <w:r w:rsidR="00C217CB" w:rsidRPr="009E6488">
        <w:rPr>
          <w:rFonts w:ascii="ITC Avant Garde" w:hAnsi="ITC Avant Garde"/>
        </w:rPr>
        <w:t>Por lo que hace al</w:t>
      </w:r>
      <w:r w:rsidR="00C217CB">
        <w:rPr>
          <w:rFonts w:ascii="ITC Avant Garde" w:hAnsi="ITC Avant Garde"/>
          <w:b/>
        </w:rPr>
        <w:t xml:space="preserve"> </w:t>
      </w:r>
      <w:r w:rsidR="00C217CB" w:rsidRPr="002D0659">
        <w:rPr>
          <w:rFonts w:ascii="ITC Avant Garde" w:hAnsi="ITC Avant Garde"/>
          <w:color w:val="auto"/>
          <w:szCs w:val="22"/>
        </w:rPr>
        <w:t>comentario de CANIETI y Bestphone</w:t>
      </w:r>
      <w:r w:rsidR="00C217CB">
        <w:rPr>
          <w:rFonts w:ascii="ITC Avant Garde" w:hAnsi="ITC Avant Garde"/>
          <w:color w:val="auto"/>
          <w:szCs w:val="22"/>
        </w:rPr>
        <w:t>,</w:t>
      </w:r>
      <w:r w:rsidR="00C217CB" w:rsidRPr="002D0659">
        <w:rPr>
          <w:rFonts w:ascii="ITC Avant Garde" w:hAnsi="ITC Avant Garde"/>
          <w:color w:val="auto"/>
          <w:szCs w:val="22"/>
        </w:rPr>
        <w:t xml:space="preserve"> </w:t>
      </w:r>
      <w:r w:rsidR="00C217CB">
        <w:rPr>
          <w:rFonts w:ascii="ITC Avant Garde" w:hAnsi="ITC Avant Garde"/>
          <w:color w:val="auto"/>
          <w:szCs w:val="22"/>
        </w:rPr>
        <w:t>n</w:t>
      </w:r>
      <w:r w:rsidR="000A775F" w:rsidRPr="002D0659">
        <w:rPr>
          <w:rFonts w:ascii="ITC Avant Garde" w:hAnsi="ITC Avant Garde"/>
          <w:color w:val="auto"/>
          <w:szCs w:val="22"/>
        </w:rPr>
        <w:t xml:space="preserve">o se considera </w:t>
      </w:r>
      <w:r w:rsidRPr="002D0659">
        <w:rPr>
          <w:rFonts w:ascii="ITC Avant Garde" w:hAnsi="ITC Avant Garde"/>
          <w:color w:val="auto"/>
          <w:szCs w:val="22"/>
        </w:rPr>
        <w:t>dentro del alcance de los</w:t>
      </w:r>
      <w:r w:rsidR="000A775F" w:rsidRPr="002D0659">
        <w:rPr>
          <w:rFonts w:ascii="ITC Avant Garde" w:hAnsi="ITC Avant Garde"/>
          <w:color w:val="auto"/>
          <w:szCs w:val="22"/>
        </w:rPr>
        <w:t xml:space="preserve"> lineamiento</w:t>
      </w:r>
      <w:r w:rsidRPr="002D0659">
        <w:rPr>
          <w:rFonts w:ascii="ITC Avant Garde" w:hAnsi="ITC Avant Garde"/>
          <w:color w:val="auto"/>
          <w:szCs w:val="22"/>
        </w:rPr>
        <w:t>s</w:t>
      </w:r>
      <w:r w:rsidR="009E6488">
        <w:rPr>
          <w:rFonts w:ascii="ITC Avant Garde" w:hAnsi="ITC Avant Garde"/>
          <w:color w:val="auto"/>
          <w:szCs w:val="22"/>
        </w:rPr>
        <w:t>.</w:t>
      </w:r>
    </w:p>
    <w:p w14:paraId="3E1DE405" w14:textId="08EEC31A" w:rsidR="0028573C" w:rsidRPr="00377FDC" w:rsidRDefault="00C217CB">
      <w:pPr>
        <w:autoSpaceDE w:val="0"/>
        <w:autoSpaceDN w:val="0"/>
        <w:adjustRightInd w:val="0"/>
        <w:spacing w:line="240" w:lineRule="auto"/>
        <w:rPr>
          <w:rFonts w:ascii="ITC Avant Garde" w:hAnsi="ITC Avant Garde"/>
          <w:szCs w:val="22"/>
        </w:rPr>
      </w:pPr>
      <w:r>
        <w:rPr>
          <w:rFonts w:ascii="ITC Avant Garde" w:hAnsi="ITC Avant Garde"/>
          <w:szCs w:val="22"/>
        </w:rPr>
        <w:t>Por otro lado, s</w:t>
      </w:r>
      <w:r w:rsidR="0028573C" w:rsidRPr="00377FDC">
        <w:rPr>
          <w:rFonts w:ascii="ITC Avant Garde" w:hAnsi="ITC Avant Garde"/>
          <w:szCs w:val="22"/>
        </w:rPr>
        <w:t>e hace énfasis que la LFTR, en su artículo 138, fracción VIII establece que la obligación de tener presencia física en los IXP sólo aplica para el AEP de tal forma que el intercambio de tráfico de Internet sea con los ISPs.</w:t>
      </w:r>
    </w:p>
    <w:p w14:paraId="37DA637A" w14:textId="16636B9D" w:rsidR="0028573C" w:rsidRPr="00377FDC" w:rsidRDefault="00C217CB">
      <w:pPr>
        <w:autoSpaceDE w:val="0"/>
        <w:autoSpaceDN w:val="0"/>
        <w:adjustRightInd w:val="0"/>
        <w:spacing w:line="240" w:lineRule="auto"/>
        <w:rPr>
          <w:rFonts w:ascii="ITC Avant Garde" w:hAnsi="ITC Avant Garde"/>
          <w:szCs w:val="22"/>
        </w:rPr>
      </w:pPr>
      <w:r>
        <w:rPr>
          <w:rFonts w:ascii="ITC Avant Garde" w:hAnsi="ITC Avant Garde"/>
          <w:szCs w:val="22"/>
        </w:rPr>
        <w:t>Con relación</w:t>
      </w:r>
      <w:r w:rsidR="002D0659">
        <w:rPr>
          <w:rFonts w:ascii="ITC Avant Garde" w:hAnsi="ITC Avant Garde"/>
          <w:szCs w:val="22"/>
        </w:rPr>
        <w:t xml:space="preserve"> al comentario de CUDI y Raúl Godoy, los lineamientos ya le establecen obligaciones al AEP para que, a su costo, garantice las condiciones de conectividad, redundancia, entre otras, con el objetivo de lograr un intercambio de tráfico de Internet más eficiente y menos costoso como la establece la LFTR.</w:t>
      </w:r>
    </w:p>
    <w:p w14:paraId="295C6ED5" w14:textId="6D710CE7" w:rsidR="00685006" w:rsidRPr="00377FDC" w:rsidRDefault="00685006">
      <w:pPr>
        <w:autoSpaceDE w:val="0"/>
        <w:autoSpaceDN w:val="0"/>
        <w:adjustRightInd w:val="0"/>
        <w:spacing w:line="240" w:lineRule="auto"/>
        <w:rPr>
          <w:rFonts w:ascii="ITC Avant Garde" w:hAnsi="ITC Avant Garde"/>
          <w:szCs w:val="22"/>
        </w:rPr>
      </w:pPr>
      <w:r w:rsidRPr="00377FDC">
        <w:rPr>
          <w:rFonts w:ascii="ITC Avant Garde" w:hAnsi="ITC Avant Garde"/>
          <w:szCs w:val="22"/>
        </w:rPr>
        <w:t xml:space="preserve">En mención del comentario de Telmex y Telnor, </w:t>
      </w:r>
      <w:r w:rsidR="006A204E">
        <w:rPr>
          <w:rFonts w:ascii="ITC Avant Garde" w:hAnsi="ITC Avant Garde"/>
          <w:szCs w:val="22"/>
        </w:rPr>
        <w:t>se atiende su participación adecuando la redacción</w:t>
      </w:r>
      <w:r w:rsidRPr="00377FDC">
        <w:rPr>
          <w:rFonts w:ascii="ITC Avant Garde" w:hAnsi="ITC Avant Garde"/>
          <w:szCs w:val="22"/>
        </w:rPr>
        <w:t>.</w:t>
      </w:r>
    </w:p>
    <w:p w14:paraId="7F05B845" w14:textId="77777777" w:rsidR="00767D5D" w:rsidRPr="00377FDC" w:rsidRDefault="00767D5D">
      <w:pPr>
        <w:autoSpaceDE w:val="0"/>
        <w:autoSpaceDN w:val="0"/>
        <w:adjustRightInd w:val="0"/>
        <w:spacing w:line="240" w:lineRule="auto"/>
        <w:rPr>
          <w:rFonts w:ascii="ITC Avant Garde" w:hAnsi="ITC Avant Garde"/>
          <w:szCs w:val="22"/>
        </w:rPr>
      </w:pPr>
    </w:p>
    <w:p w14:paraId="095BEEE7" w14:textId="77777777" w:rsidR="00144E6A" w:rsidRPr="00377FDC" w:rsidRDefault="00144E6A">
      <w:pPr>
        <w:autoSpaceDE w:val="0"/>
        <w:autoSpaceDN w:val="0"/>
        <w:adjustRightInd w:val="0"/>
        <w:spacing w:line="240" w:lineRule="auto"/>
        <w:rPr>
          <w:rFonts w:ascii="ITC Avant Garde" w:hAnsi="ITC Avant Garde"/>
          <w:szCs w:val="22"/>
        </w:rPr>
      </w:pPr>
    </w:p>
    <w:p w14:paraId="5CD7167E" w14:textId="4F3DDA4C"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Lineamiento Vigésimo</w:t>
      </w:r>
    </w:p>
    <w:p w14:paraId="4286D8C8" w14:textId="77777777" w:rsidR="00E9448D" w:rsidRPr="00377FDC" w:rsidRDefault="00E9448D">
      <w:pPr>
        <w:autoSpaceDE w:val="0"/>
        <w:autoSpaceDN w:val="0"/>
        <w:adjustRightInd w:val="0"/>
        <w:spacing w:line="240" w:lineRule="auto"/>
        <w:rPr>
          <w:rFonts w:ascii="ITC Avant Garde" w:hAnsi="ITC Avant Garde"/>
          <w:b/>
          <w:szCs w:val="22"/>
        </w:rPr>
      </w:pPr>
    </w:p>
    <w:p w14:paraId="483444A9" w14:textId="56800C12" w:rsidR="00E9448D" w:rsidRPr="00377FDC" w:rsidRDefault="00144E6A">
      <w:pPr>
        <w:autoSpaceDE w:val="0"/>
        <w:autoSpaceDN w:val="0"/>
        <w:adjustRightInd w:val="0"/>
        <w:spacing w:line="240" w:lineRule="auto"/>
        <w:rPr>
          <w:rFonts w:ascii="ITC Avant Garde" w:hAnsi="ITC Avant Garde"/>
          <w:szCs w:val="22"/>
        </w:rPr>
      </w:pPr>
      <w:r w:rsidRPr="00377FDC">
        <w:rPr>
          <w:rFonts w:ascii="ITC Avant Garde" w:hAnsi="ITC Avant Garde"/>
          <w:b/>
          <w:szCs w:val="22"/>
        </w:rPr>
        <w:t xml:space="preserve">CITI y CUDI </w:t>
      </w:r>
      <w:r w:rsidRPr="00377FDC">
        <w:rPr>
          <w:rFonts w:ascii="ITC Avant Garde" w:hAnsi="ITC Avant Garde"/>
          <w:szCs w:val="22"/>
        </w:rPr>
        <w:t>sugieren una redacción para este lineamiento considerando que la entrega de información también sea extensiva a los participantes del IXP.</w:t>
      </w:r>
    </w:p>
    <w:p w14:paraId="26E8B7A9" w14:textId="77777777" w:rsidR="00144E6A" w:rsidRPr="00377FDC" w:rsidRDefault="00144E6A">
      <w:pPr>
        <w:autoSpaceDE w:val="0"/>
        <w:autoSpaceDN w:val="0"/>
        <w:adjustRightInd w:val="0"/>
        <w:spacing w:line="240" w:lineRule="auto"/>
        <w:rPr>
          <w:rFonts w:ascii="ITC Avant Garde" w:hAnsi="ITC Avant Garde"/>
          <w:szCs w:val="22"/>
        </w:rPr>
      </w:pPr>
    </w:p>
    <w:p w14:paraId="54253DFE" w14:textId="4ABF7B9C" w:rsidR="00144E6A" w:rsidRPr="00377FDC" w:rsidRDefault="000D72D3">
      <w:pPr>
        <w:autoSpaceDE w:val="0"/>
        <w:autoSpaceDN w:val="0"/>
        <w:adjustRightInd w:val="0"/>
        <w:spacing w:line="240" w:lineRule="auto"/>
        <w:rPr>
          <w:rFonts w:ascii="ITC Avant Garde" w:hAnsi="ITC Avant Garde"/>
          <w:szCs w:val="22"/>
        </w:rPr>
      </w:pPr>
      <w:r w:rsidRPr="003C7CAF">
        <w:rPr>
          <w:rFonts w:ascii="ITC Avant Garde" w:hAnsi="ITC Avant Garde"/>
          <w:b/>
        </w:rPr>
        <w:t>Respuesta.</w:t>
      </w:r>
      <w:r>
        <w:rPr>
          <w:rFonts w:ascii="ITC Avant Garde" w:hAnsi="ITC Avant Garde"/>
          <w:b/>
        </w:rPr>
        <w:t xml:space="preserve">  </w:t>
      </w:r>
      <w:r w:rsidR="00144E6A" w:rsidRPr="00377FDC">
        <w:rPr>
          <w:rFonts w:ascii="ITC Avant Garde" w:hAnsi="ITC Avant Garde"/>
          <w:szCs w:val="22"/>
        </w:rPr>
        <w:t>Se hace énfasis que la LFTR, en su artículo 138, fracción VIII establece que la obligación de tener presencia física en los IXP sólo aplica para el AEP de tal forma que el intercambio de tráfico de Internet sea con los ISPs.</w:t>
      </w:r>
    </w:p>
    <w:p w14:paraId="1A3EDCBC" w14:textId="77777777" w:rsidR="008B15C5" w:rsidRPr="00377FDC" w:rsidRDefault="008B15C5">
      <w:pPr>
        <w:autoSpaceDE w:val="0"/>
        <w:autoSpaceDN w:val="0"/>
        <w:adjustRightInd w:val="0"/>
        <w:spacing w:line="240" w:lineRule="auto"/>
        <w:rPr>
          <w:rFonts w:ascii="ITC Avant Garde" w:hAnsi="ITC Avant Garde"/>
          <w:szCs w:val="22"/>
        </w:rPr>
      </w:pPr>
    </w:p>
    <w:p w14:paraId="1580434D" w14:textId="77777777" w:rsidR="00AA4317" w:rsidRPr="00377FDC" w:rsidRDefault="00AA4317">
      <w:pPr>
        <w:autoSpaceDE w:val="0"/>
        <w:autoSpaceDN w:val="0"/>
        <w:adjustRightInd w:val="0"/>
        <w:spacing w:line="240" w:lineRule="auto"/>
        <w:rPr>
          <w:rFonts w:ascii="ITC Avant Garde" w:hAnsi="ITC Avant Garde"/>
          <w:szCs w:val="22"/>
        </w:rPr>
      </w:pPr>
    </w:p>
    <w:p w14:paraId="74A2A7ED" w14:textId="77777777" w:rsidR="00AA4317" w:rsidRPr="00377FDC" w:rsidRDefault="00AA4317">
      <w:pPr>
        <w:autoSpaceDE w:val="0"/>
        <w:autoSpaceDN w:val="0"/>
        <w:adjustRightInd w:val="0"/>
        <w:spacing w:line="240" w:lineRule="auto"/>
        <w:rPr>
          <w:rFonts w:ascii="ITC Avant Garde" w:hAnsi="ITC Avant Garde"/>
          <w:szCs w:val="22"/>
        </w:rPr>
      </w:pPr>
    </w:p>
    <w:p w14:paraId="49F845E0" w14:textId="7BDEF0A4" w:rsidR="00436234" w:rsidRPr="00377FDC" w:rsidRDefault="00E9448D">
      <w:pPr>
        <w:pStyle w:val="Normal1"/>
        <w:spacing w:line="240" w:lineRule="auto"/>
        <w:jc w:val="center"/>
        <w:rPr>
          <w:rFonts w:ascii="ITC Avant Garde" w:hAnsi="ITC Avant Garde"/>
          <w:szCs w:val="22"/>
          <w:lang w:val="es-ES_tradnl"/>
        </w:rPr>
      </w:pPr>
      <w:r w:rsidRPr="00377FDC">
        <w:rPr>
          <w:rFonts w:ascii="ITC Avant Garde" w:hAnsi="ITC Avant Garde"/>
          <w:b/>
          <w:szCs w:val="22"/>
          <w:lang w:val="es-ES_tradnl"/>
        </w:rPr>
        <w:t>Transitorios</w:t>
      </w:r>
    </w:p>
    <w:p w14:paraId="549D6D27" w14:textId="77777777" w:rsidR="00436234" w:rsidRPr="00377FDC" w:rsidRDefault="00436234">
      <w:pPr>
        <w:autoSpaceDE w:val="0"/>
        <w:autoSpaceDN w:val="0"/>
        <w:adjustRightInd w:val="0"/>
        <w:spacing w:line="240" w:lineRule="auto"/>
        <w:rPr>
          <w:rFonts w:ascii="ITC Avant Garde" w:hAnsi="ITC Avant Garde"/>
          <w:szCs w:val="22"/>
          <w:lang w:val="es-ES_tradnl"/>
        </w:rPr>
      </w:pPr>
    </w:p>
    <w:p w14:paraId="079B525A" w14:textId="7647D11B" w:rsidR="00E9448D" w:rsidRPr="00377FDC" w:rsidRDefault="00E9448D">
      <w:pPr>
        <w:autoSpaceDE w:val="0"/>
        <w:autoSpaceDN w:val="0"/>
        <w:adjustRightInd w:val="0"/>
        <w:spacing w:line="240" w:lineRule="auto"/>
        <w:rPr>
          <w:rFonts w:ascii="ITC Avant Garde" w:hAnsi="ITC Avant Garde"/>
          <w:b/>
          <w:szCs w:val="22"/>
        </w:rPr>
      </w:pPr>
      <w:r w:rsidRPr="00377FDC">
        <w:rPr>
          <w:rFonts w:ascii="ITC Avant Garde" w:hAnsi="ITC Avant Garde"/>
          <w:b/>
          <w:szCs w:val="22"/>
        </w:rPr>
        <w:t>Transitorio Primero</w:t>
      </w:r>
    </w:p>
    <w:p w14:paraId="6CB30974" w14:textId="77777777" w:rsidR="00E9448D" w:rsidRPr="00377FDC" w:rsidRDefault="00E9448D">
      <w:pPr>
        <w:autoSpaceDE w:val="0"/>
        <w:autoSpaceDN w:val="0"/>
        <w:adjustRightInd w:val="0"/>
        <w:spacing w:line="240" w:lineRule="auto"/>
        <w:rPr>
          <w:rFonts w:ascii="ITC Avant Garde" w:hAnsi="ITC Avant Garde"/>
          <w:b/>
          <w:szCs w:val="22"/>
        </w:rPr>
      </w:pPr>
    </w:p>
    <w:p w14:paraId="53614CE7" w14:textId="2681D624" w:rsidR="00691C5B" w:rsidRPr="00377FDC" w:rsidRDefault="00801D3F">
      <w:pPr>
        <w:autoSpaceDE w:val="0"/>
        <w:autoSpaceDN w:val="0"/>
        <w:adjustRightInd w:val="0"/>
        <w:spacing w:line="240" w:lineRule="auto"/>
        <w:rPr>
          <w:rFonts w:ascii="ITC Avant Garde" w:hAnsi="ITC Avant Garde"/>
          <w:szCs w:val="22"/>
        </w:rPr>
      </w:pPr>
      <w:r w:rsidRPr="00377FDC">
        <w:rPr>
          <w:rFonts w:ascii="ITC Avant Garde" w:hAnsi="ITC Avant Garde"/>
          <w:szCs w:val="22"/>
        </w:rPr>
        <w:t>No se emitió ningún comentario</w:t>
      </w:r>
    </w:p>
    <w:p w14:paraId="33FDD744" w14:textId="77777777" w:rsidR="00E9448D" w:rsidRPr="00377FDC" w:rsidRDefault="00E9448D">
      <w:pPr>
        <w:autoSpaceDE w:val="0"/>
        <w:autoSpaceDN w:val="0"/>
        <w:adjustRightInd w:val="0"/>
        <w:spacing w:line="240" w:lineRule="auto"/>
        <w:rPr>
          <w:rFonts w:ascii="ITC Avant Garde" w:hAnsi="ITC Avant Garde"/>
          <w:szCs w:val="22"/>
        </w:rPr>
      </w:pPr>
    </w:p>
    <w:p w14:paraId="5F3804CA" w14:textId="77777777" w:rsidR="00E9448D" w:rsidRPr="00377FDC" w:rsidRDefault="00E9448D">
      <w:pPr>
        <w:autoSpaceDE w:val="0"/>
        <w:autoSpaceDN w:val="0"/>
        <w:adjustRightInd w:val="0"/>
        <w:spacing w:line="240" w:lineRule="auto"/>
        <w:rPr>
          <w:rFonts w:ascii="ITC Avant Garde" w:hAnsi="ITC Avant Garde"/>
          <w:szCs w:val="22"/>
        </w:rPr>
      </w:pPr>
    </w:p>
    <w:p w14:paraId="5E00EC82" w14:textId="77777777" w:rsidR="00801D3F" w:rsidRPr="00377FDC" w:rsidRDefault="00801D3F">
      <w:pPr>
        <w:autoSpaceDE w:val="0"/>
        <w:autoSpaceDN w:val="0"/>
        <w:adjustRightInd w:val="0"/>
        <w:spacing w:line="240" w:lineRule="auto"/>
        <w:rPr>
          <w:rFonts w:ascii="ITC Avant Garde" w:hAnsi="ITC Avant Garde"/>
          <w:szCs w:val="22"/>
        </w:rPr>
      </w:pPr>
    </w:p>
    <w:p w14:paraId="647E115D" w14:textId="77777777" w:rsidR="00801D3F" w:rsidRDefault="00801D3F">
      <w:pPr>
        <w:autoSpaceDE w:val="0"/>
        <w:autoSpaceDN w:val="0"/>
        <w:adjustRightInd w:val="0"/>
        <w:spacing w:line="240" w:lineRule="auto"/>
        <w:rPr>
          <w:rFonts w:ascii="ITC Avant Garde" w:hAnsi="ITC Avant Garde"/>
          <w:szCs w:val="22"/>
        </w:rPr>
      </w:pPr>
    </w:p>
    <w:p w14:paraId="0C7B05DC" w14:textId="77777777" w:rsidR="009E6488" w:rsidRDefault="009E6488">
      <w:pPr>
        <w:autoSpaceDE w:val="0"/>
        <w:autoSpaceDN w:val="0"/>
        <w:adjustRightInd w:val="0"/>
        <w:spacing w:line="240" w:lineRule="auto"/>
        <w:rPr>
          <w:rFonts w:ascii="ITC Avant Garde" w:hAnsi="ITC Avant Garde"/>
          <w:szCs w:val="22"/>
        </w:rPr>
      </w:pPr>
    </w:p>
    <w:p w14:paraId="669C85C3" w14:textId="77777777" w:rsidR="009E6488" w:rsidRDefault="009E6488">
      <w:pPr>
        <w:autoSpaceDE w:val="0"/>
        <w:autoSpaceDN w:val="0"/>
        <w:adjustRightInd w:val="0"/>
        <w:spacing w:line="240" w:lineRule="auto"/>
        <w:rPr>
          <w:rFonts w:ascii="ITC Avant Garde" w:hAnsi="ITC Avant Garde"/>
          <w:szCs w:val="22"/>
        </w:rPr>
      </w:pPr>
    </w:p>
    <w:p w14:paraId="1DC47690" w14:textId="77777777" w:rsidR="009E6488" w:rsidRPr="00377FDC" w:rsidRDefault="009E6488">
      <w:pPr>
        <w:autoSpaceDE w:val="0"/>
        <w:autoSpaceDN w:val="0"/>
        <w:adjustRightInd w:val="0"/>
        <w:spacing w:line="240" w:lineRule="auto"/>
        <w:rPr>
          <w:rFonts w:ascii="ITC Avant Garde" w:hAnsi="ITC Avant Garde"/>
          <w:szCs w:val="22"/>
        </w:rPr>
      </w:pPr>
    </w:p>
    <w:p w14:paraId="58E376E3" w14:textId="3C2DEB00" w:rsidR="00BC1A9C" w:rsidRPr="00377FDC" w:rsidRDefault="00BC1A9C" w:rsidP="009E6488">
      <w:pPr>
        <w:pStyle w:val="Normal1"/>
        <w:spacing w:line="240" w:lineRule="auto"/>
        <w:ind w:left="720" w:hanging="720"/>
        <w:jc w:val="center"/>
        <w:rPr>
          <w:rFonts w:ascii="ITC Avant Garde" w:hAnsi="ITC Avant Garde"/>
          <w:b/>
          <w:szCs w:val="22"/>
          <w:lang w:val="es-ES_tradnl"/>
        </w:rPr>
      </w:pPr>
      <w:r w:rsidRPr="00377FDC">
        <w:rPr>
          <w:rFonts w:ascii="ITC Avant Garde" w:hAnsi="ITC Avant Garde"/>
          <w:b/>
          <w:szCs w:val="22"/>
          <w:lang w:val="es-ES_tradnl"/>
        </w:rPr>
        <w:lastRenderedPageBreak/>
        <w:t>ANEXO I</w:t>
      </w:r>
    </w:p>
    <w:p w14:paraId="6D2623D5" w14:textId="119FA0B8" w:rsidR="00BC1A9C" w:rsidRPr="00377FDC" w:rsidRDefault="000D3AEE" w:rsidP="009E6488">
      <w:pPr>
        <w:pStyle w:val="Normal1"/>
        <w:spacing w:line="240" w:lineRule="auto"/>
        <w:ind w:left="720" w:hanging="720"/>
        <w:jc w:val="center"/>
        <w:rPr>
          <w:rFonts w:ascii="ITC Avant Garde" w:hAnsi="ITC Avant Garde"/>
          <w:b/>
          <w:szCs w:val="22"/>
          <w:lang w:val="es-ES_tradnl"/>
        </w:rPr>
      </w:pPr>
      <w:r w:rsidRPr="000D3AEE">
        <w:rPr>
          <w:rFonts w:ascii="ITC Avant Garde" w:hAnsi="ITC Avant Garde"/>
          <w:b/>
          <w:szCs w:val="22"/>
          <w:lang w:val="es-ES_tradnl"/>
        </w:rPr>
        <w:t>REPORTE ESTADÍSTICO DE INTERCAMBIO DE TRÁFICO</w:t>
      </w:r>
    </w:p>
    <w:p w14:paraId="0767AD18" w14:textId="77777777" w:rsidR="00691C5B" w:rsidRPr="00377FDC" w:rsidRDefault="00691C5B" w:rsidP="0039427F">
      <w:pPr>
        <w:autoSpaceDE w:val="0"/>
        <w:autoSpaceDN w:val="0"/>
        <w:adjustRightInd w:val="0"/>
        <w:spacing w:line="240" w:lineRule="auto"/>
        <w:rPr>
          <w:rFonts w:ascii="ITC Avant Garde" w:hAnsi="ITC Avant Garde"/>
          <w:b/>
          <w:szCs w:val="22"/>
        </w:rPr>
      </w:pPr>
    </w:p>
    <w:p w14:paraId="6F8648D3" w14:textId="4361FF3F" w:rsidR="003927FC"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Telefónica</w:t>
      </w:r>
      <w:r w:rsidR="003927FC" w:rsidRPr="00377FDC">
        <w:rPr>
          <w:rFonts w:ascii="ITC Avant Garde" w:hAnsi="ITC Avant Garde"/>
          <w:b/>
          <w:szCs w:val="22"/>
        </w:rPr>
        <w:t xml:space="preserve"> </w:t>
      </w:r>
      <w:r w:rsidR="003927FC" w:rsidRPr="00377FDC">
        <w:rPr>
          <w:rFonts w:ascii="ITC Avant Garde" w:hAnsi="ITC Avant Garde"/>
          <w:szCs w:val="22"/>
        </w:rPr>
        <w:t>expresa que la información</w:t>
      </w:r>
      <w:r w:rsidR="00BF10FC" w:rsidRPr="00377FDC">
        <w:rPr>
          <w:rFonts w:ascii="ITC Avant Garde" w:hAnsi="ITC Avant Garde"/>
          <w:szCs w:val="22"/>
        </w:rPr>
        <w:t xml:space="preserve"> señalada en el Anexo</w:t>
      </w:r>
      <w:r w:rsidR="003927FC" w:rsidRPr="00377FDC">
        <w:rPr>
          <w:rFonts w:ascii="ITC Avant Garde" w:hAnsi="ITC Avant Garde"/>
          <w:szCs w:val="22"/>
        </w:rPr>
        <w:t xml:space="preserve"> I debe ser provista por el </w:t>
      </w:r>
      <w:r w:rsidR="000D72D3" w:rsidRPr="00377FDC">
        <w:rPr>
          <w:rFonts w:ascii="ITC Avant Garde" w:hAnsi="ITC Avant Garde"/>
          <w:szCs w:val="22"/>
        </w:rPr>
        <w:t>responsable del</w:t>
      </w:r>
      <w:r w:rsidR="003927FC" w:rsidRPr="00377FDC">
        <w:rPr>
          <w:rFonts w:ascii="ITC Avant Garde" w:hAnsi="ITC Avant Garde"/>
          <w:szCs w:val="22"/>
        </w:rPr>
        <w:t xml:space="preserve"> IXP designado por los participantes del mismo. Asimismo, esta información debería poder ser utilizada por los participantes del IXP para solicitar cambios en la configuración y capacidad de las conexiones con el AEP y entre los mismos participantes del IXP. Dentro de la información solicitada también debe considerarse la capacidad total disponible en el IXP, número de sistemas autónomos conectados y número de redes de entrega de contenido que participan del IXP.</w:t>
      </w:r>
    </w:p>
    <w:p w14:paraId="0DA4AB5C" w14:textId="5AF93A23" w:rsidR="003927FC"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CUDI</w:t>
      </w:r>
      <w:r w:rsidR="003927FC" w:rsidRPr="00377FDC">
        <w:rPr>
          <w:rFonts w:ascii="ITC Avant Garde" w:hAnsi="ITC Avant Garde"/>
          <w:b/>
          <w:szCs w:val="22"/>
        </w:rPr>
        <w:t xml:space="preserve"> </w:t>
      </w:r>
      <w:r w:rsidR="000D1153" w:rsidRPr="00377FDC">
        <w:rPr>
          <w:rFonts w:ascii="ITC Avant Garde" w:hAnsi="ITC Avant Garde"/>
          <w:szCs w:val="22"/>
        </w:rPr>
        <w:t xml:space="preserve">opina que el monitoreo y/o informe del Anexo I sea elaborado por otra entidad que supervise </w:t>
      </w:r>
      <w:r w:rsidR="000D3AEE" w:rsidRPr="00377FDC">
        <w:rPr>
          <w:rFonts w:ascii="ITC Avant Garde" w:hAnsi="ITC Avant Garde"/>
          <w:szCs w:val="22"/>
        </w:rPr>
        <w:t>el intercambio</w:t>
      </w:r>
      <w:r w:rsidR="000D1153" w:rsidRPr="00377FDC">
        <w:rPr>
          <w:rFonts w:ascii="ITC Avant Garde" w:hAnsi="ITC Avant Garde"/>
          <w:szCs w:val="22"/>
        </w:rPr>
        <w:t xml:space="preserve"> tráfico del AEP y el IXP. R</w:t>
      </w:r>
      <w:r w:rsidR="003927FC" w:rsidRPr="00377FDC">
        <w:rPr>
          <w:rFonts w:ascii="ITC Avant Garde" w:hAnsi="ITC Avant Garde"/>
          <w:szCs w:val="22"/>
        </w:rPr>
        <w:t xml:space="preserve">ecomienda estandarizar los formatos de fecha (DD/MM/AA), trimestre y de </w:t>
      </w:r>
      <w:r w:rsidR="000D1153" w:rsidRPr="00377FDC">
        <w:rPr>
          <w:rFonts w:ascii="ITC Avant Garde" w:hAnsi="ITC Avant Garde"/>
          <w:szCs w:val="22"/>
        </w:rPr>
        <w:t xml:space="preserve">llevar un </w:t>
      </w:r>
      <w:r w:rsidR="003927FC" w:rsidRPr="00377FDC">
        <w:rPr>
          <w:rFonts w:ascii="ITC Avant Garde" w:hAnsi="ITC Avant Garde"/>
          <w:szCs w:val="22"/>
        </w:rPr>
        <w:t>control de versión de</w:t>
      </w:r>
      <w:r w:rsidR="000D1153" w:rsidRPr="00377FDC">
        <w:rPr>
          <w:rFonts w:ascii="ITC Avant Garde" w:hAnsi="ITC Avant Garde"/>
          <w:szCs w:val="22"/>
        </w:rPr>
        <w:t>l</w:t>
      </w:r>
      <w:r w:rsidR="003927FC" w:rsidRPr="00377FDC">
        <w:rPr>
          <w:rFonts w:ascii="ITC Avant Garde" w:hAnsi="ITC Avant Garde"/>
          <w:szCs w:val="22"/>
        </w:rPr>
        <w:t xml:space="preserve"> formato del reporte. </w:t>
      </w:r>
      <w:r w:rsidR="000D1153" w:rsidRPr="00377FDC">
        <w:rPr>
          <w:rFonts w:ascii="ITC Avant Garde" w:hAnsi="ITC Avant Garde"/>
          <w:szCs w:val="22"/>
        </w:rPr>
        <w:t>H</w:t>
      </w:r>
      <w:r w:rsidR="003927FC" w:rsidRPr="00377FDC">
        <w:rPr>
          <w:rFonts w:ascii="ITC Avant Garde" w:hAnsi="ITC Avant Garde"/>
          <w:szCs w:val="22"/>
        </w:rPr>
        <w:t>acer una redacción que considere que la entrega de información sea extensiva a los participantes del IXP.</w:t>
      </w:r>
      <w:r w:rsidR="00BE3976" w:rsidRPr="00377FDC">
        <w:rPr>
          <w:rFonts w:ascii="ITC Avant Garde" w:hAnsi="ITC Avant Garde"/>
          <w:szCs w:val="22"/>
        </w:rPr>
        <w:t xml:space="preserve"> </w:t>
      </w:r>
      <w:r w:rsidR="00DD5B03" w:rsidRPr="00377FDC">
        <w:rPr>
          <w:rFonts w:ascii="ITC Avant Garde" w:hAnsi="ITC Avant Garde"/>
          <w:szCs w:val="22"/>
        </w:rPr>
        <w:t>Así como utilizar el término Velocidad de transmisión, el cual es más correcto, en lugar del término ancho de banda.</w:t>
      </w:r>
    </w:p>
    <w:p w14:paraId="5DFADF8B" w14:textId="26383AD1" w:rsidR="00691C5B" w:rsidRPr="00377FDC" w:rsidRDefault="00691C5B">
      <w:pPr>
        <w:autoSpaceDE w:val="0"/>
        <w:autoSpaceDN w:val="0"/>
        <w:adjustRightInd w:val="0"/>
        <w:spacing w:line="240" w:lineRule="auto"/>
        <w:rPr>
          <w:rFonts w:ascii="ITC Avant Garde" w:hAnsi="ITC Avant Garde"/>
          <w:szCs w:val="22"/>
        </w:rPr>
      </w:pPr>
      <w:r w:rsidRPr="00377FDC">
        <w:rPr>
          <w:rFonts w:ascii="ITC Avant Garde" w:hAnsi="ITC Avant Garde"/>
          <w:b/>
          <w:szCs w:val="22"/>
        </w:rPr>
        <w:t>Telmex</w:t>
      </w:r>
      <w:r w:rsidRPr="00377FDC">
        <w:rPr>
          <w:rFonts w:ascii="ITC Avant Garde" w:hAnsi="ITC Avant Garde"/>
          <w:szCs w:val="22"/>
        </w:rPr>
        <w:t xml:space="preserve"> y </w:t>
      </w:r>
      <w:r w:rsidRPr="00377FDC">
        <w:rPr>
          <w:rFonts w:ascii="ITC Avant Garde" w:hAnsi="ITC Avant Garde"/>
          <w:b/>
          <w:szCs w:val="22"/>
        </w:rPr>
        <w:t>Telnor</w:t>
      </w:r>
      <w:r w:rsidR="003927FC" w:rsidRPr="00377FDC">
        <w:rPr>
          <w:rFonts w:ascii="ITC Avant Garde" w:hAnsi="ITC Avant Garde"/>
          <w:b/>
          <w:szCs w:val="22"/>
        </w:rPr>
        <w:t xml:space="preserve"> </w:t>
      </w:r>
      <w:r w:rsidR="000D317F" w:rsidRPr="00377FDC">
        <w:rPr>
          <w:rFonts w:ascii="ITC Avant Garde" w:hAnsi="ITC Avant Garde"/>
          <w:szCs w:val="22"/>
        </w:rPr>
        <w:t>expone</w:t>
      </w:r>
      <w:r w:rsidR="000D3AEE">
        <w:rPr>
          <w:rFonts w:ascii="ITC Avant Garde" w:hAnsi="ITC Avant Garde"/>
          <w:szCs w:val="22"/>
        </w:rPr>
        <w:t>n</w:t>
      </w:r>
      <w:r w:rsidR="000D317F" w:rsidRPr="00377FDC">
        <w:rPr>
          <w:rFonts w:ascii="ITC Avant Garde" w:hAnsi="ITC Avant Garde"/>
          <w:szCs w:val="22"/>
        </w:rPr>
        <w:t xml:space="preserve"> que c</w:t>
      </w:r>
      <w:r w:rsidR="003927FC" w:rsidRPr="00377FDC">
        <w:rPr>
          <w:rFonts w:ascii="ITC Avant Garde" w:hAnsi="ITC Avant Garde"/>
          <w:szCs w:val="22"/>
        </w:rPr>
        <w:t xml:space="preserve">uando se utiliza un IXP para el </w:t>
      </w:r>
      <w:r w:rsidR="00BF10FC" w:rsidRPr="00377FDC">
        <w:rPr>
          <w:rFonts w:ascii="ITC Avant Garde" w:hAnsi="ITC Avant Garde"/>
          <w:szCs w:val="22"/>
        </w:rPr>
        <w:t>intercambio de tráfico nacional,</w:t>
      </w:r>
      <w:r w:rsidR="003927FC" w:rsidRPr="00377FDC">
        <w:rPr>
          <w:rFonts w:ascii="ITC Avant Garde" w:hAnsi="ITC Avant Garde"/>
          <w:szCs w:val="22"/>
        </w:rPr>
        <w:t xml:space="preserve"> no se establece un enlace</w:t>
      </w:r>
      <w:r w:rsidR="00BF10FC" w:rsidRPr="00377FDC">
        <w:rPr>
          <w:rFonts w:ascii="ITC Avant Garde" w:hAnsi="ITC Avant Garde"/>
          <w:szCs w:val="22"/>
        </w:rPr>
        <w:t xml:space="preserve"> con cada ISP miembro del IXP. C</w:t>
      </w:r>
      <w:r w:rsidR="003927FC" w:rsidRPr="00377FDC">
        <w:rPr>
          <w:rFonts w:ascii="ITC Avant Garde" w:hAnsi="ITC Avant Garde"/>
          <w:szCs w:val="22"/>
        </w:rPr>
        <w:t>ada participante establece un único enlace al IXP mediante el cual se realizan los intercambios con t</w:t>
      </w:r>
      <w:r w:rsidR="00BF10FC" w:rsidRPr="00377FDC">
        <w:rPr>
          <w:rFonts w:ascii="ITC Avant Garde" w:hAnsi="ITC Avant Garde"/>
          <w:szCs w:val="22"/>
        </w:rPr>
        <w:t xml:space="preserve">odos los ISP miembros del IXP. </w:t>
      </w:r>
      <w:r w:rsidR="003927FC" w:rsidRPr="00377FDC">
        <w:rPr>
          <w:rFonts w:ascii="ITC Avant Garde" w:hAnsi="ITC Avant Garde"/>
          <w:szCs w:val="22"/>
        </w:rPr>
        <w:t>Por esta razón</w:t>
      </w:r>
      <w:r w:rsidR="00BF10FC" w:rsidRPr="00377FDC">
        <w:rPr>
          <w:rFonts w:ascii="ITC Avant Garde" w:hAnsi="ITC Avant Garde"/>
          <w:szCs w:val="22"/>
        </w:rPr>
        <w:t>, sugieren la corrección de la redacción, pues</w:t>
      </w:r>
      <w:r w:rsidR="003927FC" w:rsidRPr="00377FDC">
        <w:rPr>
          <w:rFonts w:ascii="ITC Avant Garde" w:hAnsi="ITC Avant Garde"/>
          <w:szCs w:val="22"/>
        </w:rPr>
        <w:t xml:space="preserve"> la capacidad acordada debería ser del AEP hacia el IXP y no por cada ISP.</w:t>
      </w:r>
    </w:p>
    <w:p w14:paraId="4A93D6D2" w14:textId="77777777" w:rsidR="003927FC" w:rsidRPr="00377FDC" w:rsidRDefault="003927FC">
      <w:pPr>
        <w:autoSpaceDE w:val="0"/>
        <w:autoSpaceDN w:val="0"/>
        <w:adjustRightInd w:val="0"/>
        <w:spacing w:line="240" w:lineRule="auto"/>
        <w:rPr>
          <w:rFonts w:ascii="ITC Avant Garde" w:hAnsi="ITC Avant Garde"/>
          <w:szCs w:val="22"/>
        </w:rPr>
      </w:pPr>
    </w:p>
    <w:p w14:paraId="5C703D10" w14:textId="326967C9" w:rsidR="00BC1A9C" w:rsidRPr="00377FDC" w:rsidRDefault="000D3AEE">
      <w:pPr>
        <w:autoSpaceDE w:val="0"/>
        <w:autoSpaceDN w:val="0"/>
        <w:adjustRightInd w:val="0"/>
        <w:spacing w:line="240" w:lineRule="auto"/>
        <w:rPr>
          <w:rFonts w:ascii="ITC Avant Garde" w:hAnsi="ITC Avant Garde"/>
          <w:color w:val="00B050"/>
          <w:szCs w:val="22"/>
          <w:lang w:val="es-ES_tradnl"/>
        </w:rPr>
      </w:pPr>
      <w:r w:rsidRPr="003C7CAF">
        <w:rPr>
          <w:rFonts w:ascii="ITC Avant Garde" w:hAnsi="ITC Avant Garde"/>
          <w:b/>
        </w:rPr>
        <w:t>Respuesta.</w:t>
      </w:r>
      <w:r>
        <w:rPr>
          <w:rFonts w:ascii="ITC Avant Garde" w:hAnsi="ITC Avant Garde"/>
          <w:b/>
        </w:rPr>
        <w:t xml:space="preserve">  </w:t>
      </w:r>
      <w:r w:rsidR="00BF10FC" w:rsidRPr="00377FDC">
        <w:rPr>
          <w:rFonts w:ascii="ITC Avant Garde" w:hAnsi="ITC Avant Garde"/>
          <w:szCs w:val="22"/>
          <w:lang w:val="es-ES_tradnl"/>
        </w:rPr>
        <w:t xml:space="preserve">Se consideran los campos sugeridos por </w:t>
      </w:r>
      <w:r w:rsidR="00BF10FC" w:rsidRPr="00377FDC">
        <w:rPr>
          <w:rFonts w:ascii="ITC Avant Garde" w:hAnsi="ITC Avant Garde"/>
          <w:b/>
          <w:szCs w:val="22"/>
          <w:lang w:val="es-ES_tradnl"/>
        </w:rPr>
        <w:t>Telefónica</w:t>
      </w:r>
      <w:r w:rsidR="00BF10FC" w:rsidRPr="00377FDC">
        <w:rPr>
          <w:rFonts w:ascii="ITC Avant Garde" w:hAnsi="ITC Avant Garde"/>
          <w:szCs w:val="22"/>
          <w:lang w:val="es-ES_tradnl"/>
        </w:rPr>
        <w:t xml:space="preserve"> para fortalecer el Anexo </w:t>
      </w:r>
      <w:r w:rsidR="00BF10FC" w:rsidRPr="000D3AEE">
        <w:rPr>
          <w:rFonts w:ascii="ITC Avant Garde" w:hAnsi="ITC Avant Garde"/>
          <w:color w:val="auto"/>
          <w:szCs w:val="22"/>
          <w:lang w:val="es-ES_tradnl"/>
        </w:rPr>
        <w:t>I. También se hace mención que la informaci</w:t>
      </w:r>
      <w:r w:rsidR="00DD5B03" w:rsidRPr="000D3AEE">
        <w:rPr>
          <w:rFonts w:ascii="ITC Avant Garde" w:hAnsi="ITC Avant Garde"/>
          <w:color w:val="auto"/>
          <w:szCs w:val="22"/>
          <w:lang w:val="es-ES_tradnl"/>
        </w:rPr>
        <w:t xml:space="preserve">ón entregada en el Anexo I </w:t>
      </w:r>
      <w:r w:rsidR="00C44399" w:rsidRPr="000D3AEE">
        <w:rPr>
          <w:rFonts w:ascii="ITC Avant Garde" w:hAnsi="ITC Avant Garde"/>
          <w:color w:val="auto"/>
          <w:szCs w:val="22"/>
          <w:lang w:val="es-ES_tradnl"/>
        </w:rPr>
        <w:t>se</w:t>
      </w:r>
      <w:r w:rsidR="00C44399">
        <w:rPr>
          <w:rFonts w:ascii="ITC Avant Garde" w:hAnsi="ITC Avant Garde"/>
          <w:color w:val="auto"/>
          <w:szCs w:val="22"/>
          <w:lang w:val="es-ES_tradnl"/>
        </w:rPr>
        <w:t>rá</w:t>
      </w:r>
      <w:r w:rsidR="00C44399" w:rsidRPr="000D3AEE">
        <w:rPr>
          <w:rFonts w:ascii="ITC Avant Garde" w:hAnsi="ITC Avant Garde"/>
          <w:color w:val="auto"/>
          <w:szCs w:val="22"/>
          <w:lang w:val="es-ES_tradnl"/>
        </w:rPr>
        <w:t xml:space="preserve"> </w:t>
      </w:r>
      <w:r w:rsidR="00BF10FC" w:rsidRPr="000D3AEE">
        <w:rPr>
          <w:rFonts w:ascii="ITC Avant Garde" w:hAnsi="ITC Avant Garde"/>
          <w:color w:val="auto"/>
          <w:szCs w:val="22"/>
          <w:lang w:val="es-ES_tradnl"/>
        </w:rPr>
        <w:t>públic</w:t>
      </w:r>
      <w:r w:rsidR="00C44399">
        <w:rPr>
          <w:rFonts w:ascii="ITC Avant Garde" w:hAnsi="ITC Avant Garde"/>
          <w:color w:val="auto"/>
          <w:szCs w:val="22"/>
          <w:lang w:val="es-ES_tradnl"/>
        </w:rPr>
        <w:t>a a nivel desagregado</w:t>
      </w:r>
      <w:r w:rsidR="00BF10FC" w:rsidRPr="000D3AEE">
        <w:rPr>
          <w:rFonts w:ascii="ITC Avant Garde" w:hAnsi="ITC Avant Garde"/>
          <w:color w:val="auto"/>
          <w:szCs w:val="22"/>
          <w:lang w:val="es-ES_tradnl"/>
        </w:rPr>
        <w:t>.</w:t>
      </w:r>
    </w:p>
    <w:p w14:paraId="0E16396E" w14:textId="6EFFB8BB" w:rsidR="00BF10FC" w:rsidRPr="00377FDC" w:rsidRDefault="00BF10FC">
      <w:pPr>
        <w:autoSpaceDE w:val="0"/>
        <w:autoSpaceDN w:val="0"/>
        <w:adjustRightInd w:val="0"/>
        <w:spacing w:line="240" w:lineRule="auto"/>
        <w:rPr>
          <w:rFonts w:ascii="ITC Avant Garde" w:hAnsi="ITC Avant Garde"/>
          <w:szCs w:val="22"/>
        </w:rPr>
      </w:pPr>
      <w:r w:rsidRPr="00377FDC">
        <w:rPr>
          <w:rFonts w:ascii="ITC Avant Garde" w:hAnsi="ITC Avant Garde"/>
          <w:szCs w:val="22"/>
        </w:rPr>
        <w:t>En cuanto al comentario de CUDI, se estandarizan los form</w:t>
      </w:r>
      <w:r w:rsidR="00DD5B03" w:rsidRPr="00377FDC">
        <w:rPr>
          <w:rFonts w:ascii="ITC Avant Garde" w:hAnsi="ITC Avant Garde"/>
          <w:szCs w:val="22"/>
        </w:rPr>
        <w:t>atos y se</w:t>
      </w:r>
      <w:r w:rsidRPr="00377FDC">
        <w:rPr>
          <w:rFonts w:ascii="ITC Avant Garde" w:hAnsi="ITC Avant Garde"/>
          <w:szCs w:val="22"/>
        </w:rPr>
        <w:t xml:space="preserve"> revisan las referencias</w:t>
      </w:r>
      <w:r w:rsidRPr="000D3AEE">
        <w:rPr>
          <w:rFonts w:ascii="ITC Avant Garde" w:hAnsi="ITC Avant Garde"/>
          <w:color w:val="auto"/>
          <w:szCs w:val="22"/>
        </w:rPr>
        <w:t>.</w:t>
      </w:r>
      <w:r w:rsidR="00DD5B03" w:rsidRPr="000D3AEE">
        <w:rPr>
          <w:rFonts w:ascii="ITC Avant Garde" w:hAnsi="ITC Avant Garde"/>
          <w:color w:val="auto"/>
          <w:szCs w:val="22"/>
        </w:rPr>
        <w:t xml:space="preserve"> </w:t>
      </w:r>
      <w:r w:rsidR="000D3AEE" w:rsidRPr="000D3AEE">
        <w:rPr>
          <w:rFonts w:ascii="ITC Avant Garde" w:hAnsi="ITC Avant Garde"/>
          <w:color w:val="auto"/>
          <w:szCs w:val="22"/>
        </w:rPr>
        <w:t>Por otro lado, el que una</w:t>
      </w:r>
      <w:r w:rsidR="00DD5B03" w:rsidRPr="000D3AEE">
        <w:rPr>
          <w:rFonts w:ascii="ITC Avant Garde" w:hAnsi="ITC Avant Garde"/>
          <w:color w:val="auto"/>
          <w:szCs w:val="22"/>
        </w:rPr>
        <w:t xml:space="preserve"> tercera entidad obtenga las estadísticas</w:t>
      </w:r>
      <w:r w:rsidR="000D3AEE" w:rsidRPr="000D3AEE">
        <w:rPr>
          <w:rFonts w:ascii="ITC Avant Garde" w:hAnsi="ITC Avant Garde"/>
          <w:color w:val="auto"/>
          <w:szCs w:val="22"/>
        </w:rPr>
        <w:t xml:space="preserve"> no se contrapone a lo establecido en los lineamientos</w:t>
      </w:r>
      <w:r w:rsidR="00DD5B03" w:rsidRPr="000D3AEE">
        <w:rPr>
          <w:rFonts w:ascii="ITC Avant Garde" w:hAnsi="ITC Avant Garde"/>
          <w:color w:val="auto"/>
          <w:szCs w:val="22"/>
        </w:rPr>
        <w:t xml:space="preserve">. </w:t>
      </w:r>
      <w:r w:rsidR="000D3AEE">
        <w:rPr>
          <w:rFonts w:ascii="ITC Avant Garde" w:hAnsi="ITC Avant Garde"/>
          <w:szCs w:val="22"/>
        </w:rPr>
        <w:t>S</w:t>
      </w:r>
      <w:r w:rsidRPr="00377FDC">
        <w:rPr>
          <w:rFonts w:ascii="ITC Avant Garde" w:hAnsi="ITC Avant Garde"/>
          <w:szCs w:val="22"/>
        </w:rPr>
        <w:t xml:space="preserve">e aplica la corrección hecha por Telmex y Telnor a la redacción. </w:t>
      </w:r>
    </w:p>
    <w:p w14:paraId="62124163" w14:textId="77777777" w:rsidR="00C55A9B" w:rsidRPr="00377FDC" w:rsidRDefault="00C55A9B">
      <w:pPr>
        <w:autoSpaceDE w:val="0"/>
        <w:autoSpaceDN w:val="0"/>
        <w:adjustRightInd w:val="0"/>
        <w:spacing w:line="240" w:lineRule="auto"/>
        <w:rPr>
          <w:rFonts w:ascii="ITC Avant Garde" w:hAnsi="ITC Avant Garde"/>
          <w:b/>
          <w:szCs w:val="22"/>
          <w:lang w:val="es-ES_tradnl"/>
        </w:rPr>
      </w:pPr>
    </w:p>
    <w:p w14:paraId="40D363C6" w14:textId="77777777" w:rsidR="00C55A9B" w:rsidRPr="00377FDC" w:rsidRDefault="00C55A9B">
      <w:pPr>
        <w:autoSpaceDE w:val="0"/>
        <w:autoSpaceDN w:val="0"/>
        <w:adjustRightInd w:val="0"/>
        <w:spacing w:line="240" w:lineRule="auto"/>
        <w:rPr>
          <w:rFonts w:ascii="ITC Avant Garde" w:hAnsi="ITC Avant Garde"/>
          <w:b/>
          <w:szCs w:val="22"/>
          <w:lang w:val="es-ES_tradnl"/>
        </w:rPr>
      </w:pPr>
    </w:p>
    <w:p w14:paraId="6B988D16" w14:textId="77777777" w:rsidR="00094C7F" w:rsidRPr="00377FDC" w:rsidRDefault="00094C7F">
      <w:pPr>
        <w:autoSpaceDE w:val="0"/>
        <w:autoSpaceDN w:val="0"/>
        <w:adjustRightInd w:val="0"/>
        <w:spacing w:line="240" w:lineRule="auto"/>
        <w:rPr>
          <w:rFonts w:ascii="ITC Avant Garde" w:hAnsi="ITC Avant Garde"/>
          <w:b/>
          <w:szCs w:val="22"/>
          <w:lang w:val="es-ES_tradnl"/>
        </w:rPr>
      </w:pPr>
    </w:p>
    <w:p w14:paraId="3A86B7E0" w14:textId="6CCF92FE" w:rsidR="007373E0" w:rsidRPr="00377FDC" w:rsidRDefault="007F6EB5">
      <w:pPr>
        <w:autoSpaceDE w:val="0"/>
        <w:autoSpaceDN w:val="0"/>
        <w:adjustRightInd w:val="0"/>
        <w:spacing w:line="240" w:lineRule="auto"/>
        <w:jc w:val="center"/>
        <w:rPr>
          <w:rFonts w:ascii="ITC Avant Garde" w:hAnsi="ITC Avant Garde"/>
          <w:b/>
          <w:szCs w:val="22"/>
          <w:lang w:val="es-ES_tradnl"/>
        </w:rPr>
      </w:pPr>
      <w:r w:rsidRPr="00377FDC">
        <w:rPr>
          <w:rFonts w:ascii="ITC Avant Garde" w:hAnsi="ITC Avant Garde"/>
          <w:b/>
          <w:szCs w:val="22"/>
          <w:lang w:val="es-ES_tradnl"/>
        </w:rPr>
        <w:t>CONSIDERACIONES GENERALES DE LA CONSULTA</w:t>
      </w:r>
    </w:p>
    <w:p w14:paraId="7E7CC352" w14:textId="77777777" w:rsidR="00DD5B03" w:rsidRPr="00377FDC" w:rsidRDefault="00DD5B03">
      <w:pPr>
        <w:autoSpaceDE w:val="0"/>
        <w:autoSpaceDN w:val="0"/>
        <w:adjustRightInd w:val="0"/>
        <w:spacing w:line="240" w:lineRule="auto"/>
        <w:jc w:val="center"/>
        <w:rPr>
          <w:rFonts w:ascii="ITC Avant Garde" w:hAnsi="ITC Avant Garde"/>
          <w:szCs w:val="22"/>
          <w:lang w:val="es-ES_tradnl"/>
        </w:rPr>
      </w:pPr>
    </w:p>
    <w:p w14:paraId="108495D6" w14:textId="311C85AF" w:rsidR="00DD5B03" w:rsidRPr="00377FDC" w:rsidRDefault="00DD5B03">
      <w:pPr>
        <w:autoSpaceDE w:val="0"/>
        <w:autoSpaceDN w:val="0"/>
        <w:adjustRightInd w:val="0"/>
        <w:spacing w:line="240" w:lineRule="auto"/>
        <w:rPr>
          <w:rFonts w:ascii="ITC Avant Garde" w:hAnsi="ITC Avant Garde"/>
          <w:szCs w:val="22"/>
        </w:rPr>
      </w:pPr>
      <w:r w:rsidRPr="00377FDC">
        <w:rPr>
          <w:rFonts w:ascii="ITC Avant Garde" w:hAnsi="ITC Avant Garde"/>
          <w:b/>
          <w:szCs w:val="22"/>
        </w:rPr>
        <w:t xml:space="preserve">CANIETI </w:t>
      </w:r>
      <w:r w:rsidRPr="00377FDC">
        <w:rPr>
          <w:rFonts w:ascii="ITC Avant Garde" w:hAnsi="ITC Avant Garde"/>
          <w:szCs w:val="22"/>
        </w:rPr>
        <w:t>y</w:t>
      </w:r>
      <w:r w:rsidRPr="00377FDC">
        <w:rPr>
          <w:rFonts w:ascii="ITC Avant Garde" w:hAnsi="ITC Avant Garde"/>
          <w:b/>
          <w:szCs w:val="22"/>
        </w:rPr>
        <w:t xml:space="preserve"> Telefónica</w:t>
      </w:r>
      <w:r w:rsidR="0045794A" w:rsidRPr="00377FDC">
        <w:rPr>
          <w:rFonts w:ascii="ITC Avant Garde" w:hAnsi="ITC Avant Garde"/>
          <w:b/>
          <w:szCs w:val="22"/>
        </w:rPr>
        <w:t xml:space="preserve"> </w:t>
      </w:r>
      <w:r w:rsidR="0045794A" w:rsidRPr="00377FDC">
        <w:rPr>
          <w:rFonts w:ascii="ITC Avant Garde" w:hAnsi="ITC Avant Garde"/>
          <w:szCs w:val="22"/>
        </w:rPr>
        <w:t xml:space="preserve">comentan el que el Instituto considere el estudio </w:t>
      </w:r>
      <w:r w:rsidRPr="00377FDC">
        <w:rPr>
          <w:rFonts w:ascii="ITC Avant Garde" w:hAnsi="ITC Avant Garde"/>
          <w:szCs w:val="22"/>
        </w:rPr>
        <w:t>de la OCDE "Broadband Policies for Latin America and the Caribbean ", en su capítulo 8,</w:t>
      </w:r>
      <w:r w:rsidR="004B24B5" w:rsidRPr="00377FDC">
        <w:rPr>
          <w:rFonts w:ascii="ITC Avant Garde" w:hAnsi="ITC Avant Garde"/>
          <w:szCs w:val="22"/>
        </w:rPr>
        <w:t xml:space="preserve"> donde se desarrolla el fomento de IXP confirmando que la carencia de </w:t>
      </w:r>
      <w:r w:rsidR="00F13802">
        <w:rPr>
          <w:rFonts w:ascii="ITC Avant Garde" w:hAnsi="ITC Avant Garde"/>
          <w:szCs w:val="22"/>
        </w:rPr>
        <w:t>é</w:t>
      </w:r>
      <w:r w:rsidR="00F13802" w:rsidRPr="00377FDC">
        <w:rPr>
          <w:rFonts w:ascii="ITC Avant Garde" w:hAnsi="ITC Avant Garde"/>
          <w:szCs w:val="22"/>
        </w:rPr>
        <w:t xml:space="preserve">stos </w:t>
      </w:r>
      <w:r w:rsidRPr="00377FDC">
        <w:rPr>
          <w:rFonts w:ascii="ITC Avant Garde" w:hAnsi="ITC Avant Garde"/>
          <w:szCs w:val="22"/>
        </w:rPr>
        <w:t xml:space="preserve">produce </w:t>
      </w:r>
      <w:r w:rsidR="004B24B5" w:rsidRPr="00377FDC">
        <w:rPr>
          <w:rFonts w:ascii="ITC Avant Garde" w:hAnsi="ITC Avant Garde"/>
          <w:szCs w:val="22"/>
        </w:rPr>
        <w:t xml:space="preserve">una </w:t>
      </w:r>
      <w:r w:rsidRPr="00377FDC">
        <w:rPr>
          <w:rFonts w:ascii="ITC Avant Garde" w:hAnsi="ITC Avant Garde"/>
          <w:szCs w:val="22"/>
        </w:rPr>
        <w:t xml:space="preserve">competencia insuficiente. Entre los puntos más importantes que el regulador debe considerar </w:t>
      </w:r>
      <w:r w:rsidR="004B24B5" w:rsidRPr="00377FDC">
        <w:rPr>
          <w:rFonts w:ascii="ITC Avant Garde" w:hAnsi="ITC Avant Garde"/>
          <w:szCs w:val="22"/>
        </w:rPr>
        <w:t>acerca del tema s</w:t>
      </w:r>
      <w:r w:rsidR="00F13802">
        <w:rPr>
          <w:rFonts w:ascii="ITC Avant Garde" w:hAnsi="ITC Avant Garde"/>
          <w:szCs w:val="22"/>
        </w:rPr>
        <w:t>e encuentran los siguientes</w:t>
      </w:r>
      <w:r w:rsidRPr="00377FDC">
        <w:rPr>
          <w:rFonts w:ascii="ITC Avant Garde" w:hAnsi="ITC Avant Garde"/>
          <w:szCs w:val="22"/>
        </w:rPr>
        <w:t>:</w:t>
      </w:r>
    </w:p>
    <w:p w14:paraId="1FE160CC" w14:textId="77777777" w:rsidR="004B24B5" w:rsidRPr="00377FDC" w:rsidRDefault="004B24B5">
      <w:pPr>
        <w:autoSpaceDE w:val="0"/>
        <w:autoSpaceDN w:val="0"/>
        <w:adjustRightInd w:val="0"/>
        <w:spacing w:line="240" w:lineRule="auto"/>
        <w:rPr>
          <w:rFonts w:ascii="ITC Avant Garde" w:hAnsi="ITC Avant Garde"/>
          <w:szCs w:val="22"/>
          <w:lang w:val="es-ES_tradnl"/>
        </w:rPr>
      </w:pPr>
    </w:p>
    <w:p w14:paraId="4974F9B3" w14:textId="244B3566" w:rsidR="00DD5B03" w:rsidRPr="00377FDC" w:rsidRDefault="00DD5B03">
      <w:pPr>
        <w:pStyle w:val="Prrafodelista"/>
        <w:numPr>
          <w:ilvl w:val="0"/>
          <w:numId w:val="9"/>
        </w:numPr>
        <w:autoSpaceDE w:val="0"/>
        <w:autoSpaceDN w:val="0"/>
        <w:adjustRightInd w:val="0"/>
        <w:spacing w:line="240" w:lineRule="auto"/>
        <w:rPr>
          <w:rFonts w:ascii="ITC Avant Garde" w:hAnsi="ITC Avant Garde"/>
          <w:szCs w:val="22"/>
        </w:rPr>
      </w:pPr>
      <w:r w:rsidRPr="00377FDC">
        <w:rPr>
          <w:rFonts w:ascii="ITC Avant Garde" w:hAnsi="ITC Avant Garde"/>
          <w:szCs w:val="22"/>
        </w:rPr>
        <w:t>Monitoreo de tráfico y precios a través de requerimientos periódicos de información a los concesionarios, comparando con benchmarks internacionales.</w:t>
      </w:r>
    </w:p>
    <w:p w14:paraId="279C2265" w14:textId="744C41E0" w:rsidR="00DD5B03" w:rsidRPr="00377FDC" w:rsidRDefault="00DD5B03">
      <w:pPr>
        <w:pStyle w:val="Prrafodelista"/>
        <w:numPr>
          <w:ilvl w:val="0"/>
          <w:numId w:val="9"/>
        </w:numPr>
        <w:autoSpaceDE w:val="0"/>
        <w:autoSpaceDN w:val="0"/>
        <w:adjustRightInd w:val="0"/>
        <w:spacing w:line="240" w:lineRule="auto"/>
        <w:rPr>
          <w:rFonts w:ascii="ITC Avant Garde" w:hAnsi="ITC Avant Garde"/>
          <w:szCs w:val="22"/>
        </w:rPr>
      </w:pPr>
      <w:r w:rsidRPr="00377FDC">
        <w:rPr>
          <w:rFonts w:ascii="ITC Avant Garde" w:hAnsi="ITC Avant Garde"/>
          <w:szCs w:val="22"/>
        </w:rPr>
        <w:t>Reportes útiles: capaci</w:t>
      </w:r>
      <w:bookmarkStart w:id="0" w:name="_GoBack"/>
      <w:bookmarkEnd w:id="0"/>
      <w:r w:rsidRPr="00377FDC">
        <w:rPr>
          <w:rFonts w:ascii="ITC Avant Garde" w:hAnsi="ITC Avant Garde"/>
          <w:szCs w:val="22"/>
        </w:rPr>
        <w:t>dad total disponible en el IXP, número de sistemas autónomos conectados (ASN’s) y número de redes de entrega de contenido (CDN’s).</w:t>
      </w:r>
    </w:p>
    <w:p w14:paraId="2BE0326B" w14:textId="2C881494" w:rsidR="00DD5B03" w:rsidRPr="00377FDC" w:rsidRDefault="00DD5B03">
      <w:pPr>
        <w:pStyle w:val="Prrafodelista"/>
        <w:numPr>
          <w:ilvl w:val="0"/>
          <w:numId w:val="9"/>
        </w:numPr>
        <w:autoSpaceDE w:val="0"/>
        <w:autoSpaceDN w:val="0"/>
        <w:adjustRightInd w:val="0"/>
        <w:spacing w:line="240" w:lineRule="auto"/>
        <w:rPr>
          <w:rFonts w:ascii="ITC Avant Garde" w:hAnsi="ITC Avant Garde"/>
          <w:szCs w:val="22"/>
        </w:rPr>
      </w:pPr>
      <w:r w:rsidRPr="00377FDC">
        <w:rPr>
          <w:rFonts w:ascii="ITC Avant Garde" w:hAnsi="ITC Avant Garde"/>
          <w:szCs w:val="22"/>
        </w:rPr>
        <w:lastRenderedPageBreak/>
        <w:t>Monitoreo de tarifas y condiciones de participación en el IXP.</w:t>
      </w:r>
    </w:p>
    <w:p w14:paraId="52FAEF6A" w14:textId="7B8A424F" w:rsidR="00DD5B03" w:rsidRPr="00377FDC" w:rsidRDefault="00DD5B03">
      <w:pPr>
        <w:pStyle w:val="Prrafodelista"/>
        <w:numPr>
          <w:ilvl w:val="0"/>
          <w:numId w:val="9"/>
        </w:numPr>
        <w:autoSpaceDE w:val="0"/>
        <w:autoSpaceDN w:val="0"/>
        <w:adjustRightInd w:val="0"/>
        <w:spacing w:line="240" w:lineRule="auto"/>
        <w:rPr>
          <w:rFonts w:ascii="ITC Avant Garde" w:hAnsi="ITC Avant Garde"/>
          <w:szCs w:val="22"/>
        </w:rPr>
      </w:pPr>
      <w:r w:rsidRPr="00377FDC">
        <w:rPr>
          <w:rFonts w:ascii="ITC Avant Garde" w:hAnsi="ITC Avant Garde"/>
          <w:szCs w:val="22"/>
        </w:rPr>
        <w:t>Establecer puntos de medición con los proveedores de servicio para analizar el desempeño del IXP.</w:t>
      </w:r>
    </w:p>
    <w:p w14:paraId="135E2591" w14:textId="021EDB05" w:rsidR="00DD5B03" w:rsidRDefault="00DD5B03">
      <w:pPr>
        <w:pStyle w:val="Prrafodelista"/>
        <w:numPr>
          <w:ilvl w:val="0"/>
          <w:numId w:val="9"/>
        </w:numPr>
        <w:autoSpaceDE w:val="0"/>
        <w:autoSpaceDN w:val="0"/>
        <w:adjustRightInd w:val="0"/>
        <w:spacing w:line="240" w:lineRule="auto"/>
        <w:rPr>
          <w:rFonts w:ascii="ITC Avant Garde" w:hAnsi="ITC Avant Garde"/>
          <w:szCs w:val="22"/>
        </w:rPr>
      </w:pPr>
      <w:r w:rsidRPr="00377FDC">
        <w:rPr>
          <w:rFonts w:ascii="ITC Avant Garde" w:hAnsi="ITC Avant Garde"/>
          <w:szCs w:val="22"/>
        </w:rPr>
        <w:t>Revisar a los CDN’s en el mercado para identificar barreras de competencia, posiciones dominantes y abusos por participantes con CDN’s globales.</w:t>
      </w:r>
    </w:p>
    <w:p w14:paraId="2E09136F" w14:textId="7E4884CD" w:rsidR="00BD3932" w:rsidRDefault="00BD3932">
      <w:pPr>
        <w:autoSpaceDE w:val="0"/>
        <w:autoSpaceDN w:val="0"/>
        <w:adjustRightInd w:val="0"/>
        <w:spacing w:line="240" w:lineRule="auto"/>
      </w:pPr>
    </w:p>
    <w:p w14:paraId="013F8E73" w14:textId="63831BF6" w:rsidR="00BD3932" w:rsidRPr="006E7005" w:rsidRDefault="00BD3932">
      <w:pPr>
        <w:autoSpaceDE w:val="0"/>
        <w:autoSpaceDN w:val="0"/>
        <w:adjustRightInd w:val="0"/>
        <w:spacing w:line="240" w:lineRule="auto"/>
        <w:rPr>
          <w:rFonts w:ascii="ITC Avant Garde" w:hAnsi="ITC Avant Garde"/>
          <w:szCs w:val="22"/>
          <w:lang w:val="es-ES_tradnl"/>
        </w:rPr>
      </w:pPr>
      <w:r w:rsidRPr="003C7CAF">
        <w:rPr>
          <w:rFonts w:ascii="ITC Avant Garde" w:hAnsi="ITC Avant Garde"/>
          <w:b/>
        </w:rPr>
        <w:t>Respuesta.</w:t>
      </w:r>
      <w:r>
        <w:rPr>
          <w:rFonts w:ascii="ITC Avant Garde" w:hAnsi="ITC Avant Garde"/>
          <w:b/>
        </w:rPr>
        <w:t xml:space="preserve">  </w:t>
      </w:r>
      <w:r w:rsidRPr="00377FDC">
        <w:rPr>
          <w:rFonts w:ascii="ITC Avant Garde" w:hAnsi="ITC Avant Garde"/>
          <w:szCs w:val="22"/>
          <w:lang w:val="es-ES_tradnl"/>
        </w:rPr>
        <w:t xml:space="preserve">Se consideran </w:t>
      </w:r>
      <w:r>
        <w:rPr>
          <w:rFonts w:ascii="ITC Avant Garde" w:hAnsi="ITC Avant Garde"/>
          <w:szCs w:val="22"/>
          <w:lang w:val="es-ES_tradnl"/>
        </w:rPr>
        <w:t>las sugerencias realizadas por CANIETI y Telefónica, y se fortalecen los lineamientos, en lo aplicable.</w:t>
      </w:r>
    </w:p>
    <w:sectPr w:rsidR="00BD3932" w:rsidRPr="006E7005" w:rsidSect="005E16C1">
      <w:headerReference w:type="default" r:id="rId11"/>
      <w:footerReference w:type="default" r:id="rId12"/>
      <w:pgSz w:w="12240" w:h="15840"/>
      <w:pgMar w:top="1440" w:right="1418" w:bottom="1440"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7ED3B" w14:textId="77777777" w:rsidR="00CE77F4" w:rsidRDefault="00CE77F4">
      <w:pPr>
        <w:spacing w:line="240" w:lineRule="auto"/>
      </w:pPr>
      <w:r>
        <w:separator/>
      </w:r>
    </w:p>
  </w:endnote>
  <w:endnote w:type="continuationSeparator" w:id="0">
    <w:p w14:paraId="13AE9E7B" w14:textId="77777777" w:rsidR="00CE77F4" w:rsidRDefault="00CE7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EA2E" w14:textId="77777777" w:rsidR="00911B11" w:rsidRDefault="00911B11">
    <w:pPr>
      <w:tabs>
        <w:tab w:val="center" w:pos="4252"/>
        <w:tab w:val="right" w:pos="8504"/>
      </w:tabs>
    </w:pPr>
    <w:r>
      <w:rPr>
        <w:rFonts w:ascii="Calibri" w:eastAsia="Calibri" w:hAnsi="Calibri" w:cs="Calibri"/>
      </w:rPr>
      <w:tab/>
    </w:r>
    <w:r>
      <w:rPr>
        <w:rFonts w:ascii="Calibri" w:eastAsia="Calibri" w:hAnsi="Calibri" w:cs="Calibri"/>
      </w:rPr>
      <w:tab/>
    </w:r>
    <w:r>
      <w:rPr>
        <w:rFonts w:ascii="Calibri" w:eastAsia="Calibri" w:hAnsi="Calibri" w:cs="Calibri"/>
      </w:rPr>
      <w:tab/>
    </w:r>
    <w:r>
      <w:fldChar w:fldCharType="begin"/>
    </w:r>
    <w:r>
      <w:instrText>PAGE</w:instrText>
    </w:r>
    <w:r>
      <w:fldChar w:fldCharType="separate"/>
    </w:r>
    <w:r w:rsidR="00853F73">
      <w:rPr>
        <w:noProof/>
      </w:rPr>
      <w:t>16</w:t>
    </w:r>
    <w:r>
      <w:fldChar w:fldCharType="end"/>
    </w:r>
    <w:r>
      <w:rPr>
        <w:noProof/>
      </w:rPr>
      <w:drawing>
        <wp:anchor distT="0" distB="0" distL="114300" distR="114300" simplePos="0" relativeHeight="251658240" behindDoc="0" locked="0" layoutInCell="0" hidden="0" allowOverlap="0" wp14:anchorId="29BA6BF1" wp14:editId="6FCBC78D">
          <wp:simplePos x="0" y="0"/>
          <wp:positionH relativeFrom="margin">
            <wp:posOffset>-914399</wp:posOffset>
          </wp:positionH>
          <wp:positionV relativeFrom="paragraph">
            <wp:posOffset>0</wp:posOffset>
          </wp:positionV>
          <wp:extent cx="638299" cy="819150"/>
          <wp:effectExtent l="0" t="0" r="0" b="0"/>
          <wp:wrapSquare wrapText="bothSides" distT="0" distB="0" distL="114300" distR="114300"/>
          <wp:docPr id="2" name="image03.jpg" descr="Macintosh HD:Users:luisbourbaki:Desktop:atras.jpg"/>
          <wp:cNvGraphicFramePr/>
          <a:graphic xmlns:a="http://schemas.openxmlformats.org/drawingml/2006/main">
            <a:graphicData uri="http://schemas.openxmlformats.org/drawingml/2006/picture">
              <pic:pic xmlns:pic="http://schemas.openxmlformats.org/drawingml/2006/picture">
                <pic:nvPicPr>
                  <pic:cNvPr id="0" name="image03.jpg" descr="Macintosh HD:Users:luisbourbaki:Desktop:atras.jpg"/>
                  <pic:cNvPicPr preferRelativeResize="0"/>
                </pic:nvPicPr>
                <pic:blipFill>
                  <a:blip r:embed="rId1"/>
                  <a:srcRect/>
                  <a:stretch>
                    <a:fillRect/>
                  </a:stretch>
                </pic:blipFill>
                <pic:spPr>
                  <a:xfrm>
                    <a:off x="0" y="0"/>
                    <a:ext cx="638299" cy="8191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7FE63" w14:textId="77777777" w:rsidR="00CE77F4" w:rsidRDefault="00CE77F4">
      <w:pPr>
        <w:spacing w:line="240" w:lineRule="auto"/>
      </w:pPr>
      <w:r>
        <w:separator/>
      </w:r>
    </w:p>
  </w:footnote>
  <w:footnote w:type="continuationSeparator" w:id="0">
    <w:p w14:paraId="53798D2F" w14:textId="77777777" w:rsidR="00CE77F4" w:rsidRDefault="00CE77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BF090" w14:textId="77777777" w:rsidR="00911B11" w:rsidRDefault="00911B11">
    <w:pPr>
      <w:widowControl w:val="0"/>
      <w:spacing w:line="276" w:lineRule="auto"/>
      <w:jc w:val="left"/>
    </w:pPr>
  </w:p>
  <w:tbl>
    <w:tblPr>
      <w:tblStyle w:val="af"/>
      <w:tblW w:w="9640" w:type="dxa"/>
      <w:tblInd w:w="-33" w:type="dxa"/>
      <w:tblLayout w:type="fixed"/>
      <w:tblLook w:val="0000" w:firstRow="0" w:lastRow="0" w:firstColumn="0" w:lastColumn="0" w:noHBand="0" w:noVBand="0"/>
    </w:tblPr>
    <w:tblGrid>
      <w:gridCol w:w="5954"/>
      <w:gridCol w:w="3686"/>
    </w:tblGrid>
    <w:tr w:rsidR="00911B11" w14:paraId="52A7B1FE" w14:textId="77777777">
      <w:trPr>
        <w:trHeight w:val="680"/>
      </w:trPr>
      <w:tc>
        <w:tcPr>
          <w:tcW w:w="5954" w:type="dxa"/>
          <w:vAlign w:val="center"/>
        </w:tcPr>
        <w:p w14:paraId="44C87ADC" w14:textId="77777777" w:rsidR="00911B11" w:rsidRDefault="00911B11">
          <w:pPr>
            <w:tabs>
              <w:tab w:val="center" w:pos="2727"/>
            </w:tabs>
          </w:pPr>
        </w:p>
      </w:tc>
      <w:tc>
        <w:tcPr>
          <w:tcW w:w="3686" w:type="dxa"/>
        </w:tcPr>
        <w:p w14:paraId="5A1E2CC0" w14:textId="77777777" w:rsidR="00911B11" w:rsidRDefault="00911B11">
          <w:pPr>
            <w:tabs>
              <w:tab w:val="center" w:pos="4252"/>
              <w:tab w:val="right" w:pos="8504"/>
            </w:tabs>
            <w:spacing w:before="60" w:line="240" w:lineRule="auto"/>
          </w:pPr>
          <w:r>
            <w:rPr>
              <w:noProof/>
            </w:rPr>
            <w:drawing>
              <wp:inline distT="0" distB="0" distL="114300" distR="114300" wp14:anchorId="574B582C" wp14:editId="008281CE">
                <wp:extent cx="1672590" cy="311150"/>
                <wp:effectExtent l="0" t="0" r="0" b="0"/>
                <wp:docPr id="1" name="image01.jpg" descr="Macintosh HD:Users:luisbourbaki:Desktop:logo.jpg"/>
                <wp:cNvGraphicFramePr/>
                <a:graphic xmlns:a="http://schemas.openxmlformats.org/drawingml/2006/main">
                  <a:graphicData uri="http://schemas.openxmlformats.org/drawingml/2006/picture">
                    <pic:pic xmlns:pic="http://schemas.openxmlformats.org/drawingml/2006/picture">
                      <pic:nvPicPr>
                        <pic:cNvPr id="0" name="image01.jpg" descr="Macintosh HD:Users:luisbourbaki:Desktop:logo.jpg"/>
                        <pic:cNvPicPr preferRelativeResize="0"/>
                      </pic:nvPicPr>
                      <pic:blipFill>
                        <a:blip r:embed="rId1"/>
                        <a:srcRect l="1436" t="12949" r="1462" b="17792"/>
                        <a:stretch>
                          <a:fillRect/>
                        </a:stretch>
                      </pic:blipFill>
                      <pic:spPr>
                        <a:xfrm>
                          <a:off x="0" y="0"/>
                          <a:ext cx="1672590" cy="311150"/>
                        </a:xfrm>
                        <a:prstGeom prst="rect">
                          <a:avLst/>
                        </a:prstGeom>
                        <a:ln/>
                      </pic:spPr>
                    </pic:pic>
                  </a:graphicData>
                </a:graphic>
              </wp:inline>
            </w:drawing>
          </w:r>
        </w:p>
      </w:tc>
    </w:tr>
  </w:tbl>
  <w:p w14:paraId="06643ADD" w14:textId="77777777" w:rsidR="00911B11" w:rsidRDefault="00911B11">
    <w:pPr>
      <w:tabs>
        <w:tab w:val="center" w:pos="4252"/>
        <w:tab w:val="right"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0616F0D"/>
    <w:multiLevelType w:val="multilevel"/>
    <w:tmpl w:val="4092A9F4"/>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4" w15:restartNumberingAfterBreak="0">
    <w:nsid w:val="226417D0"/>
    <w:multiLevelType w:val="hybridMultilevel"/>
    <w:tmpl w:val="9118D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6C87518A"/>
    <w:multiLevelType w:val="multilevel"/>
    <w:tmpl w:val="9E64DB50"/>
    <w:lvl w:ilvl="0">
      <w:start w:val="1"/>
      <w:numFmt w:val="upperRoman"/>
      <w:lvlText w:val="%1."/>
      <w:lvlJc w:val="right"/>
      <w:pPr>
        <w:ind w:left="73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7" w15:restartNumberingAfterBreak="0">
    <w:nsid w:val="744D7328"/>
    <w:multiLevelType w:val="hybridMultilevel"/>
    <w:tmpl w:val="3F2609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C446C1"/>
    <w:multiLevelType w:val="hybridMultilevel"/>
    <w:tmpl w:val="20560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6"/>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19"/>
    <w:rsid w:val="0000070D"/>
    <w:rsid w:val="00001BC3"/>
    <w:rsid w:val="00002CD3"/>
    <w:rsid w:val="00004808"/>
    <w:rsid w:val="0000578A"/>
    <w:rsid w:val="00006289"/>
    <w:rsid w:val="00006BD3"/>
    <w:rsid w:val="00007721"/>
    <w:rsid w:val="00007825"/>
    <w:rsid w:val="00007C66"/>
    <w:rsid w:val="0001079D"/>
    <w:rsid w:val="00012084"/>
    <w:rsid w:val="00012346"/>
    <w:rsid w:val="00012F50"/>
    <w:rsid w:val="00016775"/>
    <w:rsid w:val="00017A5E"/>
    <w:rsid w:val="00020502"/>
    <w:rsid w:val="00021880"/>
    <w:rsid w:val="00022227"/>
    <w:rsid w:val="00022CFB"/>
    <w:rsid w:val="00023153"/>
    <w:rsid w:val="0002699F"/>
    <w:rsid w:val="000302DE"/>
    <w:rsid w:val="000310B0"/>
    <w:rsid w:val="00032BD0"/>
    <w:rsid w:val="00034BD5"/>
    <w:rsid w:val="00037051"/>
    <w:rsid w:val="00046D5B"/>
    <w:rsid w:val="00047BCE"/>
    <w:rsid w:val="00051BE7"/>
    <w:rsid w:val="00052488"/>
    <w:rsid w:val="00052AEB"/>
    <w:rsid w:val="00052E94"/>
    <w:rsid w:val="00057F14"/>
    <w:rsid w:val="00060458"/>
    <w:rsid w:val="0006281A"/>
    <w:rsid w:val="00065697"/>
    <w:rsid w:val="000669F0"/>
    <w:rsid w:val="00071899"/>
    <w:rsid w:val="00072A5A"/>
    <w:rsid w:val="00075A6D"/>
    <w:rsid w:val="000807AA"/>
    <w:rsid w:val="000868D7"/>
    <w:rsid w:val="00086FE2"/>
    <w:rsid w:val="00090C12"/>
    <w:rsid w:val="00091290"/>
    <w:rsid w:val="000940F4"/>
    <w:rsid w:val="00094914"/>
    <w:rsid w:val="00094C7F"/>
    <w:rsid w:val="00094F3B"/>
    <w:rsid w:val="000955CD"/>
    <w:rsid w:val="000A529C"/>
    <w:rsid w:val="000A6DC6"/>
    <w:rsid w:val="000A775F"/>
    <w:rsid w:val="000B7B4F"/>
    <w:rsid w:val="000C14A3"/>
    <w:rsid w:val="000C43B8"/>
    <w:rsid w:val="000C4E81"/>
    <w:rsid w:val="000C74E5"/>
    <w:rsid w:val="000C766C"/>
    <w:rsid w:val="000D0D6B"/>
    <w:rsid w:val="000D1153"/>
    <w:rsid w:val="000D1623"/>
    <w:rsid w:val="000D2275"/>
    <w:rsid w:val="000D317F"/>
    <w:rsid w:val="000D3AEE"/>
    <w:rsid w:val="000D3BF3"/>
    <w:rsid w:val="000D5FD1"/>
    <w:rsid w:val="000D6CCE"/>
    <w:rsid w:val="000D72D3"/>
    <w:rsid w:val="000E2034"/>
    <w:rsid w:val="000E4B09"/>
    <w:rsid w:val="000E5737"/>
    <w:rsid w:val="000E619B"/>
    <w:rsid w:val="000E6B3E"/>
    <w:rsid w:val="000F0CE8"/>
    <w:rsid w:val="000F214C"/>
    <w:rsid w:val="000F22EF"/>
    <w:rsid w:val="000F25B0"/>
    <w:rsid w:val="000F493A"/>
    <w:rsid w:val="000F4C39"/>
    <w:rsid w:val="000F6814"/>
    <w:rsid w:val="001006E3"/>
    <w:rsid w:val="00101360"/>
    <w:rsid w:val="00101842"/>
    <w:rsid w:val="00101A83"/>
    <w:rsid w:val="001053DD"/>
    <w:rsid w:val="00105C1F"/>
    <w:rsid w:val="00106C5C"/>
    <w:rsid w:val="0011204D"/>
    <w:rsid w:val="001149F1"/>
    <w:rsid w:val="0011646A"/>
    <w:rsid w:val="001216D3"/>
    <w:rsid w:val="00121A2B"/>
    <w:rsid w:val="00122448"/>
    <w:rsid w:val="00124776"/>
    <w:rsid w:val="00126A42"/>
    <w:rsid w:val="00130953"/>
    <w:rsid w:val="001312B8"/>
    <w:rsid w:val="0013284C"/>
    <w:rsid w:val="00136054"/>
    <w:rsid w:val="00137786"/>
    <w:rsid w:val="0014000E"/>
    <w:rsid w:val="00141D32"/>
    <w:rsid w:val="00144E6A"/>
    <w:rsid w:val="00150F5D"/>
    <w:rsid w:val="00151531"/>
    <w:rsid w:val="0015266C"/>
    <w:rsid w:val="00152A8C"/>
    <w:rsid w:val="00154B7F"/>
    <w:rsid w:val="00156962"/>
    <w:rsid w:val="0016000A"/>
    <w:rsid w:val="00161B69"/>
    <w:rsid w:val="00161E19"/>
    <w:rsid w:val="00165FCE"/>
    <w:rsid w:val="0016609E"/>
    <w:rsid w:val="00166529"/>
    <w:rsid w:val="0016655D"/>
    <w:rsid w:val="00167DB3"/>
    <w:rsid w:val="0017199C"/>
    <w:rsid w:val="001725E1"/>
    <w:rsid w:val="001750D2"/>
    <w:rsid w:val="00175488"/>
    <w:rsid w:val="00175CC6"/>
    <w:rsid w:val="00176611"/>
    <w:rsid w:val="001803D5"/>
    <w:rsid w:val="0018096A"/>
    <w:rsid w:val="001829ED"/>
    <w:rsid w:val="001846D1"/>
    <w:rsid w:val="00184D6E"/>
    <w:rsid w:val="00185F71"/>
    <w:rsid w:val="00186812"/>
    <w:rsid w:val="00186874"/>
    <w:rsid w:val="00190248"/>
    <w:rsid w:val="00191DAE"/>
    <w:rsid w:val="0019437E"/>
    <w:rsid w:val="00195189"/>
    <w:rsid w:val="001974D4"/>
    <w:rsid w:val="001A2910"/>
    <w:rsid w:val="001A403F"/>
    <w:rsid w:val="001A49F8"/>
    <w:rsid w:val="001B1EEC"/>
    <w:rsid w:val="001B2B4F"/>
    <w:rsid w:val="001B7614"/>
    <w:rsid w:val="001C07D8"/>
    <w:rsid w:val="001C19FE"/>
    <w:rsid w:val="001C20AF"/>
    <w:rsid w:val="001C4BC7"/>
    <w:rsid w:val="001D0A15"/>
    <w:rsid w:val="001D1532"/>
    <w:rsid w:val="001D7C1C"/>
    <w:rsid w:val="001E060D"/>
    <w:rsid w:val="001E13B3"/>
    <w:rsid w:val="001E4B74"/>
    <w:rsid w:val="001E7122"/>
    <w:rsid w:val="001F1E5B"/>
    <w:rsid w:val="001F2455"/>
    <w:rsid w:val="001F5250"/>
    <w:rsid w:val="001F6587"/>
    <w:rsid w:val="001F7361"/>
    <w:rsid w:val="00201913"/>
    <w:rsid w:val="00204FA0"/>
    <w:rsid w:val="0020555C"/>
    <w:rsid w:val="00206978"/>
    <w:rsid w:val="00206D58"/>
    <w:rsid w:val="00215557"/>
    <w:rsid w:val="00215F65"/>
    <w:rsid w:val="00216068"/>
    <w:rsid w:val="00216862"/>
    <w:rsid w:val="00216D08"/>
    <w:rsid w:val="00217F6A"/>
    <w:rsid w:val="00221E0B"/>
    <w:rsid w:val="0022410E"/>
    <w:rsid w:val="0022428C"/>
    <w:rsid w:val="00226759"/>
    <w:rsid w:val="002326E1"/>
    <w:rsid w:val="00232A84"/>
    <w:rsid w:val="00234FFD"/>
    <w:rsid w:val="0023513C"/>
    <w:rsid w:val="00237758"/>
    <w:rsid w:val="0023799A"/>
    <w:rsid w:val="002438B8"/>
    <w:rsid w:val="002440E4"/>
    <w:rsid w:val="00244879"/>
    <w:rsid w:val="00246E8F"/>
    <w:rsid w:val="0025145E"/>
    <w:rsid w:val="00257245"/>
    <w:rsid w:val="002604BA"/>
    <w:rsid w:val="00262D00"/>
    <w:rsid w:val="0027011C"/>
    <w:rsid w:val="0027168E"/>
    <w:rsid w:val="00272C57"/>
    <w:rsid w:val="00274902"/>
    <w:rsid w:val="00284C00"/>
    <w:rsid w:val="0028573C"/>
    <w:rsid w:val="00286723"/>
    <w:rsid w:val="0028697B"/>
    <w:rsid w:val="00294B91"/>
    <w:rsid w:val="00295D6D"/>
    <w:rsid w:val="002A1893"/>
    <w:rsid w:val="002A1E53"/>
    <w:rsid w:val="002A5C45"/>
    <w:rsid w:val="002B1496"/>
    <w:rsid w:val="002B4733"/>
    <w:rsid w:val="002B69C0"/>
    <w:rsid w:val="002C0C41"/>
    <w:rsid w:val="002C4E39"/>
    <w:rsid w:val="002D0659"/>
    <w:rsid w:val="002D3CD8"/>
    <w:rsid w:val="002E2411"/>
    <w:rsid w:val="002E24CA"/>
    <w:rsid w:val="002E3F02"/>
    <w:rsid w:val="002E3F12"/>
    <w:rsid w:val="002E5333"/>
    <w:rsid w:val="002F0A66"/>
    <w:rsid w:val="002F1DF6"/>
    <w:rsid w:val="002F5ED3"/>
    <w:rsid w:val="002F658D"/>
    <w:rsid w:val="002F77DE"/>
    <w:rsid w:val="00300358"/>
    <w:rsid w:val="0030139B"/>
    <w:rsid w:val="0030173A"/>
    <w:rsid w:val="00301921"/>
    <w:rsid w:val="00301B41"/>
    <w:rsid w:val="0030644E"/>
    <w:rsid w:val="00310359"/>
    <w:rsid w:val="00311A70"/>
    <w:rsid w:val="00314676"/>
    <w:rsid w:val="00322902"/>
    <w:rsid w:val="00322EDA"/>
    <w:rsid w:val="00325041"/>
    <w:rsid w:val="00325E18"/>
    <w:rsid w:val="003307B3"/>
    <w:rsid w:val="00330F58"/>
    <w:rsid w:val="00332F37"/>
    <w:rsid w:val="0033459B"/>
    <w:rsid w:val="00335EA2"/>
    <w:rsid w:val="00336AEE"/>
    <w:rsid w:val="00342531"/>
    <w:rsid w:val="00346F36"/>
    <w:rsid w:val="00347092"/>
    <w:rsid w:val="00347986"/>
    <w:rsid w:val="00353979"/>
    <w:rsid w:val="00356660"/>
    <w:rsid w:val="00356997"/>
    <w:rsid w:val="00370B33"/>
    <w:rsid w:val="003729E0"/>
    <w:rsid w:val="00373D95"/>
    <w:rsid w:val="003745AF"/>
    <w:rsid w:val="00377FDC"/>
    <w:rsid w:val="00384737"/>
    <w:rsid w:val="00386B06"/>
    <w:rsid w:val="003927FC"/>
    <w:rsid w:val="0039353C"/>
    <w:rsid w:val="0039427F"/>
    <w:rsid w:val="00394326"/>
    <w:rsid w:val="00394CBE"/>
    <w:rsid w:val="00394EA3"/>
    <w:rsid w:val="00396C3B"/>
    <w:rsid w:val="003A0421"/>
    <w:rsid w:val="003A1777"/>
    <w:rsid w:val="003A1AC5"/>
    <w:rsid w:val="003A2286"/>
    <w:rsid w:val="003A3025"/>
    <w:rsid w:val="003A38A0"/>
    <w:rsid w:val="003B083C"/>
    <w:rsid w:val="003B10E8"/>
    <w:rsid w:val="003B150A"/>
    <w:rsid w:val="003B1D34"/>
    <w:rsid w:val="003B22A6"/>
    <w:rsid w:val="003B38BE"/>
    <w:rsid w:val="003B61DA"/>
    <w:rsid w:val="003B64F7"/>
    <w:rsid w:val="003C27E9"/>
    <w:rsid w:val="003C4437"/>
    <w:rsid w:val="003C68DA"/>
    <w:rsid w:val="003C783D"/>
    <w:rsid w:val="003D140C"/>
    <w:rsid w:val="003D2163"/>
    <w:rsid w:val="003D23F2"/>
    <w:rsid w:val="003D78CA"/>
    <w:rsid w:val="003D7AE9"/>
    <w:rsid w:val="003E197D"/>
    <w:rsid w:val="003E2383"/>
    <w:rsid w:val="003E69AE"/>
    <w:rsid w:val="003E7924"/>
    <w:rsid w:val="003F1330"/>
    <w:rsid w:val="003F3C4D"/>
    <w:rsid w:val="003F3F43"/>
    <w:rsid w:val="003F4F2F"/>
    <w:rsid w:val="003F77CC"/>
    <w:rsid w:val="003F7B3F"/>
    <w:rsid w:val="0040090D"/>
    <w:rsid w:val="00401C02"/>
    <w:rsid w:val="0040517E"/>
    <w:rsid w:val="00413D2C"/>
    <w:rsid w:val="004156C7"/>
    <w:rsid w:val="0041782F"/>
    <w:rsid w:val="00420B75"/>
    <w:rsid w:val="004212EF"/>
    <w:rsid w:val="00421A80"/>
    <w:rsid w:val="00421FA7"/>
    <w:rsid w:val="004266B3"/>
    <w:rsid w:val="00426BF7"/>
    <w:rsid w:val="00427B3B"/>
    <w:rsid w:val="00432560"/>
    <w:rsid w:val="0043287D"/>
    <w:rsid w:val="00436234"/>
    <w:rsid w:val="0044061A"/>
    <w:rsid w:val="00441422"/>
    <w:rsid w:val="00442009"/>
    <w:rsid w:val="004432C5"/>
    <w:rsid w:val="00446775"/>
    <w:rsid w:val="00447EFF"/>
    <w:rsid w:val="00447F79"/>
    <w:rsid w:val="004507A4"/>
    <w:rsid w:val="00457031"/>
    <w:rsid w:val="00457369"/>
    <w:rsid w:val="0045794A"/>
    <w:rsid w:val="00457FDE"/>
    <w:rsid w:val="0046240B"/>
    <w:rsid w:val="004653E5"/>
    <w:rsid w:val="00466951"/>
    <w:rsid w:val="00467895"/>
    <w:rsid w:val="00470D42"/>
    <w:rsid w:val="00472879"/>
    <w:rsid w:val="00472AEB"/>
    <w:rsid w:val="0047469B"/>
    <w:rsid w:val="004753C7"/>
    <w:rsid w:val="004779AE"/>
    <w:rsid w:val="0048204A"/>
    <w:rsid w:val="004825A1"/>
    <w:rsid w:val="00491293"/>
    <w:rsid w:val="00494DBA"/>
    <w:rsid w:val="004A3A1F"/>
    <w:rsid w:val="004B0D91"/>
    <w:rsid w:val="004B1AF4"/>
    <w:rsid w:val="004B24B5"/>
    <w:rsid w:val="004B2743"/>
    <w:rsid w:val="004B384C"/>
    <w:rsid w:val="004C0784"/>
    <w:rsid w:val="004C0A2F"/>
    <w:rsid w:val="004C2224"/>
    <w:rsid w:val="004C58D2"/>
    <w:rsid w:val="004C66B4"/>
    <w:rsid w:val="004C675A"/>
    <w:rsid w:val="004D2A27"/>
    <w:rsid w:val="004D3ED0"/>
    <w:rsid w:val="004D46D6"/>
    <w:rsid w:val="004D5A15"/>
    <w:rsid w:val="004D5EAD"/>
    <w:rsid w:val="004D6178"/>
    <w:rsid w:val="004D7F3E"/>
    <w:rsid w:val="004E14F1"/>
    <w:rsid w:val="004E5BD7"/>
    <w:rsid w:val="004F179B"/>
    <w:rsid w:val="004F338A"/>
    <w:rsid w:val="004F34B5"/>
    <w:rsid w:val="004F4975"/>
    <w:rsid w:val="004F5B18"/>
    <w:rsid w:val="00504683"/>
    <w:rsid w:val="0050698E"/>
    <w:rsid w:val="00513094"/>
    <w:rsid w:val="00513EF7"/>
    <w:rsid w:val="00513F36"/>
    <w:rsid w:val="00514C9D"/>
    <w:rsid w:val="00516C87"/>
    <w:rsid w:val="005205E9"/>
    <w:rsid w:val="00524CAF"/>
    <w:rsid w:val="005259B5"/>
    <w:rsid w:val="00525BEF"/>
    <w:rsid w:val="005307CC"/>
    <w:rsid w:val="00531BBE"/>
    <w:rsid w:val="00532842"/>
    <w:rsid w:val="005332F4"/>
    <w:rsid w:val="00536891"/>
    <w:rsid w:val="00541D74"/>
    <w:rsid w:val="00550029"/>
    <w:rsid w:val="00551332"/>
    <w:rsid w:val="00553021"/>
    <w:rsid w:val="0055317A"/>
    <w:rsid w:val="005536C2"/>
    <w:rsid w:val="005573B2"/>
    <w:rsid w:val="00562BF5"/>
    <w:rsid w:val="005652DB"/>
    <w:rsid w:val="00565AFE"/>
    <w:rsid w:val="00566F08"/>
    <w:rsid w:val="00567726"/>
    <w:rsid w:val="005720A9"/>
    <w:rsid w:val="0057271B"/>
    <w:rsid w:val="005744C7"/>
    <w:rsid w:val="0057754C"/>
    <w:rsid w:val="00581B91"/>
    <w:rsid w:val="005828CE"/>
    <w:rsid w:val="005833A3"/>
    <w:rsid w:val="00583D6E"/>
    <w:rsid w:val="0058465A"/>
    <w:rsid w:val="00584668"/>
    <w:rsid w:val="005876B1"/>
    <w:rsid w:val="005909B7"/>
    <w:rsid w:val="00595A60"/>
    <w:rsid w:val="00596B11"/>
    <w:rsid w:val="005A3735"/>
    <w:rsid w:val="005A7D1B"/>
    <w:rsid w:val="005B0EBB"/>
    <w:rsid w:val="005B1A9E"/>
    <w:rsid w:val="005B257A"/>
    <w:rsid w:val="005B3863"/>
    <w:rsid w:val="005B5816"/>
    <w:rsid w:val="005B5928"/>
    <w:rsid w:val="005B63A8"/>
    <w:rsid w:val="005C2A9E"/>
    <w:rsid w:val="005C7A04"/>
    <w:rsid w:val="005C7ECE"/>
    <w:rsid w:val="005D2325"/>
    <w:rsid w:val="005D3C69"/>
    <w:rsid w:val="005D6966"/>
    <w:rsid w:val="005E0150"/>
    <w:rsid w:val="005E10FC"/>
    <w:rsid w:val="005E16C1"/>
    <w:rsid w:val="005E4CDB"/>
    <w:rsid w:val="005E6E93"/>
    <w:rsid w:val="005E72C1"/>
    <w:rsid w:val="005F2551"/>
    <w:rsid w:val="005F3F2B"/>
    <w:rsid w:val="005F5DFC"/>
    <w:rsid w:val="006012FA"/>
    <w:rsid w:val="006034ED"/>
    <w:rsid w:val="006072CF"/>
    <w:rsid w:val="00614485"/>
    <w:rsid w:val="00614671"/>
    <w:rsid w:val="006159F3"/>
    <w:rsid w:val="00617678"/>
    <w:rsid w:val="006208B2"/>
    <w:rsid w:val="006217C3"/>
    <w:rsid w:val="006220E5"/>
    <w:rsid w:val="00623B92"/>
    <w:rsid w:val="0062731F"/>
    <w:rsid w:val="00627B98"/>
    <w:rsid w:val="006308D4"/>
    <w:rsid w:val="00630E39"/>
    <w:rsid w:val="00632125"/>
    <w:rsid w:val="00632D12"/>
    <w:rsid w:val="006346AC"/>
    <w:rsid w:val="00634A99"/>
    <w:rsid w:val="00635C83"/>
    <w:rsid w:val="00635DE3"/>
    <w:rsid w:val="00636007"/>
    <w:rsid w:val="00636058"/>
    <w:rsid w:val="006372AA"/>
    <w:rsid w:val="00637EF1"/>
    <w:rsid w:val="00641004"/>
    <w:rsid w:val="00641C4E"/>
    <w:rsid w:val="00643EC6"/>
    <w:rsid w:val="00645179"/>
    <w:rsid w:val="00645FAE"/>
    <w:rsid w:val="00651DF1"/>
    <w:rsid w:val="006539A4"/>
    <w:rsid w:val="00654B93"/>
    <w:rsid w:val="006559FD"/>
    <w:rsid w:val="006564B2"/>
    <w:rsid w:val="006574AA"/>
    <w:rsid w:val="006578C9"/>
    <w:rsid w:val="0066009C"/>
    <w:rsid w:val="0066380A"/>
    <w:rsid w:val="00663894"/>
    <w:rsid w:val="0066645D"/>
    <w:rsid w:val="00670D22"/>
    <w:rsid w:val="00672A32"/>
    <w:rsid w:val="00685006"/>
    <w:rsid w:val="00685BC8"/>
    <w:rsid w:val="00685EAD"/>
    <w:rsid w:val="00687235"/>
    <w:rsid w:val="00690928"/>
    <w:rsid w:val="00691C5B"/>
    <w:rsid w:val="00693D12"/>
    <w:rsid w:val="006955DC"/>
    <w:rsid w:val="006A1D2D"/>
    <w:rsid w:val="006A204E"/>
    <w:rsid w:val="006A2235"/>
    <w:rsid w:val="006A2E78"/>
    <w:rsid w:val="006A310F"/>
    <w:rsid w:val="006A418B"/>
    <w:rsid w:val="006A4FBE"/>
    <w:rsid w:val="006A5E4C"/>
    <w:rsid w:val="006B270C"/>
    <w:rsid w:val="006B2F7A"/>
    <w:rsid w:val="006B3663"/>
    <w:rsid w:val="006B52D0"/>
    <w:rsid w:val="006B64BF"/>
    <w:rsid w:val="006B73A0"/>
    <w:rsid w:val="006C4B2A"/>
    <w:rsid w:val="006C789F"/>
    <w:rsid w:val="006D0CA7"/>
    <w:rsid w:val="006D689D"/>
    <w:rsid w:val="006E11DB"/>
    <w:rsid w:val="006E17A9"/>
    <w:rsid w:val="006E41DC"/>
    <w:rsid w:val="006E7005"/>
    <w:rsid w:val="006E7DA2"/>
    <w:rsid w:val="006F1741"/>
    <w:rsid w:val="006F1BE7"/>
    <w:rsid w:val="006F3EA0"/>
    <w:rsid w:val="006F4F84"/>
    <w:rsid w:val="006F5C7B"/>
    <w:rsid w:val="006F60EE"/>
    <w:rsid w:val="00704B33"/>
    <w:rsid w:val="007138CF"/>
    <w:rsid w:val="00714937"/>
    <w:rsid w:val="00714EC0"/>
    <w:rsid w:val="0071584E"/>
    <w:rsid w:val="007169E4"/>
    <w:rsid w:val="00721815"/>
    <w:rsid w:val="00723EE4"/>
    <w:rsid w:val="007255E3"/>
    <w:rsid w:val="00727A14"/>
    <w:rsid w:val="00732C68"/>
    <w:rsid w:val="007339B5"/>
    <w:rsid w:val="00735943"/>
    <w:rsid w:val="007373E0"/>
    <w:rsid w:val="0074223C"/>
    <w:rsid w:val="00747145"/>
    <w:rsid w:val="007545F5"/>
    <w:rsid w:val="00754709"/>
    <w:rsid w:val="00755286"/>
    <w:rsid w:val="00757E35"/>
    <w:rsid w:val="00767D5D"/>
    <w:rsid w:val="007726E5"/>
    <w:rsid w:val="00774BF0"/>
    <w:rsid w:val="00774D2B"/>
    <w:rsid w:val="007754B9"/>
    <w:rsid w:val="007755D4"/>
    <w:rsid w:val="00777636"/>
    <w:rsid w:val="00781391"/>
    <w:rsid w:val="00782978"/>
    <w:rsid w:val="00785304"/>
    <w:rsid w:val="007870ED"/>
    <w:rsid w:val="00787251"/>
    <w:rsid w:val="007873C1"/>
    <w:rsid w:val="00787F4E"/>
    <w:rsid w:val="00793BB8"/>
    <w:rsid w:val="00794AEC"/>
    <w:rsid w:val="00794AED"/>
    <w:rsid w:val="00795611"/>
    <w:rsid w:val="0079655F"/>
    <w:rsid w:val="007968D3"/>
    <w:rsid w:val="007A7BD6"/>
    <w:rsid w:val="007B2A11"/>
    <w:rsid w:val="007B50B0"/>
    <w:rsid w:val="007B6768"/>
    <w:rsid w:val="007B67D5"/>
    <w:rsid w:val="007C2875"/>
    <w:rsid w:val="007C67A7"/>
    <w:rsid w:val="007D3BAA"/>
    <w:rsid w:val="007D595C"/>
    <w:rsid w:val="007D6C38"/>
    <w:rsid w:val="007E23C2"/>
    <w:rsid w:val="007E4FB1"/>
    <w:rsid w:val="007E6F89"/>
    <w:rsid w:val="007E704F"/>
    <w:rsid w:val="007F15E1"/>
    <w:rsid w:val="007F1EFA"/>
    <w:rsid w:val="007F2202"/>
    <w:rsid w:val="007F4070"/>
    <w:rsid w:val="007F47D9"/>
    <w:rsid w:val="007F6864"/>
    <w:rsid w:val="007F6EB5"/>
    <w:rsid w:val="00801D3F"/>
    <w:rsid w:val="00802954"/>
    <w:rsid w:val="008039B5"/>
    <w:rsid w:val="00803C3C"/>
    <w:rsid w:val="00804BA3"/>
    <w:rsid w:val="00804E0B"/>
    <w:rsid w:val="00807462"/>
    <w:rsid w:val="00813987"/>
    <w:rsid w:val="0081459D"/>
    <w:rsid w:val="00816345"/>
    <w:rsid w:val="00820BC5"/>
    <w:rsid w:val="00820CE0"/>
    <w:rsid w:val="00820D0D"/>
    <w:rsid w:val="00822DF8"/>
    <w:rsid w:val="00823BB5"/>
    <w:rsid w:val="0082416E"/>
    <w:rsid w:val="00824189"/>
    <w:rsid w:val="00824777"/>
    <w:rsid w:val="00827886"/>
    <w:rsid w:val="0083065D"/>
    <w:rsid w:val="00830950"/>
    <w:rsid w:val="00833486"/>
    <w:rsid w:val="00833AD7"/>
    <w:rsid w:val="008342A1"/>
    <w:rsid w:val="00835940"/>
    <w:rsid w:val="0084024C"/>
    <w:rsid w:val="00841C1C"/>
    <w:rsid w:val="00842D90"/>
    <w:rsid w:val="00843FD6"/>
    <w:rsid w:val="00844054"/>
    <w:rsid w:val="008452B0"/>
    <w:rsid w:val="00851073"/>
    <w:rsid w:val="008512DB"/>
    <w:rsid w:val="00853C9A"/>
    <w:rsid w:val="00853F73"/>
    <w:rsid w:val="008540EF"/>
    <w:rsid w:val="00860B7D"/>
    <w:rsid w:val="00862826"/>
    <w:rsid w:val="00863633"/>
    <w:rsid w:val="00866B23"/>
    <w:rsid w:val="00867696"/>
    <w:rsid w:val="00870488"/>
    <w:rsid w:val="00873BC7"/>
    <w:rsid w:val="00873FDB"/>
    <w:rsid w:val="00875413"/>
    <w:rsid w:val="0087598B"/>
    <w:rsid w:val="0088079D"/>
    <w:rsid w:val="00880895"/>
    <w:rsid w:val="00882139"/>
    <w:rsid w:val="00884AA5"/>
    <w:rsid w:val="00885DA1"/>
    <w:rsid w:val="00885E5E"/>
    <w:rsid w:val="00886ED3"/>
    <w:rsid w:val="00890C23"/>
    <w:rsid w:val="00891EDD"/>
    <w:rsid w:val="00896D25"/>
    <w:rsid w:val="00897C35"/>
    <w:rsid w:val="00897DB0"/>
    <w:rsid w:val="008A1F23"/>
    <w:rsid w:val="008A39C4"/>
    <w:rsid w:val="008A4341"/>
    <w:rsid w:val="008A4D5C"/>
    <w:rsid w:val="008A5F78"/>
    <w:rsid w:val="008A672F"/>
    <w:rsid w:val="008A6F9F"/>
    <w:rsid w:val="008A7AA7"/>
    <w:rsid w:val="008B0F19"/>
    <w:rsid w:val="008B15C5"/>
    <w:rsid w:val="008B423B"/>
    <w:rsid w:val="008B4F84"/>
    <w:rsid w:val="008B6DDD"/>
    <w:rsid w:val="008B6E13"/>
    <w:rsid w:val="008B78C4"/>
    <w:rsid w:val="008C1C75"/>
    <w:rsid w:val="008C2089"/>
    <w:rsid w:val="008C51D7"/>
    <w:rsid w:val="008D153B"/>
    <w:rsid w:val="008D3CB1"/>
    <w:rsid w:val="008D4522"/>
    <w:rsid w:val="008D48B5"/>
    <w:rsid w:val="008D6AD0"/>
    <w:rsid w:val="008E06C8"/>
    <w:rsid w:val="008E1D14"/>
    <w:rsid w:val="008E5019"/>
    <w:rsid w:val="008E5806"/>
    <w:rsid w:val="008E7258"/>
    <w:rsid w:val="008F0A48"/>
    <w:rsid w:val="008F0EE2"/>
    <w:rsid w:val="008F43AF"/>
    <w:rsid w:val="008F55A4"/>
    <w:rsid w:val="009006F4"/>
    <w:rsid w:val="00900DBB"/>
    <w:rsid w:val="00901C4D"/>
    <w:rsid w:val="009059C0"/>
    <w:rsid w:val="00911B11"/>
    <w:rsid w:val="00911C49"/>
    <w:rsid w:val="00912661"/>
    <w:rsid w:val="00914242"/>
    <w:rsid w:val="009145E3"/>
    <w:rsid w:val="00915AB9"/>
    <w:rsid w:val="0092128C"/>
    <w:rsid w:val="00921402"/>
    <w:rsid w:val="00921ACE"/>
    <w:rsid w:val="00925733"/>
    <w:rsid w:val="009272A5"/>
    <w:rsid w:val="009308F5"/>
    <w:rsid w:val="00933AFD"/>
    <w:rsid w:val="00934E8C"/>
    <w:rsid w:val="00934E96"/>
    <w:rsid w:val="009418A1"/>
    <w:rsid w:val="00946074"/>
    <w:rsid w:val="00947600"/>
    <w:rsid w:val="0095047B"/>
    <w:rsid w:val="00953DD3"/>
    <w:rsid w:val="00954DAB"/>
    <w:rsid w:val="00955FC6"/>
    <w:rsid w:val="009576B6"/>
    <w:rsid w:val="0095782A"/>
    <w:rsid w:val="00957FBA"/>
    <w:rsid w:val="009605ED"/>
    <w:rsid w:val="00962ACF"/>
    <w:rsid w:val="00964D19"/>
    <w:rsid w:val="00965454"/>
    <w:rsid w:val="00966DE5"/>
    <w:rsid w:val="00967D9F"/>
    <w:rsid w:val="0097059E"/>
    <w:rsid w:val="009711E4"/>
    <w:rsid w:val="009759D7"/>
    <w:rsid w:val="00980043"/>
    <w:rsid w:val="00981F40"/>
    <w:rsid w:val="00982E99"/>
    <w:rsid w:val="00984D56"/>
    <w:rsid w:val="009923DB"/>
    <w:rsid w:val="0099454E"/>
    <w:rsid w:val="00994641"/>
    <w:rsid w:val="009A063F"/>
    <w:rsid w:val="009A1AFF"/>
    <w:rsid w:val="009A7221"/>
    <w:rsid w:val="009A7652"/>
    <w:rsid w:val="009B01DC"/>
    <w:rsid w:val="009B0EAE"/>
    <w:rsid w:val="009B2E16"/>
    <w:rsid w:val="009B38AD"/>
    <w:rsid w:val="009B3E8F"/>
    <w:rsid w:val="009B4475"/>
    <w:rsid w:val="009B48CE"/>
    <w:rsid w:val="009B56E8"/>
    <w:rsid w:val="009B6497"/>
    <w:rsid w:val="009B68F5"/>
    <w:rsid w:val="009C034A"/>
    <w:rsid w:val="009C27ED"/>
    <w:rsid w:val="009C5F26"/>
    <w:rsid w:val="009C669C"/>
    <w:rsid w:val="009D09B3"/>
    <w:rsid w:val="009D4CC8"/>
    <w:rsid w:val="009D4EC8"/>
    <w:rsid w:val="009D7082"/>
    <w:rsid w:val="009E06B8"/>
    <w:rsid w:val="009E3CDC"/>
    <w:rsid w:val="009E6488"/>
    <w:rsid w:val="009E6800"/>
    <w:rsid w:val="009E69D9"/>
    <w:rsid w:val="009F18C0"/>
    <w:rsid w:val="009F6CCF"/>
    <w:rsid w:val="00A00E55"/>
    <w:rsid w:val="00A01CAF"/>
    <w:rsid w:val="00A0222B"/>
    <w:rsid w:val="00A035E7"/>
    <w:rsid w:val="00A067F5"/>
    <w:rsid w:val="00A07209"/>
    <w:rsid w:val="00A11A68"/>
    <w:rsid w:val="00A1285B"/>
    <w:rsid w:val="00A13249"/>
    <w:rsid w:val="00A17A63"/>
    <w:rsid w:val="00A17DAA"/>
    <w:rsid w:val="00A20D04"/>
    <w:rsid w:val="00A212AE"/>
    <w:rsid w:val="00A23794"/>
    <w:rsid w:val="00A23E92"/>
    <w:rsid w:val="00A26263"/>
    <w:rsid w:val="00A314FC"/>
    <w:rsid w:val="00A36A12"/>
    <w:rsid w:val="00A36B03"/>
    <w:rsid w:val="00A42876"/>
    <w:rsid w:val="00A43BCE"/>
    <w:rsid w:val="00A44CD7"/>
    <w:rsid w:val="00A46A59"/>
    <w:rsid w:val="00A51674"/>
    <w:rsid w:val="00A52112"/>
    <w:rsid w:val="00A52AF9"/>
    <w:rsid w:val="00A53EC3"/>
    <w:rsid w:val="00A5441F"/>
    <w:rsid w:val="00A544CC"/>
    <w:rsid w:val="00A54CB4"/>
    <w:rsid w:val="00A55178"/>
    <w:rsid w:val="00A56980"/>
    <w:rsid w:val="00A6109A"/>
    <w:rsid w:val="00A618AC"/>
    <w:rsid w:val="00A65393"/>
    <w:rsid w:val="00A77F02"/>
    <w:rsid w:val="00A86604"/>
    <w:rsid w:val="00A87E44"/>
    <w:rsid w:val="00A90032"/>
    <w:rsid w:val="00A9449C"/>
    <w:rsid w:val="00A96DCC"/>
    <w:rsid w:val="00AA3029"/>
    <w:rsid w:val="00AA4158"/>
    <w:rsid w:val="00AA4317"/>
    <w:rsid w:val="00AB0A50"/>
    <w:rsid w:val="00AB0B26"/>
    <w:rsid w:val="00AB2EC0"/>
    <w:rsid w:val="00AB686C"/>
    <w:rsid w:val="00AC1FAB"/>
    <w:rsid w:val="00AD07E9"/>
    <w:rsid w:val="00AD0C18"/>
    <w:rsid w:val="00AD112B"/>
    <w:rsid w:val="00AD1922"/>
    <w:rsid w:val="00AD2E09"/>
    <w:rsid w:val="00AD3664"/>
    <w:rsid w:val="00AD3C6C"/>
    <w:rsid w:val="00AE0EEC"/>
    <w:rsid w:val="00AE18AA"/>
    <w:rsid w:val="00AE2148"/>
    <w:rsid w:val="00AE34FD"/>
    <w:rsid w:val="00AF7302"/>
    <w:rsid w:val="00AF79FA"/>
    <w:rsid w:val="00B0273A"/>
    <w:rsid w:val="00B02D28"/>
    <w:rsid w:val="00B02EDE"/>
    <w:rsid w:val="00B03E78"/>
    <w:rsid w:val="00B06710"/>
    <w:rsid w:val="00B0700E"/>
    <w:rsid w:val="00B0765F"/>
    <w:rsid w:val="00B077B9"/>
    <w:rsid w:val="00B12213"/>
    <w:rsid w:val="00B123F2"/>
    <w:rsid w:val="00B12C01"/>
    <w:rsid w:val="00B12E6E"/>
    <w:rsid w:val="00B1724A"/>
    <w:rsid w:val="00B2034A"/>
    <w:rsid w:val="00B203F4"/>
    <w:rsid w:val="00B20987"/>
    <w:rsid w:val="00B216E7"/>
    <w:rsid w:val="00B24B68"/>
    <w:rsid w:val="00B26C15"/>
    <w:rsid w:val="00B319BF"/>
    <w:rsid w:val="00B340AC"/>
    <w:rsid w:val="00B35AFE"/>
    <w:rsid w:val="00B4022F"/>
    <w:rsid w:val="00B40644"/>
    <w:rsid w:val="00B4096F"/>
    <w:rsid w:val="00B40B7E"/>
    <w:rsid w:val="00B419AC"/>
    <w:rsid w:val="00B45F48"/>
    <w:rsid w:val="00B4614B"/>
    <w:rsid w:val="00B465DB"/>
    <w:rsid w:val="00B470DD"/>
    <w:rsid w:val="00B51D6E"/>
    <w:rsid w:val="00B525E8"/>
    <w:rsid w:val="00B54055"/>
    <w:rsid w:val="00B576A4"/>
    <w:rsid w:val="00B6287B"/>
    <w:rsid w:val="00B63E57"/>
    <w:rsid w:val="00B63E87"/>
    <w:rsid w:val="00B6545C"/>
    <w:rsid w:val="00B65CFC"/>
    <w:rsid w:val="00B731C6"/>
    <w:rsid w:val="00B73EA8"/>
    <w:rsid w:val="00B74CF5"/>
    <w:rsid w:val="00B77FEC"/>
    <w:rsid w:val="00B8227A"/>
    <w:rsid w:val="00B83906"/>
    <w:rsid w:val="00B85EAF"/>
    <w:rsid w:val="00B86BC6"/>
    <w:rsid w:val="00B87A03"/>
    <w:rsid w:val="00B90A56"/>
    <w:rsid w:val="00BA0299"/>
    <w:rsid w:val="00BA1CBE"/>
    <w:rsid w:val="00BA3069"/>
    <w:rsid w:val="00BA31EF"/>
    <w:rsid w:val="00BA3A64"/>
    <w:rsid w:val="00BA6F3E"/>
    <w:rsid w:val="00BB0A4C"/>
    <w:rsid w:val="00BB1128"/>
    <w:rsid w:val="00BB7ABD"/>
    <w:rsid w:val="00BC16FD"/>
    <w:rsid w:val="00BC1A9C"/>
    <w:rsid w:val="00BC32AA"/>
    <w:rsid w:val="00BC4F8D"/>
    <w:rsid w:val="00BC60DC"/>
    <w:rsid w:val="00BD1907"/>
    <w:rsid w:val="00BD26AB"/>
    <w:rsid w:val="00BD3932"/>
    <w:rsid w:val="00BD4989"/>
    <w:rsid w:val="00BE10D2"/>
    <w:rsid w:val="00BE112C"/>
    <w:rsid w:val="00BE3976"/>
    <w:rsid w:val="00BF03D5"/>
    <w:rsid w:val="00BF10FC"/>
    <w:rsid w:val="00BF475F"/>
    <w:rsid w:val="00BF6DB0"/>
    <w:rsid w:val="00BF6F23"/>
    <w:rsid w:val="00BF7264"/>
    <w:rsid w:val="00BF7ED8"/>
    <w:rsid w:val="00C022ED"/>
    <w:rsid w:val="00C0422D"/>
    <w:rsid w:val="00C059AF"/>
    <w:rsid w:val="00C05B1D"/>
    <w:rsid w:val="00C110E4"/>
    <w:rsid w:val="00C129B5"/>
    <w:rsid w:val="00C12FAF"/>
    <w:rsid w:val="00C13182"/>
    <w:rsid w:val="00C13C32"/>
    <w:rsid w:val="00C1547F"/>
    <w:rsid w:val="00C161F8"/>
    <w:rsid w:val="00C169C1"/>
    <w:rsid w:val="00C17947"/>
    <w:rsid w:val="00C20C81"/>
    <w:rsid w:val="00C217CB"/>
    <w:rsid w:val="00C21D63"/>
    <w:rsid w:val="00C21FEB"/>
    <w:rsid w:val="00C2215E"/>
    <w:rsid w:val="00C2256E"/>
    <w:rsid w:val="00C24F06"/>
    <w:rsid w:val="00C30B9C"/>
    <w:rsid w:val="00C32E92"/>
    <w:rsid w:val="00C3316F"/>
    <w:rsid w:val="00C34245"/>
    <w:rsid w:val="00C351AA"/>
    <w:rsid w:val="00C37771"/>
    <w:rsid w:val="00C379EF"/>
    <w:rsid w:val="00C37D0E"/>
    <w:rsid w:val="00C41584"/>
    <w:rsid w:val="00C424A4"/>
    <w:rsid w:val="00C43FB7"/>
    <w:rsid w:val="00C44399"/>
    <w:rsid w:val="00C44C1E"/>
    <w:rsid w:val="00C46555"/>
    <w:rsid w:val="00C46DF5"/>
    <w:rsid w:val="00C47B8E"/>
    <w:rsid w:val="00C5309A"/>
    <w:rsid w:val="00C55A9B"/>
    <w:rsid w:val="00C63DCB"/>
    <w:rsid w:val="00C65270"/>
    <w:rsid w:val="00C70535"/>
    <w:rsid w:val="00C71DDA"/>
    <w:rsid w:val="00C72C3E"/>
    <w:rsid w:val="00C73907"/>
    <w:rsid w:val="00C8047B"/>
    <w:rsid w:val="00C82495"/>
    <w:rsid w:val="00C829A4"/>
    <w:rsid w:val="00C83377"/>
    <w:rsid w:val="00C86AB3"/>
    <w:rsid w:val="00C87C5C"/>
    <w:rsid w:val="00C87CB0"/>
    <w:rsid w:val="00C90D37"/>
    <w:rsid w:val="00C90FA6"/>
    <w:rsid w:val="00C911B4"/>
    <w:rsid w:val="00C92BF7"/>
    <w:rsid w:val="00C95457"/>
    <w:rsid w:val="00C963E7"/>
    <w:rsid w:val="00C967C8"/>
    <w:rsid w:val="00C97A61"/>
    <w:rsid w:val="00CA0400"/>
    <w:rsid w:val="00CA1D16"/>
    <w:rsid w:val="00CA253B"/>
    <w:rsid w:val="00CA5CA3"/>
    <w:rsid w:val="00CA6821"/>
    <w:rsid w:val="00CB2AE1"/>
    <w:rsid w:val="00CC3F47"/>
    <w:rsid w:val="00CD0260"/>
    <w:rsid w:val="00CD1E16"/>
    <w:rsid w:val="00CD39B6"/>
    <w:rsid w:val="00CD6404"/>
    <w:rsid w:val="00CD6C8D"/>
    <w:rsid w:val="00CD72FB"/>
    <w:rsid w:val="00CD7FBC"/>
    <w:rsid w:val="00CE37F3"/>
    <w:rsid w:val="00CE62A4"/>
    <w:rsid w:val="00CE77F4"/>
    <w:rsid w:val="00CF0822"/>
    <w:rsid w:val="00CF29D0"/>
    <w:rsid w:val="00CF56AA"/>
    <w:rsid w:val="00CF5BED"/>
    <w:rsid w:val="00CF7DF7"/>
    <w:rsid w:val="00D002BD"/>
    <w:rsid w:val="00D02614"/>
    <w:rsid w:val="00D0391E"/>
    <w:rsid w:val="00D039B0"/>
    <w:rsid w:val="00D056DD"/>
    <w:rsid w:val="00D06634"/>
    <w:rsid w:val="00D0686A"/>
    <w:rsid w:val="00D100A1"/>
    <w:rsid w:val="00D11807"/>
    <w:rsid w:val="00D15270"/>
    <w:rsid w:val="00D21496"/>
    <w:rsid w:val="00D21AED"/>
    <w:rsid w:val="00D21B97"/>
    <w:rsid w:val="00D23B14"/>
    <w:rsid w:val="00D25D3C"/>
    <w:rsid w:val="00D26C69"/>
    <w:rsid w:val="00D32682"/>
    <w:rsid w:val="00D333C1"/>
    <w:rsid w:val="00D33CF7"/>
    <w:rsid w:val="00D40463"/>
    <w:rsid w:val="00D47365"/>
    <w:rsid w:val="00D47629"/>
    <w:rsid w:val="00D51E40"/>
    <w:rsid w:val="00D52260"/>
    <w:rsid w:val="00D5698A"/>
    <w:rsid w:val="00D70D78"/>
    <w:rsid w:val="00D711FC"/>
    <w:rsid w:val="00D722D7"/>
    <w:rsid w:val="00D72762"/>
    <w:rsid w:val="00D72F81"/>
    <w:rsid w:val="00D743A9"/>
    <w:rsid w:val="00D744DE"/>
    <w:rsid w:val="00D75A5B"/>
    <w:rsid w:val="00D77679"/>
    <w:rsid w:val="00D80EDD"/>
    <w:rsid w:val="00D82083"/>
    <w:rsid w:val="00D825B5"/>
    <w:rsid w:val="00D856E7"/>
    <w:rsid w:val="00D85B52"/>
    <w:rsid w:val="00D86803"/>
    <w:rsid w:val="00D87B2B"/>
    <w:rsid w:val="00D9183A"/>
    <w:rsid w:val="00D92174"/>
    <w:rsid w:val="00D93B8D"/>
    <w:rsid w:val="00D93D75"/>
    <w:rsid w:val="00D97338"/>
    <w:rsid w:val="00DA0DE7"/>
    <w:rsid w:val="00DB1771"/>
    <w:rsid w:val="00DB2024"/>
    <w:rsid w:val="00DB5E62"/>
    <w:rsid w:val="00DB6554"/>
    <w:rsid w:val="00DB6700"/>
    <w:rsid w:val="00DC07CE"/>
    <w:rsid w:val="00DC2BCD"/>
    <w:rsid w:val="00DC53C4"/>
    <w:rsid w:val="00DC5712"/>
    <w:rsid w:val="00DC5A43"/>
    <w:rsid w:val="00DC615B"/>
    <w:rsid w:val="00DD083D"/>
    <w:rsid w:val="00DD2802"/>
    <w:rsid w:val="00DD5B03"/>
    <w:rsid w:val="00DE0331"/>
    <w:rsid w:val="00DE1F22"/>
    <w:rsid w:val="00DE511F"/>
    <w:rsid w:val="00DE60CD"/>
    <w:rsid w:val="00DE648A"/>
    <w:rsid w:val="00DE7D2D"/>
    <w:rsid w:val="00DF014F"/>
    <w:rsid w:val="00DF0EB3"/>
    <w:rsid w:val="00DF1BA9"/>
    <w:rsid w:val="00DF36C5"/>
    <w:rsid w:val="00DF4A39"/>
    <w:rsid w:val="00DF7252"/>
    <w:rsid w:val="00E00C38"/>
    <w:rsid w:val="00E010E4"/>
    <w:rsid w:val="00E036DF"/>
    <w:rsid w:val="00E07071"/>
    <w:rsid w:val="00E100FA"/>
    <w:rsid w:val="00E14F58"/>
    <w:rsid w:val="00E1547A"/>
    <w:rsid w:val="00E161A4"/>
    <w:rsid w:val="00E204C0"/>
    <w:rsid w:val="00E218CF"/>
    <w:rsid w:val="00E22719"/>
    <w:rsid w:val="00E23F5A"/>
    <w:rsid w:val="00E250F4"/>
    <w:rsid w:val="00E266F1"/>
    <w:rsid w:val="00E26900"/>
    <w:rsid w:val="00E27FFA"/>
    <w:rsid w:val="00E30AA2"/>
    <w:rsid w:val="00E355AD"/>
    <w:rsid w:val="00E3561E"/>
    <w:rsid w:val="00E37F88"/>
    <w:rsid w:val="00E4468D"/>
    <w:rsid w:val="00E45C00"/>
    <w:rsid w:val="00E46A9E"/>
    <w:rsid w:val="00E50BCD"/>
    <w:rsid w:val="00E57434"/>
    <w:rsid w:val="00E57BCF"/>
    <w:rsid w:val="00E60F4D"/>
    <w:rsid w:val="00E6183C"/>
    <w:rsid w:val="00E6360A"/>
    <w:rsid w:val="00E66444"/>
    <w:rsid w:val="00E70086"/>
    <w:rsid w:val="00E713F9"/>
    <w:rsid w:val="00E72045"/>
    <w:rsid w:val="00E75722"/>
    <w:rsid w:val="00E844F8"/>
    <w:rsid w:val="00E872D3"/>
    <w:rsid w:val="00E930FE"/>
    <w:rsid w:val="00E9448D"/>
    <w:rsid w:val="00E9478C"/>
    <w:rsid w:val="00E94D19"/>
    <w:rsid w:val="00E95C73"/>
    <w:rsid w:val="00E971A5"/>
    <w:rsid w:val="00EA4753"/>
    <w:rsid w:val="00EA5F25"/>
    <w:rsid w:val="00EA77EA"/>
    <w:rsid w:val="00EB09BA"/>
    <w:rsid w:val="00EB0FF2"/>
    <w:rsid w:val="00EB6ACC"/>
    <w:rsid w:val="00EC1DA1"/>
    <w:rsid w:val="00EC4711"/>
    <w:rsid w:val="00EC57CF"/>
    <w:rsid w:val="00ED036A"/>
    <w:rsid w:val="00ED1A06"/>
    <w:rsid w:val="00ED2671"/>
    <w:rsid w:val="00ED2A50"/>
    <w:rsid w:val="00ED2D90"/>
    <w:rsid w:val="00ED3E66"/>
    <w:rsid w:val="00ED5FF0"/>
    <w:rsid w:val="00ED7FB1"/>
    <w:rsid w:val="00EE1ED2"/>
    <w:rsid w:val="00EE26A6"/>
    <w:rsid w:val="00EE4D70"/>
    <w:rsid w:val="00EE55DA"/>
    <w:rsid w:val="00EE5BF9"/>
    <w:rsid w:val="00EF2ED7"/>
    <w:rsid w:val="00EF3378"/>
    <w:rsid w:val="00EF6833"/>
    <w:rsid w:val="00EF7FA5"/>
    <w:rsid w:val="00F00D5E"/>
    <w:rsid w:val="00F018D7"/>
    <w:rsid w:val="00F05B98"/>
    <w:rsid w:val="00F07020"/>
    <w:rsid w:val="00F10A6C"/>
    <w:rsid w:val="00F110B0"/>
    <w:rsid w:val="00F119B5"/>
    <w:rsid w:val="00F1331A"/>
    <w:rsid w:val="00F13802"/>
    <w:rsid w:val="00F2126E"/>
    <w:rsid w:val="00F22690"/>
    <w:rsid w:val="00F22A49"/>
    <w:rsid w:val="00F231E3"/>
    <w:rsid w:val="00F237FC"/>
    <w:rsid w:val="00F25198"/>
    <w:rsid w:val="00F27F88"/>
    <w:rsid w:val="00F30C64"/>
    <w:rsid w:val="00F31AA2"/>
    <w:rsid w:val="00F32B01"/>
    <w:rsid w:val="00F34E12"/>
    <w:rsid w:val="00F35C92"/>
    <w:rsid w:val="00F41992"/>
    <w:rsid w:val="00F44421"/>
    <w:rsid w:val="00F467DB"/>
    <w:rsid w:val="00F51177"/>
    <w:rsid w:val="00F523F3"/>
    <w:rsid w:val="00F54578"/>
    <w:rsid w:val="00F5572E"/>
    <w:rsid w:val="00F5673E"/>
    <w:rsid w:val="00F57723"/>
    <w:rsid w:val="00F57CD1"/>
    <w:rsid w:val="00F60ED4"/>
    <w:rsid w:val="00F611B5"/>
    <w:rsid w:val="00F615B4"/>
    <w:rsid w:val="00F61C2C"/>
    <w:rsid w:val="00F63132"/>
    <w:rsid w:val="00F643D6"/>
    <w:rsid w:val="00F654C0"/>
    <w:rsid w:val="00F669C2"/>
    <w:rsid w:val="00F71F96"/>
    <w:rsid w:val="00F748FB"/>
    <w:rsid w:val="00F767F6"/>
    <w:rsid w:val="00F83148"/>
    <w:rsid w:val="00F84C49"/>
    <w:rsid w:val="00F9195B"/>
    <w:rsid w:val="00F93661"/>
    <w:rsid w:val="00F940B1"/>
    <w:rsid w:val="00F95724"/>
    <w:rsid w:val="00F9793B"/>
    <w:rsid w:val="00F97F35"/>
    <w:rsid w:val="00FA3A88"/>
    <w:rsid w:val="00FA3CCF"/>
    <w:rsid w:val="00FA4A94"/>
    <w:rsid w:val="00FA65A7"/>
    <w:rsid w:val="00FA67C7"/>
    <w:rsid w:val="00FA797E"/>
    <w:rsid w:val="00FB09B0"/>
    <w:rsid w:val="00FB308B"/>
    <w:rsid w:val="00FB6C15"/>
    <w:rsid w:val="00FC09B0"/>
    <w:rsid w:val="00FC1AC5"/>
    <w:rsid w:val="00FC3FEE"/>
    <w:rsid w:val="00FC600B"/>
    <w:rsid w:val="00FC6498"/>
    <w:rsid w:val="00FC6A75"/>
    <w:rsid w:val="00FD059A"/>
    <w:rsid w:val="00FD1358"/>
    <w:rsid w:val="00FD30B4"/>
    <w:rsid w:val="00FD7712"/>
    <w:rsid w:val="00FE5354"/>
    <w:rsid w:val="00FF1AFE"/>
    <w:rsid w:val="00FF37B4"/>
    <w:rsid w:val="00FF63AA"/>
    <w:rsid w:val="00FF7443"/>
    <w:rsid w:val="00FF77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70B3A"/>
  <w15:docId w15:val="{5061E574-A1E2-4FD7-89A1-276C2F5F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jc w:val="left"/>
      <w:outlineLvl w:val="0"/>
    </w:pPr>
    <w:rPr>
      <w:rFonts w:ascii="Cambria" w:eastAsia="Cambria" w:hAnsi="Cambria" w:cs="Cambria"/>
      <w:color w:val="365F91"/>
      <w:sz w:val="32"/>
    </w:rPr>
  </w:style>
  <w:style w:type="paragraph" w:styleId="Ttulo2">
    <w:name w:val="heading 2"/>
    <w:basedOn w:val="Normal"/>
    <w:next w:val="Normal"/>
    <w:link w:val="Ttulo2Car"/>
    <w:uiPriority w:val="9"/>
    <w:qFormat/>
    <w:pPr>
      <w:keepNext/>
      <w:keepLines/>
      <w:spacing w:before="40"/>
      <w:outlineLvl w:val="1"/>
    </w:pPr>
    <w:rPr>
      <w:rFonts w:ascii="Cambria" w:eastAsia="Cambria" w:hAnsi="Cambria" w:cs="Cambria"/>
      <w:color w:val="3B618E"/>
      <w:sz w:val="2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E2411"/>
    <w:rPr>
      <w:rFonts w:ascii="Cambria" w:eastAsia="Cambria" w:hAnsi="Cambria" w:cs="Cambria"/>
      <w:color w:val="3B618E"/>
      <w:sz w:val="26"/>
    </w:rPr>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rPr>
      <w:sz w:val="20"/>
    </w:rPr>
    <w:tblPr>
      <w:tblStyleRowBandSize w:val="1"/>
      <w:tblStyleColBandSize w:val="1"/>
      <w:tblCellMar>
        <w:left w:w="115" w:type="dxa"/>
        <w:right w:w="115" w:type="dxa"/>
      </w:tblCellMar>
    </w:tblPr>
  </w:style>
  <w:style w:type="table" w:customStyle="1" w:styleId="a0">
    <w:basedOn w:val="TableNormal"/>
    <w:pPr>
      <w:contextualSpacing/>
    </w:pPr>
    <w:rPr>
      <w:sz w:val="20"/>
    </w:rPr>
    <w:tblPr>
      <w:tblStyleRowBandSize w:val="1"/>
      <w:tblStyleColBandSize w:val="1"/>
      <w:tblCellMar>
        <w:left w:w="115" w:type="dxa"/>
        <w:right w:w="115" w:type="dxa"/>
      </w:tblCellMar>
    </w:tblPr>
  </w:style>
  <w:style w:type="table" w:customStyle="1" w:styleId="a1">
    <w:basedOn w:val="TableNormal"/>
    <w:pPr>
      <w:contextualSpacing/>
    </w:pPr>
    <w:rPr>
      <w:sz w:val="20"/>
    </w:rPr>
    <w:tblPr>
      <w:tblStyleRowBandSize w:val="1"/>
      <w:tblStyleColBandSize w:val="1"/>
      <w:tblCellMar>
        <w:left w:w="115" w:type="dxa"/>
        <w:right w:w="115" w:type="dxa"/>
      </w:tblCellMar>
    </w:tblPr>
  </w:style>
  <w:style w:type="table" w:customStyle="1" w:styleId="a2">
    <w:basedOn w:val="TableNormal"/>
    <w:pPr>
      <w:contextualSpacing/>
    </w:pPr>
    <w:rPr>
      <w:sz w:val="20"/>
    </w:rPr>
    <w:tblPr>
      <w:tblStyleRowBandSize w:val="1"/>
      <w:tblStyleColBandSize w:val="1"/>
      <w:tblCellMar>
        <w:left w:w="115" w:type="dxa"/>
        <w:right w:w="115" w:type="dxa"/>
      </w:tblCellMar>
    </w:tblPr>
  </w:style>
  <w:style w:type="table" w:customStyle="1" w:styleId="a3">
    <w:basedOn w:val="TableNormal"/>
    <w:pPr>
      <w:contextualSpacing/>
    </w:pPr>
    <w:rPr>
      <w:sz w:val="20"/>
    </w:rPr>
    <w:tblPr>
      <w:tblStyleRowBandSize w:val="1"/>
      <w:tblStyleColBandSize w:val="1"/>
      <w:tblCellMar>
        <w:left w:w="115" w:type="dxa"/>
        <w:right w:w="115" w:type="dxa"/>
      </w:tblCellMar>
    </w:tblPr>
  </w:style>
  <w:style w:type="table" w:customStyle="1" w:styleId="a4">
    <w:basedOn w:val="TableNormal"/>
    <w:pPr>
      <w:contextualSpacing/>
    </w:pPr>
    <w:rPr>
      <w:sz w:val="20"/>
    </w:rPr>
    <w:tblPr>
      <w:tblStyleRowBandSize w:val="1"/>
      <w:tblStyleColBandSize w:val="1"/>
      <w:tblCellMar>
        <w:left w:w="115" w:type="dxa"/>
        <w:right w:w="115" w:type="dxa"/>
      </w:tblCellMar>
    </w:tblPr>
  </w:style>
  <w:style w:type="table" w:customStyle="1" w:styleId="a5">
    <w:basedOn w:val="TableNormal"/>
    <w:pPr>
      <w:contextualSpacing/>
    </w:pPr>
    <w:rPr>
      <w:sz w:val="20"/>
    </w:rPr>
    <w:tblPr>
      <w:tblStyleRowBandSize w:val="1"/>
      <w:tblStyleColBandSize w:val="1"/>
      <w:tblCellMar>
        <w:left w:w="115" w:type="dxa"/>
        <w:right w:w="115" w:type="dxa"/>
      </w:tblCellMar>
    </w:tblPr>
  </w:style>
  <w:style w:type="table" w:customStyle="1" w:styleId="a6">
    <w:basedOn w:val="TableNormal"/>
    <w:pPr>
      <w:contextualSpacing/>
    </w:pPr>
    <w:rPr>
      <w:sz w:val="20"/>
    </w:rPr>
    <w:tblPr>
      <w:tblStyleRowBandSize w:val="1"/>
      <w:tblStyleColBandSize w:val="1"/>
      <w:tblCellMar>
        <w:left w:w="115" w:type="dxa"/>
        <w:right w:w="115" w:type="dxa"/>
      </w:tblCellMar>
    </w:tblPr>
  </w:style>
  <w:style w:type="table" w:customStyle="1" w:styleId="a7">
    <w:basedOn w:val="TableNormal"/>
    <w:pPr>
      <w:contextualSpacing/>
    </w:pPr>
    <w:rPr>
      <w:sz w:val="20"/>
    </w:rPr>
    <w:tblPr>
      <w:tblStyleRowBandSize w:val="1"/>
      <w:tblStyleColBandSize w:val="1"/>
      <w:tblCellMar>
        <w:left w:w="115" w:type="dxa"/>
        <w:right w:w="115" w:type="dxa"/>
      </w:tblCellMar>
    </w:tblPr>
  </w:style>
  <w:style w:type="table" w:customStyle="1" w:styleId="a8">
    <w:basedOn w:val="TableNormal"/>
    <w:pPr>
      <w:contextualSpacing/>
    </w:pPr>
    <w:rPr>
      <w:sz w:val="20"/>
    </w:rPr>
    <w:tblPr>
      <w:tblStyleRowBandSize w:val="1"/>
      <w:tblStyleColBandSize w:val="1"/>
      <w:tblCellMar>
        <w:left w:w="115" w:type="dxa"/>
        <w:right w:w="115" w:type="dxa"/>
      </w:tblCellMar>
    </w:tblPr>
  </w:style>
  <w:style w:type="table" w:customStyle="1" w:styleId="a9">
    <w:basedOn w:val="TableNormal"/>
    <w:pPr>
      <w:contextualSpacing/>
    </w:pPr>
    <w:rPr>
      <w:sz w:val="20"/>
    </w:rPr>
    <w:tblPr>
      <w:tblStyleRowBandSize w:val="1"/>
      <w:tblStyleColBandSize w:val="1"/>
      <w:tblCellMar>
        <w:left w:w="115" w:type="dxa"/>
        <w:right w:w="115" w:type="dxa"/>
      </w:tblCellMar>
    </w:tblPr>
  </w:style>
  <w:style w:type="table" w:customStyle="1" w:styleId="aa">
    <w:basedOn w:val="TableNormal"/>
    <w:pPr>
      <w:contextualSpacing/>
    </w:pPr>
    <w:rPr>
      <w:sz w:val="20"/>
    </w:rPr>
    <w:tblPr>
      <w:tblStyleRowBandSize w:val="1"/>
      <w:tblStyleColBandSize w:val="1"/>
      <w:tblCellMar>
        <w:left w:w="115" w:type="dxa"/>
        <w:right w:w="115" w:type="dxa"/>
      </w:tblCellMar>
    </w:tblPr>
  </w:style>
  <w:style w:type="table" w:customStyle="1" w:styleId="ab">
    <w:basedOn w:val="TableNormal"/>
    <w:pPr>
      <w:contextualSpacing/>
    </w:pPr>
    <w:rPr>
      <w:sz w:val="20"/>
    </w:rPr>
    <w:tblPr>
      <w:tblStyleRowBandSize w:val="1"/>
      <w:tblStyleColBandSize w:val="1"/>
      <w:tblCellMar>
        <w:left w:w="115" w:type="dxa"/>
        <w:right w:w="115" w:type="dxa"/>
      </w:tblCellMar>
    </w:tblPr>
  </w:style>
  <w:style w:type="table" w:customStyle="1" w:styleId="ac">
    <w:basedOn w:val="TableNormal"/>
    <w:pPr>
      <w:contextualSpacing/>
    </w:pPr>
    <w:rPr>
      <w:sz w:val="20"/>
    </w:rPr>
    <w:tblPr>
      <w:tblStyleRowBandSize w:val="1"/>
      <w:tblStyleColBandSize w:val="1"/>
      <w:tblCellMar>
        <w:left w:w="115" w:type="dxa"/>
        <w:right w:w="115" w:type="dxa"/>
      </w:tblCellMar>
    </w:tblPr>
  </w:style>
  <w:style w:type="table" w:customStyle="1" w:styleId="ad">
    <w:basedOn w:val="TableNormal"/>
    <w:pPr>
      <w:contextualSpacing/>
    </w:pPr>
    <w:rPr>
      <w:sz w:val="20"/>
    </w:rPr>
    <w:tblPr>
      <w:tblStyleRowBandSize w:val="1"/>
      <w:tblStyleColBandSize w:val="1"/>
      <w:tblCellMar>
        <w:left w:w="115" w:type="dxa"/>
        <w:right w:w="115" w:type="dxa"/>
      </w:tblCellMar>
    </w:tblPr>
  </w:style>
  <w:style w:type="table" w:customStyle="1" w:styleId="ae">
    <w:basedOn w:val="TableNormal"/>
    <w:pPr>
      <w:contextualSpacing/>
    </w:pPr>
    <w:rPr>
      <w:sz w:val="20"/>
    </w:rPr>
    <w:tblPr>
      <w:tblStyleRowBandSize w:val="1"/>
      <w:tblStyleColBandSize w:val="1"/>
      <w:tblCellMar>
        <w:left w:w="115" w:type="dxa"/>
        <w:right w:w="115" w:type="dxa"/>
      </w:tblCellMar>
    </w:tblPr>
  </w:style>
  <w:style w:type="table" w:customStyle="1" w:styleId="af">
    <w:basedOn w:val="TableNormal"/>
    <w:pPr>
      <w:contextualSpacing/>
    </w:pPr>
    <w:rPr>
      <w:sz w:val="20"/>
    </w:r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E241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2E2411"/>
    <w:rPr>
      <w:color w:val="0000FF"/>
      <w:u w:val="single"/>
    </w:rPr>
  </w:style>
  <w:style w:type="character" w:customStyle="1" w:styleId="apple-converted-space">
    <w:name w:val="apple-converted-space"/>
    <w:basedOn w:val="Fuentedeprrafopredeter"/>
    <w:rsid w:val="00D002BD"/>
  </w:style>
  <w:style w:type="paragraph" w:styleId="Prrafodelista">
    <w:name w:val="List Paragraph"/>
    <w:basedOn w:val="Normal"/>
    <w:uiPriority w:val="34"/>
    <w:qFormat/>
    <w:rsid w:val="00D25D3C"/>
    <w:pPr>
      <w:ind w:left="720"/>
      <w:contextualSpacing/>
    </w:pPr>
  </w:style>
  <w:style w:type="paragraph" w:customStyle="1" w:styleId="Normal1">
    <w:name w:val="Normal1"/>
    <w:rsid w:val="007B2A11"/>
    <w:pPr>
      <w:spacing w:line="276" w:lineRule="auto"/>
      <w:jc w:val="left"/>
    </w:pPr>
    <w:rPr>
      <w:szCs w:val="24"/>
      <w:lang w:eastAsia="es-ES"/>
    </w:rPr>
  </w:style>
  <w:style w:type="character" w:styleId="Refdecomentario">
    <w:name w:val="annotation reference"/>
    <w:basedOn w:val="Fuentedeprrafopredeter"/>
    <w:unhideWhenUsed/>
    <w:rsid w:val="00D75A5B"/>
    <w:rPr>
      <w:sz w:val="16"/>
      <w:szCs w:val="16"/>
    </w:rPr>
  </w:style>
  <w:style w:type="paragraph" w:styleId="Textocomentario">
    <w:name w:val="annotation text"/>
    <w:basedOn w:val="Normal"/>
    <w:link w:val="TextocomentarioCar"/>
    <w:unhideWhenUsed/>
    <w:rsid w:val="00D75A5B"/>
    <w:pPr>
      <w:spacing w:line="240" w:lineRule="auto"/>
    </w:pPr>
    <w:rPr>
      <w:sz w:val="20"/>
    </w:rPr>
  </w:style>
  <w:style w:type="character" w:customStyle="1" w:styleId="TextocomentarioCar">
    <w:name w:val="Texto comentario Car"/>
    <w:basedOn w:val="Fuentedeprrafopredeter"/>
    <w:link w:val="Textocomentario"/>
    <w:rsid w:val="00D75A5B"/>
    <w:rPr>
      <w:sz w:val="20"/>
    </w:rPr>
  </w:style>
  <w:style w:type="paragraph" w:styleId="Asuntodelcomentario">
    <w:name w:val="annotation subject"/>
    <w:basedOn w:val="Textocomentario"/>
    <w:next w:val="Textocomentario"/>
    <w:link w:val="AsuntodelcomentarioCar"/>
    <w:uiPriority w:val="99"/>
    <w:semiHidden/>
    <w:unhideWhenUsed/>
    <w:rsid w:val="00D75A5B"/>
    <w:rPr>
      <w:b/>
      <w:bCs/>
    </w:rPr>
  </w:style>
  <w:style w:type="character" w:customStyle="1" w:styleId="AsuntodelcomentarioCar">
    <w:name w:val="Asunto del comentario Car"/>
    <w:basedOn w:val="TextocomentarioCar"/>
    <w:link w:val="Asuntodelcomentario"/>
    <w:uiPriority w:val="99"/>
    <w:semiHidden/>
    <w:rsid w:val="00D75A5B"/>
    <w:rPr>
      <w:b/>
      <w:bCs/>
      <w:sz w:val="20"/>
    </w:rPr>
  </w:style>
  <w:style w:type="paragraph" w:styleId="Textodeglobo">
    <w:name w:val="Balloon Text"/>
    <w:basedOn w:val="Normal"/>
    <w:link w:val="TextodegloboCar"/>
    <w:uiPriority w:val="99"/>
    <w:semiHidden/>
    <w:unhideWhenUsed/>
    <w:rsid w:val="00D75A5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5A5B"/>
    <w:rPr>
      <w:rFonts w:ascii="Segoe UI" w:hAnsi="Segoe UI" w:cs="Segoe UI"/>
      <w:sz w:val="18"/>
      <w:szCs w:val="18"/>
    </w:rPr>
  </w:style>
  <w:style w:type="paragraph" w:styleId="Sinespaciado">
    <w:name w:val="No Spacing"/>
    <w:uiPriority w:val="1"/>
    <w:qFormat/>
    <w:rsid w:val="000E6B3E"/>
    <w:pPr>
      <w:spacing w:line="240" w:lineRule="auto"/>
    </w:pPr>
  </w:style>
  <w:style w:type="paragraph" w:styleId="Encabezado">
    <w:name w:val="header"/>
    <w:basedOn w:val="Normal"/>
    <w:link w:val="EncabezadoCar"/>
    <w:uiPriority w:val="99"/>
    <w:unhideWhenUsed/>
    <w:rsid w:val="007373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373E0"/>
  </w:style>
  <w:style w:type="paragraph" w:styleId="Piedepgina">
    <w:name w:val="footer"/>
    <w:basedOn w:val="Normal"/>
    <w:link w:val="PiedepginaCar"/>
    <w:uiPriority w:val="99"/>
    <w:unhideWhenUsed/>
    <w:rsid w:val="007373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373E0"/>
  </w:style>
  <w:style w:type="character" w:customStyle="1" w:styleId="st1">
    <w:name w:val="st1"/>
    <w:basedOn w:val="Fuentedeprrafopredeter"/>
    <w:rsid w:val="0034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8653">
      <w:bodyDiv w:val="1"/>
      <w:marLeft w:val="0"/>
      <w:marRight w:val="0"/>
      <w:marTop w:val="0"/>
      <w:marBottom w:val="0"/>
      <w:divBdr>
        <w:top w:val="none" w:sz="0" w:space="0" w:color="auto"/>
        <w:left w:val="none" w:sz="0" w:space="0" w:color="auto"/>
        <w:bottom w:val="none" w:sz="0" w:space="0" w:color="auto"/>
        <w:right w:val="none" w:sz="0" w:space="0" w:color="auto"/>
      </w:divBdr>
    </w:div>
    <w:div w:id="171604103">
      <w:bodyDiv w:val="1"/>
      <w:marLeft w:val="0"/>
      <w:marRight w:val="0"/>
      <w:marTop w:val="0"/>
      <w:marBottom w:val="0"/>
      <w:divBdr>
        <w:top w:val="none" w:sz="0" w:space="0" w:color="auto"/>
        <w:left w:val="none" w:sz="0" w:space="0" w:color="auto"/>
        <w:bottom w:val="none" w:sz="0" w:space="0" w:color="auto"/>
        <w:right w:val="none" w:sz="0" w:space="0" w:color="auto"/>
      </w:divBdr>
    </w:div>
    <w:div w:id="256715491">
      <w:bodyDiv w:val="1"/>
      <w:marLeft w:val="0"/>
      <w:marRight w:val="0"/>
      <w:marTop w:val="0"/>
      <w:marBottom w:val="0"/>
      <w:divBdr>
        <w:top w:val="none" w:sz="0" w:space="0" w:color="auto"/>
        <w:left w:val="none" w:sz="0" w:space="0" w:color="auto"/>
        <w:bottom w:val="none" w:sz="0" w:space="0" w:color="auto"/>
        <w:right w:val="none" w:sz="0" w:space="0" w:color="auto"/>
      </w:divBdr>
      <w:divsChild>
        <w:div w:id="126245174">
          <w:marLeft w:val="0"/>
          <w:marRight w:val="0"/>
          <w:marTop w:val="0"/>
          <w:marBottom w:val="0"/>
          <w:divBdr>
            <w:top w:val="none" w:sz="0" w:space="0" w:color="auto"/>
            <w:left w:val="none" w:sz="0" w:space="0" w:color="auto"/>
            <w:bottom w:val="none" w:sz="0" w:space="0" w:color="auto"/>
            <w:right w:val="none" w:sz="0" w:space="0" w:color="auto"/>
          </w:divBdr>
        </w:div>
        <w:div w:id="466240315">
          <w:marLeft w:val="0"/>
          <w:marRight w:val="0"/>
          <w:marTop w:val="0"/>
          <w:marBottom w:val="0"/>
          <w:divBdr>
            <w:top w:val="none" w:sz="0" w:space="0" w:color="auto"/>
            <w:left w:val="none" w:sz="0" w:space="0" w:color="auto"/>
            <w:bottom w:val="none" w:sz="0" w:space="0" w:color="auto"/>
            <w:right w:val="none" w:sz="0" w:space="0" w:color="auto"/>
          </w:divBdr>
        </w:div>
        <w:div w:id="1551571147">
          <w:marLeft w:val="0"/>
          <w:marRight w:val="0"/>
          <w:marTop w:val="0"/>
          <w:marBottom w:val="0"/>
          <w:divBdr>
            <w:top w:val="none" w:sz="0" w:space="0" w:color="auto"/>
            <w:left w:val="none" w:sz="0" w:space="0" w:color="auto"/>
            <w:bottom w:val="none" w:sz="0" w:space="0" w:color="auto"/>
            <w:right w:val="none" w:sz="0" w:space="0" w:color="auto"/>
          </w:divBdr>
        </w:div>
      </w:divsChild>
    </w:div>
    <w:div w:id="343434772">
      <w:bodyDiv w:val="1"/>
      <w:marLeft w:val="0"/>
      <w:marRight w:val="0"/>
      <w:marTop w:val="0"/>
      <w:marBottom w:val="0"/>
      <w:divBdr>
        <w:top w:val="none" w:sz="0" w:space="0" w:color="auto"/>
        <w:left w:val="none" w:sz="0" w:space="0" w:color="auto"/>
        <w:bottom w:val="none" w:sz="0" w:space="0" w:color="auto"/>
        <w:right w:val="none" w:sz="0" w:space="0" w:color="auto"/>
      </w:divBdr>
    </w:div>
    <w:div w:id="351227838">
      <w:bodyDiv w:val="1"/>
      <w:marLeft w:val="0"/>
      <w:marRight w:val="0"/>
      <w:marTop w:val="0"/>
      <w:marBottom w:val="0"/>
      <w:divBdr>
        <w:top w:val="none" w:sz="0" w:space="0" w:color="auto"/>
        <w:left w:val="none" w:sz="0" w:space="0" w:color="auto"/>
        <w:bottom w:val="none" w:sz="0" w:space="0" w:color="auto"/>
        <w:right w:val="none" w:sz="0" w:space="0" w:color="auto"/>
      </w:divBdr>
      <w:divsChild>
        <w:div w:id="163975323">
          <w:marLeft w:val="0"/>
          <w:marRight w:val="0"/>
          <w:marTop w:val="0"/>
          <w:marBottom w:val="0"/>
          <w:divBdr>
            <w:top w:val="none" w:sz="0" w:space="0" w:color="auto"/>
            <w:left w:val="none" w:sz="0" w:space="0" w:color="auto"/>
            <w:bottom w:val="none" w:sz="0" w:space="0" w:color="auto"/>
            <w:right w:val="none" w:sz="0" w:space="0" w:color="auto"/>
          </w:divBdr>
        </w:div>
        <w:div w:id="873084005">
          <w:marLeft w:val="0"/>
          <w:marRight w:val="0"/>
          <w:marTop w:val="0"/>
          <w:marBottom w:val="0"/>
          <w:divBdr>
            <w:top w:val="none" w:sz="0" w:space="0" w:color="auto"/>
            <w:left w:val="none" w:sz="0" w:space="0" w:color="auto"/>
            <w:bottom w:val="none" w:sz="0" w:space="0" w:color="auto"/>
            <w:right w:val="none" w:sz="0" w:space="0" w:color="auto"/>
          </w:divBdr>
        </w:div>
        <w:div w:id="460928448">
          <w:marLeft w:val="0"/>
          <w:marRight w:val="0"/>
          <w:marTop w:val="0"/>
          <w:marBottom w:val="0"/>
          <w:divBdr>
            <w:top w:val="none" w:sz="0" w:space="0" w:color="auto"/>
            <w:left w:val="none" w:sz="0" w:space="0" w:color="auto"/>
            <w:bottom w:val="none" w:sz="0" w:space="0" w:color="auto"/>
            <w:right w:val="none" w:sz="0" w:space="0" w:color="auto"/>
          </w:divBdr>
        </w:div>
      </w:divsChild>
    </w:div>
    <w:div w:id="660930902">
      <w:bodyDiv w:val="1"/>
      <w:marLeft w:val="0"/>
      <w:marRight w:val="0"/>
      <w:marTop w:val="0"/>
      <w:marBottom w:val="0"/>
      <w:divBdr>
        <w:top w:val="none" w:sz="0" w:space="0" w:color="auto"/>
        <w:left w:val="none" w:sz="0" w:space="0" w:color="auto"/>
        <w:bottom w:val="none" w:sz="0" w:space="0" w:color="auto"/>
        <w:right w:val="none" w:sz="0" w:space="0" w:color="auto"/>
      </w:divBdr>
    </w:div>
    <w:div w:id="849955750">
      <w:bodyDiv w:val="1"/>
      <w:marLeft w:val="0"/>
      <w:marRight w:val="0"/>
      <w:marTop w:val="0"/>
      <w:marBottom w:val="0"/>
      <w:divBdr>
        <w:top w:val="none" w:sz="0" w:space="0" w:color="auto"/>
        <w:left w:val="none" w:sz="0" w:space="0" w:color="auto"/>
        <w:bottom w:val="none" w:sz="0" w:space="0" w:color="auto"/>
        <w:right w:val="none" w:sz="0" w:space="0" w:color="auto"/>
      </w:divBdr>
    </w:div>
    <w:div w:id="1269502513">
      <w:bodyDiv w:val="1"/>
      <w:marLeft w:val="0"/>
      <w:marRight w:val="0"/>
      <w:marTop w:val="0"/>
      <w:marBottom w:val="0"/>
      <w:divBdr>
        <w:top w:val="none" w:sz="0" w:space="0" w:color="auto"/>
        <w:left w:val="none" w:sz="0" w:space="0" w:color="auto"/>
        <w:bottom w:val="none" w:sz="0" w:space="0" w:color="auto"/>
        <w:right w:val="none" w:sz="0" w:space="0" w:color="auto"/>
      </w:divBdr>
    </w:div>
    <w:div w:id="1414737016">
      <w:bodyDiv w:val="1"/>
      <w:marLeft w:val="0"/>
      <w:marRight w:val="0"/>
      <w:marTop w:val="0"/>
      <w:marBottom w:val="0"/>
      <w:divBdr>
        <w:top w:val="none" w:sz="0" w:space="0" w:color="auto"/>
        <w:left w:val="none" w:sz="0" w:space="0" w:color="auto"/>
        <w:bottom w:val="none" w:sz="0" w:space="0" w:color="auto"/>
        <w:right w:val="none" w:sz="0" w:space="0" w:color="auto"/>
      </w:divBdr>
    </w:div>
    <w:div w:id="2129856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1254C3E9FA784DBFE7A5DED31D0FEA" ma:contentTypeVersion="0" ma:contentTypeDescription="Crear nuevo documento." ma:contentTypeScope="" ma:versionID="444c725c229bf5d47aaf6bf8e79c0dd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1440-B545-4B95-9B0F-D31EB657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AE1EFF-7FCA-4905-BF3B-A87384F59C70}">
  <ds:schemaRefs>
    <ds:schemaRef ds:uri="http://schemas.microsoft.com/sharepoint/v3/contenttype/forms"/>
  </ds:schemaRefs>
</ds:datastoreItem>
</file>

<file path=customXml/itemProps3.xml><?xml version="1.0" encoding="utf-8"?>
<ds:datastoreItem xmlns:ds="http://schemas.openxmlformats.org/officeDocument/2006/customXml" ds:itemID="{F28DE9D6-AC5F-45DA-B28F-017C2F19EE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5E6937-8ED9-410E-A21F-47B3EF6C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5987</Words>
  <Characters>32929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Anexo 1 Prácticas Internacionales_v1.docx</vt:lpstr>
    </vt:vector>
  </TitlesOfParts>
  <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Prácticas Internacionales_v1.docx</dc:title>
  <dc:creator>Tania Villa</dc:creator>
  <cp:lastModifiedBy>Tania Villa Trapala</cp:lastModifiedBy>
  <cp:revision>2</cp:revision>
  <cp:lastPrinted>2015-09-14T19:19:00Z</cp:lastPrinted>
  <dcterms:created xsi:type="dcterms:W3CDTF">2017-06-28T18:24:00Z</dcterms:created>
  <dcterms:modified xsi:type="dcterms:W3CDTF">2017-06-28T18:24:00Z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0x0101009F1254C3E9FA784DBFE7A5DED31D0FEA</vt:lpwstr>
  </property>
</Properties>
</file>