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8316A" w14:textId="77777777" w:rsidR="00D630C2" w:rsidRDefault="00107B28" w:rsidP="00400EF5">
      <w:pPr>
        <w:spacing w:after="0" w:line="240" w:lineRule="auto"/>
        <w:jc w:val="both"/>
        <w:rPr>
          <w:rFonts w:ascii="ITC Avant Garde" w:hAnsi="ITC Avant Garde"/>
          <w:b/>
        </w:rPr>
      </w:pPr>
      <w:bookmarkStart w:id="0" w:name="_GoBack"/>
      <w:bookmarkEnd w:id="0"/>
      <w:r w:rsidRPr="0095038B">
        <w:rPr>
          <w:rFonts w:ascii="ITC Avant Garde" w:hAnsi="ITC Avant Garde" w:cs="Arial"/>
          <w:b/>
          <w:bCs/>
          <w:lang w:eastAsia="es-ES"/>
        </w:rPr>
        <w:t>A</w:t>
      </w:r>
      <w:r w:rsidR="00926DB0" w:rsidRPr="0095038B">
        <w:rPr>
          <w:rFonts w:ascii="ITC Avant Garde" w:hAnsi="ITC Avant Garde" w:cs="Arial"/>
          <w:b/>
          <w:bCs/>
          <w:lang w:eastAsia="es-ES"/>
        </w:rPr>
        <w:t>CUERDO</w:t>
      </w:r>
      <w:r w:rsidR="00CC5D24" w:rsidRPr="0095038B">
        <w:rPr>
          <w:rFonts w:ascii="ITC Avant Garde" w:hAnsi="ITC Avant Garde" w:cs="Arial"/>
          <w:b/>
          <w:bCs/>
          <w:lang w:eastAsia="es-ES"/>
        </w:rPr>
        <w:t xml:space="preserve"> </w:t>
      </w:r>
      <w:r w:rsidR="00926DB0" w:rsidRPr="0095038B">
        <w:rPr>
          <w:rFonts w:ascii="ITC Avant Garde" w:hAnsi="ITC Avant Garde" w:cs="Arial"/>
          <w:b/>
          <w:bCs/>
          <w:lang w:eastAsia="es-ES"/>
        </w:rPr>
        <w:t xml:space="preserve">MEDIANTE EL CUAL EL PLENO DEL INSTITUTO FEDERAL DE TELECOMUNICACIONES </w:t>
      </w:r>
      <w:r w:rsidR="00FB6271">
        <w:rPr>
          <w:rFonts w:ascii="ITC Avant Garde" w:hAnsi="ITC Avant Garde" w:cs="Arial"/>
          <w:b/>
          <w:bCs/>
          <w:lang w:eastAsia="es-ES"/>
        </w:rPr>
        <w:t>APRUEBA Y EMITE</w:t>
      </w:r>
      <w:r w:rsidR="00FB6271" w:rsidRPr="00FB6271">
        <w:rPr>
          <w:rFonts w:ascii="ITC Avant Garde" w:hAnsi="ITC Avant Garde" w:cs="Times New Roman"/>
          <w:b/>
        </w:rPr>
        <w:t xml:space="preserve"> </w:t>
      </w:r>
      <w:r w:rsidR="00FB6271">
        <w:rPr>
          <w:rFonts w:ascii="ITC Avant Garde" w:hAnsi="ITC Avant Garde" w:cs="Times New Roman"/>
          <w:b/>
        </w:rPr>
        <w:t xml:space="preserve">LOS </w:t>
      </w:r>
      <w:r w:rsidR="00FB6271" w:rsidRPr="00CC2D2D">
        <w:rPr>
          <w:rFonts w:ascii="ITC Avant Garde" w:hAnsi="ITC Avant Garde" w:cs="Times New Roman"/>
          <w:b/>
        </w:rPr>
        <w:t>LINEAMIENTOS DE CONSULTA PÚBLICA Y ANÁLISIS DE IMPACTO REGULATORIO DEL INSTITUTO FEDERAL DE TELECOMUNICACIONES</w:t>
      </w:r>
    </w:p>
    <w:p w14:paraId="361C8514" w14:textId="77777777" w:rsidR="0095038B" w:rsidRPr="0095038B" w:rsidRDefault="0095038B" w:rsidP="00400EF5">
      <w:pPr>
        <w:spacing w:after="0" w:line="240" w:lineRule="auto"/>
        <w:jc w:val="both"/>
        <w:rPr>
          <w:rFonts w:ascii="ITC Avant Garde" w:hAnsi="ITC Avant Garde"/>
          <w:b/>
        </w:rPr>
      </w:pPr>
    </w:p>
    <w:p w14:paraId="7F2A145F" w14:textId="77777777" w:rsidR="00D630C2" w:rsidRPr="0095038B" w:rsidRDefault="007A59F7" w:rsidP="00400EF5">
      <w:pPr>
        <w:spacing w:after="0" w:line="240" w:lineRule="auto"/>
        <w:jc w:val="center"/>
        <w:rPr>
          <w:rFonts w:ascii="ITC Avant Garde" w:hAnsi="ITC Avant Garde"/>
          <w:b/>
        </w:rPr>
      </w:pPr>
      <w:r w:rsidRPr="0095038B">
        <w:rPr>
          <w:rFonts w:ascii="ITC Avant Garde" w:hAnsi="ITC Avant Garde"/>
          <w:b/>
        </w:rPr>
        <w:t>ANTECEDENTES</w:t>
      </w:r>
    </w:p>
    <w:p w14:paraId="0C5C84FD" w14:textId="77777777" w:rsidR="007A59F7" w:rsidRDefault="007A59F7" w:rsidP="00400EF5">
      <w:pPr>
        <w:spacing w:after="0" w:line="240" w:lineRule="auto"/>
        <w:jc w:val="center"/>
        <w:rPr>
          <w:rFonts w:ascii="ITC Avant Garde" w:hAnsi="ITC Avant Garde"/>
          <w:b/>
        </w:rPr>
      </w:pPr>
    </w:p>
    <w:p w14:paraId="546696C8" w14:textId="4773C0FD" w:rsidR="00846FB3" w:rsidRPr="0095038B" w:rsidRDefault="00BF0D6F" w:rsidP="00400EF5">
      <w:pPr>
        <w:numPr>
          <w:ilvl w:val="0"/>
          <w:numId w:val="22"/>
        </w:numPr>
        <w:spacing w:after="0" w:line="240" w:lineRule="auto"/>
        <w:jc w:val="both"/>
        <w:rPr>
          <w:rFonts w:ascii="ITC Avant Garde" w:hAnsi="ITC Avant Garde" w:cs="Arial"/>
          <w:bCs/>
          <w:lang w:eastAsia="es-ES"/>
        </w:rPr>
      </w:pPr>
      <w:r>
        <w:rPr>
          <w:rFonts w:ascii="ITC Avant Garde" w:hAnsi="ITC Avant Garde" w:cs="Arial"/>
          <w:bCs/>
          <w:lang w:eastAsia="es-ES"/>
        </w:rPr>
        <w:t>El</w:t>
      </w:r>
      <w:r w:rsidR="00DF0E7A" w:rsidRPr="0095038B">
        <w:rPr>
          <w:rFonts w:ascii="ITC Avant Garde" w:hAnsi="ITC Avant Garde" w:cs="Arial"/>
          <w:bCs/>
          <w:lang w:eastAsia="es-ES"/>
        </w:rPr>
        <w:t xml:space="preserve"> 11 de junio de 2013, se publicó en el Diario Oficial de la Federación (en lo sucesivo, </w:t>
      </w:r>
      <w:r w:rsidR="00FA5606">
        <w:rPr>
          <w:rFonts w:ascii="ITC Avant Garde" w:hAnsi="ITC Avant Garde" w:cs="Arial"/>
          <w:bCs/>
          <w:lang w:eastAsia="es-ES"/>
        </w:rPr>
        <w:t>el “</w:t>
      </w:r>
      <w:r w:rsidR="00DF0E7A" w:rsidRPr="0095038B">
        <w:rPr>
          <w:rFonts w:ascii="ITC Avant Garde" w:hAnsi="ITC Avant Garde" w:cs="Arial"/>
          <w:bCs/>
          <w:lang w:eastAsia="es-ES"/>
        </w:rPr>
        <w:t>DOF</w:t>
      </w:r>
      <w:r w:rsidR="00FA5606">
        <w:rPr>
          <w:rFonts w:ascii="ITC Avant Garde" w:hAnsi="ITC Avant Garde" w:cs="Arial"/>
          <w:bCs/>
          <w:lang w:eastAsia="es-ES"/>
        </w:rPr>
        <w:t>”</w:t>
      </w:r>
      <w:r w:rsidR="00DF0E7A" w:rsidRPr="0095038B">
        <w:rPr>
          <w:rFonts w:ascii="ITC Avant Garde" w:hAnsi="ITC Avant Garde" w:cs="Arial"/>
          <w:bCs/>
          <w:lang w:eastAsia="es-ES"/>
        </w:rPr>
        <w:t>) el “</w:t>
      </w:r>
      <w:r w:rsidR="00DF0E7A" w:rsidRPr="0095038B">
        <w:rPr>
          <w:rFonts w:ascii="ITC Avant Garde" w:hAnsi="ITC Avant Garde" w:cs="Arial"/>
          <w:bCs/>
          <w:i/>
          <w:lang w:eastAsia="es-ES"/>
        </w:rPr>
        <w:t>Decreto por el que se reforman y adicionan diversas disposiciones de los artículos 6</w:t>
      </w:r>
      <w:r w:rsidR="00E52E5C">
        <w:rPr>
          <w:rFonts w:ascii="ITC Avant Garde" w:hAnsi="ITC Avant Garde" w:cs="Arial"/>
          <w:bCs/>
          <w:i/>
          <w:lang w:eastAsia="es-ES"/>
        </w:rPr>
        <w:t>o.</w:t>
      </w:r>
      <w:r w:rsidR="00DF0E7A" w:rsidRPr="0095038B">
        <w:rPr>
          <w:rFonts w:ascii="ITC Avant Garde" w:hAnsi="ITC Avant Garde" w:cs="Arial"/>
          <w:bCs/>
          <w:i/>
          <w:lang w:eastAsia="es-ES"/>
        </w:rPr>
        <w:t>, 7</w:t>
      </w:r>
      <w:r w:rsidR="00E52E5C">
        <w:rPr>
          <w:rFonts w:ascii="ITC Avant Garde" w:hAnsi="ITC Avant Garde" w:cs="Arial"/>
          <w:bCs/>
          <w:i/>
          <w:lang w:eastAsia="es-ES"/>
        </w:rPr>
        <w:t>o.</w:t>
      </w:r>
      <w:r w:rsidR="00DF0E7A" w:rsidRPr="0095038B">
        <w:rPr>
          <w:rFonts w:ascii="ITC Avant Garde" w:hAnsi="ITC Avant Garde" w:cs="Arial"/>
          <w:bCs/>
          <w:i/>
          <w:lang w:eastAsia="es-ES"/>
        </w:rPr>
        <w:t>, 27, 28, 73, 78, 94 y 105 de la Constitución Política de los Estados Unidos Mexicanos, en materia de telecomunicaciones”</w:t>
      </w:r>
      <w:r w:rsidR="00DF0E7A" w:rsidRPr="0095038B">
        <w:rPr>
          <w:rFonts w:ascii="ITC Avant Garde" w:hAnsi="ITC Avant Garde" w:cs="Arial"/>
          <w:bCs/>
          <w:lang w:eastAsia="es-ES"/>
        </w:rPr>
        <w:t xml:space="preserve">, mediante el cual se creó el Instituto Federal de Telecomunicaciones (en lo sucesivo, el </w:t>
      </w:r>
      <w:r w:rsidR="00FA5606">
        <w:rPr>
          <w:rFonts w:ascii="ITC Avant Garde" w:hAnsi="ITC Avant Garde" w:cs="Arial"/>
          <w:bCs/>
          <w:lang w:eastAsia="es-ES"/>
        </w:rPr>
        <w:t>“</w:t>
      </w:r>
      <w:r w:rsidR="00DF0E7A" w:rsidRPr="0095038B">
        <w:rPr>
          <w:rFonts w:ascii="ITC Avant Garde" w:hAnsi="ITC Avant Garde" w:cs="Arial"/>
          <w:bCs/>
          <w:lang w:eastAsia="es-ES"/>
        </w:rPr>
        <w:t>Instituto</w:t>
      </w:r>
      <w:r w:rsidR="00FA5606">
        <w:rPr>
          <w:rFonts w:ascii="ITC Avant Garde" w:hAnsi="ITC Avant Garde" w:cs="Arial"/>
          <w:bCs/>
          <w:lang w:eastAsia="es-ES"/>
        </w:rPr>
        <w:t>”</w:t>
      </w:r>
      <w:r w:rsidR="00DF0E7A" w:rsidRPr="0095038B">
        <w:rPr>
          <w:rFonts w:ascii="ITC Avant Garde" w:hAnsi="ITC Avant Garde" w:cs="Arial"/>
          <w:bCs/>
          <w:lang w:eastAsia="es-ES"/>
        </w:rPr>
        <w:t>),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7EB34B52" w14:textId="77777777" w:rsidR="0095038B" w:rsidRPr="0095038B" w:rsidRDefault="0095038B" w:rsidP="00400EF5">
      <w:pPr>
        <w:spacing w:after="0" w:line="240" w:lineRule="auto"/>
        <w:jc w:val="both"/>
        <w:rPr>
          <w:rFonts w:ascii="ITC Avant Garde" w:hAnsi="ITC Avant Garde" w:cs="Arial"/>
          <w:bCs/>
          <w:lang w:eastAsia="es-ES"/>
        </w:rPr>
      </w:pPr>
    </w:p>
    <w:p w14:paraId="3F5D92BB" w14:textId="77777777" w:rsidR="003705AA" w:rsidRPr="003705AA" w:rsidRDefault="003705AA" w:rsidP="003705AA">
      <w:pPr>
        <w:pStyle w:val="Prrafodelista"/>
        <w:numPr>
          <w:ilvl w:val="0"/>
          <w:numId w:val="22"/>
        </w:numPr>
        <w:spacing w:after="0" w:line="240" w:lineRule="auto"/>
        <w:jc w:val="both"/>
        <w:rPr>
          <w:rFonts w:ascii="ITC Avant Garde" w:hAnsi="ITC Avant Garde"/>
        </w:rPr>
      </w:pPr>
      <w:r w:rsidRPr="003705AA">
        <w:rPr>
          <w:rFonts w:ascii="ITC Avant Garde" w:hAnsi="ITC Avant Garde"/>
        </w:rPr>
        <w:t xml:space="preserve">El </w:t>
      </w:r>
      <w:r>
        <w:rPr>
          <w:rFonts w:ascii="ITC Avant Garde" w:hAnsi="ITC Avant Garde"/>
        </w:rPr>
        <w:t>23</w:t>
      </w:r>
      <w:r w:rsidRPr="003705AA">
        <w:rPr>
          <w:rFonts w:ascii="ITC Avant Garde" w:hAnsi="ITC Avant Garde"/>
        </w:rPr>
        <w:t xml:space="preserve"> de mayo de </w:t>
      </w:r>
      <w:r>
        <w:rPr>
          <w:rFonts w:ascii="ITC Avant Garde" w:hAnsi="ITC Avant Garde"/>
        </w:rPr>
        <w:t>2014</w:t>
      </w:r>
      <w:r w:rsidR="007421E1">
        <w:rPr>
          <w:rFonts w:ascii="ITC Avant Garde" w:hAnsi="ITC Avant Garde"/>
        </w:rPr>
        <w:t>,</w:t>
      </w:r>
      <w:r w:rsidRPr="003705AA">
        <w:rPr>
          <w:rFonts w:ascii="ITC Avant Garde" w:hAnsi="ITC Avant Garde"/>
        </w:rPr>
        <w:t xml:space="preserve"> se publicó en el DOF el </w:t>
      </w:r>
      <w:r w:rsidRPr="003705AA">
        <w:rPr>
          <w:rFonts w:ascii="ITC Avant Garde" w:hAnsi="ITC Avant Garde"/>
          <w:i/>
        </w:rPr>
        <w:t>“Decreto por el que se expide la Ley Federal de Competencia Económica y se reforman y adicionan diversos artículos del Código Penal Federal”</w:t>
      </w:r>
      <w:r w:rsidRPr="003705AA">
        <w:rPr>
          <w:rFonts w:ascii="ITC Avant Garde" w:hAnsi="ITC Avant Garde"/>
        </w:rPr>
        <w:t xml:space="preserve">, por virtud del cual se emite la </w:t>
      </w:r>
      <w:r w:rsidRPr="00241FD3">
        <w:rPr>
          <w:rFonts w:ascii="ITC Avant Garde" w:hAnsi="ITC Avant Garde"/>
          <w:i/>
        </w:rPr>
        <w:t>Ley Federal de Competencia Económica</w:t>
      </w:r>
      <w:r w:rsidRPr="003705AA">
        <w:rPr>
          <w:rFonts w:ascii="ITC Avant Garde" w:hAnsi="ITC Avant Garde"/>
        </w:rPr>
        <w:t xml:space="preserve"> </w:t>
      </w:r>
      <w:r w:rsidR="002635B3">
        <w:rPr>
          <w:rFonts w:ascii="ITC Avant Garde" w:eastAsia="Times New Roman" w:hAnsi="ITC Avant Garde"/>
          <w:kern w:val="2"/>
          <w:lang w:eastAsia="ar-SA"/>
        </w:rPr>
        <w:t>(en lo sucesivo, la “Ley de Competencia”)</w:t>
      </w:r>
      <w:r w:rsidRPr="003705AA">
        <w:rPr>
          <w:rFonts w:ascii="ITC Avant Garde" w:hAnsi="ITC Avant Garde"/>
        </w:rPr>
        <w:t>.</w:t>
      </w:r>
    </w:p>
    <w:p w14:paraId="03D2F936" w14:textId="77777777" w:rsidR="003705AA" w:rsidRPr="003705AA" w:rsidRDefault="003705AA" w:rsidP="003705AA">
      <w:pPr>
        <w:pStyle w:val="Prrafodelista"/>
        <w:rPr>
          <w:rFonts w:ascii="ITC Avant Garde" w:hAnsi="ITC Avant Garde" w:cs="Arial"/>
          <w:bCs/>
          <w:lang w:eastAsia="es-ES"/>
        </w:rPr>
      </w:pPr>
    </w:p>
    <w:p w14:paraId="4FAF47F6" w14:textId="77777777" w:rsidR="00D630C2" w:rsidRPr="0095038B" w:rsidRDefault="00BF0D6F" w:rsidP="00400EF5">
      <w:pPr>
        <w:pStyle w:val="Prrafodelista"/>
        <w:numPr>
          <w:ilvl w:val="0"/>
          <w:numId w:val="22"/>
        </w:numPr>
        <w:spacing w:after="0" w:line="240" w:lineRule="auto"/>
        <w:jc w:val="both"/>
        <w:rPr>
          <w:rFonts w:ascii="ITC Avant Garde" w:hAnsi="ITC Avant Garde"/>
        </w:rPr>
      </w:pPr>
      <w:r>
        <w:rPr>
          <w:rFonts w:ascii="ITC Avant Garde" w:hAnsi="ITC Avant Garde" w:cs="Arial"/>
          <w:bCs/>
          <w:lang w:eastAsia="es-ES"/>
        </w:rPr>
        <w:t>El</w:t>
      </w:r>
      <w:r w:rsidR="00DF0E7A" w:rsidRPr="0095038B">
        <w:rPr>
          <w:rFonts w:ascii="ITC Avant Garde" w:hAnsi="ITC Avant Garde" w:cs="Arial"/>
          <w:bCs/>
          <w:lang w:eastAsia="es-ES"/>
        </w:rPr>
        <w:t xml:space="preserve"> 14 de julio de 2014, fue publicado en el DOF el </w:t>
      </w:r>
      <w:r w:rsidR="00DF0E7A" w:rsidRPr="0095038B">
        <w:rPr>
          <w:rFonts w:ascii="ITC Avant Garde" w:hAnsi="ITC Avant Garde" w:cs="Arial"/>
          <w:bCs/>
          <w:i/>
          <w:lang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F0E7A" w:rsidRPr="0095038B">
        <w:rPr>
          <w:rFonts w:ascii="ITC Avant Garde" w:hAnsi="ITC Avant Garde" w:cs="Arial"/>
          <w:bCs/>
          <w:lang w:eastAsia="es-ES"/>
        </w:rPr>
        <w:t xml:space="preserve">, (en lo sucesivo, </w:t>
      </w:r>
      <w:r w:rsidR="001A4980">
        <w:rPr>
          <w:rFonts w:ascii="ITC Avant Garde" w:hAnsi="ITC Avant Garde" w:cs="Arial"/>
          <w:bCs/>
          <w:lang w:eastAsia="es-ES"/>
        </w:rPr>
        <w:t>el</w:t>
      </w:r>
      <w:r w:rsidR="004D5692" w:rsidRPr="0095038B">
        <w:rPr>
          <w:rFonts w:ascii="ITC Avant Garde" w:hAnsi="ITC Avant Garde" w:cs="Arial"/>
          <w:bCs/>
          <w:lang w:eastAsia="es-ES"/>
        </w:rPr>
        <w:t xml:space="preserve"> </w:t>
      </w:r>
      <w:r w:rsidR="00FA5606">
        <w:rPr>
          <w:rFonts w:ascii="ITC Avant Garde" w:hAnsi="ITC Avant Garde" w:cs="Arial"/>
          <w:bCs/>
          <w:lang w:eastAsia="es-ES"/>
        </w:rPr>
        <w:t>“</w:t>
      </w:r>
      <w:r w:rsidR="001A4980">
        <w:rPr>
          <w:rFonts w:ascii="ITC Avant Garde" w:hAnsi="ITC Avant Garde" w:cs="Arial"/>
          <w:bCs/>
          <w:lang w:eastAsia="es-ES"/>
        </w:rPr>
        <w:t xml:space="preserve">Decreto de </w:t>
      </w:r>
      <w:r w:rsidR="004D5692" w:rsidRPr="0095038B">
        <w:rPr>
          <w:rFonts w:ascii="ITC Avant Garde" w:hAnsi="ITC Avant Garde" w:cs="Arial"/>
          <w:bCs/>
          <w:lang w:eastAsia="es-ES"/>
        </w:rPr>
        <w:t>Ley</w:t>
      </w:r>
      <w:r w:rsidR="00FA5606">
        <w:rPr>
          <w:rFonts w:ascii="ITC Avant Garde" w:hAnsi="ITC Avant Garde" w:cs="Arial"/>
          <w:bCs/>
          <w:lang w:eastAsia="es-ES"/>
        </w:rPr>
        <w:t>”</w:t>
      </w:r>
      <w:r w:rsidR="00DF0E7A" w:rsidRPr="0095038B">
        <w:rPr>
          <w:rFonts w:ascii="ITC Avant Garde" w:hAnsi="ITC Avant Garde" w:cs="Arial"/>
          <w:bCs/>
          <w:lang w:eastAsia="es-ES"/>
        </w:rPr>
        <w:t xml:space="preserve">) el cual, en términos de lo dispuesto por su Artículo Primero </w:t>
      </w:r>
      <w:r w:rsidR="000D5D0E">
        <w:rPr>
          <w:rFonts w:ascii="ITC Avant Garde" w:hAnsi="ITC Avant Garde" w:cs="Arial"/>
          <w:bCs/>
          <w:lang w:eastAsia="es-ES"/>
        </w:rPr>
        <w:t>T</w:t>
      </w:r>
      <w:r w:rsidR="00DF0E7A" w:rsidRPr="0095038B">
        <w:rPr>
          <w:rFonts w:ascii="ITC Avant Garde" w:hAnsi="ITC Avant Garde" w:cs="Arial"/>
          <w:bCs/>
          <w:lang w:eastAsia="es-ES"/>
        </w:rPr>
        <w:t xml:space="preserve">ransitorio, entró en vigor </w:t>
      </w:r>
      <w:r w:rsidR="00400EF5">
        <w:rPr>
          <w:rFonts w:ascii="ITC Avant Garde" w:hAnsi="ITC Avant Garde" w:cs="Arial"/>
          <w:bCs/>
          <w:lang w:eastAsia="es-ES"/>
        </w:rPr>
        <w:t xml:space="preserve">a los </w:t>
      </w:r>
      <w:r w:rsidR="007A74D8">
        <w:rPr>
          <w:rFonts w:ascii="ITC Avant Garde" w:hAnsi="ITC Avant Garde" w:cs="Arial"/>
          <w:bCs/>
          <w:lang w:eastAsia="es-ES"/>
        </w:rPr>
        <w:t>30 (</w:t>
      </w:r>
      <w:r w:rsidR="00DF0E7A" w:rsidRPr="0095038B">
        <w:rPr>
          <w:rFonts w:ascii="ITC Avant Garde" w:hAnsi="ITC Avant Garde" w:cs="Arial"/>
          <w:bCs/>
          <w:lang w:eastAsia="es-ES"/>
        </w:rPr>
        <w:t>treinta</w:t>
      </w:r>
      <w:r w:rsidR="007A74D8">
        <w:rPr>
          <w:rFonts w:ascii="ITC Avant Garde" w:hAnsi="ITC Avant Garde" w:cs="Arial"/>
          <w:bCs/>
          <w:lang w:eastAsia="es-ES"/>
        </w:rPr>
        <w:t>)</w:t>
      </w:r>
      <w:r w:rsidR="00DF0E7A" w:rsidRPr="0095038B">
        <w:rPr>
          <w:rFonts w:ascii="ITC Avant Garde" w:hAnsi="ITC Avant Garde" w:cs="Arial"/>
          <w:bCs/>
          <w:lang w:eastAsia="es-ES"/>
        </w:rPr>
        <w:t xml:space="preserve"> días naturales sigui</w:t>
      </w:r>
      <w:r w:rsidR="00F95C54">
        <w:rPr>
          <w:rFonts w:ascii="ITC Avant Garde" w:hAnsi="ITC Avant Garde" w:cs="Arial"/>
          <w:bCs/>
          <w:lang w:eastAsia="es-ES"/>
        </w:rPr>
        <w:t>entes a su publicación</w:t>
      </w:r>
      <w:r w:rsidR="00400EF5">
        <w:rPr>
          <w:rFonts w:ascii="ITC Avant Garde" w:hAnsi="ITC Avant Garde" w:cs="Arial"/>
          <w:bCs/>
          <w:lang w:eastAsia="es-ES"/>
        </w:rPr>
        <w:t xml:space="preserve"> en el DOF</w:t>
      </w:r>
      <w:r w:rsidR="00F95C54">
        <w:rPr>
          <w:rFonts w:ascii="ITC Avant Garde" w:hAnsi="ITC Avant Garde" w:cs="Arial"/>
          <w:bCs/>
          <w:lang w:eastAsia="es-ES"/>
        </w:rPr>
        <w:t>, esto es</w:t>
      </w:r>
      <w:r w:rsidR="00DF0E7A" w:rsidRPr="0095038B">
        <w:rPr>
          <w:rFonts w:ascii="ITC Avant Garde" w:hAnsi="ITC Avant Garde" w:cs="Arial"/>
          <w:bCs/>
          <w:lang w:eastAsia="es-ES"/>
        </w:rPr>
        <w:t xml:space="preserve"> el 13 de agosto de 2014.</w:t>
      </w:r>
    </w:p>
    <w:p w14:paraId="12687CD1" w14:textId="77777777" w:rsidR="0095038B" w:rsidRPr="0095038B" w:rsidRDefault="0095038B" w:rsidP="00400EF5">
      <w:pPr>
        <w:pStyle w:val="Prrafodelista"/>
        <w:spacing w:after="0" w:line="240" w:lineRule="auto"/>
        <w:jc w:val="both"/>
        <w:rPr>
          <w:rFonts w:ascii="ITC Avant Garde" w:hAnsi="ITC Avant Garde"/>
        </w:rPr>
      </w:pPr>
    </w:p>
    <w:p w14:paraId="4D89063D" w14:textId="55985E20" w:rsidR="003705AA" w:rsidRDefault="00BF0D6F" w:rsidP="003705AA">
      <w:pPr>
        <w:numPr>
          <w:ilvl w:val="0"/>
          <w:numId w:val="22"/>
        </w:numPr>
        <w:spacing w:after="0" w:line="240" w:lineRule="auto"/>
        <w:jc w:val="both"/>
        <w:rPr>
          <w:rFonts w:ascii="ITC Avant Garde" w:hAnsi="ITC Avant Garde" w:cs="Arial"/>
          <w:bCs/>
          <w:lang w:eastAsia="es-ES"/>
        </w:rPr>
      </w:pPr>
      <w:r>
        <w:rPr>
          <w:rFonts w:ascii="ITC Avant Garde" w:hAnsi="ITC Avant Garde"/>
          <w:lang w:val="es-ES"/>
        </w:rPr>
        <w:t>El</w:t>
      </w:r>
      <w:r w:rsidR="004D5692" w:rsidRPr="0095038B">
        <w:rPr>
          <w:rFonts w:ascii="ITC Avant Garde" w:hAnsi="ITC Avant Garde"/>
          <w:lang w:val="es-ES"/>
        </w:rPr>
        <w:t xml:space="preserve"> </w:t>
      </w:r>
      <w:r w:rsidR="00DF0E7A" w:rsidRPr="0095038B">
        <w:rPr>
          <w:rFonts w:ascii="ITC Avant Garde" w:hAnsi="ITC Avant Garde"/>
          <w:lang w:val="es-ES"/>
        </w:rPr>
        <w:t>4 de septiembre de 2014</w:t>
      </w:r>
      <w:r w:rsidR="007A74D8">
        <w:rPr>
          <w:rFonts w:ascii="ITC Avant Garde" w:hAnsi="ITC Avant Garde"/>
          <w:lang w:val="es-ES"/>
        </w:rPr>
        <w:t>,</w:t>
      </w:r>
      <w:r w:rsidR="00DF0E7A" w:rsidRPr="0095038B">
        <w:rPr>
          <w:rFonts w:ascii="ITC Avant Garde" w:hAnsi="ITC Avant Garde"/>
          <w:lang w:val="es-ES"/>
        </w:rPr>
        <w:t xml:space="preserve"> se publicó en el DOF el </w:t>
      </w:r>
      <w:r w:rsidR="00DF0E7A" w:rsidRPr="00400EF5">
        <w:rPr>
          <w:rFonts w:ascii="ITC Avant Garde" w:hAnsi="ITC Avant Garde"/>
          <w:i/>
          <w:lang w:val="es-ES"/>
        </w:rPr>
        <w:t>“</w:t>
      </w:r>
      <w:r w:rsidR="00DF0E7A" w:rsidRPr="00400EF5">
        <w:rPr>
          <w:rFonts w:ascii="ITC Avant Garde" w:hAnsi="ITC Avant Garde"/>
          <w:i/>
          <w:iCs/>
          <w:lang w:val="es-ES"/>
        </w:rPr>
        <w:t>Estatuto Orgánico del Instituto Federal de Telecomunicaciones</w:t>
      </w:r>
      <w:r w:rsidR="00DF0E7A" w:rsidRPr="00400EF5">
        <w:rPr>
          <w:rFonts w:ascii="ITC Avant Garde" w:hAnsi="ITC Avant Garde"/>
          <w:i/>
          <w:lang w:val="es-ES"/>
        </w:rPr>
        <w:t>”</w:t>
      </w:r>
      <w:r w:rsidR="00DF0E7A" w:rsidRPr="0095038B">
        <w:rPr>
          <w:rFonts w:ascii="ITC Avant Garde" w:hAnsi="ITC Avant Garde"/>
          <w:lang w:val="es-ES"/>
        </w:rPr>
        <w:t xml:space="preserve"> (en</w:t>
      </w:r>
      <w:r w:rsidR="004D5692" w:rsidRPr="0095038B">
        <w:rPr>
          <w:rFonts w:ascii="ITC Avant Garde" w:hAnsi="ITC Avant Garde"/>
          <w:lang w:val="es-ES"/>
        </w:rPr>
        <w:t xml:space="preserve"> lo sucesivo, el </w:t>
      </w:r>
      <w:r w:rsidR="00FA5606">
        <w:rPr>
          <w:rFonts w:ascii="ITC Avant Garde" w:hAnsi="ITC Avant Garde"/>
          <w:lang w:val="es-ES"/>
        </w:rPr>
        <w:t>“</w:t>
      </w:r>
      <w:r w:rsidR="004D5692" w:rsidRPr="0095038B">
        <w:rPr>
          <w:rFonts w:ascii="ITC Avant Garde" w:hAnsi="ITC Avant Garde"/>
          <w:lang w:val="es-ES"/>
        </w:rPr>
        <w:t>Estatuto</w:t>
      </w:r>
      <w:r w:rsidR="00FA5606">
        <w:rPr>
          <w:rFonts w:ascii="ITC Avant Garde" w:hAnsi="ITC Avant Garde"/>
          <w:lang w:val="es-ES"/>
        </w:rPr>
        <w:t>”</w:t>
      </w:r>
      <w:r w:rsidR="00DF0E7A" w:rsidRPr="0095038B">
        <w:rPr>
          <w:rFonts w:ascii="ITC Avant Garde" w:hAnsi="ITC Avant Garde"/>
          <w:lang w:val="es-ES"/>
        </w:rPr>
        <w:t>), mismo que entró en vigor el 26 de septiembre de 2014</w:t>
      </w:r>
      <w:r w:rsidR="007A74D8">
        <w:rPr>
          <w:rFonts w:ascii="ITC Avant Garde" w:hAnsi="ITC Avant Garde"/>
          <w:lang w:val="es-ES"/>
        </w:rPr>
        <w:t>,</w:t>
      </w:r>
      <w:r w:rsidR="007A74D8">
        <w:rPr>
          <w:rFonts w:ascii="ITC Avant Garde" w:eastAsia="Times New Roman" w:hAnsi="ITC Avant Garde" w:cs="Arial"/>
          <w:bCs/>
          <w:lang w:eastAsia="es-MX"/>
        </w:rPr>
        <w:t xml:space="preserve"> siendo</w:t>
      </w:r>
      <w:r w:rsidR="004331C5" w:rsidRPr="0095038B">
        <w:rPr>
          <w:rFonts w:ascii="ITC Avant Garde" w:eastAsia="Times New Roman" w:hAnsi="ITC Avant Garde" w:cs="Arial"/>
          <w:bCs/>
          <w:lang w:eastAsia="es-MX"/>
        </w:rPr>
        <w:t xml:space="preserve"> modificado mediante publicación en e</w:t>
      </w:r>
      <w:r w:rsidR="007A74D8">
        <w:rPr>
          <w:rFonts w:ascii="ITC Avant Garde" w:eastAsia="Times New Roman" w:hAnsi="ITC Avant Garde" w:cs="Arial"/>
          <w:bCs/>
          <w:lang w:eastAsia="es-MX"/>
        </w:rPr>
        <w:t>l mismo medio de difusión los días</w:t>
      </w:r>
      <w:r w:rsidR="004331C5" w:rsidRPr="0095038B">
        <w:rPr>
          <w:rFonts w:ascii="ITC Avant Garde" w:eastAsia="Times New Roman" w:hAnsi="ITC Avant Garde" w:cs="Arial"/>
          <w:bCs/>
          <w:lang w:eastAsia="es-MX"/>
        </w:rPr>
        <w:t xml:space="preserve"> 17 de octubre del 2014</w:t>
      </w:r>
      <w:r w:rsidR="00E52E5C">
        <w:rPr>
          <w:rFonts w:ascii="ITC Avant Garde" w:eastAsia="Times New Roman" w:hAnsi="ITC Avant Garde" w:cs="Arial"/>
          <w:bCs/>
          <w:lang w:eastAsia="es-MX"/>
        </w:rPr>
        <w:t>,</w:t>
      </w:r>
      <w:r w:rsidR="007A74D8">
        <w:rPr>
          <w:rFonts w:ascii="ITC Avant Garde" w:eastAsia="Times New Roman" w:hAnsi="ITC Avant Garde" w:cs="Arial"/>
          <w:bCs/>
          <w:lang w:eastAsia="es-MX"/>
        </w:rPr>
        <w:t xml:space="preserve"> 17 de octubre de 2016</w:t>
      </w:r>
      <w:r w:rsidR="00E52E5C">
        <w:rPr>
          <w:rFonts w:ascii="ITC Avant Garde" w:eastAsia="Times New Roman" w:hAnsi="ITC Avant Garde" w:cs="Arial"/>
          <w:bCs/>
          <w:lang w:eastAsia="es-MX"/>
        </w:rPr>
        <w:t xml:space="preserve"> y 20 de julio de 2017</w:t>
      </w:r>
      <w:r w:rsidR="00400EF5">
        <w:rPr>
          <w:rFonts w:ascii="ITC Avant Garde" w:eastAsia="Times New Roman" w:hAnsi="ITC Avant Garde" w:cs="Arial"/>
          <w:bCs/>
          <w:lang w:eastAsia="es-MX"/>
        </w:rPr>
        <w:t>,</w:t>
      </w:r>
      <w:r w:rsidR="00F95C54">
        <w:rPr>
          <w:rFonts w:ascii="ITC Avant Garde" w:eastAsia="Times New Roman" w:hAnsi="ITC Avant Garde" w:cs="Arial"/>
          <w:bCs/>
          <w:lang w:eastAsia="es-MX"/>
        </w:rPr>
        <w:t xml:space="preserve"> respectivamente</w:t>
      </w:r>
      <w:r w:rsidR="004331C5" w:rsidRPr="0095038B">
        <w:rPr>
          <w:rFonts w:ascii="ITC Avant Garde" w:eastAsia="Times New Roman" w:hAnsi="ITC Avant Garde" w:cs="Arial"/>
          <w:bCs/>
          <w:lang w:eastAsia="es-MX"/>
        </w:rPr>
        <w:t>.</w:t>
      </w:r>
    </w:p>
    <w:p w14:paraId="1CC1215D" w14:textId="77777777" w:rsidR="003705AA" w:rsidRPr="003705AA" w:rsidRDefault="003705AA" w:rsidP="003705AA">
      <w:pPr>
        <w:spacing w:after="0" w:line="240" w:lineRule="auto"/>
        <w:jc w:val="both"/>
        <w:rPr>
          <w:rFonts w:ascii="ITC Avant Garde" w:hAnsi="ITC Avant Garde" w:cs="Arial"/>
          <w:bCs/>
          <w:lang w:eastAsia="es-ES"/>
        </w:rPr>
      </w:pPr>
    </w:p>
    <w:p w14:paraId="3829A009" w14:textId="77777777" w:rsidR="003705AA" w:rsidRPr="00657339" w:rsidRDefault="003705AA" w:rsidP="003705AA">
      <w:pPr>
        <w:numPr>
          <w:ilvl w:val="0"/>
          <w:numId w:val="22"/>
        </w:numPr>
        <w:spacing w:after="0" w:line="240" w:lineRule="auto"/>
        <w:jc w:val="both"/>
        <w:rPr>
          <w:rFonts w:ascii="ITC Avant Garde" w:hAnsi="ITC Avant Garde" w:cs="Arial"/>
          <w:bCs/>
          <w:lang w:eastAsia="es-ES"/>
        </w:rPr>
      </w:pPr>
      <w:r w:rsidRPr="003705AA">
        <w:rPr>
          <w:rFonts w:ascii="ITC Avant Garde" w:hAnsi="ITC Avant Garde" w:cs="Arial"/>
          <w:bCs/>
          <w:lang w:eastAsia="es-ES"/>
        </w:rPr>
        <w:t xml:space="preserve">El </w:t>
      </w:r>
      <w:r>
        <w:rPr>
          <w:rFonts w:ascii="ITC Avant Garde" w:hAnsi="ITC Avant Garde" w:cs="Arial"/>
          <w:bCs/>
          <w:lang w:eastAsia="es-ES"/>
        </w:rPr>
        <w:t>12</w:t>
      </w:r>
      <w:r w:rsidRPr="003705AA">
        <w:rPr>
          <w:rFonts w:ascii="ITC Avant Garde" w:hAnsi="ITC Avant Garde" w:cs="Arial"/>
          <w:bCs/>
          <w:lang w:eastAsia="es-ES"/>
        </w:rPr>
        <w:t xml:space="preserve"> de enero de </w:t>
      </w:r>
      <w:r>
        <w:rPr>
          <w:rFonts w:ascii="ITC Avant Garde" w:hAnsi="ITC Avant Garde" w:cs="Arial"/>
          <w:bCs/>
          <w:lang w:eastAsia="es-ES"/>
        </w:rPr>
        <w:t>2015</w:t>
      </w:r>
      <w:r w:rsidR="007421E1">
        <w:rPr>
          <w:rFonts w:ascii="ITC Avant Garde" w:hAnsi="ITC Avant Garde" w:cs="Arial"/>
          <w:bCs/>
          <w:lang w:eastAsia="es-ES"/>
        </w:rPr>
        <w:t>,</w:t>
      </w:r>
      <w:r w:rsidRPr="003705AA">
        <w:rPr>
          <w:rFonts w:ascii="ITC Avant Garde" w:hAnsi="ITC Avant Garde" w:cs="Arial"/>
          <w:bCs/>
          <w:lang w:eastAsia="es-ES"/>
        </w:rPr>
        <w:t xml:space="preserve"> </w:t>
      </w:r>
      <w:r>
        <w:rPr>
          <w:rFonts w:ascii="ITC Avant Garde" w:hAnsi="ITC Avant Garde" w:cs="Arial"/>
          <w:bCs/>
          <w:lang w:eastAsia="es-ES"/>
        </w:rPr>
        <w:t xml:space="preserve">se publicó en el DOF el </w:t>
      </w:r>
      <w:r w:rsidRPr="003705AA">
        <w:rPr>
          <w:rFonts w:ascii="ITC Avant Garde" w:hAnsi="ITC Avant Garde" w:cs="Arial"/>
          <w:bCs/>
          <w:i/>
          <w:lang w:eastAsia="es-ES"/>
        </w:rPr>
        <w:t>“Acuerdo mediante el cual el Pleno del Instituto Federal de Telecomunicaciones expide las Disposiciones Regulatorias de la Ley Federal de Competencia Económica para los sectores de telecomunicaciones y radiodifusión”</w:t>
      </w:r>
      <w:r w:rsidRPr="003705AA">
        <w:rPr>
          <w:rFonts w:ascii="ITC Avant Garde" w:hAnsi="ITC Avant Garde" w:cs="Arial"/>
          <w:bCs/>
          <w:lang w:eastAsia="es-ES"/>
        </w:rPr>
        <w:t xml:space="preserve"> (</w:t>
      </w:r>
      <w:r>
        <w:rPr>
          <w:rFonts w:ascii="ITC Avant Garde" w:hAnsi="ITC Avant Garde" w:cs="Arial"/>
          <w:bCs/>
          <w:lang w:eastAsia="es-ES"/>
        </w:rPr>
        <w:t>en lo sucesivo, las “</w:t>
      </w:r>
      <w:r w:rsidRPr="003705AA">
        <w:rPr>
          <w:rFonts w:ascii="ITC Avant Garde" w:hAnsi="ITC Avant Garde" w:cs="Arial"/>
          <w:bCs/>
          <w:lang w:eastAsia="es-ES"/>
        </w:rPr>
        <w:t>Disposiciones Regulatorias</w:t>
      </w:r>
      <w:r>
        <w:rPr>
          <w:rFonts w:ascii="ITC Avant Garde" w:hAnsi="ITC Avant Garde" w:cs="Arial"/>
          <w:bCs/>
          <w:lang w:eastAsia="es-ES"/>
        </w:rPr>
        <w:t>”</w:t>
      </w:r>
      <w:r w:rsidRPr="003705AA">
        <w:rPr>
          <w:rFonts w:ascii="ITC Avant Garde" w:hAnsi="ITC Avant Garde" w:cs="Arial"/>
          <w:bCs/>
          <w:lang w:eastAsia="es-ES"/>
        </w:rPr>
        <w:t>).</w:t>
      </w:r>
    </w:p>
    <w:p w14:paraId="2FED5C67" w14:textId="77777777" w:rsidR="00657339" w:rsidRPr="00657339" w:rsidRDefault="00657339" w:rsidP="00400EF5">
      <w:pPr>
        <w:spacing w:after="0" w:line="240" w:lineRule="auto"/>
        <w:jc w:val="both"/>
        <w:rPr>
          <w:rFonts w:ascii="ITC Avant Garde" w:hAnsi="ITC Avant Garde" w:cs="Arial"/>
          <w:bCs/>
          <w:lang w:eastAsia="es-ES"/>
        </w:rPr>
      </w:pPr>
    </w:p>
    <w:p w14:paraId="3FFE9ACF" w14:textId="77777777" w:rsidR="00DA4E62" w:rsidRDefault="00BF0D6F" w:rsidP="00DA4E62">
      <w:pPr>
        <w:numPr>
          <w:ilvl w:val="0"/>
          <w:numId w:val="22"/>
        </w:numPr>
        <w:spacing w:after="0" w:line="240" w:lineRule="auto"/>
        <w:jc w:val="both"/>
        <w:rPr>
          <w:rFonts w:ascii="ITC Avant Garde" w:eastAsia="Times New Roman" w:hAnsi="ITC Avant Garde" w:cs="Arial"/>
          <w:bCs/>
          <w:lang w:eastAsia="es-MX"/>
        </w:rPr>
      </w:pPr>
      <w:r>
        <w:rPr>
          <w:rFonts w:ascii="ITC Avant Garde" w:eastAsia="Times New Roman" w:hAnsi="ITC Avant Garde" w:cs="Arial"/>
          <w:bCs/>
          <w:lang w:eastAsia="es-MX"/>
        </w:rPr>
        <w:t>El</w:t>
      </w:r>
      <w:r w:rsidR="00A74F80">
        <w:rPr>
          <w:rFonts w:ascii="ITC Avant Garde" w:eastAsia="Times New Roman" w:hAnsi="ITC Avant Garde" w:cs="Arial"/>
          <w:bCs/>
          <w:lang w:eastAsia="es-MX"/>
        </w:rPr>
        <w:t xml:space="preserve"> 9 de marzo de 2016, </w:t>
      </w:r>
      <w:r w:rsidR="00400EF5">
        <w:rPr>
          <w:rFonts w:ascii="ITC Avant Garde" w:eastAsia="Times New Roman" w:hAnsi="ITC Avant Garde" w:cs="Arial"/>
          <w:bCs/>
          <w:lang w:eastAsia="es-MX"/>
        </w:rPr>
        <w:t>conforme a lo señalado</w:t>
      </w:r>
      <w:r w:rsidR="00B808C4">
        <w:rPr>
          <w:rFonts w:ascii="ITC Avant Garde" w:eastAsia="Times New Roman" w:hAnsi="ITC Avant Garde" w:cs="Arial"/>
          <w:bCs/>
          <w:lang w:eastAsia="es-MX"/>
        </w:rPr>
        <w:t xml:space="preserve"> en el artículo 51 de la Ley</w:t>
      </w:r>
      <w:r w:rsidR="005C1634">
        <w:rPr>
          <w:rFonts w:ascii="ITC Avant Garde" w:eastAsia="Times New Roman" w:hAnsi="ITC Avant Garde" w:cs="Arial"/>
          <w:bCs/>
          <w:lang w:eastAsia="es-MX"/>
        </w:rPr>
        <w:t xml:space="preserve"> </w:t>
      </w:r>
      <w:r w:rsidR="005C1634" w:rsidRPr="00241FD3">
        <w:rPr>
          <w:rFonts w:ascii="ITC Avant Garde" w:eastAsia="Times New Roman" w:hAnsi="ITC Avant Garde" w:cs="Arial"/>
          <w:bCs/>
          <w:i/>
          <w:lang w:eastAsia="es-MX"/>
        </w:rPr>
        <w:t>Federal de Telecomunicaciones y Radiodifusión</w:t>
      </w:r>
      <w:r w:rsidR="005C1634">
        <w:rPr>
          <w:rFonts w:ascii="ITC Avant Garde" w:eastAsia="Times New Roman" w:hAnsi="ITC Avant Garde" w:cs="Arial"/>
          <w:bCs/>
          <w:lang w:eastAsia="es-MX"/>
        </w:rPr>
        <w:t xml:space="preserve"> (en lo sucesivo, la “Ley”)</w:t>
      </w:r>
      <w:r w:rsidR="00B808C4">
        <w:rPr>
          <w:rFonts w:ascii="ITC Avant Garde" w:eastAsia="Times New Roman" w:hAnsi="ITC Avant Garde" w:cs="Arial"/>
          <w:bCs/>
          <w:lang w:eastAsia="es-MX"/>
        </w:rPr>
        <w:t>,</w:t>
      </w:r>
      <w:r w:rsidR="00B808C4" w:rsidRPr="00657339">
        <w:rPr>
          <w:rFonts w:ascii="ITC Avant Garde" w:eastAsia="Times New Roman" w:hAnsi="ITC Avant Garde" w:cs="Arial"/>
          <w:bCs/>
          <w:lang w:eastAsia="es-MX"/>
        </w:rPr>
        <w:t xml:space="preserve"> </w:t>
      </w:r>
      <w:r w:rsidR="00A74F80">
        <w:rPr>
          <w:rFonts w:ascii="ITC Avant Garde" w:eastAsia="Times New Roman" w:hAnsi="ITC Avant Garde" w:cs="Arial"/>
          <w:bCs/>
          <w:lang w:eastAsia="es-MX"/>
        </w:rPr>
        <w:t>e</w:t>
      </w:r>
      <w:r w:rsidR="00657339" w:rsidRPr="00657339">
        <w:rPr>
          <w:rFonts w:ascii="ITC Avant Garde" w:eastAsia="Times New Roman" w:hAnsi="ITC Avant Garde" w:cs="Arial"/>
          <w:bCs/>
          <w:lang w:eastAsia="es-MX"/>
        </w:rPr>
        <w:t xml:space="preserve">l Pleno del </w:t>
      </w:r>
      <w:r w:rsidR="00657339" w:rsidRPr="00657339">
        <w:rPr>
          <w:rFonts w:ascii="ITC Avant Garde" w:eastAsia="Times New Roman" w:hAnsi="ITC Avant Garde" w:cs="Arial"/>
          <w:bCs/>
          <w:lang w:eastAsia="es-MX"/>
        </w:rPr>
        <w:lastRenderedPageBreak/>
        <w:t xml:space="preserve">Instituto mediante </w:t>
      </w:r>
      <w:r w:rsidR="00E2462E">
        <w:rPr>
          <w:rFonts w:ascii="ITC Avant Garde" w:eastAsia="Times New Roman" w:hAnsi="ITC Avant Garde" w:cs="Arial"/>
          <w:bCs/>
          <w:lang w:eastAsia="es-MX"/>
        </w:rPr>
        <w:t>a</w:t>
      </w:r>
      <w:r w:rsidR="00657339" w:rsidRPr="00657339">
        <w:rPr>
          <w:rFonts w:ascii="ITC Avant Garde" w:eastAsia="Times New Roman" w:hAnsi="ITC Avant Garde" w:cs="Arial"/>
          <w:bCs/>
          <w:lang w:eastAsia="es-MX"/>
        </w:rPr>
        <w:t xml:space="preserve">cuerdo </w:t>
      </w:r>
      <w:r w:rsidR="00657339" w:rsidRPr="00B9231B">
        <w:rPr>
          <w:rFonts w:ascii="ITC Avant Garde" w:eastAsia="Times New Roman" w:hAnsi="ITC Avant Garde" w:cs="Arial"/>
          <w:bCs/>
          <w:lang w:eastAsia="es-MX"/>
        </w:rPr>
        <w:t>P</w:t>
      </w:r>
      <w:r w:rsidR="00D100D3" w:rsidRPr="00B9231B">
        <w:rPr>
          <w:rFonts w:ascii="ITC Avant Garde" w:eastAsia="Times New Roman" w:hAnsi="ITC Avant Garde" w:cs="Arial"/>
          <w:bCs/>
          <w:lang w:eastAsia="es-MX"/>
        </w:rPr>
        <w:t>/IFT/090316/74</w:t>
      </w:r>
      <w:r w:rsidR="00D100D3">
        <w:rPr>
          <w:rFonts w:ascii="ITC Avant Garde" w:eastAsia="Times New Roman" w:hAnsi="ITC Avant Garde" w:cs="Arial"/>
          <w:bCs/>
          <w:lang w:eastAsia="es-MX"/>
        </w:rPr>
        <w:t>, emitido en su V</w:t>
      </w:r>
      <w:r w:rsidR="00A74F80">
        <w:rPr>
          <w:rFonts w:ascii="ITC Avant Garde" w:eastAsia="Times New Roman" w:hAnsi="ITC Avant Garde" w:cs="Arial"/>
          <w:bCs/>
          <w:lang w:eastAsia="es-MX"/>
        </w:rPr>
        <w:t>II Sesión Ordinaria</w:t>
      </w:r>
      <w:r w:rsidR="00657339" w:rsidRPr="00657339">
        <w:rPr>
          <w:rFonts w:ascii="ITC Avant Garde" w:eastAsia="Times New Roman" w:hAnsi="ITC Avant Garde" w:cs="Arial"/>
          <w:bCs/>
          <w:lang w:eastAsia="es-MX"/>
        </w:rPr>
        <w:t xml:space="preserve">, aprobó someter a consulta pública el </w:t>
      </w:r>
      <w:r w:rsidR="00657339" w:rsidRPr="00400EF5">
        <w:rPr>
          <w:rFonts w:ascii="ITC Avant Garde" w:eastAsia="Times New Roman" w:hAnsi="ITC Avant Garde" w:cs="Arial"/>
          <w:bCs/>
          <w:i/>
          <w:lang w:eastAsia="es-MX"/>
        </w:rPr>
        <w:t>“</w:t>
      </w:r>
      <w:r w:rsidR="007A74D8" w:rsidRPr="00400EF5">
        <w:rPr>
          <w:rFonts w:ascii="ITC Avant Garde" w:eastAsia="Times New Roman" w:hAnsi="ITC Avant Garde" w:cs="Arial"/>
          <w:bCs/>
          <w:i/>
          <w:lang w:eastAsia="es-MX"/>
        </w:rPr>
        <w:t xml:space="preserve">Anteproyecto de Lineamientos de </w:t>
      </w:r>
      <w:r w:rsidR="00DD4A0F">
        <w:rPr>
          <w:rFonts w:ascii="ITC Avant Garde" w:eastAsia="Times New Roman" w:hAnsi="ITC Avant Garde" w:cs="Arial"/>
          <w:bCs/>
          <w:i/>
          <w:lang w:eastAsia="es-MX"/>
        </w:rPr>
        <w:t>C</w:t>
      </w:r>
      <w:r w:rsidR="007A74D8" w:rsidRPr="00400EF5">
        <w:rPr>
          <w:rFonts w:ascii="ITC Avant Garde" w:eastAsia="Times New Roman" w:hAnsi="ITC Avant Garde" w:cs="Arial"/>
          <w:bCs/>
          <w:i/>
          <w:lang w:eastAsia="es-MX"/>
        </w:rPr>
        <w:t xml:space="preserve">onsulta </w:t>
      </w:r>
      <w:r w:rsidR="00DD4A0F">
        <w:rPr>
          <w:rFonts w:ascii="ITC Avant Garde" w:eastAsia="Times New Roman" w:hAnsi="ITC Avant Garde" w:cs="Arial"/>
          <w:bCs/>
          <w:i/>
          <w:lang w:eastAsia="es-MX"/>
        </w:rPr>
        <w:t>P</w:t>
      </w:r>
      <w:r w:rsidR="007A74D8" w:rsidRPr="00400EF5">
        <w:rPr>
          <w:rFonts w:ascii="ITC Avant Garde" w:eastAsia="Times New Roman" w:hAnsi="ITC Avant Garde" w:cs="Arial"/>
          <w:bCs/>
          <w:i/>
          <w:lang w:eastAsia="es-MX"/>
        </w:rPr>
        <w:t xml:space="preserve">ública y </w:t>
      </w:r>
      <w:r w:rsidR="00DD4A0F">
        <w:rPr>
          <w:rFonts w:ascii="ITC Avant Garde" w:eastAsia="Times New Roman" w:hAnsi="ITC Avant Garde" w:cs="Arial"/>
          <w:bCs/>
          <w:i/>
          <w:lang w:eastAsia="es-MX"/>
        </w:rPr>
        <w:t>A</w:t>
      </w:r>
      <w:r w:rsidR="007A74D8" w:rsidRPr="00400EF5">
        <w:rPr>
          <w:rFonts w:ascii="ITC Avant Garde" w:eastAsia="Times New Roman" w:hAnsi="ITC Avant Garde" w:cs="Arial"/>
          <w:bCs/>
          <w:i/>
          <w:lang w:eastAsia="es-MX"/>
        </w:rPr>
        <w:t xml:space="preserve">nálisis de </w:t>
      </w:r>
      <w:r w:rsidR="00DD4A0F">
        <w:rPr>
          <w:rFonts w:ascii="ITC Avant Garde" w:eastAsia="Times New Roman" w:hAnsi="ITC Avant Garde" w:cs="Arial"/>
          <w:bCs/>
          <w:i/>
          <w:lang w:eastAsia="es-MX"/>
        </w:rPr>
        <w:t>I</w:t>
      </w:r>
      <w:r w:rsidR="007A74D8" w:rsidRPr="00400EF5">
        <w:rPr>
          <w:rFonts w:ascii="ITC Avant Garde" w:eastAsia="Times New Roman" w:hAnsi="ITC Avant Garde" w:cs="Arial"/>
          <w:bCs/>
          <w:i/>
          <w:lang w:eastAsia="es-MX"/>
        </w:rPr>
        <w:t xml:space="preserve">mpacto </w:t>
      </w:r>
      <w:r w:rsidR="00DD4A0F">
        <w:rPr>
          <w:rFonts w:ascii="ITC Avant Garde" w:eastAsia="Times New Roman" w:hAnsi="ITC Avant Garde" w:cs="Arial"/>
          <w:bCs/>
          <w:i/>
          <w:lang w:eastAsia="es-MX"/>
        </w:rPr>
        <w:t>R</w:t>
      </w:r>
      <w:r w:rsidR="007A74D8" w:rsidRPr="00400EF5">
        <w:rPr>
          <w:rFonts w:ascii="ITC Avant Garde" w:eastAsia="Times New Roman" w:hAnsi="ITC Avant Garde" w:cs="Arial"/>
          <w:bCs/>
          <w:i/>
          <w:lang w:eastAsia="es-MX"/>
        </w:rPr>
        <w:t>egulatorio del Instituto Federal de Telecomunicaciones</w:t>
      </w:r>
      <w:r w:rsidR="00B808C4" w:rsidRPr="00400EF5">
        <w:rPr>
          <w:rFonts w:ascii="ITC Avant Garde" w:eastAsia="Times New Roman" w:hAnsi="ITC Avant Garde" w:cs="Arial"/>
          <w:bCs/>
          <w:i/>
          <w:lang w:eastAsia="es-MX"/>
        </w:rPr>
        <w:t>”</w:t>
      </w:r>
      <w:r w:rsidR="00FA5606">
        <w:rPr>
          <w:rFonts w:ascii="ITC Avant Garde" w:eastAsia="Times New Roman" w:hAnsi="ITC Avant Garde" w:cs="Arial"/>
          <w:bCs/>
          <w:lang w:eastAsia="es-MX"/>
        </w:rPr>
        <w:t xml:space="preserve"> (en lo sucesivo, el “Anteproyecto”)</w:t>
      </w:r>
      <w:r w:rsidR="00B808C4">
        <w:rPr>
          <w:rFonts w:ascii="ITC Avant Garde" w:eastAsia="Times New Roman" w:hAnsi="ITC Avant Garde" w:cs="Arial"/>
          <w:bCs/>
          <w:lang w:eastAsia="es-MX"/>
        </w:rPr>
        <w:t xml:space="preserve">, </w:t>
      </w:r>
      <w:r w:rsidR="00EC4DCA" w:rsidRPr="00EC4DCA">
        <w:rPr>
          <w:rFonts w:ascii="ITC Avant Garde" w:eastAsia="Times New Roman" w:hAnsi="ITC Avant Garde" w:cs="Arial"/>
          <w:bCs/>
          <w:lang w:eastAsia="es-MX"/>
        </w:rPr>
        <w:t xml:space="preserve">instruyéndose a la </w:t>
      </w:r>
      <w:r w:rsidR="00EC4DCA">
        <w:rPr>
          <w:rFonts w:ascii="ITC Avant Garde" w:eastAsia="Times New Roman" w:hAnsi="ITC Avant Garde" w:cs="Arial"/>
          <w:bCs/>
          <w:lang w:eastAsia="es-MX"/>
        </w:rPr>
        <w:t>Coordinación General de Mejora Regulatoria (en lo sucesivo, la “Coordinación General”)</w:t>
      </w:r>
      <w:r w:rsidR="00EC4DCA" w:rsidRPr="00EC4DCA">
        <w:rPr>
          <w:rFonts w:ascii="ITC Avant Garde" w:eastAsia="Times New Roman" w:hAnsi="ITC Avant Garde" w:cs="Arial"/>
          <w:bCs/>
          <w:lang w:eastAsia="es-MX"/>
        </w:rPr>
        <w:t>, en su calidad de área proponente, ejecutar la consulta pública, incluyendo la recepción de los comentarios y opiniones que fueran vertid</w:t>
      </w:r>
      <w:r w:rsidR="00081F84">
        <w:rPr>
          <w:rFonts w:ascii="ITC Avant Garde" w:eastAsia="Times New Roman" w:hAnsi="ITC Avant Garde" w:cs="Arial"/>
          <w:bCs/>
          <w:lang w:eastAsia="es-MX"/>
        </w:rPr>
        <w:t>o</w:t>
      </w:r>
      <w:r w:rsidR="00EC4DCA" w:rsidRPr="00EC4DCA">
        <w:rPr>
          <w:rFonts w:ascii="ITC Avant Garde" w:eastAsia="Times New Roman" w:hAnsi="ITC Avant Garde" w:cs="Arial"/>
          <w:bCs/>
          <w:lang w:eastAsia="es-MX"/>
        </w:rPr>
        <w:t xml:space="preserve">s con motivo de la misma. </w:t>
      </w:r>
    </w:p>
    <w:p w14:paraId="2585C44D" w14:textId="77777777" w:rsidR="00DA4E62" w:rsidRDefault="00DA4E62" w:rsidP="00225359">
      <w:pPr>
        <w:pStyle w:val="Prrafodelista"/>
        <w:rPr>
          <w:rFonts w:ascii="ITC Avant Garde" w:eastAsia="Times New Roman" w:hAnsi="ITC Avant Garde" w:cs="Arial"/>
          <w:bCs/>
          <w:lang w:eastAsia="es-MX"/>
        </w:rPr>
      </w:pPr>
    </w:p>
    <w:p w14:paraId="17C8944B" w14:textId="77777777" w:rsidR="00DA4E62" w:rsidRDefault="00DA4E62" w:rsidP="00DA4E62">
      <w:pPr>
        <w:pStyle w:val="Prrafodelista"/>
        <w:numPr>
          <w:ilvl w:val="0"/>
          <w:numId w:val="22"/>
        </w:numPr>
        <w:spacing w:after="0" w:line="240" w:lineRule="auto"/>
        <w:jc w:val="both"/>
        <w:rPr>
          <w:rFonts w:ascii="ITC Avant Garde" w:hAnsi="ITC Avant Garde"/>
        </w:rPr>
      </w:pPr>
      <w:r>
        <w:rPr>
          <w:rFonts w:ascii="ITC Avant Garde" w:eastAsia="Times New Roman" w:hAnsi="ITC Avant Garde" w:cs="Arial"/>
          <w:bCs/>
          <w:lang w:eastAsia="es-MX"/>
        </w:rPr>
        <w:t>En virtud de lo anterior, y como parte de la consulta pública del Anteproyecto, de acuerdo a lo señalado por el</w:t>
      </w:r>
      <w:r w:rsidRPr="00E10B48">
        <w:rPr>
          <w:rFonts w:ascii="ITC Avant Garde" w:eastAsia="Times New Roman" w:hAnsi="ITC Avant Garde" w:cs="Arial"/>
          <w:bCs/>
          <w:lang w:eastAsia="es-MX"/>
        </w:rPr>
        <w:t xml:space="preserve"> artículo 51</w:t>
      </w:r>
      <w:r>
        <w:rPr>
          <w:rFonts w:ascii="ITC Avant Garde" w:eastAsia="Times New Roman" w:hAnsi="ITC Avant Garde" w:cs="Arial"/>
          <w:bCs/>
          <w:lang w:eastAsia="es-MX"/>
        </w:rPr>
        <w:t>, segundo párrafo</w:t>
      </w:r>
      <w:r w:rsidRPr="00E10B48">
        <w:rPr>
          <w:rFonts w:ascii="ITC Avant Garde" w:eastAsia="Times New Roman" w:hAnsi="ITC Avant Garde" w:cs="Arial"/>
          <w:bCs/>
          <w:lang w:eastAsia="es-MX"/>
        </w:rPr>
        <w:t xml:space="preserve"> de la Ley, la Coordinación General </w:t>
      </w:r>
      <w:r>
        <w:rPr>
          <w:rFonts w:ascii="ITC Avant Garde" w:eastAsia="Times New Roman" w:hAnsi="ITC Avant Garde" w:cs="Arial"/>
          <w:bCs/>
          <w:lang w:eastAsia="es-MX"/>
        </w:rPr>
        <w:t>elaboró e hizo público, a través del portal de Internet del Instituto,</w:t>
      </w:r>
      <w:r w:rsidR="00EC5917">
        <w:rPr>
          <w:rFonts w:ascii="ITC Avant Garde" w:eastAsia="Times New Roman" w:hAnsi="ITC Avant Garde" w:cs="Arial"/>
          <w:bCs/>
          <w:lang w:eastAsia="es-MX"/>
        </w:rPr>
        <w:t xml:space="preserve"> </w:t>
      </w:r>
      <w:r w:rsidR="00EC5917" w:rsidRPr="002639DB">
        <w:rPr>
          <w:rFonts w:ascii="ITC Avant Garde" w:eastAsia="Times New Roman" w:hAnsi="ITC Avant Garde" w:cs="Arial"/>
          <w:bCs/>
          <w:lang w:eastAsia="es-MX"/>
        </w:rPr>
        <w:t>en el espacio destinado para los procesos de consultas públicas</w:t>
      </w:r>
      <w:r w:rsidR="00EC5917">
        <w:rPr>
          <w:rFonts w:ascii="ITC Avant Garde" w:eastAsia="Times New Roman" w:hAnsi="ITC Avant Garde" w:cs="Arial"/>
          <w:bCs/>
          <w:lang w:eastAsia="es-MX"/>
        </w:rPr>
        <w:t>,</w:t>
      </w:r>
      <w:r w:rsidRPr="00E10B48">
        <w:rPr>
          <w:rFonts w:ascii="ITC Avant Garde" w:eastAsia="Times New Roman" w:hAnsi="ITC Avant Garde" w:cs="Arial"/>
          <w:bCs/>
          <w:lang w:eastAsia="es-MX"/>
        </w:rPr>
        <w:t xml:space="preserve"> el </w:t>
      </w:r>
      <w:r>
        <w:rPr>
          <w:rFonts w:ascii="ITC Avant Garde" w:eastAsia="Times New Roman" w:hAnsi="ITC Avant Garde" w:cs="Arial"/>
          <w:bCs/>
          <w:lang w:eastAsia="es-MX"/>
        </w:rPr>
        <w:t>A</w:t>
      </w:r>
      <w:r w:rsidR="003842D0">
        <w:rPr>
          <w:rFonts w:ascii="ITC Avant Garde" w:eastAsia="Times New Roman" w:hAnsi="ITC Avant Garde" w:cs="Arial"/>
          <w:bCs/>
          <w:lang w:eastAsia="es-MX"/>
        </w:rPr>
        <w:t>nálisis de Impacto Regulatorio (en lo sucesivo, el “A</w:t>
      </w:r>
      <w:r>
        <w:rPr>
          <w:rFonts w:ascii="ITC Avant Garde" w:eastAsia="Times New Roman" w:hAnsi="ITC Avant Garde" w:cs="Arial"/>
          <w:bCs/>
          <w:lang w:eastAsia="es-MX"/>
        </w:rPr>
        <w:t>IR</w:t>
      </w:r>
      <w:r w:rsidR="004D5502">
        <w:rPr>
          <w:rFonts w:ascii="ITC Avant Garde" w:eastAsia="Times New Roman" w:hAnsi="ITC Avant Garde" w:cs="Arial"/>
          <w:bCs/>
          <w:lang w:eastAsia="es-MX"/>
        </w:rPr>
        <w:t>”</w:t>
      </w:r>
      <w:r w:rsidR="003842D0">
        <w:rPr>
          <w:rFonts w:ascii="ITC Avant Garde" w:eastAsia="Times New Roman" w:hAnsi="ITC Avant Garde" w:cs="Arial"/>
          <w:bCs/>
          <w:lang w:eastAsia="es-MX"/>
        </w:rPr>
        <w:t>)</w:t>
      </w:r>
      <w:r>
        <w:rPr>
          <w:rFonts w:ascii="ITC Avant Garde" w:eastAsia="Times New Roman" w:hAnsi="ITC Avant Garde" w:cs="Arial"/>
          <w:bCs/>
          <w:lang w:eastAsia="es-MX"/>
        </w:rPr>
        <w:t xml:space="preserve"> correspondiente,</w:t>
      </w:r>
      <w:r w:rsidRPr="00E10B48">
        <w:rPr>
          <w:rFonts w:ascii="ITC Avant Garde" w:eastAsia="Times New Roman" w:hAnsi="ITC Avant Garde" w:cs="Arial"/>
          <w:bCs/>
          <w:lang w:eastAsia="es-MX"/>
        </w:rPr>
        <w:t xml:space="preserve"> </w:t>
      </w:r>
      <w:r>
        <w:rPr>
          <w:rFonts w:ascii="ITC Avant Garde" w:eastAsia="Times New Roman" w:hAnsi="ITC Avant Garde" w:cs="Arial"/>
          <w:bCs/>
          <w:lang w:eastAsia="es-MX"/>
        </w:rPr>
        <w:t xml:space="preserve">logrando </w:t>
      </w:r>
      <w:r w:rsidRPr="00E10B48">
        <w:rPr>
          <w:rFonts w:ascii="ITC Avant Garde" w:eastAsia="Times New Roman" w:hAnsi="ITC Avant Garde" w:cs="Arial"/>
          <w:bCs/>
          <w:lang w:eastAsia="es-MX"/>
        </w:rPr>
        <w:t xml:space="preserve">con ello </w:t>
      </w:r>
      <w:r>
        <w:rPr>
          <w:rFonts w:ascii="ITC Avant Garde" w:eastAsia="Times New Roman" w:hAnsi="ITC Avant Garde" w:cs="Arial"/>
          <w:bCs/>
          <w:lang w:eastAsia="es-MX"/>
        </w:rPr>
        <w:t xml:space="preserve">que </w:t>
      </w:r>
      <w:r w:rsidRPr="002639DB">
        <w:rPr>
          <w:rFonts w:ascii="ITC Avant Garde" w:hAnsi="ITC Avant Garde"/>
        </w:rPr>
        <w:t>el quehacer regula</w:t>
      </w:r>
      <w:r>
        <w:rPr>
          <w:rFonts w:ascii="ITC Avant Garde" w:hAnsi="ITC Avant Garde"/>
        </w:rPr>
        <w:t>torio del Instituto se realice</w:t>
      </w:r>
      <w:r w:rsidRPr="002639DB">
        <w:rPr>
          <w:rFonts w:ascii="ITC Avant Garde" w:hAnsi="ITC Avant Garde"/>
        </w:rPr>
        <w:t xml:space="preserve"> en concordancia con los mayores estándares de</w:t>
      </w:r>
      <w:r>
        <w:rPr>
          <w:rFonts w:ascii="ITC Avant Garde" w:hAnsi="ITC Avant Garde"/>
        </w:rPr>
        <w:t xml:space="preserve"> transparencia, participación ciudadana y beneficio social.</w:t>
      </w:r>
    </w:p>
    <w:p w14:paraId="04EDBE51" w14:textId="77777777" w:rsidR="009F46EE" w:rsidRPr="002639DB" w:rsidRDefault="009F46EE" w:rsidP="00DA4E62">
      <w:pPr>
        <w:pStyle w:val="Prrafodelista"/>
        <w:spacing w:after="0" w:line="240" w:lineRule="auto"/>
        <w:jc w:val="both"/>
        <w:rPr>
          <w:rFonts w:ascii="ITC Avant Garde" w:hAnsi="ITC Avant Garde"/>
        </w:rPr>
      </w:pPr>
    </w:p>
    <w:p w14:paraId="2FAADE54" w14:textId="77777777" w:rsidR="00E2462E" w:rsidRPr="00184EA3" w:rsidRDefault="00EC4DCA" w:rsidP="00923C29">
      <w:pPr>
        <w:numPr>
          <w:ilvl w:val="0"/>
          <w:numId w:val="22"/>
        </w:numPr>
        <w:spacing w:after="0" w:line="240" w:lineRule="auto"/>
        <w:jc w:val="both"/>
        <w:rPr>
          <w:rFonts w:ascii="ITC Avant Garde" w:hAnsi="ITC Avant Garde"/>
          <w:kern w:val="2"/>
          <w:lang w:val="es-ES" w:eastAsia="ar-SA"/>
        </w:rPr>
      </w:pPr>
      <w:r w:rsidRPr="009F46EE">
        <w:rPr>
          <w:rFonts w:ascii="ITC Avant Garde" w:eastAsia="Times New Roman" w:hAnsi="ITC Avant Garde" w:cs="Arial"/>
          <w:bCs/>
          <w:lang w:eastAsia="es-MX"/>
        </w:rPr>
        <w:t xml:space="preserve">La consulta pública </w:t>
      </w:r>
      <w:r w:rsidR="002635B3" w:rsidRPr="009F46EE">
        <w:rPr>
          <w:rFonts w:ascii="ITC Avant Garde" w:eastAsia="Times New Roman" w:hAnsi="ITC Avant Garde" w:cs="Arial"/>
          <w:bCs/>
          <w:lang w:eastAsia="es-MX"/>
        </w:rPr>
        <w:t xml:space="preserve">de mérito </w:t>
      </w:r>
      <w:r w:rsidRPr="009F46EE">
        <w:rPr>
          <w:rFonts w:ascii="ITC Avant Garde" w:eastAsia="Times New Roman" w:hAnsi="ITC Avant Garde" w:cs="Arial"/>
          <w:bCs/>
          <w:lang w:eastAsia="es-MX"/>
        </w:rPr>
        <w:t xml:space="preserve">se llevó a cabo del 14 de marzo al 29 de abril de 2016 (30 días hábiles), periodo en </w:t>
      </w:r>
      <w:r w:rsidR="00412A7F" w:rsidRPr="009F46EE">
        <w:rPr>
          <w:rFonts w:ascii="ITC Avant Garde" w:eastAsia="Times New Roman" w:hAnsi="ITC Avant Garde" w:cs="Arial"/>
          <w:bCs/>
          <w:lang w:eastAsia="es-MX"/>
        </w:rPr>
        <w:t>el que</w:t>
      </w:r>
      <w:r w:rsidRPr="009F46EE">
        <w:rPr>
          <w:rFonts w:ascii="ITC Avant Garde" w:eastAsia="Times New Roman" w:hAnsi="ITC Avant Garde" w:cs="Arial"/>
          <w:bCs/>
          <w:lang w:eastAsia="es-MX"/>
        </w:rPr>
        <w:t xml:space="preserve"> se </w:t>
      </w:r>
      <w:r w:rsidR="000E6D77">
        <w:rPr>
          <w:rFonts w:ascii="ITC Avant Garde" w:eastAsia="Times New Roman" w:hAnsi="ITC Avant Garde" w:cs="Arial"/>
          <w:bCs/>
          <w:lang w:eastAsia="es-MX"/>
        </w:rPr>
        <w:t xml:space="preserve">contó con </w:t>
      </w:r>
      <w:r w:rsidRPr="009F46EE">
        <w:rPr>
          <w:rFonts w:ascii="ITC Avant Garde" w:eastAsia="Times New Roman" w:hAnsi="ITC Avant Garde" w:cs="Arial"/>
          <w:bCs/>
          <w:lang w:eastAsia="es-MX"/>
        </w:rPr>
        <w:t xml:space="preserve"> la participación de </w:t>
      </w:r>
      <w:r w:rsidR="00285029">
        <w:rPr>
          <w:rFonts w:ascii="ITC Avant Garde" w:eastAsia="Times New Roman" w:hAnsi="ITC Avant Garde" w:cs="Arial"/>
          <w:bCs/>
          <w:lang w:eastAsia="es-MX"/>
        </w:rPr>
        <w:t>18 interesados</w:t>
      </w:r>
      <w:r w:rsidRPr="009F46EE">
        <w:rPr>
          <w:rFonts w:ascii="ITC Avant Garde" w:eastAsia="Times New Roman" w:hAnsi="ITC Avant Garde" w:cs="Arial"/>
          <w:bCs/>
          <w:lang w:eastAsia="es-MX"/>
        </w:rPr>
        <w:t xml:space="preserve">, mismos que expusieron sus comentarios al Anteproyecto </w:t>
      </w:r>
      <w:r w:rsidR="00285029">
        <w:rPr>
          <w:rFonts w:ascii="ITC Avant Garde" w:eastAsia="Times New Roman" w:hAnsi="ITC Avant Garde" w:cs="Arial"/>
          <w:bCs/>
          <w:lang w:eastAsia="es-MX"/>
        </w:rPr>
        <w:t>los cuales</w:t>
      </w:r>
      <w:r w:rsidR="00412A7F" w:rsidRPr="005013C7">
        <w:rPr>
          <w:rFonts w:ascii="ITC Avant Garde" w:eastAsia="Times New Roman" w:hAnsi="ITC Avant Garde" w:cs="Arial"/>
          <w:bCs/>
          <w:lang w:eastAsia="es-MX"/>
        </w:rPr>
        <w:t xml:space="preserve"> fueron </w:t>
      </w:r>
      <w:r w:rsidRPr="005013C7">
        <w:rPr>
          <w:rFonts w:ascii="ITC Avant Garde" w:eastAsia="Times New Roman" w:hAnsi="ITC Avant Garde" w:cs="Arial"/>
          <w:bCs/>
          <w:lang w:eastAsia="es-MX"/>
        </w:rPr>
        <w:t>recibidos por el Instituto</w:t>
      </w:r>
      <w:r w:rsidR="00412A7F" w:rsidRPr="005013C7">
        <w:rPr>
          <w:rFonts w:ascii="ITC Avant Garde" w:eastAsia="Times New Roman" w:hAnsi="ITC Avant Garde" w:cs="Arial"/>
          <w:bCs/>
          <w:lang w:eastAsia="es-MX"/>
        </w:rPr>
        <w:t xml:space="preserve"> </w:t>
      </w:r>
      <w:r w:rsidR="00412A7F" w:rsidRPr="009F46EE">
        <w:rPr>
          <w:rFonts w:ascii="ITC Avant Garde" w:eastAsia="Times New Roman" w:hAnsi="ITC Avant Garde" w:cs="Arial"/>
          <w:bCs/>
          <w:lang w:eastAsia="es-MX"/>
        </w:rPr>
        <w:t xml:space="preserve">y publicados en su portal de </w:t>
      </w:r>
      <w:r w:rsidR="00B757D8">
        <w:rPr>
          <w:rFonts w:ascii="ITC Avant Garde" w:eastAsia="Times New Roman" w:hAnsi="ITC Avant Garde" w:cs="Arial"/>
          <w:bCs/>
          <w:lang w:eastAsia="es-MX"/>
        </w:rPr>
        <w:t>I</w:t>
      </w:r>
      <w:r w:rsidR="00412A7F" w:rsidRPr="009F46EE">
        <w:rPr>
          <w:rFonts w:ascii="ITC Avant Garde" w:eastAsia="Times New Roman" w:hAnsi="ITC Avant Garde" w:cs="Arial"/>
          <w:bCs/>
          <w:lang w:eastAsia="es-MX"/>
        </w:rPr>
        <w:t>nternet</w:t>
      </w:r>
      <w:r w:rsidR="002635B3" w:rsidRPr="009F46EE">
        <w:rPr>
          <w:rFonts w:ascii="ITC Avant Garde" w:eastAsia="Times New Roman" w:hAnsi="ITC Avant Garde" w:cs="Arial"/>
          <w:bCs/>
          <w:lang w:eastAsia="es-MX"/>
        </w:rPr>
        <w:t>,</w:t>
      </w:r>
      <w:r w:rsidR="00923C29">
        <w:rPr>
          <w:rFonts w:ascii="ITC Avant Garde" w:eastAsia="Times New Roman" w:hAnsi="ITC Avant Garde" w:cs="Arial"/>
          <w:bCs/>
          <w:lang w:eastAsia="es-MX"/>
        </w:rPr>
        <w:t xml:space="preserve"> </w:t>
      </w:r>
      <w:r w:rsidR="00923C29" w:rsidRPr="00923C29">
        <w:rPr>
          <w:rFonts w:ascii="ITC Avant Garde" w:eastAsia="Times New Roman" w:hAnsi="ITC Avant Garde" w:cs="Arial"/>
          <w:bCs/>
          <w:lang w:eastAsia="es-MX"/>
        </w:rPr>
        <w:t xml:space="preserve">junto con la versión estenográfica del </w:t>
      </w:r>
      <w:r w:rsidR="000B5DAE">
        <w:rPr>
          <w:rFonts w:ascii="ITC Avant Garde" w:eastAsia="Times New Roman" w:hAnsi="ITC Avant Garde" w:cs="Arial"/>
          <w:bCs/>
          <w:lang w:eastAsia="es-MX"/>
        </w:rPr>
        <w:t>G</w:t>
      </w:r>
      <w:r w:rsidR="00923C29" w:rsidRPr="00923C29">
        <w:rPr>
          <w:rFonts w:ascii="ITC Avant Garde" w:eastAsia="Times New Roman" w:hAnsi="ITC Avant Garde" w:cs="Arial"/>
          <w:bCs/>
          <w:lang w:eastAsia="es-MX"/>
        </w:rPr>
        <w:t xml:space="preserve">rupo de </w:t>
      </w:r>
      <w:r w:rsidR="000B5DAE">
        <w:rPr>
          <w:rFonts w:ascii="ITC Avant Garde" w:eastAsia="Times New Roman" w:hAnsi="ITC Avant Garde" w:cs="Arial"/>
          <w:bCs/>
          <w:lang w:eastAsia="es-MX"/>
        </w:rPr>
        <w:t>E</w:t>
      </w:r>
      <w:r w:rsidR="00923C29" w:rsidRPr="00923C29">
        <w:rPr>
          <w:rFonts w:ascii="ITC Avant Garde" w:eastAsia="Times New Roman" w:hAnsi="ITC Avant Garde" w:cs="Arial"/>
          <w:bCs/>
          <w:lang w:eastAsia="es-MX"/>
        </w:rPr>
        <w:t>nfoque celebrado el día 26 de abril, en el que la Coordinación General se reunió con diversos participantes</w:t>
      </w:r>
      <w:r w:rsidRPr="005013C7">
        <w:rPr>
          <w:rFonts w:ascii="ITC Avant Garde" w:eastAsia="Times New Roman" w:hAnsi="ITC Avant Garde" w:cs="Arial"/>
          <w:bCs/>
          <w:lang w:eastAsia="es-MX"/>
        </w:rPr>
        <w:t xml:space="preserve"> </w:t>
      </w:r>
      <w:r w:rsidR="00412A7F" w:rsidRPr="009F46EE">
        <w:rPr>
          <w:rFonts w:ascii="ITC Avant Garde" w:eastAsia="Times New Roman" w:hAnsi="ITC Avant Garde" w:cs="Arial"/>
          <w:bCs/>
          <w:lang w:eastAsia="es-MX"/>
        </w:rPr>
        <w:t>de los sectores gubernamental</w:t>
      </w:r>
      <w:r w:rsidR="00804C7A">
        <w:rPr>
          <w:rFonts w:ascii="ITC Avant Garde" w:eastAsia="Times New Roman" w:hAnsi="ITC Avant Garde" w:cs="Arial"/>
          <w:bCs/>
          <w:lang w:eastAsia="es-MX"/>
        </w:rPr>
        <w:t xml:space="preserve"> y</w:t>
      </w:r>
      <w:r w:rsidR="00B64A76">
        <w:rPr>
          <w:rFonts w:ascii="ITC Avant Garde" w:eastAsia="Times New Roman" w:hAnsi="ITC Avant Garde" w:cs="Arial"/>
          <w:bCs/>
          <w:lang w:eastAsia="es-MX"/>
        </w:rPr>
        <w:t xml:space="preserve"> </w:t>
      </w:r>
      <w:r w:rsidR="00412A7F" w:rsidRPr="009F46EE">
        <w:rPr>
          <w:rFonts w:ascii="ITC Avant Garde" w:eastAsia="Times New Roman" w:hAnsi="ITC Avant Garde" w:cs="Arial"/>
          <w:bCs/>
          <w:lang w:eastAsia="es-MX"/>
        </w:rPr>
        <w:t xml:space="preserve">de las telecomunicaciones y la radiodifusión, </w:t>
      </w:r>
      <w:r w:rsidR="00006BD0" w:rsidRPr="009F46EE">
        <w:rPr>
          <w:rFonts w:ascii="ITC Avant Garde" w:eastAsia="Times New Roman" w:hAnsi="ITC Avant Garde" w:cs="Arial"/>
          <w:bCs/>
          <w:lang w:eastAsia="es-MX"/>
        </w:rPr>
        <w:t>par</w:t>
      </w:r>
      <w:r w:rsidRPr="009F46EE">
        <w:rPr>
          <w:rFonts w:ascii="ITC Avant Garde" w:eastAsia="Times New Roman" w:hAnsi="ITC Avant Garde" w:cs="Arial"/>
          <w:bCs/>
          <w:lang w:eastAsia="es-MX"/>
        </w:rPr>
        <w:t xml:space="preserve">a </w:t>
      </w:r>
      <w:r w:rsidR="00437945" w:rsidRPr="009F46EE">
        <w:rPr>
          <w:rFonts w:ascii="ITC Avant Garde" w:hAnsi="ITC Avant Garde"/>
          <w:kern w:val="2"/>
          <w:lang w:val="es-ES" w:eastAsia="ar-SA"/>
        </w:rPr>
        <w:t>discu</w:t>
      </w:r>
      <w:r w:rsidR="00006BD0" w:rsidRPr="009F46EE">
        <w:rPr>
          <w:rFonts w:ascii="ITC Avant Garde" w:hAnsi="ITC Avant Garde"/>
          <w:kern w:val="2"/>
          <w:lang w:val="es-ES" w:eastAsia="ar-SA"/>
        </w:rPr>
        <w:t>tir</w:t>
      </w:r>
      <w:r w:rsidR="00437945" w:rsidRPr="009F46EE">
        <w:rPr>
          <w:rFonts w:ascii="ITC Avant Garde" w:hAnsi="ITC Avant Garde"/>
          <w:kern w:val="2"/>
          <w:lang w:val="es-ES" w:eastAsia="ar-SA"/>
        </w:rPr>
        <w:t xml:space="preserve"> los objetivos, alcances y medidas propuestas por el Anteproyecto y, de esta forma, conocer y recabar </w:t>
      </w:r>
      <w:r w:rsidR="00412A7F" w:rsidRPr="009F46EE">
        <w:rPr>
          <w:rFonts w:ascii="ITC Avant Garde" w:hAnsi="ITC Avant Garde"/>
          <w:kern w:val="2"/>
          <w:lang w:val="es-ES" w:eastAsia="ar-SA"/>
        </w:rPr>
        <w:t xml:space="preserve">sus </w:t>
      </w:r>
      <w:r w:rsidR="00437945" w:rsidRPr="009F46EE">
        <w:rPr>
          <w:rFonts w:ascii="ITC Avant Garde" w:hAnsi="ITC Avant Garde"/>
          <w:kern w:val="2"/>
          <w:lang w:val="es-ES" w:eastAsia="ar-SA"/>
        </w:rPr>
        <w:t>comentarios, opiniones y aportaciones.</w:t>
      </w:r>
    </w:p>
    <w:p w14:paraId="491FF922" w14:textId="77777777" w:rsidR="00E2462E" w:rsidRPr="003A13B8" w:rsidRDefault="00E2462E" w:rsidP="00400EF5">
      <w:pPr>
        <w:pStyle w:val="Prrafodelista"/>
        <w:spacing w:after="0" w:line="240" w:lineRule="auto"/>
        <w:rPr>
          <w:rFonts w:ascii="ITC Avant Garde" w:hAnsi="ITC Avant Garde"/>
          <w:kern w:val="2"/>
          <w:lang w:val="es-ES" w:eastAsia="ar-SA"/>
        </w:rPr>
      </w:pPr>
    </w:p>
    <w:p w14:paraId="6AA5652A" w14:textId="515FDCD9" w:rsidR="00E06B19" w:rsidRPr="00437945" w:rsidRDefault="00E2462E" w:rsidP="00923C29">
      <w:pPr>
        <w:pStyle w:val="Prrafodelista"/>
        <w:spacing w:after="0" w:line="240" w:lineRule="auto"/>
        <w:jc w:val="both"/>
        <w:rPr>
          <w:rFonts w:ascii="ITC Avant Garde" w:hAnsi="ITC Avant Garde"/>
          <w:kern w:val="2"/>
          <w:lang w:val="es-ES" w:eastAsia="ar-SA"/>
        </w:rPr>
      </w:pPr>
      <w:r w:rsidRPr="001462F1">
        <w:rPr>
          <w:rFonts w:ascii="ITC Avant Garde" w:hAnsi="ITC Avant Garde"/>
          <w:kern w:val="2"/>
          <w:lang w:val="es-ES" w:eastAsia="ar-SA"/>
        </w:rPr>
        <w:t xml:space="preserve">Una vez </w:t>
      </w:r>
      <w:r w:rsidR="00B9231B" w:rsidRPr="001462F1">
        <w:rPr>
          <w:rFonts w:ascii="ITC Avant Garde" w:hAnsi="ITC Avant Garde"/>
          <w:kern w:val="2"/>
          <w:lang w:val="es-ES" w:eastAsia="ar-SA"/>
        </w:rPr>
        <w:t>concluida</w:t>
      </w:r>
      <w:r w:rsidRPr="00670674">
        <w:rPr>
          <w:rFonts w:ascii="ITC Avant Garde" w:hAnsi="ITC Avant Garde"/>
          <w:kern w:val="2"/>
          <w:lang w:val="es-ES" w:eastAsia="ar-SA"/>
        </w:rPr>
        <w:t xml:space="preserve"> la consulta pública</w:t>
      </w:r>
      <w:r w:rsidR="00412A7F" w:rsidRPr="0051436D">
        <w:rPr>
          <w:rFonts w:ascii="ITC Avant Garde" w:hAnsi="ITC Avant Garde"/>
          <w:kern w:val="2"/>
          <w:lang w:val="es-ES" w:eastAsia="ar-SA"/>
        </w:rPr>
        <w:t xml:space="preserve"> del Anteproyecto y su respectivo </w:t>
      </w:r>
      <w:r w:rsidR="003842D0" w:rsidRPr="0051436D">
        <w:rPr>
          <w:rFonts w:ascii="ITC Avant Garde" w:hAnsi="ITC Avant Garde"/>
          <w:kern w:val="2"/>
          <w:lang w:val="es-ES" w:eastAsia="ar-SA"/>
        </w:rPr>
        <w:t>AIR</w:t>
      </w:r>
      <w:r w:rsidRPr="00C70924">
        <w:rPr>
          <w:rFonts w:ascii="ITC Avant Garde" w:hAnsi="ITC Avant Garde"/>
          <w:kern w:val="2"/>
          <w:lang w:val="es-ES" w:eastAsia="ar-SA"/>
        </w:rPr>
        <w:t xml:space="preserve">, el Instituto </w:t>
      </w:r>
      <w:r w:rsidR="00437945" w:rsidRPr="00C70924">
        <w:rPr>
          <w:rFonts w:ascii="ITC Avant Garde" w:hAnsi="ITC Avant Garde"/>
          <w:kern w:val="2"/>
          <w:lang w:val="es-ES" w:eastAsia="ar-SA"/>
        </w:rPr>
        <w:t>analizó</w:t>
      </w:r>
      <w:r w:rsidR="00412A7F" w:rsidRPr="001462F1">
        <w:rPr>
          <w:rFonts w:ascii="ITC Avant Garde" w:hAnsi="ITC Avant Garde"/>
          <w:kern w:val="2"/>
          <w:lang w:val="es-ES" w:eastAsia="ar-SA"/>
        </w:rPr>
        <w:t xml:space="preserve"> los comentarios, opiniones</w:t>
      </w:r>
      <w:r w:rsidRPr="001462F1">
        <w:rPr>
          <w:rFonts w:ascii="ITC Avant Garde" w:hAnsi="ITC Avant Garde"/>
          <w:kern w:val="2"/>
          <w:lang w:val="es-ES" w:eastAsia="ar-SA"/>
        </w:rPr>
        <w:t xml:space="preserve"> y propuestas </w:t>
      </w:r>
      <w:r w:rsidR="00412A7F" w:rsidRPr="001462F1">
        <w:rPr>
          <w:rFonts w:ascii="ITC Avant Garde" w:hAnsi="ITC Avant Garde"/>
          <w:kern w:val="2"/>
          <w:lang w:val="es-ES" w:eastAsia="ar-SA"/>
        </w:rPr>
        <w:t xml:space="preserve">recibidas a propósito </w:t>
      </w:r>
      <w:r w:rsidR="00BB4235" w:rsidRPr="001462F1">
        <w:rPr>
          <w:rFonts w:ascii="ITC Avant Garde" w:hAnsi="ITC Avant Garde"/>
          <w:kern w:val="2"/>
          <w:lang w:val="es-ES" w:eastAsia="ar-SA"/>
        </w:rPr>
        <w:t xml:space="preserve">de </w:t>
      </w:r>
      <w:r w:rsidR="00B9231B" w:rsidRPr="001462F1">
        <w:rPr>
          <w:rFonts w:ascii="ITC Avant Garde" w:hAnsi="ITC Avant Garde"/>
          <w:kern w:val="2"/>
          <w:lang w:val="es-ES" w:eastAsia="ar-SA"/>
        </w:rPr>
        <w:t>dicho proceso</w:t>
      </w:r>
      <w:r w:rsidR="00412A7F" w:rsidRPr="001462F1">
        <w:rPr>
          <w:rFonts w:ascii="ITC Avant Garde" w:hAnsi="ITC Avant Garde"/>
          <w:kern w:val="2"/>
          <w:lang w:val="es-ES" w:eastAsia="ar-SA"/>
        </w:rPr>
        <w:t xml:space="preserve"> </w:t>
      </w:r>
      <w:r w:rsidRPr="001462F1">
        <w:rPr>
          <w:rFonts w:ascii="ITC Avant Garde" w:hAnsi="ITC Avant Garde"/>
          <w:kern w:val="2"/>
          <w:lang w:val="es-ES" w:eastAsia="ar-SA"/>
        </w:rPr>
        <w:t xml:space="preserve">para </w:t>
      </w:r>
      <w:r w:rsidR="00412A7F" w:rsidRPr="001462F1">
        <w:rPr>
          <w:rFonts w:ascii="ITC Avant Garde" w:hAnsi="ITC Avant Garde"/>
          <w:kern w:val="2"/>
          <w:lang w:val="es-ES" w:eastAsia="ar-SA"/>
        </w:rPr>
        <w:t>determinar los a</w:t>
      </w:r>
      <w:r w:rsidR="00791C0D" w:rsidRPr="001462F1">
        <w:rPr>
          <w:rFonts w:ascii="ITC Avant Garde" w:hAnsi="ITC Avant Garde"/>
          <w:kern w:val="2"/>
          <w:lang w:val="es-ES" w:eastAsia="ar-SA"/>
        </w:rPr>
        <w:t>justes y adecuaciones que sería</w:t>
      </w:r>
      <w:r w:rsidR="00412A7F" w:rsidRPr="001462F1">
        <w:rPr>
          <w:rFonts w:ascii="ITC Avant Garde" w:hAnsi="ITC Avant Garde"/>
          <w:kern w:val="2"/>
          <w:lang w:val="es-ES" w:eastAsia="ar-SA"/>
        </w:rPr>
        <w:t xml:space="preserve"> recomendable realizarle a dicha propuesta normativa</w:t>
      </w:r>
      <w:r w:rsidRPr="001462F1">
        <w:rPr>
          <w:rFonts w:ascii="ITC Avant Garde" w:hAnsi="ITC Avant Garde"/>
          <w:kern w:val="2"/>
          <w:lang w:val="es-ES" w:eastAsia="ar-SA"/>
        </w:rPr>
        <w:t xml:space="preserve">. </w:t>
      </w:r>
      <w:r w:rsidR="009D6CCB" w:rsidRPr="001462F1">
        <w:rPr>
          <w:rFonts w:ascii="ITC Avant Garde" w:hAnsi="ITC Avant Garde"/>
          <w:kern w:val="2"/>
          <w:lang w:val="es-ES" w:eastAsia="ar-SA"/>
        </w:rPr>
        <w:t xml:space="preserve">En </w:t>
      </w:r>
      <w:r w:rsidR="000E6D77">
        <w:rPr>
          <w:rFonts w:ascii="ITC Avant Garde" w:hAnsi="ITC Avant Garde"/>
          <w:kern w:val="2"/>
          <w:lang w:val="es-ES" w:eastAsia="ar-SA"/>
        </w:rPr>
        <w:t xml:space="preserve">seguimiento </w:t>
      </w:r>
      <w:r w:rsidR="009D6CCB" w:rsidRPr="001462F1">
        <w:rPr>
          <w:rFonts w:ascii="ITC Avant Garde" w:hAnsi="ITC Avant Garde"/>
          <w:kern w:val="2"/>
          <w:lang w:val="es-ES" w:eastAsia="ar-SA"/>
        </w:rPr>
        <w:t>de</w:t>
      </w:r>
      <w:r w:rsidR="00412A7F" w:rsidRPr="001462F1">
        <w:rPr>
          <w:rFonts w:ascii="ITC Avant Garde" w:hAnsi="ITC Avant Garde"/>
          <w:kern w:val="2"/>
          <w:lang w:val="es-ES" w:eastAsia="ar-SA"/>
        </w:rPr>
        <w:t xml:space="preserve"> lo anterior, el Instituto </w:t>
      </w:r>
      <w:r w:rsidR="002D7576" w:rsidRPr="001462F1">
        <w:rPr>
          <w:rFonts w:ascii="ITC Avant Garde" w:hAnsi="ITC Avant Garde"/>
          <w:kern w:val="2"/>
          <w:lang w:val="es-ES" w:eastAsia="ar-SA"/>
        </w:rPr>
        <w:t>d</w:t>
      </w:r>
      <w:r w:rsidR="00B9231B" w:rsidRPr="001462F1">
        <w:rPr>
          <w:rFonts w:ascii="ITC Avant Garde" w:hAnsi="ITC Avant Garde"/>
          <w:kern w:val="2"/>
          <w:lang w:val="es-ES" w:eastAsia="ar-SA"/>
        </w:rPr>
        <w:t>io</w:t>
      </w:r>
      <w:r w:rsidR="002D7576" w:rsidRPr="001462F1">
        <w:rPr>
          <w:rFonts w:ascii="ITC Avant Garde" w:hAnsi="ITC Avant Garde"/>
          <w:kern w:val="2"/>
          <w:lang w:val="es-ES" w:eastAsia="ar-SA"/>
        </w:rPr>
        <w:t xml:space="preserve"> a conocer</w:t>
      </w:r>
      <w:r w:rsidR="00412A7F" w:rsidRPr="001462F1">
        <w:rPr>
          <w:rFonts w:ascii="ITC Avant Garde" w:hAnsi="ITC Avant Garde"/>
          <w:kern w:val="2"/>
          <w:lang w:val="es-ES" w:eastAsia="ar-SA"/>
        </w:rPr>
        <w:t xml:space="preserve"> en su</w:t>
      </w:r>
      <w:r w:rsidRPr="001462F1">
        <w:rPr>
          <w:rFonts w:ascii="ITC Avant Garde" w:hAnsi="ITC Avant Garde"/>
          <w:kern w:val="2"/>
          <w:lang w:val="es-ES" w:eastAsia="ar-SA"/>
        </w:rPr>
        <w:t xml:space="preserve"> portal de Internet</w:t>
      </w:r>
      <w:r w:rsidR="009D6CCB" w:rsidRPr="001462F1">
        <w:rPr>
          <w:rFonts w:ascii="ITC Avant Garde" w:hAnsi="ITC Avant Garde"/>
          <w:kern w:val="2"/>
          <w:lang w:val="es-ES" w:eastAsia="ar-SA"/>
        </w:rPr>
        <w:t xml:space="preserve"> en el apartado referido a dicha consulta pública,</w:t>
      </w:r>
      <w:r w:rsidRPr="001462F1">
        <w:rPr>
          <w:rFonts w:ascii="ITC Avant Garde" w:hAnsi="ITC Avant Garde"/>
          <w:kern w:val="2"/>
          <w:lang w:val="es-ES" w:eastAsia="ar-SA"/>
        </w:rPr>
        <w:t xml:space="preserve"> </w:t>
      </w:r>
      <w:r w:rsidR="00412A7F" w:rsidRPr="001462F1">
        <w:rPr>
          <w:rFonts w:ascii="ITC Avant Garde" w:hAnsi="ITC Avant Garde"/>
          <w:kern w:val="2"/>
          <w:lang w:val="es-ES" w:eastAsia="ar-SA"/>
        </w:rPr>
        <w:t xml:space="preserve">un informe de consideraciones </w:t>
      </w:r>
      <w:r w:rsidR="002D7576" w:rsidRPr="001462F1">
        <w:rPr>
          <w:rFonts w:ascii="ITC Avant Garde" w:hAnsi="ITC Avant Garde"/>
          <w:kern w:val="2"/>
          <w:lang w:val="es-ES" w:eastAsia="ar-SA"/>
        </w:rPr>
        <w:t xml:space="preserve">relacionado </w:t>
      </w:r>
      <w:r w:rsidR="00B9231B" w:rsidRPr="001462F1">
        <w:rPr>
          <w:rFonts w:ascii="ITC Avant Garde" w:hAnsi="ITC Avant Garde"/>
          <w:kern w:val="2"/>
          <w:lang w:val="es-ES" w:eastAsia="ar-SA"/>
        </w:rPr>
        <w:t>con</w:t>
      </w:r>
      <w:r w:rsidR="002D7576" w:rsidRPr="001462F1">
        <w:rPr>
          <w:rFonts w:ascii="ITC Avant Garde" w:hAnsi="ITC Avant Garde"/>
          <w:kern w:val="2"/>
          <w:lang w:val="es-ES" w:eastAsia="ar-SA"/>
        </w:rPr>
        <w:t xml:space="preserve"> las aportaciones </w:t>
      </w:r>
      <w:r w:rsidR="00B9231B" w:rsidRPr="001462F1">
        <w:rPr>
          <w:rFonts w:ascii="ITC Avant Garde" w:hAnsi="ITC Avant Garde"/>
          <w:kern w:val="2"/>
          <w:lang w:val="es-ES" w:eastAsia="ar-SA"/>
        </w:rPr>
        <w:t>recibidas</w:t>
      </w:r>
      <w:r w:rsidR="002D7576" w:rsidRPr="001462F1">
        <w:rPr>
          <w:rFonts w:ascii="ITC Avant Garde" w:hAnsi="ITC Avant Garde"/>
          <w:kern w:val="2"/>
          <w:lang w:val="es-ES" w:eastAsia="ar-SA"/>
        </w:rPr>
        <w:t xml:space="preserve"> en </w:t>
      </w:r>
      <w:r w:rsidR="00B9231B" w:rsidRPr="001462F1">
        <w:rPr>
          <w:rFonts w:ascii="ITC Avant Garde" w:hAnsi="ITC Avant Garde"/>
          <w:kern w:val="2"/>
          <w:lang w:val="es-ES" w:eastAsia="ar-SA"/>
        </w:rPr>
        <w:t xml:space="preserve">la </w:t>
      </w:r>
      <w:r w:rsidR="00412A7F" w:rsidRPr="001462F1">
        <w:rPr>
          <w:rFonts w:ascii="ITC Avant Garde" w:hAnsi="ITC Avant Garde"/>
          <w:kern w:val="2"/>
          <w:lang w:val="es-ES" w:eastAsia="ar-SA"/>
        </w:rPr>
        <w:t>consulta pública</w:t>
      </w:r>
      <w:r w:rsidR="00B9231B" w:rsidRPr="001462F1">
        <w:rPr>
          <w:rFonts w:ascii="ITC Avant Garde" w:hAnsi="ITC Avant Garde"/>
          <w:kern w:val="2"/>
          <w:lang w:val="es-ES" w:eastAsia="ar-SA"/>
        </w:rPr>
        <w:t xml:space="preserve"> en comento.</w:t>
      </w:r>
    </w:p>
    <w:p w14:paraId="6626F7F6" w14:textId="77777777" w:rsidR="00E10B48" w:rsidRPr="00E10B48" w:rsidRDefault="00E10B48" w:rsidP="00400EF5">
      <w:pPr>
        <w:pStyle w:val="Prrafodelista"/>
        <w:spacing w:after="0" w:line="240" w:lineRule="auto"/>
        <w:jc w:val="both"/>
        <w:rPr>
          <w:rFonts w:ascii="ITC Avant Garde" w:hAnsi="ITC Avant Garde"/>
        </w:rPr>
      </w:pPr>
    </w:p>
    <w:p w14:paraId="0003944E" w14:textId="77777777" w:rsidR="00D630C2" w:rsidRPr="00E10B48" w:rsidRDefault="00234FCD" w:rsidP="00400EF5">
      <w:pPr>
        <w:spacing w:after="0" w:line="240" w:lineRule="auto"/>
        <w:jc w:val="both"/>
        <w:rPr>
          <w:rFonts w:ascii="ITC Avant Garde" w:hAnsi="ITC Avant Garde"/>
        </w:rPr>
      </w:pPr>
      <w:r w:rsidRPr="00E10B48">
        <w:rPr>
          <w:rFonts w:ascii="ITC Avant Garde" w:hAnsi="ITC Avant Garde"/>
        </w:rPr>
        <w:t xml:space="preserve">En virtud de los antecedentes señalados y, </w:t>
      </w:r>
    </w:p>
    <w:p w14:paraId="245D1216" w14:textId="77777777" w:rsidR="00FB6271" w:rsidRPr="0095038B" w:rsidRDefault="00FB6271" w:rsidP="00400EF5">
      <w:pPr>
        <w:spacing w:after="0" w:line="240" w:lineRule="auto"/>
        <w:jc w:val="both"/>
        <w:rPr>
          <w:rFonts w:ascii="ITC Avant Garde" w:hAnsi="ITC Avant Garde"/>
        </w:rPr>
      </w:pPr>
    </w:p>
    <w:p w14:paraId="218B8DBE" w14:textId="77777777" w:rsidR="00025A14" w:rsidRPr="0095038B" w:rsidRDefault="007A59F7" w:rsidP="00400EF5">
      <w:pPr>
        <w:spacing w:after="0" w:line="240" w:lineRule="auto"/>
        <w:jc w:val="center"/>
        <w:rPr>
          <w:rFonts w:ascii="ITC Avant Garde" w:hAnsi="ITC Avant Garde"/>
          <w:b/>
        </w:rPr>
      </w:pPr>
      <w:r w:rsidRPr="0095038B">
        <w:rPr>
          <w:rFonts w:ascii="ITC Avant Garde" w:hAnsi="ITC Avant Garde"/>
          <w:b/>
        </w:rPr>
        <w:t>CONSIDERANDO</w:t>
      </w:r>
    </w:p>
    <w:p w14:paraId="01C978B9" w14:textId="77777777" w:rsidR="00D630C2" w:rsidRPr="0095038B" w:rsidRDefault="00D630C2" w:rsidP="00400EF5">
      <w:pPr>
        <w:spacing w:after="0" w:line="240" w:lineRule="auto"/>
        <w:jc w:val="center"/>
        <w:rPr>
          <w:rFonts w:ascii="ITC Avant Garde" w:hAnsi="ITC Avant Garde"/>
          <w:b/>
        </w:rPr>
      </w:pPr>
    </w:p>
    <w:p w14:paraId="29290000" w14:textId="03DB1EF2" w:rsidR="00965ED2" w:rsidRDefault="00965ED2" w:rsidP="00400EF5">
      <w:pPr>
        <w:suppressAutoHyphens/>
        <w:spacing w:after="0" w:line="240" w:lineRule="auto"/>
        <w:ind w:right="-62"/>
        <w:jc w:val="both"/>
        <w:rPr>
          <w:rFonts w:ascii="ITC Avant Garde" w:eastAsia="Times New Roman" w:hAnsi="ITC Avant Garde"/>
          <w:kern w:val="2"/>
          <w:lang w:val="es-ES" w:eastAsia="ar-SA"/>
        </w:rPr>
      </w:pPr>
      <w:r>
        <w:rPr>
          <w:rFonts w:ascii="ITC Avant Garde" w:hAnsi="ITC Avant Garde"/>
          <w:b/>
        </w:rPr>
        <w:t>PRIMERO.</w:t>
      </w:r>
      <w:r w:rsidR="000D6BF8" w:rsidRPr="0095038B">
        <w:rPr>
          <w:rFonts w:ascii="ITC Avant Garde" w:hAnsi="ITC Avant Garde"/>
          <w:b/>
        </w:rPr>
        <w:t>-</w:t>
      </w:r>
      <w:r w:rsidR="00AD3C31">
        <w:rPr>
          <w:rFonts w:ascii="ITC Avant Garde" w:hAnsi="ITC Avant Garde"/>
          <w:b/>
        </w:rPr>
        <w:t xml:space="preserve"> C</w:t>
      </w:r>
      <w:r w:rsidR="003F2556">
        <w:rPr>
          <w:rFonts w:ascii="ITC Avant Garde" w:hAnsi="ITC Avant Garde"/>
          <w:b/>
        </w:rPr>
        <w:t>ompetencia del Instituto</w:t>
      </w:r>
      <w:r w:rsidR="00AD3C31">
        <w:rPr>
          <w:rFonts w:ascii="ITC Avant Garde" w:hAnsi="ITC Avant Garde"/>
          <w:b/>
        </w:rPr>
        <w:t>.-</w:t>
      </w:r>
      <w:r w:rsidR="000D6BF8" w:rsidRPr="0095038B">
        <w:rPr>
          <w:rFonts w:ascii="ITC Avant Garde" w:hAnsi="ITC Avant Garde"/>
          <w:b/>
        </w:rPr>
        <w:t xml:space="preserve"> </w:t>
      </w:r>
      <w:r>
        <w:rPr>
          <w:rFonts w:ascii="ITC Avant Garde" w:eastAsia="Times New Roman" w:hAnsi="ITC Avant Garde"/>
          <w:kern w:val="2"/>
          <w:lang w:val="es-ES" w:eastAsia="ar-SA"/>
        </w:rPr>
        <w:t xml:space="preserve">De conformidad con el artículo 28, párrafo </w:t>
      </w:r>
      <w:r w:rsidR="00A74F80">
        <w:rPr>
          <w:rFonts w:ascii="ITC Avant Garde" w:eastAsia="Times New Roman" w:hAnsi="ITC Avant Garde"/>
          <w:kern w:val="2"/>
          <w:lang w:val="es-ES" w:eastAsia="ar-SA"/>
        </w:rPr>
        <w:t>décimo quinto de</w:t>
      </w:r>
      <w:r w:rsidR="00E52E5C">
        <w:rPr>
          <w:rFonts w:ascii="ITC Avant Garde" w:eastAsia="Times New Roman" w:hAnsi="ITC Avant Garde"/>
          <w:kern w:val="2"/>
          <w:lang w:val="es-ES" w:eastAsia="ar-SA"/>
        </w:rPr>
        <w:t xml:space="preserve"> </w:t>
      </w:r>
      <w:r w:rsidR="00A74F80">
        <w:rPr>
          <w:rFonts w:ascii="ITC Avant Garde" w:eastAsia="Times New Roman" w:hAnsi="ITC Avant Garde"/>
          <w:kern w:val="2"/>
          <w:lang w:val="es-ES" w:eastAsia="ar-SA"/>
        </w:rPr>
        <w:t>l</w:t>
      </w:r>
      <w:r w:rsidR="00E52E5C">
        <w:rPr>
          <w:rFonts w:ascii="ITC Avant Garde" w:eastAsia="Times New Roman" w:hAnsi="ITC Avant Garde"/>
          <w:kern w:val="2"/>
          <w:lang w:val="es-ES" w:eastAsia="ar-SA"/>
        </w:rPr>
        <w:t>a</w:t>
      </w:r>
      <w:r w:rsidR="00A74F80">
        <w:rPr>
          <w:rFonts w:ascii="ITC Avant Garde" w:eastAsia="Times New Roman" w:hAnsi="ITC Avant Garde"/>
          <w:kern w:val="2"/>
          <w:lang w:val="es-ES" w:eastAsia="ar-SA"/>
        </w:rPr>
        <w:t xml:space="preserve"> </w:t>
      </w:r>
      <w:r w:rsidR="00E52E5C">
        <w:rPr>
          <w:rFonts w:ascii="ITC Avant Garde" w:eastAsia="Times New Roman" w:hAnsi="ITC Avant Garde"/>
          <w:kern w:val="2"/>
          <w:lang w:val="es-ES" w:eastAsia="ar-SA"/>
        </w:rPr>
        <w:t>Constitución Política de los Estados Unidos Mexicanos (en lo sucesivo, la “Constitución”)</w:t>
      </w:r>
      <w:r>
        <w:rPr>
          <w:rFonts w:ascii="ITC Avant Garde" w:eastAsia="Times New Roman" w:hAnsi="ITC Avant Garde"/>
          <w:kern w:val="2"/>
          <w:lang w:val="es-ES" w:eastAsia="ar-SA"/>
        </w:rPr>
        <w:t xml:space="preserve">, el Instituto es un órgano autónomo con personalidad jurídica y patrimonio propio, que tiene por objeto el desarrollo eficiente de la radiodifusión y las </w:t>
      </w:r>
      <w:r>
        <w:rPr>
          <w:rFonts w:ascii="ITC Avant Garde" w:eastAsia="Times New Roman" w:hAnsi="ITC Avant Garde"/>
          <w:kern w:val="2"/>
          <w:lang w:val="es-ES" w:eastAsia="ar-SA"/>
        </w:rPr>
        <w:lastRenderedPageBreak/>
        <w:t xml:space="preserve">telecomunicaciones, conforme a lo dispuesto en la propia Constitución y en los términos que fijen las leyes. </w:t>
      </w:r>
    </w:p>
    <w:p w14:paraId="24F1D755" w14:textId="77777777" w:rsidR="00965ED2" w:rsidRDefault="00965ED2" w:rsidP="00400EF5">
      <w:pPr>
        <w:suppressAutoHyphens/>
        <w:spacing w:after="0" w:line="240" w:lineRule="auto"/>
        <w:ind w:right="-62"/>
        <w:jc w:val="both"/>
        <w:rPr>
          <w:rFonts w:ascii="ITC Avant Garde" w:eastAsia="Times New Roman" w:hAnsi="ITC Avant Garde"/>
          <w:kern w:val="2"/>
          <w:lang w:val="es-ES" w:eastAsia="ar-SA"/>
        </w:rPr>
      </w:pPr>
    </w:p>
    <w:p w14:paraId="6CDEAA1C" w14:textId="05123725" w:rsidR="00965ED2" w:rsidRDefault="00965ED2" w:rsidP="00400EF5">
      <w:pPr>
        <w:suppressAutoHyphens/>
        <w:spacing w:after="0" w:line="240" w:lineRule="auto"/>
        <w:ind w:right="-62"/>
        <w:jc w:val="both"/>
        <w:rPr>
          <w:rFonts w:ascii="ITC Avant Garde" w:eastAsia="Times New Roman" w:hAnsi="ITC Avant Garde"/>
          <w:kern w:val="2"/>
          <w:lang w:val="es-ES" w:eastAsia="ar-SA"/>
        </w:rPr>
      </w:pPr>
      <w:r>
        <w:rPr>
          <w:rFonts w:ascii="ITC Avant Garde" w:eastAsia="Times New Roman" w:hAnsi="ITC Avant Garde"/>
          <w:kern w:val="2"/>
          <w:lang w:val="es-ES" w:eastAsia="ar-SA"/>
        </w:rPr>
        <w:t>Para tal efecto, en términos del precepto constitucional invocado, así como de lo</w:t>
      </w:r>
      <w:r w:rsidR="00575273">
        <w:rPr>
          <w:rFonts w:ascii="ITC Avant Garde" w:eastAsia="Times New Roman" w:hAnsi="ITC Avant Garde"/>
          <w:kern w:val="2"/>
          <w:lang w:val="es-ES" w:eastAsia="ar-SA"/>
        </w:rPr>
        <w:t>s artículos 1</w:t>
      </w:r>
      <w:r w:rsidR="00485007">
        <w:rPr>
          <w:rFonts w:ascii="ITC Avant Garde" w:eastAsia="Times New Roman" w:hAnsi="ITC Avant Garde"/>
          <w:kern w:val="2"/>
          <w:lang w:val="es-ES" w:eastAsia="ar-SA"/>
        </w:rPr>
        <w:t xml:space="preserve"> </w:t>
      </w:r>
      <w:r w:rsidR="00575273">
        <w:rPr>
          <w:rFonts w:ascii="ITC Avant Garde" w:eastAsia="Times New Roman" w:hAnsi="ITC Avant Garde"/>
          <w:kern w:val="2"/>
          <w:lang w:val="es-ES" w:eastAsia="ar-SA"/>
        </w:rPr>
        <w:t>y 7</w:t>
      </w:r>
      <w:r w:rsidR="00485007">
        <w:rPr>
          <w:rFonts w:ascii="ITC Avant Garde" w:eastAsia="Times New Roman" w:hAnsi="ITC Avant Garde"/>
          <w:kern w:val="2"/>
          <w:lang w:val="es-ES" w:eastAsia="ar-SA"/>
        </w:rPr>
        <w:t xml:space="preserve"> </w:t>
      </w:r>
      <w:r w:rsidR="00A74F80">
        <w:rPr>
          <w:rFonts w:ascii="ITC Avant Garde" w:eastAsia="Times New Roman" w:hAnsi="ITC Avant Garde"/>
          <w:kern w:val="2"/>
          <w:lang w:val="es-ES" w:eastAsia="ar-SA"/>
        </w:rPr>
        <w:t>de la Ley</w:t>
      </w:r>
      <w:r>
        <w:rPr>
          <w:rFonts w:ascii="ITC Avant Garde" w:eastAsia="Times New Roman" w:hAnsi="ITC Avant Garde"/>
          <w:kern w:val="2"/>
          <w:lang w:val="es-ES" w:eastAsia="ar-SA"/>
        </w:rPr>
        <w:t>,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w:t>
      </w:r>
      <w:r w:rsidR="008324A4">
        <w:rPr>
          <w:rFonts w:ascii="ITC Avant Garde" w:eastAsia="Times New Roman" w:hAnsi="ITC Avant Garde"/>
          <w:kern w:val="2"/>
          <w:lang w:val="es-ES" w:eastAsia="ar-SA"/>
        </w:rPr>
        <w:t>,</w:t>
      </w:r>
      <w:r>
        <w:rPr>
          <w:rFonts w:ascii="ITC Avant Garde" w:eastAsia="Times New Roman" w:hAnsi="ITC Avant Garde"/>
          <w:kern w:val="2"/>
          <w:lang w:val="es-ES" w:eastAsia="ar-SA"/>
        </w:rPr>
        <w:t xml:space="preserve"> pasiva y otros insumos esenciales, garantizando lo establecido en los artícu</w:t>
      </w:r>
      <w:r w:rsidR="00A74F80">
        <w:rPr>
          <w:rFonts w:ascii="ITC Avant Garde" w:eastAsia="Times New Roman" w:hAnsi="ITC Avant Garde"/>
          <w:kern w:val="2"/>
          <w:lang w:val="es-ES" w:eastAsia="ar-SA"/>
        </w:rPr>
        <w:t>los 6</w:t>
      </w:r>
      <w:r w:rsidR="00E52E5C">
        <w:rPr>
          <w:rFonts w:ascii="ITC Avant Garde" w:eastAsia="Times New Roman" w:hAnsi="ITC Avant Garde"/>
          <w:kern w:val="2"/>
          <w:lang w:val="es-ES" w:eastAsia="ar-SA"/>
        </w:rPr>
        <w:t>o.</w:t>
      </w:r>
      <w:r w:rsidR="004E7264">
        <w:rPr>
          <w:rFonts w:ascii="ITC Avant Garde" w:eastAsia="Times New Roman" w:hAnsi="ITC Avant Garde"/>
          <w:kern w:val="2"/>
          <w:lang w:val="es-ES" w:eastAsia="ar-SA"/>
        </w:rPr>
        <w:t xml:space="preserve"> </w:t>
      </w:r>
      <w:r w:rsidR="00A74F80">
        <w:rPr>
          <w:rFonts w:ascii="ITC Avant Garde" w:eastAsia="Times New Roman" w:hAnsi="ITC Avant Garde"/>
          <w:kern w:val="2"/>
          <w:lang w:val="es-ES" w:eastAsia="ar-SA"/>
        </w:rPr>
        <w:t xml:space="preserve"> y 7</w:t>
      </w:r>
      <w:r w:rsidR="00E52E5C">
        <w:rPr>
          <w:rFonts w:ascii="ITC Avant Garde" w:eastAsia="Times New Roman" w:hAnsi="ITC Avant Garde"/>
          <w:kern w:val="2"/>
          <w:lang w:val="es-ES" w:eastAsia="ar-SA"/>
        </w:rPr>
        <w:t>o.</w:t>
      </w:r>
      <w:r w:rsidR="004E7264">
        <w:rPr>
          <w:rFonts w:ascii="ITC Avant Garde" w:eastAsia="Times New Roman" w:hAnsi="ITC Avant Garde"/>
          <w:kern w:val="2"/>
          <w:lang w:val="es-ES" w:eastAsia="ar-SA"/>
        </w:rPr>
        <w:t xml:space="preserve"> </w:t>
      </w:r>
      <w:r w:rsidR="00A74F80">
        <w:rPr>
          <w:rFonts w:ascii="ITC Avant Garde" w:eastAsia="Times New Roman" w:hAnsi="ITC Avant Garde"/>
          <w:kern w:val="2"/>
          <w:lang w:val="es-ES" w:eastAsia="ar-SA"/>
        </w:rPr>
        <w:t xml:space="preserve"> de</w:t>
      </w:r>
      <w:r w:rsidR="00E52E5C">
        <w:rPr>
          <w:rFonts w:ascii="ITC Avant Garde" w:eastAsia="Times New Roman" w:hAnsi="ITC Avant Garde"/>
          <w:kern w:val="2"/>
          <w:lang w:val="es-ES" w:eastAsia="ar-SA"/>
        </w:rPr>
        <w:t xml:space="preserve"> </w:t>
      </w:r>
      <w:r w:rsidR="00A74F80">
        <w:rPr>
          <w:rFonts w:ascii="ITC Avant Garde" w:eastAsia="Times New Roman" w:hAnsi="ITC Avant Garde"/>
          <w:kern w:val="2"/>
          <w:lang w:val="es-ES" w:eastAsia="ar-SA"/>
        </w:rPr>
        <w:t>l</w:t>
      </w:r>
      <w:r w:rsidR="00E52E5C">
        <w:rPr>
          <w:rFonts w:ascii="ITC Avant Garde" w:eastAsia="Times New Roman" w:hAnsi="ITC Avant Garde"/>
          <w:kern w:val="2"/>
          <w:lang w:val="es-ES" w:eastAsia="ar-SA"/>
        </w:rPr>
        <w:t>a</w:t>
      </w:r>
      <w:r w:rsidR="00A74F80">
        <w:rPr>
          <w:rFonts w:ascii="ITC Avant Garde" w:eastAsia="Times New Roman" w:hAnsi="ITC Avant Garde"/>
          <w:kern w:val="2"/>
          <w:lang w:val="es-ES" w:eastAsia="ar-SA"/>
        </w:rPr>
        <w:t xml:space="preserve"> </w:t>
      </w:r>
      <w:r w:rsidR="00E52E5C">
        <w:rPr>
          <w:rFonts w:ascii="ITC Avant Garde" w:eastAsia="Times New Roman" w:hAnsi="ITC Avant Garde"/>
          <w:kern w:val="2"/>
          <w:lang w:val="es-ES" w:eastAsia="ar-SA"/>
        </w:rPr>
        <w:t>Constitución</w:t>
      </w:r>
      <w:r>
        <w:rPr>
          <w:rFonts w:ascii="ITC Avant Garde" w:eastAsia="Times New Roman" w:hAnsi="ITC Avant Garde"/>
          <w:kern w:val="2"/>
          <w:lang w:val="es-ES" w:eastAsia="ar-SA"/>
        </w:rPr>
        <w:t>.</w:t>
      </w:r>
    </w:p>
    <w:p w14:paraId="3530EEA5" w14:textId="77777777" w:rsidR="00575273" w:rsidRDefault="00575273" w:rsidP="00400EF5">
      <w:pPr>
        <w:suppressAutoHyphens/>
        <w:spacing w:after="0" w:line="240" w:lineRule="auto"/>
        <w:ind w:right="-62"/>
        <w:jc w:val="both"/>
        <w:rPr>
          <w:rFonts w:ascii="ITC Avant Garde" w:eastAsia="Times New Roman" w:hAnsi="ITC Avant Garde"/>
          <w:kern w:val="2"/>
          <w:lang w:eastAsia="ar-SA"/>
        </w:rPr>
      </w:pPr>
    </w:p>
    <w:p w14:paraId="313FF28E" w14:textId="07A5ED8C" w:rsidR="00965ED2" w:rsidRDefault="00965ED2" w:rsidP="00400EF5">
      <w:pPr>
        <w:suppressAutoHyphens/>
        <w:spacing w:after="0" w:line="240" w:lineRule="auto"/>
        <w:ind w:right="-62"/>
        <w:jc w:val="both"/>
        <w:rPr>
          <w:rFonts w:ascii="ITC Avant Garde" w:eastAsia="Times New Roman" w:hAnsi="ITC Avant Garde"/>
          <w:kern w:val="2"/>
          <w:lang w:eastAsia="ar-SA"/>
        </w:rPr>
      </w:pPr>
      <w:r>
        <w:rPr>
          <w:rFonts w:ascii="ITC Avant Garde" w:eastAsia="Times New Roman" w:hAnsi="ITC Avant Garde"/>
          <w:kern w:val="2"/>
          <w:lang w:eastAsia="ar-SA"/>
        </w:rPr>
        <w:t xml:space="preserve">Asimismo, </w:t>
      </w:r>
      <w:r w:rsidR="008324A4">
        <w:rPr>
          <w:rFonts w:ascii="ITC Avant Garde" w:eastAsia="Times New Roman" w:hAnsi="ITC Avant Garde"/>
          <w:kern w:val="2"/>
          <w:lang w:eastAsia="ar-SA"/>
        </w:rPr>
        <w:t xml:space="preserve">en términos de lo dispuesto en el párrafo décimo sexto del artículo 28 </w:t>
      </w:r>
      <w:r w:rsidR="00923375">
        <w:rPr>
          <w:rFonts w:ascii="ITC Avant Garde" w:eastAsia="Times New Roman" w:hAnsi="ITC Avant Garde"/>
          <w:kern w:val="2"/>
          <w:lang w:eastAsia="ar-SA"/>
        </w:rPr>
        <w:t>c</w:t>
      </w:r>
      <w:r w:rsidR="006F4E63">
        <w:rPr>
          <w:rFonts w:ascii="ITC Avant Garde" w:eastAsia="Times New Roman" w:hAnsi="ITC Avant Garde"/>
          <w:kern w:val="2"/>
          <w:lang w:eastAsia="ar-SA"/>
        </w:rPr>
        <w:t>onstitucional</w:t>
      </w:r>
      <w:r w:rsidR="008324A4">
        <w:rPr>
          <w:rFonts w:ascii="ITC Avant Garde" w:eastAsia="Times New Roman" w:hAnsi="ITC Avant Garde"/>
          <w:kern w:val="2"/>
          <w:lang w:eastAsia="ar-SA"/>
        </w:rPr>
        <w:t xml:space="preserve">, </w:t>
      </w:r>
      <w:r>
        <w:rPr>
          <w:rFonts w:ascii="ITC Avant Garde" w:eastAsia="Times New Roman" w:hAnsi="ITC Avant Garde"/>
          <w:kern w:val="2"/>
          <w:lang w:eastAsia="ar-SA"/>
        </w:rPr>
        <w:t>el Instituto es también la autoridad en materia de competencia económica de los sectores de radiodifusión y telecomunicaciones, por lo que en éstos ejercerá</w:t>
      </w:r>
      <w:r w:rsidR="008324A4">
        <w:rPr>
          <w:rFonts w:ascii="ITC Avant Garde" w:eastAsia="Times New Roman" w:hAnsi="ITC Avant Garde"/>
          <w:kern w:val="2"/>
          <w:lang w:eastAsia="ar-SA"/>
        </w:rPr>
        <w:t>,</w:t>
      </w:r>
      <w:r>
        <w:rPr>
          <w:rFonts w:ascii="ITC Avant Garde" w:eastAsia="Times New Roman" w:hAnsi="ITC Avant Garde"/>
          <w:kern w:val="2"/>
          <w:lang w:eastAsia="ar-SA"/>
        </w:rPr>
        <w:t xml:space="preserve"> en forma exclusiva</w:t>
      </w:r>
      <w:r w:rsidR="008324A4">
        <w:rPr>
          <w:rFonts w:ascii="ITC Avant Garde" w:eastAsia="Times New Roman" w:hAnsi="ITC Avant Garde"/>
          <w:kern w:val="2"/>
          <w:lang w:eastAsia="ar-SA"/>
        </w:rPr>
        <w:t>,</w:t>
      </w:r>
      <w:r>
        <w:rPr>
          <w:rFonts w:ascii="ITC Avant Garde" w:eastAsia="Times New Roman" w:hAnsi="ITC Avant Garde"/>
          <w:kern w:val="2"/>
          <w:lang w:eastAsia="ar-SA"/>
        </w:rPr>
        <w:t xml:space="preserve"> las facultades </w:t>
      </w:r>
      <w:r w:rsidR="007A5AEE">
        <w:rPr>
          <w:rFonts w:ascii="ITC Avant Garde" w:eastAsia="Times New Roman" w:hAnsi="ITC Avant Garde"/>
          <w:kern w:val="2"/>
          <w:lang w:eastAsia="ar-SA"/>
        </w:rPr>
        <w:t xml:space="preserve">que </w:t>
      </w:r>
      <w:r>
        <w:rPr>
          <w:rFonts w:ascii="ITC Avant Garde" w:eastAsia="Times New Roman" w:hAnsi="ITC Avant Garde"/>
          <w:kern w:val="2"/>
          <w:lang w:eastAsia="ar-SA"/>
        </w:rPr>
        <w:t>el artícul</w:t>
      </w:r>
      <w:r w:rsidR="00A74F80">
        <w:rPr>
          <w:rFonts w:ascii="ITC Avant Garde" w:eastAsia="Times New Roman" w:hAnsi="ITC Avant Garde"/>
          <w:kern w:val="2"/>
          <w:lang w:eastAsia="ar-SA"/>
        </w:rPr>
        <w:t xml:space="preserve">o 28 </w:t>
      </w:r>
      <w:r w:rsidR="00923375">
        <w:rPr>
          <w:rFonts w:ascii="ITC Avant Garde" w:eastAsia="Times New Roman" w:hAnsi="ITC Avant Garde"/>
          <w:kern w:val="2"/>
          <w:lang w:eastAsia="ar-SA"/>
        </w:rPr>
        <w:t>c</w:t>
      </w:r>
      <w:r w:rsidR="00A63355">
        <w:rPr>
          <w:rFonts w:ascii="ITC Avant Garde" w:eastAsia="Times New Roman" w:hAnsi="ITC Avant Garde"/>
          <w:kern w:val="2"/>
          <w:lang w:eastAsia="ar-SA"/>
        </w:rPr>
        <w:t>onstitucional</w:t>
      </w:r>
      <w:r w:rsidR="007A5AEE">
        <w:rPr>
          <w:rFonts w:ascii="ITC Avant Garde" w:eastAsia="Times New Roman" w:hAnsi="ITC Avant Garde"/>
          <w:kern w:val="2"/>
          <w:lang w:eastAsia="ar-SA"/>
        </w:rPr>
        <w:t xml:space="preserve"> y</w:t>
      </w:r>
      <w:r w:rsidR="00A74F80">
        <w:rPr>
          <w:rFonts w:ascii="ITC Avant Garde" w:eastAsia="Times New Roman" w:hAnsi="ITC Avant Garde"/>
          <w:kern w:val="2"/>
          <w:lang w:eastAsia="ar-SA"/>
        </w:rPr>
        <w:t xml:space="preserve"> la</w:t>
      </w:r>
      <w:r w:rsidR="007A5AEE">
        <w:rPr>
          <w:rFonts w:ascii="ITC Avant Garde" w:eastAsia="Times New Roman" w:hAnsi="ITC Avant Garde"/>
          <w:kern w:val="2"/>
          <w:lang w:eastAsia="ar-SA"/>
        </w:rPr>
        <w:t>s</w:t>
      </w:r>
      <w:r w:rsidR="00A74F80">
        <w:rPr>
          <w:rFonts w:ascii="ITC Avant Garde" w:eastAsia="Times New Roman" w:hAnsi="ITC Avant Garde"/>
          <w:kern w:val="2"/>
          <w:lang w:eastAsia="ar-SA"/>
        </w:rPr>
        <w:t xml:space="preserve"> </w:t>
      </w:r>
      <w:r w:rsidR="007A5AEE">
        <w:rPr>
          <w:rFonts w:ascii="ITC Avant Garde" w:eastAsia="Times New Roman" w:hAnsi="ITC Avant Garde"/>
          <w:kern w:val="2"/>
          <w:lang w:eastAsia="ar-SA"/>
        </w:rPr>
        <w:t>l</w:t>
      </w:r>
      <w:r w:rsidR="00A74F80">
        <w:rPr>
          <w:rFonts w:ascii="ITC Avant Garde" w:eastAsia="Times New Roman" w:hAnsi="ITC Avant Garde"/>
          <w:kern w:val="2"/>
          <w:lang w:eastAsia="ar-SA"/>
        </w:rPr>
        <w:t>ey</w:t>
      </w:r>
      <w:r w:rsidR="007A5AEE">
        <w:rPr>
          <w:rFonts w:ascii="ITC Avant Garde" w:eastAsia="Times New Roman" w:hAnsi="ITC Avant Garde"/>
          <w:kern w:val="2"/>
          <w:lang w:eastAsia="ar-SA"/>
        </w:rPr>
        <w:t>es</w:t>
      </w:r>
      <w:r>
        <w:rPr>
          <w:rFonts w:ascii="ITC Avant Garde" w:eastAsia="Times New Roman" w:hAnsi="ITC Avant Garde"/>
          <w:kern w:val="2"/>
          <w:lang w:eastAsia="ar-SA"/>
        </w:rPr>
        <w:t xml:space="preserve"> </w:t>
      </w:r>
      <w:r w:rsidR="007A5AEE">
        <w:rPr>
          <w:rFonts w:ascii="ITC Avant Garde" w:eastAsia="Times New Roman" w:hAnsi="ITC Avant Garde"/>
          <w:kern w:val="2"/>
          <w:lang w:eastAsia="ar-SA"/>
        </w:rPr>
        <w:t>establecen</w:t>
      </w:r>
      <w:r w:rsidR="00A74F80">
        <w:rPr>
          <w:rFonts w:ascii="ITC Avant Garde" w:eastAsia="Times New Roman" w:hAnsi="ITC Avant Garde"/>
          <w:kern w:val="2"/>
          <w:lang w:eastAsia="ar-SA"/>
        </w:rPr>
        <w:t xml:space="preserve"> </w:t>
      </w:r>
      <w:r w:rsidR="007A5AEE">
        <w:rPr>
          <w:rFonts w:ascii="ITC Avant Garde" w:eastAsia="Times New Roman" w:hAnsi="ITC Avant Garde"/>
          <w:kern w:val="2"/>
          <w:lang w:eastAsia="ar-SA"/>
        </w:rPr>
        <w:t>para la Comisión Federal</w:t>
      </w:r>
      <w:r w:rsidR="002635B3">
        <w:rPr>
          <w:rFonts w:ascii="ITC Avant Garde" w:eastAsia="Times New Roman" w:hAnsi="ITC Avant Garde"/>
          <w:kern w:val="2"/>
          <w:lang w:eastAsia="ar-SA"/>
        </w:rPr>
        <w:t>de Competencia</w:t>
      </w:r>
      <w:r w:rsidR="007A5AEE">
        <w:rPr>
          <w:rFonts w:ascii="ITC Avant Garde" w:eastAsia="Times New Roman" w:hAnsi="ITC Avant Garde"/>
          <w:kern w:val="2"/>
          <w:lang w:eastAsia="ar-SA"/>
        </w:rPr>
        <w:t xml:space="preserve"> Económica</w:t>
      </w:r>
      <w:r w:rsidR="002635B3">
        <w:rPr>
          <w:rFonts w:ascii="ITC Avant Garde" w:eastAsia="Times New Roman" w:hAnsi="ITC Avant Garde"/>
          <w:kern w:val="2"/>
          <w:lang w:eastAsia="ar-SA"/>
        </w:rPr>
        <w:t xml:space="preserve">. </w:t>
      </w:r>
    </w:p>
    <w:p w14:paraId="7D48F76A" w14:textId="77777777" w:rsidR="00965ED2" w:rsidRDefault="00965ED2" w:rsidP="00400EF5">
      <w:pPr>
        <w:suppressAutoHyphens/>
        <w:spacing w:after="0" w:line="240" w:lineRule="auto"/>
        <w:ind w:right="-62"/>
        <w:jc w:val="both"/>
        <w:rPr>
          <w:rFonts w:ascii="ITC Avant Garde" w:eastAsia="Times New Roman" w:hAnsi="ITC Avant Garde"/>
          <w:kern w:val="2"/>
          <w:lang w:eastAsia="ar-SA"/>
        </w:rPr>
      </w:pPr>
    </w:p>
    <w:p w14:paraId="7348A8CC" w14:textId="4C192C84" w:rsidR="00332295" w:rsidRDefault="00452CD1" w:rsidP="00400EF5">
      <w:pPr>
        <w:suppressAutoHyphens/>
        <w:spacing w:after="0" w:line="240" w:lineRule="auto"/>
        <w:ind w:right="-62"/>
        <w:jc w:val="both"/>
        <w:rPr>
          <w:rFonts w:ascii="ITC Avant Garde" w:eastAsia="Times New Roman" w:hAnsi="ITC Avant Garde"/>
          <w:kern w:val="2"/>
          <w:lang w:val="es-ES" w:eastAsia="ar-SA"/>
        </w:rPr>
      </w:pPr>
      <w:r>
        <w:rPr>
          <w:rFonts w:ascii="ITC Avant Garde" w:eastAsia="Times New Roman" w:hAnsi="ITC Avant Garde"/>
          <w:kern w:val="2"/>
          <w:lang w:val="es-ES" w:eastAsia="ar-SA"/>
        </w:rPr>
        <w:t>Adicionalmente, e</w:t>
      </w:r>
      <w:r w:rsidR="00965ED2">
        <w:rPr>
          <w:rFonts w:ascii="ITC Avant Garde" w:eastAsia="Times New Roman" w:hAnsi="ITC Avant Garde"/>
          <w:kern w:val="2"/>
          <w:lang w:val="es-ES" w:eastAsia="ar-SA"/>
        </w:rPr>
        <w:t>l vigésimo párrafo, fracción IV, de</w:t>
      </w:r>
      <w:r w:rsidR="00A74F80">
        <w:rPr>
          <w:rFonts w:ascii="ITC Avant Garde" w:eastAsia="Times New Roman" w:hAnsi="ITC Avant Garde"/>
          <w:kern w:val="2"/>
          <w:lang w:val="es-ES" w:eastAsia="ar-SA"/>
        </w:rPr>
        <w:t xml:space="preserve">l artículo 28 </w:t>
      </w:r>
      <w:r w:rsidR="00923375">
        <w:rPr>
          <w:rFonts w:ascii="ITC Avant Garde" w:eastAsia="Times New Roman" w:hAnsi="ITC Avant Garde"/>
          <w:kern w:val="2"/>
          <w:lang w:val="es-ES" w:eastAsia="ar-SA"/>
        </w:rPr>
        <w:t>c</w:t>
      </w:r>
      <w:r w:rsidR="002A0540">
        <w:rPr>
          <w:rFonts w:ascii="ITC Avant Garde" w:eastAsia="Times New Roman" w:hAnsi="ITC Avant Garde"/>
          <w:kern w:val="2"/>
          <w:lang w:val="es-ES" w:eastAsia="ar-SA"/>
        </w:rPr>
        <w:t>onstitucional</w:t>
      </w:r>
      <w:r w:rsidR="00965ED2">
        <w:rPr>
          <w:rFonts w:ascii="ITC Avant Garde" w:eastAsia="Times New Roman" w:hAnsi="ITC Avant Garde"/>
          <w:kern w:val="2"/>
          <w:lang w:val="es-ES" w:eastAsia="ar-SA"/>
        </w:rPr>
        <w:t xml:space="preserve"> señala que el Instituto podrá emitir disposiciones administrativas de carácter general exclusivamente para el cumplimiento de su función regulatoria en el sector de su competencia. </w:t>
      </w:r>
    </w:p>
    <w:p w14:paraId="45808DB9" w14:textId="77777777" w:rsidR="00332295" w:rsidRDefault="00332295" w:rsidP="00400EF5">
      <w:pPr>
        <w:suppressAutoHyphens/>
        <w:spacing w:after="0" w:line="240" w:lineRule="auto"/>
        <w:ind w:right="-62"/>
        <w:jc w:val="both"/>
        <w:rPr>
          <w:rFonts w:ascii="ITC Avant Garde" w:eastAsia="Times New Roman" w:hAnsi="ITC Avant Garde"/>
          <w:kern w:val="2"/>
          <w:lang w:val="es-ES" w:eastAsia="ar-SA"/>
        </w:rPr>
      </w:pPr>
    </w:p>
    <w:p w14:paraId="6FC9D689" w14:textId="77777777" w:rsidR="00332295" w:rsidRPr="00332295" w:rsidRDefault="00332295" w:rsidP="00400EF5">
      <w:pPr>
        <w:suppressAutoHyphens/>
        <w:spacing w:after="0" w:line="240" w:lineRule="auto"/>
        <w:ind w:right="-62"/>
        <w:jc w:val="both"/>
        <w:rPr>
          <w:rFonts w:ascii="ITC Avant Garde" w:eastAsia="Times New Roman" w:hAnsi="ITC Avant Garde"/>
          <w:kern w:val="2"/>
          <w:lang w:eastAsia="ar-SA"/>
        </w:rPr>
      </w:pPr>
      <w:r w:rsidRPr="00332295">
        <w:rPr>
          <w:rFonts w:ascii="ITC Avant Garde" w:eastAsia="Times New Roman" w:hAnsi="ITC Avant Garde"/>
          <w:kern w:val="2"/>
          <w:lang w:eastAsia="ar-SA"/>
        </w:rPr>
        <w:t xml:space="preserve">En particular, en términos de </w:t>
      </w:r>
      <w:r w:rsidR="00322ABA">
        <w:rPr>
          <w:rFonts w:ascii="ITC Avant Garde" w:eastAsia="Times New Roman" w:hAnsi="ITC Avant Garde"/>
          <w:kern w:val="2"/>
          <w:lang w:eastAsia="ar-SA"/>
        </w:rPr>
        <w:t xml:space="preserve">lo señalado por </w:t>
      </w:r>
      <w:r w:rsidR="001203AD">
        <w:rPr>
          <w:rFonts w:ascii="ITC Avant Garde" w:eastAsia="Times New Roman" w:hAnsi="ITC Avant Garde"/>
          <w:kern w:val="2"/>
          <w:lang w:eastAsia="ar-SA"/>
        </w:rPr>
        <w:t xml:space="preserve">el </w:t>
      </w:r>
      <w:r w:rsidR="00322ABA">
        <w:rPr>
          <w:rFonts w:ascii="ITC Avant Garde" w:eastAsia="Times New Roman" w:hAnsi="ITC Avant Garde"/>
          <w:kern w:val="2"/>
          <w:lang w:eastAsia="ar-SA"/>
        </w:rPr>
        <w:t xml:space="preserve">artículo 15, </w:t>
      </w:r>
      <w:r w:rsidRPr="00332295">
        <w:rPr>
          <w:rFonts w:ascii="ITC Avant Garde" w:eastAsia="Times New Roman" w:hAnsi="ITC Avant Garde"/>
          <w:kern w:val="2"/>
          <w:lang w:eastAsia="ar-SA"/>
        </w:rPr>
        <w:t>fracciones I y LVI de la Ley</w:t>
      </w:r>
      <w:r w:rsidR="00322ABA">
        <w:rPr>
          <w:rFonts w:ascii="ITC Avant Garde" w:eastAsia="Times New Roman" w:hAnsi="ITC Avant Garde"/>
          <w:kern w:val="2"/>
          <w:lang w:eastAsia="ar-SA"/>
        </w:rPr>
        <w:t xml:space="preserve">, </w:t>
      </w:r>
      <w:r w:rsidRPr="00332295">
        <w:rPr>
          <w:rFonts w:ascii="ITC Avant Garde" w:eastAsia="Times New Roman" w:hAnsi="ITC Avant Garde"/>
          <w:kern w:val="2"/>
          <w:lang w:eastAsia="ar-SA"/>
        </w:rPr>
        <w:t xml:space="preserve">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 </w:t>
      </w:r>
      <w:r w:rsidR="00393918">
        <w:rPr>
          <w:rFonts w:ascii="ITC Avant Garde" w:eastAsia="Times New Roman" w:hAnsi="ITC Avant Garde"/>
          <w:kern w:val="2"/>
          <w:lang w:eastAsia="ar-SA"/>
        </w:rPr>
        <w:t xml:space="preserve">y </w:t>
      </w:r>
      <w:r w:rsidRPr="00332295">
        <w:rPr>
          <w:rFonts w:ascii="ITC Avant Garde" w:eastAsia="Times New Roman" w:hAnsi="ITC Avant Garde"/>
          <w:kern w:val="2"/>
          <w:lang w:eastAsia="ar-SA"/>
        </w:rPr>
        <w:t>para aprobar y expedir las disposiciones administrativas de carácter general necesarias para el debido ejercicio de las facultades y atribuciones del Instituto.</w:t>
      </w:r>
    </w:p>
    <w:p w14:paraId="2D3827ED" w14:textId="77777777" w:rsidR="00332295" w:rsidRDefault="00332295" w:rsidP="00400EF5">
      <w:pPr>
        <w:suppressAutoHyphens/>
        <w:spacing w:after="0" w:line="240" w:lineRule="auto"/>
        <w:ind w:right="-62"/>
        <w:jc w:val="both"/>
        <w:rPr>
          <w:rFonts w:ascii="ITC Avant Garde" w:eastAsia="Times New Roman" w:hAnsi="ITC Avant Garde"/>
          <w:kern w:val="2"/>
          <w:lang w:val="es-ES" w:eastAsia="ar-SA"/>
        </w:rPr>
      </w:pPr>
    </w:p>
    <w:p w14:paraId="5E608723" w14:textId="7CCD98FE" w:rsidR="00965ED2" w:rsidRDefault="00965ED2" w:rsidP="00400EF5">
      <w:pPr>
        <w:suppressAutoHyphens/>
        <w:spacing w:after="0" w:line="240" w:lineRule="auto"/>
        <w:ind w:right="-62"/>
        <w:jc w:val="both"/>
        <w:rPr>
          <w:rFonts w:ascii="ITC Avant Garde" w:eastAsia="Times New Roman" w:hAnsi="ITC Avant Garde"/>
          <w:kern w:val="2"/>
          <w:lang w:eastAsia="ar-SA"/>
        </w:rPr>
      </w:pPr>
      <w:r>
        <w:rPr>
          <w:rFonts w:ascii="ITC Avant Garde" w:eastAsia="Times New Roman" w:hAnsi="ITC Avant Garde"/>
          <w:kern w:val="2"/>
          <w:lang w:val="es-ES" w:eastAsia="ar-SA"/>
        </w:rPr>
        <w:t xml:space="preserve">En ese orden de ideas, </w:t>
      </w:r>
      <w:r w:rsidR="001203AD">
        <w:rPr>
          <w:rFonts w:ascii="ITC Avant Garde" w:eastAsia="Times New Roman" w:hAnsi="ITC Avant Garde"/>
          <w:kern w:val="2"/>
          <w:lang w:val="es-ES" w:eastAsia="ar-SA"/>
        </w:rPr>
        <w:t xml:space="preserve">los </w:t>
      </w:r>
      <w:r w:rsidR="00332295">
        <w:rPr>
          <w:rFonts w:ascii="ITC Avant Garde" w:eastAsia="Times New Roman" w:hAnsi="ITC Avant Garde"/>
          <w:kern w:val="2"/>
          <w:lang w:val="es-ES" w:eastAsia="ar-SA"/>
        </w:rPr>
        <w:t>artículo</w:t>
      </w:r>
      <w:r w:rsidR="001203AD">
        <w:rPr>
          <w:rFonts w:ascii="ITC Avant Garde" w:eastAsia="Times New Roman" w:hAnsi="ITC Avant Garde"/>
          <w:kern w:val="2"/>
          <w:lang w:val="es-ES" w:eastAsia="ar-SA"/>
        </w:rPr>
        <w:t>s</w:t>
      </w:r>
      <w:r w:rsidR="00332295">
        <w:rPr>
          <w:rFonts w:ascii="ITC Avant Garde" w:eastAsia="Times New Roman" w:hAnsi="ITC Avant Garde"/>
          <w:kern w:val="2"/>
          <w:lang w:val="es-ES" w:eastAsia="ar-SA"/>
        </w:rPr>
        <w:t xml:space="preserve"> </w:t>
      </w:r>
      <w:r w:rsidR="001203AD">
        <w:rPr>
          <w:rFonts w:ascii="ITC Avant Garde" w:eastAsia="Times New Roman" w:hAnsi="ITC Avant Garde"/>
          <w:kern w:val="2"/>
          <w:lang w:val="es-ES" w:eastAsia="ar-SA"/>
        </w:rPr>
        <w:t xml:space="preserve">15, fracciones XL y XLI, </w:t>
      </w:r>
      <w:r w:rsidR="00A74F80">
        <w:rPr>
          <w:rFonts w:ascii="ITC Avant Garde" w:eastAsia="Times New Roman" w:hAnsi="ITC Avant Garde"/>
          <w:kern w:val="2"/>
          <w:lang w:eastAsia="ar-SA"/>
        </w:rPr>
        <w:t>51 de la Ley</w:t>
      </w:r>
      <w:r w:rsidR="00332295">
        <w:rPr>
          <w:rFonts w:ascii="ITC Avant Garde" w:eastAsia="Times New Roman" w:hAnsi="ITC Avant Garde"/>
          <w:kern w:val="2"/>
          <w:lang w:eastAsia="ar-SA"/>
        </w:rPr>
        <w:t xml:space="preserve"> </w:t>
      </w:r>
      <w:r w:rsidR="001203AD">
        <w:rPr>
          <w:rFonts w:ascii="ITC Avant Garde" w:eastAsia="Times New Roman" w:hAnsi="ITC Avant Garde"/>
          <w:kern w:val="2"/>
          <w:lang w:eastAsia="ar-SA"/>
        </w:rPr>
        <w:t xml:space="preserve">y 12, fracción XXII </w:t>
      </w:r>
      <w:r w:rsidR="00F81CB1">
        <w:rPr>
          <w:rFonts w:ascii="ITC Avant Garde" w:eastAsia="Times New Roman" w:hAnsi="ITC Avant Garde"/>
          <w:kern w:val="2"/>
          <w:lang w:eastAsia="ar-SA"/>
        </w:rPr>
        <w:t xml:space="preserve">y 138 </w:t>
      </w:r>
      <w:r w:rsidR="001203AD">
        <w:rPr>
          <w:rFonts w:ascii="ITC Avant Garde" w:eastAsia="Times New Roman" w:hAnsi="ITC Avant Garde"/>
          <w:kern w:val="2"/>
          <w:lang w:eastAsia="ar-SA"/>
        </w:rPr>
        <w:t xml:space="preserve">de la Ley de Competencia </w:t>
      </w:r>
      <w:r w:rsidR="00575273">
        <w:rPr>
          <w:rFonts w:ascii="ITC Avant Garde" w:eastAsia="Times New Roman" w:hAnsi="ITC Avant Garde"/>
          <w:kern w:val="2"/>
          <w:lang w:eastAsia="ar-SA"/>
        </w:rPr>
        <w:t>establece</w:t>
      </w:r>
      <w:r w:rsidR="001203AD">
        <w:rPr>
          <w:rFonts w:ascii="ITC Avant Garde" w:eastAsia="Times New Roman" w:hAnsi="ITC Avant Garde"/>
          <w:kern w:val="2"/>
          <w:lang w:eastAsia="ar-SA"/>
        </w:rPr>
        <w:t>n</w:t>
      </w:r>
      <w:r w:rsidR="00575273">
        <w:rPr>
          <w:rFonts w:ascii="ITC Avant Garde" w:eastAsia="Times New Roman" w:hAnsi="ITC Avant Garde"/>
          <w:kern w:val="2"/>
          <w:lang w:eastAsia="ar-SA"/>
        </w:rPr>
        <w:t xml:space="preserve"> que</w:t>
      </w:r>
      <w:r w:rsidR="001203AD">
        <w:rPr>
          <w:rFonts w:ascii="ITC Avant Garde" w:eastAsia="Times New Roman" w:hAnsi="ITC Avant Garde"/>
          <w:kern w:val="2"/>
          <w:lang w:eastAsia="ar-SA"/>
        </w:rPr>
        <w:t>,</w:t>
      </w:r>
      <w:r w:rsidR="00575273">
        <w:rPr>
          <w:rFonts w:ascii="ITC Avant Garde" w:eastAsia="Times New Roman" w:hAnsi="ITC Avant Garde"/>
          <w:kern w:val="2"/>
          <w:lang w:eastAsia="ar-SA"/>
        </w:rPr>
        <w:t xml:space="preserve"> p</w:t>
      </w:r>
      <w:r w:rsidR="00575273" w:rsidRPr="00575273">
        <w:rPr>
          <w:rFonts w:ascii="ITC Avant Garde" w:eastAsia="Times New Roman" w:hAnsi="ITC Avant Garde"/>
          <w:kern w:val="2"/>
          <w:lang w:eastAsia="ar-SA"/>
        </w:rPr>
        <w:t>revi</w:t>
      </w:r>
      <w:r w:rsidR="00AE1643">
        <w:rPr>
          <w:rFonts w:ascii="ITC Avant Garde" w:eastAsia="Times New Roman" w:hAnsi="ITC Avant Garde"/>
          <w:kern w:val="2"/>
          <w:lang w:eastAsia="ar-SA"/>
        </w:rPr>
        <w:t>amente</w:t>
      </w:r>
      <w:r w:rsidR="00575273" w:rsidRPr="00575273">
        <w:rPr>
          <w:rFonts w:ascii="ITC Avant Garde" w:eastAsia="Times New Roman" w:hAnsi="ITC Avant Garde"/>
          <w:kern w:val="2"/>
          <w:lang w:eastAsia="ar-SA"/>
        </w:rPr>
        <w:t xml:space="preserve"> a la emisión de las reglas, lineamientos o disposiciones administ</w:t>
      </w:r>
      <w:r w:rsidR="007658E4">
        <w:rPr>
          <w:rFonts w:ascii="ITC Avant Garde" w:eastAsia="Times New Roman" w:hAnsi="ITC Avant Garde"/>
          <w:kern w:val="2"/>
          <w:lang w:eastAsia="ar-SA"/>
        </w:rPr>
        <w:t xml:space="preserve">rativas de carácter general, el </w:t>
      </w:r>
      <w:r w:rsidR="00575273" w:rsidRPr="00575273">
        <w:rPr>
          <w:rFonts w:ascii="ITC Avant Garde" w:eastAsia="Times New Roman" w:hAnsi="ITC Avant Garde"/>
          <w:kern w:val="2"/>
          <w:lang w:eastAsia="ar-SA"/>
        </w:rPr>
        <w:t>Instituto deberá realizar</w:t>
      </w:r>
      <w:r w:rsidR="00575273">
        <w:rPr>
          <w:rFonts w:ascii="ITC Avant Garde" w:eastAsia="Times New Roman" w:hAnsi="ITC Avant Garde"/>
          <w:kern w:val="2"/>
          <w:lang w:eastAsia="ar-SA"/>
        </w:rPr>
        <w:t xml:space="preserve"> </w:t>
      </w:r>
      <w:r>
        <w:rPr>
          <w:rFonts w:ascii="ITC Avant Garde" w:eastAsia="Times New Roman" w:hAnsi="ITC Avant Garde"/>
          <w:kern w:val="2"/>
          <w:lang w:eastAsia="ar-SA"/>
        </w:rPr>
        <w:t>consultas públicas bajo los principios de transparencia y participación ciudadana</w:t>
      </w:r>
      <w:r w:rsidR="00332295">
        <w:rPr>
          <w:rFonts w:ascii="ITC Avant Garde" w:eastAsia="Times New Roman" w:hAnsi="ITC Avant Garde"/>
          <w:kern w:val="2"/>
          <w:lang w:eastAsia="ar-SA"/>
        </w:rPr>
        <w:t xml:space="preserve">, </w:t>
      </w:r>
      <w:r w:rsidR="00575273">
        <w:rPr>
          <w:rFonts w:ascii="ITC Avant Garde" w:eastAsia="Times New Roman" w:hAnsi="ITC Avant Garde"/>
          <w:kern w:val="2"/>
          <w:lang w:eastAsia="ar-SA"/>
        </w:rPr>
        <w:t xml:space="preserve">así como </w:t>
      </w:r>
      <w:r w:rsidR="00332295">
        <w:rPr>
          <w:rFonts w:ascii="ITC Avant Garde" w:eastAsia="Times New Roman" w:hAnsi="ITC Avant Garde"/>
          <w:kern w:val="2"/>
          <w:lang w:eastAsia="ar-SA"/>
        </w:rPr>
        <w:t>en los términos que determine el Pleno del Instituto</w:t>
      </w:r>
      <w:r>
        <w:rPr>
          <w:rFonts w:ascii="ITC Avant Garde" w:eastAsia="Times New Roman" w:hAnsi="ITC Avant Garde"/>
          <w:kern w:val="2"/>
          <w:lang w:eastAsia="ar-SA"/>
        </w:rPr>
        <w:t>.</w:t>
      </w:r>
    </w:p>
    <w:p w14:paraId="382D33F7" w14:textId="77777777" w:rsidR="00965ED2" w:rsidRPr="00332295" w:rsidRDefault="00965ED2" w:rsidP="00400EF5">
      <w:pPr>
        <w:suppressAutoHyphens/>
        <w:spacing w:after="0" w:line="240" w:lineRule="auto"/>
        <w:ind w:right="-62"/>
        <w:jc w:val="both"/>
        <w:rPr>
          <w:rFonts w:ascii="ITC Avant Garde" w:eastAsia="Times New Roman" w:hAnsi="ITC Avant Garde"/>
          <w:kern w:val="2"/>
          <w:lang w:eastAsia="ar-SA"/>
        </w:rPr>
      </w:pPr>
    </w:p>
    <w:p w14:paraId="392F53F0" w14:textId="0FB31559" w:rsidR="00DF57C0" w:rsidRPr="003F2556" w:rsidRDefault="00965ED2" w:rsidP="00400EF5">
      <w:pPr>
        <w:suppressAutoHyphens/>
        <w:spacing w:after="0" w:line="240" w:lineRule="auto"/>
        <w:ind w:right="-62"/>
        <w:jc w:val="both"/>
        <w:rPr>
          <w:rFonts w:ascii="ITC Avant Garde" w:eastAsia="Times New Roman" w:hAnsi="ITC Avant Garde"/>
          <w:kern w:val="2"/>
          <w:lang w:val="es-ES" w:eastAsia="ar-SA"/>
        </w:rPr>
      </w:pPr>
      <w:r w:rsidRPr="00AE05FC">
        <w:rPr>
          <w:rFonts w:ascii="ITC Avant Garde" w:eastAsia="Times New Roman" w:hAnsi="ITC Avant Garde"/>
          <w:kern w:val="2"/>
          <w:lang w:val="es-ES" w:eastAsia="ar-SA"/>
        </w:rPr>
        <w:t>Por lo anterior</w:t>
      </w:r>
      <w:r w:rsidR="003F2556" w:rsidRPr="00AE05FC">
        <w:rPr>
          <w:rFonts w:ascii="ITC Avant Garde" w:eastAsia="Times New Roman" w:hAnsi="ITC Avant Garde"/>
          <w:kern w:val="2"/>
          <w:lang w:val="es-ES" w:eastAsia="ar-SA"/>
        </w:rPr>
        <w:t>,</w:t>
      </w:r>
      <w:r w:rsidRPr="00AE05FC">
        <w:rPr>
          <w:rFonts w:ascii="ITC Avant Garde" w:eastAsia="Times New Roman" w:hAnsi="ITC Avant Garde"/>
          <w:kern w:val="2"/>
          <w:lang w:val="es-ES" w:eastAsia="ar-SA"/>
        </w:rPr>
        <w:t xml:space="preserve"> y con</w:t>
      </w:r>
      <w:r w:rsidR="00EC146E" w:rsidRPr="00AE05FC">
        <w:rPr>
          <w:rFonts w:ascii="ITC Avant Garde" w:eastAsia="Times New Roman" w:hAnsi="ITC Avant Garde"/>
          <w:kern w:val="2"/>
          <w:lang w:val="es-ES" w:eastAsia="ar-SA"/>
        </w:rPr>
        <w:t xml:space="preserve"> fundamento en los artículos 6</w:t>
      </w:r>
      <w:r w:rsidR="00923375">
        <w:rPr>
          <w:rFonts w:ascii="ITC Avant Garde" w:eastAsia="Times New Roman" w:hAnsi="ITC Avant Garde"/>
          <w:kern w:val="2"/>
          <w:lang w:val="es-ES" w:eastAsia="ar-SA"/>
        </w:rPr>
        <w:t>o.</w:t>
      </w:r>
      <w:r w:rsidR="00EC146E" w:rsidRPr="00AE05FC">
        <w:rPr>
          <w:rFonts w:ascii="ITC Avant Garde" w:eastAsia="Times New Roman" w:hAnsi="ITC Avant Garde"/>
          <w:kern w:val="2"/>
          <w:lang w:val="es-ES" w:eastAsia="ar-SA"/>
        </w:rPr>
        <w:t>, 7</w:t>
      </w:r>
      <w:r w:rsidR="00923375">
        <w:rPr>
          <w:rFonts w:ascii="ITC Avant Garde" w:eastAsia="Times New Roman" w:hAnsi="ITC Avant Garde"/>
          <w:kern w:val="2"/>
          <w:lang w:val="es-ES" w:eastAsia="ar-SA"/>
        </w:rPr>
        <w:t>o.</w:t>
      </w:r>
      <w:r w:rsidRPr="00AE05FC">
        <w:rPr>
          <w:rFonts w:ascii="ITC Avant Garde" w:eastAsia="Times New Roman" w:hAnsi="ITC Avant Garde"/>
          <w:kern w:val="2"/>
          <w:lang w:val="es-ES" w:eastAsia="ar-SA"/>
        </w:rPr>
        <w:t xml:space="preserve"> y 28, </w:t>
      </w:r>
      <w:r w:rsidR="00332295" w:rsidRPr="00AE05FC">
        <w:rPr>
          <w:rFonts w:ascii="ITC Avant Garde" w:eastAsia="Times New Roman" w:hAnsi="ITC Avant Garde"/>
          <w:kern w:val="2"/>
          <w:lang w:val="es-ES" w:eastAsia="ar-SA"/>
        </w:rPr>
        <w:t>párrafos décimo quinto,</w:t>
      </w:r>
      <w:r w:rsidR="00A74F80" w:rsidRPr="00AE05FC">
        <w:rPr>
          <w:rFonts w:ascii="ITC Avant Garde" w:eastAsia="Times New Roman" w:hAnsi="ITC Avant Garde"/>
          <w:kern w:val="2"/>
          <w:lang w:val="es-ES" w:eastAsia="ar-SA"/>
        </w:rPr>
        <w:t xml:space="preserve"> décimo sexto</w:t>
      </w:r>
      <w:r w:rsidR="00332295" w:rsidRPr="00AE05FC">
        <w:rPr>
          <w:rFonts w:ascii="ITC Avant Garde" w:eastAsia="Times New Roman" w:hAnsi="ITC Avant Garde"/>
          <w:kern w:val="2"/>
          <w:lang w:val="es-ES" w:eastAsia="ar-SA"/>
        </w:rPr>
        <w:t xml:space="preserve"> y vigésimo</w:t>
      </w:r>
      <w:r w:rsidR="004A2F75" w:rsidRPr="00AE05FC">
        <w:rPr>
          <w:rFonts w:ascii="ITC Avant Garde" w:eastAsia="Times New Roman" w:hAnsi="ITC Avant Garde"/>
          <w:kern w:val="2"/>
          <w:lang w:val="es-ES" w:eastAsia="ar-SA"/>
        </w:rPr>
        <w:t>, fracción IV,</w:t>
      </w:r>
      <w:r w:rsidR="00A74F80" w:rsidRPr="00AE05FC">
        <w:rPr>
          <w:rFonts w:ascii="ITC Avant Garde" w:eastAsia="Times New Roman" w:hAnsi="ITC Avant Garde"/>
          <w:kern w:val="2"/>
          <w:lang w:val="es-ES" w:eastAsia="ar-SA"/>
        </w:rPr>
        <w:t xml:space="preserve"> de</w:t>
      </w:r>
      <w:r w:rsidR="00923375">
        <w:rPr>
          <w:rFonts w:ascii="ITC Avant Garde" w:eastAsia="Times New Roman" w:hAnsi="ITC Avant Garde"/>
          <w:kern w:val="2"/>
          <w:lang w:val="es-ES" w:eastAsia="ar-SA"/>
        </w:rPr>
        <w:t xml:space="preserve"> </w:t>
      </w:r>
      <w:r w:rsidR="00A74F80" w:rsidRPr="00AE05FC">
        <w:rPr>
          <w:rFonts w:ascii="ITC Avant Garde" w:eastAsia="Times New Roman" w:hAnsi="ITC Avant Garde"/>
          <w:kern w:val="2"/>
          <w:lang w:val="es-ES" w:eastAsia="ar-SA"/>
        </w:rPr>
        <w:t>l</w:t>
      </w:r>
      <w:r w:rsidR="00923375">
        <w:rPr>
          <w:rFonts w:ascii="ITC Avant Garde" w:eastAsia="Times New Roman" w:hAnsi="ITC Avant Garde"/>
          <w:kern w:val="2"/>
          <w:lang w:val="es-ES" w:eastAsia="ar-SA"/>
        </w:rPr>
        <w:t>a</w:t>
      </w:r>
      <w:r w:rsidR="00A74F80" w:rsidRPr="00AE05FC">
        <w:rPr>
          <w:rFonts w:ascii="ITC Avant Garde" w:eastAsia="Times New Roman" w:hAnsi="ITC Avant Garde"/>
          <w:kern w:val="2"/>
          <w:lang w:val="es-ES" w:eastAsia="ar-SA"/>
        </w:rPr>
        <w:t xml:space="preserve"> </w:t>
      </w:r>
      <w:r w:rsidR="00923375">
        <w:rPr>
          <w:rFonts w:ascii="ITC Avant Garde" w:eastAsia="Times New Roman" w:hAnsi="ITC Avant Garde"/>
          <w:kern w:val="2"/>
          <w:lang w:val="es-ES" w:eastAsia="ar-SA"/>
        </w:rPr>
        <w:t>Constitución Política de los Estados Unidos Mexicanos</w:t>
      </w:r>
      <w:r w:rsidRPr="00AE05FC">
        <w:rPr>
          <w:rFonts w:ascii="ITC Avant Garde" w:eastAsia="Times New Roman" w:hAnsi="ITC Avant Garde"/>
          <w:kern w:val="2"/>
          <w:lang w:val="es-ES" w:eastAsia="ar-SA"/>
        </w:rPr>
        <w:t xml:space="preserve">; </w:t>
      </w:r>
      <w:r w:rsidR="004A2F75" w:rsidRPr="00AE05FC">
        <w:rPr>
          <w:rFonts w:ascii="ITC Avant Garde" w:eastAsia="Times New Roman" w:hAnsi="ITC Avant Garde"/>
          <w:kern w:val="2"/>
          <w:lang w:val="es-ES" w:eastAsia="ar-SA"/>
        </w:rPr>
        <w:t>1, 2, 7, 15, fracciones</w:t>
      </w:r>
      <w:r w:rsidRPr="00AE05FC">
        <w:rPr>
          <w:rFonts w:ascii="ITC Avant Garde" w:eastAsia="Times New Roman" w:hAnsi="ITC Avant Garde"/>
          <w:kern w:val="2"/>
          <w:lang w:val="es-ES" w:eastAsia="ar-SA"/>
        </w:rPr>
        <w:t xml:space="preserve"> I</w:t>
      </w:r>
      <w:r w:rsidR="00F81CB1">
        <w:rPr>
          <w:rFonts w:ascii="ITC Avant Garde" w:eastAsia="Times New Roman" w:hAnsi="ITC Avant Garde"/>
          <w:kern w:val="2"/>
          <w:lang w:val="es-ES" w:eastAsia="ar-SA"/>
        </w:rPr>
        <w:t>, XL, XLI</w:t>
      </w:r>
      <w:r w:rsidR="004E30A3" w:rsidRPr="00AE05FC">
        <w:rPr>
          <w:rFonts w:ascii="ITC Avant Garde" w:eastAsia="Times New Roman" w:hAnsi="ITC Avant Garde"/>
          <w:kern w:val="2"/>
          <w:lang w:val="es-ES" w:eastAsia="ar-SA"/>
        </w:rPr>
        <w:t xml:space="preserve"> y LVI</w:t>
      </w:r>
      <w:r w:rsidRPr="00AE05FC">
        <w:rPr>
          <w:rFonts w:ascii="ITC Avant Garde" w:eastAsia="Times New Roman" w:hAnsi="ITC Avant Garde"/>
          <w:kern w:val="2"/>
          <w:lang w:val="es-ES" w:eastAsia="ar-SA"/>
        </w:rPr>
        <w:t>,</w:t>
      </w:r>
      <w:r w:rsidR="00E62080" w:rsidRPr="00AE05FC">
        <w:rPr>
          <w:rFonts w:ascii="ITC Avant Garde" w:eastAsia="Times New Roman" w:hAnsi="ITC Avant Garde"/>
          <w:kern w:val="2"/>
          <w:lang w:val="es-ES" w:eastAsia="ar-SA"/>
        </w:rPr>
        <w:t xml:space="preserve"> </w:t>
      </w:r>
      <w:r w:rsidR="008F32F1">
        <w:rPr>
          <w:rFonts w:ascii="ITC Avant Garde" w:eastAsia="Times New Roman" w:hAnsi="ITC Avant Garde"/>
          <w:kern w:val="2"/>
          <w:lang w:val="es-ES" w:eastAsia="ar-SA"/>
        </w:rPr>
        <w:t xml:space="preserve">16, </w:t>
      </w:r>
      <w:r w:rsidR="00E62080" w:rsidRPr="00AE05FC">
        <w:rPr>
          <w:rFonts w:ascii="ITC Avant Garde" w:eastAsia="Times New Roman" w:hAnsi="ITC Avant Garde"/>
          <w:kern w:val="2"/>
          <w:lang w:val="es-ES" w:eastAsia="ar-SA"/>
        </w:rPr>
        <w:t>17, fracciones</w:t>
      </w:r>
      <w:r w:rsidR="00A74F80" w:rsidRPr="00AE05FC">
        <w:rPr>
          <w:rFonts w:ascii="ITC Avant Garde" w:eastAsia="Times New Roman" w:hAnsi="ITC Avant Garde"/>
          <w:kern w:val="2"/>
          <w:lang w:val="es-ES" w:eastAsia="ar-SA"/>
        </w:rPr>
        <w:t xml:space="preserve"> I</w:t>
      </w:r>
      <w:r w:rsidR="00E62080" w:rsidRPr="00AE05FC">
        <w:rPr>
          <w:rFonts w:ascii="ITC Avant Garde" w:eastAsia="Times New Roman" w:hAnsi="ITC Avant Garde"/>
          <w:kern w:val="2"/>
          <w:lang w:val="es-ES" w:eastAsia="ar-SA"/>
        </w:rPr>
        <w:t xml:space="preserve"> y XIII</w:t>
      </w:r>
      <w:r w:rsidR="00A74F80" w:rsidRPr="00AE05FC">
        <w:rPr>
          <w:rFonts w:ascii="ITC Avant Garde" w:eastAsia="Times New Roman" w:hAnsi="ITC Avant Garde"/>
          <w:kern w:val="2"/>
          <w:lang w:val="es-ES" w:eastAsia="ar-SA"/>
        </w:rPr>
        <w:t>, y 51 de la Ley</w:t>
      </w:r>
      <w:r w:rsidR="00923375">
        <w:rPr>
          <w:rFonts w:ascii="ITC Avant Garde" w:eastAsia="Times New Roman" w:hAnsi="ITC Avant Garde"/>
          <w:kern w:val="2"/>
          <w:lang w:val="es-ES" w:eastAsia="ar-SA"/>
        </w:rPr>
        <w:t xml:space="preserve"> Federal de Telecomunicaciones y Radiodifsuión</w:t>
      </w:r>
      <w:r w:rsidR="004E30A3" w:rsidRPr="00AE05FC">
        <w:rPr>
          <w:rFonts w:ascii="ITC Avant Garde" w:eastAsia="Times New Roman" w:hAnsi="ITC Avant Garde"/>
          <w:kern w:val="2"/>
          <w:lang w:val="es-ES" w:eastAsia="ar-SA"/>
        </w:rPr>
        <w:t xml:space="preserve">; 5, 12, fracción XXII y 138 de la Ley </w:t>
      </w:r>
      <w:r w:rsidR="00923375">
        <w:rPr>
          <w:rFonts w:ascii="ITC Avant Garde" w:eastAsia="Times New Roman" w:hAnsi="ITC Avant Garde"/>
          <w:kern w:val="2"/>
          <w:lang w:val="es-ES" w:eastAsia="ar-SA"/>
        </w:rPr>
        <w:t xml:space="preserve">Federal </w:t>
      </w:r>
      <w:r w:rsidR="004E30A3" w:rsidRPr="00AE05FC">
        <w:rPr>
          <w:rFonts w:ascii="ITC Avant Garde" w:eastAsia="Times New Roman" w:hAnsi="ITC Avant Garde"/>
          <w:kern w:val="2"/>
          <w:lang w:val="es-ES" w:eastAsia="ar-SA"/>
        </w:rPr>
        <w:t>de Competencia</w:t>
      </w:r>
      <w:r w:rsidR="00923375">
        <w:rPr>
          <w:rFonts w:ascii="ITC Avant Garde" w:eastAsia="Times New Roman" w:hAnsi="ITC Avant Garde"/>
          <w:kern w:val="2"/>
          <w:lang w:val="es-ES" w:eastAsia="ar-SA"/>
        </w:rPr>
        <w:t xml:space="preserve"> Económica</w:t>
      </w:r>
      <w:r w:rsidR="00EC146E" w:rsidRPr="00AE05FC">
        <w:rPr>
          <w:rFonts w:ascii="ITC Avant Garde" w:eastAsia="Times New Roman" w:hAnsi="ITC Avant Garde"/>
          <w:kern w:val="2"/>
          <w:lang w:val="es-ES" w:eastAsia="ar-SA"/>
        </w:rPr>
        <w:t>,</w:t>
      </w:r>
      <w:r w:rsidR="004E30A3" w:rsidRPr="00AE05FC">
        <w:rPr>
          <w:rFonts w:ascii="ITC Avant Garde" w:eastAsia="Times New Roman" w:hAnsi="ITC Avant Garde"/>
          <w:kern w:val="2"/>
          <w:lang w:val="es-ES" w:eastAsia="ar-SA"/>
        </w:rPr>
        <w:t xml:space="preserve"> y </w:t>
      </w:r>
      <w:r w:rsidRPr="00AE05FC">
        <w:rPr>
          <w:rFonts w:ascii="ITC Avant Garde" w:eastAsia="Times New Roman" w:hAnsi="ITC Avant Garde"/>
          <w:kern w:val="2"/>
          <w:lang w:val="es-ES" w:eastAsia="ar-SA"/>
        </w:rPr>
        <w:t>1, 4,</w:t>
      </w:r>
      <w:r w:rsidR="000A1940" w:rsidRPr="00AE05FC">
        <w:rPr>
          <w:rFonts w:ascii="ITC Avant Garde" w:eastAsia="Times New Roman" w:hAnsi="ITC Avant Garde"/>
          <w:kern w:val="2"/>
          <w:lang w:val="es-ES" w:eastAsia="ar-SA"/>
        </w:rPr>
        <w:t xml:space="preserve"> fracción I, y 6, fracciones I, XXV y</w:t>
      </w:r>
      <w:r w:rsidRPr="00AE05FC">
        <w:rPr>
          <w:rFonts w:ascii="ITC Avant Garde" w:eastAsia="Times New Roman" w:hAnsi="ITC Avant Garde"/>
          <w:kern w:val="2"/>
          <w:lang w:val="es-ES" w:eastAsia="ar-SA"/>
        </w:rPr>
        <w:t xml:space="preserve"> XXXVII, del Estatuto</w:t>
      </w:r>
      <w:r w:rsidR="00A54103">
        <w:rPr>
          <w:rFonts w:ascii="ITC Avant Garde" w:eastAsia="Times New Roman" w:hAnsi="ITC Avant Garde"/>
          <w:kern w:val="2"/>
          <w:lang w:val="es-ES" w:eastAsia="ar-SA"/>
        </w:rPr>
        <w:t xml:space="preserve"> Orgánico del Instituto Federal de Telecomunicaciones</w:t>
      </w:r>
      <w:r w:rsidRPr="00AE05FC">
        <w:rPr>
          <w:rFonts w:ascii="ITC Avant Garde" w:eastAsia="Times New Roman" w:hAnsi="ITC Avant Garde"/>
          <w:kern w:val="2"/>
          <w:lang w:val="es-ES" w:eastAsia="ar-SA"/>
        </w:rPr>
        <w:t>, el Pleno</w:t>
      </w:r>
      <w:r w:rsidR="0018559A" w:rsidRPr="00AE05FC">
        <w:rPr>
          <w:rFonts w:ascii="ITC Avant Garde" w:eastAsia="Times New Roman" w:hAnsi="ITC Avant Garde"/>
          <w:kern w:val="2"/>
          <w:lang w:val="es-ES" w:eastAsia="ar-SA"/>
        </w:rPr>
        <w:t xml:space="preserve">, como órgano máximo de gobierno del Instituto, es competente para emitir los presentes </w:t>
      </w:r>
      <w:r w:rsidR="00FA1E00">
        <w:rPr>
          <w:rFonts w:ascii="ITC Avant Garde" w:eastAsia="Times New Roman" w:hAnsi="ITC Avant Garde"/>
          <w:kern w:val="2"/>
          <w:lang w:val="es-ES" w:eastAsia="ar-SA"/>
        </w:rPr>
        <w:t>“</w:t>
      </w:r>
      <w:r w:rsidR="0018559A" w:rsidRPr="00241FD3">
        <w:rPr>
          <w:rFonts w:ascii="ITC Avant Garde" w:eastAsia="Times New Roman" w:hAnsi="ITC Avant Garde"/>
          <w:i/>
          <w:kern w:val="2"/>
          <w:lang w:val="es-ES" w:eastAsia="ar-SA"/>
        </w:rPr>
        <w:t xml:space="preserve">Lineamientos </w:t>
      </w:r>
      <w:r w:rsidR="0018559A" w:rsidRPr="00241FD3">
        <w:rPr>
          <w:rFonts w:ascii="ITC Avant Garde" w:eastAsia="Times New Roman" w:hAnsi="ITC Avant Garde"/>
          <w:i/>
          <w:kern w:val="2"/>
          <w:lang w:val="es-ES" w:eastAsia="ar-SA"/>
        </w:rPr>
        <w:lastRenderedPageBreak/>
        <w:t>de Consulta Pública y Análisis de Impacto Regulatorio del Instituto Federal de Telecomunicaciones</w:t>
      </w:r>
      <w:r w:rsidR="00FA1E00">
        <w:rPr>
          <w:rFonts w:ascii="ITC Avant Garde" w:eastAsia="Times New Roman" w:hAnsi="ITC Avant Garde"/>
          <w:i/>
          <w:kern w:val="2"/>
          <w:lang w:val="es-ES" w:eastAsia="ar-SA"/>
        </w:rPr>
        <w:t>”</w:t>
      </w:r>
      <w:r w:rsidR="0018559A" w:rsidRPr="00AE05FC">
        <w:rPr>
          <w:rFonts w:ascii="ITC Avant Garde" w:eastAsia="Times New Roman" w:hAnsi="ITC Avant Garde"/>
          <w:kern w:val="2"/>
          <w:lang w:val="es-ES" w:eastAsia="ar-SA"/>
        </w:rPr>
        <w:t xml:space="preserve"> (en lo sucesivo, los “Lineamientos”).</w:t>
      </w:r>
    </w:p>
    <w:p w14:paraId="67B3E36B" w14:textId="77777777" w:rsidR="007A59F7" w:rsidRPr="00A67E95" w:rsidRDefault="007A59F7" w:rsidP="00400EF5">
      <w:pPr>
        <w:tabs>
          <w:tab w:val="num" w:pos="1220"/>
          <w:tab w:val="num" w:pos="1940"/>
        </w:tabs>
        <w:spacing w:after="0" w:line="240" w:lineRule="auto"/>
        <w:jc w:val="both"/>
        <w:rPr>
          <w:rFonts w:ascii="ITC Avant Garde" w:eastAsia="Arial" w:hAnsi="ITC Avant Garde" w:cs="Arial"/>
          <w:lang w:val="es-ES_tradnl"/>
        </w:rPr>
      </w:pPr>
    </w:p>
    <w:p w14:paraId="7B2879C7" w14:textId="77777777" w:rsidR="007658E4" w:rsidRDefault="00965ED2" w:rsidP="00400EF5">
      <w:pPr>
        <w:spacing w:after="0" w:line="240" w:lineRule="auto"/>
        <w:jc w:val="both"/>
        <w:rPr>
          <w:rFonts w:ascii="ITC Avant Garde" w:hAnsi="ITC Avant Garde"/>
        </w:rPr>
      </w:pPr>
      <w:r w:rsidRPr="00A67E95">
        <w:rPr>
          <w:rFonts w:ascii="ITC Avant Garde" w:eastAsia="Times New Roman" w:hAnsi="ITC Avant Garde"/>
          <w:b/>
          <w:kern w:val="2"/>
          <w:lang w:val="es-ES" w:eastAsia="ar-SA"/>
        </w:rPr>
        <w:t xml:space="preserve">SEGUNDO.- </w:t>
      </w:r>
      <w:r w:rsidR="00A67E95" w:rsidRPr="00A67E95">
        <w:rPr>
          <w:rFonts w:ascii="ITC Avant Garde" w:eastAsia="Times New Roman" w:hAnsi="ITC Avant Garde"/>
          <w:b/>
          <w:kern w:val="2"/>
          <w:lang w:val="es-ES" w:eastAsia="ar-SA"/>
        </w:rPr>
        <w:t>P</w:t>
      </w:r>
      <w:r w:rsidR="007B3DEE">
        <w:rPr>
          <w:rFonts w:ascii="ITC Avant Garde" w:eastAsia="Times New Roman" w:hAnsi="ITC Avant Garde"/>
          <w:b/>
          <w:kern w:val="2"/>
          <w:lang w:val="es-ES" w:eastAsia="ar-SA"/>
        </w:rPr>
        <w:t>roblemática</w:t>
      </w:r>
      <w:r w:rsidR="00A67E95" w:rsidRPr="00A67E95">
        <w:rPr>
          <w:rFonts w:ascii="ITC Avant Garde" w:eastAsia="Times New Roman" w:hAnsi="ITC Avant Garde"/>
          <w:b/>
          <w:kern w:val="2"/>
          <w:lang w:val="es-ES" w:eastAsia="ar-SA"/>
        </w:rPr>
        <w:t xml:space="preserve">.- </w:t>
      </w:r>
      <w:r w:rsidR="007658E4">
        <w:rPr>
          <w:rFonts w:ascii="ITC Avant Garde" w:hAnsi="ITC Avant Garde"/>
        </w:rPr>
        <w:t xml:space="preserve">El diseño e implementación de </w:t>
      </w:r>
      <w:r w:rsidR="00A67E95" w:rsidRPr="00A67E95">
        <w:rPr>
          <w:rFonts w:ascii="ITC Avant Garde" w:hAnsi="ITC Avant Garde"/>
        </w:rPr>
        <w:t>regu</w:t>
      </w:r>
      <w:r w:rsidR="007658E4">
        <w:rPr>
          <w:rFonts w:ascii="ITC Avant Garde" w:hAnsi="ITC Avant Garde"/>
        </w:rPr>
        <w:t>laciones</w:t>
      </w:r>
      <w:r w:rsidR="00A67E95" w:rsidRPr="00A67E95">
        <w:rPr>
          <w:rFonts w:ascii="ITC Avant Garde" w:hAnsi="ITC Avant Garde"/>
        </w:rPr>
        <w:t xml:space="preserve"> </w:t>
      </w:r>
      <w:r w:rsidR="007658E4">
        <w:rPr>
          <w:rFonts w:ascii="ITC Avant Garde" w:hAnsi="ITC Avant Garde"/>
        </w:rPr>
        <w:t xml:space="preserve">que promuevan </w:t>
      </w:r>
      <w:r w:rsidR="007658E4" w:rsidRPr="00A67E95">
        <w:rPr>
          <w:rFonts w:ascii="ITC Avant Garde" w:hAnsi="ITC Avant Garde"/>
        </w:rPr>
        <w:t xml:space="preserve">el bienestar social y económico </w:t>
      </w:r>
      <w:r w:rsidR="00A67E95" w:rsidRPr="00A67E95">
        <w:rPr>
          <w:rFonts w:ascii="ITC Avant Garde" w:hAnsi="ITC Avant Garde"/>
        </w:rPr>
        <w:t>es una de las principales funciones de todo Gobierno</w:t>
      </w:r>
      <w:r w:rsidR="004265EC">
        <w:rPr>
          <w:rFonts w:ascii="ITC Avant Garde" w:hAnsi="ITC Avant Garde"/>
        </w:rPr>
        <w:t>.</w:t>
      </w:r>
    </w:p>
    <w:p w14:paraId="5AD4B570" w14:textId="77777777" w:rsidR="005A2E6D" w:rsidRPr="00A67E95" w:rsidRDefault="005A2E6D" w:rsidP="007658E4">
      <w:pPr>
        <w:spacing w:after="0" w:line="240" w:lineRule="auto"/>
        <w:jc w:val="both"/>
        <w:rPr>
          <w:rFonts w:ascii="ITC Avant Garde" w:hAnsi="ITC Avant Garde"/>
        </w:rPr>
      </w:pPr>
    </w:p>
    <w:p w14:paraId="2D416421" w14:textId="77777777" w:rsidR="00042291" w:rsidRDefault="00795798" w:rsidP="00E53E29">
      <w:pPr>
        <w:spacing w:after="0" w:line="240" w:lineRule="auto"/>
        <w:jc w:val="both"/>
        <w:rPr>
          <w:rFonts w:ascii="ITC Avant Garde" w:hAnsi="ITC Avant Garde"/>
        </w:rPr>
      </w:pPr>
      <w:r>
        <w:rPr>
          <w:rFonts w:ascii="ITC Avant Garde" w:hAnsi="ITC Avant Garde"/>
        </w:rPr>
        <w:t>A través de la regulación el Gobierno instaura una estrecha relación con los sectores que regula mediante el establecimiento de obligaciones, beneficios, acciones y procesos, buscando con ello promover la inversión, fomentar la competitividad, mejorar la calidad de los servicios, aumentar la creación de empleos, innovación y desarrollo económico para todos los sectores de la población</w:t>
      </w:r>
      <w:r w:rsidR="00F1486B">
        <w:rPr>
          <w:rFonts w:ascii="ITC Avant Garde" w:hAnsi="ITC Avant Garde"/>
        </w:rPr>
        <w:t>.</w:t>
      </w:r>
    </w:p>
    <w:p w14:paraId="40AB02AE" w14:textId="77777777" w:rsidR="00E53E29" w:rsidRDefault="00E53E29" w:rsidP="00400EF5">
      <w:pPr>
        <w:spacing w:after="0" w:line="240" w:lineRule="auto"/>
        <w:jc w:val="both"/>
        <w:rPr>
          <w:rFonts w:ascii="ITC Avant Garde" w:hAnsi="ITC Avant Garde"/>
        </w:rPr>
      </w:pPr>
    </w:p>
    <w:p w14:paraId="7B92ABFE" w14:textId="77777777" w:rsidR="00A67E95" w:rsidRPr="00A67E95" w:rsidRDefault="00A67E95" w:rsidP="00400EF5">
      <w:pPr>
        <w:spacing w:after="0" w:line="240" w:lineRule="auto"/>
        <w:jc w:val="both"/>
        <w:rPr>
          <w:rFonts w:ascii="ITC Avant Garde" w:hAnsi="ITC Avant Garde"/>
        </w:rPr>
      </w:pPr>
      <w:r w:rsidRPr="00A67E95">
        <w:rPr>
          <w:rFonts w:ascii="ITC Avant Garde" w:hAnsi="ITC Avant Garde"/>
        </w:rPr>
        <w:t xml:space="preserve">Las “fallas de mercado” </w:t>
      </w:r>
      <w:r w:rsidR="007658E4">
        <w:rPr>
          <w:rFonts w:ascii="ITC Avant Garde" w:hAnsi="ITC Avant Garde"/>
        </w:rPr>
        <w:t>a las que refiere</w:t>
      </w:r>
      <w:r w:rsidRPr="00A67E95">
        <w:rPr>
          <w:rFonts w:ascii="ITC Avant Garde" w:hAnsi="ITC Avant Garde"/>
        </w:rPr>
        <w:t xml:space="preserve"> la teoría económica, </w:t>
      </w:r>
      <w:r w:rsidR="007658E4">
        <w:rPr>
          <w:rFonts w:ascii="ITC Avant Garde" w:hAnsi="ITC Avant Garde"/>
        </w:rPr>
        <w:t>corresponden a</w:t>
      </w:r>
      <w:r w:rsidRPr="00A67E95">
        <w:rPr>
          <w:rFonts w:ascii="ITC Avant Garde" w:hAnsi="ITC Avant Garde"/>
        </w:rPr>
        <w:t xml:space="preserve"> determinadas situaciones en las cuales se da una ineficiente distribución de los bienes y servicios en un mercado determinado a causa de la presentación de externalidades, bienes pú</w:t>
      </w:r>
      <w:r w:rsidR="007658E4">
        <w:rPr>
          <w:rFonts w:ascii="ITC Avant Garde" w:hAnsi="ITC Avant Garde"/>
        </w:rPr>
        <w:t>blicos, información asimétrica o</w:t>
      </w:r>
      <w:r w:rsidRPr="00A67E95">
        <w:rPr>
          <w:rFonts w:ascii="ITC Avant Garde" w:hAnsi="ITC Avant Garde"/>
        </w:rPr>
        <w:t xml:space="preserve"> monopolios. </w:t>
      </w:r>
      <w:r w:rsidR="00212B67">
        <w:rPr>
          <w:rFonts w:ascii="ITC Avant Garde" w:hAnsi="ITC Avant Garde"/>
        </w:rPr>
        <w:t>Por cuanto</w:t>
      </w:r>
      <w:r w:rsidR="008435D7">
        <w:rPr>
          <w:rFonts w:ascii="ITC Avant Garde" w:hAnsi="ITC Avant Garde"/>
        </w:rPr>
        <w:t xml:space="preserve"> </w:t>
      </w:r>
      <w:r w:rsidR="007658E4">
        <w:rPr>
          <w:rFonts w:ascii="ITC Avant Garde" w:hAnsi="ITC Avant Garde"/>
        </w:rPr>
        <w:t xml:space="preserve">hace a </w:t>
      </w:r>
      <w:r w:rsidRPr="00A67E95">
        <w:rPr>
          <w:rFonts w:ascii="ITC Avant Garde" w:hAnsi="ITC Avant Garde"/>
        </w:rPr>
        <w:t>las “fallas regulatorias”</w:t>
      </w:r>
      <w:r w:rsidR="00E56DCE">
        <w:rPr>
          <w:rFonts w:ascii="ITC Avant Garde" w:hAnsi="ITC Avant Garde"/>
        </w:rPr>
        <w:t>,</w:t>
      </w:r>
      <w:r w:rsidR="007658E4">
        <w:rPr>
          <w:rFonts w:ascii="ITC Avant Garde" w:hAnsi="ITC Avant Garde"/>
        </w:rPr>
        <w:t xml:space="preserve"> </w:t>
      </w:r>
      <w:r w:rsidR="00977C84">
        <w:rPr>
          <w:rFonts w:ascii="ITC Avant Garde" w:hAnsi="ITC Avant Garde"/>
        </w:rPr>
        <w:t>é</w:t>
      </w:r>
      <w:r w:rsidR="007658E4">
        <w:rPr>
          <w:rFonts w:ascii="ITC Avant Garde" w:hAnsi="ITC Avant Garde"/>
        </w:rPr>
        <w:t xml:space="preserve">stas corresponden </w:t>
      </w:r>
      <w:r w:rsidR="00DF125F">
        <w:rPr>
          <w:rFonts w:ascii="ITC Avant Garde" w:hAnsi="ITC Avant Garde"/>
        </w:rPr>
        <w:t xml:space="preserve">a </w:t>
      </w:r>
      <w:r w:rsidR="00E56DCE">
        <w:rPr>
          <w:rFonts w:ascii="ITC Avant Garde" w:hAnsi="ITC Avant Garde"/>
        </w:rPr>
        <w:t>situaciones en las cuales el propio</w:t>
      </w:r>
      <w:r w:rsidRPr="00A67E95">
        <w:rPr>
          <w:rFonts w:ascii="ITC Avant Garde" w:hAnsi="ITC Avant Garde"/>
        </w:rPr>
        <w:t xml:space="preserve"> marco normativo </w:t>
      </w:r>
      <w:r w:rsidR="00E56DCE">
        <w:rPr>
          <w:rFonts w:ascii="ITC Avant Garde" w:hAnsi="ITC Avant Garde"/>
        </w:rPr>
        <w:t xml:space="preserve">no cubre los objetivos </w:t>
      </w:r>
      <w:r w:rsidRPr="00A67E95">
        <w:rPr>
          <w:rFonts w:ascii="ITC Avant Garde" w:hAnsi="ITC Avant Garde"/>
        </w:rPr>
        <w:t xml:space="preserve">originalmente planteados </w:t>
      </w:r>
      <w:r w:rsidR="00E56DCE">
        <w:rPr>
          <w:rFonts w:ascii="ITC Avant Garde" w:hAnsi="ITC Avant Garde"/>
        </w:rPr>
        <w:t>al momento de su expedición</w:t>
      </w:r>
      <w:r w:rsidRPr="00A67E95">
        <w:rPr>
          <w:rFonts w:ascii="ITC Avant Garde" w:hAnsi="ITC Avant Garde"/>
        </w:rPr>
        <w:t>.</w:t>
      </w:r>
    </w:p>
    <w:p w14:paraId="44DD26DC" w14:textId="77777777" w:rsidR="00042291" w:rsidRDefault="00042291" w:rsidP="00400EF5">
      <w:pPr>
        <w:spacing w:after="0" w:line="240" w:lineRule="auto"/>
        <w:jc w:val="both"/>
        <w:rPr>
          <w:rFonts w:ascii="ITC Avant Garde" w:hAnsi="ITC Avant Garde"/>
        </w:rPr>
      </w:pPr>
    </w:p>
    <w:p w14:paraId="73289BDD" w14:textId="77777777" w:rsidR="00A67E95" w:rsidRDefault="00E53E29" w:rsidP="00400EF5">
      <w:pPr>
        <w:spacing w:after="0" w:line="240" w:lineRule="auto"/>
        <w:jc w:val="both"/>
        <w:rPr>
          <w:rFonts w:ascii="ITC Avant Garde" w:hAnsi="ITC Avant Garde"/>
        </w:rPr>
      </w:pPr>
      <w:r>
        <w:rPr>
          <w:rFonts w:ascii="ITC Avant Garde" w:hAnsi="ITC Avant Garde"/>
        </w:rPr>
        <w:t xml:space="preserve">Contreras y Haddou </w:t>
      </w:r>
      <w:r w:rsidR="00337E9C">
        <w:rPr>
          <w:rFonts w:ascii="ITC Avant Garde" w:hAnsi="ITC Avant Garde"/>
        </w:rPr>
        <w:t xml:space="preserve">retoman </w:t>
      </w:r>
      <w:r>
        <w:rPr>
          <w:rFonts w:ascii="ITC Avant Garde" w:hAnsi="ITC Avant Garde"/>
        </w:rPr>
        <w:t xml:space="preserve">el pensamiento del Premio Nobel de Economía, </w:t>
      </w:r>
      <w:r w:rsidR="00E56DCE">
        <w:rPr>
          <w:rFonts w:ascii="ITC Avant Garde" w:hAnsi="ITC Avant Garde"/>
        </w:rPr>
        <w:t xml:space="preserve">Joseph Stiglitz, </w:t>
      </w:r>
      <w:r>
        <w:rPr>
          <w:rFonts w:ascii="ITC Avant Garde" w:hAnsi="ITC Avant Garde"/>
        </w:rPr>
        <w:t>y señalan que las regulaciones persiguen cuatro</w:t>
      </w:r>
      <w:r w:rsidR="00A67E95" w:rsidRPr="00A67E95">
        <w:rPr>
          <w:rFonts w:ascii="ITC Avant Garde" w:hAnsi="ITC Avant Garde"/>
        </w:rPr>
        <w:t xml:space="preserve"> propósitos</w:t>
      </w:r>
      <w:r w:rsidR="00DB745D">
        <w:rPr>
          <w:rFonts w:ascii="ITC Avant Garde" w:hAnsi="ITC Avant Garde"/>
        </w:rPr>
        <w:t xml:space="preserve"> (</w:t>
      </w:r>
      <w:r>
        <w:rPr>
          <w:rFonts w:ascii="ITC Avant Garde" w:hAnsi="ITC Avant Garde"/>
        </w:rPr>
        <w:t>Contreras y Haddou, 2003</w:t>
      </w:r>
      <w:r w:rsidR="00DB745D">
        <w:rPr>
          <w:rFonts w:ascii="ITC Avant Garde" w:hAnsi="ITC Avant Garde"/>
        </w:rPr>
        <w:t xml:space="preserve">, p. </w:t>
      </w:r>
      <w:r>
        <w:rPr>
          <w:rFonts w:ascii="ITC Avant Garde" w:hAnsi="ITC Avant Garde"/>
        </w:rPr>
        <w:t>1</w:t>
      </w:r>
      <w:r w:rsidR="00DB745D">
        <w:rPr>
          <w:rFonts w:ascii="ITC Avant Garde" w:hAnsi="ITC Avant Garde"/>
        </w:rPr>
        <w:t>)</w:t>
      </w:r>
      <w:r w:rsidR="00A67E95" w:rsidRPr="00A67E95">
        <w:rPr>
          <w:rFonts w:ascii="ITC Avant Garde" w:hAnsi="ITC Avant Garde"/>
        </w:rPr>
        <w:t>:</w:t>
      </w:r>
    </w:p>
    <w:p w14:paraId="77F0543C" w14:textId="77777777" w:rsidR="00E56DCE" w:rsidRPr="00A67E95" w:rsidRDefault="00E56DCE" w:rsidP="00400EF5">
      <w:pPr>
        <w:spacing w:after="0" w:line="240" w:lineRule="auto"/>
        <w:jc w:val="both"/>
        <w:rPr>
          <w:rFonts w:ascii="ITC Avant Garde" w:hAnsi="ITC Avant Garde"/>
        </w:rPr>
      </w:pPr>
    </w:p>
    <w:p w14:paraId="59DC71D0" w14:textId="77777777" w:rsidR="00A67E95" w:rsidRPr="00A67E95" w:rsidRDefault="00A67E95" w:rsidP="00151C9B">
      <w:pPr>
        <w:pStyle w:val="Prrafodelista"/>
        <w:numPr>
          <w:ilvl w:val="0"/>
          <w:numId w:val="26"/>
        </w:numPr>
        <w:spacing w:after="0" w:line="240" w:lineRule="auto"/>
        <w:ind w:left="851" w:hanging="491"/>
        <w:jc w:val="both"/>
        <w:rPr>
          <w:rFonts w:ascii="ITC Avant Garde" w:hAnsi="ITC Avant Garde"/>
        </w:rPr>
      </w:pPr>
      <w:r w:rsidRPr="00A67E95">
        <w:rPr>
          <w:rFonts w:ascii="ITC Avant Garde" w:hAnsi="ITC Avant Garde"/>
        </w:rPr>
        <w:t>Mantener la seguridad, la congruen</w:t>
      </w:r>
      <w:r w:rsidR="00E56DCE">
        <w:rPr>
          <w:rFonts w:ascii="ITC Avant Garde" w:hAnsi="ITC Avant Garde"/>
        </w:rPr>
        <w:t>cia y la proporcionalidad de ésta</w:t>
      </w:r>
      <w:r w:rsidRPr="00A67E95">
        <w:rPr>
          <w:rFonts w:ascii="ITC Avant Garde" w:hAnsi="ITC Avant Garde"/>
        </w:rPr>
        <w:t>,</w:t>
      </w:r>
    </w:p>
    <w:p w14:paraId="790727AE" w14:textId="77777777" w:rsidR="00A67E95" w:rsidRPr="00A67E95" w:rsidRDefault="00A67E95" w:rsidP="00151C9B">
      <w:pPr>
        <w:pStyle w:val="Prrafodelista"/>
        <w:numPr>
          <w:ilvl w:val="0"/>
          <w:numId w:val="26"/>
        </w:numPr>
        <w:spacing w:after="0" w:line="240" w:lineRule="auto"/>
        <w:ind w:left="851" w:hanging="491"/>
        <w:jc w:val="both"/>
        <w:rPr>
          <w:rFonts w:ascii="ITC Avant Garde" w:hAnsi="ITC Avant Garde"/>
        </w:rPr>
      </w:pPr>
      <w:r w:rsidRPr="00A67E95">
        <w:rPr>
          <w:rFonts w:ascii="ITC Avant Garde" w:hAnsi="ITC Avant Garde"/>
        </w:rPr>
        <w:t>Promover la competencia,</w:t>
      </w:r>
    </w:p>
    <w:p w14:paraId="228A265D" w14:textId="77777777" w:rsidR="00A67E95" w:rsidRPr="00A67E95" w:rsidRDefault="00214E52" w:rsidP="00151C9B">
      <w:pPr>
        <w:pStyle w:val="Prrafodelista"/>
        <w:numPr>
          <w:ilvl w:val="0"/>
          <w:numId w:val="26"/>
        </w:numPr>
        <w:spacing w:after="0" w:line="240" w:lineRule="auto"/>
        <w:ind w:left="851" w:hanging="491"/>
        <w:jc w:val="both"/>
        <w:rPr>
          <w:rFonts w:ascii="ITC Avant Garde" w:hAnsi="ITC Avant Garde"/>
        </w:rPr>
      </w:pPr>
      <w:r>
        <w:rPr>
          <w:rFonts w:ascii="ITC Avant Garde" w:hAnsi="ITC Avant Garde"/>
        </w:rPr>
        <w:t>Proteger a los consumidores</w:t>
      </w:r>
      <w:r w:rsidR="00151C9B">
        <w:rPr>
          <w:rFonts w:ascii="ITC Avant Garde" w:hAnsi="ITC Avant Garde"/>
        </w:rPr>
        <w:t>,</w:t>
      </w:r>
      <w:r w:rsidR="00A67E95" w:rsidRPr="00A67E95">
        <w:rPr>
          <w:rFonts w:ascii="ITC Avant Garde" w:hAnsi="ITC Avant Garde"/>
        </w:rPr>
        <w:t xml:space="preserve"> y</w:t>
      </w:r>
    </w:p>
    <w:p w14:paraId="28EE83D8" w14:textId="77777777" w:rsidR="00A67E95" w:rsidRPr="00A67E95" w:rsidRDefault="00A67E95" w:rsidP="00151C9B">
      <w:pPr>
        <w:pStyle w:val="Prrafodelista"/>
        <w:numPr>
          <w:ilvl w:val="0"/>
          <w:numId w:val="26"/>
        </w:numPr>
        <w:spacing w:after="0" w:line="240" w:lineRule="auto"/>
        <w:ind w:left="851" w:hanging="491"/>
        <w:jc w:val="both"/>
        <w:rPr>
          <w:rFonts w:ascii="ITC Avant Garde" w:hAnsi="ITC Avant Garde"/>
        </w:rPr>
      </w:pPr>
      <w:r w:rsidRPr="00A67E95">
        <w:rPr>
          <w:rFonts w:ascii="ITC Avant Garde" w:hAnsi="ITC Avant Garde"/>
        </w:rPr>
        <w:t>Facilitar el acceso al capital.</w:t>
      </w:r>
    </w:p>
    <w:p w14:paraId="6144C8F0" w14:textId="77777777" w:rsidR="00A05454" w:rsidRDefault="00A05454" w:rsidP="00400EF5">
      <w:pPr>
        <w:spacing w:after="0" w:line="240" w:lineRule="auto"/>
        <w:jc w:val="both"/>
        <w:rPr>
          <w:rFonts w:ascii="ITC Avant Garde" w:hAnsi="ITC Avant Garde"/>
        </w:rPr>
      </w:pPr>
    </w:p>
    <w:p w14:paraId="26DD865E" w14:textId="6446A257" w:rsidR="00042291" w:rsidRDefault="00425866" w:rsidP="00B43C95">
      <w:pPr>
        <w:jc w:val="both"/>
        <w:rPr>
          <w:rFonts w:ascii="ITC Avant Garde" w:hAnsi="ITC Avant Garde"/>
        </w:rPr>
      </w:pPr>
      <w:r>
        <w:rPr>
          <w:rFonts w:ascii="ITC Avant Garde" w:hAnsi="ITC Avant Garde"/>
        </w:rPr>
        <w:t xml:space="preserve">En ese sentido, </w:t>
      </w:r>
      <w:r w:rsidR="00333DA3">
        <w:rPr>
          <w:rFonts w:ascii="ITC Avant Garde" w:hAnsi="ITC Avant Garde"/>
        </w:rPr>
        <w:t xml:space="preserve">para el Gobierno es necesario decidir entre regular o permitir </w:t>
      </w:r>
      <w:r w:rsidR="00251961" w:rsidRPr="00251961">
        <w:rPr>
          <w:rFonts w:ascii="ITC Avant Garde" w:hAnsi="ITC Avant Garde"/>
        </w:rPr>
        <w:t>la libre actividad de los mercados.</w:t>
      </w:r>
      <w:r>
        <w:rPr>
          <w:rFonts w:ascii="ITC Avant Garde" w:hAnsi="ITC Avant Garde"/>
        </w:rPr>
        <w:t xml:space="preserve"> L</w:t>
      </w:r>
      <w:r w:rsidR="00A05454">
        <w:rPr>
          <w:rFonts w:ascii="ITC Avant Garde" w:hAnsi="ITC Avant Garde"/>
        </w:rPr>
        <w:t xml:space="preserve">a regulación por sí misma no garantiza el logro de un resultado eficiente. Por el contrario, pueden crearse barreras </w:t>
      </w:r>
      <w:r w:rsidR="00AE1643">
        <w:rPr>
          <w:rFonts w:ascii="ITC Avant Garde" w:hAnsi="ITC Avant Garde"/>
        </w:rPr>
        <w:t xml:space="preserve">regulatorias </w:t>
      </w:r>
      <w:r w:rsidR="00A05454">
        <w:rPr>
          <w:rFonts w:ascii="ITC Avant Garde" w:hAnsi="ITC Avant Garde"/>
        </w:rPr>
        <w:t>a la entrada a los mercados, generando distorsiones en éstos</w:t>
      </w:r>
      <w:r w:rsidR="00457F6D">
        <w:rPr>
          <w:rFonts w:ascii="ITC Avant Garde" w:hAnsi="ITC Avant Garde"/>
        </w:rPr>
        <w:t>.</w:t>
      </w:r>
      <w:r w:rsidR="008435D7">
        <w:rPr>
          <w:rFonts w:ascii="ITC Avant Garde" w:hAnsi="ITC Avant Garde"/>
        </w:rPr>
        <w:t xml:space="preserve"> </w:t>
      </w:r>
      <w:r w:rsidR="00AE1643">
        <w:rPr>
          <w:rFonts w:ascii="ITC Avant Garde" w:hAnsi="ITC Avant Garde"/>
        </w:rPr>
        <w:t>También o</w:t>
      </w:r>
      <w:r w:rsidR="00A05454">
        <w:rPr>
          <w:rFonts w:ascii="ITC Avant Garde" w:hAnsi="ITC Avant Garde"/>
        </w:rPr>
        <w:t>bstáculos al desarrollo empresarial, disminuciones en la inversión productiva y oferta d</w:t>
      </w:r>
      <w:r w:rsidR="007D2980">
        <w:rPr>
          <w:rFonts w:ascii="ITC Avant Garde" w:hAnsi="ITC Avant Garde"/>
        </w:rPr>
        <w:t>e</w:t>
      </w:r>
      <w:r w:rsidR="00A05454">
        <w:rPr>
          <w:rFonts w:ascii="ITC Avant Garde" w:hAnsi="ITC Avant Garde"/>
        </w:rPr>
        <w:t xml:space="preserve"> productos, aumento en precios y escenarios de corrupción, son</w:t>
      </w:r>
      <w:r>
        <w:rPr>
          <w:rFonts w:ascii="ITC Avant Garde" w:hAnsi="ITC Avant Garde"/>
        </w:rPr>
        <w:t xml:space="preserve"> algunos de los</w:t>
      </w:r>
      <w:r w:rsidR="00A05454">
        <w:rPr>
          <w:rFonts w:ascii="ITC Avant Garde" w:hAnsi="ITC Avant Garde"/>
        </w:rPr>
        <w:t xml:space="preserve"> ejemplo</w:t>
      </w:r>
      <w:r>
        <w:rPr>
          <w:rFonts w:ascii="ITC Avant Garde" w:hAnsi="ITC Avant Garde"/>
        </w:rPr>
        <w:t>s</w:t>
      </w:r>
      <w:r w:rsidR="00A05454">
        <w:rPr>
          <w:rFonts w:ascii="ITC Avant Garde" w:hAnsi="ITC Avant Garde"/>
        </w:rPr>
        <w:t xml:space="preserve"> de ello. </w:t>
      </w:r>
    </w:p>
    <w:p w14:paraId="1B787C33" w14:textId="77777777" w:rsidR="00A67E95" w:rsidRPr="00A67E95" w:rsidRDefault="00A67E95" w:rsidP="00400EF5">
      <w:pPr>
        <w:spacing w:after="0" w:line="240" w:lineRule="auto"/>
        <w:jc w:val="both"/>
        <w:rPr>
          <w:rFonts w:ascii="ITC Avant Garde" w:hAnsi="ITC Avant Garde"/>
        </w:rPr>
      </w:pPr>
      <w:r w:rsidRPr="00A67E95">
        <w:rPr>
          <w:rFonts w:ascii="ITC Avant Garde" w:hAnsi="ITC Avant Garde"/>
        </w:rPr>
        <w:t xml:space="preserve">Los cambios económicos, tecnológicos </w:t>
      </w:r>
      <w:r w:rsidR="001F59BC">
        <w:rPr>
          <w:rFonts w:ascii="ITC Avant Garde" w:hAnsi="ITC Avant Garde"/>
        </w:rPr>
        <w:t>y</w:t>
      </w:r>
      <w:r w:rsidRPr="00A67E95">
        <w:rPr>
          <w:rFonts w:ascii="ITC Avant Garde" w:hAnsi="ITC Avant Garde"/>
        </w:rPr>
        <w:t xml:space="preserve"> sociales representan un reto constante para los gobiernos al revisar o realizar los instrumentos regula</w:t>
      </w:r>
      <w:r w:rsidR="004E18B6">
        <w:rPr>
          <w:rFonts w:ascii="ITC Avant Garde" w:hAnsi="ITC Avant Garde"/>
        </w:rPr>
        <w:t>torios. Es decir, en un primer momento</w:t>
      </w:r>
      <w:r w:rsidR="00B3179C">
        <w:rPr>
          <w:rFonts w:ascii="ITC Avant Garde" w:hAnsi="ITC Avant Garde"/>
        </w:rPr>
        <w:t>, el marco normativo</w:t>
      </w:r>
      <w:r w:rsidR="004E18B6">
        <w:rPr>
          <w:rFonts w:ascii="ITC Avant Garde" w:hAnsi="ITC Avant Garde"/>
        </w:rPr>
        <w:t xml:space="preserve"> </w:t>
      </w:r>
      <w:r w:rsidRPr="00A67E95">
        <w:rPr>
          <w:rFonts w:ascii="ITC Avant Garde" w:hAnsi="ITC Avant Garde"/>
        </w:rPr>
        <w:t xml:space="preserve">resulta bastante efectivo </w:t>
      </w:r>
      <w:r w:rsidR="00AD3C31">
        <w:rPr>
          <w:rFonts w:ascii="ITC Avant Garde" w:hAnsi="ITC Avant Garde"/>
        </w:rPr>
        <w:t>al cumplir con sus objetivos, n</w:t>
      </w:r>
      <w:r w:rsidRPr="00A67E95">
        <w:rPr>
          <w:rFonts w:ascii="ITC Avant Garde" w:hAnsi="ITC Avant Garde"/>
        </w:rPr>
        <w:t>o obstante, estos instrumentos podrían quedar rebasados debido al dinamismo propio de la realidad.</w:t>
      </w:r>
    </w:p>
    <w:p w14:paraId="78415EE8" w14:textId="77777777" w:rsidR="00042291" w:rsidRDefault="00042291" w:rsidP="00400EF5">
      <w:pPr>
        <w:spacing w:after="0" w:line="240" w:lineRule="auto"/>
        <w:jc w:val="both"/>
        <w:rPr>
          <w:rFonts w:ascii="ITC Avant Garde" w:hAnsi="ITC Avant Garde"/>
        </w:rPr>
      </w:pPr>
    </w:p>
    <w:p w14:paraId="7EE2D4D3" w14:textId="77777777" w:rsidR="00A67E95" w:rsidRPr="00A67E95" w:rsidRDefault="00A67E95" w:rsidP="00400EF5">
      <w:pPr>
        <w:spacing w:after="0" w:line="240" w:lineRule="auto"/>
        <w:jc w:val="both"/>
        <w:rPr>
          <w:rFonts w:ascii="ITC Avant Garde" w:hAnsi="ITC Avant Garde"/>
        </w:rPr>
      </w:pPr>
      <w:r w:rsidRPr="00A67E95">
        <w:rPr>
          <w:rFonts w:ascii="ITC Avant Garde" w:hAnsi="ITC Avant Garde"/>
        </w:rPr>
        <w:t xml:space="preserve">En virtud de lo anterior, todo Gobierno debe contar con un proceso de creación y revisión de sus políticas regulatorias que evalúe el impacto de las mismas; ello, a efecto de garantizar su calidad, eficacia y eficiencia, </w:t>
      </w:r>
      <w:r w:rsidR="00955936">
        <w:rPr>
          <w:rFonts w:ascii="ITC Avant Garde" w:hAnsi="ITC Avant Garde"/>
        </w:rPr>
        <w:t xml:space="preserve">en atención a la </w:t>
      </w:r>
      <w:r w:rsidRPr="00A67E95">
        <w:rPr>
          <w:rFonts w:ascii="ITC Avant Garde" w:hAnsi="ITC Avant Garde"/>
        </w:rPr>
        <w:t xml:space="preserve">incidencia diaria </w:t>
      </w:r>
      <w:r w:rsidR="002622EA">
        <w:rPr>
          <w:rFonts w:ascii="ITC Avant Garde" w:hAnsi="ITC Avant Garde"/>
        </w:rPr>
        <w:t xml:space="preserve">de éstas </w:t>
      </w:r>
      <w:r w:rsidR="008E6769">
        <w:rPr>
          <w:rFonts w:ascii="ITC Avant Garde" w:hAnsi="ITC Avant Garde"/>
        </w:rPr>
        <w:t>en</w:t>
      </w:r>
      <w:r w:rsidRPr="00A67E95">
        <w:rPr>
          <w:rFonts w:ascii="ITC Avant Garde" w:hAnsi="ITC Avant Garde"/>
        </w:rPr>
        <w:t xml:space="preserve"> todos los ciudadanos y empresas, no </w:t>
      </w:r>
      <w:r w:rsidR="003E1F9F">
        <w:rPr>
          <w:rFonts w:ascii="ITC Avant Garde" w:hAnsi="ITC Avant Garde"/>
        </w:rPr>
        <w:t xml:space="preserve">únicamente </w:t>
      </w:r>
      <w:r w:rsidR="0019686F">
        <w:rPr>
          <w:rFonts w:ascii="ITC Avant Garde" w:hAnsi="ITC Avant Garde"/>
        </w:rPr>
        <w:t xml:space="preserve">al momento de </w:t>
      </w:r>
      <w:r w:rsidRPr="00A67E95">
        <w:rPr>
          <w:rFonts w:ascii="ITC Avant Garde" w:hAnsi="ITC Avant Garde"/>
        </w:rPr>
        <w:t xml:space="preserve">realizar </w:t>
      </w:r>
      <w:r w:rsidRPr="00A67E95">
        <w:rPr>
          <w:rFonts w:ascii="ITC Avant Garde" w:hAnsi="ITC Avant Garde"/>
        </w:rPr>
        <w:lastRenderedPageBreak/>
        <w:t>trámites ante oficinas gubernamentales, sino también a razón de los efectos que la regulación tiene en su comportamiento, en la disponibilidad, calidad y precio de productos y servicios, en las oportunidades de empleo en el mercado, así como en la reducción de riesgos ambientales, sanitarios o de seguridad</w:t>
      </w:r>
      <w:r w:rsidR="003418E4">
        <w:rPr>
          <w:rFonts w:ascii="ITC Avant Garde" w:hAnsi="ITC Avant Garde"/>
        </w:rPr>
        <w:t>, generando en todo momento menores o mayores costos así como menores o mayores beneficios</w:t>
      </w:r>
      <w:r w:rsidRPr="00A67E95">
        <w:rPr>
          <w:rFonts w:ascii="ITC Avant Garde" w:hAnsi="ITC Avant Garde"/>
        </w:rPr>
        <w:t>.</w:t>
      </w:r>
    </w:p>
    <w:p w14:paraId="5F0BAE3E" w14:textId="77777777" w:rsidR="002A4200" w:rsidRDefault="002A4200" w:rsidP="00400EF5">
      <w:pPr>
        <w:spacing w:after="0" w:line="240" w:lineRule="auto"/>
        <w:jc w:val="both"/>
        <w:rPr>
          <w:rFonts w:ascii="ITC Avant Garde" w:hAnsi="ITC Avant Garde"/>
        </w:rPr>
      </w:pPr>
    </w:p>
    <w:p w14:paraId="5E2869A5" w14:textId="04CEC77D" w:rsidR="001C3C56" w:rsidRDefault="001C3C56" w:rsidP="001C3C56">
      <w:pPr>
        <w:spacing w:after="0" w:line="240" w:lineRule="auto"/>
        <w:jc w:val="both"/>
        <w:rPr>
          <w:rFonts w:ascii="ITC Avant Garde" w:hAnsi="ITC Avant Garde"/>
        </w:rPr>
      </w:pPr>
      <w:r>
        <w:rPr>
          <w:rFonts w:ascii="ITC Avant Garde" w:hAnsi="ITC Avant Garde"/>
        </w:rPr>
        <w:t>Al respecto, es importante señalar que la mejora regulatoria cuenta con una herramienta conocida como “Ciclo de Gobernanza Regulatoria” para la emisión o eliminación de cualquier regulación. Para ello, la O</w:t>
      </w:r>
      <w:r w:rsidR="005239B1">
        <w:rPr>
          <w:rFonts w:ascii="ITC Avant Garde" w:hAnsi="ITC Avant Garde"/>
        </w:rPr>
        <w:t xml:space="preserve">rganización para la </w:t>
      </w:r>
      <w:r>
        <w:rPr>
          <w:rFonts w:ascii="ITC Avant Garde" w:hAnsi="ITC Avant Garde"/>
        </w:rPr>
        <w:t>C</w:t>
      </w:r>
      <w:r w:rsidR="005239B1">
        <w:rPr>
          <w:rFonts w:ascii="ITC Avant Garde" w:hAnsi="ITC Avant Garde"/>
        </w:rPr>
        <w:t xml:space="preserve">ooperación y el </w:t>
      </w:r>
      <w:r>
        <w:rPr>
          <w:rFonts w:ascii="ITC Avant Garde" w:hAnsi="ITC Avant Garde"/>
        </w:rPr>
        <w:t>D</w:t>
      </w:r>
      <w:r w:rsidR="005239B1">
        <w:rPr>
          <w:rFonts w:ascii="ITC Avant Garde" w:hAnsi="ITC Avant Garde"/>
        </w:rPr>
        <w:t xml:space="preserve">esarrollo </w:t>
      </w:r>
      <w:r>
        <w:rPr>
          <w:rFonts w:ascii="ITC Avant Garde" w:hAnsi="ITC Avant Garde"/>
        </w:rPr>
        <w:t>E</w:t>
      </w:r>
      <w:r w:rsidR="005239B1">
        <w:rPr>
          <w:rFonts w:ascii="ITC Avant Garde" w:hAnsi="ITC Avant Garde"/>
        </w:rPr>
        <w:t>conómicos</w:t>
      </w:r>
      <w:r w:rsidR="000604A9">
        <w:rPr>
          <w:rFonts w:ascii="ITC Avant Garde" w:hAnsi="ITC Avant Garde"/>
        </w:rPr>
        <w:t xml:space="preserve"> (en lo sucesivo, la “OCDE</w:t>
      </w:r>
      <w:r w:rsidR="007A5AEE">
        <w:rPr>
          <w:rFonts w:ascii="ITC Avant Garde" w:hAnsi="ITC Avant Garde"/>
        </w:rPr>
        <w:t>”</w:t>
      </w:r>
      <w:r w:rsidR="000604A9">
        <w:rPr>
          <w:rFonts w:ascii="ITC Avant Garde" w:hAnsi="ITC Avant Garde"/>
        </w:rPr>
        <w:t>)</w:t>
      </w:r>
      <w:r>
        <w:rPr>
          <w:rFonts w:ascii="ITC Avant Garde" w:hAnsi="ITC Avant Garde"/>
        </w:rPr>
        <w:t xml:space="preserve"> estima que todo órgano de gobierno previ</w:t>
      </w:r>
      <w:r w:rsidR="00AE1643">
        <w:rPr>
          <w:rFonts w:ascii="ITC Avant Garde" w:hAnsi="ITC Avant Garde"/>
        </w:rPr>
        <w:t>amente</w:t>
      </w:r>
      <w:r>
        <w:rPr>
          <w:rFonts w:ascii="ITC Avant Garde" w:hAnsi="ITC Avant Garde"/>
        </w:rPr>
        <w:t xml:space="preserve"> a la emisión de una regulación debe llevar a cabo una serie de acciones específicas que están concatenadas (OECD, 2015, p. 27), a saber: </w:t>
      </w:r>
    </w:p>
    <w:p w14:paraId="4F69D913" w14:textId="77777777" w:rsidR="00C728A4" w:rsidRDefault="00C728A4" w:rsidP="001C3C56">
      <w:pPr>
        <w:spacing w:after="0" w:line="240" w:lineRule="auto"/>
        <w:jc w:val="both"/>
        <w:rPr>
          <w:rFonts w:ascii="ITC Avant Garde" w:hAnsi="ITC Avant Garde"/>
        </w:rPr>
      </w:pPr>
    </w:p>
    <w:p w14:paraId="2AB98A97" w14:textId="77777777" w:rsidR="001C3C56" w:rsidRDefault="001C3C56" w:rsidP="001C3C56">
      <w:pPr>
        <w:pStyle w:val="Prrafodelista"/>
        <w:numPr>
          <w:ilvl w:val="0"/>
          <w:numId w:val="30"/>
        </w:numPr>
        <w:spacing w:after="0" w:line="240" w:lineRule="auto"/>
        <w:jc w:val="both"/>
        <w:rPr>
          <w:rFonts w:ascii="ITC Avant Garde" w:hAnsi="ITC Avant Garde"/>
        </w:rPr>
      </w:pPr>
      <w:r>
        <w:rPr>
          <w:rFonts w:ascii="ITC Avant Garde" w:hAnsi="ITC Avant Garde"/>
        </w:rPr>
        <w:t xml:space="preserve">Durante la </w:t>
      </w:r>
      <w:r w:rsidRPr="001C3C56">
        <w:rPr>
          <w:rFonts w:ascii="ITC Avant Garde" w:hAnsi="ITC Avant Garde"/>
        </w:rPr>
        <w:t>Planeación</w:t>
      </w:r>
      <w:r w:rsidRPr="005126CB">
        <w:rPr>
          <w:rFonts w:ascii="ITC Avant Garde" w:hAnsi="ITC Avant Garde"/>
        </w:rPr>
        <w:t xml:space="preserve"> </w:t>
      </w:r>
      <w:r w:rsidRPr="001C3C56">
        <w:rPr>
          <w:rFonts w:ascii="ITC Avant Garde" w:hAnsi="ITC Avant Garde"/>
        </w:rPr>
        <w:t>se identifican las estrategias de acción gubernamental</w:t>
      </w:r>
      <w:r>
        <w:rPr>
          <w:rFonts w:ascii="ITC Avant Garde" w:hAnsi="ITC Avant Garde"/>
        </w:rPr>
        <w:t>, tales</w:t>
      </w:r>
      <w:r w:rsidRPr="001C3C56">
        <w:rPr>
          <w:rFonts w:ascii="ITC Avant Garde" w:hAnsi="ITC Avant Garde"/>
        </w:rPr>
        <w:t xml:space="preserve"> como objetivos, recursos, capacidades y herramientas que permitan </w:t>
      </w:r>
      <w:r>
        <w:rPr>
          <w:rFonts w:ascii="ITC Avant Garde" w:hAnsi="ITC Avant Garde"/>
        </w:rPr>
        <w:t>justificar</w:t>
      </w:r>
      <w:r w:rsidRPr="001C3C56">
        <w:rPr>
          <w:rFonts w:ascii="ITC Avant Garde" w:hAnsi="ITC Avant Garde"/>
        </w:rPr>
        <w:t xml:space="preserve"> </w:t>
      </w:r>
      <w:r>
        <w:rPr>
          <w:rFonts w:ascii="ITC Avant Garde" w:hAnsi="ITC Avant Garde"/>
        </w:rPr>
        <w:t xml:space="preserve">la necesidad de </w:t>
      </w:r>
      <w:r w:rsidRPr="00E804ED">
        <w:rPr>
          <w:rFonts w:ascii="ITC Avant Garde" w:hAnsi="ITC Avant Garde"/>
        </w:rPr>
        <w:t>emitir</w:t>
      </w:r>
      <w:r>
        <w:rPr>
          <w:rFonts w:ascii="ITC Avant Garde" w:hAnsi="ITC Avant Garde"/>
        </w:rPr>
        <w:t>, modificar o eliminar</w:t>
      </w:r>
      <w:r w:rsidRPr="0085107B">
        <w:rPr>
          <w:rFonts w:ascii="ITC Avant Garde" w:hAnsi="ITC Avant Garde"/>
        </w:rPr>
        <w:t xml:space="preserve"> </w:t>
      </w:r>
      <w:r w:rsidRPr="001C3C56">
        <w:rPr>
          <w:rFonts w:ascii="ITC Avant Garde" w:hAnsi="ITC Avant Garde"/>
        </w:rPr>
        <w:t xml:space="preserve">una regulación; </w:t>
      </w:r>
    </w:p>
    <w:p w14:paraId="2B0690C8" w14:textId="77777777" w:rsidR="00C728A4" w:rsidRDefault="00C728A4" w:rsidP="00C728A4">
      <w:pPr>
        <w:pStyle w:val="Prrafodelista"/>
        <w:spacing w:after="0" w:line="240" w:lineRule="auto"/>
        <w:jc w:val="both"/>
        <w:rPr>
          <w:rFonts w:ascii="ITC Avant Garde" w:hAnsi="ITC Avant Garde"/>
        </w:rPr>
      </w:pPr>
    </w:p>
    <w:p w14:paraId="35ED1EE6" w14:textId="77777777" w:rsidR="001C3C56" w:rsidRDefault="001C3C56" w:rsidP="001C3C56">
      <w:pPr>
        <w:pStyle w:val="Prrafodelista"/>
        <w:numPr>
          <w:ilvl w:val="0"/>
          <w:numId w:val="30"/>
        </w:numPr>
        <w:spacing w:after="0" w:line="240" w:lineRule="auto"/>
        <w:jc w:val="both"/>
        <w:rPr>
          <w:rFonts w:ascii="ITC Avant Garde" w:hAnsi="ITC Avant Garde"/>
        </w:rPr>
      </w:pPr>
      <w:r>
        <w:rPr>
          <w:rFonts w:ascii="ITC Avant Garde" w:hAnsi="ITC Avant Garde"/>
        </w:rPr>
        <w:t>Posteriormente, s</w:t>
      </w:r>
      <w:r w:rsidRPr="001C3C56">
        <w:rPr>
          <w:rFonts w:ascii="ITC Avant Garde" w:hAnsi="ITC Avant Garde"/>
        </w:rPr>
        <w:t xml:space="preserve">e desarrolla una estrategia de transparencia gubernamental y consulta, a través de la cual se recaban opiniones de los </w:t>
      </w:r>
      <w:r>
        <w:rPr>
          <w:rFonts w:ascii="ITC Avant Garde" w:hAnsi="ITC Avant Garde"/>
        </w:rPr>
        <w:t xml:space="preserve">diferentes </w:t>
      </w:r>
      <w:r w:rsidRPr="001C3C56">
        <w:rPr>
          <w:rFonts w:ascii="ITC Avant Garde" w:hAnsi="ITC Avant Garde"/>
        </w:rPr>
        <w:t>actores involucrados, se definen los instrumentos de política y se promueve una coordinación intragubernamental con la finalidad de que la estrategia sea viable, esto es</w:t>
      </w:r>
      <w:r w:rsidR="00002828">
        <w:rPr>
          <w:rFonts w:ascii="ITC Avant Garde" w:hAnsi="ITC Avant Garde"/>
        </w:rPr>
        <w:t>,</w:t>
      </w:r>
      <w:r w:rsidRPr="001C3C56">
        <w:rPr>
          <w:rFonts w:ascii="ITC Avant Garde" w:hAnsi="ITC Avant Garde"/>
        </w:rPr>
        <w:t xml:space="preserve"> contar con el apoyo político de más alto nivel para el impulso de la regulación que se prevé emitir; </w:t>
      </w:r>
    </w:p>
    <w:p w14:paraId="64C73A04" w14:textId="77777777" w:rsidR="00C728A4" w:rsidRDefault="00C728A4" w:rsidP="00C728A4">
      <w:pPr>
        <w:pStyle w:val="Prrafodelista"/>
        <w:spacing w:after="0" w:line="240" w:lineRule="auto"/>
        <w:jc w:val="both"/>
        <w:rPr>
          <w:rFonts w:ascii="ITC Avant Garde" w:hAnsi="ITC Avant Garde"/>
        </w:rPr>
      </w:pPr>
    </w:p>
    <w:p w14:paraId="4A098AD6" w14:textId="77777777" w:rsidR="001C3C56" w:rsidRDefault="001C3C56" w:rsidP="001C3C56">
      <w:pPr>
        <w:pStyle w:val="Prrafodelista"/>
        <w:numPr>
          <w:ilvl w:val="0"/>
          <w:numId w:val="30"/>
        </w:numPr>
        <w:spacing w:after="0" w:line="240" w:lineRule="auto"/>
        <w:jc w:val="both"/>
        <w:rPr>
          <w:rFonts w:ascii="ITC Avant Garde" w:hAnsi="ITC Avant Garde"/>
        </w:rPr>
      </w:pPr>
      <w:r>
        <w:rPr>
          <w:rFonts w:ascii="ITC Avant Garde" w:hAnsi="ITC Avant Garde"/>
        </w:rPr>
        <w:t>S</w:t>
      </w:r>
      <w:r w:rsidRPr="001C3C56">
        <w:rPr>
          <w:rFonts w:ascii="ITC Avant Garde" w:hAnsi="ITC Avant Garde"/>
        </w:rPr>
        <w:t xml:space="preserve">e revisa la regulación existente, se diseña su modificación o la emisión de nueva regulación acompañada de un análisis de impacto regulatorio </w:t>
      </w:r>
      <w:r w:rsidRPr="001C3C56">
        <w:rPr>
          <w:rFonts w:ascii="ITC Avant Garde" w:hAnsi="ITC Avant Garde"/>
          <w:i/>
        </w:rPr>
        <w:t>ex ante</w:t>
      </w:r>
      <w:r w:rsidRPr="001C3C56">
        <w:rPr>
          <w:rFonts w:ascii="ITC Avant Garde" w:hAnsi="ITC Avant Garde"/>
        </w:rPr>
        <w:t xml:space="preserve">, buscando en todo momento la simplificación administrativa o la reducción de cargas administrativas, así como el establecimiento de objetivos medibles; </w:t>
      </w:r>
    </w:p>
    <w:p w14:paraId="6B201658" w14:textId="77777777" w:rsidR="00C728A4" w:rsidRDefault="00C728A4" w:rsidP="00C728A4">
      <w:pPr>
        <w:pStyle w:val="Prrafodelista"/>
        <w:spacing w:after="0" w:line="240" w:lineRule="auto"/>
        <w:jc w:val="both"/>
        <w:rPr>
          <w:rFonts w:ascii="ITC Avant Garde" w:hAnsi="ITC Avant Garde"/>
        </w:rPr>
      </w:pPr>
    </w:p>
    <w:p w14:paraId="49062FAB" w14:textId="77777777" w:rsidR="001C3C56" w:rsidRDefault="001C3C56" w:rsidP="001C3C56">
      <w:pPr>
        <w:pStyle w:val="Prrafodelista"/>
        <w:numPr>
          <w:ilvl w:val="0"/>
          <w:numId w:val="30"/>
        </w:numPr>
        <w:spacing w:after="0" w:line="240" w:lineRule="auto"/>
        <w:jc w:val="both"/>
        <w:rPr>
          <w:rFonts w:ascii="ITC Avant Garde" w:hAnsi="ITC Avant Garde"/>
        </w:rPr>
      </w:pPr>
      <w:r>
        <w:rPr>
          <w:rFonts w:ascii="ITC Avant Garde" w:hAnsi="ITC Avant Garde"/>
        </w:rPr>
        <w:t>S</w:t>
      </w:r>
      <w:r w:rsidRPr="001C3C56">
        <w:rPr>
          <w:rFonts w:ascii="ITC Avant Garde" w:hAnsi="ITC Avant Garde"/>
        </w:rPr>
        <w:t>e implementa la regulación, poniendo en marcha los objetivos, recursos, capacidades y herramientas estimadas para su cumplimiento, todo ello durante un periodo de tiempo específico;</w:t>
      </w:r>
    </w:p>
    <w:p w14:paraId="0D5F9D26" w14:textId="77777777" w:rsidR="00C728A4" w:rsidRDefault="00C728A4" w:rsidP="00C728A4">
      <w:pPr>
        <w:pStyle w:val="Prrafodelista"/>
        <w:spacing w:after="0" w:line="240" w:lineRule="auto"/>
        <w:jc w:val="both"/>
        <w:rPr>
          <w:rFonts w:ascii="ITC Avant Garde" w:hAnsi="ITC Avant Garde"/>
        </w:rPr>
      </w:pPr>
    </w:p>
    <w:p w14:paraId="281C6F1B" w14:textId="77777777" w:rsidR="001C3C56" w:rsidRPr="00C728A4" w:rsidRDefault="001C3C56" w:rsidP="001C3C56">
      <w:pPr>
        <w:pStyle w:val="Prrafodelista"/>
        <w:numPr>
          <w:ilvl w:val="0"/>
          <w:numId w:val="30"/>
        </w:numPr>
        <w:spacing w:after="0" w:line="240" w:lineRule="auto"/>
        <w:jc w:val="both"/>
        <w:rPr>
          <w:rFonts w:ascii="ITC Avant Garde" w:hAnsi="ITC Avant Garde"/>
        </w:rPr>
      </w:pPr>
      <w:r>
        <w:rPr>
          <w:rFonts w:ascii="ITC Avant Garde" w:hAnsi="ITC Avant Garde"/>
        </w:rPr>
        <w:t xml:space="preserve">Se monitorean los costos y beneficios de la regulación implementada y se evalúan los resultados con los objetivos originalmente planteados a través de una evaluación </w:t>
      </w:r>
      <w:r>
        <w:rPr>
          <w:rFonts w:ascii="ITC Avant Garde" w:hAnsi="ITC Avant Garde"/>
          <w:i/>
        </w:rPr>
        <w:t>ex post.</w:t>
      </w:r>
    </w:p>
    <w:p w14:paraId="65DF3067" w14:textId="77777777" w:rsidR="00C728A4" w:rsidRPr="001C3C56" w:rsidRDefault="00C728A4" w:rsidP="00C728A4">
      <w:pPr>
        <w:pStyle w:val="Prrafodelista"/>
        <w:spacing w:after="0" w:line="240" w:lineRule="auto"/>
        <w:jc w:val="both"/>
        <w:rPr>
          <w:rFonts w:ascii="ITC Avant Garde" w:hAnsi="ITC Avant Garde"/>
        </w:rPr>
      </w:pPr>
    </w:p>
    <w:p w14:paraId="3E50D834" w14:textId="77777777" w:rsidR="001C3C56" w:rsidRPr="006E7C35" w:rsidRDefault="001C3C56" w:rsidP="006E7C35">
      <w:pPr>
        <w:pStyle w:val="Prrafodelista"/>
        <w:numPr>
          <w:ilvl w:val="0"/>
          <w:numId w:val="30"/>
        </w:numPr>
        <w:spacing w:after="0" w:line="240" w:lineRule="auto"/>
        <w:jc w:val="both"/>
        <w:rPr>
          <w:rFonts w:ascii="ITC Avant Garde" w:hAnsi="ITC Avant Garde"/>
        </w:rPr>
      </w:pPr>
      <w:r>
        <w:rPr>
          <w:rFonts w:ascii="ITC Avant Garde" w:hAnsi="ITC Avant Garde"/>
        </w:rPr>
        <w:t>Finalmente, una vez que se cuenta con todos los elementos sobre las implicaciones de la regulación que se emitió, implementó y monitoreó, se valoran los riesgos que implica continuar o no con dicha regulación y comienza el Ciclo de Gobernanza Regulatoria a través de la Planeación.</w:t>
      </w:r>
    </w:p>
    <w:p w14:paraId="3E83153D" w14:textId="77777777" w:rsidR="001C3C56" w:rsidRPr="00A67E95" w:rsidRDefault="001C3C56" w:rsidP="00400EF5">
      <w:pPr>
        <w:spacing w:after="0" w:line="240" w:lineRule="auto"/>
        <w:jc w:val="both"/>
        <w:rPr>
          <w:rFonts w:ascii="ITC Avant Garde" w:hAnsi="ITC Avant Garde"/>
        </w:rPr>
      </w:pPr>
    </w:p>
    <w:p w14:paraId="45D2908A" w14:textId="77777777" w:rsidR="00A67E95" w:rsidRPr="00A67E95" w:rsidRDefault="00A67E95" w:rsidP="00400EF5">
      <w:pPr>
        <w:spacing w:after="0" w:line="240" w:lineRule="auto"/>
        <w:jc w:val="both"/>
        <w:rPr>
          <w:rFonts w:ascii="ITC Avant Garde" w:hAnsi="ITC Avant Garde"/>
        </w:rPr>
      </w:pPr>
      <w:r w:rsidRPr="00A67E95">
        <w:rPr>
          <w:rFonts w:ascii="ITC Avant Garde" w:hAnsi="ITC Avant Garde"/>
        </w:rPr>
        <w:t>En este sentido,</w:t>
      </w:r>
      <w:r w:rsidR="00583224">
        <w:rPr>
          <w:rFonts w:ascii="ITC Avant Garde" w:hAnsi="ITC Avant Garde"/>
        </w:rPr>
        <w:t xml:space="preserve"> en palabras de Haddou y Contreras,</w:t>
      </w:r>
      <w:r w:rsidRPr="00A67E95">
        <w:rPr>
          <w:rFonts w:ascii="ITC Avant Garde" w:hAnsi="ITC Avant Garde"/>
        </w:rPr>
        <w:t xml:space="preserve"> se entiende por mejora regulatoria a la generación de aquellos cambios que incrementan la calidad del sistema jurídico en su conjunto y de </w:t>
      </w:r>
      <w:r w:rsidR="007A5AEE">
        <w:rPr>
          <w:rFonts w:ascii="ITC Avant Garde" w:hAnsi="ITC Avant Garde"/>
        </w:rPr>
        <w:t xml:space="preserve">los </w:t>
      </w:r>
      <w:r w:rsidRPr="00A67E95">
        <w:rPr>
          <w:rFonts w:ascii="ITC Avant Garde" w:hAnsi="ITC Avant Garde"/>
        </w:rPr>
        <w:t xml:space="preserve">instrumentos jurídicos en particular de la manera más eficiente, </w:t>
      </w:r>
      <w:r w:rsidRPr="00A67E95">
        <w:rPr>
          <w:rFonts w:ascii="ITC Avant Garde" w:hAnsi="ITC Avant Garde"/>
        </w:rPr>
        <w:lastRenderedPageBreak/>
        <w:t>es decir, maximizar los intereses sociales del país al menor costo posible para los ciudadanos y las empresas, así como mejorar la eficiencia de la economía y de su capacidad para adaptarse a situaciones en constante cambio</w:t>
      </w:r>
      <w:r w:rsidR="00583224">
        <w:rPr>
          <w:rFonts w:ascii="ITC Avant Garde" w:hAnsi="ITC Avant Garde"/>
        </w:rPr>
        <w:t xml:space="preserve"> (</w:t>
      </w:r>
      <w:r w:rsidR="00010E57">
        <w:rPr>
          <w:rFonts w:ascii="ITC Avant Garde" w:hAnsi="ITC Avant Garde"/>
        </w:rPr>
        <w:t>Contreras y Haddou, 2003, p. 2</w:t>
      </w:r>
      <w:r w:rsidR="007B127B">
        <w:rPr>
          <w:rFonts w:ascii="ITC Avant Garde" w:hAnsi="ITC Avant Garde"/>
        </w:rPr>
        <w:t>)</w:t>
      </w:r>
      <w:r w:rsidRPr="00A67E95">
        <w:rPr>
          <w:rFonts w:ascii="ITC Avant Garde" w:hAnsi="ITC Avant Garde"/>
        </w:rPr>
        <w:t xml:space="preserve">. </w:t>
      </w:r>
    </w:p>
    <w:p w14:paraId="39FFCDA2" w14:textId="77777777" w:rsidR="00396312" w:rsidRDefault="00396312" w:rsidP="00400EF5">
      <w:pPr>
        <w:spacing w:after="0" w:line="240" w:lineRule="auto"/>
        <w:jc w:val="both"/>
        <w:rPr>
          <w:rFonts w:ascii="ITC Avant Garde" w:hAnsi="ITC Avant Garde"/>
        </w:rPr>
      </w:pPr>
    </w:p>
    <w:p w14:paraId="25808EFA" w14:textId="77777777" w:rsidR="00C91BA2" w:rsidRPr="00396312" w:rsidRDefault="00C91BA2" w:rsidP="00C91BA2">
      <w:pPr>
        <w:spacing w:after="0" w:line="240" w:lineRule="auto"/>
        <w:jc w:val="both"/>
        <w:rPr>
          <w:rFonts w:ascii="ITC Avant Garde" w:hAnsi="ITC Avant Garde"/>
        </w:rPr>
      </w:pPr>
      <w:r w:rsidRPr="008B2AC8">
        <w:rPr>
          <w:rFonts w:ascii="ITC Avant Garde" w:hAnsi="ITC Avant Garde"/>
        </w:rPr>
        <w:t>Tanto el escrutinio y modificación de la legislación vigente, como la creación de nuevas regulaciones destinadas a subsanar lagunas jurídicas (de origen u ocasionadas por cambios sociales, económicos y tecnológicos) quedan comprendidos dentro del concepto de  mejora regulatoria.</w:t>
      </w:r>
    </w:p>
    <w:p w14:paraId="4FF9DF77" w14:textId="77777777" w:rsidR="00694AB7" w:rsidRDefault="00694AB7" w:rsidP="00400EF5">
      <w:pPr>
        <w:spacing w:after="0" w:line="240" w:lineRule="auto"/>
        <w:jc w:val="both"/>
        <w:rPr>
          <w:rFonts w:ascii="ITC Avant Garde" w:hAnsi="ITC Avant Garde"/>
        </w:rPr>
      </w:pPr>
    </w:p>
    <w:p w14:paraId="3FFEBF7B" w14:textId="08EDE2BC" w:rsidR="008A1B7F" w:rsidRDefault="00A67A12" w:rsidP="00A67A12">
      <w:pPr>
        <w:spacing w:after="0" w:line="240" w:lineRule="auto"/>
        <w:jc w:val="both"/>
        <w:rPr>
          <w:rFonts w:ascii="ITC Avant Garde" w:hAnsi="ITC Avant Garde"/>
        </w:rPr>
      </w:pPr>
      <w:r w:rsidRPr="00A67E95">
        <w:rPr>
          <w:rFonts w:ascii="ITC Avant Garde" w:hAnsi="ITC Avant Garde"/>
        </w:rPr>
        <w:t xml:space="preserve">Por lo anterior, es indispensable que el Instituto </w:t>
      </w:r>
      <w:r w:rsidR="00B91527">
        <w:rPr>
          <w:rFonts w:ascii="ITC Avant Garde" w:hAnsi="ITC Avant Garde"/>
        </w:rPr>
        <w:t>implemente</w:t>
      </w:r>
      <w:r w:rsidR="00B21721">
        <w:rPr>
          <w:rFonts w:ascii="ITC Avant Garde" w:hAnsi="ITC Avant Garde"/>
        </w:rPr>
        <w:t xml:space="preserve"> </w:t>
      </w:r>
      <w:r w:rsidRPr="00A67E95">
        <w:rPr>
          <w:rFonts w:ascii="ITC Avant Garde" w:hAnsi="ITC Avant Garde"/>
        </w:rPr>
        <w:t>una política de mejora regulatoria conforme al marco legal por el que se rige, que le permita reducir costos administrativos, facilitar la capacidad de adaptación y fomentar un entorno competitivo para las actividades productivas</w:t>
      </w:r>
      <w:r w:rsidR="00AE1643">
        <w:rPr>
          <w:rFonts w:ascii="ITC Avant Garde" w:hAnsi="ITC Avant Garde"/>
        </w:rPr>
        <w:t>. Ello,</w:t>
      </w:r>
      <w:r w:rsidRPr="00A67E95">
        <w:rPr>
          <w:rFonts w:ascii="ITC Avant Garde" w:hAnsi="ITC Avant Garde"/>
        </w:rPr>
        <w:t xml:space="preserve"> mediante el empleo de consultas públicas y análisis de impacto regulatorio, que </w:t>
      </w:r>
      <w:r w:rsidR="004C518A">
        <w:rPr>
          <w:rFonts w:ascii="ITC Avant Garde" w:hAnsi="ITC Avant Garde"/>
        </w:rPr>
        <w:t xml:space="preserve">haga posible </w:t>
      </w:r>
      <w:r w:rsidRPr="00A67E95">
        <w:rPr>
          <w:rFonts w:ascii="ITC Avant Garde" w:hAnsi="ITC Avant Garde"/>
        </w:rPr>
        <w:t>la generación de mejores instrumentos para regular el mercado de las telecomunicaciones y la radiodifusión</w:t>
      </w:r>
      <w:r w:rsidR="00AE1643">
        <w:rPr>
          <w:rFonts w:ascii="ITC Avant Garde" w:hAnsi="ITC Avant Garde"/>
        </w:rPr>
        <w:t xml:space="preserve">, </w:t>
      </w:r>
      <w:r w:rsidR="00AE1643" w:rsidRPr="00EE07A9">
        <w:rPr>
          <w:rFonts w:ascii="ITC Avant Garde" w:hAnsi="ITC Avant Garde"/>
        </w:rPr>
        <w:t>as</w:t>
      </w:r>
      <w:r w:rsidR="00AE1643" w:rsidRPr="00726EFE">
        <w:rPr>
          <w:rFonts w:ascii="ITC Avant Garde" w:hAnsi="ITC Avant Garde"/>
        </w:rPr>
        <w:t xml:space="preserve">í como la evaluación de la Regulación vigente </w:t>
      </w:r>
      <w:r w:rsidR="00AE1643" w:rsidRPr="00C6439A">
        <w:rPr>
          <w:rFonts w:ascii="ITC Avant Garde" w:hAnsi="ITC Avant Garde" w:cs="Times New Roman"/>
        </w:rPr>
        <w:t>a fin de analizar su eficacia, eficiencia, impacto y permanencia con relación a las circunstancias por las que fueron creadas</w:t>
      </w:r>
      <w:r w:rsidR="00AE1643">
        <w:rPr>
          <w:rFonts w:ascii="ITC Avant Garde" w:hAnsi="ITC Avant Garde" w:cs="Times New Roman"/>
        </w:rPr>
        <w:t>.</w:t>
      </w:r>
    </w:p>
    <w:p w14:paraId="2B04B710" w14:textId="77777777" w:rsidR="00A67A12" w:rsidRDefault="00A67A12" w:rsidP="00400EF5">
      <w:pPr>
        <w:spacing w:after="0" w:line="240" w:lineRule="auto"/>
        <w:jc w:val="both"/>
        <w:rPr>
          <w:rFonts w:ascii="ITC Avant Garde" w:hAnsi="ITC Avant Garde"/>
        </w:rPr>
      </w:pPr>
    </w:p>
    <w:p w14:paraId="0710BBD8" w14:textId="77777777" w:rsidR="001720C9" w:rsidRPr="00A67E95" w:rsidRDefault="008C4852" w:rsidP="001720C9">
      <w:pPr>
        <w:spacing w:after="0" w:line="240" w:lineRule="auto"/>
        <w:jc w:val="both"/>
        <w:rPr>
          <w:rFonts w:ascii="ITC Avant Garde" w:hAnsi="ITC Avant Garde"/>
        </w:rPr>
      </w:pPr>
      <w:r>
        <w:rPr>
          <w:rFonts w:ascii="ITC Avant Garde" w:hAnsi="ITC Avant Garde"/>
        </w:rPr>
        <w:t xml:space="preserve">Los </w:t>
      </w:r>
      <w:r w:rsidR="009132F3">
        <w:rPr>
          <w:rFonts w:ascii="ITC Avant Garde" w:hAnsi="ITC Avant Garde"/>
        </w:rPr>
        <w:t xml:space="preserve">Lineamientos </w:t>
      </w:r>
      <w:r w:rsidR="00A67E95" w:rsidRPr="00A67E95">
        <w:rPr>
          <w:rFonts w:ascii="ITC Avant Garde" w:hAnsi="ITC Avant Garde"/>
        </w:rPr>
        <w:t>propone</w:t>
      </w:r>
      <w:r w:rsidR="009F0D3C">
        <w:rPr>
          <w:rFonts w:ascii="ITC Avant Garde" w:hAnsi="ITC Avant Garde"/>
        </w:rPr>
        <w:t>n</w:t>
      </w:r>
      <w:r w:rsidR="00A67E95" w:rsidRPr="00A67E95">
        <w:rPr>
          <w:rFonts w:ascii="ITC Avant Garde" w:hAnsi="ITC Avant Garde"/>
        </w:rPr>
        <w:t xml:space="preserve"> </w:t>
      </w:r>
      <w:r w:rsidR="00961AAF">
        <w:rPr>
          <w:rFonts w:ascii="ITC Avant Garde" w:hAnsi="ITC Avant Garde"/>
        </w:rPr>
        <w:t xml:space="preserve">precisiones </w:t>
      </w:r>
      <w:r w:rsidR="0088514F">
        <w:rPr>
          <w:rFonts w:ascii="ITC Avant Garde" w:hAnsi="ITC Avant Garde"/>
        </w:rPr>
        <w:t>su</w:t>
      </w:r>
      <w:r w:rsidR="00A67E95" w:rsidRPr="00A67E95">
        <w:rPr>
          <w:rFonts w:ascii="ITC Avant Garde" w:hAnsi="ITC Avant Garde"/>
        </w:rPr>
        <w:t xml:space="preserve">stanciales de carácter administrativo a lo previsto en el marco legal del Instituto en la materia, mediante el establecimiento y </w:t>
      </w:r>
      <w:r w:rsidR="00ED2C1C">
        <w:rPr>
          <w:rFonts w:ascii="ITC Avant Garde" w:hAnsi="ITC Avant Garde"/>
        </w:rPr>
        <w:t xml:space="preserve">descripción </w:t>
      </w:r>
      <w:r w:rsidR="00A67E95" w:rsidRPr="00A67E95">
        <w:rPr>
          <w:rFonts w:ascii="ITC Avant Garde" w:hAnsi="ITC Avant Garde"/>
        </w:rPr>
        <w:t xml:space="preserve">de las herramientas que este órgano constitucional autónomo empleará para el mejoramiento sistemático de la calidad de sus instrumentos normativos, </w:t>
      </w:r>
      <w:r w:rsidR="00800224">
        <w:rPr>
          <w:rFonts w:ascii="ITC Avant Garde" w:hAnsi="ITC Avant Garde"/>
        </w:rPr>
        <w:t xml:space="preserve">a través de </w:t>
      </w:r>
      <w:r w:rsidR="00A67E95" w:rsidRPr="00A67E95">
        <w:rPr>
          <w:rFonts w:ascii="ITC Avant Garde" w:hAnsi="ITC Avant Garde"/>
        </w:rPr>
        <w:t>la transparencia y participación ciudadana. En otras palabras, lo que se pretend</w:t>
      </w:r>
      <w:r w:rsidR="009132F3">
        <w:rPr>
          <w:rFonts w:ascii="ITC Avant Garde" w:hAnsi="ITC Avant Garde"/>
        </w:rPr>
        <w:t>e con estos Lineamientos</w:t>
      </w:r>
      <w:r w:rsidR="00A67E95" w:rsidRPr="00A67E95">
        <w:rPr>
          <w:rFonts w:ascii="ITC Avant Garde" w:hAnsi="ITC Avant Garde"/>
        </w:rPr>
        <w:t xml:space="preserve"> </w:t>
      </w:r>
      <w:r w:rsidR="00A67E95" w:rsidRPr="00396312">
        <w:rPr>
          <w:rFonts w:ascii="ITC Avant Garde" w:hAnsi="ITC Avant Garde"/>
        </w:rPr>
        <w:t>es asegurar</w:t>
      </w:r>
      <w:r w:rsidR="00A67E95" w:rsidRPr="00A67E95">
        <w:rPr>
          <w:rFonts w:ascii="ITC Avant Garde" w:hAnsi="ITC Avant Garde"/>
        </w:rPr>
        <w:t xml:space="preserve"> que los propios marcos regulatorios se justifiquen, sean de buena calidad y adecuados para su propósito, así como </w:t>
      </w:r>
      <w:r w:rsidR="00396312">
        <w:rPr>
          <w:rFonts w:ascii="ITC Avant Garde" w:hAnsi="ITC Avant Garde"/>
        </w:rPr>
        <w:t>fomentar</w:t>
      </w:r>
      <w:r w:rsidR="00A67E95" w:rsidRPr="00A67E95">
        <w:rPr>
          <w:rFonts w:ascii="ITC Avant Garde" w:hAnsi="ITC Avant Garde"/>
        </w:rPr>
        <w:t xml:space="preserve"> la relación entre el Instituto, la industria, los usuarios y las audiencias</w:t>
      </w:r>
      <w:r w:rsidR="001720C9">
        <w:rPr>
          <w:rFonts w:ascii="ITC Avant Garde" w:hAnsi="ITC Avant Garde"/>
        </w:rPr>
        <w:t xml:space="preserve"> a fin de lograr una mayor comunicación e intercambio de información entre los mismos, que permita disminuir los costos regulatorios</w:t>
      </w:r>
      <w:r w:rsidR="001720C9" w:rsidRPr="00A67E95">
        <w:rPr>
          <w:rFonts w:ascii="ITC Avant Garde" w:hAnsi="ITC Avant Garde"/>
        </w:rPr>
        <w:t xml:space="preserve">. </w:t>
      </w:r>
    </w:p>
    <w:p w14:paraId="6EEFB16F" w14:textId="291FFA00" w:rsidR="00A67E95" w:rsidRPr="00A67E95" w:rsidRDefault="00A67E95" w:rsidP="00400EF5">
      <w:pPr>
        <w:spacing w:after="0" w:line="240" w:lineRule="auto"/>
        <w:jc w:val="both"/>
        <w:rPr>
          <w:rFonts w:ascii="ITC Avant Garde" w:hAnsi="ITC Avant Garde"/>
        </w:rPr>
      </w:pPr>
      <w:r w:rsidRPr="00A67E95">
        <w:rPr>
          <w:rFonts w:ascii="ITC Avant Garde" w:hAnsi="ITC Avant Garde"/>
        </w:rPr>
        <w:t xml:space="preserve"> </w:t>
      </w:r>
    </w:p>
    <w:p w14:paraId="7C76DA3E" w14:textId="77777777" w:rsidR="00042291" w:rsidRDefault="00042291" w:rsidP="00400EF5">
      <w:pPr>
        <w:spacing w:after="0" w:line="240" w:lineRule="auto"/>
        <w:jc w:val="both"/>
        <w:rPr>
          <w:rFonts w:ascii="ITC Avant Garde" w:hAnsi="ITC Avant Garde"/>
        </w:rPr>
      </w:pPr>
    </w:p>
    <w:p w14:paraId="769F8484" w14:textId="77777777" w:rsidR="00A67E95" w:rsidRDefault="00A67E95" w:rsidP="00400EF5">
      <w:pPr>
        <w:spacing w:after="0" w:line="240" w:lineRule="auto"/>
        <w:jc w:val="both"/>
        <w:rPr>
          <w:rFonts w:ascii="ITC Avant Garde" w:hAnsi="ITC Avant Garde"/>
        </w:rPr>
      </w:pPr>
      <w:r w:rsidRPr="00A67E95">
        <w:rPr>
          <w:rFonts w:ascii="ITC Avant Garde" w:hAnsi="ITC Avant Garde"/>
        </w:rPr>
        <w:t xml:space="preserve">A este respecto, la </w:t>
      </w:r>
      <w:r w:rsidR="001161D3">
        <w:rPr>
          <w:rFonts w:ascii="ITC Avant Garde" w:hAnsi="ITC Avant Garde"/>
        </w:rPr>
        <w:t xml:space="preserve">OCDE </w:t>
      </w:r>
      <w:r w:rsidR="00A012C0">
        <w:rPr>
          <w:rFonts w:ascii="ITC Avant Garde" w:hAnsi="ITC Avant Garde"/>
        </w:rPr>
        <w:t xml:space="preserve">dio a conocer </w:t>
      </w:r>
      <w:r w:rsidR="003C7959">
        <w:rPr>
          <w:rFonts w:ascii="ITC Avant Garde" w:hAnsi="ITC Avant Garde"/>
        </w:rPr>
        <w:t xml:space="preserve">a sus países miembros </w:t>
      </w:r>
      <w:r w:rsidR="00A012C0">
        <w:rPr>
          <w:rFonts w:ascii="ITC Avant Garde" w:hAnsi="ITC Avant Garde"/>
        </w:rPr>
        <w:t>la</w:t>
      </w:r>
      <w:r w:rsidRPr="00A67E95">
        <w:rPr>
          <w:rFonts w:ascii="ITC Avant Garde" w:hAnsi="ITC Avant Garde"/>
        </w:rPr>
        <w:t xml:space="preserve"> Re</w:t>
      </w:r>
      <w:r w:rsidR="00A012C0">
        <w:rPr>
          <w:rFonts w:ascii="ITC Avant Garde" w:hAnsi="ITC Avant Garde"/>
        </w:rPr>
        <w:t>comendación del Consejo sobre</w:t>
      </w:r>
      <w:r w:rsidRPr="00A67E95">
        <w:rPr>
          <w:rFonts w:ascii="ITC Avant Garde" w:hAnsi="ITC Avant Garde"/>
        </w:rPr>
        <w:t xml:space="preserve"> Política y Gobernanza </w:t>
      </w:r>
      <w:r w:rsidR="00A012C0">
        <w:rPr>
          <w:rFonts w:ascii="ITC Avant Garde" w:hAnsi="ITC Avant Garde"/>
        </w:rPr>
        <w:t xml:space="preserve">Regulatoria </w:t>
      </w:r>
      <w:r w:rsidRPr="00A67E95">
        <w:rPr>
          <w:rFonts w:ascii="ITC Avant Garde" w:hAnsi="ITC Avant Garde"/>
        </w:rPr>
        <w:t>en 2012</w:t>
      </w:r>
      <w:r w:rsidR="00100695">
        <w:rPr>
          <w:rFonts w:ascii="ITC Avant Garde" w:hAnsi="ITC Avant Garde"/>
        </w:rPr>
        <w:t xml:space="preserve"> (O</w:t>
      </w:r>
      <w:r w:rsidR="00A77F65">
        <w:rPr>
          <w:rFonts w:ascii="ITC Avant Garde" w:hAnsi="ITC Avant Garde"/>
        </w:rPr>
        <w:t>ECD</w:t>
      </w:r>
      <w:r w:rsidR="00100695">
        <w:rPr>
          <w:rFonts w:ascii="ITC Avant Garde" w:hAnsi="ITC Avant Garde"/>
        </w:rPr>
        <w:t xml:space="preserve">, 2012, </w:t>
      </w:r>
      <w:r w:rsidR="003900DF">
        <w:rPr>
          <w:rFonts w:ascii="ITC Avant Garde" w:hAnsi="ITC Avant Garde"/>
        </w:rPr>
        <w:t>p. 6</w:t>
      </w:r>
      <w:r w:rsidR="00892613">
        <w:rPr>
          <w:rFonts w:ascii="ITC Avant Garde" w:hAnsi="ITC Avant Garde"/>
        </w:rPr>
        <w:t>-19</w:t>
      </w:r>
      <w:r w:rsidR="00100695">
        <w:rPr>
          <w:rFonts w:ascii="ITC Avant Garde" w:hAnsi="ITC Avant Garde"/>
        </w:rPr>
        <w:t>)</w:t>
      </w:r>
      <w:r w:rsidRPr="00A67E95">
        <w:rPr>
          <w:rFonts w:ascii="ITC Avant Garde" w:hAnsi="ITC Avant Garde"/>
        </w:rPr>
        <w:t>, la cual sienta las bases para una evaluación exhaustiva del desempeño de las políticas, herramientas e instituciones que apuntalan el uso de una regulación eficiente y eficaz para la consecución de un objetivo determinado, a saber:</w:t>
      </w:r>
    </w:p>
    <w:p w14:paraId="60ABAFDE" w14:textId="77777777" w:rsidR="00042291" w:rsidRPr="00A67E95" w:rsidRDefault="00042291" w:rsidP="00400EF5">
      <w:pPr>
        <w:spacing w:after="0" w:line="240" w:lineRule="auto"/>
        <w:jc w:val="both"/>
        <w:rPr>
          <w:rFonts w:ascii="ITC Avant Garde" w:hAnsi="ITC Avant Garde"/>
        </w:rPr>
      </w:pPr>
    </w:p>
    <w:p w14:paraId="3586B17D" w14:textId="77777777" w:rsidR="00A67E95" w:rsidRDefault="00A67E95" w:rsidP="00151C9B">
      <w:pPr>
        <w:pStyle w:val="Prrafodelista"/>
        <w:numPr>
          <w:ilvl w:val="0"/>
          <w:numId w:val="25"/>
        </w:numPr>
        <w:spacing w:after="0" w:line="240" w:lineRule="auto"/>
        <w:ind w:left="851" w:hanging="491"/>
        <w:jc w:val="both"/>
        <w:rPr>
          <w:rFonts w:ascii="ITC Avant Garde" w:hAnsi="ITC Avant Garde"/>
        </w:rPr>
      </w:pPr>
      <w:r w:rsidRPr="00151C9B">
        <w:rPr>
          <w:rFonts w:ascii="ITC Avant Garde" w:hAnsi="ITC Avant Garde"/>
        </w:rPr>
        <w:t>Comprometerse en el más alto nivel político con una política de gobierno entero en aras de la calidad regulatoria. La política debe tener objetivos claros y marcos de aplicación para asegurar que, si la regulación se utiliza, los beneficios económicos, sociales y ambientales justifiquen los costos, se consideren los efectos distributivos y se maximicen los beneficios netos.</w:t>
      </w:r>
    </w:p>
    <w:p w14:paraId="0B53DA16" w14:textId="77777777" w:rsidR="00151C9B" w:rsidRPr="00151C9B" w:rsidRDefault="00151C9B" w:rsidP="00151C9B">
      <w:pPr>
        <w:pStyle w:val="Prrafodelista"/>
        <w:spacing w:after="0" w:line="240" w:lineRule="auto"/>
        <w:ind w:left="851"/>
        <w:jc w:val="both"/>
        <w:rPr>
          <w:rFonts w:ascii="ITC Avant Garde" w:hAnsi="ITC Avant Garde"/>
        </w:rPr>
      </w:pPr>
    </w:p>
    <w:p w14:paraId="2AE23105"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 xml:space="preserve">Adherirse a los principios de gobierno abierto, incluida la transparencia y la participación en el proceso regulatorio para asegurar que la normatividad sirve </w:t>
      </w:r>
      <w:r w:rsidRPr="00A67E95">
        <w:rPr>
          <w:rFonts w:ascii="ITC Avant Garde" w:hAnsi="ITC Avant Garde"/>
        </w:rPr>
        <w:lastRenderedPageBreak/>
        <w:t xml:space="preserve">al interés público y se base en las necesidades legítimas de los interesados y afectados por la regulación. Esto incluye ofrecer oportunidades importantes para que el público contribuya en el proceso de preparación de las versiones preliminares de propuestas normativas y a la calidad del análisis justificativo. Los gobiernos deben asegurar que la normatividad sea comprensible y clara, y que las partes puedan entender fácilmente sus derechos y obligaciones. </w:t>
      </w:r>
    </w:p>
    <w:p w14:paraId="427F5B0B" w14:textId="77777777" w:rsidR="00A67E95" w:rsidRPr="00A67E95" w:rsidRDefault="00A67E95" w:rsidP="00151C9B">
      <w:pPr>
        <w:pStyle w:val="Prrafodelista"/>
        <w:spacing w:after="0" w:line="240" w:lineRule="auto"/>
        <w:ind w:left="851" w:hanging="491"/>
        <w:jc w:val="both"/>
        <w:rPr>
          <w:rFonts w:ascii="ITC Avant Garde" w:hAnsi="ITC Avant Garde"/>
        </w:rPr>
      </w:pPr>
    </w:p>
    <w:p w14:paraId="2AD480C0"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Establecer mecanismos e instituciones para proporcionar activamente la supervisión de procedimientos y metas de política regulatoria, apoyar y ejecutar dicha política y de ese modo promover la calidad de las normas.</w:t>
      </w:r>
    </w:p>
    <w:p w14:paraId="355C11BA" w14:textId="77777777" w:rsidR="00A67E95" w:rsidRPr="00A67E95" w:rsidRDefault="00A67E95" w:rsidP="00151C9B">
      <w:pPr>
        <w:pStyle w:val="Prrafodelista"/>
        <w:spacing w:after="0" w:line="240" w:lineRule="auto"/>
        <w:ind w:left="851" w:hanging="491"/>
        <w:rPr>
          <w:rFonts w:ascii="ITC Avant Garde" w:hAnsi="ITC Avant Garde"/>
        </w:rPr>
      </w:pPr>
    </w:p>
    <w:p w14:paraId="2820ED74"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 xml:space="preserve">Integrar la evaluación de impacto regulatorio en las primeras etapas del proceso de regulación para formular nuevas propuestas normativas. Identificar claramente los objetivos de las políticas y evaluar </w:t>
      </w:r>
      <w:r w:rsidR="009132F3">
        <w:rPr>
          <w:rFonts w:ascii="ITC Avant Garde" w:hAnsi="ITC Avant Garde"/>
        </w:rPr>
        <w:t>si</w:t>
      </w:r>
      <w:r w:rsidRPr="00A67E95">
        <w:rPr>
          <w:rFonts w:ascii="ITC Avant Garde" w:hAnsi="ITC Avant Garde"/>
        </w:rPr>
        <w:t xml:space="preserve"> la regulación es necesaria y cómo puede ser más eficaz y eficiente para la consecución de estas metas. Considerar medios distintos a la regulación e identificar las ventajas y desve</w:t>
      </w:r>
      <w:r w:rsidR="009132F3">
        <w:rPr>
          <w:rFonts w:ascii="ITC Avant Garde" w:hAnsi="ITC Avant Garde"/>
        </w:rPr>
        <w:t>ntajas de los distintos enfoque</w:t>
      </w:r>
      <w:r w:rsidRPr="00A67E95">
        <w:rPr>
          <w:rFonts w:ascii="ITC Avant Garde" w:hAnsi="ITC Avant Garde"/>
        </w:rPr>
        <w:t>s</w:t>
      </w:r>
      <w:r w:rsidR="009132F3">
        <w:rPr>
          <w:rFonts w:ascii="ITC Avant Garde" w:hAnsi="ITC Avant Garde"/>
        </w:rPr>
        <w:t xml:space="preserve"> </w:t>
      </w:r>
      <w:r w:rsidRPr="00A67E95">
        <w:rPr>
          <w:rFonts w:ascii="ITC Avant Garde" w:hAnsi="ITC Avant Garde"/>
        </w:rPr>
        <w:t>utilizados para reconocer el mejor.</w:t>
      </w:r>
    </w:p>
    <w:p w14:paraId="12424FAA" w14:textId="77777777" w:rsidR="00A67E95" w:rsidRPr="00A67E95" w:rsidRDefault="00A67E95" w:rsidP="00151C9B">
      <w:pPr>
        <w:pStyle w:val="Prrafodelista"/>
        <w:spacing w:after="0" w:line="240" w:lineRule="auto"/>
        <w:ind w:left="851" w:hanging="491"/>
        <w:rPr>
          <w:rFonts w:ascii="ITC Avant Garde" w:hAnsi="ITC Avant Garde"/>
        </w:rPr>
      </w:pPr>
    </w:p>
    <w:p w14:paraId="14F6DC0A"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Efectuar rev</w:t>
      </w:r>
      <w:r w:rsidR="009132F3">
        <w:rPr>
          <w:rFonts w:ascii="ITC Avant Garde" w:hAnsi="ITC Avant Garde"/>
        </w:rPr>
        <w:t>isiones sistemáticas de programas de</w:t>
      </w:r>
      <w:r w:rsidRPr="00A67E95">
        <w:rPr>
          <w:rFonts w:ascii="ITC Avant Garde" w:hAnsi="ITC Avant Garde"/>
        </w:rPr>
        <w:t xml:space="preserve"> acervo normativo importante contra objetivos de políticas claramente definidos, incluso considerando los costos y beneficios, para asegurar que las regulaciones se mantengan actualizadas, el costo se justifique, sean rentables y coherentes, y cumplan con los objetivos previstos en materia de política pública. </w:t>
      </w:r>
    </w:p>
    <w:p w14:paraId="5D6436B6" w14:textId="77777777" w:rsidR="00A67E95" w:rsidRPr="00A67E95" w:rsidRDefault="00A67E95" w:rsidP="00151C9B">
      <w:pPr>
        <w:pStyle w:val="Prrafodelista"/>
        <w:spacing w:after="0" w:line="240" w:lineRule="auto"/>
        <w:ind w:left="851" w:hanging="491"/>
        <w:rPr>
          <w:rFonts w:ascii="ITC Avant Garde" w:hAnsi="ITC Avant Garde"/>
        </w:rPr>
      </w:pPr>
    </w:p>
    <w:p w14:paraId="6893BE1B"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 xml:space="preserve">Publicar informes periódicamente sobre el ejercicio de la política regulatoria y los programas de reforma, así como sobre las autoridades públicas que aplican la normatividad. Esos informes deben incluir la información sobre cómo funcionan en la práctica </w:t>
      </w:r>
      <w:r w:rsidR="007A5AEE">
        <w:rPr>
          <w:rFonts w:ascii="ITC Avant Garde" w:hAnsi="ITC Avant Garde"/>
        </w:rPr>
        <w:t xml:space="preserve">las </w:t>
      </w:r>
      <w:r w:rsidRPr="00A67E95">
        <w:rPr>
          <w:rFonts w:ascii="ITC Avant Garde" w:hAnsi="ITC Avant Garde"/>
        </w:rPr>
        <w:t xml:space="preserve">herramientas reglamentarias como la evaluación de impacto regulatorio, los ejercicios de consulta pública y las revisiones de la regulación vigente. </w:t>
      </w:r>
    </w:p>
    <w:p w14:paraId="06F0F16C" w14:textId="77777777" w:rsidR="00A67E95" w:rsidRPr="00A67E95" w:rsidRDefault="00A67E95" w:rsidP="00151C9B">
      <w:pPr>
        <w:pStyle w:val="Prrafodelista"/>
        <w:spacing w:after="0" w:line="240" w:lineRule="auto"/>
        <w:ind w:left="851" w:hanging="491"/>
        <w:rPr>
          <w:rFonts w:ascii="ITC Avant Garde" w:hAnsi="ITC Avant Garde"/>
        </w:rPr>
      </w:pPr>
    </w:p>
    <w:p w14:paraId="646A6704"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Formular una política coherente que abarque el cometido y las funciones de los organismos reguladores con el fin de proporcionar una mayor confianza en que las decisiones normativas se toman sobre una base objetiva, imparcial y co</w:t>
      </w:r>
      <w:r w:rsidR="00083DF4">
        <w:rPr>
          <w:rFonts w:ascii="ITC Avant Garde" w:hAnsi="ITC Avant Garde"/>
        </w:rPr>
        <w:t>ngruente</w:t>
      </w:r>
      <w:r w:rsidRPr="00A67E95">
        <w:rPr>
          <w:rFonts w:ascii="ITC Avant Garde" w:hAnsi="ITC Avant Garde"/>
        </w:rPr>
        <w:t xml:space="preserve">, sin conflictos de interés, parcialidad ni influencia indebida. </w:t>
      </w:r>
    </w:p>
    <w:p w14:paraId="60FEF9CA" w14:textId="77777777" w:rsidR="00A67E95" w:rsidRPr="00A67E95" w:rsidRDefault="00A67E95" w:rsidP="00151C9B">
      <w:pPr>
        <w:pStyle w:val="Prrafodelista"/>
        <w:spacing w:after="0" w:line="240" w:lineRule="auto"/>
        <w:ind w:left="851" w:hanging="491"/>
        <w:rPr>
          <w:rFonts w:ascii="ITC Avant Garde" w:hAnsi="ITC Avant Garde"/>
        </w:rPr>
      </w:pPr>
    </w:p>
    <w:p w14:paraId="30C1A575"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Garantizar la eficacia de los sistemas de revisión de la legalidad y equidad procesal en las normas y en las decisiones tomadas por los órganos facultados para dictar sanciones normativas. Asegura que los ciudadanos y las empresas tengan acceso a esos sistemas de revisión a un costo razonable y que reciban las decisiones en forma oportuna.</w:t>
      </w:r>
    </w:p>
    <w:p w14:paraId="0FF542A3" w14:textId="77777777" w:rsidR="00A67E95" w:rsidRPr="00A67E95" w:rsidRDefault="00A67E95" w:rsidP="00151C9B">
      <w:pPr>
        <w:pStyle w:val="Prrafodelista"/>
        <w:spacing w:after="0" w:line="240" w:lineRule="auto"/>
        <w:ind w:left="851" w:hanging="491"/>
        <w:rPr>
          <w:rFonts w:ascii="ITC Avant Garde" w:hAnsi="ITC Avant Garde"/>
        </w:rPr>
      </w:pPr>
    </w:p>
    <w:p w14:paraId="4F0A257B"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Cuando proceda, aplicar la evaluación y gestión de riesgos, así como estrategias de comunicación de riesgos al diseño e instrumentación de la normatividad</w:t>
      </w:r>
      <w:r w:rsidR="00CE1651">
        <w:rPr>
          <w:rFonts w:ascii="ITC Avant Garde" w:hAnsi="ITC Avant Garde"/>
        </w:rPr>
        <w:t>,</w:t>
      </w:r>
      <w:r w:rsidRPr="00A67E95">
        <w:rPr>
          <w:rFonts w:ascii="ITC Avant Garde" w:hAnsi="ITC Avant Garde"/>
        </w:rPr>
        <w:t xml:space="preserve"> para asegurar que la regulación tiene fines concretos y es eficaz. </w:t>
      </w:r>
      <w:r w:rsidRPr="00A67E95">
        <w:rPr>
          <w:rFonts w:ascii="ITC Avant Garde" w:hAnsi="ITC Avant Garde"/>
        </w:rPr>
        <w:lastRenderedPageBreak/>
        <w:t>Las autoridades deben evaluar cómo se hará efectiva la normatividad y deben diseñar estrategias de instrumentación y cumplimiento que sean acogidas de manera favorable.</w:t>
      </w:r>
    </w:p>
    <w:p w14:paraId="534CB759" w14:textId="77777777" w:rsidR="00A67E95" w:rsidRPr="00A67E95" w:rsidRDefault="00A67E95" w:rsidP="00151C9B">
      <w:pPr>
        <w:pStyle w:val="Prrafodelista"/>
        <w:spacing w:after="0" w:line="240" w:lineRule="auto"/>
        <w:ind w:left="851" w:hanging="491"/>
        <w:rPr>
          <w:rFonts w:ascii="ITC Avant Garde" w:hAnsi="ITC Avant Garde"/>
        </w:rPr>
      </w:pPr>
    </w:p>
    <w:p w14:paraId="4122BF1A"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 xml:space="preserve">Según proceda, promover la coherencia normativa a través de mecanismos de coordinación entre los niveles supranacional, nacional y subnacional del gobierno. Identificar problemas de regulación representativos en todos los niveles de gobierno, para promover la coherencia entre los enfoques normativos y evitar la duplicación o el conflicto de normas. </w:t>
      </w:r>
    </w:p>
    <w:p w14:paraId="6D0A2641" w14:textId="77777777" w:rsidR="00A67E95" w:rsidRPr="00A67E95" w:rsidRDefault="00A67E95" w:rsidP="00151C9B">
      <w:pPr>
        <w:pStyle w:val="Prrafodelista"/>
        <w:spacing w:after="0" w:line="240" w:lineRule="auto"/>
        <w:ind w:left="851" w:hanging="491"/>
        <w:rPr>
          <w:rFonts w:ascii="ITC Avant Garde" w:hAnsi="ITC Avant Garde"/>
        </w:rPr>
      </w:pPr>
    </w:p>
    <w:p w14:paraId="396A7556" w14:textId="77777777" w:rsidR="00A67E95" w:rsidRPr="00A67E95"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Fomentar el desarrollo de la capacidad de gestión y el desempeño en los niveles subnacionales de gobierno.</w:t>
      </w:r>
    </w:p>
    <w:p w14:paraId="44244978" w14:textId="77777777" w:rsidR="00A67E95" w:rsidRPr="00A67E95" w:rsidRDefault="00A67E95" w:rsidP="00151C9B">
      <w:pPr>
        <w:pStyle w:val="Prrafodelista"/>
        <w:spacing w:after="0" w:line="240" w:lineRule="auto"/>
        <w:ind w:left="851" w:hanging="491"/>
        <w:rPr>
          <w:rFonts w:ascii="ITC Avant Garde" w:hAnsi="ITC Avant Garde"/>
        </w:rPr>
      </w:pPr>
    </w:p>
    <w:p w14:paraId="3F2369A5" w14:textId="77777777" w:rsidR="00A67E95" w:rsidRPr="00AD3C31" w:rsidRDefault="00A67E95" w:rsidP="00151C9B">
      <w:pPr>
        <w:pStyle w:val="Prrafodelista"/>
        <w:numPr>
          <w:ilvl w:val="0"/>
          <w:numId w:val="25"/>
        </w:numPr>
        <w:spacing w:after="0" w:line="240" w:lineRule="auto"/>
        <w:ind w:left="851" w:hanging="491"/>
        <w:jc w:val="both"/>
        <w:rPr>
          <w:rFonts w:ascii="ITC Avant Garde" w:hAnsi="ITC Avant Garde"/>
        </w:rPr>
      </w:pPr>
      <w:r w:rsidRPr="00A67E95">
        <w:rPr>
          <w:rFonts w:ascii="ITC Avant Garde" w:hAnsi="ITC Avant Garde"/>
        </w:rPr>
        <w:t>Al formular medidas de regulación, tener en cuenta todas las norm</w:t>
      </w:r>
      <w:r w:rsidR="00CE1651">
        <w:rPr>
          <w:rFonts w:ascii="ITC Avant Garde" w:hAnsi="ITC Avant Garde"/>
        </w:rPr>
        <w:t>as internacionales pertinentes o</w:t>
      </w:r>
      <w:r w:rsidRPr="00A67E95">
        <w:rPr>
          <w:rFonts w:ascii="ITC Avant Garde" w:hAnsi="ITC Avant Garde"/>
        </w:rPr>
        <w:t xml:space="preserve"> los marcos de cooperación en el mismo campo, y cuando proceda, sus probables efectos sobre las partes fuera de la jurisdicción. </w:t>
      </w:r>
    </w:p>
    <w:p w14:paraId="4C98ABBE" w14:textId="77777777" w:rsidR="00042291" w:rsidRDefault="00042291" w:rsidP="00400EF5">
      <w:pPr>
        <w:spacing w:after="0" w:line="240" w:lineRule="auto"/>
        <w:jc w:val="both"/>
        <w:rPr>
          <w:rFonts w:ascii="ITC Avant Garde" w:hAnsi="ITC Avant Garde" w:cs="Segoe Print"/>
        </w:rPr>
      </w:pPr>
    </w:p>
    <w:p w14:paraId="180178D5" w14:textId="4AC69237" w:rsidR="00A67E95" w:rsidRDefault="00A67E95" w:rsidP="00400EF5">
      <w:pPr>
        <w:spacing w:after="0" w:line="240" w:lineRule="auto"/>
        <w:jc w:val="both"/>
        <w:rPr>
          <w:rFonts w:ascii="ITC Avant Garde" w:hAnsi="ITC Avant Garde"/>
        </w:rPr>
      </w:pPr>
      <w:r w:rsidRPr="00A67E95">
        <w:rPr>
          <w:rFonts w:ascii="ITC Avant Garde" w:hAnsi="ITC Avant Garde" w:cs="Segoe Print"/>
        </w:rPr>
        <w:t>Asimismo</w:t>
      </w:r>
      <w:r w:rsidRPr="00A67E95">
        <w:rPr>
          <w:rFonts w:ascii="ITC Avant Garde" w:hAnsi="ITC Avant Garde"/>
        </w:rPr>
        <w:t xml:space="preserve">, a fin de garantizar el mayor nivel de eficiencia de </w:t>
      </w:r>
      <w:r w:rsidR="001E277E">
        <w:rPr>
          <w:rFonts w:ascii="ITC Avant Garde" w:hAnsi="ITC Avant Garde"/>
        </w:rPr>
        <w:t xml:space="preserve">las </w:t>
      </w:r>
      <w:r w:rsidRPr="00A67E95">
        <w:rPr>
          <w:rFonts w:ascii="ITC Avant Garde" w:hAnsi="ITC Avant Garde"/>
        </w:rPr>
        <w:t>políticas públicas por parte de las instituciones gubernamentales, la OCDE recomienda adoptar un esquema de Evaluación de Impacto Regulatorio (en lo sucesivo, “RIA”, por su siglas en inglés)</w:t>
      </w:r>
      <w:r w:rsidR="00B91AC9">
        <w:rPr>
          <w:rFonts w:ascii="ITC Avant Garde" w:hAnsi="ITC Avant Garde"/>
        </w:rPr>
        <w:t>, (O</w:t>
      </w:r>
      <w:r w:rsidR="00A77F65">
        <w:rPr>
          <w:rFonts w:ascii="ITC Avant Garde" w:hAnsi="ITC Avant Garde"/>
        </w:rPr>
        <w:t>ECD</w:t>
      </w:r>
      <w:r w:rsidR="00B91AC9">
        <w:rPr>
          <w:rFonts w:ascii="ITC Avant Garde" w:hAnsi="ITC Avant Garde"/>
        </w:rPr>
        <w:t>, 2008)</w:t>
      </w:r>
      <w:r w:rsidRPr="00A67E95">
        <w:rPr>
          <w:rFonts w:ascii="ITC Avant Garde" w:hAnsi="ITC Avant Garde"/>
        </w:rPr>
        <w:t>. Dicho esquema consiste en un proceso integrado por las etapas siguientes:</w:t>
      </w:r>
    </w:p>
    <w:p w14:paraId="0B8550EF" w14:textId="77777777" w:rsidR="00042291" w:rsidRPr="00A67E95" w:rsidRDefault="00042291" w:rsidP="00400EF5">
      <w:pPr>
        <w:spacing w:after="0" w:line="240" w:lineRule="auto"/>
        <w:jc w:val="both"/>
        <w:rPr>
          <w:rFonts w:ascii="ITC Avant Garde" w:hAnsi="ITC Avant Garde"/>
        </w:rPr>
      </w:pPr>
    </w:p>
    <w:p w14:paraId="147E943A" w14:textId="77777777" w:rsidR="00A67E95" w:rsidRPr="00A67E95" w:rsidRDefault="00A67E95" w:rsidP="00151C9B">
      <w:pPr>
        <w:pStyle w:val="Prrafodelista"/>
        <w:numPr>
          <w:ilvl w:val="0"/>
          <w:numId w:val="27"/>
        </w:numPr>
        <w:spacing w:after="0" w:line="240" w:lineRule="auto"/>
        <w:ind w:left="851" w:hanging="491"/>
        <w:jc w:val="both"/>
        <w:rPr>
          <w:rFonts w:ascii="ITC Avant Garde" w:hAnsi="ITC Avant Garde"/>
        </w:rPr>
      </w:pPr>
      <w:r w:rsidRPr="00A67E95">
        <w:rPr>
          <w:rFonts w:ascii="ITC Avant Garde" w:hAnsi="ITC Avant Garde"/>
        </w:rPr>
        <w:t>Definición de</w:t>
      </w:r>
      <w:r w:rsidR="000F4B9F">
        <w:rPr>
          <w:rFonts w:ascii="ITC Avant Garde" w:hAnsi="ITC Avant Garde"/>
        </w:rPr>
        <w:t>l contexto y</w:t>
      </w:r>
      <w:r w:rsidRPr="00A67E95">
        <w:rPr>
          <w:rFonts w:ascii="ITC Avant Garde" w:hAnsi="ITC Avant Garde"/>
        </w:rPr>
        <w:t xml:space="preserve"> los objetivos </w:t>
      </w:r>
      <w:r w:rsidR="000F4B9F">
        <w:rPr>
          <w:rFonts w:ascii="ITC Avant Garde" w:hAnsi="ITC Avant Garde"/>
        </w:rPr>
        <w:t xml:space="preserve">de la política pública, en particular la identificación sistemática </w:t>
      </w:r>
      <w:r w:rsidRPr="00A67E95">
        <w:rPr>
          <w:rFonts w:ascii="ITC Avant Garde" w:hAnsi="ITC Avant Garde"/>
        </w:rPr>
        <w:t xml:space="preserve">del problema que </w:t>
      </w:r>
      <w:r w:rsidR="008435D7">
        <w:rPr>
          <w:rFonts w:ascii="ITC Avant Garde" w:hAnsi="ITC Avant Garde"/>
        </w:rPr>
        <w:t>constituye</w:t>
      </w:r>
      <w:r w:rsidRPr="00A67E95">
        <w:rPr>
          <w:rFonts w:ascii="ITC Avant Garde" w:hAnsi="ITC Avant Garde"/>
        </w:rPr>
        <w:t xml:space="preserve"> la base de acción por parte del </w:t>
      </w:r>
      <w:r w:rsidR="001F0004">
        <w:rPr>
          <w:rFonts w:ascii="ITC Avant Garde" w:hAnsi="ITC Avant Garde"/>
        </w:rPr>
        <w:t>G</w:t>
      </w:r>
      <w:r w:rsidRPr="00A67E95">
        <w:rPr>
          <w:rFonts w:ascii="ITC Avant Garde" w:hAnsi="ITC Avant Garde"/>
        </w:rPr>
        <w:t>obierno;</w:t>
      </w:r>
    </w:p>
    <w:p w14:paraId="57093FC6" w14:textId="77777777" w:rsidR="00A67E95" w:rsidRPr="00A67E95" w:rsidRDefault="00A67E95" w:rsidP="00151C9B">
      <w:pPr>
        <w:pStyle w:val="Prrafodelista"/>
        <w:spacing w:after="0" w:line="240" w:lineRule="auto"/>
        <w:ind w:left="851" w:hanging="491"/>
        <w:jc w:val="both"/>
        <w:rPr>
          <w:rFonts w:ascii="ITC Avant Garde" w:hAnsi="ITC Avant Garde"/>
        </w:rPr>
      </w:pPr>
    </w:p>
    <w:p w14:paraId="18E06C71" w14:textId="77777777" w:rsidR="00A67E95" w:rsidRPr="00A67E95" w:rsidRDefault="00A67E95" w:rsidP="00151C9B">
      <w:pPr>
        <w:pStyle w:val="Prrafodelista"/>
        <w:numPr>
          <w:ilvl w:val="0"/>
          <w:numId w:val="27"/>
        </w:numPr>
        <w:spacing w:after="0" w:line="240" w:lineRule="auto"/>
        <w:ind w:left="851" w:hanging="491"/>
        <w:jc w:val="both"/>
        <w:rPr>
          <w:rFonts w:ascii="ITC Avant Garde" w:hAnsi="ITC Avant Garde"/>
        </w:rPr>
      </w:pPr>
      <w:r w:rsidRPr="00A67E95">
        <w:rPr>
          <w:rFonts w:ascii="ITC Avant Garde" w:hAnsi="ITC Avant Garde"/>
        </w:rPr>
        <w:t>Identificación y definición de todas las posibles opciones regulatorias y no regulatorias que p</w:t>
      </w:r>
      <w:r w:rsidR="005E57AD">
        <w:rPr>
          <w:rFonts w:ascii="ITC Avant Garde" w:hAnsi="ITC Avant Garde"/>
        </w:rPr>
        <w:t>odrían</w:t>
      </w:r>
      <w:r w:rsidRPr="00A67E95">
        <w:rPr>
          <w:rFonts w:ascii="ITC Avant Garde" w:hAnsi="ITC Avant Garde"/>
        </w:rPr>
        <w:t xml:space="preserve"> lograr el objetivo</w:t>
      </w:r>
      <w:r w:rsidR="005E57AD">
        <w:rPr>
          <w:rFonts w:ascii="ITC Avant Garde" w:hAnsi="ITC Avant Garde"/>
        </w:rPr>
        <w:t xml:space="preserve"> de la política pública</w:t>
      </w:r>
      <w:r w:rsidRPr="00A67E95">
        <w:rPr>
          <w:rFonts w:ascii="ITC Avant Garde" w:hAnsi="ITC Avant Garde"/>
        </w:rPr>
        <w:t>;</w:t>
      </w:r>
    </w:p>
    <w:p w14:paraId="74ACF8E6" w14:textId="77777777" w:rsidR="00A67E95" w:rsidRPr="00A67E95" w:rsidRDefault="00A67E95" w:rsidP="00151C9B">
      <w:pPr>
        <w:pStyle w:val="Prrafodelista"/>
        <w:spacing w:after="0" w:line="240" w:lineRule="auto"/>
        <w:ind w:left="851" w:hanging="491"/>
        <w:jc w:val="both"/>
        <w:rPr>
          <w:rFonts w:ascii="ITC Avant Garde" w:hAnsi="ITC Avant Garde"/>
        </w:rPr>
      </w:pPr>
    </w:p>
    <w:p w14:paraId="2AD58532" w14:textId="77777777" w:rsidR="00A67E95" w:rsidRPr="00A67E95" w:rsidRDefault="00A67E95" w:rsidP="00151C9B">
      <w:pPr>
        <w:pStyle w:val="Prrafodelista"/>
        <w:numPr>
          <w:ilvl w:val="0"/>
          <w:numId w:val="27"/>
        </w:numPr>
        <w:spacing w:after="0" w:line="240" w:lineRule="auto"/>
        <w:ind w:left="851" w:hanging="491"/>
        <w:jc w:val="both"/>
        <w:rPr>
          <w:rFonts w:ascii="ITC Avant Garde" w:hAnsi="ITC Avant Garde"/>
        </w:rPr>
      </w:pPr>
      <w:r w:rsidRPr="00A67E95">
        <w:rPr>
          <w:rFonts w:ascii="ITC Avant Garde" w:hAnsi="ITC Avant Garde"/>
        </w:rPr>
        <w:t xml:space="preserve">Identificación y cuantificación de los impactos de las </w:t>
      </w:r>
      <w:r w:rsidR="008435D7" w:rsidRPr="00A67E95">
        <w:rPr>
          <w:rFonts w:ascii="ITC Avant Garde" w:hAnsi="ITC Avant Garde"/>
        </w:rPr>
        <w:t>opciones</w:t>
      </w:r>
      <w:r w:rsidR="008435D7">
        <w:rPr>
          <w:rFonts w:ascii="ITC Avant Garde" w:hAnsi="ITC Avant Garde"/>
        </w:rPr>
        <w:t xml:space="preserve"> consideradas</w:t>
      </w:r>
      <w:r w:rsidRPr="00A67E95">
        <w:rPr>
          <w:rFonts w:ascii="ITC Avant Garde" w:hAnsi="ITC Avant Garde"/>
        </w:rPr>
        <w:t xml:space="preserve">, </w:t>
      </w:r>
      <w:r w:rsidR="005E57AD">
        <w:rPr>
          <w:rFonts w:ascii="ITC Avant Garde" w:hAnsi="ITC Avant Garde"/>
        </w:rPr>
        <w:t xml:space="preserve">incluyendo </w:t>
      </w:r>
      <w:r w:rsidRPr="00A67E95">
        <w:rPr>
          <w:rFonts w:ascii="ITC Avant Garde" w:hAnsi="ITC Avant Garde"/>
        </w:rPr>
        <w:t>costos, beneficios y efectos distribucionales;</w:t>
      </w:r>
    </w:p>
    <w:p w14:paraId="5C638988" w14:textId="77777777" w:rsidR="00A67E95" w:rsidRPr="00A67E95" w:rsidRDefault="00A67E95" w:rsidP="00151C9B">
      <w:pPr>
        <w:pStyle w:val="Prrafodelista"/>
        <w:spacing w:after="0" w:line="240" w:lineRule="auto"/>
        <w:ind w:left="851" w:hanging="491"/>
        <w:jc w:val="both"/>
        <w:rPr>
          <w:rFonts w:ascii="ITC Avant Garde" w:hAnsi="ITC Avant Garde"/>
        </w:rPr>
      </w:pPr>
    </w:p>
    <w:p w14:paraId="71A01359" w14:textId="77777777" w:rsidR="00A67E95" w:rsidRPr="00A67E95" w:rsidRDefault="00A67E95" w:rsidP="00151C9B">
      <w:pPr>
        <w:pStyle w:val="Prrafodelista"/>
        <w:numPr>
          <w:ilvl w:val="0"/>
          <w:numId w:val="27"/>
        </w:numPr>
        <w:spacing w:after="0" w:line="240" w:lineRule="auto"/>
        <w:ind w:left="851" w:hanging="491"/>
        <w:jc w:val="both"/>
        <w:rPr>
          <w:rFonts w:ascii="ITC Avant Garde" w:hAnsi="ITC Avant Garde"/>
        </w:rPr>
      </w:pPr>
      <w:r w:rsidRPr="00A67E95">
        <w:rPr>
          <w:rFonts w:ascii="ITC Avant Garde" w:hAnsi="ITC Avant Garde"/>
        </w:rPr>
        <w:t>El desarrollo de estrategias de cumplimiento e implementación para cada opción, incluyendo la evaluación de su eficiencia y efectividad;</w:t>
      </w:r>
    </w:p>
    <w:p w14:paraId="25134195" w14:textId="77777777" w:rsidR="00A67E95" w:rsidRPr="00A67E95" w:rsidRDefault="00A67E95" w:rsidP="00151C9B">
      <w:pPr>
        <w:pStyle w:val="Prrafodelista"/>
        <w:spacing w:after="0" w:line="240" w:lineRule="auto"/>
        <w:ind w:left="851" w:hanging="491"/>
        <w:jc w:val="both"/>
        <w:rPr>
          <w:rFonts w:ascii="ITC Avant Garde" w:hAnsi="ITC Avant Garde"/>
        </w:rPr>
      </w:pPr>
    </w:p>
    <w:p w14:paraId="6EC7BB88" w14:textId="77777777" w:rsidR="00A67E95" w:rsidRPr="00A67E95" w:rsidRDefault="00A67E95" w:rsidP="00151C9B">
      <w:pPr>
        <w:pStyle w:val="Prrafodelista"/>
        <w:numPr>
          <w:ilvl w:val="0"/>
          <w:numId w:val="27"/>
        </w:numPr>
        <w:spacing w:after="0" w:line="240" w:lineRule="auto"/>
        <w:ind w:left="851" w:hanging="491"/>
        <w:jc w:val="both"/>
        <w:rPr>
          <w:rFonts w:ascii="ITC Avant Garde" w:hAnsi="ITC Avant Garde"/>
        </w:rPr>
      </w:pPr>
      <w:r w:rsidRPr="00A67E95">
        <w:rPr>
          <w:rFonts w:ascii="ITC Avant Garde" w:hAnsi="ITC Avant Garde"/>
        </w:rPr>
        <w:t>El desarrollo de mecanismo</w:t>
      </w:r>
      <w:r w:rsidR="00196867">
        <w:rPr>
          <w:rFonts w:ascii="ITC Avant Garde" w:hAnsi="ITC Avant Garde"/>
        </w:rPr>
        <w:t>s</w:t>
      </w:r>
      <w:r w:rsidRPr="00A67E95">
        <w:rPr>
          <w:rFonts w:ascii="ITC Avant Garde" w:hAnsi="ITC Avant Garde"/>
        </w:rPr>
        <w:t xml:space="preserve"> de monitoreo para evaluar el éxito de la propuesta de regulación,</w:t>
      </w:r>
      <w:r w:rsidR="005E2510">
        <w:rPr>
          <w:rFonts w:ascii="ITC Avant Garde" w:hAnsi="ITC Avant Garde"/>
        </w:rPr>
        <w:t xml:space="preserve"> </w:t>
      </w:r>
      <w:r w:rsidRPr="00A67E95">
        <w:rPr>
          <w:rFonts w:ascii="ITC Avant Garde" w:hAnsi="ITC Avant Garde"/>
        </w:rPr>
        <w:t>y</w:t>
      </w:r>
    </w:p>
    <w:p w14:paraId="7F723867" w14:textId="77777777" w:rsidR="00A67E95" w:rsidRPr="00A67E95" w:rsidRDefault="00A67E95" w:rsidP="00151C9B">
      <w:pPr>
        <w:pStyle w:val="Prrafodelista"/>
        <w:spacing w:after="0" w:line="240" w:lineRule="auto"/>
        <w:ind w:left="851" w:hanging="491"/>
        <w:jc w:val="both"/>
        <w:rPr>
          <w:rFonts w:ascii="ITC Avant Garde" w:hAnsi="ITC Avant Garde"/>
        </w:rPr>
      </w:pPr>
    </w:p>
    <w:p w14:paraId="5BEACC1D" w14:textId="77777777" w:rsidR="00A67E95" w:rsidRPr="00AD3C31" w:rsidRDefault="00A67E95" w:rsidP="00151C9B">
      <w:pPr>
        <w:pStyle w:val="Prrafodelista"/>
        <w:numPr>
          <w:ilvl w:val="0"/>
          <w:numId w:val="27"/>
        </w:numPr>
        <w:spacing w:after="0" w:line="240" w:lineRule="auto"/>
        <w:ind w:left="851" w:hanging="491"/>
        <w:jc w:val="both"/>
        <w:rPr>
          <w:rFonts w:ascii="ITC Avant Garde" w:hAnsi="ITC Avant Garde"/>
        </w:rPr>
      </w:pPr>
      <w:r w:rsidRPr="00A67E95">
        <w:rPr>
          <w:rFonts w:ascii="ITC Avant Garde" w:hAnsi="ITC Avant Garde"/>
        </w:rPr>
        <w:t>Consulta pública.</w:t>
      </w:r>
    </w:p>
    <w:p w14:paraId="59A568BF" w14:textId="77777777" w:rsidR="00042291" w:rsidRDefault="00042291" w:rsidP="00400EF5">
      <w:pPr>
        <w:spacing w:after="0" w:line="240" w:lineRule="auto"/>
        <w:jc w:val="both"/>
        <w:rPr>
          <w:rFonts w:ascii="ITC Avant Garde" w:hAnsi="ITC Avant Garde"/>
        </w:rPr>
      </w:pPr>
    </w:p>
    <w:p w14:paraId="39B05D06" w14:textId="77777777" w:rsidR="00042291" w:rsidRDefault="00A67E95" w:rsidP="00400EF5">
      <w:pPr>
        <w:spacing w:after="0" w:line="240" w:lineRule="auto"/>
        <w:jc w:val="both"/>
        <w:rPr>
          <w:rFonts w:ascii="ITC Avant Garde" w:hAnsi="ITC Avant Garde"/>
        </w:rPr>
      </w:pPr>
      <w:r w:rsidRPr="002410DE">
        <w:rPr>
          <w:rFonts w:ascii="ITC Avant Garde" w:hAnsi="ITC Avant Garde"/>
        </w:rPr>
        <w:t xml:space="preserve">En este sentido, el </w:t>
      </w:r>
      <w:r w:rsidR="008435D7">
        <w:rPr>
          <w:rFonts w:ascii="ITC Avant Garde" w:hAnsi="ITC Avant Garde"/>
        </w:rPr>
        <w:t>esquema</w:t>
      </w:r>
      <w:r w:rsidR="008435D7" w:rsidRPr="002410DE">
        <w:rPr>
          <w:rFonts w:ascii="ITC Avant Garde" w:hAnsi="ITC Avant Garde"/>
        </w:rPr>
        <w:t xml:space="preserve"> de</w:t>
      </w:r>
      <w:r w:rsidRPr="002410DE">
        <w:rPr>
          <w:rFonts w:ascii="ITC Avant Garde" w:hAnsi="ITC Avant Garde"/>
        </w:rPr>
        <w:t xml:space="preserve"> mejora regulatoria </w:t>
      </w:r>
      <w:r w:rsidR="00CE1651" w:rsidRPr="002410DE">
        <w:rPr>
          <w:rFonts w:ascii="ITC Avant Garde" w:hAnsi="ITC Avant Garde"/>
        </w:rPr>
        <w:t>contenido en los Lineamientos</w:t>
      </w:r>
      <w:r w:rsidRPr="002410DE">
        <w:rPr>
          <w:rFonts w:ascii="ITC Avant Garde" w:hAnsi="ITC Avant Garde"/>
        </w:rPr>
        <w:t xml:space="preserve"> es una política </w:t>
      </w:r>
      <w:r w:rsidR="00EF2EFB">
        <w:rPr>
          <w:rFonts w:ascii="ITC Avant Garde" w:hAnsi="ITC Avant Garde"/>
        </w:rPr>
        <w:t xml:space="preserve">sustentada en cada una de las fases y acciones del Ciclo de Gobernanza Regulatoria y </w:t>
      </w:r>
      <w:r w:rsidRPr="002410DE">
        <w:rPr>
          <w:rFonts w:ascii="ITC Avant Garde" w:hAnsi="ITC Avant Garde"/>
        </w:rPr>
        <w:t>encaminad</w:t>
      </w:r>
      <w:r w:rsidR="00D667F6">
        <w:rPr>
          <w:rFonts w:ascii="ITC Avant Garde" w:hAnsi="ITC Avant Garde"/>
        </w:rPr>
        <w:t>o</w:t>
      </w:r>
      <w:r w:rsidRPr="002410DE">
        <w:rPr>
          <w:rFonts w:ascii="ITC Avant Garde" w:hAnsi="ITC Avant Garde"/>
        </w:rPr>
        <w:t xml:space="preserve"> a promover la cultura de mejora continua no sólo respecto a la calidad del marco regulatorio vigente, sino también </w:t>
      </w:r>
      <w:r w:rsidR="00D667F6">
        <w:rPr>
          <w:rFonts w:ascii="ITC Avant Garde" w:hAnsi="ITC Avant Garde"/>
        </w:rPr>
        <w:t>de</w:t>
      </w:r>
      <w:r w:rsidRPr="002410DE">
        <w:rPr>
          <w:rFonts w:ascii="ITC Avant Garde" w:hAnsi="ITC Avant Garde"/>
        </w:rPr>
        <w:t xml:space="preserve"> aquél que se contemple en </w:t>
      </w:r>
      <w:r w:rsidRPr="002410DE">
        <w:rPr>
          <w:rFonts w:ascii="ITC Avant Garde" w:hAnsi="ITC Avant Garde"/>
        </w:rPr>
        <w:lastRenderedPageBreak/>
        <w:t>un futuro, en virtud de que los servidores públicos y la ciudadanía contarán con las h</w:t>
      </w:r>
      <w:r w:rsidRPr="00877777">
        <w:rPr>
          <w:rFonts w:ascii="ITC Avant Garde" w:hAnsi="ITC Avant Garde"/>
        </w:rPr>
        <w:t>erramientas y procedimientos para estos fines en un entorno de transparencia y de participación.</w:t>
      </w:r>
    </w:p>
    <w:p w14:paraId="3DED8FC3" w14:textId="77777777" w:rsidR="00042291" w:rsidRDefault="00042291" w:rsidP="00400EF5">
      <w:pPr>
        <w:spacing w:after="0" w:line="240" w:lineRule="auto"/>
        <w:jc w:val="both"/>
        <w:rPr>
          <w:rFonts w:ascii="ITC Avant Garde" w:hAnsi="ITC Avant Garde"/>
        </w:rPr>
      </w:pPr>
    </w:p>
    <w:p w14:paraId="5DB10AD9" w14:textId="77777777" w:rsidR="00C01890" w:rsidRDefault="00965ED2" w:rsidP="00C01890">
      <w:pPr>
        <w:spacing w:after="0" w:line="240" w:lineRule="auto"/>
        <w:jc w:val="both"/>
        <w:rPr>
          <w:rFonts w:ascii="ITC Avant Garde" w:eastAsia="Times New Roman" w:hAnsi="ITC Avant Garde" w:cs="Times New Roman"/>
          <w:kern w:val="2"/>
          <w:lang w:eastAsia="ar-SA"/>
        </w:rPr>
      </w:pPr>
      <w:r>
        <w:rPr>
          <w:rFonts w:ascii="ITC Avant Garde" w:hAnsi="ITC Avant Garde" w:cs="TimesNewRomanPS-BoldMT"/>
          <w:b/>
          <w:bCs/>
        </w:rPr>
        <w:t>TERCERO.-</w:t>
      </w:r>
      <w:r w:rsidR="00A67E95">
        <w:rPr>
          <w:rFonts w:ascii="ITC Avant Garde" w:hAnsi="ITC Avant Garde" w:cs="TimesNewRomanPS-BoldMT"/>
          <w:b/>
          <w:bCs/>
        </w:rPr>
        <w:t xml:space="preserve"> J</w:t>
      </w:r>
      <w:r w:rsidR="00042291">
        <w:rPr>
          <w:rFonts w:ascii="ITC Avant Garde" w:hAnsi="ITC Avant Garde" w:cs="TimesNewRomanPS-BoldMT"/>
          <w:b/>
          <w:bCs/>
        </w:rPr>
        <w:t>ustificación</w:t>
      </w:r>
      <w:r w:rsidR="00A67E95">
        <w:rPr>
          <w:rFonts w:ascii="ITC Avant Garde" w:hAnsi="ITC Avant Garde" w:cs="TimesNewRomanPS-BoldMT"/>
          <w:b/>
          <w:bCs/>
        </w:rPr>
        <w:t>.-</w:t>
      </w:r>
      <w:r w:rsidR="00A67E95">
        <w:rPr>
          <w:rFonts w:ascii="ITC Avant Garde" w:hAnsi="ITC Avant Garde"/>
          <w:kern w:val="2"/>
          <w:lang w:eastAsia="ar-SA"/>
        </w:rPr>
        <w:t>.</w:t>
      </w:r>
      <w:r w:rsidR="00D332A6">
        <w:rPr>
          <w:rFonts w:ascii="ITC Avant Garde" w:hAnsi="ITC Avant Garde"/>
          <w:kern w:val="2"/>
          <w:lang w:eastAsia="ar-SA"/>
        </w:rPr>
        <w:t xml:space="preserve"> </w:t>
      </w:r>
      <w:r w:rsidR="008603E2">
        <w:rPr>
          <w:rFonts w:ascii="ITC Avant Garde" w:eastAsia="Times New Roman" w:hAnsi="ITC Avant Garde"/>
          <w:kern w:val="2"/>
          <w:lang w:eastAsia="ar-SA"/>
        </w:rPr>
        <w:t>D</w:t>
      </w:r>
      <w:r w:rsidR="00C01890">
        <w:rPr>
          <w:rFonts w:ascii="ITC Avant Garde" w:eastAsia="Times New Roman" w:hAnsi="ITC Avant Garde"/>
          <w:kern w:val="2"/>
          <w:lang w:eastAsia="ar-SA"/>
        </w:rPr>
        <w:t xml:space="preserve">iversos organismos internacionales ven en la mejora regulatoria una política que los gobiernos deben fomentar y practicar para </w:t>
      </w:r>
      <w:r w:rsidR="00342B01">
        <w:rPr>
          <w:rFonts w:ascii="ITC Avant Garde" w:eastAsia="Times New Roman" w:hAnsi="ITC Avant Garde"/>
          <w:kern w:val="2"/>
          <w:lang w:eastAsia="ar-SA"/>
        </w:rPr>
        <w:t xml:space="preserve">lograr un </w:t>
      </w:r>
      <w:r w:rsidR="00C01890">
        <w:rPr>
          <w:rFonts w:ascii="ITC Avant Garde" w:eastAsia="Times New Roman" w:hAnsi="ITC Avant Garde"/>
          <w:kern w:val="2"/>
          <w:lang w:eastAsia="ar-SA"/>
        </w:rPr>
        <w:t xml:space="preserve">actuar más efectivo y eficiente respecto a los ciudadanos, y que a través de las consultas públicas </w:t>
      </w:r>
      <w:r w:rsidR="00342B01">
        <w:rPr>
          <w:rFonts w:ascii="ITC Avant Garde" w:eastAsia="Times New Roman" w:hAnsi="ITC Avant Garde"/>
          <w:kern w:val="2"/>
          <w:lang w:eastAsia="ar-SA"/>
        </w:rPr>
        <w:t xml:space="preserve">se </w:t>
      </w:r>
      <w:r w:rsidR="00C01890">
        <w:rPr>
          <w:rFonts w:ascii="ITC Avant Garde" w:eastAsia="Times New Roman" w:hAnsi="ITC Avant Garde"/>
          <w:kern w:val="2"/>
          <w:lang w:eastAsia="ar-SA"/>
        </w:rPr>
        <w:t xml:space="preserve">propicie su participación en la elaboración de nuevas regulaciones, generando un vínculo proactivo entre el </w:t>
      </w:r>
      <w:r w:rsidR="00342B01">
        <w:rPr>
          <w:rFonts w:ascii="ITC Avant Garde" w:eastAsia="Times New Roman" w:hAnsi="ITC Avant Garde"/>
          <w:kern w:val="2"/>
          <w:lang w:eastAsia="ar-SA"/>
        </w:rPr>
        <w:t>G</w:t>
      </w:r>
      <w:r w:rsidR="00C01890">
        <w:rPr>
          <w:rFonts w:ascii="ITC Avant Garde" w:eastAsia="Times New Roman" w:hAnsi="ITC Avant Garde"/>
          <w:kern w:val="2"/>
          <w:lang w:eastAsia="ar-SA"/>
        </w:rPr>
        <w:t xml:space="preserve">obierno y </w:t>
      </w:r>
      <w:r w:rsidR="00342B01">
        <w:rPr>
          <w:rFonts w:ascii="ITC Avant Garde" w:eastAsia="Times New Roman" w:hAnsi="ITC Avant Garde"/>
          <w:kern w:val="2"/>
          <w:lang w:eastAsia="ar-SA"/>
        </w:rPr>
        <w:t xml:space="preserve">los </w:t>
      </w:r>
      <w:r w:rsidR="00C01890">
        <w:rPr>
          <w:rFonts w:ascii="ITC Avant Garde" w:eastAsia="Times New Roman" w:hAnsi="ITC Avant Garde"/>
          <w:kern w:val="2"/>
          <w:lang w:eastAsia="ar-SA"/>
        </w:rPr>
        <w:t>regulados.</w:t>
      </w:r>
    </w:p>
    <w:p w14:paraId="6BFA0CF5" w14:textId="77777777" w:rsidR="00C01890" w:rsidRDefault="00C01890" w:rsidP="00C01890">
      <w:pPr>
        <w:spacing w:after="0" w:line="240" w:lineRule="auto"/>
        <w:jc w:val="both"/>
        <w:rPr>
          <w:rFonts w:ascii="ITC Avant Garde" w:eastAsia="Times New Roman" w:hAnsi="ITC Avant Garde"/>
          <w:kern w:val="2"/>
          <w:lang w:eastAsia="ar-SA"/>
        </w:rPr>
      </w:pPr>
    </w:p>
    <w:p w14:paraId="72D002F2" w14:textId="77777777" w:rsidR="00C01890" w:rsidRDefault="00C01890" w:rsidP="00C01890">
      <w:pPr>
        <w:spacing w:after="0" w:line="240" w:lineRule="auto"/>
        <w:jc w:val="both"/>
        <w:rPr>
          <w:rFonts w:ascii="ITC Avant Garde" w:eastAsia="Times New Roman" w:hAnsi="ITC Avant Garde"/>
          <w:kern w:val="2"/>
          <w:lang w:eastAsia="ar-SA"/>
        </w:rPr>
      </w:pPr>
      <w:r>
        <w:rPr>
          <w:rFonts w:ascii="ITC Avant Garde" w:eastAsia="Times New Roman" w:hAnsi="ITC Avant Garde"/>
          <w:kern w:val="2"/>
          <w:lang w:eastAsia="ar-SA"/>
        </w:rPr>
        <w:t xml:space="preserve">Por su parte, en opinión de la OCDE contenida en su publicación “Revisiones de la OCDE sobre Reforma Regulatoria. México: Hacia una perspectiva de gobierno entero para la mejora regulatoria. Informe de las principales conclusiones” (OCDE, 2012, p. 5), un </w:t>
      </w:r>
      <w:r w:rsidR="00D377D6">
        <w:rPr>
          <w:rFonts w:ascii="ITC Avant Garde" w:eastAsia="Times New Roman" w:hAnsi="ITC Avant Garde"/>
          <w:kern w:val="2"/>
          <w:lang w:eastAsia="ar-SA"/>
        </w:rPr>
        <w:t xml:space="preserve">esquema </w:t>
      </w:r>
      <w:r>
        <w:rPr>
          <w:rFonts w:ascii="ITC Avant Garde" w:eastAsia="Times New Roman" w:hAnsi="ITC Avant Garde"/>
          <w:kern w:val="2"/>
          <w:lang w:eastAsia="ar-SA"/>
        </w:rPr>
        <w:t xml:space="preserve"> regulatori</w:t>
      </w:r>
      <w:r w:rsidR="00D377D6">
        <w:rPr>
          <w:rFonts w:ascii="ITC Avant Garde" w:eastAsia="Times New Roman" w:hAnsi="ITC Avant Garde"/>
          <w:kern w:val="2"/>
          <w:lang w:eastAsia="ar-SA"/>
        </w:rPr>
        <w:t>o</w:t>
      </w:r>
      <w:r>
        <w:rPr>
          <w:rFonts w:ascii="ITC Avant Garde" w:eastAsia="Times New Roman" w:hAnsi="ITC Avant Garde"/>
          <w:kern w:val="2"/>
          <w:lang w:eastAsia="ar-SA"/>
        </w:rPr>
        <w:t xml:space="preserve"> eficaz impulsa el crecimiento económico, la creación de empleos, la innovación, la inversión y nuevas industrias; lo que también ayuda a reducir los precios y a ofrecer más opciones a los consumidores. </w:t>
      </w:r>
    </w:p>
    <w:p w14:paraId="310DE624" w14:textId="77777777" w:rsidR="00C01890" w:rsidRDefault="00C01890" w:rsidP="00C01890">
      <w:pPr>
        <w:pStyle w:val="Default"/>
        <w:jc w:val="both"/>
        <w:rPr>
          <w:rFonts w:ascii="ITC Avant Garde" w:hAnsi="ITC Avant Garde" w:cs="TimesNewRomanPS-BoldMT"/>
          <w:bCs/>
          <w:sz w:val="22"/>
          <w:szCs w:val="22"/>
        </w:rPr>
      </w:pPr>
    </w:p>
    <w:p w14:paraId="7D42C007" w14:textId="22A80E66" w:rsidR="00C01890" w:rsidRDefault="009F3D8D" w:rsidP="00C01890">
      <w:pPr>
        <w:pStyle w:val="Default"/>
        <w:jc w:val="both"/>
        <w:rPr>
          <w:rFonts w:ascii="ITC Avant Garde" w:hAnsi="ITC Avant Garde" w:cs="TimesNewRomanPS-BoldMT"/>
          <w:b/>
          <w:bCs/>
          <w:sz w:val="22"/>
          <w:szCs w:val="22"/>
        </w:rPr>
      </w:pPr>
      <w:r>
        <w:rPr>
          <w:rFonts w:ascii="ITC Avant Garde" w:hAnsi="ITC Avant Garde" w:cs="TimesNewRomanPS-BoldMT"/>
          <w:bCs/>
          <w:sz w:val="22"/>
          <w:szCs w:val="22"/>
        </w:rPr>
        <w:t>As</w:t>
      </w:r>
      <w:r w:rsidR="00293FB3">
        <w:rPr>
          <w:rFonts w:ascii="ITC Avant Garde" w:hAnsi="ITC Avant Garde" w:cs="TimesNewRomanPS-BoldMT"/>
          <w:bCs/>
          <w:sz w:val="22"/>
          <w:szCs w:val="22"/>
        </w:rPr>
        <w:t>i</w:t>
      </w:r>
      <w:r w:rsidR="00E24489">
        <w:rPr>
          <w:rFonts w:ascii="ITC Avant Garde" w:hAnsi="ITC Avant Garde" w:cs="TimesNewRomanPS-BoldMT"/>
          <w:bCs/>
          <w:sz w:val="22"/>
          <w:szCs w:val="22"/>
        </w:rPr>
        <w:t>mismo</w:t>
      </w:r>
      <w:r w:rsidR="008323A2">
        <w:rPr>
          <w:rFonts w:ascii="ITC Avant Garde" w:hAnsi="ITC Avant Garde" w:cs="TimesNewRomanPS-BoldMT"/>
          <w:bCs/>
          <w:sz w:val="22"/>
          <w:szCs w:val="22"/>
        </w:rPr>
        <w:t>,</w:t>
      </w:r>
      <w:r w:rsidR="00593ADE">
        <w:rPr>
          <w:rFonts w:ascii="ITC Avant Garde" w:hAnsi="ITC Avant Garde" w:cs="TimesNewRomanPS-BoldMT"/>
          <w:bCs/>
          <w:sz w:val="22"/>
          <w:szCs w:val="22"/>
        </w:rPr>
        <w:t xml:space="preserve"> </w:t>
      </w:r>
      <w:r w:rsidR="008323A2">
        <w:rPr>
          <w:rFonts w:ascii="ITC Avant Garde" w:hAnsi="ITC Avant Garde" w:cs="Times New Roman"/>
          <w:sz w:val="22"/>
          <w:szCs w:val="22"/>
        </w:rPr>
        <w:t xml:space="preserve">en los términos planteados por los Lineamientos, </w:t>
      </w:r>
      <w:r w:rsidR="00C01890">
        <w:rPr>
          <w:rFonts w:ascii="ITC Avant Garde" w:hAnsi="ITC Avant Garde" w:cs="Times New Roman"/>
          <w:sz w:val="22"/>
          <w:szCs w:val="22"/>
        </w:rPr>
        <w:t xml:space="preserve">la consulta pública </w:t>
      </w:r>
      <w:r w:rsidR="008323A2">
        <w:rPr>
          <w:rFonts w:ascii="ITC Avant Garde" w:hAnsi="ITC Avant Garde" w:cs="Times New Roman"/>
          <w:sz w:val="22"/>
          <w:szCs w:val="22"/>
        </w:rPr>
        <w:t xml:space="preserve">se establece como </w:t>
      </w:r>
      <w:r w:rsidR="00C01890">
        <w:rPr>
          <w:rFonts w:ascii="ITC Avant Garde" w:hAnsi="ITC Avant Garde" w:cs="Times New Roman"/>
          <w:sz w:val="22"/>
          <w:szCs w:val="22"/>
        </w:rPr>
        <w:t xml:space="preserve">una herramienta básica de política pública que consiste en la interacción entre la autoridad, los ciudadanos y otras partes interesadas en la creación o mejora de la regulación, así como, de cualquier otro asunto de interés del Instituto que le permita obtener mayor información para la toma de sus decisiones. </w:t>
      </w:r>
    </w:p>
    <w:p w14:paraId="04CDBB4A" w14:textId="77777777" w:rsidR="00C01890" w:rsidRDefault="00C01890" w:rsidP="00C01890">
      <w:pPr>
        <w:pStyle w:val="Default"/>
        <w:jc w:val="both"/>
        <w:rPr>
          <w:rFonts w:ascii="ITC Avant Garde" w:hAnsi="ITC Avant Garde" w:cs="TimesNewRomanPS-BoldMT"/>
          <w:b/>
          <w:bCs/>
          <w:sz w:val="22"/>
          <w:szCs w:val="22"/>
        </w:rPr>
      </w:pPr>
    </w:p>
    <w:p w14:paraId="6396CB57" w14:textId="77777777" w:rsidR="00C01890" w:rsidRDefault="00C01890" w:rsidP="00C01890">
      <w:pPr>
        <w:pStyle w:val="Default"/>
        <w:jc w:val="both"/>
        <w:rPr>
          <w:rFonts w:ascii="ITC Avant Garde" w:hAnsi="ITC Avant Garde" w:cs="Times New Roman"/>
          <w:sz w:val="22"/>
          <w:szCs w:val="22"/>
        </w:rPr>
      </w:pPr>
      <w:r w:rsidRPr="003E4551">
        <w:rPr>
          <w:rFonts w:ascii="ITC Avant Garde" w:hAnsi="ITC Avant Garde" w:cs="TimesNewRomanPS-BoldMT"/>
          <w:bCs/>
          <w:sz w:val="22"/>
          <w:szCs w:val="22"/>
        </w:rPr>
        <w:t>Por otro lado</w:t>
      </w:r>
      <w:r w:rsidR="0004091C">
        <w:rPr>
          <w:rFonts w:ascii="ITC Avant Garde" w:hAnsi="ITC Avant Garde" w:cs="TimesNewRomanPS-BoldMT"/>
          <w:bCs/>
          <w:sz w:val="22"/>
          <w:szCs w:val="22"/>
        </w:rPr>
        <w:t>,</w:t>
      </w:r>
      <w:r>
        <w:rPr>
          <w:rFonts w:ascii="ITC Avant Garde" w:hAnsi="ITC Avant Garde" w:cs="TimesNewRomanPS-BoldMT"/>
          <w:bCs/>
          <w:sz w:val="22"/>
          <w:szCs w:val="22"/>
        </w:rPr>
        <w:t xml:space="preserve"> el análisis de impacto regulatorio </w:t>
      </w:r>
      <w:r w:rsidR="0004091C">
        <w:rPr>
          <w:rFonts w:ascii="ITC Avant Garde" w:hAnsi="ITC Avant Garde" w:cs="TimesNewRomanPS-BoldMT"/>
          <w:bCs/>
          <w:sz w:val="22"/>
          <w:szCs w:val="22"/>
        </w:rPr>
        <w:t xml:space="preserve">se instituye como </w:t>
      </w:r>
      <w:r>
        <w:rPr>
          <w:rFonts w:ascii="ITC Avant Garde" w:hAnsi="ITC Avant Garde" w:cs="TimesNewRomanPS-BoldMT"/>
          <w:bCs/>
          <w:sz w:val="22"/>
          <w:szCs w:val="22"/>
        </w:rPr>
        <w:t xml:space="preserve"> una herramienta para la elaboración o modificación de las regulaciones que emita el Instituto y que permite transparentar y dar a conocer de manera anticipada el objeto de las regulaciones, alternativas evaluadas, posibles impactos potenciales y los mecanismos de cumplimiento, aplicación y evaluación de las mismas.</w:t>
      </w:r>
    </w:p>
    <w:p w14:paraId="2B03B10F" w14:textId="77777777" w:rsidR="00042291" w:rsidRDefault="00042291" w:rsidP="00400EF5">
      <w:pPr>
        <w:spacing w:after="0" w:line="240" w:lineRule="auto"/>
        <w:jc w:val="both"/>
        <w:rPr>
          <w:rFonts w:ascii="ITC Avant Garde" w:hAnsi="ITC Avant Garde"/>
          <w:kern w:val="2"/>
          <w:lang w:eastAsia="ar-SA"/>
        </w:rPr>
      </w:pPr>
    </w:p>
    <w:p w14:paraId="47AC47DE" w14:textId="77777777" w:rsidR="00965ED2" w:rsidRDefault="00484786" w:rsidP="00400EF5">
      <w:pPr>
        <w:spacing w:after="0" w:line="240" w:lineRule="auto"/>
        <w:jc w:val="both"/>
        <w:rPr>
          <w:rFonts w:ascii="ITC Avant Garde" w:hAnsi="ITC Avant Garde" w:cs="TimesNewRomanPS-BoldMT"/>
          <w:bCs/>
        </w:rPr>
      </w:pPr>
      <w:r>
        <w:rPr>
          <w:rFonts w:ascii="ITC Avant Garde" w:hAnsi="ITC Avant Garde" w:cs="TimesNewRomanPS-BoldMT"/>
          <w:bCs/>
        </w:rPr>
        <w:t>Lo anterior</w:t>
      </w:r>
      <w:r w:rsidR="006503E1">
        <w:rPr>
          <w:rFonts w:ascii="ITC Avant Garde" w:hAnsi="ITC Avant Garde" w:cs="TimesNewRomanPS-BoldMT"/>
          <w:bCs/>
        </w:rPr>
        <w:t xml:space="preserve">, </w:t>
      </w:r>
      <w:r>
        <w:rPr>
          <w:rFonts w:ascii="ITC Avant Garde" w:hAnsi="ITC Avant Garde" w:cs="TimesNewRomanPS-BoldMT"/>
          <w:bCs/>
        </w:rPr>
        <w:t xml:space="preserve">articula lo mandatado en </w:t>
      </w:r>
      <w:r w:rsidR="00965ED2">
        <w:rPr>
          <w:rFonts w:ascii="ITC Avant Garde" w:hAnsi="ITC Avant Garde" w:cs="TimesNewRomanPS-BoldMT"/>
          <w:bCs/>
        </w:rPr>
        <w:t xml:space="preserve"> el</w:t>
      </w:r>
      <w:r w:rsidR="005D57BC">
        <w:rPr>
          <w:rFonts w:ascii="ITC Avant Garde" w:hAnsi="ITC Avant Garde" w:cs="TimesNewRomanPS-BoldMT"/>
          <w:bCs/>
        </w:rPr>
        <w:t xml:space="preserve"> artículo 51 de la Ley</w:t>
      </w:r>
      <w:r>
        <w:rPr>
          <w:rFonts w:ascii="ITC Avant Garde" w:hAnsi="ITC Avant Garde" w:cs="TimesNewRomanPS-BoldMT"/>
          <w:bCs/>
        </w:rPr>
        <w:t>, el cual</w:t>
      </w:r>
      <w:r w:rsidR="006A1DAA">
        <w:rPr>
          <w:rFonts w:ascii="ITC Avant Garde" w:hAnsi="ITC Avant Garde" w:cs="TimesNewRomanPS-BoldMT"/>
          <w:bCs/>
        </w:rPr>
        <w:t xml:space="preserve"> </w:t>
      </w:r>
      <w:r w:rsidR="00965ED2">
        <w:rPr>
          <w:rFonts w:ascii="ITC Avant Garde" w:hAnsi="ITC Avant Garde" w:cs="TimesNewRomanPS-BoldMT"/>
          <w:bCs/>
        </w:rPr>
        <w:t>establece que para la emisión y modificación de reglas, lineamientos o disposiciones administrativas de carácter general, así como en cualquier caso que determine el Pleno, el Instituto deberá:</w:t>
      </w:r>
    </w:p>
    <w:p w14:paraId="374DEB10" w14:textId="77777777" w:rsidR="00965ED2" w:rsidRDefault="00965ED2" w:rsidP="00400EF5">
      <w:pPr>
        <w:pStyle w:val="Default"/>
        <w:jc w:val="both"/>
        <w:rPr>
          <w:rFonts w:ascii="ITC Avant Garde" w:hAnsi="ITC Avant Garde" w:cs="TimesNewRomanPS-BoldMT"/>
          <w:bCs/>
          <w:sz w:val="22"/>
          <w:szCs w:val="22"/>
        </w:rPr>
      </w:pPr>
    </w:p>
    <w:p w14:paraId="433F8F5E" w14:textId="77777777" w:rsidR="00965ED2" w:rsidRDefault="00965ED2" w:rsidP="00400EF5">
      <w:pPr>
        <w:pStyle w:val="Default"/>
        <w:numPr>
          <w:ilvl w:val="0"/>
          <w:numId w:val="24"/>
        </w:numPr>
        <w:jc w:val="both"/>
        <w:rPr>
          <w:rFonts w:ascii="ITC Avant Garde" w:hAnsi="ITC Avant Garde" w:cs="TimesNewRomanPS-BoldMT"/>
          <w:bCs/>
          <w:sz w:val="22"/>
          <w:szCs w:val="22"/>
        </w:rPr>
      </w:pPr>
      <w:r>
        <w:rPr>
          <w:rFonts w:ascii="ITC Avant Garde" w:hAnsi="ITC Avant Garde" w:cs="TimesNewRomanPS-BoldMT"/>
          <w:bCs/>
          <w:sz w:val="22"/>
          <w:szCs w:val="22"/>
        </w:rPr>
        <w:t>Realizar consultas públicas bajo los principios de transparencia y participación ciudadana, en los términos que determine el Pleno, salvo que la publicidad pudiera comprometer los efectos que se pretenden resolver o prevenir en una situación de emergencia;</w:t>
      </w:r>
    </w:p>
    <w:p w14:paraId="786BD8B8" w14:textId="77777777" w:rsidR="00965ED2" w:rsidRDefault="00965ED2" w:rsidP="00400EF5">
      <w:pPr>
        <w:pStyle w:val="Default"/>
        <w:ind w:left="720"/>
        <w:jc w:val="both"/>
        <w:rPr>
          <w:rFonts w:ascii="ITC Avant Garde" w:hAnsi="ITC Avant Garde" w:cs="TimesNewRomanPS-BoldMT"/>
          <w:bCs/>
          <w:sz w:val="22"/>
          <w:szCs w:val="22"/>
        </w:rPr>
      </w:pPr>
    </w:p>
    <w:p w14:paraId="5C66074C" w14:textId="4F06BD13" w:rsidR="00965ED2" w:rsidRDefault="00965ED2" w:rsidP="00400EF5">
      <w:pPr>
        <w:pStyle w:val="Default"/>
        <w:numPr>
          <w:ilvl w:val="0"/>
          <w:numId w:val="24"/>
        </w:numPr>
        <w:jc w:val="both"/>
        <w:rPr>
          <w:rFonts w:ascii="ITC Avant Garde" w:hAnsi="ITC Avant Garde" w:cs="TimesNewRomanPS-BoldMT"/>
          <w:bCs/>
          <w:sz w:val="22"/>
          <w:szCs w:val="22"/>
        </w:rPr>
      </w:pPr>
      <w:r>
        <w:rPr>
          <w:rFonts w:ascii="ITC Avant Garde" w:hAnsi="ITC Avant Garde" w:cs="TimesNewRomanPS-BoldMT"/>
          <w:bCs/>
          <w:sz w:val="22"/>
          <w:szCs w:val="22"/>
        </w:rPr>
        <w:t>En su caso, realizar y hacer público un análisis de impacto regulatorio, previ</w:t>
      </w:r>
      <w:r w:rsidR="00E24489">
        <w:rPr>
          <w:rFonts w:ascii="ITC Avant Garde" w:hAnsi="ITC Avant Garde" w:cs="TimesNewRomanPS-BoldMT"/>
          <w:bCs/>
          <w:sz w:val="22"/>
          <w:szCs w:val="22"/>
        </w:rPr>
        <w:t>amente</w:t>
      </w:r>
      <w:r>
        <w:rPr>
          <w:rFonts w:ascii="ITC Avant Garde" w:hAnsi="ITC Avant Garde" w:cs="TimesNewRomanPS-BoldMT"/>
          <w:bCs/>
          <w:sz w:val="22"/>
          <w:szCs w:val="22"/>
        </w:rPr>
        <w:t xml:space="preserve"> a la emisión de las reglas, lineamientos o disposiciones administrativas de carácter general, e</w:t>
      </w:r>
    </w:p>
    <w:p w14:paraId="5132E392" w14:textId="77777777" w:rsidR="00965ED2" w:rsidRDefault="00965ED2" w:rsidP="00400EF5">
      <w:pPr>
        <w:pStyle w:val="Default"/>
        <w:jc w:val="both"/>
        <w:rPr>
          <w:rFonts w:ascii="ITC Avant Garde" w:hAnsi="ITC Avant Garde" w:cs="TimesNewRomanPS-BoldMT"/>
          <w:bCs/>
          <w:sz w:val="22"/>
          <w:szCs w:val="22"/>
        </w:rPr>
      </w:pPr>
    </w:p>
    <w:p w14:paraId="285146A3" w14:textId="77777777" w:rsidR="00965ED2" w:rsidRDefault="00965ED2" w:rsidP="00400EF5">
      <w:pPr>
        <w:pStyle w:val="Default"/>
        <w:numPr>
          <w:ilvl w:val="0"/>
          <w:numId w:val="24"/>
        </w:numPr>
        <w:jc w:val="both"/>
        <w:rPr>
          <w:rFonts w:ascii="ITC Avant Garde" w:hAnsi="ITC Avant Garde" w:cs="TimesNewRomanPS-BoldMT"/>
          <w:bCs/>
          <w:sz w:val="22"/>
          <w:szCs w:val="22"/>
        </w:rPr>
      </w:pPr>
      <w:r>
        <w:rPr>
          <w:rFonts w:ascii="ITC Avant Garde" w:hAnsi="ITC Avant Garde" w:cs="TimesNewRomanPS-BoldMT"/>
          <w:bCs/>
          <w:sz w:val="22"/>
          <w:szCs w:val="22"/>
        </w:rPr>
        <w:t>Integrar y hacer público un documento que refleje los resultados de la consulta pública.</w:t>
      </w:r>
    </w:p>
    <w:p w14:paraId="510F9296" w14:textId="77777777" w:rsidR="00965ED2" w:rsidRDefault="00965ED2" w:rsidP="00400EF5">
      <w:pPr>
        <w:pStyle w:val="Default"/>
        <w:jc w:val="both"/>
        <w:rPr>
          <w:rFonts w:ascii="ITC Avant Garde" w:hAnsi="ITC Avant Garde" w:cs="TimesNewRomanPS-BoldMT"/>
          <w:bCs/>
          <w:sz w:val="22"/>
          <w:szCs w:val="22"/>
        </w:rPr>
      </w:pPr>
    </w:p>
    <w:p w14:paraId="5D77673F" w14:textId="77777777" w:rsidR="00965ED2" w:rsidRDefault="006503E1" w:rsidP="00400EF5">
      <w:pPr>
        <w:pStyle w:val="Default"/>
        <w:jc w:val="both"/>
        <w:rPr>
          <w:rFonts w:ascii="ITC Avant Garde" w:hAnsi="ITC Avant Garde" w:cs="TimesNewRomanPS-BoldMT"/>
          <w:bCs/>
          <w:sz w:val="22"/>
          <w:szCs w:val="22"/>
        </w:rPr>
      </w:pPr>
      <w:r>
        <w:rPr>
          <w:rFonts w:ascii="ITC Avant Garde" w:hAnsi="ITC Avant Garde" w:cs="TimesNewRomanPS-BoldMT"/>
          <w:bCs/>
          <w:sz w:val="22"/>
          <w:szCs w:val="22"/>
        </w:rPr>
        <w:t>Igualmente,</w:t>
      </w:r>
      <w:r w:rsidR="00965ED2">
        <w:rPr>
          <w:rFonts w:ascii="ITC Avant Garde" w:hAnsi="ITC Avant Garde" w:cs="TimesNewRomanPS-BoldMT"/>
          <w:bCs/>
          <w:sz w:val="22"/>
          <w:szCs w:val="22"/>
        </w:rPr>
        <w:t xml:space="preserve"> dicho precepto legal establece que el Instituto contará con un espacio dentro de su portal de </w:t>
      </w:r>
      <w:r w:rsidR="00457C04">
        <w:rPr>
          <w:rFonts w:ascii="ITC Avant Garde" w:hAnsi="ITC Avant Garde" w:cs="TimesNewRomanPS-BoldMT"/>
          <w:bCs/>
          <w:sz w:val="22"/>
          <w:szCs w:val="22"/>
        </w:rPr>
        <w:t>I</w:t>
      </w:r>
      <w:r w:rsidR="00965ED2">
        <w:rPr>
          <w:rFonts w:ascii="ITC Avant Garde" w:hAnsi="ITC Avant Garde" w:cs="TimesNewRomanPS-BoldMT"/>
          <w:bCs/>
          <w:sz w:val="22"/>
          <w:szCs w:val="22"/>
        </w:rPr>
        <w:t>nternet destinado específicamente a publicar y mantener actualizados los procesos de consultas públicas</w:t>
      </w:r>
      <w:r w:rsidR="00B607C7">
        <w:rPr>
          <w:rFonts w:ascii="ITC Avant Garde" w:hAnsi="ITC Avant Garde" w:cs="TimesNewRomanPS-BoldMT"/>
          <w:bCs/>
          <w:sz w:val="22"/>
          <w:szCs w:val="22"/>
        </w:rPr>
        <w:t>, así como</w:t>
      </w:r>
      <w:r w:rsidR="00965ED2">
        <w:rPr>
          <w:rFonts w:ascii="ITC Avant Garde" w:hAnsi="ITC Avant Garde" w:cs="TimesNewRomanPS-BoldMT"/>
          <w:bCs/>
          <w:sz w:val="22"/>
          <w:szCs w:val="22"/>
        </w:rPr>
        <w:t xml:space="preserve"> un calendario</w:t>
      </w:r>
      <w:r w:rsidR="00B607C7">
        <w:rPr>
          <w:rFonts w:ascii="ITC Avant Garde" w:hAnsi="ITC Avant Garde" w:cs="TimesNewRomanPS-BoldMT"/>
          <w:bCs/>
          <w:sz w:val="22"/>
          <w:szCs w:val="22"/>
        </w:rPr>
        <w:t xml:space="preserve"> de éstas a realizar</w:t>
      </w:r>
      <w:r w:rsidR="00965ED2">
        <w:rPr>
          <w:rFonts w:ascii="ITC Avant Garde" w:hAnsi="ITC Avant Garde" w:cs="TimesNewRomanPS-BoldMT"/>
          <w:bCs/>
          <w:sz w:val="22"/>
          <w:szCs w:val="22"/>
        </w:rPr>
        <w:t xml:space="preserve"> conforme a los plazos y cara</w:t>
      </w:r>
      <w:r w:rsidR="00B607C7">
        <w:rPr>
          <w:rFonts w:ascii="ITC Avant Garde" w:hAnsi="ITC Avant Garde" w:cs="TimesNewRomanPS-BoldMT"/>
          <w:bCs/>
          <w:sz w:val="22"/>
          <w:szCs w:val="22"/>
        </w:rPr>
        <w:t xml:space="preserve">cterísticas generales que </w:t>
      </w:r>
      <w:r w:rsidR="00965ED2">
        <w:rPr>
          <w:rFonts w:ascii="ITC Avant Garde" w:hAnsi="ITC Avant Garde" w:cs="TimesNewRomanPS-BoldMT"/>
          <w:bCs/>
          <w:sz w:val="22"/>
          <w:szCs w:val="22"/>
        </w:rPr>
        <w:t xml:space="preserve">determinen los </w:t>
      </w:r>
      <w:r w:rsidR="00457C04">
        <w:rPr>
          <w:rFonts w:ascii="ITC Avant Garde" w:hAnsi="ITC Avant Garde" w:cs="TimesNewRomanPS-BoldMT"/>
          <w:bCs/>
          <w:sz w:val="22"/>
          <w:szCs w:val="22"/>
        </w:rPr>
        <w:t>l</w:t>
      </w:r>
      <w:r w:rsidR="00965ED2">
        <w:rPr>
          <w:rFonts w:ascii="ITC Avant Garde" w:hAnsi="ITC Avant Garde" w:cs="TimesNewRomanPS-BoldMT"/>
          <w:bCs/>
          <w:sz w:val="22"/>
          <w:szCs w:val="22"/>
        </w:rPr>
        <w:t>ineamientos que apruebe el Pleno.</w:t>
      </w:r>
    </w:p>
    <w:p w14:paraId="48C0C529" w14:textId="77777777" w:rsidR="00965ED2" w:rsidRDefault="00965ED2" w:rsidP="00400EF5">
      <w:pPr>
        <w:pStyle w:val="Default"/>
        <w:jc w:val="both"/>
        <w:rPr>
          <w:rFonts w:ascii="ITC Avant Garde" w:hAnsi="ITC Avant Garde" w:cs="TimesNewRomanPS-BoldMT"/>
          <w:bCs/>
          <w:sz w:val="22"/>
          <w:szCs w:val="22"/>
        </w:rPr>
      </w:pPr>
    </w:p>
    <w:p w14:paraId="2658979A" w14:textId="77777777" w:rsidR="00965ED2" w:rsidRDefault="00B607C7" w:rsidP="00400EF5">
      <w:pPr>
        <w:pStyle w:val="Default"/>
        <w:jc w:val="both"/>
        <w:rPr>
          <w:rFonts w:ascii="ITC Avant Garde" w:hAnsi="ITC Avant Garde" w:cs="TimesNewRomanPS-BoldMT"/>
          <w:bCs/>
          <w:sz w:val="22"/>
          <w:szCs w:val="22"/>
        </w:rPr>
      </w:pPr>
      <w:r>
        <w:rPr>
          <w:rFonts w:ascii="ITC Avant Garde" w:hAnsi="ITC Avant Garde" w:cs="TimesNewRomanPS-BoldMT"/>
          <w:bCs/>
          <w:sz w:val="22"/>
          <w:szCs w:val="22"/>
        </w:rPr>
        <w:t>D</w:t>
      </w:r>
      <w:r w:rsidR="00965ED2">
        <w:rPr>
          <w:rFonts w:ascii="ITC Avant Garde" w:hAnsi="ITC Avant Garde" w:cs="TimesNewRomanPS-BoldMT"/>
          <w:bCs/>
          <w:sz w:val="22"/>
          <w:szCs w:val="22"/>
        </w:rPr>
        <w:t xml:space="preserve">e acuerdo con lo dispuesto en los artículos 4, fracción VIII, inciso iv), y 75, primer párrafo, del Estatuto, la </w:t>
      </w:r>
      <w:r w:rsidR="00196BCD">
        <w:rPr>
          <w:rFonts w:ascii="ITC Avant Garde" w:hAnsi="ITC Avant Garde" w:cs="TimesNewRomanPS-BoldMT"/>
          <w:bCs/>
          <w:sz w:val="22"/>
          <w:szCs w:val="22"/>
        </w:rPr>
        <w:t>C</w:t>
      </w:r>
      <w:r w:rsidR="005A2636">
        <w:rPr>
          <w:rFonts w:ascii="ITC Avant Garde" w:hAnsi="ITC Avant Garde" w:cs="TimesNewRomanPS-BoldMT"/>
          <w:bCs/>
          <w:sz w:val="22"/>
          <w:szCs w:val="22"/>
        </w:rPr>
        <w:t>oordinación General</w:t>
      </w:r>
      <w:r w:rsidR="00965ED2">
        <w:rPr>
          <w:rFonts w:ascii="ITC Avant Garde" w:hAnsi="ITC Avant Garde" w:cs="TimesNewRomanPS-BoldMT"/>
          <w:bCs/>
          <w:sz w:val="22"/>
          <w:szCs w:val="22"/>
        </w:rPr>
        <w:t xml:space="preserve"> tendrá a su cargo el proceso de mejora regulatoria d</w:t>
      </w:r>
      <w:r w:rsidR="003E4551">
        <w:rPr>
          <w:rFonts w:ascii="ITC Avant Garde" w:hAnsi="ITC Avant Garde" w:cs="TimesNewRomanPS-BoldMT"/>
          <w:bCs/>
          <w:sz w:val="22"/>
          <w:szCs w:val="22"/>
        </w:rPr>
        <w:t>el Instituto, el cual consiste</w:t>
      </w:r>
      <w:r w:rsidR="00E60D9C">
        <w:rPr>
          <w:rFonts w:ascii="ITC Avant Garde" w:hAnsi="ITC Avant Garde" w:cs="TimesNewRomanPS-BoldMT"/>
          <w:bCs/>
          <w:sz w:val="22"/>
          <w:szCs w:val="22"/>
        </w:rPr>
        <w:t xml:space="preserve"> </w:t>
      </w:r>
      <w:r w:rsidR="00E60D9C" w:rsidRPr="00E60D9C">
        <w:rPr>
          <w:rFonts w:ascii="ITC Avant Garde" w:hAnsi="ITC Avant Garde" w:cs="TimesNewRomanPS-BoldMT"/>
          <w:bCs/>
          <w:sz w:val="22"/>
          <w:szCs w:val="22"/>
        </w:rPr>
        <w:t>en promover la transparencia en la elaboración y aplicación de las reglas, lineamientos o disposiciones administrativas de carácter general que expida el Pleno y que éstas generen beneficios superiores a sus costos y el máximo beneficio para la sociedad</w:t>
      </w:r>
      <w:r w:rsidR="00965ED2">
        <w:rPr>
          <w:rFonts w:ascii="ITC Avant Garde" w:hAnsi="ITC Avant Garde" w:cs="TimesNewRomanPS-BoldMT"/>
          <w:bCs/>
          <w:sz w:val="22"/>
          <w:szCs w:val="22"/>
        </w:rPr>
        <w:t>.</w:t>
      </w:r>
    </w:p>
    <w:p w14:paraId="2FBCC364" w14:textId="77777777" w:rsidR="00965ED2" w:rsidRDefault="00965ED2" w:rsidP="00400EF5">
      <w:pPr>
        <w:pStyle w:val="Default"/>
        <w:jc w:val="both"/>
        <w:rPr>
          <w:rFonts w:ascii="ITC Avant Garde" w:hAnsi="ITC Avant Garde" w:cs="Times New Roman"/>
          <w:sz w:val="22"/>
          <w:szCs w:val="22"/>
        </w:rPr>
      </w:pPr>
    </w:p>
    <w:p w14:paraId="77A0A200" w14:textId="77777777" w:rsidR="00965ED2" w:rsidRDefault="0004576A" w:rsidP="00400EF5">
      <w:pPr>
        <w:pStyle w:val="Default"/>
        <w:jc w:val="both"/>
        <w:rPr>
          <w:rFonts w:ascii="ITC Avant Garde" w:hAnsi="ITC Avant Garde" w:cs="TimesNewRomanPS-BoldMT"/>
          <w:b/>
          <w:bCs/>
          <w:sz w:val="22"/>
          <w:szCs w:val="22"/>
        </w:rPr>
      </w:pPr>
      <w:r>
        <w:rPr>
          <w:rFonts w:ascii="ITC Avant Garde" w:hAnsi="ITC Avant Garde" w:cs="Times New Roman"/>
          <w:sz w:val="22"/>
          <w:szCs w:val="22"/>
        </w:rPr>
        <w:t>As</w:t>
      </w:r>
      <w:r w:rsidR="0089248D">
        <w:rPr>
          <w:rFonts w:ascii="ITC Avant Garde" w:hAnsi="ITC Avant Garde" w:cs="Times New Roman"/>
          <w:sz w:val="22"/>
          <w:szCs w:val="22"/>
        </w:rPr>
        <w:t>i</w:t>
      </w:r>
      <w:r>
        <w:rPr>
          <w:rFonts w:ascii="ITC Avant Garde" w:hAnsi="ITC Avant Garde" w:cs="Times New Roman"/>
          <w:sz w:val="22"/>
          <w:szCs w:val="22"/>
        </w:rPr>
        <w:t xml:space="preserve">mismo, </w:t>
      </w:r>
      <w:r w:rsidR="00965ED2">
        <w:rPr>
          <w:rFonts w:ascii="ITC Avant Garde" w:hAnsi="ITC Avant Garde" w:cs="Times New Roman"/>
          <w:sz w:val="22"/>
          <w:szCs w:val="22"/>
        </w:rPr>
        <w:t>el artíc</w:t>
      </w:r>
      <w:r w:rsidR="00171AB4">
        <w:rPr>
          <w:rFonts w:ascii="ITC Avant Garde" w:hAnsi="ITC Avant Garde" w:cs="Times New Roman"/>
          <w:sz w:val="22"/>
          <w:szCs w:val="22"/>
        </w:rPr>
        <w:t>ulo 12, fracción XXII de la Ley de Competencia</w:t>
      </w:r>
      <w:r w:rsidR="00965ED2">
        <w:rPr>
          <w:rFonts w:ascii="ITC Avant Garde" w:hAnsi="ITC Avant Garde" w:cs="Times New Roman"/>
          <w:sz w:val="22"/>
          <w:szCs w:val="22"/>
        </w:rPr>
        <w:t xml:space="preserve"> dispone que para la expedición de disposiciones regulatorias, directrices, guías, lineamientos y criterios técnicos, deberá realizarse consulta pública, salvo que se puedan comprometer los efectos que se pretende lograr con dichas disposiciones o se trate de situaciones de emergencia. Al respecto, el artículo 189 de las Disposiciones Regulatorias , señala que el procedimiento de consulta pública para la elaboración y expedición de este tipo de </w:t>
      </w:r>
      <w:r w:rsidR="0089248D">
        <w:rPr>
          <w:rFonts w:ascii="ITC Avant Garde" w:hAnsi="ITC Avant Garde" w:cs="Times New Roman"/>
          <w:sz w:val="22"/>
          <w:szCs w:val="22"/>
        </w:rPr>
        <w:t xml:space="preserve">regulación </w:t>
      </w:r>
      <w:r w:rsidR="00965ED2">
        <w:rPr>
          <w:rFonts w:ascii="ITC Avant Garde" w:hAnsi="ITC Avant Garde" w:cs="Times New Roman"/>
          <w:sz w:val="22"/>
          <w:szCs w:val="22"/>
        </w:rPr>
        <w:t>se realizará conforme a los criterios que para tal efecto emita el Pleno.</w:t>
      </w:r>
    </w:p>
    <w:p w14:paraId="6873CF8F" w14:textId="77777777" w:rsidR="004B3FDD" w:rsidRPr="0095038B" w:rsidRDefault="004B3FDD" w:rsidP="00400EF5">
      <w:pPr>
        <w:spacing w:after="0" w:line="240" w:lineRule="auto"/>
        <w:jc w:val="both"/>
        <w:rPr>
          <w:rFonts w:ascii="ITC Avant Garde" w:hAnsi="ITC Avant Garde"/>
        </w:rPr>
      </w:pPr>
    </w:p>
    <w:p w14:paraId="3DEEA101" w14:textId="127704CE" w:rsidR="004E4933" w:rsidRDefault="00996BA5" w:rsidP="00400EF5">
      <w:pPr>
        <w:shd w:val="clear" w:color="auto" w:fill="FFFFFF"/>
        <w:spacing w:after="0" w:line="240" w:lineRule="auto"/>
        <w:jc w:val="both"/>
        <w:rPr>
          <w:rFonts w:ascii="ITC Avant Garde" w:eastAsia="Times New Roman" w:hAnsi="ITC Avant Garde"/>
          <w:kern w:val="2"/>
          <w:lang w:eastAsia="ar-SA"/>
        </w:rPr>
      </w:pPr>
      <w:r>
        <w:rPr>
          <w:rFonts w:ascii="ITC Avant Garde" w:eastAsia="Arial" w:hAnsi="ITC Avant Garde" w:cs="Arial"/>
          <w:b/>
          <w:lang w:val="es-ES_tradnl"/>
        </w:rPr>
        <w:t>CUARTO</w:t>
      </w:r>
      <w:r w:rsidR="0096513C">
        <w:rPr>
          <w:rFonts w:ascii="ITC Avant Garde" w:eastAsia="Arial" w:hAnsi="ITC Avant Garde" w:cs="Arial"/>
          <w:b/>
          <w:lang w:val="es-ES_tradnl"/>
        </w:rPr>
        <w:t>.</w:t>
      </w:r>
      <w:r w:rsidR="004331C5" w:rsidRPr="0095038B">
        <w:rPr>
          <w:rFonts w:ascii="ITC Avant Garde" w:eastAsia="Arial" w:hAnsi="ITC Avant Garde" w:cs="Arial"/>
          <w:b/>
          <w:lang w:val="es-ES_tradnl"/>
        </w:rPr>
        <w:t>-</w:t>
      </w:r>
      <w:r w:rsidR="0004576A">
        <w:rPr>
          <w:rFonts w:ascii="ITC Avant Garde" w:eastAsia="Arial" w:hAnsi="ITC Avant Garde" w:cs="Arial"/>
          <w:b/>
          <w:lang w:val="es-ES_tradnl"/>
        </w:rPr>
        <w:t xml:space="preserve"> C</w:t>
      </w:r>
      <w:r w:rsidR="005771D3">
        <w:rPr>
          <w:rFonts w:ascii="ITC Avant Garde" w:eastAsia="Arial" w:hAnsi="ITC Avant Garde" w:cs="Arial"/>
          <w:b/>
          <w:lang w:val="es-ES_tradnl"/>
        </w:rPr>
        <w:t>onsulta Pública</w:t>
      </w:r>
      <w:r w:rsidR="0004576A">
        <w:rPr>
          <w:rFonts w:ascii="ITC Avant Garde" w:eastAsia="Arial" w:hAnsi="ITC Avant Garde" w:cs="Arial"/>
          <w:b/>
          <w:lang w:val="es-ES_tradnl"/>
        </w:rPr>
        <w:t>.-</w:t>
      </w:r>
      <w:r w:rsidR="004331C5" w:rsidRPr="0095038B">
        <w:rPr>
          <w:rFonts w:ascii="ITC Avant Garde" w:eastAsia="Arial" w:hAnsi="ITC Avant Garde" w:cs="Arial"/>
          <w:b/>
          <w:lang w:val="es-ES_tradnl"/>
        </w:rPr>
        <w:t xml:space="preserve"> </w:t>
      </w:r>
      <w:r w:rsidR="00C856BC">
        <w:rPr>
          <w:rFonts w:ascii="ITC Avant Garde" w:eastAsia="Times New Roman" w:hAnsi="ITC Avant Garde"/>
          <w:kern w:val="2"/>
          <w:lang w:eastAsia="ar-SA"/>
        </w:rPr>
        <w:t>E</w:t>
      </w:r>
      <w:r w:rsidR="004E4933" w:rsidRPr="007273ED">
        <w:rPr>
          <w:rFonts w:ascii="ITC Avant Garde" w:eastAsia="Times New Roman" w:hAnsi="ITC Avant Garde"/>
          <w:kern w:val="2"/>
          <w:lang w:eastAsia="ar-SA"/>
        </w:rPr>
        <w:t xml:space="preserve">n cumplimiento </w:t>
      </w:r>
      <w:r w:rsidR="00C856BC">
        <w:rPr>
          <w:rFonts w:ascii="ITC Avant Garde" w:eastAsia="Times New Roman" w:hAnsi="ITC Avant Garde"/>
          <w:kern w:val="2"/>
          <w:lang w:eastAsia="ar-SA"/>
        </w:rPr>
        <w:t>a</w:t>
      </w:r>
      <w:r w:rsidR="004E4933" w:rsidRPr="007273ED">
        <w:rPr>
          <w:rFonts w:ascii="ITC Avant Garde" w:eastAsia="Times New Roman" w:hAnsi="ITC Avant Garde"/>
          <w:kern w:val="2"/>
          <w:lang w:eastAsia="ar-SA"/>
        </w:rPr>
        <w:t xml:space="preserve"> </w:t>
      </w:r>
      <w:r w:rsidR="004F3645">
        <w:rPr>
          <w:rFonts w:ascii="ITC Avant Garde" w:eastAsia="Times New Roman" w:hAnsi="ITC Avant Garde"/>
          <w:kern w:val="2"/>
          <w:lang w:eastAsia="ar-SA"/>
        </w:rPr>
        <w:t xml:space="preserve">lo dispuesto en </w:t>
      </w:r>
      <w:r w:rsidR="004E4933" w:rsidRPr="007273ED">
        <w:rPr>
          <w:rFonts w:ascii="ITC Avant Garde" w:eastAsia="Times New Roman" w:hAnsi="ITC Avant Garde"/>
          <w:kern w:val="2"/>
          <w:lang w:eastAsia="ar-SA"/>
        </w:rPr>
        <w:t>el artículo 51 de la Ley, bajo los principios de transparencia y participación ciudadana, el Instituto llevó a cabo la c</w:t>
      </w:r>
      <w:r w:rsidR="007273ED">
        <w:rPr>
          <w:rFonts w:ascii="ITC Avant Garde" w:eastAsia="Times New Roman" w:hAnsi="ITC Avant Garde"/>
          <w:kern w:val="2"/>
          <w:lang w:eastAsia="ar-SA"/>
        </w:rPr>
        <w:t>onsulta pública de</w:t>
      </w:r>
      <w:r w:rsidR="008B699F">
        <w:rPr>
          <w:rFonts w:ascii="ITC Avant Garde" w:eastAsia="Times New Roman" w:hAnsi="ITC Avant Garde"/>
          <w:kern w:val="2"/>
          <w:lang w:eastAsia="ar-SA"/>
        </w:rPr>
        <w:t xml:space="preserve">l Anteproyecto </w:t>
      </w:r>
      <w:r w:rsidR="007273ED">
        <w:rPr>
          <w:rFonts w:ascii="ITC Avant Garde" w:eastAsia="Times New Roman" w:hAnsi="ITC Avant Garde"/>
          <w:kern w:val="2"/>
          <w:lang w:eastAsia="ar-SA"/>
        </w:rPr>
        <w:t>del 14 de marzo</w:t>
      </w:r>
      <w:r w:rsidR="004E4933" w:rsidRPr="007273ED">
        <w:rPr>
          <w:rFonts w:ascii="ITC Avant Garde" w:eastAsia="Times New Roman" w:hAnsi="ITC Avant Garde"/>
          <w:kern w:val="2"/>
          <w:lang w:eastAsia="ar-SA"/>
        </w:rPr>
        <w:t> </w:t>
      </w:r>
      <w:r w:rsidR="007273ED">
        <w:rPr>
          <w:rFonts w:ascii="ITC Avant Garde" w:eastAsia="Times New Roman" w:hAnsi="ITC Avant Garde"/>
          <w:kern w:val="2"/>
          <w:lang w:eastAsia="ar-SA"/>
        </w:rPr>
        <w:t>al 29 de abril</w:t>
      </w:r>
      <w:r w:rsidR="004F3645">
        <w:rPr>
          <w:rFonts w:ascii="ITC Avant Garde" w:eastAsia="Times New Roman" w:hAnsi="ITC Avant Garde"/>
          <w:kern w:val="2"/>
          <w:lang w:eastAsia="ar-SA"/>
        </w:rPr>
        <w:t xml:space="preserve"> de 2016</w:t>
      </w:r>
      <w:r w:rsidR="00C95428">
        <w:rPr>
          <w:rFonts w:ascii="ITC Avant Garde" w:eastAsia="Times New Roman" w:hAnsi="ITC Avant Garde"/>
          <w:kern w:val="2"/>
          <w:lang w:eastAsia="ar-SA"/>
        </w:rPr>
        <w:t>.</w:t>
      </w:r>
      <w:r w:rsidR="00C9266D">
        <w:rPr>
          <w:rFonts w:ascii="ITC Avant Garde" w:eastAsia="Times New Roman" w:hAnsi="ITC Avant Garde"/>
          <w:kern w:val="2"/>
          <w:lang w:eastAsia="ar-SA"/>
        </w:rPr>
        <w:t xml:space="preserve"> </w:t>
      </w:r>
      <w:r w:rsidR="008974E3" w:rsidRPr="008974E3">
        <w:rPr>
          <w:rFonts w:ascii="ITC Avant Garde" w:eastAsia="Times New Roman" w:hAnsi="ITC Avant Garde"/>
          <w:kern w:val="2"/>
          <w:lang w:eastAsia="ar-SA"/>
        </w:rPr>
        <w:t>Derivado de la cual, se recibieron 16 participaciones por escrito de 15 interesados, cuyas aportaciones se valoraron y, en su caso, sirvieron para robustecer los Lineamientos</w:t>
      </w:r>
      <w:r w:rsidR="008974E3" w:rsidDel="008974E3">
        <w:rPr>
          <w:rFonts w:ascii="ITC Avant Garde" w:eastAsia="Times New Roman" w:hAnsi="ITC Avant Garde"/>
          <w:kern w:val="2"/>
          <w:lang w:eastAsia="ar-SA"/>
        </w:rPr>
        <w:t xml:space="preserve"> </w:t>
      </w:r>
    </w:p>
    <w:p w14:paraId="06A3671A" w14:textId="77777777" w:rsidR="005771D3" w:rsidRDefault="005771D3" w:rsidP="00400EF5">
      <w:pPr>
        <w:shd w:val="clear" w:color="auto" w:fill="FFFFFF"/>
        <w:spacing w:after="0" w:line="240" w:lineRule="auto"/>
        <w:jc w:val="both"/>
        <w:rPr>
          <w:rFonts w:ascii="ITC Avant Garde" w:eastAsia="Times New Roman" w:hAnsi="ITC Avant Garde"/>
          <w:kern w:val="2"/>
          <w:lang w:eastAsia="ar-SA"/>
        </w:rPr>
      </w:pPr>
    </w:p>
    <w:p w14:paraId="45B70BB7" w14:textId="25F4D05C" w:rsidR="0096513C" w:rsidRPr="007273ED" w:rsidRDefault="00334AB5" w:rsidP="00400EF5">
      <w:pPr>
        <w:shd w:val="clear" w:color="auto" w:fill="FFFFFF"/>
        <w:spacing w:after="0" w:line="240" w:lineRule="auto"/>
        <w:jc w:val="both"/>
        <w:rPr>
          <w:rFonts w:ascii="ITC Avant Garde" w:eastAsia="Times New Roman" w:hAnsi="ITC Avant Garde"/>
          <w:kern w:val="2"/>
          <w:lang w:eastAsia="ar-SA"/>
        </w:rPr>
      </w:pPr>
      <w:r>
        <w:rPr>
          <w:rFonts w:ascii="ITC Avant Garde" w:eastAsia="Times New Roman" w:hAnsi="ITC Avant Garde"/>
          <w:kern w:val="2"/>
          <w:lang w:eastAsia="ar-SA"/>
        </w:rPr>
        <w:t xml:space="preserve">Asimismo, </w:t>
      </w:r>
      <w:r w:rsidR="00154B9D" w:rsidRPr="00154B9D">
        <w:rPr>
          <w:rFonts w:ascii="ITC Avant Garde" w:eastAsia="Times New Roman" w:hAnsi="ITC Avant Garde"/>
          <w:kern w:val="2"/>
          <w:lang w:eastAsia="ar-SA"/>
        </w:rPr>
        <w:t>en el marco de la consulta pública, el 26 de abril de 2016 el Instituto integró un Grupo de Enfoque al que asistieron 35 representantes de 31 actores relevantes de los sectores de telecomunicaciones y radiodifusión, sociedad y gobierno, a efecto de recabar sus comentarios, sugerencias y propuestas a propósito del contenido del Anteproyecto, recibiéndose</w:t>
      </w:r>
      <w:r w:rsidR="00154B9D">
        <w:rPr>
          <w:rFonts w:ascii="ITC Avant Garde" w:eastAsia="Times New Roman" w:hAnsi="ITC Avant Garde"/>
          <w:kern w:val="2"/>
          <w:lang w:eastAsia="ar-SA"/>
        </w:rPr>
        <w:t xml:space="preserve"> al efecto 18 participaciones v</w:t>
      </w:r>
      <w:r w:rsidR="00154B9D" w:rsidRPr="00154B9D">
        <w:rPr>
          <w:rFonts w:ascii="ITC Avant Garde" w:eastAsia="Times New Roman" w:hAnsi="ITC Avant Garde"/>
          <w:kern w:val="2"/>
          <w:lang w:eastAsia="ar-SA"/>
        </w:rPr>
        <w:t>e</w:t>
      </w:r>
      <w:r w:rsidR="00154B9D">
        <w:rPr>
          <w:rFonts w:ascii="ITC Avant Garde" w:eastAsia="Times New Roman" w:hAnsi="ITC Avant Garde"/>
          <w:kern w:val="2"/>
          <w:lang w:eastAsia="ar-SA"/>
        </w:rPr>
        <w:t>rb</w:t>
      </w:r>
      <w:r w:rsidR="00154B9D" w:rsidRPr="00154B9D">
        <w:rPr>
          <w:rFonts w:ascii="ITC Avant Garde" w:eastAsia="Times New Roman" w:hAnsi="ITC Avant Garde"/>
          <w:kern w:val="2"/>
          <w:lang w:eastAsia="ar-SA"/>
        </w:rPr>
        <w:t>ales, mismas que fortalecieron los Lineamientos.</w:t>
      </w:r>
    </w:p>
    <w:p w14:paraId="1A4938F5" w14:textId="77777777" w:rsidR="005771D3" w:rsidRDefault="005771D3" w:rsidP="00400EF5">
      <w:pPr>
        <w:shd w:val="clear" w:color="auto" w:fill="FFFFFF"/>
        <w:spacing w:after="0" w:line="240" w:lineRule="auto"/>
        <w:jc w:val="both"/>
        <w:rPr>
          <w:rFonts w:ascii="ITC Avant Garde" w:eastAsia="Times New Roman" w:hAnsi="ITC Avant Garde"/>
          <w:kern w:val="2"/>
          <w:lang w:eastAsia="ar-SA"/>
        </w:rPr>
      </w:pPr>
    </w:p>
    <w:p w14:paraId="061AE1CE" w14:textId="77777777" w:rsidR="00BF0D6F" w:rsidRDefault="004E4933" w:rsidP="00766E35">
      <w:pPr>
        <w:shd w:val="clear" w:color="auto" w:fill="FFFFFF"/>
        <w:spacing w:after="0" w:line="240" w:lineRule="auto"/>
        <w:jc w:val="both"/>
        <w:rPr>
          <w:rFonts w:ascii="ITC Avant Garde" w:eastAsia="Times New Roman" w:hAnsi="ITC Avant Garde"/>
          <w:kern w:val="2"/>
          <w:lang w:eastAsia="ar-SA"/>
        </w:rPr>
      </w:pPr>
      <w:r w:rsidRPr="004E4933">
        <w:rPr>
          <w:rFonts w:ascii="ITC Avant Garde" w:eastAsia="Times New Roman" w:hAnsi="ITC Avant Garde"/>
          <w:kern w:val="2"/>
          <w:lang w:eastAsia="ar-SA"/>
        </w:rPr>
        <w:t>Los comentarios recibidos mediante la consulta pública</w:t>
      </w:r>
      <w:r w:rsidR="00583219">
        <w:rPr>
          <w:rFonts w:ascii="ITC Avant Garde" w:eastAsia="Times New Roman" w:hAnsi="ITC Avant Garde"/>
          <w:kern w:val="2"/>
          <w:lang w:eastAsia="ar-SA"/>
        </w:rPr>
        <w:t xml:space="preserve"> y la </w:t>
      </w:r>
      <w:r w:rsidR="00834B03">
        <w:rPr>
          <w:rFonts w:ascii="ITC Avant Garde" w:eastAsia="Times New Roman" w:hAnsi="ITC Avant Garde"/>
          <w:kern w:val="2"/>
          <w:lang w:eastAsia="ar-SA"/>
        </w:rPr>
        <w:t xml:space="preserve">integración del </w:t>
      </w:r>
      <w:r w:rsidR="00583219">
        <w:rPr>
          <w:rFonts w:ascii="ITC Avant Garde" w:eastAsia="Times New Roman" w:hAnsi="ITC Avant Garde"/>
          <w:kern w:val="2"/>
          <w:lang w:eastAsia="ar-SA"/>
        </w:rPr>
        <w:t>Grupo de Enfoqu</w:t>
      </w:r>
      <w:r w:rsidR="00834B03">
        <w:rPr>
          <w:rFonts w:ascii="ITC Avant Garde" w:eastAsia="Times New Roman" w:hAnsi="ITC Avant Garde"/>
          <w:kern w:val="2"/>
          <w:lang w:eastAsia="ar-SA"/>
        </w:rPr>
        <w:t>e</w:t>
      </w:r>
      <w:r w:rsidRPr="004E4933">
        <w:rPr>
          <w:rFonts w:ascii="ITC Avant Garde" w:eastAsia="Times New Roman" w:hAnsi="ITC Avant Garde"/>
          <w:kern w:val="2"/>
          <w:lang w:eastAsia="ar-SA"/>
        </w:rPr>
        <w:t xml:space="preserve"> antes mencionad</w:t>
      </w:r>
      <w:r w:rsidR="00221303">
        <w:rPr>
          <w:rFonts w:ascii="ITC Avant Garde" w:eastAsia="Times New Roman" w:hAnsi="ITC Avant Garde"/>
          <w:kern w:val="2"/>
          <w:lang w:eastAsia="ar-SA"/>
        </w:rPr>
        <w:t>o</w:t>
      </w:r>
      <w:r w:rsidR="00583219">
        <w:rPr>
          <w:rFonts w:ascii="ITC Avant Garde" w:eastAsia="Times New Roman" w:hAnsi="ITC Avant Garde"/>
          <w:kern w:val="2"/>
          <w:lang w:eastAsia="ar-SA"/>
        </w:rPr>
        <w:t>s,</w:t>
      </w:r>
      <w:r w:rsidR="000C5C0F">
        <w:rPr>
          <w:rFonts w:ascii="ITC Avant Garde" w:eastAsia="Times New Roman" w:hAnsi="ITC Avant Garde"/>
          <w:kern w:val="2"/>
          <w:lang w:eastAsia="ar-SA"/>
        </w:rPr>
        <w:t xml:space="preserve"> fueron analizados y, </w:t>
      </w:r>
      <w:r w:rsidR="00D75703">
        <w:rPr>
          <w:rFonts w:ascii="ITC Avant Garde" w:eastAsia="Times New Roman" w:hAnsi="ITC Avant Garde"/>
          <w:kern w:val="2"/>
          <w:lang w:eastAsia="ar-SA"/>
        </w:rPr>
        <w:t>cuando así se consideró pertinente</w:t>
      </w:r>
      <w:r w:rsidRPr="004E4933">
        <w:rPr>
          <w:rFonts w:ascii="ITC Avant Garde" w:eastAsia="Times New Roman" w:hAnsi="ITC Avant Garde"/>
          <w:kern w:val="2"/>
          <w:lang w:eastAsia="ar-SA"/>
        </w:rPr>
        <w:t xml:space="preserve">, </w:t>
      </w:r>
      <w:r w:rsidR="00D75703">
        <w:rPr>
          <w:rFonts w:ascii="ITC Avant Garde" w:eastAsia="Times New Roman" w:hAnsi="ITC Avant Garde"/>
          <w:kern w:val="2"/>
          <w:lang w:eastAsia="ar-SA"/>
        </w:rPr>
        <w:t>incorporados con el</w:t>
      </w:r>
      <w:r w:rsidR="00583219">
        <w:rPr>
          <w:rFonts w:ascii="ITC Avant Garde" w:eastAsia="Times New Roman" w:hAnsi="ITC Avant Garde"/>
          <w:kern w:val="2"/>
          <w:lang w:eastAsia="ar-SA"/>
        </w:rPr>
        <w:t xml:space="preserve"> fin de consolidar los </w:t>
      </w:r>
      <w:r w:rsidRPr="004E4933">
        <w:rPr>
          <w:rFonts w:ascii="ITC Avant Garde" w:eastAsia="Times New Roman" w:hAnsi="ITC Avant Garde"/>
          <w:kern w:val="2"/>
          <w:lang w:eastAsia="ar-SA"/>
        </w:rPr>
        <w:t xml:space="preserve">Lineamientos, </w:t>
      </w:r>
      <w:r w:rsidR="00D75703">
        <w:rPr>
          <w:rFonts w:ascii="ITC Avant Garde" w:eastAsia="Times New Roman" w:hAnsi="ITC Avant Garde"/>
          <w:kern w:val="2"/>
          <w:lang w:eastAsia="ar-SA"/>
        </w:rPr>
        <w:t xml:space="preserve">por lo que </w:t>
      </w:r>
      <w:r w:rsidRPr="004E4933">
        <w:rPr>
          <w:rFonts w:ascii="ITC Avant Garde" w:eastAsia="Times New Roman" w:hAnsi="ITC Avant Garde"/>
          <w:kern w:val="2"/>
          <w:lang w:eastAsia="ar-SA"/>
        </w:rPr>
        <w:t xml:space="preserve">las respuestas a </w:t>
      </w:r>
      <w:r w:rsidR="00221303">
        <w:rPr>
          <w:rFonts w:ascii="ITC Avant Garde" w:eastAsia="Times New Roman" w:hAnsi="ITC Avant Garde"/>
          <w:kern w:val="2"/>
          <w:lang w:eastAsia="ar-SA"/>
        </w:rPr>
        <w:t xml:space="preserve">éstos </w:t>
      </w:r>
      <w:r w:rsidRPr="004E4933">
        <w:rPr>
          <w:rFonts w:ascii="ITC Avant Garde" w:eastAsia="Times New Roman" w:hAnsi="ITC Avant Garde"/>
          <w:kern w:val="2"/>
          <w:lang w:eastAsia="ar-SA"/>
        </w:rPr>
        <w:t xml:space="preserve">se encuentran publicadas en el </w:t>
      </w:r>
      <w:r w:rsidR="00996BA5">
        <w:rPr>
          <w:rFonts w:ascii="ITC Avant Garde" w:eastAsia="Times New Roman" w:hAnsi="ITC Avant Garde"/>
          <w:kern w:val="2"/>
          <w:lang w:eastAsia="ar-SA"/>
        </w:rPr>
        <w:t xml:space="preserve">apartado de consultas públicas del </w:t>
      </w:r>
      <w:r w:rsidRPr="004E4933">
        <w:rPr>
          <w:rFonts w:ascii="ITC Avant Garde" w:eastAsia="Times New Roman" w:hAnsi="ITC Avant Garde"/>
          <w:kern w:val="2"/>
          <w:lang w:eastAsia="ar-SA"/>
        </w:rPr>
        <w:t>portal de Internet del Instituto</w:t>
      </w:r>
      <w:r w:rsidR="00D75703">
        <w:rPr>
          <w:rFonts w:ascii="ITC Avant Garde" w:eastAsia="Times New Roman" w:hAnsi="ITC Avant Garde"/>
          <w:kern w:val="2"/>
          <w:lang w:eastAsia="ar-SA"/>
        </w:rPr>
        <w:t>, a través del informe de consideraciones correspondiente</w:t>
      </w:r>
      <w:r w:rsidRPr="004E4933">
        <w:rPr>
          <w:rFonts w:ascii="ITC Avant Garde" w:eastAsia="Times New Roman" w:hAnsi="ITC Avant Garde"/>
          <w:kern w:val="2"/>
          <w:lang w:eastAsia="ar-SA"/>
        </w:rPr>
        <w:t>.</w:t>
      </w:r>
    </w:p>
    <w:p w14:paraId="5055444C" w14:textId="77777777" w:rsidR="00996BA5" w:rsidRDefault="00996BA5" w:rsidP="00766E35">
      <w:pPr>
        <w:shd w:val="clear" w:color="auto" w:fill="FFFFFF"/>
        <w:spacing w:after="0" w:line="240" w:lineRule="auto"/>
        <w:jc w:val="both"/>
        <w:rPr>
          <w:rFonts w:ascii="ITC Avant Garde" w:eastAsia="Times New Roman" w:hAnsi="ITC Avant Garde"/>
          <w:kern w:val="2"/>
          <w:lang w:eastAsia="ar-SA"/>
        </w:rPr>
      </w:pPr>
    </w:p>
    <w:p w14:paraId="7229F4BE" w14:textId="3BEA2DB7" w:rsidR="00996BA5" w:rsidRDefault="00996BA5" w:rsidP="00766E35">
      <w:pPr>
        <w:shd w:val="clear" w:color="auto" w:fill="FFFFFF"/>
        <w:spacing w:after="0" w:line="240" w:lineRule="auto"/>
        <w:jc w:val="both"/>
        <w:rPr>
          <w:rFonts w:ascii="ITC Avant Garde" w:eastAsia="Times New Roman" w:hAnsi="ITC Avant Garde"/>
          <w:kern w:val="2"/>
          <w:lang w:eastAsia="ar-SA"/>
        </w:rPr>
      </w:pPr>
      <w:r>
        <w:rPr>
          <w:rFonts w:ascii="ITC Avant Garde" w:eastAsia="Times New Roman" w:hAnsi="ITC Avant Garde"/>
          <w:b/>
          <w:kern w:val="2"/>
          <w:lang w:eastAsia="ar-SA"/>
        </w:rPr>
        <w:t xml:space="preserve">QUINTO.- Análisis de Impacto Regulatorio.- </w:t>
      </w:r>
      <w:r w:rsidRPr="00996BA5">
        <w:rPr>
          <w:rFonts w:ascii="ITC Avant Garde" w:eastAsia="Times New Roman" w:hAnsi="ITC Avant Garde"/>
          <w:kern w:val="2"/>
          <w:lang w:eastAsia="ar-SA"/>
        </w:rPr>
        <w:t xml:space="preserve">El segundo párrafo del artículo 51 de la </w:t>
      </w:r>
      <w:r w:rsidR="00EE6EC3">
        <w:rPr>
          <w:rFonts w:ascii="ITC Avant Garde" w:eastAsia="Times New Roman" w:hAnsi="ITC Avant Garde"/>
          <w:kern w:val="2"/>
          <w:lang w:eastAsia="ar-SA"/>
        </w:rPr>
        <w:t>Ley</w:t>
      </w:r>
      <w:r w:rsidRPr="00996BA5">
        <w:rPr>
          <w:rFonts w:ascii="ITC Avant Garde" w:eastAsia="Times New Roman" w:hAnsi="ITC Avant Garde"/>
          <w:kern w:val="2"/>
          <w:lang w:eastAsia="ar-SA"/>
        </w:rPr>
        <w:t xml:space="preserve"> establece que previ</w:t>
      </w:r>
      <w:r w:rsidR="00513616">
        <w:rPr>
          <w:rFonts w:ascii="ITC Avant Garde" w:eastAsia="Times New Roman" w:hAnsi="ITC Avant Garde"/>
          <w:kern w:val="2"/>
          <w:lang w:eastAsia="ar-SA"/>
        </w:rPr>
        <w:t>amente</w:t>
      </w:r>
      <w:r w:rsidRPr="00996BA5">
        <w:rPr>
          <w:rFonts w:ascii="ITC Avant Garde" w:eastAsia="Times New Roman" w:hAnsi="ITC Avant Garde"/>
          <w:kern w:val="2"/>
          <w:lang w:eastAsia="ar-SA"/>
        </w:rPr>
        <w:t xml:space="preserve"> a la emisión de reglas, lineamientos o disposiciones administrativas de carácter general, el Instituto deberá realizar y hacer público un </w:t>
      </w:r>
      <w:r w:rsidR="00DC172D">
        <w:rPr>
          <w:rFonts w:ascii="ITC Avant Garde" w:eastAsia="Times New Roman" w:hAnsi="ITC Avant Garde"/>
          <w:kern w:val="2"/>
          <w:lang w:eastAsia="ar-SA"/>
        </w:rPr>
        <w:t>AIR</w:t>
      </w:r>
      <w:r w:rsidR="00E67CD0">
        <w:rPr>
          <w:rFonts w:ascii="ITC Avant Garde" w:eastAsia="Times New Roman" w:hAnsi="ITC Avant Garde"/>
          <w:kern w:val="2"/>
          <w:lang w:eastAsia="ar-SA"/>
        </w:rPr>
        <w:t xml:space="preserve"> </w:t>
      </w:r>
      <w:r w:rsidRPr="00996BA5">
        <w:rPr>
          <w:rFonts w:ascii="ITC Avant Garde" w:eastAsia="Times New Roman" w:hAnsi="ITC Avant Garde"/>
          <w:kern w:val="2"/>
          <w:lang w:eastAsia="ar-SA"/>
        </w:rPr>
        <w:t xml:space="preserve">o, en su caso, solicitar el apoyo de la Comisión Federal de Mejora Regulatoria. </w:t>
      </w:r>
    </w:p>
    <w:p w14:paraId="4E9F14C2" w14:textId="77777777" w:rsidR="00996BA5" w:rsidRDefault="00996BA5" w:rsidP="00766E35">
      <w:pPr>
        <w:shd w:val="clear" w:color="auto" w:fill="FFFFFF"/>
        <w:spacing w:after="0" w:line="240" w:lineRule="auto"/>
        <w:jc w:val="both"/>
        <w:rPr>
          <w:rFonts w:ascii="ITC Avant Garde" w:eastAsia="Times New Roman" w:hAnsi="ITC Avant Garde"/>
          <w:kern w:val="2"/>
          <w:lang w:eastAsia="ar-SA"/>
        </w:rPr>
      </w:pPr>
    </w:p>
    <w:p w14:paraId="47EC3A81" w14:textId="77777777" w:rsidR="00996BA5" w:rsidRDefault="00996BA5" w:rsidP="00766E35">
      <w:pPr>
        <w:shd w:val="clear" w:color="auto" w:fill="FFFFFF"/>
        <w:spacing w:after="0" w:line="240" w:lineRule="auto"/>
        <w:jc w:val="both"/>
        <w:rPr>
          <w:rFonts w:ascii="ITC Avant Garde" w:eastAsia="Times New Roman" w:hAnsi="ITC Avant Garde"/>
          <w:kern w:val="2"/>
          <w:lang w:eastAsia="ar-SA"/>
        </w:rPr>
      </w:pPr>
      <w:r w:rsidRPr="00996BA5">
        <w:rPr>
          <w:rFonts w:ascii="ITC Avant Garde" w:eastAsia="Times New Roman" w:hAnsi="ITC Avant Garde"/>
          <w:kern w:val="2"/>
          <w:lang w:eastAsia="ar-SA"/>
        </w:rPr>
        <w:t xml:space="preserve">Al respecto, la Coordinación General realizó el AIR correspondiente, mismo que </w:t>
      </w:r>
      <w:r>
        <w:rPr>
          <w:rFonts w:ascii="ITC Avant Garde" w:eastAsia="Times New Roman" w:hAnsi="ITC Avant Garde"/>
          <w:kern w:val="2"/>
          <w:lang w:eastAsia="ar-SA"/>
        </w:rPr>
        <w:t>se modificó a razón de la consulta pública referida en el numeral anterior</w:t>
      </w:r>
      <w:r w:rsidR="00285029">
        <w:rPr>
          <w:rFonts w:ascii="ITC Avant Garde" w:eastAsia="Times New Roman" w:hAnsi="ITC Avant Garde"/>
          <w:kern w:val="2"/>
          <w:lang w:eastAsia="ar-SA"/>
        </w:rPr>
        <w:t xml:space="preserve"> y de las adecuaciones a los Lineamientos</w:t>
      </w:r>
      <w:r>
        <w:rPr>
          <w:rFonts w:ascii="ITC Avant Garde" w:eastAsia="Times New Roman" w:hAnsi="ITC Avant Garde"/>
          <w:kern w:val="2"/>
          <w:lang w:eastAsia="ar-SA"/>
        </w:rPr>
        <w:t xml:space="preserve">, razón por la cual </w:t>
      </w:r>
      <w:r w:rsidR="00567D56">
        <w:rPr>
          <w:rFonts w:ascii="ITC Avant Garde" w:eastAsia="Times New Roman" w:hAnsi="ITC Avant Garde"/>
          <w:kern w:val="2"/>
          <w:lang w:eastAsia="ar-SA"/>
        </w:rPr>
        <w:t xml:space="preserve">ambos documentos fueron publicados en el apartado de consultas públicas de la página de </w:t>
      </w:r>
      <w:r w:rsidR="00DC172D">
        <w:rPr>
          <w:rFonts w:ascii="ITC Avant Garde" w:eastAsia="Times New Roman" w:hAnsi="ITC Avant Garde"/>
          <w:kern w:val="2"/>
          <w:lang w:eastAsia="ar-SA"/>
        </w:rPr>
        <w:t>I</w:t>
      </w:r>
      <w:r w:rsidR="00567D56">
        <w:rPr>
          <w:rFonts w:ascii="ITC Avant Garde" w:eastAsia="Times New Roman" w:hAnsi="ITC Avant Garde"/>
          <w:kern w:val="2"/>
          <w:lang w:eastAsia="ar-SA"/>
        </w:rPr>
        <w:t>nternet del Instituto a efecto de darle debida publicidad.</w:t>
      </w:r>
      <w:r>
        <w:rPr>
          <w:rFonts w:ascii="ITC Avant Garde" w:eastAsia="Times New Roman" w:hAnsi="ITC Avant Garde"/>
          <w:kern w:val="2"/>
          <w:lang w:eastAsia="ar-SA"/>
        </w:rPr>
        <w:t xml:space="preserve"> </w:t>
      </w:r>
    </w:p>
    <w:p w14:paraId="4C8D5382" w14:textId="77777777" w:rsidR="00996BA5" w:rsidRDefault="00996BA5" w:rsidP="00766E35">
      <w:pPr>
        <w:shd w:val="clear" w:color="auto" w:fill="FFFFFF"/>
        <w:spacing w:after="0" w:line="240" w:lineRule="auto"/>
        <w:jc w:val="both"/>
        <w:rPr>
          <w:rFonts w:ascii="ITC Avant Garde" w:eastAsia="Times New Roman" w:hAnsi="ITC Avant Garde"/>
          <w:kern w:val="2"/>
          <w:lang w:eastAsia="ar-SA"/>
        </w:rPr>
      </w:pPr>
    </w:p>
    <w:p w14:paraId="64C98A9A" w14:textId="77777777" w:rsidR="00567D56" w:rsidRDefault="00DC172D" w:rsidP="00766E35">
      <w:pPr>
        <w:shd w:val="clear" w:color="auto" w:fill="FFFFFF"/>
        <w:spacing w:after="0" w:line="240" w:lineRule="auto"/>
        <w:jc w:val="both"/>
        <w:rPr>
          <w:rFonts w:ascii="ITC Avant Garde" w:eastAsia="Times New Roman" w:hAnsi="ITC Avant Garde"/>
          <w:kern w:val="2"/>
          <w:lang w:eastAsia="ar-SA"/>
        </w:rPr>
      </w:pPr>
      <w:r>
        <w:rPr>
          <w:rFonts w:ascii="ITC Avant Garde" w:eastAsia="Times New Roman" w:hAnsi="ITC Avant Garde"/>
          <w:kern w:val="2"/>
          <w:lang w:eastAsia="ar-SA"/>
        </w:rPr>
        <w:t>El</w:t>
      </w:r>
      <w:r w:rsidR="00996BA5" w:rsidRPr="00996BA5">
        <w:rPr>
          <w:rFonts w:ascii="ITC Avant Garde" w:eastAsia="Times New Roman" w:hAnsi="ITC Avant Garde"/>
          <w:kern w:val="2"/>
          <w:lang w:eastAsia="ar-SA"/>
        </w:rPr>
        <w:t xml:space="preserve"> A</w:t>
      </w:r>
      <w:r w:rsidR="00D332A6">
        <w:rPr>
          <w:rFonts w:ascii="ITC Avant Garde" w:eastAsia="Times New Roman" w:hAnsi="ITC Avant Garde"/>
          <w:kern w:val="2"/>
          <w:lang w:eastAsia="ar-SA"/>
        </w:rPr>
        <w:t>IR</w:t>
      </w:r>
      <w:r w:rsidR="00996BA5" w:rsidRPr="00996BA5">
        <w:rPr>
          <w:rFonts w:ascii="ITC Avant Garde" w:eastAsia="Times New Roman" w:hAnsi="ITC Avant Garde"/>
          <w:kern w:val="2"/>
          <w:lang w:eastAsia="ar-SA"/>
        </w:rPr>
        <w:t xml:space="preserve"> expone entre otros aspectos, los objetivos que se pretenden alcanzar con la publicación de los Lineamientos, </w:t>
      </w:r>
      <w:r w:rsidR="00306221">
        <w:rPr>
          <w:rFonts w:ascii="ITC Avant Garde" w:eastAsia="Times New Roman" w:hAnsi="ITC Avant Garde"/>
          <w:kern w:val="2"/>
          <w:lang w:eastAsia="ar-SA"/>
        </w:rPr>
        <w:t xml:space="preserve">de manera paralela al cumplimiento del mandato previsto en la Ley, </w:t>
      </w:r>
      <w:r w:rsidR="00996BA5" w:rsidRPr="00996BA5">
        <w:rPr>
          <w:rFonts w:ascii="ITC Avant Garde" w:eastAsia="Times New Roman" w:hAnsi="ITC Avant Garde"/>
          <w:kern w:val="2"/>
          <w:lang w:eastAsia="ar-SA"/>
        </w:rPr>
        <w:t xml:space="preserve">que son: </w:t>
      </w:r>
    </w:p>
    <w:p w14:paraId="22D710C3" w14:textId="77777777" w:rsidR="00567D56" w:rsidRDefault="00567D56" w:rsidP="00766E35">
      <w:pPr>
        <w:shd w:val="clear" w:color="auto" w:fill="FFFFFF"/>
        <w:spacing w:after="0" w:line="240" w:lineRule="auto"/>
        <w:jc w:val="both"/>
        <w:rPr>
          <w:rFonts w:ascii="ITC Avant Garde" w:eastAsia="Times New Roman" w:hAnsi="ITC Avant Garde"/>
          <w:kern w:val="2"/>
          <w:lang w:eastAsia="ar-SA"/>
        </w:rPr>
      </w:pPr>
    </w:p>
    <w:p w14:paraId="2FAAC203" w14:textId="77777777" w:rsidR="00C76A64" w:rsidRDefault="00996BA5" w:rsidP="00C76A64">
      <w:pPr>
        <w:pStyle w:val="Prrafodelista"/>
        <w:numPr>
          <w:ilvl w:val="0"/>
          <w:numId w:val="31"/>
        </w:numPr>
        <w:shd w:val="clear" w:color="auto" w:fill="FFFFFF"/>
        <w:spacing w:after="0" w:line="240" w:lineRule="auto"/>
        <w:jc w:val="both"/>
        <w:rPr>
          <w:rFonts w:ascii="ITC Avant Garde" w:eastAsia="Times New Roman" w:hAnsi="ITC Avant Garde"/>
          <w:kern w:val="2"/>
          <w:lang w:eastAsia="ar-SA"/>
        </w:rPr>
      </w:pPr>
      <w:r w:rsidRPr="00C76A64">
        <w:rPr>
          <w:rFonts w:ascii="ITC Avant Garde" w:eastAsia="Times New Roman" w:hAnsi="ITC Avant Garde"/>
          <w:kern w:val="2"/>
          <w:lang w:eastAsia="ar-SA"/>
        </w:rPr>
        <w:t xml:space="preserve">Establecer los mecanismos necesarios que garanticen la </w:t>
      </w:r>
      <w:r w:rsidR="00567D56" w:rsidRPr="00C76A64">
        <w:rPr>
          <w:rFonts w:ascii="ITC Avant Garde" w:eastAsia="Times New Roman" w:hAnsi="ITC Avant Garde"/>
          <w:kern w:val="2"/>
          <w:lang w:eastAsia="ar-SA"/>
        </w:rPr>
        <w:t>realización de diversos tipos de consultas públicas para la emisión, modificación o eliminación de regulación</w:t>
      </w:r>
      <w:r w:rsidRPr="00C76A64">
        <w:rPr>
          <w:rFonts w:ascii="ITC Avant Garde" w:eastAsia="Times New Roman" w:hAnsi="ITC Avant Garde"/>
          <w:kern w:val="2"/>
          <w:lang w:eastAsia="ar-SA"/>
        </w:rPr>
        <w:t xml:space="preserve">, </w:t>
      </w:r>
      <w:r w:rsidR="00567D56" w:rsidRPr="00C76A64">
        <w:rPr>
          <w:rFonts w:ascii="ITC Avant Garde" w:eastAsia="Times New Roman" w:hAnsi="ITC Avant Garde"/>
          <w:kern w:val="2"/>
          <w:lang w:eastAsia="ar-SA"/>
        </w:rPr>
        <w:t>así como la participación de los interesados en cada una de ellas</w:t>
      </w:r>
      <w:r w:rsidR="00C76A64" w:rsidRPr="00C76A64">
        <w:rPr>
          <w:rFonts w:ascii="ITC Avant Garde" w:eastAsia="Times New Roman" w:hAnsi="ITC Avant Garde"/>
          <w:kern w:val="2"/>
          <w:lang w:eastAsia="ar-SA"/>
        </w:rPr>
        <w:t>,</w:t>
      </w:r>
      <w:r w:rsidR="00567D56" w:rsidRPr="00C76A64">
        <w:rPr>
          <w:rFonts w:ascii="ITC Avant Garde" w:eastAsia="Times New Roman" w:hAnsi="ITC Avant Garde"/>
          <w:kern w:val="2"/>
          <w:lang w:eastAsia="ar-SA"/>
        </w:rPr>
        <w:t xml:space="preserve"> </w:t>
      </w:r>
      <w:r w:rsidRPr="00C76A64">
        <w:rPr>
          <w:rFonts w:ascii="ITC Avant Garde" w:eastAsia="Times New Roman" w:hAnsi="ITC Avant Garde"/>
          <w:kern w:val="2"/>
          <w:lang w:eastAsia="ar-SA"/>
        </w:rPr>
        <w:t>y</w:t>
      </w:r>
    </w:p>
    <w:p w14:paraId="44E1B745" w14:textId="77777777" w:rsidR="00C76A64" w:rsidRPr="00C76A64" w:rsidRDefault="00C76A64" w:rsidP="00C76A64">
      <w:pPr>
        <w:pStyle w:val="Prrafodelista"/>
        <w:shd w:val="clear" w:color="auto" w:fill="FFFFFF"/>
        <w:spacing w:after="0" w:line="240" w:lineRule="auto"/>
        <w:ind w:left="786"/>
        <w:jc w:val="both"/>
        <w:rPr>
          <w:rFonts w:ascii="ITC Avant Garde" w:eastAsia="Times New Roman" w:hAnsi="ITC Avant Garde"/>
          <w:kern w:val="2"/>
          <w:lang w:eastAsia="ar-SA"/>
        </w:rPr>
      </w:pPr>
    </w:p>
    <w:p w14:paraId="2240A52A" w14:textId="77777777" w:rsidR="00996BA5" w:rsidRPr="00996BA5" w:rsidRDefault="00996BA5" w:rsidP="00C76A64">
      <w:pPr>
        <w:shd w:val="clear" w:color="auto" w:fill="FFFFFF"/>
        <w:spacing w:after="0" w:line="240" w:lineRule="auto"/>
        <w:ind w:left="709" w:hanging="283"/>
        <w:jc w:val="both"/>
        <w:rPr>
          <w:rFonts w:ascii="ITC Avant Garde" w:eastAsia="Times New Roman" w:hAnsi="ITC Avant Garde"/>
          <w:b/>
          <w:kern w:val="2"/>
          <w:lang w:eastAsia="ar-SA"/>
        </w:rPr>
      </w:pPr>
      <w:r w:rsidRPr="00996BA5">
        <w:rPr>
          <w:rFonts w:ascii="ITC Avant Garde" w:eastAsia="Times New Roman" w:hAnsi="ITC Avant Garde"/>
          <w:kern w:val="2"/>
          <w:lang w:eastAsia="ar-SA"/>
        </w:rPr>
        <w:t xml:space="preserve">b) Establecer los mecanismos necesarios y las obligaciones a cargo de los </w:t>
      </w:r>
      <w:r w:rsidR="00567D56">
        <w:rPr>
          <w:rFonts w:ascii="ITC Avant Garde" w:eastAsia="Times New Roman" w:hAnsi="ITC Avant Garde"/>
          <w:kern w:val="2"/>
          <w:lang w:eastAsia="ar-SA"/>
        </w:rPr>
        <w:t>unidades administrativas en la elaboración de los análisis de impacto regulatorio de las regulaciones que pretenden emitir, modificar o eliminar</w:t>
      </w:r>
      <w:r w:rsidRPr="00996BA5">
        <w:rPr>
          <w:rFonts w:ascii="ITC Avant Garde" w:eastAsia="Times New Roman" w:hAnsi="ITC Avant Garde"/>
          <w:kern w:val="2"/>
          <w:lang w:eastAsia="ar-SA"/>
        </w:rPr>
        <w:t>.</w:t>
      </w:r>
    </w:p>
    <w:p w14:paraId="250D0098" w14:textId="77777777" w:rsidR="0004576A" w:rsidRDefault="0004576A" w:rsidP="00400EF5">
      <w:pPr>
        <w:shd w:val="clear" w:color="auto" w:fill="FFFFFF"/>
        <w:spacing w:after="0" w:line="240" w:lineRule="auto"/>
        <w:jc w:val="both"/>
        <w:rPr>
          <w:rFonts w:ascii="ITC Avant Garde" w:eastAsia="Times New Roman" w:hAnsi="ITC Avant Garde"/>
          <w:kern w:val="2"/>
          <w:lang w:eastAsia="ar-SA"/>
        </w:rPr>
      </w:pPr>
    </w:p>
    <w:p w14:paraId="7EDC93DE" w14:textId="7B975D66" w:rsidR="00C01890" w:rsidRDefault="00C01890" w:rsidP="00400EF5">
      <w:pPr>
        <w:shd w:val="clear" w:color="auto" w:fill="FFFFFF"/>
        <w:spacing w:after="0" w:line="240" w:lineRule="auto"/>
        <w:jc w:val="both"/>
        <w:rPr>
          <w:rFonts w:ascii="ITC Avant Garde" w:eastAsia="Times New Roman" w:hAnsi="ITC Avant Garde"/>
          <w:kern w:val="2"/>
          <w:lang w:eastAsia="ar-SA"/>
        </w:rPr>
      </w:pPr>
      <w:r>
        <w:rPr>
          <w:rFonts w:ascii="ITC Avant Garde" w:eastAsia="Times New Roman" w:hAnsi="ITC Avant Garde"/>
          <w:kern w:val="2"/>
          <w:lang w:eastAsia="ar-SA"/>
        </w:rPr>
        <w:t>C</w:t>
      </w:r>
      <w:r w:rsidRPr="00AE05FC">
        <w:rPr>
          <w:rFonts w:ascii="ITC Avant Garde" w:eastAsia="Times New Roman" w:hAnsi="ITC Avant Garde"/>
          <w:kern w:val="2"/>
          <w:lang w:val="es-ES" w:eastAsia="ar-SA"/>
        </w:rPr>
        <w:t>on fundamento en los artículos 6</w:t>
      </w:r>
      <w:r w:rsidR="00351666">
        <w:rPr>
          <w:rFonts w:ascii="ITC Avant Garde" w:eastAsia="Times New Roman" w:hAnsi="ITC Avant Garde"/>
          <w:kern w:val="2"/>
          <w:lang w:val="es-ES" w:eastAsia="ar-SA"/>
        </w:rPr>
        <w:t>o.</w:t>
      </w:r>
      <w:r w:rsidRPr="00AE05FC">
        <w:rPr>
          <w:rFonts w:ascii="ITC Avant Garde" w:eastAsia="Times New Roman" w:hAnsi="ITC Avant Garde"/>
          <w:kern w:val="2"/>
          <w:lang w:val="es-ES" w:eastAsia="ar-SA"/>
        </w:rPr>
        <w:t>, 7</w:t>
      </w:r>
      <w:r w:rsidR="00351666">
        <w:rPr>
          <w:rFonts w:ascii="ITC Avant Garde" w:eastAsia="Times New Roman" w:hAnsi="ITC Avant Garde"/>
          <w:kern w:val="2"/>
          <w:lang w:val="es-ES" w:eastAsia="ar-SA"/>
        </w:rPr>
        <w:t>o.</w:t>
      </w:r>
      <w:r w:rsidRPr="00AE05FC">
        <w:rPr>
          <w:rFonts w:ascii="ITC Avant Garde" w:eastAsia="Times New Roman" w:hAnsi="ITC Avant Garde"/>
          <w:kern w:val="2"/>
          <w:lang w:val="es-ES" w:eastAsia="ar-SA"/>
        </w:rPr>
        <w:t xml:space="preserve"> y 28, párrafos décimo quinto, décimo sexto y vigésimo, fracción IV</w:t>
      </w:r>
      <w:r w:rsidR="008435D7">
        <w:rPr>
          <w:rFonts w:ascii="ITC Avant Garde" w:eastAsia="Times New Roman" w:hAnsi="ITC Avant Garde"/>
          <w:kern w:val="2"/>
          <w:lang w:val="es-ES" w:eastAsia="ar-SA"/>
        </w:rPr>
        <w:t xml:space="preserve"> </w:t>
      </w:r>
      <w:r w:rsidRPr="00AE05FC">
        <w:rPr>
          <w:rFonts w:ascii="ITC Avant Garde" w:eastAsia="Times New Roman" w:hAnsi="ITC Avant Garde"/>
          <w:kern w:val="2"/>
          <w:lang w:val="es-ES" w:eastAsia="ar-SA"/>
        </w:rPr>
        <w:t>de</w:t>
      </w:r>
      <w:r w:rsidR="00A54103">
        <w:rPr>
          <w:rFonts w:ascii="ITC Avant Garde" w:eastAsia="Times New Roman" w:hAnsi="ITC Avant Garde"/>
          <w:kern w:val="2"/>
          <w:lang w:val="es-ES" w:eastAsia="ar-SA"/>
        </w:rPr>
        <w:t xml:space="preserve"> </w:t>
      </w:r>
      <w:r w:rsidRPr="00AE05FC">
        <w:rPr>
          <w:rFonts w:ascii="ITC Avant Garde" w:eastAsia="Times New Roman" w:hAnsi="ITC Avant Garde"/>
          <w:kern w:val="2"/>
          <w:lang w:val="es-ES" w:eastAsia="ar-SA"/>
        </w:rPr>
        <w:t>l</w:t>
      </w:r>
      <w:r w:rsidR="00A54103">
        <w:rPr>
          <w:rFonts w:ascii="ITC Avant Garde" w:eastAsia="Times New Roman" w:hAnsi="ITC Avant Garde"/>
          <w:kern w:val="2"/>
          <w:lang w:val="es-ES" w:eastAsia="ar-SA"/>
        </w:rPr>
        <w:t>a</w:t>
      </w:r>
      <w:r w:rsidRPr="00AE05FC">
        <w:rPr>
          <w:rFonts w:ascii="ITC Avant Garde" w:eastAsia="Times New Roman" w:hAnsi="ITC Avant Garde"/>
          <w:kern w:val="2"/>
          <w:lang w:val="es-ES" w:eastAsia="ar-SA"/>
        </w:rPr>
        <w:t xml:space="preserve"> </w:t>
      </w:r>
      <w:r w:rsidR="00A54103">
        <w:rPr>
          <w:rFonts w:ascii="ITC Avant Garde" w:eastAsia="Times New Roman" w:hAnsi="ITC Avant Garde"/>
          <w:kern w:val="2"/>
          <w:lang w:val="es-ES" w:eastAsia="ar-SA"/>
        </w:rPr>
        <w:t>Constitución Política de los Estados Unidos Mexicanos</w:t>
      </w:r>
      <w:r w:rsidRPr="00AE05FC">
        <w:rPr>
          <w:rFonts w:ascii="ITC Avant Garde" w:eastAsia="Times New Roman" w:hAnsi="ITC Avant Garde"/>
          <w:kern w:val="2"/>
          <w:lang w:val="es-ES" w:eastAsia="ar-SA"/>
        </w:rPr>
        <w:t>; 1, 2, 7, 15, fracciones I</w:t>
      </w:r>
      <w:r>
        <w:rPr>
          <w:rFonts w:ascii="ITC Avant Garde" w:eastAsia="Times New Roman" w:hAnsi="ITC Avant Garde"/>
          <w:kern w:val="2"/>
          <w:lang w:val="es-ES" w:eastAsia="ar-SA"/>
        </w:rPr>
        <w:t>, XL, XLI</w:t>
      </w:r>
      <w:r w:rsidRPr="00AE05FC">
        <w:rPr>
          <w:rFonts w:ascii="ITC Avant Garde" w:eastAsia="Times New Roman" w:hAnsi="ITC Avant Garde"/>
          <w:kern w:val="2"/>
          <w:lang w:val="es-ES" w:eastAsia="ar-SA"/>
        </w:rPr>
        <w:t xml:space="preserve"> y LVI, 17, fracciones I y XIII, y 51 de la Ley</w:t>
      </w:r>
      <w:r w:rsidR="00A54103">
        <w:rPr>
          <w:rFonts w:ascii="ITC Avant Garde" w:eastAsia="Times New Roman" w:hAnsi="ITC Avant Garde"/>
          <w:kern w:val="2"/>
          <w:lang w:val="es-ES" w:eastAsia="ar-SA"/>
        </w:rPr>
        <w:t xml:space="preserve"> Federal de Telecomunicaciones y Radiodifusión</w:t>
      </w:r>
      <w:r w:rsidRPr="00AE05FC">
        <w:rPr>
          <w:rFonts w:ascii="ITC Avant Garde" w:eastAsia="Times New Roman" w:hAnsi="ITC Avant Garde"/>
          <w:kern w:val="2"/>
          <w:lang w:val="es-ES" w:eastAsia="ar-SA"/>
        </w:rPr>
        <w:t xml:space="preserve">; 5, 12, fracción XXII y 138 de la Ley </w:t>
      </w:r>
      <w:r w:rsidR="00A54103">
        <w:rPr>
          <w:rFonts w:ascii="ITC Avant Garde" w:eastAsia="Times New Roman" w:hAnsi="ITC Avant Garde"/>
          <w:kern w:val="2"/>
          <w:lang w:val="es-ES" w:eastAsia="ar-SA"/>
        </w:rPr>
        <w:t xml:space="preserve">Federal </w:t>
      </w:r>
      <w:r w:rsidRPr="00AE05FC">
        <w:rPr>
          <w:rFonts w:ascii="ITC Avant Garde" w:eastAsia="Times New Roman" w:hAnsi="ITC Avant Garde"/>
          <w:kern w:val="2"/>
          <w:lang w:val="es-ES" w:eastAsia="ar-SA"/>
        </w:rPr>
        <w:t>de Competencia</w:t>
      </w:r>
      <w:r w:rsidR="00A54103">
        <w:rPr>
          <w:rFonts w:ascii="ITC Avant Garde" w:eastAsia="Times New Roman" w:hAnsi="ITC Avant Garde"/>
          <w:kern w:val="2"/>
          <w:lang w:val="es-ES" w:eastAsia="ar-SA"/>
        </w:rPr>
        <w:t xml:space="preserve"> Económica</w:t>
      </w:r>
      <w:r w:rsidRPr="00AE05FC">
        <w:rPr>
          <w:rFonts w:ascii="ITC Avant Garde" w:eastAsia="Times New Roman" w:hAnsi="ITC Avant Garde"/>
          <w:kern w:val="2"/>
          <w:lang w:val="es-ES" w:eastAsia="ar-SA"/>
        </w:rPr>
        <w:t>, y 1, 4, fracción I, y 6, fracciones I, XXV y XXXVII, del Estatuto</w:t>
      </w:r>
      <w:r w:rsidR="00A54103">
        <w:rPr>
          <w:rFonts w:ascii="ITC Avant Garde" w:eastAsia="Times New Roman" w:hAnsi="ITC Avant Garde"/>
          <w:kern w:val="2"/>
          <w:lang w:val="es-ES" w:eastAsia="ar-SA"/>
        </w:rPr>
        <w:t xml:space="preserve"> Orgánico del Instituto Federal de Telecomunicaciones</w:t>
      </w:r>
      <w:r w:rsidRPr="00AE05FC">
        <w:rPr>
          <w:rFonts w:ascii="ITC Avant Garde" w:eastAsia="Times New Roman" w:hAnsi="ITC Avant Garde"/>
          <w:kern w:val="2"/>
          <w:lang w:val="es-ES" w:eastAsia="ar-SA"/>
        </w:rPr>
        <w:t>, el Pleno</w:t>
      </w:r>
      <w:r w:rsidR="00D56669">
        <w:rPr>
          <w:rFonts w:ascii="ITC Avant Garde" w:eastAsia="Times New Roman" w:hAnsi="ITC Avant Garde"/>
          <w:kern w:val="2"/>
          <w:lang w:val="es-ES" w:eastAsia="ar-SA"/>
        </w:rPr>
        <w:t xml:space="preserve"> resuelve emitir el siguiente:</w:t>
      </w:r>
    </w:p>
    <w:p w14:paraId="6F21A4E1" w14:textId="77777777" w:rsidR="00EC146E" w:rsidRDefault="00EC146E" w:rsidP="00400EF5">
      <w:pPr>
        <w:tabs>
          <w:tab w:val="num" w:pos="1220"/>
          <w:tab w:val="num" w:pos="1940"/>
        </w:tabs>
        <w:spacing w:after="0" w:line="240" w:lineRule="auto"/>
        <w:jc w:val="both"/>
        <w:rPr>
          <w:rFonts w:ascii="ITC Avant Garde" w:eastAsia="Arial" w:hAnsi="ITC Avant Garde" w:cs="Arial"/>
          <w:lang w:val="es-ES_tradnl"/>
        </w:rPr>
      </w:pPr>
    </w:p>
    <w:p w14:paraId="78BF480B" w14:textId="77777777" w:rsidR="00923ECF" w:rsidRPr="0095038B" w:rsidRDefault="00926DB0" w:rsidP="00400EF5">
      <w:pPr>
        <w:tabs>
          <w:tab w:val="num" w:pos="1220"/>
          <w:tab w:val="num" w:pos="1940"/>
        </w:tabs>
        <w:spacing w:after="0" w:line="240" w:lineRule="auto"/>
        <w:jc w:val="center"/>
        <w:rPr>
          <w:rFonts w:ascii="ITC Avant Garde" w:eastAsia="Arial" w:hAnsi="ITC Avant Garde" w:cs="Arial"/>
          <w:b/>
          <w:lang w:val="es-ES_tradnl"/>
        </w:rPr>
      </w:pPr>
      <w:r w:rsidRPr="0095038B">
        <w:rPr>
          <w:rFonts w:ascii="ITC Avant Garde" w:eastAsia="Arial" w:hAnsi="ITC Avant Garde" w:cs="Arial"/>
          <w:b/>
          <w:lang w:val="es-ES_tradnl"/>
        </w:rPr>
        <w:t>ACUERDO</w:t>
      </w:r>
    </w:p>
    <w:p w14:paraId="5D3BB505" w14:textId="77777777" w:rsidR="007A59F7" w:rsidRPr="0095038B" w:rsidRDefault="007A59F7" w:rsidP="00400EF5">
      <w:pPr>
        <w:tabs>
          <w:tab w:val="num" w:pos="1220"/>
          <w:tab w:val="num" w:pos="1940"/>
        </w:tabs>
        <w:spacing w:after="0" w:line="240" w:lineRule="auto"/>
        <w:jc w:val="center"/>
        <w:rPr>
          <w:rFonts w:ascii="ITC Avant Garde" w:eastAsia="Arial" w:hAnsi="ITC Avant Garde" w:cs="Arial"/>
          <w:b/>
          <w:lang w:val="es-ES_tradnl"/>
        </w:rPr>
      </w:pPr>
    </w:p>
    <w:p w14:paraId="569C77BA" w14:textId="77777777" w:rsidR="00FB6271" w:rsidRDefault="00FB6271" w:rsidP="00400EF5">
      <w:pPr>
        <w:shd w:val="clear" w:color="auto" w:fill="FFFFFF"/>
        <w:spacing w:after="0" w:line="240" w:lineRule="auto"/>
        <w:ind w:firstLine="288"/>
        <w:jc w:val="both"/>
        <w:rPr>
          <w:rFonts w:ascii="ITC Avant Garde" w:eastAsia="Arial" w:hAnsi="ITC Avant Garde" w:cs="Arial"/>
          <w:lang w:val="es-ES_tradnl"/>
        </w:rPr>
      </w:pPr>
      <w:r w:rsidRPr="00FB6271">
        <w:rPr>
          <w:rFonts w:ascii="ITC Avant Garde" w:eastAsia="Arial" w:hAnsi="ITC Avant Garde" w:cs="Arial"/>
          <w:b/>
          <w:lang w:val="es-ES_tradnl"/>
        </w:rPr>
        <w:t>PRIMERO.</w:t>
      </w:r>
      <w:r w:rsidRPr="00FB6271">
        <w:rPr>
          <w:rFonts w:ascii="ITC Avant Garde" w:eastAsia="Arial" w:hAnsi="ITC Avant Garde" w:cs="Arial"/>
          <w:lang w:val="es-ES_tradnl"/>
        </w:rPr>
        <w:t xml:space="preserve"> Se aprueban y emiten los </w:t>
      </w:r>
      <w:r>
        <w:rPr>
          <w:rFonts w:ascii="ITC Avant Garde" w:eastAsia="Arial" w:hAnsi="ITC Avant Garde" w:cs="Arial"/>
          <w:lang w:val="es-ES_tradnl"/>
        </w:rPr>
        <w:t>L</w:t>
      </w:r>
      <w:r w:rsidR="00486DE6">
        <w:rPr>
          <w:rFonts w:ascii="ITC Avant Garde" w:eastAsia="Arial" w:hAnsi="ITC Avant Garde" w:cs="Arial"/>
          <w:lang w:val="es-ES_tradnl"/>
        </w:rPr>
        <w:t>ineamientos de Consulta Pública y A</w:t>
      </w:r>
      <w:r w:rsidRPr="00FB6271">
        <w:rPr>
          <w:rFonts w:ascii="ITC Avant Garde" w:eastAsia="Arial" w:hAnsi="ITC Avant Garde" w:cs="Arial"/>
          <w:lang w:val="es-ES_tradnl"/>
        </w:rPr>
        <w:t>náli</w:t>
      </w:r>
      <w:r w:rsidR="00486DE6">
        <w:rPr>
          <w:rFonts w:ascii="ITC Avant Garde" w:eastAsia="Arial" w:hAnsi="ITC Avant Garde" w:cs="Arial"/>
          <w:lang w:val="es-ES_tradnl"/>
        </w:rPr>
        <w:t>sis de Impacto R</w:t>
      </w:r>
      <w:r>
        <w:rPr>
          <w:rFonts w:ascii="ITC Avant Garde" w:eastAsia="Arial" w:hAnsi="ITC Avant Garde" w:cs="Arial"/>
          <w:lang w:val="es-ES_tradnl"/>
        </w:rPr>
        <w:t>egulatorio del Instituto Federal de T</w:t>
      </w:r>
      <w:r w:rsidRPr="00FB6271">
        <w:rPr>
          <w:rFonts w:ascii="ITC Avant Garde" w:eastAsia="Arial" w:hAnsi="ITC Avant Garde" w:cs="Arial"/>
          <w:lang w:val="es-ES_tradnl"/>
        </w:rPr>
        <w:t>elecomunicaciones</w:t>
      </w:r>
      <w:r w:rsidR="00D75703">
        <w:rPr>
          <w:rFonts w:ascii="ITC Avant Garde" w:eastAsia="Arial" w:hAnsi="ITC Avant Garde" w:cs="Arial"/>
          <w:lang w:val="es-ES_tradnl"/>
        </w:rPr>
        <w:t xml:space="preserve"> junto con sus respectivo</w:t>
      </w:r>
      <w:r w:rsidR="00FF0310">
        <w:rPr>
          <w:rFonts w:ascii="ITC Avant Garde" w:eastAsia="Arial" w:hAnsi="ITC Avant Garde" w:cs="Arial"/>
          <w:lang w:val="es-ES_tradnl"/>
        </w:rPr>
        <w:t>s</w:t>
      </w:r>
      <w:r w:rsidR="00D75703">
        <w:rPr>
          <w:rFonts w:ascii="ITC Avant Garde" w:eastAsia="Arial" w:hAnsi="ITC Avant Garde" w:cs="Arial"/>
          <w:lang w:val="es-ES_tradnl"/>
        </w:rPr>
        <w:t xml:space="preserve"> anexos</w:t>
      </w:r>
      <w:r w:rsidR="00BF0D6F">
        <w:rPr>
          <w:rFonts w:ascii="ITC Avant Garde" w:eastAsia="Arial" w:hAnsi="ITC Avant Garde" w:cs="Arial"/>
          <w:lang w:val="es-ES_tradnl"/>
        </w:rPr>
        <w:t>, al tenor del presente Acuerdo, los cuales forman parte integrante de éste</w:t>
      </w:r>
      <w:r w:rsidRPr="00FB6271">
        <w:rPr>
          <w:rFonts w:ascii="ITC Avant Garde" w:eastAsia="Arial" w:hAnsi="ITC Avant Garde" w:cs="Arial"/>
          <w:lang w:val="es-ES_tradnl"/>
        </w:rPr>
        <w:t>.</w:t>
      </w:r>
    </w:p>
    <w:p w14:paraId="4BA9FE86" w14:textId="77777777" w:rsidR="00D75703" w:rsidRPr="00FB6271" w:rsidRDefault="00D75703" w:rsidP="00400EF5">
      <w:pPr>
        <w:shd w:val="clear" w:color="auto" w:fill="FFFFFF"/>
        <w:spacing w:after="0" w:line="240" w:lineRule="auto"/>
        <w:ind w:firstLine="288"/>
        <w:jc w:val="both"/>
        <w:rPr>
          <w:rFonts w:ascii="ITC Avant Garde" w:eastAsia="Arial" w:hAnsi="ITC Avant Garde" w:cs="Arial"/>
          <w:lang w:val="es-ES_tradnl"/>
        </w:rPr>
      </w:pPr>
    </w:p>
    <w:p w14:paraId="5396405B" w14:textId="77777777" w:rsidR="00FB6271" w:rsidRPr="00FB6271" w:rsidRDefault="00FB6271" w:rsidP="00400EF5">
      <w:pPr>
        <w:shd w:val="clear" w:color="auto" w:fill="FFFFFF"/>
        <w:spacing w:after="0" w:line="240" w:lineRule="auto"/>
        <w:ind w:firstLine="288"/>
        <w:jc w:val="both"/>
        <w:rPr>
          <w:rFonts w:ascii="ITC Avant Garde" w:eastAsia="Arial" w:hAnsi="ITC Avant Garde" w:cs="Arial"/>
          <w:lang w:val="es-ES_tradnl"/>
        </w:rPr>
      </w:pPr>
      <w:r w:rsidRPr="00FB6271">
        <w:rPr>
          <w:rFonts w:ascii="ITC Avant Garde" w:eastAsia="Arial" w:hAnsi="ITC Avant Garde" w:cs="Arial"/>
          <w:b/>
          <w:lang w:val="es-ES_tradnl"/>
        </w:rPr>
        <w:t>SEGUNDO.</w:t>
      </w:r>
      <w:r w:rsidRPr="00FB6271">
        <w:rPr>
          <w:rFonts w:ascii="ITC Avant Garde" w:eastAsia="Arial" w:hAnsi="ITC Avant Garde" w:cs="Arial"/>
          <w:lang w:val="es-ES_tradnl"/>
        </w:rPr>
        <w:t xml:space="preserve"> Publíquense los </w:t>
      </w:r>
      <w:r>
        <w:rPr>
          <w:rFonts w:ascii="ITC Avant Garde" w:eastAsia="Arial" w:hAnsi="ITC Avant Garde" w:cs="Arial"/>
          <w:lang w:val="es-ES_tradnl"/>
        </w:rPr>
        <w:t>L</w:t>
      </w:r>
      <w:r w:rsidR="00486DE6">
        <w:rPr>
          <w:rFonts w:ascii="ITC Avant Garde" w:eastAsia="Arial" w:hAnsi="ITC Avant Garde" w:cs="Arial"/>
          <w:lang w:val="es-ES_tradnl"/>
        </w:rPr>
        <w:t>ineamientos de Consulta Pública y A</w:t>
      </w:r>
      <w:r w:rsidRPr="00FB6271">
        <w:rPr>
          <w:rFonts w:ascii="ITC Avant Garde" w:eastAsia="Arial" w:hAnsi="ITC Avant Garde" w:cs="Arial"/>
          <w:lang w:val="es-ES_tradnl"/>
        </w:rPr>
        <w:t>náli</w:t>
      </w:r>
      <w:r w:rsidR="00486DE6">
        <w:rPr>
          <w:rFonts w:ascii="ITC Avant Garde" w:eastAsia="Arial" w:hAnsi="ITC Avant Garde" w:cs="Arial"/>
          <w:lang w:val="es-ES_tradnl"/>
        </w:rPr>
        <w:t>sis de Impacto R</w:t>
      </w:r>
      <w:r>
        <w:rPr>
          <w:rFonts w:ascii="ITC Avant Garde" w:eastAsia="Arial" w:hAnsi="ITC Avant Garde" w:cs="Arial"/>
          <w:lang w:val="es-ES_tradnl"/>
        </w:rPr>
        <w:t>egulatorio del Instituto Federal de T</w:t>
      </w:r>
      <w:r w:rsidRPr="00FB6271">
        <w:rPr>
          <w:rFonts w:ascii="ITC Avant Garde" w:eastAsia="Arial" w:hAnsi="ITC Avant Garde" w:cs="Arial"/>
          <w:lang w:val="es-ES_tradnl"/>
        </w:rPr>
        <w:t xml:space="preserve">elecomunicaciones </w:t>
      </w:r>
      <w:r w:rsidR="00D75703">
        <w:rPr>
          <w:rFonts w:ascii="ITC Avant Garde" w:eastAsia="Arial" w:hAnsi="ITC Avant Garde" w:cs="Arial"/>
          <w:lang w:val="es-ES_tradnl"/>
        </w:rPr>
        <w:t xml:space="preserve">y sus respectivos anexos </w:t>
      </w:r>
      <w:r w:rsidRPr="00FB6271">
        <w:rPr>
          <w:rFonts w:ascii="ITC Avant Garde" w:eastAsia="Arial" w:hAnsi="ITC Avant Garde" w:cs="Arial"/>
          <w:lang w:val="es-ES_tradnl"/>
        </w:rPr>
        <w:t>en el Diario Oficial de la Federación y en el portal de Internet del Instituto.</w:t>
      </w:r>
    </w:p>
    <w:p w14:paraId="462FCF8E" w14:textId="77777777" w:rsidR="007A59F7" w:rsidRDefault="007A59F7" w:rsidP="00400EF5">
      <w:pPr>
        <w:tabs>
          <w:tab w:val="num" w:pos="1220"/>
          <w:tab w:val="num" w:pos="1940"/>
        </w:tabs>
        <w:spacing w:after="0" w:line="240" w:lineRule="auto"/>
        <w:jc w:val="both"/>
        <w:rPr>
          <w:rFonts w:ascii="ITC Avant Garde" w:eastAsia="Arial" w:hAnsi="ITC Avant Garde" w:cs="Arial"/>
          <w:lang w:val="es-ES_tradnl"/>
        </w:rPr>
      </w:pPr>
    </w:p>
    <w:p w14:paraId="333A5507" w14:textId="77777777" w:rsidR="0095038B" w:rsidRDefault="0095038B" w:rsidP="00400EF5">
      <w:pPr>
        <w:tabs>
          <w:tab w:val="num" w:pos="1220"/>
          <w:tab w:val="num" w:pos="1940"/>
        </w:tabs>
        <w:spacing w:after="0" w:line="240" w:lineRule="auto"/>
        <w:jc w:val="both"/>
        <w:rPr>
          <w:rFonts w:ascii="ITC Avant Garde" w:eastAsia="Arial" w:hAnsi="ITC Avant Garde" w:cs="Arial"/>
          <w:lang w:val="es-ES_tradnl"/>
        </w:rPr>
      </w:pPr>
    </w:p>
    <w:p w14:paraId="5FDCAA3C" w14:textId="77777777" w:rsidR="000105A8" w:rsidRDefault="000105A8" w:rsidP="00400EF5">
      <w:pPr>
        <w:tabs>
          <w:tab w:val="num" w:pos="1220"/>
          <w:tab w:val="num" w:pos="1940"/>
        </w:tabs>
        <w:spacing w:after="0" w:line="240" w:lineRule="auto"/>
        <w:jc w:val="both"/>
        <w:rPr>
          <w:rFonts w:ascii="ITC Avant Garde" w:eastAsia="Arial" w:hAnsi="ITC Avant Garde" w:cs="Arial"/>
          <w:lang w:val="es-ES_tradnl"/>
        </w:rPr>
      </w:pPr>
    </w:p>
    <w:p w14:paraId="2F7B9E95" w14:textId="77777777" w:rsidR="000105A8" w:rsidRDefault="000105A8" w:rsidP="00400EF5">
      <w:pPr>
        <w:tabs>
          <w:tab w:val="num" w:pos="1220"/>
          <w:tab w:val="num" w:pos="1940"/>
        </w:tabs>
        <w:spacing w:after="0" w:line="240" w:lineRule="auto"/>
        <w:jc w:val="both"/>
        <w:rPr>
          <w:rFonts w:ascii="ITC Avant Garde" w:eastAsia="Arial" w:hAnsi="ITC Avant Garde" w:cs="Arial"/>
          <w:lang w:val="es-ES_tradnl"/>
        </w:rPr>
      </w:pPr>
    </w:p>
    <w:p w14:paraId="347F8B5A" w14:textId="77777777" w:rsidR="0095038B" w:rsidRPr="0095038B" w:rsidRDefault="0095038B" w:rsidP="00400EF5">
      <w:pPr>
        <w:tabs>
          <w:tab w:val="num" w:pos="1220"/>
          <w:tab w:val="num" w:pos="1940"/>
        </w:tabs>
        <w:spacing w:after="0" w:line="240" w:lineRule="auto"/>
        <w:jc w:val="both"/>
        <w:rPr>
          <w:rFonts w:ascii="ITC Avant Garde" w:eastAsia="Arial" w:hAnsi="ITC Avant Garde" w:cs="Arial"/>
          <w:lang w:val="es-ES_tradnl"/>
        </w:rPr>
      </w:pPr>
    </w:p>
    <w:p w14:paraId="1C11D1A4" w14:textId="77777777" w:rsidR="0095038B" w:rsidRPr="00CB43C6" w:rsidRDefault="00DB5063" w:rsidP="00400EF5">
      <w:pPr>
        <w:spacing w:after="0" w:line="240" w:lineRule="auto"/>
        <w:jc w:val="center"/>
        <w:rPr>
          <w:rFonts w:ascii="ITC Avant Garde" w:hAnsi="ITC Avant Garde" w:cs="Arial"/>
          <w:b/>
          <w:bCs/>
        </w:rPr>
      </w:pPr>
      <w:r>
        <w:rPr>
          <w:rFonts w:ascii="ITC Avant Garde" w:hAnsi="ITC Avant Garde" w:cs="Arial"/>
          <w:b/>
          <w:bCs/>
        </w:rPr>
        <w:t>Adriana Sofía Labardini Inzunza</w:t>
      </w:r>
    </w:p>
    <w:p w14:paraId="72A4412A" w14:textId="77777777" w:rsidR="00365E11" w:rsidRPr="00365E11" w:rsidRDefault="0095038B" w:rsidP="00365E11">
      <w:pPr>
        <w:spacing w:after="0" w:line="240" w:lineRule="auto"/>
        <w:jc w:val="center"/>
        <w:rPr>
          <w:rFonts w:ascii="ITC Avant Garde" w:hAnsi="ITC Avant Garde" w:cs="Arial"/>
          <w:b/>
          <w:bCs/>
        </w:rPr>
      </w:pPr>
      <w:r w:rsidRPr="00CB43C6">
        <w:rPr>
          <w:rFonts w:ascii="ITC Avant Garde" w:hAnsi="ITC Avant Garde" w:cs="Arial"/>
          <w:b/>
          <w:bCs/>
        </w:rPr>
        <w:lastRenderedPageBreak/>
        <w:t>Comisionad</w:t>
      </w:r>
      <w:r w:rsidR="00DB5063">
        <w:rPr>
          <w:rFonts w:ascii="ITC Avant Garde" w:hAnsi="ITC Avant Garde" w:cs="Arial"/>
          <w:b/>
          <w:bCs/>
        </w:rPr>
        <w:t>a</w:t>
      </w:r>
      <w:r w:rsidRPr="00CB43C6">
        <w:rPr>
          <w:rFonts w:ascii="ITC Avant Garde" w:hAnsi="ITC Avant Garde" w:cs="Arial"/>
          <w:b/>
          <w:bCs/>
        </w:rPr>
        <w:t xml:space="preserve"> Pr</w:t>
      </w:r>
      <w:r w:rsidR="00DB5063">
        <w:rPr>
          <w:rFonts w:ascii="ITC Avant Garde" w:hAnsi="ITC Avant Garde" w:cs="Arial"/>
          <w:b/>
          <w:bCs/>
        </w:rPr>
        <w:t>esidenta</w:t>
      </w:r>
      <w:r w:rsidR="00365E11" w:rsidRPr="00365E11">
        <w:rPr>
          <w:rFonts w:ascii="ITC Avant Garde" w:hAnsi="ITC Avant Garde" w:cs="Arial"/>
          <w:b/>
          <w:bCs/>
          <w:vertAlign w:val="superscript"/>
        </w:rPr>
        <w:footnoteReference w:customMarkFollows="1" w:id="1"/>
        <w:t>[1]</w:t>
      </w:r>
      <w:r w:rsidR="00365E11" w:rsidRPr="00365E11">
        <w:rPr>
          <w:rFonts w:ascii="ITC Avant Garde" w:hAnsi="ITC Avant Garde" w:cs="Arial"/>
          <w:b/>
          <w:bCs/>
        </w:rPr>
        <w:t xml:space="preserve"> </w:t>
      </w:r>
    </w:p>
    <w:p w14:paraId="2264D821" w14:textId="77777777" w:rsidR="0095038B" w:rsidRPr="00CB43C6" w:rsidRDefault="0095038B" w:rsidP="00400EF5">
      <w:pPr>
        <w:spacing w:after="0" w:line="240" w:lineRule="auto"/>
        <w:jc w:val="center"/>
        <w:rPr>
          <w:rFonts w:ascii="ITC Avant Garde" w:hAnsi="ITC Avant Garde" w:cs="Arial"/>
          <w:b/>
          <w:bCs/>
        </w:rPr>
      </w:pPr>
    </w:p>
    <w:p w14:paraId="11C424CF" w14:textId="77777777" w:rsidR="0095038B" w:rsidRPr="00CB43C6" w:rsidRDefault="0095038B" w:rsidP="00400EF5">
      <w:pPr>
        <w:spacing w:after="0" w:line="240" w:lineRule="auto"/>
        <w:jc w:val="center"/>
        <w:rPr>
          <w:rFonts w:ascii="ITC Avant Garde" w:hAnsi="ITC Avant Garde" w:cs="Arial"/>
          <w:b/>
          <w:bCs/>
        </w:rPr>
      </w:pPr>
    </w:p>
    <w:p w14:paraId="2CC4E33B" w14:textId="77777777" w:rsidR="0095038B" w:rsidRDefault="0095038B" w:rsidP="00400EF5">
      <w:pPr>
        <w:spacing w:after="0" w:line="240" w:lineRule="auto"/>
        <w:jc w:val="center"/>
        <w:rPr>
          <w:rFonts w:ascii="ITC Avant Garde" w:hAnsi="ITC Avant Garde" w:cs="Arial"/>
          <w:b/>
          <w:bCs/>
        </w:rPr>
      </w:pPr>
    </w:p>
    <w:p w14:paraId="184E1398" w14:textId="77777777" w:rsidR="000105A8" w:rsidRPr="00CB43C6" w:rsidRDefault="000105A8" w:rsidP="00400EF5">
      <w:pPr>
        <w:spacing w:after="0" w:line="240" w:lineRule="auto"/>
        <w:jc w:val="center"/>
        <w:rPr>
          <w:rFonts w:ascii="ITC Avant Garde" w:hAnsi="ITC Avant Garde" w:cs="Arial"/>
          <w:b/>
          <w:bCs/>
        </w:rPr>
      </w:pPr>
    </w:p>
    <w:p w14:paraId="06527ACD" w14:textId="77777777" w:rsidR="0095038B" w:rsidRPr="00CB43C6" w:rsidRDefault="0095038B" w:rsidP="00400EF5">
      <w:pPr>
        <w:spacing w:after="0" w:line="240" w:lineRule="auto"/>
        <w:jc w:val="center"/>
        <w:rPr>
          <w:rFonts w:ascii="ITC Avant Garde" w:hAnsi="ITC Avant Garde" w:cs="Arial"/>
          <w:b/>
          <w:bCs/>
        </w:rPr>
      </w:pPr>
    </w:p>
    <w:p w14:paraId="253DB004" w14:textId="77777777" w:rsidR="0095038B" w:rsidRPr="00CB43C6" w:rsidRDefault="0095038B" w:rsidP="00400EF5">
      <w:pPr>
        <w:spacing w:after="0" w:line="240" w:lineRule="auto"/>
        <w:jc w:val="center"/>
        <w:rPr>
          <w:rFonts w:ascii="ITC Avant Garde" w:hAnsi="ITC Avant Garde" w:cs="Arial"/>
          <w:b/>
          <w:bCs/>
        </w:rPr>
      </w:pPr>
    </w:p>
    <w:tbl>
      <w:tblPr>
        <w:tblW w:w="4849" w:type="pct"/>
        <w:jc w:val="center"/>
        <w:tblCellMar>
          <w:left w:w="70" w:type="dxa"/>
          <w:right w:w="70" w:type="dxa"/>
        </w:tblCellMar>
        <w:tblLook w:val="04A0" w:firstRow="1" w:lastRow="0" w:firstColumn="1" w:lastColumn="0" w:noHBand="0" w:noVBand="1"/>
      </w:tblPr>
      <w:tblGrid>
        <w:gridCol w:w="4305"/>
        <w:gridCol w:w="744"/>
        <w:gridCol w:w="4023"/>
      </w:tblGrid>
      <w:tr w:rsidR="0095038B" w:rsidRPr="00CB43C6" w14:paraId="16026318" w14:textId="77777777" w:rsidTr="0035667A">
        <w:trPr>
          <w:trHeight w:val="1539"/>
          <w:jc w:val="center"/>
        </w:trPr>
        <w:tc>
          <w:tcPr>
            <w:tcW w:w="2373" w:type="pct"/>
            <w:hideMark/>
          </w:tcPr>
          <w:p w14:paraId="4A963D01" w14:textId="77777777" w:rsidR="002300FA" w:rsidRPr="00CB43C6" w:rsidRDefault="00DB5063" w:rsidP="002300FA">
            <w:pPr>
              <w:spacing w:after="0" w:line="240" w:lineRule="auto"/>
              <w:jc w:val="center"/>
              <w:rPr>
                <w:rFonts w:ascii="ITC Avant Garde" w:hAnsi="ITC Avant Garde" w:cs="Arial"/>
                <w:b/>
                <w:bCs/>
              </w:rPr>
            </w:pPr>
            <w:r>
              <w:rPr>
                <w:rFonts w:ascii="ITC Avant Garde" w:hAnsi="ITC Avant Garde" w:cs="Arial"/>
                <w:b/>
                <w:bCs/>
              </w:rPr>
              <w:t>María Elena Estavillo Flores</w:t>
            </w:r>
          </w:p>
          <w:p w14:paraId="00AF2802" w14:textId="77777777" w:rsidR="0095038B" w:rsidRPr="00CB43C6" w:rsidRDefault="002300FA" w:rsidP="002300FA">
            <w:pPr>
              <w:spacing w:after="0" w:line="240" w:lineRule="auto"/>
              <w:jc w:val="center"/>
              <w:rPr>
                <w:rFonts w:ascii="ITC Avant Garde" w:hAnsi="ITC Avant Garde" w:cs="Arial"/>
                <w:b/>
                <w:bCs/>
              </w:rPr>
            </w:pPr>
            <w:r w:rsidRPr="00CB43C6">
              <w:rPr>
                <w:rFonts w:ascii="ITC Avant Garde" w:hAnsi="ITC Avant Garde" w:cs="Arial"/>
                <w:b/>
                <w:bCs/>
              </w:rPr>
              <w:t>Comisionada</w:t>
            </w:r>
          </w:p>
        </w:tc>
        <w:tc>
          <w:tcPr>
            <w:tcW w:w="410" w:type="pct"/>
          </w:tcPr>
          <w:p w14:paraId="5A9E83A1" w14:textId="77777777" w:rsidR="0095038B" w:rsidRPr="00CB43C6" w:rsidRDefault="0095038B" w:rsidP="00400EF5">
            <w:pPr>
              <w:spacing w:after="0" w:line="240" w:lineRule="auto"/>
              <w:jc w:val="center"/>
              <w:rPr>
                <w:rFonts w:ascii="ITC Avant Garde" w:hAnsi="ITC Avant Garde" w:cs="Arial"/>
                <w:b/>
                <w:bCs/>
              </w:rPr>
            </w:pPr>
          </w:p>
        </w:tc>
        <w:tc>
          <w:tcPr>
            <w:tcW w:w="2217" w:type="pct"/>
          </w:tcPr>
          <w:p w14:paraId="0E2CAC75" w14:textId="77777777" w:rsidR="002300FA" w:rsidRPr="00CB43C6" w:rsidRDefault="003E1A96" w:rsidP="002300FA">
            <w:pPr>
              <w:spacing w:after="0" w:line="240" w:lineRule="auto"/>
              <w:jc w:val="center"/>
              <w:rPr>
                <w:rFonts w:ascii="ITC Avant Garde" w:hAnsi="ITC Avant Garde" w:cs="Arial"/>
                <w:b/>
                <w:bCs/>
              </w:rPr>
            </w:pPr>
            <w:r>
              <w:rPr>
                <w:rFonts w:ascii="ITC Avant Garde" w:hAnsi="ITC Avant Garde" w:cs="Arial"/>
                <w:b/>
                <w:bCs/>
              </w:rPr>
              <w:t>Gabriel Oswaldo Contreras Saldívar</w:t>
            </w:r>
          </w:p>
          <w:p w14:paraId="62E0B1D5" w14:textId="77777777" w:rsidR="002300FA" w:rsidRPr="00CB43C6" w:rsidRDefault="009112A6" w:rsidP="002300FA">
            <w:pPr>
              <w:spacing w:after="0" w:line="240" w:lineRule="auto"/>
              <w:jc w:val="center"/>
              <w:rPr>
                <w:rFonts w:ascii="ITC Avant Garde" w:hAnsi="ITC Avant Garde" w:cs="Arial"/>
                <w:b/>
                <w:bCs/>
              </w:rPr>
            </w:pPr>
            <w:r>
              <w:rPr>
                <w:rFonts w:ascii="ITC Avant Garde" w:hAnsi="ITC Avant Garde" w:cs="Arial"/>
                <w:b/>
                <w:bCs/>
              </w:rPr>
              <w:t>Comisionado</w:t>
            </w:r>
          </w:p>
          <w:p w14:paraId="61133475" w14:textId="77777777" w:rsidR="0095038B" w:rsidRPr="00CB43C6" w:rsidRDefault="0095038B" w:rsidP="002300FA">
            <w:pPr>
              <w:spacing w:after="0" w:line="240" w:lineRule="auto"/>
              <w:rPr>
                <w:rFonts w:ascii="ITC Avant Garde" w:hAnsi="ITC Avant Garde" w:cs="Arial"/>
                <w:b/>
                <w:bCs/>
              </w:rPr>
            </w:pPr>
          </w:p>
          <w:p w14:paraId="38D064EA" w14:textId="77777777" w:rsidR="0095038B" w:rsidRPr="00CB43C6" w:rsidRDefault="0095038B" w:rsidP="00400EF5">
            <w:pPr>
              <w:spacing w:after="0" w:line="240" w:lineRule="auto"/>
              <w:jc w:val="center"/>
              <w:rPr>
                <w:rFonts w:ascii="ITC Avant Garde" w:hAnsi="ITC Avant Garde" w:cs="Arial"/>
                <w:b/>
                <w:bCs/>
              </w:rPr>
            </w:pPr>
          </w:p>
          <w:p w14:paraId="2DBC3AE1" w14:textId="77777777" w:rsidR="0095038B" w:rsidRDefault="0095038B" w:rsidP="00400EF5">
            <w:pPr>
              <w:spacing w:after="0" w:line="240" w:lineRule="auto"/>
              <w:jc w:val="center"/>
              <w:rPr>
                <w:rFonts w:ascii="ITC Avant Garde" w:hAnsi="ITC Avant Garde" w:cs="Arial"/>
                <w:b/>
                <w:bCs/>
              </w:rPr>
            </w:pPr>
          </w:p>
          <w:p w14:paraId="292B835C" w14:textId="77777777" w:rsidR="000105A8" w:rsidRPr="00CB43C6" w:rsidRDefault="000105A8" w:rsidP="00400EF5">
            <w:pPr>
              <w:spacing w:after="0" w:line="240" w:lineRule="auto"/>
              <w:jc w:val="center"/>
              <w:rPr>
                <w:rFonts w:ascii="ITC Avant Garde" w:hAnsi="ITC Avant Garde" w:cs="Arial"/>
                <w:b/>
                <w:bCs/>
              </w:rPr>
            </w:pPr>
          </w:p>
          <w:p w14:paraId="055B2E0D" w14:textId="77777777" w:rsidR="0095038B" w:rsidRPr="00CB43C6" w:rsidRDefault="0095038B" w:rsidP="00400EF5">
            <w:pPr>
              <w:spacing w:after="0" w:line="240" w:lineRule="auto"/>
              <w:jc w:val="center"/>
              <w:rPr>
                <w:rFonts w:ascii="ITC Avant Garde" w:hAnsi="ITC Avant Garde" w:cs="Arial"/>
                <w:b/>
                <w:bCs/>
              </w:rPr>
            </w:pPr>
          </w:p>
        </w:tc>
      </w:tr>
      <w:tr w:rsidR="0095038B" w:rsidRPr="00CB43C6" w14:paraId="5A46CE0A" w14:textId="77777777" w:rsidTr="0035667A">
        <w:trPr>
          <w:trHeight w:val="1445"/>
          <w:jc w:val="center"/>
        </w:trPr>
        <w:tc>
          <w:tcPr>
            <w:tcW w:w="2373" w:type="pct"/>
            <w:hideMark/>
          </w:tcPr>
          <w:p w14:paraId="74A0564C" w14:textId="77777777" w:rsidR="003E1A96" w:rsidRDefault="003E1A96" w:rsidP="002300FA">
            <w:pPr>
              <w:spacing w:after="0" w:line="240" w:lineRule="auto"/>
              <w:jc w:val="center"/>
              <w:rPr>
                <w:rFonts w:ascii="ITC Avant Garde" w:hAnsi="ITC Avant Garde" w:cs="Arial"/>
                <w:b/>
                <w:bCs/>
              </w:rPr>
            </w:pPr>
          </w:p>
          <w:p w14:paraId="461BA5DC" w14:textId="77777777" w:rsidR="000105A8" w:rsidRDefault="003E1A96" w:rsidP="002300FA">
            <w:pPr>
              <w:spacing w:after="0" w:line="240" w:lineRule="auto"/>
              <w:jc w:val="center"/>
              <w:rPr>
                <w:rFonts w:ascii="ITC Avant Garde" w:hAnsi="ITC Avant Garde" w:cs="Arial"/>
                <w:b/>
                <w:bCs/>
              </w:rPr>
            </w:pPr>
            <w:r>
              <w:rPr>
                <w:rFonts w:ascii="ITC Avant Garde" w:hAnsi="ITC Avant Garde" w:cs="Arial"/>
                <w:b/>
                <w:bCs/>
              </w:rPr>
              <w:t>Mario Germán Fromow Rangel</w:t>
            </w:r>
          </w:p>
          <w:p w14:paraId="2DB6B354" w14:textId="77777777" w:rsidR="0095038B" w:rsidRPr="00CB43C6" w:rsidRDefault="002300FA" w:rsidP="002300FA">
            <w:pPr>
              <w:spacing w:after="0" w:line="240" w:lineRule="auto"/>
              <w:jc w:val="center"/>
              <w:rPr>
                <w:rFonts w:ascii="ITC Avant Garde" w:hAnsi="ITC Avant Garde" w:cs="Arial"/>
                <w:b/>
                <w:bCs/>
              </w:rPr>
            </w:pPr>
            <w:r w:rsidRPr="00CB43C6">
              <w:rPr>
                <w:rFonts w:ascii="ITC Avant Garde" w:hAnsi="ITC Avant Garde" w:cs="Arial"/>
                <w:b/>
                <w:bCs/>
              </w:rPr>
              <w:t>Comisionado</w:t>
            </w:r>
          </w:p>
          <w:p w14:paraId="550A5F27" w14:textId="77777777" w:rsidR="0095038B" w:rsidRPr="00CB43C6" w:rsidRDefault="0095038B" w:rsidP="00400EF5">
            <w:pPr>
              <w:spacing w:after="0" w:line="240" w:lineRule="auto"/>
              <w:jc w:val="center"/>
              <w:rPr>
                <w:rFonts w:ascii="ITC Avant Garde" w:hAnsi="ITC Avant Garde" w:cs="Arial"/>
                <w:b/>
                <w:bCs/>
              </w:rPr>
            </w:pPr>
          </w:p>
          <w:p w14:paraId="09F13982" w14:textId="77777777" w:rsidR="0095038B" w:rsidRDefault="0095038B" w:rsidP="00400EF5">
            <w:pPr>
              <w:spacing w:after="0" w:line="240" w:lineRule="auto"/>
              <w:jc w:val="center"/>
              <w:rPr>
                <w:rFonts w:ascii="ITC Avant Garde" w:hAnsi="ITC Avant Garde" w:cs="Arial"/>
                <w:b/>
                <w:bCs/>
              </w:rPr>
            </w:pPr>
          </w:p>
          <w:p w14:paraId="0637D7A5" w14:textId="77777777" w:rsidR="000105A8" w:rsidRDefault="000105A8" w:rsidP="00400EF5">
            <w:pPr>
              <w:spacing w:after="0" w:line="240" w:lineRule="auto"/>
              <w:jc w:val="center"/>
              <w:rPr>
                <w:rFonts w:ascii="ITC Avant Garde" w:hAnsi="ITC Avant Garde" w:cs="Arial"/>
                <w:b/>
                <w:bCs/>
              </w:rPr>
            </w:pPr>
          </w:p>
          <w:p w14:paraId="275876E3" w14:textId="77777777" w:rsidR="00A96AEC" w:rsidRPr="00CB43C6" w:rsidRDefault="00A96AEC" w:rsidP="00400EF5">
            <w:pPr>
              <w:spacing w:after="0" w:line="240" w:lineRule="auto"/>
              <w:jc w:val="center"/>
              <w:rPr>
                <w:rFonts w:ascii="ITC Avant Garde" w:hAnsi="ITC Avant Garde" w:cs="Arial"/>
                <w:b/>
                <w:bCs/>
              </w:rPr>
            </w:pPr>
          </w:p>
          <w:p w14:paraId="07D5A0CF" w14:textId="77777777" w:rsidR="0095038B" w:rsidRDefault="0095038B" w:rsidP="00400EF5">
            <w:pPr>
              <w:spacing w:after="0" w:line="240" w:lineRule="auto"/>
              <w:jc w:val="center"/>
              <w:rPr>
                <w:rFonts w:ascii="ITC Avant Garde" w:hAnsi="ITC Avant Garde" w:cs="Arial"/>
                <w:b/>
                <w:bCs/>
              </w:rPr>
            </w:pPr>
          </w:p>
          <w:p w14:paraId="2986DD79" w14:textId="77777777" w:rsidR="000105A8" w:rsidRDefault="00A96AEC" w:rsidP="00400EF5">
            <w:pPr>
              <w:spacing w:after="0" w:line="240" w:lineRule="auto"/>
              <w:jc w:val="center"/>
              <w:rPr>
                <w:rFonts w:ascii="ITC Avant Garde" w:hAnsi="ITC Avant Garde" w:cs="Arial"/>
                <w:b/>
                <w:bCs/>
              </w:rPr>
            </w:pPr>
            <w:r>
              <w:rPr>
                <w:rFonts w:ascii="ITC Avant Garde" w:hAnsi="ITC Avant Garde" w:cs="Arial"/>
                <w:b/>
                <w:bCs/>
              </w:rPr>
              <w:t>Javier Juárez Mojica</w:t>
            </w:r>
          </w:p>
          <w:p w14:paraId="35EB2E3E" w14:textId="77777777" w:rsidR="00A96AEC" w:rsidRPr="00CB43C6" w:rsidRDefault="00A96AEC" w:rsidP="00400EF5">
            <w:pPr>
              <w:spacing w:after="0" w:line="240" w:lineRule="auto"/>
              <w:jc w:val="center"/>
              <w:rPr>
                <w:rFonts w:ascii="ITC Avant Garde" w:hAnsi="ITC Avant Garde" w:cs="Arial"/>
                <w:b/>
                <w:bCs/>
              </w:rPr>
            </w:pPr>
            <w:r>
              <w:rPr>
                <w:rFonts w:ascii="ITC Avant Garde" w:hAnsi="ITC Avant Garde" w:cs="Arial"/>
                <w:b/>
                <w:bCs/>
              </w:rPr>
              <w:t>Comisionado</w:t>
            </w:r>
          </w:p>
        </w:tc>
        <w:tc>
          <w:tcPr>
            <w:tcW w:w="410" w:type="pct"/>
          </w:tcPr>
          <w:p w14:paraId="1A59DEB6" w14:textId="77777777" w:rsidR="0095038B" w:rsidRPr="00CB43C6" w:rsidRDefault="0095038B" w:rsidP="00400EF5">
            <w:pPr>
              <w:spacing w:after="0" w:line="240" w:lineRule="auto"/>
              <w:jc w:val="center"/>
              <w:rPr>
                <w:rFonts w:ascii="ITC Avant Garde" w:hAnsi="ITC Avant Garde" w:cs="Arial"/>
                <w:b/>
                <w:bCs/>
              </w:rPr>
            </w:pPr>
          </w:p>
        </w:tc>
        <w:tc>
          <w:tcPr>
            <w:tcW w:w="2217" w:type="pct"/>
          </w:tcPr>
          <w:p w14:paraId="04C1ABF6" w14:textId="77777777" w:rsidR="000105A8" w:rsidRDefault="000105A8" w:rsidP="00400EF5">
            <w:pPr>
              <w:spacing w:after="0" w:line="240" w:lineRule="auto"/>
              <w:jc w:val="center"/>
              <w:rPr>
                <w:rFonts w:ascii="ITC Avant Garde" w:hAnsi="ITC Avant Garde" w:cs="Arial"/>
                <w:b/>
                <w:bCs/>
              </w:rPr>
            </w:pPr>
          </w:p>
          <w:p w14:paraId="14EEA68E" w14:textId="77777777" w:rsidR="0095038B" w:rsidRDefault="002300FA" w:rsidP="00400EF5">
            <w:pPr>
              <w:spacing w:after="0" w:line="240" w:lineRule="auto"/>
              <w:jc w:val="center"/>
              <w:rPr>
                <w:rFonts w:ascii="ITC Avant Garde" w:hAnsi="ITC Avant Garde" w:cs="Arial"/>
                <w:b/>
                <w:bCs/>
              </w:rPr>
            </w:pPr>
            <w:r>
              <w:rPr>
                <w:rFonts w:ascii="ITC Avant Garde" w:hAnsi="ITC Avant Garde" w:cs="Arial"/>
                <w:b/>
                <w:bCs/>
              </w:rPr>
              <w:t>Adolfo Cuevas Teja</w:t>
            </w:r>
          </w:p>
          <w:p w14:paraId="2278532E" w14:textId="77777777" w:rsidR="002300FA" w:rsidRDefault="002300FA" w:rsidP="00400EF5">
            <w:pPr>
              <w:spacing w:after="0" w:line="240" w:lineRule="auto"/>
              <w:jc w:val="center"/>
              <w:rPr>
                <w:rFonts w:ascii="ITC Avant Garde" w:hAnsi="ITC Avant Garde" w:cs="Arial"/>
                <w:b/>
                <w:bCs/>
              </w:rPr>
            </w:pPr>
            <w:r>
              <w:rPr>
                <w:rFonts w:ascii="ITC Avant Garde" w:hAnsi="ITC Avant Garde" w:cs="Arial"/>
                <w:b/>
                <w:bCs/>
              </w:rPr>
              <w:t>Comisionado</w:t>
            </w:r>
          </w:p>
          <w:p w14:paraId="7D1BCB06" w14:textId="77777777" w:rsidR="00A96AEC" w:rsidRDefault="00A96AEC" w:rsidP="00400EF5">
            <w:pPr>
              <w:spacing w:after="0" w:line="240" w:lineRule="auto"/>
              <w:jc w:val="center"/>
              <w:rPr>
                <w:rFonts w:ascii="ITC Avant Garde" w:hAnsi="ITC Avant Garde" w:cs="Arial"/>
                <w:b/>
                <w:bCs/>
              </w:rPr>
            </w:pPr>
          </w:p>
          <w:p w14:paraId="2E4891AD" w14:textId="77777777" w:rsidR="00A96AEC" w:rsidRDefault="00A96AEC" w:rsidP="00400EF5">
            <w:pPr>
              <w:spacing w:after="0" w:line="240" w:lineRule="auto"/>
              <w:jc w:val="center"/>
              <w:rPr>
                <w:rFonts w:ascii="ITC Avant Garde" w:hAnsi="ITC Avant Garde" w:cs="Arial"/>
                <w:b/>
                <w:bCs/>
              </w:rPr>
            </w:pPr>
          </w:p>
          <w:p w14:paraId="3109744A" w14:textId="77777777" w:rsidR="00A96AEC" w:rsidRDefault="00A96AEC" w:rsidP="00400EF5">
            <w:pPr>
              <w:spacing w:after="0" w:line="240" w:lineRule="auto"/>
              <w:jc w:val="center"/>
              <w:rPr>
                <w:rFonts w:ascii="ITC Avant Garde" w:hAnsi="ITC Avant Garde" w:cs="Arial"/>
                <w:b/>
                <w:bCs/>
              </w:rPr>
            </w:pPr>
          </w:p>
          <w:p w14:paraId="52BEF793" w14:textId="77777777" w:rsidR="00A96AEC" w:rsidRDefault="00A96AEC" w:rsidP="00400EF5">
            <w:pPr>
              <w:spacing w:after="0" w:line="240" w:lineRule="auto"/>
              <w:jc w:val="center"/>
              <w:rPr>
                <w:rFonts w:ascii="ITC Avant Garde" w:hAnsi="ITC Avant Garde" w:cs="Arial"/>
                <w:b/>
                <w:bCs/>
              </w:rPr>
            </w:pPr>
          </w:p>
          <w:p w14:paraId="032CA131" w14:textId="77777777" w:rsidR="00A96AEC" w:rsidRDefault="00A96AEC" w:rsidP="00400EF5">
            <w:pPr>
              <w:spacing w:after="0" w:line="240" w:lineRule="auto"/>
              <w:jc w:val="center"/>
              <w:rPr>
                <w:rFonts w:ascii="ITC Avant Garde" w:hAnsi="ITC Avant Garde" w:cs="Arial"/>
                <w:b/>
                <w:bCs/>
              </w:rPr>
            </w:pPr>
          </w:p>
          <w:p w14:paraId="62307FA8" w14:textId="77777777" w:rsidR="00A96AEC" w:rsidRDefault="00A96AEC" w:rsidP="00400EF5">
            <w:pPr>
              <w:spacing w:after="0" w:line="240" w:lineRule="auto"/>
              <w:jc w:val="center"/>
              <w:rPr>
                <w:rFonts w:ascii="ITC Avant Garde" w:hAnsi="ITC Avant Garde" w:cs="Arial"/>
                <w:b/>
                <w:bCs/>
              </w:rPr>
            </w:pPr>
            <w:r>
              <w:rPr>
                <w:rFonts w:ascii="ITC Avant Garde" w:hAnsi="ITC Avant Garde" w:cs="Arial"/>
                <w:b/>
                <w:bCs/>
              </w:rPr>
              <w:t>Arturo Robles Rovalo</w:t>
            </w:r>
          </w:p>
          <w:p w14:paraId="799E4C56" w14:textId="77777777" w:rsidR="00A96AEC" w:rsidRDefault="00A96AEC" w:rsidP="00400EF5">
            <w:pPr>
              <w:spacing w:after="0" w:line="240" w:lineRule="auto"/>
              <w:jc w:val="center"/>
              <w:rPr>
                <w:rFonts w:ascii="ITC Avant Garde" w:hAnsi="ITC Avant Garde" w:cs="Arial"/>
                <w:b/>
                <w:bCs/>
              </w:rPr>
            </w:pPr>
            <w:r>
              <w:rPr>
                <w:rFonts w:ascii="ITC Avant Garde" w:hAnsi="ITC Avant Garde" w:cs="Arial"/>
                <w:b/>
                <w:bCs/>
              </w:rPr>
              <w:t>Comisionado</w:t>
            </w:r>
          </w:p>
          <w:p w14:paraId="48E37D32" w14:textId="77777777" w:rsidR="00A96AEC" w:rsidRPr="00CB43C6" w:rsidRDefault="00A96AEC" w:rsidP="00400EF5">
            <w:pPr>
              <w:spacing w:after="0" w:line="240" w:lineRule="auto"/>
              <w:jc w:val="center"/>
              <w:rPr>
                <w:rFonts w:ascii="ITC Avant Garde" w:hAnsi="ITC Avant Garde" w:cs="Arial"/>
                <w:b/>
                <w:bCs/>
              </w:rPr>
            </w:pPr>
          </w:p>
        </w:tc>
      </w:tr>
      <w:tr w:rsidR="0095038B" w:rsidRPr="00CB43C6" w14:paraId="6C7ACCA2" w14:textId="77777777" w:rsidTr="0035667A">
        <w:trPr>
          <w:trHeight w:val="470"/>
          <w:jc w:val="center"/>
        </w:trPr>
        <w:tc>
          <w:tcPr>
            <w:tcW w:w="5000" w:type="pct"/>
            <w:gridSpan w:val="3"/>
            <w:hideMark/>
          </w:tcPr>
          <w:p w14:paraId="695B3E88" w14:textId="77777777" w:rsidR="000105A8" w:rsidRPr="00CB43C6" w:rsidRDefault="000105A8" w:rsidP="00400EF5">
            <w:pPr>
              <w:spacing w:after="0" w:line="240" w:lineRule="auto"/>
              <w:jc w:val="center"/>
              <w:rPr>
                <w:rFonts w:ascii="ITC Avant Garde" w:hAnsi="ITC Avant Garde" w:cs="Arial"/>
                <w:b/>
                <w:bCs/>
              </w:rPr>
            </w:pPr>
          </w:p>
        </w:tc>
      </w:tr>
    </w:tbl>
    <w:p w14:paraId="3E094BE7" w14:textId="77777777" w:rsidR="008B115B" w:rsidRDefault="008B115B" w:rsidP="00400EF5">
      <w:pPr>
        <w:pStyle w:val="Sinespaciado"/>
        <w:jc w:val="both"/>
        <w:rPr>
          <w:rFonts w:ascii="ITC Avant Garde" w:hAnsi="ITC Avant Garde"/>
          <w:sz w:val="12"/>
        </w:rPr>
      </w:pPr>
    </w:p>
    <w:p w14:paraId="05B1A9E0" w14:textId="77777777" w:rsidR="008B115B" w:rsidRDefault="008B115B" w:rsidP="00400EF5">
      <w:pPr>
        <w:pStyle w:val="Sinespaciado"/>
        <w:jc w:val="both"/>
        <w:rPr>
          <w:rFonts w:ascii="ITC Avant Garde" w:hAnsi="ITC Avant Garde"/>
          <w:sz w:val="12"/>
        </w:rPr>
      </w:pPr>
      <w:r w:rsidRPr="008B115B">
        <w:rPr>
          <w:rFonts w:ascii="ITC Avant Garde" w:hAnsi="ITC Avant Garde"/>
          <w:sz w:val="12"/>
        </w:rPr>
        <w:t>La presente Resolución fue aprobada por el Pleno del Instituto Federal de Telecomunicaciones e</w:t>
      </w:r>
      <w:r w:rsidRPr="001253A7">
        <w:rPr>
          <w:rFonts w:ascii="ITC Avant Garde" w:hAnsi="ITC Avant Garde"/>
          <w:sz w:val="12"/>
        </w:rPr>
        <w:t xml:space="preserve">n su </w:t>
      </w:r>
      <w:r w:rsidR="00E92D57" w:rsidRPr="00E92D57">
        <w:rPr>
          <w:rFonts w:ascii="ITC Avant Garde" w:hAnsi="ITC Avant Garde"/>
          <w:sz w:val="12"/>
          <w:highlight w:val="yellow"/>
        </w:rPr>
        <w:t>X</w:t>
      </w:r>
      <w:r w:rsidR="000033E2">
        <w:rPr>
          <w:rFonts w:ascii="ITC Avant Garde" w:hAnsi="ITC Avant Garde"/>
          <w:sz w:val="12"/>
          <w:highlight w:val="yellow"/>
        </w:rPr>
        <w:t>XX</w:t>
      </w:r>
      <w:r w:rsidRPr="001253A7">
        <w:rPr>
          <w:rFonts w:ascii="ITC Avant Garde" w:hAnsi="ITC Avant Garde"/>
          <w:sz w:val="12"/>
        </w:rPr>
        <w:t xml:space="preserve"> </w:t>
      </w:r>
      <w:r w:rsidRPr="00E92D57">
        <w:rPr>
          <w:rFonts w:ascii="ITC Avant Garde" w:hAnsi="ITC Avant Garde"/>
          <w:sz w:val="12"/>
        </w:rPr>
        <w:t>Sesió</w:t>
      </w:r>
      <w:r w:rsidR="0096513C" w:rsidRPr="00E92D57">
        <w:rPr>
          <w:rFonts w:ascii="ITC Avant Garde" w:hAnsi="ITC Avant Garde"/>
          <w:sz w:val="12"/>
        </w:rPr>
        <w:t>n</w:t>
      </w:r>
      <w:r w:rsidR="0096513C" w:rsidRPr="001253A7">
        <w:rPr>
          <w:rFonts w:ascii="ITC Avant Garde" w:hAnsi="ITC Avant Garde"/>
          <w:sz w:val="12"/>
        </w:rPr>
        <w:t xml:space="preserve"> O</w:t>
      </w:r>
      <w:r w:rsidR="002300FA" w:rsidRPr="001253A7">
        <w:rPr>
          <w:rFonts w:ascii="ITC Avant Garde" w:hAnsi="ITC Avant Garde"/>
          <w:sz w:val="12"/>
        </w:rPr>
        <w:t xml:space="preserve">rdinaria celebrada </w:t>
      </w:r>
      <w:r w:rsidR="002300FA" w:rsidRPr="00AA0687">
        <w:rPr>
          <w:rFonts w:ascii="ITC Avant Garde" w:hAnsi="ITC Avant Garde"/>
          <w:sz w:val="12"/>
        </w:rPr>
        <w:t xml:space="preserve">el </w:t>
      </w:r>
      <w:r w:rsidR="00DA6A26" w:rsidRPr="00DA6A26">
        <w:rPr>
          <w:rFonts w:ascii="ITC Avant Garde" w:hAnsi="ITC Avant Garde"/>
          <w:sz w:val="12"/>
          <w:highlight w:val="yellow"/>
        </w:rPr>
        <w:t>XX</w:t>
      </w:r>
      <w:r w:rsidR="0054181E" w:rsidRPr="00AA0687">
        <w:rPr>
          <w:rFonts w:ascii="ITC Avant Garde" w:hAnsi="ITC Avant Garde"/>
          <w:sz w:val="12"/>
        </w:rPr>
        <w:t xml:space="preserve"> de </w:t>
      </w:r>
      <w:r w:rsidR="00AA0687" w:rsidRPr="00AA0687">
        <w:rPr>
          <w:rFonts w:ascii="ITC Avant Garde" w:hAnsi="ITC Avant Garde"/>
          <w:sz w:val="12"/>
        </w:rPr>
        <w:t>septiembre</w:t>
      </w:r>
      <w:r w:rsidRPr="001253A7">
        <w:rPr>
          <w:rFonts w:ascii="ITC Avant Garde" w:hAnsi="ITC Avant Garde"/>
          <w:sz w:val="12"/>
        </w:rPr>
        <w:t xml:space="preserve"> de 201</w:t>
      </w:r>
      <w:r w:rsidR="002300FA" w:rsidRPr="001253A7">
        <w:rPr>
          <w:rFonts w:ascii="ITC Avant Garde" w:hAnsi="ITC Avant Garde"/>
          <w:sz w:val="12"/>
        </w:rPr>
        <w:t>7</w:t>
      </w:r>
      <w:r w:rsidRPr="001253A7">
        <w:rPr>
          <w:rFonts w:ascii="ITC Avant Garde" w:hAnsi="ITC Avant Garde"/>
          <w:sz w:val="12"/>
        </w:rPr>
        <w:t>,</w:t>
      </w:r>
      <w:r w:rsidRPr="008B115B">
        <w:rPr>
          <w:rFonts w:ascii="ITC Avant Garde" w:hAnsi="ITC Avant Garde"/>
          <w:sz w:val="12"/>
        </w:rPr>
        <w:t xml:space="preserve"> por unanimidad de votos de los Comisionados </w:t>
      </w:r>
      <w:r w:rsidRPr="00AE05FC">
        <w:rPr>
          <w:rFonts w:ascii="ITC Avant Garde" w:hAnsi="ITC Avant Garde"/>
          <w:sz w:val="12"/>
        </w:rPr>
        <w:t>Adriana Sofía Labardini Inzunza, María Elena Estavillo Flor</w:t>
      </w:r>
      <w:r w:rsidR="00D75703" w:rsidRPr="00AE05FC">
        <w:rPr>
          <w:rFonts w:ascii="ITC Avant Garde" w:hAnsi="ITC Avant Garde"/>
          <w:sz w:val="12"/>
        </w:rPr>
        <w:t>es, Mario Germán Fromow Rangel,</w:t>
      </w:r>
      <w:r w:rsidRPr="00AE05FC">
        <w:rPr>
          <w:rFonts w:ascii="ITC Avant Garde" w:hAnsi="ITC Avant Garde"/>
          <w:sz w:val="12"/>
        </w:rPr>
        <w:t xml:space="preserve"> </w:t>
      </w:r>
      <w:r w:rsidR="00AA0687" w:rsidRPr="008B115B">
        <w:rPr>
          <w:rFonts w:ascii="ITC Avant Garde" w:hAnsi="ITC Avant Garde"/>
          <w:sz w:val="12"/>
        </w:rPr>
        <w:t>Gabriel Oswaldo Contreras Saldívar</w:t>
      </w:r>
      <w:r w:rsidR="00AA0687">
        <w:rPr>
          <w:rFonts w:ascii="ITC Avant Garde" w:hAnsi="ITC Avant Garde"/>
          <w:sz w:val="12"/>
        </w:rPr>
        <w:t xml:space="preserve">, </w:t>
      </w:r>
      <w:r w:rsidRPr="00AE05FC">
        <w:rPr>
          <w:rFonts w:ascii="ITC Avant Garde" w:hAnsi="ITC Avant Garde"/>
          <w:sz w:val="12"/>
        </w:rPr>
        <w:t>Adolfo Cuevas Teja</w:t>
      </w:r>
      <w:r w:rsidR="00A96AEC">
        <w:rPr>
          <w:rFonts w:ascii="ITC Avant Garde" w:hAnsi="ITC Avant Garde"/>
          <w:sz w:val="12"/>
        </w:rPr>
        <w:t xml:space="preserve">, </w:t>
      </w:r>
      <w:r w:rsidR="00D75703" w:rsidRPr="00AE05FC">
        <w:rPr>
          <w:rFonts w:ascii="ITC Avant Garde" w:hAnsi="ITC Avant Garde"/>
          <w:sz w:val="12"/>
        </w:rPr>
        <w:t>Javier Juárez Mojica</w:t>
      </w:r>
      <w:r w:rsidR="00A96AEC">
        <w:rPr>
          <w:rFonts w:ascii="ITC Avant Garde" w:hAnsi="ITC Avant Garde"/>
          <w:sz w:val="12"/>
        </w:rPr>
        <w:t xml:space="preserve"> y Arturo Robles Rovalo</w:t>
      </w:r>
      <w:r w:rsidRPr="00AE05FC">
        <w:rPr>
          <w:rFonts w:ascii="ITC Avant Garde" w:hAnsi="ITC Avant Garde"/>
          <w:sz w:val="12"/>
        </w:rPr>
        <w:t>; con fundamento en los párra</w:t>
      </w:r>
      <w:r w:rsidR="00322FF9" w:rsidRPr="00AE05FC">
        <w:rPr>
          <w:rFonts w:ascii="ITC Avant Garde" w:hAnsi="ITC Avant Garde"/>
          <w:sz w:val="12"/>
        </w:rPr>
        <w:t>fos vigésimo, fracciones I y IV</w:t>
      </w:r>
      <w:r w:rsidRPr="00AE05FC">
        <w:rPr>
          <w:rFonts w:ascii="ITC Avant Garde" w:hAnsi="ITC Avant Garde"/>
          <w:sz w:val="12"/>
        </w:rPr>
        <w:t>;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w:t>
      </w:r>
      <w:r w:rsidR="0096513C" w:rsidRPr="00AE05FC">
        <w:rPr>
          <w:rFonts w:ascii="ITC Avant Garde" w:hAnsi="ITC Avant Garde"/>
          <w:sz w:val="12"/>
        </w:rPr>
        <w:t>s, mediante</w:t>
      </w:r>
      <w:r w:rsidR="0096513C">
        <w:rPr>
          <w:rFonts w:ascii="ITC Avant Garde" w:hAnsi="ITC Avant Garde"/>
          <w:sz w:val="12"/>
        </w:rPr>
        <w:t xml:space="preserve"> </w:t>
      </w:r>
      <w:r w:rsidR="0096513C" w:rsidRPr="00AA0687">
        <w:rPr>
          <w:rFonts w:ascii="ITC Avant Garde" w:hAnsi="ITC Avant Garde"/>
          <w:sz w:val="12"/>
        </w:rPr>
        <w:t>Acuerdo</w:t>
      </w:r>
      <w:r w:rsidR="00AE05FC" w:rsidRPr="00AA0687">
        <w:rPr>
          <w:rFonts w:ascii="ITC Avant Garde" w:hAnsi="ITC Avant Garde"/>
          <w:sz w:val="12"/>
        </w:rPr>
        <w:t xml:space="preserve"> </w:t>
      </w:r>
      <w:r w:rsidR="00B14031" w:rsidRPr="00AA0687">
        <w:rPr>
          <w:rFonts w:ascii="ITC Avant Garde" w:hAnsi="ITC Avant Garde"/>
          <w:sz w:val="12"/>
          <w:highlight w:val="yellow"/>
        </w:rPr>
        <w:t>XXX</w:t>
      </w:r>
      <w:r w:rsidR="00AA0687" w:rsidRPr="00AA0687">
        <w:rPr>
          <w:rFonts w:ascii="ITC Avant Garde" w:hAnsi="ITC Avant Garde"/>
          <w:sz w:val="12"/>
        </w:rPr>
        <w:t>.</w:t>
      </w:r>
      <w:r w:rsidR="00AE05FC" w:rsidRPr="00AA0687">
        <w:rPr>
          <w:rFonts w:ascii="ITC Avant Garde" w:hAnsi="ITC Avant Garde"/>
          <w:sz w:val="12"/>
        </w:rPr>
        <w:t xml:space="preserve">                                     </w:t>
      </w:r>
      <w:r w:rsidRPr="008B115B">
        <w:rPr>
          <w:rFonts w:ascii="ITC Avant Garde" w:hAnsi="ITC Avant Garde"/>
          <w:sz w:val="12"/>
        </w:rPr>
        <w:t>.</w:t>
      </w:r>
    </w:p>
    <w:p w14:paraId="0BCE9865" w14:textId="77777777" w:rsidR="00DB745D" w:rsidRDefault="00DB745D" w:rsidP="00400EF5">
      <w:pPr>
        <w:pStyle w:val="Sinespaciado"/>
        <w:jc w:val="both"/>
        <w:rPr>
          <w:rFonts w:ascii="ITC Avant Garde" w:hAnsi="ITC Avant Garde"/>
          <w:sz w:val="12"/>
        </w:rPr>
      </w:pPr>
    </w:p>
    <w:p w14:paraId="0FB92001" w14:textId="77777777" w:rsidR="00DB745D" w:rsidRDefault="00DB745D" w:rsidP="00400EF5">
      <w:pPr>
        <w:pStyle w:val="Sinespaciado"/>
        <w:jc w:val="both"/>
        <w:rPr>
          <w:rFonts w:ascii="ITC Avant Garde" w:hAnsi="ITC Avant Garde"/>
          <w:sz w:val="12"/>
        </w:rPr>
      </w:pPr>
    </w:p>
    <w:p w14:paraId="4C0D7A83" w14:textId="77777777" w:rsidR="00DB745D" w:rsidRDefault="00DB745D" w:rsidP="00400EF5">
      <w:pPr>
        <w:pStyle w:val="Sinespaciado"/>
        <w:pBdr>
          <w:bottom w:val="single" w:sz="12" w:space="1" w:color="auto"/>
        </w:pBdr>
        <w:jc w:val="both"/>
        <w:rPr>
          <w:rFonts w:ascii="ITC Avant Garde" w:hAnsi="ITC Avant Garde"/>
          <w:sz w:val="12"/>
        </w:rPr>
      </w:pPr>
    </w:p>
    <w:p w14:paraId="3C21DD9D" w14:textId="77777777" w:rsidR="00DB745D" w:rsidRDefault="00DB745D" w:rsidP="00400EF5">
      <w:pPr>
        <w:pStyle w:val="Sinespaciado"/>
        <w:jc w:val="both"/>
        <w:rPr>
          <w:rFonts w:ascii="ITC Avant Garde" w:hAnsi="ITC Avant Garde"/>
          <w:sz w:val="12"/>
        </w:rPr>
      </w:pPr>
    </w:p>
    <w:p w14:paraId="7A3FAAB2" w14:textId="77777777" w:rsidR="00DB745D" w:rsidRDefault="00DB745D" w:rsidP="00400EF5">
      <w:pPr>
        <w:pStyle w:val="Sinespaciado"/>
        <w:jc w:val="both"/>
        <w:rPr>
          <w:rFonts w:ascii="ITC Avant Garde" w:hAnsi="ITC Avant Garde"/>
          <w:b/>
          <w:sz w:val="20"/>
        </w:rPr>
      </w:pPr>
      <w:r w:rsidRPr="00567D56">
        <w:rPr>
          <w:rFonts w:ascii="ITC Avant Garde" w:hAnsi="ITC Avant Garde"/>
          <w:b/>
          <w:sz w:val="20"/>
        </w:rPr>
        <w:t>Referencias</w:t>
      </w:r>
      <w:r w:rsidR="00567D56" w:rsidRPr="00567D56">
        <w:rPr>
          <w:rFonts w:ascii="ITC Avant Garde" w:hAnsi="ITC Avant Garde"/>
          <w:b/>
          <w:sz w:val="20"/>
        </w:rPr>
        <w:t>:</w:t>
      </w:r>
    </w:p>
    <w:p w14:paraId="7784669F" w14:textId="77777777" w:rsidR="00151C9B" w:rsidRPr="00567D56" w:rsidRDefault="00151C9B" w:rsidP="00400EF5">
      <w:pPr>
        <w:pStyle w:val="Sinespaciado"/>
        <w:jc w:val="both"/>
        <w:rPr>
          <w:rFonts w:ascii="ITC Avant Garde" w:hAnsi="ITC Avant Garde"/>
          <w:b/>
          <w:sz w:val="20"/>
        </w:rPr>
      </w:pPr>
    </w:p>
    <w:p w14:paraId="2D61DA9F" w14:textId="77777777" w:rsidR="000D4E4F" w:rsidRPr="006E039D" w:rsidRDefault="000D4E4F" w:rsidP="00241FD3">
      <w:pPr>
        <w:pStyle w:val="Sinespaciado"/>
        <w:numPr>
          <w:ilvl w:val="0"/>
          <w:numId w:val="29"/>
        </w:numPr>
        <w:jc w:val="both"/>
        <w:rPr>
          <w:rFonts w:ascii="ITC Avant Garde" w:hAnsi="ITC Avant Garde"/>
          <w:sz w:val="16"/>
          <w:szCs w:val="14"/>
        </w:rPr>
      </w:pPr>
      <w:r>
        <w:rPr>
          <w:rFonts w:ascii="ITC Avant Garde" w:hAnsi="ITC Avant Garde"/>
          <w:sz w:val="16"/>
          <w:szCs w:val="14"/>
        </w:rPr>
        <w:t xml:space="preserve">Contreras, Benjamín y Haddou, Alí (2003). </w:t>
      </w:r>
      <w:r w:rsidRPr="00241FD3">
        <w:rPr>
          <w:rFonts w:ascii="ITC Avant Garde" w:hAnsi="ITC Avant Garde"/>
          <w:i/>
          <w:sz w:val="16"/>
          <w:szCs w:val="14"/>
        </w:rPr>
        <w:t>Mejora regulatoria: hacia un marco de políticas públicas y regulaciones de calidad.</w:t>
      </w:r>
      <w:r>
        <w:rPr>
          <w:rFonts w:ascii="ITC Avant Garde" w:hAnsi="ITC Avant Garde"/>
          <w:sz w:val="16"/>
          <w:szCs w:val="14"/>
        </w:rPr>
        <w:t xml:space="preserve"> </w:t>
      </w:r>
      <w:r w:rsidR="006E039D" w:rsidRPr="006E039D">
        <w:rPr>
          <w:rFonts w:ascii="ITC Avant Garde" w:hAnsi="ITC Avant Garde"/>
          <w:sz w:val="16"/>
          <w:szCs w:val="14"/>
        </w:rPr>
        <w:t>En Memorias del</w:t>
      </w:r>
      <w:r w:rsidR="006E039D">
        <w:rPr>
          <w:rFonts w:ascii="ITC Avant Garde" w:hAnsi="ITC Avant Garde"/>
          <w:sz w:val="16"/>
          <w:szCs w:val="14"/>
        </w:rPr>
        <w:t xml:space="preserve"> </w:t>
      </w:r>
      <w:r w:rsidR="006E039D" w:rsidRPr="006E039D">
        <w:rPr>
          <w:rFonts w:ascii="ITC Avant Garde" w:hAnsi="ITC Avant Garde"/>
          <w:sz w:val="16"/>
          <w:szCs w:val="14"/>
        </w:rPr>
        <w:t>primer encuentro internacional de derecho ambiental del Instituto Nacional de</w:t>
      </w:r>
      <w:r w:rsidR="006E039D">
        <w:rPr>
          <w:rFonts w:ascii="ITC Avant Garde" w:hAnsi="ITC Avant Garde"/>
          <w:sz w:val="16"/>
          <w:szCs w:val="14"/>
        </w:rPr>
        <w:t xml:space="preserve"> Ecología. SEMARNAT,</w:t>
      </w:r>
      <w:r w:rsidR="006E039D" w:rsidRPr="006E039D">
        <w:rPr>
          <w:rFonts w:ascii="ITC Avant Garde" w:hAnsi="ITC Avant Garde"/>
          <w:sz w:val="16"/>
          <w:szCs w:val="14"/>
        </w:rPr>
        <w:t xml:space="preserve"> México.</w:t>
      </w:r>
      <w:r w:rsidR="00856198">
        <w:rPr>
          <w:rFonts w:ascii="ITC Avant Garde" w:hAnsi="ITC Avant Garde"/>
          <w:sz w:val="16"/>
          <w:szCs w:val="14"/>
        </w:rPr>
        <w:t xml:space="preserve"> Recuperado el </w:t>
      </w:r>
      <w:r w:rsidR="00AA0687" w:rsidRPr="00AA0687">
        <w:rPr>
          <w:rFonts w:ascii="ITC Avant Garde" w:hAnsi="ITC Avant Garde"/>
          <w:sz w:val="16"/>
          <w:szCs w:val="14"/>
        </w:rPr>
        <w:t>13</w:t>
      </w:r>
      <w:r w:rsidR="00541E38">
        <w:rPr>
          <w:rFonts w:ascii="ITC Avant Garde" w:hAnsi="ITC Avant Garde"/>
          <w:sz w:val="16"/>
          <w:szCs w:val="14"/>
        </w:rPr>
        <w:t xml:space="preserve"> de </w:t>
      </w:r>
      <w:r w:rsidR="00AA0687" w:rsidRPr="00AA0687">
        <w:rPr>
          <w:rFonts w:ascii="ITC Avant Garde" w:hAnsi="ITC Avant Garde"/>
          <w:sz w:val="16"/>
          <w:szCs w:val="14"/>
        </w:rPr>
        <w:t>septiembre</w:t>
      </w:r>
      <w:r w:rsidR="00957C4E">
        <w:rPr>
          <w:rFonts w:ascii="ITC Avant Garde" w:hAnsi="ITC Avant Garde"/>
          <w:sz w:val="16"/>
          <w:szCs w:val="14"/>
        </w:rPr>
        <w:t xml:space="preserve"> </w:t>
      </w:r>
      <w:r w:rsidR="00541E38">
        <w:rPr>
          <w:rFonts w:ascii="ITC Avant Garde" w:hAnsi="ITC Avant Garde"/>
          <w:sz w:val="16"/>
          <w:szCs w:val="14"/>
        </w:rPr>
        <w:t>de 2017, de</w:t>
      </w:r>
      <w:r w:rsidR="00DA77E2">
        <w:rPr>
          <w:rFonts w:ascii="ITC Avant Garde" w:hAnsi="ITC Avant Garde"/>
          <w:sz w:val="16"/>
          <w:szCs w:val="14"/>
        </w:rPr>
        <w:t>:</w:t>
      </w:r>
      <w:r w:rsidR="00541E38">
        <w:rPr>
          <w:rFonts w:ascii="ITC Avant Garde" w:hAnsi="ITC Avant Garde"/>
          <w:sz w:val="16"/>
          <w:szCs w:val="14"/>
        </w:rPr>
        <w:t xml:space="preserve"> </w:t>
      </w:r>
      <w:r w:rsidR="00541E38" w:rsidRPr="00541E38">
        <w:rPr>
          <w:rFonts w:ascii="ITC Avant Garde" w:hAnsi="ITC Avant Garde"/>
          <w:sz w:val="16"/>
          <w:szCs w:val="14"/>
        </w:rPr>
        <w:t>http://www2.inecc.gob.mx/publicaciones2/libros/398/contreras.html</w:t>
      </w:r>
    </w:p>
    <w:p w14:paraId="1E0CDF27" w14:textId="77777777" w:rsidR="00A215C2" w:rsidRPr="00567D56" w:rsidRDefault="009F1835" w:rsidP="001035F9">
      <w:pPr>
        <w:pStyle w:val="Sinespaciado"/>
        <w:numPr>
          <w:ilvl w:val="0"/>
          <w:numId w:val="29"/>
        </w:numPr>
        <w:jc w:val="both"/>
        <w:rPr>
          <w:rFonts w:ascii="ITC Avant Garde" w:hAnsi="ITC Avant Garde"/>
          <w:sz w:val="16"/>
          <w:szCs w:val="14"/>
        </w:rPr>
      </w:pPr>
      <w:r w:rsidRPr="00567D56">
        <w:rPr>
          <w:rFonts w:ascii="ITC Avant Garde" w:hAnsi="ITC Avant Garde"/>
          <w:sz w:val="16"/>
          <w:szCs w:val="14"/>
        </w:rPr>
        <w:t>OCDE</w:t>
      </w:r>
      <w:r w:rsidR="00C52D36" w:rsidRPr="00567D56">
        <w:rPr>
          <w:rFonts w:ascii="ITC Avant Garde" w:hAnsi="ITC Avant Garde"/>
          <w:sz w:val="16"/>
          <w:szCs w:val="14"/>
        </w:rPr>
        <w:t xml:space="preserve"> (</w:t>
      </w:r>
      <w:r w:rsidR="00A215C2" w:rsidRPr="00567D56">
        <w:rPr>
          <w:rFonts w:ascii="ITC Avant Garde" w:hAnsi="ITC Avant Garde"/>
          <w:sz w:val="16"/>
          <w:szCs w:val="14"/>
        </w:rPr>
        <w:t>2012</w:t>
      </w:r>
      <w:r w:rsidR="00C52D36" w:rsidRPr="00567D56">
        <w:rPr>
          <w:rFonts w:ascii="ITC Avant Garde" w:hAnsi="ITC Avant Garde"/>
          <w:sz w:val="16"/>
          <w:szCs w:val="14"/>
        </w:rPr>
        <w:t>)</w:t>
      </w:r>
      <w:r w:rsidR="00A215C2" w:rsidRPr="00567D56">
        <w:rPr>
          <w:rFonts w:ascii="ITC Avant Garde" w:hAnsi="ITC Avant Garde"/>
          <w:sz w:val="16"/>
          <w:szCs w:val="14"/>
        </w:rPr>
        <w:t xml:space="preserve">. </w:t>
      </w:r>
      <w:r w:rsidR="00A215C2" w:rsidRPr="00241FD3">
        <w:rPr>
          <w:rFonts w:ascii="ITC Avant Garde" w:hAnsi="ITC Avant Garde"/>
          <w:i/>
          <w:sz w:val="16"/>
          <w:szCs w:val="14"/>
        </w:rPr>
        <w:t>Recomendación del Consejo sobre Política y Gobernanza Regulatoria</w:t>
      </w:r>
      <w:r w:rsidR="00A215C2" w:rsidRPr="00567D56">
        <w:rPr>
          <w:rFonts w:ascii="ITC Avant Garde" w:hAnsi="ITC Avant Garde"/>
          <w:sz w:val="16"/>
          <w:szCs w:val="14"/>
        </w:rPr>
        <w:t xml:space="preserve">. </w:t>
      </w:r>
      <w:r w:rsidR="00DF0690" w:rsidRPr="00567D56">
        <w:rPr>
          <w:rFonts w:ascii="ITC Avant Garde" w:hAnsi="ITC Avant Garde"/>
          <w:sz w:val="16"/>
          <w:szCs w:val="14"/>
        </w:rPr>
        <w:t>OECD Publishing.</w:t>
      </w:r>
      <w:r w:rsidR="00310122">
        <w:rPr>
          <w:rFonts w:ascii="ITC Avant Garde" w:hAnsi="ITC Avant Garde"/>
          <w:sz w:val="16"/>
          <w:szCs w:val="14"/>
        </w:rPr>
        <w:t xml:space="preserve"> </w:t>
      </w:r>
      <w:r w:rsidR="00074E5C">
        <w:rPr>
          <w:rFonts w:ascii="ITC Avant Garde" w:hAnsi="ITC Avant Garde"/>
          <w:sz w:val="16"/>
          <w:szCs w:val="14"/>
        </w:rPr>
        <w:t>Recuperado el 13 de septiembre</w:t>
      </w:r>
      <w:r w:rsidR="001035F9">
        <w:rPr>
          <w:rFonts w:ascii="ITC Avant Garde" w:hAnsi="ITC Avant Garde"/>
          <w:sz w:val="16"/>
          <w:szCs w:val="14"/>
        </w:rPr>
        <w:t xml:space="preserve"> de 2017, de: </w:t>
      </w:r>
      <w:r w:rsidR="001035F9" w:rsidRPr="001035F9">
        <w:rPr>
          <w:rFonts w:ascii="ITC Avant Garde" w:hAnsi="ITC Avant Garde"/>
          <w:sz w:val="16"/>
          <w:szCs w:val="14"/>
        </w:rPr>
        <w:t>http://www.oecd.org/gov/regulatory-policy/Recommendation%20with%20cover%20SP.pdf</w:t>
      </w:r>
    </w:p>
    <w:p w14:paraId="6ED9A964" w14:textId="77777777" w:rsidR="00100695" w:rsidRPr="00567D56" w:rsidRDefault="009F1835">
      <w:pPr>
        <w:pStyle w:val="Sinespaciado"/>
        <w:numPr>
          <w:ilvl w:val="0"/>
          <w:numId w:val="29"/>
        </w:numPr>
        <w:jc w:val="both"/>
        <w:rPr>
          <w:rFonts w:ascii="ITC Avant Garde" w:hAnsi="ITC Avant Garde"/>
          <w:sz w:val="16"/>
          <w:szCs w:val="14"/>
        </w:rPr>
      </w:pPr>
      <w:r w:rsidRPr="00567D56">
        <w:rPr>
          <w:rFonts w:ascii="ITC Avant Garde" w:hAnsi="ITC Avant Garde"/>
          <w:sz w:val="16"/>
          <w:szCs w:val="14"/>
        </w:rPr>
        <w:t>O</w:t>
      </w:r>
      <w:r w:rsidR="00C52D36" w:rsidRPr="00567D56">
        <w:rPr>
          <w:rFonts w:ascii="ITC Avant Garde" w:hAnsi="ITC Avant Garde"/>
          <w:sz w:val="16"/>
          <w:szCs w:val="14"/>
        </w:rPr>
        <w:t>CD</w:t>
      </w:r>
      <w:r w:rsidRPr="00567D56">
        <w:rPr>
          <w:rFonts w:ascii="ITC Avant Garde" w:hAnsi="ITC Avant Garde"/>
          <w:sz w:val="16"/>
          <w:szCs w:val="14"/>
        </w:rPr>
        <w:t>E</w:t>
      </w:r>
      <w:r w:rsidR="00C52D36" w:rsidRPr="00567D56">
        <w:rPr>
          <w:rFonts w:ascii="ITC Avant Garde" w:hAnsi="ITC Avant Garde"/>
          <w:sz w:val="16"/>
          <w:szCs w:val="14"/>
        </w:rPr>
        <w:t xml:space="preserve"> (</w:t>
      </w:r>
      <w:r w:rsidR="00100695" w:rsidRPr="00567D56">
        <w:rPr>
          <w:rFonts w:ascii="ITC Avant Garde" w:hAnsi="ITC Avant Garde"/>
          <w:sz w:val="16"/>
          <w:szCs w:val="14"/>
        </w:rPr>
        <w:t>2012</w:t>
      </w:r>
      <w:r w:rsidR="00C52D36" w:rsidRPr="00567D56">
        <w:rPr>
          <w:rFonts w:ascii="ITC Avant Garde" w:hAnsi="ITC Avant Garde"/>
          <w:sz w:val="16"/>
          <w:szCs w:val="14"/>
        </w:rPr>
        <w:t>)</w:t>
      </w:r>
      <w:r w:rsidR="00100695" w:rsidRPr="00567D56">
        <w:rPr>
          <w:rFonts w:ascii="ITC Avant Garde" w:hAnsi="ITC Avant Garde"/>
          <w:sz w:val="16"/>
          <w:szCs w:val="14"/>
        </w:rPr>
        <w:t xml:space="preserve">. </w:t>
      </w:r>
      <w:r w:rsidR="00100695" w:rsidRPr="00241FD3">
        <w:rPr>
          <w:rFonts w:ascii="ITC Avant Garde" w:hAnsi="ITC Avant Garde"/>
          <w:i/>
          <w:sz w:val="16"/>
          <w:szCs w:val="14"/>
        </w:rPr>
        <w:t>Revisiones de la OCDE sobre Reforma Regulatoria</w:t>
      </w:r>
      <w:r w:rsidR="001035F9" w:rsidRPr="00241FD3">
        <w:rPr>
          <w:rFonts w:ascii="ITC Avant Garde" w:hAnsi="ITC Avant Garde"/>
          <w:i/>
          <w:sz w:val="16"/>
          <w:szCs w:val="14"/>
        </w:rPr>
        <w:t xml:space="preserve">. </w:t>
      </w:r>
      <w:r w:rsidR="00100695" w:rsidRPr="00241FD3">
        <w:rPr>
          <w:rFonts w:ascii="ITC Avant Garde" w:hAnsi="ITC Avant Garde"/>
          <w:i/>
          <w:sz w:val="16"/>
          <w:szCs w:val="14"/>
        </w:rPr>
        <w:t>México: Hacia una perspectiva de gobierno entero para la mejora regulatoria. Informe de las principales conclusiones</w:t>
      </w:r>
      <w:r w:rsidR="007D28D6" w:rsidRPr="00567D56">
        <w:rPr>
          <w:rFonts w:ascii="ITC Avant Garde" w:hAnsi="ITC Avant Garde"/>
          <w:sz w:val="16"/>
          <w:szCs w:val="14"/>
        </w:rPr>
        <w:t>, OECD Publishing</w:t>
      </w:r>
      <w:r w:rsidR="00100695" w:rsidRPr="00567D56">
        <w:rPr>
          <w:rFonts w:ascii="ITC Avant Garde" w:hAnsi="ITC Avant Garde"/>
          <w:sz w:val="16"/>
          <w:szCs w:val="14"/>
        </w:rPr>
        <w:t>.</w:t>
      </w:r>
    </w:p>
    <w:p w14:paraId="2F445372" w14:textId="77777777" w:rsidR="00484A88" w:rsidRPr="00567D56" w:rsidRDefault="00484A88" w:rsidP="00241FD3">
      <w:pPr>
        <w:pStyle w:val="Sinespaciado"/>
        <w:numPr>
          <w:ilvl w:val="0"/>
          <w:numId w:val="29"/>
        </w:numPr>
        <w:jc w:val="both"/>
        <w:rPr>
          <w:rFonts w:ascii="ITC Avant Garde" w:hAnsi="ITC Avant Garde"/>
          <w:sz w:val="16"/>
          <w:szCs w:val="14"/>
        </w:rPr>
      </w:pPr>
      <w:r w:rsidRPr="00567D56">
        <w:rPr>
          <w:rFonts w:ascii="ITC Avant Garde" w:hAnsi="ITC Avant Garde"/>
          <w:sz w:val="16"/>
          <w:szCs w:val="14"/>
          <w:lang w:val="en-US"/>
        </w:rPr>
        <w:t xml:space="preserve">OECD (2008). </w:t>
      </w:r>
      <w:r w:rsidRPr="00241FD3">
        <w:rPr>
          <w:rFonts w:ascii="ITC Avant Garde" w:hAnsi="ITC Avant Garde"/>
          <w:i/>
          <w:sz w:val="16"/>
          <w:szCs w:val="14"/>
          <w:lang w:val="en-US"/>
        </w:rPr>
        <w:t>Building an Institutional Framework for Regulatory Impact Analysis (RIA): Guidance for Policy Makers.</w:t>
      </w:r>
      <w:r w:rsidRPr="00567D56">
        <w:rPr>
          <w:rFonts w:ascii="ITC Avant Garde" w:hAnsi="ITC Avant Garde"/>
          <w:sz w:val="16"/>
          <w:szCs w:val="14"/>
          <w:lang w:val="en-US"/>
        </w:rPr>
        <w:t xml:space="preserve"> </w:t>
      </w:r>
      <w:r w:rsidRPr="00567D56">
        <w:rPr>
          <w:rFonts w:ascii="ITC Avant Garde" w:hAnsi="ITC Avant Garde"/>
          <w:sz w:val="16"/>
          <w:szCs w:val="14"/>
        </w:rPr>
        <w:t>OECD Publishing</w:t>
      </w:r>
      <w:r w:rsidR="000744EE">
        <w:rPr>
          <w:rFonts w:ascii="ITC Avant Garde" w:hAnsi="ITC Avant Garde"/>
          <w:sz w:val="16"/>
          <w:szCs w:val="14"/>
        </w:rPr>
        <w:t>.</w:t>
      </w:r>
      <w:r w:rsidR="00AA0687">
        <w:rPr>
          <w:rFonts w:ascii="ITC Avant Garde" w:hAnsi="ITC Avant Garde"/>
          <w:sz w:val="16"/>
          <w:szCs w:val="14"/>
        </w:rPr>
        <w:t xml:space="preserve"> </w:t>
      </w:r>
      <w:r w:rsidRPr="00567D56">
        <w:rPr>
          <w:rFonts w:ascii="ITC Avant Garde" w:hAnsi="ITC Avant Garde"/>
          <w:sz w:val="16"/>
          <w:szCs w:val="14"/>
        </w:rPr>
        <w:t xml:space="preserve">Recuperado </w:t>
      </w:r>
      <w:r w:rsidR="00AA0687">
        <w:rPr>
          <w:rFonts w:ascii="ITC Avant Garde" w:hAnsi="ITC Avant Garde"/>
          <w:sz w:val="16"/>
          <w:szCs w:val="14"/>
        </w:rPr>
        <w:t>el 13</w:t>
      </w:r>
      <w:r w:rsidRPr="00567D56">
        <w:rPr>
          <w:rFonts w:ascii="ITC Avant Garde" w:hAnsi="ITC Avant Garde"/>
          <w:sz w:val="16"/>
          <w:szCs w:val="14"/>
        </w:rPr>
        <w:t xml:space="preserve"> de </w:t>
      </w:r>
      <w:r w:rsidR="00AA0687">
        <w:rPr>
          <w:rFonts w:ascii="ITC Avant Garde" w:hAnsi="ITC Avant Garde"/>
          <w:sz w:val="16"/>
          <w:szCs w:val="14"/>
        </w:rPr>
        <w:t>septiembre</w:t>
      </w:r>
      <w:r w:rsidR="002003AD">
        <w:rPr>
          <w:rFonts w:ascii="ITC Avant Garde" w:hAnsi="ITC Avant Garde"/>
          <w:sz w:val="16"/>
          <w:szCs w:val="14"/>
        </w:rPr>
        <w:t xml:space="preserve"> </w:t>
      </w:r>
      <w:r w:rsidR="00DF0690" w:rsidRPr="00567D56">
        <w:rPr>
          <w:rFonts w:ascii="ITC Avant Garde" w:hAnsi="ITC Avant Garde"/>
          <w:sz w:val="16"/>
          <w:szCs w:val="14"/>
        </w:rPr>
        <w:t>de 2017</w:t>
      </w:r>
      <w:r w:rsidRPr="00567D56">
        <w:rPr>
          <w:rFonts w:ascii="ITC Avant Garde" w:hAnsi="ITC Avant Garde"/>
          <w:sz w:val="16"/>
          <w:szCs w:val="14"/>
        </w:rPr>
        <w:t>, de</w:t>
      </w:r>
      <w:r w:rsidR="00C97588">
        <w:rPr>
          <w:rFonts w:ascii="ITC Avant Garde" w:hAnsi="ITC Avant Garde"/>
          <w:sz w:val="16"/>
          <w:szCs w:val="14"/>
        </w:rPr>
        <w:t>:</w:t>
      </w:r>
      <w:r w:rsidRPr="00567D56">
        <w:rPr>
          <w:rFonts w:ascii="ITC Avant Garde" w:hAnsi="ITC Avant Garde"/>
          <w:sz w:val="16"/>
          <w:szCs w:val="14"/>
        </w:rPr>
        <w:t xml:space="preserve"> </w:t>
      </w:r>
      <w:hyperlink r:id="rId10" w:history="1">
        <w:r w:rsidRPr="00567D56">
          <w:rPr>
            <w:rFonts w:ascii="ITC Avant Garde" w:hAnsi="ITC Avant Garde"/>
            <w:sz w:val="16"/>
          </w:rPr>
          <w:t>http://www.oecd.org/gov/regulatory-policy/40984990.pdf</w:t>
        </w:r>
      </w:hyperlink>
    </w:p>
    <w:p w14:paraId="6B420877" w14:textId="77777777" w:rsidR="00C52D36" w:rsidRPr="00567D56" w:rsidRDefault="00C52D36" w:rsidP="0045335F">
      <w:pPr>
        <w:pStyle w:val="Sinespaciado"/>
        <w:numPr>
          <w:ilvl w:val="0"/>
          <w:numId w:val="29"/>
        </w:numPr>
        <w:jc w:val="both"/>
        <w:rPr>
          <w:rFonts w:ascii="ITC Avant Garde" w:hAnsi="ITC Avant Garde"/>
          <w:sz w:val="16"/>
          <w:szCs w:val="14"/>
          <w:lang w:val="en-US"/>
        </w:rPr>
      </w:pPr>
      <w:r w:rsidRPr="00567D56">
        <w:rPr>
          <w:rFonts w:ascii="ITC Avant Garde" w:hAnsi="ITC Avant Garde"/>
          <w:sz w:val="16"/>
          <w:szCs w:val="14"/>
          <w:lang w:val="en-US"/>
        </w:rPr>
        <w:lastRenderedPageBreak/>
        <w:t xml:space="preserve">OECD (2015). OECD Regulatory Policy Outlook 2015, OECD Publishing, Paris. </w:t>
      </w:r>
    </w:p>
    <w:p w14:paraId="5F4BA514" w14:textId="77777777" w:rsidR="00AA0687" w:rsidRPr="006C6DD7" w:rsidRDefault="00AA0687" w:rsidP="00151C9B">
      <w:pPr>
        <w:pStyle w:val="Sinespaciado"/>
        <w:jc w:val="both"/>
        <w:rPr>
          <w:rFonts w:ascii="ITC Avant Garde" w:hAnsi="ITC Avant Garde"/>
          <w:sz w:val="20"/>
          <w:lang w:val="en-US"/>
        </w:rPr>
      </w:pPr>
    </w:p>
    <w:p w14:paraId="7408E72D" w14:textId="77777777" w:rsidR="00AA0687" w:rsidRPr="006C6DD7" w:rsidRDefault="00AA0687" w:rsidP="00AA0687">
      <w:pPr>
        <w:rPr>
          <w:lang w:val="en-US"/>
        </w:rPr>
      </w:pPr>
    </w:p>
    <w:p w14:paraId="14998D4E" w14:textId="77777777" w:rsidR="00A215C2" w:rsidRPr="006C6DD7" w:rsidRDefault="00A215C2" w:rsidP="00AA0687">
      <w:pPr>
        <w:jc w:val="center"/>
        <w:rPr>
          <w:lang w:val="en-US"/>
        </w:rPr>
      </w:pPr>
    </w:p>
    <w:sectPr w:rsidR="00A215C2" w:rsidRPr="006C6DD7" w:rsidSect="0095038B">
      <w:footerReference w:type="default" r:id="rId11"/>
      <w:pgSz w:w="12240" w:h="15840"/>
      <w:pgMar w:top="2127" w:right="1467" w:bottom="1135" w:left="1418" w:header="708"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63F55" w14:textId="77777777" w:rsidR="0072681B" w:rsidRDefault="0072681B" w:rsidP="00153D6A">
      <w:pPr>
        <w:spacing w:after="0" w:line="240" w:lineRule="auto"/>
      </w:pPr>
      <w:r>
        <w:separator/>
      </w:r>
    </w:p>
  </w:endnote>
  <w:endnote w:type="continuationSeparator" w:id="0">
    <w:p w14:paraId="512A10EC" w14:textId="77777777" w:rsidR="0072681B" w:rsidRDefault="0072681B" w:rsidP="00153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script"/>
    <w:pitch w:val="variable"/>
    <w:sig w:usb0="0000028F"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684098"/>
      <w:docPartObj>
        <w:docPartGallery w:val="Page Numbers (Bottom of Page)"/>
        <w:docPartUnique/>
      </w:docPartObj>
    </w:sdtPr>
    <w:sdtEndPr>
      <w:rPr>
        <w:rFonts w:ascii="ITC Avant Garde" w:hAnsi="ITC Avant Garde"/>
        <w:sz w:val="20"/>
        <w:szCs w:val="20"/>
      </w:rPr>
    </w:sdtEndPr>
    <w:sdtContent>
      <w:p w14:paraId="33AA82E4" w14:textId="77777777" w:rsidR="0095038B" w:rsidRPr="0095038B" w:rsidRDefault="0095038B">
        <w:pPr>
          <w:pStyle w:val="Piedepgina"/>
          <w:jc w:val="right"/>
          <w:rPr>
            <w:rFonts w:ascii="ITC Avant Garde" w:hAnsi="ITC Avant Garde"/>
            <w:sz w:val="20"/>
            <w:szCs w:val="20"/>
          </w:rPr>
        </w:pPr>
        <w:r w:rsidRPr="0095038B">
          <w:rPr>
            <w:rFonts w:ascii="ITC Avant Garde" w:hAnsi="ITC Avant Garde"/>
            <w:sz w:val="20"/>
            <w:szCs w:val="20"/>
          </w:rPr>
          <w:fldChar w:fldCharType="begin"/>
        </w:r>
        <w:r w:rsidRPr="0095038B">
          <w:rPr>
            <w:rFonts w:ascii="ITC Avant Garde" w:hAnsi="ITC Avant Garde"/>
            <w:sz w:val="20"/>
            <w:szCs w:val="20"/>
          </w:rPr>
          <w:instrText>PAGE   \* MERGEFORMAT</w:instrText>
        </w:r>
        <w:r w:rsidRPr="0095038B">
          <w:rPr>
            <w:rFonts w:ascii="ITC Avant Garde" w:hAnsi="ITC Avant Garde"/>
            <w:sz w:val="20"/>
            <w:szCs w:val="20"/>
          </w:rPr>
          <w:fldChar w:fldCharType="separate"/>
        </w:r>
        <w:r w:rsidR="00DB39A2" w:rsidRPr="00DB39A2">
          <w:rPr>
            <w:rFonts w:ascii="ITC Avant Garde" w:hAnsi="ITC Avant Garde"/>
            <w:noProof/>
            <w:sz w:val="20"/>
            <w:szCs w:val="20"/>
            <w:lang w:val="es-ES"/>
          </w:rPr>
          <w:t>2</w:t>
        </w:r>
        <w:r w:rsidRPr="0095038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C36C2" w14:textId="77777777" w:rsidR="0072681B" w:rsidRDefault="0072681B" w:rsidP="00153D6A">
      <w:pPr>
        <w:spacing w:after="0" w:line="240" w:lineRule="auto"/>
      </w:pPr>
      <w:r>
        <w:separator/>
      </w:r>
    </w:p>
  </w:footnote>
  <w:footnote w:type="continuationSeparator" w:id="0">
    <w:p w14:paraId="6BACE65B" w14:textId="77777777" w:rsidR="0072681B" w:rsidRDefault="0072681B" w:rsidP="00153D6A">
      <w:pPr>
        <w:spacing w:after="0" w:line="240" w:lineRule="auto"/>
      </w:pPr>
      <w:r>
        <w:continuationSeparator/>
      </w:r>
    </w:p>
  </w:footnote>
  <w:footnote w:id="1">
    <w:p w14:paraId="0148C02E" w14:textId="77777777" w:rsidR="00365E11" w:rsidRPr="004949C5" w:rsidRDefault="00365E11" w:rsidP="00365E11">
      <w:pPr>
        <w:pStyle w:val="Textonotapie"/>
        <w:rPr>
          <w:rFonts w:ascii="Calibri" w:hAnsi="Calibri"/>
          <w:sz w:val="16"/>
          <w:szCs w:val="16"/>
          <w:vertAlign w:val="subscript"/>
        </w:rPr>
      </w:pPr>
      <w:r w:rsidRPr="004949C5">
        <w:rPr>
          <w:rFonts w:ascii="ITC Avant Garde" w:eastAsia="Arial" w:hAnsi="ITC Avant Garde" w:cs="Arial"/>
          <w:sz w:val="16"/>
          <w:szCs w:val="16"/>
          <w:lang w:val="es-ES_tradnl"/>
        </w:rPr>
        <w:t xml:space="preserve">[1] En </w:t>
      </w:r>
      <w:r w:rsidR="00B22804">
        <w:rPr>
          <w:rFonts w:ascii="ITC Avant Garde" w:eastAsia="Arial" w:hAnsi="ITC Avant Garde" w:cs="Arial"/>
          <w:sz w:val="16"/>
          <w:szCs w:val="16"/>
          <w:lang w:val="es-ES_tradnl"/>
        </w:rPr>
        <w:t>términos de lo dispuesto por los</w:t>
      </w:r>
      <w:r w:rsidRPr="004949C5">
        <w:rPr>
          <w:rFonts w:ascii="ITC Avant Garde" w:eastAsia="Arial" w:hAnsi="ITC Avant Garde" w:cs="Arial"/>
          <w:sz w:val="16"/>
          <w:szCs w:val="16"/>
          <w:lang w:val="es-ES_tradnl"/>
        </w:rPr>
        <w:t xml:space="preserve"> artículo</w:t>
      </w:r>
      <w:r w:rsidR="00B22804">
        <w:rPr>
          <w:rFonts w:ascii="ITC Avant Garde" w:eastAsia="Arial" w:hAnsi="ITC Avant Garde" w:cs="Arial"/>
          <w:sz w:val="16"/>
          <w:szCs w:val="16"/>
          <w:lang w:val="es-ES_tradnl"/>
        </w:rPr>
        <w:t>s</w:t>
      </w:r>
      <w:r w:rsidRPr="004949C5">
        <w:rPr>
          <w:rFonts w:ascii="ITC Avant Garde" w:eastAsia="Arial" w:hAnsi="ITC Avant Garde" w:cs="Arial"/>
          <w:sz w:val="16"/>
          <w:szCs w:val="16"/>
          <w:lang w:val="es-ES_tradnl"/>
        </w:rPr>
        <w:t xml:space="preserve"> 19 de la Ley Federal de Telecomunicaciones y Radiodifusión</w:t>
      </w:r>
      <w:r w:rsidR="00B22804">
        <w:rPr>
          <w:rFonts w:ascii="ITC Avant Garde" w:eastAsia="Arial" w:hAnsi="ITC Avant Garde" w:cs="Arial"/>
          <w:sz w:val="16"/>
          <w:szCs w:val="16"/>
          <w:lang w:val="es-ES_tradnl"/>
        </w:rPr>
        <w:t xml:space="preserve"> 19 de la Ley Federal de Competencia Económica.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2A9"/>
    <w:multiLevelType w:val="hybridMultilevel"/>
    <w:tmpl w:val="E09EC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6495F9D"/>
    <w:multiLevelType w:val="hybridMultilevel"/>
    <w:tmpl w:val="20826D9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528E5"/>
    <w:multiLevelType w:val="hybridMultilevel"/>
    <w:tmpl w:val="13D67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26AA1"/>
    <w:multiLevelType w:val="hybridMultilevel"/>
    <w:tmpl w:val="BE2AD0CE"/>
    <w:lvl w:ilvl="0" w:tplc="5AEC671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4B81C73"/>
    <w:multiLevelType w:val="hybridMultilevel"/>
    <w:tmpl w:val="573AAB34"/>
    <w:lvl w:ilvl="0" w:tplc="5FDACB0C">
      <w:start w:val="1"/>
      <w:numFmt w:val="lowerRoman"/>
      <w:lvlText w:val="(%1)"/>
      <w:lvlJc w:val="left"/>
      <w:pPr>
        <w:ind w:left="1004" w:hanging="360"/>
      </w:pPr>
      <w:rPr>
        <w:rFonts w:hint="default"/>
      </w:rPr>
    </w:lvl>
    <w:lvl w:ilvl="1" w:tplc="5FDACB0C">
      <w:start w:val="1"/>
      <w:numFmt w:val="lowerRoman"/>
      <w:lvlText w:val="(%2)"/>
      <w:lvlJc w:val="left"/>
      <w:pPr>
        <w:ind w:left="1724" w:hanging="360"/>
      </w:pPr>
      <w:rPr>
        <w:rFonts w:hint="default"/>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16FF6CDB"/>
    <w:multiLevelType w:val="hybridMultilevel"/>
    <w:tmpl w:val="B97EB52E"/>
    <w:lvl w:ilvl="0" w:tplc="93B87D7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1CFA5FC8"/>
    <w:multiLevelType w:val="hybridMultilevel"/>
    <w:tmpl w:val="92429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611931"/>
    <w:multiLevelType w:val="hybridMultilevel"/>
    <w:tmpl w:val="406A8FD6"/>
    <w:lvl w:ilvl="0" w:tplc="5FDACB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B616CE"/>
    <w:multiLevelType w:val="hybridMultilevel"/>
    <w:tmpl w:val="AA96E146"/>
    <w:lvl w:ilvl="0" w:tplc="1C88DA7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20B74210"/>
    <w:multiLevelType w:val="hybridMultilevel"/>
    <w:tmpl w:val="17D6ED7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58413E"/>
    <w:multiLevelType w:val="hybridMultilevel"/>
    <w:tmpl w:val="091A9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F82080"/>
    <w:multiLevelType w:val="hybridMultilevel"/>
    <w:tmpl w:val="531254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2E676202"/>
    <w:multiLevelType w:val="hybridMultilevel"/>
    <w:tmpl w:val="838E54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8F72B5"/>
    <w:multiLevelType w:val="hybridMultilevel"/>
    <w:tmpl w:val="820A3778"/>
    <w:lvl w:ilvl="0" w:tplc="B9520F84">
      <w:start w:val="6"/>
      <w:numFmt w:val="bullet"/>
      <w:lvlText w:val="-"/>
      <w:lvlJc w:val="left"/>
      <w:pPr>
        <w:ind w:left="720" w:hanging="360"/>
      </w:pPr>
      <w:rPr>
        <w:rFonts w:ascii="Calibri" w:eastAsiaTheme="minorHAnsi" w:hAnsi="Calibri" w:cstheme="minorBid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B66F65"/>
    <w:multiLevelType w:val="hybridMultilevel"/>
    <w:tmpl w:val="2C68F824"/>
    <w:lvl w:ilvl="0" w:tplc="C0C613B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A670B9"/>
    <w:multiLevelType w:val="hybridMultilevel"/>
    <w:tmpl w:val="73C48554"/>
    <w:lvl w:ilvl="0" w:tplc="5FDACB0C">
      <w:start w:val="1"/>
      <w:numFmt w:val="lowerRoman"/>
      <w:lvlText w:val="(%1)"/>
      <w:lvlJc w:val="left"/>
      <w:pPr>
        <w:ind w:left="1004" w:hanging="360"/>
      </w:pPr>
      <w:rPr>
        <w:rFonts w:hint="default"/>
      </w:r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8" w15:restartNumberingAfterBreak="0">
    <w:nsid w:val="3E94727C"/>
    <w:multiLevelType w:val="hybridMultilevel"/>
    <w:tmpl w:val="82F6A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4A74CE"/>
    <w:multiLevelType w:val="hybridMultilevel"/>
    <w:tmpl w:val="CBDEB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D02179"/>
    <w:multiLevelType w:val="hybridMultilevel"/>
    <w:tmpl w:val="B1E8B34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CB3CC3"/>
    <w:multiLevelType w:val="hybridMultilevel"/>
    <w:tmpl w:val="AE347D32"/>
    <w:lvl w:ilvl="0" w:tplc="5FDACB0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1B6B84"/>
    <w:multiLevelType w:val="hybridMultilevel"/>
    <w:tmpl w:val="F2AC4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197EB6"/>
    <w:multiLevelType w:val="hybridMultilevel"/>
    <w:tmpl w:val="E5580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E26D42"/>
    <w:multiLevelType w:val="hybridMultilevel"/>
    <w:tmpl w:val="EC3E9F0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C8069A"/>
    <w:multiLevelType w:val="hybridMultilevel"/>
    <w:tmpl w:val="1A8CE42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B334AFA"/>
    <w:multiLevelType w:val="hybridMultilevel"/>
    <w:tmpl w:val="6888AA64"/>
    <w:lvl w:ilvl="0" w:tplc="080A0019">
      <w:start w:val="1"/>
      <w:numFmt w:val="lowerLetter"/>
      <w:lvlText w:val="%1."/>
      <w:lvlJc w:val="left"/>
      <w:pPr>
        <w:ind w:left="720" w:hanging="360"/>
      </w:pPr>
    </w:lvl>
    <w:lvl w:ilvl="1" w:tplc="531CCE02">
      <w:start w:val="1"/>
      <w:numFmt w:val="lowerRoman"/>
      <w:lvlText w:val="(%2)"/>
      <w:lvlJc w:val="left"/>
      <w:pPr>
        <w:ind w:left="1800" w:hanging="720"/>
      </w:pPr>
      <w:rPr>
        <w:rFonts w:cs="Arial,Bold"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3E50C2"/>
    <w:multiLevelType w:val="hybridMultilevel"/>
    <w:tmpl w:val="963AB33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20069"/>
    <w:multiLevelType w:val="hybridMultilevel"/>
    <w:tmpl w:val="3CDAF970"/>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325C66"/>
    <w:multiLevelType w:val="hybridMultilevel"/>
    <w:tmpl w:val="C7243D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AA3A2E"/>
    <w:multiLevelType w:val="multilevel"/>
    <w:tmpl w:val="4EB290F2"/>
    <w:lvl w:ilvl="0">
      <w:start w:val="1"/>
      <w:numFmt w:val="upperRoman"/>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75C00E5E"/>
    <w:multiLevelType w:val="hybridMultilevel"/>
    <w:tmpl w:val="E27AE2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
  </w:num>
  <w:num w:numId="3">
    <w:abstractNumId w:val="30"/>
  </w:num>
  <w:num w:numId="4">
    <w:abstractNumId w:val="22"/>
  </w:num>
  <w:num w:numId="5">
    <w:abstractNumId w:val="19"/>
  </w:num>
  <w:num w:numId="6">
    <w:abstractNumId w:val="23"/>
  </w:num>
  <w:num w:numId="7">
    <w:abstractNumId w:val="7"/>
  </w:num>
  <w:num w:numId="8">
    <w:abstractNumId w:val="6"/>
  </w:num>
  <w:num w:numId="9">
    <w:abstractNumId w:val="29"/>
  </w:num>
  <w:num w:numId="10">
    <w:abstractNumId w:val="26"/>
  </w:num>
  <w:num w:numId="11">
    <w:abstractNumId w:val="12"/>
  </w:num>
  <w:num w:numId="12">
    <w:abstractNumId w:val="17"/>
  </w:num>
  <w:num w:numId="13">
    <w:abstractNumId w:val="5"/>
  </w:num>
  <w:num w:numId="14">
    <w:abstractNumId w:val="0"/>
  </w:num>
  <w:num w:numId="15">
    <w:abstractNumId w:val="8"/>
  </w:num>
  <w:num w:numId="16">
    <w:abstractNumId w:val="16"/>
  </w:num>
  <w:num w:numId="17">
    <w:abstractNumId w:val="24"/>
  </w:num>
  <w:num w:numId="18">
    <w:abstractNumId w:val="21"/>
  </w:num>
  <w:num w:numId="19">
    <w:abstractNumId w:val="10"/>
  </w:num>
  <w:num w:numId="20">
    <w:abstractNumId w:val="1"/>
  </w:num>
  <w:num w:numId="21">
    <w:abstractNumId w:val="31"/>
  </w:num>
  <w:num w:numId="22">
    <w:abstractNumId w:val="20"/>
  </w:num>
  <w:num w:numId="23">
    <w:abstractNumId w:val="1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8"/>
  </w:num>
  <w:num w:numId="27">
    <w:abstractNumId w:val="2"/>
  </w:num>
  <w:num w:numId="28">
    <w:abstractNumId w:val="13"/>
  </w:num>
  <w:num w:numId="29">
    <w:abstractNumId w:val="15"/>
  </w:num>
  <w:num w:numId="30">
    <w:abstractNumId w:val="11"/>
  </w:num>
  <w:num w:numId="31">
    <w:abstractNumId w:val="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A0"/>
    <w:rsid w:val="00002828"/>
    <w:rsid w:val="000033E2"/>
    <w:rsid w:val="0000365A"/>
    <w:rsid w:val="000065B4"/>
    <w:rsid w:val="00006BCE"/>
    <w:rsid w:val="00006BD0"/>
    <w:rsid w:val="000105A8"/>
    <w:rsid w:val="00010E57"/>
    <w:rsid w:val="00013CEF"/>
    <w:rsid w:val="000175F1"/>
    <w:rsid w:val="00021C52"/>
    <w:rsid w:val="000228EC"/>
    <w:rsid w:val="0002437C"/>
    <w:rsid w:val="00024B04"/>
    <w:rsid w:val="00025A14"/>
    <w:rsid w:val="0002782D"/>
    <w:rsid w:val="000306FB"/>
    <w:rsid w:val="00030F28"/>
    <w:rsid w:val="000335DA"/>
    <w:rsid w:val="00033842"/>
    <w:rsid w:val="00036B0E"/>
    <w:rsid w:val="0004091C"/>
    <w:rsid w:val="00042291"/>
    <w:rsid w:val="0004576A"/>
    <w:rsid w:val="00045B0C"/>
    <w:rsid w:val="000467BD"/>
    <w:rsid w:val="00051250"/>
    <w:rsid w:val="0005125C"/>
    <w:rsid w:val="00053C6D"/>
    <w:rsid w:val="00057045"/>
    <w:rsid w:val="000571C3"/>
    <w:rsid w:val="000604A9"/>
    <w:rsid w:val="0006659A"/>
    <w:rsid w:val="00073A1E"/>
    <w:rsid w:val="000744EE"/>
    <w:rsid w:val="00074BB6"/>
    <w:rsid w:val="00074E5C"/>
    <w:rsid w:val="00075007"/>
    <w:rsid w:val="00081F84"/>
    <w:rsid w:val="00082B70"/>
    <w:rsid w:val="00083DF4"/>
    <w:rsid w:val="000845F0"/>
    <w:rsid w:val="000859B0"/>
    <w:rsid w:val="00087A63"/>
    <w:rsid w:val="000948CA"/>
    <w:rsid w:val="00096753"/>
    <w:rsid w:val="000A1940"/>
    <w:rsid w:val="000A1EDF"/>
    <w:rsid w:val="000A53D6"/>
    <w:rsid w:val="000B07AC"/>
    <w:rsid w:val="000B1349"/>
    <w:rsid w:val="000B1AB7"/>
    <w:rsid w:val="000B5DAE"/>
    <w:rsid w:val="000C3C5D"/>
    <w:rsid w:val="000C4A01"/>
    <w:rsid w:val="000C5C0F"/>
    <w:rsid w:val="000D4E4F"/>
    <w:rsid w:val="000D5D0E"/>
    <w:rsid w:val="000D6BF8"/>
    <w:rsid w:val="000E00E8"/>
    <w:rsid w:val="000E101B"/>
    <w:rsid w:val="000E5CA8"/>
    <w:rsid w:val="000E6D77"/>
    <w:rsid w:val="000F4B9F"/>
    <w:rsid w:val="000F5A8E"/>
    <w:rsid w:val="00100695"/>
    <w:rsid w:val="00101060"/>
    <w:rsid w:val="00101C1E"/>
    <w:rsid w:val="001035F9"/>
    <w:rsid w:val="001075FF"/>
    <w:rsid w:val="00107AE9"/>
    <w:rsid w:val="00107B28"/>
    <w:rsid w:val="00113759"/>
    <w:rsid w:val="001161D3"/>
    <w:rsid w:val="001203AD"/>
    <w:rsid w:val="00120470"/>
    <w:rsid w:val="001253A7"/>
    <w:rsid w:val="00132ED1"/>
    <w:rsid w:val="00136346"/>
    <w:rsid w:val="001462F1"/>
    <w:rsid w:val="00150ACB"/>
    <w:rsid w:val="00151C9B"/>
    <w:rsid w:val="00153D6A"/>
    <w:rsid w:val="00153EAE"/>
    <w:rsid w:val="00154662"/>
    <w:rsid w:val="00154B9D"/>
    <w:rsid w:val="00155B2D"/>
    <w:rsid w:val="00155FCB"/>
    <w:rsid w:val="001604F3"/>
    <w:rsid w:val="00162999"/>
    <w:rsid w:val="00167AC0"/>
    <w:rsid w:val="00171AB4"/>
    <w:rsid w:val="001720C9"/>
    <w:rsid w:val="00174FB7"/>
    <w:rsid w:val="0017550C"/>
    <w:rsid w:val="00176141"/>
    <w:rsid w:val="00176ECE"/>
    <w:rsid w:val="001814C4"/>
    <w:rsid w:val="0018484A"/>
    <w:rsid w:val="00184B52"/>
    <w:rsid w:val="00184EA3"/>
    <w:rsid w:val="0018559A"/>
    <w:rsid w:val="001901E2"/>
    <w:rsid w:val="00190DC4"/>
    <w:rsid w:val="00196867"/>
    <w:rsid w:val="0019686F"/>
    <w:rsid w:val="00196BCD"/>
    <w:rsid w:val="001A4980"/>
    <w:rsid w:val="001B20E7"/>
    <w:rsid w:val="001B6404"/>
    <w:rsid w:val="001B660C"/>
    <w:rsid w:val="001B67EC"/>
    <w:rsid w:val="001C3C56"/>
    <w:rsid w:val="001C586A"/>
    <w:rsid w:val="001C67E8"/>
    <w:rsid w:val="001D321B"/>
    <w:rsid w:val="001D6E3A"/>
    <w:rsid w:val="001E18DD"/>
    <w:rsid w:val="001E277E"/>
    <w:rsid w:val="001F0004"/>
    <w:rsid w:val="001F1E18"/>
    <w:rsid w:val="001F2D0B"/>
    <w:rsid w:val="001F3E3E"/>
    <w:rsid w:val="001F59BC"/>
    <w:rsid w:val="002003AD"/>
    <w:rsid w:val="00200493"/>
    <w:rsid w:val="0020212B"/>
    <w:rsid w:val="00204D1E"/>
    <w:rsid w:val="00205D60"/>
    <w:rsid w:val="00212B67"/>
    <w:rsid w:val="00212FBA"/>
    <w:rsid w:val="00213D7E"/>
    <w:rsid w:val="00214E52"/>
    <w:rsid w:val="00217758"/>
    <w:rsid w:val="00221303"/>
    <w:rsid w:val="0022351C"/>
    <w:rsid w:val="002242AF"/>
    <w:rsid w:val="00225359"/>
    <w:rsid w:val="002300FA"/>
    <w:rsid w:val="00234FCD"/>
    <w:rsid w:val="002372E6"/>
    <w:rsid w:val="002373F8"/>
    <w:rsid w:val="002410DE"/>
    <w:rsid w:val="0024195D"/>
    <w:rsid w:val="00241FD3"/>
    <w:rsid w:val="0025059D"/>
    <w:rsid w:val="00251961"/>
    <w:rsid w:val="00252655"/>
    <w:rsid w:val="0025606F"/>
    <w:rsid w:val="002622EA"/>
    <w:rsid w:val="002635B3"/>
    <w:rsid w:val="002639DB"/>
    <w:rsid w:val="00266F84"/>
    <w:rsid w:val="002734A4"/>
    <w:rsid w:val="002776C7"/>
    <w:rsid w:val="00277EDC"/>
    <w:rsid w:val="00285029"/>
    <w:rsid w:val="00285F84"/>
    <w:rsid w:val="00293285"/>
    <w:rsid w:val="0029362C"/>
    <w:rsid w:val="00293FB3"/>
    <w:rsid w:val="00295AF6"/>
    <w:rsid w:val="002A0540"/>
    <w:rsid w:val="002A4200"/>
    <w:rsid w:val="002A70E0"/>
    <w:rsid w:val="002B10F8"/>
    <w:rsid w:val="002B2118"/>
    <w:rsid w:val="002C47B6"/>
    <w:rsid w:val="002D5B94"/>
    <w:rsid w:val="002D7576"/>
    <w:rsid w:val="002D77C4"/>
    <w:rsid w:val="002E05CC"/>
    <w:rsid w:val="002E1040"/>
    <w:rsid w:val="002E12F4"/>
    <w:rsid w:val="002E2743"/>
    <w:rsid w:val="002E3D74"/>
    <w:rsid w:val="002E7CB1"/>
    <w:rsid w:val="002E7D8A"/>
    <w:rsid w:val="002F1F06"/>
    <w:rsid w:val="002F3220"/>
    <w:rsid w:val="002F61BB"/>
    <w:rsid w:val="003021B6"/>
    <w:rsid w:val="0030269E"/>
    <w:rsid w:val="00306221"/>
    <w:rsid w:val="00310122"/>
    <w:rsid w:val="00311CEE"/>
    <w:rsid w:val="00313BF0"/>
    <w:rsid w:val="00314E3C"/>
    <w:rsid w:val="00322ABA"/>
    <w:rsid w:val="00322FF9"/>
    <w:rsid w:val="00324A71"/>
    <w:rsid w:val="00331626"/>
    <w:rsid w:val="00332295"/>
    <w:rsid w:val="0033320E"/>
    <w:rsid w:val="00333DA3"/>
    <w:rsid w:val="00334AB5"/>
    <w:rsid w:val="00337E9C"/>
    <w:rsid w:val="00337FF4"/>
    <w:rsid w:val="00340117"/>
    <w:rsid w:val="003418E4"/>
    <w:rsid w:val="00342949"/>
    <w:rsid w:val="00342B01"/>
    <w:rsid w:val="00344962"/>
    <w:rsid w:val="00344D04"/>
    <w:rsid w:val="00351666"/>
    <w:rsid w:val="00363E38"/>
    <w:rsid w:val="00365E11"/>
    <w:rsid w:val="00367F6D"/>
    <w:rsid w:val="003705AA"/>
    <w:rsid w:val="00372608"/>
    <w:rsid w:val="00373FB8"/>
    <w:rsid w:val="00380F5B"/>
    <w:rsid w:val="00383567"/>
    <w:rsid w:val="00383CA4"/>
    <w:rsid w:val="003842D0"/>
    <w:rsid w:val="00384B0F"/>
    <w:rsid w:val="003900DF"/>
    <w:rsid w:val="00393918"/>
    <w:rsid w:val="00394344"/>
    <w:rsid w:val="00394BBB"/>
    <w:rsid w:val="00396312"/>
    <w:rsid w:val="003A66FE"/>
    <w:rsid w:val="003B4DE9"/>
    <w:rsid w:val="003C2F70"/>
    <w:rsid w:val="003C5CCF"/>
    <w:rsid w:val="003C5DD4"/>
    <w:rsid w:val="003C6510"/>
    <w:rsid w:val="003C7959"/>
    <w:rsid w:val="003D1C23"/>
    <w:rsid w:val="003D2991"/>
    <w:rsid w:val="003D34ED"/>
    <w:rsid w:val="003D64D2"/>
    <w:rsid w:val="003D7560"/>
    <w:rsid w:val="003D756E"/>
    <w:rsid w:val="003E0315"/>
    <w:rsid w:val="003E1A96"/>
    <w:rsid w:val="003E1F9F"/>
    <w:rsid w:val="003E3D7A"/>
    <w:rsid w:val="003E4551"/>
    <w:rsid w:val="003E4570"/>
    <w:rsid w:val="003F1E60"/>
    <w:rsid w:val="003F2556"/>
    <w:rsid w:val="00400EF5"/>
    <w:rsid w:val="00400F3F"/>
    <w:rsid w:val="00406B2A"/>
    <w:rsid w:val="00412A7F"/>
    <w:rsid w:val="004132B1"/>
    <w:rsid w:val="004161D0"/>
    <w:rsid w:val="00416CB0"/>
    <w:rsid w:val="00417096"/>
    <w:rsid w:val="00425866"/>
    <w:rsid w:val="00425FDA"/>
    <w:rsid w:val="004265EC"/>
    <w:rsid w:val="004268FA"/>
    <w:rsid w:val="004273AF"/>
    <w:rsid w:val="00427865"/>
    <w:rsid w:val="004331C5"/>
    <w:rsid w:val="004342E7"/>
    <w:rsid w:val="00437254"/>
    <w:rsid w:val="00437945"/>
    <w:rsid w:val="00437DE5"/>
    <w:rsid w:val="0044641D"/>
    <w:rsid w:val="00450924"/>
    <w:rsid w:val="00452CD1"/>
    <w:rsid w:val="0045335F"/>
    <w:rsid w:val="00454E91"/>
    <w:rsid w:val="00457C04"/>
    <w:rsid w:val="00457F6D"/>
    <w:rsid w:val="004637C2"/>
    <w:rsid w:val="004713D2"/>
    <w:rsid w:val="00473F0E"/>
    <w:rsid w:val="00473F96"/>
    <w:rsid w:val="00480122"/>
    <w:rsid w:val="00481381"/>
    <w:rsid w:val="00484786"/>
    <w:rsid w:val="00484A88"/>
    <w:rsid w:val="00485007"/>
    <w:rsid w:val="00485693"/>
    <w:rsid w:val="00486DE6"/>
    <w:rsid w:val="00493A69"/>
    <w:rsid w:val="004949C5"/>
    <w:rsid w:val="00495A5B"/>
    <w:rsid w:val="004A00FD"/>
    <w:rsid w:val="004A2F75"/>
    <w:rsid w:val="004B33A0"/>
    <w:rsid w:val="004B3935"/>
    <w:rsid w:val="004B3FDD"/>
    <w:rsid w:val="004C19F9"/>
    <w:rsid w:val="004C2643"/>
    <w:rsid w:val="004C518A"/>
    <w:rsid w:val="004C6FF5"/>
    <w:rsid w:val="004C7E24"/>
    <w:rsid w:val="004D2ADA"/>
    <w:rsid w:val="004D5502"/>
    <w:rsid w:val="004D5692"/>
    <w:rsid w:val="004D6731"/>
    <w:rsid w:val="004E14DF"/>
    <w:rsid w:val="004E18B6"/>
    <w:rsid w:val="004E30A3"/>
    <w:rsid w:val="004E404B"/>
    <w:rsid w:val="004E4933"/>
    <w:rsid w:val="004E5050"/>
    <w:rsid w:val="004E7264"/>
    <w:rsid w:val="004E76D9"/>
    <w:rsid w:val="004F3645"/>
    <w:rsid w:val="004F71DF"/>
    <w:rsid w:val="004F751C"/>
    <w:rsid w:val="0050115D"/>
    <w:rsid w:val="005013C7"/>
    <w:rsid w:val="00506BD2"/>
    <w:rsid w:val="005126CB"/>
    <w:rsid w:val="00513616"/>
    <w:rsid w:val="0051436D"/>
    <w:rsid w:val="00514D1B"/>
    <w:rsid w:val="00520043"/>
    <w:rsid w:val="005239B1"/>
    <w:rsid w:val="00523C0A"/>
    <w:rsid w:val="005326D9"/>
    <w:rsid w:val="00533EEC"/>
    <w:rsid w:val="00534DEC"/>
    <w:rsid w:val="0054181E"/>
    <w:rsid w:val="00541E38"/>
    <w:rsid w:val="005465DA"/>
    <w:rsid w:val="0054666F"/>
    <w:rsid w:val="00546FA0"/>
    <w:rsid w:val="005475C6"/>
    <w:rsid w:val="00551119"/>
    <w:rsid w:val="00555855"/>
    <w:rsid w:val="00561797"/>
    <w:rsid w:val="00567D56"/>
    <w:rsid w:val="005740AF"/>
    <w:rsid w:val="0057473E"/>
    <w:rsid w:val="00575273"/>
    <w:rsid w:val="005771D3"/>
    <w:rsid w:val="00580125"/>
    <w:rsid w:val="005813BE"/>
    <w:rsid w:val="0058319C"/>
    <w:rsid w:val="00583219"/>
    <w:rsid w:val="00583224"/>
    <w:rsid w:val="005844F7"/>
    <w:rsid w:val="00592E8D"/>
    <w:rsid w:val="005933AD"/>
    <w:rsid w:val="00593ADE"/>
    <w:rsid w:val="00593B48"/>
    <w:rsid w:val="00594ABE"/>
    <w:rsid w:val="005A0344"/>
    <w:rsid w:val="005A2636"/>
    <w:rsid w:val="005A2E6D"/>
    <w:rsid w:val="005A4909"/>
    <w:rsid w:val="005A7137"/>
    <w:rsid w:val="005B1BCD"/>
    <w:rsid w:val="005B25CD"/>
    <w:rsid w:val="005C0499"/>
    <w:rsid w:val="005C1634"/>
    <w:rsid w:val="005C3774"/>
    <w:rsid w:val="005C47D6"/>
    <w:rsid w:val="005C511B"/>
    <w:rsid w:val="005D57BC"/>
    <w:rsid w:val="005D5CE6"/>
    <w:rsid w:val="005E0A74"/>
    <w:rsid w:val="005E1993"/>
    <w:rsid w:val="005E207F"/>
    <w:rsid w:val="005E2510"/>
    <w:rsid w:val="005E4D4A"/>
    <w:rsid w:val="005E57AD"/>
    <w:rsid w:val="005E5BF0"/>
    <w:rsid w:val="005E64B0"/>
    <w:rsid w:val="005F345A"/>
    <w:rsid w:val="005F4E1B"/>
    <w:rsid w:val="005F62F7"/>
    <w:rsid w:val="005F655E"/>
    <w:rsid w:val="00611E80"/>
    <w:rsid w:val="00612ED1"/>
    <w:rsid w:val="006132C4"/>
    <w:rsid w:val="0061429E"/>
    <w:rsid w:val="00616432"/>
    <w:rsid w:val="00620C5B"/>
    <w:rsid w:val="00634657"/>
    <w:rsid w:val="00634DFB"/>
    <w:rsid w:val="006353B6"/>
    <w:rsid w:val="00637E64"/>
    <w:rsid w:val="006422D2"/>
    <w:rsid w:val="00644A14"/>
    <w:rsid w:val="006451B8"/>
    <w:rsid w:val="006503E1"/>
    <w:rsid w:val="00657339"/>
    <w:rsid w:val="006642E1"/>
    <w:rsid w:val="00670674"/>
    <w:rsid w:val="006775D5"/>
    <w:rsid w:val="00683C4A"/>
    <w:rsid w:val="0068696B"/>
    <w:rsid w:val="006947B8"/>
    <w:rsid w:val="00694AB7"/>
    <w:rsid w:val="006959E4"/>
    <w:rsid w:val="00697C9D"/>
    <w:rsid w:val="006A1DAA"/>
    <w:rsid w:val="006A63B7"/>
    <w:rsid w:val="006A6526"/>
    <w:rsid w:val="006A6756"/>
    <w:rsid w:val="006A6A46"/>
    <w:rsid w:val="006B1BDF"/>
    <w:rsid w:val="006B2BDE"/>
    <w:rsid w:val="006B326A"/>
    <w:rsid w:val="006C0E14"/>
    <w:rsid w:val="006C4E0A"/>
    <w:rsid w:val="006C6DD7"/>
    <w:rsid w:val="006D109B"/>
    <w:rsid w:val="006D1E91"/>
    <w:rsid w:val="006D2CE3"/>
    <w:rsid w:val="006D334A"/>
    <w:rsid w:val="006E039D"/>
    <w:rsid w:val="006E2C8F"/>
    <w:rsid w:val="006E690A"/>
    <w:rsid w:val="006E7104"/>
    <w:rsid w:val="006E75F6"/>
    <w:rsid w:val="006E7C35"/>
    <w:rsid w:val="006F130C"/>
    <w:rsid w:val="006F1992"/>
    <w:rsid w:val="006F4E63"/>
    <w:rsid w:val="00701521"/>
    <w:rsid w:val="007075F1"/>
    <w:rsid w:val="00710C10"/>
    <w:rsid w:val="00714F77"/>
    <w:rsid w:val="00720445"/>
    <w:rsid w:val="0072681B"/>
    <w:rsid w:val="007273ED"/>
    <w:rsid w:val="0072786F"/>
    <w:rsid w:val="00732AD8"/>
    <w:rsid w:val="00734117"/>
    <w:rsid w:val="0073516E"/>
    <w:rsid w:val="00736D65"/>
    <w:rsid w:val="007421E1"/>
    <w:rsid w:val="00742B54"/>
    <w:rsid w:val="007437F7"/>
    <w:rsid w:val="00746260"/>
    <w:rsid w:val="00750DB8"/>
    <w:rsid w:val="0075192A"/>
    <w:rsid w:val="00752BEE"/>
    <w:rsid w:val="00753AC7"/>
    <w:rsid w:val="00757DB7"/>
    <w:rsid w:val="00761888"/>
    <w:rsid w:val="007658E4"/>
    <w:rsid w:val="00766E35"/>
    <w:rsid w:val="00767B59"/>
    <w:rsid w:val="007741CD"/>
    <w:rsid w:val="00780DB8"/>
    <w:rsid w:val="007816A4"/>
    <w:rsid w:val="00783FAE"/>
    <w:rsid w:val="00790744"/>
    <w:rsid w:val="00791C0D"/>
    <w:rsid w:val="00795798"/>
    <w:rsid w:val="007A11E9"/>
    <w:rsid w:val="007A2716"/>
    <w:rsid w:val="007A59F7"/>
    <w:rsid w:val="007A5AEE"/>
    <w:rsid w:val="007A67A3"/>
    <w:rsid w:val="007A6CBD"/>
    <w:rsid w:val="007A74D8"/>
    <w:rsid w:val="007A7F5D"/>
    <w:rsid w:val="007B127B"/>
    <w:rsid w:val="007B1303"/>
    <w:rsid w:val="007B3DEE"/>
    <w:rsid w:val="007B7532"/>
    <w:rsid w:val="007C0C89"/>
    <w:rsid w:val="007C15EE"/>
    <w:rsid w:val="007C7758"/>
    <w:rsid w:val="007D1EA6"/>
    <w:rsid w:val="007D28D6"/>
    <w:rsid w:val="007D2980"/>
    <w:rsid w:val="007D2BE9"/>
    <w:rsid w:val="007D5053"/>
    <w:rsid w:val="007D5A4C"/>
    <w:rsid w:val="007D7ED7"/>
    <w:rsid w:val="007E1B4B"/>
    <w:rsid w:val="007E2066"/>
    <w:rsid w:val="007E75E2"/>
    <w:rsid w:val="007F1399"/>
    <w:rsid w:val="007F1E14"/>
    <w:rsid w:val="007F2A56"/>
    <w:rsid w:val="007F67C2"/>
    <w:rsid w:val="00800224"/>
    <w:rsid w:val="00804825"/>
    <w:rsid w:val="008049B4"/>
    <w:rsid w:val="00804C7A"/>
    <w:rsid w:val="008148FB"/>
    <w:rsid w:val="00817507"/>
    <w:rsid w:val="008271AE"/>
    <w:rsid w:val="00830162"/>
    <w:rsid w:val="008323A2"/>
    <w:rsid w:val="008324A4"/>
    <w:rsid w:val="00834907"/>
    <w:rsid w:val="00834B03"/>
    <w:rsid w:val="00840064"/>
    <w:rsid w:val="0084237E"/>
    <w:rsid w:val="008435D7"/>
    <w:rsid w:val="00846FB3"/>
    <w:rsid w:val="0085107B"/>
    <w:rsid w:val="00854909"/>
    <w:rsid w:val="00854AE7"/>
    <w:rsid w:val="00855820"/>
    <w:rsid w:val="00856198"/>
    <w:rsid w:val="008603E2"/>
    <w:rsid w:val="00871A84"/>
    <w:rsid w:val="008745AA"/>
    <w:rsid w:val="00877777"/>
    <w:rsid w:val="008839C9"/>
    <w:rsid w:val="0088514F"/>
    <w:rsid w:val="00892028"/>
    <w:rsid w:val="0089248D"/>
    <w:rsid w:val="00892613"/>
    <w:rsid w:val="00895BEF"/>
    <w:rsid w:val="00896BA2"/>
    <w:rsid w:val="008974E3"/>
    <w:rsid w:val="008A1B7F"/>
    <w:rsid w:val="008A5EDC"/>
    <w:rsid w:val="008A602A"/>
    <w:rsid w:val="008B115B"/>
    <w:rsid w:val="008B2AC8"/>
    <w:rsid w:val="008B4FBC"/>
    <w:rsid w:val="008B5B06"/>
    <w:rsid w:val="008B699F"/>
    <w:rsid w:val="008C156F"/>
    <w:rsid w:val="008C273E"/>
    <w:rsid w:val="008C30FF"/>
    <w:rsid w:val="008C32F1"/>
    <w:rsid w:val="008C406A"/>
    <w:rsid w:val="008C4852"/>
    <w:rsid w:val="008C4E5E"/>
    <w:rsid w:val="008C6E82"/>
    <w:rsid w:val="008D3209"/>
    <w:rsid w:val="008D5AC1"/>
    <w:rsid w:val="008D738B"/>
    <w:rsid w:val="008E4E78"/>
    <w:rsid w:val="008E6167"/>
    <w:rsid w:val="008E6769"/>
    <w:rsid w:val="008F32F1"/>
    <w:rsid w:val="00900787"/>
    <w:rsid w:val="009062BA"/>
    <w:rsid w:val="00910E7C"/>
    <w:rsid w:val="009112A6"/>
    <w:rsid w:val="009132F3"/>
    <w:rsid w:val="00915F1E"/>
    <w:rsid w:val="00920F08"/>
    <w:rsid w:val="00923375"/>
    <w:rsid w:val="00923C29"/>
    <w:rsid w:val="00923ECF"/>
    <w:rsid w:val="00924A30"/>
    <w:rsid w:val="00926DB0"/>
    <w:rsid w:val="00927367"/>
    <w:rsid w:val="00927808"/>
    <w:rsid w:val="0093114D"/>
    <w:rsid w:val="00933705"/>
    <w:rsid w:val="00936207"/>
    <w:rsid w:val="00941537"/>
    <w:rsid w:val="00943A16"/>
    <w:rsid w:val="009441D8"/>
    <w:rsid w:val="0094514E"/>
    <w:rsid w:val="009463F7"/>
    <w:rsid w:val="0095038B"/>
    <w:rsid w:val="00950FD4"/>
    <w:rsid w:val="00951525"/>
    <w:rsid w:val="00951DFA"/>
    <w:rsid w:val="0095387A"/>
    <w:rsid w:val="00953BCE"/>
    <w:rsid w:val="00955936"/>
    <w:rsid w:val="00957C4E"/>
    <w:rsid w:val="00961AAF"/>
    <w:rsid w:val="00962F8E"/>
    <w:rsid w:val="0096366F"/>
    <w:rsid w:val="00964C5E"/>
    <w:rsid w:val="0096513C"/>
    <w:rsid w:val="009656CD"/>
    <w:rsid w:val="00965ED2"/>
    <w:rsid w:val="00977704"/>
    <w:rsid w:val="00977C84"/>
    <w:rsid w:val="00982A61"/>
    <w:rsid w:val="00982E23"/>
    <w:rsid w:val="00992EE0"/>
    <w:rsid w:val="009961FD"/>
    <w:rsid w:val="00996BA5"/>
    <w:rsid w:val="009A0182"/>
    <w:rsid w:val="009A5BD1"/>
    <w:rsid w:val="009A720C"/>
    <w:rsid w:val="009B46CF"/>
    <w:rsid w:val="009C0572"/>
    <w:rsid w:val="009C3BEE"/>
    <w:rsid w:val="009C3C82"/>
    <w:rsid w:val="009C60B2"/>
    <w:rsid w:val="009D19F2"/>
    <w:rsid w:val="009D2594"/>
    <w:rsid w:val="009D6CCB"/>
    <w:rsid w:val="009D77EC"/>
    <w:rsid w:val="009E290F"/>
    <w:rsid w:val="009E5CC1"/>
    <w:rsid w:val="009E7706"/>
    <w:rsid w:val="009F02C9"/>
    <w:rsid w:val="009F0D3C"/>
    <w:rsid w:val="009F1835"/>
    <w:rsid w:val="009F3D8D"/>
    <w:rsid w:val="009F46EE"/>
    <w:rsid w:val="009F7802"/>
    <w:rsid w:val="00A00693"/>
    <w:rsid w:val="00A012C0"/>
    <w:rsid w:val="00A01F32"/>
    <w:rsid w:val="00A05081"/>
    <w:rsid w:val="00A05454"/>
    <w:rsid w:val="00A12683"/>
    <w:rsid w:val="00A1295B"/>
    <w:rsid w:val="00A14292"/>
    <w:rsid w:val="00A215C2"/>
    <w:rsid w:val="00A34B52"/>
    <w:rsid w:val="00A51054"/>
    <w:rsid w:val="00A53B81"/>
    <w:rsid w:val="00A54103"/>
    <w:rsid w:val="00A612B9"/>
    <w:rsid w:val="00A63355"/>
    <w:rsid w:val="00A648C1"/>
    <w:rsid w:val="00A67A12"/>
    <w:rsid w:val="00A67E95"/>
    <w:rsid w:val="00A67F59"/>
    <w:rsid w:val="00A74F80"/>
    <w:rsid w:val="00A75065"/>
    <w:rsid w:val="00A75CC8"/>
    <w:rsid w:val="00A77F65"/>
    <w:rsid w:val="00A85B7F"/>
    <w:rsid w:val="00A91A32"/>
    <w:rsid w:val="00A95090"/>
    <w:rsid w:val="00A96AEC"/>
    <w:rsid w:val="00A96CE4"/>
    <w:rsid w:val="00AA0687"/>
    <w:rsid w:val="00AA7936"/>
    <w:rsid w:val="00AB7259"/>
    <w:rsid w:val="00AD36C1"/>
    <w:rsid w:val="00AD3C31"/>
    <w:rsid w:val="00AD49C5"/>
    <w:rsid w:val="00AE05FC"/>
    <w:rsid w:val="00AE0A79"/>
    <w:rsid w:val="00AE1643"/>
    <w:rsid w:val="00AE2A36"/>
    <w:rsid w:val="00AF560A"/>
    <w:rsid w:val="00AF6DDF"/>
    <w:rsid w:val="00AF7132"/>
    <w:rsid w:val="00B04205"/>
    <w:rsid w:val="00B04D49"/>
    <w:rsid w:val="00B14031"/>
    <w:rsid w:val="00B2026C"/>
    <w:rsid w:val="00B21721"/>
    <w:rsid w:val="00B21A24"/>
    <w:rsid w:val="00B22804"/>
    <w:rsid w:val="00B23594"/>
    <w:rsid w:val="00B25E8C"/>
    <w:rsid w:val="00B26DE6"/>
    <w:rsid w:val="00B311BA"/>
    <w:rsid w:val="00B3179C"/>
    <w:rsid w:val="00B32000"/>
    <w:rsid w:val="00B33062"/>
    <w:rsid w:val="00B353EA"/>
    <w:rsid w:val="00B355E3"/>
    <w:rsid w:val="00B3574E"/>
    <w:rsid w:val="00B435CD"/>
    <w:rsid w:val="00B43C95"/>
    <w:rsid w:val="00B456D6"/>
    <w:rsid w:val="00B47ADF"/>
    <w:rsid w:val="00B521D4"/>
    <w:rsid w:val="00B56B9F"/>
    <w:rsid w:val="00B607C7"/>
    <w:rsid w:val="00B614E2"/>
    <w:rsid w:val="00B64A76"/>
    <w:rsid w:val="00B673B6"/>
    <w:rsid w:val="00B7335A"/>
    <w:rsid w:val="00B757D8"/>
    <w:rsid w:val="00B75E1A"/>
    <w:rsid w:val="00B808C4"/>
    <w:rsid w:val="00B80B72"/>
    <w:rsid w:val="00B84B46"/>
    <w:rsid w:val="00B85E74"/>
    <w:rsid w:val="00B86E26"/>
    <w:rsid w:val="00B8733A"/>
    <w:rsid w:val="00B874A2"/>
    <w:rsid w:val="00B900A3"/>
    <w:rsid w:val="00B91527"/>
    <w:rsid w:val="00B91AC9"/>
    <w:rsid w:val="00B9231B"/>
    <w:rsid w:val="00B93ABF"/>
    <w:rsid w:val="00B94E97"/>
    <w:rsid w:val="00B9696B"/>
    <w:rsid w:val="00BA07C5"/>
    <w:rsid w:val="00BA0B69"/>
    <w:rsid w:val="00BA4A65"/>
    <w:rsid w:val="00BB4235"/>
    <w:rsid w:val="00BC058E"/>
    <w:rsid w:val="00BC50AB"/>
    <w:rsid w:val="00BD25FF"/>
    <w:rsid w:val="00BD30B5"/>
    <w:rsid w:val="00BD433B"/>
    <w:rsid w:val="00BD4ABC"/>
    <w:rsid w:val="00BD5482"/>
    <w:rsid w:val="00BD71DB"/>
    <w:rsid w:val="00BE73E6"/>
    <w:rsid w:val="00BE77B1"/>
    <w:rsid w:val="00BF0A1C"/>
    <w:rsid w:val="00BF0D6F"/>
    <w:rsid w:val="00C005E4"/>
    <w:rsid w:val="00C01890"/>
    <w:rsid w:val="00C0196F"/>
    <w:rsid w:val="00C0220A"/>
    <w:rsid w:val="00C107C8"/>
    <w:rsid w:val="00C11B3E"/>
    <w:rsid w:val="00C16C7A"/>
    <w:rsid w:val="00C17502"/>
    <w:rsid w:val="00C20704"/>
    <w:rsid w:val="00C21003"/>
    <w:rsid w:val="00C242F1"/>
    <w:rsid w:val="00C25276"/>
    <w:rsid w:val="00C31269"/>
    <w:rsid w:val="00C3370D"/>
    <w:rsid w:val="00C42646"/>
    <w:rsid w:val="00C475A3"/>
    <w:rsid w:val="00C5152F"/>
    <w:rsid w:val="00C52D36"/>
    <w:rsid w:val="00C5499B"/>
    <w:rsid w:val="00C63BC4"/>
    <w:rsid w:val="00C64943"/>
    <w:rsid w:val="00C66695"/>
    <w:rsid w:val="00C7004B"/>
    <w:rsid w:val="00C70924"/>
    <w:rsid w:val="00C7197F"/>
    <w:rsid w:val="00C728A4"/>
    <w:rsid w:val="00C7493C"/>
    <w:rsid w:val="00C7519A"/>
    <w:rsid w:val="00C76A64"/>
    <w:rsid w:val="00C76A8E"/>
    <w:rsid w:val="00C76B0D"/>
    <w:rsid w:val="00C856BC"/>
    <w:rsid w:val="00C86B8A"/>
    <w:rsid w:val="00C91BA2"/>
    <w:rsid w:val="00C9266D"/>
    <w:rsid w:val="00C92CEC"/>
    <w:rsid w:val="00C95428"/>
    <w:rsid w:val="00C97588"/>
    <w:rsid w:val="00C97C1F"/>
    <w:rsid w:val="00CA13F2"/>
    <w:rsid w:val="00CA3ECC"/>
    <w:rsid w:val="00CB3A0C"/>
    <w:rsid w:val="00CB3E1C"/>
    <w:rsid w:val="00CB4597"/>
    <w:rsid w:val="00CC2E21"/>
    <w:rsid w:val="00CC5D24"/>
    <w:rsid w:val="00CC6023"/>
    <w:rsid w:val="00CC6A21"/>
    <w:rsid w:val="00CC75D4"/>
    <w:rsid w:val="00CC788C"/>
    <w:rsid w:val="00CD5787"/>
    <w:rsid w:val="00CD5978"/>
    <w:rsid w:val="00CD6344"/>
    <w:rsid w:val="00CE1651"/>
    <w:rsid w:val="00CE1B79"/>
    <w:rsid w:val="00CE5B90"/>
    <w:rsid w:val="00CE5F67"/>
    <w:rsid w:val="00CF0F41"/>
    <w:rsid w:val="00D02A52"/>
    <w:rsid w:val="00D07F9F"/>
    <w:rsid w:val="00D100D3"/>
    <w:rsid w:val="00D215BB"/>
    <w:rsid w:val="00D23B2E"/>
    <w:rsid w:val="00D2537B"/>
    <w:rsid w:val="00D26796"/>
    <w:rsid w:val="00D26C7F"/>
    <w:rsid w:val="00D32D95"/>
    <w:rsid w:val="00D332A6"/>
    <w:rsid w:val="00D34D71"/>
    <w:rsid w:val="00D377D6"/>
    <w:rsid w:val="00D53B40"/>
    <w:rsid w:val="00D55C7B"/>
    <w:rsid w:val="00D56669"/>
    <w:rsid w:val="00D56E0C"/>
    <w:rsid w:val="00D60685"/>
    <w:rsid w:val="00D630C2"/>
    <w:rsid w:val="00D64F40"/>
    <w:rsid w:val="00D65387"/>
    <w:rsid w:val="00D665BB"/>
    <w:rsid w:val="00D667F6"/>
    <w:rsid w:val="00D66837"/>
    <w:rsid w:val="00D75703"/>
    <w:rsid w:val="00D81036"/>
    <w:rsid w:val="00D82BF3"/>
    <w:rsid w:val="00D85641"/>
    <w:rsid w:val="00D90194"/>
    <w:rsid w:val="00D90366"/>
    <w:rsid w:val="00DA4E62"/>
    <w:rsid w:val="00DA6A26"/>
    <w:rsid w:val="00DA77E2"/>
    <w:rsid w:val="00DB02B4"/>
    <w:rsid w:val="00DB02CB"/>
    <w:rsid w:val="00DB0F05"/>
    <w:rsid w:val="00DB39A2"/>
    <w:rsid w:val="00DB5063"/>
    <w:rsid w:val="00DB5504"/>
    <w:rsid w:val="00DB5A53"/>
    <w:rsid w:val="00DB6A8D"/>
    <w:rsid w:val="00DB745D"/>
    <w:rsid w:val="00DB7691"/>
    <w:rsid w:val="00DC03DC"/>
    <w:rsid w:val="00DC172D"/>
    <w:rsid w:val="00DC2CCF"/>
    <w:rsid w:val="00DC33F1"/>
    <w:rsid w:val="00DC629D"/>
    <w:rsid w:val="00DD0888"/>
    <w:rsid w:val="00DD1485"/>
    <w:rsid w:val="00DD4A0F"/>
    <w:rsid w:val="00DD5C83"/>
    <w:rsid w:val="00DD6459"/>
    <w:rsid w:val="00DD737E"/>
    <w:rsid w:val="00DE2CA3"/>
    <w:rsid w:val="00DE34FE"/>
    <w:rsid w:val="00DF0690"/>
    <w:rsid w:val="00DF0E7A"/>
    <w:rsid w:val="00DF125F"/>
    <w:rsid w:val="00DF29CC"/>
    <w:rsid w:val="00DF57C0"/>
    <w:rsid w:val="00E0360A"/>
    <w:rsid w:val="00E04406"/>
    <w:rsid w:val="00E06B19"/>
    <w:rsid w:val="00E06F95"/>
    <w:rsid w:val="00E07639"/>
    <w:rsid w:val="00E1070C"/>
    <w:rsid w:val="00E10B48"/>
    <w:rsid w:val="00E11E70"/>
    <w:rsid w:val="00E150CC"/>
    <w:rsid w:val="00E15422"/>
    <w:rsid w:val="00E156C4"/>
    <w:rsid w:val="00E15C27"/>
    <w:rsid w:val="00E1606D"/>
    <w:rsid w:val="00E1613B"/>
    <w:rsid w:val="00E1783A"/>
    <w:rsid w:val="00E24489"/>
    <w:rsid w:val="00E2462E"/>
    <w:rsid w:val="00E2696C"/>
    <w:rsid w:val="00E27C24"/>
    <w:rsid w:val="00E30972"/>
    <w:rsid w:val="00E37C2F"/>
    <w:rsid w:val="00E403D5"/>
    <w:rsid w:val="00E44116"/>
    <w:rsid w:val="00E52E5C"/>
    <w:rsid w:val="00E52F67"/>
    <w:rsid w:val="00E53E29"/>
    <w:rsid w:val="00E56DCE"/>
    <w:rsid w:val="00E57020"/>
    <w:rsid w:val="00E5759D"/>
    <w:rsid w:val="00E60D9C"/>
    <w:rsid w:val="00E6182C"/>
    <w:rsid w:val="00E62080"/>
    <w:rsid w:val="00E642D8"/>
    <w:rsid w:val="00E657B6"/>
    <w:rsid w:val="00E672F9"/>
    <w:rsid w:val="00E67CD0"/>
    <w:rsid w:val="00E72F29"/>
    <w:rsid w:val="00E730B5"/>
    <w:rsid w:val="00E7326B"/>
    <w:rsid w:val="00E75C31"/>
    <w:rsid w:val="00E75EFC"/>
    <w:rsid w:val="00E804ED"/>
    <w:rsid w:val="00E8065D"/>
    <w:rsid w:val="00E836B8"/>
    <w:rsid w:val="00E83CA3"/>
    <w:rsid w:val="00E92D57"/>
    <w:rsid w:val="00E94371"/>
    <w:rsid w:val="00E95800"/>
    <w:rsid w:val="00E96946"/>
    <w:rsid w:val="00E96D4D"/>
    <w:rsid w:val="00E97AD5"/>
    <w:rsid w:val="00EA0B17"/>
    <w:rsid w:val="00EB3C40"/>
    <w:rsid w:val="00EB3F4C"/>
    <w:rsid w:val="00EB6830"/>
    <w:rsid w:val="00EB6F2B"/>
    <w:rsid w:val="00EC146E"/>
    <w:rsid w:val="00EC1F1E"/>
    <w:rsid w:val="00EC4DCA"/>
    <w:rsid w:val="00EC5917"/>
    <w:rsid w:val="00ED2C1C"/>
    <w:rsid w:val="00ED3B8E"/>
    <w:rsid w:val="00ED4573"/>
    <w:rsid w:val="00EE18E0"/>
    <w:rsid w:val="00EE410C"/>
    <w:rsid w:val="00EE4BF1"/>
    <w:rsid w:val="00EE6EC3"/>
    <w:rsid w:val="00EF2EFB"/>
    <w:rsid w:val="00EF4696"/>
    <w:rsid w:val="00EF5AB6"/>
    <w:rsid w:val="00EF5C0F"/>
    <w:rsid w:val="00EF6F5A"/>
    <w:rsid w:val="00EF6FBE"/>
    <w:rsid w:val="00F04F2A"/>
    <w:rsid w:val="00F07100"/>
    <w:rsid w:val="00F1486B"/>
    <w:rsid w:val="00F15513"/>
    <w:rsid w:val="00F16178"/>
    <w:rsid w:val="00F17F11"/>
    <w:rsid w:val="00F211A1"/>
    <w:rsid w:val="00F21A15"/>
    <w:rsid w:val="00F23710"/>
    <w:rsid w:val="00F31C51"/>
    <w:rsid w:val="00F351F1"/>
    <w:rsid w:val="00F35E57"/>
    <w:rsid w:val="00F3622C"/>
    <w:rsid w:val="00F36AB7"/>
    <w:rsid w:val="00F41F12"/>
    <w:rsid w:val="00F42147"/>
    <w:rsid w:val="00F4219C"/>
    <w:rsid w:val="00F4274A"/>
    <w:rsid w:val="00F6175A"/>
    <w:rsid w:val="00F637C2"/>
    <w:rsid w:val="00F65C89"/>
    <w:rsid w:val="00F7028F"/>
    <w:rsid w:val="00F71F9C"/>
    <w:rsid w:val="00F81237"/>
    <w:rsid w:val="00F81CB1"/>
    <w:rsid w:val="00F827F9"/>
    <w:rsid w:val="00F86429"/>
    <w:rsid w:val="00F86B22"/>
    <w:rsid w:val="00F928EC"/>
    <w:rsid w:val="00F95C54"/>
    <w:rsid w:val="00FA1E00"/>
    <w:rsid w:val="00FA4F40"/>
    <w:rsid w:val="00FA5606"/>
    <w:rsid w:val="00FA56A7"/>
    <w:rsid w:val="00FA57A9"/>
    <w:rsid w:val="00FA6872"/>
    <w:rsid w:val="00FB6271"/>
    <w:rsid w:val="00FB799E"/>
    <w:rsid w:val="00FC285D"/>
    <w:rsid w:val="00FC4797"/>
    <w:rsid w:val="00FC781E"/>
    <w:rsid w:val="00FD002D"/>
    <w:rsid w:val="00FD07DE"/>
    <w:rsid w:val="00FD7230"/>
    <w:rsid w:val="00FD76FB"/>
    <w:rsid w:val="00FD7C86"/>
    <w:rsid w:val="00FE1ECE"/>
    <w:rsid w:val="00FE5636"/>
    <w:rsid w:val="00FF0310"/>
    <w:rsid w:val="00FF04A3"/>
    <w:rsid w:val="00FF0520"/>
    <w:rsid w:val="00FF5B6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87938"/>
  <w15:docId w15:val="{C16035DE-F4CD-42D9-8FF9-FD6A98F3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D36C1"/>
    <w:pPr>
      <w:ind w:left="720"/>
      <w:contextualSpacing/>
    </w:pPr>
  </w:style>
  <w:style w:type="character" w:styleId="Refdecomentario">
    <w:name w:val="annotation reference"/>
    <w:basedOn w:val="Fuentedeprrafopredeter"/>
    <w:uiPriority w:val="99"/>
    <w:semiHidden/>
    <w:unhideWhenUsed/>
    <w:rsid w:val="00953BCE"/>
    <w:rPr>
      <w:sz w:val="16"/>
      <w:szCs w:val="16"/>
    </w:rPr>
  </w:style>
  <w:style w:type="paragraph" w:styleId="Textocomentario">
    <w:name w:val="annotation text"/>
    <w:basedOn w:val="Normal"/>
    <w:link w:val="TextocomentarioCar"/>
    <w:uiPriority w:val="99"/>
    <w:semiHidden/>
    <w:unhideWhenUsed/>
    <w:rsid w:val="00953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3BCE"/>
    <w:rPr>
      <w:sz w:val="20"/>
      <w:szCs w:val="20"/>
    </w:rPr>
  </w:style>
  <w:style w:type="paragraph" w:styleId="Asuntodelcomentario">
    <w:name w:val="annotation subject"/>
    <w:basedOn w:val="Textocomentario"/>
    <w:next w:val="Textocomentario"/>
    <w:link w:val="AsuntodelcomentarioCar"/>
    <w:uiPriority w:val="99"/>
    <w:semiHidden/>
    <w:unhideWhenUsed/>
    <w:rsid w:val="00953BCE"/>
    <w:rPr>
      <w:b/>
      <w:bCs/>
    </w:rPr>
  </w:style>
  <w:style w:type="character" w:customStyle="1" w:styleId="AsuntodelcomentarioCar">
    <w:name w:val="Asunto del comentario Car"/>
    <w:basedOn w:val="TextocomentarioCar"/>
    <w:link w:val="Asuntodelcomentario"/>
    <w:uiPriority w:val="99"/>
    <w:semiHidden/>
    <w:rsid w:val="00953BCE"/>
    <w:rPr>
      <w:b/>
      <w:bCs/>
      <w:sz w:val="20"/>
      <w:szCs w:val="20"/>
    </w:rPr>
  </w:style>
  <w:style w:type="paragraph" w:styleId="Textodeglobo">
    <w:name w:val="Balloon Text"/>
    <w:basedOn w:val="Normal"/>
    <w:link w:val="TextodegloboCar"/>
    <w:uiPriority w:val="99"/>
    <w:semiHidden/>
    <w:unhideWhenUsed/>
    <w:rsid w:val="00953B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3BCE"/>
    <w:rPr>
      <w:rFonts w:ascii="Segoe UI" w:hAnsi="Segoe UI" w:cs="Segoe UI"/>
      <w:sz w:val="18"/>
      <w:szCs w:val="18"/>
    </w:rPr>
  </w:style>
  <w:style w:type="paragraph" w:styleId="Encabezado">
    <w:name w:val="header"/>
    <w:basedOn w:val="Normal"/>
    <w:link w:val="EncabezadoCar"/>
    <w:uiPriority w:val="99"/>
    <w:unhideWhenUsed/>
    <w:rsid w:val="00153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D6A"/>
  </w:style>
  <w:style w:type="paragraph" w:styleId="Piedepgina">
    <w:name w:val="footer"/>
    <w:basedOn w:val="Normal"/>
    <w:link w:val="PiedepginaCar"/>
    <w:uiPriority w:val="99"/>
    <w:unhideWhenUsed/>
    <w:rsid w:val="00153D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D6A"/>
  </w:style>
  <w:style w:type="character" w:styleId="Refdenotaalpie">
    <w:name w:val="footnote reference"/>
    <w:basedOn w:val="Fuentedeprrafopredeter"/>
    <w:uiPriority w:val="99"/>
    <w:semiHidden/>
    <w:unhideWhenUsed/>
    <w:rsid w:val="00153D6A"/>
    <w:rPr>
      <w:vertAlign w:val="superscript"/>
    </w:rPr>
  </w:style>
  <w:style w:type="paragraph" w:styleId="Textonotapie">
    <w:name w:val="footnote text"/>
    <w:basedOn w:val="Normal"/>
    <w:link w:val="TextonotapieCar"/>
    <w:uiPriority w:val="99"/>
    <w:semiHidden/>
    <w:unhideWhenUsed/>
    <w:rsid w:val="00153D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3D6A"/>
    <w:rPr>
      <w:sz w:val="20"/>
      <w:szCs w:val="20"/>
    </w:rPr>
  </w:style>
  <w:style w:type="character" w:customStyle="1" w:styleId="PrrafodelistaCar">
    <w:name w:val="Párrafo de lista Car"/>
    <w:link w:val="Prrafodelista"/>
    <w:uiPriority w:val="34"/>
    <w:locked/>
    <w:rsid w:val="00DF0E7A"/>
  </w:style>
  <w:style w:type="paragraph" w:customStyle="1" w:styleId="estilo30">
    <w:name w:val="estilo30"/>
    <w:basedOn w:val="Normal"/>
    <w:uiPriority w:val="99"/>
    <w:rsid w:val="00400F3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6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0269E"/>
    <w:pPr>
      <w:spacing w:after="0" w:line="240" w:lineRule="auto"/>
    </w:pPr>
  </w:style>
  <w:style w:type="character" w:customStyle="1" w:styleId="SinespaciadoCar">
    <w:name w:val="Sin espaciado Car"/>
    <w:basedOn w:val="Fuentedeprrafopredeter"/>
    <w:link w:val="Sinespaciado"/>
    <w:uiPriority w:val="1"/>
    <w:locked/>
    <w:rsid w:val="008B115B"/>
    <w:rPr>
      <w:rFonts w:ascii="Calibri" w:hAnsi="Calibri"/>
    </w:rPr>
  </w:style>
  <w:style w:type="paragraph" w:styleId="Sinespaciado">
    <w:name w:val="No Spacing"/>
    <w:basedOn w:val="Normal"/>
    <w:link w:val="SinespaciadoCar"/>
    <w:uiPriority w:val="1"/>
    <w:qFormat/>
    <w:rsid w:val="008B115B"/>
    <w:pPr>
      <w:spacing w:after="0" w:line="240" w:lineRule="auto"/>
    </w:pPr>
    <w:rPr>
      <w:rFonts w:ascii="Calibri" w:hAnsi="Calibri"/>
    </w:rPr>
  </w:style>
  <w:style w:type="paragraph" w:customStyle="1" w:styleId="Normal1">
    <w:name w:val="Normal1"/>
    <w:basedOn w:val="Normal"/>
    <w:rsid w:val="008B115B"/>
    <w:pPr>
      <w:spacing w:line="252" w:lineRule="auto"/>
    </w:pPr>
    <w:rPr>
      <w:rFonts w:ascii="Calibri" w:hAnsi="Calibri" w:cs="Times New Roman"/>
      <w:color w:val="000000"/>
      <w:lang w:eastAsia="es-ES"/>
    </w:rPr>
  </w:style>
  <w:style w:type="character" w:customStyle="1" w:styleId="apple-converted-space">
    <w:name w:val="apple-converted-space"/>
    <w:basedOn w:val="Fuentedeprrafopredeter"/>
    <w:rsid w:val="00FB6271"/>
  </w:style>
  <w:style w:type="paragraph" w:customStyle="1" w:styleId="Default">
    <w:name w:val="Default"/>
    <w:rsid w:val="00965ED2"/>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3C5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44699">
      <w:bodyDiv w:val="1"/>
      <w:marLeft w:val="0"/>
      <w:marRight w:val="0"/>
      <w:marTop w:val="0"/>
      <w:marBottom w:val="0"/>
      <w:divBdr>
        <w:top w:val="none" w:sz="0" w:space="0" w:color="auto"/>
        <w:left w:val="none" w:sz="0" w:space="0" w:color="auto"/>
        <w:bottom w:val="none" w:sz="0" w:space="0" w:color="auto"/>
        <w:right w:val="none" w:sz="0" w:space="0" w:color="auto"/>
      </w:divBdr>
    </w:div>
    <w:div w:id="751700181">
      <w:bodyDiv w:val="1"/>
      <w:marLeft w:val="0"/>
      <w:marRight w:val="0"/>
      <w:marTop w:val="0"/>
      <w:marBottom w:val="0"/>
      <w:divBdr>
        <w:top w:val="none" w:sz="0" w:space="0" w:color="auto"/>
        <w:left w:val="none" w:sz="0" w:space="0" w:color="auto"/>
        <w:bottom w:val="none" w:sz="0" w:space="0" w:color="auto"/>
        <w:right w:val="none" w:sz="0" w:space="0" w:color="auto"/>
      </w:divBdr>
      <w:divsChild>
        <w:div w:id="1730492449">
          <w:marLeft w:val="0"/>
          <w:marRight w:val="0"/>
          <w:marTop w:val="0"/>
          <w:marBottom w:val="101"/>
          <w:divBdr>
            <w:top w:val="none" w:sz="0" w:space="0" w:color="auto"/>
            <w:left w:val="none" w:sz="0" w:space="0" w:color="auto"/>
            <w:bottom w:val="none" w:sz="0" w:space="0" w:color="auto"/>
            <w:right w:val="none" w:sz="0" w:space="0" w:color="auto"/>
          </w:divBdr>
        </w:div>
        <w:div w:id="1843818363">
          <w:marLeft w:val="0"/>
          <w:marRight w:val="0"/>
          <w:marTop w:val="0"/>
          <w:marBottom w:val="101"/>
          <w:divBdr>
            <w:top w:val="none" w:sz="0" w:space="0" w:color="auto"/>
            <w:left w:val="none" w:sz="0" w:space="0" w:color="auto"/>
            <w:bottom w:val="none" w:sz="0" w:space="0" w:color="auto"/>
            <w:right w:val="none" w:sz="0" w:space="0" w:color="auto"/>
          </w:divBdr>
        </w:div>
        <w:div w:id="1878657636">
          <w:marLeft w:val="0"/>
          <w:marRight w:val="0"/>
          <w:marTop w:val="0"/>
          <w:marBottom w:val="101"/>
          <w:divBdr>
            <w:top w:val="none" w:sz="0" w:space="0" w:color="auto"/>
            <w:left w:val="none" w:sz="0" w:space="0" w:color="auto"/>
            <w:bottom w:val="none" w:sz="0" w:space="0" w:color="auto"/>
            <w:right w:val="none" w:sz="0" w:space="0" w:color="auto"/>
          </w:divBdr>
        </w:div>
      </w:divsChild>
    </w:div>
    <w:div w:id="844250921">
      <w:bodyDiv w:val="1"/>
      <w:marLeft w:val="0"/>
      <w:marRight w:val="0"/>
      <w:marTop w:val="0"/>
      <w:marBottom w:val="0"/>
      <w:divBdr>
        <w:top w:val="none" w:sz="0" w:space="0" w:color="auto"/>
        <w:left w:val="none" w:sz="0" w:space="0" w:color="auto"/>
        <w:bottom w:val="none" w:sz="0" w:space="0" w:color="auto"/>
        <w:right w:val="none" w:sz="0" w:space="0" w:color="auto"/>
      </w:divBdr>
    </w:div>
    <w:div w:id="1462381470">
      <w:bodyDiv w:val="1"/>
      <w:marLeft w:val="0"/>
      <w:marRight w:val="0"/>
      <w:marTop w:val="0"/>
      <w:marBottom w:val="0"/>
      <w:divBdr>
        <w:top w:val="none" w:sz="0" w:space="0" w:color="auto"/>
        <w:left w:val="none" w:sz="0" w:space="0" w:color="auto"/>
        <w:bottom w:val="none" w:sz="0" w:space="0" w:color="auto"/>
        <w:right w:val="none" w:sz="0" w:space="0" w:color="auto"/>
      </w:divBdr>
    </w:div>
    <w:div w:id="1612665009">
      <w:bodyDiv w:val="1"/>
      <w:marLeft w:val="0"/>
      <w:marRight w:val="0"/>
      <w:marTop w:val="0"/>
      <w:marBottom w:val="0"/>
      <w:divBdr>
        <w:top w:val="none" w:sz="0" w:space="0" w:color="auto"/>
        <w:left w:val="none" w:sz="0" w:space="0" w:color="auto"/>
        <w:bottom w:val="none" w:sz="0" w:space="0" w:color="auto"/>
        <w:right w:val="none" w:sz="0" w:space="0" w:color="auto"/>
      </w:divBdr>
    </w:div>
    <w:div w:id="1667246754">
      <w:bodyDiv w:val="1"/>
      <w:marLeft w:val="0"/>
      <w:marRight w:val="0"/>
      <w:marTop w:val="0"/>
      <w:marBottom w:val="0"/>
      <w:divBdr>
        <w:top w:val="none" w:sz="0" w:space="0" w:color="auto"/>
        <w:left w:val="none" w:sz="0" w:space="0" w:color="auto"/>
        <w:bottom w:val="none" w:sz="0" w:space="0" w:color="auto"/>
        <w:right w:val="none" w:sz="0" w:space="0" w:color="auto"/>
      </w:divBdr>
      <w:divsChild>
        <w:div w:id="2061324617">
          <w:marLeft w:val="0"/>
          <w:marRight w:val="0"/>
          <w:marTop w:val="0"/>
          <w:marBottom w:val="101"/>
          <w:divBdr>
            <w:top w:val="none" w:sz="0" w:space="0" w:color="auto"/>
            <w:left w:val="none" w:sz="0" w:space="0" w:color="auto"/>
            <w:bottom w:val="none" w:sz="0" w:space="0" w:color="auto"/>
            <w:right w:val="none" w:sz="0" w:space="0" w:color="auto"/>
          </w:divBdr>
        </w:div>
        <w:div w:id="159467084">
          <w:marLeft w:val="0"/>
          <w:marRight w:val="0"/>
          <w:marTop w:val="0"/>
          <w:marBottom w:val="101"/>
          <w:divBdr>
            <w:top w:val="none" w:sz="0" w:space="0" w:color="auto"/>
            <w:left w:val="none" w:sz="0" w:space="0" w:color="auto"/>
            <w:bottom w:val="none" w:sz="0" w:space="0" w:color="auto"/>
            <w:right w:val="none" w:sz="0" w:space="0" w:color="auto"/>
          </w:divBdr>
        </w:div>
        <w:div w:id="1913738973">
          <w:marLeft w:val="0"/>
          <w:marRight w:val="0"/>
          <w:marTop w:val="0"/>
          <w:marBottom w:val="101"/>
          <w:divBdr>
            <w:top w:val="none" w:sz="0" w:space="0" w:color="auto"/>
            <w:left w:val="none" w:sz="0" w:space="0" w:color="auto"/>
            <w:bottom w:val="none" w:sz="0" w:space="0" w:color="auto"/>
            <w:right w:val="none" w:sz="0" w:space="0" w:color="auto"/>
          </w:divBdr>
        </w:div>
        <w:div w:id="1971396846">
          <w:marLeft w:val="0"/>
          <w:marRight w:val="0"/>
          <w:marTop w:val="0"/>
          <w:marBottom w:val="101"/>
          <w:divBdr>
            <w:top w:val="none" w:sz="0" w:space="0" w:color="auto"/>
            <w:left w:val="none" w:sz="0" w:space="0" w:color="auto"/>
            <w:bottom w:val="none" w:sz="0" w:space="0" w:color="auto"/>
            <w:right w:val="none" w:sz="0" w:space="0" w:color="auto"/>
          </w:divBdr>
        </w:div>
      </w:divsChild>
    </w:div>
    <w:div w:id="1672753474">
      <w:bodyDiv w:val="1"/>
      <w:marLeft w:val="0"/>
      <w:marRight w:val="0"/>
      <w:marTop w:val="0"/>
      <w:marBottom w:val="0"/>
      <w:divBdr>
        <w:top w:val="none" w:sz="0" w:space="0" w:color="auto"/>
        <w:left w:val="none" w:sz="0" w:space="0" w:color="auto"/>
        <w:bottom w:val="none" w:sz="0" w:space="0" w:color="auto"/>
        <w:right w:val="none" w:sz="0" w:space="0" w:color="auto"/>
      </w:divBdr>
    </w:div>
    <w:div w:id="21008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oecd.org/gov/regulatory-policy/40984990.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C1A8-3973-4175-BE02-074D83D181F5}">
  <ds:schemaRefs>
    <ds:schemaRef ds:uri="http://schemas.microsoft.com/sharepoint/v3/contenttype/forms"/>
  </ds:schemaRefs>
</ds:datastoreItem>
</file>

<file path=customXml/itemProps2.xml><?xml version="1.0" encoding="utf-8"?>
<ds:datastoreItem xmlns:ds="http://schemas.openxmlformats.org/officeDocument/2006/customXml" ds:itemID="{F76184C2-18BC-4681-AB08-9B51B17D1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CBF934-43A3-47D0-AAA4-C80127EA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4932</Words>
  <Characters>27132</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Isaias Zacateco Rivero</dc:creator>
  <cp:keywords/>
  <dc:description/>
  <cp:lastModifiedBy>Luis Fernando Rosas Yanez</cp:lastModifiedBy>
  <cp:revision>2</cp:revision>
  <cp:lastPrinted>2017-02-09T21:50:00Z</cp:lastPrinted>
  <dcterms:created xsi:type="dcterms:W3CDTF">2017-09-25T13:57:00Z</dcterms:created>
  <dcterms:modified xsi:type="dcterms:W3CDTF">2017-09-25T13:57:00Z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Order">
    <vt:r8>882200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