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 w:after="0"/>
        <w:ind w:right="0"/>
        <w:rPr>
          <w:rFonts w:ascii="Times New Roman" w:hAnsi="Times New Roman" w:cs="Times New Roman" w:eastAsia="Times New Roman" w:hint="default"/>
          <w:sz w:val="25"/>
          <w:szCs w:val="25"/>
        </w:rPr>
      </w:pPr>
    </w:p>
    <w:tbl>
      <w:tblPr>
        <w:tblW w:w="0" w:type="auto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401"/>
        <w:gridCol w:w="2312"/>
      </w:tblGrid>
      <w:tr>
        <w:trPr>
          <w:trHeight w:val="1997" w:hRule="exac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Unidad</w:t>
            </w:r>
            <w:r>
              <w:rPr>
                <w:rFonts w:ascii="Century Gothic"/>
                <w:b/>
                <w:spacing w:val="2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administrativa:</w:t>
            </w:r>
            <w:r>
              <w:rPr>
                <w:rFonts w:ascii="Century Gothic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31"/>
                <w:szCs w:val="31"/>
              </w:rPr>
            </w:pPr>
          </w:p>
          <w:p>
            <w:pPr>
              <w:pStyle w:val="TableParagraph"/>
              <w:tabs>
                <w:tab w:pos="1406" w:val="left" w:leader="none"/>
                <w:tab w:pos="2229" w:val="left" w:leader="none"/>
              </w:tabs>
              <w:spacing w:line="278" w:lineRule="auto"/>
              <w:ind w:left="103" w:right="102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pacing w:val="-1"/>
                <w:sz w:val="22"/>
              </w:rPr>
              <w:t>Unidad</w:t>
              <w:tab/>
              <w:t>de</w:t>
              <w:tab/>
              <w:t>Política</w:t>
            </w:r>
            <w:r>
              <w:rPr>
                <w:rFonts w:ascii="Century Gothic" w:hAnsi="Century Gothic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Regulatoria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40" w:lineRule="auto" w:before="2"/>
              <w:ind w:left="100" w:right="0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Título del anteproyecto de</w:t>
            </w:r>
            <w:r>
              <w:rPr>
                <w:rFonts w:ascii="Century Gothic" w:hAnsi="Century Gothic"/>
                <w:b/>
                <w:spacing w:val="17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regulación:</w:t>
            </w:r>
            <w:r>
              <w:rPr>
                <w:rFonts w:ascii="Century Gothic" w:hAnsi="Century Gothic"/>
                <w:sz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tabs>
                <w:tab w:pos="2416" w:val="left" w:leader="none"/>
                <w:tab w:pos="4287" w:val="left" w:leader="none"/>
              </w:tabs>
              <w:spacing w:line="242" w:lineRule="auto"/>
              <w:ind w:left="100" w:right="98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 w:hint="default"/>
                <w:b/>
                <w:bCs/>
                <w:spacing w:val="-1"/>
                <w:w w:val="95"/>
                <w:sz w:val="22"/>
                <w:szCs w:val="22"/>
              </w:rPr>
              <w:t>DISPOSICIÓN</w:t>
              <w:tab/>
            </w:r>
            <w:r>
              <w:rPr>
                <w:rFonts w:ascii="Century Gothic" w:hAnsi="Century Gothic" w:cs="Century Gothic" w:eastAsia="Century Gothic" w:hint="default"/>
                <w:b/>
                <w:bCs/>
                <w:spacing w:val="-1"/>
                <w:sz w:val="22"/>
                <w:szCs w:val="22"/>
              </w:rPr>
              <w:t>TÉCNICA</w:t>
              <w:tab/>
            </w:r>
            <w:r>
              <w:rPr>
                <w:rFonts w:ascii="Century Gothic" w:hAnsi="Century Gothic" w:cs="Century Gothic" w:eastAsia="Century Gothic" w:hint="default"/>
                <w:b/>
                <w:bCs/>
                <w:spacing w:val="-1"/>
                <w:w w:val="95"/>
                <w:sz w:val="22"/>
                <w:szCs w:val="22"/>
              </w:rPr>
              <w:t>IFT-006-2016: </w:t>
            </w:r>
            <w:r>
              <w:rPr>
                <w:rFonts w:ascii="Century Gothic" w:hAnsi="Century Gothic" w:cs="Century Gothic" w:eastAsia="Century Gothic" w:hint="default"/>
                <w:b/>
                <w:bCs/>
                <w:spacing w:val="-1"/>
                <w:w w:val="95"/>
                <w:sz w:val="22"/>
                <w:szCs w:val="22"/>
              </w:rPr>
            </w:r>
            <w:r>
              <w:rPr>
                <w:rFonts w:ascii="Century Gothic" w:hAnsi="Century Gothic" w:cs="Century Gothic" w:eastAsia="Century Gothic" w:hint="default"/>
                <w:b/>
                <w:bCs/>
                <w:sz w:val="22"/>
                <w:szCs w:val="22"/>
              </w:rPr>
              <w:t>TELECOMUNICACIONES </w:t>
            </w:r>
            <w:r>
              <w:rPr>
                <w:rFonts w:ascii="Century Gothic" w:hAnsi="Century Gothic" w:cs="Century Gothic" w:eastAsia="Century Gothic" w:hint="default"/>
                <w:b/>
                <w:bCs/>
                <w:sz w:val="22"/>
                <w:szCs w:val="22"/>
              </w:rPr>
              <w:t>– </w:t>
            </w:r>
            <w:r>
              <w:rPr>
                <w:rFonts w:ascii="Century Gothic" w:hAnsi="Century Gothic" w:cs="Century Gothic" w:eastAsia="Century Gothic" w:hint="default"/>
                <w:b/>
                <w:bCs/>
                <w:sz w:val="22"/>
                <w:szCs w:val="22"/>
              </w:rPr>
              <w:t>INTERFAZ - PARTE DE TRANSFERENCIA DE MENSAJE DEL SISTEMA DE SEÑALIZACIÓN POR CANAL</w:t>
            </w:r>
            <w:r>
              <w:rPr>
                <w:rFonts w:ascii="Century Gothic" w:hAnsi="Century Gothic" w:cs="Century Gothic" w:eastAsia="Century Gothic" w:hint="default"/>
                <w:b/>
                <w:bCs/>
                <w:spacing w:val="34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 w:hint="default"/>
                <w:b/>
                <w:bCs/>
                <w:sz w:val="22"/>
                <w:szCs w:val="22"/>
              </w:rPr>
              <w:t>COMÚN.</w:t>
            </w:r>
            <w:r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r>
          </w:p>
        </w:tc>
      </w:tr>
      <w:tr>
        <w:trPr>
          <w:trHeight w:val="637" w:hRule="exact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b/>
                <w:w w:val="105"/>
                <w:sz w:val="22"/>
              </w:rPr>
              <w:t>Datos de</w:t>
            </w:r>
            <w:r>
              <w:rPr>
                <w:rFonts w:ascii="Century Gothic"/>
                <w:b/>
                <w:spacing w:val="-52"/>
                <w:w w:val="105"/>
                <w:sz w:val="22"/>
              </w:rPr>
              <w:t> </w:t>
            </w:r>
            <w:r>
              <w:rPr>
                <w:rFonts w:ascii="Century Gothic"/>
                <w:b/>
                <w:w w:val="105"/>
                <w:sz w:val="22"/>
              </w:rPr>
              <w:t>contacto:</w:t>
            </w:r>
            <w:r>
              <w:rPr>
                <w:rFonts w:ascii="Century Gothic"/>
                <w:sz w:val="22"/>
              </w:rPr>
            </w:r>
          </w:p>
          <w:p>
            <w:pPr>
              <w:pStyle w:val="TableParagraph"/>
              <w:spacing w:line="280" w:lineRule="auto" w:before="43"/>
              <w:ind w:left="103" w:right="102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Dra. Nimbe Leonor Ewald Aróstegui</w:t>
            </w:r>
          </w:p>
          <w:p>
            <w:pPr>
              <w:pStyle w:val="TableParagraph"/>
              <w:spacing w:line="278" w:lineRule="auto"/>
              <w:ind w:left="103" w:right="420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Teléfono: 5015-4382 Correo electrónico: </w:t>
            </w:r>
            <w:r>
              <w:rPr>
                <w:rFonts w:ascii="Century Gothic" w:hAnsi="Century Gothic"/>
                <w:color w:val="0462C1"/>
                <w:sz w:val="22"/>
              </w:rPr>
            </w:r>
            <w:r>
              <w:rPr>
                <w:rFonts w:ascii="Century Gothic" w:hAnsi="Century Gothic"/>
                <w:color w:val="0462C1"/>
                <w:sz w:val="22"/>
                <w:u w:val="single" w:color="0462C1"/>
              </w:rPr>
            </w:r>
            <w:hyperlink r:id="rId6">
              <w:r>
                <w:rPr>
                  <w:rFonts w:ascii="Century Gothic" w:hAnsi="Century Gothic"/>
                  <w:color w:val="0462C1"/>
                  <w:spacing w:val="-1"/>
                  <w:sz w:val="22"/>
                  <w:u w:val="single" w:color="0462C1"/>
                </w:rPr>
                <w:t>nimbe.ewald@ift.org.mx</w:t>
              </w:r>
              <w:r>
                <w:rPr>
                  <w:rFonts w:ascii="Century Gothic" w:hAnsi="Century Gothic"/>
                  <w:color w:val="0462C1"/>
                  <w:spacing w:val="-1"/>
                  <w:sz w:val="22"/>
                </w:rPr>
              </w:r>
              <w:r>
                <w:rPr>
                  <w:rFonts w:ascii="Century Gothic" w:hAnsi="Century Gothic"/>
                  <w:spacing w:val="-1"/>
                  <w:sz w:val="22"/>
                </w:rPr>
              </w:r>
            </w:hyperlink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40" w:lineRule="auto" w:before="2"/>
              <w:ind w:left="100" w:right="0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Fecha de</w:t>
            </w:r>
            <w:r>
              <w:rPr>
                <w:rFonts w:ascii="Century Gothic" w:hAnsi="Century Gothic"/>
                <w:b/>
                <w:spacing w:val="20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elaboración: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40" w:lineRule="auto" w:before="158"/>
              <w:ind w:left="2" w:right="0"/>
              <w:jc w:val="center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24/02/2016</w:t>
            </w:r>
          </w:p>
        </w:tc>
      </w:tr>
      <w:tr>
        <w:trPr>
          <w:trHeight w:val="636" w:hRule="exact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78" w:lineRule="auto" w:before="2"/>
              <w:ind w:left="100" w:right="102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Fecha de inicio de la</w:t>
            </w:r>
            <w:r>
              <w:rPr>
                <w:rFonts w:ascii="Century Gothic" w:hAnsi="Century Gothic"/>
                <w:b/>
                <w:spacing w:val="-45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consulta </w:t>
            </w:r>
            <w:r>
              <w:rPr>
                <w:rFonts w:ascii="Century Gothic" w:hAnsi="Century Gothic"/>
                <w:b/>
                <w:sz w:val="22"/>
              </w:rPr>
              <w:t>pública: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40" w:lineRule="auto" w:before="158"/>
              <w:ind w:left="2" w:right="0"/>
              <w:jc w:val="center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29/01/2016</w:t>
            </w:r>
          </w:p>
        </w:tc>
      </w:tr>
      <w:tr>
        <w:trPr>
          <w:trHeight w:val="636" w:hRule="exact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80" w:lineRule="auto" w:before="2"/>
              <w:ind w:left="100" w:right="10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Fecha de conclusión de la consulta</w:t>
            </w:r>
            <w:r>
              <w:rPr>
                <w:rFonts w:ascii="Century Gothic" w:hAnsi="Century Gothic"/>
                <w:b/>
                <w:spacing w:val="-5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pública: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>
            <w:pPr>
              <w:pStyle w:val="TableParagraph"/>
              <w:spacing w:line="240" w:lineRule="auto" w:before="158"/>
              <w:ind w:left="2" w:right="0"/>
              <w:jc w:val="center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12/02/2016</w:t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BodyText"/>
        <w:tabs>
          <w:tab w:pos="9008" w:val="left" w:leader="none"/>
        </w:tabs>
        <w:spacing w:line="240" w:lineRule="auto" w:before="57"/>
        <w:ind w:left="113" w:right="0"/>
        <w:jc w:val="left"/>
      </w:pPr>
      <w:r>
        <w:rPr>
          <w:w w:val="100"/>
        </w:rPr>
      </w:r>
      <w:r>
        <w:rPr>
          <w:spacing w:val="-33"/>
          <w:w w:val="100"/>
          <w:shd w:fill="A8D08D" w:color="auto" w:val="clear"/>
        </w:rPr>
        <w:t> </w:t>
      </w:r>
      <w:r>
        <w:rPr>
          <w:shd w:fill="A8D08D" w:color="auto" w:val="clear"/>
        </w:rPr>
        <w:t>I. DEFINICIÓN DEL PROBLEMA Y OBJETIVOS GENERALES DE LA</w:t>
      </w:r>
      <w:r>
        <w:rPr>
          <w:spacing w:val="-21"/>
          <w:shd w:fill="A8D08D" w:color="auto" w:val="clear"/>
        </w:rPr>
        <w:t> </w:t>
      </w:r>
      <w:r>
        <w:rPr>
          <w:shd w:fill="A8D08D" w:color="auto" w:val="clear"/>
        </w:rPr>
        <w:t>REGULACIÓN.</w:t>
        <w:tab/>
      </w:r>
      <w:r>
        <w:rPr/>
      </w:r>
    </w:p>
    <w:p>
      <w:pPr>
        <w:spacing w:line="240" w:lineRule="auto" w:before="4"/>
        <w:ind w:right="0"/>
        <w:rPr>
          <w:rFonts w:ascii="Century Gothic" w:hAnsi="Century Gothic" w:cs="Century Gothic" w:eastAsia="Century Gothic" w:hint="default"/>
          <w:sz w:val="17"/>
          <w:szCs w:val="17"/>
        </w:rPr>
      </w:pPr>
    </w:p>
    <w:p>
      <w:pPr>
        <w:pStyle w:val="Heading1"/>
        <w:spacing w:line="280" w:lineRule="auto"/>
        <w:ind w:right="276"/>
        <w:jc w:val="both"/>
        <w:rPr>
          <w:b w:val="0"/>
          <w:bCs w:val="0"/>
        </w:rPr>
      </w:pPr>
      <w:r>
        <w:rPr/>
        <w:pict>
          <v:group style="position:absolute;margin-left:85.094002pt;margin-top:-.825512pt;width:441.95pt;height:345.95pt;mso-position-horizontal-relative:page;mso-position-vertical-relative:paragraph;z-index:-9928" coordorigin="1702,-17" coordsize="8839,6919">
            <v:group style="position:absolute;left:1712;top:-7;width:8819;height:2" coordorigin="1712,-7" coordsize="8819,2">
              <v:shape style="position:absolute;left:1712;top:-7;width:8819;height:2" coordorigin="1712,-7" coordsize="8819,0" path="m1712,-7l10531,-7e" filled="false" stroked="true" strokeweight=".47998pt" strokecolor="#000000">
                <v:path arrowok="t"/>
              </v:shape>
            </v:group>
            <v:group style="position:absolute;left:1707;top:-12;width:2;height:6909" coordorigin="1707,-12" coordsize="2,6909">
              <v:shape style="position:absolute;left:1707;top:-12;width:2;height:6909" coordorigin="1707,-12" coordsize="0,6909" path="m1707,-12l1707,6897e" filled="false" stroked="true" strokeweight=".48pt" strokecolor="#000000">
                <v:path arrowok="t"/>
              </v:shape>
            </v:group>
            <v:group style="position:absolute;left:1712;top:6892;width:8819;height:2" coordorigin="1712,6892" coordsize="8819,2">
              <v:shape style="position:absolute;left:1712;top:6892;width:8819;height:2" coordorigin="1712,6892" coordsize="8819,0" path="m1712,6892l10531,6892e" filled="false" stroked="true" strokeweight=".47998pt" strokecolor="#000000">
                <v:path arrowok="t"/>
              </v:shape>
            </v:group>
            <v:group style="position:absolute;left:10536;top:-12;width:2;height:6909" coordorigin="10536,-12" coordsize="2,6909">
              <v:shape style="position:absolute;left:10536;top:-12;width:2;height:6909" coordorigin="10536,-12" coordsize="0,6909" path="m10536,-12l10536,6897e" filled="false" stroked="true" strokeweight=".47998pt" strokecolor="#000000">
                <v:path arrowok="t"/>
              </v:shape>
            </v:group>
            <w10:wrap type="none"/>
          </v:group>
        </w:pict>
      </w:r>
      <w:r>
        <w:rPr/>
        <w:t>1.- Explique brevemente en qué consiste el anteproyecto de regulación propuesto</w:t>
      </w:r>
      <w:r>
        <w:rPr>
          <w:spacing w:val="-11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sus</w:t>
      </w:r>
      <w:r>
        <w:rPr>
          <w:spacing w:val="-10"/>
        </w:rPr>
        <w:t> </w:t>
      </w:r>
      <w:r>
        <w:rPr/>
        <w:t>objetivos</w:t>
      </w:r>
      <w:r>
        <w:rPr>
          <w:spacing w:val="-10"/>
        </w:rPr>
        <w:t> </w:t>
      </w:r>
      <w:r>
        <w:rPr/>
        <w:t>generales:</w:t>
      </w:r>
      <w:r>
        <w:rPr>
          <w:b w:val="0"/>
        </w:rPr>
      </w:r>
    </w:p>
    <w:p>
      <w:pPr>
        <w:spacing w:line="240" w:lineRule="auto" w:before="5"/>
        <w:ind w:right="0"/>
        <w:rPr>
          <w:rFonts w:ascii="Century Gothic" w:hAnsi="Century Gothic" w:cs="Century Gothic" w:eastAsia="Century Gothic" w:hint="default"/>
          <w:b/>
          <w:bCs/>
          <w:sz w:val="25"/>
          <w:szCs w:val="25"/>
        </w:rPr>
      </w:pPr>
    </w:p>
    <w:p>
      <w:pPr>
        <w:spacing w:line="278" w:lineRule="auto" w:before="0"/>
        <w:ind w:left="254" w:right="271" w:firstLine="0"/>
        <w:jc w:val="both"/>
        <w:rPr>
          <w:rFonts w:ascii="Century Gothic" w:hAnsi="Century Gothic" w:cs="Century Gothic" w:eastAsia="Century Gothic" w:hint="default"/>
          <w:sz w:val="22"/>
          <w:szCs w:val="22"/>
        </w:rPr>
      </w:pPr>
      <w:r>
        <w:rPr>
          <w:rFonts w:ascii="Century Gothic" w:hAnsi="Century Gothic"/>
          <w:sz w:val="22"/>
        </w:rPr>
        <w:t>La Disposición Técnica </w:t>
      </w:r>
      <w:r>
        <w:rPr>
          <w:rFonts w:ascii="Century Gothic" w:hAnsi="Century Gothic"/>
          <w:b/>
          <w:sz w:val="22"/>
        </w:rPr>
        <w:t>IFT-006-2016: Telecomunicaciones-Interfaz-Parte de transferencia de mensaje del sistema se señalización por canal común </w:t>
      </w:r>
      <w:r>
        <w:rPr>
          <w:rFonts w:ascii="Century Gothic" w:hAnsi="Century Gothic"/>
          <w:sz w:val="22"/>
        </w:rPr>
        <w:t>reemplazará a la Disposición Técnica IFT-006-2015, la cual concluirá su vigencia el 29 de marzo de</w:t>
      </w:r>
      <w:r>
        <w:rPr>
          <w:rFonts w:ascii="Century Gothic" w:hAnsi="Century Gothic"/>
          <w:spacing w:val="-9"/>
          <w:sz w:val="22"/>
        </w:rPr>
        <w:t> </w:t>
      </w:r>
      <w:r>
        <w:rPr>
          <w:rFonts w:ascii="Century Gothic" w:hAnsi="Century Gothic"/>
          <w:sz w:val="22"/>
        </w:rPr>
        <w:t>2016.</w:t>
      </w:r>
    </w:p>
    <w:p>
      <w:pPr>
        <w:spacing w:line="240" w:lineRule="auto" w:before="8"/>
        <w:ind w:right="0"/>
        <w:rPr>
          <w:rFonts w:ascii="Century Gothic" w:hAnsi="Century Gothic" w:cs="Century Gothic" w:eastAsia="Century Gothic" w:hint="default"/>
          <w:sz w:val="25"/>
          <w:szCs w:val="25"/>
        </w:rPr>
      </w:pPr>
    </w:p>
    <w:p>
      <w:pPr>
        <w:pStyle w:val="BodyText"/>
        <w:spacing w:line="278" w:lineRule="auto"/>
        <w:ind w:left="254" w:right="270"/>
        <w:jc w:val="both"/>
      </w:pPr>
      <w:r>
        <w:rPr/>
        <w:t>La Disposición Técnica vigente IFT-006-2015 establece el sistema de señalización de control de las llamadas para servicios de telecomunicaciones tales como telefonía y transmisión de datos con conmutación de circuitos. Además de utilizarse como un sistema fiable para la transferencia de otros tipos de información entre centrales y centros especializados en redes de telecomunicaciones, por ejemplo, para fines de gestión y</w:t>
      </w:r>
      <w:r>
        <w:rPr>
          <w:spacing w:val="-25"/>
        </w:rPr>
        <w:t> </w:t>
      </w:r>
      <w:r>
        <w:rPr/>
        <w:t>mantenimiento.</w:t>
      </w:r>
    </w:p>
    <w:p>
      <w:pPr>
        <w:spacing w:line="240" w:lineRule="auto" w:before="8"/>
        <w:ind w:right="0"/>
        <w:rPr>
          <w:rFonts w:ascii="Century Gothic" w:hAnsi="Century Gothic" w:cs="Century Gothic" w:eastAsia="Century Gothic" w:hint="default"/>
          <w:sz w:val="25"/>
          <w:szCs w:val="25"/>
        </w:rPr>
      </w:pPr>
    </w:p>
    <w:p>
      <w:pPr>
        <w:pStyle w:val="BodyText"/>
        <w:spacing w:line="278" w:lineRule="auto"/>
        <w:ind w:left="254" w:right="268"/>
        <w:jc w:val="both"/>
      </w:pPr>
      <w:r>
        <w:rPr/>
        <w:t>La Disposición Técnica IFT-006-2015 vigente proporciona una visión global del Sistema de Señalización número 7 (SS7), describiendo sus diversos elementos funcionales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entre</w:t>
      </w:r>
      <w:r>
        <w:rPr>
          <w:spacing w:val="-7"/>
        </w:rPr>
        <w:t> </w:t>
      </w:r>
      <w:r>
        <w:rPr/>
        <w:t>dichos</w:t>
      </w:r>
      <w:r>
        <w:rPr>
          <w:spacing w:val="-7"/>
        </w:rPr>
        <w:t> </w:t>
      </w:r>
      <w:r>
        <w:rPr/>
        <w:t>elementos</w:t>
      </w:r>
      <w:r>
        <w:rPr>
          <w:spacing w:val="-7"/>
        </w:rPr>
        <w:t> </w:t>
      </w:r>
      <w:r>
        <w:rPr/>
        <w:t>funcionales.</w:t>
      </w:r>
      <w:r>
        <w:rPr>
          <w:spacing w:val="-7"/>
        </w:rPr>
        <w:t> </w:t>
      </w:r>
      <w:r>
        <w:rPr/>
        <w:t>Además,</w:t>
      </w:r>
      <w:r>
        <w:rPr>
          <w:spacing w:val="-7"/>
        </w:rPr>
        <w:t> </w:t>
      </w:r>
      <w:r>
        <w:rPr/>
        <w:t>establece </w:t>
      </w:r>
      <w:r>
        <w:rPr/>
        <w:t>la arquitectura del SS7, el control de flujos y los criterios generales de compatibilidad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están</w:t>
      </w:r>
      <w:r>
        <w:rPr>
          <w:spacing w:val="-9"/>
        </w:rPr>
        <w:t> </w:t>
      </w:r>
      <w:r>
        <w:rPr/>
        <w:t>especificados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otras</w:t>
      </w:r>
      <w:r>
        <w:rPr>
          <w:spacing w:val="-7"/>
        </w:rPr>
        <w:t> </w:t>
      </w:r>
      <w:r>
        <w:rPr/>
        <w:t>Disposiciones</w:t>
      </w:r>
      <w:r>
        <w:rPr>
          <w:spacing w:val="-10"/>
        </w:rPr>
        <w:t> </w:t>
      </w:r>
      <w:r>
        <w:rPr/>
        <w:t>Técnicas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son </w:t>
      </w:r>
      <w:r>
        <w:rPr/>
        <w:t>aplicables al</w:t>
      </w:r>
      <w:r>
        <w:rPr>
          <w:spacing w:val="-4"/>
        </w:rPr>
        <w:t> </w:t>
      </w:r>
      <w:r>
        <w:rPr/>
        <w:t>SS7.</w:t>
      </w:r>
    </w:p>
    <w:p>
      <w:pPr>
        <w:spacing w:after="0" w:line="278" w:lineRule="auto"/>
        <w:jc w:val="both"/>
        <w:sectPr>
          <w:headerReference w:type="default" r:id="rId5"/>
          <w:type w:val="continuous"/>
          <w:pgSz w:w="12240" w:h="15840"/>
          <w:pgMar w:header="706" w:top="2200" w:bottom="280" w:left="1560" w:right="1540"/>
        </w:sect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spacing w:line="240" w:lineRule="auto"/>
        <w:ind w:left="126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shape style="width:441.45pt;height:32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78" w:lineRule="auto" w:before="2"/>
                    <w:ind w:left="103" w:right="100"/>
                    <w:jc w:val="both"/>
                  </w:pPr>
                  <w:r>
                    <w:rPr/>
                    <w:t>El objeto global del SS7 consiste en proporcionar un sistema de señalización por canal común de aplicación general, normalizado internacionalmente, con las siguientes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carácteristicas: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824" w:val="left" w:leader="none"/>
                    </w:tabs>
                    <w:spacing w:line="278" w:lineRule="auto" w:before="161" w:after="0"/>
                    <w:ind w:left="823" w:right="102" w:hanging="471"/>
                    <w:jc w:val="both"/>
                    <w:rPr>
                      <w:rFonts w:ascii="Century Gothic" w:hAnsi="Century Gothic" w:cs="Century Gothic" w:eastAsia="Century Gothic" w:hint="default"/>
                      <w:sz w:val="22"/>
                      <w:szCs w:val="22"/>
                    </w:rPr>
                  </w:pPr>
                  <w:r>
                    <w:rPr>
                      <w:rFonts w:ascii="Century Gothic"/>
                      <w:sz w:val="22"/>
                    </w:rPr>
                    <w:t>Se encuentra Optimizado para el funcionamiento en redes de telecomunicaciones digitales junto con centrales con control por programa</w:t>
                  </w:r>
                  <w:r>
                    <w:rPr>
                      <w:rFonts w:ascii="Century Gothic"/>
                      <w:spacing w:val="-7"/>
                      <w:sz w:val="22"/>
                    </w:rPr>
                    <w:t> </w:t>
                  </w:r>
                  <w:r>
                    <w:rPr>
                      <w:rFonts w:ascii="Century Gothic"/>
                      <w:sz w:val="22"/>
                    </w:rPr>
                    <w:t>almacenado;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824" w:val="left" w:leader="none"/>
                    </w:tabs>
                    <w:spacing w:line="278" w:lineRule="auto" w:before="0" w:after="0"/>
                    <w:ind w:left="823" w:right="103" w:hanging="521"/>
                    <w:jc w:val="both"/>
                    <w:rPr>
                      <w:rFonts w:ascii="Century Gothic" w:hAnsi="Century Gothic" w:cs="Century Gothic" w:eastAsia="Century Gothic" w:hint="default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Que pueda satisfacer exigencias presentes y futuras de transferencia de información para el diálogo entre procesadores dentro de las redes de telecomunicaciones</w:t>
                  </w:r>
                  <w:r>
                    <w:rPr>
                      <w:rFonts w:ascii="Century Gothic" w:hAnsi="Century Gothic"/>
                      <w:spacing w:val="-6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para</w:t>
                  </w:r>
                  <w:r>
                    <w:rPr>
                      <w:rFonts w:ascii="Century Gothic" w:hAnsi="Century Gothic"/>
                      <w:spacing w:val="-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el</w:t>
                  </w:r>
                  <w:r>
                    <w:rPr>
                      <w:rFonts w:ascii="Century Gothic" w:hAnsi="Century Gothic"/>
                      <w:spacing w:val="-8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control</w:t>
                  </w:r>
                  <w:r>
                    <w:rPr>
                      <w:rFonts w:ascii="Century Gothic" w:hAnsi="Century Gothic"/>
                      <w:spacing w:val="-9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de</w:t>
                  </w:r>
                  <w:r>
                    <w:rPr>
                      <w:rFonts w:ascii="Century Gothic" w:hAnsi="Century Gothic"/>
                      <w:spacing w:val="-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las</w:t>
                  </w:r>
                  <w:r>
                    <w:rPr>
                      <w:rFonts w:ascii="Century Gothic" w:hAnsi="Century Gothic"/>
                      <w:spacing w:val="-6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llamadas,</w:t>
                  </w:r>
                  <w:r>
                    <w:rPr>
                      <w:rFonts w:ascii="Century Gothic" w:hAnsi="Century Gothic"/>
                      <w:spacing w:val="-8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el</w:t>
                  </w:r>
                  <w:r>
                    <w:rPr>
                      <w:rFonts w:ascii="Century Gothic" w:hAnsi="Century Gothic"/>
                      <w:spacing w:val="-8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control</w:t>
                  </w:r>
                  <w:r>
                    <w:rPr>
                      <w:rFonts w:ascii="Century Gothic" w:hAnsi="Century Gothic"/>
                      <w:spacing w:val="-9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a</w:t>
                  </w:r>
                  <w:r>
                    <w:rPr>
                      <w:rFonts w:ascii="Century Gothic" w:hAnsi="Century Gothic"/>
                      <w:spacing w:val="-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distancia </w:t>
                  </w:r>
                  <w:r>
                    <w:rPr>
                      <w:rFonts w:ascii="Century Gothic" w:hAnsi="Century Gothic"/>
                      <w:sz w:val="22"/>
                    </w:rPr>
                    <w:t>y la señalización de gestión y</w:t>
                  </w:r>
                  <w:r>
                    <w:rPr>
                      <w:rFonts w:ascii="Century Gothic" w:hAnsi="Century Gothic"/>
                      <w:spacing w:val="-12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mantenimiento;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824" w:val="left" w:leader="none"/>
                    </w:tabs>
                    <w:spacing w:line="278" w:lineRule="auto" w:before="2" w:after="0"/>
                    <w:ind w:left="823" w:right="105" w:hanging="571"/>
                    <w:jc w:val="both"/>
                    <w:rPr>
                      <w:rFonts w:ascii="Century Gothic" w:hAnsi="Century Gothic" w:cs="Century Gothic" w:eastAsia="Century Gothic" w:hint="default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Que ofrezca un medio seguro de transferencia de información en la secuencia correcta y sin pérdidas ni</w:t>
                  </w:r>
                  <w:r>
                    <w:rPr>
                      <w:rFonts w:ascii="Century Gothic" w:hAnsi="Century Gothic"/>
                      <w:spacing w:val="-1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duplicaciones.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 w:hint="default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 w:hint="default"/>
                      <w:sz w:val="32"/>
                      <w:szCs w:val="32"/>
                    </w:rPr>
                  </w:pPr>
                </w:p>
                <w:p>
                  <w:pPr>
                    <w:spacing w:line="278" w:lineRule="auto" w:before="0"/>
                    <w:ind w:left="103" w:right="98" w:firstLine="0"/>
                    <w:jc w:val="both"/>
                    <w:rPr>
                      <w:rFonts w:ascii="Century Gothic" w:hAnsi="Century Gothic" w:cs="Century Gothic" w:eastAsia="Century Gothic" w:hint="default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Debido</w:t>
                  </w:r>
                  <w:r>
                    <w:rPr>
                      <w:rFonts w:ascii="Century Gothic" w:hAnsi="Century Gothic"/>
                      <w:spacing w:val="-11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a</w:t>
                  </w:r>
                  <w:r>
                    <w:rPr>
                      <w:rFonts w:ascii="Century Gothic" w:hAnsi="Century Gothic"/>
                      <w:spacing w:val="-10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lo</w:t>
                  </w:r>
                  <w:r>
                    <w:rPr>
                      <w:rFonts w:ascii="Century Gothic" w:hAnsi="Century Gothic"/>
                      <w:spacing w:val="-11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anterior,</w:t>
                  </w:r>
                  <w:r>
                    <w:rPr>
                      <w:rFonts w:ascii="Century Gothic" w:hAnsi="Century Gothic"/>
                      <w:spacing w:val="-11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es</w:t>
                  </w:r>
                  <w:r>
                    <w:rPr>
                      <w:rFonts w:ascii="Century Gothic" w:hAnsi="Century Gothic"/>
                      <w:spacing w:val="-10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necesario</w:t>
                  </w:r>
                  <w:r>
                    <w:rPr>
                      <w:rFonts w:ascii="Century Gothic" w:hAnsi="Century Gothic"/>
                      <w:spacing w:val="-10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garantizar</w:t>
                  </w:r>
                  <w:r>
                    <w:rPr>
                      <w:rFonts w:ascii="Century Gothic" w:hAnsi="Century Gothic"/>
                      <w:spacing w:val="-10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la</w:t>
                  </w:r>
                  <w:r>
                    <w:rPr>
                      <w:rFonts w:ascii="Century Gothic" w:hAnsi="Century Gothic"/>
                      <w:spacing w:val="-10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continuidad</w:t>
                  </w:r>
                  <w:r>
                    <w:rPr>
                      <w:rFonts w:ascii="Century Gothic" w:hAnsi="Century Gothic"/>
                      <w:spacing w:val="-10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de</w:t>
                  </w:r>
                  <w:r>
                    <w:rPr>
                      <w:rFonts w:ascii="Century Gothic" w:hAnsi="Century Gothic"/>
                      <w:spacing w:val="-9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dicho</w:t>
                  </w:r>
                  <w:r>
                    <w:rPr>
                      <w:rFonts w:ascii="Century Gothic" w:hAnsi="Century Gothic"/>
                      <w:spacing w:val="-10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instrumento </w:t>
                  </w:r>
                  <w:r>
                    <w:rPr>
                      <w:rFonts w:ascii="Century Gothic" w:hAnsi="Century Gothic"/>
                      <w:sz w:val="22"/>
                    </w:rPr>
                    <w:t>normativo mediante la expedición de la </w:t>
                  </w:r>
                  <w:r>
                    <w:rPr>
                      <w:rFonts w:ascii="Century Gothic" w:hAnsi="Century Gothic"/>
                      <w:b/>
                      <w:sz w:val="22"/>
                    </w:rPr>
                    <w:t>Disposición Técnica IFT-006-2016, Telecomunicaciones-Interfaz-Parte de transferencia de mensaje del sistema se señalización por canal común, </w:t>
                  </w:r>
                  <w:r>
                    <w:rPr>
                      <w:rFonts w:ascii="Century Gothic" w:hAnsi="Century Gothic"/>
                      <w:sz w:val="22"/>
                    </w:rPr>
                    <w:t>la cual entrará en vigor el 30 de marzo de 2016</w:t>
                  </w:r>
                  <w:r>
                    <w:rPr>
                      <w:rFonts w:ascii="Century Gothic" w:hAnsi="Century Gothic"/>
                      <w:spacing w:val="-40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y, </w:t>
                  </w:r>
                  <w:r>
                    <w:rPr>
                      <w:rFonts w:ascii="Century Gothic" w:hAnsi="Century Gothic"/>
                      <w:sz w:val="22"/>
                    </w:rPr>
                    <w:t>será revisada por el Instituto por lo menos a los 5 años contados a partir de su entrada en vigor, tal como lo indica en sus Disposiciones</w:t>
                  </w:r>
                  <w:r>
                    <w:rPr>
                      <w:rFonts w:ascii="Century Gothic" w:hAnsi="Century Gothic"/>
                      <w:spacing w:val="-24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sz w:val="22"/>
                    </w:rPr>
                    <w:t>Transitorias.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2240" w:h="15840"/>
          <w:pgMar w:header="706" w:footer="0" w:top="2200" w:bottom="280" w:left="1580" w:right="1540"/>
        </w:sectPr>
      </w:pP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BodyText"/>
        <w:tabs>
          <w:tab w:pos="9008" w:val="left" w:leader="none"/>
        </w:tabs>
        <w:spacing w:line="240" w:lineRule="auto" w:before="57"/>
        <w:ind w:left="113" w:right="0"/>
        <w:jc w:val="left"/>
      </w:pPr>
      <w:r>
        <w:rPr>
          <w:w w:val="100"/>
        </w:rPr>
      </w:r>
      <w:r>
        <w:rPr>
          <w:spacing w:val="-33"/>
          <w:w w:val="100"/>
          <w:shd w:fill="A8D08D" w:color="auto" w:val="clear"/>
        </w:rPr>
        <w:t> </w:t>
      </w:r>
      <w:r>
        <w:rPr>
          <w:shd w:fill="A8D08D" w:color="auto" w:val="clear"/>
        </w:rPr>
        <w:t>II. IMPACTO DE LA</w:t>
      </w:r>
      <w:r>
        <w:rPr>
          <w:spacing w:val="-10"/>
          <w:shd w:fill="A8D08D" w:color="auto" w:val="clear"/>
        </w:rPr>
        <w:t> </w:t>
      </w:r>
      <w:r>
        <w:rPr>
          <w:shd w:fill="A8D08D" w:color="auto" w:val="clear"/>
        </w:rPr>
        <w:t>REGULACIÓN.</w:t>
        <w:tab/>
      </w:r>
      <w:r>
        <w:rPr/>
      </w:r>
    </w:p>
    <w:p>
      <w:pPr>
        <w:spacing w:line="240" w:lineRule="auto" w:before="4"/>
        <w:ind w:right="0"/>
        <w:rPr>
          <w:rFonts w:ascii="Century Gothic" w:hAnsi="Century Gothic" w:cs="Century Gothic" w:eastAsia="Century Gothic" w:hint="default"/>
          <w:sz w:val="17"/>
          <w:szCs w:val="17"/>
        </w:rPr>
      </w:pPr>
    </w:p>
    <w:p>
      <w:pPr>
        <w:pStyle w:val="Heading1"/>
        <w:spacing w:line="278" w:lineRule="auto"/>
        <w:ind w:right="275"/>
        <w:jc w:val="both"/>
        <w:rPr>
          <w:b w:val="0"/>
          <w:bCs w:val="0"/>
        </w:rPr>
      </w:pPr>
      <w:r>
        <w:rPr/>
        <w:pict>
          <v:group style="position:absolute;margin-left:85.094002pt;margin-top:-.825518pt;width:441.95pt;height:455.5pt;mso-position-horizontal-relative:page;mso-position-vertical-relative:paragraph;z-index:-9880" coordorigin="1702,-17" coordsize="8839,9110">
            <v:group style="position:absolute;left:1712;top:-7;width:8819;height:2" coordorigin="1712,-7" coordsize="8819,2">
              <v:shape style="position:absolute;left:1712;top:-7;width:8819;height:2" coordorigin="1712,-7" coordsize="8819,0" path="m1712,-7l10531,-7e" filled="false" stroked="true" strokeweight=".48pt" strokecolor="#000000">
                <v:path arrowok="t"/>
              </v:shape>
            </v:group>
            <v:group style="position:absolute;left:1707;top:-12;width:2;height:9100" coordorigin="1707,-12" coordsize="2,9100">
              <v:shape style="position:absolute;left:1707;top:-12;width:2;height:9100" coordorigin="1707,-12" coordsize="0,9100" path="m1707,-12l1707,9088e" filled="false" stroked="true" strokeweight=".48pt" strokecolor="#000000">
                <v:path arrowok="t"/>
              </v:shape>
            </v:group>
            <v:group style="position:absolute;left:1712;top:9084;width:8819;height:2" coordorigin="1712,9084" coordsize="8819,2">
              <v:shape style="position:absolute;left:1712;top:9084;width:8819;height:2" coordorigin="1712,9084" coordsize="8819,0" path="m1712,9084l10531,9084e" filled="false" stroked="true" strokeweight=".47998pt" strokecolor="#000000">
                <v:path arrowok="t"/>
              </v:shape>
            </v:group>
            <v:group style="position:absolute;left:10536;top:-12;width:2;height:9100" coordorigin="10536,-12" coordsize="2,9100">
              <v:shape style="position:absolute;left:10536;top:-12;width:2;height:9100" coordorigin="10536,-12" coordsize="0,9100" path="m10536,-12l10536,9088e" filled="false" stroked="true" strokeweight=".47998pt" strokecolor="#000000">
                <v:path arrowok="t"/>
              </v:shape>
            </v:group>
            <w10:wrap type="none"/>
          </v:group>
        </w:pict>
      </w:r>
      <w:r>
        <w:rPr/>
        <w:t>2.-</w:t>
      </w:r>
      <w:r>
        <w:rPr>
          <w:spacing w:val="-14"/>
        </w:rPr>
        <w:t> </w:t>
      </w:r>
      <w:r>
        <w:rPr/>
        <w:t>Justifique</w:t>
      </w:r>
      <w:r>
        <w:rPr>
          <w:spacing w:val="-16"/>
        </w:rPr>
        <w:t> </w:t>
      </w:r>
      <w:r>
        <w:rPr/>
        <w:t>las</w:t>
      </w:r>
      <w:r>
        <w:rPr>
          <w:spacing w:val="-16"/>
        </w:rPr>
        <w:t> </w:t>
      </w:r>
      <w:r>
        <w:rPr/>
        <w:t>razones</w:t>
      </w:r>
      <w:r>
        <w:rPr>
          <w:spacing w:val="-17"/>
        </w:rPr>
        <w:t> </w:t>
      </w:r>
      <w:r>
        <w:rPr/>
        <w:t>por</w:t>
      </w:r>
      <w:r>
        <w:rPr>
          <w:spacing w:val="-14"/>
        </w:rPr>
        <w:t> </w:t>
      </w:r>
      <w:r>
        <w:rPr/>
        <w:t>las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considera</w:t>
      </w:r>
      <w:r>
        <w:rPr>
          <w:spacing w:val="-19"/>
        </w:rPr>
        <w:t> </w:t>
      </w:r>
      <w:r>
        <w:rPr/>
        <w:t>que</w:t>
      </w:r>
      <w:r>
        <w:rPr>
          <w:spacing w:val="-14"/>
        </w:rPr>
        <w:t> </w:t>
      </w:r>
      <w:r>
        <w:rPr/>
        <w:t>el</w:t>
      </w:r>
      <w:r>
        <w:rPr>
          <w:spacing w:val="-18"/>
        </w:rPr>
        <w:t> </w:t>
      </w:r>
      <w:r>
        <w:rPr/>
        <w:t>anteproyecto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regulación </w:t>
      </w:r>
      <w:r>
        <w:rPr/>
        <w:t>propuesto no genera costos de cumplimiento para los particulares, independientemente de los beneficios que éste</w:t>
      </w:r>
      <w:r>
        <w:rPr>
          <w:spacing w:val="34"/>
        </w:rPr>
        <w:t> </w:t>
      </w:r>
      <w:r>
        <w:rPr/>
        <w:t>genere:</w:t>
      </w:r>
      <w:r>
        <w:rPr>
          <w:b w:val="0"/>
        </w:rPr>
      </w:r>
    </w:p>
    <w:p>
      <w:pPr>
        <w:spacing w:line="240" w:lineRule="auto" w:before="7"/>
        <w:ind w:right="0"/>
        <w:rPr>
          <w:rFonts w:ascii="Century Gothic" w:hAnsi="Century Gothic" w:cs="Century Gothic" w:eastAsia="Century Gothic" w:hint="default"/>
          <w:b/>
          <w:bCs/>
          <w:sz w:val="25"/>
          <w:szCs w:val="25"/>
        </w:rPr>
      </w:pPr>
    </w:p>
    <w:p>
      <w:pPr>
        <w:spacing w:line="278" w:lineRule="auto" w:before="0"/>
        <w:ind w:left="254" w:right="267" w:firstLine="0"/>
        <w:jc w:val="both"/>
        <w:rPr>
          <w:rFonts w:ascii="Century Gothic" w:hAnsi="Century Gothic" w:cs="Century Gothic" w:eastAsia="Century Gothic" w:hint="default"/>
          <w:sz w:val="22"/>
          <w:szCs w:val="22"/>
        </w:rPr>
      </w:pPr>
      <w:r>
        <w:rPr>
          <w:rFonts w:ascii="Century Gothic" w:hAnsi="Century Gothic"/>
          <w:sz w:val="22"/>
        </w:rPr>
        <w:t>La </w:t>
      </w:r>
      <w:r>
        <w:rPr>
          <w:rFonts w:ascii="Century Gothic" w:hAnsi="Century Gothic"/>
          <w:b/>
          <w:sz w:val="22"/>
        </w:rPr>
        <w:t>Disposición Técnica IFT-006-2016, Telecomunicaciones-Interfaz-Parte de transferencia de mensaje del sistema se señalización por canal común </w:t>
      </w:r>
      <w:r>
        <w:rPr>
          <w:rFonts w:ascii="Century Gothic" w:hAnsi="Century Gothic"/>
          <w:sz w:val="22"/>
        </w:rPr>
        <w:t>no generara costos de cumplimiento para los particulares debido a lo</w:t>
      </w:r>
      <w:r>
        <w:rPr>
          <w:rFonts w:ascii="Century Gothic" w:hAnsi="Century Gothic"/>
          <w:spacing w:val="-22"/>
          <w:sz w:val="22"/>
        </w:rPr>
        <w:t> </w:t>
      </w:r>
      <w:r>
        <w:rPr>
          <w:rFonts w:ascii="Century Gothic" w:hAnsi="Century Gothic"/>
          <w:sz w:val="22"/>
        </w:rPr>
        <w:t>siguiente:</w:t>
      </w:r>
    </w:p>
    <w:p>
      <w:pPr>
        <w:pStyle w:val="ListParagraph"/>
        <w:numPr>
          <w:ilvl w:val="0"/>
          <w:numId w:val="2"/>
        </w:numPr>
        <w:tabs>
          <w:tab w:pos="975" w:val="left" w:leader="none"/>
        </w:tabs>
        <w:spacing w:line="278" w:lineRule="auto" w:before="0" w:after="0"/>
        <w:ind w:left="974" w:right="272" w:hanging="360"/>
        <w:jc w:val="both"/>
        <w:rPr>
          <w:rFonts w:ascii="Century Gothic" w:hAnsi="Century Gothic" w:cs="Century Gothic" w:eastAsia="Century Gothic" w:hint="default"/>
          <w:sz w:val="22"/>
          <w:szCs w:val="22"/>
        </w:rPr>
      </w:pPr>
      <w:r>
        <w:rPr>
          <w:rFonts w:ascii="Century Gothic" w:hAnsi="Century Gothic"/>
          <w:sz w:val="22"/>
        </w:rPr>
        <w:t>El Anteproyecto no contempla ningún esquema que impacte de forma diferenciada a sectores, industria o agentes</w:t>
      </w:r>
      <w:r>
        <w:rPr>
          <w:rFonts w:ascii="Century Gothic" w:hAnsi="Century Gothic"/>
          <w:spacing w:val="-18"/>
          <w:sz w:val="22"/>
        </w:rPr>
        <w:t> </w:t>
      </w:r>
      <w:r>
        <w:rPr>
          <w:rFonts w:ascii="Century Gothic" w:hAnsi="Century Gothic"/>
          <w:sz w:val="22"/>
        </w:rPr>
        <w:t>económicos.</w:t>
      </w:r>
    </w:p>
    <w:p>
      <w:pPr>
        <w:pStyle w:val="ListParagraph"/>
        <w:numPr>
          <w:ilvl w:val="0"/>
          <w:numId w:val="2"/>
        </w:numPr>
        <w:tabs>
          <w:tab w:pos="975" w:val="left" w:leader="none"/>
        </w:tabs>
        <w:spacing w:line="278" w:lineRule="auto" w:before="2" w:after="0"/>
        <w:ind w:left="974" w:right="269" w:hanging="360"/>
        <w:jc w:val="both"/>
        <w:rPr>
          <w:rFonts w:ascii="Century Gothic" w:hAnsi="Century Gothic" w:cs="Century Gothic" w:eastAsia="Century Gothic" w:hint="default"/>
          <w:sz w:val="22"/>
          <w:szCs w:val="22"/>
        </w:rPr>
      </w:pPr>
      <w:r>
        <w:rPr>
          <w:rFonts w:ascii="Century Gothic" w:hAnsi="Century Gothic"/>
          <w:sz w:val="22"/>
        </w:rPr>
        <w:t>No</w:t>
      </w:r>
      <w:r>
        <w:rPr>
          <w:rFonts w:ascii="Century Gothic" w:hAnsi="Century Gothic"/>
          <w:spacing w:val="-14"/>
          <w:sz w:val="22"/>
        </w:rPr>
        <w:t> </w:t>
      </w:r>
      <w:r>
        <w:rPr>
          <w:rFonts w:ascii="Century Gothic" w:hAnsi="Century Gothic"/>
          <w:sz w:val="22"/>
        </w:rPr>
        <w:t>se</w:t>
      </w:r>
      <w:r>
        <w:rPr>
          <w:rFonts w:ascii="Century Gothic" w:hAnsi="Century Gothic"/>
          <w:spacing w:val="-13"/>
          <w:sz w:val="22"/>
        </w:rPr>
        <w:t> </w:t>
      </w:r>
      <w:r>
        <w:rPr>
          <w:rFonts w:ascii="Century Gothic" w:hAnsi="Century Gothic"/>
          <w:sz w:val="22"/>
        </w:rPr>
        <w:t>prevén</w:t>
      </w:r>
      <w:r>
        <w:rPr>
          <w:rFonts w:ascii="Century Gothic" w:hAnsi="Century Gothic"/>
          <w:spacing w:val="-16"/>
          <w:sz w:val="22"/>
        </w:rPr>
        <w:t> </w:t>
      </w:r>
      <w:r>
        <w:rPr>
          <w:rFonts w:ascii="Century Gothic" w:hAnsi="Century Gothic"/>
          <w:sz w:val="22"/>
        </w:rPr>
        <w:t>costos</w:t>
      </w:r>
      <w:r>
        <w:rPr>
          <w:rFonts w:ascii="Century Gothic" w:hAnsi="Century Gothic"/>
          <w:spacing w:val="-13"/>
          <w:sz w:val="22"/>
        </w:rPr>
        <w:t> </w:t>
      </w:r>
      <w:r>
        <w:rPr>
          <w:rFonts w:ascii="Century Gothic" w:hAnsi="Century Gothic"/>
          <w:sz w:val="22"/>
        </w:rPr>
        <w:t>relacionados</w:t>
      </w:r>
      <w:r>
        <w:rPr>
          <w:rFonts w:ascii="Century Gothic" w:hAnsi="Century Gothic"/>
          <w:spacing w:val="-13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-13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-10"/>
          <w:sz w:val="22"/>
        </w:rPr>
        <w:t> </w:t>
      </w:r>
      <w:r>
        <w:rPr>
          <w:rFonts w:ascii="Century Gothic" w:hAnsi="Century Gothic"/>
          <w:sz w:val="22"/>
        </w:rPr>
        <w:t>adquisición</w:t>
      </w:r>
      <w:r>
        <w:rPr>
          <w:rFonts w:ascii="Century Gothic" w:hAnsi="Century Gothic"/>
          <w:spacing w:val="-1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13"/>
          <w:sz w:val="22"/>
        </w:rPr>
        <w:t> </w:t>
      </w:r>
      <w:r>
        <w:rPr>
          <w:rFonts w:ascii="Century Gothic" w:hAnsi="Century Gothic"/>
          <w:sz w:val="22"/>
        </w:rPr>
        <w:t>equipos</w:t>
      </w:r>
      <w:r>
        <w:rPr>
          <w:rFonts w:ascii="Century Gothic" w:hAnsi="Century Gothic"/>
          <w:spacing w:val="-13"/>
          <w:sz w:val="22"/>
        </w:rPr>
        <w:t> </w:t>
      </w:r>
      <w:r>
        <w:rPr>
          <w:rFonts w:ascii="Century Gothic" w:hAnsi="Century Gothic"/>
          <w:sz w:val="22"/>
        </w:rPr>
        <w:t>o</w:t>
      </w:r>
      <w:r>
        <w:rPr>
          <w:rFonts w:ascii="Century Gothic" w:hAnsi="Century Gothic"/>
          <w:spacing w:val="-14"/>
          <w:sz w:val="22"/>
        </w:rPr>
        <w:t> </w:t>
      </w:r>
      <w:r>
        <w:rPr>
          <w:rFonts w:ascii="Century Gothic" w:hAnsi="Century Gothic"/>
          <w:sz w:val="22"/>
        </w:rPr>
        <w:t>materiales </w:t>
      </w:r>
      <w:r>
        <w:rPr>
          <w:rFonts w:ascii="Century Gothic" w:hAnsi="Century Gothic"/>
          <w:sz w:val="22"/>
        </w:rPr>
        <w:t>relacionados con la entrada en vigor de la Disposición Técnica IFT-006- 2016.</w:t>
      </w:r>
    </w:p>
    <w:p>
      <w:pPr>
        <w:pStyle w:val="ListParagraph"/>
        <w:numPr>
          <w:ilvl w:val="0"/>
          <w:numId w:val="2"/>
        </w:numPr>
        <w:tabs>
          <w:tab w:pos="975" w:val="left" w:leader="none"/>
        </w:tabs>
        <w:spacing w:line="280" w:lineRule="auto" w:before="0" w:after="0"/>
        <w:ind w:left="974" w:right="267" w:hanging="360"/>
        <w:jc w:val="both"/>
        <w:rPr>
          <w:rFonts w:ascii="Century Gothic" w:hAnsi="Century Gothic" w:cs="Century Gothic" w:eastAsia="Century Gothic" w:hint="default"/>
          <w:sz w:val="22"/>
          <w:szCs w:val="22"/>
        </w:rPr>
      </w:pPr>
      <w:r>
        <w:rPr>
          <w:rFonts w:ascii="Century Gothic" w:hAnsi="Century Gothic"/>
          <w:sz w:val="22"/>
        </w:rPr>
        <w:t>Así mismo, mantiene incólume el contenido sustantivo de la Disposición Técnica IFT-006-2015, a la cual</w:t>
      </w:r>
      <w:r>
        <w:rPr>
          <w:rFonts w:ascii="Century Gothic" w:hAnsi="Century Gothic"/>
          <w:spacing w:val="-9"/>
          <w:sz w:val="22"/>
        </w:rPr>
        <w:t> </w:t>
      </w:r>
      <w:r>
        <w:rPr>
          <w:rFonts w:ascii="Century Gothic" w:hAnsi="Century Gothic"/>
          <w:sz w:val="22"/>
        </w:rPr>
        <w:t>sustituye.</w:t>
      </w:r>
    </w:p>
    <w:p>
      <w:pPr>
        <w:spacing w:line="240" w:lineRule="auto" w:before="3"/>
        <w:ind w:right="0"/>
        <w:rPr>
          <w:rFonts w:ascii="Century Gothic" w:hAnsi="Century Gothic" w:cs="Century Gothic" w:eastAsia="Century Gothic" w:hint="default"/>
          <w:sz w:val="25"/>
          <w:szCs w:val="25"/>
        </w:rPr>
      </w:pPr>
    </w:p>
    <w:p>
      <w:pPr>
        <w:pStyle w:val="BodyText"/>
        <w:spacing w:line="278" w:lineRule="auto"/>
        <w:ind w:left="254" w:right="269"/>
        <w:jc w:val="both"/>
      </w:pPr>
      <w:r>
        <w:rPr>
          <w:rFonts w:ascii="Century Gothic" w:hAnsi="Century Gothic" w:cs="Century Gothic" w:eastAsia="Century Gothic" w:hint="default"/>
        </w:rPr>
        <w:t>Es</w:t>
      </w:r>
      <w:r>
        <w:rPr>
          <w:rFonts w:ascii="Century Gothic" w:hAnsi="Century Gothic" w:cs="Century Gothic" w:eastAsia="Century Gothic" w:hint="default"/>
          <w:spacing w:val="-12"/>
        </w:rPr>
        <w:t> </w:t>
      </w:r>
      <w:r>
        <w:rPr>
          <w:rFonts w:ascii="Century Gothic" w:hAnsi="Century Gothic" w:cs="Century Gothic" w:eastAsia="Century Gothic" w:hint="default"/>
        </w:rPr>
        <w:t>relevante</w:t>
      </w:r>
      <w:r>
        <w:rPr>
          <w:rFonts w:ascii="Century Gothic" w:hAnsi="Century Gothic" w:cs="Century Gothic" w:eastAsia="Century Gothic" w:hint="default"/>
          <w:spacing w:val="-12"/>
        </w:rPr>
        <w:t> </w:t>
      </w:r>
      <w:r>
        <w:rPr>
          <w:rFonts w:ascii="Century Gothic" w:hAnsi="Century Gothic" w:cs="Century Gothic" w:eastAsia="Century Gothic" w:hint="default"/>
        </w:rPr>
        <w:t>mencionar</w:t>
      </w:r>
      <w:r>
        <w:rPr>
          <w:rFonts w:ascii="Century Gothic" w:hAnsi="Century Gothic" w:cs="Century Gothic" w:eastAsia="Century Gothic" w:hint="default"/>
          <w:spacing w:val="-12"/>
        </w:rPr>
        <w:t> </w:t>
      </w:r>
      <w:r>
        <w:rPr>
          <w:rFonts w:ascii="Century Gothic" w:hAnsi="Century Gothic" w:cs="Century Gothic" w:eastAsia="Century Gothic" w:hint="default"/>
        </w:rPr>
        <w:t>que</w:t>
      </w:r>
      <w:r>
        <w:rPr>
          <w:rFonts w:ascii="Century Gothic" w:hAnsi="Century Gothic" w:cs="Century Gothic" w:eastAsia="Century Gothic" w:hint="default"/>
          <w:spacing w:val="-12"/>
        </w:rPr>
        <w:t> </w:t>
      </w:r>
      <w:r>
        <w:rPr>
          <w:rFonts w:ascii="Century Gothic" w:hAnsi="Century Gothic" w:cs="Century Gothic" w:eastAsia="Century Gothic" w:hint="default"/>
        </w:rPr>
        <w:t>la</w:t>
      </w:r>
      <w:r>
        <w:rPr>
          <w:rFonts w:ascii="Century Gothic" w:hAnsi="Century Gothic" w:cs="Century Gothic" w:eastAsia="Century Gothic" w:hint="default"/>
          <w:spacing w:val="-12"/>
        </w:rPr>
        <w:t> </w:t>
      </w:r>
      <w:r>
        <w:rPr>
          <w:rFonts w:ascii="Century Gothic" w:hAnsi="Century Gothic" w:cs="Century Gothic" w:eastAsia="Century Gothic" w:hint="default"/>
        </w:rPr>
        <w:t>“Parte</w:t>
      </w:r>
      <w:r>
        <w:rPr>
          <w:rFonts w:ascii="Century Gothic" w:hAnsi="Century Gothic" w:cs="Century Gothic" w:eastAsia="Century Gothic" w:hint="default"/>
          <w:spacing w:val="-12"/>
        </w:rPr>
        <w:t> </w:t>
      </w:r>
      <w:r>
        <w:rPr>
          <w:rFonts w:ascii="Century Gothic" w:hAnsi="Century Gothic" w:cs="Century Gothic" w:eastAsia="Century Gothic" w:hint="default"/>
        </w:rPr>
        <w:t>de</w:t>
      </w:r>
      <w:r>
        <w:rPr>
          <w:rFonts w:ascii="Century Gothic" w:hAnsi="Century Gothic" w:cs="Century Gothic" w:eastAsia="Century Gothic" w:hint="default"/>
          <w:spacing w:val="-12"/>
        </w:rPr>
        <w:t> </w:t>
      </w:r>
      <w:r>
        <w:rPr>
          <w:rFonts w:ascii="Century Gothic" w:hAnsi="Century Gothic" w:cs="Century Gothic" w:eastAsia="Century Gothic" w:hint="default"/>
        </w:rPr>
        <w:t>transferencia</w:t>
      </w:r>
      <w:r>
        <w:rPr>
          <w:rFonts w:ascii="Century Gothic" w:hAnsi="Century Gothic" w:cs="Century Gothic" w:eastAsia="Century Gothic" w:hint="default"/>
          <w:spacing w:val="-12"/>
        </w:rPr>
        <w:t> </w:t>
      </w:r>
      <w:r>
        <w:rPr>
          <w:rFonts w:ascii="Century Gothic" w:hAnsi="Century Gothic" w:cs="Century Gothic" w:eastAsia="Century Gothic" w:hint="default"/>
        </w:rPr>
        <w:t>de</w:t>
      </w:r>
      <w:r>
        <w:rPr>
          <w:rFonts w:ascii="Century Gothic" w:hAnsi="Century Gothic" w:cs="Century Gothic" w:eastAsia="Century Gothic" w:hint="default"/>
          <w:spacing w:val="-12"/>
        </w:rPr>
        <w:t> </w:t>
      </w:r>
      <w:r>
        <w:rPr>
          <w:rFonts w:ascii="Century Gothic" w:hAnsi="Century Gothic" w:cs="Century Gothic" w:eastAsia="Century Gothic" w:hint="default"/>
        </w:rPr>
        <w:t>mensaje</w:t>
      </w:r>
      <w:r>
        <w:rPr>
          <w:rFonts w:ascii="Century Gothic" w:hAnsi="Century Gothic" w:cs="Century Gothic" w:eastAsia="Century Gothic" w:hint="default"/>
          <w:spacing w:val="-12"/>
        </w:rPr>
        <w:t> </w:t>
      </w:r>
      <w:r>
        <w:rPr>
          <w:rFonts w:ascii="Century Gothic" w:hAnsi="Century Gothic" w:cs="Century Gothic" w:eastAsia="Century Gothic" w:hint="default"/>
        </w:rPr>
        <w:t>del</w:t>
      </w:r>
      <w:r>
        <w:rPr>
          <w:rFonts w:ascii="Century Gothic" w:hAnsi="Century Gothic" w:cs="Century Gothic" w:eastAsia="Century Gothic" w:hint="default"/>
          <w:spacing w:val="-12"/>
        </w:rPr>
        <w:t> </w:t>
      </w:r>
      <w:r>
        <w:rPr>
          <w:rFonts w:ascii="Century Gothic" w:hAnsi="Century Gothic" w:cs="Century Gothic" w:eastAsia="Century Gothic" w:hint="default"/>
        </w:rPr>
        <w:t>sistema</w:t>
      </w:r>
      <w:r>
        <w:rPr>
          <w:rFonts w:ascii="Century Gothic" w:hAnsi="Century Gothic" w:cs="Century Gothic" w:eastAsia="Century Gothic" w:hint="default"/>
          <w:spacing w:val="-12"/>
        </w:rPr>
        <w:t> </w:t>
      </w:r>
      <w:r>
        <w:rPr>
          <w:rFonts w:ascii="Century Gothic" w:hAnsi="Century Gothic" w:cs="Century Gothic" w:eastAsia="Century Gothic" w:hint="default"/>
        </w:rPr>
        <w:t>de </w:t>
      </w:r>
      <w:r>
        <w:rPr>
          <w:rFonts w:ascii="Century Gothic" w:hAnsi="Century Gothic" w:cs="Century Gothic" w:eastAsia="Century Gothic" w:hint="default"/>
        </w:rPr>
        <w:t>señalización por canal común” como parte funcional del </w:t>
      </w:r>
      <w:r>
        <w:rPr/>
        <w:t>SS7, se usa en la interconexión de las Redes Públicas de Telecomunicaciones, dicha señalización está funcionando desde hace 20 años en miles de equipos instalados en el país, y se prevé que se continúe utilizando hasta que sea reemplazado por el protocolo</w:t>
      </w:r>
      <w:r>
        <w:rPr>
          <w:spacing w:val="-4"/>
        </w:rPr>
        <w:t> </w:t>
      </w:r>
      <w:r>
        <w:rPr/>
        <w:t>IP.</w:t>
      </w:r>
    </w:p>
    <w:p>
      <w:pPr>
        <w:spacing w:line="240" w:lineRule="auto" w:before="6"/>
        <w:ind w:right="0"/>
        <w:rPr>
          <w:rFonts w:ascii="Century Gothic" w:hAnsi="Century Gothic" w:cs="Century Gothic" w:eastAsia="Century Gothic" w:hint="default"/>
          <w:sz w:val="25"/>
          <w:szCs w:val="25"/>
        </w:rPr>
      </w:pPr>
    </w:p>
    <w:p>
      <w:pPr>
        <w:pStyle w:val="BodyText"/>
        <w:spacing w:line="278" w:lineRule="auto"/>
        <w:ind w:left="254" w:right="266"/>
        <w:jc w:val="both"/>
      </w:pPr>
      <w:r>
        <w:rPr/>
        <w:t>Considerando los comentarios vertidos en la reunión llevada a cabo con los Concesionarios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3"/>
        </w:rPr>
        <w:t> </w:t>
      </w:r>
      <w:r>
        <w:rPr/>
        <w:t>interesados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tema,</w:t>
      </w:r>
      <w:r>
        <w:rPr>
          <w:spacing w:val="-4"/>
        </w:rPr>
        <w:t> </w:t>
      </w:r>
      <w:r>
        <w:rPr/>
        <w:t>previo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Consulta</w:t>
      </w:r>
      <w:r>
        <w:rPr>
          <w:spacing w:val="-4"/>
        </w:rPr>
        <w:t> </w:t>
      </w:r>
      <w:r>
        <w:rPr/>
        <w:t>Pública,</w:t>
      </w:r>
      <w:r>
        <w:rPr>
          <w:spacing w:val="-4"/>
        </w:rPr>
        <w:t> </w:t>
      </w:r>
      <w:r>
        <w:rPr/>
        <w:t>así </w:t>
      </w:r>
      <w:r>
        <w:rPr/>
        <w:t>como el comentario recibido durante la misma, en el periodo comprendido del 29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Enero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12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Febrero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2016,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una</w:t>
      </w:r>
      <w:r>
        <w:rPr>
          <w:spacing w:val="-6"/>
        </w:rPr>
        <w:t> </w:t>
      </w:r>
      <w:r>
        <w:rPr/>
        <w:t>duración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10</w:t>
      </w:r>
      <w:r>
        <w:rPr>
          <w:spacing w:val="-7"/>
        </w:rPr>
        <w:t> </w:t>
      </w:r>
      <w:r>
        <w:rPr/>
        <w:t>(diez)</w:t>
      </w:r>
      <w:r>
        <w:rPr>
          <w:spacing w:val="-7"/>
        </w:rPr>
        <w:t> </w:t>
      </w:r>
      <w:r>
        <w:rPr/>
        <w:t>días</w:t>
      </w:r>
      <w:r>
        <w:rPr>
          <w:spacing w:val="-6"/>
        </w:rPr>
        <w:t> </w:t>
      </w:r>
      <w:r>
        <w:rPr/>
        <w:t>hábiles, </w:t>
      </w:r>
      <w:r>
        <w:rPr/>
      </w:r>
      <w:r>
        <w:rPr>
          <w:rFonts w:ascii="Century Gothic" w:hAnsi="Century Gothic"/>
          <w:b/>
        </w:rPr>
        <w:t>se considera pertinente mantener sin cambios sustanciales </w:t>
      </w:r>
      <w:r>
        <w:rPr/>
        <w:t>a la Disposición Técnica en</w:t>
      </w:r>
      <w:r>
        <w:rPr>
          <w:spacing w:val="-3"/>
        </w:rPr>
        <w:t> </w:t>
      </w:r>
      <w:r>
        <w:rPr/>
        <w:t>comento.</w:t>
      </w:r>
    </w:p>
    <w:p>
      <w:pPr>
        <w:spacing w:line="240" w:lineRule="auto" w:before="0"/>
        <w:ind w:right="0"/>
        <w:rPr>
          <w:rFonts w:ascii="Century Gothic" w:hAnsi="Century Gothic" w:cs="Century Gothic" w:eastAsia="Century Gothic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entury Gothic" w:hAnsi="Century Gothic" w:cs="Century Gothic" w:eastAsia="Century Gothic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Century Gothic" w:hAnsi="Century Gothic" w:cs="Century Gothic" w:eastAsia="Century Gothic" w:hint="default"/>
          <w:sz w:val="24"/>
          <w:szCs w:val="24"/>
        </w:rPr>
      </w:pPr>
    </w:p>
    <w:tbl>
      <w:tblPr>
        <w:tblW w:w="0" w:type="auto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4808"/>
        <w:gridCol w:w="2041"/>
      </w:tblGrid>
      <w:tr>
        <w:trPr>
          <w:trHeight w:val="322" w:hRule="exact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60" w:val="left" w:leader="none"/>
              </w:tabs>
              <w:spacing w:line="278" w:lineRule="auto" w:before="2"/>
              <w:ind w:left="103" w:right="99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b/>
                <w:spacing w:val="-1"/>
                <w:w w:val="90"/>
                <w:sz w:val="22"/>
              </w:rPr>
              <w:t>3.-</w:t>
              <w:tab/>
            </w:r>
            <w:r>
              <w:rPr>
                <w:rFonts w:ascii="Century Gothic"/>
                <w:b/>
                <w:spacing w:val="-1"/>
                <w:sz w:val="22"/>
              </w:rPr>
              <w:t>Indique</w:t>
            </w:r>
            <w:r>
              <w:rPr>
                <w:rFonts w:ascii="Century Gothic"/>
                <w:b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cual(es) de la(s) siguiente(s) acciones</w:t>
            </w:r>
            <w:r>
              <w:rPr>
                <w:rFonts w:ascii="Century Gothic"/>
                <w:sz w:val="22"/>
              </w:rPr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Acciones</w:t>
            </w:r>
            <w:r>
              <w:rPr>
                <w:rFonts w:ascii="Century Gothic"/>
                <w:sz w:val="22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Seleccione</w:t>
            </w:r>
            <w:r>
              <w:rPr>
                <w:rFonts w:ascii="Century Gothic"/>
                <w:sz w:val="22"/>
              </w:rPr>
            </w:r>
          </w:p>
        </w:tc>
      </w:tr>
      <w:tr>
        <w:trPr>
          <w:trHeight w:val="950" w:hRule="exact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4"/>
              <w:ind w:left="103" w:right="102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Crea nuevas obligaciones y/o sanciones para los particulares o hace más estrictas las</w:t>
            </w:r>
            <w:r>
              <w:rPr>
                <w:rFonts w:ascii="Century Gothic" w:hAnsi="Century Gothic"/>
                <w:spacing w:val="-1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existentes.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entury Gothic" w:hAnsi="Century Gothic" w:cs="Century Gothic" w:eastAsia="Century Gothic" w:hint="default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Si (   )   No ( </w:t>
            </w:r>
            <w:r>
              <w:rPr>
                <w:rFonts w:ascii="Century Gothic"/>
                <w:b/>
                <w:sz w:val="22"/>
              </w:rPr>
              <w:t>x</w:t>
            </w:r>
            <w:r>
              <w:rPr>
                <w:rFonts w:ascii="Century Gothic"/>
                <w:b/>
                <w:spacing w:val="-23"/>
                <w:sz w:val="22"/>
              </w:rPr>
              <w:t> </w:t>
            </w:r>
            <w:r>
              <w:rPr>
                <w:rFonts w:ascii="Century Gothic"/>
                <w:sz w:val="22"/>
              </w:rPr>
              <w:t>)</w:t>
            </w:r>
          </w:p>
        </w:tc>
      </w:tr>
    </w:tbl>
    <w:p>
      <w:pPr>
        <w:spacing w:after="0" w:line="240" w:lineRule="auto"/>
        <w:jc w:val="center"/>
        <w:rPr>
          <w:rFonts w:ascii="Century Gothic" w:hAnsi="Century Gothic" w:cs="Century Gothic" w:eastAsia="Century Gothic" w:hint="default"/>
          <w:sz w:val="22"/>
          <w:szCs w:val="22"/>
        </w:rPr>
        <w:sectPr>
          <w:pgSz w:w="12240" w:h="15840"/>
          <w:pgMar w:header="706" w:footer="0" w:top="2200" w:bottom="280" w:left="1560" w:right="1540"/>
        </w:sectPr>
      </w:pPr>
    </w:p>
    <w:p>
      <w:pPr>
        <w:spacing w:line="240" w:lineRule="auto" w:before="10" w:after="0"/>
        <w:ind w:right="0"/>
        <w:rPr>
          <w:rFonts w:ascii="Times New Roman" w:hAnsi="Times New Roman" w:cs="Times New Roman" w:eastAsia="Times New Roman" w:hint="default"/>
          <w:sz w:val="25"/>
          <w:szCs w:val="25"/>
        </w:rPr>
      </w:pPr>
    </w:p>
    <w:tbl>
      <w:tblPr>
        <w:tblW w:w="0" w:type="auto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4808"/>
        <w:gridCol w:w="2041"/>
      </w:tblGrid>
      <w:tr>
        <w:trPr>
          <w:trHeight w:val="948" w:hRule="exact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7" w:val="left" w:leader="none"/>
              </w:tabs>
              <w:spacing w:line="278" w:lineRule="auto" w:before="2"/>
              <w:ind w:left="103" w:right="98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corresponde(n) al anteproyecto </w:t>
            </w:r>
            <w:r>
              <w:rPr>
                <w:rFonts w:ascii="Century Gothic" w:hAnsi="Century Gothic"/>
                <w:b/>
                <w:spacing w:val="-1"/>
                <w:sz w:val="22"/>
              </w:rPr>
              <w:t>de</w:t>
              <w:tab/>
              <w:t>regulación</w:t>
            </w:r>
            <w:r>
              <w:rPr>
                <w:rFonts w:ascii="Century Gothic" w:hAnsi="Century Gothic"/>
                <w:b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propuesto: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103" w:right="102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Modifica o crea trámites que signifiquen mayores</w:t>
            </w:r>
            <w:r>
              <w:rPr>
                <w:rFonts w:ascii="Century Gothic" w:hAnsi="Century Gothic"/>
                <w:spacing w:val="-18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cargas</w:t>
            </w:r>
            <w:r>
              <w:rPr>
                <w:rFonts w:ascii="Century Gothic" w:hAnsi="Century Gothic"/>
                <w:spacing w:val="-18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administrativas</w:t>
            </w:r>
            <w:r>
              <w:rPr>
                <w:rFonts w:ascii="Century Gothic" w:hAnsi="Century Gothic"/>
                <w:spacing w:val="-16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o</w:t>
            </w:r>
            <w:r>
              <w:rPr>
                <w:rFonts w:ascii="Century Gothic" w:hAnsi="Century Gothic"/>
                <w:spacing w:val="-19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costos</w:t>
            </w:r>
            <w:r>
              <w:rPr>
                <w:rFonts w:ascii="Century Gothic" w:hAnsi="Century Gothic"/>
                <w:spacing w:val="-16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de </w:t>
            </w:r>
            <w:r>
              <w:rPr>
                <w:rFonts w:ascii="Century Gothic" w:hAnsi="Century Gothic"/>
                <w:sz w:val="22"/>
              </w:rPr>
              <w:t>cumplimiento para los</w:t>
            </w:r>
            <w:r>
              <w:rPr>
                <w:rFonts w:ascii="Century Gothic" w:hAnsi="Century Gothic"/>
                <w:spacing w:val="-8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particulares.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Si (   )   No ( </w:t>
            </w:r>
            <w:r>
              <w:rPr>
                <w:rFonts w:ascii="Century Gothic"/>
                <w:b/>
                <w:sz w:val="22"/>
              </w:rPr>
              <w:t>x</w:t>
            </w:r>
            <w:r>
              <w:rPr>
                <w:rFonts w:ascii="Century Gothic"/>
                <w:b/>
                <w:spacing w:val="-21"/>
                <w:sz w:val="22"/>
              </w:rPr>
              <w:t> </w:t>
            </w:r>
            <w:r>
              <w:rPr>
                <w:rFonts w:ascii="Century Gothic"/>
                <w:sz w:val="22"/>
              </w:rPr>
              <w:t>)</w:t>
            </w:r>
          </w:p>
        </w:tc>
      </w:tr>
      <w:tr>
        <w:trPr>
          <w:trHeight w:val="636" w:hRule="exact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49" w:val="left" w:leader="none"/>
                <w:tab w:pos="1688" w:val="left" w:leader="none"/>
                <w:tab w:pos="2890" w:val="left" w:leader="none"/>
                <w:tab w:pos="4550" w:val="left" w:leader="none"/>
              </w:tabs>
              <w:spacing w:line="280" w:lineRule="auto" w:before="2"/>
              <w:ind w:left="103" w:right="101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Reduce</w:t>
              <w:tab/>
            </w:r>
            <w:r>
              <w:rPr>
                <w:rFonts w:ascii="Century Gothic"/>
                <w:sz w:val="22"/>
              </w:rPr>
              <w:t>o</w:t>
              <w:tab/>
            </w:r>
            <w:r>
              <w:rPr>
                <w:rFonts w:ascii="Century Gothic"/>
                <w:spacing w:val="-1"/>
                <w:sz w:val="22"/>
              </w:rPr>
              <w:t>restringe</w:t>
              <w:tab/>
              <w:t>prestaciones</w:t>
              <w:tab/>
            </w:r>
            <w:r>
              <w:rPr>
                <w:rFonts w:ascii="Century Gothic"/>
                <w:sz w:val="22"/>
              </w:rPr>
              <w:t>o </w:t>
            </w:r>
            <w:r>
              <w:rPr>
                <w:rFonts w:ascii="Century Gothic"/>
                <w:sz w:val="22"/>
              </w:rPr>
              <w:t>derechos para los</w:t>
            </w:r>
            <w:r>
              <w:rPr>
                <w:rFonts w:ascii="Century Gothic"/>
                <w:spacing w:val="-11"/>
                <w:sz w:val="22"/>
              </w:rPr>
              <w:t> </w:t>
            </w:r>
            <w:r>
              <w:rPr>
                <w:rFonts w:ascii="Century Gothic"/>
                <w:sz w:val="22"/>
              </w:rPr>
              <w:t>particulares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right="0"/>
              <w:jc w:val="center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Si (   )   No ( </w:t>
            </w:r>
            <w:r>
              <w:rPr>
                <w:rFonts w:ascii="Century Gothic"/>
                <w:b/>
                <w:sz w:val="22"/>
              </w:rPr>
              <w:t>x</w:t>
            </w:r>
            <w:r>
              <w:rPr>
                <w:rFonts w:ascii="Century Gothic"/>
                <w:b/>
                <w:spacing w:val="-21"/>
                <w:sz w:val="22"/>
              </w:rPr>
              <w:t> </w:t>
            </w:r>
            <w:r>
              <w:rPr>
                <w:rFonts w:ascii="Century Gothic"/>
                <w:sz w:val="22"/>
              </w:rPr>
              <w:t>)</w:t>
            </w:r>
          </w:p>
        </w:tc>
      </w:tr>
      <w:tr>
        <w:trPr>
          <w:trHeight w:val="1889" w:hRule="exact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103" w:right="98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Establece o modifica definiciones, clasificaciones, metodologías, criterios, caracterizaciones o cualquier otro termino de referencia, afectando derechos, obligaciones,</w:t>
            </w:r>
            <w:r>
              <w:rPr>
                <w:rFonts w:ascii="Century Gothic" w:hAnsi="Century Gothic"/>
                <w:spacing w:val="-17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prestaciones</w:t>
            </w:r>
            <w:r>
              <w:rPr>
                <w:rFonts w:ascii="Century Gothic" w:hAnsi="Century Gothic"/>
                <w:spacing w:val="-15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o</w:t>
            </w:r>
            <w:r>
              <w:rPr>
                <w:rFonts w:ascii="Century Gothic" w:hAnsi="Century Gothic"/>
                <w:spacing w:val="-16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tramites</w:t>
            </w:r>
            <w:r>
              <w:rPr>
                <w:rFonts w:ascii="Century Gothic" w:hAnsi="Century Gothic"/>
                <w:spacing w:val="-17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de</w:t>
            </w:r>
            <w:r>
              <w:rPr>
                <w:rFonts w:ascii="Century Gothic" w:hAnsi="Century Gothic"/>
                <w:spacing w:val="-15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los </w:t>
            </w:r>
            <w:r>
              <w:rPr>
                <w:rFonts w:ascii="Century Gothic" w:hAnsi="Century Gothic"/>
                <w:sz w:val="22"/>
              </w:rPr>
              <w:t>particulares.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Si (   )   No ( </w:t>
            </w:r>
            <w:r>
              <w:rPr>
                <w:rFonts w:ascii="Century Gothic"/>
                <w:b/>
                <w:sz w:val="22"/>
              </w:rPr>
              <w:t>x</w:t>
            </w:r>
            <w:r>
              <w:rPr>
                <w:rFonts w:ascii="Century Gothic"/>
                <w:b/>
                <w:spacing w:val="-23"/>
                <w:sz w:val="22"/>
              </w:rPr>
              <w:t> </w:t>
            </w:r>
            <w:r>
              <w:rPr>
                <w:rFonts w:ascii="Century Gothic"/>
                <w:sz w:val="22"/>
              </w:rPr>
              <w:t>)</w:t>
            </w:r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 w:after="0"/>
        <w:ind w:right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line="240" w:lineRule="auto"/>
        <w:ind w:left="113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shape style="width:444.8pt;height:31.35pt;mso-position-horizontal-relative:char;mso-position-vertical-relative:line" type="#_x0000_t202" filled="true" fillcolor="#a8d08d" stroked="false">
            <w10:anchorlock/>
            <v:textbox inset="0,0,0,0">
              <w:txbxContent>
                <w:p>
                  <w:pPr>
                    <w:pStyle w:val="BodyText"/>
                    <w:spacing w:line="280" w:lineRule="auto" w:before="2"/>
                    <w:ind w:left="28" w:right="29"/>
                    <w:jc w:val="left"/>
                  </w:pPr>
                  <w:r>
                    <w:rPr/>
                    <w:t>III. FUENTE CONSULTADAS, ANEXOS O CUALQUIER OTRA DOCUMENTACIÓN DE INTERÉS.</w:t>
                  </w:r>
                </w:p>
              </w:txbxContent>
            </v:textbox>
            <v:fill type="solid"/>
          </v:shape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sz w:val="13"/>
          <w:szCs w:val="13"/>
        </w:rPr>
      </w:pPr>
    </w:p>
    <w:tbl>
      <w:tblPr>
        <w:tblW w:w="0" w:type="auto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4"/>
        <w:gridCol w:w="5813"/>
      </w:tblGrid>
      <w:tr>
        <w:trPr>
          <w:trHeight w:val="941" w:hRule="exact"/>
        </w:trPr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103" w:right="104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4.- Enliste los datos bibliográficos o las direcciones electrónicas consultadas para el diseño y redacción del anteproyecto de regulación, así como cualquier otra documentación que se considere de</w:t>
            </w:r>
            <w:r>
              <w:rPr>
                <w:rFonts w:ascii="Century Gothic" w:hAnsi="Century Gothic"/>
                <w:b/>
                <w:spacing w:val="6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interés.</w:t>
            </w:r>
            <w:r>
              <w:rPr>
                <w:rFonts w:ascii="Century Gothic" w:hAnsi="Century Gothic"/>
                <w:sz w:val="22"/>
              </w:rPr>
            </w:r>
          </w:p>
        </w:tc>
      </w:tr>
      <w:tr>
        <w:trPr>
          <w:trHeight w:val="1567" w:hRule="exact"/>
        </w:trPr>
        <w:tc>
          <w:tcPr>
            <w:tcW w:w="311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6" w:val="left" w:leader="none"/>
              </w:tabs>
              <w:spacing w:line="280" w:lineRule="auto" w:before="4" w:after="0"/>
              <w:ind w:left="415" w:right="105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Disposición Técnica IFT- 006-</w:t>
            </w:r>
            <w:r>
              <w:rPr>
                <w:rFonts w:ascii="Century Gothic" w:hAnsi="Century Gothic"/>
                <w:b/>
                <w:spacing w:val="-27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2015.</w:t>
            </w:r>
            <w:r>
              <w:rPr>
                <w:rFonts w:ascii="Century Gothic" w:hAnsi="Century Gothic"/>
                <w:sz w:val="22"/>
              </w:rPr>
            </w:r>
          </w:p>
          <w:p>
            <w:pPr>
              <w:pStyle w:val="TableParagraph"/>
              <w:spacing w:line="278" w:lineRule="auto"/>
              <w:ind w:left="415" w:right="107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Publicada en el Diario Oficial de la Federación el 27 de marzo de</w:t>
            </w:r>
            <w:r>
              <w:rPr>
                <w:rFonts w:ascii="Century Gothic" w:hAnsi="Century Gothic"/>
                <w:b/>
                <w:spacing w:val="-12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2015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4"/>
              <w:ind w:left="107" w:right="99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ACUERDO</w:t>
            </w:r>
            <w:r>
              <w:rPr>
                <w:rFonts w:ascii="Century Gothic" w:hAnsi="Century Gothic"/>
                <w:spacing w:val="-7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por</w:t>
            </w:r>
            <w:r>
              <w:rPr>
                <w:rFonts w:ascii="Century Gothic" w:hAnsi="Century Gothic"/>
                <w:spacing w:val="-7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el</w:t>
            </w:r>
            <w:r>
              <w:rPr>
                <w:rFonts w:ascii="Century Gothic" w:hAnsi="Century Gothic"/>
                <w:spacing w:val="-8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que</w:t>
            </w:r>
            <w:r>
              <w:rPr>
                <w:rFonts w:ascii="Century Gothic" w:hAnsi="Century Gothic"/>
                <w:spacing w:val="-7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el</w:t>
            </w:r>
            <w:r>
              <w:rPr>
                <w:rFonts w:ascii="Century Gothic" w:hAnsi="Century Gothic"/>
                <w:spacing w:val="-8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Pleno</w:t>
            </w:r>
            <w:r>
              <w:rPr>
                <w:rFonts w:ascii="Century Gothic" w:hAnsi="Century Gothic"/>
                <w:spacing w:val="-8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del</w:t>
            </w:r>
            <w:r>
              <w:rPr>
                <w:rFonts w:ascii="Century Gothic" w:hAnsi="Century Gothic"/>
                <w:spacing w:val="-8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Instituto</w:t>
            </w:r>
            <w:r>
              <w:rPr>
                <w:rFonts w:ascii="Century Gothic" w:hAnsi="Century Gothic"/>
                <w:spacing w:val="-8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Federal</w:t>
            </w:r>
            <w:r>
              <w:rPr>
                <w:rFonts w:ascii="Century Gothic" w:hAnsi="Century Gothic"/>
                <w:spacing w:val="-8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de </w:t>
            </w:r>
            <w:r>
              <w:rPr>
                <w:rFonts w:ascii="Century Gothic" w:hAnsi="Century Gothic"/>
                <w:sz w:val="22"/>
              </w:rPr>
              <w:t>Telecomunicaciones emite la Disposición Técnica IFT-006- 2015: Telecomunicaciones-Interfaz-Parte de transferencia de mensaje del sistema de señalización por canal</w:t>
            </w:r>
            <w:r>
              <w:rPr>
                <w:rFonts w:ascii="Century Gothic" w:hAnsi="Century Gothic"/>
                <w:spacing w:val="-11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común.</w:t>
            </w:r>
          </w:p>
        </w:tc>
      </w:tr>
      <w:tr>
        <w:trPr>
          <w:trHeight w:val="940" w:hRule="exact"/>
        </w:trPr>
        <w:tc>
          <w:tcPr>
            <w:tcW w:w="311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16" w:val="left" w:leader="none"/>
                <w:tab w:pos="1588" w:val="left" w:leader="none"/>
              </w:tabs>
              <w:spacing w:line="278" w:lineRule="auto" w:before="161" w:after="0"/>
              <w:ind w:left="415" w:right="107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Norma</w:t>
              <w:tab/>
            </w:r>
            <w:r>
              <w:rPr>
                <w:rFonts w:ascii="Century Gothic"/>
                <w:b/>
                <w:w w:val="95"/>
                <w:sz w:val="22"/>
              </w:rPr>
              <w:t>Internacional </w:t>
            </w:r>
            <w:r>
              <w:rPr>
                <w:rFonts w:ascii="Century Gothic"/>
                <w:b/>
                <w:w w:val="95"/>
                <w:sz w:val="22"/>
              </w:rPr>
            </w:r>
            <w:r>
              <w:rPr>
                <w:rFonts w:ascii="Century Gothic"/>
                <w:b/>
                <w:sz w:val="22"/>
              </w:rPr>
              <w:t>ISO/IEC 10173,</w:t>
            </w:r>
            <w:r>
              <w:rPr>
                <w:rFonts w:ascii="Century Gothic"/>
                <w:b/>
                <w:spacing w:val="-40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1991</w:t>
            </w:r>
            <w:r>
              <w:rPr>
                <w:rFonts w:ascii="Century Gothic"/>
                <w:sz w:val="22"/>
              </w:rPr>
            </w:r>
          </w:p>
        </w:tc>
        <w:tc>
          <w:tcPr>
            <w:tcW w:w="5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107" w:right="105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Tecnología de la Información - Red Digital de Servicios Integrados (RDSI) Conector de acceso primario en puntos de referencia S y</w:t>
            </w:r>
            <w:r>
              <w:rPr>
                <w:rFonts w:ascii="Century Gothic" w:hAnsi="Century Gothic"/>
                <w:spacing w:val="-13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T.</w:t>
            </w:r>
          </w:p>
        </w:tc>
      </w:tr>
      <w:tr>
        <w:trPr>
          <w:trHeight w:val="940" w:hRule="exact"/>
        </w:trPr>
        <w:tc>
          <w:tcPr>
            <w:tcW w:w="311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16" w:val="left" w:leader="none"/>
              </w:tabs>
              <w:spacing w:line="278" w:lineRule="auto" w:before="159" w:after="0"/>
              <w:ind w:left="415" w:right="532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ETS300011, ETSI,</w:t>
            </w:r>
            <w:r>
              <w:rPr>
                <w:rFonts w:ascii="Century Gothic" w:hAnsi="Century Gothic"/>
                <w:b/>
                <w:spacing w:val="-2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1992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3"/>
              <w:ind w:left="107" w:right="100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Red Digital de Servicios Integrados (RDSI);</w:t>
            </w:r>
            <w:r>
              <w:rPr>
                <w:rFonts w:ascii="Century Gothic"/>
                <w:spacing w:val="-26"/>
                <w:sz w:val="22"/>
              </w:rPr>
              <w:t> </w:t>
            </w:r>
            <w:r>
              <w:rPr>
                <w:rFonts w:ascii="Century Gothic"/>
                <w:sz w:val="22"/>
              </w:rPr>
              <w:t>Velocidad </w:t>
            </w:r>
            <w:r>
              <w:rPr>
                <w:rFonts w:ascii="Century Gothic"/>
                <w:sz w:val="22"/>
              </w:rPr>
              <w:t>primaria de usuario-interfaz de red. Capa 1 Especificaciones y principios de</w:t>
            </w:r>
            <w:r>
              <w:rPr>
                <w:rFonts w:ascii="Century Gothic"/>
                <w:spacing w:val="-14"/>
                <w:sz w:val="22"/>
              </w:rPr>
              <w:t> </w:t>
            </w:r>
            <w:r>
              <w:rPr>
                <w:rFonts w:ascii="Century Gothic"/>
                <w:sz w:val="22"/>
              </w:rPr>
              <w:t>prueba.</w:t>
            </w:r>
          </w:p>
        </w:tc>
      </w:tr>
      <w:tr>
        <w:trPr>
          <w:trHeight w:val="1252" w:hRule="exact"/>
        </w:trPr>
        <w:tc>
          <w:tcPr>
            <w:tcW w:w="311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6" w:val="left" w:leader="none"/>
              </w:tabs>
              <w:spacing w:line="280" w:lineRule="auto" w:before="0" w:after="0"/>
              <w:ind w:left="415" w:right="108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G.704 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107" w:right="102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Aspectos generales de los sistemas de transmisión digital - Estructuras de trama síncrona utilizadas en los niveles jerárquicos 1544, 6312, 2048, 8488 y 44 736 kbit/s.</w:t>
            </w:r>
          </w:p>
        </w:tc>
      </w:tr>
      <w:tr>
        <w:trPr>
          <w:trHeight w:val="1259" w:hRule="exact"/>
        </w:trPr>
        <w:tc>
          <w:tcPr>
            <w:tcW w:w="311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16" w:val="left" w:leader="none"/>
              </w:tabs>
              <w:spacing w:line="280" w:lineRule="auto" w:before="0" w:after="0"/>
              <w:ind w:left="415" w:right="108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G.706 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3"/>
              <w:ind w:left="107" w:right="102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Procedimientos de alineación de trama y de verificación por redundancia cíclica (VRC) relativos a las estructuras de trama básicas definidas en la Recomendación</w:t>
            </w:r>
            <w:r>
              <w:rPr>
                <w:rFonts w:ascii="Century Gothic" w:hAnsi="Century Gothic"/>
                <w:spacing w:val="-9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G.704.</w:t>
            </w:r>
          </w:p>
        </w:tc>
      </w:tr>
    </w:tbl>
    <w:p>
      <w:pPr>
        <w:spacing w:after="0" w:line="278" w:lineRule="auto"/>
        <w:jc w:val="both"/>
        <w:rPr>
          <w:rFonts w:ascii="Century Gothic" w:hAnsi="Century Gothic" w:cs="Century Gothic" w:eastAsia="Century Gothic" w:hint="default"/>
          <w:sz w:val="22"/>
          <w:szCs w:val="22"/>
        </w:rPr>
        <w:sectPr>
          <w:pgSz w:w="12240" w:h="15840"/>
          <w:pgMar w:header="706" w:footer="0" w:top="2200" w:bottom="280" w:left="1560" w:right="148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 w:after="0"/>
        <w:ind w:right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line="47" w:lineRule="exact"/>
        <w:ind w:left="106" w:right="0" w:firstLine="0"/>
        <w:rPr>
          <w:rFonts w:ascii="Times New Roman" w:hAnsi="Times New Roman" w:cs="Times New Roman" w:eastAsia="Times New Roman" w:hint="default"/>
          <w:sz w:val="4"/>
          <w:szCs w:val="4"/>
        </w:rPr>
      </w:pPr>
      <w:r>
        <w:rPr>
          <w:rFonts w:ascii="Times New Roman" w:hAnsi="Times New Roman" w:cs="Times New Roman" w:eastAsia="Times New Roman" w:hint="default"/>
          <w:position w:val="0"/>
          <w:sz w:val="4"/>
          <w:szCs w:val="4"/>
        </w:rPr>
        <w:pict>
          <v:group style="width:444.85pt;height:2.35pt;mso-position-horizontal-relative:char;mso-position-vertical-relative:line" coordorigin="0,0" coordsize="8897,47">
            <v:group style="position:absolute;left:16;top:16;width:8865;height:15" coordorigin="16,16" coordsize="8865,15">
              <v:shape style="position:absolute;left:16;top:16;width:8865;height:15" coordorigin="16,16" coordsize="8865,15" path="m16,31l8881,16e" filled="false" stroked="true" strokeweight="1.56pt" strokecolor="#6fac46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position w:val="0"/>
          <w:sz w:val="4"/>
          <w:szCs w:val="4"/>
        </w:rPr>
      </w:r>
    </w:p>
    <w:p>
      <w:pPr>
        <w:spacing w:line="240" w:lineRule="auto" w:before="10" w:after="0"/>
        <w:ind w:right="0"/>
        <w:rPr>
          <w:rFonts w:ascii="Times New Roman" w:hAnsi="Times New Roman" w:cs="Times New Roman" w:eastAsia="Times New Roman" w:hint="default"/>
          <w:sz w:val="25"/>
          <w:szCs w:val="25"/>
        </w:rPr>
      </w:pPr>
    </w:p>
    <w:tbl>
      <w:tblPr>
        <w:tblW w:w="0" w:type="auto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3"/>
        <w:gridCol w:w="5814"/>
      </w:tblGrid>
      <w:tr>
        <w:trPr>
          <w:trHeight w:val="628" w:hRule="exact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16" w:val="left" w:leader="none"/>
                <w:tab w:pos="2521" w:val="left" w:leader="none"/>
              </w:tabs>
              <w:spacing w:line="278" w:lineRule="auto" w:before="2" w:after="0"/>
              <w:ind w:left="415" w:right="106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</w:t>
              <w:tab/>
            </w:r>
            <w:r>
              <w:rPr>
                <w:rFonts w:ascii="Century Gothic" w:hAnsi="Century Gothic"/>
                <w:b/>
                <w:w w:val="95"/>
                <w:sz w:val="22"/>
              </w:rPr>
              <w:t>I.412 </w:t>
            </w:r>
            <w:r>
              <w:rPr>
                <w:rFonts w:ascii="Century Gothic" w:hAnsi="Century Gothic"/>
                <w:b/>
                <w:w w:val="95"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t>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108" w:right="10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Estructuras del interfaz y capacidades de acceso a los interfaces usuario-red de la</w:t>
            </w:r>
            <w:r>
              <w:rPr>
                <w:rFonts w:ascii="Century Gothic"/>
                <w:spacing w:val="-4"/>
                <w:sz w:val="22"/>
              </w:rPr>
              <w:t> </w:t>
            </w:r>
            <w:r>
              <w:rPr>
                <w:rFonts w:ascii="Century Gothic"/>
                <w:sz w:val="22"/>
              </w:rPr>
              <w:t>RDSI.</w:t>
            </w:r>
          </w:p>
        </w:tc>
      </w:tr>
      <w:tr>
        <w:trPr>
          <w:trHeight w:val="626" w:hRule="exact"/>
        </w:trPr>
        <w:tc>
          <w:tcPr>
            <w:tcW w:w="311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16" w:val="left" w:leader="none"/>
                <w:tab w:pos="2521" w:val="left" w:leader="none"/>
              </w:tabs>
              <w:spacing w:line="278" w:lineRule="auto" w:before="5" w:after="0"/>
              <w:ind w:left="415" w:right="107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</w:t>
              <w:tab/>
            </w:r>
            <w:r>
              <w:rPr>
                <w:rFonts w:ascii="Century Gothic" w:hAnsi="Century Gothic"/>
                <w:b/>
                <w:w w:val="95"/>
                <w:sz w:val="22"/>
              </w:rPr>
              <w:t>I.431 </w:t>
            </w:r>
            <w:r>
              <w:rPr>
                <w:rFonts w:ascii="Century Gothic" w:hAnsi="Century Gothic"/>
                <w:b/>
                <w:w w:val="95"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t>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left="108" w:right="99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Especificación de la capa 1 del interfaz usuario-red a velocidad</w:t>
            </w:r>
            <w:r>
              <w:rPr>
                <w:rFonts w:ascii="Century Gothic" w:hAnsi="Century Gothic"/>
                <w:spacing w:val="-9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primaria.</w:t>
            </w:r>
          </w:p>
        </w:tc>
      </w:tr>
      <w:tr>
        <w:trPr>
          <w:trHeight w:val="625" w:hRule="exact"/>
        </w:trPr>
        <w:tc>
          <w:tcPr>
            <w:tcW w:w="311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16" w:val="left" w:leader="none"/>
                <w:tab w:pos="2521" w:val="left" w:leader="none"/>
              </w:tabs>
              <w:spacing w:line="278" w:lineRule="auto" w:before="5" w:after="0"/>
              <w:ind w:left="415" w:right="107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</w:t>
              <w:tab/>
            </w:r>
            <w:r>
              <w:rPr>
                <w:rFonts w:ascii="Century Gothic" w:hAnsi="Century Gothic"/>
                <w:b/>
                <w:w w:val="95"/>
                <w:sz w:val="22"/>
              </w:rPr>
              <w:t>I.604 </w:t>
            </w:r>
            <w:r>
              <w:rPr>
                <w:rFonts w:ascii="Century Gothic" w:hAnsi="Century Gothic"/>
                <w:b/>
                <w:w w:val="95"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t>de UIT-T, 1988,</w:t>
            </w:r>
            <w:r>
              <w:rPr>
                <w:rFonts w:ascii="Century Gothic" w:hAnsi="Century Gothic"/>
                <w:b/>
                <w:spacing w:val="-40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left="108" w:right="104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Aplicación de los principios de mantenimiento al acceso a velocidad primaria de abonado de</w:t>
            </w:r>
            <w:r>
              <w:rPr>
                <w:rFonts w:ascii="Century Gothic" w:hAnsi="Century Gothic"/>
                <w:spacing w:val="-20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RDSI.</w:t>
            </w:r>
          </w:p>
        </w:tc>
      </w:tr>
      <w:tr>
        <w:trPr>
          <w:trHeight w:val="629" w:hRule="exact"/>
        </w:trPr>
        <w:tc>
          <w:tcPr>
            <w:tcW w:w="311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16" w:val="left" w:leader="none"/>
              </w:tabs>
              <w:spacing w:line="280" w:lineRule="auto" w:before="4" w:after="0"/>
              <w:ind w:left="415" w:right="107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Q.700 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"/>
              <w:ind w:left="108" w:right="104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Especificaciones del Sistema de Señalización No. 7.- Introducción al Sistema de</w:t>
            </w:r>
            <w:r>
              <w:rPr>
                <w:rFonts w:ascii="Century Gothic" w:hAnsi="Century Gothic"/>
                <w:spacing w:val="-13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Señalización.</w:t>
            </w:r>
          </w:p>
        </w:tc>
      </w:tr>
      <w:tr>
        <w:trPr>
          <w:trHeight w:val="1251" w:hRule="exact"/>
        </w:trPr>
        <w:tc>
          <w:tcPr>
            <w:tcW w:w="311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6" w:val="left" w:leader="none"/>
              </w:tabs>
              <w:spacing w:line="278" w:lineRule="auto" w:before="0" w:after="0"/>
              <w:ind w:left="415" w:right="107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Q.701 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2"/>
              <w:ind w:left="108" w:right="103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Especificaciones del Sistema de Señalización No. 7.- Descripción funcional de la Parte de Transferencia de Mensajes (PTM) del Sistema de Señalización No. 7.</w:t>
            </w:r>
          </w:p>
        </w:tc>
      </w:tr>
      <w:tr>
        <w:trPr>
          <w:trHeight w:val="625" w:hRule="exact"/>
        </w:trPr>
        <w:tc>
          <w:tcPr>
            <w:tcW w:w="311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16" w:val="left" w:leader="none"/>
              </w:tabs>
              <w:spacing w:line="278" w:lineRule="auto" w:before="4" w:after="0"/>
              <w:ind w:left="415" w:right="107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Q.702 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4"/>
              <w:ind w:left="108" w:right="104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Especificaciones del Sistema de Señalización No. 7.- Enlace de datos de</w:t>
            </w:r>
            <w:r>
              <w:rPr>
                <w:rFonts w:ascii="Century Gothic" w:hAnsi="Century Gothic"/>
                <w:spacing w:val="-8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Señalización.</w:t>
            </w:r>
          </w:p>
        </w:tc>
      </w:tr>
      <w:tr>
        <w:trPr>
          <w:trHeight w:val="626" w:hRule="exact"/>
        </w:trPr>
        <w:tc>
          <w:tcPr>
            <w:tcW w:w="311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16" w:val="left" w:leader="none"/>
              </w:tabs>
              <w:spacing w:line="278" w:lineRule="auto" w:before="5" w:after="0"/>
              <w:ind w:left="415" w:right="107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Q.703 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left="108" w:right="104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Especificaciones del Sistema de Señalización No. 7.- Enlace de</w:t>
            </w:r>
            <w:r>
              <w:rPr>
                <w:rFonts w:ascii="Century Gothic" w:hAnsi="Century Gothic"/>
                <w:spacing w:val="-7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Señalización.</w:t>
            </w:r>
          </w:p>
        </w:tc>
      </w:tr>
      <w:tr>
        <w:trPr>
          <w:trHeight w:val="627" w:hRule="exact"/>
        </w:trPr>
        <w:tc>
          <w:tcPr>
            <w:tcW w:w="311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16" w:val="left" w:leader="none"/>
              </w:tabs>
              <w:spacing w:line="278" w:lineRule="auto" w:before="5" w:after="0"/>
              <w:ind w:left="415" w:right="107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Q.704 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left="108" w:right="104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Especificaciones del Sistema de Señalización No. 7.- Funciones y mensajes en la red de</w:t>
            </w:r>
            <w:r>
              <w:rPr>
                <w:rFonts w:ascii="Century Gothic" w:hAnsi="Century Gothic"/>
                <w:spacing w:val="-11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Señalización.</w:t>
            </w:r>
          </w:p>
        </w:tc>
      </w:tr>
      <w:tr>
        <w:trPr>
          <w:trHeight w:val="628" w:hRule="exact"/>
        </w:trPr>
        <w:tc>
          <w:tcPr>
            <w:tcW w:w="311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16" w:val="left" w:leader="none"/>
              </w:tabs>
              <w:spacing w:line="278" w:lineRule="auto" w:before="5" w:after="0"/>
              <w:ind w:left="415" w:right="107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Q.705 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left="108" w:right="104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Especificaciones del Sistema de Señalización No. 7.- Estructura de la red de</w:t>
            </w:r>
            <w:r>
              <w:rPr>
                <w:rFonts w:ascii="Century Gothic" w:hAnsi="Century Gothic"/>
                <w:spacing w:val="-4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Señalización.</w:t>
            </w:r>
          </w:p>
        </w:tc>
      </w:tr>
      <w:tr>
        <w:trPr>
          <w:trHeight w:val="937" w:hRule="exact"/>
        </w:trPr>
        <w:tc>
          <w:tcPr>
            <w:tcW w:w="311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16" w:val="left" w:leader="none"/>
              </w:tabs>
              <w:spacing w:line="278" w:lineRule="auto" w:before="159" w:after="0"/>
              <w:ind w:left="415" w:right="107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Q.706 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3"/>
              <w:ind w:left="108" w:right="101"/>
              <w:jc w:val="both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Especificaciones del Sistema de Señalización No. 7.- Calidad</w:t>
            </w:r>
            <w:r>
              <w:rPr>
                <w:rFonts w:ascii="Century Gothic" w:hAnsi="Century Gothic"/>
                <w:spacing w:val="-13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de</w:t>
            </w:r>
            <w:r>
              <w:rPr>
                <w:rFonts w:ascii="Century Gothic" w:hAnsi="Century Gothic"/>
                <w:spacing w:val="-15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señalización</w:t>
            </w:r>
            <w:r>
              <w:rPr>
                <w:rFonts w:ascii="Century Gothic" w:hAnsi="Century Gothic"/>
                <w:spacing w:val="-14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de</w:t>
            </w:r>
            <w:r>
              <w:rPr>
                <w:rFonts w:ascii="Century Gothic" w:hAnsi="Century Gothic"/>
                <w:spacing w:val="-13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la</w:t>
            </w:r>
            <w:r>
              <w:rPr>
                <w:rFonts w:ascii="Century Gothic" w:hAnsi="Century Gothic"/>
                <w:spacing w:val="-13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Parte</w:t>
            </w:r>
            <w:r>
              <w:rPr>
                <w:rFonts w:ascii="Century Gothic" w:hAnsi="Century Gothic"/>
                <w:spacing w:val="-13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de</w:t>
            </w:r>
            <w:r>
              <w:rPr>
                <w:rFonts w:ascii="Century Gothic" w:hAnsi="Century Gothic"/>
                <w:spacing w:val="-13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Transferencia </w:t>
            </w:r>
            <w:r>
              <w:rPr>
                <w:rFonts w:ascii="Century Gothic" w:hAnsi="Century Gothic"/>
                <w:sz w:val="22"/>
              </w:rPr>
              <w:t>de</w:t>
            </w:r>
            <w:r>
              <w:rPr>
                <w:rFonts w:ascii="Century Gothic" w:hAnsi="Century Gothic"/>
                <w:spacing w:val="-4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Mensajes.</w:t>
            </w:r>
          </w:p>
        </w:tc>
      </w:tr>
      <w:tr>
        <w:trPr>
          <w:trHeight w:val="626" w:hRule="exact"/>
        </w:trPr>
        <w:tc>
          <w:tcPr>
            <w:tcW w:w="311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16" w:val="left" w:leader="none"/>
              </w:tabs>
              <w:spacing w:line="278" w:lineRule="auto" w:before="5" w:after="0"/>
              <w:ind w:left="415" w:right="107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Q.780 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left="108" w:right="10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 w:hint="default"/>
                <w:sz w:val="22"/>
                <w:szCs w:val="22"/>
              </w:rPr>
              <w:t>Especificaciones de las pruebas del Sistema de Señalización No. 7 </w:t>
            </w:r>
            <w:r>
              <w:rPr>
                <w:rFonts w:ascii="Century Gothic" w:hAnsi="Century Gothic" w:cs="Century Gothic" w:eastAsia="Century Gothic" w:hint="default"/>
                <w:sz w:val="22"/>
                <w:szCs w:val="22"/>
              </w:rPr>
              <w:t>– </w:t>
            </w:r>
            <w:r>
              <w:rPr>
                <w:rFonts w:ascii="Century Gothic" w:hAnsi="Century Gothic" w:cs="Century Gothic" w:eastAsia="Century Gothic" w:hint="default"/>
                <w:sz w:val="22"/>
                <w:szCs w:val="22"/>
              </w:rPr>
              <w:t>Descripción</w:t>
            </w:r>
            <w:r>
              <w:rPr>
                <w:rFonts w:ascii="Century Gothic" w:hAnsi="Century Gothic" w:cs="Century Gothic" w:eastAsia="Century Gothic" w:hint="default"/>
                <w:spacing w:val="-12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 w:hint="default"/>
                <w:sz w:val="22"/>
                <w:szCs w:val="22"/>
              </w:rPr>
              <w:t>general.</w:t>
            </w:r>
          </w:p>
        </w:tc>
      </w:tr>
      <w:tr>
        <w:trPr>
          <w:trHeight w:val="626" w:hRule="exact"/>
        </w:trPr>
        <w:tc>
          <w:tcPr>
            <w:tcW w:w="311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78" w:lineRule="auto" w:before="5" w:after="0"/>
              <w:ind w:left="415" w:right="106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Q.781 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left="108" w:right="106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Especificación de las pruebas de nivel 2 de la Parte Transferencia de</w:t>
            </w:r>
            <w:r>
              <w:rPr>
                <w:rFonts w:ascii="Century Gothic" w:hAnsi="Century Gothic"/>
                <w:spacing w:val="-8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Mensajes.</w:t>
            </w:r>
          </w:p>
        </w:tc>
      </w:tr>
      <w:tr>
        <w:trPr>
          <w:trHeight w:val="634" w:hRule="exact"/>
        </w:trPr>
        <w:tc>
          <w:tcPr>
            <w:tcW w:w="311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16" w:val="left" w:leader="none"/>
              </w:tabs>
              <w:spacing w:line="278" w:lineRule="auto" w:before="5" w:after="0"/>
              <w:ind w:left="415" w:right="107" w:hanging="28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Recomendación Q.782 de UIT-T, 1988,</w:t>
            </w:r>
            <w:r>
              <w:rPr>
                <w:rFonts w:ascii="Century Gothic" w:hAnsi="Century Gothic"/>
                <w:b/>
                <w:spacing w:val="-3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1993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581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left="108" w:right="103"/>
              <w:jc w:val="left"/>
              <w:rPr>
                <w:rFonts w:ascii="Century Gothic" w:hAnsi="Century Gothic" w:cs="Century Gothic" w:eastAsia="Century Gothic" w:hint="default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Especificación de pruebas del nivel 3 de la Parte Transferencia de</w:t>
            </w:r>
            <w:r>
              <w:rPr>
                <w:rFonts w:ascii="Century Gothic" w:hAnsi="Century Gothic"/>
                <w:spacing w:val="-8"/>
                <w:sz w:val="22"/>
              </w:rPr>
              <w:t> </w:t>
            </w:r>
            <w:r>
              <w:rPr>
                <w:rFonts w:ascii="Century Gothic" w:hAnsi="Century Gothic"/>
                <w:sz w:val="22"/>
              </w:rPr>
              <w:t>Mensajes.</w:t>
            </w:r>
          </w:p>
        </w:tc>
      </w:tr>
    </w:tbl>
    <w:sectPr>
      <w:headerReference w:type="default" r:id="rId7"/>
      <w:pgSz w:w="12240" w:h="15840"/>
      <w:pgMar w:header="706" w:footer="0" w:top="1680" w:bottom="280" w:left="15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4.720001pt;margin-top:35.279999pt;width:81.72pt;height:56.28pt;mso-position-horizontal-relative:page;mso-position-vertical-relative:page;z-index:-9928" type="#_x0000_t75" stroked="false">
          <v:imagedata r:id="rId1" o:title=""/>
        </v:shape>
      </w:pict>
    </w:r>
    <w:r>
      <w:rPr/>
      <w:pict>
        <v:group style="position:absolute;margin-left:85.139999pt;margin-top:108.540001pt;width:443.25pt;height:.75pt;mso-position-horizontal-relative:page;mso-position-vertical-relative:page;z-index:-9904" coordorigin="1703,2171" coordsize="8865,15">
          <v:shape style="position:absolute;left:1703;top:2171;width:8865;height:15" coordorigin="1703,2171" coordsize="8865,15" path="m1703,2186l10568,2171e" filled="false" stroked="true" strokeweight="1.56pt" strokecolor="#6fac46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1.230011pt;margin-top:58.494808pt;width:196.95pt;height:26.65pt;mso-position-horizontal-relative:page;mso-position-vertical-relative:page;z-index:-9880" type="#_x0000_t202" filled="false" stroked="false">
          <v:textbox inset="0,0,0,0">
            <w:txbxContent>
              <w:p>
                <w:pPr>
                  <w:pStyle w:val="BodyText"/>
                  <w:spacing w:line="247" w:lineRule="exact"/>
                  <w:ind w:right="18"/>
                  <w:jc w:val="right"/>
                </w:pPr>
                <w:r>
                  <w:rPr/>
                  <w:t>ANÁLISIS DE IMPACTO</w:t>
                </w:r>
                <w:r>
                  <w:rPr>
                    <w:spacing w:val="-9"/>
                  </w:rPr>
                  <w:t> </w:t>
                </w:r>
                <w:r>
                  <w:rPr/>
                  <w:t>REGULATORIO</w:t>
                </w:r>
              </w:p>
              <w:p>
                <w:pPr>
                  <w:pStyle w:val="BodyText"/>
                  <w:spacing w:line="240" w:lineRule="auto" w:before="2"/>
                  <w:ind w:right="18"/>
                  <w:jc w:val="right"/>
                </w:pPr>
                <w:r>
                  <w:rPr/>
                  <w:t>ANEXO</w:t>
                </w:r>
                <w:r>
                  <w:rPr>
                    <w:spacing w:val="-2"/>
                  </w:rPr>
                  <w:t> </w:t>
                </w:r>
                <w:r>
                  <w:rPr/>
                  <w:t>B)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4.720001pt;margin-top:35.279999pt;width:81.72pt;height:56.28pt;mso-position-horizontal-relative:page;mso-position-vertical-relative:page;z-index:-9856" type="#_x0000_t75" stroked="false">
          <v:imagedata r:id="rId1" o:title=""/>
        </v:shape>
      </w:pict>
    </w:r>
    <w:r>
      <w:rPr/>
      <w:pict>
        <v:shape style="position:absolute;margin-left:331.230011pt;margin-top:58.494808pt;width:196.95pt;height:26.65pt;mso-position-horizontal-relative:page;mso-position-vertical-relative:page;z-index:-9832" type="#_x0000_t202" filled="false" stroked="false">
          <v:textbox inset="0,0,0,0">
            <w:txbxContent>
              <w:p>
                <w:pPr>
                  <w:pStyle w:val="BodyText"/>
                  <w:spacing w:line="247" w:lineRule="exact"/>
                  <w:ind w:right="18"/>
                  <w:jc w:val="right"/>
                </w:pPr>
                <w:r>
                  <w:rPr/>
                  <w:t>ANÁLISIS DE IMPACTO</w:t>
                </w:r>
                <w:r>
                  <w:rPr>
                    <w:spacing w:val="-9"/>
                  </w:rPr>
                  <w:t> </w:t>
                </w:r>
                <w:r>
                  <w:rPr/>
                  <w:t>REGULATORIO</w:t>
                </w:r>
              </w:p>
              <w:p>
                <w:pPr>
                  <w:pStyle w:val="BodyText"/>
                  <w:spacing w:line="240" w:lineRule="auto" w:before="2"/>
                  <w:ind w:right="18"/>
                  <w:jc w:val="right"/>
                </w:pPr>
                <w:r>
                  <w:rPr/>
                  <w:t>ANEXO</w:t>
                </w:r>
                <w:r>
                  <w:rPr>
                    <w:spacing w:val="-2"/>
                  </w:rPr>
                  <w:t> </w:t>
                </w:r>
                <w:r>
                  <w:rPr/>
                  <w:t>B)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1" w:hanging="284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1" w:hanging="284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1" w:hanging="284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1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15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1" w:hanging="28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74" w:hanging="360"/>
        <w:jc w:val="left"/>
      </w:pPr>
      <w:rPr>
        <w:rFonts w:hint="default" w:ascii="Century Gothic" w:hAnsi="Century Gothic" w:eastAsia="Century Gothic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3" w:hanging="471"/>
        <w:jc w:val="right"/>
      </w:pPr>
      <w:rPr>
        <w:rFonts w:hint="default" w:ascii="Century Gothic" w:hAnsi="Century Gothic" w:eastAsia="Century Gothic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619" w:hanging="4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9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9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9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9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9" w:hanging="471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/>
      <w:sz w:val="22"/>
      <w:szCs w:val="22"/>
    </w:rPr>
  </w:style>
  <w:style w:styleId="Heading1" w:type="paragraph">
    <w:name w:val="Heading 1"/>
    <w:basedOn w:val="Normal"/>
    <w:uiPriority w:val="1"/>
    <w:qFormat/>
    <w:pPr>
      <w:ind w:left="254"/>
      <w:outlineLvl w:val="1"/>
    </w:pPr>
    <w:rPr>
      <w:rFonts w:ascii="Century Gothic" w:hAnsi="Century Gothic" w:eastAsia="Century Gothic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nimbe.ewald@ift.org.mx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Sergio Vazquez Loyo</dc:creator>
  <dcterms:created xsi:type="dcterms:W3CDTF">2016-03-09T10:20:52Z</dcterms:created>
  <dcterms:modified xsi:type="dcterms:W3CDTF">2016-03-09T10:20:52Z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2016-03-09T00:00:00Z</vt:filetime>
  </property>
</Properties>
</file>