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6A67C3" w14:textId="77777777" w:rsidR="00891ABF" w:rsidRPr="00D20FDE" w:rsidRDefault="00891ABF" w:rsidP="00891ABF">
      <w:pPr>
        <w:pStyle w:val="estilo30"/>
        <w:spacing w:before="0" w:beforeAutospacing="0" w:after="0" w:afterAutospacing="0"/>
        <w:jc w:val="right"/>
        <w:rPr>
          <w:rFonts w:ascii="ITC Avant Garde" w:hAnsi="ITC Avant Garde"/>
          <w:b/>
          <w:bCs/>
          <w:color w:val="000000"/>
          <w:sz w:val="21"/>
          <w:szCs w:val="21"/>
        </w:rPr>
      </w:pPr>
      <w:r w:rsidRPr="00D20FDE">
        <w:rPr>
          <w:rFonts w:ascii="ITC Avant Garde" w:hAnsi="ITC Avant Garde"/>
          <w:b/>
          <w:bCs/>
          <w:color w:val="000000"/>
          <w:sz w:val="21"/>
          <w:szCs w:val="21"/>
        </w:rPr>
        <w:t>INSTITUTO FEDERAL DE TELECOMUNICACIONES</w:t>
      </w:r>
    </w:p>
    <w:p w14:paraId="781BA071" w14:textId="77777777" w:rsidR="00891ABF" w:rsidRPr="00D20FDE" w:rsidRDefault="00891ABF" w:rsidP="00891ABF">
      <w:pPr>
        <w:pStyle w:val="estilo30"/>
        <w:spacing w:before="0" w:beforeAutospacing="0" w:after="0" w:afterAutospacing="0"/>
        <w:jc w:val="right"/>
        <w:rPr>
          <w:rFonts w:ascii="ITC Avant Garde" w:hAnsi="ITC Avant Garde"/>
          <w:b/>
          <w:bCs/>
          <w:color w:val="000000"/>
          <w:sz w:val="21"/>
          <w:szCs w:val="21"/>
        </w:rPr>
      </w:pPr>
      <w:r w:rsidRPr="00D20FDE">
        <w:rPr>
          <w:rFonts w:ascii="ITC Avant Garde" w:hAnsi="ITC Avant Garde"/>
          <w:b/>
          <w:bCs/>
          <w:color w:val="000000"/>
          <w:sz w:val="21"/>
          <w:szCs w:val="21"/>
        </w:rPr>
        <w:t>COORDINACIÓN GENERAL DE MEJORA REGULATORIA</w:t>
      </w:r>
    </w:p>
    <w:p w14:paraId="56E711E0" w14:textId="07923D02" w:rsidR="00891ABF" w:rsidRPr="00D20FDE" w:rsidRDefault="00BA50ED" w:rsidP="00891ABF">
      <w:pPr>
        <w:pStyle w:val="estilo30"/>
        <w:spacing w:before="0" w:beforeAutospacing="0" w:after="0" w:afterAutospacing="0" w:line="360" w:lineRule="auto"/>
        <w:jc w:val="right"/>
        <w:rPr>
          <w:rFonts w:ascii="ITC Avant Garde" w:hAnsi="ITC Avant Garde"/>
          <w:b/>
          <w:bCs/>
          <w:color w:val="000000"/>
          <w:sz w:val="21"/>
          <w:szCs w:val="21"/>
        </w:rPr>
      </w:pPr>
      <w:r>
        <w:rPr>
          <w:rFonts w:ascii="ITC Avant Garde" w:hAnsi="ITC Avant Garde"/>
          <w:b/>
          <w:bCs/>
          <w:color w:val="000000"/>
          <w:sz w:val="21"/>
          <w:szCs w:val="21"/>
        </w:rPr>
        <w:t>IFT/211/CGMR/017/2016</w:t>
      </w:r>
    </w:p>
    <w:p w14:paraId="79A59DE8" w14:textId="77777777" w:rsidR="00891ABF" w:rsidRPr="00D20FDE" w:rsidRDefault="00891ABF" w:rsidP="00891ABF">
      <w:pPr>
        <w:pStyle w:val="estilo30"/>
        <w:spacing w:before="0" w:beforeAutospacing="0" w:after="0" w:afterAutospacing="0" w:line="360" w:lineRule="auto"/>
        <w:jc w:val="right"/>
        <w:rPr>
          <w:rFonts w:ascii="ITC Avant Garde" w:hAnsi="ITC Avant Garde"/>
          <w:bCs/>
          <w:color w:val="000000"/>
          <w:sz w:val="21"/>
          <w:szCs w:val="21"/>
        </w:rPr>
      </w:pPr>
      <w:r>
        <w:rPr>
          <w:rFonts w:ascii="ITC Avant Garde" w:hAnsi="ITC Avant Garde"/>
          <w:bCs/>
          <w:color w:val="000000"/>
          <w:sz w:val="21"/>
          <w:szCs w:val="21"/>
        </w:rPr>
        <w:t>Ciudad de México</w:t>
      </w:r>
      <w:r w:rsidRPr="00D20FDE">
        <w:rPr>
          <w:rFonts w:ascii="ITC Avant Garde" w:hAnsi="ITC Avant Garde"/>
          <w:bCs/>
          <w:color w:val="000000"/>
          <w:sz w:val="21"/>
          <w:szCs w:val="21"/>
        </w:rPr>
        <w:t xml:space="preserve">, a </w:t>
      </w:r>
      <w:r>
        <w:rPr>
          <w:rFonts w:ascii="ITC Avant Garde" w:hAnsi="ITC Avant Garde"/>
          <w:bCs/>
          <w:color w:val="000000"/>
          <w:sz w:val="21"/>
          <w:szCs w:val="21"/>
        </w:rPr>
        <w:t>26</w:t>
      </w:r>
      <w:r w:rsidRPr="00D20FDE">
        <w:rPr>
          <w:rFonts w:ascii="ITC Avant Garde" w:hAnsi="ITC Avant Garde"/>
          <w:bCs/>
          <w:color w:val="000000"/>
          <w:sz w:val="21"/>
          <w:szCs w:val="21"/>
        </w:rPr>
        <w:t xml:space="preserve"> de </w:t>
      </w:r>
      <w:r>
        <w:rPr>
          <w:rFonts w:ascii="ITC Avant Garde" w:hAnsi="ITC Avant Garde"/>
          <w:bCs/>
          <w:color w:val="000000"/>
          <w:sz w:val="21"/>
          <w:szCs w:val="21"/>
        </w:rPr>
        <w:t>febrero de 2016</w:t>
      </w:r>
      <w:r w:rsidRPr="00D20FDE">
        <w:rPr>
          <w:rFonts w:ascii="ITC Avant Garde" w:hAnsi="ITC Avant Garde"/>
          <w:bCs/>
          <w:color w:val="000000"/>
          <w:sz w:val="21"/>
          <w:szCs w:val="21"/>
        </w:rPr>
        <w:t>.</w:t>
      </w:r>
    </w:p>
    <w:p w14:paraId="61A7BDD2" w14:textId="77777777" w:rsidR="00891ABF" w:rsidRDefault="00891ABF" w:rsidP="00891ABF">
      <w:pPr>
        <w:pStyle w:val="estilo30"/>
        <w:spacing w:before="0" w:beforeAutospacing="0" w:after="0" w:afterAutospacing="0"/>
        <w:rPr>
          <w:rFonts w:ascii="ITC Avant Garde" w:hAnsi="ITC Avant Garde"/>
          <w:b/>
          <w:bCs/>
          <w:color w:val="000000"/>
          <w:sz w:val="21"/>
          <w:szCs w:val="21"/>
        </w:rPr>
      </w:pPr>
    </w:p>
    <w:p w14:paraId="64FA306C" w14:textId="77777777" w:rsidR="00E277F3" w:rsidRPr="00D20FDE" w:rsidRDefault="00E277F3" w:rsidP="00891ABF">
      <w:pPr>
        <w:pStyle w:val="estilo30"/>
        <w:spacing w:before="0" w:beforeAutospacing="0" w:after="0" w:afterAutospacing="0"/>
        <w:rPr>
          <w:rFonts w:ascii="ITC Avant Garde" w:hAnsi="ITC Avant Garde"/>
          <w:b/>
          <w:bCs/>
          <w:color w:val="000000"/>
          <w:sz w:val="21"/>
          <w:szCs w:val="21"/>
        </w:rPr>
      </w:pPr>
    </w:p>
    <w:p w14:paraId="7B2A1AE5" w14:textId="77777777" w:rsidR="00891ABF" w:rsidRPr="00D20FDE" w:rsidRDefault="00891ABF" w:rsidP="00891ABF">
      <w:pPr>
        <w:pStyle w:val="estilo30"/>
        <w:spacing w:before="0" w:beforeAutospacing="0" w:after="0" w:afterAutospacing="0"/>
        <w:rPr>
          <w:rFonts w:ascii="ITC Avant Garde" w:hAnsi="ITC Avant Garde"/>
          <w:b/>
          <w:bCs/>
          <w:color w:val="000000"/>
          <w:sz w:val="21"/>
          <w:szCs w:val="21"/>
        </w:rPr>
      </w:pPr>
      <w:r w:rsidRPr="00D20FDE">
        <w:rPr>
          <w:rFonts w:ascii="ITC Avant Garde" w:hAnsi="ITC Avant Garde"/>
          <w:b/>
          <w:bCs/>
          <w:color w:val="000000"/>
          <w:sz w:val="21"/>
          <w:szCs w:val="21"/>
        </w:rPr>
        <w:t>NIMBE LEONOR EWALD AROSTEGUI</w:t>
      </w:r>
    </w:p>
    <w:p w14:paraId="1956BBD4" w14:textId="77777777" w:rsidR="00891ABF" w:rsidRPr="00D20FDE" w:rsidRDefault="00891ABF" w:rsidP="00891ABF">
      <w:pPr>
        <w:pStyle w:val="estilo30"/>
        <w:spacing w:before="0" w:beforeAutospacing="0" w:after="0" w:afterAutospacing="0"/>
        <w:rPr>
          <w:rFonts w:ascii="ITC Avant Garde" w:hAnsi="ITC Avant Garde"/>
          <w:b/>
          <w:bCs/>
          <w:color w:val="000000"/>
          <w:sz w:val="21"/>
          <w:szCs w:val="21"/>
        </w:rPr>
      </w:pPr>
      <w:r w:rsidRPr="00D20FDE">
        <w:rPr>
          <w:rFonts w:ascii="ITC Avant Garde" w:hAnsi="ITC Avant Garde"/>
          <w:b/>
          <w:bCs/>
          <w:color w:val="000000"/>
          <w:sz w:val="21"/>
          <w:szCs w:val="21"/>
        </w:rPr>
        <w:t>DIRECTORA GENERAL DE REGULACION DE TÉCNICA</w:t>
      </w:r>
    </w:p>
    <w:p w14:paraId="2F707894" w14:textId="77777777" w:rsidR="00891ABF" w:rsidRPr="00D20FDE" w:rsidRDefault="00891ABF" w:rsidP="00891ABF">
      <w:pPr>
        <w:pStyle w:val="estilo30"/>
        <w:spacing w:before="0" w:beforeAutospacing="0" w:after="0" w:afterAutospacing="0"/>
        <w:rPr>
          <w:rFonts w:ascii="ITC Avant Garde" w:hAnsi="ITC Avant Garde"/>
          <w:b/>
          <w:bCs/>
          <w:color w:val="000000"/>
          <w:sz w:val="21"/>
          <w:szCs w:val="21"/>
        </w:rPr>
      </w:pPr>
      <w:r w:rsidRPr="00D20FDE">
        <w:rPr>
          <w:rFonts w:ascii="ITC Avant Garde" w:hAnsi="ITC Avant Garde"/>
          <w:b/>
          <w:bCs/>
          <w:color w:val="000000"/>
          <w:sz w:val="21"/>
          <w:szCs w:val="21"/>
        </w:rPr>
        <w:t xml:space="preserve">UNIDAD DE POLÍTICA REGULATORIA </w:t>
      </w:r>
    </w:p>
    <w:p w14:paraId="08CE80F6" w14:textId="77777777" w:rsidR="00891ABF" w:rsidRPr="00D20FDE" w:rsidRDefault="00891ABF" w:rsidP="00891ABF">
      <w:pPr>
        <w:pStyle w:val="estilo30"/>
        <w:spacing w:before="0" w:beforeAutospacing="0" w:after="0" w:afterAutospacing="0"/>
        <w:rPr>
          <w:rFonts w:ascii="ITC Avant Garde" w:hAnsi="ITC Avant Garde"/>
          <w:b/>
          <w:bCs/>
          <w:color w:val="000000"/>
          <w:sz w:val="21"/>
          <w:szCs w:val="21"/>
        </w:rPr>
      </w:pPr>
      <w:r w:rsidRPr="00D20FDE">
        <w:rPr>
          <w:rFonts w:ascii="ITC Avant Garde" w:hAnsi="ITC Avant Garde"/>
          <w:b/>
          <w:bCs/>
          <w:color w:val="000000"/>
          <w:sz w:val="21"/>
          <w:szCs w:val="21"/>
        </w:rPr>
        <w:t xml:space="preserve">P R E S E N T E </w:t>
      </w:r>
    </w:p>
    <w:p w14:paraId="753623DF" w14:textId="77777777" w:rsidR="00891ABF" w:rsidRPr="00D20FDE" w:rsidRDefault="00891ABF" w:rsidP="00891ABF">
      <w:pPr>
        <w:pStyle w:val="estilo30"/>
        <w:spacing w:before="0" w:beforeAutospacing="0" w:after="0" w:afterAutospacing="0"/>
        <w:rPr>
          <w:rFonts w:ascii="ITC Avant Garde" w:hAnsi="ITC Avant Garde"/>
          <w:b/>
          <w:bCs/>
          <w:color w:val="000000"/>
          <w:sz w:val="21"/>
          <w:szCs w:val="21"/>
        </w:rPr>
      </w:pPr>
    </w:p>
    <w:p w14:paraId="390B1F4B" w14:textId="77777777" w:rsidR="00891ABF" w:rsidRDefault="00891ABF" w:rsidP="00891ABF">
      <w:pPr>
        <w:pStyle w:val="Default"/>
        <w:jc w:val="both"/>
        <w:rPr>
          <w:rFonts w:ascii="ITC Avant Garde" w:hAnsi="ITC Avant Garde"/>
          <w:bCs/>
          <w:sz w:val="21"/>
          <w:szCs w:val="21"/>
        </w:rPr>
      </w:pPr>
      <w:r w:rsidRPr="00D20FDE">
        <w:rPr>
          <w:rFonts w:ascii="ITC Avant Garde" w:hAnsi="ITC Avant Garde"/>
          <w:bCs/>
          <w:sz w:val="21"/>
          <w:szCs w:val="21"/>
        </w:rPr>
        <w:t>Me refiero al oficio número IFT/221/UPR/DG-RTE/0</w:t>
      </w:r>
      <w:r>
        <w:rPr>
          <w:rFonts w:ascii="ITC Avant Garde" w:hAnsi="ITC Avant Garde"/>
          <w:bCs/>
          <w:sz w:val="21"/>
          <w:szCs w:val="21"/>
        </w:rPr>
        <w:t>25/2016</w:t>
      </w:r>
      <w:r w:rsidRPr="00D20FDE">
        <w:rPr>
          <w:rFonts w:ascii="ITC Avant Garde" w:hAnsi="ITC Avant Garde"/>
          <w:bCs/>
          <w:sz w:val="21"/>
          <w:szCs w:val="21"/>
        </w:rPr>
        <w:t xml:space="preserve">, de fecha </w:t>
      </w:r>
      <w:r>
        <w:rPr>
          <w:rFonts w:ascii="ITC Avant Garde" w:hAnsi="ITC Avant Garde"/>
          <w:bCs/>
          <w:sz w:val="21"/>
          <w:szCs w:val="21"/>
        </w:rPr>
        <w:t>24</w:t>
      </w:r>
      <w:r w:rsidRPr="00D20FDE">
        <w:rPr>
          <w:rFonts w:ascii="ITC Avant Garde" w:hAnsi="ITC Avant Garde"/>
          <w:bCs/>
          <w:sz w:val="21"/>
          <w:szCs w:val="21"/>
        </w:rPr>
        <w:t xml:space="preserve"> de </w:t>
      </w:r>
      <w:r>
        <w:rPr>
          <w:rFonts w:ascii="ITC Avant Garde" w:hAnsi="ITC Avant Garde"/>
          <w:bCs/>
          <w:sz w:val="21"/>
          <w:szCs w:val="21"/>
        </w:rPr>
        <w:t>febrero</w:t>
      </w:r>
      <w:r w:rsidRPr="00D20FDE">
        <w:rPr>
          <w:rFonts w:ascii="ITC Avant Garde" w:hAnsi="ITC Avant Garde"/>
          <w:bCs/>
          <w:sz w:val="21"/>
          <w:szCs w:val="21"/>
        </w:rPr>
        <w:t xml:space="preserve"> de 201</w:t>
      </w:r>
      <w:r>
        <w:rPr>
          <w:rFonts w:ascii="ITC Avant Garde" w:hAnsi="ITC Avant Garde"/>
          <w:bCs/>
          <w:sz w:val="21"/>
          <w:szCs w:val="21"/>
        </w:rPr>
        <w:t>6</w:t>
      </w:r>
      <w:r w:rsidRPr="00D20FDE">
        <w:rPr>
          <w:rFonts w:ascii="ITC Avant Garde" w:hAnsi="ITC Avant Garde"/>
          <w:bCs/>
          <w:sz w:val="21"/>
          <w:szCs w:val="21"/>
        </w:rPr>
        <w:t xml:space="preserve">, el cual fue recibido en esta Coordinación General de Mejora Regulatoria (en lo sucesivo, la “Coordinación General”) ese mismo día, mediante el cual la Dirección General de Regulación Técnica de la Unidad de Política Regulatoria (en lo sucesivo, la “UPR”) del Instituto, remite a esta unidad administrativa el anteproyecto de </w:t>
      </w:r>
      <w:r w:rsidRPr="00D20FDE">
        <w:rPr>
          <w:rFonts w:ascii="ITC Avant Garde" w:hAnsi="ITC Avant Garde"/>
          <w:b/>
          <w:bCs/>
          <w:sz w:val="21"/>
          <w:szCs w:val="21"/>
        </w:rPr>
        <w:t>“Disposición Técnica IFT-00</w:t>
      </w:r>
      <w:r>
        <w:rPr>
          <w:rFonts w:ascii="ITC Avant Garde" w:hAnsi="ITC Avant Garde"/>
          <w:b/>
          <w:bCs/>
          <w:sz w:val="21"/>
          <w:szCs w:val="21"/>
        </w:rPr>
        <w:t>6</w:t>
      </w:r>
      <w:r w:rsidRPr="00D20FDE">
        <w:rPr>
          <w:rFonts w:ascii="ITC Avant Garde" w:hAnsi="ITC Avant Garde"/>
          <w:b/>
          <w:bCs/>
          <w:sz w:val="21"/>
          <w:szCs w:val="21"/>
        </w:rPr>
        <w:t>-201</w:t>
      </w:r>
      <w:r>
        <w:rPr>
          <w:rFonts w:ascii="ITC Avant Garde" w:hAnsi="ITC Avant Garde"/>
          <w:b/>
          <w:bCs/>
          <w:sz w:val="21"/>
          <w:szCs w:val="21"/>
        </w:rPr>
        <w:t>6</w:t>
      </w:r>
      <w:r w:rsidRPr="00D20FDE">
        <w:rPr>
          <w:rFonts w:ascii="ITC Avant Garde" w:hAnsi="ITC Avant Garde"/>
          <w:b/>
          <w:bCs/>
          <w:sz w:val="21"/>
          <w:szCs w:val="21"/>
        </w:rPr>
        <w:t xml:space="preserve">, Telecomunicaciones – </w:t>
      </w:r>
      <w:bookmarkStart w:id="0" w:name="_GoBack"/>
      <w:bookmarkEnd w:id="0"/>
      <w:r w:rsidRPr="00D20FDE">
        <w:rPr>
          <w:rFonts w:ascii="ITC Avant Garde" w:hAnsi="ITC Avant Garde"/>
          <w:b/>
          <w:bCs/>
          <w:sz w:val="21"/>
          <w:szCs w:val="21"/>
        </w:rPr>
        <w:t xml:space="preserve">Interfaz – Parte de </w:t>
      </w:r>
      <w:r>
        <w:rPr>
          <w:rFonts w:ascii="ITC Avant Garde" w:hAnsi="ITC Avant Garde"/>
          <w:b/>
          <w:bCs/>
          <w:sz w:val="21"/>
          <w:szCs w:val="21"/>
        </w:rPr>
        <w:t>transferencia de mensaje</w:t>
      </w:r>
      <w:r w:rsidRPr="00D20FDE">
        <w:rPr>
          <w:rFonts w:ascii="ITC Avant Garde" w:hAnsi="ITC Avant Garde"/>
          <w:b/>
          <w:bCs/>
          <w:sz w:val="21"/>
          <w:szCs w:val="21"/>
        </w:rPr>
        <w:t xml:space="preserve"> del sistema de señalización por canal común”</w:t>
      </w:r>
      <w:r w:rsidRPr="00D20FDE">
        <w:rPr>
          <w:rFonts w:ascii="ITC Avant Garde" w:hAnsi="ITC Avant Garde"/>
          <w:bCs/>
          <w:sz w:val="21"/>
          <w:szCs w:val="21"/>
        </w:rPr>
        <w:t xml:space="preserve"> (en lo sucesivo, el “Anteproyecto”), acompañado de su respectivo Análisis de Nulo Impacto Regulatorio (en lo sucesivo, el “ANIR”).</w:t>
      </w:r>
    </w:p>
    <w:p w14:paraId="7ABC4EB1" w14:textId="77777777" w:rsidR="00891ABF" w:rsidRPr="00D20FDE" w:rsidRDefault="00891ABF" w:rsidP="00891ABF">
      <w:pPr>
        <w:pStyle w:val="Default"/>
        <w:jc w:val="both"/>
        <w:rPr>
          <w:rFonts w:ascii="ITC Avant Garde" w:hAnsi="ITC Avant Garde"/>
          <w:bCs/>
          <w:sz w:val="21"/>
          <w:szCs w:val="21"/>
        </w:rPr>
      </w:pPr>
    </w:p>
    <w:p w14:paraId="2523E353" w14:textId="77777777" w:rsidR="00891ABF" w:rsidRDefault="00891ABF" w:rsidP="00891ABF">
      <w:pPr>
        <w:pStyle w:val="Default"/>
        <w:jc w:val="both"/>
        <w:rPr>
          <w:rFonts w:ascii="ITC Avant Garde" w:hAnsi="ITC Avant Garde"/>
          <w:bCs/>
          <w:sz w:val="21"/>
          <w:szCs w:val="21"/>
        </w:rPr>
      </w:pPr>
      <w:r w:rsidRPr="00D20FDE">
        <w:rPr>
          <w:rFonts w:ascii="ITC Avant Garde" w:hAnsi="ITC Avant Garde"/>
          <w:bCs/>
          <w:sz w:val="21"/>
          <w:szCs w:val="21"/>
        </w:rPr>
        <w:t xml:space="preserve">Al respecto, con fundamento en los artículos 51 de la Ley Federal de Telecomunicaciones y Radiodifusión (en lo sucesivo, la “LFTR”); así como, 4, fracción VIII, inciso iv) y 75, fracción II del Estatuto Orgánico del Instituto Federal de Telecomunicaciones, esta Coordinación General emite la presente </w:t>
      </w:r>
      <w:r w:rsidRPr="00D20FDE">
        <w:rPr>
          <w:rFonts w:ascii="ITC Avant Garde" w:hAnsi="ITC Avant Garde"/>
          <w:b/>
          <w:bCs/>
          <w:sz w:val="21"/>
          <w:szCs w:val="21"/>
        </w:rPr>
        <w:t>opinión no vinculante</w:t>
      </w:r>
      <w:r w:rsidRPr="00D20FDE">
        <w:rPr>
          <w:rFonts w:ascii="ITC Avant Garde" w:hAnsi="ITC Avant Garde"/>
          <w:bCs/>
          <w:sz w:val="21"/>
          <w:szCs w:val="21"/>
        </w:rPr>
        <w:t xml:space="preserve"> sobre el ANIR del Anteproyecto:      </w:t>
      </w:r>
    </w:p>
    <w:p w14:paraId="6CD4A6EA" w14:textId="77777777" w:rsidR="00891ABF" w:rsidRPr="00D20FDE" w:rsidRDefault="00891ABF" w:rsidP="00891ABF">
      <w:pPr>
        <w:pStyle w:val="Default"/>
        <w:jc w:val="both"/>
        <w:rPr>
          <w:rFonts w:ascii="ITC Avant Garde" w:hAnsi="ITC Avant Garde"/>
          <w:bCs/>
          <w:sz w:val="21"/>
          <w:szCs w:val="21"/>
        </w:rPr>
      </w:pPr>
    </w:p>
    <w:p w14:paraId="35144EF4" w14:textId="77777777" w:rsidR="00891ABF" w:rsidRDefault="00891ABF" w:rsidP="00891ABF">
      <w:pPr>
        <w:pStyle w:val="Default"/>
        <w:numPr>
          <w:ilvl w:val="0"/>
          <w:numId w:val="14"/>
        </w:numPr>
        <w:jc w:val="both"/>
        <w:rPr>
          <w:rFonts w:ascii="ITC Avant Garde" w:hAnsi="ITC Avant Garde"/>
          <w:bCs/>
          <w:sz w:val="21"/>
          <w:szCs w:val="21"/>
        </w:rPr>
      </w:pPr>
      <w:r w:rsidRPr="00D20FDE">
        <w:rPr>
          <w:rFonts w:ascii="ITC Avant Garde" w:hAnsi="ITC Avant Garde"/>
          <w:bCs/>
          <w:sz w:val="21"/>
          <w:szCs w:val="21"/>
        </w:rPr>
        <w:t xml:space="preserve">El </w:t>
      </w:r>
      <w:r>
        <w:rPr>
          <w:rFonts w:ascii="ITC Avant Garde" w:hAnsi="ITC Avant Garde"/>
          <w:bCs/>
          <w:sz w:val="21"/>
          <w:szCs w:val="21"/>
        </w:rPr>
        <w:t>segundo párrafo</w:t>
      </w:r>
      <w:r w:rsidRPr="00D20FDE">
        <w:rPr>
          <w:rFonts w:ascii="ITC Avant Garde" w:hAnsi="ITC Avant Garde"/>
          <w:bCs/>
          <w:sz w:val="21"/>
          <w:szCs w:val="21"/>
        </w:rPr>
        <w:t xml:space="preserve"> del artículo 51 de la LFTR establece, entre otras cosas, que previo a la emisión de las reglas, lineamientos o disposiciones administrativas de carácter general, el Instituto deberá realizar y hacer público un análisis de impacto regulatorio (en lo sucesivo, el “AIR”).</w:t>
      </w:r>
    </w:p>
    <w:p w14:paraId="6725A880" w14:textId="77777777" w:rsidR="00891ABF" w:rsidRPr="00D20FDE" w:rsidRDefault="00891ABF" w:rsidP="00891ABF">
      <w:pPr>
        <w:pStyle w:val="Default"/>
        <w:ind w:left="360"/>
        <w:jc w:val="both"/>
        <w:rPr>
          <w:rFonts w:ascii="ITC Avant Garde" w:hAnsi="ITC Avant Garde"/>
          <w:bCs/>
          <w:sz w:val="21"/>
          <w:szCs w:val="21"/>
        </w:rPr>
      </w:pPr>
    </w:p>
    <w:p w14:paraId="2ABE29BE" w14:textId="77777777" w:rsidR="00891ABF" w:rsidRDefault="00891ABF" w:rsidP="00891ABF">
      <w:pPr>
        <w:pStyle w:val="Default"/>
        <w:ind w:left="360"/>
        <w:jc w:val="both"/>
        <w:rPr>
          <w:rFonts w:ascii="ITC Avant Garde" w:hAnsi="ITC Avant Garde"/>
          <w:bCs/>
          <w:sz w:val="21"/>
          <w:szCs w:val="21"/>
        </w:rPr>
      </w:pPr>
      <w:r w:rsidRPr="00D20FDE">
        <w:rPr>
          <w:rFonts w:ascii="ITC Avant Garde" w:hAnsi="ITC Avant Garde"/>
          <w:bCs/>
          <w:sz w:val="21"/>
          <w:szCs w:val="21"/>
        </w:rPr>
        <w:t>A este respecto, esta Coordinación General considera necesario elaborar un AIR cuando la unidad administrativa del Instituto promotora de un anteproyecto de reglas, lineamientos o disposiciones administrativas de carácter general</w:t>
      </w:r>
      <w:r>
        <w:rPr>
          <w:rFonts w:ascii="ITC Avant Garde" w:hAnsi="ITC Avant Garde"/>
          <w:bCs/>
          <w:sz w:val="21"/>
          <w:szCs w:val="21"/>
        </w:rPr>
        <w:t>,</w:t>
      </w:r>
      <w:r w:rsidRPr="00D20FDE">
        <w:rPr>
          <w:rFonts w:ascii="ITC Avant Garde" w:hAnsi="ITC Avant Garde"/>
          <w:bCs/>
          <w:sz w:val="21"/>
          <w:szCs w:val="21"/>
        </w:rPr>
        <w:t xml:space="preserve"> a su entrada en vigor genere nuevos costos de cumplimiento para los particulares, al encuadrarse en uno o varios de los siguientes criterios:</w:t>
      </w:r>
    </w:p>
    <w:p w14:paraId="5C541F6F" w14:textId="77777777" w:rsidR="00891ABF" w:rsidRPr="00D20FDE" w:rsidRDefault="00891ABF" w:rsidP="00891ABF">
      <w:pPr>
        <w:pStyle w:val="Default"/>
        <w:ind w:left="360"/>
        <w:jc w:val="both"/>
        <w:rPr>
          <w:rFonts w:ascii="ITC Avant Garde" w:hAnsi="ITC Avant Garde"/>
          <w:bCs/>
          <w:sz w:val="21"/>
          <w:szCs w:val="21"/>
        </w:rPr>
      </w:pPr>
    </w:p>
    <w:p w14:paraId="2246D51F" w14:textId="77777777" w:rsidR="00891ABF" w:rsidRPr="00D20FDE" w:rsidRDefault="00891ABF" w:rsidP="00891ABF">
      <w:pPr>
        <w:pStyle w:val="Default"/>
        <w:numPr>
          <w:ilvl w:val="0"/>
          <w:numId w:val="15"/>
        </w:numPr>
        <w:ind w:left="1134" w:right="612" w:hanging="567"/>
        <w:jc w:val="both"/>
        <w:rPr>
          <w:rFonts w:ascii="ITC Avant Garde" w:hAnsi="ITC Avant Garde"/>
          <w:bCs/>
          <w:sz w:val="21"/>
          <w:szCs w:val="21"/>
        </w:rPr>
      </w:pPr>
      <w:r w:rsidRPr="00D20FDE">
        <w:rPr>
          <w:rFonts w:ascii="ITC Avant Garde" w:hAnsi="ITC Avant Garde"/>
          <w:bCs/>
          <w:sz w:val="21"/>
          <w:szCs w:val="21"/>
        </w:rPr>
        <w:t>Crea nuevas obligaciones para los particulares o hace más estrictas las obligaciones existentes;</w:t>
      </w:r>
    </w:p>
    <w:p w14:paraId="126ABA0A" w14:textId="77777777" w:rsidR="00891ABF" w:rsidRPr="00D20FDE" w:rsidRDefault="00891ABF" w:rsidP="00891ABF">
      <w:pPr>
        <w:pStyle w:val="Default"/>
        <w:numPr>
          <w:ilvl w:val="0"/>
          <w:numId w:val="15"/>
        </w:numPr>
        <w:ind w:left="1134" w:right="612" w:hanging="567"/>
        <w:jc w:val="both"/>
        <w:rPr>
          <w:rFonts w:ascii="ITC Avant Garde" w:hAnsi="ITC Avant Garde"/>
          <w:bCs/>
          <w:sz w:val="21"/>
          <w:szCs w:val="21"/>
        </w:rPr>
      </w:pPr>
      <w:r w:rsidRPr="00D20FDE">
        <w:rPr>
          <w:rFonts w:ascii="ITC Avant Garde" w:hAnsi="ITC Avant Garde"/>
          <w:bCs/>
          <w:sz w:val="21"/>
          <w:szCs w:val="21"/>
        </w:rPr>
        <w:t>Crea o modifica trámites (excepto cuando la modificación simplifica y facilita el cumplimiento del particular);</w:t>
      </w:r>
    </w:p>
    <w:p w14:paraId="236FD8D1" w14:textId="77777777" w:rsidR="00891ABF" w:rsidRPr="00D20FDE" w:rsidRDefault="00891ABF" w:rsidP="00891ABF">
      <w:pPr>
        <w:pStyle w:val="Default"/>
        <w:numPr>
          <w:ilvl w:val="0"/>
          <w:numId w:val="15"/>
        </w:numPr>
        <w:ind w:left="1134" w:right="612" w:hanging="567"/>
        <w:jc w:val="both"/>
        <w:rPr>
          <w:rFonts w:ascii="ITC Avant Garde" w:hAnsi="ITC Avant Garde"/>
          <w:bCs/>
          <w:sz w:val="21"/>
          <w:szCs w:val="21"/>
        </w:rPr>
      </w:pPr>
      <w:r w:rsidRPr="00D20FDE">
        <w:rPr>
          <w:rFonts w:ascii="ITC Avant Garde" w:hAnsi="ITC Avant Garde"/>
          <w:bCs/>
          <w:sz w:val="21"/>
          <w:szCs w:val="21"/>
        </w:rPr>
        <w:t>Reduce o restringe derechos o prestaciones para los particulares; o,</w:t>
      </w:r>
    </w:p>
    <w:p w14:paraId="14DD92D5" w14:textId="77777777" w:rsidR="00891ABF" w:rsidRDefault="00891ABF" w:rsidP="00891ABF">
      <w:pPr>
        <w:pStyle w:val="Default"/>
        <w:numPr>
          <w:ilvl w:val="0"/>
          <w:numId w:val="15"/>
        </w:numPr>
        <w:ind w:left="1134" w:right="612" w:hanging="567"/>
        <w:jc w:val="both"/>
        <w:rPr>
          <w:rFonts w:ascii="ITC Avant Garde" w:hAnsi="ITC Avant Garde"/>
          <w:bCs/>
          <w:sz w:val="21"/>
          <w:szCs w:val="21"/>
        </w:rPr>
      </w:pPr>
      <w:r w:rsidRPr="00D20FDE">
        <w:rPr>
          <w:rFonts w:ascii="ITC Avant Garde" w:hAnsi="ITC Avant Garde"/>
          <w:bCs/>
          <w:sz w:val="21"/>
          <w:szCs w:val="21"/>
        </w:rPr>
        <w:t xml:space="preserve">Establece definiciones, clasificaciones, caracterizaciones o cualquier otro término de referencia, que conjuntamente con otra disposición en vigor o </w:t>
      </w:r>
      <w:r w:rsidRPr="00D20FDE">
        <w:rPr>
          <w:rFonts w:ascii="ITC Avant Garde" w:hAnsi="ITC Avant Garde"/>
          <w:bCs/>
          <w:sz w:val="21"/>
          <w:szCs w:val="21"/>
        </w:rPr>
        <w:lastRenderedPageBreak/>
        <w:t>con una disposición futura, afecten o puedan afectar los derechos, obligaciones, prestaciones o trámites de los particulares.</w:t>
      </w:r>
    </w:p>
    <w:p w14:paraId="1356C51B" w14:textId="77777777" w:rsidR="00891ABF" w:rsidRPr="00D20FDE" w:rsidRDefault="00891ABF" w:rsidP="00891ABF">
      <w:pPr>
        <w:pStyle w:val="Default"/>
        <w:ind w:left="1134" w:right="612"/>
        <w:jc w:val="both"/>
        <w:rPr>
          <w:rFonts w:ascii="ITC Avant Garde" w:hAnsi="ITC Avant Garde"/>
          <w:bCs/>
          <w:sz w:val="21"/>
          <w:szCs w:val="21"/>
        </w:rPr>
      </w:pPr>
    </w:p>
    <w:p w14:paraId="02D45A7B" w14:textId="13AE1305" w:rsidR="00891ABF" w:rsidRDefault="00891ABF" w:rsidP="00891ABF">
      <w:pPr>
        <w:pStyle w:val="Default"/>
        <w:ind w:left="360"/>
        <w:jc w:val="both"/>
        <w:rPr>
          <w:rFonts w:ascii="ITC Avant Garde" w:hAnsi="ITC Avant Garde"/>
          <w:bCs/>
          <w:sz w:val="21"/>
          <w:szCs w:val="21"/>
        </w:rPr>
      </w:pPr>
      <w:r w:rsidRPr="00D20FDE">
        <w:rPr>
          <w:rFonts w:ascii="ITC Avant Garde" w:hAnsi="ITC Avant Garde"/>
          <w:bCs/>
          <w:sz w:val="21"/>
          <w:szCs w:val="21"/>
        </w:rPr>
        <w:t xml:space="preserve">Caso contrario a lo anterior, </w:t>
      </w:r>
      <w:r w:rsidR="00376994">
        <w:rPr>
          <w:rFonts w:ascii="ITC Avant Garde" w:hAnsi="ITC Avant Garde"/>
          <w:bCs/>
          <w:sz w:val="21"/>
          <w:szCs w:val="21"/>
        </w:rPr>
        <w:t>esta Coordinación General</w:t>
      </w:r>
      <w:r w:rsidRPr="00D20FDE">
        <w:rPr>
          <w:rFonts w:ascii="ITC Avant Garde" w:hAnsi="ITC Avant Garde"/>
          <w:bCs/>
          <w:sz w:val="21"/>
          <w:szCs w:val="21"/>
        </w:rPr>
        <w:t xml:space="preserve"> considera factible que la unidad administrativa del Instituto elabore y haga público un ANIR para dar cumplimiento a lo dispuesto en el segundo párrafo del artículo 51 de la LFTR.</w:t>
      </w:r>
    </w:p>
    <w:p w14:paraId="279FC09B" w14:textId="77777777" w:rsidR="00891ABF" w:rsidRPr="00D20FDE" w:rsidRDefault="00891ABF" w:rsidP="00891ABF">
      <w:pPr>
        <w:pStyle w:val="Default"/>
        <w:ind w:left="360"/>
        <w:jc w:val="both"/>
        <w:rPr>
          <w:rFonts w:ascii="ITC Avant Garde" w:hAnsi="ITC Avant Garde"/>
          <w:bCs/>
          <w:sz w:val="21"/>
          <w:szCs w:val="21"/>
        </w:rPr>
      </w:pPr>
    </w:p>
    <w:p w14:paraId="36ACBC53" w14:textId="4A9362A3" w:rsidR="00891ABF" w:rsidRDefault="00376994" w:rsidP="00891ABF">
      <w:pPr>
        <w:pStyle w:val="Default"/>
        <w:ind w:left="360"/>
        <w:jc w:val="both"/>
        <w:rPr>
          <w:rFonts w:ascii="ITC Avant Garde" w:hAnsi="ITC Avant Garde"/>
          <w:bCs/>
          <w:sz w:val="21"/>
          <w:szCs w:val="21"/>
        </w:rPr>
      </w:pPr>
      <w:r>
        <w:rPr>
          <w:rFonts w:ascii="ITC Avant Garde" w:hAnsi="ITC Avant Garde"/>
          <w:bCs/>
          <w:sz w:val="21"/>
          <w:szCs w:val="21"/>
        </w:rPr>
        <w:t>En tal virtud, d</w:t>
      </w:r>
      <w:r w:rsidR="00891ABF" w:rsidRPr="00D20FDE">
        <w:rPr>
          <w:rFonts w:ascii="ITC Avant Garde" w:hAnsi="ITC Avant Garde"/>
          <w:bCs/>
          <w:sz w:val="21"/>
          <w:szCs w:val="21"/>
        </w:rPr>
        <w:t xml:space="preserve">e la revisión realizada por la Coordinación General al Anteproyecto, se advierte que el mismo réplica el contenido de la </w:t>
      </w:r>
      <w:r w:rsidR="00891ABF">
        <w:rPr>
          <w:rFonts w:ascii="ITC Avant Garde" w:hAnsi="ITC Avant Garde"/>
          <w:bCs/>
          <w:sz w:val="21"/>
          <w:szCs w:val="21"/>
        </w:rPr>
        <w:t>Disposición Técnica IFT-006-2015</w:t>
      </w:r>
      <w:r w:rsidR="00891ABF" w:rsidRPr="00D20FDE">
        <w:rPr>
          <w:rFonts w:ascii="ITC Avant Garde" w:hAnsi="ITC Avant Garde"/>
          <w:bCs/>
          <w:sz w:val="21"/>
          <w:szCs w:val="21"/>
        </w:rPr>
        <w:t xml:space="preserve">, </w:t>
      </w:r>
      <w:r w:rsidR="00891ABF" w:rsidRPr="0099023C">
        <w:rPr>
          <w:rFonts w:ascii="ITC Avant Garde" w:hAnsi="ITC Avant Garde"/>
          <w:bCs/>
          <w:sz w:val="21"/>
          <w:szCs w:val="21"/>
        </w:rPr>
        <w:t>Telecomunicaciones – Interfaz – Parte de transferencia de mensaje del sistema de señalización por canal común</w:t>
      </w:r>
      <w:r w:rsidR="00891ABF" w:rsidRPr="00D20FDE">
        <w:rPr>
          <w:rFonts w:ascii="ITC Avant Garde" w:hAnsi="ITC Avant Garde"/>
          <w:bCs/>
          <w:sz w:val="21"/>
          <w:szCs w:val="21"/>
        </w:rPr>
        <w:t>, por lo que su expedición no generará nuevos costos de cumplimiento para los particulares y que, a razón de lo anterior, resulta procedente que la UPR someta a la consideración del Pleno del Instituto</w:t>
      </w:r>
      <w:r w:rsidR="00891ABF">
        <w:rPr>
          <w:rFonts w:ascii="ITC Avant Garde" w:hAnsi="ITC Avant Garde"/>
          <w:bCs/>
          <w:sz w:val="21"/>
          <w:szCs w:val="21"/>
        </w:rPr>
        <w:t>,</w:t>
      </w:r>
      <w:r w:rsidR="00891ABF" w:rsidRPr="00D20FDE">
        <w:rPr>
          <w:rFonts w:ascii="ITC Avant Garde" w:hAnsi="ITC Avant Garde"/>
          <w:bCs/>
          <w:sz w:val="21"/>
          <w:szCs w:val="21"/>
        </w:rPr>
        <w:t xml:space="preserve"> el Ant</w:t>
      </w:r>
      <w:r>
        <w:rPr>
          <w:rFonts w:ascii="ITC Avant Garde" w:hAnsi="ITC Avant Garde"/>
          <w:bCs/>
          <w:sz w:val="21"/>
          <w:szCs w:val="21"/>
        </w:rPr>
        <w:t>eproyecto acompañado de un ANIR para efecto de dar cumplimiento a lo señalado en el artículo 51 de la LFTR.</w:t>
      </w:r>
    </w:p>
    <w:p w14:paraId="133BE747" w14:textId="77777777" w:rsidR="00376994" w:rsidRDefault="00376994" w:rsidP="00891ABF">
      <w:pPr>
        <w:pStyle w:val="Default"/>
        <w:ind w:left="360"/>
        <w:jc w:val="both"/>
        <w:rPr>
          <w:rFonts w:ascii="ITC Avant Garde" w:hAnsi="ITC Avant Garde"/>
          <w:bCs/>
          <w:sz w:val="21"/>
          <w:szCs w:val="21"/>
        </w:rPr>
      </w:pPr>
    </w:p>
    <w:p w14:paraId="7C243D05" w14:textId="0AA980C2" w:rsidR="00376994" w:rsidRDefault="00376994" w:rsidP="00376994">
      <w:pPr>
        <w:pStyle w:val="Default"/>
        <w:jc w:val="both"/>
        <w:rPr>
          <w:rFonts w:ascii="ITC Avant Garde" w:hAnsi="ITC Avant Garde"/>
          <w:bCs/>
          <w:sz w:val="21"/>
          <w:szCs w:val="21"/>
        </w:rPr>
      </w:pPr>
      <w:r>
        <w:rPr>
          <w:rFonts w:ascii="ITC Avant Garde" w:hAnsi="ITC Avant Garde"/>
          <w:bCs/>
          <w:sz w:val="21"/>
          <w:szCs w:val="21"/>
        </w:rPr>
        <w:t>Esperando que la presente información le sea de utilidad me despido, quedando a sus órdenes para cualquier duda o comentario que haya sobre el particular.</w:t>
      </w:r>
    </w:p>
    <w:p w14:paraId="1BC1879C" w14:textId="77777777" w:rsidR="00891ABF" w:rsidRDefault="00891ABF" w:rsidP="00891ABF">
      <w:pPr>
        <w:pStyle w:val="Default"/>
        <w:ind w:left="360"/>
        <w:jc w:val="both"/>
        <w:rPr>
          <w:rFonts w:ascii="ITC Avant Garde" w:hAnsi="ITC Avant Garde"/>
          <w:bCs/>
          <w:sz w:val="21"/>
          <w:szCs w:val="21"/>
        </w:rPr>
      </w:pPr>
    </w:p>
    <w:p w14:paraId="6A7C1BC6" w14:textId="0CE598A3" w:rsidR="00891ABF" w:rsidRPr="00D20FDE" w:rsidRDefault="00376994" w:rsidP="00891ABF">
      <w:pPr>
        <w:pStyle w:val="Default"/>
        <w:jc w:val="both"/>
        <w:rPr>
          <w:rFonts w:ascii="ITC Avant Garde" w:hAnsi="ITC Avant Garde"/>
          <w:bCs/>
          <w:sz w:val="21"/>
          <w:szCs w:val="21"/>
        </w:rPr>
      </w:pPr>
      <w:r>
        <w:rPr>
          <w:rFonts w:ascii="ITC Avant Garde" w:hAnsi="ITC Avant Garde"/>
          <w:bCs/>
          <w:sz w:val="21"/>
          <w:szCs w:val="21"/>
        </w:rPr>
        <w:t>R</w:t>
      </w:r>
      <w:r w:rsidR="00891ABF" w:rsidRPr="00D20FDE">
        <w:rPr>
          <w:rFonts w:ascii="ITC Avant Garde" w:hAnsi="ITC Avant Garde"/>
          <w:bCs/>
          <w:sz w:val="21"/>
          <w:szCs w:val="21"/>
        </w:rPr>
        <w:t>eciba un cordial saludo.</w:t>
      </w:r>
    </w:p>
    <w:p w14:paraId="36426C4C" w14:textId="77777777" w:rsidR="00891ABF" w:rsidRDefault="00891ABF" w:rsidP="00891ABF">
      <w:pPr>
        <w:pStyle w:val="Default"/>
        <w:jc w:val="both"/>
        <w:rPr>
          <w:rFonts w:ascii="ITC Avant Garde" w:hAnsi="ITC Avant Garde"/>
          <w:bCs/>
          <w:sz w:val="21"/>
          <w:szCs w:val="21"/>
        </w:rPr>
      </w:pPr>
    </w:p>
    <w:p w14:paraId="2D4172A2" w14:textId="77777777" w:rsidR="00891ABF" w:rsidRPr="00D20FDE" w:rsidRDefault="00891ABF" w:rsidP="00891ABF">
      <w:pPr>
        <w:pStyle w:val="Default"/>
        <w:jc w:val="both"/>
        <w:rPr>
          <w:rFonts w:ascii="ITC Avant Garde" w:hAnsi="ITC Avant Garde"/>
          <w:bCs/>
          <w:sz w:val="21"/>
          <w:szCs w:val="21"/>
        </w:rPr>
      </w:pPr>
    </w:p>
    <w:p w14:paraId="42D76E38" w14:textId="77777777" w:rsidR="00891ABF" w:rsidRPr="00D20FDE" w:rsidRDefault="00891ABF" w:rsidP="00891ABF">
      <w:pPr>
        <w:pStyle w:val="estilo30"/>
        <w:spacing w:before="0" w:beforeAutospacing="0" w:after="0" w:afterAutospacing="0"/>
        <w:jc w:val="center"/>
        <w:rPr>
          <w:rFonts w:ascii="ITC Avant Garde" w:hAnsi="ITC Avant Garde"/>
          <w:b/>
          <w:bCs/>
          <w:color w:val="000000"/>
          <w:sz w:val="21"/>
          <w:szCs w:val="21"/>
          <w:lang w:val="pt-BR"/>
        </w:rPr>
      </w:pPr>
      <w:r w:rsidRPr="00D20FDE">
        <w:rPr>
          <w:rFonts w:ascii="ITC Avant Garde" w:hAnsi="ITC Avant Garde"/>
          <w:b/>
          <w:bCs/>
          <w:color w:val="000000"/>
          <w:sz w:val="21"/>
          <w:szCs w:val="21"/>
          <w:lang w:val="pt-BR"/>
        </w:rPr>
        <w:t>A T E N T A M E N T E</w:t>
      </w:r>
    </w:p>
    <w:p w14:paraId="5DAC2B1D" w14:textId="77777777" w:rsidR="00891ABF" w:rsidRDefault="00891ABF" w:rsidP="00891ABF">
      <w:pPr>
        <w:pStyle w:val="estilo30"/>
        <w:spacing w:before="0" w:beforeAutospacing="0" w:after="0" w:afterAutospacing="0"/>
        <w:rPr>
          <w:rFonts w:ascii="ITC Avant Garde" w:hAnsi="ITC Avant Garde"/>
          <w:b/>
          <w:bCs/>
          <w:color w:val="000000"/>
          <w:sz w:val="21"/>
          <w:szCs w:val="21"/>
          <w:lang w:val="pt-BR"/>
        </w:rPr>
      </w:pPr>
    </w:p>
    <w:p w14:paraId="30FEF065" w14:textId="77777777" w:rsidR="00891ABF" w:rsidRPr="00D20FDE" w:rsidRDefault="00891ABF" w:rsidP="00891ABF">
      <w:pPr>
        <w:pStyle w:val="estilo30"/>
        <w:spacing w:before="0" w:beforeAutospacing="0" w:after="0" w:afterAutospacing="0"/>
        <w:rPr>
          <w:rFonts w:ascii="ITC Avant Garde" w:hAnsi="ITC Avant Garde"/>
          <w:b/>
          <w:bCs/>
          <w:color w:val="000000"/>
          <w:sz w:val="21"/>
          <w:szCs w:val="21"/>
          <w:lang w:val="pt-BR"/>
        </w:rPr>
      </w:pPr>
    </w:p>
    <w:p w14:paraId="3F592C02" w14:textId="77777777" w:rsidR="00891ABF" w:rsidRPr="00D20FDE" w:rsidRDefault="00891ABF" w:rsidP="00891ABF">
      <w:pPr>
        <w:pStyle w:val="estilo30"/>
        <w:spacing w:before="0" w:beforeAutospacing="0" w:after="0" w:afterAutospacing="0"/>
        <w:rPr>
          <w:rFonts w:ascii="ITC Avant Garde" w:hAnsi="ITC Avant Garde"/>
          <w:b/>
          <w:bCs/>
          <w:color w:val="000000"/>
          <w:sz w:val="21"/>
          <w:szCs w:val="21"/>
          <w:lang w:val="pt-BR"/>
        </w:rPr>
      </w:pPr>
    </w:p>
    <w:p w14:paraId="5AFA0FFB" w14:textId="77777777" w:rsidR="00891ABF" w:rsidRPr="00D20FDE" w:rsidRDefault="00891ABF" w:rsidP="00891ABF">
      <w:pPr>
        <w:pStyle w:val="estilo30"/>
        <w:spacing w:before="0" w:beforeAutospacing="0" w:after="0" w:afterAutospacing="0"/>
        <w:jc w:val="center"/>
        <w:rPr>
          <w:rFonts w:ascii="ITC Avant Garde" w:hAnsi="ITC Avant Garde"/>
          <w:b/>
          <w:bCs/>
          <w:color w:val="000000"/>
          <w:sz w:val="21"/>
          <w:szCs w:val="21"/>
          <w:lang w:val="pt-BR"/>
        </w:rPr>
      </w:pPr>
      <w:r w:rsidRPr="00D20FDE">
        <w:rPr>
          <w:rFonts w:ascii="ITC Avant Garde" w:hAnsi="ITC Avant Garde"/>
          <w:b/>
          <w:bCs/>
          <w:color w:val="000000"/>
          <w:sz w:val="21"/>
          <w:szCs w:val="21"/>
          <w:lang w:val="pt-BR"/>
        </w:rPr>
        <w:t>LUIS FERNANDO ROSAS YÁÑEZ</w:t>
      </w:r>
    </w:p>
    <w:p w14:paraId="4644066C" w14:textId="5F1D58FD" w:rsidR="00891ABF" w:rsidRPr="00D20FDE" w:rsidRDefault="00891ABF" w:rsidP="00891ABF">
      <w:pPr>
        <w:spacing w:after="0" w:line="240" w:lineRule="auto"/>
        <w:jc w:val="center"/>
        <w:rPr>
          <w:rFonts w:ascii="ITC Avant Garde" w:hAnsi="ITC Avant Garde"/>
          <w:b/>
          <w:bCs/>
          <w:color w:val="000000"/>
          <w:sz w:val="21"/>
          <w:szCs w:val="21"/>
          <w:lang w:val="pt-BR"/>
        </w:rPr>
      </w:pPr>
      <w:r w:rsidRPr="00D20FDE">
        <w:rPr>
          <w:rFonts w:ascii="ITC Avant Garde" w:hAnsi="ITC Avant Garde"/>
          <w:b/>
          <w:bCs/>
          <w:color w:val="000000"/>
          <w:sz w:val="21"/>
          <w:szCs w:val="21"/>
          <w:lang w:val="pt-BR"/>
        </w:rPr>
        <w:t>COORDINADOR GENERAL</w:t>
      </w:r>
    </w:p>
    <w:p w14:paraId="3AB728D6" w14:textId="77777777" w:rsidR="00891ABF" w:rsidRDefault="00891ABF" w:rsidP="00891ABF">
      <w:pPr>
        <w:spacing w:after="0" w:line="240" w:lineRule="auto"/>
        <w:rPr>
          <w:rFonts w:ascii="ITC Avant Garde" w:hAnsi="ITC Avant Garde" w:cs="Arial"/>
          <w:b/>
          <w:shd w:val="clear" w:color="auto" w:fill="FFFFFF"/>
        </w:rPr>
      </w:pPr>
    </w:p>
    <w:p w14:paraId="1FA67E26" w14:textId="77777777" w:rsidR="00891ABF" w:rsidRPr="00FA44DC" w:rsidRDefault="00891ABF" w:rsidP="00891ABF">
      <w:pPr>
        <w:spacing w:after="0" w:line="240" w:lineRule="auto"/>
        <w:rPr>
          <w:rFonts w:ascii="ITC Avant Garde" w:hAnsi="ITC Avant Garde" w:cs="Arial"/>
          <w:b/>
          <w:shd w:val="clear" w:color="auto" w:fill="FFFFFF"/>
        </w:rPr>
      </w:pPr>
    </w:p>
    <w:p w14:paraId="51423A91" w14:textId="6B2BE550" w:rsidR="00891ABF" w:rsidRPr="00D20FDE" w:rsidRDefault="00891ABF" w:rsidP="00891ABF">
      <w:pPr>
        <w:spacing w:after="0" w:line="240" w:lineRule="auto"/>
        <w:ind w:left="851" w:hanging="851"/>
        <w:jc w:val="both"/>
        <w:rPr>
          <w:rFonts w:ascii="ITC Avant Garde" w:hAnsi="ITC Avant Garde" w:cs="Tahoma"/>
          <w:bCs/>
          <w:color w:val="000000"/>
          <w:sz w:val="16"/>
          <w:szCs w:val="16"/>
          <w:lang w:eastAsia="es-MX"/>
        </w:rPr>
      </w:pPr>
      <w:r w:rsidRPr="00D20FDE">
        <w:rPr>
          <w:rFonts w:ascii="ITC Avant Garde" w:hAnsi="ITC Avant Garde" w:cs="Tahoma"/>
          <w:bCs/>
          <w:color w:val="000000"/>
          <w:sz w:val="16"/>
          <w:szCs w:val="16"/>
          <w:lang w:eastAsia="es-MX"/>
        </w:rPr>
        <w:t xml:space="preserve">C.C.P. </w:t>
      </w:r>
      <w:r w:rsidRPr="00D20FDE">
        <w:rPr>
          <w:rFonts w:ascii="ITC Avant Garde" w:hAnsi="ITC Avant Garde" w:cs="Tahoma"/>
          <w:bCs/>
          <w:color w:val="000000"/>
          <w:sz w:val="16"/>
          <w:szCs w:val="16"/>
          <w:lang w:eastAsia="es-MX"/>
        </w:rPr>
        <w:tab/>
      </w:r>
      <w:r w:rsidR="00BA50ED">
        <w:rPr>
          <w:rFonts w:ascii="ITC Avant Garde" w:hAnsi="ITC Avant Garde" w:cs="Tahoma"/>
          <w:b/>
          <w:bCs/>
          <w:color w:val="000000"/>
          <w:sz w:val="16"/>
          <w:szCs w:val="16"/>
          <w:lang w:eastAsia="es-MX"/>
        </w:rPr>
        <w:t>Javier Juárez Mo</w:t>
      </w:r>
      <w:r w:rsidRPr="00D20FDE">
        <w:rPr>
          <w:rFonts w:ascii="ITC Avant Garde" w:hAnsi="ITC Avant Garde" w:cs="Tahoma"/>
          <w:b/>
          <w:bCs/>
          <w:color w:val="000000"/>
          <w:sz w:val="16"/>
          <w:szCs w:val="16"/>
          <w:lang w:eastAsia="es-MX"/>
        </w:rPr>
        <w:t>jica</w:t>
      </w:r>
      <w:r w:rsidRPr="00D20FDE">
        <w:rPr>
          <w:rFonts w:ascii="ITC Avant Garde" w:hAnsi="ITC Avant Garde" w:cs="Tahoma"/>
          <w:bCs/>
          <w:color w:val="000000"/>
          <w:sz w:val="16"/>
          <w:szCs w:val="16"/>
          <w:lang w:eastAsia="es-MX"/>
        </w:rPr>
        <w:t>, Titular de la Unidad de Política Regulatoria del Instituto Federal de Telecomunicaciones (IFT).- Para su conocimiento.</w:t>
      </w:r>
    </w:p>
    <w:p w14:paraId="74CDA071" w14:textId="77777777" w:rsidR="00891ABF" w:rsidRPr="00D20FDE" w:rsidRDefault="00891ABF" w:rsidP="00891ABF">
      <w:pPr>
        <w:spacing w:after="0" w:line="240" w:lineRule="auto"/>
        <w:ind w:left="851"/>
        <w:jc w:val="both"/>
        <w:rPr>
          <w:rFonts w:ascii="ITC Avant Garde" w:hAnsi="ITC Avant Garde" w:cs="Tahoma"/>
          <w:bCs/>
          <w:color w:val="000000"/>
          <w:sz w:val="16"/>
          <w:szCs w:val="16"/>
          <w:lang w:eastAsia="es-MX"/>
        </w:rPr>
      </w:pPr>
      <w:r w:rsidRPr="00D20FDE">
        <w:rPr>
          <w:rFonts w:ascii="ITC Avant Garde" w:hAnsi="ITC Avant Garde" w:cs="Tahoma"/>
          <w:b/>
          <w:bCs/>
          <w:color w:val="000000"/>
          <w:sz w:val="16"/>
          <w:szCs w:val="16"/>
          <w:lang w:eastAsia="es-MX"/>
        </w:rPr>
        <w:t>Luis Fernando Peláez Espinosa</w:t>
      </w:r>
      <w:r w:rsidRPr="00D20FDE">
        <w:rPr>
          <w:rFonts w:ascii="ITC Avant Garde" w:hAnsi="ITC Avant Garde" w:cs="Tahoma"/>
          <w:bCs/>
          <w:color w:val="000000"/>
          <w:sz w:val="16"/>
          <w:szCs w:val="16"/>
          <w:lang w:eastAsia="es-MX"/>
        </w:rPr>
        <w:t>, Coordinador Ejecutivo del IFT.- Mismo fin.</w:t>
      </w:r>
    </w:p>
    <w:p w14:paraId="0F91121B" w14:textId="77777777" w:rsidR="00891ABF" w:rsidRPr="00D20FDE" w:rsidRDefault="00891ABF" w:rsidP="00891ABF">
      <w:pPr>
        <w:spacing w:after="0" w:line="240" w:lineRule="auto"/>
        <w:ind w:left="851"/>
        <w:jc w:val="both"/>
        <w:rPr>
          <w:rFonts w:ascii="ITC Avant Garde" w:hAnsi="ITC Avant Garde" w:cs="Tahoma"/>
          <w:bCs/>
          <w:color w:val="000000"/>
          <w:sz w:val="16"/>
          <w:szCs w:val="16"/>
          <w:lang w:eastAsia="es-MX"/>
        </w:rPr>
      </w:pPr>
      <w:r w:rsidRPr="00D20FDE">
        <w:rPr>
          <w:rFonts w:ascii="ITC Avant Garde" w:hAnsi="ITC Avant Garde" w:cs="Tahoma"/>
          <w:b/>
          <w:bCs/>
          <w:color w:val="000000"/>
          <w:sz w:val="16"/>
          <w:szCs w:val="16"/>
          <w:lang w:eastAsia="es-MX"/>
        </w:rPr>
        <w:t>Juan José Crispín Borbolla</w:t>
      </w:r>
      <w:r w:rsidRPr="00D20FDE">
        <w:rPr>
          <w:rFonts w:ascii="ITC Avant Garde" w:hAnsi="ITC Avant Garde" w:cs="Tahoma"/>
          <w:bCs/>
          <w:color w:val="000000"/>
          <w:sz w:val="16"/>
          <w:szCs w:val="16"/>
          <w:lang w:eastAsia="es-MX"/>
        </w:rPr>
        <w:t>, Secretario Técnico del Pleno del IFT.- Mismo fin.</w:t>
      </w:r>
    </w:p>
    <w:p w14:paraId="4B703D72" w14:textId="77777777" w:rsidR="00891ABF" w:rsidRPr="00D20FDE" w:rsidRDefault="00891ABF" w:rsidP="00891ABF">
      <w:pPr>
        <w:spacing w:after="0" w:line="240" w:lineRule="auto"/>
        <w:ind w:left="851"/>
        <w:jc w:val="both"/>
        <w:rPr>
          <w:rFonts w:ascii="ITC Avant Garde" w:hAnsi="ITC Avant Garde"/>
          <w:sz w:val="16"/>
          <w:szCs w:val="16"/>
        </w:rPr>
      </w:pPr>
      <w:r w:rsidRPr="00D20FDE">
        <w:rPr>
          <w:rFonts w:ascii="ITC Avant Garde" w:hAnsi="ITC Avant Garde" w:cs="Tahoma"/>
          <w:b/>
          <w:bCs/>
          <w:color w:val="000000"/>
          <w:sz w:val="16"/>
          <w:szCs w:val="16"/>
          <w:lang w:eastAsia="es-MX"/>
        </w:rPr>
        <w:t>Sonia Alejandra Celada Ramírez</w:t>
      </w:r>
      <w:r w:rsidRPr="00D20FDE">
        <w:rPr>
          <w:rFonts w:ascii="ITC Avant Garde" w:hAnsi="ITC Avant Garde" w:cs="Tahoma"/>
          <w:bCs/>
          <w:color w:val="000000"/>
          <w:sz w:val="16"/>
          <w:szCs w:val="16"/>
          <w:lang w:eastAsia="es-MX"/>
        </w:rPr>
        <w:t xml:space="preserve">, Secretaria Particular del Comisionado Presidente del IFT.- Mismo fin. </w:t>
      </w:r>
    </w:p>
    <w:p w14:paraId="2BF21BA0" w14:textId="77777777" w:rsidR="00891ABF" w:rsidRPr="003B5A99" w:rsidRDefault="00891ABF" w:rsidP="00891ABF">
      <w:pPr>
        <w:pStyle w:val="Default"/>
        <w:jc w:val="both"/>
        <w:rPr>
          <w:rFonts w:ascii="ITC Avant Garde" w:hAnsi="ITC Avant Garde"/>
          <w:sz w:val="18"/>
        </w:rPr>
      </w:pPr>
    </w:p>
    <w:p w14:paraId="6F35A7C7" w14:textId="77777777" w:rsidR="00C215D5" w:rsidRPr="00891ABF" w:rsidRDefault="00C215D5" w:rsidP="00891ABF"/>
    <w:sectPr w:rsidR="00C215D5" w:rsidRPr="00891ABF" w:rsidSect="00072BC8">
      <w:headerReference w:type="even" r:id="rId8"/>
      <w:headerReference w:type="default" r:id="rId9"/>
      <w:footerReference w:type="default" r:id="rId10"/>
      <w:headerReference w:type="first" r:id="rId11"/>
      <w:pgSz w:w="12240" w:h="15840"/>
      <w:pgMar w:top="2268" w:right="1418" w:bottom="198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EB4797" w14:textId="77777777" w:rsidR="00B93C0F" w:rsidRDefault="00B93C0F" w:rsidP="0097541A">
      <w:pPr>
        <w:spacing w:after="0" w:line="240" w:lineRule="auto"/>
      </w:pPr>
      <w:r>
        <w:separator/>
      </w:r>
    </w:p>
  </w:endnote>
  <w:endnote w:type="continuationSeparator" w:id="0">
    <w:p w14:paraId="70804D01" w14:textId="77777777" w:rsidR="00B93C0F" w:rsidRDefault="00B93C0F" w:rsidP="00975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TC Avant Garde">
    <w:altName w:val="Century Gothic"/>
    <w:charset w:val="00"/>
    <w:family w:val="swiss"/>
    <w:pitch w:val="variable"/>
    <w:sig w:usb0="00000001"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0556131"/>
      <w:docPartObj>
        <w:docPartGallery w:val="Page Numbers (Bottom of Page)"/>
        <w:docPartUnique/>
      </w:docPartObj>
    </w:sdtPr>
    <w:sdtEndPr/>
    <w:sdtContent>
      <w:sdt>
        <w:sdtPr>
          <w:id w:val="-1769616900"/>
          <w:docPartObj>
            <w:docPartGallery w:val="Page Numbers (Top of Page)"/>
            <w:docPartUnique/>
          </w:docPartObj>
        </w:sdtPr>
        <w:sdtEndPr/>
        <w:sdtContent>
          <w:p w14:paraId="68E0F147" w14:textId="77777777" w:rsidR="006F4785" w:rsidRDefault="00810C27">
            <w:pPr>
              <w:pStyle w:val="Piedepgina"/>
              <w:jc w:val="right"/>
            </w:pPr>
            <w:r w:rsidRPr="006F4785">
              <w:rPr>
                <w:rFonts w:ascii="ITC Avant Garde" w:hAnsi="ITC Avant Garde"/>
                <w:sz w:val="16"/>
                <w:szCs w:val="16"/>
                <w:lang w:val="es-ES"/>
              </w:rPr>
              <w:t xml:space="preserve">Página </w:t>
            </w:r>
            <w:r w:rsidRPr="006F4785">
              <w:rPr>
                <w:rFonts w:ascii="ITC Avant Garde" w:hAnsi="ITC Avant Garde"/>
                <w:b/>
                <w:bCs/>
                <w:sz w:val="16"/>
                <w:szCs w:val="16"/>
              </w:rPr>
              <w:fldChar w:fldCharType="begin"/>
            </w:r>
            <w:r w:rsidRPr="006F4785">
              <w:rPr>
                <w:rFonts w:ascii="ITC Avant Garde" w:hAnsi="ITC Avant Garde"/>
                <w:b/>
                <w:bCs/>
                <w:sz w:val="16"/>
                <w:szCs w:val="16"/>
              </w:rPr>
              <w:instrText>PAGE</w:instrText>
            </w:r>
            <w:r w:rsidRPr="006F4785">
              <w:rPr>
                <w:rFonts w:ascii="ITC Avant Garde" w:hAnsi="ITC Avant Garde"/>
                <w:b/>
                <w:bCs/>
                <w:sz w:val="16"/>
                <w:szCs w:val="16"/>
              </w:rPr>
              <w:fldChar w:fldCharType="separate"/>
            </w:r>
            <w:r w:rsidR="0047397E">
              <w:rPr>
                <w:rFonts w:ascii="ITC Avant Garde" w:hAnsi="ITC Avant Garde"/>
                <w:b/>
                <w:bCs/>
                <w:noProof/>
                <w:sz w:val="16"/>
                <w:szCs w:val="16"/>
              </w:rPr>
              <w:t>2</w:t>
            </w:r>
            <w:r w:rsidRPr="006F4785">
              <w:rPr>
                <w:rFonts w:ascii="ITC Avant Garde" w:hAnsi="ITC Avant Garde"/>
                <w:b/>
                <w:bCs/>
                <w:sz w:val="16"/>
                <w:szCs w:val="16"/>
              </w:rPr>
              <w:fldChar w:fldCharType="end"/>
            </w:r>
            <w:r w:rsidRPr="006F4785">
              <w:rPr>
                <w:rFonts w:ascii="ITC Avant Garde" w:hAnsi="ITC Avant Garde"/>
                <w:sz w:val="16"/>
                <w:szCs w:val="16"/>
                <w:lang w:val="es-ES"/>
              </w:rPr>
              <w:t xml:space="preserve"> de </w:t>
            </w:r>
            <w:r w:rsidRPr="006F4785">
              <w:rPr>
                <w:rFonts w:ascii="ITC Avant Garde" w:hAnsi="ITC Avant Garde"/>
                <w:b/>
                <w:bCs/>
                <w:sz w:val="16"/>
                <w:szCs w:val="16"/>
              </w:rPr>
              <w:fldChar w:fldCharType="begin"/>
            </w:r>
            <w:r w:rsidRPr="006F4785">
              <w:rPr>
                <w:rFonts w:ascii="ITC Avant Garde" w:hAnsi="ITC Avant Garde"/>
                <w:b/>
                <w:bCs/>
                <w:sz w:val="16"/>
                <w:szCs w:val="16"/>
              </w:rPr>
              <w:instrText>NUMPAGES</w:instrText>
            </w:r>
            <w:r w:rsidRPr="006F4785">
              <w:rPr>
                <w:rFonts w:ascii="ITC Avant Garde" w:hAnsi="ITC Avant Garde"/>
                <w:b/>
                <w:bCs/>
                <w:sz w:val="16"/>
                <w:szCs w:val="16"/>
              </w:rPr>
              <w:fldChar w:fldCharType="separate"/>
            </w:r>
            <w:r w:rsidR="0047397E">
              <w:rPr>
                <w:rFonts w:ascii="ITC Avant Garde" w:hAnsi="ITC Avant Garde"/>
                <w:b/>
                <w:bCs/>
                <w:noProof/>
                <w:sz w:val="16"/>
                <w:szCs w:val="16"/>
              </w:rPr>
              <w:t>2</w:t>
            </w:r>
            <w:r w:rsidRPr="006F4785">
              <w:rPr>
                <w:rFonts w:ascii="ITC Avant Garde" w:hAnsi="ITC Avant Garde"/>
                <w:b/>
                <w:bCs/>
                <w:sz w:val="16"/>
                <w:szCs w:val="16"/>
              </w:rPr>
              <w:fldChar w:fldCharType="end"/>
            </w:r>
          </w:p>
        </w:sdtContent>
      </w:sdt>
    </w:sdtContent>
  </w:sdt>
  <w:p w14:paraId="18951832" w14:textId="77777777" w:rsidR="006F4785" w:rsidRDefault="00B93C0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D50ADE" w14:textId="77777777" w:rsidR="00B93C0F" w:rsidRDefault="00B93C0F" w:rsidP="0097541A">
      <w:pPr>
        <w:spacing w:after="0" w:line="240" w:lineRule="auto"/>
      </w:pPr>
      <w:r>
        <w:separator/>
      </w:r>
    </w:p>
  </w:footnote>
  <w:footnote w:type="continuationSeparator" w:id="0">
    <w:p w14:paraId="54BB8D65" w14:textId="77777777" w:rsidR="00B93C0F" w:rsidRDefault="00B93C0F" w:rsidP="009754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1515D" w14:textId="77777777" w:rsidR="008832A2" w:rsidRDefault="00B93C0F">
    <w:pPr>
      <w:pStyle w:val="Encabezado"/>
    </w:pPr>
    <w:r>
      <w:rPr>
        <w:noProof/>
        <w:lang w:eastAsia="es-MX"/>
      </w:rPr>
      <w:pict w14:anchorId="1F8F13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77122"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Edif2-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A13DE" w14:textId="77777777" w:rsidR="008832A2" w:rsidRDefault="00B93C0F">
    <w:pPr>
      <w:pStyle w:val="Encabezado"/>
    </w:pPr>
    <w:r>
      <w:rPr>
        <w:noProof/>
        <w:lang w:eastAsia="es-MX"/>
      </w:rPr>
      <w:pict w14:anchorId="4EDA8E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77123" o:spid="_x0000_s2051" type="#_x0000_t75" style="position:absolute;margin-left:-70.9pt;margin-top:-114.5pt;width:612pt;height:11in;z-index:-251655168;mso-position-horizontal-relative:margin;mso-position-vertical-relative:margin" o:allowincell="f">
          <v:imagedata r:id="rId1" o:title="hoja membretada Edif2-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A5E48" w14:textId="77777777" w:rsidR="008832A2" w:rsidRDefault="00B93C0F">
    <w:pPr>
      <w:pStyle w:val="Encabezado"/>
    </w:pPr>
    <w:r>
      <w:rPr>
        <w:noProof/>
        <w:lang w:eastAsia="es-MX"/>
      </w:rPr>
      <w:pict w14:anchorId="31874D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77121"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Edif2-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6410"/>
    <w:multiLevelType w:val="hybridMultilevel"/>
    <w:tmpl w:val="C58AEF50"/>
    <w:lvl w:ilvl="0" w:tplc="27F8E2A8">
      <w:numFmt w:val="bullet"/>
      <w:lvlText w:val="-"/>
      <w:lvlJc w:val="left"/>
      <w:pPr>
        <w:ind w:left="720" w:hanging="360"/>
      </w:pPr>
      <w:rPr>
        <w:rFonts w:ascii="ITC Avant Garde" w:eastAsia="Calibri" w:hAnsi="ITC Avant Gard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5033B0"/>
    <w:multiLevelType w:val="hybridMultilevel"/>
    <w:tmpl w:val="5946698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CC1AA4"/>
    <w:multiLevelType w:val="hybridMultilevel"/>
    <w:tmpl w:val="17E40A2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7997F8E"/>
    <w:multiLevelType w:val="hybridMultilevel"/>
    <w:tmpl w:val="C92044C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67368C"/>
    <w:multiLevelType w:val="hybridMultilevel"/>
    <w:tmpl w:val="B6DA7E3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F647A6A"/>
    <w:multiLevelType w:val="hybridMultilevel"/>
    <w:tmpl w:val="58264198"/>
    <w:lvl w:ilvl="0" w:tplc="176CF04C">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F780570"/>
    <w:multiLevelType w:val="hybridMultilevel"/>
    <w:tmpl w:val="4E4631EC"/>
    <w:lvl w:ilvl="0" w:tplc="9920DFA8">
      <w:start w:val="1"/>
      <w:numFmt w:val="decimal"/>
      <w:lvlText w:val="%1."/>
      <w:lvlJc w:val="left"/>
      <w:pPr>
        <w:ind w:left="360" w:hanging="360"/>
      </w:pPr>
      <w:rPr>
        <w:rFonts w:hint="default"/>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21BD0E71"/>
    <w:multiLevelType w:val="hybridMultilevel"/>
    <w:tmpl w:val="9C12C7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432371"/>
    <w:multiLevelType w:val="hybridMultilevel"/>
    <w:tmpl w:val="BB2619BA"/>
    <w:lvl w:ilvl="0" w:tplc="A726DE32">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77605D8"/>
    <w:multiLevelType w:val="hybridMultilevel"/>
    <w:tmpl w:val="0BF6161E"/>
    <w:lvl w:ilvl="0" w:tplc="43209C9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FB1348D"/>
    <w:multiLevelType w:val="hybridMultilevel"/>
    <w:tmpl w:val="A2AE9B84"/>
    <w:lvl w:ilvl="0" w:tplc="A726DE3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08C737C"/>
    <w:multiLevelType w:val="hybridMultilevel"/>
    <w:tmpl w:val="49E42964"/>
    <w:lvl w:ilvl="0" w:tplc="080A0011">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50300F04"/>
    <w:multiLevelType w:val="hybridMultilevel"/>
    <w:tmpl w:val="00809D2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66DB1EE3"/>
    <w:multiLevelType w:val="hybridMultilevel"/>
    <w:tmpl w:val="D562C34A"/>
    <w:lvl w:ilvl="0" w:tplc="E87679EE">
      <w:start w:val="1"/>
      <w:numFmt w:val="decimal"/>
      <w:lvlText w:val="%1."/>
      <w:lvlJc w:val="left"/>
      <w:pPr>
        <w:ind w:left="360" w:hanging="360"/>
      </w:pPr>
      <w:rPr>
        <w:rFonts w:hint="default"/>
        <w:i w:val="0"/>
      </w:rPr>
    </w:lvl>
    <w:lvl w:ilvl="1" w:tplc="080A0019">
      <w:start w:val="1"/>
      <w:numFmt w:val="lowerLetter"/>
      <w:lvlText w:val="%2."/>
      <w:lvlJc w:val="left"/>
      <w:pPr>
        <w:ind w:left="1080" w:hanging="360"/>
      </w:pPr>
    </w:lvl>
    <w:lvl w:ilvl="2" w:tplc="F8E03F0A">
      <w:start w:val="1"/>
      <w:numFmt w:val="lowerRoman"/>
      <w:lvlText w:val="%3."/>
      <w:lvlJc w:val="right"/>
      <w:pPr>
        <w:ind w:left="1418" w:hanging="171"/>
      </w:pPr>
      <w:rPr>
        <w:rFonts w:hint="default"/>
      </w:r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6DD724F2"/>
    <w:multiLevelType w:val="hybridMultilevel"/>
    <w:tmpl w:val="7278E832"/>
    <w:lvl w:ilvl="0" w:tplc="4704C762">
      <w:start w:val="7"/>
      <w:numFmt w:val="bullet"/>
      <w:lvlText w:val="-"/>
      <w:lvlJc w:val="left"/>
      <w:pPr>
        <w:ind w:left="1068" w:hanging="360"/>
      </w:pPr>
      <w:rPr>
        <w:rFonts w:ascii="ITC Avant Garde" w:eastAsia="Calibri" w:hAnsi="ITC Avant Garde" w:cs="Tahoma"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num w:numId="1">
    <w:abstractNumId w:val="5"/>
  </w:num>
  <w:num w:numId="2">
    <w:abstractNumId w:val="11"/>
  </w:num>
  <w:num w:numId="3">
    <w:abstractNumId w:val="4"/>
  </w:num>
  <w:num w:numId="4">
    <w:abstractNumId w:val="3"/>
  </w:num>
  <w:num w:numId="5">
    <w:abstractNumId w:val="7"/>
  </w:num>
  <w:num w:numId="6">
    <w:abstractNumId w:val="2"/>
  </w:num>
  <w:num w:numId="7">
    <w:abstractNumId w:val="12"/>
  </w:num>
  <w:num w:numId="8">
    <w:abstractNumId w:val="10"/>
  </w:num>
  <w:num w:numId="9">
    <w:abstractNumId w:val="8"/>
  </w:num>
  <w:num w:numId="10">
    <w:abstractNumId w:val="14"/>
  </w:num>
  <w:num w:numId="11">
    <w:abstractNumId w:val="9"/>
  </w:num>
  <w:num w:numId="12">
    <w:abstractNumId w:val="1"/>
  </w:num>
  <w:num w:numId="13">
    <w:abstractNumId w:val="13"/>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41A"/>
    <w:rsid w:val="00094853"/>
    <w:rsid w:val="000A606E"/>
    <w:rsid w:val="0022204B"/>
    <w:rsid w:val="00234287"/>
    <w:rsid w:val="00255D67"/>
    <w:rsid w:val="0026266B"/>
    <w:rsid w:val="002F3895"/>
    <w:rsid w:val="003513A2"/>
    <w:rsid w:val="00376994"/>
    <w:rsid w:val="003C19F1"/>
    <w:rsid w:val="003F7B62"/>
    <w:rsid w:val="0047139F"/>
    <w:rsid w:val="0047397E"/>
    <w:rsid w:val="004C49BA"/>
    <w:rsid w:val="00595556"/>
    <w:rsid w:val="0064404A"/>
    <w:rsid w:val="00706D6D"/>
    <w:rsid w:val="00710C29"/>
    <w:rsid w:val="007221CB"/>
    <w:rsid w:val="00746C1C"/>
    <w:rsid w:val="00750887"/>
    <w:rsid w:val="007578CD"/>
    <w:rsid w:val="007D47F8"/>
    <w:rsid w:val="00810C27"/>
    <w:rsid w:val="00820A72"/>
    <w:rsid w:val="008262D6"/>
    <w:rsid w:val="008351DB"/>
    <w:rsid w:val="00891ABF"/>
    <w:rsid w:val="008B1D44"/>
    <w:rsid w:val="00945B4E"/>
    <w:rsid w:val="0097541A"/>
    <w:rsid w:val="009E489F"/>
    <w:rsid w:val="009F490C"/>
    <w:rsid w:val="00A025D2"/>
    <w:rsid w:val="00A17232"/>
    <w:rsid w:val="00A306CF"/>
    <w:rsid w:val="00AB72C9"/>
    <w:rsid w:val="00AC3BBC"/>
    <w:rsid w:val="00AC548E"/>
    <w:rsid w:val="00B06B2B"/>
    <w:rsid w:val="00B93AC1"/>
    <w:rsid w:val="00B93C0F"/>
    <w:rsid w:val="00BA50ED"/>
    <w:rsid w:val="00BE60F4"/>
    <w:rsid w:val="00BF01D2"/>
    <w:rsid w:val="00C215D5"/>
    <w:rsid w:val="00C843E9"/>
    <w:rsid w:val="00C847B9"/>
    <w:rsid w:val="00DA439C"/>
    <w:rsid w:val="00DC3AAB"/>
    <w:rsid w:val="00DD34D2"/>
    <w:rsid w:val="00E209C2"/>
    <w:rsid w:val="00E277F3"/>
    <w:rsid w:val="00E8114D"/>
    <w:rsid w:val="00F61F6C"/>
    <w:rsid w:val="00F628E7"/>
    <w:rsid w:val="00F81D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11E501"/>
  <w15:chartTrackingRefBased/>
  <w15:docId w15:val="{C7AAEFC9-2857-43E6-96BB-DBADE6EC1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41A"/>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54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541A"/>
    <w:rPr>
      <w:rFonts w:ascii="Calibri" w:eastAsia="Calibri" w:hAnsi="Calibri" w:cs="Times New Roman"/>
    </w:rPr>
  </w:style>
  <w:style w:type="paragraph" w:styleId="Piedepgina">
    <w:name w:val="footer"/>
    <w:basedOn w:val="Normal"/>
    <w:link w:val="PiedepginaCar"/>
    <w:uiPriority w:val="99"/>
    <w:unhideWhenUsed/>
    <w:rsid w:val="009754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541A"/>
    <w:rPr>
      <w:rFonts w:ascii="Calibri" w:eastAsia="Calibri" w:hAnsi="Calibri" w:cs="Times New Roman"/>
    </w:rPr>
  </w:style>
  <w:style w:type="paragraph" w:customStyle="1" w:styleId="estilo30">
    <w:name w:val="estilo30"/>
    <w:basedOn w:val="Normal"/>
    <w:rsid w:val="0097541A"/>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7541A"/>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Textoindependiente">
    <w:name w:val="Body Text"/>
    <w:basedOn w:val="Normal"/>
    <w:link w:val="TextoindependienteCar"/>
    <w:uiPriority w:val="99"/>
    <w:semiHidden/>
    <w:unhideWhenUsed/>
    <w:rsid w:val="0097541A"/>
    <w:pPr>
      <w:spacing w:after="120" w:line="240" w:lineRule="auto"/>
    </w:pPr>
    <w:rPr>
      <w:rFonts w:ascii="Times New Roman" w:eastAsia="Times New Roman" w:hAnsi="Times New Roman"/>
      <w:sz w:val="24"/>
      <w:szCs w:val="24"/>
      <w:lang w:eastAsia="es-ES"/>
    </w:rPr>
  </w:style>
  <w:style w:type="character" w:customStyle="1" w:styleId="TextoindependienteCar">
    <w:name w:val="Texto independiente Car"/>
    <w:basedOn w:val="Fuentedeprrafopredeter"/>
    <w:link w:val="Textoindependiente"/>
    <w:uiPriority w:val="99"/>
    <w:semiHidden/>
    <w:rsid w:val="0097541A"/>
    <w:rPr>
      <w:rFonts w:ascii="Times New Roman" w:eastAsia="Times New Roman" w:hAnsi="Times New Roman" w:cs="Times New Roman"/>
      <w:sz w:val="24"/>
      <w:szCs w:val="24"/>
      <w:lang w:eastAsia="es-ES"/>
    </w:rPr>
  </w:style>
  <w:style w:type="table" w:styleId="Tablaconcuadrcula">
    <w:name w:val="Table Grid"/>
    <w:basedOn w:val="Tablanormal"/>
    <w:uiPriority w:val="39"/>
    <w:rsid w:val="0097541A"/>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97541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7541A"/>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97541A"/>
    <w:rPr>
      <w:vertAlign w:val="superscript"/>
    </w:rPr>
  </w:style>
  <w:style w:type="paragraph" w:styleId="Prrafodelista">
    <w:name w:val="List Paragraph"/>
    <w:basedOn w:val="Normal"/>
    <w:uiPriority w:val="34"/>
    <w:qFormat/>
    <w:rsid w:val="003C19F1"/>
    <w:pPr>
      <w:ind w:left="720"/>
      <w:contextualSpacing/>
    </w:pPr>
  </w:style>
  <w:style w:type="table" w:customStyle="1" w:styleId="Tablaconcuadrcula1">
    <w:name w:val="Tabla con cuadrícula1"/>
    <w:basedOn w:val="Tablanormal"/>
    <w:next w:val="Tablaconcuadrcula"/>
    <w:uiPriority w:val="39"/>
    <w:rsid w:val="000A6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404A"/>
    <w:rPr>
      <w:sz w:val="16"/>
      <w:szCs w:val="16"/>
    </w:rPr>
  </w:style>
  <w:style w:type="paragraph" w:styleId="Textocomentario">
    <w:name w:val="annotation text"/>
    <w:basedOn w:val="Normal"/>
    <w:link w:val="TextocomentarioCar"/>
    <w:uiPriority w:val="99"/>
    <w:semiHidden/>
    <w:unhideWhenUsed/>
    <w:rsid w:val="0064404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404A"/>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4404A"/>
    <w:rPr>
      <w:b/>
      <w:bCs/>
    </w:rPr>
  </w:style>
  <w:style w:type="character" w:customStyle="1" w:styleId="AsuntodelcomentarioCar">
    <w:name w:val="Asunto del comentario Car"/>
    <w:basedOn w:val="TextocomentarioCar"/>
    <w:link w:val="Asuntodelcomentario"/>
    <w:uiPriority w:val="99"/>
    <w:semiHidden/>
    <w:rsid w:val="0064404A"/>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64404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404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C4AFE-9E62-4B97-AAA0-8F17B4472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3459</Characters>
  <Application>Microsoft Office Word</Application>
  <DocSecurity>0</DocSecurity>
  <Lines>75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Altamirano Pacheco</dc:creator>
  <cp:keywords/>
  <dc:description/>
  <cp:lastModifiedBy>Mirian Amaro Lopez</cp:lastModifiedBy>
  <cp:revision>2</cp:revision>
  <cp:lastPrinted>2016-02-26T22:33:00Z</cp:lastPrinted>
  <dcterms:created xsi:type="dcterms:W3CDTF">2016-03-09T16:30:00Z</dcterms:created>
  <dcterms:modified xsi:type="dcterms:W3CDTF">2016-03-09T16:30:00Z</dcterms:modified>
</cp:coreProperties>
</file>