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884" w:rsidRPr="00483884" w:rsidRDefault="00483884" w:rsidP="00483884">
      <w:pPr>
        <w:pStyle w:val="Ttulo1"/>
        <w:jc w:val="center"/>
        <w:rPr>
          <w:rFonts w:asciiTheme="minorHAnsi" w:hAnsiTheme="minorHAnsi" w:cstheme="minorHAnsi"/>
          <w:b w:val="0"/>
        </w:rPr>
      </w:pPr>
      <w:r w:rsidRPr="00483884">
        <w:rPr>
          <w:rFonts w:asciiTheme="minorHAnsi" w:hAnsiTheme="minorHAnsi" w:cstheme="minorHAnsi"/>
          <w:color w:val="auto"/>
        </w:rPr>
        <w:t>ANEXO VII</w:t>
      </w:r>
      <w:r w:rsidR="00185C89">
        <w:rPr>
          <w:rFonts w:asciiTheme="minorHAnsi" w:hAnsiTheme="minorHAnsi" w:cstheme="minorHAnsi"/>
          <w:color w:val="auto"/>
        </w:rPr>
        <w:t>I</w:t>
      </w:r>
      <w:r w:rsidR="00555F25">
        <w:rPr>
          <w:rFonts w:asciiTheme="minorHAnsi" w:hAnsiTheme="minorHAnsi" w:cstheme="minorHAnsi"/>
          <w:color w:val="auto"/>
        </w:rPr>
        <w:t xml:space="preserve"> -</w:t>
      </w:r>
      <w:r w:rsidRPr="00483884">
        <w:rPr>
          <w:rFonts w:asciiTheme="minorHAnsi" w:hAnsiTheme="minorHAnsi" w:cstheme="minorHAnsi"/>
          <w:color w:val="auto"/>
        </w:rPr>
        <w:t xml:space="preserve"> Telefonía Fija</w:t>
      </w:r>
    </w:p>
    <w:p w:rsidR="00483884" w:rsidRPr="00483884" w:rsidRDefault="00483884" w:rsidP="0048388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83884" w:rsidRDefault="00483884" w:rsidP="00483884">
      <w:pPr>
        <w:pStyle w:val="Ttulo2"/>
        <w:rPr>
          <w:rFonts w:asciiTheme="minorHAnsi" w:hAnsiTheme="minorHAnsi" w:cstheme="minorHAnsi"/>
          <w:color w:val="auto"/>
        </w:rPr>
      </w:pPr>
      <w:r w:rsidRPr="00483884">
        <w:rPr>
          <w:rFonts w:asciiTheme="minorHAnsi" w:hAnsiTheme="minorHAnsi" w:cstheme="minorHAnsi"/>
          <w:color w:val="auto"/>
        </w:rPr>
        <w:t>Núcleo: Infraestructura Activa</w:t>
      </w:r>
      <w:bookmarkStart w:id="0" w:name="_GoBack"/>
      <w:bookmarkEnd w:id="0"/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6442"/>
        <w:gridCol w:w="1296"/>
      </w:tblGrid>
      <w:tr w:rsidR="00006D5C" w:rsidRPr="000278A7" w:rsidTr="008E317A">
        <w:trPr>
          <w:trHeight w:val="42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0278A7" w:rsidRDefault="00006D5C" w:rsidP="008E317A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ES_tradnl"/>
              </w:rPr>
            </w:pPr>
            <w:r w:rsidRPr="000278A7">
              <w:rPr>
                <w:rFonts w:ascii="Calibri" w:eastAsia="Times New Roman" w:hAnsi="Calibri"/>
                <w:b/>
                <w:bCs/>
                <w:sz w:val="18"/>
                <w:szCs w:val="18"/>
                <w:lang w:eastAsia="es-ES_tradnl"/>
              </w:rPr>
              <w:t>Central telefónica</w:t>
            </w:r>
          </w:p>
        </w:tc>
      </w:tr>
      <w:tr w:rsidR="00006D5C" w:rsidRPr="000278A7" w:rsidTr="008E317A">
        <w:trPr>
          <w:trHeight w:val="315"/>
        </w:trPr>
        <w:tc>
          <w:tcPr>
            <w:tcW w:w="6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0278A7" w:rsidRDefault="00006D5C" w:rsidP="008E317A">
            <w:pPr>
              <w:spacing w:line="240" w:lineRule="auto"/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</w:pPr>
            <w:r w:rsidRPr="000278A7"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  <w:t>Indicador</w:t>
            </w:r>
          </w:p>
        </w:tc>
        <w:tc>
          <w:tcPr>
            <w:tcW w:w="36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0278A7" w:rsidRDefault="00006D5C" w:rsidP="008E317A">
            <w:pPr>
              <w:spacing w:line="240" w:lineRule="auto"/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</w:pPr>
            <w:r w:rsidRPr="000278A7"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  <w:t>Descripción / Fórmula de cálculo</w:t>
            </w:r>
          </w:p>
        </w:tc>
        <w:tc>
          <w:tcPr>
            <w:tcW w:w="7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0278A7" w:rsidRDefault="00006D5C" w:rsidP="008E317A">
            <w:pPr>
              <w:spacing w:line="240" w:lineRule="auto"/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</w:pPr>
            <w:r w:rsidRPr="000278A7"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  <w:t xml:space="preserve">Unidades de medición </w:t>
            </w:r>
          </w:p>
        </w:tc>
      </w:tr>
      <w:tr w:rsidR="00006D5C" w:rsidRPr="000278A7" w:rsidTr="008E317A">
        <w:trPr>
          <w:trHeight w:val="375"/>
        </w:trPr>
        <w:tc>
          <w:tcPr>
            <w:tcW w:w="5000" w:type="pct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0278A7" w:rsidRDefault="00006D5C" w:rsidP="008E317A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0278A7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Incluir del catálogo "campos generales", las siguientes hojas: identificador SNII, domicilio, relación, geo-referenciación</w:t>
            </w:r>
          </w:p>
        </w:tc>
      </w:tr>
      <w:tr w:rsidR="00006D5C" w:rsidRPr="000278A7" w:rsidTr="008E317A">
        <w:trPr>
          <w:trHeight w:val="1062"/>
        </w:trPr>
        <w:tc>
          <w:tcPr>
            <w:tcW w:w="6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0278A7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0278A7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Tipo de Central Telefónica</w:t>
            </w:r>
          </w:p>
        </w:tc>
        <w:tc>
          <w:tcPr>
            <w:tcW w:w="36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0278A7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0278A7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Tipo de central clasificada según el tipo de llamada realizada por los usuarios, por ejemplo: CCA - Central con Capacidad de Usuario, CCE - Central con Capacidad de Enlace, CTU - Central de Tránsito Urbano, CTI - Central de Tránsito Internacional, CI - Central Internacional, CM - Central Mundial.</w:t>
            </w:r>
          </w:p>
        </w:tc>
        <w:tc>
          <w:tcPr>
            <w:tcW w:w="7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0278A7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0278A7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06D5C" w:rsidRPr="000278A7" w:rsidTr="008E317A">
        <w:trPr>
          <w:trHeight w:val="480"/>
        </w:trPr>
        <w:tc>
          <w:tcPr>
            <w:tcW w:w="6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0278A7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0278A7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Marca</w:t>
            </w:r>
          </w:p>
        </w:tc>
        <w:tc>
          <w:tcPr>
            <w:tcW w:w="36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0278A7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0278A7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Marca de la central de conmutación.</w:t>
            </w:r>
          </w:p>
        </w:tc>
        <w:tc>
          <w:tcPr>
            <w:tcW w:w="7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0278A7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0278A7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06D5C" w:rsidRPr="000278A7" w:rsidTr="008E317A">
        <w:trPr>
          <w:trHeight w:val="405"/>
        </w:trPr>
        <w:tc>
          <w:tcPr>
            <w:tcW w:w="6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0278A7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0278A7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Modelo</w:t>
            </w:r>
          </w:p>
        </w:tc>
        <w:tc>
          <w:tcPr>
            <w:tcW w:w="36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0278A7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0278A7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Modelo de la centrales de conmutación.</w:t>
            </w:r>
          </w:p>
        </w:tc>
        <w:tc>
          <w:tcPr>
            <w:tcW w:w="7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0278A7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0278A7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06D5C" w:rsidRPr="000278A7" w:rsidTr="008E317A">
        <w:trPr>
          <w:trHeight w:val="420"/>
        </w:trPr>
        <w:tc>
          <w:tcPr>
            <w:tcW w:w="6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0278A7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0278A7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Capacidad</w:t>
            </w:r>
          </w:p>
        </w:tc>
        <w:tc>
          <w:tcPr>
            <w:tcW w:w="36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0278A7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0278A7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Capacidad de la central de conmutación.</w:t>
            </w:r>
          </w:p>
        </w:tc>
        <w:tc>
          <w:tcPr>
            <w:tcW w:w="7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0278A7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0278A7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Erlang [E]</w:t>
            </w:r>
          </w:p>
        </w:tc>
      </w:tr>
    </w:tbl>
    <w:p w:rsidR="00006D5C" w:rsidRPr="000278A7" w:rsidRDefault="00006D5C" w:rsidP="00006D5C"/>
    <w:p w:rsidR="00483884" w:rsidRPr="00483884" w:rsidRDefault="00483884" w:rsidP="00483884">
      <w:pPr>
        <w:pStyle w:val="Ttulo2"/>
        <w:rPr>
          <w:rFonts w:asciiTheme="minorHAnsi" w:hAnsiTheme="minorHAnsi" w:cstheme="minorHAnsi"/>
          <w:b w:val="0"/>
          <w:color w:val="auto"/>
        </w:rPr>
      </w:pPr>
      <w:r w:rsidRPr="00483884">
        <w:rPr>
          <w:rFonts w:asciiTheme="minorHAnsi" w:hAnsiTheme="minorHAnsi" w:cstheme="minorHAnsi"/>
          <w:color w:val="auto"/>
        </w:rPr>
        <w:t>Acceso: Infraestructura Activa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4598"/>
        <w:gridCol w:w="1805"/>
      </w:tblGrid>
      <w:tr w:rsidR="00006D5C" w:rsidRPr="00F16661" w:rsidTr="008E317A">
        <w:trPr>
          <w:trHeight w:val="40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b/>
                <w:bCs/>
                <w:sz w:val="18"/>
                <w:szCs w:val="18"/>
                <w:lang w:eastAsia="es-ES_tradnl"/>
              </w:rPr>
              <w:t>Nodo Primario HFC</w:t>
            </w:r>
          </w:p>
        </w:tc>
      </w:tr>
      <w:tr w:rsidR="00006D5C" w:rsidRPr="00F16661" w:rsidTr="008E317A">
        <w:trPr>
          <w:trHeight w:val="315"/>
        </w:trPr>
        <w:tc>
          <w:tcPr>
            <w:tcW w:w="14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  <w:t>Indicador</w:t>
            </w:r>
          </w:p>
        </w:tc>
        <w:tc>
          <w:tcPr>
            <w:tcW w:w="2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  <w:t>Descripción / Fórmula de cálculo</w:t>
            </w:r>
          </w:p>
        </w:tc>
        <w:tc>
          <w:tcPr>
            <w:tcW w:w="10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  <w:t xml:space="preserve">Unidades de medición </w:t>
            </w:r>
          </w:p>
        </w:tc>
      </w:tr>
      <w:tr w:rsidR="00006D5C" w:rsidRPr="00F16661" w:rsidTr="008E317A">
        <w:trPr>
          <w:trHeight w:val="630"/>
        </w:trPr>
        <w:tc>
          <w:tcPr>
            <w:tcW w:w="5000" w:type="pct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Incluir del catálogo "campos generales", las siguientes hojas: identificador SNII, propiedad, domicilio, relación, geo-referenciación, ubicación en gabinete</w:t>
            </w:r>
          </w:p>
        </w:tc>
      </w:tr>
      <w:tr w:rsidR="00006D5C" w:rsidRPr="00F16661" w:rsidTr="008E317A">
        <w:trPr>
          <w:trHeight w:val="225"/>
        </w:trPr>
        <w:tc>
          <w:tcPr>
            <w:tcW w:w="14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Número de nodos primarios</w:t>
            </w:r>
          </w:p>
        </w:tc>
        <w:tc>
          <w:tcPr>
            <w:tcW w:w="2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Es la cantidad de nodos primarios que puede tener la Red y que alimentan a un número de Nodos Secundarios.</w:t>
            </w:r>
          </w:p>
        </w:tc>
        <w:tc>
          <w:tcPr>
            <w:tcW w:w="10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Número entero</w:t>
            </w:r>
          </w:p>
        </w:tc>
      </w:tr>
      <w:tr w:rsidR="00006D5C" w:rsidRPr="00F16661" w:rsidTr="008E317A">
        <w:trPr>
          <w:trHeight w:val="60"/>
        </w:trPr>
        <w:tc>
          <w:tcPr>
            <w:tcW w:w="14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Número de puertos de un nodo primario</w:t>
            </w:r>
          </w:p>
        </w:tc>
        <w:tc>
          <w:tcPr>
            <w:tcW w:w="2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Los nodos primarios, pueden tener varios puertos dependiendo de sus requerimientos.</w:t>
            </w:r>
          </w:p>
        </w:tc>
        <w:tc>
          <w:tcPr>
            <w:tcW w:w="10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Número entero</w:t>
            </w:r>
          </w:p>
        </w:tc>
      </w:tr>
      <w:tr w:rsidR="00006D5C" w:rsidRPr="00F16661" w:rsidTr="008E317A">
        <w:trPr>
          <w:trHeight w:val="30"/>
        </w:trPr>
        <w:tc>
          <w:tcPr>
            <w:tcW w:w="14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Tipo de enlace en un nodo primario</w:t>
            </w:r>
          </w:p>
        </w:tc>
        <w:tc>
          <w:tcPr>
            <w:tcW w:w="2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Los enlaces pueden ser: punto a punto o bien mediante anillos de fibra óptica, otro.</w:t>
            </w:r>
          </w:p>
        </w:tc>
        <w:tc>
          <w:tcPr>
            <w:tcW w:w="10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06D5C" w:rsidRPr="00F16661" w:rsidTr="008E317A">
        <w:trPr>
          <w:trHeight w:val="30"/>
        </w:trPr>
        <w:tc>
          <w:tcPr>
            <w:tcW w:w="14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Tipo de medio de transmisión en nodo primario</w:t>
            </w:r>
          </w:p>
        </w:tc>
        <w:tc>
          <w:tcPr>
            <w:tcW w:w="2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Es el medio físico empleado para la transmisión de datos, por ejemplo: par torcido, fibra óptica, coaxial, otro.</w:t>
            </w:r>
          </w:p>
        </w:tc>
        <w:tc>
          <w:tcPr>
            <w:tcW w:w="10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06D5C" w:rsidRPr="00F16661" w:rsidTr="008E317A">
        <w:trPr>
          <w:trHeight w:val="45"/>
        </w:trPr>
        <w:tc>
          <w:tcPr>
            <w:tcW w:w="14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Capacidad de transmisión de datos de un nodo primario</w:t>
            </w:r>
          </w:p>
        </w:tc>
        <w:tc>
          <w:tcPr>
            <w:tcW w:w="2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Es lo que soporta en nodo de acuerdo a su diseño y requerimiento en la red.</w:t>
            </w:r>
          </w:p>
        </w:tc>
        <w:tc>
          <w:tcPr>
            <w:tcW w:w="10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06D5C" w:rsidRPr="00F16661" w:rsidTr="008E317A">
        <w:trPr>
          <w:trHeight w:val="30"/>
        </w:trPr>
        <w:tc>
          <w:tcPr>
            <w:tcW w:w="14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Porcentaje de utilización de los puertos de salida de un nodo primario</w:t>
            </w:r>
          </w:p>
        </w:tc>
        <w:tc>
          <w:tcPr>
            <w:tcW w:w="2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Es el porcentaje de utilización de los puertos para transmisión de datos de un nodo primario.</w:t>
            </w:r>
          </w:p>
        </w:tc>
        <w:tc>
          <w:tcPr>
            <w:tcW w:w="10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Porcentaje [%]</w:t>
            </w:r>
          </w:p>
        </w:tc>
      </w:tr>
      <w:tr w:rsidR="00006D5C" w:rsidRPr="00F16661" w:rsidTr="008E317A">
        <w:trPr>
          <w:trHeight w:val="30"/>
        </w:trPr>
        <w:tc>
          <w:tcPr>
            <w:tcW w:w="14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Fabricante del equipo nodo primario</w:t>
            </w:r>
          </w:p>
        </w:tc>
        <w:tc>
          <w:tcPr>
            <w:tcW w:w="2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Indicar fabricante del dispositivo nodo primario.</w:t>
            </w:r>
          </w:p>
        </w:tc>
        <w:tc>
          <w:tcPr>
            <w:tcW w:w="10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06D5C" w:rsidRPr="00F16661" w:rsidTr="008E317A">
        <w:trPr>
          <w:trHeight w:val="375"/>
        </w:trPr>
        <w:tc>
          <w:tcPr>
            <w:tcW w:w="14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Versión del firmware del nodo primario</w:t>
            </w:r>
          </w:p>
        </w:tc>
        <w:tc>
          <w:tcPr>
            <w:tcW w:w="2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Versión del firmware instalado en el equipo nodo primario.</w:t>
            </w:r>
          </w:p>
        </w:tc>
        <w:tc>
          <w:tcPr>
            <w:tcW w:w="10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06D5C" w:rsidRPr="00F16661" w:rsidTr="008E317A">
        <w:trPr>
          <w:trHeight w:val="135"/>
        </w:trPr>
        <w:tc>
          <w:tcPr>
            <w:tcW w:w="14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Modelo del equipo nodo primario</w:t>
            </w:r>
          </w:p>
        </w:tc>
        <w:tc>
          <w:tcPr>
            <w:tcW w:w="2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El modelo del equipo es la descripción particular del nodo primario.</w:t>
            </w:r>
          </w:p>
        </w:tc>
        <w:tc>
          <w:tcPr>
            <w:tcW w:w="10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Alfanumérico</w:t>
            </w:r>
          </w:p>
        </w:tc>
      </w:tr>
    </w:tbl>
    <w:p w:rsidR="00006D5C" w:rsidRDefault="00006D5C" w:rsidP="00006D5C">
      <w:pPr>
        <w:rPr>
          <w:sz w:val="18"/>
          <w:szCs w:val="18"/>
        </w:rPr>
      </w:pPr>
    </w:p>
    <w:p w:rsidR="00006D5C" w:rsidRPr="00F16661" w:rsidRDefault="00006D5C" w:rsidP="00006D5C">
      <w:pPr>
        <w:rPr>
          <w:sz w:val="18"/>
          <w:szCs w:val="18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4598"/>
        <w:gridCol w:w="1805"/>
      </w:tblGrid>
      <w:tr w:rsidR="00006D5C" w:rsidRPr="00F16661" w:rsidTr="008E317A">
        <w:trPr>
          <w:trHeight w:val="55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b/>
                <w:bCs/>
                <w:sz w:val="18"/>
                <w:szCs w:val="18"/>
                <w:lang w:eastAsia="es-ES_tradnl"/>
              </w:rPr>
              <w:lastRenderedPageBreak/>
              <w:t>Nodo Secundario HFC</w:t>
            </w:r>
          </w:p>
        </w:tc>
      </w:tr>
      <w:tr w:rsidR="00006D5C" w:rsidRPr="00F16661" w:rsidTr="008E317A">
        <w:trPr>
          <w:trHeight w:val="315"/>
        </w:trPr>
        <w:tc>
          <w:tcPr>
            <w:tcW w:w="14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  <w:t>Indicador</w:t>
            </w:r>
          </w:p>
        </w:tc>
        <w:tc>
          <w:tcPr>
            <w:tcW w:w="2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  <w:t>Descripción / Fórmula de cálculo</w:t>
            </w:r>
          </w:p>
        </w:tc>
        <w:tc>
          <w:tcPr>
            <w:tcW w:w="10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  <w:t xml:space="preserve">Unidades de medición </w:t>
            </w:r>
          </w:p>
        </w:tc>
      </w:tr>
      <w:tr w:rsidR="00006D5C" w:rsidRPr="00F16661" w:rsidTr="008E317A">
        <w:trPr>
          <w:trHeight w:val="495"/>
        </w:trPr>
        <w:tc>
          <w:tcPr>
            <w:tcW w:w="5000" w:type="pct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Incluir del catálogo "campos generales", las siguientes hojas: identificador SNII, propiedad, domicilio, relación, geo-referenciación, ubicación en gabinete</w:t>
            </w:r>
          </w:p>
        </w:tc>
      </w:tr>
      <w:tr w:rsidR="00006D5C" w:rsidRPr="00F16661" w:rsidTr="008E317A">
        <w:trPr>
          <w:trHeight w:val="495"/>
        </w:trPr>
        <w:tc>
          <w:tcPr>
            <w:tcW w:w="14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Número de nodos secundarios</w:t>
            </w:r>
          </w:p>
        </w:tc>
        <w:tc>
          <w:tcPr>
            <w:tcW w:w="2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Es la cantidad de nodos secundarios que puede tener la Red y que alimentan a un número de Nodos Ópticos.</w:t>
            </w:r>
          </w:p>
        </w:tc>
        <w:tc>
          <w:tcPr>
            <w:tcW w:w="10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Número entero</w:t>
            </w:r>
          </w:p>
        </w:tc>
      </w:tr>
      <w:tr w:rsidR="00006D5C" w:rsidRPr="00F16661" w:rsidTr="008E317A">
        <w:trPr>
          <w:trHeight w:val="165"/>
        </w:trPr>
        <w:tc>
          <w:tcPr>
            <w:tcW w:w="14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Número de puertos de un nodo secundario</w:t>
            </w:r>
          </w:p>
        </w:tc>
        <w:tc>
          <w:tcPr>
            <w:tcW w:w="2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Los nodos secundarios, pueden tener varios puertos dependiendo de sus requerimientos.</w:t>
            </w:r>
          </w:p>
        </w:tc>
        <w:tc>
          <w:tcPr>
            <w:tcW w:w="10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Número entero</w:t>
            </w:r>
          </w:p>
        </w:tc>
      </w:tr>
      <w:tr w:rsidR="00006D5C" w:rsidRPr="00F16661" w:rsidTr="008E317A">
        <w:trPr>
          <w:trHeight w:val="345"/>
        </w:trPr>
        <w:tc>
          <w:tcPr>
            <w:tcW w:w="14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Tipo de enlace en un nodo secundario</w:t>
            </w:r>
          </w:p>
        </w:tc>
        <w:tc>
          <w:tcPr>
            <w:tcW w:w="2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Los enlaces pueden ser: punto a punto, anillo de fibra óptica, otro.</w:t>
            </w:r>
          </w:p>
        </w:tc>
        <w:tc>
          <w:tcPr>
            <w:tcW w:w="10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06D5C" w:rsidRPr="00F16661" w:rsidTr="008E317A">
        <w:trPr>
          <w:trHeight w:val="360"/>
        </w:trPr>
        <w:tc>
          <w:tcPr>
            <w:tcW w:w="14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Tipo de medio de transmisión en un nodo secundario</w:t>
            </w:r>
          </w:p>
        </w:tc>
        <w:tc>
          <w:tcPr>
            <w:tcW w:w="2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Es el medio físico empleado para la transmisión de datos. Por ejemplo: par torcido, fibra óptica, coaxial, otro.</w:t>
            </w:r>
          </w:p>
        </w:tc>
        <w:tc>
          <w:tcPr>
            <w:tcW w:w="10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06D5C" w:rsidRPr="00F16661" w:rsidTr="008E317A">
        <w:trPr>
          <w:trHeight w:val="90"/>
        </w:trPr>
        <w:tc>
          <w:tcPr>
            <w:tcW w:w="14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Capacidad de transmisión de datos en un nodo secundario</w:t>
            </w:r>
          </w:p>
        </w:tc>
        <w:tc>
          <w:tcPr>
            <w:tcW w:w="2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Es lo que soporta en nodo de acuerdo a su diseño y requerimiento en la red.</w:t>
            </w:r>
          </w:p>
        </w:tc>
        <w:tc>
          <w:tcPr>
            <w:tcW w:w="10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06D5C" w:rsidRPr="00F16661" w:rsidTr="008E317A">
        <w:trPr>
          <w:trHeight w:val="30"/>
        </w:trPr>
        <w:tc>
          <w:tcPr>
            <w:tcW w:w="14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Porcentaje de utilización de los puertos de Salida de un nodo secundario</w:t>
            </w:r>
          </w:p>
        </w:tc>
        <w:tc>
          <w:tcPr>
            <w:tcW w:w="2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Es la utilización de puertos, para la transmisión de datos.</w:t>
            </w:r>
          </w:p>
        </w:tc>
        <w:tc>
          <w:tcPr>
            <w:tcW w:w="10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Porcentaje [%]</w:t>
            </w:r>
          </w:p>
        </w:tc>
      </w:tr>
      <w:tr w:rsidR="00006D5C" w:rsidRPr="00F16661" w:rsidTr="008E317A">
        <w:trPr>
          <w:trHeight w:val="30"/>
        </w:trPr>
        <w:tc>
          <w:tcPr>
            <w:tcW w:w="14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Fabricante del equipo nodo secundario</w:t>
            </w:r>
          </w:p>
        </w:tc>
        <w:tc>
          <w:tcPr>
            <w:tcW w:w="2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Indicar fabricante del dispositivo nodo secundario.</w:t>
            </w:r>
          </w:p>
        </w:tc>
        <w:tc>
          <w:tcPr>
            <w:tcW w:w="10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06D5C" w:rsidRPr="00F16661" w:rsidTr="008E317A">
        <w:trPr>
          <w:trHeight w:val="30"/>
        </w:trPr>
        <w:tc>
          <w:tcPr>
            <w:tcW w:w="14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Versión del firmware del nodo secundario</w:t>
            </w:r>
          </w:p>
        </w:tc>
        <w:tc>
          <w:tcPr>
            <w:tcW w:w="2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Versión del firmware instalado en el equipo Nodo Secundario.</w:t>
            </w:r>
          </w:p>
        </w:tc>
        <w:tc>
          <w:tcPr>
            <w:tcW w:w="10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06D5C" w:rsidRPr="00F16661" w:rsidTr="008E317A">
        <w:trPr>
          <w:trHeight w:val="30"/>
        </w:trPr>
        <w:tc>
          <w:tcPr>
            <w:tcW w:w="14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Modelo del equipo nodo secundario</w:t>
            </w:r>
          </w:p>
        </w:tc>
        <w:tc>
          <w:tcPr>
            <w:tcW w:w="2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Indicar modelo del equipo nodo secundario.</w:t>
            </w:r>
          </w:p>
        </w:tc>
        <w:tc>
          <w:tcPr>
            <w:tcW w:w="10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Alfanumérico</w:t>
            </w:r>
          </w:p>
        </w:tc>
      </w:tr>
    </w:tbl>
    <w:p w:rsidR="00006D5C" w:rsidRDefault="00006D5C" w:rsidP="00006D5C">
      <w:pPr>
        <w:rPr>
          <w:sz w:val="18"/>
          <w:szCs w:val="18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4625"/>
        <w:gridCol w:w="1909"/>
      </w:tblGrid>
      <w:tr w:rsidR="00006D5C" w:rsidRPr="00F16661" w:rsidTr="008E317A">
        <w:trPr>
          <w:trHeight w:val="49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b/>
                <w:bCs/>
                <w:sz w:val="18"/>
                <w:szCs w:val="18"/>
                <w:lang w:eastAsia="es-ES_tradnl"/>
              </w:rPr>
              <w:t>Dispositivo CMTS HFC</w:t>
            </w:r>
          </w:p>
        </w:tc>
      </w:tr>
      <w:tr w:rsidR="00006D5C" w:rsidRPr="00F16661" w:rsidTr="00006D5C">
        <w:trPr>
          <w:trHeight w:val="300"/>
        </w:trPr>
        <w:tc>
          <w:tcPr>
            <w:tcW w:w="13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  <w:t>Indicador</w:t>
            </w:r>
          </w:p>
        </w:tc>
        <w:tc>
          <w:tcPr>
            <w:tcW w:w="25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  <w:t>Descripción / Fórmula de cálculo</w:t>
            </w:r>
          </w:p>
        </w:tc>
        <w:tc>
          <w:tcPr>
            <w:tcW w:w="10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  <w:t xml:space="preserve">Unidades de medición </w:t>
            </w:r>
          </w:p>
        </w:tc>
      </w:tr>
      <w:tr w:rsidR="00006D5C" w:rsidRPr="00F16661" w:rsidTr="008E317A">
        <w:trPr>
          <w:trHeight w:val="525"/>
        </w:trPr>
        <w:tc>
          <w:tcPr>
            <w:tcW w:w="5000" w:type="pct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Incluir del catálogo "campos generales", las siguientes hojas: identificador SNII, propiedad, domicilio, relación, geo-referenciación, ubicación en gabinete</w:t>
            </w:r>
          </w:p>
        </w:tc>
      </w:tr>
      <w:tr w:rsidR="00006D5C" w:rsidRPr="00F16661" w:rsidTr="00006D5C">
        <w:trPr>
          <w:trHeight w:val="150"/>
        </w:trPr>
        <w:tc>
          <w:tcPr>
            <w:tcW w:w="13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Número de puertos del CMTS</w:t>
            </w:r>
          </w:p>
        </w:tc>
        <w:tc>
          <w:tcPr>
            <w:tcW w:w="25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Los CMTS pueden tener varios puertos dependiendo de sus requerimientos, puede manejar desde 4000 hasta 150000.</w:t>
            </w:r>
          </w:p>
        </w:tc>
        <w:tc>
          <w:tcPr>
            <w:tcW w:w="10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Número Entero</w:t>
            </w:r>
          </w:p>
        </w:tc>
      </w:tr>
      <w:tr w:rsidR="00006D5C" w:rsidRPr="00F16661" w:rsidTr="00006D5C">
        <w:trPr>
          <w:trHeight w:val="30"/>
        </w:trPr>
        <w:tc>
          <w:tcPr>
            <w:tcW w:w="13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Capacidad máxima de servicio por CMTS</w:t>
            </w:r>
          </w:p>
        </w:tc>
        <w:tc>
          <w:tcPr>
            <w:tcW w:w="25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Es la capacidad que tiene cada equipo CMTS, para enviar información, dado en Gbps.</w:t>
            </w:r>
          </w:p>
        </w:tc>
        <w:tc>
          <w:tcPr>
            <w:tcW w:w="10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GigaBits/Segundo [Gbps]</w:t>
            </w:r>
          </w:p>
        </w:tc>
      </w:tr>
      <w:tr w:rsidR="00006D5C" w:rsidRPr="00F16661" w:rsidTr="00006D5C">
        <w:trPr>
          <w:trHeight w:val="30"/>
        </w:trPr>
        <w:tc>
          <w:tcPr>
            <w:tcW w:w="13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Porcentaje de ocupación del CMTS</w:t>
            </w:r>
          </w:p>
        </w:tc>
        <w:tc>
          <w:tcPr>
            <w:tcW w:w="25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Es la ocupación de puertos, que son utilizados, para conectar los cable-módems del usuario final o abonado.</w:t>
            </w:r>
          </w:p>
        </w:tc>
        <w:tc>
          <w:tcPr>
            <w:tcW w:w="10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Porcentaje [%]</w:t>
            </w:r>
          </w:p>
        </w:tc>
      </w:tr>
      <w:tr w:rsidR="00006D5C" w:rsidRPr="00F16661" w:rsidTr="00006D5C">
        <w:trPr>
          <w:trHeight w:val="615"/>
        </w:trPr>
        <w:tc>
          <w:tcPr>
            <w:tcW w:w="13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Nombre del fabricante del equipo CMTS</w:t>
            </w:r>
          </w:p>
        </w:tc>
        <w:tc>
          <w:tcPr>
            <w:tcW w:w="25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Indicar fabricante del dispositivo CMTS.</w:t>
            </w:r>
          </w:p>
        </w:tc>
        <w:tc>
          <w:tcPr>
            <w:tcW w:w="10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06D5C" w:rsidRPr="00F16661" w:rsidTr="00006D5C">
        <w:trPr>
          <w:trHeight w:val="735"/>
        </w:trPr>
        <w:tc>
          <w:tcPr>
            <w:tcW w:w="13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Versión del firmware del equipo CMTS</w:t>
            </w:r>
          </w:p>
        </w:tc>
        <w:tc>
          <w:tcPr>
            <w:tcW w:w="25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Versión del firmware instalado en el equipo CMTS.</w:t>
            </w:r>
          </w:p>
        </w:tc>
        <w:tc>
          <w:tcPr>
            <w:tcW w:w="10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06D5C" w:rsidRPr="00F16661" w:rsidTr="00006D5C">
        <w:trPr>
          <w:trHeight w:val="390"/>
        </w:trPr>
        <w:tc>
          <w:tcPr>
            <w:tcW w:w="13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Modelo del equipo CMTS</w:t>
            </w:r>
          </w:p>
        </w:tc>
        <w:tc>
          <w:tcPr>
            <w:tcW w:w="25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Indicar el mode del equipo de terminación de cable-módem (CMTS).</w:t>
            </w:r>
          </w:p>
        </w:tc>
        <w:tc>
          <w:tcPr>
            <w:tcW w:w="10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Alfanumérico</w:t>
            </w:r>
          </w:p>
        </w:tc>
      </w:tr>
    </w:tbl>
    <w:p w:rsidR="00006D5C" w:rsidRPr="00F16661" w:rsidRDefault="00006D5C" w:rsidP="00006D5C">
      <w:pPr>
        <w:rPr>
          <w:sz w:val="18"/>
          <w:szCs w:val="18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4598"/>
        <w:gridCol w:w="1805"/>
      </w:tblGrid>
      <w:tr w:rsidR="00006D5C" w:rsidRPr="00F16661" w:rsidTr="008E317A">
        <w:trPr>
          <w:trHeight w:val="55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b/>
                <w:bCs/>
                <w:sz w:val="18"/>
                <w:szCs w:val="18"/>
                <w:lang w:eastAsia="es-ES_tradnl"/>
              </w:rPr>
              <w:t>Amplificador HFC</w:t>
            </w:r>
          </w:p>
        </w:tc>
      </w:tr>
      <w:tr w:rsidR="00006D5C" w:rsidRPr="00F16661" w:rsidTr="008E317A">
        <w:trPr>
          <w:trHeight w:val="300"/>
        </w:trPr>
        <w:tc>
          <w:tcPr>
            <w:tcW w:w="14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  <w:t>Indicador</w:t>
            </w:r>
          </w:p>
        </w:tc>
        <w:tc>
          <w:tcPr>
            <w:tcW w:w="2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  <w:t>Descripción / Fórmula de cálculo</w:t>
            </w:r>
          </w:p>
        </w:tc>
        <w:tc>
          <w:tcPr>
            <w:tcW w:w="10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  <w:t xml:space="preserve">Unidades de medición </w:t>
            </w:r>
          </w:p>
        </w:tc>
      </w:tr>
      <w:tr w:rsidR="00006D5C" w:rsidRPr="00F16661" w:rsidTr="008E317A">
        <w:trPr>
          <w:trHeight w:val="570"/>
        </w:trPr>
        <w:tc>
          <w:tcPr>
            <w:tcW w:w="5000" w:type="pct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Incluir del catálogo "campos generales", las siguientes hojas: identificador SNII, domicilio, relación, geo-referenciación, ubicación en gabinete</w:t>
            </w:r>
          </w:p>
        </w:tc>
      </w:tr>
      <w:tr w:rsidR="00006D5C" w:rsidRPr="00F16661" w:rsidTr="008E317A">
        <w:trPr>
          <w:trHeight w:val="690"/>
        </w:trPr>
        <w:tc>
          <w:tcPr>
            <w:tcW w:w="14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Número de amplificadores de radiofrecuencia</w:t>
            </w:r>
          </w:p>
        </w:tc>
        <w:tc>
          <w:tcPr>
            <w:tcW w:w="2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Es la cantidad de amplificadores en este caso puede tener un máximo de 3, para evitar pérdidas.</w:t>
            </w:r>
          </w:p>
        </w:tc>
        <w:tc>
          <w:tcPr>
            <w:tcW w:w="10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06D5C" w:rsidRPr="00F16661" w:rsidTr="008E317A">
        <w:trPr>
          <w:trHeight w:val="195"/>
        </w:trPr>
        <w:tc>
          <w:tcPr>
            <w:tcW w:w="14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lastRenderedPageBreak/>
              <w:t>Tipo de amplificador de radiofrecuencia</w:t>
            </w:r>
          </w:p>
        </w:tc>
        <w:tc>
          <w:tcPr>
            <w:tcW w:w="2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El tipo depende de su capacidad de amplificación.</w:t>
            </w:r>
          </w:p>
        </w:tc>
        <w:tc>
          <w:tcPr>
            <w:tcW w:w="10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06D5C" w:rsidRPr="00F16661" w:rsidTr="008E317A">
        <w:trPr>
          <w:trHeight w:val="150"/>
        </w:trPr>
        <w:tc>
          <w:tcPr>
            <w:tcW w:w="14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Número de puertos (RX) del amplificador de radiofrecuencia</w:t>
            </w:r>
          </w:p>
        </w:tc>
        <w:tc>
          <w:tcPr>
            <w:tcW w:w="2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Es la cantidad de puertos de recepción (Rx) que puede tener a la entrada un amplificador.</w:t>
            </w:r>
          </w:p>
        </w:tc>
        <w:tc>
          <w:tcPr>
            <w:tcW w:w="10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Numérico</w:t>
            </w:r>
          </w:p>
        </w:tc>
      </w:tr>
      <w:tr w:rsidR="00006D5C" w:rsidRPr="00F16661" w:rsidTr="008E317A">
        <w:trPr>
          <w:trHeight w:val="375"/>
        </w:trPr>
        <w:tc>
          <w:tcPr>
            <w:tcW w:w="14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Número de puertos (TX) del amplificador de radiofrecuencia</w:t>
            </w:r>
          </w:p>
        </w:tc>
        <w:tc>
          <w:tcPr>
            <w:tcW w:w="2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Es la cantidad de puertos de Transmisión (Tx) que puede tener a la salida un equipo amplificador.</w:t>
            </w:r>
          </w:p>
        </w:tc>
        <w:tc>
          <w:tcPr>
            <w:tcW w:w="10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Numérico</w:t>
            </w:r>
          </w:p>
        </w:tc>
      </w:tr>
      <w:tr w:rsidR="00006D5C" w:rsidRPr="00F16661" w:rsidTr="008E317A">
        <w:trPr>
          <w:trHeight w:val="270"/>
        </w:trPr>
        <w:tc>
          <w:tcPr>
            <w:tcW w:w="14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Ancho de banda en que opera el amplificador de radiofrecuencia</w:t>
            </w:r>
          </w:p>
        </w:tc>
        <w:tc>
          <w:tcPr>
            <w:tcW w:w="2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Es el ancho de banda en que está configurado el dispositivo, para operar dado en MHz.</w:t>
            </w:r>
          </w:p>
        </w:tc>
        <w:tc>
          <w:tcPr>
            <w:tcW w:w="10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MegaHertz [MHz]</w:t>
            </w:r>
          </w:p>
        </w:tc>
      </w:tr>
      <w:tr w:rsidR="00006D5C" w:rsidRPr="00F16661" w:rsidTr="008E317A">
        <w:trPr>
          <w:trHeight w:val="315"/>
        </w:trPr>
        <w:tc>
          <w:tcPr>
            <w:tcW w:w="14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Ganancia de ajuste de bajada del amplificador de radiofrecuencia.</w:t>
            </w:r>
          </w:p>
        </w:tc>
        <w:tc>
          <w:tcPr>
            <w:tcW w:w="2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Es la ganancia a la cual está configurado el dispositivo, para operar dado en dB.</w:t>
            </w:r>
          </w:p>
        </w:tc>
        <w:tc>
          <w:tcPr>
            <w:tcW w:w="10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Decibeles [dB]</w:t>
            </w:r>
          </w:p>
        </w:tc>
      </w:tr>
      <w:tr w:rsidR="00006D5C" w:rsidRPr="00F16661" w:rsidTr="008E317A">
        <w:trPr>
          <w:trHeight w:val="60"/>
        </w:trPr>
        <w:tc>
          <w:tcPr>
            <w:tcW w:w="14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Ganancia de ajuste de subida del amplificador de radiofrecuencia.</w:t>
            </w:r>
          </w:p>
        </w:tc>
        <w:tc>
          <w:tcPr>
            <w:tcW w:w="2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Es la ganancia a la cual está configurado el dispositivo, para operar dado en dB.</w:t>
            </w:r>
          </w:p>
        </w:tc>
        <w:tc>
          <w:tcPr>
            <w:tcW w:w="10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Decibeles [dB]</w:t>
            </w:r>
          </w:p>
        </w:tc>
      </w:tr>
      <w:tr w:rsidR="00006D5C" w:rsidRPr="00F16661" w:rsidTr="008E317A">
        <w:trPr>
          <w:trHeight w:val="285"/>
        </w:trPr>
        <w:tc>
          <w:tcPr>
            <w:tcW w:w="14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Potencia del amplificador de radiofrecuencia.</w:t>
            </w:r>
          </w:p>
        </w:tc>
        <w:tc>
          <w:tcPr>
            <w:tcW w:w="2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Es la potencia a la cual está diseñado el dispositivo, para operar dado en watts.</w:t>
            </w:r>
          </w:p>
        </w:tc>
        <w:tc>
          <w:tcPr>
            <w:tcW w:w="10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Watts [W]</w:t>
            </w:r>
          </w:p>
        </w:tc>
      </w:tr>
      <w:tr w:rsidR="00006D5C" w:rsidRPr="00F16661" w:rsidTr="008E317A">
        <w:trPr>
          <w:trHeight w:val="75"/>
        </w:trPr>
        <w:tc>
          <w:tcPr>
            <w:tcW w:w="14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Nombre del fabricante del dispositivo amplificador</w:t>
            </w:r>
          </w:p>
        </w:tc>
        <w:tc>
          <w:tcPr>
            <w:tcW w:w="2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Indicar fabricante del dispositivo amplificador.</w:t>
            </w:r>
          </w:p>
        </w:tc>
        <w:tc>
          <w:tcPr>
            <w:tcW w:w="10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06D5C" w:rsidRPr="00F16661" w:rsidTr="008E317A">
        <w:trPr>
          <w:trHeight w:val="30"/>
        </w:trPr>
        <w:tc>
          <w:tcPr>
            <w:tcW w:w="14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Versión del firmware del amplificador</w:t>
            </w:r>
          </w:p>
        </w:tc>
        <w:tc>
          <w:tcPr>
            <w:tcW w:w="2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Versión del firmware instalado en el equipo Amplificador.</w:t>
            </w:r>
          </w:p>
        </w:tc>
        <w:tc>
          <w:tcPr>
            <w:tcW w:w="10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06D5C" w:rsidRPr="00F16661" w:rsidTr="008E317A">
        <w:trPr>
          <w:trHeight w:val="435"/>
        </w:trPr>
        <w:tc>
          <w:tcPr>
            <w:tcW w:w="14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Modelo del equipo amplificador</w:t>
            </w:r>
          </w:p>
        </w:tc>
        <w:tc>
          <w:tcPr>
            <w:tcW w:w="2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Indicar el modelo del Amplificador HFC.</w:t>
            </w:r>
          </w:p>
        </w:tc>
        <w:tc>
          <w:tcPr>
            <w:tcW w:w="10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Alfanumérico</w:t>
            </w:r>
          </w:p>
        </w:tc>
      </w:tr>
    </w:tbl>
    <w:p w:rsidR="00006D5C" w:rsidRPr="00F16661" w:rsidRDefault="00006D5C" w:rsidP="00006D5C">
      <w:pPr>
        <w:rPr>
          <w:sz w:val="18"/>
          <w:szCs w:val="18"/>
        </w:rPr>
      </w:pPr>
    </w:p>
    <w:p w:rsidR="00006D5C" w:rsidRPr="00F16661" w:rsidRDefault="00006D5C" w:rsidP="00006D5C">
      <w:pPr>
        <w:rPr>
          <w:sz w:val="18"/>
          <w:szCs w:val="18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4598"/>
        <w:gridCol w:w="1805"/>
      </w:tblGrid>
      <w:tr w:rsidR="00006D5C" w:rsidRPr="00F16661" w:rsidTr="008E317A">
        <w:trPr>
          <w:trHeight w:val="54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b/>
                <w:bCs/>
                <w:sz w:val="18"/>
                <w:szCs w:val="18"/>
                <w:lang w:eastAsia="es-ES_tradnl"/>
              </w:rPr>
              <w:t>Nodo óptico HFC</w:t>
            </w:r>
          </w:p>
        </w:tc>
      </w:tr>
      <w:tr w:rsidR="00006D5C" w:rsidRPr="00F16661" w:rsidTr="008E317A">
        <w:trPr>
          <w:trHeight w:val="300"/>
        </w:trPr>
        <w:tc>
          <w:tcPr>
            <w:tcW w:w="14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  <w:t>Indicador</w:t>
            </w:r>
          </w:p>
        </w:tc>
        <w:tc>
          <w:tcPr>
            <w:tcW w:w="2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  <w:t>Descripción / Fórmula de cálculo</w:t>
            </w:r>
          </w:p>
        </w:tc>
        <w:tc>
          <w:tcPr>
            <w:tcW w:w="10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  <w:t xml:space="preserve">Unidades de medición </w:t>
            </w:r>
          </w:p>
        </w:tc>
      </w:tr>
      <w:tr w:rsidR="00006D5C" w:rsidRPr="00F16661" w:rsidTr="008E317A">
        <w:trPr>
          <w:trHeight w:val="525"/>
        </w:trPr>
        <w:tc>
          <w:tcPr>
            <w:tcW w:w="5000" w:type="pct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Incluir del catálogo "campos generales", las siguientes hojas: identificador SNII, relación, geo-referenciación, ubicación en gabinete</w:t>
            </w:r>
          </w:p>
        </w:tc>
      </w:tr>
      <w:tr w:rsidR="00006D5C" w:rsidRPr="00F16661" w:rsidTr="008E317A">
        <w:trPr>
          <w:trHeight w:val="855"/>
        </w:trPr>
        <w:tc>
          <w:tcPr>
            <w:tcW w:w="14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Número de nodos ópticos</w:t>
            </w:r>
          </w:p>
        </w:tc>
        <w:tc>
          <w:tcPr>
            <w:tcW w:w="2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Es la cantidad de nodos secundarios (NS) que puede tener la Red y que alimentan a un número de Nodos Ópticos (NO).</w:t>
            </w:r>
          </w:p>
        </w:tc>
        <w:tc>
          <w:tcPr>
            <w:tcW w:w="10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Número entero</w:t>
            </w:r>
          </w:p>
        </w:tc>
      </w:tr>
      <w:tr w:rsidR="00006D5C" w:rsidRPr="00F16661" w:rsidTr="008E317A">
        <w:trPr>
          <w:trHeight w:val="855"/>
        </w:trPr>
        <w:tc>
          <w:tcPr>
            <w:tcW w:w="14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Número de puertos (Rx) de un nodo óptico</w:t>
            </w:r>
          </w:p>
        </w:tc>
        <w:tc>
          <w:tcPr>
            <w:tcW w:w="2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Es la cantidad de puertos de recepción (Rx) que puede tener a la entrada un nodo óptico.</w:t>
            </w:r>
          </w:p>
        </w:tc>
        <w:tc>
          <w:tcPr>
            <w:tcW w:w="10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Número entero</w:t>
            </w:r>
          </w:p>
        </w:tc>
      </w:tr>
      <w:tr w:rsidR="00006D5C" w:rsidRPr="00F16661" w:rsidTr="008E317A">
        <w:trPr>
          <w:trHeight w:val="300"/>
        </w:trPr>
        <w:tc>
          <w:tcPr>
            <w:tcW w:w="14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Número de puertos (Tx) de un nodo óptico</w:t>
            </w:r>
          </w:p>
        </w:tc>
        <w:tc>
          <w:tcPr>
            <w:tcW w:w="2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Es la cantidad de puertos de transmisión (Tx) que puede tener a la salida un nodo óptico.</w:t>
            </w:r>
          </w:p>
        </w:tc>
        <w:tc>
          <w:tcPr>
            <w:tcW w:w="10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Número entero</w:t>
            </w:r>
          </w:p>
        </w:tc>
      </w:tr>
      <w:tr w:rsidR="00006D5C" w:rsidRPr="00F16661" w:rsidTr="008E317A">
        <w:trPr>
          <w:trHeight w:val="645"/>
        </w:trPr>
        <w:tc>
          <w:tcPr>
            <w:tcW w:w="14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Porcentaje de utilización de los puertos de salida de un nodo óptico</w:t>
            </w:r>
          </w:p>
        </w:tc>
        <w:tc>
          <w:tcPr>
            <w:tcW w:w="2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Porcentaje de utilización de puertos para transmisión de datos.</w:t>
            </w:r>
          </w:p>
        </w:tc>
        <w:tc>
          <w:tcPr>
            <w:tcW w:w="10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Porcentaje [%]</w:t>
            </w:r>
          </w:p>
        </w:tc>
      </w:tr>
      <w:tr w:rsidR="00006D5C" w:rsidRPr="00F16661" w:rsidTr="008E317A">
        <w:trPr>
          <w:trHeight w:val="375"/>
        </w:trPr>
        <w:tc>
          <w:tcPr>
            <w:tcW w:w="14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Fabricante del equipo nodo óptico</w:t>
            </w:r>
          </w:p>
        </w:tc>
        <w:tc>
          <w:tcPr>
            <w:tcW w:w="2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Indicar fabricante del dispositivo nodo óptico.</w:t>
            </w:r>
          </w:p>
        </w:tc>
        <w:tc>
          <w:tcPr>
            <w:tcW w:w="10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06D5C" w:rsidRPr="00F16661" w:rsidTr="008E317A">
        <w:trPr>
          <w:trHeight w:val="345"/>
        </w:trPr>
        <w:tc>
          <w:tcPr>
            <w:tcW w:w="14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Versión del firmware del nodo óptico</w:t>
            </w:r>
          </w:p>
        </w:tc>
        <w:tc>
          <w:tcPr>
            <w:tcW w:w="2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Versión del firmware instalado en el equipo Nodo Óptico.</w:t>
            </w:r>
          </w:p>
        </w:tc>
        <w:tc>
          <w:tcPr>
            <w:tcW w:w="10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06D5C" w:rsidRPr="00F16661" w:rsidTr="008E317A">
        <w:trPr>
          <w:trHeight w:val="375"/>
        </w:trPr>
        <w:tc>
          <w:tcPr>
            <w:tcW w:w="14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Modelo del equipo nodo óptico</w:t>
            </w:r>
          </w:p>
        </w:tc>
        <w:tc>
          <w:tcPr>
            <w:tcW w:w="2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Indicar el modelo del equipo nodo óptico.</w:t>
            </w:r>
          </w:p>
        </w:tc>
        <w:tc>
          <w:tcPr>
            <w:tcW w:w="10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Alfanumérico</w:t>
            </w:r>
          </w:p>
        </w:tc>
      </w:tr>
    </w:tbl>
    <w:p w:rsidR="00006D5C" w:rsidRPr="00F16661" w:rsidRDefault="00006D5C" w:rsidP="00006D5C">
      <w:pPr>
        <w:rPr>
          <w:sz w:val="18"/>
          <w:szCs w:val="18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4680"/>
        <w:gridCol w:w="1659"/>
      </w:tblGrid>
      <w:tr w:rsidR="00006D5C" w:rsidRPr="00F16661" w:rsidTr="008E317A">
        <w:trPr>
          <w:trHeight w:val="21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b/>
                <w:bCs/>
                <w:sz w:val="18"/>
                <w:szCs w:val="18"/>
                <w:lang w:eastAsia="es-ES_tradnl"/>
              </w:rPr>
              <w:t>Divisor HFC</w:t>
            </w:r>
          </w:p>
        </w:tc>
      </w:tr>
      <w:tr w:rsidR="00006D5C" w:rsidRPr="00F16661" w:rsidTr="008E317A">
        <w:trPr>
          <w:trHeight w:val="300"/>
        </w:trPr>
        <w:tc>
          <w:tcPr>
            <w:tcW w:w="145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  <w:t>Indicador</w:t>
            </w:r>
          </w:p>
        </w:tc>
        <w:tc>
          <w:tcPr>
            <w:tcW w:w="2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  <w:t>Descripción / Fórmula de cálculo</w:t>
            </w:r>
          </w:p>
        </w:tc>
        <w:tc>
          <w:tcPr>
            <w:tcW w:w="9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  <w:t xml:space="preserve">Unidades de medición </w:t>
            </w:r>
          </w:p>
        </w:tc>
      </w:tr>
      <w:tr w:rsidR="00006D5C" w:rsidRPr="00F16661" w:rsidTr="008E317A">
        <w:trPr>
          <w:trHeight w:val="585"/>
        </w:trPr>
        <w:tc>
          <w:tcPr>
            <w:tcW w:w="5000" w:type="pct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Incluir del catálogo "campos generales", las siguientes hojas: identificador SNII, domicilio, relación, geo-referenciación, ubicación en gabinete</w:t>
            </w:r>
          </w:p>
        </w:tc>
      </w:tr>
      <w:tr w:rsidR="00006D5C" w:rsidRPr="00F16661" w:rsidTr="008E317A">
        <w:trPr>
          <w:trHeight w:val="30"/>
        </w:trPr>
        <w:tc>
          <w:tcPr>
            <w:tcW w:w="145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Número de divisores hasta el último cliente final</w:t>
            </w:r>
          </w:p>
        </w:tc>
        <w:tc>
          <w:tcPr>
            <w:tcW w:w="2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Es la cantidad de divisores que necesita, para llegar hasta su último cliente final.</w:t>
            </w:r>
          </w:p>
        </w:tc>
        <w:tc>
          <w:tcPr>
            <w:tcW w:w="9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06D5C" w:rsidRPr="00F16661" w:rsidTr="008E317A">
        <w:trPr>
          <w:trHeight w:val="30"/>
        </w:trPr>
        <w:tc>
          <w:tcPr>
            <w:tcW w:w="145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 xml:space="preserve">Tipo de divisor por (1:N) </w:t>
            </w: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lastRenderedPageBreak/>
              <w:t>divisiones</w:t>
            </w:r>
          </w:p>
        </w:tc>
        <w:tc>
          <w:tcPr>
            <w:tcW w:w="2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lastRenderedPageBreak/>
              <w:t xml:space="preserve">El tipo de divisor depende de su configuración de 1:N </w:t>
            </w: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lastRenderedPageBreak/>
              <w:t>divisiones que tenga a la salida.</w:t>
            </w:r>
          </w:p>
        </w:tc>
        <w:tc>
          <w:tcPr>
            <w:tcW w:w="9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lastRenderedPageBreak/>
              <w:t>Alfanumérico</w:t>
            </w:r>
          </w:p>
        </w:tc>
      </w:tr>
      <w:tr w:rsidR="00006D5C" w:rsidRPr="00F16661" w:rsidTr="008E317A">
        <w:trPr>
          <w:trHeight w:val="210"/>
        </w:trPr>
        <w:tc>
          <w:tcPr>
            <w:tcW w:w="145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lastRenderedPageBreak/>
              <w:t>Número de puertos de salida del divisor (Vías)</w:t>
            </w:r>
          </w:p>
        </w:tc>
        <w:tc>
          <w:tcPr>
            <w:tcW w:w="2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Los divisores, pueden tener varios puertos dependiendo de sus requerimientos.</w:t>
            </w:r>
          </w:p>
        </w:tc>
        <w:tc>
          <w:tcPr>
            <w:tcW w:w="9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06D5C" w:rsidRPr="00F16661" w:rsidTr="008E317A">
        <w:trPr>
          <w:trHeight w:val="405"/>
        </w:trPr>
        <w:tc>
          <w:tcPr>
            <w:tcW w:w="145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Pérdida de ganancia a la salida del divisor</w:t>
            </w:r>
          </w:p>
        </w:tc>
        <w:tc>
          <w:tcPr>
            <w:tcW w:w="2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La pérdida de ganancia de salida es el valor que tiene configurado, para su operación en dB.</w:t>
            </w:r>
          </w:p>
        </w:tc>
        <w:tc>
          <w:tcPr>
            <w:tcW w:w="9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Decibeles [dB]</w:t>
            </w:r>
          </w:p>
        </w:tc>
      </w:tr>
      <w:tr w:rsidR="00006D5C" w:rsidRPr="00F16661" w:rsidTr="008E317A">
        <w:trPr>
          <w:trHeight w:val="390"/>
        </w:trPr>
        <w:tc>
          <w:tcPr>
            <w:tcW w:w="145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Frecuencia de operación</w:t>
            </w:r>
          </w:p>
        </w:tc>
        <w:tc>
          <w:tcPr>
            <w:tcW w:w="2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Es la frecuencia en la que opera el equipo en MHz.</w:t>
            </w:r>
          </w:p>
        </w:tc>
        <w:tc>
          <w:tcPr>
            <w:tcW w:w="9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MegaHertz [MHz]</w:t>
            </w:r>
          </w:p>
        </w:tc>
      </w:tr>
      <w:tr w:rsidR="00006D5C" w:rsidRPr="00F16661" w:rsidTr="008E317A">
        <w:trPr>
          <w:trHeight w:val="30"/>
        </w:trPr>
        <w:tc>
          <w:tcPr>
            <w:tcW w:w="145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Nombre del fabricante del dispositivo divisor</w:t>
            </w:r>
          </w:p>
        </w:tc>
        <w:tc>
          <w:tcPr>
            <w:tcW w:w="2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Indicar fabricante del dispositivo divisor.</w:t>
            </w:r>
          </w:p>
        </w:tc>
        <w:tc>
          <w:tcPr>
            <w:tcW w:w="9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06D5C" w:rsidRPr="00F16661" w:rsidTr="008E317A">
        <w:trPr>
          <w:trHeight w:val="465"/>
        </w:trPr>
        <w:tc>
          <w:tcPr>
            <w:tcW w:w="145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Modelo del equipo divisor</w:t>
            </w:r>
          </w:p>
        </w:tc>
        <w:tc>
          <w:tcPr>
            <w:tcW w:w="2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Indicar el modelo del divisor (Splitter).</w:t>
            </w:r>
          </w:p>
        </w:tc>
        <w:tc>
          <w:tcPr>
            <w:tcW w:w="9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Alfanumérico</w:t>
            </w:r>
          </w:p>
        </w:tc>
      </w:tr>
    </w:tbl>
    <w:p w:rsidR="00006D5C" w:rsidRPr="00F16661" w:rsidRDefault="00006D5C" w:rsidP="00006D5C">
      <w:pPr>
        <w:rPr>
          <w:sz w:val="18"/>
          <w:szCs w:val="18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4618"/>
        <w:gridCol w:w="2077"/>
      </w:tblGrid>
      <w:tr w:rsidR="00006D5C" w:rsidRPr="00F16661" w:rsidTr="008E317A">
        <w:trPr>
          <w:trHeight w:val="36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b/>
                <w:bCs/>
                <w:sz w:val="18"/>
                <w:szCs w:val="18"/>
                <w:lang w:eastAsia="es-ES_tradnl"/>
              </w:rPr>
              <w:t>Terminal de línea óptica PON</w:t>
            </w:r>
          </w:p>
        </w:tc>
      </w:tr>
      <w:tr w:rsidR="00006D5C" w:rsidRPr="00F16661" w:rsidTr="008E317A">
        <w:trPr>
          <w:trHeight w:val="300"/>
        </w:trPr>
        <w:tc>
          <w:tcPr>
            <w:tcW w:w="125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  <w:t>Indicador</w:t>
            </w:r>
          </w:p>
        </w:tc>
        <w:tc>
          <w:tcPr>
            <w:tcW w:w="25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  <w:t>Descripción / Fórmula de cálculo</w:t>
            </w:r>
          </w:p>
        </w:tc>
        <w:tc>
          <w:tcPr>
            <w:tcW w:w="1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  <w:t xml:space="preserve">Unidades de medición </w:t>
            </w:r>
          </w:p>
        </w:tc>
      </w:tr>
      <w:tr w:rsidR="00006D5C" w:rsidRPr="00F16661" w:rsidTr="008E317A">
        <w:trPr>
          <w:trHeight w:val="420"/>
        </w:trPr>
        <w:tc>
          <w:tcPr>
            <w:tcW w:w="5000" w:type="pct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Incluir del catálogo "campos generales", las siguientes hojas: identificador SNII, propiedad, relación, geo-referenciación, ubicación en gabinete</w:t>
            </w:r>
          </w:p>
        </w:tc>
      </w:tr>
      <w:tr w:rsidR="00006D5C" w:rsidRPr="00F16661" w:rsidTr="008E317A">
        <w:trPr>
          <w:trHeight w:val="30"/>
        </w:trPr>
        <w:tc>
          <w:tcPr>
            <w:tcW w:w="125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Fabricante</w:t>
            </w:r>
          </w:p>
        </w:tc>
        <w:tc>
          <w:tcPr>
            <w:tcW w:w="25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Indicar el nombre del fabricante del dispositivo.</w:t>
            </w:r>
          </w:p>
        </w:tc>
        <w:tc>
          <w:tcPr>
            <w:tcW w:w="1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06D5C" w:rsidRPr="00F16661" w:rsidTr="008E317A">
        <w:trPr>
          <w:trHeight w:val="285"/>
        </w:trPr>
        <w:tc>
          <w:tcPr>
            <w:tcW w:w="125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Modelo del OLT</w:t>
            </w:r>
          </w:p>
        </w:tc>
        <w:tc>
          <w:tcPr>
            <w:tcW w:w="25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Indicar modelo o versión del OLT.</w:t>
            </w:r>
          </w:p>
        </w:tc>
        <w:tc>
          <w:tcPr>
            <w:tcW w:w="1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06D5C" w:rsidRPr="00F16661" w:rsidTr="008E317A">
        <w:trPr>
          <w:trHeight w:val="300"/>
        </w:trPr>
        <w:tc>
          <w:tcPr>
            <w:tcW w:w="125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Versión del firmware del OLT</w:t>
            </w:r>
          </w:p>
        </w:tc>
        <w:tc>
          <w:tcPr>
            <w:tcW w:w="25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Versión de firmware del equipo OLT.</w:t>
            </w:r>
          </w:p>
        </w:tc>
        <w:tc>
          <w:tcPr>
            <w:tcW w:w="1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06D5C" w:rsidRPr="00F16661" w:rsidTr="008E317A">
        <w:trPr>
          <w:trHeight w:val="495"/>
        </w:trPr>
        <w:tc>
          <w:tcPr>
            <w:tcW w:w="125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Nombre de la tecnología (xPON)</w:t>
            </w:r>
          </w:p>
        </w:tc>
        <w:tc>
          <w:tcPr>
            <w:tcW w:w="25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Cualquier variante de la tecnología PON (del inglés, Passive Optical Network) ya sean GPON, GEPON, EPON, BPON, otro.</w:t>
            </w:r>
          </w:p>
        </w:tc>
        <w:tc>
          <w:tcPr>
            <w:tcW w:w="1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06D5C" w:rsidRPr="00F16661" w:rsidTr="008E317A">
        <w:trPr>
          <w:trHeight w:val="165"/>
        </w:trPr>
        <w:tc>
          <w:tcPr>
            <w:tcW w:w="125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Número de tarjetas de servicios instaladas en el OLT</w:t>
            </w:r>
          </w:p>
        </w:tc>
        <w:tc>
          <w:tcPr>
            <w:tcW w:w="25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Cantidad de tarjetas de servicios instaladas en el OLT.</w:t>
            </w:r>
          </w:p>
        </w:tc>
        <w:tc>
          <w:tcPr>
            <w:tcW w:w="1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Numérico</w:t>
            </w:r>
          </w:p>
        </w:tc>
      </w:tr>
      <w:tr w:rsidR="00006D5C" w:rsidRPr="00F16661" w:rsidTr="008E317A">
        <w:trPr>
          <w:trHeight w:val="30"/>
        </w:trPr>
        <w:tc>
          <w:tcPr>
            <w:tcW w:w="125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Número de ranuras vacías para tarjetas de servicios en el OLT</w:t>
            </w:r>
          </w:p>
        </w:tc>
        <w:tc>
          <w:tcPr>
            <w:tcW w:w="25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Cantidad de puertos disponibles para la inserción de tarjetas de servicio en el OLT.</w:t>
            </w:r>
          </w:p>
        </w:tc>
        <w:tc>
          <w:tcPr>
            <w:tcW w:w="1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Numérico</w:t>
            </w:r>
          </w:p>
        </w:tc>
      </w:tr>
      <w:tr w:rsidR="00006D5C" w:rsidRPr="00F16661" w:rsidTr="008E317A">
        <w:trPr>
          <w:trHeight w:val="315"/>
        </w:trPr>
        <w:tc>
          <w:tcPr>
            <w:tcW w:w="125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Número total de puertos de servicio soportados por el OLT</w:t>
            </w:r>
          </w:p>
        </w:tc>
        <w:tc>
          <w:tcPr>
            <w:tcW w:w="25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Cantidad total de puertos de servicio soportados determinado por la cantidad máxima que pueden utilizarse en el OLT.</w:t>
            </w:r>
          </w:p>
        </w:tc>
        <w:tc>
          <w:tcPr>
            <w:tcW w:w="1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Numérico</w:t>
            </w:r>
          </w:p>
        </w:tc>
      </w:tr>
      <w:tr w:rsidR="00006D5C" w:rsidRPr="00F16661" w:rsidTr="008E317A">
        <w:trPr>
          <w:trHeight w:val="1050"/>
        </w:trPr>
        <w:tc>
          <w:tcPr>
            <w:tcW w:w="125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Tasa máxima de transferencia ascendente por cada puerto de servicio</w:t>
            </w:r>
          </w:p>
        </w:tc>
        <w:tc>
          <w:tcPr>
            <w:tcW w:w="25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Tasa máxima de transferencia por cada puerto de servicio en el canal ascendente en Mbps (Megabits por segundo).</w:t>
            </w:r>
          </w:p>
        </w:tc>
        <w:tc>
          <w:tcPr>
            <w:tcW w:w="1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MegaBits/Segundo [Mbps]</w:t>
            </w:r>
          </w:p>
        </w:tc>
      </w:tr>
      <w:tr w:rsidR="00006D5C" w:rsidRPr="00F16661" w:rsidTr="008E317A">
        <w:trPr>
          <w:trHeight w:val="1035"/>
        </w:trPr>
        <w:tc>
          <w:tcPr>
            <w:tcW w:w="125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Tasa máxima de transferencia descendente por cada puerto de servicio</w:t>
            </w:r>
          </w:p>
        </w:tc>
        <w:tc>
          <w:tcPr>
            <w:tcW w:w="25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Tasa máxima de transferencia por cada puerto de servicio en el canal descendente en Mbps (Megabits por segundo).</w:t>
            </w:r>
          </w:p>
        </w:tc>
        <w:tc>
          <w:tcPr>
            <w:tcW w:w="1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MegaBits/Segundo [Mbps]</w:t>
            </w:r>
          </w:p>
        </w:tc>
      </w:tr>
      <w:tr w:rsidR="00006D5C" w:rsidRPr="00F16661" w:rsidTr="008E317A">
        <w:trPr>
          <w:trHeight w:val="1020"/>
        </w:trPr>
        <w:tc>
          <w:tcPr>
            <w:tcW w:w="125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Tasa de transferencia del canal multicast de video</w:t>
            </w:r>
          </w:p>
        </w:tc>
        <w:tc>
          <w:tcPr>
            <w:tcW w:w="25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Tasa máxima de transferencia por cada puerto de servicio en el canal multicast de video.</w:t>
            </w:r>
          </w:p>
        </w:tc>
        <w:tc>
          <w:tcPr>
            <w:tcW w:w="1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MegaBits/Segundo [Mbps]</w:t>
            </w:r>
          </w:p>
        </w:tc>
      </w:tr>
      <w:tr w:rsidR="00006D5C" w:rsidRPr="00F16661" w:rsidTr="008E317A">
        <w:trPr>
          <w:trHeight w:val="780"/>
        </w:trPr>
        <w:tc>
          <w:tcPr>
            <w:tcW w:w="125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Número total de puertos de servicio ocupados en OLT</w:t>
            </w:r>
          </w:p>
        </w:tc>
        <w:tc>
          <w:tcPr>
            <w:tcW w:w="25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Cantidad de puertos ocupados en el OLT.</w:t>
            </w:r>
          </w:p>
        </w:tc>
        <w:tc>
          <w:tcPr>
            <w:tcW w:w="1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MegaBits/Segundo [Mbps]</w:t>
            </w:r>
          </w:p>
        </w:tc>
      </w:tr>
      <w:tr w:rsidR="00006D5C" w:rsidRPr="00F16661" w:rsidTr="008E317A">
        <w:trPr>
          <w:trHeight w:val="750"/>
        </w:trPr>
        <w:tc>
          <w:tcPr>
            <w:tcW w:w="125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Número total de puertos de servicio libres en OLT</w:t>
            </w:r>
          </w:p>
        </w:tc>
        <w:tc>
          <w:tcPr>
            <w:tcW w:w="25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Cantidad de puertos de servicios libres en el OLT.</w:t>
            </w:r>
          </w:p>
        </w:tc>
        <w:tc>
          <w:tcPr>
            <w:tcW w:w="1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06D5C" w:rsidRPr="00F16661" w:rsidTr="008E317A">
        <w:trPr>
          <w:trHeight w:val="30"/>
        </w:trPr>
        <w:tc>
          <w:tcPr>
            <w:tcW w:w="125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Capacidad máxima de tráfico ascendente en OLT</w:t>
            </w:r>
          </w:p>
        </w:tc>
        <w:tc>
          <w:tcPr>
            <w:tcW w:w="25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Capacidad total de tráfico máximo que ofrece el OLT en el canal ascendente.</w:t>
            </w:r>
          </w:p>
        </w:tc>
        <w:tc>
          <w:tcPr>
            <w:tcW w:w="1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GigaBits/Segundo [Gbps]</w:t>
            </w:r>
          </w:p>
        </w:tc>
      </w:tr>
      <w:tr w:rsidR="00006D5C" w:rsidRPr="00F16661" w:rsidTr="008E317A">
        <w:trPr>
          <w:trHeight w:val="30"/>
        </w:trPr>
        <w:tc>
          <w:tcPr>
            <w:tcW w:w="125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Capacidad máxima de tráfico descendente en OLT</w:t>
            </w:r>
          </w:p>
        </w:tc>
        <w:tc>
          <w:tcPr>
            <w:tcW w:w="25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Capacidad total de tráfico máximo que ofrece el OLT en el canal descendente.</w:t>
            </w:r>
          </w:p>
        </w:tc>
        <w:tc>
          <w:tcPr>
            <w:tcW w:w="1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GigaBits/Segundo [Gbps]</w:t>
            </w:r>
          </w:p>
        </w:tc>
      </w:tr>
      <w:tr w:rsidR="00006D5C" w:rsidRPr="00F16661" w:rsidTr="008E317A">
        <w:trPr>
          <w:trHeight w:val="315"/>
        </w:trPr>
        <w:tc>
          <w:tcPr>
            <w:tcW w:w="125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 xml:space="preserve">Tráfico descendente en los </w:t>
            </w: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lastRenderedPageBreak/>
              <w:t xml:space="preserve">puertos de servicio del OLT </w:t>
            </w:r>
          </w:p>
        </w:tc>
        <w:tc>
          <w:tcPr>
            <w:tcW w:w="25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lastRenderedPageBreak/>
              <w:t xml:space="preserve">Tráfico descendente para todos los usuarios en conjunto </w:t>
            </w: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lastRenderedPageBreak/>
              <w:t>desde el OLT.</w:t>
            </w:r>
          </w:p>
        </w:tc>
        <w:tc>
          <w:tcPr>
            <w:tcW w:w="1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lastRenderedPageBreak/>
              <w:t>GigaBits/Segundo [Gbps]</w:t>
            </w:r>
          </w:p>
        </w:tc>
      </w:tr>
      <w:tr w:rsidR="00006D5C" w:rsidRPr="00F16661" w:rsidTr="008E317A">
        <w:trPr>
          <w:trHeight w:val="450"/>
        </w:trPr>
        <w:tc>
          <w:tcPr>
            <w:tcW w:w="125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lastRenderedPageBreak/>
              <w:t>Sensibilidad por puerto de servicio</w:t>
            </w:r>
          </w:p>
        </w:tc>
        <w:tc>
          <w:tcPr>
            <w:tcW w:w="25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Potencia óptica mínima de recepción inteligible en el puerto de servicio.</w:t>
            </w:r>
          </w:p>
        </w:tc>
        <w:tc>
          <w:tcPr>
            <w:tcW w:w="1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Decibelio-miliwatt [dBm]</w:t>
            </w:r>
          </w:p>
        </w:tc>
      </w:tr>
      <w:tr w:rsidR="00006D5C" w:rsidRPr="00F16661" w:rsidTr="008E317A">
        <w:trPr>
          <w:trHeight w:val="330"/>
        </w:trPr>
        <w:tc>
          <w:tcPr>
            <w:tcW w:w="125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 xml:space="preserve">Tipo de transferencia </w:t>
            </w:r>
          </w:p>
        </w:tc>
        <w:tc>
          <w:tcPr>
            <w:tcW w:w="25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Transferencia síncrona indica que los canales de subida y subida tienen la misma capacidad; transferencia asíncrona se refiere a que los canales de subida y bajada tienen diferentes capacidades.</w:t>
            </w:r>
          </w:p>
        </w:tc>
        <w:tc>
          <w:tcPr>
            <w:tcW w:w="1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Alfanumérico</w:t>
            </w:r>
          </w:p>
        </w:tc>
      </w:tr>
    </w:tbl>
    <w:p w:rsidR="00006D5C" w:rsidRPr="00F16661" w:rsidRDefault="00006D5C" w:rsidP="00006D5C">
      <w:pPr>
        <w:rPr>
          <w:sz w:val="18"/>
          <w:szCs w:val="18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7"/>
        <w:gridCol w:w="4068"/>
        <w:gridCol w:w="2203"/>
      </w:tblGrid>
      <w:tr w:rsidR="00006D5C" w:rsidRPr="00F16661" w:rsidTr="008E317A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b/>
                <w:bCs/>
                <w:sz w:val="18"/>
                <w:szCs w:val="18"/>
                <w:lang w:eastAsia="es-ES_tradnl"/>
              </w:rPr>
              <w:t>ONT PON (Terminal de Red Óptica PON)</w:t>
            </w:r>
          </w:p>
        </w:tc>
      </w:tr>
      <w:tr w:rsidR="00006D5C" w:rsidRPr="00F16661" w:rsidTr="008E317A">
        <w:trPr>
          <w:trHeight w:val="300"/>
        </w:trPr>
        <w:tc>
          <w:tcPr>
            <w:tcW w:w="148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  <w:t>Indicador</w:t>
            </w:r>
          </w:p>
        </w:tc>
        <w:tc>
          <w:tcPr>
            <w:tcW w:w="2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  <w:t>Descripción / Fórmula de cálculo</w:t>
            </w:r>
          </w:p>
        </w:tc>
        <w:tc>
          <w:tcPr>
            <w:tcW w:w="1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  <w:t xml:space="preserve">Unidades de medición </w:t>
            </w:r>
          </w:p>
        </w:tc>
      </w:tr>
      <w:tr w:rsidR="00006D5C" w:rsidRPr="00F16661" w:rsidTr="008E317A">
        <w:trPr>
          <w:trHeight w:val="390"/>
        </w:trPr>
        <w:tc>
          <w:tcPr>
            <w:tcW w:w="5000" w:type="pct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Incluir del catálogo "campos generales", las siguientes hojas: identificador SNII, propiedad, relación, geo-referenciación, ubicación en gabinete</w:t>
            </w:r>
          </w:p>
        </w:tc>
      </w:tr>
      <w:tr w:rsidR="00006D5C" w:rsidRPr="00F16661" w:rsidTr="008E317A">
        <w:trPr>
          <w:trHeight w:val="390"/>
        </w:trPr>
        <w:tc>
          <w:tcPr>
            <w:tcW w:w="148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Sensibilidad mínima del receptor</w:t>
            </w:r>
          </w:p>
        </w:tc>
        <w:tc>
          <w:tcPr>
            <w:tcW w:w="2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Sensibilidad mínima del receptor.</w:t>
            </w:r>
          </w:p>
        </w:tc>
        <w:tc>
          <w:tcPr>
            <w:tcW w:w="1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Decibeles [dB]</w:t>
            </w:r>
          </w:p>
        </w:tc>
      </w:tr>
      <w:tr w:rsidR="00006D5C" w:rsidRPr="00F16661" w:rsidTr="008E317A">
        <w:trPr>
          <w:trHeight w:val="30"/>
        </w:trPr>
        <w:tc>
          <w:tcPr>
            <w:tcW w:w="148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Número de puertos ethernet que ofrece el ONT</w:t>
            </w:r>
          </w:p>
        </w:tc>
        <w:tc>
          <w:tcPr>
            <w:tcW w:w="2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Cantidad de puertos ethernet (10/100/1000).</w:t>
            </w:r>
          </w:p>
        </w:tc>
        <w:tc>
          <w:tcPr>
            <w:tcW w:w="1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Número entero</w:t>
            </w:r>
          </w:p>
        </w:tc>
      </w:tr>
      <w:tr w:rsidR="00006D5C" w:rsidRPr="00F16661" w:rsidTr="008E317A">
        <w:trPr>
          <w:trHeight w:val="90"/>
        </w:trPr>
        <w:tc>
          <w:tcPr>
            <w:tcW w:w="148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Número de puertos RJ-11 que ofrece el ONT</w:t>
            </w:r>
          </w:p>
        </w:tc>
        <w:tc>
          <w:tcPr>
            <w:tcW w:w="2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Cantidad de puertos RJ-11.</w:t>
            </w:r>
          </w:p>
        </w:tc>
        <w:tc>
          <w:tcPr>
            <w:tcW w:w="1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Número entero</w:t>
            </w:r>
          </w:p>
        </w:tc>
      </w:tr>
      <w:tr w:rsidR="00006D5C" w:rsidRPr="00F16661" w:rsidTr="008E317A">
        <w:trPr>
          <w:trHeight w:val="30"/>
        </w:trPr>
        <w:tc>
          <w:tcPr>
            <w:tcW w:w="148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Número de puertos TDM que ofrece el ONT</w:t>
            </w:r>
          </w:p>
        </w:tc>
        <w:tc>
          <w:tcPr>
            <w:tcW w:w="2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Cantidad de puertos TDM.</w:t>
            </w:r>
          </w:p>
        </w:tc>
        <w:tc>
          <w:tcPr>
            <w:tcW w:w="1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Número entero</w:t>
            </w:r>
          </w:p>
        </w:tc>
      </w:tr>
    </w:tbl>
    <w:p w:rsidR="00006D5C" w:rsidRPr="00F16661" w:rsidRDefault="00006D5C" w:rsidP="00006D5C">
      <w:pPr>
        <w:rPr>
          <w:sz w:val="18"/>
          <w:szCs w:val="18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4068"/>
        <w:gridCol w:w="2014"/>
      </w:tblGrid>
      <w:tr w:rsidR="00006D5C" w:rsidRPr="00F16661" w:rsidTr="008E317A">
        <w:trPr>
          <w:trHeight w:val="49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b/>
                <w:bCs/>
                <w:sz w:val="18"/>
                <w:szCs w:val="18"/>
                <w:lang w:eastAsia="es-ES_tradnl"/>
              </w:rPr>
              <w:t>Divisor de tráfico PON</w:t>
            </w:r>
          </w:p>
        </w:tc>
      </w:tr>
      <w:tr w:rsidR="00006D5C" w:rsidRPr="00F16661" w:rsidTr="008E317A">
        <w:trPr>
          <w:trHeight w:val="300"/>
        </w:trPr>
        <w:tc>
          <w:tcPr>
            <w:tcW w:w="159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  <w:t>Indicador</w:t>
            </w:r>
          </w:p>
        </w:tc>
        <w:tc>
          <w:tcPr>
            <w:tcW w:w="2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  <w:t>Descripción / Fórmula de cálculo</w:t>
            </w:r>
          </w:p>
        </w:tc>
        <w:tc>
          <w:tcPr>
            <w:tcW w:w="11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  <w:t xml:space="preserve">Unidades de medición </w:t>
            </w:r>
          </w:p>
        </w:tc>
      </w:tr>
      <w:tr w:rsidR="00006D5C" w:rsidRPr="00F16661" w:rsidTr="008E317A">
        <w:trPr>
          <w:trHeight w:val="300"/>
        </w:trPr>
        <w:tc>
          <w:tcPr>
            <w:tcW w:w="5000" w:type="pct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Incluir del catálogo "campos generales", las siguientes hojas: identificador SNII, relación, geo-referenciación, ubicación en gabinete</w:t>
            </w:r>
          </w:p>
        </w:tc>
      </w:tr>
      <w:tr w:rsidR="00006D5C" w:rsidRPr="00F16661" w:rsidTr="008E317A">
        <w:trPr>
          <w:trHeight w:val="285"/>
        </w:trPr>
        <w:tc>
          <w:tcPr>
            <w:tcW w:w="159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 xml:space="preserve">Tráfico de entrada en el divisor de tráfico </w:t>
            </w:r>
          </w:p>
        </w:tc>
        <w:tc>
          <w:tcPr>
            <w:tcW w:w="2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ind w:left="-207" w:firstLine="207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Tráfico total que se mide antes del divisor óptico.</w:t>
            </w:r>
          </w:p>
        </w:tc>
        <w:tc>
          <w:tcPr>
            <w:tcW w:w="11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GigaBits/Segundo [Gbps]</w:t>
            </w:r>
          </w:p>
        </w:tc>
      </w:tr>
      <w:tr w:rsidR="00006D5C" w:rsidRPr="00F16661" w:rsidTr="008E317A">
        <w:trPr>
          <w:trHeight w:val="30"/>
        </w:trPr>
        <w:tc>
          <w:tcPr>
            <w:tcW w:w="159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Relación de puertos de entrada/salida del divisor de tráfico</w:t>
            </w:r>
          </w:p>
        </w:tc>
        <w:tc>
          <w:tcPr>
            <w:tcW w:w="2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Relación de ramificaciones de entrada y salida del divisor óptico (Por ejemplo: 1:4)</w:t>
            </w:r>
          </w:p>
        </w:tc>
        <w:tc>
          <w:tcPr>
            <w:tcW w:w="11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06D5C" w:rsidRPr="00F16661" w:rsidTr="008E317A">
        <w:trPr>
          <w:trHeight w:val="135"/>
        </w:trPr>
        <w:tc>
          <w:tcPr>
            <w:tcW w:w="159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Divisor de tráfico entrega servicios a usuario final (SI/NO)</w:t>
            </w:r>
          </w:p>
        </w:tc>
        <w:tc>
          <w:tcPr>
            <w:tcW w:w="2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Indicar si el divisor se encuentra en la última milla.</w:t>
            </w:r>
          </w:p>
        </w:tc>
        <w:tc>
          <w:tcPr>
            <w:tcW w:w="11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Opción: Sí/No</w:t>
            </w:r>
          </w:p>
        </w:tc>
      </w:tr>
      <w:tr w:rsidR="00006D5C" w:rsidRPr="00F16661" w:rsidTr="008E317A">
        <w:trPr>
          <w:trHeight w:val="45"/>
        </w:trPr>
        <w:tc>
          <w:tcPr>
            <w:tcW w:w="159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Número de usuarios atendidos por divisor de tráfico</w:t>
            </w:r>
          </w:p>
        </w:tc>
        <w:tc>
          <w:tcPr>
            <w:tcW w:w="2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Cantidad total de usuarios que se cubren con las ramas del divisor de tráfico.</w:t>
            </w:r>
          </w:p>
        </w:tc>
        <w:tc>
          <w:tcPr>
            <w:tcW w:w="11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Número entero</w:t>
            </w:r>
          </w:p>
        </w:tc>
      </w:tr>
      <w:tr w:rsidR="00006D5C" w:rsidRPr="00F16661" w:rsidTr="008E317A">
        <w:trPr>
          <w:trHeight w:val="75"/>
        </w:trPr>
        <w:tc>
          <w:tcPr>
            <w:tcW w:w="159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Tipo de transferencia utilizada (síncrona/asíncrona)</w:t>
            </w:r>
          </w:p>
        </w:tc>
        <w:tc>
          <w:tcPr>
            <w:tcW w:w="2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Seleccionar el tipo de transferencia entre los canales de comunicación del enlace ascendente y descendente.</w:t>
            </w:r>
          </w:p>
        </w:tc>
        <w:tc>
          <w:tcPr>
            <w:tcW w:w="11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Alfanumérico</w:t>
            </w:r>
          </w:p>
        </w:tc>
      </w:tr>
    </w:tbl>
    <w:p w:rsidR="00006D5C" w:rsidRPr="00F16661" w:rsidRDefault="00006D5C" w:rsidP="00006D5C">
      <w:pPr>
        <w:rPr>
          <w:sz w:val="18"/>
          <w:szCs w:val="18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4568"/>
        <w:gridCol w:w="1809"/>
      </w:tblGrid>
      <w:tr w:rsidR="00006D5C" w:rsidRPr="00F16661" w:rsidTr="008E317A">
        <w:trPr>
          <w:trHeight w:val="45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b/>
                <w:bCs/>
                <w:sz w:val="18"/>
                <w:szCs w:val="18"/>
                <w:lang w:eastAsia="es-ES_tradnl"/>
              </w:rPr>
              <w:t>DSLAM (Multiplexor de línea de acceso de abonado digital)</w:t>
            </w:r>
          </w:p>
        </w:tc>
      </w:tr>
      <w:tr w:rsidR="00006D5C" w:rsidRPr="00F16661" w:rsidTr="008E317A">
        <w:trPr>
          <w:trHeight w:val="300"/>
        </w:trPr>
        <w:tc>
          <w:tcPr>
            <w:tcW w:w="14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  <w:t>Indicador</w:t>
            </w:r>
          </w:p>
        </w:tc>
        <w:tc>
          <w:tcPr>
            <w:tcW w:w="25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  <w:t>Descripción / Fórmula de cálculo</w:t>
            </w:r>
          </w:p>
        </w:tc>
        <w:tc>
          <w:tcPr>
            <w:tcW w:w="10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  <w:t xml:space="preserve">Unidades de medición </w:t>
            </w:r>
          </w:p>
        </w:tc>
      </w:tr>
      <w:tr w:rsidR="00006D5C" w:rsidRPr="00F16661" w:rsidTr="008E317A">
        <w:trPr>
          <w:trHeight w:val="570"/>
        </w:trPr>
        <w:tc>
          <w:tcPr>
            <w:tcW w:w="5000" w:type="pct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Incluir del catálogo "campos generales", las siguientes hojas: identificador SNII, relación, geo-referenciación, ubicación en gabinete</w:t>
            </w:r>
          </w:p>
        </w:tc>
      </w:tr>
      <w:tr w:rsidR="00006D5C" w:rsidRPr="00F16661" w:rsidTr="008E317A">
        <w:trPr>
          <w:trHeight w:val="780"/>
        </w:trPr>
        <w:tc>
          <w:tcPr>
            <w:tcW w:w="14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Nombre de la central</w:t>
            </w:r>
          </w:p>
        </w:tc>
        <w:tc>
          <w:tcPr>
            <w:tcW w:w="25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Nombre de la central, concentrador o contenedor utilizado por el operador para nombrar sus instalaciones.</w:t>
            </w:r>
          </w:p>
        </w:tc>
        <w:tc>
          <w:tcPr>
            <w:tcW w:w="10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06D5C" w:rsidRPr="00F16661" w:rsidTr="008E317A">
        <w:trPr>
          <w:trHeight w:val="345"/>
        </w:trPr>
        <w:tc>
          <w:tcPr>
            <w:tcW w:w="14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Número de puertos de servicio (ATU-C) instalados</w:t>
            </w:r>
          </w:p>
        </w:tc>
        <w:tc>
          <w:tcPr>
            <w:tcW w:w="25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Puertos instalados ATU-C (del inglés, ADSL Terminal Unit-Central).</w:t>
            </w:r>
          </w:p>
        </w:tc>
        <w:tc>
          <w:tcPr>
            <w:tcW w:w="10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Número entero</w:t>
            </w:r>
          </w:p>
        </w:tc>
      </w:tr>
      <w:tr w:rsidR="00006D5C" w:rsidRPr="00F16661" w:rsidTr="008E317A">
        <w:trPr>
          <w:trHeight w:val="750"/>
        </w:trPr>
        <w:tc>
          <w:tcPr>
            <w:tcW w:w="14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Número de puertos de servicio (ATU-C) ocupados</w:t>
            </w:r>
          </w:p>
        </w:tc>
        <w:tc>
          <w:tcPr>
            <w:tcW w:w="25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Puertos ocupados ATU-C (del inglés, ADSL Terminal Unit-Central).</w:t>
            </w:r>
          </w:p>
        </w:tc>
        <w:tc>
          <w:tcPr>
            <w:tcW w:w="10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Número entero</w:t>
            </w:r>
          </w:p>
        </w:tc>
      </w:tr>
      <w:tr w:rsidR="00006D5C" w:rsidRPr="00F16661" w:rsidTr="008E317A">
        <w:trPr>
          <w:trHeight w:val="135"/>
        </w:trPr>
        <w:tc>
          <w:tcPr>
            <w:tcW w:w="14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Número de puertos de servicio (ATU-C) libres</w:t>
            </w:r>
          </w:p>
        </w:tc>
        <w:tc>
          <w:tcPr>
            <w:tcW w:w="25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Puertos libres ATU-C (del inglés, ADSL Terminal Unit-Central).</w:t>
            </w:r>
          </w:p>
        </w:tc>
        <w:tc>
          <w:tcPr>
            <w:tcW w:w="10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Número entero</w:t>
            </w:r>
          </w:p>
        </w:tc>
      </w:tr>
      <w:tr w:rsidR="00006D5C" w:rsidRPr="00F16661" w:rsidTr="008E317A">
        <w:trPr>
          <w:trHeight w:val="570"/>
        </w:trPr>
        <w:tc>
          <w:tcPr>
            <w:tcW w:w="14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lastRenderedPageBreak/>
              <w:t>Tasa de transmisión máxima de servicio por DSLAM</w:t>
            </w:r>
          </w:p>
        </w:tc>
        <w:tc>
          <w:tcPr>
            <w:tcW w:w="25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Tasa de transmisión máxima soportada por el equipo de acceso hacia los servicios.</w:t>
            </w:r>
          </w:p>
        </w:tc>
        <w:tc>
          <w:tcPr>
            <w:tcW w:w="10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GigaBits/Segundo [Gbps]</w:t>
            </w:r>
          </w:p>
        </w:tc>
      </w:tr>
      <w:tr w:rsidR="00006D5C" w:rsidRPr="00F16661" w:rsidTr="008E317A">
        <w:trPr>
          <w:trHeight w:val="810"/>
        </w:trPr>
        <w:tc>
          <w:tcPr>
            <w:tcW w:w="14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 xml:space="preserve">Porcentaje de ocupación del DSLAM </w:t>
            </w:r>
          </w:p>
        </w:tc>
        <w:tc>
          <w:tcPr>
            <w:tcW w:w="25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Porcentaje de ocupación de la plataforma tecnológica.</w:t>
            </w:r>
          </w:p>
        </w:tc>
        <w:tc>
          <w:tcPr>
            <w:tcW w:w="10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Porcentaje [%]</w:t>
            </w:r>
          </w:p>
        </w:tc>
      </w:tr>
      <w:tr w:rsidR="00006D5C" w:rsidRPr="00F16661" w:rsidTr="008E317A">
        <w:trPr>
          <w:trHeight w:val="165"/>
        </w:trPr>
        <w:tc>
          <w:tcPr>
            <w:tcW w:w="14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Tipo de interfaz de transporte del DSLAM</w:t>
            </w:r>
          </w:p>
        </w:tc>
        <w:tc>
          <w:tcPr>
            <w:tcW w:w="25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Tipo de interfaz del conector utilizado para canalizar el tráfico hacia la red de distribución.</w:t>
            </w:r>
          </w:p>
        </w:tc>
        <w:tc>
          <w:tcPr>
            <w:tcW w:w="10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06D5C" w:rsidRPr="00F16661" w:rsidTr="008E317A">
        <w:trPr>
          <w:trHeight w:val="135"/>
        </w:trPr>
        <w:tc>
          <w:tcPr>
            <w:tcW w:w="14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Número de interfaces de transporte del DSLAM</w:t>
            </w:r>
          </w:p>
        </w:tc>
        <w:tc>
          <w:tcPr>
            <w:tcW w:w="25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Número de interfaces que canalizan el tráfico hacia la red de distribución.</w:t>
            </w:r>
          </w:p>
        </w:tc>
        <w:tc>
          <w:tcPr>
            <w:tcW w:w="10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06D5C" w:rsidRPr="00F16661" w:rsidTr="008E317A">
        <w:trPr>
          <w:trHeight w:val="165"/>
        </w:trPr>
        <w:tc>
          <w:tcPr>
            <w:tcW w:w="14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Atenuación máxima ascendente</w:t>
            </w:r>
          </w:p>
        </w:tc>
        <w:tc>
          <w:tcPr>
            <w:tcW w:w="25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Valor de atenuación en el canal ascendente (del inglés, Uplink).</w:t>
            </w:r>
          </w:p>
        </w:tc>
        <w:tc>
          <w:tcPr>
            <w:tcW w:w="10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Decibelio-miliwatt [dBm]</w:t>
            </w:r>
          </w:p>
        </w:tc>
      </w:tr>
      <w:tr w:rsidR="00006D5C" w:rsidRPr="00F16661" w:rsidTr="008E317A">
        <w:trPr>
          <w:trHeight w:val="750"/>
        </w:trPr>
        <w:tc>
          <w:tcPr>
            <w:tcW w:w="14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Atenuación máxima descendente</w:t>
            </w:r>
          </w:p>
        </w:tc>
        <w:tc>
          <w:tcPr>
            <w:tcW w:w="25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Valor de atenuación en el canal descendente (del inglés, Downlink).</w:t>
            </w:r>
          </w:p>
        </w:tc>
        <w:tc>
          <w:tcPr>
            <w:tcW w:w="10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Decibelio-miliwatt [dBm]</w:t>
            </w:r>
          </w:p>
        </w:tc>
      </w:tr>
      <w:tr w:rsidR="00006D5C" w:rsidRPr="00F16661" w:rsidTr="008E317A">
        <w:trPr>
          <w:trHeight w:val="780"/>
        </w:trPr>
        <w:tc>
          <w:tcPr>
            <w:tcW w:w="14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Relación Señal a Ruido mínima ascendente</w:t>
            </w:r>
          </w:p>
        </w:tc>
        <w:tc>
          <w:tcPr>
            <w:tcW w:w="25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Relación señal a ruido en el canal ascendente (del inglés, Uplink).</w:t>
            </w:r>
          </w:p>
        </w:tc>
        <w:tc>
          <w:tcPr>
            <w:tcW w:w="10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Decibelio-miliwatt [dBm]</w:t>
            </w:r>
          </w:p>
        </w:tc>
      </w:tr>
      <w:tr w:rsidR="00006D5C" w:rsidRPr="00F16661" w:rsidTr="008E317A">
        <w:trPr>
          <w:trHeight w:val="180"/>
        </w:trPr>
        <w:tc>
          <w:tcPr>
            <w:tcW w:w="14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Relación Señal a Ruido mínima descendente</w:t>
            </w:r>
          </w:p>
        </w:tc>
        <w:tc>
          <w:tcPr>
            <w:tcW w:w="25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Relación señal a ruido en el canal descendente (del inglés, Downlink).</w:t>
            </w:r>
          </w:p>
        </w:tc>
        <w:tc>
          <w:tcPr>
            <w:tcW w:w="10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Decibelio-miliwatt [dBm]</w:t>
            </w:r>
          </w:p>
        </w:tc>
      </w:tr>
      <w:tr w:rsidR="00006D5C" w:rsidRPr="00F16661" w:rsidTr="008E317A">
        <w:trPr>
          <w:trHeight w:val="255"/>
        </w:trPr>
        <w:tc>
          <w:tcPr>
            <w:tcW w:w="14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Tasa de transferencia promedio de datos ascendentes (d = 5 km)</w:t>
            </w:r>
          </w:p>
        </w:tc>
        <w:tc>
          <w:tcPr>
            <w:tcW w:w="25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Velocidad de transferencia de datos ascendente (del inglés, Uplink) entre la central telefónica (ATU-C) y el cliente ADSL (ATU-R) a una distancia de 5 km.</w:t>
            </w:r>
          </w:p>
        </w:tc>
        <w:tc>
          <w:tcPr>
            <w:tcW w:w="10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MegaBits/Segundo [Mbps]</w:t>
            </w:r>
          </w:p>
        </w:tc>
      </w:tr>
      <w:tr w:rsidR="00006D5C" w:rsidRPr="00F16661" w:rsidTr="008E317A">
        <w:trPr>
          <w:trHeight w:val="480"/>
        </w:trPr>
        <w:tc>
          <w:tcPr>
            <w:tcW w:w="14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Tasa de transferencia promedio de datos descendentes (d = 5 km)</w:t>
            </w:r>
          </w:p>
        </w:tc>
        <w:tc>
          <w:tcPr>
            <w:tcW w:w="25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Velocidad de transferencia de datos descendente (del inglés, Downlink) entre la central telefónica (ATU-C) y el cliente ADSL (ATU-R) a una distancia de 5 km.</w:t>
            </w:r>
          </w:p>
        </w:tc>
        <w:tc>
          <w:tcPr>
            <w:tcW w:w="10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MegaBits/Segundo [Mbps]</w:t>
            </w:r>
          </w:p>
        </w:tc>
      </w:tr>
      <w:tr w:rsidR="00006D5C" w:rsidRPr="00F16661" w:rsidTr="008E317A">
        <w:trPr>
          <w:trHeight w:val="1140"/>
        </w:trPr>
        <w:tc>
          <w:tcPr>
            <w:tcW w:w="14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Tasa de transferencia promedio de datos ascendentes (d = 3 km)</w:t>
            </w:r>
          </w:p>
        </w:tc>
        <w:tc>
          <w:tcPr>
            <w:tcW w:w="25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Velocidad de transferencia de datos ascendente (del inglés, Uplink) entre la central telefónica (ATU-C) y el cliente ADSL (ATU-R) a una distancia de 3 km.</w:t>
            </w:r>
          </w:p>
        </w:tc>
        <w:tc>
          <w:tcPr>
            <w:tcW w:w="10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MegaBits/Segundo [Mbps]</w:t>
            </w:r>
          </w:p>
        </w:tc>
      </w:tr>
      <w:tr w:rsidR="00006D5C" w:rsidRPr="00F16661" w:rsidTr="008E317A">
        <w:trPr>
          <w:trHeight w:val="285"/>
        </w:trPr>
        <w:tc>
          <w:tcPr>
            <w:tcW w:w="14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Tasa de transferencia promedio de datos descendentes (d = 3 km)</w:t>
            </w:r>
          </w:p>
        </w:tc>
        <w:tc>
          <w:tcPr>
            <w:tcW w:w="25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Velocidad de transferencia de datos descendente (del inglés, Downlink) entre la central telefónica (ATU-C) y el cliente ADSL (ATU-R) a una distancia de 3 km.</w:t>
            </w:r>
          </w:p>
        </w:tc>
        <w:tc>
          <w:tcPr>
            <w:tcW w:w="10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MegaBits/Segundo [Mbps]</w:t>
            </w:r>
          </w:p>
        </w:tc>
      </w:tr>
      <w:tr w:rsidR="00006D5C" w:rsidRPr="00F16661" w:rsidTr="008E317A">
        <w:trPr>
          <w:trHeight w:val="45"/>
        </w:trPr>
        <w:tc>
          <w:tcPr>
            <w:tcW w:w="14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Tasa de transferencia promedio de datos ascendentes (d = 1 km)</w:t>
            </w:r>
          </w:p>
        </w:tc>
        <w:tc>
          <w:tcPr>
            <w:tcW w:w="25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Velocidad de transferencia de datos ascendente (del inglés, Uplink) entre la central telefónica (ATU-C) y el cliente ADSL (ATU-R) a una distancia de 1 km.</w:t>
            </w:r>
          </w:p>
        </w:tc>
        <w:tc>
          <w:tcPr>
            <w:tcW w:w="10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MegaBits/Segundo [Mbps]</w:t>
            </w:r>
          </w:p>
        </w:tc>
      </w:tr>
      <w:tr w:rsidR="00006D5C" w:rsidRPr="00F16661" w:rsidTr="008E317A">
        <w:trPr>
          <w:trHeight w:val="540"/>
        </w:trPr>
        <w:tc>
          <w:tcPr>
            <w:tcW w:w="14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Tasa de transferencia promedio de datos descendentes (d = 1 km)</w:t>
            </w:r>
          </w:p>
        </w:tc>
        <w:tc>
          <w:tcPr>
            <w:tcW w:w="25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Velocidad de transferencia de datos descendente (del inglés, Downlink) entre la central telefónica (ATU-C) y el cliente ADSL (ATU-R) a una distancia de 1 km.</w:t>
            </w:r>
          </w:p>
        </w:tc>
        <w:tc>
          <w:tcPr>
            <w:tcW w:w="10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MegaBits/Segundo [Mbps]</w:t>
            </w:r>
          </w:p>
        </w:tc>
      </w:tr>
      <w:tr w:rsidR="00006D5C" w:rsidRPr="00F16661" w:rsidTr="008E317A">
        <w:trPr>
          <w:trHeight w:val="1050"/>
        </w:trPr>
        <w:tc>
          <w:tcPr>
            <w:tcW w:w="14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Tasa de transferencia promedio de datos ascendentes (d = 0.3 km)</w:t>
            </w:r>
          </w:p>
        </w:tc>
        <w:tc>
          <w:tcPr>
            <w:tcW w:w="25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Velocidad de transferencia de datos ascendente (del inglés, Uplink) entre la central telefónica (ATU-C) y el cliente ADSL (ATU-R) a una distancia de 0.3 km.</w:t>
            </w:r>
          </w:p>
        </w:tc>
        <w:tc>
          <w:tcPr>
            <w:tcW w:w="10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MegaBits/Segundo [Mbps]</w:t>
            </w:r>
          </w:p>
        </w:tc>
      </w:tr>
      <w:tr w:rsidR="00006D5C" w:rsidRPr="00F16661" w:rsidTr="008E317A">
        <w:trPr>
          <w:trHeight w:val="705"/>
        </w:trPr>
        <w:tc>
          <w:tcPr>
            <w:tcW w:w="14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Tasa de transferencia promedio de datos descendentes (d = 0.3 km)</w:t>
            </w:r>
          </w:p>
        </w:tc>
        <w:tc>
          <w:tcPr>
            <w:tcW w:w="25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Velocidad de transferencia de datos descendente (del inglés, Downlink) entre la central telefónica (ATU-C) y el cliente ADSL (ATU-R) a una distancia de 0.3 km.</w:t>
            </w:r>
          </w:p>
        </w:tc>
        <w:tc>
          <w:tcPr>
            <w:tcW w:w="10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MegaBits/Segundo [Mbps]</w:t>
            </w:r>
          </w:p>
        </w:tc>
      </w:tr>
      <w:tr w:rsidR="00006D5C" w:rsidRPr="00F16661" w:rsidTr="008E317A">
        <w:trPr>
          <w:trHeight w:val="495"/>
        </w:trPr>
        <w:tc>
          <w:tcPr>
            <w:tcW w:w="14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Tiempo de respaldo de energía eléctrica</w:t>
            </w:r>
          </w:p>
        </w:tc>
        <w:tc>
          <w:tcPr>
            <w:tcW w:w="25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Tiempo de protección del sistema de baterías ante una falla del sistema de alimentación de corriente.</w:t>
            </w:r>
          </w:p>
        </w:tc>
        <w:tc>
          <w:tcPr>
            <w:tcW w:w="10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Horas</w:t>
            </w:r>
          </w:p>
        </w:tc>
      </w:tr>
    </w:tbl>
    <w:p w:rsidR="00006D5C" w:rsidRDefault="00006D5C" w:rsidP="00006D5C">
      <w:pPr>
        <w:rPr>
          <w:sz w:val="18"/>
          <w:szCs w:val="18"/>
        </w:rPr>
      </w:pPr>
    </w:p>
    <w:p w:rsidR="00006D5C" w:rsidRDefault="00006D5C" w:rsidP="00006D5C">
      <w:pPr>
        <w:rPr>
          <w:sz w:val="18"/>
          <w:szCs w:val="18"/>
        </w:rPr>
      </w:pPr>
    </w:p>
    <w:p w:rsidR="00006D5C" w:rsidRDefault="00006D5C" w:rsidP="00006D5C">
      <w:pPr>
        <w:rPr>
          <w:sz w:val="18"/>
          <w:szCs w:val="18"/>
        </w:rPr>
      </w:pPr>
    </w:p>
    <w:p w:rsidR="00006D5C" w:rsidRPr="00F16661" w:rsidRDefault="00006D5C" w:rsidP="00006D5C">
      <w:pPr>
        <w:rPr>
          <w:sz w:val="18"/>
          <w:szCs w:val="18"/>
        </w:rPr>
      </w:pPr>
    </w:p>
    <w:p w:rsidR="00006D5C" w:rsidRPr="00F16661" w:rsidRDefault="00006D5C" w:rsidP="00006D5C">
      <w:pPr>
        <w:rPr>
          <w:sz w:val="18"/>
          <w:szCs w:val="18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5057"/>
        <w:gridCol w:w="2077"/>
      </w:tblGrid>
      <w:tr w:rsidR="00006D5C" w:rsidRPr="00F16661" w:rsidTr="008E317A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b/>
                <w:bCs/>
                <w:sz w:val="18"/>
                <w:szCs w:val="18"/>
                <w:lang w:eastAsia="es-ES_tradnl"/>
              </w:rPr>
              <w:lastRenderedPageBreak/>
              <w:t xml:space="preserve">Fibra óptica </w:t>
            </w:r>
          </w:p>
        </w:tc>
      </w:tr>
      <w:tr w:rsidR="00006D5C" w:rsidRPr="00F16661" w:rsidTr="008E317A">
        <w:trPr>
          <w:trHeight w:val="315"/>
        </w:trPr>
        <w:tc>
          <w:tcPr>
            <w:tcW w:w="100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  <w:t>Indicador</w:t>
            </w:r>
          </w:p>
        </w:tc>
        <w:tc>
          <w:tcPr>
            <w:tcW w:w="28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  <w:t>Definición de la variable</w:t>
            </w:r>
          </w:p>
        </w:tc>
        <w:tc>
          <w:tcPr>
            <w:tcW w:w="1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  <w:t xml:space="preserve">Unidades de medición </w:t>
            </w:r>
          </w:p>
        </w:tc>
      </w:tr>
      <w:tr w:rsidR="00006D5C" w:rsidRPr="00F16661" w:rsidTr="008E317A">
        <w:trPr>
          <w:trHeight w:val="315"/>
        </w:trPr>
        <w:tc>
          <w:tcPr>
            <w:tcW w:w="5000" w:type="pct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Incluir del catálogo "campos generales", las siguientes hojas: identificador SNII, propiedad, relación</w:t>
            </w:r>
          </w:p>
        </w:tc>
      </w:tr>
      <w:tr w:rsidR="00006D5C" w:rsidRPr="00F16661" w:rsidTr="008E317A">
        <w:trPr>
          <w:trHeight w:val="300"/>
        </w:trPr>
        <w:tc>
          <w:tcPr>
            <w:tcW w:w="100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Fecha de instalación</w:t>
            </w:r>
          </w:p>
        </w:tc>
        <w:tc>
          <w:tcPr>
            <w:tcW w:w="28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Especificar fecha de instalación de la fibra.</w:t>
            </w:r>
          </w:p>
        </w:tc>
        <w:tc>
          <w:tcPr>
            <w:tcW w:w="1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Fecha</w:t>
            </w:r>
          </w:p>
        </w:tc>
      </w:tr>
      <w:tr w:rsidR="00006D5C" w:rsidRPr="00F16661" w:rsidTr="008E317A">
        <w:trPr>
          <w:trHeight w:val="300"/>
        </w:trPr>
        <w:tc>
          <w:tcPr>
            <w:tcW w:w="100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 xml:space="preserve">Estándar internacional de cumplimiento </w:t>
            </w:r>
          </w:p>
        </w:tc>
        <w:tc>
          <w:tcPr>
            <w:tcW w:w="28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 xml:space="preserve">Característica de fibra y cables ópticos según lo establecido por la ITU, por ejemplo: G.655.B,G.652, otro. </w:t>
            </w:r>
          </w:p>
        </w:tc>
        <w:tc>
          <w:tcPr>
            <w:tcW w:w="1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06D5C" w:rsidRPr="00F16661" w:rsidTr="008E317A">
        <w:trPr>
          <w:trHeight w:val="300"/>
        </w:trPr>
        <w:tc>
          <w:tcPr>
            <w:tcW w:w="100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Tipo de fibra</w:t>
            </w:r>
          </w:p>
        </w:tc>
        <w:tc>
          <w:tcPr>
            <w:tcW w:w="28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Especificar Monomodo o Multimodo.</w:t>
            </w:r>
          </w:p>
        </w:tc>
        <w:tc>
          <w:tcPr>
            <w:tcW w:w="1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Opción: Monomodo/Multimodo</w:t>
            </w:r>
          </w:p>
        </w:tc>
      </w:tr>
      <w:tr w:rsidR="00006D5C" w:rsidRPr="00F16661" w:rsidTr="008E317A">
        <w:trPr>
          <w:trHeight w:val="300"/>
        </w:trPr>
        <w:tc>
          <w:tcPr>
            <w:tcW w:w="100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Número de hilos</w:t>
            </w:r>
          </w:p>
        </w:tc>
        <w:tc>
          <w:tcPr>
            <w:tcW w:w="28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Número de hilos por cable óptico. Especificar número de hilos de la fibra óptica.</w:t>
            </w:r>
          </w:p>
        </w:tc>
        <w:tc>
          <w:tcPr>
            <w:tcW w:w="1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Número entero</w:t>
            </w:r>
          </w:p>
        </w:tc>
      </w:tr>
      <w:tr w:rsidR="00006D5C" w:rsidRPr="00F16661" w:rsidTr="008E317A">
        <w:trPr>
          <w:trHeight w:val="300"/>
        </w:trPr>
        <w:tc>
          <w:tcPr>
            <w:tcW w:w="100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Número de hilos utilizados</w:t>
            </w:r>
          </w:p>
        </w:tc>
        <w:tc>
          <w:tcPr>
            <w:tcW w:w="28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Número de hilos utilizados por tramo del cable óptico. Especificar número de hilos utilizados.</w:t>
            </w:r>
          </w:p>
        </w:tc>
        <w:tc>
          <w:tcPr>
            <w:tcW w:w="1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Número entero</w:t>
            </w:r>
          </w:p>
        </w:tc>
      </w:tr>
      <w:tr w:rsidR="00006D5C" w:rsidRPr="00F16661" w:rsidTr="008E317A">
        <w:trPr>
          <w:trHeight w:val="300"/>
        </w:trPr>
        <w:tc>
          <w:tcPr>
            <w:tcW w:w="100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Número de hilos sin utilizar</w:t>
            </w:r>
          </w:p>
        </w:tc>
        <w:tc>
          <w:tcPr>
            <w:tcW w:w="28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Número de hilos sin utilizar por tramo del cable óptico. Especificar número de hilos disponibles de la fibra.</w:t>
            </w:r>
          </w:p>
        </w:tc>
        <w:tc>
          <w:tcPr>
            <w:tcW w:w="1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Número entero</w:t>
            </w:r>
          </w:p>
        </w:tc>
      </w:tr>
      <w:tr w:rsidR="00006D5C" w:rsidRPr="00F16661" w:rsidTr="008E317A">
        <w:trPr>
          <w:trHeight w:val="300"/>
        </w:trPr>
        <w:tc>
          <w:tcPr>
            <w:tcW w:w="100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 xml:space="preserve">Tecnología de capa física utilizada </w:t>
            </w:r>
          </w:p>
        </w:tc>
        <w:tc>
          <w:tcPr>
            <w:tcW w:w="28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Tecnología de capa física utilizada para transportar información, por ejemplo: DWDM, SONET, otra.</w:t>
            </w:r>
          </w:p>
        </w:tc>
        <w:tc>
          <w:tcPr>
            <w:tcW w:w="1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06D5C" w:rsidRPr="00F16661" w:rsidTr="008E317A">
        <w:trPr>
          <w:trHeight w:val="300"/>
        </w:trPr>
        <w:tc>
          <w:tcPr>
            <w:tcW w:w="100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Número de canales ópticos utilizados</w:t>
            </w:r>
          </w:p>
        </w:tc>
        <w:tc>
          <w:tcPr>
            <w:tcW w:w="28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Indicar el número de canales ópticos utilizados</w:t>
            </w:r>
          </w:p>
        </w:tc>
        <w:tc>
          <w:tcPr>
            <w:tcW w:w="1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Número entero</w:t>
            </w:r>
          </w:p>
        </w:tc>
      </w:tr>
      <w:tr w:rsidR="00006D5C" w:rsidRPr="00F16661" w:rsidTr="008E317A">
        <w:trPr>
          <w:trHeight w:val="300"/>
        </w:trPr>
        <w:tc>
          <w:tcPr>
            <w:tcW w:w="100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Material de la fibra óptica</w:t>
            </w:r>
          </w:p>
        </w:tc>
        <w:tc>
          <w:tcPr>
            <w:tcW w:w="28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Material de construcción del tramo de fibra óptica, por ejemplo: SiO2, GeO2, otro. Especifique el material de construcción del tramo de fibra óptica.</w:t>
            </w:r>
          </w:p>
        </w:tc>
        <w:tc>
          <w:tcPr>
            <w:tcW w:w="1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06D5C" w:rsidRPr="00F16661" w:rsidTr="008E317A">
        <w:trPr>
          <w:trHeight w:val="300"/>
        </w:trPr>
        <w:tc>
          <w:tcPr>
            <w:tcW w:w="100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Diámetro del núcleo</w:t>
            </w:r>
          </w:p>
        </w:tc>
        <w:tc>
          <w:tcPr>
            <w:tcW w:w="28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Diámetro por tramo del núcleo.</w:t>
            </w:r>
          </w:p>
        </w:tc>
        <w:tc>
          <w:tcPr>
            <w:tcW w:w="1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Micrómetro [µm]</w:t>
            </w:r>
          </w:p>
        </w:tc>
      </w:tr>
      <w:tr w:rsidR="00006D5C" w:rsidRPr="00F16661" w:rsidTr="008E317A">
        <w:trPr>
          <w:trHeight w:val="300"/>
        </w:trPr>
        <w:tc>
          <w:tcPr>
            <w:tcW w:w="100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Fabricante de la fibra óptica</w:t>
            </w:r>
          </w:p>
        </w:tc>
        <w:tc>
          <w:tcPr>
            <w:tcW w:w="28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Fabricante por tramo de la fibra óptica instalada.</w:t>
            </w:r>
          </w:p>
        </w:tc>
        <w:tc>
          <w:tcPr>
            <w:tcW w:w="1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06D5C" w:rsidRPr="00F16661" w:rsidTr="008E317A">
        <w:trPr>
          <w:trHeight w:val="300"/>
        </w:trPr>
        <w:tc>
          <w:tcPr>
            <w:tcW w:w="100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6D5C" w:rsidRPr="00F16661" w:rsidRDefault="00006D5C" w:rsidP="008E317A">
            <w:pPr>
              <w:spacing w:line="240" w:lineRule="auto"/>
              <w:rPr>
                <w:rFonts w:eastAsia="Times New Roman"/>
                <w:sz w:val="18"/>
                <w:szCs w:val="18"/>
                <w:lang w:eastAsia="es-ES_tradnl"/>
              </w:rPr>
            </w:pPr>
            <w:r w:rsidRPr="00F16661">
              <w:rPr>
                <w:rFonts w:eastAsia="Times New Roman"/>
                <w:sz w:val="18"/>
                <w:szCs w:val="18"/>
                <w:lang w:eastAsia="es-ES_tradnl"/>
              </w:rPr>
              <w:t xml:space="preserve">Número de puerto de origen </w:t>
            </w:r>
          </w:p>
        </w:tc>
        <w:tc>
          <w:tcPr>
            <w:tcW w:w="28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6D5C" w:rsidRPr="00F16661" w:rsidRDefault="00006D5C" w:rsidP="008E317A">
            <w:pPr>
              <w:spacing w:line="240" w:lineRule="auto"/>
              <w:rPr>
                <w:rFonts w:eastAsia="Times New Roman"/>
                <w:sz w:val="18"/>
                <w:szCs w:val="18"/>
                <w:lang w:eastAsia="es-ES_tradnl"/>
              </w:rPr>
            </w:pPr>
            <w:r w:rsidRPr="00F16661">
              <w:rPr>
                <w:rFonts w:eastAsia="Times New Roman"/>
                <w:sz w:val="18"/>
                <w:szCs w:val="18"/>
                <w:lang w:eastAsia="es-ES_tradnl"/>
              </w:rPr>
              <w:t>Indicar el número de puerto del elemento de infraestructura activa de origen.</w:t>
            </w:r>
          </w:p>
        </w:tc>
        <w:tc>
          <w:tcPr>
            <w:tcW w:w="1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6D5C" w:rsidRPr="00F16661" w:rsidRDefault="00006D5C" w:rsidP="008E317A">
            <w:pPr>
              <w:spacing w:line="240" w:lineRule="auto"/>
              <w:rPr>
                <w:rFonts w:eastAsia="Times New Roman"/>
                <w:sz w:val="18"/>
                <w:szCs w:val="18"/>
                <w:lang w:eastAsia="es-ES_tradnl"/>
              </w:rPr>
            </w:pPr>
            <w:r w:rsidRPr="00F16661">
              <w:rPr>
                <w:rFonts w:eastAsia="Times New Roman"/>
                <w:sz w:val="18"/>
                <w:szCs w:val="18"/>
                <w:lang w:eastAsia="es-ES_tradnl"/>
              </w:rPr>
              <w:t>Número entero</w:t>
            </w:r>
          </w:p>
        </w:tc>
      </w:tr>
      <w:tr w:rsidR="00006D5C" w:rsidRPr="00F16661" w:rsidTr="008E317A">
        <w:trPr>
          <w:trHeight w:val="300"/>
        </w:trPr>
        <w:tc>
          <w:tcPr>
            <w:tcW w:w="100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6D5C" w:rsidRPr="00F16661" w:rsidRDefault="00006D5C" w:rsidP="008E317A">
            <w:pPr>
              <w:spacing w:line="240" w:lineRule="auto"/>
              <w:rPr>
                <w:rFonts w:eastAsia="Times New Roman"/>
                <w:sz w:val="18"/>
                <w:szCs w:val="18"/>
                <w:lang w:eastAsia="es-ES_tradnl"/>
              </w:rPr>
            </w:pPr>
            <w:r w:rsidRPr="00F16661">
              <w:rPr>
                <w:rFonts w:eastAsia="Times New Roman"/>
                <w:sz w:val="18"/>
                <w:szCs w:val="18"/>
                <w:lang w:eastAsia="es-ES_tradnl"/>
              </w:rPr>
              <w:t xml:space="preserve">Número de puerto de destino </w:t>
            </w:r>
          </w:p>
        </w:tc>
        <w:tc>
          <w:tcPr>
            <w:tcW w:w="28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6D5C" w:rsidRPr="00F16661" w:rsidRDefault="00006D5C" w:rsidP="008E317A">
            <w:pPr>
              <w:spacing w:line="240" w:lineRule="auto"/>
              <w:rPr>
                <w:rFonts w:eastAsia="Times New Roman"/>
                <w:sz w:val="18"/>
                <w:szCs w:val="18"/>
                <w:lang w:eastAsia="es-ES_tradnl"/>
              </w:rPr>
            </w:pPr>
            <w:r w:rsidRPr="00F16661">
              <w:rPr>
                <w:rFonts w:eastAsia="Times New Roman"/>
                <w:sz w:val="18"/>
                <w:szCs w:val="18"/>
                <w:lang w:eastAsia="es-ES_tradnl"/>
              </w:rPr>
              <w:t>Indicar el número de puerto del elemento de infraestructura activa de destino.</w:t>
            </w:r>
          </w:p>
        </w:tc>
        <w:tc>
          <w:tcPr>
            <w:tcW w:w="1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6D5C" w:rsidRPr="00F16661" w:rsidRDefault="00006D5C" w:rsidP="008E317A">
            <w:pPr>
              <w:spacing w:line="240" w:lineRule="auto"/>
              <w:rPr>
                <w:rFonts w:eastAsia="Times New Roman"/>
                <w:sz w:val="18"/>
                <w:szCs w:val="18"/>
                <w:lang w:eastAsia="es-ES_tradnl"/>
              </w:rPr>
            </w:pPr>
            <w:r w:rsidRPr="00F16661">
              <w:rPr>
                <w:rFonts w:eastAsia="Times New Roman"/>
                <w:sz w:val="18"/>
                <w:szCs w:val="18"/>
                <w:lang w:eastAsia="es-ES_tradnl"/>
              </w:rPr>
              <w:t>Número entero</w:t>
            </w:r>
          </w:p>
        </w:tc>
      </w:tr>
    </w:tbl>
    <w:p w:rsidR="00006D5C" w:rsidRPr="00F16661" w:rsidRDefault="00006D5C" w:rsidP="00006D5C">
      <w:pPr>
        <w:rPr>
          <w:sz w:val="18"/>
          <w:szCs w:val="18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4184"/>
        <w:gridCol w:w="2130"/>
      </w:tblGrid>
      <w:tr w:rsidR="00006D5C" w:rsidRPr="00F16661" w:rsidTr="008E317A">
        <w:trPr>
          <w:trHeight w:val="33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b/>
                <w:bCs/>
                <w:sz w:val="18"/>
                <w:szCs w:val="18"/>
                <w:lang w:eastAsia="es-ES_tradnl"/>
              </w:rPr>
              <w:t>Enlaces dedicados</w:t>
            </w:r>
          </w:p>
        </w:tc>
      </w:tr>
      <w:tr w:rsidR="00006D5C" w:rsidRPr="00F16661" w:rsidTr="008E317A">
        <w:trPr>
          <w:trHeight w:val="60"/>
        </w:trPr>
        <w:tc>
          <w:tcPr>
            <w:tcW w:w="146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  <w:t>Indicador</w:t>
            </w:r>
          </w:p>
        </w:tc>
        <w:tc>
          <w:tcPr>
            <w:tcW w:w="23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  <w:t>Descripción / Fórmula de cálculo</w:t>
            </w:r>
          </w:p>
        </w:tc>
        <w:tc>
          <w:tcPr>
            <w:tcW w:w="11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color w:val="FFFFFF"/>
                <w:sz w:val="18"/>
                <w:szCs w:val="18"/>
                <w:lang w:eastAsia="es-ES_tradnl"/>
              </w:rPr>
              <w:t xml:space="preserve">Unidades de medición </w:t>
            </w:r>
          </w:p>
        </w:tc>
      </w:tr>
      <w:tr w:rsidR="00006D5C" w:rsidRPr="00F16661" w:rsidTr="008E317A">
        <w:trPr>
          <w:trHeight w:val="570"/>
        </w:trPr>
        <w:tc>
          <w:tcPr>
            <w:tcW w:w="5000" w:type="pct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es-ES_tradnl"/>
              </w:rPr>
            </w:pPr>
            <w:r w:rsidRPr="00F16661">
              <w:rPr>
                <w:rFonts w:ascii="Calibri" w:eastAsia="Times New Roman" w:hAnsi="Calibri"/>
                <w:sz w:val="18"/>
                <w:szCs w:val="18"/>
                <w:lang w:eastAsia="es-ES_tradnl"/>
              </w:rPr>
              <w:t>Incluir del catálogo "campos generales", las siguientes hojas: identificador SNII, relación</w:t>
            </w:r>
          </w:p>
        </w:tc>
      </w:tr>
      <w:tr w:rsidR="00006D5C" w:rsidRPr="00F16661" w:rsidTr="008E317A">
        <w:trPr>
          <w:trHeight w:val="765"/>
        </w:trPr>
        <w:tc>
          <w:tcPr>
            <w:tcW w:w="146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eastAsia="Times New Roman"/>
                <w:sz w:val="18"/>
                <w:szCs w:val="18"/>
                <w:lang w:eastAsia="es-ES_tradnl"/>
              </w:rPr>
            </w:pPr>
            <w:r w:rsidRPr="00F16661">
              <w:rPr>
                <w:rFonts w:eastAsia="Times New Roman"/>
                <w:sz w:val="18"/>
                <w:szCs w:val="18"/>
                <w:lang w:eastAsia="es-ES_tradnl"/>
              </w:rPr>
              <w:t>Tramo de cableado</w:t>
            </w:r>
          </w:p>
        </w:tc>
        <w:tc>
          <w:tcPr>
            <w:tcW w:w="23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eastAsia="Times New Roman"/>
                <w:sz w:val="18"/>
                <w:szCs w:val="18"/>
                <w:lang w:eastAsia="es-ES_tradnl"/>
              </w:rPr>
            </w:pPr>
            <w:r w:rsidRPr="00F16661">
              <w:rPr>
                <w:rFonts w:eastAsia="Times New Roman"/>
                <w:sz w:val="18"/>
                <w:szCs w:val="18"/>
                <w:lang w:eastAsia="es-ES_tradnl"/>
              </w:rPr>
              <w:t>Identificador de referencia de los elementos pasivos de origen y de fin.</w:t>
            </w:r>
          </w:p>
        </w:tc>
        <w:tc>
          <w:tcPr>
            <w:tcW w:w="11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eastAsia="Times New Roman"/>
                <w:sz w:val="18"/>
                <w:szCs w:val="18"/>
                <w:lang w:eastAsia="es-ES_tradnl"/>
              </w:rPr>
            </w:pPr>
            <w:r w:rsidRPr="00F16661">
              <w:rPr>
                <w:rFonts w:eastAsia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06D5C" w:rsidRPr="00F16661" w:rsidTr="008E317A">
        <w:trPr>
          <w:trHeight w:val="30"/>
        </w:trPr>
        <w:tc>
          <w:tcPr>
            <w:tcW w:w="146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eastAsia="Times New Roman"/>
                <w:sz w:val="18"/>
                <w:szCs w:val="18"/>
                <w:lang w:eastAsia="es-ES_tradnl"/>
              </w:rPr>
            </w:pPr>
            <w:r w:rsidRPr="00F16661">
              <w:rPr>
                <w:rFonts w:eastAsia="Times New Roman"/>
                <w:sz w:val="18"/>
                <w:szCs w:val="18"/>
                <w:lang w:eastAsia="es-ES_tradnl"/>
              </w:rPr>
              <w:t>Tipo de enlace</w:t>
            </w:r>
          </w:p>
        </w:tc>
        <w:tc>
          <w:tcPr>
            <w:tcW w:w="23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eastAsia="Times New Roman"/>
                <w:sz w:val="18"/>
                <w:szCs w:val="18"/>
                <w:lang w:eastAsia="es-ES_tradnl"/>
              </w:rPr>
            </w:pPr>
            <w:r w:rsidRPr="00F16661">
              <w:rPr>
                <w:rFonts w:eastAsia="Times New Roman"/>
                <w:sz w:val="18"/>
                <w:szCs w:val="18"/>
                <w:lang w:eastAsia="es-ES_tradnl"/>
              </w:rPr>
              <w:t>Tipo de enlace: síncrono o asíncrono.</w:t>
            </w:r>
          </w:p>
        </w:tc>
        <w:tc>
          <w:tcPr>
            <w:tcW w:w="11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eastAsia="Times New Roman"/>
                <w:sz w:val="18"/>
                <w:szCs w:val="18"/>
                <w:lang w:eastAsia="es-ES_tradnl"/>
              </w:rPr>
            </w:pPr>
            <w:r w:rsidRPr="00F16661">
              <w:rPr>
                <w:rFonts w:eastAsia="Times New Roman"/>
                <w:sz w:val="18"/>
                <w:szCs w:val="18"/>
                <w:lang w:eastAsia="es-ES_tradnl"/>
              </w:rPr>
              <w:t>Opción: Síncrono/Asíncrono</w:t>
            </w:r>
          </w:p>
        </w:tc>
      </w:tr>
      <w:tr w:rsidR="00006D5C" w:rsidRPr="00F16661" w:rsidTr="008E317A">
        <w:trPr>
          <w:trHeight w:val="165"/>
        </w:trPr>
        <w:tc>
          <w:tcPr>
            <w:tcW w:w="146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eastAsia="Times New Roman"/>
                <w:sz w:val="18"/>
                <w:szCs w:val="18"/>
                <w:lang w:eastAsia="es-ES_tradnl"/>
              </w:rPr>
            </w:pPr>
            <w:r w:rsidRPr="00F16661">
              <w:rPr>
                <w:rFonts w:eastAsia="Times New Roman"/>
                <w:sz w:val="18"/>
                <w:szCs w:val="18"/>
                <w:lang w:eastAsia="es-ES_tradnl"/>
              </w:rPr>
              <w:t>Número de interfaces físicas del enlace</w:t>
            </w:r>
          </w:p>
        </w:tc>
        <w:tc>
          <w:tcPr>
            <w:tcW w:w="23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eastAsia="Times New Roman"/>
                <w:sz w:val="18"/>
                <w:szCs w:val="18"/>
                <w:lang w:eastAsia="es-ES_tradnl"/>
              </w:rPr>
            </w:pPr>
            <w:r w:rsidRPr="00F16661">
              <w:rPr>
                <w:rFonts w:eastAsia="Times New Roman"/>
                <w:sz w:val="18"/>
                <w:szCs w:val="18"/>
                <w:lang w:eastAsia="es-ES_tradnl"/>
              </w:rPr>
              <w:t>Cantidad de puertos utilizados para transportar el tráfico.</w:t>
            </w:r>
          </w:p>
        </w:tc>
        <w:tc>
          <w:tcPr>
            <w:tcW w:w="11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eastAsia="Times New Roman"/>
                <w:sz w:val="18"/>
                <w:szCs w:val="18"/>
                <w:lang w:eastAsia="es-ES_tradnl"/>
              </w:rPr>
            </w:pPr>
            <w:r w:rsidRPr="00F16661">
              <w:rPr>
                <w:rFonts w:eastAsia="Times New Roman"/>
                <w:sz w:val="18"/>
                <w:szCs w:val="18"/>
                <w:lang w:eastAsia="es-ES_tradnl"/>
              </w:rPr>
              <w:t>Número entero</w:t>
            </w:r>
          </w:p>
        </w:tc>
      </w:tr>
      <w:tr w:rsidR="00006D5C" w:rsidRPr="00F16661" w:rsidTr="008E317A">
        <w:trPr>
          <w:trHeight w:val="30"/>
        </w:trPr>
        <w:tc>
          <w:tcPr>
            <w:tcW w:w="146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eastAsia="Times New Roman"/>
                <w:sz w:val="18"/>
                <w:szCs w:val="18"/>
                <w:lang w:eastAsia="es-ES_tradnl"/>
              </w:rPr>
            </w:pPr>
            <w:r w:rsidRPr="00F16661">
              <w:rPr>
                <w:rFonts w:eastAsia="Times New Roman"/>
                <w:sz w:val="18"/>
                <w:szCs w:val="18"/>
                <w:lang w:eastAsia="es-ES_tradnl"/>
              </w:rPr>
              <w:t>Redundancia física</w:t>
            </w:r>
          </w:p>
        </w:tc>
        <w:tc>
          <w:tcPr>
            <w:tcW w:w="23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eastAsia="Times New Roman"/>
                <w:sz w:val="18"/>
                <w:szCs w:val="18"/>
                <w:lang w:eastAsia="es-ES_tradnl"/>
              </w:rPr>
            </w:pPr>
            <w:r w:rsidRPr="00F16661">
              <w:rPr>
                <w:rFonts w:eastAsia="Times New Roman"/>
                <w:sz w:val="18"/>
                <w:szCs w:val="18"/>
                <w:lang w:eastAsia="es-ES_tradnl"/>
              </w:rPr>
              <w:t>Indicar si existe o no redundancia en el enlace.</w:t>
            </w:r>
          </w:p>
        </w:tc>
        <w:tc>
          <w:tcPr>
            <w:tcW w:w="11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eastAsia="Times New Roman"/>
                <w:sz w:val="18"/>
                <w:szCs w:val="18"/>
                <w:lang w:eastAsia="es-ES_tradnl"/>
              </w:rPr>
            </w:pPr>
            <w:r w:rsidRPr="00F16661">
              <w:rPr>
                <w:rFonts w:eastAsia="Times New Roman"/>
                <w:sz w:val="18"/>
                <w:szCs w:val="18"/>
                <w:lang w:eastAsia="es-ES_tradnl"/>
              </w:rPr>
              <w:t>Opción: Sí/No</w:t>
            </w:r>
          </w:p>
        </w:tc>
      </w:tr>
      <w:tr w:rsidR="00006D5C" w:rsidRPr="00F16661" w:rsidTr="008E317A">
        <w:trPr>
          <w:trHeight w:val="30"/>
        </w:trPr>
        <w:tc>
          <w:tcPr>
            <w:tcW w:w="146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eastAsia="Times New Roman"/>
                <w:sz w:val="18"/>
                <w:szCs w:val="18"/>
                <w:lang w:eastAsia="es-ES_tradnl"/>
              </w:rPr>
            </w:pPr>
            <w:r w:rsidRPr="00F16661">
              <w:rPr>
                <w:rFonts w:eastAsia="Times New Roman"/>
                <w:sz w:val="18"/>
                <w:szCs w:val="18"/>
                <w:lang w:eastAsia="es-ES_tradnl"/>
              </w:rPr>
              <w:t>Tecnología de transporte</w:t>
            </w:r>
          </w:p>
        </w:tc>
        <w:tc>
          <w:tcPr>
            <w:tcW w:w="23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eastAsia="Times New Roman"/>
                <w:sz w:val="18"/>
                <w:szCs w:val="18"/>
                <w:lang w:eastAsia="es-ES_tradnl"/>
              </w:rPr>
            </w:pPr>
            <w:r w:rsidRPr="00F16661">
              <w:rPr>
                <w:rFonts w:eastAsia="Times New Roman"/>
                <w:sz w:val="18"/>
                <w:szCs w:val="18"/>
                <w:lang w:eastAsia="es-ES_tradnl"/>
              </w:rPr>
              <w:t>Estándar de comunicaciones que se utiliza para transportar tráfico, por ejemplo: SDH, TDM, IP, otro.</w:t>
            </w:r>
          </w:p>
        </w:tc>
        <w:tc>
          <w:tcPr>
            <w:tcW w:w="11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eastAsia="Times New Roman"/>
                <w:sz w:val="18"/>
                <w:szCs w:val="18"/>
                <w:lang w:eastAsia="es-ES_tradnl"/>
              </w:rPr>
            </w:pPr>
            <w:r w:rsidRPr="00F16661">
              <w:rPr>
                <w:rFonts w:eastAsia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06D5C" w:rsidRPr="00F16661" w:rsidTr="008E317A">
        <w:trPr>
          <w:trHeight w:val="90"/>
        </w:trPr>
        <w:tc>
          <w:tcPr>
            <w:tcW w:w="146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eastAsia="Times New Roman"/>
                <w:sz w:val="18"/>
                <w:szCs w:val="18"/>
                <w:lang w:eastAsia="es-ES_tradnl"/>
              </w:rPr>
            </w:pPr>
            <w:r w:rsidRPr="00F16661">
              <w:rPr>
                <w:rFonts w:eastAsia="Times New Roman"/>
                <w:sz w:val="18"/>
                <w:szCs w:val="18"/>
                <w:lang w:eastAsia="es-ES_tradnl"/>
              </w:rPr>
              <w:t>Jerarquía digital asignada</w:t>
            </w:r>
          </w:p>
        </w:tc>
        <w:tc>
          <w:tcPr>
            <w:tcW w:w="23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eastAsia="Times New Roman"/>
                <w:sz w:val="18"/>
                <w:szCs w:val="18"/>
                <w:lang w:eastAsia="es-ES_tradnl"/>
              </w:rPr>
            </w:pPr>
            <w:r w:rsidRPr="00F16661">
              <w:rPr>
                <w:rFonts w:eastAsia="Times New Roman"/>
                <w:sz w:val="18"/>
                <w:szCs w:val="18"/>
                <w:lang w:eastAsia="es-ES_tradnl"/>
              </w:rPr>
              <w:t>Indicar el tipo de interface de transporte, por ejemplo: STM-N, Ethernet, E0, E1, E2, E3, otro.</w:t>
            </w:r>
          </w:p>
        </w:tc>
        <w:tc>
          <w:tcPr>
            <w:tcW w:w="11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eastAsia="Times New Roman"/>
                <w:sz w:val="18"/>
                <w:szCs w:val="18"/>
                <w:lang w:eastAsia="es-ES_tradnl"/>
              </w:rPr>
            </w:pPr>
            <w:r w:rsidRPr="00F16661">
              <w:rPr>
                <w:rFonts w:eastAsia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06D5C" w:rsidRPr="00F16661" w:rsidTr="008E317A">
        <w:trPr>
          <w:trHeight w:val="90"/>
        </w:trPr>
        <w:tc>
          <w:tcPr>
            <w:tcW w:w="146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eastAsia="Times New Roman"/>
                <w:sz w:val="18"/>
                <w:szCs w:val="18"/>
                <w:lang w:eastAsia="es-ES_tradnl"/>
              </w:rPr>
            </w:pPr>
            <w:r w:rsidRPr="00F16661">
              <w:rPr>
                <w:rFonts w:eastAsia="Times New Roman"/>
                <w:sz w:val="18"/>
                <w:szCs w:val="18"/>
                <w:lang w:eastAsia="es-ES_tradnl"/>
              </w:rPr>
              <w:t>Modalidad</w:t>
            </w:r>
          </w:p>
        </w:tc>
        <w:tc>
          <w:tcPr>
            <w:tcW w:w="23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eastAsia="Times New Roman"/>
                <w:sz w:val="18"/>
                <w:szCs w:val="18"/>
                <w:lang w:eastAsia="es-ES_tradnl"/>
              </w:rPr>
            </w:pPr>
            <w:r w:rsidRPr="00F16661">
              <w:rPr>
                <w:rFonts w:eastAsia="Times New Roman"/>
                <w:sz w:val="18"/>
                <w:szCs w:val="18"/>
                <w:lang w:eastAsia="es-ES_tradnl"/>
              </w:rPr>
              <w:t>Seleccionar si el enlace es punto a punto o punto a multipunto.</w:t>
            </w:r>
          </w:p>
        </w:tc>
        <w:tc>
          <w:tcPr>
            <w:tcW w:w="11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eastAsia="Times New Roman"/>
                <w:sz w:val="18"/>
                <w:szCs w:val="18"/>
                <w:lang w:eastAsia="es-ES_tradnl"/>
              </w:rPr>
            </w:pPr>
            <w:r w:rsidRPr="00F16661">
              <w:rPr>
                <w:rFonts w:eastAsia="Times New Roman"/>
                <w:sz w:val="18"/>
                <w:szCs w:val="18"/>
                <w:lang w:eastAsia="es-ES_tradnl"/>
              </w:rPr>
              <w:t>Opción: Punto a punto/Multipunto</w:t>
            </w:r>
          </w:p>
        </w:tc>
      </w:tr>
      <w:tr w:rsidR="00006D5C" w:rsidRPr="00F16661" w:rsidTr="008E317A">
        <w:trPr>
          <w:trHeight w:val="30"/>
        </w:trPr>
        <w:tc>
          <w:tcPr>
            <w:tcW w:w="146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eastAsia="Times New Roman"/>
                <w:sz w:val="18"/>
                <w:szCs w:val="18"/>
                <w:lang w:eastAsia="es-ES_tradnl"/>
              </w:rPr>
            </w:pPr>
            <w:r w:rsidRPr="00F16661">
              <w:rPr>
                <w:rFonts w:eastAsia="Times New Roman"/>
                <w:sz w:val="18"/>
                <w:szCs w:val="18"/>
                <w:lang w:eastAsia="es-ES_tradnl"/>
              </w:rPr>
              <w:t>Tasa máxima de pérdida de paquetes</w:t>
            </w:r>
          </w:p>
        </w:tc>
        <w:tc>
          <w:tcPr>
            <w:tcW w:w="23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eastAsia="Times New Roman"/>
                <w:sz w:val="18"/>
                <w:szCs w:val="18"/>
                <w:lang w:eastAsia="es-ES_tradnl"/>
              </w:rPr>
            </w:pPr>
            <w:r w:rsidRPr="00F16661">
              <w:rPr>
                <w:rFonts w:eastAsia="Times New Roman"/>
                <w:sz w:val="18"/>
                <w:szCs w:val="18"/>
                <w:lang w:eastAsia="es-ES_tradnl"/>
              </w:rPr>
              <w:t>Tasa máxima de pérdida de paquetes a través del enlace.</w:t>
            </w:r>
          </w:p>
        </w:tc>
        <w:tc>
          <w:tcPr>
            <w:tcW w:w="11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eastAsia="Times New Roman"/>
                <w:sz w:val="18"/>
                <w:szCs w:val="18"/>
                <w:lang w:eastAsia="es-ES_tradnl"/>
              </w:rPr>
            </w:pPr>
            <w:r w:rsidRPr="00F16661">
              <w:rPr>
                <w:rFonts w:eastAsia="Times New Roman"/>
                <w:sz w:val="18"/>
                <w:szCs w:val="18"/>
                <w:lang w:eastAsia="es-ES_tradnl"/>
              </w:rPr>
              <w:t>Porcentaje [%]</w:t>
            </w:r>
          </w:p>
        </w:tc>
      </w:tr>
      <w:tr w:rsidR="00006D5C" w:rsidRPr="00F16661" w:rsidTr="008E317A">
        <w:trPr>
          <w:trHeight w:val="360"/>
        </w:trPr>
        <w:tc>
          <w:tcPr>
            <w:tcW w:w="146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eastAsia="Times New Roman"/>
                <w:sz w:val="18"/>
                <w:szCs w:val="18"/>
                <w:lang w:eastAsia="es-ES_tradnl"/>
              </w:rPr>
            </w:pPr>
            <w:r w:rsidRPr="00F16661">
              <w:rPr>
                <w:rFonts w:eastAsia="Times New Roman"/>
                <w:sz w:val="18"/>
                <w:szCs w:val="18"/>
                <w:lang w:eastAsia="es-ES_tradnl"/>
              </w:rPr>
              <w:t>Porcentaje de ancho de banda de la interfaz garantizado</w:t>
            </w:r>
          </w:p>
        </w:tc>
        <w:tc>
          <w:tcPr>
            <w:tcW w:w="23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eastAsia="Times New Roman"/>
                <w:sz w:val="18"/>
                <w:szCs w:val="18"/>
                <w:lang w:eastAsia="es-ES_tradnl"/>
              </w:rPr>
            </w:pPr>
            <w:r w:rsidRPr="00F16661">
              <w:rPr>
                <w:rFonts w:eastAsia="Times New Roman"/>
                <w:sz w:val="18"/>
                <w:szCs w:val="18"/>
                <w:lang w:eastAsia="es-ES_tradnl"/>
              </w:rPr>
              <w:t>Porcentaje que se garantiza mínimo del total de la capacidad del enlace.</w:t>
            </w:r>
          </w:p>
        </w:tc>
        <w:tc>
          <w:tcPr>
            <w:tcW w:w="11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eastAsia="Times New Roman"/>
                <w:sz w:val="18"/>
                <w:szCs w:val="18"/>
                <w:lang w:eastAsia="es-ES_tradnl"/>
              </w:rPr>
            </w:pPr>
            <w:r w:rsidRPr="00F16661">
              <w:rPr>
                <w:rFonts w:eastAsia="Times New Roman"/>
                <w:sz w:val="18"/>
                <w:szCs w:val="18"/>
                <w:lang w:eastAsia="es-ES_tradnl"/>
              </w:rPr>
              <w:t>Porcentaje [%]</w:t>
            </w:r>
          </w:p>
        </w:tc>
      </w:tr>
      <w:tr w:rsidR="00006D5C" w:rsidRPr="00F16661" w:rsidTr="008E317A">
        <w:trPr>
          <w:trHeight w:val="210"/>
        </w:trPr>
        <w:tc>
          <w:tcPr>
            <w:tcW w:w="146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eastAsia="Times New Roman"/>
                <w:sz w:val="18"/>
                <w:szCs w:val="18"/>
                <w:lang w:eastAsia="es-ES_tradnl"/>
              </w:rPr>
            </w:pPr>
            <w:r w:rsidRPr="00F16661">
              <w:rPr>
                <w:rFonts w:eastAsia="Times New Roman"/>
                <w:sz w:val="18"/>
                <w:szCs w:val="18"/>
                <w:lang w:eastAsia="es-ES_tradnl"/>
              </w:rPr>
              <w:t>Retardo de transmisión de la trama por cada 100 km</w:t>
            </w:r>
          </w:p>
        </w:tc>
        <w:tc>
          <w:tcPr>
            <w:tcW w:w="23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eastAsia="Times New Roman"/>
                <w:sz w:val="18"/>
                <w:szCs w:val="18"/>
                <w:lang w:eastAsia="es-ES_tradnl"/>
              </w:rPr>
            </w:pPr>
            <w:r w:rsidRPr="00F16661">
              <w:rPr>
                <w:rFonts w:eastAsia="Times New Roman"/>
                <w:sz w:val="18"/>
                <w:szCs w:val="18"/>
                <w:lang w:eastAsia="es-ES_tradnl"/>
              </w:rPr>
              <w:t>Retardo de transmisión de la trama por cada 100 km.</w:t>
            </w:r>
          </w:p>
        </w:tc>
        <w:tc>
          <w:tcPr>
            <w:tcW w:w="11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eastAsia="Times New Roman"/>
                <w:sz w:val="18"/>
                <w:szCs w:val="18"/>
                <w:lang w:eastAsia="es-ES_tradnl"/>
              </w:rPr>
            </w:pPr>
            <w:r w:rsidRPr="00F16661">
              <w:rPr>
                <w:rFonts w:eastAsia="Times New Roman"/>
                <w:sz w:val="18"/>
                <w:szCs w:val="18"/>
                <w:lang w:eastAsia="es-ES_tradnl"/>
              </w:rPr>
              <w:t>Milisegundo [ms]</w:t>
            </w:r>
          </w:p>
        </w:tc>
      </w:tr>
      <w:tr w:rsidR="00006D5C" w:rsidRPr="00F16661" w:rsidTr="008E317A">
        <w:trPr>
          <w:trHeight w:val="795"/>
        </w:trPr>
        <w:tc>
          <w:tcPr>
            <w:tcW w:w="146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eastAsia="Times New Roman"/>
                <w:sz w:val="18"/>
                <w:szCs w:val="18"/>
                <w:lang w:eastAsia="es-ES_tradnl"/>
              </w:rPr>
            </w:pPr>
            <w:r w:rsidRPr="00F16661">
              <w:rPr>
                <w:rFonts w:eastAsia="Times New Roman"/>
                <w:sz w:val="18"/>
                <w:szCs w:val="18"/>
                <w:lang w:eastAsia="es-ES_tradnl"/>
              </w:rPr>
              <w:lastRenderedPageBreak/>
              <w:t>Porcentaje de disponibilidad del enlace con redundancia</w:t>
            </w:r>
          </w:p>
        </w:tc>
        <w:tc>
          <w:tcPr>
            <w:tcW w:w="23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eastAsia="Times New Roman"/>
                <w:sz w:val="18"/>
                <w:szCs w:val="18"/>
                <w:lang w:eastAsia="es-ES_tradnl"/>
              </w:rPr>
            </w:pPr>
            <w:r w:rsidRPr="00F16661">
              <w:rPr>
                <w:rFonts w:eastAsia="Times New Roman"/>
                <w:sz w:val="18"/>
                <w:szCs w:val="18"/>
                <w:lang w:eastAsia="es-ES_tradnl"/>
              </w:rPr>
              <w:t>Tasa de disponibilidad mínima de un enlace que cuenta con redundancia.</w:t>
            </w:r>
          </w:p>
        </w:tc>
        <w:tc>
          <w:tcPr>
            <w:tcW w:w="11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eastAsia="Times New Roman"/>
                <w:sz w:val="18"/>
                <w:szCs w:val="18"/>
                <w:lang w:eastAsia="es-ES_tradnl"/>
              </w:rPr>
            </w:pPr>
            <w:r w:rsidRPr="00F16661">
              <w:rPr>
                <w:rFonts w:eastAsia="Times New Roman"/>
                <w:sz w:val="18"/>
                <w:szCs w:val="18"/>
                <w:lang w:eastAsia="es-ES_tradnl"/>
              </w:rPr>
              <w:t>Porcentaje [%]</w:t>
            </w:r>
          </w:p>
        </w:tc>
      </w:tr>
      <w:tr w:rsidR="00006D5C" w:rsidRPr="00F16661" w:rsidTr="008E317A">
        <w:trPr>
          <w:trHeight w:val="660"/>
        </w:trPr>
        <w:tc>
          <w:tcPr>
            <w:tcW w:w="146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eastAsia="Times New Roman"/>
                <w:sz w:val="18"/>
                <w:szCs w:val="18"/>
                <w:lang w:eastAsia="es-ES_tradnl"/>
              </w:rPr>
            </w:pPr>
            <w:r w:rsidRPr="00F16661">
              <w:rPr>
                <w:rFonts w:eastAsia="Times New Roman"/>
                <w:sz w:val="18"/>
                <w:szCs w:val="18"/>
                <w:lang w:eastAsia="es-ES_tradnl"/>
              </w:rPr>
              <w:t>Porcentaje de disponibilidad del enlace sin redundancia</w:t>
            </w:r>
          </w:p>
        </w:tc>
        <w:tc>
          <w:tcPr>
            <w:tcW w:w="23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eastAsia="Times New Roman"/>
                <w:sz w:val="18"/>
                <w:szCs w:val="18"/>
                <w:lang w:eastAsia="es-ES_tradnl"/>
              </w:rPr>
            </w:pPr>
            <w:r w:rsidRPr="00F16661">
              <w:rPr>
                <w:rFonts w:eastAsia="Times New Roman"/>
                <w:sz w:val="18"/>
                <w:szCs w:val="18"/>
                <w:lang w:eastAsia="es-ES_tradnl"/>
              </w:rPr>
              <w:t>Tasa de disponibilidad mínima de un enlace que no cuenta con redundancia.</w:t>
            </w:r>
          </w:p>
        </w:tc>
        <w:tc>
          <w:tcPr>
            <w:tcW w:w="11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D5C" w:rsidRPr="00F16661" w:rsidRDefault="00006D5C" w:rsidP="008E317A">
            <w:pPr>
              <w:spacing w:line="240" w:lineRule="auto"/>
              <w:rPr>
                <w:rFonts w:eastAsia="Times New Roman"/>
                <w:sz w:val="18"/>
                <w:szCs w:val="18"/>
                <w:lang w:eastAsia="es-ES_tradnl"/>
              </w:rPr>
            </w:pPr>
            <w:r w:rsidRPr="00F16661">
              <w:rPr>
                <w:rFonts w:eastAsia="Times New Roman"/>
                <w:sz w:val="18"/>
                <w:szCs w:val="18"/>
                <w:lang w:eastAsia="es-ES_tradnl"/>
              </w:rPr>
              <w:t>Porcentaje [%]</w:t>
            </w:r>
          </w:p>
        </w:tc>
      </w:tr>
      <w:tr w:rsidR="00006D5C" w:rsidRPr="00F16661" w:rsidTr="008E317A">
        <w:trPr>
          <w:trHeight w:val="300"/>
        </w:trPr>
        <w:tc>
          <w:tcPr>
            <w:tcW w:w="146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6D5C" w:rsidRPr="00F16661" w:rsidRDefault="00006D5C" w:rsidP="008E317A">
            <w:pPr>
              <w:spacing w:line="240" w:lineRule="auto"/>
              <w:rPr>
                <w:rFonts w:eastAsia="Times New Roman"/>
                <w:sz w:val="18"/>
                <w:szCs w:val="18"/>
                <w:lang w:eastAsia="es-ES_tradnl"/>
              </w:rPr>
            </w:pPr>
            <w:r w:rsidRPr="00F16661">
              <w:rPr>
                <w:rFonts w:eastAsia="Times New Roman"/>
                <w:sz w:val="18"/>
                <w:szCs w:val="18"/>
                <w:lang w:eastAsia="es-ES_tradnl"/>
              </w:rPr>
              <w:t xml:space="preserve">Número de puerto de origen </w:t>
            </w:r>
          </w:p>
        </w:tc>
        <w:tc>
          <w:tcPr>
            <w:tcW w:w="23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6D5C" w:rsidRPr="00F16661" w:rsidRDefault="00006D5C" w:rsidP="008E317A">
            <w:pPr>
              <w:spacing w:line="240" w:lineRule="auto"/>
              <w:rPr>
                <w:rFonts w:eastAsia="Times New Roman"/>
                <w:sz w:val="18"/>
                <w:szCs w:val="18"/>
                <w:lang w:eastAsia="es-ES_tradnl"/>
              </w:rPr>
            </w:pPr>
            <w:r w:rsidRPr="00F16661">
              <w:rPr>
                <w:rFonts w:eastAsia="Times New Roman"/>
                <w:sz w:val="18"/>
                <w:szCs w:val="18"/>
                <w:lang w:eastAsia="es-ES_tradnl"/>
              </w:rPr>
              <w:t>Indicar el número de puerto del elemento de infraestructura activa de origen.</w:t>
            </w:r>
          </w:p>
        </w:tc>
        <w:tc>
          <w:tcPr>
            <w:tcW w:w="11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6D5C" w:rsidRPr="00F16661" w:rsidRDefault="00006D5C" w:rsidP="008E317A">
            <w:pPr>
              <w:spacing w:line="240" w:lineRule="auto"/>
              <w:rPr>
                <w:rFonts w:eastAsia="Times New Roman"/>
                <w:sz w:val="18"/>
                <w:szCs w:val="18"/>
                <w:lang w:eastAsia="es-ES_tradnl"/>
              </w:rPr>
            </w:pPr>
            <w:r w:rsidRPr="00F16661">
              <w:rPr>
                <w:rFonts w:eastAsia="Times New Roman"/>
                <w:sz w:val="18"/>
                <w:szCs w:val="18"/>
                <w:lang w:eastAsia="es-ES_tradnl"/>
              </w:rPr>
              <w:t>Número entero</w:t>
            </w:r>
          </w:p>
        </w:tc>
      </w:tr>
      <w:tr w:rsidR="00006D5C" w:rsidRPr="00F16661" w:rsidTr="008E317A">
        <w:trPr>
          <w:trHeight w:val="300"/>
        </w:trPr>
        <w:tc>
          <w:tcPr>
            <w:tcW w:w="146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6D5C" w:rsidRPr="00F16661" w:rsidRDefault="00006D5C" w:rsidP="008E317A">
            <w:pPr>
              <w:spacing w:line="240" w:lineRule="auto"/>
              <w:rPr>
                <w:rFonts w:eastAsia="Times New Roman"/>
                <w:sz w:val="18"/>
                <w:szCs w:val="18"/>
                <w:lang w:eastAsia="es-ES_tradnl"/>
              </w:rPr>
            </w:pPr>
            <w:r w:rsidRPr="00F16661">
              <w:rPr>
                <w:rFonts w:eastAsia="Times New Roman"/>
                <w:sz w:val="18"/>
                <w:szCs w:val="18"/>
                <w:lang w:eastAsia="es-ES_tradnl"/>
              </w:rPr>
              <w:t xml:space="preserve">Número de puerto de destino </w:t>
            </w:r>
          </w:p>
        </w:tc>
        <w:tc>
          <w:tcPr>
            <w:tcW w:w="23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6D5C" w:rsidRPr="00F16661" w:rsidRDefault="00006D5C" w:rsidP="008E317A">
            <w:pPr>
              <w:spacing w:line="240" w:lineRule="auto"/>
              <w:rPr>
                <w:rFonts w:eastAsia="Times New Roman"/>
                <w:sz w:val="18"/>
                <w:szCs w:val="18"/>
                <w:lang w:eastAsia="es-ES_tradnl"/>
              </w:rPr>
            </w:pPr>
            <w:r w:rsidRPr="00F16661">
              <w:rPr>
                <w:rFonts w:eastAsia="Times New Roman"/>
                <w:sz w:val="18"/>
                <w:szCs w:val="18"/>
                <w:lang w:eastAsia="es-ES_tradnl"/>
              </w:rPr>
              <w:t>Indicar el número de puerto del elemento de infraestructura activa de destino.</w:t>
            </w:r>
          </w:p>
        </w:tc>
        <w:tc>
          <w:tcPr>
            <w:tcW w:w="11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6D5C" w:rsidRPr="00F16661" w:rsidRDefault="00006D5C" w:rsidP="008E317A">
            <w:pPr>
              <w:spacing w:line="240" w:lineRule="auto"/>
              <w:rPr>
                <w:rFonts w:eastAsia="Times New Roman"/>
                <w:sz w:val="18"/>
                <w:szCs w:val="18"/>
                <w:lang w:eastAsia="es-ES_tradnl"/>
              </w:rPr>
            </w:pPr>
            <w:r w:rsidRPr="00F16661">
              <w:rPr>
                <w:rFonts w:eastAsia="Times New Roman"/>
                <w:sz w:val="18"/>
                <w:szCs w:val="18"/>
                <w:lang w:eastAsia="es-ES_tradnl"/>
              </w:rPr>
              <w:t>Número entero</w:t>
            </w:r>
          </w:p>
        </w:tc>
      </w:tr>
    </w:tbl>
    <w:p w:rsidR="00006D5C" w:rsidRPr="00F16661" w:rsidRDefault="00006D5C" w:rsidP="00006D5C">
      <w:pPr>
        <w:rPr>
          <w:sz w:val="18"/>
          <w:szCs w:val="18"/>
        </w:rPr>
      </w:pPr>
    </w:p>
    <w:p w:rsidR="00483884" w:rsidRPr="00483884" w:rsidRDefault="00483884" w:rsidP="00483884">
      <w:pPr>
        <w:rPr>
          <w:rFonts w:asciiTheme="minorHAnsi" w:hAnsiTheme="minorHAnsi" w:cstheme="minorHAnsi"/>
        </w:rPr>
      </w:pPr>
    </w:p>
    <w:p w:rsidR="00483884" w:rsidRPr="00483884" w:rsidRDefault="00483884" w:rsidP="00483884">
      <w:pPr>
        <w:rPr>
          <w:rFonts w:asciiTheme="minorHAnsi" w:hAnsiTheme="minorHAnsi" w:cstheme="minorHAnsi"/>
        </w:rPr>
      </w:pPr>
    </w:p>
    <w:sectPr w:rsidR="00483884" w:rsidRPr="004838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150" w:rsidRDefault="000B7150" w:rsidP="0058087E">
      <w:pPr>
        <w:spacing w:line="240" w:lineRule="auto"/>
      </w:pPr>
      <w:r>
        <w:separator/>
      </w:r>
    </w:p>
  </w:endnote>
  <w:endnote w:type="continuationSeparator" w:id="0">
    <w:p w:rsidR="000B7150" w:rsidRDefault="000B7150" w:rsidP="005808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24" w:rsidRDefault="006F032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0612304"/>
      <w:docPartObj>
        <w:docPartGallery w:val="Page Numbers (Bottom of Page)"/>
        <w:docPartUnique/>
      </w:docPartObj>
    </w:sdtPr>
    <w:sdtEndPr/>
    <w:sdtContent>
      <w:p w:rsidR="0058087E" w:rsidRDefault="0058087E" w:rsidP="0058087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324" w:rsidRPr="006F0324">
          <w:rPr>
            <w:noProof/>
            <w:lang w:val="es-ES"/>
          </w:rPr>
          <w:t>1</w:t>
        </w:r>
        <w:r>
          <w:fldChar w:fldCharType="end"/>
        </w:r>
        <w:r>
          <w:t xml:space="preserve"> de </w:t>
        </w:r>
        <w:sdt>
          <w:sdtPr>
            <w:id w:val="-2005743221"/>
            <w:docPartObj>
              <w:docPartGallery w:val="Page Numbers (Bottom of Page)"/>
              <w:docPartUnique/>
            </w:docPartObj>
          </w:sdtPr>
          <w:sdtEndPr/>
          <w:sdtContent>
            <w:r w:rsidR="000B7150">
              <w:fldChar w:fldCharType="begin"/>
            </w:r>
            <w:r w:rsidR="000B7150">
              <w:instrText xml:space="preserve"> NUMPAGES   \* MERGEFORMAT </w:instrText>
            </w:r>
            <w:r w:rsidR="000B7150">
              <w:fldChar w:fldCharType="separate"/>
            </w:r>
            <w:r w:rsidR="006F0324">
              <w:rPr>
                <w:noProof/>
              </w:rPr>
              <w:t>8</w:t>
            </w:r>
            <w:r w:rsidR="000B7150">
              <w:rPr>
                <w:noProof/>
              </w:rPr>
              <w:fldChar w:fldCharType="end"/>
            </w:r>
          </w:sdtContent>
        </w:sdt>
      </w:p>
    </w:sdtContent>
  </w:sdt>
  <w:p w:rsidR="0058087E" w:rsidRDefault="0058087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24" w:rsidRDefault="006F03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150" w:rsidRDefault="000B7150" w:rsidP="0058087E">
      <w:pPr>
        <w:spacing w:line="240" w:lineRule="auto"/>
      </w:pPr>
      <w:r>
        <w:separator/>
      </w:r>
    </w:p>
  </w:footnote>
  <w:footnote w:type="continuationSeparator" w:id="0">
    <w:p w:rsidR="000B7150" w:rsidRDefault="000B7150" w:rsidP="005808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24" w:rsidRDefault="006F032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7031829" o:spid="_x0000_s2050" type="#_x0000_t136" style="position:absolute;margin-left:0;margin-top:0;width:575.1pt;height:47.9pt;rotation:315;z-index:-251655168;mso-position-horizontal:center;mso-position-horizontal-relative:margin;mso-position-vertical:center;mso-position-vertical-relative:margin" o:allowincell="f" fillcolor="#7f7f7f [1612]" stroked="f">
          <v:textpath style="font-family:&quot;Arial&quot;;font-size:1pt" string="DOCUMENTO DE TRABAJ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24" w:rsidRDefault="006F0324" w:rsidP="006F0324">
    <w:pPr>
      <w:pStyle w:val="Encabezado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7031830" o:spid="_x0000_s2051" type="#_x0000_t136" style="position:absolute;left:0;text-align:left;margin-left:0;margin-top:0;width:575.1pt;height:47.9pt;rotation:315;z-index:-251653120;mso-position-horizontal:center;mso-position-horizontal-relative:margin;mso-position-vertical:center;mso-position-vertical-relative:margin" o:allowincell="f" fillcolor="#7f7f7f [1612]" stroked="f">
          <v:textpath style="font-family:&quot;Arial&quot;;font-size:1pt" string="DOCUMENTO DE TRABAJO"/>
        </v:shape>
      </w:pict>
    </w:r>
    <w:r>
      <w:t>Unidad de Política Regulatoria – Opinión Pública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24" w:rsidRDefault="006F032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7031828" o:spid="_x0000_s2049" type="#_x0000_t136" style="position:absolute;margin-left:0;margin-top:0;width:575.1pt;height:47.9pt;rotation:315;z-index:-251657216;mso-position-horizontal:center;mso-position-horizontal-relative:margin;mso-position-vertical:center;mso-position-vertical-relative:margin" o:allowincell="f" fillcolor="#7f7f7f [1612]" stroked="f">
          <v:textpath style="font-family:&quot;Arial&quot;;font-size:1pt" string="DOCUMENTO DE TRABAJ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5D6"/>
    <w:multiLevelType w:val="hybridMultilevel"/>
    <w:tmpl w:val="8B8C07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732BE"/>
    <w:multiLevelType w:val="hybridMultilevel"/>
    <w:tmpl w:val="E4E0E4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7F64"/>
    <w:multiLevelType w:val="hybridMultilevel"/>
    <w:tmpl w:val="04BE4B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41F5D"/>
    <w:multiLevelType w:val="hybridMultilevel"/>
    <w:tmpl w:val="E02C93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12D3F"/>
    <w:multiLevelType w:val="hybridMultilevel"/>
    <w:tmpl w:val="034E22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C634B"/>
    <w:multiLevelType w:val="hybridMultilevel"/>
    <w:tmpl w:val="E6D06B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F4D99"/>
    <w:multiLevelType w:val="hybridMultilevel"/>
    <w:tmpl w:val="6BA4D2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B2D7A"/>
    <w:multiLevelType w:val="hybridMultilevel"/>
    <w:tmpl w:val="A48877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17455"/>
    <w:multiLevelType w:val="hybridMultilevel"/>
    <w:tmpl w:val="78AA7F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D2107"/>
    <w:multiLevelType w:val="hybridMultilevel"/>
    <w:tmpl w:val="8C949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E3779"/>
    <w:multiLevelType w:val="hybridMultilevel"/>
    <w:tmpl w:val="DBEA23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E08E4"/>
    <w:multiLevelType w:val="hybridMultilevel"/>
    <w:tmpl w:val="E76A6B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6075E"/>
    <w:multiLevelType w:val="hybridMultilevel"/>
    <w:tmpl w:val="A282DD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22C3A"/>
    <w:multiLevelType w:val="hybridMultilevel"/>
    <w:tmpl w:val="EA649D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73825"/>
    <w:multiLevelType w:val="hybridMultilevel"/>
    <w:tmpl w:val="62A6E6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F352F"/>
    <w:multiLevelType w:val="hybridMultilevel"/>
    <w:tmpl w:val="F1D2BF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75F7B"/>
    <w:multiLevelType w:val="hybridMultilevel"/>
    <w:tmpl w:val="78FA71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33058"/>
    <w:multiLevelType w:val="hybridMultilevel"/>
    <w:tmpl w:val="E76A6B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06F9D"/>
    <w:multiLevelType w:val="hybridMultilevel"/>
    <w:tmpl w:val="4AD06D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5723D"/>
    <w:multiLevelType w:val="hybridMultilevel"/>
    <w:tmpl w:val="B456BB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06F28"/>
    <w:multiLevelType w:val="hybridMultilevel"/>
    <w:tmpl w:val="E76A6B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F35E3"/>
    <w:multiLevelType w:val="hybridMultilevel"/>
    <w:tmpl w:val="E76A6B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D3E28"/>
    <w:multiLevelType w:val="hybridMultilevel"/>
    <w:tmpl w:val="68D2DD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1330E"/>
    <w:multiLevelType w:val="hybridMultilevel"/>
    <w:tmpl w:val="BB8EDE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02683"/>
    <w:multiLevelType w:val="hybridMultilevel"/>
    <w:tmpl w:val="42842D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5286A"/>
    <w:multiLevelType w:val="hybridMultilevel"/>
    <w:tmpl w:val="356488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02E68"/>
    <w:multiLevelType w:val="hybridMultilevel"/>
    <w:tmpl w:val="F5EE5D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71BA3"/>
    <w:multiLevelType w:val="hybridMultilevel"/>
    <w:tmpl w:val="D5CC7E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E21DD"/>
    <w:multiLevelType w:val="hybridMultilevel"/>
    <w:tmpl w:val="E76A6B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14E86"/>
    <w:multiLevelType w:val="hybridMultilevel"/>
    <w:tmpl w:val="83CE1C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25"/>
  </w:num>
  <w:num w:numId="10">
    <w:abstractNumId w:val="29"/>
  </w:num>
  <w:num w:numId="11">
    <w:abstractNumId w:val="22"/>
  </w:num>
  <w:num w:numId="12">
    <w:abstractNumId w:val="19"/>
  </w:num>
  <w:num w:numId="13">
    <w:abstractNumId w:val="23"/>
  </w:num>
  <w:num w:numId="14">
    <w:abstractNumId w:val="14"/>
  </w:num>
  <w:num w:numId="15">
    <w:abstractNumId w:val="18"/>
  </w:num>
  <w:num w:numId="16">
    <w:abstractNumId w:val="3"/>
  </w:num>
  <w:num w:numId="17">
    <w:abstractNumId w:val="12"/>
  </w:num>
  <w:num w:numId="18">
    <w:abstractNumId w:val="4"/>
  </w:num>
  <w:num w:numId="19">
    <w:abstractNumId w:val="26"/>
  </w:num>
  <w:num w:numId="20">
    <w:abstractNumId w:val="27"/>
  </w:num>
  <w:num w:numId="21">
    <w:abstractNumId w:val="6"/>
  </w:num>
  <w:num w:numId="22">
    <w:abstractNumId w:val="24"/>
  </w:num>
  <w:num w:numId="23">
    <w:abstractNumId w:val="5"/>
  </w:num>
  <w:num w:numId="24">
    <w:abstractNumId w:val="13"/>
  </w:num>
  <w:num w:numId="25">
    <w:abstractNumId w:val="0"/>
  </w:num>
  <w:num w:numId="26">
    <w:abstractNumId w:val="21"/>
  </w:num>
  <w:num w:numId="27">
    <w:abstractNumId w:val="11"/>
  </w:num>
  <w:num w:numId="28">
    <w:abstractNumId w:val="20"/>
  </w:num>
  <w:num w:numId="29">
    <w:abstractNumId w:val="2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16"/>
    <w:rsid w:val="00006D5C"/>
    <w:rsid w:val="00016C7F"/>
    <w:rsid w:val="000B7150"/>
    <w:rsid w:val="00185C89"/>
    <w:rsid w:val="002B2903"/>
    <w:rsid w:val="003C00E8"/>
    <w:rsid w:val="00483884"/>
    <w:rsid w:val="00555F25"/>
    <w:rsid w:val="0058087E"/>
    <w:rsid w:val="006F0324"/>
    <w:rsid w:val="00793706"/>
    <w:rsid w:val="008267E6"/>
    <w:rsid w:val="008607BF"/>
    <w:rsid w:val="00887801"/>
    <w:rsid w:val="008A6303"/>
    <w:rsid w:val="008D33AF"/>
    <w:rsid w:val="008E0EB6"/>
    <w:rsid w:val="00942D7C"/>
    <w:rsid w:val="00A65F0A"/>
    <w:rsid w:val="00A6601F"/>
    <w:rsid w:val="00A707BC"/>
    <w:rsid w:val="00A7666F"/>
    <w:rsid w:val="00BD0DDF"/>
    <w:rsid w:val="00CC0FFD"/>
    <w:rsid w:val="00D67811"/>
    <w:rsid w:val="00DC5167"/>
    <w:rsid w:val="00E734E3"/>
    <w:rsid w:val="00E82E62"/>
    <w:rsid w:val="00EE3C16"/>
    <w:rsid w:val="00EE7897"/>
    <w:rsid w:val="00FF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859697C-8EA6-4CB4-84D3-F4A556DB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E3C16"/>
    <w:pPr>
      <w:spacing w:after="0"/>
    </w:pPr>
    <w:rPr>
      <w:rFonts w:ascii="Arial" w:eastAsia="Arial" w:hAnsi="Arial" w:cs="Arial"/>
      <w:color w:val="000000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016C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rsid w:val="00CC0FFD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link w:val="Ttulo3Car"/>
    <w:rsid w:val="00CC0FFD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3C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C16"/>
    <w:rPr>
      <w:rFonts w:ascii="Tahoma" w:eastAsia="Arial" w:hAnsi="Tahoma" w:cs="Tahoma"/>
      <w:color w:val="000000"/>
      <w:sz w:val="16"/>
      <w:szCs w:val="16"/>
      <w:lang w:eastAsia="es-MX"/>
    </w:rPr>
  </w:style>
  <w:style w:type="character" w:customStyle="1" w:styleId="Ttulo2Car">
    <w:name w:val="Título 2 Car"/>
    <w:basedOn w:val="Fuentedeprrafopredeter"/>
    <w:link w:val="Ttulo2"/>
    <w:rsid w:val="00CC0FFD"/>
    <w:rPr>
      <w:rFonts w:ascii="Trebuchet MS" w:eastAsia="Trebuchet MS" w:hAnsi="Trebuchet MS" w:cs="Trebuchet MS"/>
      <w:b/>
      <w:color w:val="000000"/>
      <w:sz w:val="26"/>
      <w:szCs w:val="26"/>
      <w:lang w:eastAsia="es-MX"/>
    </w:rPr>
  </w:style>
  <w:style w:type="character" w:customStyle="1" w:styleId="Ttulo3Car">
    <w:name w:val="Título 3 Car"/>
    <w:basedOn w:val="Fuentedeprrafopredeter"/>
    <w:link w:val="Ttulo3"/>
    <w:rsid w:val="00CC0FFD"/>
    <w:rPr>
      <w:rFonts w:ascii="Trebuchet MS" w:eastAsia="Trebuchet MS" w:hAnsi="Trebuchet MS" w:cs="Trebuchet MS"/>
      <w:b/>
      <w:color w:val="666666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CC0FF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16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58087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87E"/>
    <w:rPr>
      <w:rFonts w:ascii="Arial" w:eastAsia="Arial" w:hAnsi="Arial" w:cs="Arial"/>
      <w:color w:val="00000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58087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87E"/>
    <w:rPr>
      <w:rFonts w:ascii="Arial" w:eastAsia="Arial" w:hAnsi="Arial" w:cs="Arial"/>
      <w:color w:val="00000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B039C-3050-479E-82C0-4D345455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3159</Words>
  <Characters>17377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Daniadelita</dc:creator>
  <cp:lastModifiedBy>Mario Alfonso Torres Rivera</cp:lastModifiedBy>
  <cp:revision>14</cp:revision>
  <cp:lastPrinted>2015-11-21T01:21:00Z</cp:lastPrinted>
  <dcterms:created xsi:type="dcterms:W3CDTF">2015-10-21T15:05:00Z</dcterms:created>
  <dcterms:modified xsi:type="dcterms:W3CDTF">2015-11-23T22:11:00Z</dcterms:modified>
</cp:coreProperties>
</file>