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8"/>
        <w:gridCol w:w="3399"/>
        <w:gridCol w:w="2311"/>
      </w:tblGrid>
      <w:tr w:rsidR="001E765C" w:rsidRPr="00682082" w:rsidTr="008713CF">
        <w:trPr>
          <w:trHeight w:val="816"/>
        </w:trPr>
        <w:tc>
          <w:tcPr>
            <w:tcW w:w="3114" w:type="dxa"/>
            <w:shd w:val="clear" w:color="auto" w:fill="DBDBDB" w:themeFill="accent3" w:themeFillTint="66"/>
          </w:tcPr>
          <w:p w:rsidR="001E765C" w:rsidRPr="00682082" w:rsidRDefault="001E765C" w:rsidP="008713CF">
            <w:pPr>
              <w:jc w:val="both"/>
              <w:rPr>
                <w:rFonts w:ascii="ITC Avant Garde" w:hAnsi="ITC Avant Garde"/>
                <w:b/>
                <w:sz w:val="20"/>
                <w:szCs w:val="20"/>
              </w:rPr>
            </w:pPr>
            <w:r w:rsidRPr="00682082">
              <w:rPr>
                <w:rFonts w:ascii="ITC Avant Garde" w:hAnsi="ITC Avant Garde"/>
                <w:b/>
                <w:sz w:val="20"/>
                <w:szCs w:val="20"/>
              </w:rPr>
              <w:t>Unidad administrativa:</w:t>
            </w:r>
          </w:p>
          <w:p w:rsidR="001E765C" w:rsidRPr="00682082" w:rsidRDefault="001E765C" w:rsidP="008713CF">
            <w:pPr>
              <w:jc w:val="both"/>
              <w:rPr>
                <w:rFonts w:ascii="ITC Avant Garde" w:hAnsi="ITC Avant Garde"/>
                <w:sz w:val="20"/>
                <w:szCs w:val="20"/>
              </w:rPr>
            </w:pPr>
          </w:p>
          <w:p w:rsidR="001E765C" w:rsidRPr="00682082" w:rsidRDefault="001E765C" w:rsidP="008713CF">
            <w:pPr>
              <w:jc w:val="both"/>
              <w:rPr>
                <w:rFonts w:ascii="ITC Avant Garde" w:hAnsi="ITC Avant Garde"/>
                <w:sz w:val="20"/>
                <w:szCs w:val="20"/>
              </w:rPr>
            </w:pPr>
            <w:r w:rsidRPr="00682082">
              <w:rPr>
                <w:rFonts w:ascii="ITC Avant Garde" w:hAnsi="ITC Avant Garde"/>
                <w:sz w:val="20"/>
                <w:szCs w:val="20"/>
              </w:rPr>
              <w:t>Unidad de Competencia Económica</w:t>
            </w:r>
          </w:p>
          <w:p w:rsidR="001E765C" w:rsidRPr="00682082" w:rsidRDefault="001E765C" w:rsidP="008713CF">
            <w:pPr>
              <w:jc w:val="both"/>
              <w:rPr>
                <w:rFonts w:ascii="ITC Avant Garde" w:hAnsi="ITC Avant Garde"/>
                <w:sz w:val="20"/>
                <w:szCs w:val="20"/>
              </w:rPr>
            </w:pPr>
          </w:p>
          <w:p w:rsidR="001E765C" w:rsidRPr="00682082" w:rsidRDefault="001E765C" w:rsidP="008713CF">
            <w:pPr>
              <w:jc w:val="both"/>
              <w:rPr>
                <w:rFonts w:ascii="ITC Avant Garde" w:hAnsi="ITC Avant Garde"/>
                <w:sz w:val="20"/>
                <w:szCs w:val="20"/>
              </w:rPr>
            </w:pPr>
            <w:r w:rsidRPr="00682082">
              <w:rPr>
                <w:rFonts w:ascii="ITC Avant Garde" w:hAnsi="ITC Avant Garde"/>
                <w:sz w:val="20"/>
                <w:szCs w:val="20"/>
              </w:rPr>
              <w:t>Dirección General de Concentraciones y Concesiones</w:t>
            </w:r>
          </w:p>
        </w:tc>
        <w:tc>
          <w:tcPr>
            <w:tcW w:w="5714" w:type="dxa"/>
            <w:gridSpan w:val="2"/>
            <w:shd w:val="clear" w:color="auto" w:fill="DBDBDB" w:themeFill="accent3" w:themeFillTint="66"/>
          </w:tcPr>
          <w:p w:rsidR="001E765C" w:rsidRPr="00682082" w:rsidRDefault="001E765C" w:rsidP="008713CF">
            <w:pPr>
              <w:jc w:val="both"/>
              <w:rPr>
                <w:rFonts w:ascii="ITC Avant Garde" w:hAnsi="ITC Avant Garde"/>
                <w:b/>
                <w:sz w:val="20"/>
                <w:szCs w:val="20"/>
              </w:rPr>
            </w:pPr>
            <w:r w:rsidRPr="00682082">
              <w:rPr>
                <w:rFonts w:ascii="ITC Avant Garde" w:hAnsi="ITC Avant Garde"/>
                <w:b/>
                <w:sz w:val="20"/>
                <w:szCs w:val="20"/>
              </w:rPr>
              <w:t>Título del anteproyecto de regulación:</w:t>
            </w:r>
          </w:p>
          <w:p w:rsidR="001E765C" w:rsidRPr="00682082" w:rsidRDefault="001E765C" w:rsidP="008713CF">
            <w:pPr>
              <w:jc w:val="both"/>
              <w:rPr>
                <w:rFonts w:ascii="ITC Avant Garde" w:hAnsi="ITC Avant Garde"/>
                <w:b/>
                <w:sz w:val="20"/>
                <w:szCs w:val="20"/>
              </w:rPr>
            </w:pPr>
          </w:p>
          <w:p w:rsidR="001E765C" w:rsidRPr="00682082" w:rsidRDefault="001E765C" w:rsidP="00AD3514">
            <w:pPr>
              <w:jc w:val="both"/>
              <w:rPr>
                <w:rFonts w:ascii="ITC Avant Garde" w:hAnsi="ITC Avant Garde"/>
                <w:sz w:val="20"/>
                <w:szCs w:val="20"/>
              </w:rPr>
            </w:pPr>
            <w:r w:rsidRPr="00682082">
              <w:rPr>
                <w:rFonts w:ascii="ITC Avant Garde" w:eastAsia="Times New Roman" w:hAnsi="ITC Avant Garde" w:cs="Times New Roman"/>
                <w:color w:val="000000"/>
                <w:sz w:val="20"/>
                <w:szCs w:val="20"/>
                <w:lang w:eastAsia="es-MX"/>
              </w:rPr>
              <w:t>“</w:t>
            </w:r>
            <w:r w:rsidRPr="00682082">
              <w:rPr>
                <w:rFonts w:ascii="ITC Avant Garde" w:hAnsi="ITC Avant Garde"/>
                <w:sz w:val="20"/>
                <w:szCs w:val="20"/>
              </w:rPr>
              <w:t>Anteproyecto de Criterio Técnico para el Cálculo y  Aplicación de un Índice Cuantitativo a Fin de Determinar el Grado de Concentración en los Mercados y Sectores de Telecomunicaciones y Radiodifusión</w:t>
            </w:r>
            <w:r w:rsidR="00AC496C">
              <w:rPr>
                <w:rFonts w:ascii="ITC Avant Garde" w:hAnsi="ITC Avant Garde"/>
                <w:sz w:val="20"/>
                <w:szCs w:val="20"/>
              </w:rPr>
              <w:t>” (Anteproyecto).</w:t>
            </w:r>
          </w:p>
        </w:tc>
      </w:tr>
      <w:tr w:rsidR="001E765C" w:rsidRPr="00682082" w:rsidTr="008713CF">
        <w:tc>
          <w:tcPr>
            <w:tcW w:w="3114" w:type="dxa"/>
            <w:vMerge w:val="restart"/>
            <w:shd w:val="clear" w:color="auto" w:fill="DBDBDB" w:themeFill="accent3" w:themeFillTint="66"/>
          </w:tcPr>
          <w:p w:rsidR="001E765C" w:rsidRPr="00682082" w:rsidRDefault="001E765C" w:rsidP="008713CF">
            <w:pPr>
              <w:jc w:val="both"/>
              <w:rPr>
                <w:rFonts w:ascii="ITC Avant Garde" w:hAnsi="ITC Avant Garde"/>
                <w:b/>
                <w:sz w:val="20"/>
                <w:szCs w:val="20"/>
              </w:rPr>
            </w:pPr>
            <w:r w:rsidRPr="00682082">
              <w:rPr>
                <w:rFonts w:ascii="ITC Avant Garde" w:hAnsi="ITC Avant Garde"/>
                <w:b/>
                <w:sz w:val="20"/>
                <w:szCs w:val="20"/>
              </w:rPr>
              <w:t>Datos de contacto:</w:t>
            </w:r>
          </w:p>
          <w:p w:rsidR="001E765C" w:rsidRPr="00682082" w:rsidRDefault="001E765C" w:rsidP="008713CF">
            <w:pPr>
              <w:jc w:val="both"/>
              <w:rPr>
                <w:rFonts w:ascii="ITC Avant Garde" w:hAnsi="ITC Avant Garde"/>
                <w:b/>
                <w:sz w:val="20"/>
                <w:szCs w:val="20"/>
              </w:rPr>
            </w:pPr>
          </w:p>
          <w:p w:rsidR="001E765C" w:rsidRPr="00682082" w:rsidRDefault="001E765C" w:rsidP="008713CF">
            <w:pPr>
              <w:jc w:val="both"/>
              <w:rPr>
                <w:rFonts w:ascii="ITC Avant Garde" w:hAnsi="ITC Avant Garde"/>
                <w:sz w:val="20"/>
                <w:szCs w:val="20"/>
              </w:rPr>
            </w:pPr>
            <w:r w:rsidRPr="00682082">
              <w:rPr>
                <w:rFonts w:ascii="ITC Avant Garde" w:hAnsi="ITC Avant Garde"/>
                <w:sz w:val="20"/>
                <w:szCs w:val="20"/>
              </w:rPr>
              <w:t>Mtro. Juan Manuel Hernández Pérez</w:t>
            </w:r>
          </w:p>
          <w:p w:rsidR="001E765C" w:rsidRPr="00682082" w:rsidRDefault="001E765C" w:rsidP="008713CF">
            <w:pPr>
              <w:jc w:val="both"/>
              <w:rPr>
                <w:rFonts w:ascii="ITC Avant Garde" w:hAnsi="ITC Avant Garde"/>
                <w:sz w:val="20"/>
                <w:szCs w:val="20"/>
              </w:rPr>
            </w:pPr>
            <w:r w:rsidRPr="00682082">
              <w:rPr>
                <w:rFonts w:ascii="ITC Avant Garde" w:hAnsi="ITC Avant Garde"/>
                <w:sz w:val="20"/>
                <w:szCs w:val="20"/>
              </w:rPr>
              <w:t>Teléfono: 5015-4047</w:t>
            </w:r>
          </w:p>
          <w:p w:rsidR="001E765C" w:rsidRPr="00682082" w:rsidRDefault="001E765C" w:rsidP="008713CF">
            <w:pPr>
              <w:jc w:val="both"/>
              <w:rPr>
                <w:rFonts w:ascii="ITC Avant Garde" w:hAnsi="ITC Avant Garde"/>
                <w:sz w:val="20"/>
                <w:szCs w:val="20"/>
              </w:rPr>
            </w:pPr>
            <w:r w:rsidRPr="00682082">
              <w:rPr>
                <w:rFonts w:ascii="ITC Avant Garde" w:hAnsi="ITC Avant Garde"/>
                <w:sz w:val="20"/>
                <w:szCs w:val="20"/>
              </w:rPr>
              <w:t>Correo electrónico:</w:t>
            </w:r>
          </w:p>
          <w:p w:rsidR="001E765C" w:rsidRPr="00682082" w:rsidRDefault="001E765C" w:rsidP="008713CF">
            <w:pPr>
              <w:jc w:val="both"/>
              <w:rPr>
                <w:rFonts w:ascii="ITC Avant Garde" w:hAnsi="ITC Avant Garde"/>
                <w:b/>
                <w:sz w:val="20"/>
                <w:szCs w:val="20"/>
              </w:rPr>
            </w:pPr>
            <w:r w:rsidRPr="00682082">
              <w:rPr>
                <w:rStyle w:val="Hipervnculo"/>
                <w:rFonts w:ascii="ITC Avant Garde" w:hAnsi="ITC Avant Garde"/>
                <w:sz w:val="20"/>
                <w:szCs w:val="20"/>
              </w:rPr>
              <w:t>manuel.hernandez</w:t>
            </w:r>
            <w:hyperlink r:id="rId8" w:history="1">
              <w:r w:rsidRPr="00682082">
                <w:rPr>
                  <w:rStyle w:val="Hipervnculo"/>
                  <w:rFonts w:ascii="ITC Avant Garde" w:hAnsi="ITC Avant Garde"/>
                  <w:sz w:val="20"/>
                  <w:szCs w:val="20"/>
                </w:rPr>
                <w:t>@ift.org.mx</w:t>
              </w:r>
            </w:hyperlink>
            <w:r w:rsidRPr="00682082">
              <w:rPr>
                <w:rFonts w:ascii="ITC Avant Garde" w:hAnsi="ITC Avant Garde"/>
                <w:sz w:val="20"/>
                <w:szCs w:val="20"/>
              </w:rPr>
              <w:t xml:space="preserve"> </w:t>
            </w:r>
          </w:p>
        </w:tc>
        <w:tc>
          <w:tcPr>
            <w:tcW w:w="3402" w:type="dxa"/>
            <w:shd w:val="clear" w:color="auto" w:fill="DBDBDB" w:themeFill="accent3" w:themeFillTint="66"/>
          </w:tcPr>
          <w:p w:rsidR="001E765C" w:rsidRPr="00682082" w:rsidRDefault="001E765C" w:rsidP="008713CF">
            <w:pPr>
              <w:jc w:val="both"/>
              <w:rPr>
                <w:rFonts w:ascii="ITC Avant Garde" w:hAnsi="ITC Avant Garde"/>
                <w:b/>
                <w:sz w:val="20"/>
                <w:szCs w:val="20"/>
              </w:rPr>
            </w:pPr>
            <w:r w:rsidRPr="00682082">
              <w:rPr>
                <w:rFonts w:ascii="ITC Avant Garde" w:hAnsi="ITC Avant Garde"/>
                <w:b/>
                <w:sz w:val="20"/>
                <w:szCs w:val="20"/>
              </w:rPr>
              <w:t>Fecha de elaboración:</w:t>
            </w:r>
          </w:p>
          <w:p w:rsidR="001E765C" w:rsidRPr="00682082" w:rsidRDefault="001E765C" w:rsidP="008713CF">
            <w:pPr>
              <w:jc w:val="both"/>
              <w:rPr>
                <w:rFonts w:ascii="ITC Avant Garde" w:hAnsi="ITC Avant Garde"/>
                <w:b/>
                <w:sz w:val="20"/>
                <w:szCs w:val="20"/>
              </w:rPr>
            </w:pPr>
          </w:p>
        </w:tc>
        <w:tc>
          <w:tcPr>
            <w:tcW w:w="2312" w:type="dxa"/>
            <w:shd w:val="clear" w:color="auto" w:fill="DBDBDB" w:themeFill="accent3" w:themeFillTint="66"/>
          </w:tcPr>
          <w:p w:rsidR="001E765C" w:rsidRPr="00682082" w:rsidRDefault="000A389A" w:rsidP="008713CF">
            <w:pPr>
              <w:jc w:val="center"/>
              <w:rPr>
                <w:rFonts w:ascii="ITC Avant Garde" w:hAnsi="ITC Avant Garde"/>
                <w:sz w:val="20"/>
                <w:szCs w:val="20"/>
              </w:rPr>
            </w:pPr>
            <w:r>
              <w:rPr>
                <w:rFonts w:ascii="ITC Avant Garde" w:hAnsi="ITC Avant Garde"/>
                <w:sz w:val="20"/>
                <w:szCs w:val="20"/>
              </w:rPr>
              <w:t>14</w:t>
            </w:r>
            <w:r w:rsidR="001E765C" w:rsidRPr="00682082">
              <w:rPr>
                <w:rFonts w:ascii="ITC Avant Garde" w:hAnsi="ITC Avant Garde"/>
                <w:sz w:val="20"/>
                <w:szCs w:val="20"/>
              </w:rPr>
              <w:t>/10/2015</w:t>
            </w:r>
          </w:p>
        </w:tc>
      </w:tr>
      <w:tr w:rsidR="001E765C" w:rsidRPr="00682082" w:rsidTr="008713CF">
        <w:trPr>
          <w:trHeight w:val="390"/>
        </w:trPr>
        <w:tc>
          <w:tcPr>
            <w:tcW w:w="3114" w:type="dxa"/>
            <w:vMerge/>
            <w:shd w:val="clear" w:color="auto" w:fill="DBDBDB" w:themeFill="accent3" w:themeFillTint="66"/>
          </w:tcPr>
          <w:p w:rsidR="001E765C" w:rsidRPr="00682082" w:rsidRDefault="001E765C" w:rsidP="008713CF">
            <w:pPr>
              <w:jc w:val="both"/>
              <w:rPr>
                <w:rFonts w:ascii="ITC Avant Garde" w:hAnsi="ITC Avant Garde"/>
                <w:sz w:val="20"/>
                <w:szCs w:val="20"/>
              </w:rPr>
            </w:pPr>
          </w:p>
        </w:tc>
        <w:tc>
          <w:tcPr>
            <w:tcW w:w="3402" w:type="dxa"/>
            <w:shd w:val="clear" w:color="auto" w:fill="DBDBDB" w:themeFill="accent3" w:themeFillTint="66"/>
          </w:tcPr>
          <w:p w:rsidR="001E765C" w:rsidRPr="00682082" w:rsidRDefault="001E765C" w:rsidP="008713CF">
            <w:pPr>
              <w:jc w:val="both"/>
              <w:rPr>
                <w:rFonts w:ascii="ITC Avant Garde" w:hAnsi="ITC Avant Garde"/>
                <w:b/>
                <w:sz w:val="20"/>
                <w:szCs w:val="20"/>
              </w:rPr>
            </w:pPr>
            <w:r w:rsidRPr="00682082">
              <w:rPr>
                <w:rFonts w:ascii="ITC Avant Garde" w:hAnsi="ITC Avant Garde"/>
                <w:b/>
                <w:sz w:val="20"/>
                <w:szCs w:val="20"/>
              </w:rPr>
              <w:t>Fecha de inicio de la consulta pública:</w:t>
            </w:r>
          </w:p>
        </w:tc>
        <w:tc>
          <w:tcPr>
            <w:tcW w:w="2312" w:type="dxa"/>
            <w:shd w:val="clear" w:color="auto" w:fill="DBDBDB" w:themeFill="accent3" w:themeFillTint="66"/>
          </w:tcPr>
          <w:p w:rsidR="001E765C" w:rsidRPr="00682082" w:rsidRDefault="0013695F" w:rsidP="008713CF">
            <w:pPr>
              <w:jc w:val="center"/>
              <w:rPr>
                <w:rFonts w:ascii="ITC Avant Garde" w:hAnsi="ITC Avant Garde"/>
                <w:sz w:val="20"/>
                <w:szCs w:val="20"/>
              </w:rPr>
            </w:pPr>
            <w:r w:rsidRPr="00682082">
              <w:rPr>
                <w:rFonts w:ascii="ITC Avant Garde" w:hAnsi="ITC Avant Garde"/>
                <w:sz w:val="20"/>
                <w:szCs w:val="20"/>
              </w:rPr>
              <w:t>26</w:t>
            </w:r>
            <w:r w:rsidR="001E765C" w:rsidRPr="00682082">
              <w:rPr>
                <w:rFonts w:ascii="ITC Avant Garde" w:hAnsi="ITC Avant Garde"/>
                <w:sz w:val="20"/>
                <w:szCs w:val="20"/>
              </w:rPr>
              <w:t>/10/2015</w:t>
            </w:r>
          </w:p>
        </w:tc>
      </w:tr>
      <w:tr w:rsidR="001E765C" w:rsidRPr="00682082" w:rsidTr="008713CF">
        <w:tc>
          <w:tcPr>
            <w:tcW w:w="3114" w:type="dxa"/>
            <w:vMerge/>
            <w:shd w:val="clear" w:color="auto" w:fill="DBDBDB" w:themeFill="accent3" w:themeFillTint="66"/>
          </w:tcPr>
          <w:p w:rsidR="001E765C" w:rsidRPr="00682082" w:rsidRDefault="001E765C" w:rsidP="008713CF">
            <w:pPr>
              <w:jc w:val="both"/>
              <w:rPr>
                <w:rFonts w:ascii="ITC Avant Garde" w:hAnsi="ITC Avant Garde"/>
                <w:sz w:val="20"/>
                <w:szCs w:val="20"/>
              </w:rPr>
            </w:pPr>
          </w:p>
        </w:tc>
        <w:tc>
          <w:tcPr>
            <w:tcW w:w="3402" w:type="dxa"/>
            <w:shd w:val="clear" w:color="auto" w:fill="DBDBDB" w:themeFill="accent3" w:themeFillTint="66"/>
          </w:tcPr>
          <w:p w:rsidR="001E765C" w:rsidRPr="00682082" w:rsidRDefault="001E765C" w:rsidP="008713CF">
            <w:pPr>
              <w:jc w:val="both"/>
              <w:rPr>
                <w:rFonts w:ascii="ITC Avant Garde" w:hAnsi="ITC Avant Garde"/>
                <w:b/>
                <w:sz w:val="20"/>
                <w:szCs w:val="20"/>
              </w:rPr>
            </w:pPr>
            <w:r w:rsidRPr="00682082">
              <w:rPr>
                <w:rFonts w:ascii="ITC Avant Garde" w:hAnsi="ITC Avant Garde"/>
                <w:b/>
                <w:sz w:val="20"/>
                <w:szCs w:val="20"/>
              </w:rPr>
              <w:t>Fecha de conclusión de la consulta pública:</w:t>
            </w:r>
          </w:p>
        </w:tc>
        <w:tc>
          <w:tcPr>
            <w:tcW w:w="2312" w:type="dxa"/>
            <w:shd w:val="clear" w:color="auto" w:fill="DBDBDB" w:themeFill="accent3" w:themeFillTint="66"/>
          </w:tcPr>
          <w:p w:rsidR="001E765C" w:rsidRPr="00682082" w:rsidRDefault="0013695F" w:rsidP="008713CF">
            <w:pPr>
              <w:jc w:val="center"/>
              <w:rPr>
                <w:rFonts w:ascii="ITC Avant Garde" w:hAnsi="ITC Avant Garde"/>
                <w:sz w:val="20"/>
                <w:szCs w:val="20"/>
              </w:rPr>
            </w:pPr>
            <w:r w:rsidRPr="00682082">
              <w:rPr>
                <w:rFonts w:ascii="ITC Avant Garde" w:hAnsi="ITC Avant Garde"/>
                <w:sz w:val="20"/>
                <w:szCs w:val="20"/>
              </w:rPr>
              <w:t>07/12</w:t>
            </w:r>
            <w:r w:rsidR="001E765C" w:rsidRPr="00682082">
              <w:rPr>
                <w:rFonts w:ascii="ITC Avant Garde" w:hAnsi="ITC Avant Garde"/>
                <w:sz w:val="20"/>
                <w:szCs w:val="20"/>
              </w:rPr>
              <w:t>/2015</w:t>
            </w:r>
          </w:p>
        </w:tc>
      </w:tr>
    </w:tbl>
    <w:p w:rsidR="001E765C" w:rsidRPr="00682082" w:rsidRDefault="001E765C" w:rsidP="00501ADF">
      <w:pPr>
        <w:jc w:val="both"/>
        <w:rPr>
          <w:rFonts w:ascii="ITC Avant Garde" w:hAnsi="ITC Avant Garde"/>
          <w:sz w:val="20"/>
          <w:szCs w:val="20"/>
        </w:rPr>
      </w:pPr>
    </w:p>
    <w:p w:rsidR="001932FC" w:rsidRPr="00682082" w:rsidRDefault="001932FC" w:rsidP="0068307E">
      <w:pPr>
        <w:shd w:val="clear" w:color="auto" w:fill="A8D08D" w:themeFill="accent6" w:themeFillTint="99"/>
        <w:jc w:val="both"/>
        <w:rPr>
          <w:rFonts w:ascii="ITC Avant Garde" w:hAnsi="ITC Avant Garde"/>
          <w:sz w:val="20"/>
          <w:szCs w:val="20"/>
        </w:rPr>
      </w:pPr>
      <w:r w:rsidRPr="00682082">
        <w:rPr>
          <w:rFonts w:ascii="ITC Avant Garde" w:hAnsi="ITC Avant Garde"/>
          <w:sz w:val="20"/>
          <w:szCs w:val="20"/>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682082" w:rsidTr="008A48B0">
        <w:tc>
          <w:tcPr>
            <w:tcW w:w="8828" w:type="dxa"/>
            <w:shd w:val="clear" w:color="auto" w:fill="FFFFFF" w:themeFill="background1"/>
          </w:tcPr>
          <w:p w:rsidR="001932FC" w:rsidRPr="00542C89" w:rsidRDefault="001932FC" w:rsidP="008A48B0">
            <w:pPr>
              <w:shd w:val="clear" w:color="auto" w:fill="FFFFFF" w:themeFill="background1"/>
              <w:jc w:val="both"/>
              <w:rPr>
                <w:rFonts w:ascii="ITC Avant Garde" w:hAnsi="ITC Avant Garde"/>
                <w:b/>
                <w:sz w:val="20"/>
                <w:szCs w:val="20"/>
              </w:rPr>
            </w:pPr>
            <w:r w:rsidRPr="00542C89">
              <w:rPr>
                <w:rFonts w:ascii="ITC Avant Garde" w:hAnsi="ITC Avant Garde"/>
                <w:b/>
                <w:sz w:val="20"/>
                <w:szCs w:val="20"/>
              </w:rPr>
              <w:t>1.</w:t>
            </w:r>
            <w:r w:rsidR="00E6080B" w:rsidRPr="00542C89">
              <w:rPr>
                <w:rFonts w:ascii="ITC Avant Garde" w:hAnsi="ITC Avant Garde"/>
                <w:b/>
                <w:sz w:val="20"/>
                <w:szCs w:val="20"/>
              </w:rPr>
              <w:t>-</w:t>
            </w:r>
            <w:r w:rsidRPr="00542C89">
              <w:rPr>
                <w:rFonts w:ascii="ITC Avant Garde" w:hAnsi="ITC Avant Garde"/>
                <w:b/>
                <w:sz w:val="20"/>
                <w:szCs w:val="20"/>
              </w:rPr>
              <w:t xml:space="preserve"> Describa los objetivos generales del anteproyecto de regulación propuesto:</w:t>
            </w:r>
          </w:p>
          <w:p w:rsidR="001932FC" w:rsidRPr="00682082" w:rsidRDefault="001932FC" w:rsidP="008A48B0">
            <w:pPr>
              <w:shd w:val="clear" w:color="auto" w:fill="FFFFFF" w:themeFill="background1"/>
              <w:jc w:val="both"/>
              <w:rPr>
                <w:rFonts w:ascii="ITC Avant Garde" w:hAnsi="ITC Avant Garde"/>
                <w:sz w:val="20"/>
                <w:szCs w:val="20"/>
              </w:rPr>
            </w:pPr>
          </w:p>
          <w:p w:rsidR="00CC5E93" w:rsidRPr="00682082" w:rsidRDefault="00CC5E93" w:rsidP="00CC5E93">
            <w:pPr>
              <w:shd w:val="clear" w:color="auto" w:fill="FFFFFF" w:themeFill="background1"/>
              <w:jc w:val="both"/>
              <w:rPr>
                <w:rFonts w:ascii="ITC Avant Garde" w:hAnsi="ITC Avant Garde"/>
                <w:sz w:val="20"/>
                <w:szCs w:val="20"/>
              </w:rPr>
            </w:pPr>
            <w:r w:rsidRPr="00682082">
              <w:rPr>
                <w:rFonts w:ascii="ITC Avant Garde" w:hAnsi="ITC Avant Garde"/>
                <w:sz w:val="20"/>
                <w:szCs w:val="20"/>
              </w:rPr>
              <w:t>El Instituto</w:t>
            </w:r>
            <w:r w:rsidR="00AD3514">
              <w:rPr>
                <w:rFonts w:ascii="ITC Avant Garde" w:hAnsi="ITC Avant Garde"/>
                <w:sz w:val="20"/>
                <w:szCs w:val="20"/>
              </w:rPr>
              <w:t xml:space="preserve"> Federal de Telecomunicaciones (Instituto o IFT), como</w:t>
            </w:r>
            <w:r w:rsidRPr="00682082">
              <w:rPr>
                <w:rFonts w:ascii="ITC Avant Garde" w:hAnsi="ITC Avant Garde"/>
                <w:sz w:val="20"/>
                <w:szCs w:val="20"/>
              </w:rPr>
              <w:t xml:space="preserve"> autoridad encargada de proteger el proceso de competencia y libre concurrencia en los sectores de radiodifusión y telecomunicaciones, mediante la prevención y eliminación de monopolios, prácticas monopólicas y demás restricciones al funcionamiento eficiente de los mercados de bienes y servicios, tiene la facultad para llevar a cabo el análisis del grado de concentración en los mercados y los sectores de radiodifusión y telecomunicaciones.</w:t>
            </w:r>
          </w:p>
          <w:p w:rsidR="00CC5E93" w:rsidRPr="00682082" w:rsidRDefault="00CC5E93" w:rsidP="00CC5E93">
            <w:pPr>
              <w:shd w:val="clear" w:color="auto" w:fill="FFFFFF" w:themeFill="background1"/>
              <w:jc w:val="both"/>
              <w:rPr>
                <w:rFonts w:ascii="ITC Avant Garde" w:hAnsi="ITC Avant Garde"/>
                <w:sz w:val="20"/>
                <w:szCs w:val="20"/>
              </w:rPr>
            </w:pPr>
          </w:p>
          <w:p w:rsidR="00CC5E93" w:rsidRPr="00682082" w:rsidRDefault="00CC5E93" w:rsidP="00CC5E93">
            <w:pPr>
              <w:shd w:val="clear" w:color="auto" w:fill="FFFFFF" w:themeFill="background1"/>
              <w:jc w:val="both"/>
              <w:rPr>
                <w:rFonts w:ascii="ITC Avant Garde" w:hAnsi="ITC Avant Garde"/>
                <w:sz w:val="20"/>
                <w:szCs w:val="20"/>
              </w:rPr>
            </w:pPr>
            <w:r w:rsidRPr="00682082">
              <w:rPr>
                <w:rFonts w:ascii="ITC Avant Garde" w:hAnsi="ITC Avant Garde"/>
                <w:sz w:val="20"/>
                <w:szCs w:val="20"/>
              </w:rPr>
              <w:t>En este tenor, los objetivos del Anteproyecto son dar a conocer: 1) el índice mediante el cual el Instituto determinará el grado de concentración en los mercados  y sectores de telecomunicaciones y radiodifusión, 2) los umbrales que, como un indicio, permitirán al Instituto identificar las concentraciones en las cuales es poco probable la existencia de riesgos a la competencia económica y libre concurrencia, y 3) el ámbito de aplicación del índice y de los umbrales.</w:t>
            </w:r>
          </w:p>
          <w:p w:rsidR="00CC5E93" w:rsidRPr="00682082" w:rsidRDefault="00CC5E93" w:rsidP="00CC5E93">
            <w:pPr>
              <w:shd w:val="clear" w:color="auto" w:fill="FFFFFF" w:themeFill="background1"/>
              <w:jc w:val="both"/>
              <w:rPr>
                <w:rFonts w:ascii="ITC Avant Garde" w:hAnsi="ITC Avant Garde"/>
                <w:sz w:val="20"/>
                <w:szCs w:val="20"/>
              </w:rPr>
            </w:pPr>
          </w:p>
          <w:p w:rsidR="00CC5E93" w:rsidRPr="00682082" w:rsidRDefault="00CC5E93" w:rsidP="00CC5E93">
            <w:pPr>
              <w:shd w:val="clear" w:color="auto" w:fill="FFFFFF" w:themeFill="background1"/>
              <w:jc w:val="both"/>
              <w:rPr>
                <w:rFonts w:ascii="ITC Avant Garde" w:hAnsi="ITC Avant Garde"/>
                <w:sz w:val="20"/>
                <w:szCs w:val="20"/>
              </w:rPr>
            </w:pPr>
            <w:r w:rsidRPr="00682082">
              <w:rPr>
                <w:rFonts w:ascii="ITC Avant Garde" w:hAnsi="ITC Avant Garde"/>
                <w:sz w:val="20"/>
                <w:szCs w:val="20"/>
              </w:rPr>
              <w:t xml:space="preserve">Los índices constituyen indicios para identificar problemas potenciales de competencia y no son factores determinantes por sí mismos. En la evaluación de concentraciones u operaciones similares, el Instituto utilizará el índice y los umbrales como referencia de la probabilidad de que éstas tengan por objeto o efecto obstaculizar, disminuir, dañar o impedir la competencia y la libre concurrencia en el mercado. </w:t>
            </w:r>
            <w:r w:rsidR="0088480F">
              <w:rPr>
                <w:rFonts w:ascii="ITC Avant Garde" w:hAnsi="ITC Avant Garde"/>
                <w:sz w:val="20"/>
                <w:szCs w:val="20"/>
              </w:rPr>
              <w:t>En este sentido</w:t>
            </w:r>
            <w:r w:rsidRPr="00682082">
              <w:rPr>
                <w:rFonts w:ascii="ITC Avant Garde" w:hAnsi="ITC Avant Garde"/>
                <w:sz w:val="20"/>
                <w:szCs w:val="20"/>
              </w:rPr>
              <w:t>, los índices de concentración deben considerarse sólo como una herramienta que permite a la autoridad identificar las concentraciones sobre las cuales debe llevar a cabo un análisis exhaustivo. Esta herramienta de análisis coincide con la práctica internacional y las recomendaciones de organismos internacionales especializados, como la Red Internacional de Competencia.</w:t>
            </w:r>
          </w:p>
          <w:p w:rsidR="00CC5E93" w:rsidRPr="00682082" w:rsidRDefault="00CC5E93" w:rsidP="00CC5E93">
            <w:pPr>
              <w:shd w:val="clear" w:color="auto" w:fill="FFFFFF" w:themeFill="background1"/>
              <w:jc w:val="both"/>
              <w:rPr>
                <w:rFonts w:ascii="ITC Avant Garde" w:hAnsi="ITC Avant Garde"/>
                <w:sz w:val="20"/>
                <w:szCs w:val="20"/>
              </w:rPr>
            </w:pPr>
          </w:p>
          <w:p w:rsidR="00CC5E93" w:rsidRPr="00682082" w:rsidRDefault="00CC5E93" w:rsidP="00CC5E93">
            <w:pPr>
              <w:shd w:val="clear" w:color="auto" w:fill="FFFFFF" w:themeFill="background1"/>
              <w:jc w:val="both"/>
              <w:rPr>
                <w:rFonts w:ascii="ITC Avant Garde" w:hAnsi="ITC Avant Garde"/>
                <w:sz w:val="20"/>
                <w:szCs w:val="20"/>
              </w:rPr>
            </w:pPr>
            <w:r w:rsidRPr="00682082">
              <w:rPr>
                <w:rFonts w:ascii="ITC Avant Garde" w:hAnsi="ITC Avant Garde"/>
                <w:sz w:val="20"/>
                <w:szCs w:val="20"/>
              </w:rPr>
              <w:lastRenderedPageBreak/>
              <w:t>Por lo anterior, el índice de concentración que se propone será considerado por el Instituto sólo como una referencia en el análisis en materia de competencia económica de asuntos que se tramiten en términos de la LFCE y la LFTR</w:t>
            </w:r>
            <w:r w:rsidR="0088480F">
              <w:rPr>
                <w:rFonts w:ascii="ITC Avant Garde" w:hAnsi="ITC Avant Garde"/>
                <w:sz w:val="20"/>
                <w:szCs w:val="20"/>
              </w:rPr>
              <w:t>.</w:t>
            </w:r>
          </w:p>
          <w:p w:rsidR="001932FC" w:rsidRPr="00682082" w:rsidRDefault="001932FC" w:rsidP="008F5019">
            <w:pPr>
              <w:pStyle w:val="Default"/>
              <w:spacing w:line="276" w:lineRule="auto"/>
              <w:ind w:right="-1"/>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682082" w:rsidTr="008A48B0">
        <w:tc>
          <w:tcPr>
            <w:tcW w:w="8828" w:type="dxa"/>
            <w:shd w:val="clear" w:color="auto" w:fill="FFFFFF" w:themeFill="background1"/>
          </w:tcPr>
          <w:p w:rsidR="001932FC" w:rsidRPr="00542C89" w:rsidRDefault="001932FC" w:rsidP="001932FC">
            <w:pPr>
              <w:jc w:val="both"/>
              <w:rPr>
                <w:rFonts w:ascii="ITC Avant Garde" w:hAnsi="ITC Avant Garde"/>
                <w:b/>
                <w:sz w:val="20"/>
                <w:szCs w:val="20"/>
              </w:rPr>
            </w:pPr>
            <w:r w:rsidRPr="00542C89">
              <w:rPr>
                <w:rFonts w:ascii="ITC Avant Garde" w:hAnsi="ITC Avant Garde"/>
                <w:b/>
                <w:sz w:val="20"/>
                <w:szCs w:val="20"/>
              </w:rPr>
              <w:t>2.</w:t>
            </w:r>
            <w:r w:rsidR="00E6080B" w:rsidRPr="00542C89">
              <w:rPr>
                <w:rFonts w:ascii="ITC Avant Garde" w:hAnsi="ITC Avant Garde"/>
                <w:b/>
                <w:sz w:val="20"/>
                <w:szCs w:val="20"/>
              </w:rPr>
              <w:t>-</w:t>
            </w:r>
            <w:r w:rsidRPr="00542C89">
              <w:rPr>
                <w:rFonts w:ascii="ITC Avant Garde" w:hAnsi="ITC Avant Garde"/>
                <w:b/>
                <w:sz w:val="20"/>
                <w:szCs w:val="20"/>
              </w:rPr>
              <w:t xml:space="preserve"> Describa la problemática o situación que da origen al anteproyecto de regulación:</w:t>
            </w:r>
          </w:p>
          <w:p w:rsidR="001932FC" w:rsidRPr="00682082" w:rsidRDefault="001932FC" w:rsidP="001932FC">
            <w:pPr>
              <w:jc w:val="both"/>
              <w:rPr>
                <w:rFonts w:ascii="ITC Avant Garde" w:hAnsi="ITC Avant Garde"/>
                <w:sz w:val="20"/>
                <w:szCs w:val="20"/>
              </w:rPr>
            </w:pPr>
          </w:p>
          <w:p w:rsidR="00A64352" w:rsidRPr="00682082" w:rsidRDefault="00A64352" w:rsidP="00A64352">
            <w:pPr>
              <w:pStyle w:val="Default"/>
              <w:spacing w:line="276" w:lineRule="auto"/>
              <w:ind w:right="-1"/>
              <w:jc w:val="both"/>
              <w:rPr>
                <w:rFonts w:ascii="ITC Avant Garde" w:hAnsi="ITC Avant Garde"/>
                <w:color w:val="auto"/>
                <w:sz w:val="20"/>
                <w:szCs w:val="20"/>
              </w:rPr>
            </w:pPr>
            <w:r w:rsidRPr="00682082">
              <w:rPr>
                <w:rFonts w:ascii="ITC Avant Garde" w:hAnsi="ITC Avant Garde"/>
                <w:color w:val="auto"/>
                <w:sz w:val="20"/>
                <w:szCs w:val="20"/>
              </w:rPr>
              <w:t xml:space="preserve">Actualmente, conforme al artículo Cuarto Transitorio, párrafo segundo, de las </w:t>
            </w:r>
            <w:r w:rsidRPr="00682082">
              <w:rPr>
                <w:rFonts w:ascii="ITC Avant Garde" w:hAnsi="ITC Avant Garde"/>
                <w:i/>
                <w:color w:val="auto"/>
                <w:sz w:val="20"/>
                <w:szCs w:val="20"/>
              </w:rPr>
              <w:t>Disposiciones Regulatorias de la Ley Federal de Competencia Económica para los sectores de telecomunicaciones y radiodifusión</w:t>
            </w:r>
            <w:r w:rsidRPr="00682082">
              <w:rPr>
                <w:rFonts w:ascii="ITC Avant Garde" w:hAnsi="ITC Avant Garde"/>
                <w:color w:val="auto"/>
                <w:sz w:val="20"/>
                <w:szCs w:val="20"/>
              </w:rPr>
              <w:t>, para determinar el grado de concentración en los mercados, el Instituto aplica los métodos de cálculo publicados por la extinta Comisión Federal de Competencia el veinticuatro de julio de mil novecientos noventa y ocho en el Diario Oficial de la Federación; sin embargo, ese mismo artículo, en el párrafo segundo, señala que dichos métodos serán aplicables hasta que el Instituto emita otros que los sustituyan.</w:t>
            </w:r>
          </w:p>
          <w:p w:rsidR="00A64352" w:rsidRPr="00682082" w:rsidRDefault="00A64352" w:rsidP="00A64352">
            <w:pPr>
              <w:pStyle w:val="Default"/>
              <w:spacing w:line="276" w:lineRule="auto"/>
              <w:ind w:right="-1"/>
              <w:jc w:val="both"/>
              <w:rPr>
                <w:rFonts w:ascii="ITC Avant Garde" w:hAnsi="ITC Avant Garde"/>
                <w:color w:val="auto"/>
                <w:sz w:val="20"/>
                <w:szCs w:val="20"/>
              </w:rPr>
            </w:pPr>
          </w:p>
          <w:p w:rsidR="00A64352" w:rsidRPr="00DF7362" w:rsidRDefault="00A64352" w:rsidP="002C4BE8">
            <w:pPr>
              <w:pStyle w:val="Default"/>
              <w:spacing w:line="276" w:lineRule="auto"/>
              <w:ind w:right="-1"/>
              <w:jc w:val="both"/>
              <w:rPr>
                <w:rFonts w:ascii="ITC Avant Garde" w:hAnsi="ITC Avant Garde"/>
                <w:color w:val="auto"/>
                <w:sz w:val="20"/>
                <w:szCs w:val="20"/>
              </w:rPr>
            </w:pPr>
            <w:r w:rsidRPr="00682082">
              <w:rPr>
                <w:rFonts w:ascii="ITC Avant Garde" w:hAnsi="ITC Avant Garde"/>
                <w:color w:val="auto"/>
                <w:sz w:val="20"/>
                <w:szCs w:val="20"/>
              </w:rPr>
              <w:t xml:space="preserve">Como se menciona en el párrafo anterior, la disposición en la materia que aplica actualmente fue publicada en 1998 y tenía un ámbito de aplicación general en todos los mercados. En ese sentido, es necesario revisar los métodos de cálculo que aplicará el Instituto </w:t>
            </w:r>
            <w:r w:rsidR="005056A4" w:rsidRPr="00682082">
              <w:rPr>
                <w:rFonts w:ascii="ITC Avant Garde" w:hAnsi="ITC Avant Garde"/>
                <w:color w:val="auto"/>
                <w:sz w:val="20"/>
                <w:szCs w:val="20"/>
              </w:rPr>
              <w:t xml:space="preserve">en los mercados y servicios correspondientes a los sectores de telecomunicaciones y radiodifusión </w:t>
            </w:r>
            <w:r w:rsidRPr="00682082">
              <w:rPr>
                <w:rFonts w:ascii="ITC Avant Garde" w:hAnsi="ITC Avant Garde"/>
                <w:color w:val="auto"/>
                <w:sz w:val="20"/>
                <w:szCs w:val="20"/>
              </w:rPr>
              <w:t>a fin de determinar el grado de c</w:t>
            </w:r>
            <w:r w:rsidR="005056A4" w:rsidRPr="00682082">
              <w:rPr>
                <w:rFonts w:ascii="ITC Avant Garde" w:hAnsi="ITC Avant Garde"/>
                <w:color w:val="auto"/>
                <w:sz w:val="20"/>
                <w:szCs w:val="20"/>
              </w:rPr>
              <w:t>oncentración en los mismos.</w:t>
            </w:r>
          </w:p>
          <w:p w:rsidR="00A64352" w:rsidRPr="00682082" w:rsidRDefault="00A64352" w:rsidP="001932FC">
            <w:pPr>
              <w:jc w:val="both"/>
              <w:rPr>
                <w:rFonts w:ascii="ITC Avant Garde" w:hAnsi="ITC Avant Garde"/>
                <w:sz w:val="20"/>
                <w:szCs w:val="20"/>
              </w:rPr>
            </w:pPr>
          </w:p>
          <w:p w:rsidR="001932FC" w:rsidRPr="00682082" w:rsidRDefault="00C93537" w:rsidP="001932FC">
            <w:pPr>
              <w:jc w:val="both"/>
              <w:rPr>
                <w:rFonts w:ascii="ITC Avant Garde" w:hAnsi="ITC Avant Garde"/>
                <w:sz w:val="20"/>
                <w:szCs w:val="20"/>
              </w:rPr>
            </w:pPr>
            <w:r>
              <w:rPr>
                <w:rFonts w:ascii="ITC Avant Garde" w:hAnsi="ITC Avant Garde"/>
                <w:sz w:val="20"/>
                <w:szCs w:val="20"/>
              </w:rPr>
              <w:t>E</w:t>
            </w:r>
            <w:r w:rsidRPr="00682082">
              <w:rPr>
                <w:rFonts w:ascii="ITC Avant Garde" w:hAnsi="ITC Avant Garde"/>
                <w:sz w:val="20"/>
                <w:szCs w:val="20"/>
              </w:rPr>
              <w:t>n consecuencia</w:t>
            </w:r>
            <w:r>
              <w:rPr>
                <w:rFonts w:ascii="ITC Avant Garde" w:hAnsi="ITC Avant Garde"/>
                <w:sz w:val="20"/>
                <w:szCs w:val="20"/>
              </w:rPr>
              <w:t>,</w:t>
            </w:r>
            <w:r w:rsidRPr="00682082">
              <w:rPr>
                <w:rFonts w:ascii="ITC Avant Garde" w:hAnsi="ITC Avant Garde"/>
                <w:sz w:val="20"/>
                <w:szCs w:val="20"/>
              </w:rPr>
              <w:t xml:space="preserve"> </w:t>
            </w:r>
            <w:r>
              <w:rPr>
                <w:rFonts w:ascii="ITC Avant Garde" w:hAnsi="ITC Avant Garde"/>
                <w:sz w:val="20"/>
                <w:szCs w:val="20"/>
              </w:rPr>
              <w:t>e</w:t>
            </w:r>
            <w:r w:rsidR="008F5019" w:rsidRPr="00682082">
              <w:rPr>
                <w:rFonts w:ascii="ITC Avant Garde" w:hAnsi="ITC Avant Garde"/>
                <w:sz w:val="20"/>
                <w:szCs w:val="20"/>
              </w:rPr>
              <w:t>l Anteproyecto</w:t>
            </w:r>
            <w:r w:rsidR="005056A4" w:rsidRPr="00682082">
              <w:rPr>
                <w:rFonts w:ascii="ITC Avant Garde" w:hAnsi="ITC Avant Garde"/>
                <w:sz w:val="20"/>
                <w:szCs w:val="20"/>
              </w:rPr>
              <w:t xml:space="preserve"> responde a una necesidad de orden legislativo y regulatorio, al mismo tiempo que</w:t>
            </w:r>
            <w:r w:rsidR="008F5019" w:rsidRPr="00682082">
              <w:rPr>
                <w:rFonts w:ascii="ITC Avant Garde" w:hAnsi="ITC Avant Garde"/>
                <w:sz w:val="20"/>
                <w:szCs w:val="20"/>
              </w:rPr>
              <w:t xml:space="preserve"> atiende lo establecido en el artículo 12, fracción XXII, párrafo tercero, inciso a) y g), de la Ley Federal de Competencia Económica (LFCE), el cual  establece que el Instituto, como autoridad en materia de competencia económica en los sectores de telecomunicaciones y radiodifusión, debe expedir criterios técnicos en materia de concentraciones y los que sean necesarios para el efectivo cumplimiento de la LFCE. Lo anterior, previa consulta pública en términos del artículo 138 del mismo ordenamiento.</w:t>
            </w:r>
          </w:p>
          <w:p w:rsidR="008F5019" w:rsidRPr="00682082" w:rsidRDefault="008F5019" w:rsidP="001932FC">
            <w:pPr>
              <w:jc w:val="both"/>
              <w:rPr>
                <w:rFonts w:ascii="ITC Avant Garde" w:hAnsi="ITC Avant Garde"/>
                <w:sz w:val="20"/>
                <w:szCs w:val="20"/>
              </w:rPr>
            </w:pPr>
          </w:p>
          <w:p w:rsidR="008F5019" w:rsidRPr="00682082" w:rsidRDefault="008F5019" w:rsidP="001932FC">
            <w:pPr>
              <w:jc w:val="both"/>
              <w:rPr>
                <w:rFonts w:ascii="ITC Avant Garde" w:hAnsi="ITC Avant Garde"/>
                <w:sz w:val="20"/>
                <w:szCs w:val="20"/>
              </w:rPr>
            </w:pPr>
            <w:r w:rsidRPr="00682082">
              <w:rPr>
                <w:rFonts w:ascii="ITC Avant Garde" w:hAnsi="ITC Avant Garde"/>
                <w:sz w:val="20"/>
                <w:szCs w:val="20"/>
              </w:rPr>
              <w:t xml:space="preserve">En ese contexto, a través del Anteproyecto, el Instituto dará a conocer los índices de concentración </w:t>
            </w:r>
            <w:r w:rsidR="005056A4" w:rsidRPr="00682082">
              <w:rPr>
                <w:rFonts w:ascii="ITC Avant Garde" w:hAnsi="ITC Avant Garde"/>
                <w:sz w:val="20"/>
                <w:szCs w:val="20"/>
              </w:rPr>
              <w:t>bajo los cuales realiza</w:t>
            </w:r>
            <w:r w:rsidRPr="00682082">
              <w:rPr>
                <w:rFonts w:ascii="ITC Avant Garde" w:hAnsi="ITC Avant Garde"/>
                <w:sz w:val="20"/>
                <w:szCs w:val="20"/>
              </w:rPr>
              <w:t>rá, en el ámbito de sus facultades, la evaluación en materia de competencia económica de asuntos que se tramiten en términos de la LFCE y la Ley Federal de Telecomunicaciones y Radiodifusión (LFTR).</w:t>
            </w:r>
            <w:r w:rsidR="005056A4" w:rsidRPr="00682082">
              <w:rPr>
                <w:rFonts w:ascii="ITC Avant Garde" w:hAnsi="ITC Avant Garde"/>
                <w:sz w:val="20"/>
                <w:szCs w:val="20"/>
              </w:rPr>
              <w:t xml:space="preserve"> E</w:t>
            </w:r>
            <w:r w:rsidR="00C93537">
              <w:rPr>
                <w:rFonts w:ascii="ITC Avant Garde" w:hAnsi="ITC Avant Garde"/>
                <w:sz w:val="20"/>
                <w:szCs w:val="20"/>
              </w:rPr>
              <w:t>sto</w:t>
            </w:r>
            <w:r w:rsidR="005056A4" w:rsidRPr="00682082">
              <w:rPr>
                <w:rFonts w:ascii="ITC Avant Garde" w:hAnsi="ITC Avant Garde"/>
                <w:sz w:val="20"/>
                <w:szCs w:val="20"/>
              </w:rPr>
              <w:t xml:space="preserve"> con el fin de brindar seguridad jurídica a los particulares respecto de aquellas concentraciones </w:t>
            </w:r>
            <w:r w:rsidR="000C556A">
              <w:rPr>
                <w:rFonts w:ascii="ITC Avant Garde" w:hAnsi="ITC Avant Garde"/>
                <w:sz w:val="20"/>
                <w:szCs w:val="20"/>
              </w:rPr>
              <w:t>u</w:t>
            </w:r>
            <w:r w:rsidR="005056A4" w:rsidRPr="00682082">
              <w:rPr>
                <w:rFonts w:ascii="ITC Avant Garde" w:hAnsi="ITC Avant Garde"/>
                <w:sz w:val="20"/>
                <w:szCs w:val="20"/>
              </w:rPr>
              <w:t xml:space="preserve"> </w:t>
            </w:r>
            <w:r w:rsidR="00781C6A">
              <w:rPr>
                <w:rFonts w:ascii="ITC Avant Garde" w:hAnsi="ITC Avant Garde"/>
                <w:sz w:val="20"/>
                <w:szCs w:val="20"/>
              </w:rPr>
              <w:t xml:space="preserve">otras </w:t>
            </w:r>
            <w:r w:rsidR="005056A4" w:rsidRPr="00682082">
              <w:rPr>
                <w:rFonts w:ascii="ITC Avant Garde" w:hAnsi="ITC Avant Garde"/>
                <w:sz w:val="20"/>
                <w:szCs w:val="20"/>
              </w:rPr>
              <w:t xml:space="preserve">operaciones </w:t>
            </w:r>
            <w:r w:rsidR="000C556A">
              <w:rPr>
                <w:rFonts w:ascii="ITC Avant Garde" w:hAnsi="ITC Avant Garde"/>
                <w:sz w:val="20"/>
                <w:szCs w:val="20"/>
              </w:rPr>
              <w:t>o procedimientos</w:t>
            </w:r>
            <w:r w:rsidR="000C556A" w:rsidRPr="00682082">
              <w:rPr>
                <w:rFonts w:ascii="ITC Avant Garde" w:hAnsi="ITC Avant Garde"/>
                <w:sz w:val="20"/>
                <w:szCs w:val="20"/>
              </w:rPr>
              <w:t xml:space="preserve"> </w:t>
            </w:r>
            <w:r w:rsidR="005056A4" w:rsidRPr="00682082">
              <w:rPr>
                <w:rFonts w:ascii="ITC Avant Garde" w:hAnsi="ITC Avant Garde"/>
                <w:sz w:val="20"/>
                <w:szCs w:val="20"/>
              </w:rPr>
              <w:t>en las cuales es poco probable la existencia de riesgos a la competencia económica y libre concurrencia, así como el índice para determinar el grado de concentración en los mercados y servicios competencia del Instituto.</w:t>
            </w:r>
          </w:p>
          <w:p w:rsidR="008F5019" w:rsidRPr="00682082" w:rsidRDefault="008F5019" w:rsidP="001932FC">
            <w:pPr>
              <w:jc w:val="both"/>
              <w:rPr>
                <w:rFonts w:ascii="ITC Avant Garde" w:hAnsi="ITC Avant Garde"/>
                <w:sz w:val="20"/>
                <w:szCs w:val="20"/>
              </w:rPr>
            </w:pPr>
          </w:p>
        </w:tc>
      </w:tr>
    </w:tbl>
    <w:p w:rsidR="001932FC" w:rsidRDefault="001932FC" w:rsidP="001932FC">
      <w:pPr>
        <w:jc w:val="both"/>
        <w:rPr>
          <w:rFonts w:ascii="ITC Avant Garde" w:hAnsi="ITC Avant Garde"/>
          <w:sz w:val="20"/>
          <w:szCs w:val="20"/>
        </w:rPr>
      </w:pPr>
    </w:p>
    <w:p w:rsidR="00AC496C" w:rsidRPr="00682082" w:rsidRDefault="00AC496C"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1932FC" w:rsidRPr="00682082" w:rsidTr="001932FC">
        <w:tc>
          <w:tcPr>
            <w:tcW w:w="8828" w:type="dxa"/>
          </w:tcPr>
          <w:p w:rsidR="008A48B0" w:rsidRPr="00542C89" w:rsidRDefault="001932FC" w:rsidP="008A48B0">
            <w:pPr>
              <w:jc w:val="both"/>
              <w:rPr>
                <w:rFonts w:ascii="ITC Avant Garde" w:hAnsi="ITC Avant Garde"/>
                <w:b/>
                <w:sz w:val="20"/>
                <w:szCs w:val="20"/>
              </w:rPr>
            </w:pPr>
            <w:r w:rsidRPr="00542C89">
              <w:rPr>
                <w:rFonts w:ascii="ITC Avant Garde" w:hAnsi="ITC Avant Garde"/>
                <w:b/>
                <w:sz w:val="20"/>
                <w:szCs w:val="20"/>
              </w:rPr>
              <w:lastRenderedPageBreak/>
              <w:t>3.</w:t>
            </w:r>
            <w:r w:rsidR="00E6080B" w:rsidRPr="00542C89">
              <w:rPr>
                <w:rFonts w:ascii="ITC Avant Garde" w:hAnsi="ITC Avant Garde"/>
                <w:b/>
                <w:sz w:val="20"/>
                <w:szCs w:val="20"/>
              </w:rPr>
              <w:t>-</w:t>
            </w:r>
            <w:r w:rsidRPr="00542C89">
              <w:rPr>
                <w:rFonts w:ascii="ITC Avant Garde" w:hAnsi="ITC Avant Garde"/>
                <w:b/>
                <w:sz w:val="20"/>
                <w:szCs w:val="20"/>
              </w:rPr>
              <w:t xml:space="preserve"> Indique el </w:t>
            </w:r>
            <w:r w:rsidR="008A48B0" w:rsidRPr="00542C89">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w:t>
            </w:r>
            <w:r w:rsidR="00B35532" w:rsidRPr="00542C89">
              <w:rPr>
                <w:rFonts w:ascii="ITC Avant Garde" w:hAnsi="ITC Avant Garde"/>
                <w:b/>
                <w:sz w:val="20"/>
                <w:szCs w:val="20"/>
              </w:rPr>
              <w:t xml:space="preserve"> qué </w:t>
            </w:r>
            <w:r w:rsidR="008A48B0" w:rsidRPr="00542C89">
              <w:rPr>
                <w:rFonts w:ascii="ITC Avant Garde" w:hAnsi="ITC Avant Garde"/>
                <w:b/>
                <w:sz w:val="20"/>
                <w:szCs w:val="20"/>
              </w:rPr>
              <w:t>son insuficientes cada una de ellas para atender la problemática identificada:</w:t>
            </w:r>
          </w:p>
          <w:p w:rsidR="003A4150" w:rsidRPr="00682082" w:rsidRDefault="003A4150" w:rsidP="008A48B0">
            <w:pPr>
              <w:jc w:val="both"/>
              <w:rPr>
                <w:rFonts w:ascii="ITC Avant Garde" w:hAnsi="ITC Avant Garde"/>
                <w:sz w:val="20"/>
                <w:szCs w:val="20"/>
              </w:rPr>
            </w:pPr>
          </w:p>
          <w:p w:rsidR="003A4150" w:rsidRPr="00682082" w:rsidRDefault="008F5019" w:rsidP="006C779A">
            <w:pPr>
              <w:pStyle w:val="Default"/>
              <w:spacing w:line="276" w:lineRule="auto"/>
              <w:ind w:right="-1"/>
              <w:jc w:val="both"/>
              <w:rPr>
                <w:rFonts w:ascii="ITC Avant Garde" w:hAnsi="ITC Avant Garde"/>
                <w:color w:val="auto"/>
                <w:sz w:val="20"/>
                <w:szCs w:val="20"/>
              </w:rPr>
            </w:pPr>
            <w:r w:rsidRPr="00682082">
              <w:rPr>
                <w:rFonts w:ascii="ITC Avant Garde" w:hAnsi="ITC Avant Garde"/>
                <w:color w:val="auto"/>
                <w:sz w:val="20"/>
                <w:szCs w:val="20"/>
              </w:rPr>
              <w:t xml:space="preserve">El tipo de ordenamiento consiste en un </w:t>
            </w:r>
            <w:r w:rsidR="003A4150" w:rsidRPr="00682082">
              <w:rPr>
                <w:rFonts w:ascii="ITC Avant Garde" w:hAnsi="ITC Avant Garde"/>
                <w:color w:val="auto"/>
                <w:sz w:val="20"/>
                <w:szCs w:val="20"/>
              </w:rPr>
              <w:t>Criterio Técnico</w:t>
            </w:r>
            <w:r w:rsidRPr="00682082">
              <w:rPr>
                <w:rFonts w:ascii="ITC Avant Garde" w:hAnsi="ITC Avant Garde"/>
                <w:color w:val="auto"/>
                <w:sz w:val="20"/>
                <w:szCs w:val="20"/>
              </w:rPr>
              <w:t>, en términos de la LFCE</w:t>
            </w:r>
            <w:r w:rsidR="003F25FC" w:rsidRPr="00682082">
              <w:rPr>
                <w:rFonts w:ascii="ITC Avant Garde" w:hAnsi="ITC Avant Garde"/>
                <w:color w:val="auto"/>
                <w:sz w:val="20"/>
                <w:szCs w:val="20"/>
              </w:rPr>
              <w:t>,</w:t>
            </w:r>
            <w:r w:rsidR="003A4150" w:rsidRPr="00682082">
              <w:rPr>
                <w:rFonts w:ascii="ITC Avant Garde" w:hAnsi="ITC Avant Garde"/>
                <w:color w:val="auto"/>
                <w:sz w:val="20"/>
                <w:szCs w:val="20"/>
              </w:rPr>
              <w:t xml:space="preserve"> para el Cálculo y Aplicación de un Índice Cuantitativo a Fin de Determinar el Grado de Concentración en los Mercados y </w:t>
            </w:r>
            <w:r w:rsidR="003F25FC" w:rsidRPr="00682082">
              <w:rPr>
                <w:rFonts w:ascii="ITC Avant Garde" w:hAnsi="ITC Avant Garde"/>
                <w:color w:val="auto"/>
                <w:sz w:val="20"/>
                <w:szCs w:val="20"/>
              </w:rPr>
              <w:t xml:space="preserve">Servicios correspondientes a los </w:t>
            </w:r>
            <w:r w:rsidR="003A4150" w:rsidRPr="00682082">
              <w:rPr>
                <w:rFonts w:ascii="ITC Avant Garde" w:hAnsi="ITC Avant Garde"/>
                <w:color w:val="auto"/>
                <w:sz w:val="20"/>
                <w:szCs w:val="20"/>
              </w:rPr>
              <w:t>Sectores de Telecomunicaciones y Radiodifusión.</w:t>
            </w:r>
          </w:p>
          <w:p w:rsidR="003A4150" w:rsidRPr="00682082" w:rsidRDefault="003A4150" w:rsidP="006C779A">
            <w:pPr>
              <w:pStyle w:val="Default"/>
              <w:spacing w:line="276" w:lineRule="auto"/>
              <w:ind w:right="-1"/>
              <w:jc w:val="both"/>
              <w:rPr>
                <w:rFonts w:ascii="ITC Avant Garde" w:hAnsi="ITC Avant Garde"/>
                <w:color w:val="auto"/>
                <w:sz w:val="20"/>
                <w:szCs w:val="20"/>
              </w:rPr>
            </w:pPr>
          </w:p>
          <w:p w:rsidR="005056A4" w:rsidRPr="00682082" w:rsidRDefault="003A4150">
            <w:pPr>
              <w:pStyle w:val="Default"/>
              <w:spacing w:line="276" w:lineRule="auto"/>
              <w:ind w:right="-1"/>
              <w:jc w:val="both"/>
              <w:rPr>
                <w:rFonts w:ascii="ITC Avant Garde" w:hAnsi="ITC Avant Garde"/>
                <w:color w:val="auto"/>
                <w:sz w:val="20"/>
                <w:szCs w:val="20"/>
              </w:rPr>
            </w:pPr>
            <w:r w:rsidRPr="00DF12CE">
              <w:rPr>
                <w:rFonts w:ascii="ITC Avant Garde" w:hAnsi="ITC Avant Garde"/>
                <w:color w:val="auto"/>
                <w:sz w:val="20"/>
                <w:szCs w:val="20"/>
              </w:rPr>
              <w:t>Actualmente</w:t>
            </w:r>
            <w:r w:rsidR="003F25FC" w:rsidRPr="00DF12CE">
              <w:rPr>
                <w:rFonts w:ascii="ITC Avant Garde" w:hAnsi="ITC Avant Garde"/>
                <w:color w:val="auto"/>
                <w:sz w:val="20"/>
                <w:szCs w:val="20"/>
              </w:rPr>
              <w:t xml:space="preserve">, para determinar el grado de concentración en los mercados, el Instituto aplica </w:t>
            </w:r>
            <w:r w:rsidRPr="00DF12CE">
              <w:rPr>
                <w:rFonts w:ascii="ITC Avant Garde" w:hAnsi="ITC Avant Garde"/>
                <w:color w:val="auto"/>
                <w:sz w:val="20"/>
                <w:szCs w:val="20"/>
              </w:rPr>
              <w:t xml:space="preserve">los métodos de cálculo publicados por la </w:t>
            </w:r>
            <w:r w:rsidR="003F25FC" w:rsidRPr="00DF12CE">
              <w:rPr>
                <w:rFonts w:ascii="ITC Avant Garde" w:hAnsi="ITC Avant Garde"/>
                <w:color w:val="auto"/>
                <w:sz w:val="20"/>
                <w:szCs w:val="20"/>
              </w:rPr>
              <w:t xml:space="preserve">extinta </w:t>
            </w:r>
            <w:r w:rsidRPr="00DF12CE">
              <w:rPr>
                <w:rFonts w:ascii="ITC Avant Garde" w:hAnsi="ITC Avant Garde"/>
                <w:color w:val="auto"/>
                <w:sz w:val="20"/>
                <w:szCs w:val="20"/>
              </w:rPr>
              <w:t>Comisión Federal de Competencia</w:t>
            </w:r>
            <w:r w:rsidR="003F25FC" w:rsidRPr="00DF12CE">
              <w:rPr>
                <w:rFonts w:ascii="ITC Avant Garde" w:hAnsi="ITC Avant Garde"/>
                <w:color w:val="auto"/>
                <w:sz w:val="20"/>
                <w:szCs w:val="20"/>
              </w:rPr>
              <w:t>;</w:t>
            </w:r>
            <w:r w:rsidR="006C779A" w:rsidRPr="00DF12CE">
              <w:rPr>
                <w:rFonts w:ascii="ITC Avant Garde" w:hAnsi="ITC Avant Garde"/>
                <w:color w:val="auto"/>
                <w:sz w:val="20"/>
                <w:szCs w:val="20"/>
              </w:rPr>
              <w:t xml:space="preserve"> sin embargo</w:t>
            </w:r>
            <w:r w:rsidR="003F25FC" w:rsidRPr="00DF12CE">
              <w:rPr>
                <w:rFonts w:ascii="ITC Avant Garde" w:hAnsi="ITC Avant Garde"/>
                <w:color w:val="auto"/>
                <w:sz w:val="20"/>
                <w:szCs w:val="20"/>
              </w:rPr>
              <w:t>,</w:t>
            </w:r>
            <w:r w:rsidR="005056A4" w:rsidRPr="00DF12CE">
              <w:rPr>
                <w:rFonts w:ascii="ITC Avant Garde" w:hAnsi="ITC Avant Garde"/>
                <w:color w:val="auto"/>
                <w:sz w:val="20"/>
                <w:szCs w:val="20"/>
              </w:rPr>
              <w:t xml:space="preserve"> esas </w:t>
            </w:r>
            <w:r w:rsidR="003F25FC" w:rsidRPr="00DF12CE">
              <w:rPr>
                <w:rFonts w:ascii="ITC Avant Garde" w:hAnsi="ITC Avant Garde"/>
                <w:color w:val="auto"/>
                <w:sz w:val="20"/>
                <w:szCs w:val="20"/>
              </w:rPr>
              <w:t>disposici</w:t>
            </w:r>
            <w:r w:rsidR="005056A4" w:rsidRPr="00DF12CE">
              <w:rPr>
                <w:rFonts w:ascii="ITC Avant Garde" w:hAnsi="ITC Avant Garde"/>
                <w:color w:val="auto"/>
                <w:sz w:val="20"/>
                <w:szCs w:val="20"/>
              </w:rPr>
              <w:t>o</w:t>
            </w:r>
            <w:r w:rsidR="003F25FC" w:rsidRPr="00DF12CE">
              <w:rPr>
                <w:rFonts w:ascii="ITC Avant Garde" w:hAnsi="ITC Avant Garde"/>
                <w:color w:val="auto"/>
                <w:sz w:val="20"/>
                <w:szCs w:val="20"/>
              </w:rPr>
              <w:t>n</w:t>
            </w:r>
            <w:r w:rsidR="005056A4" w:rsidRPr="00DF12CE">
              <w:rPr>
                <w:rFonts w:ascii="ITC Avant Garde" w:hAnsi="ITC Avant Garde"/>
                <w:color w:val="auto"/>
                <w:sz w:val="20"/>
                <w:szCs w:val="20"/>
              </w:rPr>
              <w:t>es</w:t>
            </w:r>
            <w:r w:rsidR="003F25FC" w:rsidRPr="00DF12CE">
              <w:rPr>
                <w:rFonts w:ascii="ITC Avant Garde" w:hAnsi="ITC Avant Garde"/>
                <w:color w:val="auto"/>
                <w:sz w:val="20"/>
                <w:szCs w:val="20"/>
              </w:rPr>
              <w:t xml:space="preserve"> fue</w:t>
            </w:r>
            <w:r w:rsidR="005056A4" w:rsidRPr="00DF12CE">
              <w:rPr>
                <w:rFonts w:ascii="ITC Avant Garde" w:hAnsi="ITC Avant Garde"/>
                <w:color w:val="auto"/>
                <w:sz w:val="20"/>
                <w:szCs w:val="20"/>
              </w:rPr>
              <w:t>ron</w:t>
            </w:r>
            <w:r w:rsidR="003F25FC" w:rsidRPr="00DF12CE">
              <w:rPr>
                <w:rFonts w:ascii="ITC Avant Garde" w:hAnsi="ITC Avant Garde"/>
                <w:color w:val="auto"/>
                <w:sz w:val="20"/>
                <w:szCs w:val="20"/>
              </w:rPr>
              <w:t xml:space="preserve"> publicada</w:t>
            </w:r>
            <w:r w:rsidR="005056A4" w:rsidRPr="00DF12CE">
              <w:rPr>
                <w:rFonts w:ascii="ITC Avant Garde" w:hAnsi="ITC Avant Garde"/>
                <w:color w:val="auto"/>
                <w:sz w:val="20"/>
                <w:szCs w:val="20"/>
              </w:rPr>
              <w:t>s</w:t>
            </w:r>
            <w:r w:rsidR="003F25FC" w:rsidRPr="00DF12CE">
              <w:rPr>
                <w:rFonts w:ascii="ITC Avant Garde" w:hAnsi="ITC Avant Garde"/>
                <w:color w:val="auto"/>
                <w:sz w:val="20"/>
                <w:szCs w:val="20"/>
              </w:rPr>
              <w:t xml:space="preserve"> en 1998 y tenía</w:t>
            </w:r>
            <w:r w:rsidR="005056A4" w:rsidRPr="00DF12CE">
              <w:rPr>
                <w:rFonts w:ascii="ITC Avant Garde" w:hAnsi="ITC Avant Garde"/>
                <w:color w:val="auto"/>
                <w:sz w:val="20"/>
                <w:szCs w:val="20"/>
              </w:rPr>
              <w:t>n</w:t>
            </w:r>
            <w:r w:rsidR="003F25FC" w:rsidRPr="00DF12CE">
              <w:rPr>
                <w:rFonts w:ascii="ITC Avant Garde" w:hAnsi="ITC Avant Garde"/>
                <w:color w:val="auto"/>
                <w:sz w:val="20"/>
                <w:szCs w:val="20"/>
              </w:rPr>
              <w:t xml:space="preserve"> un ámbito de aplicación general en todos los mercados.</w:t>
            </w:r>
            <w:r w:rsidR="003F25FC" w:rsidRPr="00682082">
              <w:rPr>
                <w:rFonts w:ascii="ITC Avant Garde" w:hAnsi="ITC Avant Garde"/>
                <w:color w:val="auto"/>
                <w:sz w:val="20"/>
                <w:szCs w:val="20"/>
              </w:rPr>
              <w:t xml:space="preserve"> </w:t>
            </w:r>
          </w:p>
          <w:p w:rsidR="005056A4" w:rsidRPr="00682082" w:rsidRDefault="005056A4">
            <w:pPr>
              <w:pStyle w:val="Default"/>
              <w:spacing w:line="276" w:lineRule="auto"/>
              <w:ind w:right="-1"/>
              <w:jc w:val="both"/>
              <w:rPr>
                <w:rFonts w:ascii="ITC Avant Garde" w:hAnsi="ITC Avant Garde"/>
                <w:color w:val="auto"/>
                <w:sz w:val="20"/>
                <w:szCs w:val="20"/>
              </w:rPr>
            </w:pPr>
          </w:p>
          <w:p w:rsidR="003F25FC" w:rsidRPr="00682082" w:rsidRDefault="005056A4">
            <w:pPr>
              <w:pStyle w:val="Default"/>
              <w:spacing w:line="276" w:lineRule="auto"/>
              <w:ind w:right="-1"/>
              <w:jc w:val="both"/>
              <w:rPr>
                <w:rFonts w:ascii="ITC Avant Garde" w:hAnsi="ITC Avant Garde"/>
                <w:color w:val="auto"/>
                <w:sz w:val="20"/>
                <w:szCs w:val="20"/>
              </w:rPr>
            </w:pPr>
            <w:r w:rsidRPr="00682082">
              <w:rPr>
                <w:rFonts w:ascii="ITC Avant Garde" w:hAnsi="ITC Avant Garde"/>
                <w:color w:val="auto"/>
                <w:sz w:val="20"/>
                <w:szCs w:val="20"/>
              </w:rPr>
              <w:t>Por ende,</w:t>
            </w:r>
            <w:r w:rsidR="003F25FC" w:rsidRPr="00682082">
              <w:rPr>
                <w:rFonts w:ascii="ITC Avant Garde" w:hAnsi="ITC Avant Garde"/>
                <w:color w:val="auto"/>
                <w:sz w:val="20"/>
                <w:szCs w:val="20"/>
              </w:rPr>
              <w:t xml:space="preserve"> </w:t>
            </w:r>
            <w:r w:rsidRPr="00682082">
              <w:rPr>
                <w:rFonts w:ascii="ITC Avant Garde" w:hAnsi="ITC Avant Garde"/>
                <w:color w:val="auto"/>
                <w:sz w:val="20"/>
                <w:szCs w:val="20"/>
              </w:rPr>
              <w:t>deviene</w:t>
            </w:r>
            <w:r w:rsidR="003F25FC" w:rsidRPr="00682082">
              <w:rPr>
                <w:rFonts w:ascii="ITC Avant Garde" w:hAnsi="ITC Avant Garde"/>
                <w:color w:val="auto"/>
                <w:sz w:val="20"/>
                <w:szCs w:val="20"/>
              </w:rPr>
              <w:t xml:space="preserve"> necesario revisar l</w:t>
            </w:r>
            <w:r w:rsidR="00AA7FB1" w:rsidRPr="00682082">
              <w:rPr>
                <w:rFonts w:ascii="ITC Avant Garde" w:hAnsi="ITC Avant Garde"/>
                <w:color w:val="auto"/>
                <w:sz w:val="20"/>
                <w:szCs w:val="20"/>
              </w:rPr>
              <w:t>os métodos de cálculo que aplicará el Instituto a fin de determinar el grado de concentración en los mercados y servicios atendiendo las particularidades de los sectores de telecomunicaciones y radiodifusión, donde el Instituto es la autoridad en materia de competencia económica.</w:t>
            </w:r>
            <w:r w:rsidRPr="00682082">
              <w:rPr>
                <w:rFonts w:ascii="ITC Avant Garde" w:hAnsi="ITC Avant Garde"/>
                <w:color w:val="auto"/>
                <w:sz w:val="20"/>
                <w:szCs w:val="20"/>
              </w:rPr>
              <w:t xml:space="preserve"> Ello con diversas finalidades, entre las que pueden señalarse: 1) dar seguridad jurídica a los particulares respecto del análisis de concentraciones </w:t>
            </w:r>
            <w:r w:rsidR="000C556A">
              <w:rPr>
                <w:rFonts w:ascii="ITC Avant Garde" w:hAnsi="ITC Avant Garde"/>
                <w:color w:val="auto"/>
                <w:sz w:val="20"/>
                <w:szCs w:val="20"/>
              </w:rPr>
              <w:t>u</w:t>
            </w:r>
            <w:r w:rsidRPr="00682082">
              <w:rPr>
                <w:rFonts w:ascii="ITC Avant Garde" w:hAnsi="ITC Avant Garde"/>
                <w:color w:val="auto"/>
                <w:sz w:val="20"/>
                <w:szCs w:val="20"/>
              </w:rPr>
              <w:t xml:space="preserve"> </w:t>
            </w:r>
            <w:r w:rsidR="008F7425">
              <w:rPr>
                <w:rFonts w:ascii="ITC Avant Garde" w:hAnsi="ITC Avant Garde"/>
                <w:color w:val="auto"/>
                <w:sz w:val="20"/>
                <w:szCs w:val="20"/>
              </w:rPr>
              <w:t xml:space="preserve">otras </w:t>
            </w:r>
            <w:r w:rsidRPr="00682082">
              <w:rPr>
                <w:rFonts w:ascii="ITC Avant Garde" w:hAnsi="ITC Avant Garde"/>
                <w:color w:val="auto"/>
                <w:sz w:val="20"/>
                <w:szCs w:val="20"/>
              </w:rPr>
              <w:t xml:space="preserve">operaciones </w:t>
            </w:r>
            <w:r w:rsidR="000C556A">
              <w:rPr>
                <w:rFonts w:ascii="ITC Avant Garde" w:hAnsi="ITC Avant Garde"/>
                <w:sz w:val="20"/>
                <w:szCs w:val="20"/>
              </w:rPr>
              <w:t>o procedimientos</w:t>
            </w:r>
            <w:r w:rsidR="000C556A" w:rsidRPr="00682082" w:rsidDel="008F7425">
              <w:rPr>
                <w:rFonts w:ascii="ITC Avant Garde" w:hAnsi="ITC Avant Garde"/>
                <w:color w:val="auto"/>
                <w:sz w:val="20"/>
                <w:szCs w:val="20"/>
              </w:rPr>
              <w:t xml:space="preserve"> </w:t>
            </w:r>
            <w:r w:rsidR="008F7425">
              <w:rPr>
                <w:rFonts w:ascii="ITC Avant Garde" w:hAnsi="ITC Avant Garde"/>
                <w:color w:val="auto"/>
                <w:sz w:val="20"/>
                <w:szCs w:val="20"/>
              </w:rPr>
              <w:t>identificad</w:t>
            </w:r>
            <w:r w:rsidR="000C556A">
              <w:rPr>
                <w:rFonts w:ascii="ITC Avant Garde" w:hAnsi="ITC Avant Garde"/>
                <w:color w:val="auto"/>
                <w:sz w:val="20"/>
                <w:szCs w:val="20"/>
              </w:rPr>
              <w:t>o</w:t>
            </w:r>
            <w:r w:rsidR="008F7425">
              <w:rPr>
                <w:rFonts w:ascii="ITC Avant Garde" w:hAnsi="ITC Avant Garde"/>
                <w:color w:val="auto"/>
                <w:sz w:val="20"/>
                <w:szCs w:val="20"/>
              </w:rPr>
              <w:t>s</w:t>
            </w:r>
            <w:r w:rsidR="008F7425" w:rsidRPr="00682082">
              <w:rPr>
                <w:rFonts w:ascii="ITC Avant Garde" w:hAnsi="ITC Avant Garde"/>
                <w:color w:val="auto"/>
                <w:sz w:val="20"/>
                <w:szCs w:val="20"/>
              </w:rPr>
              <w:t xml:space="preserve"> </w:t>
            </w:r>
            <w:r w:rsidRPr="00682082">
              <w:rPr>
                <w:rFonts w:ascii="ITC Avant Garde" w:hAnsi="ITC Avant Garde"/>
                <w:color w:val="auto"/>
                <w:sz w:val="20"/>
                <w:szCs w:val="20"/>
              </w:rPr>
              <w:t>al interior del Anteproyecto, 2) seguir los estándares internacionales en la materia</w:t>
            </w:r>
            <w:r w:rsidR="005C7317" w:rsidRPr="00682082">
              <w:rPr>
                <w:rFonts w:ascii="ITC Avant Garde" w:hAnsi="ITC Avant Garde"/>
                <w:color w:val="auto"/>
                <w:sz w:val="20"/>
                <w:szCs w:val="20"/>
              </w:rPr>
              <w:t xml:space="preserve"> y 3) responder a la especialidad propia de los sectores </w:t>
            </w:r>
            <w:r w:rsidR="008F7425">
              <w:rPr>
                <w:rFonts w:ascii="ITC Avant Garde" w:hAnsi="ITC Avant Garde"/>
                <w:color w:val="auto"/>
                <w:sz w:val="20"/>
                <w:szCs w:val="20"/>
              </w:rPr>
              <w:t xml:space="preserve">de </w:t>
            </w:r>
            <w:r w:rsidR="005C7317" w:rsidRPr="00682082">
              <w:rPr>
                <w:rFonts w:ascii="ITC Avant Garde" w:hAnsi="ITC Avant Garde"/>
                <w:color w:val="auto"/>
                <w:sz w:val="20"/>
                <w:szCs w:val="20"/>
              </w:rPr>
              <w:t>competencia del Instituto.</w:t>
            </w:r>
          </w:p>
          <w:p w:rsidR="006C779A" w:rsidRPr="00682082" w:rsidRDefault="006C779A" w:rsidP="006C779A">
            <w:pPr>
              <w:pStyle w:val="Default"/>
              <w:spacing w:line="276" w:lineRule="auto"/>
              <w:ind w:right="-1"/>
              <w:jc w:val="both"/>
              <w:rPr>
                <w:rFonts w:ascii="ITC Avant Garde" w:hAnsi="ITC Avant Garde"/>
                <w:color w:val="auto"/>
                <w:sz w:val="20"/>
                <w:szCs w:val="20"/>
              </w:rPr>
            </w:pPr>
          </w:p>
          <w:p w:rsidR="00E6080B" w:rsidRDefault="00AA7FB1">
            <w:pPr>
              <w:jc w:val="both"/>
              <w:rPr>
                <w:rFonts w:ascii="ITC Avant Garde" w:hAnsi="ITC Avant Garde"/>
                <w:sz w:val="20"/>
                <w:szCs w:val="20"/>
              </w:rPr>
            </w:pPr>
            <w:r w:rsidRPr="00682082">
              <w:rPr>
                <w:rFonts w:ascii="ITC Avant Garde" w:hAnsi="ITC Avant Garde"/>
                <w:sz w:val="20"/>
                <w:szCs w:val="20"/>
              </w:rPr>
              <w:t>Adicionalmente, la LFCE establece explíci</w:t>
            </w:r>
            <w:r w:rsidR="0076377D" w:rsidRPr="00682082">
              <w:rPr>
                <w:rFonts w:ascii="ITC Avant Garde" w:hAnsi="ITC Avant Garde"/>
                <w:sz w:val="20"/>
                <w:szCs w:val="20"/>
              </w:rPr>
              <w:t>tamente que el Instituto debe expedir criterios técnicos en materia de concentraciones y los que sean necesarios para el efectivo cumplimiento de la LFCE</w:t>
            </w:r>
            <w:r w:rsidR="005056A4" w:rsidRPr="00682082">
              <w:rPr>
                <w:rFonts w:ascii="ITC Avant Garde" w:hAnsi="ITC Avant Garde"/>
                <w:sz w:val="20"/>
                <w:szCs w:val="20"/>
              </w:rPr>
              <w:t xml:space="preserve">. </w:t>
            </w:r>
            <w:r w:rsidR="0076377D" w:rsidRPr="00682082">
              <w:rPr>
                <w:rFonts w:ascii="ITC Avant Garde" w:hAnsi="ITC Avant Garde"/>
                <w:sz w:val="20"/>
                <w:szCs w:val="20"/>
              </w:rPr>
              <w:t xml:space="preserve"> </w:t>
            </w:r>
          </w:p>
          <w:p w:rsidR="00AC496C" w:rsidRPr="00682082" w:rsidRDefault="00AC496C">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p w:rsidR="001932FC" w:rsidRPr="00682082" w:rsidRDefault="001932FC" w:rsidP="00A1622C">
      <w:pPr>
        <w:shd w:val="clear" w:color="auto" w:fill="A8D08D" w:themeFill="accent6" w:themeFillTint="99"/>
        <w:jc w:val="both"/>
        <w:rPr>
          <w:rFonts w:ascii="ITC Avant Garde" w:hAnsi="ITC Avant Garde"/>
          <w:sz w:val="20"/>
          <w:szCs w:val="20"/>
        </w:rPr>
      </w:pPr>
      <w:r w:rsidRPr="00682082">
        <w:rPr>
          <w:rFonts w:ascii="ITC Avant Garde" w:hAnsi="ITC Avant Garde"/>
          <w:sz w:val="20"/>
          <w:szCs w:val="20"/>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682082" w:rsidTr="00E6080B">
        <w:tc>
          <w:tcPr>
            <w:tcW w:w="8828" w:type="dxa"/>
          </w:tcPr>
          <w:p w:rsidR="00801FED" w:rsidRPr="00354E35" w:rsidRDefault="00E6080B" w:rsidP="00E6080B">
            <w:pPr>
              <w:jc w:val="both"/>
              <w:rPr>
                <w:rFonts w:ascii="ITC Avant Garde" w:hAnsi="ITC Avant Garde"/>
                <w:b/>
                <w:sz w:val="20"/>
                <w:szCs w:val="20"/>
              </w:rPr>
            </w:pPr>
            <w:r w:rsidRPr="00354E35">
              <w:rPr>
                <w:rFonts w:ascii="ITC Avant Garde" w:hAnsi="ITC Avant Garde"/>
                <w:b/>
                <w:sz w:val="20"/>
                <w:szCs w:val="20"/>
              </w:rPr>
              <w:t xml:space="preserve">4.- Señale y compare las alternativas con que se podría resolver la problemática </w:t>
            </w:r>
            <w:r w:rsidR="005A40FB" w:rsidRPr="00354E35">
              <w:rPr>
                <w:rFonts w:ascii="ITC Avant Garde" w:hAnsi="ITC Avant Garde"/>
                <w:b/>
                <w:sz w:val="20"/>
                <w:szCs w:val="20"/>
              </w:rPr>
              <w:t xml:space="preserve">detectada </w:t>
            </w:r>
            <w:r w:rsidR="00A1622C" w:rsidRPr="00354E35">
              <w:rPr>
                <w:rFonts w:ascii="ITC Avant Garde" w:hAnsi="ITC Avant Garde"/>
                <w:b/>
                <w:sz w:val="20"/>
                <w:szCs w:val="20"/>
              </w:rPr>
              <w:t xml:space="preserve">que fueron evaluadas, incluyendo la opción de no emitir el anteproyecto de regulación. Asimismo, indique para cada </w:t>
            </w:r>
            <w:r w:rsidR="00801FED" w:rsidRPr="00354E35">
              <w:rPr>
                <w:rFonts w:ascii="ITC Avant Garde" w:hAnsi="ITC Avant Garde"/>
                <w:b/>
                <w:sz w:val="20"/>
                <w:szCs w:val="20"/>
              </w:rPr>
              <w:t xml:space="preserve">una de las alternativas </w:t>
            </w:r>
            <w:r w:rsidR="005A40FB" w:rsidRPr="00354E35">
              <w:rPr>
                <w:rFonts w:ascii="ITC Avant Garde" w:hAnsi="ITC Avant Garde"/>
                <w:b/>
                <w:sz w:val="20"/>
                <w:szCs w:val="20"/>
              </w:rPr>
              <w:t>que fueron consideradas</w:t>
            </w:r>
            <w:r w:rsidR="00801FED" w:rsidRPr="00354E35">
              <w:rPr>
                <w:rFonts w:ascii="ITC Avant Garde" w:hAnsi="ITC Avant Garde"/>
                <w:b/>
                <w:sz w:val="20"/>
                <w:szCs w:val="20"/>
              </w:rPr>
              <w:t xml:space="preserve"> una estimación de los costos y beneficios que implicaría su instrumentación:</w:t>
            </w:r>
          </w:p>
          <w:p w:rsidR="00801FED" w:rsidRPr="00682082" w:rsidRDefault="00801FED" w:rsidP="00E6080B">
            <w:pPr>
              <w:jc w:val="both"/>
              <w:rPr>
                <w:rFonts w:ascii="ITC Avant Garde" w:hAnsi="ITC Avant Garde"/>
                <w:sz w:val="20"/>
                <w:szCs w:val="20"/>
              </w:rPr>
            </w:pPr>
          </w:p>
          <w:p w:rsidR="00E6080B" w:rsidRPr="00682082" w:rsidRDefault="006929E2" w:rsidP="00E6080B">
            <w:pPr>
              <w:jc w:val="both"/>
              <w:rPr>
                <w:rFonts w:ascii="ITC Avant Garde" w:hAnsi="ITC Avant Garde"/>
                <w:sz w:val="20"/>
                <w:szCs w:val="20"/>
              </w:rPr>
            </w:pPr>
            <w:r w:rsidRPr="00682082">
              <w:rPr>
                <w:rFonts w:ascii="ITC Avant Garde" w:hAnsi="ITC Avant Garde"/>
                <w:sz w:val="20"/>
                <w:szCs w:val="20"/>
              </w:rPr>
              <w:t>Las alternativas al Criterio Técnico que se propone para medir el grado de concentración serían:</w:t>
            </w:r>
          </w:p>
          <w:p w:rsidR="005C7317" w:rsidRPr="00682082" w:rsidRDefault="005C7317" w:rsidP="00E6080B">
            <w:pPr>
              <w:jc w:val="both"/>
              <w:rPr>
                <w:rFonts w:ascii="ITC Avant Garde" w:hAnsi="ITC Avant Garde"/>
                <w:sz w:val="20"/>
                <w:szCs w:val="20"/>
              </w:rPr>
            </w:pPr>
          </w:p>
          <w:p w:rsidR="005C7317" w:rsidRPr="00682082" w:rsidRDefault="006929E2" w:rsidP="002C4BE8">
            <w:pPr>
              <w:pStyle w:val="Prrafodelista"/>
              <w:numPr>
                <w:ilvl w:val="0"/>
                <w:numId w:val="6"/>
              </w:numPr>
              <w:jc w:val="both"/>
              <w:rPr>
                <w:rFonts w:ascii="ITC Avant Garde" w:hAnsi="ITC Avant Garde"/>
                <w:sz w:val="20"/>
                <w:szCs w:val="20"/>
              </w:rPr>
            </w:pPr>
            <w:r w:rsidRPr="00682082">
              <w:rPr>
                <w:rFonts w:ascii="ITC Avant Garde" w:hAnsi="ITC Avant Garde"/>
                <w:sz w:val="20"/>
                <w:szCs w:val="20"/>
              </w:rPr>
              <w:t>Emitir el Criterio Técnico, pero establecer el uso de referencias internacionales para me</w:t>
            </w:r>
            <w:r w:rsidR="00273696" w:rsidRPr="00682082">
              <w:rPr>
                <w:rFonts w:ascii="ITC Avant Garde" w:hAnsi="ITC Avant Garde"/>
                <w:sz w:val="20"/>
                <w:szCs w:val="20"/>
              </w:rPr>
              <w:t>dir el grado de concentración.</w:t>
            </w:r>
          </w:p>
          <w:p w:rsidR="00273696" w:rsidRPr="00682082" w:rsidRDefault="00273696" w:rsidP="00273696">
            <w:pPr>
              <w:jc w:val="both"/>
              <w:rPr>
                <w:rFonts w:ascii="ITC Avant Garde" w:hAnsi="ITC Avant Garde"/>
                <w:sz w:val="20"/>
                <w:szCs w:val="20"/>
              </w:rPr>
            </w:pPr>
          </w:p>
          <w:p w:rsidR="00273696" w:rsidRPr="00682082" w:rsidRDefault="00273696" w:rsidP="00273696">
            <w:pPr>
              <w:jc w:val="both"/>
              <w:rPr>
                <w:rFonts w:ascii="ITC Avant Garde" w:hAnsi="ITC Avant Garde"/>
                <w:sz w:val="20"/>
                <w:szCs w:val="20"/>
              </w:rPr>
            </w:pPr>
            <w:r w:rsidRPr="00682082">
              <w:rPr>
                <w:rFonts w:ascii="ITC Avant Garde" w:hAnsi="ITC Avant Garde"/>
                <w:sz w:val="20"/>
                <w:szCs w:val="20"/>
              </w:rPr>
              <w:t xml:space="preserve">El beneficio de esta medida es el mismo que se obtiene con la emisión del presente Criterio Técnico en cuanto a la aportación de seguridad jurídica a los particulares, al </w:t>
            </w:r>
            <w:r w:rsidRPr="00682082">
              <w:rPr>
                <w:rFonts w:ascii="ITC Avant Garde" w:hAnsi="ITC Avant Garde"/>
                <w:sz w:val="20"/>
                <w:szCs w:val="20"/>
              </w:rPr>
              <w:lastRenderedPageBreak/>
              <w:t>mismo tiempo de que permitiría la actualización del criterio actualmente utilizado y que proviene de la extinta Comisión Federal de Competencia.</w:t>
            </w:r>
          </w:p>
          <w:p w:rsidR="00273696" w:rsidRPr="00682082" w:rsidRDefault="00273696" w:rsidP="00273696">
            <w:pPr>
              <w:jc w:val="both"/>
              <w:rPr>
                <w:rFonts w:ascii="ITC Avant Garde" w:hAnsi="ITC Avant Garde"/>
                <w:sz w:val="20"/>
                <w:szCs w:val="20"/>
              </w:rPr>
            </w:pPr>
          </w:p>
          <w:p w:rsidR="00273696" w:rsidRPr="00682082" w:rsidRDefault="00E27CA3" w:rsidP="00273696">
            <w:pPr>
              <w:jc w:val="both"/>
              <w:rPr>
                <w:rFonts w:ascii="ITC Avant Garde" w:hAnsi="ITC Avant Garde"/>
                <w:sz w:val="20"/>
                <w:szCs w:val="20"/>
              </w:rPr>
            </w:pPr>
            <w:r w:rsidRPr="00682082">
              <w:rPr>
                <w:rFonts w:ascii="ITC Avant Garde" w:hAnsi="ITC Avant Garde"/>
                <w:sz w:val="20"/>
                <w:szCs w:val="20"/>
              </w:rPr>
              <w:t xml:space="preserve">No obstante, el costo consistiría en desatender la situación actual de los sectores de telecomunicaciones y radiodifusión en México, así como la realización de mayores requerimientos de información a los particulares que los previstos a causa del presente Criterio Técnico. </w:t>
            </w:r>
          </w:p>
          <w:p w:rsidR="00273696" w:rsidRPr="00682082" w:rsidRDefault="00273696" w:rsidP="00273696">
            <w:pPr>
              <w:jc w:val="both"/>
              <w:rPr>
                <w:rFonts w:ascii="ITC Avant Garde" w:hAnsi="ITC Avant Garde"/>
                <w:sz w:val="20"/>
                <w:szCs w:val="20"/>
              </w:rPr>
            </w:pPr>
          </w:p>
          <w:p w:rsidR="006929E2" w:rsidRPr="00682082" w:rsidRDefault="006929E2" w:rsidP="002C4BE8">
            <w:pPr>
              <w:pStyle w:val="Prrafodelista"/>
              <w:numPr>
                <w:ilvl w:val="0"/>
                <w:numId w:val="6"/>
              </w:numPr>
              <w:jc w:val="both"/>
              <w:rPr>
                <w:rFonts w:ascii="ITC Avant Garde" w:hAnsi="ITC Avant Garde"/>
                <w:sz w:val="20"/>
                <w:szCs w:val="20"/>
              </w:rPr>
            </w:pPr>
            <w:r w:rsidRPr="00682082">
              <w:rPr>
                <w:rFonts w:ascii="ITC Avant Garde" w:hAnsi="ITC Avant Garde"/>
                <w:sz w:val="20"/>
                <w:szCs w:val="20"/>
              </w:rPr>
              <w:t>No emitir el Criterio Técnico y mantener la disposición en la materia que aplica actualmente, publicada en 1998 por la extinta Comisión Federal de Competencia.</w:t>
            </w:r>
          </w:p>
          <w:p w:rsidR="006929E2" w:rsidRPr="00682082" w:rsidRDefault="006929E2" w:rsidP="006929E2">
            <w:pPr>
              <w:jc w:val="both"/>
              <w:rPr>
                <w:rFonts w:ascii="ITC Avant Garde" w:hAnsi="ITC Avant Garde"/>
                <w:sz w:val="20"/>
                <w:szCs w:val="20"/>
              </w:rPr>
            </w:pPr>
          </w:p>
          <w:p w:rsidR="006929E2" w:rsidRPr="00682082" w:rsidRDefault="00E27CA3" w:rsidP="006929E2">
            <w:pPr>
              <w:jc w:val="both"/>
              <w:rPr>
                <w:rFonts w:ascii="ITC Avant Garde" w:hAnsi="ITC Avant Garde"/>
                <w:sz w:val="20"/>
                <w:szCs w:val="20"/>
              </w:rPr>
            </w:pPr>
            <w:r w:rsidRPr="00682082">
              <w:rPr>
                <w:rFonts w:ascii="ITC Avant Garde" w:hAnsi="ITC Avant Garde"/>
                <w:sz w:val="20"/>
                <w:szCs w:val="20"/>
              </w:rPr>
              <w:t>Esta alternativa no ha tenido ningún b</w:t>
            </w:r>
            <w:r w:rsidR="00822476" w:rsidRPr="00682082">
              <w:rPr>
                <w:rFonts w:ascii="ITC Avant Garde" w:hAnsi="ITC Avant Garde"/>
                <w:sz w:val="20"/>
                <w:szCs w:val="20"/>
              </w:rPr>
              <w:t>eneficio, pues: a) genera</w:t>
            </w:r>
            <w:r w:rsidRPr="00682082">
              <w:rPr>
                <w:rFonts w:ascii="ITC Avant Garde" w:hAnsi="ITC Avant Garde"/>
                <w:sz w:val="20"/>
                <w:szCs w:val="20"/>
              </w:rPr>
              <w:t xml:space="preserve"> incertidumbre al tramitar los distintos procedimientos por parte de los particulares, en el entendido de</w:t>
            </w:r>
            <w:r w:rsidR="00822476" w:rsidRPr="00682082">
              <w:rPr>
                <w:rFonts w:ascii="ITC Avant Garde" w:hAnsi="ITC Avant Garde"/>
                <w:sz w:val="20"/>
                <w:szCs w:val="20"/>
              </w:rPr>
              <w:t xml:space="preserve"> que no existe forma de diferenciar aquéllas operaciones en las cuales es poco probable la existencia de riesgos al proceso de competencia económica y libre concurrencia; b) no considera la situación actual de los sectores competencia del Instituto, y c) pasa inadvertidos los criterios a la fecha existentes en otras jurisdicciones internacionales.</w:t>
            </w:r>
            <w:r w:rsidRPr="00682082">
              <w:rPr>
                <w:rFonts w:ascii="ITC Avant Garde" w:hAnsi="ITC Avant Garde"/>
                <w:sz w:val="20"/>
                <w:szCs w:val="20"/>
              </w:rPr>
              <w:t xml:space="preserve"> </w:t>
            </w:r>
          </w:p>
          <w:p w:rsidR="005C7317" w:rsidRPr="00682082" w:rsidRDefault="005C7317" w:rsidP="006929E2">
            <w:pPr>
              <w:jc w:val="both"/>
              <w:rPr>
                <w:rFonts w:ascii="ITC Avant Garde" w:hAnsi="ITC Avant Garde"/>
                <w:sz w:val="20"/>
                <w:szCs w:val="20"/>
              </w:rPr>
            </w:pPr>
          </w:p>
          <w:p w:rsidR="006929E2" w:rsidRPr="00682082" w:rsidRDefault="00822476" w:rsidP="006929E2">
            <w:pPr>
              <w:jc w:val="both"/>
              <w:rPr>
                <w:rFonts w:ascii="ITC Avant Garde" w:hAnsi="ITC Avant Garde"/>
                <w:sz w:val="20"/>
                <w:szCs w:val="20"/>
              </w:rPr>
            </w:pPr>
            <w:r w:rsidRPr="00682082">
              <w:rPr>
                <w:rFonts w:ascii="ITC Avant Garde" w:hAnsi="ITC Avant Garde"/>
                <w:sz w:val="20"/>
                <w:szCs w:val="20"/>
              </w:rPr>
              <w:t>Contrario a lo anterior,</w:t>
            </w:r>
            <w:r w:rsidR="005C7317" w:rsidRPr="00682082">
              <w:rPr>
                <w:rFonts w:ascii="ITC Avant Garde" w:hAnsi="ITC Avant Garde"/>
                <w:sz w:val="20"/>
                <w:szCs w:val="20"/>
              </w:rPr>
              <w:t xml:space="preserve"> </w:t>
            </w:r>
            <w:r w:rsidR="006929E2" w:rsidRPr="00682082">
              <w:rPr>
                <w:rFonts w:ascii="ITC Avant Garde" w:hAnsi="ITC Avant Garde"/>
                <w:sz w:val="20"/>
                <w:szCs w:val="20"/>
              </w:rPr>
              <w:t xml:space="preserve">con la publicación del Criterio Técnico </w:t>
            </w:r>
            <w:r w:rsidRPr="00682082">
              <w:rPr>
                <w:rFonts w:ascii="ITC Avant Garde" w:hAnsi="ITC Avant Garde"/>
                <w:sz w:val="20"/>
                <w:szCs w:val="20"/>
              </w:rPr>
              <w:t xml:space="preserve">se prevén mayores beneficios hacia los particulares al interior de los diversos procedimientos, trámites y operaciones involucradas, </w:t>
            </w:r>
            <w:r w:rsidR="006929E2" w:rsidRPr="00682082">
              <w:rPr>
                <w:rFonts w:ascii="ITC Avant Garde" w:hAnsi="ITC Avant Garde"/>
                <w:sz w:val="20"/>
                <w:szCs w:val="20"/>
              </w:rPr>
              <w:t>en virtud de que da certidumbre a los agentes económicos</w:t>
            </w:r>
            <w:r w:rsidRPr="00682082">
              <w:rPr>
                <w:rFonts w:ascii="ITC Avant Garde" w:hAnsi="ITC Avant Garde"/>
                <w:sz w:val="20"/>
                <w:szCs w:val="20"/>
              </w:rPr>
              <w:t>, produce celeridad en la resolución</w:t>
            </w:r>
            <w:r w:rsidR="00A85375" w:rsidRPr="00682082">
              <w:rPr>
                <w:rFonts w:ascii="ITC Avant Garde" w:hAnsi="ITC Avant Garde"/>
                <w:sz w:val="20"/>
                <w:szCs w:val="20"/>
              </w:rPr>
              <w:t xml:space="preserve"> o en los diversos actos jurídicos que al respecto se emitan</w:t>
            </w:r>
            <w:r w:rsidRPr="00682082">
              <w:rPr>
                <w:rFonts w:ascii="ITC Avant Garde" w:hAnsi="ITC Avant Garde"/>
                <w:sz w:val="20"/>
                <w:szCs w:val="20"/>
              </w:rPr>
              <w:t xml:space="preserve"> </w:t>
            </w:r>
            <w:r w:rsidR="00A85375" w:rsidRPr="00682082">
              <w:rPr>
                <w:rFonts w:ascii="ITC Avant Garde" w:hAnsi="ITC Avant Garde"/>
                <w:sz w:val="20"/>
                <w:szCs w:val="20"/>
              </w:rPr>
              <w:t xml:space="preserve">y </w:t>
            </w:r>
            <w:r w:rsidR="006C006C" w:rsidRPr="00682082">
              <w:rPr>
                <w:rFonts w:ascii="ITC Avant Garde" w:hAnsi="ITC Avant Garde"/>
                <w:sz w:val="20"/>
                <w:szCs w:val="20"/>
              </w:rPr>
              <w:t>busca generar congruencia en las</w:t>
            </w:r>
            <w:r w:rsidR="00A85375" w:rsidRPr="00682082">
              <w:rPr>
                <w:rFonts w:ascii="ITC Avant Garde" w:hAnsi="ITC Avant Garde"/>
                <w:sz w:val="20"/>
                <w:szCs w:val="20"/>
              </w:rPr>
              <w:t xml:space="preserve"> diversas decisiones emitidas por el Instituto</w:t>
            </w:r>
            <w:r w:rsidR="006C006C" w:rsidRPr="00682082">
              <w:rPr>
                <w:rFonts w:ascii="ITC Avant Garde" w:hAnsi="ITC Avant Garde"/>
                <w:sz w:val="20"/>
                <w:szCs w:val="20"/>
              </w:rPr>
              <w:t>, tal y como se señala en el ámbito de aplicación del mismo Anteproyecto</w:t>
            </w:r>
            <w:r w:rsidR="000215EC" w:rsidRPr="00682082">
              <w:rPr>
                <w:rFonts w:ascii="ITC Avant Garde" w:hAnsi="ITC Avant Garde"/>
                <w:sz w:val="20"/>
                <w:szCs w:val="20"/>
              </w:rPr>
              <w:t>.</w:t>
            </w:r>
          </w:p>
          <w:p w:rsidR="005C7317" w:rsidRPr="00682082" w:rsidRDefault="005C7317" w:rsidP="006929E2">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01FED" w:rsidRPr="00682082" w:rsidTr="00801FED">
        <w:tc>
          <w:tcPr>
            <w:tcW w:w="8828" w:type="dxa"/>
          </w:tcPr>
          <w:p w:rsidR="00801FED" w:rsidRPr="00435664" w:rsidRDefault="00801FED" w:rsidP="001932FC">
            <w:pPr>
              <w:jc w:val="both"/>
              <w:rPr>
                <w:rFonts w:ascii="ITC Avant Garde" w:hAnsi="ITC Avant Garde"/>
                <w:b/>
                <w:sz w:val="20"/>
                <w:szCs w:val="20"/>
              </w:rPr>
            </w:pPr>
            <w:r w:rsidRPr="00435664">
              <w:rPr>
                <w:rFonts w:ascii="ITC Avant Garde" w:hAnsi="ITC Avant Garde"/>
                <w:b/>
                <w:sz w:val="20"/>
                <w:szCs w:val="20"/>
              </w:rPr>
              <w:t xml:space="preserve">5.- Justifique las razones por las que </w:t>
            </w:r>
            <w:r w:rsidR="005A40FB" w:rsidRPr="00435664">
              <w:rPr>
                <w:rFonts w:ascii="ITC Avant Garde" w:hAnsi="ITC Avant Garde"/>
                <w:b/>
                <w:sz w:val="20"/>
                <w:szCs w:val="20"/>
              </w:rPr>
              <w:t>el anteproyecto de regulación propuesto es considerado</w:t>
            </w:r>
            <w:r w:rsidRPr="00435664">
              <w:rPr>
                <w:rFonts w:ascii="ITC Avant Garde" w:hAnsi="ITC Avant Garde"/>
                <w:b/>
                <w:sz w:val="20"/>
                <w:szCs w:val="20"/>
              </w:rPr>
              <w:t xml:space="preserve"> la mejor opción para atender la problemática detectada:</w:t>
            </w:r>
          </w:p>
          <w:p w:rsidR="00801FED" w:rsidRPr="00682082" w:rsidRDefault="00801FED" w:rsidP="001932FC">
            <w:pPr>
              <w:jc w:val="both"/>
              <w:rPr>
                <w:rFonts w:ascii="ITC Avant Garde" w:hAnsi="ITC Avant Garde"/>
                <w:sz w:val="20"/>
                <w:szCs w:val="20"/>
              </w:rPr>
            </w:pPr>
          </w:p>
          <w:p w:rsidR="000215EC" w:rsidRPr="00682082" w:rsidRDefault="000215EC" w:rsidP="001932FC">
            <w:pPr>
              <w:jc w:val="both"/>
              <w:rPr>
                <w:rFonts w:ascii="ITC Avant Garde" w:hAnsi="ITC Avant Garde"/>
                <w:sz w:val="20"/>
                <w:szCs w:val="20"/>
              </w:rPr>
            </w:pPr>
            <w:r w:rsidRPr="00682082">
              <w:rPr>
                <w:rFonts w:ascii="ITC Avant Garde" w:hAnsi="ITC Avant Garde"/>
                <w:sz w:val="20"/>
                <w:szCs w:val="20"/>
              </w:rPr>
              <w:t>Se prevén mayores beneficios con la publicación del Criterio Técnico en virtud de que da certidumbre a los agentes económicos sobre los criterios que aplicará el Instituto cuando evalúe el grado de concentración en los mercados y servicios correspondientes a los sectores de telecomunicaciones y radiodifusión. Estos criterios consideran las condiciones actuales de los sectores de telecomunicaciones y radiodifusión</w:t>
            </w:r>
            <w:r w:rsidR="006C006C" w:rsidRPr="00682082">
              <w:rPr>
                <w:rFonts w:ascii="ITC Avant Garde" w:hAnsi="ITC Avant Garde"/>
                <w:sz w:val="20"/>
                <w:szCs w:val="20"/>
              </w:rPr>
              <w:t xml:space="preserve"> en México</w:t>
            </w:r>
            <w:r w:rsidR="00A85375" w:rsidRPr="00682082">
              <w:rPr>
                <w:rFonts w:ascii="ITC Avant Garde" w:hAnsi="ITC Avant Garde"/>
                <w:sz w:val="20"/>
                <w:szCs w:val="20"/>
              </w:rPr>
              <w:t xml:space="preserve"> a través de un cotejo y retroalimentación respectiva con los existentes en otras jurisdicciones a nivel internacional</w:t>
            </w:r>
            <w:r w:rsidR="00B64345" w:rsidRPr="00682082">
              <w:rPr>
                <w:rFonts w:ascii="ITC Avant Garde" w:hAnsi="ITC Avant Garde"/>
                <w:sz w:val="20"/>
                <w:szCs w:val="20"/>
              </w:rPr>
              <w:t>.</w:t>
            </w:r>
          </w:p>
          <w:p w:rsidR="006C006C" w:rsidRPr="00682082" w:rsidRDefault="006C006C" w:rsidP="001932FC">
            <w:pPr>
              <w:jc w:val="both"/>
              <w:rPr>
                <w:rFonts w:ascii="ITC Avant Garde" w:hAnsi="ITC Avant Garde"/>
                <w:sz w:val="20"/>
                <w:szCs w:val="20"/>
              </w:rPr>
            </w:pPr>
          </w:p>
        </w:tc>
      </w:tr>
    </w:tbl>
    <w:p w:rsidR="00801FED" w:rsidRPr="00682082" w:rsidRDefault="00801FED"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6D7A08" w:rsidRPr="00682082" w:rsidTr="006D7A08">
        <w:tc>
          <w:tcPr>
            <w:tcW w:w="8828" w:type="dxa"/>
          </w:tcPr>
          <w:p w:rsidR="006D7A08" w:rsidRPr="0075772F" w:rsidRDefault="006D7A08" w:rsidP="001932FC">
            <w:pPr>
              <w:jc w:val="both"/>
              <w:rPr>
                <w:rFonts w:ascii="ITC Avant Garde" w:hAnsi="ITC Avant Garde"/>
                <w:b/>
                <w:sz w:val="20"/>
                <w:szCs w:val="20"/>
              </w:rPr>
            </w:pPr>
            <w:r w:rsidRPr="0075772F">
              <w:rPr>
                <w:rFonts w:ascii="ITC Avant Garde" w:hAnsi="ITC Avant Garde"/>
                <w:b/>
                <w:sz w:val="20"/>
                <w:szCs w:val="20"/>
              </w:rPr>
              <w:t>6.- Describa la forma en que la problemática se encuentra regulada en otros países y/o las buenas prácticas internacionales en esa materia:</w:t>
            </w:r>
          </w:p>
          <w:p w:rsidR="006D7A08" w:rsidRPr="00682082" w:rsidRDefault="006D7A08" w:rsidP="001932FC">
            <w:pPr>
              <w:jc w:val="both"/>
              <w:rPr>
                <w:rFonts w:ascii="ITC Avant Garde" w:hAnsi="ITC Avant Garde"/>
                <w:sz w:val="20"/>
                <w:szCs w:val="20"/>
              </w:rPr>
            </w:pPr>
          </w:p>
          <w:p w:rsidR="006C006C" w:rsidRPr="00682082" w:rsidRDefault="000215EC" w:rsidP="000215EC">
            <w:pPr>
              <w:jc w:val="both"/>
              <w:rPr>
                <w:rFonts w:ascii="ITC Avant Garde" w:hAnsi="ITC Avant Garde"/>
                <w:sz w:val="20"/>
                <w:szCs w:val="20"/>
              </w:rPr>
            </w:pPr>
            <w:r w:rsidRPr="00682082">
              <w:rPr>
                <w:rFonts w:ascii="ITC Avant Garde" w:hAnsi="ITC Avant Garde"/>
                <w:sz w:val="20"/>
                <w:szCs w:val="20"/>
              </w:rPr>
              <w:t xml:space="preserve">Las autoridades en materia de competencia económica en el ámbito internacional utilizan, principalmente, dos instrumentos para calcular el grado de concentración: 1) participaciones e 2) índices de concentración, y en particular, todas utilizan el Índice de Herfindahl-Hirshman y su variación para identificar el grado de concentración. </w:t>
            </w:r>
          </w:p>
          <w:p w:rsidR="006C006C" w:rsidRPr="00682082" w:rsidRDefault="006C006C" w:rsidP="000215EC">
            <w:pPr>
              <w:jc w:val="both"/>
              <w:rPr>
                <w:rFonts w:ascii="ITC Avant Garde" w:hAnsi="ITC Avant Garde"/>
                <w:sz w:val="20"/>
                <w:szCs w:val="20"/>
              </w:rPr>
            </w:pPr>
          </w:p>
          <w:p w:rsidR="000215EC" w:rsidRPr="00682082" w:rsidRDefault="000215EC" w:rsidP="000215EC">
            <w:pPr>
              <w:jc w:val="both"/>
              <w:rPr>
                <w:rFonts w:ascii="ITC Avant Garde" w:hAnsi="ITC Avant Garde"/>
                <w:sz w:val="20"/>
                <w:szCs w:val="20"/>
              </w:rPr>
            </w:pPr>
            <w:r w:rsidRPr="00682082">
              <w:rPr>
                <w:rFonts w:ascii="ITC Avant Garde" w:hAnsi="ITC Avant Garde"/>
                <w:sz w:val="20"/>
                <w:szCs w:val="20"/>
              </w:rPr>
              <w:t xml:space="preserve">Estas autoridades dan a conocer sus criterios mediante “guías de concentraciones”, conocidas en inglés como </w:t>
            </w:r>
            <w:r w:rsidRPr="00682082">
              <w:rPr>
                <w:rFonts w:ascii="ITC Avant Garde" w:hAnsi="ITC Avant Garde"/>
                <w:i/>
                <w:sz w:val="20"/>
                <w:szCs w:val="20"/>
              </w:rPr>
              <w:t>merger guidelines</w:t>
            </w:r>
            <w:r w:rsidRPr="00682082">
              <w:rPr>
                <w:rFonts w:ascii="ITC Avant Garde" w:hAnsi="ITC Avant Garde"/>
                <w:sz w:val="20"/>
                <w:szCs w:val="20"/>
              </w:rPr>
              <w:t>. Las referencias documentales se encuentran en el numeral 20 de este documento.</w:t>
            </w:r>
          </w:p>
          <w:p w:rsidR="000215EC" w:rsidRPr="00682082" w:rsidRDefault="000215EC" w:rsidP="000215EC">
            <w:pPr>
              <w:jc w:val="both"/>
              <w:rPr>
                <w:rFonts w:ascii="ITC Avant Garde" w:hAnsi="ITC Avant Garde"/>
                <w:sz w:val="20"/>
                <w:szCs w:val="20"/>
              </w:rPr>
            </w:pPr>
          </w:p>
          <w:p w:rsidR="000215EC" w:rsidRPr="00682082" w:rsidRDefault="000215EC" w:rsidP="000215EC">
            <w:pPr>
              <w:jc w:val="both"/>
              <w:rPr>
                <w:rFonts w:ascii="ITC Avant Garde" w:hAnsi="ITC Avant Garde"/>
                <w:sz w:val="20"/>
                <w:szCs w:val="20"/>
              </w:rPr>
            </w:pPr>
            <w:r w:rsidRPr="00682082">
              <w:rPr>
                <w:rFonts w:ascii="ITC Avant Garde" w:hAnsi="ITC Avant Garde"/>
                <w:sz w:val="20"/>
                <w:szCs w:val="20"/>
              </w:rPr>
              <w:t>El Criterio Técnico que se propone es consistente con esta práctica</w:t>
            </w:r>
            <w:r w:rsidR="00A85375" w:rsidRPr="00682082">
              <w:rPr>
                <w:rFonts w:ascii="ITC Avant Garde" w:hAnsi="ITC Avant Garde"/>
                <w:sz w:val="20"/>
                <w:szCs w:val="20"/>
              </w:rPr>
              <w:t>, al mismo tiempo de que se emite teniendo en consideración el escenario actual de los mercados y servicios correspondientes a los sectores de telecomunicaciones y radiodifusión</w:t>
            </w:r>
            <w:r w:rsidRPr="00682082">
              <w:rPr>
                <w:rFonts w:ascii="ITC Avant Garde" w:hAnsi="ITC Avant Garde"/>
                <w:sz w:val="20"/>
                <w:szCs w:val="20"/>
              </w:rPr>
              <w:t>.</w:t>
            </w:r>
          </w:p>
          <w:p w:rsidR="00A85375" w:rsidRPr="00682082" w:rsidRDefault="00A85375" w:rsidP="000215EC">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p w:rsidR="001932FC" w:rsidRPr="00682082" w:rsidRDefault="001932FC" w:rsidP="003F05E7">
      <w:pPr>
        <w:shd w:val="clear" w:color="auto" w:fill="A8D08D" w:themeFill="accent6" w:themeFillTint="99"/>
        <w:tabs>
          <w:tab w:val="center" w:pos="4419"/>
        </w:tabs>
        <w:jc w:val="both"/>
        <w:rPr>
          <w:rFonts w:ascii="ITC Avant Garde" w:hAnsi="ITC Avant Garde"/>
          <w:sz w:val="20"/>
          <w:szCs w:val="20"/>
        </w:rPr>
      </w:pPr>
      <w:r w:rsidRPr="00682082">
        <w:rPr>
          <w:rFonts w:ascii="ITC Avant Garde" w:hAnsi="ITC Avant Garde"/>
          <w:sz w:val="20"/>
          <w:szCs w:val="20"/>
        </w:rPr>
        <w:t>III. IMPACTO DE LA REGULACIÓN.</w:t>
      </w:r>
      <w:r w:rsidR="003F05E7" w:rsidRPr="00682082">
        <w:rPr>
          <w:rFonts w:ascii="ITC Avant Garde" w:hAnsi="ITC Avant Garde"/>
          <w:sz w:val="20"/>
          <w:szCs w:val="20"/>
        </w:rPr>
        <w:tab/>
      </w:r>
    </w:p>
    <w:tbl>
      <w:tblPr>
        <w:tblStyle w:val="Tablaconcuadrcula"/>
        <w:tblW w:w="0" w:type="auto"/>
        <w:tblLook w:val="04A0" w:firstRow="1" w:lastRow="0" w:firstColumn="1" w:lastColumn="0" w:noHBand="0" w:noVBand="1"/>
      </w:tblPr>
      <w:tblGrid>
        <w:gridCol w:w="8828"/>
      </w:tblGrid>
      <w:tr w:rsidR="003039BF" w:rsidRPr="00682082" w:rsidTr="003039BF">
        <w:tc>
          <w:tcPr>
            <w:tcW w:w="8828" w:type="dxa"/>
          </w:tcPr>
          <w:p w:rsidR="003039BF" w:rsidRPr="0026636C" w:rsidRDefault="003039BF" w:rsidP="001932FC">
            <w:pPr>
              <w:jc w:val="both"/>
              <w:rPr>
                <w:rFonts w:ascii="ITC Avant Garde" w:hAnsi="ITC Avant Garde"/>
                <w:b/>
                <w:sz w:val="20"/>
                <w:szCs w:val="20"/>
              </w:rPr>
            </w:pPr>
            <w:r w:rsidRPr="0026636C">
              <w:rPr>
                <w:rFonts w:ascii="ITC Avant Garde" w:hAnsi="ITC Avant Garde"/>
                <w:b/>
                <w:sz w:val="20"/>
                <w:szCs w:val="20"/>
              </w:rPr>
              <w:t>7.- ¿El anteproyecto de regulación propuesto contiene disposiciones en materia de salud humana, animal o vegetal, seguridad, trabajo, medio ambiente o protección a los consumidores?:</w:t>
            </w:r>
          </w:p>
          <w:p w:rsidR="003039BF" w:rsidRPr="0026636C" w:rsidRDefault="003039BF" w:rsidP="001932FC">
            <w:pPr>
              <w:jc w:val="both"/>
              <w:rPr>
                <w:rFonts w:ascii="ITC Avant Garde" w:hAnsi="ITC Avant Garde"/>
                <w:b/>
                <w:sz w:val="20"/>
                <w:szCs w:val="20"/>
              </w:rPr>
            </w:pPr>
          </w:p>
          <w:p w:rsidR="006C779A" w:rsidRPr="00682082" w:rsidRDefault="006C779A" w:rsidP="006C779A">
            <w:pPr>
              <w:jc w:val="both"/>
              <w:rPr>
                <w:rFonts w:ascii="ITC Avant Garde" w:hAnsi="ITC Avant Garde"/>
                <w:sz w:val="20"/>
                <w:szCs w:val="20"/>
              </w:rPr>
            </w:pPr>
            <w:r w:rsidRPr="00682082">
              <w:rPr>
                <w:rFonts w:ascii="ITC Avant Garde" w:hAnsi="ITC Avant Garde"/>
                <w:sz w:val="20"/>
                <w:szCs w:val="20"/>
              </w:rPr>
              <w:t>El Anteproyecto no contiene disposiciones en materia de salud humana, animal o vegetal, seguridad, trabajo</w:t>
            </w:r>
            <w:r w:rsidR="00316F50" w:rsidRPr="00682082">
              <w:rPr>
                <w:rFonts w:ascii="ITC Avant Garde" w:hAnsi="ITC Avant Garde"/>
                <w:sz w:val="20"/>
                <w:szCs w:val="20"/>
              </w:rPr>
              <w:t xml:space="preserve"> o</w:t>
            </w:r>
            <w:r w:rsidRPr="00682082">
              <w:rPr>
                <w:rFonts w:ascii="ITC Avant Garde" w:hAnsi="ITC Avant Garde"/>
                <w:sz w:val="20"/>
                <w:szCs w:val="20"/>
              </w:rPr>
              <w:t xml:space="preserve"> medio ambiente o protección a los consumidores. </w:t>
            </w:r>
          </w:p>
          <w:p w:rsidR="006C779A" w:rsidRPr="00682082" w:rsidRDefault="006C779A" w:rsidP="006C779A">
            <w:pPr>
              <w:jc w:val="both"/>
              <w:rPr>
                <w:rFonts w:ascii="ITC Avant Garde" w:hAnsi="ITC Avant Garde"/>
                <w:sz w:val="20"/>
                <w:szCs w:val="20"/>
              </w:rPr>
            </w:pPr>
          </w:p>
          <w:p w:rsidR="003039BF" w:rsidRPr="00682082" w:rsidRDefault="00E300D4" w:rsidP="001932FC">
            <w:pPr>
              <w:jc w:val="both"/>
              <w:rPr>
                <w:rFonts w:ascii="ITC Avant Garde" w:hAnsi="ITC Avant Garde"/>
                <w:sz w:val="20"/>
                <w:szCs w:val="20"/>
              </w:rPr>
            </w:pPr>
            <w:r w:rsidRPr="00682082">
              <w:rPr>
                <w:rFonts w:ascii="ITC Avant Garde" w:hAnsi="ITC Avant Garde"/>
                <w:sz w:val="20"/>
                <w:szCs w:val="20"/>
              </w:rPr>
              <w:t xml:space="preserve">El objetivo central del Anteproyecto es dar a conocer los índices de concentración que el Instituto considerará y calculará, en el ámbito de sus facultades, en la evaluación en materia de competencia económica de asuntos que se tramiten en términos de la LFCE y la </w:t>
            </w:r>
            <w:r w:rsidR="0026636C">
              <w:rPr>
                <w:rFonts w:ascii="ITC Avant Garde" w:hAnsi="ITC Avant Garde"/>
                <w:sz w:val="20"/>
                <w:szCs w:val="20"/>
              </w:rPr>
              <w:t>LFTR</w:t>
            </w:r>
            <w:r w:rsidRPr="00682082">
              <w:rPr>
                <w:rFonts w:ascii="ITC Avant Garde" w:hAnsi="ITC Avant Garde"/>
                <w:sz w:val="20"/>
                <w:szCs w:val="20"/>
              </w:rPr>
              <w:t>.</w:t>
            </w:r>
          </w:p>
          <w:p w:rsidR="006C006C" w:rsidRPr="00682082" w:rsidRDefault="006C006C" w:rsidP="001932FC">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3039BF" w:rsidRPr="00682082" w:rsidTr="003039BF">
        <w:tc>
          <w:tcPr>
            <w:tcW w:w="8828" w:type="dxa"/>
          </w:tcPr>
          <w:p w:rsidR="003039BF" w:rsidRPr="0026636C" w:rsidRDefault="003039BF" w:rsidP="001932FC">
            <w:pPr>
              <w:jc w:val="both"/>
              <w:rPr>
                <w:rFonts w:ascii="ITC Avant Garde" w:hAnsi="ITC Avant Garde"/>
                <w:b/>
                <w:sz w:val="20"/>
                <w:szCs w:val="20"/>
              </w:rPr>
            </w:pPr>
            <w:r w:rsidRPr="0026636C">
              <w:rPr>
                <w:rFonts w:ascii="ITC Avant Garde" w:hAnsi="ITC Avant Garde"/>
                <w:b/>
                <w:sz w:val="20"/>
                <w:szCs w:val="20"/>
              </w:rPr>
              <w:t>8.- ¿El anteproyecto de regulación propuesto creará, modificará o eliminará trámites a su entrada en vigor?:</w:t>
            </w:r>
          </w:p>
          <w:p w:rsidR="003039BF" w:rsidRPr="00682082" w:rsidRDefault="003039BF" w:rsidP="001932FC">
            <w:pPr>
              <w:jc w:val="both"/>
              <w:rPr>
                <w:rFonts w:ascii="ITC Avant Garde" w:hAnsi="ITC Avant Garde"/>
                <w:sz w:val="20"/>
                <w:szCs w:val="20"/>
              </w:rPr>
            </w:pPr>
          </w:p>
          <w:p w:rsidR="00E856A5" w:rsidRPr="00682082" w:rsidRDefault="00E856A5" w:rsidP="001932FC">
            <w:pPr>
              <w:jc w:val="both"/>
              <w:rPr>
                <w:rFonts w:ascii="ITC Avant Garde" w:hAnsi="ITC Avant Garde"/>
                <w:sz w:val="20"/>
                <w:szCs w:val="20"/>
              </w:rPr>
            </w:pPr>
            <w:r w:rsidRPr="00682082">
              <w:rPr>
                <w:rFonts w:ascii="ITC Avant Garde" w:hAnsi="ITC Avant Garde"/>
                <w:sz w:val="20"/>
                <w:szCs w:val="20"/>
              </w:rPr>
              <w:t>El anteproyecto no crea</w:t>
            </w:r>
            <w:r w:rsidR="00375DAB" w:rsidRPr="00682082">
              <w:rPr>
                <w:rFonts w:ascii="ITC Avant Garde" w:hAnsi="ITC Avant Garde"/>
                <w:sz w:val="20"/>
                <w:szCs w:val="20"/>
              </w:rPr>
              <w:t>rá</w:t>
            </w:r>
            <w:r w:rsidRPr="00682082">
              <w:rPr>
                <w:rFonts w:ascii="ITC Avant Garde" w:hAnsi="ITC Avant Garde"/>
                <w:sz w:val="20"/>
                <w:szCs w:val="20"/>
              </w:rPr>
              <w:t>, modifica</w:t>
            </w:r>
            <w:r w:rsidR="00375DAB" w:rsidRPr="00682082">
              <w:rPr>
                <w:rFonts w:ascii="ITC Avant Garde" w:hAnsi="ITC Avant Garde"/>
                <w:sz w:val="20"/>
                <w:szCs w:val="20"/>
              </w:rPr>
              <w:t>rá ni</w:t>
            </w:r>
            <w:r w:rsidRPr="00682082">
              <w:rPr>
                <w:rFonts w:ascii="ITC Avant Garde" w:hAnsi="ITC Avant Garde"/>
                <w:sz w:val="20"/>
                <w:szCs w:val="20"/>
              </w:rPr>
              <w:t xml:space="preserve"> elimina</w:t>
            </w:r>
            <w:r w:rsidR="00375DAB" w:rsidRPr="00682082">
              <w:rPr>
                <w:rFonts w:ascii="ITC Avant Garde" w:hAnsi="ITC Avant Garde"/>
                <w:sz w:val="20"/>
                <w:szCs w:val="20"/>
              </w:rPr>
              <w:t>rá</w:t>
            </w:r>
            <w:r w:rsidRPr="00682082">
              <w:rPr>
                <w:rFonts w:ascii="ITC Avant Garde" w:hAnsi="ITC Avant Garde"/>
                <w:sz w:val="20"/>
                <w:szCs w:val="20"/>
              </w:rPr>
              <w:t xml:space="preserve"> trámites a su entrada en vigor. No</w:t>
            </w:r>
            <w:r w:rsidR="00375DAB" w:rsidRPr="00682082">
              <w:rPr>
                <w:rFonts w:ascii="ITC Avant Garde" w:hAnsi="ITC Avant Garde"/>
                <w:sz w:val="20"/>
                <w:szCs w:val="20"/>
              </w:rPr>
              <w:t xml:space="preserve"> obstante, implica la </w:t>
            </w:r>
            <w:r w:rsidR="00510787">
              <w:rPr>
                <w:rFonts w:ascii="ITC Avant Garde" w:hAnsi="ITC Avant Garde"/>
                <w:sz w:val="20"/>
                <w:szCs w:val="20"/>
              </w:rPr>
              <w:t>facultad</w:t>
            </w:r>
            <w:r w:rsidRPr="00682082">
              <w:rPr>
                <w:rFonts w:ascii="ITC Avant Garde" w:hAnsi="ITC Avant Garde"/>
                <w:sz w:val="20"/>
                <w:szCs w:val="20"/>
              </w:rPr>
              <w:t xml:space="preserve"> de</w:t>
            </w:r>
            <w:r w:rsidR="00375DAB" w:rsidRPr="00682082">
              <w:rPr>
                <w:rFonts w:ascii="ITC Avant Garde" w:hAnsi="ITC Avant Garde"/>
                <w:sz w:val="20"/>
                <w:szCs w:val="20"/>
              </w:rPr>
              <w:t>l Instituto de</w:t>
            </w:r>
            <w:r w:rsidRPr="00682082">
              <w:rPr>
                <w:rFonts w:ascii="ITC Avant Garde" w:hAnsi="ITC Avant Garde"/>
                <w:sz w:val="20"/>
                <w:szCs w:val="20"/>
              </w:rPr>
              <w:t xml:space="preserve"> obtener información adicional de los particulares, tal y como se explica a continuación.</w:t>
            </w:r>
          </w:p>
          <w:p w:rsidR="00E856A5" w:rsidRPr="00682082" w:rsidRDefault="00E856A5" w:rsidP="001932FC">
            <w:pPr>
              <w:jc w:val="both"/>
              <w:rPr>
                <w:rFonts w:ascii="ITC Avant Garde" w:hAnsi="ITC Avant Garde"/>
                <w:sz w:val="20"/>
                <w:szCs w:val="20"/>
              </w:rPr>
            </w:pPr>
          </w:p>
          <w:p w:rsidR="00522CE5" w:rsidRPr="00682082" w:rsidRDefault="00522CE5" w:rsidP="001932FC">
            <w:pPr>
              <w:jc w:val="both"/>
              <w:rPr>
                <w:rFonts w:ascii="ITC Avant Garde" w:hAnsi="ITC Avant Garde"/>
                <w:sz w:val="20"/>
                <w:szCs w:val="20"/>
              </w:rPr>
            </w:pPr>
            <w:r w:rsidRPr="00682082">
              <w:rPr>
                <w:rFonts w:ascii="ITC Avant Garde" w:hAnsi="ITC Avant Garde"/>
                <w:sz w:val="20"/>
                <w:szCs w:val="20"/>
              </w:rPr>
              <w:t xml:space="preserve">De acuerdo con el Artículo </w:t>
            </w:r>
            <w:r w:rsidR="00375DAB" w:rsidRPr="00682082">
              <w:rPr>
                <w:rFonts w:ascii="ITC Avant Garde" w:hAnsi="ITC Avant Garde"/>
                <w:sz w:val="20"/>
                <w:szCs w:val="20"/>
              </w:rPr>
              <w:t>SEGUNDO del Criterio Técnico, su</w:t>
            </w:r>
            <w:r w:rsidRPr="00682082">
              <w:rPr>
                <w:rFonts w:ascii="ITC Avant Garde" w:hAnsi="ITC Avant Garde"/>
                <w:sz w:val="20"/>
                <w:szCs w:val="20"/>
              </w:rPr>
              <w:t xml:space="preserve"> ámbito d</w:t>
            </w:r>
            <w:r w:rsidR="00375DAB" w:rsidRPr="00682082">
              <w:rPr>
                <w:rFonts w:ascii="ITC Avant Garde" w:hAnsi="ITC Avant Garde"/>
                <w:sz w:val="20"/>
                <w:szCs w:val="20"/>
              </w:rPr>
              <w:t>e aplicación</w:t>
            </w:r>
            <w:r w:rsidR="00E856A5" w:rsidRPr="00682082">
              <w:rPr>
                <w:rFonts w:ascii="ITC Avant Garde" w:hAnsi="ITC Avant Garde"/>
                <w:sz w:val="20"/>
                <w:szCs w:val="20"/>
              </w:rPr>
              <w:t xml:space="preserve"> sucede respecto de</w:t>
            </w:r>
            <w:r w:rsidRPr="00682082">
              <w:rPr>
                <w:rFonts w:ascii="ITC Avant Garde" w:hAnsi="ITC Avant Garde"/>
                <w:sz w:val="20"/>
                <w:szCs w:val="20"/>
              </w:rPr>
              <w:t xml:space="preserve"> la </w:t>
            </w:r>
            <w:r w:rsidR="00A500AA" w:rsidRPr="00682082">
              <w:rPr>
                <w:rFonts w:ascii="ITC Avant Garde" w:hAnsi="ITC Avant Garde"/>
                <w:sz w:val="20"/>
                <w:szCs w:val="20"/>
              </w:rPr>
              <w:t>“</w:t>
            </w:r>
            <w:r w:rsidRPr="00682082">
              <w:rPr>
                <w:rFonts w:ascii="ITC Avant Garde" w:hAnsi="ITC Avant Garde"/>
                <w:sz w:val="20"/>
                <w:szCs w:val="20"/>
              </w:rPr>
              <w:t xml:space="preserve">evaluación de concentraciones </w:t>
            </w:r>
            <w:r w:rsidR="00A500AA" w:rsidRPr="00682082">
              <w:rPr>
                <w:rFonts w:ascii="ITC Avant Garde" w:hAnsi="ITC Avant Garde"/>
                <w:sz w:val="20"/>
                <w:szCs w:val="20"/>
              </w:rPr>
              <w:t xml:space="preserve">u operaciones similares.” </w:t>
            </w:r>
            <w:r w:rsidR="00E856A5" w:rsidRPr="00682082">
              <w:rPr>
                <w:rFonts w:ascii="ITC Avant Garde" w:hAnsi="ITC Avant Garde"/>
                <w:sz w:val="20"/>
                <w:szCs w:val="20"/>
              </w:rPr>
              <w:t>Asimismo, el Artículo NOVENO señala expresamente lo siguiente:</w:t>
            </w:r>
          </w:p>
          <w:p w:rsidR="00E856A5" w:rsidRPr="00682082" w:rsidRDefault="00E856A5" w:rsidP="001932FC">
            <w:pPr>
              <w:jc w:val="both"/>
              <w:rPr>
                <w:rFonts w:ascii="ITC Avant Garde" w:hAnsi="ITC Avant Garde"/>
                <w:sz w:val="20"/>
                <w:szCs w:val="20"/>
              </w:rPr>
            </w:pPr>
          </w:p>
          <w:p w:rsidR="00E856A5" w:rsidRPr="00682082" w:rsidRDefault="00E856A5" w:rsidP="00E856A5">
            <w:pPr>
              <w:ind w:left="738"/>
              <w:jc w:val="both"/>
              <w:rPr>
                <w:rFonts w:ascii="ITC Avant Garde" w:hAnsi="ITC Avant Garde"/>
                <w:i/>
                <w:sz w:val="20"/>
                <w:szCs w:val="20"/>
              </w:rPr>
            </w:pPr>
            <w:r w:rsidRPr="00682082">
              <w:rPr>
                <w:rFonts w:ascii="ITC Avant Garde" w:hAnsi="ITC Avant Garde"/>
                <w:i/>
                <w:sz w:val="20"/>
                <w:szCs w:val="20"/>
              </w:rPr>
              <w:t>“NOVENO. Aun cuando una operación implique valores del IHH y de la  ∆HH que se ubiquen dentro de los umbrales establecidos en el numeral anterior, el Instituto podrá considerar que existen potenciales riesgos de que ésta tiene por objeto o efecto obstaculizar, disminuir, dañar o impedir la competencia y la libre concurrencia, si sucede una o varias de las siguientes circunstancias:</w:t>
            </w:r>
          </w:p>
          <w:p w:rsidR="00E856A5" w:rsidRPr="00682082" w:rsidRDefault="00E856A5" w:rsidP="00E856A5">
            <w:pPr>
              <w:jc w:val="both"/>
              <w:rPr>
                <w:rFonts w:ascii="ITC Avant Garde" w:hAnsi="ITC Avant Garde"/>
                <w:i/>
                <w:sz w:val="20"/>
                <w:szCs w:val="20"/>
              </w:rPr>
            </w:pPr>
          </w:p>
          <w:p w:rsidR="00E856A5" w:rsidRPr="00682082" w:rsidRDefault="00E856A5" w:rsidP="00E856A5">
            <w:pPr>
              <w:pStyle w:val="Prrafodelista"/>
              <w:numPr>
                <w:ilvl w:val="0"/>
                <w:numId w:val="7"/>
              </w:numPr>
              <w:jc w:val="both"/>
              <w:rPr>
                <w:rFonts w:ascii="ITC Avant Garde" w:hAnsi="ITC Avant Garde"/>
                <w:i/>
                <w:sz w:val="20"/>
                <w:szCs w:val="20"/>
              </w:rPr>
            </w:pPr>
            <w:r w:rsidRPr="00682082">
              <w:rPr>
                <w:rFonts w:ascii="ITC Avant Garde" w:hAnsi="ITC Avant Garde"/>
                <w:i/>
                <w:sz w:val="20"/>
                <w:szCs w:val="20"/>
              </w:rPr>
              <w:t>Los agentes económicos involucrados en la operación tengan o puedan llegar a adquirir poder sustancial en mercados relacionados;</w:t>
            </w:r>
          </w:p>
          <w:p w:rsidR="00E856A5" w:rsidRPr="00682082" w:rsidRDefault="00E856A5" w:rsidP="00E856A5">
            <w:pPr>
              <w:pStyle w:val="Prrafodelista"/>
              <w:numPr>
                <w:ilvl w:val="0"/>
                <w:numId w:val="7"/>
              </w:numPr>
              <w:jc w:val="both"/>
              <w:rPr>
                <w:rFonts w:ascii="ITC Avant Garde" w:hAnsi="ITC Avant Garde"/>
                <w:i/>
                <w:sz w:val="20"/>
                <w:szCs w:val="20"/>
              </w:rPr>
            </w:pPr>
            <w:r w:rsidRPr="00682082">
              <w:rPr>
                <w:rFonts w:ascii="ITC Avant Garde" w:hAnsi="ITC Avant Garde"/>
                <w:i/>
                <w:sz w:val="20"/>
                <w:szCs w:val="20"/>
              </w:rPr>
              <w:t>Los agentes económicos involucrados en la operación alcancen una participación superior al treinta y cinco por ciento;</w:t>
            </w:r>
          </w:p>
          <w:p w:rsidR="00E856A5" w:rsidRPr="00682082" w:rsidRDefault="00E856A5" w:rsidP="00E856A5">
            <w:pPr>
              <w:pStyle w:val="Prrafodelista"/>
              <w:numPr>
                <w:ilvl w:val="0"/>
                <w:numId w:val="7"/>
              </w:numPr>
              <w:jc w:val="both"/>
              <w:rPr>
                <w:rFonts w:ascii="ITC Avant Garde" w:hAnsi="ITC Avant Garde"/>
                <w:i/>
                <w:sz w:val="20"/>
                <w:szCs w:val="20"/>
              </w:rPr>
            </w:pPr>
            <w:r w:rsidRPr="00682082">
              <w:rPr>
                <w:rFonts w:ascii="ITC Avant Garde" w:hAnsi="ITC Avant Garde"/>
                <w:b/>
                <w:i/>
                <w:sz w:val="20"/>
                <w:szCs w:val="20"/>
              </w:rPr>
              <w:lastRenderedPageBreak/>
              <w:t>El agente económico adquirido es un agente económico disruptivo (conocido como maverick en inglés)</w:t>
            </w:r>
            <w:r w:rsidRPr="00682082">
              <w:rPr>
                <w:rFonts w:ascii="ITC Avant Garde" w:hAnsi="ITC Avant Garde"/>
                <w:i/>
                <w:sz w:val="20"/>
                <w:szCs w:val="20"/>
              </w:rPr>
              <w:t xml:space="preserve"> que se distinga, por ejemplo, por introducir o desarrollar nuevas tecnologías o modelos de negocios o que pueda disciplinar los precios con base en su habilidad e incentivos a expandirse rápidamente;</w:t>
            </w:r>
          </w:p>
          <w:p w:rsidR="00E856A5" w:rsidRPr="00682082" w:rsidRDefault="00E856A5" w:rsidP="00E856A5">
            <w:pPr>
              <w:pStyle w:val="Prrafodelista"/>
              <w:numPr>
                <w:ilvl w:val="0"/>
                <w:numId w:val="7"/>
              </w:numPr>
              <w:jc w:val="both"/>
              <w:rPr>
                <w:rFonts w:ascii="ITC Avant Garde" w:hAnsi="ITC Avant Garde"/>
                <w:i/>
                <w:sz w:val="20"/>
                <w:szCs w:val="20"/>
              </w:rPr>
            </w:pPr>
            <w:r w:rsidRPr="00682082">
              <w:rPr>
                <w:rFonts w:ascii="ITC Avant Garde" w:hAnsi="ITC Avant Garde"/>
                <w:b/>
                <w:i/>
                <w:sz w:val="20"/>
                <w:szCs w:val="20"/>
              </w:rPr>
              <w:t>Uno o más de los agentes económicos involucrados en la operación haya participado dentro de los últimos cinco años en operaciones previas en el mismo mercado</w:t>
            </w:r>
            <w:r w:rsidRPr="00682082">
              <w:rPr>
                <w:rFonts w:ascii="ITC Avant Garde" w:hAnsi="ITC Avant Garde"/>
                <w:i/>
                <w:sz w:val="20"/>
                <w:szCs w:val="20"/>
              </w:rPr>
              <w:t xml:space="preserve"> y que consideradas en conjunto con la operación analizada, rebasen los umbrales referidos en el numeral Octavo.</w:t>
            </w:r>
          </w:p>
          <w:p w:rsidR="00E856A5" w:rsidRPr="00682082" w:rsidRDefault="00E856A5" w:rsidP="00E856A5">
            <w:pPr>
              <w:pStyle w:val="Prrafodelista"/>
              <w:numPr>
                <w:ilvl w:val="0"/>
                <w:numId w:val="7"/>
              </w:numPr>
              <w:jc w:val="both"/>
              <w:rPr>
                <w:rFonts w:ascii="ITC Avant Garde" w:hAnsi="ITC Avant Garde"/>
                <w:i/>
                <w:sz w:val="20"/>
                <w:szCs w:val="20"/>
              </w:rPr>
            </w:pPr>
            <w:r w:rsidRPr="00682082">
              <w:rPr>
                <w:rFonts w:ascii="ITC Avant Garde" w:hAnsi="ITC Avant Garde"/>
                <w:i/>
                <w:sz w:val="20"/>
                <w:szCs w:val="20"/>
              </w:rPr>
              <w:t>La operación pueda generar incentivos o facilitar la coordinación entre los agentes económicos que participen en el mercado analizado o mercados relacionados.”</w:t>
            </w:r>
          </w:p>
          <w:p w:rsidR="00E856A5" w:rsidRPr="00682082" w:rsidRDefault="00E856A5" w:rsidP="00E856A5">
            <w:pPr>
              <w:pStyle w:val="Prrafodelista"/>
              <w:ind w:left="1098"/>
              <w:jc w:val="both"/>
              <w:rPr>
                <w:rFonts w:ascii="ITC Avant Garde" w:hAnsi="ITC Avant Garde"/>
                <w:i/>
                <w:sz w:val="20"/>
                <w:szCs w:val="20"/>
              </w:rPr>
            </w:pPr>
          </w:p>
          <w:p w:rsidR="00E856A5" w:rsidRPr="00682082" w:rsidRDefault="00E856A5" w:rsidP="00E856A5">
            <w:pPr>
              <w:pStyle w:val="Prrafodelista"/>
              <w:ind w:left="1098"/>
              <w:jc w:val="both"/>
              <w:rPr>
                <w:rFonts w:ascii="ITC Avant Garde" w:hAnsi="ITC Avant Garde"/>
                <w:sz w:val="20"/>
                <w:szCs w:val="20"/>
              </w:rPr>
            </w:pPr>
            <w:r w:rsidRPr="00682082">
              <w:rPr>
                <w:rFonts w:ascii="ITC Avant Garde" w:hAnsi="ITC Avant Garde"/>
                <w:sz w:val="20"/>
                <w:szCs w:val="20"/>
              </w:rPr>
              <w:t>(Énfasis añadido)</w:t>
            </w:r>
          </w:p>
          <w:p w:rsidR="00E856A5" w:rsidRPr="00682082" w:rsidRDefault="00E856A5" w:rsidP="001932FC">
            <w:pPr>
              <w:jc w:val="both"/>
              <w:rPr>
                <w:rFonts w:ascii="ITC Avant Garde" w:hAnsi="ITC Avant Garde"/>
                <w:sz w:val="20"/>
                <w:szCs w:val="20"/>
              </w:rPr>
            </w:pPr>
          </w:p>
          <w:p w:rsidR="00277909" w:rsidRPr="00682082" w:rsidRDefault="00E856A5" w:rsidP="001932FC">
            <w:pPr>
              <w:jc w:val="both"/>
              <w:rPr>
                <w:rFonts w:ascii="ITC Avant Garde" w:hAnsi="ITC Avant Garde"/>
                <w:sz w:val="20"/>
                <w:szCs w:val="20"/>
              </w:rPr>
            </w:pPr>
            <w:r w:rsidRPr="00682082">
              <w:rPr>
                <w:rFonts w:ascii="ITC Avant Garde" w:hAnsi="ITC Avant Garde"/>
                <w:sz w:val="20"/>
                <w:szCs w:val="20"/>
              </w:rPr>
              <w:t xml:space="preserve">En relación con el artículo citado, puede advertirse que los incisos c) y d) representan para el Instituto la necesidad de obtener información adicional de los particulares </w:t>
            </w:r>
            <w:r w:rsidR="00277909" w:rsidRPr="00682082">
              <w:rPr>
                <w:rFonts w:ascii="ITC Avant Garde" w:hAnsi="ITC Avant Garde"/>
                <w:sz w:val="20"/>
                <w:szCs w:val="20"/>
              </w:rPr>
              <w:t>en los procedimientos de concentraciones u operaciones similares con el objeto de estar en posibilidad de identificar</w:t>
            </w:r>
            <w:r w:rsidRPr="00682082">
              <w:rPr>
                <w:rFonts w:ascii="ITC Avant Garde" w:hAnsi="ITC Avant Garde"/>
                <w:sz w:val="20"/>
                <w:szCs w:val="20"/>
              </w:rPr>
              <w:t>: i. si el agente económico adquirido es un agente económico disruptivo (</w:t>
            </w:r>
            <w:r w:rsidRPr="00682082">
              <w:rPr>
                <w:rFonts w:ascii="ITC Avant Garde" w:hAnsi="ITC Avant Garde"/>
                <w:i/>
                <w:sz w:val="20"/>
                <w:szCs w:val="20"/>
              </w:rPr>
              <w:t>maverick</w:t>
            </w:r>
            <w:r w:rsidRPr="00682082">
              <w:rPr>
                <w:rFonts w:ascii="ITC Avant Garde" w:hAnsi="ITC Avant Garde"/>
                <w:sz w:val="20"/>
                <w:szCs w:val="20"/>
              </w:rPr>
              <w:t>) o, en su caso, ii. si uno de los agentes económicos involucrados en la operación ha participado dentro de los últimos cinco años en operaciones previas en el mismo merca</w:t>
            </w:r>
            <w:r w:rsidR="00277909" w:rsidRPr="00682082">
              <w:rPr>
                <w:rFonts w:ascii="ITC Avant Garde" w:hAnsi="ITC Avant Garde"/>
                <w:sz w:val="20"/>
                <w:szCs w:val="20"/>
              </w:rPr>
              <w:t>do y que, consideradas en conjunto con la operación analizada, rebasen los umbrales referidos en el numeral Octavo del mismo Anteproyecto.</w:t>
            </w:r>
          </w:p>
          <w:p w:rsidR="00277909" w:rsidRPr="00682082" w:rsidRDefault="00277909" w:rsidP="001932FC">
            <w:pPr>
              <w:jc w:val="both"/>
              <w:rPr>
                <w:rFonts w:ascii="ITC Avant Garde" w:hAnsi="ITC Avant Garde"/>
                <w:sz w:val="20"/>
                <w:szCs w:val="20"/>
              </w:rPr>
            </w:pPr>
          </w:p>
          <w:p w:rsidR="00E856A5" w:rsidRPr="00682082" w:rsidRDefault="00277909" w:rsidP="001932FC">
            <w:pPr>
              <w:jc w:val="both"/>
              <w:rPr>
                <w:rFonts w:ascii="ITC Avant Garde" w:hAnsi="ITC Avant Garde"/>
                <w:sz w:val="20"/>
                <w:szCs w:val="20"/>
              </w:rPr>
            </w:pPr>
            <w:r w:rsidRPr="00682082">
              <w:rPr>
                <w:rFonts w:ascii="ITC Avant Garde" w:hAnsi="ITC Avant Garde"/>
                <w:sz w:val="20"/>
                <w:szCs w:val="20"/>
              </w:rPr>
              <w:t xml:space="preserve">En este sentido, existe un impacto regulatorio hacia los particulares consistente en </w:t>
            </w:r>
            <w:r w:rsidR="00375DAB" w:rsidRPr="00682082">
              <w:rPr>
                <w:rFonts w:ascii="ITC Avant Garde" w:hAnsi="ITC Avant Garde"/>
                <w:sz w:val="20"/>
                <w:szCs w:val="20"/>
              </w:rPr>
              <w:t xml:space="preserve">que el Instituto les requerirá </w:t>
            </w:r>
            <w:r w:rsidRPr="00682082">
              <w:rPr>
                <w:rFonts w:ascii="ITC Avant Garde" w:hAnsi="ITC Avant Garde"/>
                <w:sz w:val="20"/>
                <w:szCs w:val="20"/>
              </w:rPr>
              <w:t>información adicional con el objeto de evaluar los incisos c) y d) del artículo NOVENO a</w:t>
            </w:r>
            <w:r w:rsidR="00E35EA1">
              <w:rPr>
                <w:rFonts w:ascii="ITC Avant Garde" w:hAnsi="ITC Avant Garde"/>
                <w:sz w:val="20"/>
                <w:szCs w:val="20"/>
              </w:rPr>
              <w:t>ntes</w:t>
            </w:r>
            <w:r w:rsidRPr="00682082">
              <w:rPr>
                <w:rFonts w:ascii="ITC Avant Garde" w:hAnsi="ITC Avant Garde"/>
                <w:sz w:val="20"/>
                <w:szCs w:val="20"/>
              </w:rPr>
              <w:t xml:space="preserve"> citado. Sin embarg</w:t>
            </w:r>
            <w:r w:rsidR="00375DAB" w:rsidRPr="00682082">
              <w:rPr>
                <w:rFonts w:ascii="ITC Avant Garde" w:hAnsi="ITC Avant Garde"/>
                <w:sz w:val="20"/>
                <w:szCs w:val="20"/>
              </w:rPr>
              <w:t>o, dicho</w:t>
            </w:r>
            <w:r w:rsidRPr="00682082">
              <w:rPr>
                <w:rFonts w:ascii="ITC Avant Garde" w:hAnsi="ITC Avant Garde"/>
                <w:sz w:val="20"/>
                <w:szCs w:val="20"/>
              </w:rPr>
              <w:t xml:space="preserve"> impacto regulatorio es mínimo tomando en consideración lo siguiente.</w:t>
            </w:r>
            <w:r w:rsidR="00E856A5" w:rsidRPr="00682082">
              <w:rPr>
                <w:rFonts w:ascii="ITC Avant Garde" w:hAnsi="ITC Avant Garde"/>
                <w:sz w:val="20"/>
                <w:szCs w:val="20"/>
              </w:rPr>
              <w:t xml:space="preserve"> </w:t>
            </w:r>
          </w:p>
          <w:p w:rsidR="00A500AA" w:rsidRPr="00682082" w:rsidRDefault="00A500AA" w:rsidP="001932FC">
            <w:pPr>
              <w:jc w:val="both"/>
              <w:rPr>
                <w:rFonts w:ascii="ITC Avant Garde" w:hAnsi="ITC Avant Garde"/>
                <w:sz w:val="20"/>
                <w:szCs w:val="20"/>
              </w:rPr>
            </w:pPr>
          </w:p>
          <w:p w:rsidR="00A500AA" w:rsidRPr="00682082" w:rsidRDefault="00A500AA" w:rsidP="001932FC">
            <w:pPr>
              <w:jc w:val="both"/>
              <w:rPr>
                <w:rFonts w:ascii="ITC Avant Garde" w:hAnsi="ITC Avant Garde"/>
                <w:sz w:val="20"/>
                <w:szCs w:val="20"/>
              </w:rPr>
            </w:pPr>
            <w:r w:rsidRPr="00682082">
              <w:rPr>
                <w:rFonts w:ascii="ITC Avant Garde" w:hAnsi="ITC Avant Garde"/>
                <w:sz w:val="20"/>
                <w:szCs w:val="20"/>
              </w:rPr>
              <w:t xml:space="preserve">Tanto en materia de concentraciones (artículo 90, fracción III, de la LFCE) como en </w:t>
            </w:r>
            <w:r w:rsidR="00935BA0">
              <w:rPr>
                <w:rFonts w:ascii="ITC Avant Garde" w:hAnsi="ITC Avant Garde"/>
                <w:sz w:val="20"/>
                <w:szCs w:val="20"/>
              </w:rPr>
              <w:t xml:space="preserve">otras </w:t>
            </w:r>
            <w:r w:rsidRPr="00682082">
              <w:rPr>
                <w:rFonts w:ascii="ITC Avant Garde" w:hAnsi="ITC Avant Garde"/>
                <w:sz w:val="20"/>
                <w:szCs w:val="20"/>
              </w:rPr>
              <w:t>operaciones similares (</w:t>
            </w:r>
            <w:r w:rsidR="00935BA0">
              <w:rPr>
                <w:rFonts w:ascii="ITC Avant Garde" w:hAnsi="ITC Avant Garde"/>
                <w:sz w:val="20"/>
                <w:szCs w:val="20"/>
              </w:rPr>
              <w:t xml:space="preserve">por ejemplo, </w:t>
            </w:r>
            <w:r w:rsidRPr="00682082">
              <w:rPr>
                <w:rFonts w:ascii="ITC Avant Garde" w:hAnsi="ITC Avant Garde"/>
                <w:sz w:val="20"/>
                <w:szCs w:val="20"/>
              </w:rPr>
              <w:t xml:space="preserve">artículos 110, 112 y diversos, en relación con el artículo </w:t>
            </w:r>
            <w:r w:rsidR="00375DAB" w:rsidRPr="00682082">
              <w:rPr>
                <w:rFonts w:ascii="ITC Avant Garde" w:hAnsi="ITC Avant Garde"/>
                <w:sz w:val="20"/>
                <w:szCs w:val="20"/>
              </w:rPr>
              <w:t>15</w:t>
            </w:r>
            <w:r w:rsidR="00277909" w:rsidRPr="00682082">
              <w:rPr>
                <w:rFonts w:ascii="ITC Avant Garde" w:hAnsi="ITC Avant Garde"/>
                <w:sz w:val="20"/>
                <w:szCs w:val="20"/>
              </w:rPr>
              <w:t>, fracción</w:t>
            </w:r>
            <w:r w:rsidR="00375DAB" w:rsidRPr="00682082">
              <w:rPr>
                <w:rFonts w:ascii="ITC Avant Garde" w:hAnsi="ITC Avant Garde"/>
                <w:sz w:val="20"/>
                <w:szCs w:val="20"/>
              </w:rPr>
              <w:t xml:space="preserve"> XXVIII, todos </w:t>
            </w:r>
            <w:r w:rsidRPr="00682082">
              <w:rPr>
                <w:rFonts w:ascii="ITC Avant Garde" w:hAnsi="ITC Avant Garde"/>
                <w:sz w:val="20"/>
                <w:szCs w:val="20"/>
              </w:rPr>
              <w:t>de la LFTR)</w:t>
            </w:r>
            <w:r w:rsidR="00277909" w:rsidRPr="00682082">
              <w:rPr>
                <w:rFonts w:ascii="ITC Avant Garde" w:hAnsi="ITC Avant Garde"/>
                <w:sz w:val="20"/>
                <w:szCs w:val="20"/>
              </w:rPr>
              <w:t xml:space="preserve">, el Instituto tiene originariamente la facultad de solicitar información adicional a los particulares en relación con </w:t>
            </w:r>
            <w:r w:rsidR="005A1D00" w:rsidRPr="00682082">
              <w:rPr>
                <w:rFonts w:ascii="ITC Avant Garde" w:hAnsi="ITC Avant Garde"/>
                <w:sz w:val="20"/>
                <w:szCs w:val="20"/>
              </w:rPr>
              <w:t>estos procedimientos que ahora son objeto del ámbito de aplicación del criterio técnico</w:t>
            </w:r>
            <w:r w:rsidR="00277909" w:rsidRPr="00682082">
              <w:rPr>
                <w:rFonts w:ascii="ITC Avant Garde" w:hAnsi="ITC Avant Garde"/>
                <w:sz w:val="20"/>
                <w:szCs w:val="20"/>
              </w:rPr>
              <w:t>.</w:t>
            </w:r>
          </w:p>
          <w:p w:rsidR="00522CE5" w:rsidRPr="00682082" w:rsidRDefault="00522CE5" w:rsidP="001932FC">
            <w:pPr>
              <w:jc w:val="both"/>
              <w:rPr>
                <w:rFonts w:ascii="ITC Avant Garde" w:hAnsi="ITC Avant Garde"/>
                <w:sz w:val="20"/>
                <w:szCs w:val="20"/>
              </w:rPr>
            </w:pPr>
          </w:p>
          <w:p w:rsidR="00E300D4" w:rsidRPr="00682082" w:rsidRDefault="00375DAB" w:rsidP="001932FC">
            <w:pPr>
              <w:jc w:val="both"/>
              <w:rPr>
                <w:rFonts w:ascii="ITC Avant Garde" w:hAnsi="ITC Avant Garde"/>
                <w:sz w:val="20"/>
                <w:szCs w:val="20"/>
              </w:rPr>
            </w:pPr>
            <w:r w:rsidRPr="00682082">
              <w:rPr>
                <w:rFonts w:ascii="ITC Avant Garde" w:hAnsi="ITC Avant Garde"/>
                <w:sz w:val="20"/>
                <w:szCs w:val="20"/>
              </w:rPr>
              <w:t>En la gen</w:t>
            </w:r>
            <w:r w:rsidR="005A1D00" w:rsidRPr="00682082">
              <w:rPr>
                <w:rFonts w:ascii="ITC Avant Garde" w:hAnsi="ITC Avant Garde"/>
                <w:sz w:val="20"/>
                <w:szCs w:val="20"/>
              </w:rPr>
              <w:t xml:space="preserve">eralidad de las concentraciones y/o en </w:t>
            </w:r>
            <w:r w:rsidR="00935BA0">
              <w:rPr>
                <w:rFonts w:ascii="ITC Avant Garde" w:hAnsi="ITC Avant Garde"/>
                <w:sz w:val="20"/>
                <w:szCs w:val="20"/>
              </w:rPr>
              <w:t xml:space="preserve">otras </w:t>
            </w:r>
            <w:r w:rsidR="005A1D00" w:rsidRPr="00682082">
              <w:rPr>
                <w:rFonts w:ascii="ITC Avant Garde" w:hAnsi="ITC Avant Garde"/>
                <w:sz w:val="20"/>
                <w:szCs w:val="20"/>
              </w:rPr>
              <w:t>operaciones</w:t>
            </w:r>
            <w:r w:rsidR="000C556A">
              <w:rPr>
                <w:rFonts w:ascii="ITC Avant Garde" w:hAnsi="ITC Avant Garde"/>
                <w:sz w:val="20"/>
                <w:szCs w:val="20"/>
              </w:rPr>
              <w:t xml:space="preserve"> o procedimientos</w:t>
            </w:r>
            <w:r w:rsidR="00277909" w:rsidRPr="00682082">
              <w:rPr>
                <w:rFonts w:ascii="ITC Avant Garde" w:hAnsi="ITC Avant Garde"/>
                <w:sz w:val="20"/>
                <w:szCs w:val="20"/>
              </w:rPr>
              <w:t>, el Instituto ha ejercido su facultad de requerir información adicional, lo cual sucede a través de la elaboración de requerimientos a manera de cuestionarios que los agentes económicos involucrados están obligados a responder.</w:t>
            </w:r>
          </w:p>
          <w:p w:rsidR="00277909" w:rsidRPr="00682082" w:rsidRDefault="00277909" w:rsidP="001932FC">
            <w:pPr>
              <w:jc w:val="both"/>
              <w:rPr>
                <w:rFonts w:ascii="ITC Avant Garde" w:hAnsi="ITC Avant Garde"/>
                <w:sz w:val="20"/>
                <w:szCs w:val="20"/>
              </w:rPr>
            </w:pPr>
          </w:p>
          <w:p w:rsidR="00277909" w:rsidRPr="00682082" w:rsidRDefault="00277909" w:rsidP="001932FC">
            <w:pPr>
              <w:jc w:val="both"/>
              <w:rPr>
                <w:rFonts w:ascii="ITC Avant Garde" w:hAnsi="ITC Avant Garde"/>
                <w:sz w:val="20"/>
                <w:szCs w:val="20"/>
              </w:rPr>
            </w:pPr>
            <w:r w:rsidRPr="00682082">
              <w:rPr>
                <w:rFonts w:ascii="ITC Avant Garde" w:hAnsi="ITC Avant Garde"/>
                <w:sz w:val="20"/>
                <w:szCs w:val="20"/>
              </w:rPr>
              <w:t>En este sentido, el impacto regulatorio generado con el Artículo NOVENO, incisos c) y d) del Criterio Técnico, únicamente representaría para el Instituto la necesidad de elaborar preguntas adi</w:t>
            </w:r>
            <w:r w:rsidR="00375DAB" w:rsidRPr="00682082">
              <w:rPr>
                <w:rFonts w:ascii="ITC Avant Garde" w:hAnsi="ITC Avant Garde"/>
                <w:sz w:val="20"/>
                <w:szCs w:val="20"/>
              </w:rPr>
              <w:t xml:space="preserve">cionales en los requerimientos </w:t>
            </w:r>
            <w:r w:rsidR="00935BA0">
              <w:rPr>
                <w:rFonts w:ascii="ITC Avant Garde" w:hAnsi="ITC Avant Garde"/>
                <w:sz w:val="20"/>
                <w:szCs w:val="20"/>
              </w:rPr>
              <w:t>de información que</w:t>
            </w:r>
            <w:r w:rsidR="00375DAB" w:rsidRPr="00682082">
              <w:rPr>
                <w:rFonts w:ascii="ITC Avant Garde" w:hAnsi="ITC Avant Garde"/>
                <w:sz w:val="20"/>
                <w:szCs w:val="20"/>
              </w:rPr>
              <w:t xml:space="preserve"> se emiten</w:t>
            </w:r>
            <w:r w:rsidRPr="00682082">
              <w:rPr>
                <w:rFonts w:ascii="ITC Avant Garde" w:hAnsi="ITC Avant Garde"/>
                <w:sz w:val="20"/>
                <w:szCs w:val="20"/>
              </w:rPr>
              <w:t xml:space="preserve"> </w:t>
            </w:r>
            <w:r w:rsidR="00375DAB" w:rsidRPr="00682082">
              <w:rPr>
                <w:rFonts w:ascii="ITC Avant Garde" w:hAnsi="ITC Avant Garde"/>
                <w:sz w:val="20"/>
                <w:szCs w:val="20"/>
              </w:rPr>
              <w:t>a la fecha en los procedimientos aludidos</w:t>
            </w:r>
            <w:r w:rsidRPr="00682082">
              <w:rPr>
                <w:rFonts w:ascii="ITC Avant Garde" w:hAnsi="ITC Avant Garde"/>
                <w:sz w:val="20"/>
                <w:szCs w:val="20"/>
              </w:rPr>
              <w:t>, pues éstas tendrán por objetivo:</w:t>
            </w:r>
          </w:p>
          <w:p w:rsidR="00277909" w:rsidRPr="00682082" w:rsidRDefault="00277909" w:rsidP="001932FC">
            <w:pPr>
              <w:jc w:val="both"/>
              <w:rPr>
                <w:rFonts w:ascii="ITC Avant Garde" w:hAnsi="ITC Avant Garde"/>
                <w:sz w:val="20"/>
                <w:szCs w:val="20"/>
              </w:rPr>
            </w:pPr>
          </w:p>
          <w:p w:rsidR="00277909" w:rsidRPr="00682082" w:rsidRDefault="00277909" w:rsidP="00277909">
            <w:pPr>
              <w:pStyle w:val="Prrafodelista"/>
              <w:numPr>
                <w:ilvl w:val="0"/>
                <w:numId w:val="8"/>
              </w:numPr>
              <w:jc w:val="both"/>
              <w:rPr>
                <w:rFonts w:ascii="ITC Avant Garde" w:hAnsi="ITC Avant Garde"/>
                <w:sz w:val="20"/>
                <w:szCs w:val="20"/>
              </w:rPr>
            </w:pPr>
            <w:r w:rsidRPr="00682082">
              <w:rPr>
                <w:rFonts w:ascii="ITC Avant Garde" w:hAnsi="ITC Avant Garde"/>
                <w:sz w:val="20"/>
                <w:szCs w:val="20"/>
              </w:rPr>
              <w:t xml:space="preserve">Identificar si el agente económico adquirido es un agente económico disruptivo (maverick). </w:t>
            </w:r>
          </w:p>
          <w:p w:rsidR="00277909" w:rsidRPr="00682082" w:rsidRDefault="00277909" w:rsidP="001932FC">
            <w:pPr>
              <w:pStyle w:val="Prrafodelista"/>
              <w:numPr>
                <w:ilvl w:val="0"/>
                <w:numId w:val="8"/>
              </w:numPr>
              <w:jc w:val="both"/>
              <w:rPr>
                <w:rFonts w:ascii="ITC Avant Garde" w:hAnsi="ITC Avant Garde"/>
                <w:sz w:val="20"/>
                <w:szCs w:val="20"/>
              </w:rPr>
            </w:pPr>
            <w:r w:rsidRPr="00682082">
              <w:rPr>
                <w:rFonts w:ascii="ITC Avant Garde" w:hAnsi="ITC Avant Garde"/>
                <w:sz w:val="20"/>
                <w:szCs w:val="20"/>
              </w:rPr>
              <w:lastRenderedPageBreak/>
              <w:t>Identificar si uno o más de los agentes económicos involucrados en la operación haya participado dentro de los últimos cinco años en operaciones previas en el mismo mercado y que consideradas en conjunto con la operación analizada, rebasen los umbrales referidos en el numeral Octavo.</w:t>
            </w:r>
          </w:p>
          <w:p w:rsidR="00277909" w:rsidRPr="00682082" w:rsidRDefault="00277909" w:rsidP="001932FC">
            <w:pPr>
              <w:jc w:val="both"/>
              <w:rPr>
                <w:rFonts w:ascii="ITC Avant Garde" w:hAnsi="ITC Avant Garde"/>
                <w:sz w:val="20"/>
                <w:szCs w:val="20"/>
              </w:rPr>
            </w:pPr>
          </w:p>
          <w:p w:rsidR="00277909" w:rsidRPr="00682082" w:rsidRDefault="00277909" w:rsidP="001932FC">
            <w:pPr>
              <w:jc w:val="both"/>
              <w:rPr>
                <w:rFonts w:ascii="ITC Avant Garde" w:hAnsi="ITC Avant Garde"/>
                <w:sz w:val="20"/>
                <w:szCs w:val="20"/>
              </w:rPr>
            </w:pPr>
            <w:r w:rsidRPr="00682082">
              <w:rPr>
                <w:rFonts w:ascii="ITC Avant Garde" w:hAnsi="ITC Avant Garde"/>
                <w:sz w:val="20"/>
                <w:szCs w:val="20"/>
              </w:rPr>
              <w:t>Como se observa, el impacto regulatorio impuesto hacia los particulares</w:t>
            </w:r>
            <w:r w:rsidR="00935BA0">
              <w:rPr>
                <w:rFonts w:ascii="ITC Avant Garde" w:hAnsi="ITC Avant Garde"/>
                <w:sz w:val="20"/>
                <w:szCs w:val="20"/>
              </w:rPr>
              <w:t>,</w:t>
            </w:r>
            <w:r w:rsidRPr="00682082">
              <w:rPr>
                <w:rFonts w:ascii="ITC Avant Garde" w:hAnsi="ITC Avant Garde"/>
                <w:sz w:val="20"/>
                <w:szCs w:val="20"/>
              </w:rPr>
              <w:t xml:space="preserve"> consistente en </w:t>
            </w:r>
            <w:r w:rsidR="00935BA0">
              <w:rPr>
                <w:rFonts w:ascii="ITC Avant Garde" w:hAnsi="ITC Avant Garde"/>
                <w:sz w:val="20"/>
                <w:szCs w:val="20"/>
              </w:rPr>
              <w:t>hacer</w:t>
            </w:r>
            <w:r w:rsidR="00935BA0" w:rsidRPr="00682082">
              <w:rPr>
                <w:rFonts w:ascii="ITC Avant Garde" w:hAnsi="ITC Avant Garde"/>
                <w:sz w:val="20"/>
                <w:szCs w:val="20"/>
              </w:rPr>
              <w:t xml:space="preserve"> </w:t>
            </w:r>
            <w:r w:rsidR="00935BA0">
              <w:rPr>
                <w:rFonts w:ascii="ITC Avant Garde" w:hAnsi="ITC Avant Garde"/>
                <w:sz w:val="20"/>
                <w:szCs w:val="20"/>
              </w:rPr>
              <w:t>preguntas</w:t>
            </w:r>
            <w:r w:rsidR="00935BA0" w:rsidRPr="00682082">
              <w:rPr>
                <w:rFonts w:ascii="ITC Avant Garde" w:hAnsi="ITC Avant Garde"/>
                <w:sz w:val="20"/>
                <w:szCs w:val="20"/>
              </w:rPr>
              <w:t xml:space="preserve"> </w:t>
            </w:r>
            <w:r w:rsidRPr="00682082">
              <w:rPr>
                <w:rFonts w:ascii="ITC Avant Garde" w:hAnsi="ITC Avant Garde"/>
                <w:sz w:val="20"/>
                <w:szCs w:val="20"/>
              </w:rPr>
              <w:t>adicional</w:t>
            </w:r>
            <w:r w:rsidR="00935BA0">
              <w:rPr>
                <w:rFonts w:ascii="ITC Avant Garde" w:hAnsi="ITC Avant Garde"/>
                <w:sz w:val="20"/>
                <w:szCs w:val="20"/>
              </w:rPr>
              <w:t>es,</w:t>
            </w:r>
            <w:r w:rsidRPr="00682082">
              <w:rPr>
                <w:rFonts w:ascii="ITC Avant Garde" w:hAnsi="ITC Avant Garde"/>
                <w:sz w:val="20"/>
                <w:szCs w:val="20"/>
              </w:rPr>
              <w:t xml:space="preserve"> es mínimo, considerando que en procedimientos de concentraciones u </w:t>
            </w:r>
            <w:r w:rsidR="00935BA0">
              <w:rPr>
                <w:rFonts w:ascii="ITC Avant Garde" w:hAnsi="ITC Avant Garde"/>
                <w:sz w:val="20"/>
                <w:szCs w:val="20"/>
              </w:rPr>
              <w:t xml:space="preserve">otras </w:t>
            </w:r>
            <w:r w:rsidRPr="00682082">
              <w:rPr>
                <w:rFonts w:ascii="ITC Avant Garde" w:hAnsi="ITC Avant Garde"/>
                <w:sz w:val="20"/>
                <w:szCs w:val="20"/>
              </w:rPr>
              <w:t xml:space="preserve">operaciones </w:t>
            </w:r>
            <w:r w:rsidR="000C556A">
              <w:rPr>
                <w:rFonts w:ascii="ITC Avant Garde" w:hAnsi="ITC Avant Garde"/>
                <w:sz w:val="20"/>
                <w:szCs w:val="20"/>
              </w:rPr>
              <w:t>o procedimientos</w:t>
            </w:r>
            <w:r w:rsidR="000C556A" w:rsidRPr="00682082">
              <w:rPr>
                <w:rFonts w:ascii="ITC Avant Garde" w:hAnsi="ITC Avant Garde"/>
                <w:sz w:val="20"/>
                <w:szCs w:val="20"/>
              </w:rPr>
              <w:t xml:space="preserve"> </w:t>
            </w:r>
            <w:r w:rsidRPr="00682082">
              <w:rPr>
                <w:rFonts w:ascii="ITC Avant Garde" w:hAnsi="ITC Avant Garde"/>
                <w:sz w:val="20"/>
                <w:szCs w:val="20"/>
              </w:rPr>
              <w:t>el Instituto ya cuenta con la facultad de realizar requerimient</w:t>
            </w:r>
            <w:r w:rsidR="00375DAB" w:rsidRPr="00682082">
              <w:rPr>
                <w:rFonts w:ascii="ITC Avant Garde" w:hAnsi="ITC Avant Garde"/>
                <w:sz w:val="20"/>
                <w:szCs w:val="20"/>
              </w:rPr>
              <w:t>os de información, por</w:t>
            </w:r>
            <w:r w:rsidRPr="00682082">
              <w:rPr>
                <w:rFonts w:ascii="ITC Avant Garde" w:hAnsi="ITC Avant Garde"/>
                <w:sz w:val="20"/>
                <w:szCs w:val="20"/>
              </w:rPr>
              <w:t xml:space="preserve"> lo cu</w:t>
            </w:r>
            <w:r w:rsidR="00375DAB" w:rsidRPr="00682082">
              <w:rPr>
                <w:rFonts w:ascii="ITC Avant Garde" w:hAnsi="ITC Avant Garde"/>
                <w:sz w:val="20"/>
                <w:szCs w:val="20"/>
              </w:rPr>
              <w:t>al únicamente serán añadidos a e</w:t>
            </w:r>
            <w:r w:rsidRPr="00682082">
              <w:rPr>
                <w:rFonts w:ascii="ITC Avant Garde" w:hAnsi="ITC Avant Garde"/>
                <w:sz w:val="20"/>
                <w:szCs w:val="20"/>
              </w:rPr>
              <w:t>stos interrogantes adicionales que deberán responder los involucrados a fin de identificar los incisos c) y d) del artículo NOVENO del Criterio Técnico.</w:t>
            </w:r>
          </w:p>
          <w:p w:rsidR="003039BF" w:rsidRPr="00682082" w:rsidRDefault="003039BF" w:rsidP="001932FC">
            <w:pPr>
              <w:jc w:val="both"/>
              <w:rPr>
                <w:rFonts w:ascii="ITC Avant Garde" w:hAnsi="ITC Avant Garde"/>
                <w:sz w:val="20"/>
                <w:szCs w:val="20"/>
              </w:rPr>
            </w:pPr>
          </w:p>
        </w:tc>
      </w:tr>
    </w:tbl>
    <w:p w:rsidR="003039BF" w:rsidRPr="00682082" w:rsidRDefault="003039BF"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3039BF" w:rsidRPr="00682082" w:rsidTr="003039BF">
        <w:tc>
          <w:tcPr>
            <w:tcW w:w="8828" w:type="dxa"/>
          </w:tcPr>
          <w:p w:rsidR="003039BF" w:rsidRPr="00E35EA1" w:rsidRDefault="003039BF" w:rsidP="001932FC">
            <w:pPr>
              <w:jc w:val="both"/>
              <w:rPr>
                <w:rFonts w:ascii="ITC Avant Garde" w:hAnsi="ITC Avant Garde"/>
                <w:b/>
                <w:sz w:val="20"/>
                <w:szCs w:val="20"/>
              </w:rPr>
            </w:pPr>
            <w:r w:rsidRPr="00E35EA1">
              <w:rPr>
                <w:rFonts w:ascii="ITC Avant Garde" w:hAnsi="ITC Avant Garde"/>
                <w:b/>
                <w:sz w:val="20"/>
                <w:szCs w:val="20"/>
              </w:rPr>
              <w:t>9.- Seleccione las disposiciones, obligaciones y/o acciones distintas a los trámites que correspondan a la propuesta</w:t>
            </w:r>
            <w:r w:rsidR="005A40FB" w:rsidRPr="00E35EA1">
              <w:rPr>
                <w:rFonts w:ascii="ITC Avant Garde" w:hAnsi="ITC Avant Garde"/>
                <w:b/>
                <w:sz w:val="20"/>
                <w:szCs w:val="20"/>
              </w:rPr>
              <w:t xml:space="preserve"> de anteproyecto de regulación</w:t>
            </w:r>
            <w:r w:rsidRPr="00E35EA1">
              <w:rPr>
                <w:rFonts w:ascii="ITC Avant Garde" w:hAnsi="ITC Avant Garde"/>
                <w:b/>
                <w:sz w:val="20"/>
                <w:szCs w:val="20"/>
              </w:rPr>
              <w:t>:</w:t>
            </w:r>
          </w:p>
          <w:p w:rsidR="003039BF" w:rsidRPr="00682082" w:rsidRDefault="003039BF" w:rsidP="001932FC">
            <w:pPr>
              <w:jc w:val="both"/>
              <w:rPr>
                <w:rFonts w:ascii="ITC Avant Garde" w:hAnsi="ITC Avant Garde"/>
                <w:sz w:val="20"/>
                <w:szCs w:val="20"/>
              </w:rPr>
            </w:pPr>
          </w:p>
          <w:p w:rsidR="005A1D00" w:rsidRPr="00682082" w:rsidRDefault="005A1D00" w:rsidP="005A1D00">
            <w:pPr>
              <w:jc w:val="both"/>
              <w:rPr>
                <w:rFonts w:ascii="ITC Avant Garde" w:hAnsi="ITC Avant Garde"/>
                <w:sz w:val="20"/>
                <w:szCs w:val="20"/>
              </w:rPr>
            </w:pPr>
            <w:r w:rsidRPr="00682082">
              <w:rPr>
                <w:rFonts w:ascii="ITC Avant Garde" w:hAnsi="ITC Avant Garde"/>
                <w:sz w:val="20"/>
                <w:szCs w:val="20"/>
              </w:rPr>
              <w:t xml:space="preserve">El Criterio Técnico implicará únicamente el requerimiento de </w:t>
            </w:r>
            <w:r w:rsidR="00935BA0">
              <w:rPr>
                <w:rFonts w:ascii="ITC Avant Garde" w:hAnsi="ITC Avant Garde"/>
                <w:sz w:val="20"/>
                <w:szCs w:val="20"/>
              </w:rPr>
              <w:t>preguntas</w:t>
            </w:r>
            <w:r w:rsidR="00935BA0" w:rsidRPr="00682082">
              <w:rPr>
                <w:rFonts w:ascii="ITC Avant Garde" w:hAnsi="ITC Avant Garde"/>
                <w:sz w:val="20"/>
                <w:szCs w:val="20"/>
              </w:rPr>
              <w:t xml:space="preserve"> </w:t>
            </w:r>
            <w:r w:rsidRPr="00682082">
              <w:rPr>
                <w:rFonts w:ascii="ITC Avant Garde" w:hAnsi="ITC Avant Garde"/>
                <w:sz w:val="20"/>
                <w:szCs w:val="20"/>
              </w:rPr>
              <w:t>adicional</w:t>
            </w:r>
            <w:r w:rsidR="00935BA0">
              <w:rPr>
                <w:rFonts w:ascii="ITC Avant Garde" w:hAnsi="ITC Avant Garde"/>
                <w:sz w:val="20"/>
                <w:szCs w:val="20"/>
              </w:rPr>
              <w:t>es</w:t>
            </w:r>
            <w:r w:rsidRPr="00682082">
              <w:rPr>
                <w:rFonts w:ascii="ITC Avant Garde" w:hAnsi="ITC Avant Garde"/>
                <w:sz w:val="20"/>
                <w:szCs w:val="20"/>
              </w:rPr>
              <w:t xml:space="preserve"> hacia los particulares con el objeto de que el Instituto pueda evaluar los incisos c) y d) del artículo NOVENO del mismo Anteproyecto. Sin embargo, este impacto regulatorio es mínimo tomando en consideración que  tanto en materia de concentraciones como en </w:t>
            </w:r>
            <w:r w:rsidR="00935BA0">
              <w:rPr>
                <w:rFonts w:ascii="ITC Avant Garde" w:hAnsi="ITC Avant Garde"/>
                <w:sz w:val="20"/>
                <w:szCs w:val="20"/>
              </w:rPr>
              <w:t xml:space="preserve">otras </w:t>
            </w:r>
            <w:r w:rsidRPr="00682082">
              <w:rPr>
                <w:rFonts w:ascii="ITC Avant Garde" w:hAnsi="ITC Avant Garde"/>
                <w:sz w:val="20"/>
                <w:szCs w:val="20"/>
              </w:rPr>
              <w:t>operaciones</w:t>
            </w:r>
            <w:r w:rsidR="000C556A">
              <w:rPr>
                <w:rFonts w:ascii="ITC Avant Garde" w:hAnsi="ITC Avant Garde"/>
                <w:sz w:val="20"/>
                <w:szCs w:val="20"/>
              </w:rPr>
              <w:t xml:space="preserve"> o procedimientos</w:t>
            </w:r>
            <w:r w:rsidRPr="00682082">
              <w:rPr>
                <w:rFonts w:ascii="ITC Avant Garde" w:hAnsi="ITC Avant Garde"/>
                <w:sz w:val="20"/>
                <w:szCs w:val="20"/>
              </w:rPr>
              <w:t>, el Instituto ya cuenta con la facultad de solicitar información a los particulares.</w:t>
            </w:r>
          </w:p>
          <w:p w:rsidR="00E300D4" w:rsidRPr="00682082" w:rsidRDefault="00E300D4" w:rsidP="001932FC">
            <w:pPr>
              <w:jc w:val="both"/>
              <w:rPr>
                <w:rFonts w:ascii="ITC Avant Garde" w:hAnsi="ITC Avant Garde"/>
                <w:sz w:val="20"/>
                <w:szCs w:val="20"/>
              </w:rPr>
            </w:pPr>
          </w:p>
          <w:p w:rsidR="003039BF" w:rsidRPr="00682082" w:rsidRDefault="005A1D00" w:rsidP="001932FC">
            <w:pPr>
              <w:jc w:val="both"/>
              <w:rPr>
                <w:rFonts w:ascii="ITC Avant Garde" w:hAnsi="ITC Avant Garde"/>
                <w:sz w:val="20"/>
                <w:szCs w:val="20"/>
              </w:rPr>
            </w:pPr>
            <w:r w:rsidRPr="00682082">
              <w:rPr>
                <w:rFonts w:ascii="ITC Avant Garde" w:hAnsi="ITC Avant Garde"/>
                <w:sz w:val="20"/>
                <w:szCs w:val="20"/>
              </w:rPr>
              <w:t>Tipo: Información Adicional aportada por los particulares</w:t>
            </w:r>
            <w:r w:rsidR="003F05E7" w:rsidRPr="00682082">
              <w:rPr>
                <w:rFonts w:ascii="ITC Avant Garde" w:hAnsi="ITC Avant Garde"/>
                <w:sz w:val="20"/>
                <w:szCs w:val="20"/>
              </w:rPr>
              <w:t>.</w:t>
            </w:r>
          </w:p>
          <w:p w:rsidR="005A1D00" w:rsidRPr="00682082" w:rsidRDefault="003F05E7" w:rsidP="001932FC">
            <w:pPr>
              <w:jc w:val="both"/>
              <w:rPr>
                <w:rFonts w:ascii="ITC Avant Garde" w:hAnsi="ITC Avant Garde"/>
                <w:sz w:val="20"/>
                <w:szCs w:val="20"/>
              </w:rPr>
            </w:pPr>
            <w:r w:rsidRPr="00682082">
              <w:rPr>
                <w:rFonts w:ascii="ITC Avant Garde" w:hAnsi="ITC Avant Garde"/>
                <w:sz w:val="20"/>
                <w:szCs w:val="20"/>
              </w:rPr>
              <w:t>Artículos aplicables:</w:t>
            </w:r>
            <w:r w:rsidR="005A1D00" w:rsidRPr="00682082">
              <w:rPr>
                <w:rFonts w:ascii="ITC Avant Garde" w:hAnsi="ITC Avant Garde"/>
                <w:sz w:val="20"/>
                <w:szCs w:val="20"/>
              </w:rPr>
              <w:t xml:space="preserve"> La información se solicita actualmente por parte del Instituto con fundamento en los artículos 90, fracción III, de la LFCE y 110, 112 y diversos, en relación con el artículo 15, fracción XXVIII, todos estos últimos de la LFTR.</w:t>
            </w:r>
          </w:p>
          <w:p w:rsidR="005A1D00" w:rsidRPr="00682082" w:rsidRDefault="005A1D00" w:rsidP="001932FC">
            <w:pPr>
              <w:jc w:val="both"/>
              <w:rPr>
                <w:rFonts w:ascii="ITC Avant Garde" w:hAnsi="ITC Avant Garde"/>
                <w:sz w:val="20"/>
                <w:szCs w:val="20"/>
              </w:rPr>
            </w:pPr>
          </w:p>
          <w:p w:rsidR="003F05E7" w:rsidRPr="00682082" w:rsidRDefault="003F05E7" w:rsidP="001932FC">
            <w:pPr>
              <w:jc w:val="both"/>
              <w:rPr>
                <w:rFonts w:ascii="ITC Avant Garde" w:hAnsi="ITC Avant Garde"/>
                <w:sz w:val="20"/>
                <w:szCs w:val="20"/>
              </w:rPr>
            </w:pPr>
            <w:r w:rsidRPr="00682082">
              <w:rPr>
                <w:rFonts w:ascii="ITC Avant Garde" w:hAnsi="ITC Avant Garde"/>
                <w:sz w:val="20"/>
                <w:szCs w:val="20"/>
              </w:rPr>
              <w:t>Justificación:</w:t>
            </w:r>
            <w:r w:rsidR="005A1D00" w:rsidRPr="00682082">
              <w:rPr>
                <w:rFonts w:ascii="ITC Avant Garde" w:hAnsi="ITC Avant Garde"/>
                <w:sz w:val="20"/>
                <w:szCs w:val="20"/>
              </w:rPr>
              <w:t xml:space="preserve"> Identificar</w:t>
            </w:r>
            <w:r w:rsidR="00E553D9">
              <w:rPr>
                <w:rFonts w:ascii="ITC Avant Garde" w:hAnsi="ITC Avant Garde"/>
                <w:sz w:val="20"/>
                <w:szCs w:val="20"/>
              </w:rPr>
              <w:t>, en caso de que apliquen,</w:t>
            </w:r>
            <w:r w:rsidR="005A1D00" w:rsidRPr="00682082">
              <w:rPr>
                <w:rFonts w:ascii="ITC Avant Garde" w:hAnsi="ITC Avant Garde"/>
                <w:sz w:val="20"/>
                <w:szCs w:val="20"/>
              </w:rPr>
              <w:t xml:space="preserve"> </w:t>
            </w:r>
            <w:r w:rsidR="00E553D9">
              <w:rPr>
                <w:rFonts w:ascii="ITC Avant Garde" w:hAnsi="ITC Avant Garde"/>
                <w:sz w:val="20"/>
                <w:szCs w:val="20"/>
              </w:rPr>
              <w:t>elementos correspondientes</w:t>
            </w:r>
            <w:r w:rsidR="005A1D00" w:rsidRPr="00682082">
              <w:rPr>
                <w:rFonts w:ascii="ITC Avant Garde" w:hAnsi="ITC Avant Garde"/>
                <w:sz w:val="20"/>
                <w:szCs w:val="20"/>
              </w:rPr>
              <w:t xml:space="preserve"> de los incisos c) y d) del Criterio Técnico al momento de evaluar concentraciones u </w:t>
            </w:r>
            <w:r w:rsidR="00E553D9">
              <w:rPr>
                <w:rFonts w:ascii="ITC Avant Garde" w:hAnsi="ITC Avant Garde"/>
                <w:sz w:val="20"/>
                <w:szCs w:val="20"/>
              </w:rPr>
              <w:t xml:space="preserve">otras </w:t>
            </w:r>
            <w:r w:rsidR="005A1D00" w:rsidRPr="00682082">
              <w:rPr>
                <w:rFonts w:ascii="ITC Avant Garde" w:hAnsi="ITC Avant Garde"/>
                <w:sz w:val="20"/>
                <w:szCs w:val="20"/>
              </w:rPr>
              <w:t>operaciones</w:t>
            </w:r>
            <w:r w:rsidR="000C556A">
              <w:rPr>
                <w:rFonts w:ascii="ITC Avant Garde" w:hAnsi="ITC Avant Garde"/>
                <w:sz w:val="20"/>
                <w:szCs w:val="20"/>
              </w:rPr>
              <w:t xml:space="preserve"> o procedimientos</w:t>
            </w:r>
            <w:r w:rsidR="005A1D00" w:rsidRPr="00682082">
              <w:rPr>
                <w:rFonts w:ascii="ITC Avant Garde" w:hAnsi="ITC Avant Garde"/>
                <w:sz w:val="20"/>
                <w:szCs w:val="20"/>
              </w:rPr>
              <w:t>.</w:t>
            </w:r>
          </w:p>
          <w:p w:rsidR="005A1D00" w:rsidRPr="00682082" w:rsidRDefault="005A1D00" w:rsidP="001932FC">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3F05E7" w:rsidRPr="00682082" w:rsidTr="003F05E7">
        <w:tc>
          <w:tcPr>
            <w:tcW w:w="8828" w:type="dxa"/>
          </w:tcPr>
          <w:p w:rsidR="003F05E7" w:rsidRPr="00E35EA1" w:rsidRDefault="003F05E7" w:rsidP="001932FC">
            <w:pPr>
              <w:jc w:val="both"/>
              <w:rPr>
                <w:rFonts w:ascii="ITC Avant Garde" w:hAnsi="ITC Avant Garde"/>
                <w:b/>
                <w:sz w:val="20"/>
                <w:szCs w:val="20"/>
              </w:rPr>
            </w:pPr>
            <w:r w:rsidRPr="00E35EA1">
              <w:rPr>
                <w:rFonts w:ascii="ITC Avant Garde" w:hAnsi="ITC Avant Garde"/>
                <w:b/>
                <w:sz w:val="20"/>
                <w:szCs w:val="20"/>
              </w:rPr>
              <w:t>10.- ¿Cuáles serían los efectos del anteproyecto de regulación sobre la competencia y libre concurrencia en los mercados, así como sobre el comercio nacional e internacional?:</w:t>
            </w:r>
          </w:p>
          <w:p w:rsidR="003F05E7" w:rsidRPr="00682082" w:rsidRDefault="003F05E7" w:rsidP="001932FC">
            <w:pPr>
              <w:jc w:val="both"/>
              <w:rPr>
                <w:rFonts w:ascii="ITC Avant Garde" w:hAnsi="ITC Avant Garde"/>
                <w:sz w:val="20"/>
                <w:szCs w:val="20"/>
              </w:rPr>
            </w:pPr>
          </w:p>
          <w:p w:rsidR="003F05E7" w:rsidRPr="00682082" w:rsidRDefault="001A3E31" w:rsidP="001932FC">
            <w:pPr>
              <w:jc w:val="both"/>
              <w:rPr>
                <w:rFonts w:ascii="ITC Avant Garde" w:hAnsi="ITC Avant Garde"/>
                <w:sz w:val="20"/>
                <w:szCs w:val="20"/>
              </w:rPr>
            </w:pPr>
            <w:r w:rsidRPr="00682082">
              <w:rPr>
                <w:rFonts w:ascii="ITC Avant Garde" w:hAnsi="ITC Avant Garde"/>
                <w:sz w:val="20"/>
                <w:szCs w:val="20"/>
              </w:rPr>
              <w:t>Los efectos del Ant</w:t>
            </w:r>
            <w:r w:rsidR="00E97912" w:rsidRPr="00682082">
              <w:rPr>
                <w:rFonts w:ascii="ITC Avant Garde" w:hAnsi="ITC Avant Garde"/>
                <w:sz w:val="20"/>
                <w:szCs w:val="20"/>
              </w:rPr>
              <w:t>eproyecto serán positivos, pues e</w:t>
            </w:r>
            <w:r w:rsidR="006C779A" w:rsidRPr="00682082">
              <w:rPr>
                <w:rFonts w:ascii="ITC Avant Garde" w:hAnsi="ITC Avant Garde"/>
                <w:sz w:val="20"/>
                <w:szCs w:val="20"/>
              </w:rPr>
              <w:t xml:space="preserve">l Instituto utilizará el índice como un indicador del grado de concentración en los mercados y servicios </w:t>
            </w:r>
            <w:r w:rsidR="00E300D4" w:rsidRPr="00682082">
              <w:rPr>
                <w:rFonts w:ascii="ITC Avant Garde" w:hAnsi="ITC Avant Garde"/>
                <w:sz w:val="20"/>
                <w:szCs w:val="20"/>
              </w:rPr>
              <w:t xml:space="preserve">correspondientes a </w:t>
            </w:r>
            <w:r w:rsidR="006C779A" w:rsidRPr="00682082">
              <w:rPr>
                <w:rFonts w:ascii="ITC Avant Garde" w:hAnsi="ITC Avant Garde"/>
                <w:sz w:val="20"/>
                <w:szCs w:val="20"/>
              </w:rPr>
              <w:t xml:space="preserve">los sectores de telecomunicaciones y radiodifusión. En la evaluación de concentraciones u </w:t>
            </w:r>
            <w:r w:rsidR="00E553D9">
              <w:rPr>
                <w:rFonts w:ascii="ITC Avant Garde" w:hAnsi="ITC Avant Garde"/>
                <w:sz w:val="20"/>
                <w:szCs w:val="20"/>
              </w:rPr>
              <w:t xml:space="preserve">otras </w:t>
            </w:r>
            <w:r w:rsidR="006C779A" w:rsidRPr="00682082">
              <w:rPr>
                <w:rFonts w:ascii="ITC Avant Garde" w:hAnsi="ITC Avant Garde"/>
                <w:sz w:val="20"/>
                <w:szCs w:val="20"/>
              </w:rPr>
              <w:t>operaciones</w:t>
            </w:r>
            <w:r w:rsidR="000C556A">
              <w:rPr>
                <w:rFonts w:ascii="ITC Avant Garde" w:hAnsi="ITC Avant Garde"/>
                <w:sz w:val="20"/>
                <w:szCs w:val="20"/>
              </w:rPr>
              <w:t xml:space="preserve"> o procedimientos</w:t>
            </w:r>
            <w:r w:rsidR="006C779A" w:rsidRPr="00682082">
              <w:rPr>
                <w:rFonts w:ascii="ITC Avant Garde" w:hAnsi="ITC Avant Garde"/>
                <w:sz w:val="20"/>
                <w:szCs w:val="20"/>
              </w:rPr>
              <w:t>, el Instituto utilizará el índice y los umbrales como referencia de la probabilidad de que éstas tengan por objeto o efecto obstaculizar, disminuir, dañar o impedir la competencia y la libre concurrencia en el mercado.</w:t>
            </w:r>
          </w:p>
          <w:p w:rsidR="006C779A" w:rsidRPr="00682082" w:rsidRDefault="006C779A" w:rsidP="001932FC">
            <w:pPr>
              <w:jc w:val="both"/>
              <w:rPr>
                <w:rFonts w:ascii="ITC Avant Garde" w:hAnsi="ITC Avant Garde"/>
                <w:sz w:val="20"/>
                <w:szCs w:val="20"/>
              </w:rPr>
            </w:pPr>
          </w:p>
          <w:p w:rsidR="006C779A" w:rsidRPr="00682082" w:rsidRDefault="006C779A" w:rsidP="006C779A">
            <w:pPr>
              <w:pStyle w:val="Default"/>
              <w:spacing w:line="276" w:lineRule="auto"/>
              <w:ind w:right="-1"/>
              <w:jc w:val="both"/>
              <w:rPr>
                <w:rFonts w:ascii="ITC Avant Garde" w:hAnsi="ITC Avant Garde"/>
                <w:b/>
                <w:sz w:val="20"/>
                <w:szCs w:val="20"/>
              </w:rPr>
            </w:pPr>
            <w:r w:rsidRPr="00682082">
              <w:rPr>
                <w:rFonts w:ascii="ITC Avant Garde" w:hAnsi="ITC Avant Garde"/>
                <w:color w:val="auto"/>
                <w:sz w:val="20"/>
                <w:szCs w:val="20"/>
              </w:rPr>
              <w:t xml:space="preserve">Además de ser una referencia en la evaluación de concentraciones, el índice y, en su caso, los umbrales, también podrán emplearse en el análisis de solicitudes de </w:t>
            </w:r>
            <w:r w:rsidRPr="00682082">
              <w:rPr>
                <w:rFonts w:ascii="ITC Avant Garde" w:hAnsi="ITC Avant Garde"/>
                <w:color w:val="auto"/>
                <w:sz w:val="20"/>
                <w:szCs w:val="20"/>
              </w:rPr>
              <w:lastRenderedPageBreak/>
              <w:t xml:space="preserve">otorgamiento y cesiones de concesiones; venta de acciones, suscripciones, enajenaciones, desincorporaciones o movimientos en la estructura accionaria de agentes económicos; arrendamiento o cambio de bandas de frecuencias del espectro radioeléctrico; así como en la determinación de poder sustancial, condiciones de competencia efectiva, </w:t>
            </w:r>
            <w:r w:rsidRPr="00682082">
              <w:rPr>
                <w:rFonts w:ascii="ITC Avant Garde" w:hAnsi="ITC Avant Garde"/>
                <w:sz w:val="20"/>
                <w:szCs w:val="20"/>
              </w:rPr>
              <w:t xml:space="preserve">barreras a la entrada, insumos esenciales u </w:t>
            </w:r>
            <w:r w:rsidRPr="00682082">
              <w:rPr>
                <w:rFonts w:ascii="ITC Avant Garde" w:hAnsi="ITC Avant Garde"/>
                <w:color w:val="auto"/>
                <w:sz w:val="20"/>
                <w:szCs w:val="20"/>
              </w:rPr>
              <w:t xml:space="preserve">otros asuntos </w:t>
            </w:r>
            <w:r w:rsidR="000C556A">
              <w:rPr>
                <w:rFonts w:ascii="ITC Avant Garde" w:hAnsi="ITC Avant Garde"/>
                <w:color w:val="auto"/>
                <w:sz w:val="20"/>
                <w:szCs w:val="20"/>
              </w:rPr>
              <w:t xml:space="preserve">o procedimientos </w:t>
            </w:r>
            <w:r w:rsidRPr="00682082">
              <w:rPr>
                <w:rFonts w:ascii="ITC Avant Garde" w:hAnsi="ITC Avant Garde"/>
                <w:color w:val="auto"/>
                <w:sz w:val="20"/>
                <w:szCs w:val="20"/>
              </w:rPr>
              <w:t xml:space="preserve">en materia de libre concurrencia y competencia económica que el Instituto tenga facultades de estudiar y resolver en términos de lo que indica la LFCE, la LFTR y las Disposiciones Regulatorias. </w:t>
            </w:r>
            <w:r w:rsidRPr="00682082">
              <w:rPr>
                <w:rFonts w:ascii="ITC Avant Garde" w:hAnsi="ITC Avant Garde"/>
                <w:sz w:val="20"/>
                <w:szCs w:val="20"/>
              </w:rPr>
              <w:t>El Instituto también podrá utilizar el índice de concentración como un indicador del grado de concentración en mercados relacionados.</w:t>
            </w:r>
          </w:p>
          <w:p w:rsidR="006C779A" w:rsidRPr="00682082" w:rsidRDefault="006C779A" w:rsidP="001932FC">
            <w:pPr>
              <w:jc w:val="both"/>
              <w:rPr>
                <w:rFonts w:ascii="ITC Avant Garde" w:hAnsi="ITC Avant Garde"/>
                <w:sz w:val="20"/>
                <w:szCs w:val="20"/>
              </w:rPr>
            </w:pPr>
          </w:p>
        </w:tc>
      </w:tr>
    </w:tbl>
    <w:p w:rsidR="003F05E7" w:rsidRPr="00682082"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3F05E7" w:rsidRPr="00682082" w:rsidTr="003F05E7">
        <w:tc>
          <w:tcPr>
            <w:tcW w:w="8828" w:type="dxa"/>
          </w:tcPr>
          <w:p w:rsidR="003F05E7" w:rsidRPr="00FD3888" w:rsidRDefault="003F05E7" w:rsidP="003F05E7">
            <w:pPr>
              <w:jc w:val="both"/>
              <w:rPr>
                <w:rFonts w:ascii="ITC Avant Garde" w:hAnsi="ITC Avant Garde"/>
                <w:b/>
                <w:sz w:val="20"/>
                <w:szCs w:val="20"/>
              </w:rPr>
            </w:pPr>
            <w:r w:rsidRPr="00FD3888">
              <w:rPr>
                <w:rFonts w:ascii="ITC Avant Garde" w:hAnsi="ITC Avant Garde"/>
                <w:b/>
                <w:sz w:val="20"/>
                <w:szCs w:val="20"/>
              </w:rPr>
              <w:t>11.- ¿Cuáles serían los efectos del anteproyecto de regulación sobre los precios, calidad y disponibilidad de bienes y servicios para el consumidor en los mercados?:</w:t>
            </w:r>
          </w:p>
          <w:p w:rsidR="003F05E7" w:rsidRPr="00682082" w:rsidRDefault="003F05E7" w:rsidP="003F05E7">
            <w:pPr>
              <w:jc w:val="both"/>
              <w:rPr>
                <w:rFonts w:ascii="ITC Avant Garde" w:hAnsi="ITC Avant Garde"/>
                <w:sz w:val="20"/>
                <w:szCs w:val="20"/>
              </w:rPr>
            </w:pPr>
          </w:p>
          <w:p w:rsidR="003F05E7" w:rsidRPr="00682082" w:rsidRDefault="00E300D4" w:rsidP="00E300D4">
            <w:pPr>
              <w:jc w:val="both"/>
              <w:rPr>
                <w:rFonts w:ascii="ITC Avant Garde" w:hAnsi="ITC Avant Garde"/>
                <w:sz w:val="20"/>
                <w:szCs w:val="20"/>
              </w:rPr>
            </w:pPr>
            <w:r w:rsidRPr="00682082">
              <w:rPr>
                <w:rFonts w:ascii="ITC Avant Garde" w:hAnsi="ITC Avant Garde"/>
                <w:sz w:val="20"/>
                <w:szCs w:val="20"/>
              </w:rPr>
              <w:t xml:space="preserve">El Instituto utilizará el índice y los umbrales contenidos en el Criterio Técnico como referencia de la probabilidad de que las concentraciones u </w:t>
            </w:r>
            <w:r w:rsidR="000C556A">
              <w:rPr>
                <w:rFonts w:ascii="ITC Avant Garde" w:hAnsi="ITC Avant Garde"/>
                <w:sz w:val="20"/>
                <w:szCs w:val="20"/>
              </w:rPr>
              <w:t xml:space="preserve">otras </w:t>
            </w:r>
            <w:r w:rsidRPr="00682082">
              <w:rPr>
                <w:rFonts w:ascii="ITC Avant Garde" w:hAnsi="ITC Avant Garde"/>
                <w:sz w:val="20"/>
                <w:szCs w:val="20"/>
              </w:rPr>
              <w:t xml:space="preserve">operaciones </w:t>
            </w:r>
            <w:r w:rsidR="000C556A">
              <w:rPr>
                <w:rFonts w:ascii="ITC Avant Garde" w:hAnsi="ITC Avant Garde"/>
                <w:sz w:val="20"/>
                <w:szCs w:val="20"/>
              </w:rPr>
              <w:t>o procedimientos</w:t>
            </w:r>
            <w:r w:rsidRPr="00682082">
              <w:rPr>
                <w:rFonts w:ascii="ITC Avant Garde" w:hAnsi="ITC Avant Garde"/>
                <w:sz w:val="20"/>
                <w:szCs w:val="20"/>
              </w:rPr>
              <w:t>, tengan por objeto o efecto obstaculizar, disminuir, dañar o impedir la competencia y la libre concurrencia en el mercado.</w:t>
            </w:r>
          </w:p>
          <w:p w:rsidR="00E300D4" w:rsidRPr="00682082" w:rsidRDefault="00E300D4" w:rsidP="00E300D4">
            <w:pPr>
              <w:jc w:val="both"/>
              <w:rPr>
                <w:rFonts w:ascii="ITC Avant Garde" w:hAnsi="ITC Avant Garde"/>
                <w:sz w:val="20"/>
                <w:szCs w:val="20"/>
              </w:rPr>
            </w:pPr>
          </w:p>
          <w:p w:rsidR="00E300D4" w:rsidRPr="00682082" w:rsidRDefault="00E300D4" w:rsidP="00E300D4">
            <w:pPr>
              <w:jc w:val="both"/>
              <w:rPr>
                <w:rFonts w:ascii="ITC Avant Garde" w:hAnsi="ITC Avant Garde"/>
                <w:sz w:val="20"/>
                <w:szCs w:val="20"/>
              </w:rPr>
            </w:pPr>
            <w:r w:rsidRPr="00682082">
              <w:rPr>
                <w:rFonts w:ascii="ITC Avant Garde" w:hAnsi="ITC Avant Garde"/>
                <w:sz w:val="20"/>
                <w:szCs w:val="20"/>
              </w:rPr>
              <w:t>En ese sentido, el anteproyecto contribuye en el análisis en materia de competencia que tiene por objetivo promover la competencia económica y evitar fenómenos contrarios a ésta, de manera que los servicios de telecomunicación y radiodifusión sean prestados a precios competitivos y mayor calidad.</w:t>
            </w:r>
          </w:p>
          <w:p w:rsidR="006C006C" w:rsidRPr="00682082" w:rsidRDefault="006C006C" w:rsidP="00E300D4">
            <w:pPr>
              <w:jc w:val="both"/>
              <w:rPr>
                <w:rFonts w:ascii="ITC Avant Garde" w:hAnsi="ITC Avant Garde"/>
                <w:sz w:val="20"/>
                <w:szCs w:val="20"/>
              </w:rPr>
            </w:pPr>
          </w:p>
        </w:tc>
      </w:tr>
    </w:tbl>
    <w:p w:rsidR="003F05E7" w:rsidRPr="00682082"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3F05E7" w:rsidRPr="00682082" w:rsidTr="003F05E7">
        <w:tc>
          <w:tcPr>
            <w:tcW w:w="8828" w:type="dxa"/>
          </w:tcPr>
          <w:p w:rsidR="003F05E7" w:rsidRPr="00C26CE5" w:rsidRDefault="003F05E7" w:rsidP="001932FC">
            <w:pPr>
              <w:jc w:val="both"/>
              <w:rPr>
                <w:rFonts w:ascii="ITC Avant Garde" w:hAnsi="ITC Avant Garde"/>
                <w:b/>
                <w:sz w:val="20"/>
                <w:szCs w:val="20"/>
              </w:rPr>
            </w:pPr>
            <w:r w:rsidRPr="00C26CE5">
              <w:rPr>
                <w:rFonts w:ascii="ITC Avant Garde" w:hAnsi="ITC Avant Garde"/>
                <w:b/>
                <w:sz w:val="20"/>
                <w:szCs w:val="20"/>
              </w:rPr>
              <w:t>12.- ¿</w:t>
            </w:r>
            <w:r w:rsidR="005A40FB" w:rsidRPr="00C26CE5">
              <w:rPr>
                <w:rFonts w:ascii="ITC Avant Garde" w:hAnsi="ITC Avant Garde"/>
                <w:b/>
                <w:sz w:val="20"/>
                <w:szCs w:val="20"/>
              </w:rPr>
              <w:t>El anteproyecto de</w:t>
            </w:r>
            <w:r w:rsidRPr="00C26CE5">
              <w:rPr>
                <w:rFonts w:ascii="ITC Avant Garde" w:hAnsi="ITC Avant Garde"/>
                <w:b/>
                <w:sz w:val="20"/>
                <w:szCs w:val="20"/>
              </w:rPr>
              <w:t xml:space="preserve"> regulación contempla esquemas que impactan de manera diferenciada a sectores, industria o agentes económicos? (por ejemplo</w:t>
            </w:r>
            <w:r w:rsidR="005A40FB" w:rsidRPr="00C26CE5">
              <w:rPr>
                <w:rFonts w:ascii="ITC Avant Garde" w:hAnsi="ITC Avant Garde"/>
                <w:b/>
                <w:sz w:val="20"/>
                <w:szCs w:val="20"/>
              </w:rPr>
              <w:t>,</w:t>
            </w:r>
            <w:r w:rsidRPr="00C26CE5">
              <w:rPr>
                <w:rFonts w:ascii="ITC Avant Garde" w:hAnsi="ITC Avant Garde"/>
                <w:b/>
                <w:sz w:val="20"/>
                <w:szCs w:val="20"/>
              </w:rPr>
              <w:t xml:space="preserve"> las micro, pequeñas y medianas empresas):</w:t>
            </w:r>
          </w:p>
          <w:p w:rsidR="003F05E7" w:rsidRPr="00682082" w:rsidRDefault="003F05E7" w:rsidP="001932FC">
            <w:pPr>
              <w:jc w:val="both"/>
              <w:rPr>
                <w:rFonts w:ascii="ITC Avant Garde" w:hAnsi="ITC Avant Garde"/>
                <w:sz w:val="20"/>
                <w:szCs w:val="20"/>
              </w:rPr>
            </w:pPr>
          </w:p>
          <w:p w:rsidR="00E97912" w:rsidRPr="00682082" w:rsidRDefault="00745D13" w:rsidP="00745D13">
            <w:pPr>
              <w:jc w:val="both"/>
              <w:rPr>
                <w:rFonts w:ascii="ITC Avant Garde" w:hAnsi="ITC Avant Garde"/>
                <w:sz w:val="20"/>
                <w:szCs w:val="20"/>
              </w:rPr>
            </w:pPr>
            <w:r w:rsidRPr="00682082">
              <w:rPr>
                <w:rFonts w:ascii="ITC Avant Garde" w:hAnsi="ITC Avant Garde"/>
                <w:sz w:val="20"/>
                <w:szCs w:val="20"/>
              </w:rPr>
              <w:t xml:space="preserve">No. </w:t>
            </w:r>
            <w:r w:rsidR="006C006C" w:rsidRPr="00682082">
              <w:rPr>
                <w:rFonts w:ascii="ITC Avant Garde" w:hAnsi="ITC Avant Garde"/>
                <w:sz w:val="20"/>
                <w:szCs w:val="20"/>
              </w:rPr>
              <w:t>El</w:t>
            </w:r>
            <w:r w:rsidRPr="00682082">
              <w:rPr>
                <w:rFonts w:ascii="ITC Avant Garde" w:hAnsi="ITC Avant Garde"/>
                <w:sz w:val="20"/>
                <w:szCs w:val="20"/>
              </w:rPr>
              <w:t xml:space="preserve"> Criterio Técnico para el Cálculo y  Aplicación de un Índice Cuantitativo a Fin de Determinar el Grado de Concentración en los Mercados y Sectores de Telecomunicaciones y Radiodifusión </w:t>
            </w:r>
            <w:r w:rsidR="006C006C" w:rsidRPr="00682082">
              <w:rPr>
                <w:rFonts w:ascii="ITC Avant Garde" w:hAnsi="ITC Avant Garde"/>
                <w:sz w:val="20"/>
                <w:szCs w:val="20"/>
              </w:rPr>
              <w:t xml:space="preserve">es </w:t>
            </w:r>
            <w:r w:rsidRPr="00682082">
              <w:rPr>
                <w:rFonts w:ascii="ITC Avant Garde" w:hAnsi="ITC Avant Garde"/>
                <w:sz w:val="20"/>
                <w:szCs w:val="20"/>
              </w:rPr>
              <w:t xml:space="preserve"> de car</w:t>
            </w:r>
            <w:r w:rsidR="00E300D4" w:rsidRPr="00682082">
              <w:rPr>
                <w:rFonts w:ascii="ITC Avant Garde" w:hAnsi="ITC Avant Garde"/>
                <w:sz w:val="20"/>
                <w:szCs w:val="20"/>
              </w:rPr>
              <w:t>á</w:t>
            </w:r>
            <w:r w:rsidRPr="00682082">
              <w:rPr>
                <w:rFonts w:ascii="ITC Avant Garde" w:hAnsi="ITC Avant Garde"/>
                <w:sz w:val="20"/>
                <w:szCs w:val="20"/>
              </w:rPr>
              <w:t>cter general.</w:t>
            </w:r>
            <w:r w:rsidR="00E97912" w:rsidRPr="00682082">
              <w:rPr>
                <w:rFonts w:ascii="ITC Avant Garde" w:hAnsi="ITC Avant Garde"/>
                <w:sz w:val="20"/>
                <w:szCs w:val="20"/>
              </w:rPr>
              <w:t xml:space="preserve"> </w:t>
            </w:r>
          </w:p>
          <w:p w:rsidR="00E97912" w:rsidRPr="00682082" w:rsidRDefault="00E97912" w:rsidP="00745D13">
            <w:pPr>
              <w:jc w:val="both"/>
              <w:rPr>
                <w:rFonts w:ascii="ITC Avant Garde" w:hAnsi="ITC Avant Garde"/>
                <w:sz w:val="20"/>
                <w:szCs w:val="20"/>
              </w:rPr>
            </w:pPr>
          </w:p>
          <w:p w:rsidR="003F05E7" w:rsidRPr="00682082" w:rsidRDefault="00E97912" w:rsidP="00745D13">
            <w:pPr>
              <w:jc w:val="both"/>
              <w:rPr>
                <w:rFonts w:ascii="ITC Avant Garde" w:hAnsi="ITC Avant Garde"/>
                <w:sz w:val="20"/>
                <w:szCs w:val="20"/>
              </w:rPr>
            </w:pPr>
            <w:r w:rsidRPr="00682082">
              <w:rPr>
                <w:rFonts w:ascii="ITC Avant Garde" w:hAnsi="ITC Avant Garde"/>
                <w:sz w:val="20"/>
                <w:szCs w:val="20"/>
              </w:rPr>
              <w:t xml:space="preserve">Asimismo, el impacto consistente en la necesidad de </w:t>
            </w:r>
            <w:r w:rsidR="000C556A">
              <w:rPr>
                <w:rFonts w:ascii="ITC Avant Garde" w:hAnsi="ITC Avant Garde"/>
                <w:sz w:val="20"/>
                <w:szCs w:val="20"/>
              </w:rPr>
              <w:t>solicitar a</w:t>
            </w:r>
            <w:r w:rsidRPr="00682082">
              <w:rPr>
                <w:rFonts w:ascii="ITC Avant Garde" w:hAnsi="ITC Avant Garde"/>
                <w:sz w:val="20"/>
                <w:szCs w:val="20"/>
              </w:rPr>
              <w:t xml:space="preserve"> los particulares </w:t>
            </w:r>
            <w:r w:rsidR="000C556A">
              <w:rPr>
                <w:rFonts w:ascii="ITC Avant Garde" w:hAnsi="ITC Avant Garde"/>
                <w:sz w:val="20"/>
                <w:szCs w:val="20"/>
              </w:rPr>
              <w:t>preguntas</w:t>
            </w:r>
            <w:r w:rsidR="000C556A" w:rsidRPr="00682082">
              <w:rPr>
                <w:rFonts w:ascii="ITC Avant Garde" w:hAnsi="ITC Avant Garde"/>
                <w:sz w:val="20"/>
                <w:szCs w:val="20"/>
              </w:rPr>
              <w:t xml:space="preserve"> </w:t>
            </w:r>
            <w:r w:rsidRPr="00682082">
              <w:rPr>
                <w:rFonts w:ascii="ITC Avant Garde" w:hAnsi="ITC Avant Garde"/>
                <w:sz w:val="20"/>
                <w:szCs w:val="20"/>
              </w:rPr>
              <w:t>adicional</w:t>
            </w:r>
            <w:r w:rsidR="000C556A">
              <w:rPr>
                <w:rFonts w:ascii="ITC Avant Garde" w:hAnsi="ITC Avant Garde"/>
                <w:sz w:val="20"/>
                <w:szCs w:val="20"/>
              </w:rPr>
              <w:t>es</w:t>
            </w:r>
            <w:r w:rsidRPr="00682082">
              <w:rPr>
                <w:rFonts w:ascii="ITC Avant Garde" w:hAnsi="ITC Avant Garde"/>
                <w:sz w:val="20"/>
                <w:szCs w:val="20"/>
              </w:rPr>
              <w:t xml:space="preserve"> aplicará a todos los agentes económicos por igual, sin que exista forma de diferenciar o beneficiar a ciertos grupos, mercados, servicios o sectores.</w:t>
            </w:r>
          </w:p>
          <w:p w:rsidR="00E97912" w:rsidRPr="00682082" w:rsidRDefault="00E97912" w:rsidP="00745D13">
            <w:pPr>
              <w:jc w:val="both"/>
              <w:rPr>
                <w:rFonts w:ascii="ITC Avant Garde" w:hAnsi="ITC Avant Garde"/>
                <w:sz w:val="20"/>
                <w:szCs w:val="20"/>
              </w:rPr>
            </w:pPr>
          </w:p>
          <w:p w:rsidR="00E97912" w:rsidRPr="00682082" w:rsidRDefault="00E97912" w:rsidP="00745D13">
            <w:pPr>
              <w:jc w:val="both"/>
              <w:rPr>
                <w:rFonts w:ascii="ITC Avant Garde" w:hAnsi="ITC Avant Garde"/>
                <w:i/>
                <w:sz w:val="20"/>
                <w:szCs w:val="20"/>
              </w:rPr>
            </w:pPr>
            <w:r w:rsidRPr="00682082">
              <w:rPr>
                <w:rFonts w:ascii="ITC Avant Garde" w:hAnsi="ITC Avant Garde"/>
                <w:sz w:val="20"/>
                <w:szCs w:val="20"/>
              </w:rPr>
              <w:t>Los agentes económicos sobre quienes recae el Criterio Técnico consiste</w:t>
            </w:r>
            <w:r w:rsidR="00750EFA" w:rsidRPr="00682082">
              <w:rPr>
                <w:rFonts w:ascii="ITC Avant Garde" w:hAnsi="ITC Avant Garde"/>
                <w:sz w:val="20"/>
                <w:szCs w:val="20"/>
              </w:rPr>
              <w:t>n</w:t>
            </w:r>
            <w:r w:rsidRPr="00682082">
              <w:rPr>
                <w:rFonts w:ascii="ITC Avant Garde" w:hAnsi="ITC Avant Garde"/>
                <w:sz w:val="20"/>
                <w:szCs w:val="20"/>
              </w:rPr>
              <w:t xml:space="preserve"> en todos aquellos </w:t>
            </w:r>
            <w:r w:rsidR="00750EFA" w:rsidRPr="00682082">
              <w:rPr>
                <w:rFonts w:ascii="ITC Avant Garde" w:hAnsi="ITC Avant Garde"/>
                <w:sz w:val="20"/>
                <w:szCs w:val="20"/>
              </w:rPr>
              <w:t>involucrados en</w:t>
            </w:r>
            <w:r w:rsidRPr="00682082">
              <w:rPr>
                <w:rFonts w:ascii="ITC Avant Garde" w:hAnsi="ITC Avant Garde"/>
                <w:sz w:val="20"/>
                <w:szCs w:val="20"/>
              </w:rPr>
              <w:t xml:space="preserve"> un procedimiento de concentración u </w:t>
            </w:r>
            <w:r w:rsidR="000C556A">
              <w:rPr>
                <w:rFonts w:ascii="ITC Avant Garde" w:hAnsi="ITC Avant Garde"/>
                <w:sz w:val="20"/>
                <w:szCs w:val="20"/>
              </w:rPr>
              <w:t xml:space="preserve">otras </w:t>
            </w:r>
            <w:r w:rsidRPr="00682082">
              <w:rPr>
                <w:rFonts w:ascii="ITC Avant Garde" w:hAnsi="ITC Avant Garde"/>
                <w:sz w:val="20"/>
                <w:szCs w:val="20"/>
              </w:rPr>
              <w:t xml:space="preserve">operaciones </w:t>
            </w:r>
            <w:r w:rsidR="000C556A">
              <w:rPr>
                <w:rFonts w:ascii="ITC Avant Garde" w:hAnsi="ITC Avant Garde"/>
                <w:sz w:val="20"/>
                <w:szCs w:val="20"/>
              </w:rPr>
              <w:t>o procedimientos</w:t>
            </w:r>
            <w:r w:rsidR="000C556A" w:rsidRPr="00682082">
              <w:rPr>
                <w:rFonts w:ascii="ITC Avant Garde" w:hAnsi="ITC Avant Garde"/>
                <w:sz w:val="20"/>
                <w:szCs w:val="20"/>
              </w:rPr>
              <w:t xml:space="preserve"> </w:t>
            </w:r>
            <w:r w:rsidRPr="00682082">
              <w:rPr>
                <w:rFonts w:ascii="ITC Avant Garde" w:hAnsi="ITC Avant Garde"/>
                <w:sz w:val="20"/>
                <w:szCs w:val="20"/>
              </w:rPr>
              <w:t xml:space="preserve">conforme a lo establecido en la LFCE y la LFTR. </w:t>
            </w:r>
            <w:r w:rsidR="00C26CE5">
              <w:rPr>
                <w:rFonts w:ascii="ITC Avant Garde" w:hAnsi="ITC Avant Garde"/>
                <w:sz w:val="20"/>
                <w:szCs w:val="20"/>
              </w:rPr>
              <w:t>Lo anterior</w:t>
            </w:r>
            <w:r w:rsidR="00750EFA" w:rsidRPr="00682082">
              <w:rPr>
                <w:rFonts w:ascii="ITC Avant Garde" w:hAnsi="ITC Avant Garde"/>
                <w:sz w:val="20"/>
                <w:szCs w:val="20"/>
              </w:rPr>
              <w:t xml:space="preserve">, teniendo en consideración la definición de agente económico prevista en el artículo 3, fracción I, de la LFCE y que a la letra dice: </w:t>
            </w:r>
            <w:r w:rsidR="00750EFA" w:rsidRPr="00682082">
              <w:rPr>
                <w:rFonts w:ascii="ITC Avant Garde" w:hAnsi="ITC Avant Garde"/>
                <w:i/>
                <w:sz w:val="20"/>
                <w:szCs w:val="20"/>
              </w:rPr>
              <w:t xml:space="preserve">“Agente Económico: Toda persona física o moral, con o sin fines de lucro, dependencias y entidades de la administración pública federal, estatal o </w:t>
            </w:r>
            <w:r w:rsidR="00750EFA" w:rsidRPr="00682082">
              <w:rPr>
                <w:rFonts w:ascii="ITC Avant Garde" w:hAnsi="ITC Avant Garde"/>
                <w:i/>
                <w:sz w:val="20"/>
                <w:szCs w:val="20"/>
              </w:rPr>
              <w:lastRenderedPageBreak/>
              <w:t>municipal, asociaciones, cámaras empresariales, agrupaciones de profesionistas, fideicomisos, o cualquier otra forma de participación en la actividad económica.”</w:t>
            </w:r>
          </w:p>
          <w:p w:rsidR="00745D13" w:rsidRPr="00682082" w:rsidRDefault="00745D13" w:rsidP="00745D13">
            <w:pPr>
              <w:jc w:val="both"/>
              <w:rPr>
                <w:rFonts w:ascii="ITC Avant Garde" w:hAnsi="ITC Avant Garde"/>
                <w:sz w:val="20"/>
                <w:szCs w:val="20"/>
              </w:rPr>
            </w:pPr>
          </w:p>
        </w:tc>
      </w:tr>
    </w:tbl>
    <w:p w:rsidR="003F05E7" w:rsidRPr="00682082"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3F05E7" w:rsidRPr="00682082" w:rsidTr="003F05E7">
        <w:tc>
          <w:tcPr>
            <w:tcW w:w="8828" w:type="dxa"/>
          </w:tcPr>
          <w:p w:rsidR="008C76AF" w:rsidRPr="00C26CE5" w:rsidRDefault="003F05E7" w:rsidP="003F05E7">
            <w:pPr>
              <w:jc w:val="both"/>
              <w:rPr>
                <w:rFonts w:ascii="ITC Avant Garde" w:hAnsi="ITC Avant Garde"/>
                <w:b/>
                <w:sz w:val="20"/>
                <w:szCs w:val="20"/>
              </w:rPr>
            </w:pPr>
            <w:r w:rsidRPr="00C26CE5">
              <w:rPr>
                <w:rFonts w:ascii="ITC Avant Garde" w:hAnsi="ITC Avant Garde"/>
                <w:b/>
                <w:sz w:val="20"/>
                <w:szCs w:val="20"/>
              </w:rPr>
              <w:t xml:space="preserve">13.- Proporcione la estimación de los costos en los que podrían incurrir </w:t>
            </w:r>
            <w:r w:rsidR="008C76AF" w:rsidRPr="00C26CE5">
              <w:rPr>
                <w:rFonts w:ascii="ITC Avant Garde" w:hAnsi="ITC Avant Garde"/>
                <w:b/>
                <w:sz w:val="20"/>
                <w:szCs w:val="20"/>
              </w:rPr>
              <w:t>cada particular, grupo de particulares o industria a razón de la entrada en vigor del anteproyecto de regulación:</w:t>
            </w:r>
          </w:p>
          <w:p w:rsidR="008C76AF" w:rsidRPr="00C26CE5" w:rsidRDefault="008C76AF" w:rsidP="003F05E7">
            <w:pPr>
              <w:jc w:val="both"/>
              <w:rPr>
                <w:rFonts w:ascii="ITC Avant Garde" w:hAnsi="ITC Avant Garde"/>
                <w:b/>
                <w:sz w:val="20"/>
                <w:szCs w:val="20"/>
              </w:rPr>
            </w:pPr>
          </w:p>
          <w:p w:rsidR="00E300D4" w:rsidRPr="00682082" w:rsidRDefault="00E300D4" w:rsidP="003F05E7">
            <w:pPr>
              <w:jc w:val="both"/>
              <w:rPr>
                <w:rFonts w:ascii="ITC Avant Garde" w:hAnsi="ITC Avant Garde"/>
                <w:sz w:val="20"/>
                <w:szCs w:val="20"/>
              </w:rPr>
            </w:pPr>
            <w:r w:rsidRPr="00682082">
              <w:rPr>
                <w:rFonts w:ascii="ITC Avant Garde" w:hAnsi="ITC Avant Garde"/>
                <w:sz w:val="20"/>
                <w:szCs w:val="20"/>
              </w:rPr>
              <w:t xml:space="preserve">El Criterio Técnico que se propone no genera trámites </w:t>
            </w:r>
            <w:r w:rsidR="00E97912" w:rsidRPr="00682082">
              <w:rPr>
                <w:rFonts w:ascii="ITC Avant Garde" w:hAnsi="ITC Avant Garde"/>
                <w:sz w:val="20"/>
                <w:szCs w:val="20"/>
              </w:rPr>
              <w:t xml:space="preserve">o procedimientos adicionales </w:t>
            </w:r>
            <w:r w:rsidRPr="00682082">
              <w:rPr>
                <w:rFonts w:ascii="ITC Avant Garde" w:hAnsi="ITC Avant Garde"/>
                <w:sz w:val="20"/>
                <w:szCs w:val="20"/>
              </w:rPr>
              <w:t>a los particulares</w:t>
            </w:r>
            <w:r w:rsidR="00B64345" w:rsidRPr="00682082">
              <w:rPr>
                <w:rFonts w:ascii="ITC Avant Garde" w:hAnsi="ITC Avant Garde"/>
                <w:sz w:val="20"/>
                <w:szCs w:val="20"/>
              </w:rPr>
              <w:t>, por lo que no genera costos</w:t>
            </w:r>
            <w:r w:rsidR="00E97912" w:rsidRPr="00682082">
              <w:rPr>
                <w:rFonts w:ascii="ITC Avant Garde" w:hAnsi="ITC Avant Garde"/>
                <w:sz w:val="20"/>
                <w:szCs w:val="20"/>
              </w:rPr>
              <w:t xml:space="preserve"> </w:t>
            </w:r>
            <w:r w:rsidR="00327883">
              <w:rPr>
                <w:rFonts w:ascii="ITC Avant Garde" w:hAnsi="ITC Avant Garde"/>
                <w:sz w:val="20"/>
                <w:szCs w:val="20"/>
              </w:rPr>
              <w:t xml:space="preserve">adicionales </w:t>
            </w:r>
            <w:r w:rsidR="00E97912" w:rsidRPr="00682082">
              <w:rPr>
                <w:rFonts w:ascii="ITC Avant Garde" w:hAnsi="ITC Avant Garde"/>
                <w:sz w:val="20"/>
                <w:szCs w:val="20"/>
              </w:rPr>
              <w:t>valuados de forma monetaria.</w:t>
            </w:r>
          </w:p>
          <w:p w:rsidR="00E97912" w:rsidRPr="00682082" w:rsidRDefault="00E97912" w:rsidP="003F05E7">
            <w:pPr>
              <w:jc w:val="both"/>
              <w:rPr>
                <w:rFonts w:ascii="ITC Avant Garde" w:hAnsi="ITC Avant Garde"/>
                <w:sz w:val="20"/>
                <w:szCs w:val="20"/>
              </w:rPr>
            </w:pPr>
          </w:p>
          <w:p w:rsidR="00E97912" w:rsidRPr="00682082" w:rsidRDefault="00E97912" w:rsidP="003F05E7">
            <w:pPr>
              <w:jc w:val="both"/>
              <w:rPr>
                <w:rFonts w:ascii="ITC Avant Garde" w:hAnsi="ITC Avant Garde"/>
                <w:sz w:val="20"/>
                <w:szCs w:val="20"/>
              </w:rPr>
            </w:pPr>
            <w:r w:rsidRPr="00682082">
              <w:rPr>
                <w:rFonts w:ascii="ITC Avant Garde" w:hAnsi="ITC Avant Garde"/>
                <w:sz w:val="20"/>
                <w:szCs w:val="20"/>
              </w:rPr>
              <w:t xml:space="preserve">Por el contrario, el Criterio Técnico únicamente implicará el requerimiento de </w:t>
            </w:r>
            <w:r w:rsidR="00327883">
              <w:rPr>
                <w:rFonts w:ascii="ITC Avant Garde" w:hAnsi="ITC Avant Garde"/>
                <w:sz w:val="20"/>
                <w:szCs w:val="20"/>
              </w:rPr>
              <w:t>preguntas</w:t>
            </w:r>
            <w:r w:rsidR="00327883" w:rsidRPr="00682082">
              <w:rPr>
                <w:rFonts w:ascii="ITC Avant Garde" w:hAnsi="ITC Avant Garde"/>
                <w:sz w:val="20"/>
                <w:szCs w:val="20"/>
              </w:rPr>
              <w:t xml:space="preserve"> </w:t>
            </w:r>
            <w:r w:rsidRPr="00682082">
              <w:rPr>
                <w:rFonts w:ascii="ITC Avant Garde" w:hAnsi="ITC Avant Garde"/>
                <w:sz w:val="20"/>
                <w:szCs w:val="20"/>
              </w:rPr>
              <w:t>adicional</w:t>
            </w:r>
            <w:r w:rsidR="00327883">
              <w:rPr>
                <w:rFonts w:ascii="ITC Avant Garde" w:hAnsi="ITC Avant Garde"/>
                <w:sz w:val="20"/>
                <w:szCs w:val="20"/>
              </w:rPr>
              <w:t>es</w:t>
            </w:r>
            <w:r w:rsidRPr="00682082">
              <w:rPr>
                <w:rFonts w:ascii="ITC Avant Garde" w:hAnsi="ITC Avant Garde"/>
                <w:sz w:val="20"/>
                <w:szCs w:val="20"/>
              </w:rPr>
              <w:t xml:space="preserve"> hacia los particulares, lo cual resulta de impacto </w:t>
            </w:r>
            <w:r w:rsidR="00327883">
              <w:rPr>
                <w:rFonts w:ascii="ITC Avant Garde" w:hAnsi="ITC Avant Garde"/>
                <w:sz w:val="20"/>
                <w:szCs w:val="20"/>
              </w:rPr>
              <w:t xml:space="preserve">mínimo, </w:t>
            </w:r>
            <w:r w:rsidRPr="00682082">
              <w:rPr>
                <w:rFonts w:ascii="ITC Avant Garde" w:hAnsi="ITC Avant Garde"/>
                <w:sz w:val="20"/>
                <w:szCs w:val="20"/>
              </w:rPr>
              <w:t xml:space="preserve">tomando en consideración que  tanto en materia de concentraciones como en </w:t>
            </w:r>
            <w:r w:rsidR="00327883">
              <w:rPr>
                <w:rFonts w:ascii="ITC Avant Garde" w:hAnsi="ITC Avant Garde"/>
                <w:sz w:val="20"/>
                <w:szCs w:val="20"/>
              </w:rPr>
              <w:t xml:space="preserve">otras </w:t>
            </w:r>
            <w:r w:rsidRPr="00682082">
              <w:rPr>
                <w:rFonts w:ascii="ITC Avant Garde" w:hAnsi="ITC Avant Garde"/>
                <w:sz w:val="20"/>
                <w:szCs w:val="20"/>
              </w:rPr>
              <w:t xml:space="preserve">operaciones </w:t>
            </w:r>
            <w:r w:rsidR="00327883">
              <w:rPr>
                <w:rFonts w:ascii="ITC Avant Garde" w:hAnsi="ITC Avant Garde"/>
                <w:sz w:val="20"/>
                <w:szCs w:val="20"/>
              </w:rPr>
              <w:t>o procedimientos</w:t>
            </w:r>
            <w:r w:rsidRPr="00682082">
              <w:rPr>
                <w:rFonts w:ascii="ITC Avant Garde" w:hAnsi="ITC Avant Garde"/>
                <w:sz w:val="20"/>
                <w:szCs w:val="20"/>
              </w:rPr>
              <w:t>, el Instituto ya cuenta con la facultad de solicitar información a los particulares</w:t>
            </w:r>
          </w:p>
          <w:p w:rsidR="00E300D4" w:rsidRPr="00682082" w:rsidRDefault="00E300D4" w:rsidP="003F05E7">
            <w:pPr>
              <w:jc w:val="both"/>
              <w:rPr>
                <w:rFonts w:ascii="ITC Avant Garde" w:hAnsi="ITC Avant Garde"/>
                <w:sz w:val="20"/>
                <w:szCs w:val="20"/>
              </w:rPr>
            </w:pPr>
          </w:p>
          <w:p w:rsidR="008C76AF" w:rsidRPr="00682082" w:rsidRDefault="008C76AF" w:rsidP="003F05E7">
            <w:pPr>
              <w:jc w:val="both"/>
              <w:rPr>
                <w:rFonts w:ascii="ITC Avant Garde" w:hAnsi="ITC Avant Garde"/>
                <w:sz w:val="20"/>
                <w:szCs w:val="20"/>
              </w:rPr>
            </w:pPr>
            <w:r w:rsidRPr="00682082">
              <w:rPr>
                <w:rFonts w:ascii="ITC Avant Garde" w:hAnsi="ITC Avant Garde"/>
                <w:sz w:val="20"/>
                <w:szCs w:val="20"/>
              </w:rPr>
              <w:t xml:space="preserve">Tipo: </w:t>
            </w:r>
            <w:r w:rsidR="00C26CE5">
              <w:rPr>
                <w:rFonts w:ascii="ITC Avant Garde" w:hAnsi="ITC Avant Garde"/>
                <w:sz w:val="20"/>
                <w:szCs w:val="20"/>
              </w:rPr>
              <w:t>Ú</w:t>
            </w:r>
            <w:r w:rsidR="00750EFA" w:rsidRPr="00682082">
              <w:rPr>
                <w:rFonts w:ascii="ITC Avant Garde" w:hAnsi="ITC Avant Garde"/>
                <w:sz w:val="20"/>
                <w:szCs w:val="20"/>
              </w:rPr>
              <w:t xml:space="preserve">nicamente la obligación consistirá en aportar información </w:t>
            </w:r>
            <w:r w:rsidR="00327883">
              <w:rPr>
                <w:rFonts w:ascii="ITC Avant Garde" w:hAnsi="ITC Avant Garde"/>
                <w:sz w:val="20"/>
                <w:szCs w:val="20"/>
              </w:rPr>
              <w:t>respecto a la solicitud de preguntas adicionales.</w:t>
            </w:r>
          </w:p>
          <w:p w:rsidR="003F05E7" w:rsidRPr="00682082" w:rsidRDefault="008C76AF" w:rsidP="003F05E7">
            <w:pPr>
              <w:jc w:val="both"/>
              <w:rPr>
                <w:rFonts w:ascii="ITC Avant Garde" w:hAnsi="ITC Avant Garde"/>
                <w:sz w:val="20"/>
                <w:szCs w:val="20"/>
              </w:rPr>
            </w:pPr>
            <w:r w:rsidRPr="00682082">
              <w:rPr>
                <w:rFonts w:ascii="ITC Avant Garde" w:hAnsi="ITC Avant Garde"/>
                <w:sz w:val="20"/>
                <w:szCs w:val="20"/>
              </w:rPr>
              <w:t>Indique el particular, grupo o industrias afectados:</w:t>
            </w:r>
            <w:r w:rsidR="00C26CE5">
              <w:rPr>
                <w:rFonts w:ascii="ITC Avant Garde" w:hAnsi="ITC Avant Garde"/>
                <w:sz w:val="20"/>
                <w:szCs w:val="20"/>
              </w:rPr>
              <w:t xml:space="preserve"> T</w:t>
            </w:r>
            <w:r w:rsidR="00750EFA" w:rsidRPr="00682082">
              <w:rPr>
                <w:rFonts w:ascii="ITC Avant Garde" w:hAnsi="ITC Avant Garde"/>
                <w:sz w:val="20"/>
                <w:szCs w:val="20"/>
              </w:rPr>
              <w:t xml:space="preserve">odos los agentes económicos involucrados en los procedimientos de concentración u </w:t>
            </w:r>
            <w:r w:rsidR="00327883">
              <w:rPr>
                <w:rFonts w:ascii="ITC Avant Garde" w:hAnsi="ITC Avant Garde"/>
                <w:sz w:val="20"/>
                <w:szCs w:val="20"/>
              </w:rPr>
              <w:t xml:space="preserve">otras </w:t>
            </w:r>
            <w:r w:rsidR="00750EFA" w:rsidRPr="00682082">
              <w:rPr>
                <w:rFonts w:ascii="ITC Avant Garde" w:hAnsi="ITC Avant Garde"/>
                <w:sz w:val="20"/>
                <w:szCs w:val="20"/>
              </w:rPr>
              <w:t xml:space="preserve">operaciones </w:t>
            </w:r>
            <w:r w:rsidR="00327883">
              <w:rPr>
                <w:rFonts w:ascii="ITC Avant Garde" w:hAnsi="ITC Avant Garde"/>
                <w:sz w:val="20"/>
                <w:szCs w:val="20"/>
              </w:rPr>
              <w:t xml:space="preserve">o procedimientos </w:t>
            </w:r>
            <w:r w:rsidR="00750EFA" w:rsidRPr="00682082">
              <w:rPr>
                <w:rFonts w:ascii="ITC Avant Garde" w:hAnsi="ITC Avant Garde"/>
                <w:sz w:val="20"/>
                <w:szCs w:val="20"/>
              </w:rPr>
              <w:t xml:space="preserve"> previst</w:t>
            </w:r>
            <w:r w:rsidR="00327883">
              <w:rPr>
                <w:rFonts w:ascii="ITC Avant Garde" w:hAnsi="ITC Avant Garde"/>
                <w:sz w:val="20"/>
                <w:szCs w:val="20"/>
              </w:rPr>
              <w:t>o</w:t>
            </w:r>
            <w:r w:rsidR="00750EFA" w:rsidRPr="00682082">
              <w:rPr>
                <w:rFonts w:ascii="ITC Avant Garde" w:hAnsi="ITC Avant Garde"/>
                <w:sz w:val="20"/>
                <w:szCs w:val="20"/>
              </w:rPr>
              <w:t>s tanto en la LFCE como en la LFTR.</w:t>
            </w:r>
          </w:p>
          <w:p w:rsidR="008C76AF" w:rsidRPr="00682082" w:rsidRDefault="008C76AF" w:rsidP="003F05E7">
            <w:pPr>
              <w:jc w:val="both"/>
              <w:rPr>
                <w:rFonts w:ascii="ITC Avant Garde" w:hAnsi="ITC Avant Garde"/>
                <w:sz w:val="20"/>
                <w:szCs w:val="20"/>
              </w:rPr>
            </w:pPr>
            <w:r w:rsidRPr="00682082">
              <w:rPr>
                <w:rFonts w:ascii="ITC Avant Garde" w:hAnsi="ITC Avant Garde"/>
                <w:sz w:val="20"/>
                <w:szCs w:val="20"/>
              </w:rPr>
              <w:t>Número de agentes económicos:</w:t>
            </w:r>
            <w:r w:rsidR="00750EFA" w:rsidRPr="00682082">
              <w:rPr>
                <w:rFonts w:ascii="ITC Avant Garde" w:hAnsi="ITC Avant Garde"/>
                <w:sz w:val="20"/>
                <w:szCs w:val="20"/>
              </w:rPr>
              <w:t xml:space="preserve"> No aplica, pues no se conoce con exactitud esta cifra partiendo de los diversos procedimientos actuales y potenciales que se siguen con base en la LFCE y en la LFTR.</w:t>
            </w:r>
          </w:p>
          <w:p w:rsidR="008C76AF" w:rsidRPr="00682082" w:rsidRDefault="00750EFA" w:rsidP="003F05E7">
            <w:pPr>
              <w:jc w:val="both"/>
              <w:rPr>
                <w:rFonts w:ascii="ITC Avant Garde" w:hAnsi="ITC Avant Garde"/>
                <w:sz w:val="20"/>
                <w:szCs w:val="20"/>
              </w:rPr>
            </w:pPr>
            <w:r w:rsidRPr="00682082">
              <w:rPr>
                <w:rFonts w:ascii="ITC Avant Garde" w:hAnsi="ITC Avant Garde"/>
                <w:sz w:val="20"/>
                <w:szCs w:val="20"/>
              </w:rPr>
              <w:t>Costo unitario: No existen costos monetarios</w:t>
            </w:r>
            <w:r w:rsidR="00327883">
              <w:rPr>
                <w:rFonts w:ascii="ITC Avant Garde" w:hAnsi="ITC Avant Garde"/>
                <w:sz w:val="20"/>
                <w:szCs w:val="20"/>
              </w:rPr>
              <w:t xml:space="preserve"> adicionales.</w:t>
            </w:r>
          </w:p>
          <w:p w:rsidR="008C76AF" w:rsidRPr="00682082" w:rsidRDefault="008C76AF" w:rsidP="003F05E7">
            <w:pPr>
              <w:jc w:val="both"/>
              <w:rPr>
                <w:rFonts w:ascii="ITC Avant Garde" w:hAnsi="ITC Avant Garde"/>
                <w:sz w:val="20"/>
                <w:szCs w:val="20"/>
              </w:rPr>
            </w:pPr>
            <w:r w:rsidRPr="00682082">
              <w:rPr>
                <w:rFonts w:ascii="ITC Avant Garde" w:hAnsi="ITC Avant Garde"/>
                <w:sz w:val="20"/>
                <w:szCs w:val="20"/>
              </w:rPr>
              <w:t>Frecuencia anual:</w:t>
            </w:r>
            <w:r w:rsidR="00750EFA" w:rsidRPr="00682082">
              <w:rPr>
                <w:rFonts w:ascii="ITC Avant Garde" w:hAnsi="ITC Avant Garde"/>
                <w:sz w:val="20"/>
                <w:szCs w:val="20"/>
              </w:rPr>
              <w:t xml:space="preserve"> No se conoce.</w:t>
            </w:r>
          </w:p>
          <w:p w:rsidR="008C76AF" w:rsidRPr="00682082" w:rsidRDefault="008C76AF" w:rsidP="003F05E7">
            <w:pPr>
              <w:jc w:val="both"/>
              <w:rPr>
                <w:rFonts w:ascii="ITC Avant Garde" w:hAnsi="ITC Avant Garde"/>
                <w:sz w:val="20"/>
                <w:szCs w:val="20"/>
              </w:rPr>
            </w:pPr>
          </w:p>
        </w:tc>
      </w:tr>
    </w:tbl>
    <w:p w:rsidR="003F05E7" w:rsidRPr="00682082"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C76AF" w:rsidRPr="00682082" w:rsidTr="008C76AF">
        <w:tc>
          <w:tcPr>
            <w:tcW w:w="8828" w:type="dxa"/>
          </w:tcPr>
          <w:p w:rsidR="008C76AF" w:rsidRPr="00C26CE5" w:rsidRDefault="008C76AF" w:rsidP="001932FC">
            <w:pPr>
              <w:jc w:val="both"/>
              <w:rPr>
                <w:rFonts w:ascii="ITC Avant Garde" w:hAnsi="ITC Avant Garde"/>
                <w:b/>
                <w:sz w:val="20"/>
                <w:szCs w:val="20"/>
              </w:rPr>
            </w:pPr>
            <w:r w:rsidRPr="00C26CE5">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rsidR="008C76AF" w:rsidRPr="00682082" w:rsidRDefault="008C76AF" w:rsidP="001932FC">
            <w:pPr>
              <w:jc w:val="both"/>
              <w:rPr>
                <w:rFonts w:ascii="ITC Avant Garde" w:hAnsi="ITC Avant Garde"/>
                <w:sz w:val="20"/>
                <w:szCs w:val="20"/>
              </w:rPr>
            </w:pPr>
          </w:p>
          <w:p w:rsidR="006C006C" w:rsidRPr="00682082" w:rsidRDefault="00B64345" w:rsidP="001932FC">
            <w:pPr>
              <w:jc w:val="both"/>
              <w:rPr>
                <w:rFonts w:ascii="ITC Avant Garde" w:hAnsi="ITC Avant Garde"/>
                <w:sz w:val="20"/>
                <w:szCs w:val="20"/>
              </w:rPr>
            </w:pPr>
            <w:r w:rsidRPr="00682082">
              <w:rPr>
                <w:rFonts w:ascii="ITC Avant Garde" w:hAnsi="ITC Avant Garde"/>
                <w:sz w:val="20"/>
                <w:szCs w:val="20"/>
              </w:rPr>
              <w:t xml:space="preserve">Se prevén beneficios derivados del Criterio Técnico que se propone en virtud de que da certidumbre a los particulares (agentes económicos) sobre los criterios que aplicará el Instituto cuando evalúe el grado de concentración en los mercados y servicios correspondientes a los sectores de telecomunicaciones y radiodifusión. </w:t>
            </w:r>
          </w:p>
          <w:p w:rsidR="006C006C" w:rsidRPr="00682082" w:rsidRDefault="006C006C" w:rsidP="001932FC">
            <w:pPr>
              <w:jc w:val="both"/>
              <w:rPr>
                <w:rFonts w:ascii="ITC Avant Garde" w:hAnsi="ITC Avant Garde"/>
                <w:sz w:val="20"/>
                <w:szCs w:val="20"/>
              </w:rPr>
            </w:pPr>
          </w:p>
          <w:p w:rsidR="00B64345" w:rsidRPr="00682082" w:rsidRDefault="00B64345" w:rsidP="001932FC">
            <w:pPr>
              <w:jc w:val="both"/>
              <w:rPr>
                <w:rFonts w:ascii="ITC Avant Garde" w:hAnsi="ITC Avant Garde"/>
                <w:sz w:val="20"/>
                <w:szCs w:val="20"/>
              </w:rPr>
            </w:pPr>
            <w:r w:rsidRPr="00682082">
              <w:rPr>
                <w:rFonts w:ascii="ITC Avant Garde" w:hAnsi="ITC Avant Garde"/>
                <w:sz w:val="20"/>
                <w:szCs w:val="20"/>
              </w:rPr>
              <w:t xml:space="preserve">Esto permite a los particulares anticipar si la operación que pretenden llevar a cabo </w:t>
            </w:r>
            <w:r w:rsidR="00327883">
              <w:rPr>
                <w:rFonts w:ascii="ITC Avant Garde" w:hAnsi="ITC Avant Garde"/>
                <w:sz w:val="20"/>
                <w:szCs w:val="20"/>
              </w:rPr>
              <w:t>pudiera ser considerada con</w:t>
            </w:r>
            <w:r w:rsidRPr="00682082">
              <w:rPr>
                <w:rFonts w:ascii="ITC Avant Garde" w:hAnsi="ITC Avant Garde"/>
                <w:sz w:val="20"/>
                <w:szCs w:val="20"/>
              </w:rPr>
              <w:t xml:space="preserve"> pocas probabilidades de afectar la competencia y</w:t>
            </w:r>
            <w:r w:rsidR="006C006C" w:rsidRPr="00682082">
              <w:rPr>
                <w:rFonts w:ascii="ITC Avant Garde" w:hAnsi="ITC Avant Garde"/>
                <w:sz w:val="20"/>
                <w:szCs w:val="20"/>
              </w:rPr>
              <w:t>,</w:t>
            </w:r>
            <w:r w:rsidRPr="00682082">
              <w:rPr>
                <w:rFonts w:ascii="ITC Avant Garde" w:hAnsi="ITC Avant Garde"/>
                <w:sz w:val="20"/>
                <w:szCs w:val="20"/>
              </w:rPr>
              <w:t xml:space="preserve"> por tanto</w:t>
            </w:r>
            <w:r w:rsidR="006C006C" w:rsidRPr="00682082">
              <w:rPr>
                <w:rFonts w:ascii="ITC Avant Garde" w:hAnsi="ITC Avant Garde"/>
                <w:sz w:val="20"/>
                <w:szCs w:val="20"/>
              </w:rPr>
              <w:t>,</w:t>
            </w:r>
            <w:r w:rsidRPr="00682082">
              <w:rPr>
                <w:rFonts w:ascii="ITC Avant Garde" w:hAnsi="ITC Avant Garde"/>
                <w:sz w:val="20"/>
                <w:szCs w:val="20"/>
              </w:rPr>
              <w:t xml:space="preserve"> </w:t>
            </w:r>
            <w:r w:rsidR="005615B7">
              <w:rPr>
                <w:rFonts w:ascii="ITC Avant Garde" w:hAnsi="ITC Avant Garde"/>
                <w:sz w:val="20"/>
                <w:szCs w:val="20"/>
              </w:rPr>
              <w:t>identificar con antelación los plazos</w:t>
            </w:r>
            <w:r w:rsidR="00327883">
              <w:rPr>
                <w:rFonts w:ascii="ITC Avant Garde" w:hAnsi="ITC Avant Garde"/>
                <w:sz w:val="20"/>
                <w:szCs w:val="20"/>
              </w:rPr>
              <w:t xml:space="preserve"> y requerimientos </w:t>
            </w:r>
            <w:r w:rsidR="005615B7">
              <w:rPr>
                <w:rFonts w:ascii="ITC Avant Garde" w:hAnsi="ITC Avant Garde"/>
                <w:sz w:val="20"/>
                <w:szCs w:val="20"/>
              </w:rPr>
              <w:t>que podría requerir la autoridad para evaluar las operaciones</w:t>
            </w:r>
            <w:r w:rsidR="00750EFA" w:rsidRPr="00682082">
              <w:rPr>
                <w:rFonts w:ascii="ITC Avant Garde" w:hAnsi="ITC Avant Garde"/>
                <w:sz w:val="20"/>
                <w:szCs w:val="20"/>
              </w:rPr>
              <w:t xml:space="preserve">, lo cual reduce los costos de transacción en las concentraciones u </w:t>
            </w:r>
            <w:r w:rsidR="00327883">
              <w:rPr>
                <w:rFonts w:ascii="ITC Avant Garde" w:hAnsi="ITC Avant Garde"/>
                <w:sz w:val="20"/>
                <w:szCs w:val="20"/>
              </w:rPr>
              <w:t xml:space="preserve">otras </w:t>
            </w:r>
            <w:r w:rsidR="00750EFA" w:rsidRPr="00682082">
              <w:rPr>
                <w:rFonts w:ascii="ITC Avant Garde" w:hAnsi="ITC Avant Garde"/>
                <w:sz w:val="20"/>
                <w:szCs w:val="20"/>
              </w:rPr>
              <w:t xml:space="preserve">operaciones </w:t>
            </w:r>
            <w:r w:rsidR="00327883">
              <w:rPr>
                <w:rFonts w:ascii="ITC Avant Garde" w:hAnsi="ITC Avant Garde"/>
                <w:sz w:val="20"/>
                <w:szCs w:val="20"/>
              </w:rPr>
              <w:t>o procedimientos</w:t>
            </w:r>
            <w:r w:rsidR="00750EFA" w:rsidRPr="00682082">
              <w:rPr>
                <w:rFonts w:ascii="ITC Avant Garde" w:hAnsi="ITC Avant Garde"/>
                <w:sz w:val="20"/>
                <w:szCs w:val="20"/>
              </w:rPr>
              <w:t xml:space="preserve"> de los particulares, al mismo tiempo que propicia la celeridad en la consumación de las mismas.</w:t>
            </w:r>
          </w:p>
          <w:p w:rsidR="00B64345" w:rsidRPr="00682082" w:rsidRDefault="00B64345" w:rsidP="001932FC">
            <w:pPr>
              <w:jc w:val="both"/>
              <w:rPr>
                <w:rFonts w:ascii="ITC Avant Garde" w:hAnsi="ITC Avant Garde"/>
                <w:sz w:val="20"/>
                <w:szCs w:val="20"/>
              </w:rPr>
            </w:pPr>
          </w:p>
          <w:p w:rsidR="008C76AF" w:rsidRPr="00682082" w:rsidRDefault="008C76AF" w:rsidP="008C76AF">
            <w:pPr>
              <w:jc w:val="both"/>
              <w:rPr>
                <w:rFonts w:ascii="ITC Avant Garde" w:hAnsi="ITC Avant Garde"/>
                <w:sz w:val="20"/>
                <w:szCs w:val="20"/>
              </w:rPr>
            </w:pPr>
            <w:r w:rsidRPr="00682082">
              <w:rPr>
                <w:rFonts w:ascii="ITC Avant Garde" w:hAnsi="ITC Avant Garde"/>
                <w:sz w:val="20"/>
                <w:szCs w:val="20"/>
              </w:rPr>
              <w:lastRenderedPageBreak/>
              <w:t xml:space="preserve">Tipo: </w:t>
            </w:r>
            <w:r w:rsidR="00750EFA" w:rsidRPr="00682082">
              <w:rPr>
                <w:rFonts w:ascii="ITC Avant Garde" w:hAnsi="ITC Avant Garde"/>
                <w:sz w:val="20"/>
                <w:szCs w:val="20"/>
              </w:rPr>
              <w:t>Procedimientos expeditos, reducción de costos de transacción de los particulares y obtención de seguridad jurídica al momento de acudir al Instituto.</w:t>
            </w:r>
          </w:p>
          <w:p w:rsidR="008C76AF" w:rsidRPr="00682082" w:rsidRDefault="008C76AF" w:rsidP="008C76AF">
            <w:pPr>
              <w:jc w:val="both"/>
              <w:rPr>
                <w:rFonts w:ascii="ITC Avant Garde" w:hAnsi="ITC Avant Garde"/>
                <w:sz w:val="20"/>
                <w:szCs w:val="20"/>
              </w:rPr>
            </w:pPr>
            <w:r w:rsidRPr="00682082">
              <w:rPr>
                <w:rFonts w:ascii="ITC Avant Garde" w:hAnsi="ITC Avant Garde"/>
                <w:sz w:val="20"/>
                <w:szCs w:val="20"/>
              </w:rPr>
              <w:t>Indique el particular, grupo o industrias afectados:</w:t>
            </w:r>
            <w:r w:rsidR="00750EFA" w:rsidRPr="00682082">
              <w:rPr>
                <w:rFonts w:ascii="ITC Avant Garde" w:hAnsi="ITC Avant Garde"/>
                <w:sz w:val="20"/>
                <w:szCs w:val="20"/>
              </w:rPr>
              <w:t xml:space="preserve"> Todos los agentes económicos involucrados en concentraciones u operaciones similares previstas en la LFCE y en la LFTR.</w:t>
            </w:r>
          </w:p>
          <w:p w:rsidR="008C76AF" w:rsidRPr="00682082" w:rsidRDefault="008C76AF" w:rsidP="008C76AF">
            <w:pPr>
              <w:jc w:val="both"/>
              <w:rPr>
                <w:rFonts w:ascii="ITC Avant Garde" w:hAnsi="ITC Avant Garde"/>
                <w:sz w:val="20"/>
                <w:szCs w:val="20"/>
              </w:rPr>
            </w:pPr>
            <w:r w:rsidRPr="00682082">
              <w:rPr>
                <w:rFonts w:ascii="ITC Avant Garde" w:hAnsi="ITC Avant Garde"/>
                <w:sz w:val="20"/>
                <w:szCs w:val="20"/>
              </w:rPr>
              <w:t>Número de agentes económicos:</w:t>
            </w:r>
            <w:r w:rsidR="00750EFA" w:rsidRPr="00682082">
              <w:rPr>
                <w:rFonts w:ascii="ITC Avant Garde" w:hAnsi="ITC Avant Garde"/>
                <w:sz w:val="20"/>
                <w:szCs w:val="20"/>
              </w:rPr>
              <w:t xml:space="preserve"> Indefinido.</w:t>
            </w:r>
          </w:p>
          <w:p w:rsidR="008C76AF" w:rsidRPr="00682082" w:rsidRDefault="00750EFA" w:rsidP="008C76AF">
            <w:pPr>
              <w:jc w:val="both"/>
              <w:rPr>
                <w:rFonts w:ascii="ITC Avant Garde" w:hAnsi="ITC Avant Garde"/>
                <w:sz w:val="20"/>
                <w:szCs w:val="20"/>
              </w:rPr>
            </w:pPr>
            <w:r w:rsidRPr="00682082">
              <w:rPr>
                <w:rFonts w:ascii="ITC Avant Garde" w:hAnsi="ITC Avant Garde"/>
                <w:sz w:val="20"/>
                <w:szCs w:val="20"/>
              </w:rPr>
              <w:t>Beneficio unitario: No se cuenta con indicios o variables que permitan calcular el valor monetario de los beneficios.</w:t>
            </w:r>
          </w:p>
          <w:p w:rsidR="00750EFA" w:rsidRPr="00682082" w:rsidRDefault="008C76AF" w:rsidP="008C76AF">
            <w:pPr>
              <w:jc w:val="both"/>
              <w:rPr>
                <w:rFonts w:ascii="ITC Avant Garde" w:hAnsi="ITC Avant Garde"/>
                <w:sz w:val="20"/>
                <w:szCs w:val="20"/>
              </w:rPr>
            </w:pPr>
            <w:r w:rsidRPr="00682082">
              <w:rPr>
                <w:rFonts w:ascii="ITC Avant Garde" w:hAnsi="ITC Avant Garde"/>
                <w:sz w:val="20"/>
                <w:szCs w:val="20"/>
              </w:rPr>
              <w:t>Frecuencia anual:</w:t>
            </w:r>
            <w:r w:rsidR="00750EFA" w:rsidRPr="00682082">
              <w:rPr>
                <w:rFonts w:ascii="ITC Avant Garde" w:hAnsi="ITC Avant Garde"/>
                <w:sz w:val="20"/>
                <w:szCs w:val="20"/>
              </w:rPr>
              <w:t xml:space="preserve"> No se conoce.</w:t>
            </w:r>
          </w:p>
          <w:p w:rsidR="008C76AF" w:rsidRPr="00682082" w:rsidRDefault="008C76AF" w:rsidP="001932FC">
            <w:pPr>
              <w:jc w:val="both"/>
              <w:rPr>
                <w:rFonts w:ascii="ITC Avant Garde" w:hAnsi="ITC Avant Garde"/>
                <w:sz w:val="20"/>
                <w:szCs w:val="20"/>
              </w:rPr>
            </w:pPr>
          </w:p>
        </w:tc>
      </w:tr>
    </w:tbl>
    <w:p w:rsidR="008C76AF" w:rsidRPr="00682082" w:rsidRDefault="008C76AF"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C76AF" w:rsidRPr="00682082" w:rsidTr="008C76AF">
        <w:tc>
          <w:tcPr>
            <w:tcW w:w="8828" w:type="dxa"/>
          </w:tcPr>
          <w:p w:rsidR="008C76AF" w:rsidRPr="0052620E" w:rsidRDefault="008C76AF" w:rsidP="001932FC">
            <w:pPr>
              <w:jc w:val="both"/>
              <w:rPr>
                <w:rFonts w:ascii="ITC Avant Garde" w:hAnsi="ITC Avant Garde"/>
                <w:b/>
                <w:sz w:val="20"/>
                <w:szCs w:val="20"/>
              </w:rPr>
            </w:pPr>
            <w:r w:rsidRPr="0052620E">
              <w:rPr>
                <w:rFonts w:ascii="ITC Avant Garde" w:hAnsi="ITC Avant Garde"/>
                <w:b/>
                <w:sz w:val="20"/>
                <w:szCs w:val="20"/>
              </w:rPr>
              <w:t>15.- Ju</w:t>
            </w:r>
            <w:r w:rsidR="0030055F" w:rsidRPr="0052620E">
              <w:rPr>
                <w:rFonts w:ascii="ITC Avant Garde" w:hAnsi="ITC Avant Garde"/>
                <w:b/>
                <w:sz w:val="20"/>
                <w:szCs w:val="20"/>
              </w:rPr>
              <w:t>stifique que los beneficios que se podrían generar a razón de la entrada en vigor del presente anteproyecto de regulación son superiores a los costos de su cumplimiento:</w:t>
            </w:r>
          </w:p>
          <w:p w:rsidR="0030055F" w:rsidRPr="00682082" w:rsidRDefault="0030055F" w:rsidP="001932FC">
            <w:pPr>
              <w:jc w:val="both"/>
              <w:rPr>
                <w:rFonts w:ascii="ITC Avant Garde" w:hAnsi="ITC Avant Garde"/>
                <w:sz w:val="20"/>
                <w:szCs w:val="20"/>
              </w:rPr>
            </w:pPr>
          </w:p>
          <w:p w:rsidR="00FA2B5E" w:rsidRPr="00682082" w:rsidRDefault="0052620E" w:rsidP="00FA2B5E">
            <w:pPr>
              <w:jc w:val="both"/>
              <w:rPr>
                <w:rFonts w:ascii="ITC Avant Garde" w:hAnsi="ITC Avant Garde"/>
                <w:sz w:val="20"/>
                <w:szCs w:val="20"/>
              </w:rPr>
            </w:pPr>
            <w:r>
              <w:rPr>
                <w:rFonts w:ascii="ITC Avant Garde" w:hAnsi="ITC Avant Garde"/>
                <w:sz w:val="20"/>
                <w:szCs w:val="20"/>
              </w:rPr>
              <w:t xml:space="preserve">Primeramente, se está dando cumplimiento a un mandato legal. </w:t>
            </w:r>
            <w:r w:rsidR="00B64345" w:rsidRPr="00682082">
              <w:rPr>
                <w:rFonts w:ascii="ITC Avant Garde" w:hAnsi="ITC Avant Garde"/>
                <w:sz w:val="20"/>
                <w:szCs w:val="20"/>
              </w:rPr>
              <w:t>El no emitir el Criterio Técnico que se propone significaría seguir aplicando los criterios publicados en 1998. Esos criterios fueron elaborados para ser aplicados de manera general en todos los mercados y no at</w:t>
            </w:r>
            <w:r w:rsidR="00FA2B5E" w:rsidRPr="00682082">
              <w:rPr>
                <w:rFonts w:ascii="ITC Avant Garde" w:hAnsi="ITC Avant Garde"/>
                <w:sz w:val="20"/>
                <w:szCs w:val="20"/>
              </w:rPr>
              <w:t>ienden</w:t>
            </w:r>
            <w:r w:rsidR="00B64345" w:rsidRPr="00682082">
              <w:rPr>
                <w:rFonts w:ascii="ITC Avant Garde" w:hAnsi="ITC Avant Garde"/>
                <w:sz w:val="20"/>
                <w:szCs w:val="20"/>
              </w:rPr>
              <w:t xml:space="preserve"> las particularidades de los sectores de telecomunicaciones y radiodifusión.</w:t>
            </w:r>
            <w:r w:rsidR="00FA2B5E" w:rsidRPr="00682082">
              <w:rPr>
                <w:rFonts w:ascii="ITC Avant Garde" w:hAnsi="ITC Avant Garde"/>
                <w:sz w:val="20"/>
                <w:szCs w:val="20"/>
              </w:rPr>
              <w:t xml:space="preserve"> En ese sentido, son considerados por el Instituto en el análisis del grado de concentración, pero con las precauciones correspondientes, lo cual no sucedería con el Criterio Técnico que se propone, pues éste ha sido construido con base en:</w:t>
            </w:r>
          </w:p>
          <w:p w:rsidR="00FA2B5E" w:rsidRPr="00682082" w:rsidRDefault="00FA2B5E" w:rsidP="00FA2B5E">
            <w:pPr>
              <w:jc w:val="both"/>
              <w:rPr>
                <w:rFonts w:ascii="ITC Avant Garde" w:hAnsi="ITC Avant Garde"/>
                <w:sz w:val="20"/>
                <w:szCs w:val="20"/>
              </w:rPr>
            </w:pPr>
          </w:p>
          <w:p w:rsidR="00FA2B5E" w:rsidRPr="00682082" w:rsidRDefault="00FA2B5E" w:rsidP="00FA2B5E">
            <w:pPr>
              <w:pStyle w:val="Prrafodelista"/>
              <w:numPr>
                <w:ilvl w:val="0"/>
                <w:numId w:val="5"/>
              </w:numPr>
              <w:jc w:val="both"/>
              <w:rPr>
                <w:rFonts w:ascii="ITC Avant Garde" w:hAnsi="ITC Avant Garde"/>
                <w:sz w:val="20"/>
                <w:szCs w:val="20"/>
              </w:rPr>
            </w:pPr>
            <w:r w:rsidRPr="00682082">
              <w:rPr>
                <w:rFonts w:ascii="ITC Avant Garde" w:hAnsi="ITC Avant Garde"/>
                <w:sz w:val="20"/>
                <w:szCs w:val="20"/>
              </w:rPr>
              <w:t>Criterios utilizados por otras autoridades de competencia en el mundo y en México,</w:t>
            </w:r>
          </w:p>
          <w:p w:rsidR="00FA2B5E" w:rsidRPr="00682082" w:rsidRDefault="00FA2B5E" w:rsidP="00FA2B5E">
            <w:pPr>
              <w:pStyle w:val="Prrafodelista"/>
              <w:numPr>
                <w:ilvl w:val="0"/>
                <w:numId w:val="5"/>
              </w:numPr>
              <w:jc w:val="both"/>
              <w:rPr>
                <w:rFonts w:ascii="ITC Avant Garde" w:hAnsi="ITC Avant Garde"/>
                <w:sz w:val="20"/>
                <w:szCs w:val="20"/>
              </w:rPr>
            </w:pPr>
            <w:r w:rsidRPr="00682082">
              <w:rPr>
                <w:rFonts w:ascii="ITC Avant Garde" w:hAnsi="ITC Avant Garde"/>
                <w:sz w:val="20"/>
                <w:szCs w:val="20"/>
              </w:rPr>
              <w:t>Las estructuras actuales de diversos mercados en los sectores de telecomunicaciones y radiodifusión,</w:t>
            </w:r>
          </w:p>
          <w:p w:rsidR="00FA2B5E" w:rsidRPr="00682082" w:rsidRDefault="00FA2B5E" w:rsidP="00FA2B5E">
            <w:pPr>
              <w:pStyle w:val="Prrafodelista"/>
              <w:numPr>
                <w:ilvl w:val="0"/>
                <w:numId w:val="5"/>
              </w:numPr>
              <w:jc w:val="both"/>
              <w:rPr>
                <w:rFonts w:ascii="ITC Avant Garde" w:hAnsi="ITC Avant Garde"/>
                <w:sz w:val="20"/>
                <w:szCs w:val="20"/>
              </w:rPr>
            </w:pPr>
            <w:r w:rsidRPr="00682082">
              <w:rPr>
                <w:rFonts w:ascii="ITC Avant Garde" w:hAnsi="ITC Avant Garde"/>
                <w:sz w:val="20"/>
                <w:szCs w:val="20"/>
              </w:rPr>
              <w:t>Resoluciones previas que se han tomado para los sectores de telecomunicaciones y radiodifusión, tanto en el mismo Instituto como en práctica decisoria de la extinta Comisión Federal de Competencia, y</w:t>
            </w:r>
          </w:p>
          <w:p w:rsidR="00FA2B5E" w:rsidRPr="00682082" w:rsidRDefault="00FA2B5E" w:rsidP="00FA2B5E">
            <w:pPr>
              <w:pStyle w:val="Prrafodelista"/>
              <w:numPr>
                <w:ilvl w:val="0"/>
                <w:numId w:val="5"/>
              </w:numPr>
              <w:jc w:val="both"/>
              <w:rPr>
                <w:rFonts w:ascii="ITC Avant Garde" w:hAnsi="ITC Avant Garde"/>
                <w:sz w:val="20"/>
                <w:szCs w:val="20"/>
              </w:rPr>
            </w:pPr>
            <w:r w:rsidRPr="00682082">
              <w:rPr>
                <w:rFonts w:ascii="ITC Avant Garde" w:hAnsi="ITC Avant Garde"/>
                <w:sz w:val="20"/>
                <w:szCs w:val="20"/>
              </w:rPr>
              <w:t>Las posibles modificaciones que podrían experimentar las estructuras de los mercados analizados, como consecuencia de mayor disponibilidad de recursos o entrada de nuevos participantes.</w:t>
            </w:r>
          </w:p>
          <w:p w:rsidR="00F1780C" w:rsidRPr="00682082" w:rsidRDefault="00F1780C" w:rsidP="00F1780C">
            <w:pPr>
              <w:jc w:val="both"/>
              <w:rPr>
                <w:rFonts w:ascii="ITC Avant Garde" w:hAnsi="ITC Avant Garde"/>
                <w:sz w:val="20"/>
                <w:szCs w:val="20"/>
              </w:rPr>
            </w:pPr>
          </w:p>
          <w:p w:rsidR="00F1780C" w:rsidRPr="00682082" w:rsidRDefault="00F1780C" w:rsidP="00F1780C">
            <w:pPr>
              <w:jc w:val="both"/>
              <w:rPr>
                <w:rFonts w:ascii="ITC Avant Garde" w:hAnsi="ITC Avant Garde"/>
                <w:sz w:val="20"/>
                <w:szCs w:val="20"/>
              </w:rPr>
            </w:pPr>
            <w:r w:rsidRPr="00682082">
              <w:rPr>
                <w:rFonts w:ascii="ITC Avant Garde" w:hAnsi="ITC Avant Garde"/>
                <w:sz w:val="20"/>
                <w:szCs w:val="20"/>
              </w:rPr>
              <w:t xml:space="preserve">De forma general, se prevé que el Criterio Técnico permita identificar </w:t>
            </w:r>
            <w:r w:rsidR="005615B7">
              <w:rPr>
                <w:rFonts w:ascii="ITC Avant Garde" w:hAnsi="ITC Avant Garde"/>
                <w:sz w:val="20"/>
                <w:szCs w:val="20"/>
              </w:rPr>
              <w:t>con antelación a los Agentes Económicos los plazos y requerimientos que podría requerir la autoridad para evaluar las operaciones</w:t>
            </w:r>
            <w:r w:rsidRPr="00682082">
              <w:rPr>
                <w:rFonts w:ascii="ITC Avant Garde" w:hAnsi="ITC Avant Garde"/>
                <w:sz w:val="20"/>
                <w:szCs w:val="20"/>
              </w:rPr>
              <w:t>, la reducción de costos de transacción de los particulares al momento de acudir al Instituto y la obtención de seguridad jurídica en la realización de sus transacciones.</w:t>
            </w:r>
          </w:p>
          <w:p w:rsidR="0030055F" w:rsidRPr="00682082" w:rsidRDefault="0030055F" w:rsidP="00FA2B5E">
            <w:pPr>
              <w:jc w:val="both"/>
              <w:rPr>
                <w:rFonts w:ascii="ITC Avant Garde" w:hAnsi="ITC Avant Garde"/>
                <w:sz w:val="20"/>
                <w:szCs w:val="20"/>
              </w:rPr>
            </w:pPr>
          </w:p>
        </w:tc>
      </w:tr>
    </w:tbl>
    <w:p w:rsidR="008C76AF" w:rsidRPr="00682082" w:rsidRDefault="008C76AF" w:rsidP="001932FC">
      <w:pPr>
        <w:jc w:val="both"/>
        <w:rPr>
          <w:rFonts w:ascii="ITC Avant Garde" w:hAnsi="ITC Avant Garde"/>
          <w:sz w:val="20"/>
          <w:szCs w:val="20"/>
        </w:rPr>
      </w:pPr>
    </w:p>
    <w:p w:rsidR="001932FC" w:rsidRPr="00682082" w:rsidRDefault="001932FC" w:rsidP="00A73AD8">
      <w:pPr>
        <w:shd w:val="clear" w:color="auto" w:fill="A8D08D" w:themeFill="accent6" w:themeFillTint="99"/>
        <w:jc w:val="both"/>
        <w:rPr>
          <w:rFonts w:ascii="ITC Avant Garde" w:hAnsi="ITC Avant Garde"/>
          <w:sz w:val="20"/>
          <w:szCs w:val="20"/>
        </w:rPr>
      </w:pPr>
      <w:r w:rsidRPr="00682082">
        <w:rPr>
          <w:rFonts w:ascii="ITC Avant Garde" w:hAnsi="ITC Avant Garde"/>
          <w:sz w:val="20"/>
          <w:szCs w:val="20"/>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682082" w:rsidTr="0030055F">
        <w:tc>
          <w:tcPr>
            <w:tcW w:w="8828" w:type="dxa"/>
          </w:tcPr>
          <w:p w:rsidR="0030055F" w:rsidRPr="0052620E" w:rsidRDefault="0030055F" w:rsidP="001932FC">
            <w:pPr>
              <w:jc w:val="both"/>
              <w:rPr>
                <w:rFonts w:ascii="ITC Avant Garde" w:hAnsi="ITC Avant Garde"/>
                <w:b/>
                <w:sz w:val="20"/>
                <w:szCs w:val="20"/>
              </w:rPr>
            </w:pPr>
            <w:r w:rsidRPr="0052620E">
              <w:rPr>
                <w:rFonts w:ascii="ITC Avant Garde" w:hAnsi="ITC Avant Garde"/>
                <w:b/>
                <w:sz w:val="20"/>
                <w:szCs w:val="20"/>
              </w:rPr>
              <w:t>16.- Describa los recursos, la forma y/o los mecanismos públicos y privados a través de los cuales se implementarán las medidas regulatorias propuestas por el anteproyecto de regulación:</w:t>
            </w:r>
          </w:p>
          <w:p w:rsidR="0030055F" w:rsidRPr="00682082" w:rsidRDefault="0030055F" w:rsidP="001932FC">
            <w:pPr>
              <w:jc w:val="both"/>
              <w:rPr>
                <w:rFonts w:ascii="ITC Avant Garde" w:hAnsi="ITC Avant Garde"/>
                <w:sz w:val="20"/>
                <w:szCs w:val="20"/>
              </w:rPr>
            </w:pPr>
          </w:p>
          <w:p w:rsidR="00F1780C" w:rsidRPr="00682082" w:rsidRDefault="00FA2B5E" w:rsidP="00FA2B5E">
            <w:pPr>
              <w:jc w:val="both"/>
              <w:rPr>
                <w:rFonts w:ascii="ITC Avant Garde" w:hAnsi="ITC Avant Garde"/>
                <w:sz w:val="20"/>
                <w:szCs w:val="20"/>
              </w:rPr>
            </w:pPr>
            <w:r w:rsidRPr="00682082">
              <w:rPr>
                <w:rFonts w:ascii="ITC Avant Garde" w:hAnsi="ITC Avant Garde"/>
                <w:sz w:val="20"/>
                <w:szCs w:val="20"/>
              </w:rPr>
              <w:t>La implementación del Criterio Técnico no requiere de recursos o mecanismos especiales; será aplicado por el Instituto en el análisis del grado de concentración.</w:t>
            </w:r>
            <w:r w:rsidR="00F1780C" w:rsidRPr="00682082">
              <w:rPr>
                <w:rFonts w:ascii="ITC Avant Garde" w:hAnsi="ITC Avant Garde"/>
                <w:sz w:val="20"/>
                <w:szCs w:val="20"/>
              </w:rPr>
              <w:t xml:space="preserve"> </w:t>
            </w:r>
          </w:p>
          <w:p w:rsidR="00F1780C" w:rsidRPr="00682082" w:rsidRDefault="00F1780C" w:rsidP="00FA2B5E">
            <w:pPr>
              <w:jc w:val="both"/>
              <w:rPr>
                <w:rFonts w:ascii="ITC Avant Garde" w:hAnsi="ITC Avant Garde"/>
                <w:sz w:val="20"/>
                <w:szCs w:val="20"/>
              </w:rPr>
            </w:pPr>
          </w:p>
          <w:p w:rsidR="0030055F" w:rsidRPr="00682082" w:rsidRDefault="00F1780C" w:rsidP="00FA2B5E">
            <w:pPr>
              <w:jc w:val="both"/>
              <w:rPr>
                <w:rFonts w:ascii="ITC Avant Garde" w:hAnsi="ITC Avant Garde"/>
                <w:sz w:val="20"/>
                <w:szCs w:val="20"/>
              </w:rPr>
            </w:pPr>
            <w:r w:rsidRPr="00682082">
              <w:rPr>
                <w:rFonts w:ascii="ITC Avant Garde" w:hAnsi="ITC Avant Garde"/>
                <w:sz w:val="20"/>
                <w:szCs w:val="20"/>
              </w:rPr>
              <w:t>Asimismo, para obtener de los particulares la información necesaria para evaluar los incisos c) y d) del artículo NOVENO del Anteproyecto, el Instituto únicamente utilizará los requerimientos que a manera de cuestionarios emite actualmente para todos los agentes económicos involucrados en concentraciones u operaciones similares, de manera que ahora elaborará preguntas adicionales en dichos cuestionarios con el objeto de identificar:</w:t>
            </w:r>
          </w:p>
          <w:p w:rsidR="00F1780C" w:rsidRPr="00682082" w:rsidRDefault="00F1780C" w:rsidP="00FA2B5E">
            <w:pPr>
              <w:jc w:val="both"/>
              <w:rPr>
                <w:rFonts w:ascii="ITC Avant Garde" w:hAnsi="ITC Avant Garde"/>
                <w:sz w:val="20"/>
                <w:szCs w:val="20"/>
              </w:rPr>
            </w:pPr>
          </w:p>
          <w:p w:rsidR="00F1780C" w:rsidRPr="00682082" w:rsidRDefault="00F1780C" w:rsidP="00F1780C">
            <w:pPr>
              <w:pStyle w:val="Prrafodelista"/>
              <w:numPr>
                <w:ilvl w:val="0"/>
                <w:numId w:val="9"/>
              </w:numPr>
              <w:jc w:val="both"/>
              <w:rPr>
                <w:rFonts w:ascii="ITC Avant Garde" w:hAnsi="ITC Avant Garde"/>
                <w:sz w:val="20"/>
                <w:szCs w:val="20"/>
              </w:rPr>
            </w:pPr>
            <w:r w:rsidRPr="00682082">
              <w:rPr>
                <w:rFonts w:ascii="ITC Avant Garde" w:hAnsi="ITC Avant Garde"/>
                <w:sz w:val="20"/>
                <w:szCs w:val="20"/>
              </w:rPr>
              <w:t xml:space="preserve">Si el agente económico adquirido es un agente económico disruptivo (maverick). </w:t>
            </w:r>
          </w:p>
          <w:p w:rsidR="00F1780C" w:rsidRPr="00682082" w:rsidRDefault="00F1780C" w:rsidP="00F1780C">
            <w:pPr>
              <w:pStyle w:val="Prrafodelista"/>
              <w:numPr>
                <w:ilvl w:val="0"/>
                <w:numId w:val="9"/>
              </w:numPr>
              <w:jc w:val="both"/>
              <w:rPr>
                <w:rFonts w:ascii="ITC Avant Garde" w:hAnsi="ITC Avant Garde"/>
                <w:sz w:val="20"/>
                <w:szCs w:val="20"/>
              </w:rPr>
            </w:pPr>
            <w:r w:rsidRPr="00682082">
              <w:rPr>
                <w:rFonts w:ascii="ITC Avant Garde" w:hAnsi="ITC Avant Garde"/>
                <w:sz w:val="20"/>
                <w:szCs w:val="20"/>
              </w:rPr>
              <w:t>Si uno o más de los agentes económicos involucrados en la operación haya participado dentro de los últimos cinco años en operaciones previas en el mismo mercado y que consideradas en conjunto con la operación analizada, rebasen los umbrales referidos en el numeral Octavo.</w:t>
            </w:r>
          </w:p>
          <w:p w:rsidR="00F1780C" w:rsidRPr="00682082" w:rsidRDefault="00F1780C" w:rsidP="00FA2B5E">
            <w:pPr>
              <w:jc w:val="both"/>
              <w:rPr>
                <w:rFonts w:ascii="ITC Avant Garde" w:hAnsi="ITC Avant Garde"/>
                <w:sz w:val="20"/>
                <w:szCs w:val="20"/>
              </w:rPr>
            </w:pPr>
          </w:p>
          <w:p w:rsidR="00F1780C" w:rsidRPr="00682082" w:rsidRDefault="00F1780C" w:rsidP="00FA2B5E">
            <w:pPr>
              <w:jc w:val="both"/>
              <w:rPr>
                <w:rFonts w:ascii="ITC Avant Garde" w:hAnsi="ITC Avant Garde"/>
                <w:sz w:val="20"/>
                <w:szCs w:val="20"/>
              </w:rPr>
            </w:pPr>
            <w:r w:rsidRPr="00682082">
              <w:rPr>
                <w:rFonts w:ascii="ITC Avant Garde" w:hAnsi="ITC Avant Garde"/>
                <w:sz w:val="20"/>
                <w:szCs w:val="20"/>
              </w:rPr>
              <w:t>De acuerdo con lo anterior, ni el Instituto ni los agentes económicos ni otros terceros incurrirán en costos de implementación de las medidas regulatorias impuestas por el Anteproyecto.</w:t>
            </w:r>
          </w:p>
          <w:p w:rsidR="006C006C" w:rsidRPr="00682082" w:rsidRDefault="006C006C" w:rsidP="00FA2B5E">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295E97" w:rsidRPr="00682082" w:rsidTr="00295E97">
        <w:tc>
          <w:tcPr>
            <w:tcW w:w="8828" w:type="dxa"/>
          </w:tcPr>
          <w:p w:rsidR="00876D05" w:rsidRPr="00E711DC" w:rsidRDefault="00295E97" w:rsidP="00876D05">
            <w:pPr>
              <w:jc w:val="both"/>
              <w:rPr>
                <w:rFonts w:ascii="ITC Avant Garde" w:hAnsi="ITC Avant Garde"/>
                <w:b/>
                <w:sz w:val="20"/>
                <w:szCs w:val="20"/>
              </w:rPr>
            </w:pPr>
            <w:r w:rsidRPr="00E711DC">
              <w:rPr>
                <w:rFonts w:ascii="ITC Avant Garde" w:hAnsi="ITC Avant Garde"/>
                <w:b/>
                <w:sz w:val="20"/>
                <w:szCs w:val="20"/>
              </w:rPr>
              <w:t xml:space="preserve">17.- Describa los esquemas de verificación </w:t>
            </w:r>
            <w:r w:rsidR="00E27972" w:rsidRPr="00E711DC">
              <w:rPr>
                <w:rFonts w:ascii="ITC Avant Garde" w:hAnsi="ITC Avant Garde"/>
                <w:b/>
                <w:sz w:val="20"/>
                <w:szCs w:val="20"/>
              </w:rPr>
              <w:t>y vigilancia, así como las sanciones que asegurarán el cumplimiento de las</w:t>
            </w:r>
            <w:r w:rsidR="00876D05" w:rsidRPr="00E711DC">
              <w:rPr>
                <w:rFonts w:ascii="ITC Avant Garde" w:hAnsi="ITC Avant Garde"/>
                <w:b/>
                <w:sz w:val="20"/>
                <w:szCs w:val="20"/>
              </w:rPr>
              <w:t xml:space="preserve"> medidas propuesta por el anteproyecto de regulación:</w:t>
            </w:r>
          </w:p>
          <w:p w:rsidR="00295E97" w:rsidRPr="00682082" w:rsidRDefault="00295E97" w:rsidP="00876D05">
            <w:pPr>
              <w:jc w:val="both"/>
              <w:rPr>
                <w:rFonts w:ascii="ITC Avant Garde" w:hAnsi="ITC Avant Garde"/>
                <w:sz w:val="20"/>
                <w:szCs w:val="20"/>
              </w:rPr>
            </w:pPr>
          </w:p>
          <w:p w:rsidR="00515CD3" w:rsidRPr="00682082" w:rsidRDefault="00FA2B5E" w:rsidP="00044699">
            <w:pPr>
              <w:jc w:val="both"/>
              <w:rPr>
                <w:rFonts w:ascii="ITC Avant Garde" w:hAnsi="ITC Avant Garde"/>
                <w:sz w:val="20"/>
                <w:szCs w:val="20"/>
              </w:rPr>
            </w:pPr>
            <w:r w:rsidRPr="00682082">
              <w:rPr>
                <w:rFonts w:ascii="ITC Avant Garde" w:hAnsi="ITC Avant Garde"/>
                <w:sz w:val="20"/>
                <w:szCs w:val="20"/>
              </w:rPr>
              <w:t xml:space="preserve">El Anteproyecto no establece medidas de cumplimiento, y por tanto, </w:t>
            </w:r>
            <w:r w:rsidR="00044699" w:rsidRPr="00682082">
              <w:rPr>
                <w:rFonts w:ascii="ITC Avant Garde" w:hAnsi="ITC Avant Garde"/>
                <w:sz w:val="20"/>
                <w:szCs w:val="20"/>
              </w:rPr>
              <w:t>no se prevén sanciones ni esquem</w:t>
            </w:r>
            <w:r w:rsidR="00F1780C" w:rsidRPr="00682082">
              <w:rPr>
                <w:rFonts w:ascii="ITC Avant Garde" w:hAnsi="ITC Avant Garde"/>
                <w:sz w:val="20"/>
                <w:szCs w:val="20"/>
              </w:rPr>
              <w:t xml:space="preserve">as de verificación y vigilancia, pues se trata de un Criterio Técnico que en todos los casos el Instituto aplicará para la evaluación de concentraciones u </w:t>
            </w:r>
            <w:r w:rsidR="005615B7">
              <w:rPr>
                <w:rFonts w:ascii="ITC Avant Garde" w:hAnsi="ITC Avant Garde"/>
                <w:sz w:val="20"/>
                <w:szCs w:val="20"/>
              </w:rPr>
              <w:t xml:space="preserve">otras </w:t>
            </w:r>
            <w:r w:rsidR="00F1780C" w:rsidRPr="00682082">
              <w:rPr>
                <w:rFonts w:ascii="ITC Avant Garde" w:hAnsi="ITC Avant Garde"/>
                <w:sz w:val="20"/>
                <w:szCs w:val="20"/>
              </w:rPr>
              <w:t xml:space="preserve">operaciones </w:t>
            </w:r>
            <w:r w:rsidR="005615B7">
              <w:rPr>
                <w:rFonts w:ascii="ITC Avant Garde" w:hAnsi="ITC Avant Garde"/>
                <w:sz w:val="20"/>
                <w:szCs w:val="20"/>
              </w:rPr>
              <w:t>o procedimientos</w:t>
            </w:r>
            <w:r w:rsidR="00F1780C" w:rsidRPr="00682082">
              <w:rPr>
                <w:rFonts w:ascii="ITC Avant Garde" w:hAnsi="ITC Avant Garde"/>
                <w:sz w:val="20"/>
                <w:szCs w:val="20"/>
              </w:rPr>
              <w:t xml:space="preserve"> previst</w:t>
            </w:r>
            <w:r w:rsidR="005615B7">
              <w:rPr>
                <w:rFonts w:ascii="ITC Avant Garde" w:hAnsi="ITC Avant Garde"/>
                <w:sz w:val="20"/>
                <w:szCs w:val="20"/>
              </w:rPr>
              <w:t>o</w:t>
            </w:r>
            <w:r w:rsidR="00F1780C" w:rsidRPr="00682082">
              <w:rPr>
                <w:rFonts w:ascii="ITC Avant Garde" w:hAnsi="ITC Avant Garde"/>
                <w:sz w:val="20"/>
                <w:szCs w:val="20"/>
              </w:rPr>
              <w:t>s en la LFCE y en la LFTR.</w:t>
            </w:r>
          </w:p>
          <w:p w:rsidR="00F1780C" w:rsidRPr="00682082" w:rsidRDefault="00F1780C" w:rsidP="00044699">
            <w:pPr>
              <w:jc w:val="both"/>
              <w:rPr>
                <w:rFonts w:ascii="ITC Avant Garde" w:hAnsi="ITC Avant Garde"/>
                <w:sz w:val="20"/>
                <w:szCs w:val="20"/>
              </w:rPr>
            </w:pPr>
          </w:p>
        </w:tc>
      </w:tr>
    </w:tbl>
    <w:p w:rsidR="001932FC" w:rsidRPr="00682082" w:rsidRDefault="001932FC" w:rsidP="001932FC">
      <w:pPr>
        <w:jc w:val="both"/>
        <w:rPr>
          <w:rFonts w:ascii="ITC Avant Garde" w:hAnsi="ITC Avant Garde"/>
          <w:sz w:val="20"/>
          <w:szCs w:val="20"/>
        </w:rPr>
      </w:pPr>
    </w:p>
    <w:p w:rsidR="001932FC" w:rsidRPr="00682082" w:rsidRDefault="001932FC" w:rsidP="00A73AD8">
      <w:pPr>
        <w:shd w:val="clear" w:color="auto" w:fill="A8D08D" w:themeFill="accent6" w:themeFillTint="99"/>
        <w:tabs>
          <w:tab w:val="center" w:pos="4419"/>
        </w:tabs>
        <w:jc w:val="both"/>
        <w:rPr>
          <w:rFonts w:ascii="ITC Avant Garde" w:hAnsi="ITC Avant Garde"/>
          <w:sz w:val="20"/>
          <w:szCs w:val="20"/>
        </w:rPr>
      </w:pPr>
      <w:r w:rsidRPr="00682082">
        <w:rPr>
          <w:rFonts w:ascii="ITC Avant Garde" w:hAnsi="ITC Avant Garde"/>
          <w:sz w:val="20"/>
          <w:szCs w:val="20"/>
        </w:rPr>
        <w:t>V. EVALUACIÓN DE LA PROPUESTA.</w:t>
      </w:r>
      <w:r w:rsidR="00A73AD8" w:rsidRPr="00682082">
        <w:rPr>
          <w:rFonts w:ascii="ITC Avant Garde" w:hAnsi="ITC Avant Garde"/>
          <w:sz w:val="20"/>
          <w:szCs w:val="20"/>
        </w:rPr>
        <w:tab/>
      </w:r>
    </w:p>
    <w:tbl>
      <w:tblPr>
        <w:tblStyle w:val="Tablaconcuadrcula"/>
        <w:tblW w:w="0" w:type="auto"/>
        <w:tblLook w:val="04A0" w:firstRow="1" w:lastRow="0" w:firstColumn="1" w:lastColumn="0" w:noHBand="0" w:noVBand="1"/>
      </w:tblPr>
      <w:tblGrid>
        <w:gridCol w:w="8828"/>
      </w:tblGrid>
      <w:tr w:rsidR="00876D05" w:rsidRPr="00682082" w:rsidTr="00876D05">
        <w:tc>
          <w:tcPr>
            <w:tcW w:w="8828" w:type="dxa"/>
          </w:tcPr>
          <w:p w:rsidR="00876D05" w:rsidRPr="00E711DC" w:rsidRDefault="00876D05" w:rsidP="00876D05">
            <w:pPr>
              <w:jc w:val="both"/>
              <w:rPr>
                <w:rFonts w:ascii="ITC Avant Garde" w:hAnsi="ITC Avant Garde"/>
                <w:b/>
                <w:sz w:val="20"/>
                <w:szCs w:val="20"/>
              </w:rPr>
            </w:pPr>
            <w:r w:rsidRPr="00E711DC">
              <w:rPr>
                <w:rFonts w:ascii="ITC Avant Garde" w:hAnsi="ITC Avant Garde"/>
                <w:b/>
                <w:sz w:val="20"/>
                <w:szCs w:val="20"/>
              </w:rPr>
              <w:t>18.- Describa la forma y los medios a través de los cuales serán evaluados los logros de los objetivos del anteproyecto de regulación</w:t>
            </w:r>
            <w:r w:rsidR="00870931" w:rsidRPr="00E711DC">
              <w:rPr>
                <w:rFonts w:ascii="ITC Avant Garde" w:hAnsi="ITC Avant Garde"/>
                <w:b/>
                <w:sz w:val="20"/>
                <w:szCs w:val="20"/>
              </w:rPr>
              <w:t>, así como el posible plazo para ello</w:t>
            </w:r>
            <w:r w:rsidRPr="00E711DC">
              <w:rPr>
                <w:rFonts w:ascii="ITC Avant Garde" w:hAnsi="ITC Avant Garde"/>
                <w:b/>
                <w:sz w:val="20"/>
                <w:szCs w:val="20"/>
              </w:rPr>
              <w:t>:</w:t>
            </w:r>
          </w:p>
          <w:p w:rsidR="00876D05" w:rsidRPr="00682082" w:rsidRDefault="00876D05" w:rsidP="00876D05">
            <w:pPr>
              <w:jc w:val="both"/>
              <w:rPr>
                <w:rFonts w:ascii="ITC Avant Garde" w:hAnsi="ITC Avant Garde"/>
                <w:sz w:val="20"/>
                <w:szCs w:val="20"/>
              </w:rPr>
            </w:pPr>
          </w:p>
          <w:p w:rsidR="00876D05" w:rsidRPr="00682082" w:rsidRDefault="00522872" w:rsidP="00522872">
            <w:pPr>
              <w:jc w:val="both"/>
              <w:rPr>
                <w:rFonts w:ascii="ITC Avant Garde" w:hAnsi="ITC Avant Garde"/>
                <w:sz w:val="20"/>
                <w:szCs w:val="20"/>
              </w:rPr>
            </w:pPr>
            <w:r w:rsidRPr="00682082">
              <w:rPr>
                <w:rFonts w:ascii="ITC Avant Garde" w:hAnsi="ITC Avant Garde"/>
                <w:sz w:val="20"/>
                <w:szCs w:val="20"/>
              </w:rPr>
              <w:t>Se propone que el Criterio Técnico sea revisado por el Instituto en un plazo no mayor a los cinco años de su entrada en vigor a efecto de evaluar la eficacia con la que determina el grado de concentración en los mercados  y servicios correspondientes a los sectores de telecomunicaciones y radiodifusión.</w:t>
            </w:r>
          </w:p>
          <w:p w:rsidR="006C006C" w:rsidRPr="00682082" w:rsidRDefault="006C006C" w:rsidP="00522872">
            <w:pPr>
              <w:jc w:val="both"/>
              <w:rPr>
                <w:rFonts w:ascii="ITC Avant Garde" w:hAnsi="ITC Avant Garde"/>
                <w:sz w:val="20"/>
                <w:szCs w:val="20"/>
              </w:rPr>
            </w:pPr>
          </w:p>
        </w:tc>
      </w:tr>
    </w:tbl>
    <w:p w:rsidR="00AC496C" w:rsidRDefault="00AC496C" w:rsidP="001932FC">
      <w:pPr>
        <w:jc w:val="both"/>
        <w:rPr>
          <w:rFonts w:ascii="ITC Avant Garde" w:hAnsi="ITC Avant Garde"/>
          <w:sz w:val="20"/>
          <w:szCs w:val="20"/>
        </w:rPr>
      </w:pPr>
    </w:p>
    <w:p w:rsidR="00AC496C" w:rsidRDefault="00AC496C" w:rsidP="001932FC">
      <w:pPr>
        <w:jc w:val="both"/>
        <w:rPr>
          <w:rFonts w:ascii="ITC Avant Garde" w:hAnsi="ITC Avant Garde"/>
          <w:sz w:val="20"/>
          <w:szCs w:val="20"/>
        </w:rPr>
      </w:pPr>
    </w:p>
    <w:p w:rsidR="00AC496C" w:rsidRDefault="00AC496C" w:rsidP="001932FC">
      <w:pPr>
        <w:jc w:val="both"/>
        <w:rPr>
          <w:rFonts w:ascii="ITC Avant Garde" w:hAnsi="ITC Avant Garde"/>
          <w:sz w:val="20"/>
          <w:szCs w:val="20"/>
        </w:rPr>
      </w:pPr>
    </w:p>
    <w:p w:rsidR="00AC496C" w:rsidRPr="00682082" w:rsidRDefault="00AC496C" w:rsidP="001932FC">
      <w:pPr>
        <w:jc w:val="both"/>
        <w:rPr>
          <w:rFonts w:ascii="ITC Avant Garde" w:hAnsi="ITC Avant Garde"/>
          <w:sz w:val="20"/>
          <w:szCs w:val="20"/>
        </w:rPr>
      </w:pPr>
      <w:bookmarkStart w:id="0" w:name="_GoBack"/>
      <w:bookmarkEnd w:id="0"/>
    </w:p>
    <w:p w:rsidR="001932FC" w:rsidRPr="00682082" w:rsidRDefault="001932FC" w:rsidP="00A73AD8">
      <w:pPr>
        <w:shd w:val="clear" w:color="auto" w:fill="A8D08D" w:themeFill="accent6" w:themeFillTint="99"/>
        <w:tabs>
          <w:tab w:val="left" w:pos="3645"/>
        </w:tabs>
        <w:jc w:val="both"/>
        <w:rPr>
          <w:rFonts w:ascii="ITC Avant Garde" w:hAnsi="ITC Avant Garde"/>
          <w:sz w:val="20"/>
          <w:szCs w:val="20"/>
        </w:rPr>
      </w:pPr>
      <w:r w:rsidRPr="00682082">
        <w:rPr>
          <w:rFonts w:ascii="ITC Avant Garde" w:hAnsi="ITC Avant Garde"/>
          <w:sz w:val="20"/>
          <w:szCs w:val="20"/>
        </w:rPr>
        <w:lastRenderedPageBreak/>
        <w:t>VI. CONSULTA PÚBLICA.</w:t>
      </w:r>
      <w:r w:rsidR="00A73AD8" w:rsidRPr="00682082">
        <w:rPr>
          <w:rFonts w:ascii="ITC Avant Garde" w:hAnsi="ITC Avant Garde"/>
          <w:sz w:val="20"/>
          <w:szCs w:val="20"/>
        </w:rPr>
        <w:tab/>
      </w:r>
    </w:p>
    <w:tbl>
      <w:tblPr>
        <w:tblStyle w:val="Tablaconcuadrcula"/>
        <w:tblW w:w="0" w:type="auto"/>
        <w:tblLook w:val="04A0" w:firstRow="1" w:lastRow="0" w:firstColumn="1" w:lastColumn="0" w:noHBand="0" w:noVBand="1"/>
      </w:tblPr>
      <w:tblGrid>
        <w:gridCol w:w="8828"/>
      </w:tblGrid>
      <w:tr w:rsidR="0086684A" w:rsidRPr="00682082" w:rsidTr="00AC496C">
        <w:trPr>
          <w:trHeight w:val="2472"/>
        </w:trPr>
        <w:tc>
          <w:tcPr>
            <w:tcW w:w="8828" w:type="dxa"/>
          </w:tcPr>
          <w:p w:rsidR="0086684A" w:rsidRPr="0052460A" w:rsidRDefault="0086684A" w:rsidP="0086684A">
            <w:pPr>
              <w:jc w:val="both"/>
              <w:rPr>
                <w:rFonts w:ascii="ITC Avant Garde" w:hAnsi="ITC Avant Garde"/>
                <w:b/>
                <w:sz w:val="20"/>
                <w:szCs w:val="20"/>
              </w:rPr>
            </w:pPr>
            <w:r w:rsidRPr="0052460A">
              <w:rPr>
                <w:rFonts w:ascii="ITC Avant Garde" w:hAnsi="ITC Avant Garde"/>
                <w:b/>
                <w:sz w:val="20"/>
                <w:szCs w:val="20"/>
              </w:rPr>
              <w:t>19.- ¿Se consultó a las partes y/o grupos interesados en la elaboración del presente anteproyecto de regulación?</w:t>
            </w:r>
          </w:p>
          <w:p w:rsidR="0086684A" w:rsidRPr="0052460A" w:rsidRDefault="0086684A" w:rsidP="0086684A">
            <w:pPr>
              <w:jc w:val="both"/>
              <w:rPr>
                <w:rFonts w:ascii="ITC Avant Garde" w:hAnsi="ITC Avant Garde"/>
                <w:sz w:val="20"/>
                <w:szCs w:val="20"/>
              </w:rPr>
            </w:pPr>
          </w:p>
          <w:p w:rsidR="00522872" w:rsidRPr="0052460A" w:rsidRDefault="00522872" w:rsidP="0086684A">
            <w:pPr>
              <w:jc w:val="both"/>
              <w:rPr>
                <w:rFonts w:ascii="ITC Avant Garde" w:hAnsi="ITC Avant Garde"/>
                <w:sz w:val="20"/>
                <w:szCs w:val="20"/>
              </w:rPr>
            </w:pPr>
            <w:r w:rsidRPr="0052460A">
              <w:rPr>
                <w:rFonts w:ascii="ITC Avant Garde" w:hAnsi="ITC Avant Garde"/>
                <w:sz w:val="20"/>
                <w:szCs w:val="20"/>
              </w:rPr>
              <w:t xml:space="preserve">El Anteproyecto fue conocido y comentado por las áreas del Instituto involucradas en el tema: </w:t>
            </w:r>
            <w:r w:rsidR="00DE6826" w:rsidRPr="0052460A">
              <w:rPr>
                <w:rFonts w:ascii="ITC Avant Garde" w:hAnsi="ITC Avant Garde"/>
                <w:sz w:val="20"/>
                <w:szCs w:val="20"/>
              </w:rPr>
              <w:t>la Autoridad Investigadora, el Centro de Estudios Económicos, la Coordinación General de Mejora Regulatoria y la Unidad de Medios y Contenidos Audiovisuales.</w:t>
            </w:r>
          </w:p>
          <w:p w:rsidR="00522872" w:rsidRPr="0052460A" w:rsidRDefault="00522872" w:rsidP="0086684A">
            <w:pPr>
              <w:jc w:val="both"/>
              <w:rPr>
                <w:rFonts w:ascii="ITC Avant Garde" w:hAnsi="ITC Avant Garde"/>
                <w:sz w:val="20"/>
                <w:szCs w:val="20"/>
              </w:rPr>
            </w:pPr>
          </w:p>
          <w:p w:rsidR="00A73AD8" w:rsidRPr="00682082" w:rsidRDefault="00522872" w:rsidP="0052460A">
            <w:pPr>
              <w:jc w:val="both"/>
              <w:rPr>
                <w:rFonts w:ascii="ITC Avant Garde" w:hAnsi="ITC Avant Garde"/>
                <w:sz w:val="20"/>
                <w:szCs w:val="20"/>
              </w:rPr>
            </w:pPr>
            <w:r w:rsidRPr="0052460A">
              <w:rPr>
                <w:rFonts w:ascii="ITC Avant Garde" w:hAnsi="ITC Avant Garde"/>
                <w:sz w:val="20"/>
                <w:szCs w:val="20"/>
              </w:rPr>
              <w:t>Ahora</w:t>
            </w:r>
            <w:r w:rsidR="0052460A">
              <w:rPr>
                <w:rFonts w:ascii="ITC Avant Garde" w:hAnsi="ITC Avant Garde"/>
                <w:sz w:val="20"/>
                <w:szCs w:val="20"/>
              </w:rPr>
              <w:t xml:space="preserve">, el Anteproyecto </w:t>
            </w:r>
            <w:r w:rsidRPr="0052460A">
              <w:rPr>
                <w:rFonts w:ascii="ITC Avant Garde" w:hAnsi="ITC Avant Garde"/>
                <w:sz w:val="20"/>
                <w:szCs w:val="20"/>
              </w:rPr>
              <w:t>se somete a consulta pública para que el público en general manifieste sus opiniones.</w:t>
            </w:r>
          </w:p>
        </w:tc>
      </w:tr>
    </w:tbl>
    <w:p w:rsidR="0086684A" w:rsidRPr="00682082" w:rsidRDefault="0086684A" w:rsidP="0086684A">
      <w:pPr>
        <w:jc w:val="both"/>
        <w:rPr>
          <w:rFonts w:ascii="ITC Avant Garde" w:hAnsi="ITC Avant Garde"/>
          <w:sz w:val="20"/>
          <w:szCs w:val="20"/>
        </w:rPr>
      </w:pPr>
    </w:p>
    <w:p w:rsidR="00A73AD8" w:rsidRPr="00682082" w:rsidRDefault="00A73AD8" w:rsidP="00A73AD8">
      <w:pPr>
        <w:shd w:val="clear" w:color="auto" w:fill="A8D08D" w:themeFill="accent6" w:themeFillTint="99"/>
        <w:jc w:val="both"/>
        <w:rPr>
          <w:rFonts w:ascii="ITC Avant Garde" w:hAnsi="ITC Avant Garde"/>
          <w:sz w:val="20"/>
          <w:szCs w:val="20"/>
        </w:rPr>
      </w:pPr>
      <w:r w:rsidRPr="00682082">
        <w:rPr>
          <w:rFonts w:ascii="ITC Avant Garde" w:hAnsi="ITC Avant Garde"/>
          <w:sz w:val="20"/>
          <w:szCs w:val="20"/>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E711DC" w:rsidTr="00A73AD8">
        <w:tc>
          <w:tcPr>
            <w:tcW w:w="8828" w:type="dxa"/>
          </w:tcPr>
          <w:p w:rsidR="00B74C55" w:rsidRPr="0052460A" w:rsidRDefault="00A73AD8" w:rsidP="00A73AD8">
            <w:pPr>
              <w:jc w:val="both"/>
              <w:rPr>
                <w:rFonts w:ascii="ITC Avant Garde" w:hAnsi="ITC Avant Garde"/>
                <w:b/>
                <w:sz w:val="20"/>
                <w:szCs w:val="20"/>
              </w:rPr>
            </w:pPr>
            <w:r w:rsidRPr="0052460A">
              <w:rPr>
                <w:rFonts w:ascii="ITC Avant Garde" w:hAnsi="ITC Avant Garde"/>
                <w:b/>
                <w:sz w:val="20"/>
                <w:szCs w:val="20"/>
              </w:rPr>
              <w:t xml:space="preserve">20.- Enliste </w:t>
            </w:r>
            <w:r w:rsidR="00B74C55" w:rsidRPr="0052460A">
              <w:rPr>
                <w:rFonts w:ascii="ITC Avant Garde" w:hAnsi="ITC Avant Garde"/>
                <w:b/>
                <w:sz w:val="20"/>
                <w:szCs w:val="20"/>
              </w:rPr>
              <w:t>los datos bibliográficos o las direcciones electrónicas consultadas para el diseño y redacción del anteproyecto de regulación.</w:t>
            </w:r>
          </w:p>
          <w:p w:rsidR="00A73AD8" w:rsidRPr="00682082" w:rsidRDefault="00A73AD8" w:rsidP="0086684A">
            <w:pPr>
              <w:jc w:val="both"/>
              <w:rPr>
                <w:rFonts w:ascii="ITC Avant Garde" w:hAnsi="ITC Avant Garde"/>
                <w:sz w:val="20"/>
                <w:szCs w:val="20"/>
              </w:rPr>
            </w:pP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ACCC (2008). “Merger Guidelines”, disponible en </w:t>
            </w:r>
            <w:hyperlink r:id="rId9" w:history="1">
              <w:r w:rsidRPr="00682082">
                <w:rPr>
                  <w:rFonts w:ascii="ITC Avant Garde" w:hAnsi="ITC Avant Garde"/>
                  <w:sz w:val="20"/>
                  <w:szCs w:val="20"/>
                </w:rPr>
                <w:t>http://www.accc.gov.au/system/files/Merger%20guidelines.pdf</w:t>
              </w:r>
            </w:hyperlink>
            <w:r w:rsidRPr="00682082">
              <w:rPr>
                <w:rFonts w:ascii="ITC Avant Garde" w:hAnsi="ITC Avant Garde"/>
                <w:sz w:val="20"/>
                <w:szCs w:val="20"/>
              </w:rPr>
              <w:t>.</w:t>
            </w:r>
          </w:p>
          <w:p w:rsidR="001E765C" w:rsidRPr="00E711DC" w:rsidRDefault="001E765C" w:rsidP="001E765C">
            <w:pPr>
              <w:pStyle w:val="Prrafodelista"/>
              <w:numPr>
                <w:ilvl w:val="0"/>
                <w:numId w:val="4"/>
              </w:numPr>
              <w:jc w:val="both"/>
              <w:rPr>
                <w:rFonts w:ascii="ITC Avant Garde" w:hAnsi="ITC Avant Garde"/>
                <w:sz w:val="20"/>
                <w:szCs w:val="20"/>
                <w:lang w:val="en-US"/>
              </w:rPr>
            </w:pPr>
            <w:r w:rsidRPr="00682082">
              <w:rPr>
                <w:rFonts w:ascii="ITC Avant Garde" w:hAnsi="ITC Avant Garde"/>
                <w:sz w:val="20"/>
                <w:szCs w:val="20"/>
              </w:rPr>
              <w:t xml:space="preserve">Bajo, O. y Salas, R. (1998). </w:t>
            </w:r>
            <w:r w:rsidRPr="00E711DC">
              <w:rPr>
                <w:rFonts w:ascii="ITC Avant Garde" w:hAnsi="ITC Avant Garde"/>
                <w:sz w:val="20"/>
                <w:szCs w:val="20"/>
                <w:lang w:val="en-US"/>
              </w:rPr>
              <w:t>“INEQUALITY FOUNDATIONS OF CONCENTRATION MEASURES: AN APPLICATION TO THE HANNAH-KAY INDICES”,</w:t>
            </w:r>
            <w:r w:rsidRPr="00AC496C">
              <w:rPr>
                <w:rFonts w:ascii="ITC Avant Garde" w:hAnsi="ITC Avant Garde"/>
                <w:sz w:val="20"/>
                <w:szCs w:val="20"/>
              </w:rPr>
              <w:t xml:space="preserve"> disponible</w:t>
            </w:r>
            <w:r w:rsidRPr="00E711DC">
              <w:rPr>
                <w:rFonts w:ascii="ITC Avant Garde" w:hAnsi="ITC Avant Garde"/>
                <w:sz w:val="20"/>
                <w:szCs w:val="20"/>
                <w:lang w:val="en-US"/>
              </w:rPr>
              <w:t xml:space="preserve"> en </w:t>
            </w:r>
            <w:hyperlink r:id="rId10" w:history="1">
              <w:r w:rsidRPr="00E711DC">
                <w:rPr>
                  <w:rFonts w:ascii="ITC Avant Garde" w:hAnsi="ITC Avant Garde"/>
                  <w:sz w:val="20"/>
                  <w:szCs w:val="20"/>
                  <w:lang w:val="en-US"/>
                </w:rPr>
                <w:t>http://www.ief.es/documentos/recursos/publicaciones/papeles_trabajo/1998_02.pdf</w:t>
              </w:r>
            </w:hyperlink>
            <w:r w:rsidRPr="00E711DC">
              <w:rPr>
                <w:rFonts w:ascii="ITC Avant Garde" w:hAnsi="ITC Avant Garde"/>
                <w:sz w:val="20"/>
                <w:szCs w:val="20"/>
                <w:lang w:val="en-US"/>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CCPC (2014). “Guidelines for Merger Analysis”, disponible en </w:t>
            </w:r>
            <w:hyperlink r:id="rId11" w:history="1">
              <w:r w:rsidRPr="00682082">
                <w:rPr>
                  <w:rFonts w:ascii="ITC Avant Garde" w:hAnsi="ITC Avant Garde"/>
                  <w:sz w:val="20"/>
                  <w:szCs w:val="20"/>
                </w:rPr>
                <w:t>http://www.ccpc.ie/sites/default/files/CCPC%20Merger%20Guidelines_1.pdf</w:t>
              </w:r>
            </w:hyperlink>
            <w:r w:rsidRPr="00682082">
              <w:rPr>
                <w:rFonts w:ascii="ITC Avant Garde" w:hAnsi="ITC Avant Garde"/>
                <w:sz w:val="20"/>
                <w:szCs w:val="20"/>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CE (2004). “Directrices sobre la evaluación de las concentraciones horizontales con arreglo al Reglamento del Consejo sobre el control de las concentraciones entre empresas”, disponible en </w:t>
            </w:r>
            <w:hyperlink r:id="rId12" w:history="1">
              <w:r w:rsidRPr="00682082">
                <w:rPr>
                  <w:rFonts w:ascii="ITC Avant Garde" w:hAnsi="ITC Avant Garde"/>
                  <w:sz w:val="20"/>
                  <w:szCs w:val="20"/>
                </w:rPr>
                <w:t>http://eur-lex.europa.eu/LexUriServ/LexUriServ.do?uri=OJ:C:2004:031:0005:0018:ES:PDF</w:t>
              </w:r>
            </w:hyperlink>
            <w:r w:rsidRPr="00682082">
              <w:rPr>
                <w:rFonts w:ascii="ITC Avant Garde" w:hAnsi="ITC Avant Garde"/>
                <w:sz w:val="20"/>
                <w:szCs w:val="20"/>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CFC (1998). “RESOLUCION por la que se da a conocer el método para el cálculo de los índices para determinar el grado de concentración que exista en el mercado relevante y los criterios para su aplicación.”, disponible en </w:t>
            </w:r>
            <w:hyperlink r:id="rId13" w:history="1">
              <w:r w:rsidRPr="00682082">
                <w:rPr>
                  <w:rFonts w:ascii="ITC Avant Garde" w:hAnsi="ITC Avant Garde"/>
                  <w:sz w:val="20"/>
                  <w:szCs w:val="20"/>
                </w:rPr>
                <w:t>http://dof.gob.mx/nota_detalle.php?codigo=4888039&amp;fecha=24/07/1998</w:t>
              </w:r>
            </w:hyperlink>
            <w:r w:rsidRPr="00682082">
              <w:rPr>
                <w:rFonts w:ascii="ITC Avant Garde" w:hAnsi="ITC Avant Garde"/>
                <w:sz w:val="20"/>
                <w:szCs w:val="20"/>
              </w:rPr>
              <w:t xml:space="preserve">. </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CFCE (2014). “CRITERIOS Técnicos para el cálculo y aplicación de un Índice Cuantitativo para medir la Concentración del Mercado.” Disponible en </w:t>
            </w:r>
            <w:hyperlink r:id="rId14" w:history="1">
              <w:r w:rsidRPr="00682082">
                <w:rPr>
                  <w:rFonts w:ascii="ITC Avant Garde" w:hAnsi="ITC Avant Garde"/>
                  <w:sz w:val="20"/>
                  <w:szCs w:val="20"/>
                </w:rPr>
                <w:t>http://www.dof.gob.mx/nota_detalle.php?codigo=5392185&amp;fecha=14/05/2015</w:t>
              </w:r>
            </w:hyperlink>
            <w:r w:rsidRPr="00682082">
              <w:rPr>
                <w:rFonts w:ascii="ITC Avant Garde" w:hAnsi="ITC Avant Garde"/>
                <w:sz w:val="20"/>
                <w:szCs w:val="20"/>
              </w:rPr>
              <w:t>.</w:t>
            </w:r>
          </w:p>
          <w:p w:rsidR="001E765C" w:rsidRPr="00E711DC" w:rsidRDefault="001E765C" w:rsidP="001E765C">
            <w:pPr>
              <w:pStyle w:val="Prrafodelista"/>
              <w:numPr>
                <w:ilvl w:val="0"/>
                <w:numId w:val="4"/>
              </w:numPr>
              <w:jc w:val="both"/>
              <w:rPr>
                <w:rFonts w:ascii="ITC Avant Garde" w:hAnsi="ITC Avant Garde"/>
                <w:sz w:val="20"/>
                <w:szCs w:val="20"/>
                <w:lang w:val="en-US"/>
              </w:rPr>
            </w:pPr>
            <w:r w:rsidRPr="00E711DC">
              <w:rPr>
                <w:rFonts w:ascii="ITC Avant Garde" w:hAnsi="ITC Avant Garde"/>
                <w:sz w:val="20"/>
                <w:szCs w:val="20"/>
                <w:lang w:val="en-US"/>
              </w:rPr>
              <w:t xml:space="preserve">Clakins, S. (1983). “The New Merger Guidelines and the HerfindahlHirschman Index”, disponible en </w:t>
            </w:r>
            <w:hyperlink r:id="rId15" w:history="1">
              <w:r w:rsidRPr="00E711DC">
                <w:rPr>
                  <w:rFonts w:ascii="ITC Avant Garde" w:hAnsi="ITC Avant Garde"/>
                  <w:sz w:val="20"/>
                  <w:szCs w:val="20"/>
                  <w:lang w:val="en-US"/>
                </w:rPr>
                <w:t>http://scholarship.law.berkeley.edu/cgi/viewcontent.cgi?article=2149&amp;context=californialawreview</w:t>
              </w:r>
            </w:hyperlink>
            <w:r w:rsidRPr="00E711DC">
              <w:rPr>
                <w:rFonts w:ascii="ITC Avant Garde" w:hAnsi="ITC Avant Garde"/>
                <w:sz w:val="20"/>
                <w:szCs w:val="20"/>
                <w:lang w:val="en-US"/>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DOJ y FTC (1997). “Horizontal Merger Guidelines”, disponible en </w:t>
            </w:r>
            <w:hyperlink r:id="rId16" w:history="1">
              <w:r w:rsidRPr="00682082">
                <w:rPr>
                  <w:rFonts w:ascii="ITC Avant Garde" w:hAnsi="ITC Avant Garde"/>
                  <w:sz w:val="20"/>
                  <w:szCs w:val="20"/>
                </w:rPr>
                <w:t>http://www.justice.gov/atr/public/guidelines/hmg.pdf</w:t>
              </w:r>
            </w:hyperlink>
            <w:r w:rsidRPr="00682082">
              <w:rPr>
                <w:rFonts w:ascii="ITC Avant Garde" w:hAnsi="ITC Avant Garde"/>
                <w:sz w:val="20"/>
                <w:szCs w:val="20"/>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DOJ y FTC (2010). “Horizontal Merger Guidelines”, disponible en </w:t>
            </w:r>
            <w:hyperlink r:id="rId17" w:history="1">
              <w:r w:rsidRPr="00682082">
                <w:rPr>
                  <w:rFonts w:ascii="ITC Avant Garde" w:hAnsi="ITC Avant Garde"/>
                  <w:sz w:val="20"/>
                  <w:szCs w:val="20"/>
                </w:rPr>
                <w:t>http://www.justice.gov/atr/public/guidelines/hmg-2010.pdf</w:t>
              </w:r>
            </w:hyperlink>
            <w:r w:rsidRPr="00682082">
              <w:rPr>
                <w:rFonts w:ascii="ITC Avant Garde" w:hAnsi="ITC Avant Garde"/>
                <w:sz w:val="20"/>
                <w:szCs w:val="20"/>
              </w:rPr>
              <w:t>.</w:t>
            </w:r>
          </w:p>
          <w:p w:rsidR="001E765C" w:rsidRPr="00E711DC" w:rsidRDefault="001E765C" w:rsidP="001E765C">
            <w:pPr>
              <w:pStyle w:val="Prrafodelista"/>
              <w:numPr>
                <w:ilvl w:val="0"/>
                <w:numId w:val="4"/>
              </w:numPr>
              <w:jc w:val="both"/>
              <w:rPr>
                <w:rFonts w:ascii="ITC Avant Garde" w:hAnsi="ITC Avant Garde"/>
                <w:sz w:val="20"/>
                <w:szCs w:val="20"/>
                <w:lang w:val="en-US"/>
              </w:rPr>
            </w:pPr>
            <w:r w:rsidRPr="00E711DC">
              <w:rPr>
                <w:rFonts w:ascii="ITC Avant Garde" w:hAnsi="ITC Avant Garde"/>
                <w:sz w:val="20"/>
                <w:szCs w:val="20"/>
                <w:lang w:val="en-US"/>
              </w:rPr>
              <w:t xml:space="preserve">DOT (2004). “Guidelines for merger of licences in a service area”, disponible en </w:t>
            </w:r>
            <w:hyperlink r:id="rId18" w:history="1">
              <w:r w:rsidRPr="00E711DC">
                <w:rPr>
                  <w:rFonts w:ascii="ITC Avant Garde" w:hAnsi="ITC Avant Garde"/>
                  <w:sz w:val="20"/>
                  <w:szCs w:val="20"/>
                  <w:lang w:val="en-US"/>
                </w:rPr>
                <w:t>http://www.dot.gov.in/sites/default/files/Final%20Merger%20OM%2020-232-04%2821.2.04%291_0.doc</w:t>
              </w:r>
            </w:hyperlink>
            <w:r w:rsidRPr="00E711DC">
              <w:rPr>
                <w:rFonts w:ascii="ITC Avant Garde" w:hAnsi="ITC Avant Garde"/>
                <w:sz w:val="20"/>
                <w:szCs w:val="20"/>
                <w:lang w:val="en-US"/>
              </w:rPr>
              <w:t>.</w:t>
            </w:r>
          </w:p>
          <w:p w:rsidR="001E765C"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lastRenderedPageBreak/>
              <w:t xml:space="preserve">FNE (2012). “GUÍA PARA EL ANÁLISIS DE OPERACIONES DE CONCENTRACIÓN”, disponible en </w:t>
            </w:r>
            <w:hyperlink r:id="rId19" w:history="1">
              <w:r w:rsidRPr="00682082">
                <w:rPr>
                  <w:rFonts w:ascii="ITC Avant Garde" w:hAnsi="ITC Avant Garde"/>
                  <w:sz w:val="20"/>
                  <w:szCs w:val="20"/>
                </w:rPr>
                <w:t>http://www.fne.gob.cl/wp-content/uploads/2012/10/Guia-Fusiones.pdf</w:t>
              </w:r>
            </w:hyperlink>
            <w:r w:rsidRPr="00682082">
              <w:rPr>
                <w:rFonts w:ascii="ITC Avant Garde" w:hAnsi="ITC Avant Garde"/>
                <w:sz w:val="20"/>
                <w:szCs w:val="20"/>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García Alba, I. P. (1994). “UN ÍNDICE DE DOMINACIÓN PARA EL ANÁLISIS DE LA ESTRUCTURA DE LOS MERCADOS”, disponible en </w:t>
            </w:r>
            <w:hyperlink r:id="rId20" w:history="1">
              <w:r w:rsidRPr="00682082">
                <w:rPr>
                  <w:rFonts w:ascii="ITC Avant Garde" w:hAnsi="ITC Avant Garde"/>
                  <w:sz w:val="20"/>
                  <w:szCs w:val="20"/>
                </w:rPr>
                <w:t>http://aleph.academica.mx/jspui/bitstream/56789/6004/1/DOCT2065090_ARTICULO_5.PDF</w:t>
              </w:r>
            </w:hyperlink>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ICN (2006). “ICN MERGER GUIDELINES WORKBOOK”, disponible en </w:t>
            </w:r>
            <w:hyperlink r:id="rId21" w:history="1">
              <w:r w:rsidRPr="00682082">
                <w:rPr>
                  <w:rFonts w:ascii="ITC Avant Garde" w:hAnsi="ITC Avant Garde"/>
                  <w:sz w:val="20"/>
                  <w:szCs w:val="20"/>
                </w:rPr>
                <w:t>http://www.internationalcompetitionnetwork.org/uploads/library/doc321.pdf</w:t>
              </w:r>
            </w:hyperlink>
            <w:r w:rsidRPr="00682082">
              <w:rPr>
                <w:rFonts w:ascii="ITC Avant Garde" w:hAnsi="ITC Avant Garde"/>
                <w:sz w:val="20"/>
                <w:szCs w:val="20"/>
              </w:rPr>
              <w:t>.</w:t>
            </w:r>
          </w:p>
          <w:p w:rsidR="001E765C" w:rsidRPr="00E711DC" w:rsidRDefault="001E765C" w:rsidP="001E765C">
            <w:pPr>
              <w:pStyle w:val="Prrafodelista"/>
              <w:numPr>
                <w:ilvl w:val="0"/>
                <w:numId w:val="4"/>
              </w:numPr>
              <w:jc w:val="both"/>
              <w:rPr>
                <w:rFonts w:ascii="ITC Avant Garde" w:hAnsi="ITC Avant Garde"/>
                <w:sz w:val="20"/>
                <w:szCs w:val="20"/>
                <w:lang w:val="en-US"/>
              </w:rPr>
            </w:pPr>
            <w:r w:rsidRPr="00E711DC">
              <w:rPr>
                <w:rFonts w:ascii="ITC Avant Garde" w:hAnsi="ITC Avant Garde"/>
                <w:sz w:val="20"/>
                <w:szCs w:val="20"/>
                <w:lang w:val="en-US"/>
              </w:rPr>
              <w:t xml:space="preserve">Ministry of Communications &amp; Information Technology (2008). “Revised guidelines for Intraservice area merger of CMTS/UAS licences”, disponible en </w:t>
            </w:r>
            <w:hyperlink r:id="rId22" w:history="1">
              <w:r w:rsidRPr="00E711DC">
                <w:rPr>
                  <w:rFonts w:ascii="ITC Avant Garde" w:hAnsi="ITC Avant Garde"/>
                  <w:sz w:val="20"/>
                  <w:szCs w:val="20"/>
                  <w:lang w:val="en-US"/>
                </w:rPr>
                <w:t>http://www.pib.nic.in/newsite/erelease.aspx?relid=37699</w:t>
              </w:r>
            </w:hyperlink>
            <w:r w:rsidRPr="00E711DC">
              <w:rPr>
                <w:rFonts w:ascii="ITC Avant Garde" w:hAnsi="ITC Avant Garde"/>
                <w:sz w:val="20"/>
                <w:szCs w:val="20"/>
                <w:lang w:val="en-US"/>
              </w:rPr>
              <w:t>.</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OECD (2013). “Communications Outlook 2013”.</w:t>
            </w:r>
          </w:p>
          <w:p w:rsidR="001E765C" w:rsidRPr="00682082" w:rsidRDefault="001E765C" w:rsidP="001E765C">
            <w:pPr>
              <w:pStyle w:val="Prrafodelista"/>
              <w:numPr>
                <w:ilvl w:val="0"/>
                <w:numId w:val="4"/>
              </w:numPr>
              <w:jc w:val="both"/>
              <w:rPr>
                <w:rFonts w:ascii="ITC Avant Garde" w:hAnsi="ITC Avant Garde"/>
                <w:sz w:val="20"/>
                <w:szCs w:val="20"/>
              </w:rPr>
            </w:pPr>
            <w:r w:rsidRPr="00682082">
              <w:rPr>
                <w:rFonts w:ascii="ITC Avant Garde" w:hAnsi="ITC Avant Garde"/>
                <w:sz w:val="20"/>
                <w:szCs w:val="20"/>
              </w:rPr>
              <w:t xml:space="preserve">CMA (2010). “Merger Assessment Guidelines”, disponible en </w:t>
            </w:r>
            <w:hyperlink r:id="rId23" w:history="1">
              <w:r w:rsidRPr="00682082">
                <w:rPr>
                  <w:rFonts w:ascii="ITC Avant Garde" w:hAnsi="ITC Avant Garde"/>
                  <w:sz w:val="20"/>
                  <w:szCs w:val="20"/>
                </w:rPr>
                <w:t>https://www.gov.uk/government/uploads/system/uploads/attachment_data/file/284449/OFT1254.pdf</w:t>
              </w:r>
            </w:hyperlink>
            <w:r w:rsidRPr="00682082">
              <w:rPr>
                <w:rFonts w:ascii="ITC Avant Garde" w:hAnsi="ITC Avant Garde"/>
                <w:sz w:val="20"/>
                <w:szCs w:val="20"/>
              </w:rPr>
              <w:t>.</w:t>
            </w:r>
          </w:p>
          <w:p w:rsidR="00870931" w:rsidRPr="00E711DC" w:rsidRDefault="001E765C" w:rsidP="001E765C">
            <w:pPr>
              <w:pStyle w:val="Prrafodelista"/>
              <w:jc w:val="both"/>
              <w:rPr>
                <w:rFonts w:ascii="ITC Avant Garde" w:hAnsi="ITC Avant Garde"/>
                <w:sz w:val="20"/>
                <w:szCs w:val="20"/>
                <w:lang w:val="en-US"/>
              </w:rPr>
            </w:pPr>
            <w:r w:rsidRPr="00E711DC">
              <w:rPr>
                <w:rFonts w:ascii="ITC Avant Garde" w:hAnsi="ITC Avant Garde"/>
                <w:sz w:val="20"/>
                <w:szCs w:val="20"/>
                <w:lang w:val="en-US"/>
              </w:rPr>
              <w:t xml:space="preserve">Rosenberg, E.A. (1997). “Telecommunications mergers and acquisitions: key policy issues and options for state regulators”, disponible en </w:t>
            </w:r>
            <w:hyperlink r:id="rId24" w:history="1">
              <w:r w:rsidRPr="00E711DC">
                <w:rPr>
                  <w:rFonts w:ascii="ITC Avant Garde" w:hAnsi="ITC Avant Garde"/>
                  <w:sz w:val="20"/>
                  <w:szCs w:val="20"/>
                  <w:lang w:val="en-US"/>
                </w:rPr>
                <w:t>http://www.ipu.msu.edu/library/pdfs/nrri/Rosenberg-Telecom-Mergers-97-20-July-97.pdf</w:t>
              </w:r>
            </w:hyperlink>
            <w:r w:rsidRPr="00E711DC">
              <w:rPr>
                <w:rFonts w:ascii="ITC Avant Garde" w:hAnsi="ITC Avant Garde"/>
                <w:sz w:val="20"/>
                <w:szCs w:val="20"/>
                <w:lang w:val="en-US"/>
              </w:rPr>
              <w:t>.</w:t>
            </w:r>
          </w:p>
        </w:tc>
      </w:tr>
    </w:tbl>
    <w:p w:rsidR="0086684A" w:rsidRPr="00E711DC" w:rsidRDefault="0086684A" w:rsidP="0086684A">
      <w:pPr>
        <w:jc w:val="both"/>
        <w:rPr>
          <w:rFonts w:ascii="ITC Avant Garde" w:hAnsi="ITC Avant Garde"/>
          <w:sz w:val="20"/>
          <w:szCs w:val="20"/>
          <w:lang w:val="en-US"/>
        </w:rPr>
      </w:pPr>
    </w:p>
    <w:sectPr w:rsidR="0086684A" w:rsidRPr="00E711DC">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11" w:rsidRDefault="00B76111" w:rsidP="00501ADF">
      <w:pPr>
        <w:spacing w:after="0" w:line="240" w:lineRule="auto"/>
      </w:pPr>
      <w:r>
        <w:separator/>
      </w:r>
    </w:p>
  </w:endnote>
  <w:endnote w:type="continuationSeparator" w:id="0">
    <w:p w:rsidR="00B76111" w:rsidRDefault="00B76111"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11" w:rsidRDefault="00B76111" w:rsidP="00501ADF">
      <w:pPr>
        <w:spacing w:after="0" w:line="240" w:lineRule="auto"/>
      </w:pPr>
      <w:r>
        <w:separator/>
      </w:r>
    </w:p>
  </w:footnote>
  <w:footnote w:type="continuationSeparator" w:id="0">
    <w:p w:rsidR="00B76111" w:rsidRDefault="00B76111"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DF" w:rsidRPr="00501ADF" w:rsidRDefault="00501ADF"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3EE041DE" wp14:editId="3C4BA995">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ADF" w:rsidRPr="00AC496C" w:rsidRDefault="00501ADF" w:rsidP="00501ADF">
    <w:pPr>
      <w:pStyle w:val="Encabezado"/>
      <w:jc w:val="right"/>
      <w:rPr>
        <w:rFonts w:ascii="ITC Avant Garde" w:hAnsi="ITC Avant Garde"/>
      </w:rPr>
    </w:pPr>
    <w:r w:rsidRPr="00AC496C">
      <w:rPr>
        <w:rFonts w:ascii="ITC Avant Garde" w:hAnsi="ITC Avant Garde"/>
      </w:rPr>
      <w:t>ANÁLISIS DE IMPACTO REGULATORIO</w:t>
    </w:r>
  </w:p>
  <w:p w:rsidR="003A541F" w:rsidRDefault="003A541F" w:rsidP="00501ADF">
    <w:pPr>
      <w:pStyle w:val="Encabezado"/>
      <w:jc w:val="right"/>
    </w:pPr>
  </w:p>
  <w:p w:rsidR="00501ADF" w:rsidRDefault="00501ADF">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3DB57AFE" wp14:editId="763C2F2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9C56F6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52C24"/>
    <w:multiLevelType w:val="hybridMultilevel"/>
    <w:tmpl w:val="C11E2EB2"/>
    <w:lvl w:ilvl="0" w:tplc="11E4CC5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AA1CE7"/>
    <w:multiLevelType w:val="hybridMultilevel"/>
    <w:tmpl w:val="D924EB48"/>
    <w:lvl w:ilvl="0" w:tplc="D672937A">
      <w:start w:val="1"/>
      <w:numFmt w:val="lowerRoman"/>
      <w:lvlText w:val="%1."/>
      <w:lvlJc w:val="left"/>
      <w:pPr>
        <w:ind w:left="1098" w:hanging="360"/>
      </w:pPr>
      <w:rPr>
        <w:rFonts w:asciiTheme="minorHAnsi" w:eastAsiaTheme="minorHAnsi" w:hAnsiTheme="minorHAnsi" w:cstheme="minorBidi"/>
      </w:rPr>
    </w:lvl>
    <w:lvl w:ilvl="1" w:tplc="080A0019" w:tentative="1">
      <w:start w:val="1"/>
      <w:numFmt w:val="lowerLetter"/>
      <w:lvlText w:val="%2."/>
      <w:lvlJc w:val="left"/>
      <w:pPr>
        <w:ind w:left="1818" w:hanging="360"/>
      </w:pPr>
    </w:lvl>
    <w:lvl w:ilvl="2" w:tplc="080A001B" w:tentative="1">
      <w:start w:val="1"/>
      <w:numFmt w:val="lowerRoman"/>
      <w:lvlText w:val="%3."/>
      <w:lvlJc w:val="right"/>
      <w:pPr>
        <w:ind w:left="2538" w:hanging="180"/>
      </w:pPr>
    </w:lvl>
    <w:lvl w:ilvl="3" w:tplc="080A000F" w:tentative="1">
      <w:start w:val="1"/>
      <w:numFmt w:val="decimal"/>
      <w:lvlText w:val="%4."/>
      <w:lvlJc w:val="left"/>
      <w:pPr>
        <w:ind w:left="3258" w:hanging="360"/>
      </w:pPr>
    </w:lvl>
    <w:lvl w:ilvl="4" w:tplc="080A0019" w:tentative="1">
      <w:start w:val="1"/>
      <w:numFmt w:val="lowerLetter"/>
      <w:lvlText w:val="%5."/>
      <w:lvlJc w:val="left"/>
      <w:pPr>
        <w:ind w:left="3978" w:hanging="360"/>
      </w:pPr>
    </w:lvl>
    <w:lvl w:ilvl="5" w:tplc="080A001B" w:tentative="1">
      <w:start w:val="1"/>
      <w:numFmt w:val="lowerRoman"/>
      <w:lvlText w:val="%6."/>
      <w:lvlJc w:val="right"/>
      <w:pPr>
        <w:ind w:left="4698" w:hanging="180"/>
      </w:pPr>
    </w:lvl>
    <w:lvl w:ilvl="6" w:tplc="080A000F" w:tentative="1">
      <w:start w:val="1"/>
      <w:numFmt w:val="decimal"/>
      <w:lvlText w:val="%7."/>
      <w:lvlJc w:val="left"/>
      <w:pPr>
        <w:ind w:left="5418" w:hanging="360"/>
      </w:pPr>
    </w:lvl>
    <w:lvl w:ilvl="7" w:tplc="080A0019" w:tentative="1">
      <w:start w:val="1"/>
      <w:numFmt w:val="lowerLetter"/>
      <w:lvlText w:val="%8."/>
      <w:lvlJc w:val="left"/>
      <w:pPr>
        <w:ind w:left="6138" w:hanging="360"/>
      </w:pPr>
    </w:lvl>
    <w:lvl w:ilvl="8" w:tplc="080A001B" w:tentative="1">
      <w:start w:val="1"/>
      <w:numFmt w:val="lowerRoman"/>
      <w:lvlText w:val="%9."/>
      <w:lvlJc w:val="right"/>
      <w:pPr>
        <w:ind w:left="6858" w:hanging="180"/>
      </w:pPr>
    </w:lvl>
  </w:abstractNum>
  <w:abstractNum w:abstractNumId="2" w15:restartNumberingAfterBreak="0">
    <w:nsid w:val="26C80E11"/>
    <w:multiLevelType w:val="hybridMultilevel"/>
    <w:tmpl w:val="E38C33F2"/>
    <w:lvl w:ilvl="0" w:tplc="9A820E6E">
      <w:start w:val="1"/>
      <w:numFmt w:val="lowerLetter"/>
      <w:lvlText w:val="%1)"/>
      <w:lvlJc w:val="left"/>
      <w:pPr>
        <w:ind w:left="1098" w:hanging="360"/>
      </w:pPr>
      <w:rPr>
        <w:rFonts w:hint="default"/>
      </w:rPr>
    </w:lvl>
    <w:lvl w:ilvl="1" w:tplc="080A0019" w:tentative="1">
      <w:start w:val="1"/>
      <w:numFmt w:val="lowerLetter"/>
      <w:lvlText w:val="%2."/>
      <w:lvlJc w:val="left"/>
      <w:pPr>
        <w:ind w:left="1818" w:hanging="360"/>
      </w:pPr>
    </w:lvl>
    <w:lvl w:ilvl="2" w:tplc="080A001B" w:tentative="1">
      <w:start w:val="1"/>
      <w:numFmt w:val="lowerRoman"/>
      <w:lvlText w:val="%3."/>
      <w:lvlJc w:val="right"/>
      <w:pPr>
        <w:ind w:left="2538" w:hanging="180"/>
      </w:pPr>
    </w:lvl>
    <w:lvl w:ilvl="3" w:tplc="080A000F" w:tentative="1">
      <w:start w:val="1"/>
      <w:numFmt w:val="decimal"/>
      <w:lvlText w:val="%4."/>
      <w:lvlJc w:val="left"/>
      <w:pPr>
        <w:ind w:left="3258" w:hanging="360"/>
      </w:pPr>
    </w:lvl>
    <w:lvl w:ilvl="4" w:tplc="080A0019" w:tentative="1">
      <w:start w:val="1"/>
      <w:numFmt w:val="lowerLetter"/>
      <w:lvlText w:val="%5."/>
      <w:lvlJc w:val="left"/>
      <w:pPr>
        <w:ind w:left="3978" w:hanging="360"/>
      </w:pPr>
    </w:lvl>
    <w:lvl w:ilvl="5" w:tplc="080A001B" w:tentative="1">
      <w:start w:val="1"/>
      <w:numFmt w:val="lowerRoman"/>
      <w:lvlText w:val="%6."/>
      <w:lvlJc w:val="right"/>
      <w:pPr>
        <w:ind w:left="4698" w:hanging="180"/>
      </w:pPr>
    </w:lvl>
    <w:lvl w:ilvl="6" w:tplc="080A000F" w:tentative="1">
      <w:start w:val="1"/>
      <w:numFmt w:val="decimal"/>
      <w:lvlText w:val="%7."/>
      <w:lvlJc w:val="left"/>
      <w:pPr>
        <w:ind w:left="5418" w:hanging="360"/>
      </w:pPr>
    </w:lvl>
    <w:lvl w:ilvl="7" w:tplc="080A0019" w:tentative="1">
      <w:start w:val="1"/>
      <w:numFmt w:val="lowerLetter"/>
      <w:lvlText w:val="%8."/>
      <w:lvlJc w:val="left"/>
      <w:pPr>
        <w:ind w:left="6138" w:hanging="360"/>
      </w:pPr>
    </w:lvl>
    <w:lvl w:ilvl="8" w:tplc="080A001B" w:tentative="1">
      <w:start w:val="1"/>
      <w:numFmt w:val="lowerRoman"/>
      <w:lvlText w:val="%9."/>
      <w:lvlJc w:val="right"/>
      <w:pPr>
        <w:ind w:left="6858" w:hanging="180"/>
      </w:pPr>
    </w:lvl>
  </w:abstractNum>
  <w:abstractNum w:abstractNumId="3" w15:restartNumberingAfterBreak="0">
    <w:nsid w:val="278D05FB"/>
    <w:multiLevelType w:val="hybridMultilevel"/>
    <w:tmpl w:val="D924EB48"/>
    <w:lvl w:ilvl="0" w:tplc="D672937A">
      <w:start w:val="1"/>
      <w:numFmt w:val="lowerRoman"/>
      <w:lvlText w:val="%1."/>
      <w:lvlJc w:val="left"/>
      <w:pPr>
        <w:ind w:left="1098" w:hanging="360"/>
      </w:pPr>
      <w:rPr>
        <w:rFonts w:asciiTheme="minorHAnsi" w:eastAsiaTheme="minorHAnsi" w:hAnsiTheme="minorHAnsi" w:cstheme="minorBidi"/>
      </w:rPr>
    </w:lvl>
    <w:lvl w:ilvl="1" w:tplc="080A0019" w:tentative="1">
      <w:start w:val="1"/>
      <w:numFmt w:val="lowerLetter"/>
      <w:lvlText w:val="%2."/>
      <w:lvlJc w:val="left"/>
      <w:pPr>
        <w:ind w:left="1818" w:hanging="360"/>
      </w:pPr>
    </w:lvl>
    <w:lvl w:ilvl="2" w:tplc="080A001B" w:tentative="1">
      <w:start w:val="1"/>
      <w:numFmt w:val="lowerRoman"/>
      <w:lvlText w:val="%3."/>
      <w:lvlJc w:val="right"/>
      <w:pPr>
        <w:ind w:left="2538" w:hanging="180"/>
      </w:pPr>
    </w:lvl>
    <w:lvl w:ilvl="3" w:tplc="080A000F" w:tentative="1">
      <w:start w:val="1"/>
      <w:numFmt w:val="decimal"/>
      <w:lvlText w:val="%4."/>
      <w:lvlJc w:val="left"/>
      <w:pPr>
        <w:ind w:left="3258" w:hanging="360"/>
      </w:pPr>
    </w:lvl>
    <w:lvl w:ilvl="4" w:tplc="080A0019" w:tentative="1">
      <w:start w:val="1"/>
      <w:numFmt w:val="lowerLetter"/>
      <w:lvlText w:val="%5."/>
      <w:lvlJc w:val="left"/>
      <w:pPr>
        <w:ind w:left="3978" w:hanging="360"/>
      </w:pPr>
    </w:lvl>
    <w:lvl w:ilvl="5" w:tplc="080A001B" w:tentative="1">
      <w:start w:val="1"/>
      <w:numFmt w:val="lowerRoman"/>
      <w:lvlText w:val="%6."/>
      <w:lvlJc w:val="right"/>
      <w:pPr>
        <w:ind w:left="4698" w:hanging="180"/>
      </w:pPr>
    </w:lvl>
    <w:lvl w:ilvl="6" w:tplc="080A000F" w:tentative="1">
      <w:start w:val="1"/>
      <w:numFmt w:val="decimal"/>
      <w:lvlText w:val="%7."/>
      <w:lvlJc w:val="left"/>
      <w:pPr>
        <w:ind w:left="5418" w:hanging="360"/>
      </w:pPr>
    </w:lvl>
    <w:lvl w:ilvl="7" w:tplc="080A0019" w:tentative="1">
      <w:start w:val="1"/>
      <w:numFmt w:val="lowerLetter"/>
      <w:lvlText w:val="%8."/>
      <w:lvlJc w:val="left"/>
      <w:pPr>
        <w:ind w:left="6138" w:hanging="360"/>
      </w:pPr>
    </w:lvl>
    <w:lvl w:ilvl="8" w:tplc="080A001B" w:tentative="1">
      <w:start w:val="1"/>
      <w:numFmt w:val="lowerRoman"/>
      <w:lvlText w:val="%9."/>
      <w:lvlJc w:val="right"/>
      <w:pPr>
        <w:ind w:left="6858"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910786"/>
    <w:multiLevelType w:val="hybridMultilevel"/>
    <w:tmpl w:val="9D44AC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37012"/>
    <w:multiLevelType w:val="hybridMultilevel"/>
    <w:tmpl w:val="540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7"/>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5EC"/>
    <w:rsid w:val="00044699"/>
    <w:rsid w:val="000A389A"/>
    <w:rsid w:val="000C556A"/>
    <w:rsid w:val="0013695F"/>
    <w:rsid w:val="001932FC"/>
    <w:rsid w:val="001A3E31"/>
    <w:rsid w:val="001B5760"/>
    <w:rsid w:val="001D1462"/>
    <w:rsid w:val="001D6F48"/>
    <w:rsid w:val="001E765C"/>
    <w:rsid w:val="0026636C"/>
    <w:rsid w:val="00273696"/>
    <w:rsid w:val="00277909"/>
    <w:rsid w:val="00295E97"/>
    <w:rsid w:val="002C4BE8"/>
    <w:rsid w:val="0030055F"/>
    <w:rsid w:val="003039BF"/>
    <w:rsid w:val="00316F50"/>
    <w:rsid w:val="00327883"/>
    <w:rsid w:val="00354E35"/>
    <w:rsid w:val="00375DAB"/>
    <w:rsid w:val="003A4150"/>
    <w:rsid w:val="003A541F"/>
    <w:rsid w:val="003B7575"/>
    <w:rsid w:val="003F05E7"/>
    <w:rsid w:val="003F25FC"/>
    <w:rsid w:val="00435664"/>
    <w:rsid w:val="004E0DA9"/>
    <w:rsid w:val="00501ADF"/>
    <w:rsid w:val="005056A4"/>
    <w:rsid w:val="00510787"/>
    <w:rsid w:val="00515CD3"/>
    <w:rsid w:val="00522872"/>
    <w:rsid w:val="00522CE5"/>
    <w:rsid w:val="0052460A"/>
    <w:rsid w:val="0052620E"/>
    <w:rsid w:val="00542C89"/>
    <w:rsid w:val="005615B7"/>
    <w:rsid w:val="00581F8B"/>
    <w:rsid w:val="005A1D00"/>
    <w:rsid w:val="005A40FB"/>
    <w:rsid w:val="005C7317"/>
    <w:rsid w:val="00682082"/>
    <w:rsid w:val="0068307E"/>
    <w:rsid w:val="006929E2"/>
    <w:rsid w:val="006C006C"/>
    <w:rsid w:val="006C779A"/>
    <w:rsid w:val="006D7A08"/>
    <w:rsid w:val="007104B1"/>
    <w:rsid w:val="00745D13"/>
    <w:rsid w:val="00750EFA"/>
    <w:rsid w:val="0075772F"/>
    <w:rsid w:val="0076377D"/>
    <w:rsid w:val="00781C6A"/>
    <w:rsid w:val="00801FED"/>
    <w:rsid w:val="00822476"/>
    <w:rsid w:val="0086684A"/>
    <w:rsid w:val="00870931"/>
    <w:rsid w:val="0087219A"/>
    <w:rsid w:val="00876D05"/>
    <w:rsid w:val="0088480F"/>
    <w:rsid w:val="008A48B0"/>
    <w:rsid w:val="008C76AF"/>
    <w:rsid w:val="008F5019"/>
    <w:rsid w:val="008F7425"/>
    <w:rsid w:val="00933B42"/>
    <w:rsid w:val="00935BA0"/>
    <w:rsid w:val="0093626A"/>
    <w:rsid w:val="00987852"/>
    <w:rsid w:val="009A5009"/>
    <w:rsid w:val="00A1622C"/>
    <w:rsid w:val="00A22110"/>
    <w:rsid w:val="00A34515"/>
    <w:rsid w:val="00A500AA"/>
    <w:rsid w:val="00A64352"/>
    <w:rsid w:val="00A73AD8"/>
    <w:rsid w:val="00A85375"/>
    <w:rsid w:val="00AA7FB1"/>
    <w:rsid w:val="00AC496C"/>
    <w:rsid w:val="00AD3514"/>
    <w:rsid w:val="00B05D5F"/>
    <w:rsid w:val="00B35532"/>
    <w:rsid w:val="00B64345"/>
    <w:rsid w:val="00B6461E"/>
    <w:rsid w:val="00B74C55"/>
    <w:rsid w:val="00B76111"/>
    <w:rsid w:val="00BA1036"/>
    <w:rsid w:val="00BE15F4"/>
    <w:rsid w:val="00BE50D8"/>
    <w:rsid w:val="00C237E9"/>
    <w:rsid w:val="00C26CE5"/>
    <w:rsid w:val="00C917FC"/>
    <w:rsid w:val="00C93537"/>
    <w:rsid w:val="00C95B44"/>
    <w:rsid w:val="00CC5E93"/>
    <w:rsid w:val="00CF4D07"/>
    <w:rsid w:val="00D03320"/>
    <w:rsid w:val="00D217D8"/>
    <w:rsid w:val="00D774E9"/>
    <w:rsid w:val="00DE0F21"/>
    <w:rsid w:val="00DE6826"/>
    <w:rsid w:val="00DF12CE"/>
    <w:rsid w:val="00DF25BA"/>
    <w:rsid w:val="00DF7362"/>
    <w:rsid w:val="00E27972"/>
    <w:rsid w:val="00E27CA3"/>
    <w:rsid w:val="00E300D4"/>
    <w:rsid w:val="00E35EA1"/>
    <w:rsid w:val="00E553D9"/>
    <w:rsid w:val="00E6080B"/>
    <w:rsid w:val="00E711DC"/>
    <w:rsid w:val="00E856A5"/>
    <w:rsid w:val="00E97912"/>
    <w:rsid w:val="00F1780C"/>
    <w:rsid w:val="00F41E45"/>
    <w:rsid w:val="00F709CC"/>
    <w:rsid w:val="00FA2B5E"/>
    <w:rsid w:val="00FD3888"/>
    <w:rsid w:val="00FE2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semiHidden/>
    <w:unhideWhenUsed/>
    <w:rsid w:val="001E765C"/>
    <w:rPr>
      <w:sz w:val="16"/>
      <w:szCs w:val="16"/>
    </w:rPr>
  </w:style>
  <w:style w:type="paragraph" w:styleId="Textocomentario">
    <w:name w:val="annotation text"/>
    <w:basedOn w:val="Normal"/>
    <w:link w:val="TextocomentarioCar"/>
    <w:uiPriority w:val="99"/>
    <w:semiHidden/>
    <w:unhideWhenUsed/>
    <w:rsid w:val="001E76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765C"/>
    <w:rPr>
      <w:sz w:val="20"/>
      <w:szCs w:val="20"/>
    </w:rPr>
  </w:style>
  <w:style w:type="paragraph" w:styleId="Textodeglobo">
    <w:name w:val="Balloon Text"/>
    <w:basedOn w:val="Normal"/>
    <w:link w:val="TextodegloboCar"/>
    <w:uiPriority w:val="99"/>
    <w:semiHidden/>
    <w:unhideWhenUsed/>
    <w:rsid w:val="001E76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65C"/>
    <w:rPr>
      <w:rFonts w:ascii="Segoe UI" w:hAnsi="Segoe UI" w:cs="Segoe UI"/>
      <w:sz w:val="18"/>
      <w:szCs w:val="18"/>
    </w:rPr>
  </w:style>
  <w:style w:type="paragraph" w:customStyle="1" w:styleId="Default">
    <w:name w:val="Default"/>
    <w:rsid w:val="00BE15F4"/>
    <w:pPr>
      <w:autoSpaceDE w:val="0"/>
      <w:autoSpaceDN w:val="0"/>
      <w:adjustRightInd w:val="0"/>
      <w:spacing w:after="0" w:line="240" w:lineRule="auto"/>
    </w:pPr>
    <w:rPr>
      <w:rFonts w:ascii="Times New Roman" w:hAnsi="Times New Roman" w:cs="Times New Roman"/>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8F5019"/>
    <w:rPr>
      <w:b/>
      <w:bCs/>
    </w:rPr>
  </w:style>
  <w:style w:type="character" w:customStyle="1" w:styleId="AsuntodelcomentarioCar">
    <w:name w:val="Asunto del comentario Car"/>
    <w:basedOn w:val="TextocomentarioCar"/>
    <w:link w:val="Asuntodelcomentario"/>
    <w:uiPriority w:val="99"/>
    <w:semiHidden/>
    <w:rsid w:val="008F5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vador.flores@ift.org.mx" TargetMode="External"/><Relationship Id="rId13" Type="http://schemas.openxmlformats.org/officeDocument/2006/relationships/hyperlink" Target="http://dof.gob.mx/nota_detalle.php?codigo=4888039&amp;fecha=24/07/1998" TargetMode="External"/><Relationship Id="rId18" Type="http://schemas.openxmlformats.org/officeDocument/2006/relationships/hyperlink" Target="http://www.dot.gov.in/sites/default/files/Final%20Merger%20OM%2020-232-04%2821.2.04%291_0.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ternationalcompetitionnetwork.org/uploads/library/doc321.pdf" TargetMode="External"/><Relationship Id="rId7" Type="http://schemas.openxmlformats.org/officeDocument/2006/relationships/endnotes" Target="endnotes.xml"/><Relationship Id="rId12" Type="http://schemas.openxmlformats.org/officeDocument/2006/relationships/hyperlink" Target="http://eur-lex.europa.eu/LexUriServ/LexUriServ.do?uri=OJ:C:2004:031:0005:0018:ES:PDF" TargetMode="External"/><Relationship Id="rId17" Type="http://schemas.openxmlformats.org/officeDocument/2006/relationships/hyperlink" Target="http://www.justice.gov/atr/public/guidelines/hmg-2010.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ustice.gov/atr/public/guidelines/hmg.pdf" TargetMode="External"/><Relationship Id="rId20" Type="http://schemas.openxmlformats.org/officeDocument/2006/relationships/hyperlink" Target="http://aleph.academica.mx/jspui/bitstream/56789/6004/1/DOCT2065090_ARTICULO_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c.ie/sites/default/files/CCPC%20Merger%20Guidelines_1.pdf" TargetMode="External"/><Relationship Id="rId24" Type="http://schemas.openxmlformats.org/officeDocument/2006/relationships/hyperlink" Target="http://www.ipu.msu.edu/library/pdfs/nrri/Rosenberg-Telecom-Mergers-97-20-July-97.pdf" TargetMode="External"/><Relationship Id="rId5" Type="http://schemas.openxmlformats.org/officeDocument/2006/relationships/webSettings" Target="webSettings.xml"/><Relationship Id="rId15" Type="http://schemas.openxmlformats.org/officeDocument/2006/relationships/hyperlink" Target="http://scholarship.law.berkeley.edu/cgi/viewcontent.cgi?article=2149&amp;context=californialawreview" TargetMode="External"/><Relationship Id="rId23" Type="http://schemas.openxmlformats.org/officeDocument/2006/relationships/hyperlink" Target="https://www.gov.uk/government/uploads/system/uploads/attachment_data/file/284449/OFT1254.pdf" TargetMode="External"/><Relationship Id="rId10" Type="http://schemas.openxmlformats.org/officeDocument/2006/relationships/hyperlink" Target="http://www.ief.es/documentos/recursos/publicaciones/papeles_trabajo/1998_02.pdf" TargetMode="External"/><Relationship Id="rId19" Type="http://schemas.openxmlformats.org/officeDocument/2006/relationships/hyperlink" Target="http://www.fne.gob.cl/wp-content/uploads/2012/10/Guia-Fusiones.pdf" TargetMode="External"/><Relationship Id="rId4" Type="http://schemas.openxmlformats.org/officeDocument/2006/relationships/settings" Target="settings.xml"/><Relationship Id="rId9" Type="http://schemas.openxmlformats.org/officeDocument/2006/relationships/hyperlink" Target="http://www.accc.gov.au/system/files/Merger%20guidelines.pdf" TargetMode="External"/><Relationship Id="rId14" Type="http://schemas.openxmlformats.org/officeDocument/2006/relationships/hyperlink" Target="http://www.dof.gob.mx/nota_detalle.php?codigo=5392185&amp;fecha=14/05/2015" TargetMode="External"/><Relationship Id="rId22" Type="http://schemas.openxmlformats.org/officeDocument/2006/relationships/hyperlink" Target="http://www.pib.nic.in/newsite/erelease.aspx?relid=3769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CE95-0610-416F-BC2C-101D9AA0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5167</Words>
  <Characters>28421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dcterms:created xsi:type="dcterms:W3CDTF">2015-11-18T13:07:00Z</dcterms:created>
  <dcterms:modified xsi:type="dcterms:W3CDTF">2015-11-18T13:07:00Z</dcterms:modified>
</cp:coreProperties>
</file>