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B2782" w14:textId="421A9708" w:rsidR="008A39CF" w:rsidRPr="00021217" w:rsidRDefault="005232ED" w:rsidP="00894FC7">
      <w:pPr>
        <w:spacing w:before="120" w:after="120"/>
        <w:jc w:val="both"/>
        <w:rPr>
          <w:rFonts w:ascii="ITC Avant Garde" w:hAnsi="ITC Avant Garde"/>
          <w:b/>
          <w:highlight w:val="yellow"/>
        </w:rPr>
      </w:pPr>
      <w:bookmarkStart w:id="0" w:name="_GoBack"/>
      <w:bookmarkEnd w:id="0"/>
      <w:r>
        <w:rPr>
          <w:rFonts w:ascii="ITC Avant Garde" w:hAnsi="ITC Avant Garde"/>
          <w:b/>
        </w:rPr>
        <w:t>ACUERDO</w:t>
      </w:r>
      <w:r w:rsidR="008A39CF" w:rsidRPr="00021217">
        <w:rPr>
          <w:rFonts w:ascii="ITC Avant Garde" w:hAnsi="ITC Avant Garde"/>
          <w:b/>
        </w:rPr>
        <w:t xml:space="preserve"> MEDIANTE </w:t>
      </w:r>
      <w:r w:rsidR="00747B12">
        <w:rPr>
          <w:rFonts w:ascii="ITC Avant Garde" w:hAnsi="ITC Avant Garde"/>
          <w:b/>
        </w:rPr>
        <w:t>E</w:t>
      </w:r>
      <w:r w:rsidR="008A39CF" w:rsidRPr="00021217">
        <w:rPr>
          <w:rFonts w:ascii="ITC Avant Garde" w:hAnsi="ITC Avant Garde"/>
          <w:b/>
        </w:rPr>
        <w:t xml:space="preserve">L CUAL EL PLENO DEL INSTITUTO FEDERAL DE </w:t>
      </w:r>
      <w:r w:rsidR="008A39CF" w:rsidRPr="00762289">
        <w:rPr>
          <w:rFonts w:ascii="ITC Avant Garde" w:hAnsi="ITC Avant Garde"/>
          <w:b/>
        </w:rPr>
        <w:t xml:space="preserve">TELECOMUNICACIONES </w:t>
      </w:r>
      <w:r w:rsidR="00894FC7">
        <w:rPr>
          <w:rFonts w:ascii="ITC Avant Garde" w:hAnsi="ITC Avant Garde"/>
          <w:b/>
        </w:rPr>
        <w:t xml:space="preserve">EXPIDE EL </w:t>
      </w:r>
      <w:r w:rsidR="00E44BDC">
        <w:rPr>
          <w:rFonts w:ascii="ITC Avant Garde" w:hAnsi="ITC Avant Garde"/>
          <w:b/>
        </w:rPr>
        <w:t xml:space="preserve">CRITERIO TÉCNICO PARA EL </w:t>
      </w:r>
      <w:r w:rsidRPr="005232ED">
        <w:rPr>
          <w:rFonts w:ascii="ITC Avant Garde" w:hAnsi="ITC Avant Garde"/>
          <w:b/>
        </w:rPr>
        <w:t>C</w:t>
      </w:r>
      <w:r w:rsidR="00E44BDC">
        <w:rPr>
          <w:rFonts w:ascii="ITC Avant Garde" w:hAnsi="ITC Avant Garde"/>
          <w:b/>
        </w:rPr>
        <w:t>Á</w:t>
      </w:r>
      <w:r w:rsidRPr="005232ED">
        <w:rPr>
          <w:rFonts w:ascii="ITC Avant Garde" w:hAnsi="ITC Avant Garde"/>
          <w:b/>
        </w:rPr>
        <w:t>LCUL</w:t>
      </w:r>
      <w:r w:rsidR="00E44BDC">
        <w:rPr>
          <w:rFonts w:ascii="ITC Avant Garde" w:hAnsi="ITC Avant Garde"/>
          <w:b/>
        </w:rPr>
        <w:t>O Y APLICACIÓN DE UN ÍNDICE CUANTITATIVO A FIN DE</w:t>
      </w:r>
      <w:r w:rsidRPr="005232ED">
        <w:rPr>
          <w:rFonts w:ascii="ITC Avant Garde" w:hAnsi="ITC Avant Garde"/>
          <w:b/>
        </w:rPr>
        <w:t xml:space="preserve"> DETERMINAR EL GRADO DE CONCENTRACIÓN</w:t>
      </w:r>
      <w:r w:rsidR="00C737EA">
        <w:rPr>
          <w:rFonts w:ascii="ITC Avant Garde" w:hAnsi="ITC Avant Garde"/>
          <w:b/>
        </w:rPr>
        <w:t xml:space="preserve"> EN LOS MERCADOS Y</w:t>
      </w:r>
      <w:r w:rsidR="00E44BDC">
        <w:rPr>
          <w:rFonts w:ascii="ITC Avant Garde" w:hAnsi="ITC Avant Garde"/>
          <w:b/>
        </w:rPr>
        <w:t xml:space="preserve"> </w:t>
      </w:r>
      <w:r w:rsidR="00916E6B">
        <w:rPr>
          <w:rFonts w:ascii="ITC Avant Garde" w:hAnsi="ITC Avant Garde"/>
          <w:b/>
        </w:rPr>
        <w:t xml:space="preserve">SERVICIOS CORRESPONDIENTES A LOS </w:t>
      </w:r>
      <w:r w:rsidR="00E44BDC">
        <w:rPr>
          <w:rFonts w:ascii="ITC Avant Garde" w:hAnsi="ITC Avant Garde"/>
          <w:b/>
        </w:rPr>
        <w:t>SECTORES DE TELECOMUNICACIONES Y RADIODIFUSIÓN</w:t>
      </w:r>
      <w:r w:rsidR="00FB47FD">
        <w:rPr>
          <w:rFonts w:ascii="ITC Avant Garde" w:hAnsi="ITC Avant Garde"/>
          <w:b/>
        </w:rPr>
        <w:t xml:space="preserve"> </w:t>
      </w:r>
    </w:p>
    <w:p w14:paraId="1F6C933E" w14:textId="77777777" w:rsidR="0060122E" w:rsidRPr="00021217" w:rsidRDefault="0060122E" w:rsidP="00894FC7">
      <w:pPr>
        <w:spacing w:before="120" w:after="120"/>
        <w:jc w:val="both"/>
        <w:rPr>
          <w:rFonts w:ascii="ITC Avant Garde" w:hAnsi="ITC Avant Garde"/>
          <w:b/>
          <w:highlight w:val="yellow"/>
        </w:rPr>
      </w:pPr>
    </w:p>
    <w:p w14:paraId="26CBBBED" w14:textId="0B312069" w:rsidR="00A63FA7" w:rsidRPr="00370F00" w:rsidRDefault="00A63FA7" w:rsidP="00894FC7">
      <w:pPr>
        <w:pStyle w:val="Ttulo1"/>
        <w:keepNext w:val="0"/>
        <w:spacing w:before="120" w:after="120" w:line="276" w:lineRule="auto"/>
        <w:ind w:left="862" w:hanging="357"/>
        <w:rPr>
          <w:rStyle w:val="NormalIFTCar"/>
          <w:rFonts w:eastAsia="Calibri"/>
          <w:sz w:val="22"/>
          <w:szCs w:val="22"/>
        </w:rPr>
      </w:pPr>
      <w:r w:rsidRPr="00370F00">
        <w:rPr>
          <w:rStyle w:val="NormalIFTCar"/>
          <w:rFonts w:eastAsia="Calibri"/>
          <w:sz w:val="22"/>
          <w:szCs w:val="22"/>
        </w:rPr>
        <w:t>ANTECEDENTES</w:t>
      </w:r>
    </w:p>
    <w:p w14:paraId="76743493" w14:textId="343003BF" w:rsidR="00A63FA7" w:rsidRPr="00370F00" w:rsidRDefault="00A63FA7" w:rsidP="00A63FA7">
      <w:pPr>
        <w:pStyle w:val="Texto"/>
        <w:numPr>
          <w:ilvl w:val="0"/>
          <w:numId w:val="28"/>
        </w:numPr>
        <w:spacing w:before="120" w:after="120" w:line="276" w:lineRule="auto"/>
        <w:ind w:left="360"/>
        <w:rPr>
          <w:rFonts w:ascii="ITC Avant Garde" w:hAnsi="ITC Avant Garde"/>
          <w:sz w:val="22"/>
          <w:szCs w:val="22"/>
          <w:lang w:val="es-MX"/>
        </w:rPr>
      </w:pPr>
      <w:r w:rsidRPr="00370F00">
        <w:rPr>
          <w:rFonts w:ascii="ITC Avant Garde" w:hAnsi="ITC Avant Garde"/>
          <w:sz w:val="22"/>
          <w:szCs w:val="22"/>
          <w:lang w:val="es-MX"/>
        </w:rPr>
        <w:t xml:space="preserve">El 11 de junio de 2013, </w:t>
      </w:r>
      <w:r w:rsidR="00C84112">
        <w:rPr>
          <w:rFonts w:ascii="ITC Avant Garde" w:hAnsi="ITC Avant Garde"/>
          <w:sz w:val="22"/>
          <w:szCs w:val="22"/>
          <w:lang w:val="es-MX"/>
        </w:rPr>
        <w:t xml:space="preserve">se publicó </w:t>
      </w:r>
      <w:r w:rsidR="00C84112" w:rsidRPr="00370F00">
        <w:rPr>
          <w:rFonts w:ascii="ITC Avant Garde" w:hAnsi="ITC Avant Garde"/>
          <w:sz w:val="22"/>
          <w:szCs w:val="22"/>
          <w:lang w:val="es-MX"/>
        </w:rPr>
        <w:t>en el Diario Oficial de la Federación (DOF)</w:t>
      </w:r>
      <w:r w:rsidR="00C84112">
        <w:rPr>
          <w:rFonts w:ascii="ITC Avant Garde" w:hAnsi="ITC Avant Garde"/>
          <w:sz w:val="22"/>
          <w:szCs w:val="22"/>
          <w:lang w:val="es-MX"/>
        </w:rPr>
        <w:t xml:space="preserve"> </w:t>
      </w:r>
      <w:r w:rsidR="00C84112" w:rsidRPr="00370F00">
        <w:rPr>
          <w:rFonts w:ascii="ITC Avant Garde" w:hAnsi="ITC Avant Garde"/>
          <w:sz w:val="22"/>
          <w:szCs w:val="22"/>
          <w:lang w:val="es-MX"/>
        </w:rPr>
        <w:t xml:space="preserve">el </w:t>
      </w:r>
      <w:r w:rsidR="00C84112" w:rsidRPr="00370F00">
        <w:rPr>
          <w:rFonts w:ascii="ITC Avant Garde" w:hAnsi="ITC Avant Garde"/>
          <w:i/>
          <w:sz w:val="22"/>
          <w:szCs w:val="22"/>
          <w:lang w:val="es-MX"/>
        </w:rPr>
        <w:t xml:space="preserve">“Decreto por el que se reforman y adicionan diversas disposiciones de los artículos 6o., 7o., 27, 28, 73, 78, 94 y 105 de la </w:t>
      </w:r>
      <w:r w:rsidR="00FA6F54">
        <w:rPr>
          <w:rFonts w:ascii="ITC Avant Garde" w:hAnsi="ITC Avant Garde"/>
          <w:i/>
          <w:sz w:val="22"/>
          <w:szCs w:val="22"/>
          <w:lang w:val="es-MX"/>
        </w:rPr>
        <w:t>Constitución</w:t>
      </w:r>
      <w:r w:rsidR="00C84112" w:rsidRPr="00370F00">
        <w:rPr>
          <w:rFonts w:ascii="ITC Avant Garde" w:hAnsi="ITC Avant Garde"/>
          <w:i/>
          <w:sz w:val="22"/>
          <w:szCs w:val="22"/>
          <w:lang w:val="es-MX"/>
        </w:rPr>
        <w:t xml:space="preserve"> Política de los Estados Unidos Mexicanos, en materia de telecomunicaciones”</w:t>
      </w:r>
      <w:r w:rsidR="00C84112" w:rsidRPr="00370F00">
        <w:rPr>
          <w:rFonts w:ascii="ITC Avant Garde" w:hAnsi="ITC Avant Garde"/>
          <w:sz w:val="22"/>
          <w:szCs w:val="22"/>
          <w:lang w:val="es-MX"/>
        </w:rPr>
        <w:t xml:space="preserve"> (Decreto de Reforma Constitucional)</w:t>
      </w:r>
      <w:r w:rsidR="00FA6F54">
        <w:rPr>
          <w:rFonts w:ascii="ITC Avant Garde" w:hAnsi="ITC Avant Garde"/>
          <w:sz w:val="22"/>
          <w:szCs w:val="22"/>
          <w:lang w:val="es-MX"/>
        </w:rPr>
        <w:t>,</w:t>
      </w:r>
      <w:r w:rsidR="00C84112">
        <w:rPr>
          <w:rFonts w:ascii="ITC Avant Garde" w:hAnsi="ITC Avant Garde"/>
          <w:sz w:val="22"/>
          <w:szCs w:val="22"/>
          <w:lang w:val="es-MX"/>
        </w:rPr>
        <w:t xml:space="preserve"> mediante el cual </w:t>
      </w:r>
      <w:r w:rsidRPr="00370F00">
        <w:rPr>
          <w:rFonts w:ascii="ITC Avant Garde" w:hAnsi="ITC Avant Garde"/>
          <w:sz w:val="22"/>
          <w:szCs w:val="22"/>
          <w:lang w:val="es-MX"/>
        </w:rPr>
        <w:t xml:space="preserve">se creó el Instituto Federal de Telecomunicaciones (Instituto) como un órgano autónomo con personalidad jurídica y patrimonio propio, para regular, promover y supervisar el uso, </w:t>
      </w:r>
      <w:r w:rsidRPr="00FA6F54">
        <w:rPr>
          <w:rFonts w:ascii="ITC Avant Garde" w:hAnsi="ITC Avant Garde"/>
          <w:sz w:val="22"/>
          <w:szCs w:val="22"/>
          <w:lang w:val="es-MX"/>
        </w:rPr>
        <w:t>aprovechamiento y explotación de los servicios de radiodifusión y telecomunicaciones</w:t>
      </w:r>
      <w:r w:rsidR="00FA6F54" w:rsidRPr="00FA6F54">
        <w:rPr>
          <w:rFonts w:ascii="ITC Avant Garde" w:hAnsi="ITC Avant Garde"/>
          <w:sz w:val="22"/>
          <w:szCs w:val="22"/>
          <w:lang w:val="es-MX"/>
        </w:rPr>
        <w:t xml:space="preserve"> </w:t>
      </w:r>
      <w:r w:rsidR="00FA6F54" w:rsidRPr="00FA6F54">
        <w:rPr>
          <w:rFonts w:ascii="ITC Avant Garde" w:hAnsi="ITC Avant Garde"/>
          <w:bCs/>
          <w:color w:val="000000"/>
          <w:sz w:val="22"/>
          <w:szCs w:val="22"/>
          <w:lang w:val="es-ES_tradnl" w:eastAsia="es-MX"/>
        </w:rPr>
        <w:t>conforme a lo dispuesto en la propia Constitución Política de los Estados Unidos Mexicanos (CPEUM) y en los términos que fijen las leyes</w:t>
      </w:r>
      <w:r w:rsidRPr="00FA6F54">
        <w:rPr>
          <w:rFonts w:ascii="ITC Avant Garde" w:hAnsi="ITC Avant Garde"/>
          <w:sz w:val="22"/>
          <w:szCs w:val="22"/>
          <w:lang w:val="es-MX"/>
        </w:rPr>
        <w:t>, además de ser la autoridad en materia de competencia económica en los sectores de los servicios antes aludidos</w:t>
      </w:r>
      <w:r w:rsidR="00C84112" w:rsidRPr="00FA6F54">
        <w:rPr>
          <w:rFonts w:ascii="ITC Avant Garde" w:hAnsi="ITC Avant Garde"/>
          <w:sz w:val="22"/>
          <w:szCs w:val="22"/>
          <w:lang w:val="es-MX"/>
        </w:rPr>
        <w:t>.</w:t>
      </w:r>
      <w:r w:rsidR="00C84112" w:rsidRPr="00FA6F54" w:rsidDel="00C84112">
        <w:rPr>
          <w:rFonts w:ascii="ITC Avant Garde" w:hAnsi="ITC Avant Garde"/>
          <w:sz w:val="22"/>
          <w:szCs w:val="22"/>
          <w:lang w:val="es-MX"/>
        </w:rPr>
        <w:t xml:space="preserve"> </w:t>
      </w:r>
      <w:r w:rsidR="00C84112">
        <w:rPr>
          <w:rFonts w:ascii="ITC Avant Garde" w:hAnsi="ITC Avant Garde"/>
          <w:sz w:val="22"/>
          <w:szCs w:val="22"/>
          <w:lang w:val="es-MX"/>
        </w:rPr>
        <w:t xml:space="preserve">El </w:t>
      </w:r>
      <w:r w:rsidR="00C84112" w:rsidRPr="00370F00">
        <w:rPr>
          <w:rFonts w:ascii="ITC Avant Garde" w:hAnsi="ITC Avant Garde"/>
          <w:sz w:val="22"/>
          <w:szCs w:val="22"/>
          <w:lang w:val="es-MX"/>
        </w:rPr>
        <w:t xml:space="preserve">Decreto de </w:t>
      </w:r>
      <w:r w:rsidR="00C84112" w:rsidRPr="00370F00">
        <w:rPr>
          <w:rFonts w:ascii="ITC Avant Garde" w:hAnsi="ITC Avant Garde"/>
          <w:sz w:val="22"/>
          <w:szCs w:val="22"/>
          <w:lang w:val="es-MX"/>
        </w:rPr>
        <w:lastRenderedPageBreak/>
        <w:t xml:space="preserve">Reforma Constitucional </w:t>
      </w:r>
      <w:r w:rsidRPr="00370F00">
        <w:rPr>
          <w:rFonts w:ascii="ITC Avant Garde" w:hAnsi="ITC Avant Garde"/>
          <w:sz w:val="22"/>
          <w:szCs w:val="22"/>
          <w:lang w:val="es-MX"/>
        </w:rPr>
        <w:t>entró en vigor al día siguiente de su publicación, es decir el día 12 de junio de 2013.</w:t>
      </w:r>
    </w:p>
    <w:p w14:paraId="6311F186" w14:textId="310C9060" w:rsidR="00A63FA7" w:rsidRPr="00370F00" w:rsidRDefault="00A63FA7" w:rsidP="00A63FA7">
      <w:pPr>
        <w:pStyle w:val="Texto"/>
        <w:numPr>
          <w:ilvl w:val="0"/>
          <w:numId w:val="28"/>
        </w:numPr>
        <w:spacing w:before="120" w:after="120" w:line="276" w:lineRule="auto"/>
        <w:ind w:left="360"/>
        <w:rPr>
          <w:rFonts w:ascii="ITC Avant Garde" w:hAnsi="ITC Avant Garde"/>
          <w:sz w:val="22"/>
          <w:szCs w:val="22"/>
          <w:lang w:val="es-MX"/>
        </w:rPr>
      </w:pPr>
      <w:r w:rsidRPr="00370F00">
        <w:rPr>
          <w:rFonts w:ascii="ITC Avant Garde" w:hAnsi="ITC Avant Garde"/>
          <w:sz w:val="22"/>
          <w:szCs w:val="22"/>
          <w:lang w:val="es-MX"/>
        </w:rPr>
        <w:t>El 23 de mayo de 2014</w:t>
      </w:r>
      <w:r w:rsidR="00715C28">
        <w:rPr>
          <w:rFonts w:ascii="ITC Avant Garde" w:hAnsi="ITC Avant Garde"/>
          <w:sz w:val="22"/>
          <w:szCs w:val="22"/>
          <w:lang w:val="es-MX"/>
        </w:rPr>
        <w:t>,</w:t>
      </w:r>
      <w:r w:rsidRPr="00370F00">
        <w:rPr>
          <w:rFonts w:ascii="ITC Avant Garde" w:hAnsi="ITC Avant Garde"/>
          <w:sz w:val="22"/>
          <w:szCs w:val="22"/>
          <w:lang w:val="es-MX"/>
        </w:rPr>
        <w:t xml:space="preserve"> se publicó en el DOF el “</w:t>
      </w:r>
      <w:r w:rsidRPr="00715C28">
        <w:rPr>
          <w:rFonts w:ascii="ITC Avant Garde" w:hAnsi="ITC Avant Garde"/>
          <w:i/>
          <w:sz w:val="22"/>
          <w:szCs w:val="22"/>
          <w:lang w:val="es-MX"/>
        </w:rPr>
        <w:t>Decreto por el que se expide la Ley Federal de Competencia Económica y se reforman y adicionan diversos artículos del Código Penal Federal</w:t>
      </w:r>
      <w:r w:rsidRPr="00370F00">
        <w:rPr>
          <w:rFonts w:ascii="ITC Avant Garde" w:hAnsi="ITC Avant Garde"/>
          <w:sz w:val="22"/>
          <w:szCs w:val="22"/>
          <w:lang w:val="es-MX"/>
        </w:rPr>
        <w:t xml:space="preserve">” que, en términos de su artículo </w:t>
      </w:r>
      <w:r w:rsidR="00715C28">
        <w:rPr>
          <w:rFonts w:ascii="ITC Avant Garde" w:hAnsi="ITC Avant Garde"/>
          <w:sz w:val="22"/>
          <w:szCs w:val="22"/>
          <w:lang w:val="es-MX"/>
        </w:rPr>
        <w:t>p</w:t>
      </w:r>
      <w:r w:rsidRPr="00370F00">
        <w:rPr>
          <w:rFonts w:ascii="ITC Avant Garde" w:hAnsi="ITC Avant Garde"/>
          <w:sz w:val="22"/>
          <w:szCs w:val="22"/>
          <w:lang w:val="es-MX"/>
        </w:rPr>
        <w:t xml:space="preserve">rimero </w:t>
      </w:r>
      <w:r w:rsidR="00715C28">
        <w:rPr>
          <w:rFonts w:ascii="ITC Avant Garde" w:hAnsi="ITC Avant Garde"/>
          <w:sz w:val="22"/>
          <w:szCs w:val="22"/>
          <w:lang w:val="es-MX"/>
        </w:rPr>
        <w:t>t</w:t>
      </w:r>
      <w:r w:rsidRPr="00370F00">
        <w:rPr>
          <w:rFonts w:ascii="ITC Avant Garde" w:hAnsi="ITC Avant Garde"/>
          <w:sz w:val="22"/>
          <w:szCs w:val="22"/>
          <w:lang w:val="es-MX"/>
        </w:rPr>
        <w:t xml:space="preserve">ransitorio, entró en vigor a los </w:t>
      </w:r>
      <w:r w:rsidR="00715C28">
        <w:rPr>
          <w:rFonts w:ascii="ITC Avant Garde" w:hAnsi="ITC Avant Garde"/>
          <w:sz w:val="22"/>
          <w:szCs w:val="22"/>
          <w:lang w:val="es-MX"/>
        </w:rPr>
        <w:t>45 (</w:t>
      </w:r>
      <w:r w:rsidRPr="00370F00">
        <w:rPr>
          <w:rFonts w:ascii="ITC Avant Garde" w:hAnsi="ITC Avant Garde"/>
          <w:sz w:val="22"/>
          <w:szCs w:val="22"/>
          <w:lang w:val="es-MX"/>
        </w:rPr>
        <w:t>cuarenta y cinco</w:t>
      </w:r>
      <w:r w:rsidR="00715C28">
        <w:rPr>
          <w:rFonts w:ascii="ITC Avant Garde" w:hAnsi="ITC Avant Garde"/>
          <w:sz w:val="22"/>
          <w:szCs w:val="22"/>
          <w:lang w:val="es-MX"/>
        </w:rPr>
        <w:t>)</w:t>
      </w:r>
      <w:r w:rsidRPr="00370F00">
        <w:rPr>
          <w:rFonts w:ascii="ITC Avant Garde" w:hAnsi="ITC Avant Garde"/>
          <w:sz w:val="22"/>
          <w:szCs w:val="22"/>
          <w:lang w:val="es-MX"/>
        </w:rPr>
        <w:t xml:space="preserve"> días naturales siguientes a su publicación, esto es, el 7 de julio de 2014.</w:t>
      </w:r>
    </w:p>
    <w:p w14:paraId="426B80EA" w14:textId="3C96D5D8" w:rsidR="00A63FA7" w:rsidRPr="00370F00" w:rsidRDefault="00A63FA7" w:rsidP="00A63FA7">
      <w:pPr>
        <w:pStyle w:val="Texto"/>
        <w:numPr>
          <w:ilvl w:val="0"/>
          <w:numId w:val="28"/>
        </w:numPr>
        <w:spacing w:before="120" w:after="120" w:line="276" w:lineRule="auto"/>
        <w:ind w:left="360"/>
        <w:rPr>
          <w:rFonts w:ascii="ITC Avant Garde" w:hAnsi="ITC Avant Garde"/>
          <w:sz w:val="22"/>
          <w:szCs w:val="22"/>
          <w:lang w:val="es-MX"/>
        </w:rPr>
      </w:pPr>
      <w:r w:rsidRPr="00370F00">
        <w:rPr>
          <w:rFonts w:ascii="ITC Avant Garde" w:hAnsi="ITC Avant Garde"/>
          <w:sz w:val="22"/>
          <w:szCs w:val="22"/>
          <w:lang w:val="es-MX"/>
        </w:rPr>
        <w:t>El 14 de julio de 2014</w:t>
      </w:r>
      <w:r w:rsidR="00715C28">
        <w:rPr>
          <w:rFonts w:ascii="ITC Avant Garde" w:hAnsi="ITC Avant Garde"/>
          <w:sz w:val="22"/>
          <w:szCs w:val="22"/>
          <w:lang w:val="es-MX"/>
        </w:rPr>
        <w:t>,</w:t>
      </w:r>
      <w:r w:rsidRPr="00370F00">
        <w:rPr>
          <w:rFonts w:ascii="ITC Avant Garde" w:hAnsi="ITC Avant Garde"/>
          <w:sz w:val="22"/>
          <w:szCs w:val="22"/>
          <w:lang w:val="es-MX"/>
        </w:rPr>
        <w:t xml:space="preserve"> </w:t>
      </w:r>
      <w:r w:rsidR="00715C28">
        <w:rPr>
          <w:rFonts w:ascii="ITC Avant Garde" w:hAnsi="ITC Avant Garde"/>
          <w:sz w:val="22"/>
          <w:szCs w:val="22"/>
          <w:lang w:val="es-MX"/>
        </w:rPr>
        <w:t>se publicó</w:t>
      </w:r>
      <w:r w:rsidRPr="00370F00">
        <w:rPr>
          <w:rFonts w:ascii="ITC Avant Garde" w:hAnsi="ITC Avant Garde"/>
          <w:sz w:val="22"/>
          <w:szCs w:val="22"/>
          <w:lang w:val="es-MX"/>
        </w:rPr>
        <w:t xml:space="preserve"> en el DOF el “</w:t>
      </w:r>
      <w:r w:rsidRPr="00370F00">
        <w:rPr>
          <w:rFonts w:ascii="ITC Avant Garde" w:hAnsi="ITC Avant Garde"/>
          <w:i/>
          <w:sz w:val="22"/>
          <w:szCs w:val="22"/>
          <w:lang w:val="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370F00">
        <w:rPr>
          <w:rFonts w:ascii="ITC Avant Garde" w:hAnsi="ITC Avant Garde"/>
          <w:sz w:val="22"/>
          <w:szCs w:val="22"/>
          <w:lang w:val="es-MX"/>
        </w:rPr>
        <w:t xml:space="preserve">” (Decreto que expide la LFTR), el cual, en términos de lo dispuesto por su artículo </w:t>
      </w:r>
      <w:r w:rsidR="00715C28">
        <w:rPr>
          <w:rFonts w:ascii="ITC Avant Garde" w:hAnsi="ITC Avant Garde"/>
          <w:sz w:val="22"/>
          <w:szCs w:val="22"/>
          <w:lang w:val="es-MX"/>
        </w:rPr>
        <w:t>p</w:t>
      </w:r>
      <w:r w:rsidRPr="00370F00">
        <w:rPr>
          <w:rFonts w:ascii="ITC Avant Garde" w:hAnsi="ITC Avant Garde"/>
          <w:sz w:val="22"/>
          <w:szCs w:val="22"/>
          <w:lang w:val="es-MX"/>
        </w:rPr>
        <w:t xml:space="preserve">rimero </w:t>
      </w:r>
      <w:r w:rsidR="00715C28">
        <w:rPr>
          <w:rFonts w:ascii="ITC Avant Garde" w:hAnsi="ITC Avant Garde"/>
          <w:sz w:val="22"/>
          <w:szCs w:val="22"/>
          <w:lang w:val="es-MX"/>
        </w:rPr>
        <w:t>t</w:t>
      </w:r>
      <w:r w:rsidRPr="00370F00">
        <w:rPr>
          <w:rFonts w:ascii="ITC Avant Garde" w:hAnsi="ITC Avant Garde"/>
          <w:sz w:val="22"/>
          <w:szCs w:val="22"/>
          <w:lang w:val="es-MX"/>
        </w:rPr>
        <w:t xml:space="preserve">ransitorio, entró en vigor a los </w:t>
      </w:r>
      <w:r w:rsidR="00715C28">
        <w:rPr>
          <w:rFonts w:ascii="ITC Avant Garde" w:hAnsi="ITC Avant Garde"/>
          <w:sz w:val="22"/>
          <w:szCs w:val="22"/>
          <w:lang w:val="es-MX"/>
        </w:rPr>
        <w:t>30 (</w:t>
      </w:r>
      <w:r w:rsidRPr="00370F00">
        <w:rPr>
          <w:rFonts w:ascii="ITC Avant Garde" w:hAnsi="ITC Avant Garde"/>
          <w:sz w:val="22"/>
          <w:szCs w:val="22"/>
          <w:lang w:val="es-MX"/>
        </w:rPr>
        <w:t>treinta</w:t>
      </w:r>
      <w:r w:rsidR="00715C28">
        <w:rPr>
          <w:rFonts w:ascii="ITC Avant Garde" w:hAnsi="ITC Avant Garde"/>
          <w:sz w:val="22"/>
          <w:szCs w:val="22"/>
          <w:lang w:val="es-MX"/>
        </w:rPr>
        <w:t>)</w:t>
      </w:r>
      <w:r w:rsidRPr="00370F00">
        <w:rPr>
          <w:rFonts w:ascii="ITC Avant Garde" w:hAnsi="ITC Avant Garde"/>
          <w:sz w:val="22"/>
          <w:szCs w:val="22"/>
          <w:lang w:val="es-MX"/>
        </w:rPr>
        <w:t xml:space="preserve"> días naturales siguientes a su publicación, esto es, el 13 de agosto de 2014.</w:t>
      </w:r>
    </w:p>
    <w:p w14:paraId="313D65AE" w14:textId="4A0B927C" w:rsidR="00A63FA7" w:rsidRPr="00370F00" w:rsidRDefault="00A63FA7" w:rsidP="00A63FA7">
      <w:pPr>
        <w:pStyle w:val="Texto"/>
        <w:numPr>
          <w:ilvl w:val="0"/>
          <w:numId w:val="28"/>
        </w:numPr>
        <w:spacing w:before="120" w:after="120" w:line="276" w:lineRule="auto"/>
        <w:ind w:left="360"/>
        <w:rPr>
          <w:rFonts w:ascii="ITC Avant Garde" w:hAnsi="ITC Avant Garde"/>
          <w:sz w:val="22"/>
          <w:szCs w:val="22"/>
          <w:lang w:val="es-MX"/>
        </w:rPr>
      </w:pPr>
      <w:r w:rsidRPr="00370F00">
        <w:rPr>
          <w:rFonts w:ascii="ITC Avant Garde" w:hAnsi="ITC Avant Garde"/>
          <w:sz w:val="22"/>
          <w:szCs w:val="22"/>
          <w:lang w:val="es-MX"/>
        </w:rPr>
        <w:t xml:space="preserve">El 4 de septiembre de 2014, se publicó en el DOF el Estatuto Orgánico del Instituto, mismo que entró en vigor el 26 de septiembre de 2014 y fue modificado mediante Acuerdo publicado </w:t>
      </w:r>
      <w:r w:rsidR="00715C28">
        <w:rPr>
          <w:rFonts w:ascii="ITC Avant Garde" w:hAnsi="ITC Avant Garde"/>
          <w:sz w:val="22"/>
          <w:szCs w:val="22"/>
          <w:lang w:val="es-MX"/>
        </w:rPr>
        <w:t>en</w:t>
      </w:r>
      <w:r w:rsidRPr="00370F00">
        <w:rPr>
          <w:rFonts w:ascii="ITC Avant Garde" w:hAnsi="ITC Avant Garde"/>
          <w:sz w:val="22"/>
          <w:szCs w:val="22"/>
          <w:lang w:val="es-MX"/>
        </w:rPr>
        <w:t xml:space="preserve"> el mismo medio el 17 de octubre de 2014.</w:t>
      </w:r>
    </w:p>
    <w:p w14:paraId="2867B8A1" w14:textId="680D8876" w:rsidR="00F17026" w:rsidRPr="00370F00" w:rsidRDefault="00F17026" w:rsidP="00F17026">
      <w:pPr>
        <w:pStyle w:val="Texto"/>
        <w:numPr>
          <w:ilvl w:val="0"/>
          <w:numId w:val="28"/>
        </w:numPr>
        <w:spacing w:before="120" w:after="120" w:line="276" w:lineRule="auto"/>
        <w:ind w:left="360"/>
        <w:rPr>
          <w:rFonts w:ascii="ITC Avant Garde" w:hAnsi="ITC Avant Garde"/>
          <w:sz w:val="22"/>
          <w:szCs w:val="22"/>
          <w:lang w:val="es-MX"/>
        </w:rPr>
      </w:pPr>
      <w:r w:rsidRPr="00370F00">
        <w:rPr>
          <w:rFonts w:ascii="ITC Avant Garde" w:hAnsi="ITC Avant Garde"/>
          <w:sz w:val="22"/>
          <w:szCs w:val="22"/>
          <w:lang w:val="es-MX"/>
        </w:rPr>
        <w:lastRenderedPageBreak/>
        <w:t xml:space="preserve">El 7 de enero de 2015, el Pleno del Instituto emitió el </w:t>
      </w:r>
      <w:r w:rsidR="00C84112">
        <w:rPr>
          <w:rFonts w:ascii="ITC Avant Garde" w:hAnsi="ITC Avant Garde"/>
          <w:sz w:val="22"/>
          <w:szCs w:val="22"/>
          <w:lang w:val="es-MX"/>
        </w:rPr>
        <w:t>“</w:t>
      </w:r>
      <w:r w:rsidRPr="00370F00">
        <w:rPr>
          <w:rFonts w:ascii="ITC Avant Garde" w:hAnsi="ITC Avant Garde"/>
          <w:i/>
          <w:sz w:val="22"/>
          <w:szCs w:val="22"/>
          <w:lang w:val="es-MX"/>
        </w:rPr>
        <w:t>ACUERDO por el que expide las Disposiciones Regulatorias de la Ley Federal de Competencia Económica para los sectores de telecomunicacion</w:t>
      </w:r>
      <w:r w:rsidRPr="00715C28">
        <w:rPr>
          <w:rFonts w:ascii="ITC Avant Garde" w:hAnsi="ITC Avant Garde"/>
          <w:i/>
          <w:sz w:val="22"/>
          <w:szCs w:val="22"/>
          <w:lang w:val="es-MX"/>
        </w:rPr>
        <w:t>es y radiodifusión</w:t>
      </w:r>
      <w:r w:rsidR="00C84112">
        <w:rPr>
          <w:rFonts w:ascii="ITC Avant Garde" w:hAnsi="ITC Avant Garde"/>
          <w:i/>
          <w:sz w:val="22"/>
          <w:szCs w:val="22"/>
          <w:lang w:val="es-MX"/>
        </w:rPr>
        <w:t>”</w:t>
      </w:r>
      <w:r w:rsidR="00715C28" w:rsidRPr="00715C28">
        <w:rPr>
          <w:rFonts w:ascii="ITC Avant Garde" w:hAnsi="ITC Avant Garde"/>
          <w:i/>
          <w:sz w:val="22"/>
          <w:szCs w:val="22"/>
          <w:lang w:val="es-MX"/>
        </w:rPr>
        <w:t xml:space="preserve"> (</w:t>
      </w:r>
      <w:r w:rsidR="00715C28" w:rsidRPr="00715C28">
        <w:rPr>
          <w:rFonts w:ascii="ITC Avant Garde" w:hAnsi="ITC Avant Garde"/>
          <w:sz w:val="22"/>
          <w:szCs w:val="22"/>
        </w:rPr>
        <w:t>Acuerdo que expide las Disposiciones Regulatorias</w:t>
      </w:r>
      <w:r w:rsidR="00715C28" w:rsidRPr="00715C28">
        <w:rPr>
          <w:rFonts w:ascii="ITC Avant Garde" w:hAnsi="ITC Avant Garde"/>
          <w:i/>
          <w:sz w:val="22"/>
          <w:szCs w:val="22"/>
          <w:lang w:val="es-MX"/>
        </w:rPr>
        <w:t>)</w:t>
      </w:r>
      <w:r w:rsidRPr="00715C28">
        <w:rPr>
          <w:rFonts w:ascii="ITC Avant Garde" w:hAnsi="ITC Avant Garde"/>
          <w:sz w:val="22"/>
          <w:szCs w:val="22"/>
          <w:lang w:val="es-MX"/>
        </w:rPr>
        <w:t>, mismo que fue publicado</w:t>
      </w:r>
      <w:r w:rsidRPr="00370F00">
        <w:rPr>
          <w:rFonts w:ascii="ITC Avant Garde" w:hAnsi="ITC Avant Garde"/>
          <w:sz w:val="22"/>
          <w:szCs w:val="22"/>
          <w:lang w:val="es-MX"/>
        </w:rPr>
        <w:t xml:space="preserve"> en el DOF el 12 de enero de 2015 y entró en vigor al día siguiente.</w:t>
      </w:r>
    </w:p>
    <w:p w14:paraId="1BFDED39" w14:textId="66E4345D" w:rsidR="00370F00" w:rsidRPr="00370F00" w:rsidRDefault="00370F00" w:rsidP="00F17026">
      <w:pPr>
        <w:pStyle w:val="Texto"/>
        <w:numPr>
          <w:ilvl w:val="0"/>
          <w:numId w:val="28"/>
        </w:numPr>
        <w:spacing w:before="120" w:after="120" w:line="276" w:lineRule="auto"/>
        <w:ind w:left="360"/>
        <w:rPr>
          <w:rFonts w:ascii="ITC Avant Garde" w:hAnsi="ITC Avant Garde"/>
          <w:sz w:val="22"/>
          <w:szCs w:val="22"/>
          <w:lang w:val="es-MX"/>
        </w:rPr>
      </w:pPr>
      <w:r w:rsidRPr="00370F00">
        <w:rPr>
          <w:rFonts w:ascii="ITC Avant Garde" w:hAnsi="ITC Avant Garde"/>
          <w:bCs/>
          <w:color w:val="000000"/>
          <w:sz w:val="22"/>
          <w:szCs w:val="22"/>
          <w:lang w:val="es-ES_tradnl" w:eastAsia="es-MX"/>
        </w:rPr>
        <w:t xml:space="preserve">Con fundamento en los artículos 12, fracción XXII, párrafo tercero, inciso a) y g), y 138, fracciones I y II, de la LFCE, mediante Acuerdo P/IFT/141015/432 de fecha </w:t>
      </w:r>
      <w:r w:rsidR="00C84112">
        <w:rPr>
          <w:rFonts w:ascii="ITC Avant Garde" w:hAnsi="ITC Avant Garde"/>
          <w:bCs/>
          <w:color w:val="000000"/>
          <w:sz w:val="22"/>
          <w:szCs w:val="22"/>
          <w:lang w:val="es-ES_tradnl" w:eastAsia="es-MX"/>
        </w:rPr>
        <w:t>14</w:t>
      </w:r>
      <w:r w:rsidR="00C84112" w:rsidRPr="00370F00">
        <w:rPr>
          <w:rFonts w:ascii="ITC Avant Garde" w:hAnsi="ITC Avant Garde"/>
          <w:bCs/>
          <w:color w:val="000000"/>
          <w:sz w:val="22"/>
          <w:szCs w:val="22"/>
          <w:lang w:val="es-ES_tradnl" w:eastAsia="es-MX"/>
        </w:rPr>
        <w:t xml:space="preserve"> </w:t>
      </w:r>
      <w:r w:rsidRPr="00370F00">
        <w:rPr>
          <w:rFonts w:ascii="ITC Avant Garde" w:hAnsi="ITC Avant Garde"/>
          <w:bCs/>
          <w:color w:val="000000"/>
          <w:sz w:val="22"/>
          <w:szCs w:val="22"/>
          <w:lang w:val="es-ES_tradnl" w:eastAsia="es-MX"/>
        </w:rPr>
        <w:t xml:space="preserve">de octubre de </w:t>
      </w:r>
      <w:r w:rsidR="00C84112">
        <w:rPr>
          <w:rFonts w:ascii="ITC Avant Garde" w:hAnsi="ITC Avant Garde"/>
          <w:bCs/>
          <w:color w:val="000000"/>
          <w:sz w:val="22"/>
          <w:szCs w:val="22"/>
          <w:lang w:val="es-ES_tradnl" w:eastAsia="es-MX"/>
        </w:rPr>
        <w:t>2015</w:t>
      </w:r>
      <w:r w:rsidRPr="00370F00">
        <w:rPr>
          <w:rFonts w:ascii="ITC Avant Garde" w:hAnsi="ITC Avant Garde"/>
          <w:bCs/>
          <w:color w:val="000000"/>
          <w:sz w:val="22"/>
          <w:szCs w:val="22"/>
          <w:lang w:val="es-ES_tradnl" w:eastAsia="es-MX"/>
        </w:rPr>
        <w:t>, el Pleno del Instituto acordó someter a consulta pública el “</w:t>
      </w:r>
      <w:r w:rsidRPr="00370F00">
        <w:rPr>
          <w:rFonts w:ascii="ITC Avant Garde" w:hAnsi="ITC Avant Garde"/>
          <w:bCs/>
          <w:i/>
          <w:color w:val="000000"/>
          <w:sz w:val="22"/>
          <w:szCs w:val="22"/>
          <w:lang w:val="es-ES_tradnl" w:eastAsia="es-MX"/>
        </w:rPr>
        <w:t>Anteproyecto de criterio técnico para el cálculo y aplicación de un índice cuantitativo a fin de determinar el grado de concentración en los mercados y servicios correspondientes a los sectores de telecomunicaciones y radiodifusión</w:t>
      </w:r>
      <w:r w:rsidRPr="00370F00">
        <w:rPr>
          <w:rFonts w:ascii="ITC Avant Garde" w:hAnsi="ITC Avant Garde"/>
          <w:bCs/>
          <w:color w:val="000000"/>
          <w:sz w:val="22"/>
          <w:szCs w:val="22"/>
          <w:lang w:val="es-ES_tradnl" w:eastAsia="es-MX"/>
        </w:rPr>
        <w:t>” (Anteproyecto de Criterio Técnico).</w:t>
      </w:r>
      <w:r w:rsidR="00715C28">
        <w:rPr>
          <w:rFonts w:ascii="ITC Avant Garde" w:hAnsi="ITC Avant Garde"/>
          <w:bCs/>
          <w:color w:val="000000"/>
          <w:sz w:val="22"/>
          <w:szCs w:val="22"/>
          <w:lang w:val="es-ES_tradnl" w:eastAsia="es-MX"/>
        </w:rPr>
        <w:t xml:space="preserve"> </w:t>
      </w:r>
      <w:r w:rsidR="00715C28" w:rsidRPr="00370F00">
        <w:rPr>
          <w:rFonts w:ascii="ITC Avant Garde" w:hAnsi="ITC Avant Garde"/>
          <w:bCs/>
          <w:color w:val="000000"/>
          <w:sz w:val="22"/>
          <w:szCs w:val="22"/>
          <w:lang w:val="es-ES_tradnl" w:eastAsia="es-MX"/>
        </w:rPr>
        <w:t xml:space="preserve">El periodo de </w:t>
      </w:r>
      <w:r w:rsidR="00692CC9">
        <w:rPr>
          <w:rFonts w:ascii="ITC Avant Garde" w:hAnsi="ITC Avant Garde"/>
          <w:bCs/>
          <w:color w:val="000000"/>
          <w:sz w:val="22"/>
          <w:szCs w:val="22"/>
          <w:lang w:val="es-ES_tradnl" w:eastAsia="es-MX"/>
        </w:rPr>
        <w:t>c</w:t>
      </w:r>
      <w:r w:rsidR="00715C28" w:rsidRPr="00370F00">
        <w:rPr>
          <w:rFonts w:ascii="ITC Avant Garde" w:hAnsi="ITC Avant Garde"/>
          <w:bCs/>
          <w:color w:val="000000"/>
          <w:sz w:val="22"/>
          <w:szCs w:val="22"/>
          <w:lang w:val="es-ES_tradnl" w:eastAsia="es-MX"/>
        </w:rPr>
        <w:t xml:space="preserve">onsulta </w:t>
      </w:r>
      <w:r w:rsidR="00692CC9">
        <w:rPr>
          <w:rFonts w:ascii="ITC Avant Garde" w:hAnsi="ITC Avant Garde"/>
          <w:bCs/>
          <w:color w:val="000000"/>
          <w:sz w:val="22"/>
          <w:szCs w:val="22"/>
          <w:lang w:val="es-ES_tradnl" w:eastAsia="es-MX"/>
        </w:rPr>
        <w:t>p</w:t>
      </w:r>
      <w:r w:rsidR="00715C28" w:rsidRPr="00370F00">
        <w:rPr>
          <w:rFonts w:ascii="ITC Avant Garde" w:hAnsi="ITC Avant Garde"/>
          <w:bCs/>
          <w:color w:val="000000"/>
          <w:sz w:val="22"/>
          <w:szCs w:val="22"/>
          <w:lang w:val="es-ES_tradnl" w:eastAsia="es-MX"/>
        </w:rPr>
        <w:t>ública transcurrió del</w:t>
      </w:r>
      <w:r w:rsidR="00715C28" w:rsidRPr="00370F00">
        <w:rPr>
          <w:rFonts w:ascii="ITC Avant Garde" w:hAnsi="ITC Avant Garde"/>
          <w:b/>
          <w:bCs/>
          <w:color w:val="000000"/>
          <w:sz w:val="22"/>
          <w:szCs w:val="22"/>
          <w:lang w:val="es-ES_tradnl" w:eastAsia="es-MX"/>
        </w:rPr>
        <w:t xml:space="preserve"> </w:t>
      </w:r>
      <w:r w:rsidR="00715C28" w:rsidRPr="00370F00">
        <w:rPr>
          <w:rFonts w:ascii="ITC Avant Garde" w:hAnsi="ITC Avant Garde"/>
          <w:bCs/>
          <w:color w:val="000000"/>
          <w:sz w:val="22"/>
          <w:szCs w:val="22"/>
          <w:lang w:val="es-ES_tradnl" w:eastAsia="es-MX"/>
        </w:rPr>
        <w:t xml:space="preserve">26 de octubre de 2015 </w:t>
      </w:r>
      <w:r w:rsidR="00692CC9">
        <w:rPr>
          <w:rFonts w:ascii="ITC Avant Garde" w:hAnsi="ITC Avant Garde"/>
          <w:bCs/>
          <w:color w:val="000000"/>
          <w:sz w:val="22"/>
          <w:szCs w:val="22"/>
          <w:lang w:val="es-ES_tradnl" w:eastAsia="es-MX"/>
        </w:rPr>
        <w:t>a</w:t>
      </w:r>
      <w:r w:rsidR="00715C28" w:rsidRPr="00370F00">
        <w:rPr>
          <w:rFonts w:ascii="ITC Avant Garde" w:hAnsi="ITC Avant Garde"/>
          <w:bCs/>
          <w:color w:val="000000"/>
          <w:sz w:val="22"/>
          <w:szCs w:val="22"/>
          <w:lang w:val="es-ES_tradnl" w:eastAsia="es-MX"/>
        </w:rPr>
        <w:t>l 7 de diciembre de 2015</w:t>
      </w:r>
      <w:r w:rsidR="00715C28">
        <w:rPr>
          <w:rFonts w:ascii="ITC Avant Garde" w:hAnsi="ITC Avant Garde"/>
          <w:bCs/>
          <w:color w:val="000000"/>
          <w:sz w:val="22"/>
          <w:szCs w:val="22"/>
          <w:lang w:val="es-ES_tradnl" w:eastAsia="es-MX"/>
        </w:rPr>
        <w:t>.</w:t>
      </w:r>
    </w:p>
    <w:p w14:paraId="0D6AE006" w14:textId="057899E3" w:rsidR="00370F00" w:rsidRPr="00370F00" w:rsidRDefault="00370F00" w:rsidP="00F17026">
      <w:pPr>
        <w:pStyle w:val="Texto"/>
        <w:numPr>
          <w:ilvl w:val="0"/>
          <w:numId w:val="28"/>
        </w:numPr>
        <w:spacing w:before="120" w:after="120" w:line="276" w:lineRule="auto"/>
        <w:ind w:left="360"/>
        <w:rPr>
          <w:rFonts w:ascii="ITC Avant Garde" w:hAnsi="ITC Avant Garde"/>
          <w:sz w:val="22"/>
          <w:szCs w:val="22"/>
          <w:lang w:val="es-MX"/>
        </w:rPr>
      </w:pPr>
      <w:r w:rsidRPr="00370F00">
        <w:rPr>
          <w:rFonts w:ascii="ITC Avant Garde" w:hAnsi="ITC Avant Garde"/>
          <w:bCs/>
          <w:color w:val="000000"/>
          <w:sz w:val="22"/>
          <w:szCs w:val="22"/>
          <w:lang w:val="es-ES_tradnl" w:eastAsia="es-MX"/>
        </w:rPr>
        <w:t>El informe de los comentarios, las opiniones y las propuestas recibidas durante la consulta pública</w:t>
      </w:r>
      <w:r w:rsidR="00715C28">
        <w:rPr>
          <w:rFonts w:ascii="ITC Avant Garde" w:hAnsi="ITC Avant Garde"/>
          <w:bCs/>
          <w:color w:val="000000"/>
          <w:sz w:val="22"/>
          <w:szCs w:val="22"/>
          <w:lang w:val="es-ES_tradnl" w:eastAsia="es-MX"/>
        </w:rPr>
        <w:t xml:space="preserve"> del </w:t>
      </w:r>
      <w:r w:rsidR="00715C28" w:rsidRPr="00370F00">
        <w:rPr>
          <w:rFonts w:ascii="ITC Avant Garde" w:hAnsi="ITC Avant Garde"/>
          <w:bCs/>
          <w:color w:val="000000"/>
          <w:sz w:val="22"/>
          <w:szCs w:val="22"/>
          <w:lang w:val="es-ES_tradnl" w:eastAsia="es-MX"/>
        </w:rPr>
        <w:t>Anteproyecto de Criterio Técnico</w:t>
      </w:r>
      <w:r w:rsidRPr="00370F00">
        <w:rPr>
          <w:rFonts w:ascii="ITC Avant Garde" w:hAnsi="ITC Avant Garde"/>
          <w:bCs/>
          <w:color w:val="000000"/>
          <w:sz w:val="22"/>
          <w:szCs w:val="22"/>
          <w:lang w:val="es-ES_tradnl" w:eastAsia="es-MX"/>
        </w:rPr>
        <w:t xml:space="preserve">, así como de las consideraciones a los mismos, previsto en el artículo 138, fracción II, de la LFCE, fue elaborado por la Unidad de Competencia Económica y publicado en el sitio de Internet del Instituto el 11 de febrero de 2016. </w:t>
      </w:r>
    </w:p>
    <w:p w14:paraId="1B72816E" w14:textId="77777777" w:rsidR="00A63FA7" w:rsidRPr="00370F00" w:rsidRDefault="00A63FA7" w:rsidP="00A63FA7">
      <w:pPr>
        <w:pStyle w:val="Default"/>
        <w:tabs>
          <w:tab w:val="left" w:pos="0"/>
        </w:tabs>
        <w:spacing w:before="120" w:after="120" w:line="276" w:lineRule="auto"/>
        <w:rPr>
          <w:rFonts w:ascii="ITC Avant Garde" w:eastAsia="Times New Roman" w:hAnsi="ITC Avant Garde" w:cs="Arial"/>
          <w:color w:val="auto"/>
          <w:sz w:val="22"/>
          <w:szCs w:val="22"/>
          <w:lang w:eastAsia="es-ES"/>
        </w:rPr>
      </w:pPr>
      <w:r w:rsidRPr="00370F00">
        <w:rPr>
          <w:rFonts w:ascii="ITC Avant Garde" w:eastAsia="Times New Roman" w:hAnsi="ITC Avant Garde" w:cs="Arial"/>
          <w:color w:val="auto"/>
          <w:sz w:val="22"/>
          <w:szCs w:val="22"/>
          <w:lang w:eastAsia="es-ES"/>
        </w:rPr>
        <w:t>En atención a los antecedentes anteriores y:</w:t>
      </w:r>
    </w:p>
    <w:p w14:paraId="70F53CF9" w14:textId="77777777" w:rsidR="00A63FA7" w:rsidRPr="00370F00" w:rsidRDefault="00A63FA7" w:rsidP="00A63FA7">
      <w:pPr>
        <w:rPr>
          <w:lang w:val="es-ES_tradnl" w:eastAsia="es-ES"/>
        </w:rPr>
      </w:pPr>
    </w:p>
    <w:p w14:paraId="211791C0" w14:textId="1C999D73" w:rsidR="008A39CF" w:rsidRPr="00370F00" w:rsidRDefault="00A74256" w:rsidP="008632D2">
      <w:pPr>
        <w:pStyle w:val="Ttulo1"/>
        <w:keepNext w:val="0"/>
        <w:spacing w:before="120" w:after="120" w:line="276" w:lineRule="auto"/>
        <w:ind w:left="862" w:hanging="357"/>
        <w:rPr>
          <w:rStyle w:val="NormalIFTCar"/>
          <w:rFonts w:eastAsia="Calibri"/>
          <w:sz w:val="22"/>
          <w:szCs w:val="22"/>
        </w:rPr>
      </w:pPr>
      <w:r w:rsidRPr="00370F00">
        <w:rPr>
          <w:rStyle w:val="NormalIFTCar"/>
          <w:rFonts w:eastAsia="Calibri"/>
          <w:sz w:val="22"/>
          <w:szCs w:val="22"/>
        </w:rPr>
        <w:t>CONSIDERANDO</w:t>
      </w:r>
    </w:p>
    <w:p w14:paraId="20334672" w14:textId="1120F3BD" w:rsidR="00134133" w:rsidRDefault="00134133" w:rsidP="008632D2">
      <w:pPr>
        <w:pStyle w:val="Ttulo2"/>
        <w:keepNext w:val="0"/>
        <w:keepLines w:val="0"/>
        <w:spacing w:before="120"/>
        <w:rPr>
          <w:rFonts w:eastAsia="Times New Roman"/>
          <w:b w:val="0"/>
          <w:bCs/>
          <w:color w:val="000000"/>
          <w:lang w:eastAsia="es-MX"/>
        </w:rPr>
      </w:pPr>
      <w:bookmarkStart w:id="1" w:name="_Toc441722856"/>
      <w:bookmarkStart w:id="2" w:name="_Toc441755189"/>
      <w:r w:rsidRPr="00370F00">
        <w:t xml:space="preserve">Primero. </w:t>
      </w:r>
      <w:bookmarkEnd w:id="1"/>
      <w:bookmarkEnd w:id="2"/>
      <w:r w:rsidRPr="00370F00">
        <w:t>Competencia del Instituto</w:t>
      </w:r>
      <w:r w:rsidR="00A63FA7" w:rsidRPr="00370F00">
        <w:t xml:space="preserve">. </w:t>
      </w:r>
      <w:r w:rsidRPr="00370F00">
        <w:rPr>
          <w:rFonts w:eastAsia="Times New Roman" w:cstheme="minorBidi"/>
          <w:b w:val="0"/>
          <w:lang w:eastAsia="es-MX"/>
        </w:rPr>
        <w:t>De conformidad con lo dispuesto en el artículo 28, párrafo décimo sexto, de</w:t>
      </w:r>
      <w:r w:rsidRPr="00370F00">
        <w:rPr>
          <w:rFonts w:eastAsia="Times New Roman"/>
          <w:b w:val="0"/>
          <w:bCs/>
          <w:color w:val="000000"/>
          <w:lang w:eastAsia="es-MX"/>
        </w:rPr>
        <w:t xml:space="preserve"> la CPEUM; 5, párrafo primero, de la </w:t>
      </w:r>
      <w:r w:rsidR="00FA6F54" w:rsidRPr="00FA6F54">
        <w:rPr>
          <w:rFonts w:eastAsia="Times New Roman"/>
          <w:b w:val="0"/>
          <w:bCs/>
          <w:color w:val="000000"/>
          <w:lang w:eastAsia="es-MX"/>
        </w:rPr>
        <w:t xml:space="preserve">Ley Federal de Competencia Económica </w:t>
      </w:r>
      <w:r w:rsidR="00FA6F54">
        <w:rPr>
          <w:rFonts w:eastAsia="Times New Roman"/>
          <w:b w:val="0"/>
          <w:bCs/>
          <w:color w:val="000000"/>
          <w:lang w:eastAsia="es-MX"/>
        </w:rPr>
        <w:t>(</w:t>
      </w:r>
      <w:r w:rsidRPr="00370F00">
        <w:rPr>
          <w:rFonts w:eastAsia="Times New Roman"/>
          <w:b w:val="0"/>
          <w:bCs/>
          <w:color w:val="000000"/>
          <w:lang w:eastAsia="es-MX"/>
        </w:rPr>
        <w:t>LFCE</w:t>
      </w:r>
      <w:r w:rsidR="00FA6F54">
        <w:rPr>
          <w:rFonts w:eastAsia="Times New Roman"/>
          <w:b w:val="0"/>
          <w:bCs/>
          <w:color w:val="000000"/>
          <w:lang w:eastAsia="es-MX"/>
        </w:rPr>
        <w:t>)</w:t>
      </w:r>
      <w:r w:rsidRPr="00370F00">
        <w:rPr>
          <w:rFonts w:eastAsia="Times New Roman"/>
          <w:b w:val="0"/>
          <w:bCs/>
          <w:color w:val="000000"/>
          <w:lang w:eastAsia="es-MX"/>
        </w:rPr>
        <w:t xml:space="preserve">; y 7, párrafo tercero, de la </w:t>
      </w:r>
      <w:r w:rsidR="00FA6F54" w:rsidRPr="00FA6F54">
        <w:rPr>
          <w:rFonts w:eastAsia="Times New Roman"/>
          <w:b w:val="0"/>
          <w:bCs/>
          <w:color w:val="000000"/>
          <w:lang w:eastAsia="es-MX"/>
        </w:rPr>
        <w:t xml:space="preserve">Ley Federal de Telecomunicaciones y Radiodifusión </w:t>
      </w:r>
      <w:r w:rsidR="00FA6F54">
        <w:rPr>
          <w:rFonts w:eastAsia="Times New Roman"/>
          <w:b w:val="0"/>
          <w:bCs/>
          <w:color w:val="000000"/>
          <w:lang w:eastAsia="es-MX"/>
        </w:rPr>
        <w:t>(</w:t>
      </w:r>
      <w:r w:rsidRPr="00370F00">
        <w:rPr>
          <w:rFonts w:eastAsia="Times New Roman"/>
          <w:b w:val="0"/>
          <w:bCs/>
          <w:color w:val="000000"/>
          <w:lang w:eastAsia="es-MX"/>
        </w:rPr>
        <w:t>LFTR</w:t>
      </w:r>
      <w:r w:rsidR="00FA6F54">
        <w:rPr>
          <w:rFonts w:eastAsia="Times New Roman"/>
          <w:b w:val="0"/>
          <w:bCs/>
          <w:color w:val="000000"/>
          <w:lang w:eastAsia="es-MX"/>
        </w:rPr>
        <w:t>)</w:t>
      </w:r>
      <w:r w:rsidRPr="00370F00">
        <w:rPr>
          <w:rFonts w:eastAsia="Times New Roman"/>
          <w:b w:val="0"/>
          <w:bCs/>
          <w:color w:val="000000"/>
          <w:lang w:eastAsia="es-MX"/>
        </w:rPr>
        <w:t>, el Instituto es la autoridad en materia de competencia económica en los sectores de radiodifusión y telecomunicaciones, por lo que en éstos ejercerá en forma exclusiva las facultades que el artículo constitucional citado y las leyes establecen para la Comisión Federal de Competencia Económica.</w:t>
      </w:r>
    </w:p>
    <w:p w14:paraId="369FC1C7" w14:textId="70749130" w:rsidR="008632D2" w:rsidRDefault="008632D2" w:rsidP="008632D2">
      <w:pPr>
        <w:spacing w:before="120" w:after="120"/>
        <w:ind w:right="-1" w:firstLine="1"/>
        <w:jc w:val="both"/>
        <w:rPr>
          <w:rFonts w:ascii="ITC Avant Garde" w:hAnsi="ITC Avant Garde"/>
        </w:rPr>
      </w:pPr>
      <w:r>
        <w:rPr>
          <w:rFonts w:ascii="ITC Avant Garde" w:hAnsi="ITC Avant Garde"/>
        </w:rPr>
        <w:t>E</w:t>
      </w:r>
      <w:r w:rsidRPr="00CC3133">
        <w:rPr>
          <w:rFonts w:ascii="ITC Avant Garde" w:hAnsi="ITC Avant Garde"/>
        </w:rPr>
        <w:t xml:space="preserve">l artículo </w:t>
      </w:r>
      <w:r>
        <w:rPr>
          <w:rFonts w:ascii="ITC Avant Garde" w:hAnsi="ITC Avant Garde"/>
        </w:rPr>
        <w:t>63</w:t>
      </w:r>
      <w:r w:rsidRPr="00CC3133">
        <w:rPr>
          <w:rFonts w:ascii="ITC Avant Garde" w:hAnsi="ITC Avant Garde"/>
        </w:rPr>
        <w:t xml:space="preserve">, </w:t>
      </w:r>
      <w:r>
        <w:rPr>
          <w:rFonts w:ascii="ITC Avant Garde" w:hAnsi="ITC Avant Garde"/>
        </w:rPr>
        <w:t xml:space="preserve">fracción II, de </w:t>
      </w:r>
      <w:r w:rsidR="00FA6F54">
        <w:rPr>
          <w:rFonts w:ascii="ITC Avant Garde" w:hAnsi="ITC Avant Garde"/>
        </w:rPr>
        <w:t>la</w:t>
      </w:r>
      <w:r w:rsidRPr="008632D2">
        <w:rPr>
          <w:rFonts w:ascii="ITC Avant Garde" w:hAnsi="ITC Avant Garde"/>
        </w:rPr>
        <w:t xml:space="preserve"> </w:t>
      </w:r>
      <w:r w:rsidRPr="00CC3133">
        <w:rPr>
          <w:rFonts w:ascii="ITC Avant Garde" w:hAnsi="ITC Avant Garde"/>
        </w:rPr>
        <w:t xml:space="preserve">LFCE dicta </w:t>
      </w:r>
      <w:r>
        <w:rPr>
          <w:rFonts w:ascii="ITC Avant Garde" w:hAnsi="ITC Avant Garde"/>
        </w:rPr>
        <w:t>que</w:t>
      </w:r>
      <w:r w:rsidR="006B4FC2">
        <w:rPr>
          <w:rFonts w:ascii="ITC Avant Garde" w:hAnsi="ITC Avant Garde"/>
        </w:rPr>
        <w:t>,</w:t>
      </w:r>
      <w:r>
        <w:rPr>
          <w:rFonts w:ascii="ITC Avant Garde" w:hAnsi="ITC Avant Garde"/>
        </w:rPr>
        <w:t xml:space="preserve"> </w:t>
      </w:r>
      <w:r w:rsidRPr="00CC3133">
        <w:rPr>
          <w:rFonts w:ascii="ITC Avant Garde" w:hAnsi="ITC Avant Garde"/>
        </w:rPr>
        <w:t xml:space="preserve">para determinar si </w:t>
      </w:r>
      <w:r>
        <w:rPr>
          <w:rFonts w:ascii="ITC Avant Garde" w:hAnsi="ITC Avant Garde"/>
        </w:rPr>
        <w:t xml:space="preserve">una </w:t>
      </w:r>
      <w:r w:rsidRPr="00CC3133">
        <w:rPr>
          <w:rFonts w:ascii="ITC Avant Garde" w:hAnsi="ITC Avant Garde"/>
        </w:rPr>
        <w:t xml:space="preserve">concentración </w:t>
      </w:r>
      <w:r>
        <w:rPr>
          <w:rFonts w:ascii="ITC Avant Garde" w:hAnsi="ITC Avant Garde"/>
        </w:rPr>
        <w:t xml:space="preserve">no </w:t>
      </w:r>
      <w:r w:rsidRPr="00CC3133">
        <w:rPr>
          <w:rFonts w:ascii="ITC Avant Garde" w:hAnsi="ITC Avant Garde"/>
        </w:rPr>
        <w:t xml:space="preserve">debe </w:t>
      </w:r>
      <w:r>
        <w:rPr>
          <w:rFonts w:ascii="ITC Avant Garde" w:hAnsi="ITC Avant Garde"/>
        </w:rPr>
        <w:t>ser autorizada o debe ser sancionada</w:t>
      </w:r>
      <w:r w:rsidRPr="00CC3133">
        <w:rPr>
          <w:rFonts w:ascii="ITC Avant Garde" w:hAnsi="ITC Avant Garde"/>
        </w:rPr>
        <w:t>, se debe considerar, entre otr</w:t>
      </w:r>
      <w:r>
        <w:rPr>
          <w:rFonts w:ascii="ITC Avant Garde" w:hAnsi="ITC Avant Garde"/>
        </w:rPr>
        <w:t>os elementos:</w:t>
      </w:r>
    </w:p>
    <w:p w14:paraId="19137D7F" w14:textId="59534E60" w:rsidR="008632D2" w:rsidRPr="008632D2" w:rsidRDefault="008632D2" w:rsidP="008632D2">
      <w:pPr>
        <w:spacing w:before="120" w:after="120"/>
        <w:ind w:left="567" w:right="-1" w:firstLine="1"/>
        <w:jc w:val="both"/>
        <w:rPr>
          <w:rFonts w:ascii="ITC Avant Garde" w:hAnsi="ITC Avant Garde"/>
          <w:i/>
          <w:sz w:val="20"/>
        </w:rPr>
      </w:pPr>
      <w:r w:rsidRPr="008632D2">
        <w:rPr>
          <w:rFonts w:ascii="ITC Avant Garde" w:hAnsi="ITC Avant Garde"/>
          <w:i/>
          <w:sz w:val="20"/>
        </w:rPr>
        <w:t xml:space="preserve">“La identificación de los principales agentes económicos que abastecen el mercado de que se trate, el análisis de su poder en el mercado relevante, de acuerdo con esta Ley, </w:t>
      </w:r>
      <w:r w:rsidRPr="008632D2">
        <w:rPr>
          <w:rFonts w:ascii="ITC Avant Garde" w:hAnsi="ITC Avant Garde"/>
          <w:b/>
          <w:i/>
          <w:sz w:val="20"/>
          <w:u w:val="single"/>
        </w:rPr>
        <w:t>el grado de concentración en dicho mercado</w:t>
      </w:r>
      <w:r w:rsidRPr="008632D2">
        <w:rPr>
          <w:rFonts w:ascii="ITC Avant Garde" w:hAnsi="ITC Avant Garde"/>
          <w:i/>
          <w:sz w:val="20"/>
        </w:rPr>
        <w:t>;”</w:t>
      </w:r>
      <w:r>
        <w:rPr>
          <w:rFonts w:ascii="ITC Avant Garde" w:hAnsi="ITC Avant Garde"/>
          <w:i/>
          <w:sz w:val="20"/>
        </w:rPr>
        <w:t xml:space="preserve"> </w:t>
      </w:r>
      <w:r w:rsidRPr="008632D2">
        <w:rPr>
          <w:rFonts w:ascii="ITC Avant Garde" w:hAnsi="ITC Avant Garde"/>
          <w:sz w:val="20"/>
        </w:rPr>
        <w:t>[Énfasis añadido]</w:t>
      </w:r>
    </w:p>
    <w:p w14:paraId="43A12A92" w14:textId="0010333F" w:rsidR="00C84112" w:rsidRDefault="008632D2" w:rsidP="008632D2">
      <w:pPr>
        <w:spacing w:before="120" w:after="120"/>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Asimismo, e</w:t>
      </w:r>
      <w:r w:rsidR="00C84112">
        <w:rPr>
          <w:rFonts w:ascii="ITC Avant Garde" w:eastAsia="Times New Roman" w:hAnsi="ITC Avant Garde"/>
          <w:bCs/>
          <w:color w:val="000000"/>
          <w:lang w:eastAsia="es-MX"/>
        </w:rPr>
        <w:t xml:space="preserve">l artículo 13 de las </w:t>
      </w:r>
      <w:r w:rsidR="00C84112" w:rsidRPr="00370F00">
        <w:rPr>
          <w:rFonts w:ascii="ITC Avant Garde" w:hAnsi="ITC Avant Garde"/>
          <w:i/>
        </w:rPr>
        <w:t>Disposiciones Regulatorias de la Ley Federal de Competencia Económica para los sectores de telecomunicacion</w:t>
      </w:r>
      <w:r w:rsidR="00C84112" w:rsidRPr="00715C28">
        <w:rPr>
          <w:rFonts w:ascii="ITC Avant Garde" w:hAnsi="ITC Avant Garde"/>
          <w:i/>
        </w:rPr>
        <w:t>es y radiodifusión</w:t>
      </w:r>
      <w:r w:rsidR="00C84112">
        <w:rPr>
          <w:rFonts w:ascii="ITC Avant Garde" w:hAnsi="ITC Avant Garde"/>
        </w:rPr>
        <w:t xml:space="preserve"> (Disposiciones Regulatorias)</w:t>
      </w:r>
      <w:r w:rsidR="00C84112">
        <w:rPr>
          <w:rFonts w:ascii="ITC Avant Garde" w:eastAsia="Times New Roman" w:hAnsi="ITC Avant Garde"/>
          <w:bCs/>
          <w:color w:val="000000"/>
          <w:lang w:eastAsia="es-MX"/>
        </w:rPr>
        <w:t xml:space="preserve"> establece </w:t>
      </w:r>
      <w:r w:rsidR="00C84112">
        <w:rPr>
          <w:rFonts w:ascii="ITC Avant Garde" w:eastAsia="Times New Roman" w:hAnsi="ITC Avant Garde"/>
          <w:bCs/>
          <w:color w:val="000000"/>
          <w:lang w:eastAsia="es-MX"/>
        </w:rPr>
        <w:lastRenderedPageBreak/>
        <w:t>que e</w:t>
      </w:r>
      <w:r w:rsidR="00C84112" w:rsidRPr="00EF737D">
        <w:rPr>
          <w:rFonts w:ascii="ITC Avant Garde" w:eastAsia="Times New Roman" w:hAnsi="ITC Avant Garde"/>
          <w:bCs/>
          <w:color w:val="000000"/>
          <w:lang w:eastAsia="es-MX"/>
        </w:rPr>
        <w:t xml:space="preserve">l Instituto publicará en el </w:t>
      </w:r>
      <w:r w:rsidR="00C84112">
        <w:rPr>
          <w:rFonts w:ascii="ITC Avant Garde" w:eastAsia="Times New Roman" w:hAnsi="ITC Avant Garde"/>
          <w:bCs/>
          <w:color w:val="000000"/>
          <w:lang w:eastAsia="es-MX"/>
        </w:rPr>
        <w:t>DOF</w:t>
      </w:r>
      <w:r w:rsidR="00C84112" w:rsidRPr="00EF737D">
        <w:rPr>
          <w:rFonts w:ascii="ITC Avant Garde" w:eastAsia="Times New Roman" w:hAnsi="ITC Avant Garde"/>
          <w:bCs/>
          <w:color w:val="000000"/>
          <w:lang w:eastAsia="es-MX"/>
        </w:rPr>
        <w:t xml:space="preserve"> los </w:t>
      </w:r>
      <w:r w:rsidR="00C84112">
        <w:rPr>
          <w:rFonts w:ascii="ITC Avant Garde" w:eastAsia="Times New Roman" w:hAnsi="ITC Avant Garde"/>
          <w:bCs/>
          <w:color w:val="000000"/>
          <w:lang w:eastAsia="es-MX"/>
        </w:rPr>
        <w:t>“</w:t>
      </w:r>
      <w:r w:rsidR="00C84112" w:rsidRPr="00D548E6">
        <w:rPr>
          <w:rFonts w:ascii="ITC Avant Garde" w:eastAsia="Times New Roman" w:hAnsi="ITC Avant Garde"/>
          <w:bCs/>
          <w:i/>
          <w:color w:val="000000"/>
          <w:lang w:eastAsia="es-MX"/>
        </w:rPr>
        <w:t>métodos de cálculo para determinar el grado de concentración que exista en el mercado relevante, así como los criterios técnicos para su aplicación</w:t>
      </w:r>
      <w:r w:rsidR="00C84112">
        <w:rPr>
          <w:rFonts w:ascii="ITC Avant Garde" w:eastAsia="Times New Roman" w:hAnsi="ITC Avant Garde"/>
          <w:bCs/>
          <w:color w:val="000000"/>
          <w:lang w:eastAsia="es-MX"/>
        </w:rPr>
        <w:t>”.</w:t>
      </w:r>
    </w:p>
    <w:p w14:paraId="2D662B8A" w14:textId="0F085F54" w:rsidR="00C84112" w:rsidRPr="008632D2" w:rsidRDefault="00C84112" w:rsidP="008632D2">
      <w:pPr>
        <w:spacing w:before="120" w:after="120"/>
        <w:jc w:val="both"/>
        <w:rPr>
          <w:lang w:eastAsia="es-MX"/>
        </w:rPr>
      </w:pPr>
      <w:r>
        <w:rPr>
          <w:rFonts w:ascii="ITC Avant Garde" w:eastAsia="Times New Roman" w:hAnsi="ITC Avant Garde"/>
          <w:bCs/>
          <w:color w:val="000000"/>
          <w:lang w:eastAsia="es-MX"/>
        </w:rPr>
        <w:t>Bajo tales ordenamientos y conforme al artículo 12, fracción XXII, párrafo tercero, inciso</w:t>
      </w:r>
      <w:r w:rsidR="00FA6F54">
        <w:rPr>
          <w:rFonts w:ascii="ITC Avant Garde" w:eastAsia="Times New Roman" w:hAnsi="ITC Avant Garde"/>
          <w:bCs/>
          <w:color w:val="000000"/>
          <w:lang w:eastAsia="es-MX"/>
        </w:rPr>
        <w:t>s</w:t>
      </w:r>
      <w:r>
        <w:rPr>
          <w:rFonts w:ascii="ITC Avant Garde" w:eastAsia="Times New Roman" w:hAnsi="ITC Avant Garde"/>
          <w:bCs/>
          <w:color w:val="000000"/>
          <w:lang w:eastAsia="es-MX"/>
        </w:rPr>
        <w:t xml:space="preserve"> a) y g), de la LFCE, </w:t>
      </w:r>
      <w:r w:rsidR="008632D2">
        <w:rPr>
          <w:rFonts w:ascii="ITC Avant Garde" w:eastAsia="Times New Roman" w:hAnsi="ITC Avant Garde"/>
          <w:bCs/>
          <w:color w:val="000000"/>
          <w:lang w:eastAsia="es-MX"/>
        </w:rPr>
        <w:t xml:space="preserve">y </w:t>
      </w:r>
      <w:r w:rsidR="008632D2">
        <w:rPr>
          <w:rFonts w:ascii="ITC Avant Garde" w:hAnsi="ITC Avant Garde"/>
          <w:color w:val="000000"/>
          <w:shd w:val="clear" w:color="auto" w:fill="FFFFFF"/>
        </w:rPr>
        <w:t xml:space="preserve">187 </w:t>
      </w:r>
      <w:r w:rsidR="008632D2" w:rsidRPr="008632D2">
        <w:rPr>
          <w:rFonts w:ascii="ITC Avant Garde" w:hAnsi="ITC Avant Garde"/>
          <w:color w:val="000000"/>
          <w:shd w:val="clear" w:color="auto" w:fill="FFFFFF"/>
        </w:rPr>
        <w:t xml:space="preserve">de las Disposiciones Regulatorias, </w:t>
      </w:r>
      <w:r w:rsidRPr="008632D2">
        <w:rPr>
          <w:rFonts w:ascii="ITC Avant Garde" w:eastAsia="Times New Roman" w:hAnsi="ITC Avant Garde"/>
          <w:bCs/>
          <w:color w:val="000000"/>
          <w:lang w:eastAsia="es-MX"/>
        </w:rPr>
        <w:t xml:space="preserve">el Instituto </w:t>
      </w:r>
      <w:r w:rsidR="008632D2" w:rsidRPr="008632D2">
        <w:rPr>
          <w:rFonts w:ascii="ITC Avant Garde" w:eastAsia="Times New Roman" w:hAnsi="ITC Avant Garde"/>
          <w:bCs/>
          <w:color w:val="000000"/>
          <w:lang w:eastAsia="es-MX"/>
        </w:rPr>
        <w:t xml:space="preserve">es competente para </w:t>
      </w:r>
      <w:r w:rsidRPr="008632D2">
        <w:rPr>
          <w:rFonts w:ascii="ITC Avant Garde" w:eastAsia="Times New Roman" w:hAnsi="ITC Avant Garde"/>
          <w:bCs/>
          <w:color w:val="000000"/>
          <w:lang w:eastAsia="es-MX"/>
        </w:rPr>
        <w:t xml:space="preserve">expedir </w:t>
      </w:r>
      <w:r w:rsidR="008632D2" w:rsidRPr="008632D2">
        <w:rPr>
          <w:rFonts w:ascii="ITC Avant Garde" w:eastAsia="Times New Roman" w:hAnsi="ITC Avant Garde"/>
          <w:bCs/>
          <w:color w:val="000000"/>
          <w:lang w:eastAsia="es-MX"/>
        </w:rPr>
        <w:t>el “</w:t>
      </w:r>
      <w:r w:rsidR="006B4FC2" w:rsidRPr="006B4FC2">
        <w:rPr>
          <w:rFonts w:ascii="ITC Avant Garde" w:hAnsi="ITC Avant Garde"/>
          <w:i/>
        </w:rPr>
        <w:t>Criterio técnico para el cálculo y aplicación de un índice cuantitativo a fin de determinar el grado de concentración en los mercados y servicios correspondientes a los sectores de telecomunicaciones y radiodifusión</w:t>
      </w:r>
      <w:r w:rsidR="008632D2" w:rsidRPr="008632D2">
        <w:rPr>
          <w:rFonts w:ascii="ITC Avant Garde" w:eastAsia="Times New Roman" w:hAnsi="ITC Avant Garde"/>
          <w:bCs/>
          <w:color w:val="000000"/>
          <w:lang w:eastAsia="es-MX"/>
        </w:rPr>
        <w:t>”</w:t>
      </w:r>
      <w:r w:rsidR="008632D2">
        <w:rPr>
          <w:rFonts w:ascii="ITC Avant Garde" w:eastAsia="Times New Roman" w:hAnsi="ITC Avant Garde"/>
          <w:bCs/>
          <w:color w:val="000000"/>
          <w:lang w:eastAsia="es-MX"/>
        </w:rPr>
        <w:t xml:space="preserve"> (Criterio Técnico)</w:t>
      </w:r>
      <w:r w:rsidRPr="008632D2">
        <w:rPr>
          <w:rFonts w:ascii="ITC Avant Garde" w:eastAsia="Times New Roman" w:hAnsi="ITC Avant Garde"/>
          <w:bCs/>
          <w:color w:val="000000"/>
          <w:lang w:eastAsia="es-MX"/>
        </w:rPr>
        <w:t xml:space="preserve">. Lo anterior, previa consulta pública en términos del artículo 138 </w:t>
      </w:r>
      <w:r w:rsidR="00124DD7">
        <w:rPr>
          <w:rFonts w:ascii="ITC Avant Garde" w:eastAsia="Times New Roman" w:hAnsi="ITC Avant Garde"/>
          <w:bCs/>
          <w:color w:val="000000"/>
          <w:lang w:eastAsia="es-MX"/>
        </w:rPr>
        <w:t>de la LFCE</w:t>
      </w:r>
      <w:r w:rsidRPr="008632D2">
        <w:rPr>
          <w:rFonts w:ascii="ITC Avant Garde" w:eastAsia="Times New Roman" w:hAnsi="ITC Avant Garde"/>
          <w:bCs/>
          <w:color w:val="000000"/>
          <w:lang w:eastAsia="es-MX"/>
        </w:rPr>
        <w:t>.</w:t>
      </w:r>
    </w:p>
    <w:p w14:paraId="34BB15BA" w14:textId="34A18A56" w:rsidR="00134133" w:rsidRPr="00C84112" w:rsidRDefault="00134133" w:rsidP="008632D2">
      <w:pPr>
        <w:pStyle w:val="Ttulo2"/>
        <w:keepNext w:val="0"/>
        <w:keepLines w:val="0"/>
        <w:spacing w:before="120"/>
        <w:rPr>
          <w:b w:val="0"/>
        </w:rPr>
      </w:pPr>
      <w:r w:rsidRPr="00370F00">
        <w:t>Segundo. Disposiciones actuales</w:t>
      </w:r>
      <w:r w:rsidR="007B11DD" w:rsidRPr="00370F00">
        <w:t xml:space="preserve"> para determinar </w:t>
      </w:r>
      <w:r w:rsidR="00972E2C" w:rsidRPr="00370F00">
        <w:t xml:space="preserve">el </w:t>
      </w:r>
      <w:r w:rsidR="007B11DD" w:rsidRPr="00370F00">
        <w:t>grado de concentración</w:t>
      </w:r>
      <w:r w:rsidR="00A63FA7" w:rsidRPr="00370F00">
        <w:t xml:space="preserve">. </w:t>
      </w:r>
      <w:r w:rsidR="00972E2C" w:rsidRPr="00370F00">
        <w:rPr>
          <w:b w:val="0"/>
        </w:rPr>
        <w:t>E</w:t>
      </w:r>
      <w:r w:rsidR="00C84112">
        <w:rPr>
          <w:b w:val="0"/>
        </w:rPr>
        <w:t>l</w:t>
      </w:r>
      <w:r w:rsidRPr="00C84112">
        <w:rPr>
          <w:b w:val="0"/>
        </w:rPr>
        <w:t xml:space="preserve"> artículo cuarto transitorio del Acuerdo </w:t>
      </w:r>
      <w:r w:rsidR="00972E2C" w:rsidRPr="00C84112">
        <w:rPr>
          <w:b w:val="0"/>
        </w:rPr>
        <w:t xml:space="preserve">que </w:t>
      </w:r>
      <w:r w:rsidRPr="00C84112">
        <w:rPr>
          <w:b w:val="0"/>
        </w:rPr>
        <w:t xml:space="preserve">expide </w:t>
      </w:r>
      <w:r w:rsidR="00715C28" w:rsidRPr="00C84112">
        <w:rPr>
          <w:b w:val="0"/>
        </w:rPr>
        <w:t xml:space="preserve">las Disposiciones Regulatorias </w:t>
      </w:r>
      <w:r w:rsidRPr="00C84112">
        <w:rPr>
          <w:b w:val="0"/>
        </w:rPr>
        <w:t>establece que:</w:t>
      </w:r>
    </w:p>
    <w:p w14:paraId="332CF20D" w14:textId="77777777" w:rsidR="00134133" w:rsidRPr="00715C28" w:rsidRDefault="00134133" w:rsidP="008632D2">
      <w:pPr>
        <w:pStyle w:val="Sinespaciado"/>
        <w:spacing w:before="120" w:after="120" w:line="276" w:lineRule="auto"/>
        <w:ind w:left="567"/>
        <w:jc w:val="both"/>
        <w:rPr>
          <w:rFonts w:ascii="ITC Avant Garde" w:hAnsi="ITC Avant Garde"/>
          <w:i/>
          <w:sz w:val="20"/>
        </w:rPr>
      </w:pPr>
      <w:r w:rsidRPr="00715C28">
        <w:rPr>
          <w:rFonts w:ascii="ITC Avant Garde" w:hAnsi="ITC Avant Garde"/>
          <w:sz w:val="20"/>
        </w:rPr>
        <w:t>“</w:t>
      </w:r>
      <w:r w:rsidRPr="00715C28">
        <w:rPr>
          <w:rFonts w:ascii="ITC Avant Garde" w:hAnsi="ITC Avant Garde"/>
          <w:i/>
          <w:sz w:val="20"/>
        </w:rPr>
        <w:t>Cuarto. Para determinar el grado de concentración existente en el mercado relevante serán aplicables los métodos de cálculo publicados por la Comisión Federal de Competencia el veinticuatro de julio de mil novecientos noventa y ocho en el Diario Oficial de la Federación o cualquier otro que estime pertinente  el Instituto.</w:t>
      </w:r>
    </w:p>
    <w:p w14:paraId="0D84DB10" w14:textId="77777777" w:rsidR="00134133" w:rsidRPr="00715C28" w:rsidRDefault="00134133" w:rsidP="008632D2">
      <w:pPr>
        <w:pStyle w:val="Sinespaciado"/>
        <w:spacing w:before="120" w:after="120" w:line="276" w:lineRule="auto"/>
        <w:ind w:left="567"/>
        <w:jc w:val="both"/>
        <w:rPr>
          <w:rFonts w:ascii="ITC Avant Garde" w:hAnsi="ITC Avant Garde"/>
          <w:sz w:val="20"/>
        </w:rPr>
      </w:pPr>
      <w:r w:rsidRPr="00715C28">
        <w:rPr>
          <w:rFonts w:ascii="ITC Avant Garde" w:hAnsi="ITC Avant Garde"/>
          <w:i/>
          <w:sz w:val="20"/>
        </w:rPr>
        <w:t>Los métodos de cálculo a los que se refiere el párrafo anterior serán aplicables hasta que el Instituto emita otros que los sustituyan.</w:t>
      </w:r>
      <w:r w:rsidRPr="00715C28">
        <w:rPr>
          <w:rFonts w:ascii="ITC Avant Garde" w:hAnsi="ITC Avant Garde"/>
          <w:sz w:val="20"/>
        </w:rPr>
        <w:t>”</w:t>
      </w:r>
    </w:p>
    <w:p w14:paraId="2BD69431" w14:textId="31F339E3" w:rsidR="003A293E" w:rsidRPr="00370F00" w:rsidRDefault="00972E2C" w:rsidP="008632D2">
      <w:pPr>
        <w:pStyle w:val="Ttulo2"/>
        <w:keepNext w:val="0"/>
        <w:keepLines w:val="0"/>
        <w:rPr>
          <w:rFonts w:eastAsia="Times New Roman"/>
          <w:b w:val="0"/>
          <w:bCs/>
          <w:color w:val="000000"/>
          <w:lang w:val="es-ES_tradnl" w:eastAsia="es-MX"/>
        </w:rPr>
      </w:pPr>
      <w:r>
        <w:lastRenderedPageBreak/>
        <w:t>Tercero</w:t>
      </w:r>
      <w:r w:rsidR="003A293E" w:rsidRPr="00073293">
        <w:t xml:space="preserve">. Consulta pública del </w:t>
      </w:r>
      <w:r w:rsidR="00A5213A" w:rsidRPr="00073293">
        <w:t xml:space="preserve">Anteproyecto de </w:t>
      </w:r>
      <w:r w:rsidR="003A293E" w:rsidRPr="00073293">
        <w:t>Criterio Técnico</w:t>
      </w:r>
      <w:r w:rsidR="00A63FA7">
        <w:t xml:space="preserve">. </w:t>
      </w:r>
      <w:r w:rsidR="003A293E" w:rsidRPr="00370F00">
        <w:rPr>
          <w:rFonts w:eastAsia="Times New Roman"/>
          <w:b w:val="0"/>
          <w:bCs/>
          <w:color w:val="000000"/>
          <w:lang w:val="es-ES_tradnl" w:eastAsia="es-MX"/>
        </w:rPr>
        <w:t xml:space="preserve">La consulta pública del Anteproyecto </w:t>
      </w:r>
      <w:r w:rsidR="00FB47FD" w:rsidRPr="00370F00">
        <w:rPr>
          <w:rFonts w:eastAsia="Times New Roman"/>
          <w:b w:val="0"/>
          <w:bCs/>
          <w:color w:val="000000"/>
          <w:lang w:val="es-ES_tradnl" w:eastAsia="es-MX"/>
        </w:rPr>
        <w:t>de Criterio Técnico</w:t>
      </w:r>
      <w:r w:rsidR="00FA6F54">
        <w:rPr>
          <w:rFonts w:eastAsia="Times New Roman"/>
          <w:b w:val="0"/>
          <w:bCs/>
          <w:color w:val="000000"/>
          <w:lang w:val="es-ES_tradnl" w:eastAsia="es-MX"/>
        </w:rPr>
        <w:t>,</w:t>
      </w:r>
      <w:r w:rsidR="00FB47FD" w:rsidRPr="00370F00">
        <w:rPr>
          <w:rFonts w:eastAsia="Times New Roman"/>
          <w:b w:val="0"/>
          <w:bCs/>
          <w:color w:val="000000"/>
          <w:lang w:val="es-ES_tradnl" w:eastAsia="es-MX"/>
        </w:rPr>
        <w:t xml:space="preserve"> </w:t>
      </w:r>
      <w:r w:rsidR="00FA6F54">
        <w:rPr>
          <w:rFonts w:eastAsia="Times New Roman"/>
          <w:b w:val="0"/>
          <w:bCs/>
          <w:color w:val="000000"/>
          <w:lang w:val="es-ES_tradnl" w:eastAsia="es-MX"/>
        </w:rPr>
        <w:t xml:space="preserve">referida en el Antecedente 6 del presente Acuerdo, </w:t>
      </w:r>
      <w:r w:rsidR="003A293E" w:rsidRPr="00370F00">
        <w:rPr>
          <w:rFonts w:eastAsia="Times New Roman"/>
          <w:b w:val="0"/>
          <w:bCs/>
          <w:color w:val="000000"/>
          <w:lang w:val="es-ES_tradnl" w:eastAsia="es-MX"/>
        </w:rPr>
        <w:t xml:space="preserve">se llevó a cabo </w:t>
      </w:r>
      <w:r w:rsidR="00A5213A" w:rsidRPr="00370F00">
        <w:rPr>
          <w:rFonts w:eastAsia="Times New Roman"/>
          <w:b w:val="0"/>
          <w:bCs/>
          <w:color w:val="000000"/>
          <w:lang w:val="es-ES_tradnl" w:eastAsia="es-MX"/>
        </w:rPr>
        <w:t xml:space="preserve">por un periodo de 30 (treinta) días hábiles, comprendido </w:t>
      </w:r>
      <w:r w:rsidR="003A293E" w:rsidRPr="00370F00">
        <w:rPr>
          <w:rFonts w:eastAsia="Times New Roman"/>
          <w:b w:val="0"/>
          <w:bCs/>
          <w:color w:val="000000"/>
          <w:lang w:val="es-ES_tradnl" w:eastAsia="es-MX"/>
        </w:rPr>
        <w:t xml:space="preserve">entre el </w:t>
      </w:r>
      <w:r w:rsidR="008632D2">
        <w:rPr>
          <w:rFonts w:eastAsia="Times New Roman"/>
          <w:b w:val="0"/>
          <w:bCs/>
          <w:color w:val="000000"/>
          <w:lang w:val="es-ES_tradnl" w:eastAsia="es-MX"/>
        </w:rPr>
        <w:t>26</w:t>
      </w:r>
      <w:r w:rsidR="008632D2" w:rsidRPr="00370F00">
        <w:rPr>
          <w:rFonts w:eastAsia="Times New Roman"/>
          <w:b w:val="0"/>
          <w:bCs/>
          <w:color w:val="000000"/>
          <w:lang w:val="es-ES_tradnl" w:eastAsia="es-MX"/>
        </w:rPr>
        <w:t xml:space="preserve"> </w:t>
      </w:r>
      <w:r w:rsidR="003A293E" w:rsidRPr="00370F00">
        <w:rPr>
          <w:rFonts w:eastAsia="Times New Roman"/>
          <w:b w:val="0"/>
          <w:bCs/>
          <w:color w:val="000000"/>
          <w:lang w:val="es-ES_tradnl" w:eastAsia="es-MX"/>
        </w:rPr>
        <w:t xml:space="preserve">de octubre de </w:t>
      </w:r>
      <w:r w:rsidR="008632D2">
        <w:rPr>
          <w:rFonts w:eastAsia="Times New Roman"/>
          <w:b w:val="0"/>
          <w:bCs/>
          <w:color w:val="000000"/>
          <w:lang w:val="es-ES_tradnl" w:eastAsia="es-MX"/>
        </w:rPr>
        <w:t>2015</w:t>
      </w:r>
      <w:r w:rsidR="003A293E" w:rsidRPr="00370F00">
        <w:rPr>
          <w:rFonts w:eastAsia="Times New Roman"/>
          <w:b w:val="0"/>
          <w:bCs/>
          <w:color w:val="000000"/>
          <w:lang w:val="es-ES_tradnl" w:eastAsia="es-MX"/>
        </w:rPr>
        <w:t xml:space="preserve"> y el </w:t>
      </w:r>
      <w:r w:rsidR="008632D2">
        <w:rPr>
          <w:rFonts w:eastAsia="Times New Roman"/>
          <w:b w:val="0"/>
          <w:bCs/>
          <w:color w:val="000000"/>
          <w:lang w:val="es-ES_tradnl" w:eastAsia="es-MX"/>
        </w:rPr>
        <w:t>7</w:t>
      </w:r>
      <w:r w:rsidR="008632D2" w:rsidRPr="00370F00">
        <w:rPr>
          <w:rFonts w:eastAsia="Times New Roman"/>
          <w:b w:val="0"/>
          <w:bCs/>
          <w:color w:val="000000"/>
          <w:lang w:val="es-ES_tradnl" w:eastAsia="es-MX"/>
        </w:rPr>
        <w:t xml:space="preserve"> </w:t>
      </w:r>
      <w:r w:rsidR="003A293E" w:rsidRPr="00370F00">
        <w:rPr>
          <w:rFonts w:eastAsia="Times New Roman"/>
          <w:b w:val="0"/>
          <w:bCs/>
          <w:color w:val="000000"/>
          <w:lang w:val="es-ES_tradnl" w:eastAsia="es-MX"/>
        </w:rPr>
        <w:t xml:space="preserve">de diciembre de </w:t>
      </w:r>
      <w:r w:rsidR="008632D2">
        <w:rPr>
          <w:rFonts w:eastAsia="Times New Roman"/>
          <w:b w:val="0"/>
          <w:bCs/>
          <w:color w:val="000000"/>
          <w:lang w:val="es-ES_tradnl" w:eastAsia="es-MX"/>
        </w:rPr>
        <w:t>2015</w:t>
      </w:r>
      <w:r w:rsidR="003A293E" w:rsidRPr="00370F00">
        <w:rPr>
          <w:rFonts w:eastAsia="Times New Roman"/>
          <w:b w:val="0"/>
          <w:bCs/>
          <w:color w:val="000000"/>
          <w:lang w:val="es-ES_tradnl" w:eastAsia="es-MX"/>
        </w:rPr>
        <w:t>.</w:t>
      </w:r>
      <w:r w:rsidR="00A5213A" w:rsidRPr="00370F00">
        <w:rPr>
          <w:rFonts w:eastAsia="Times New Roman"/>
          <w:b w:val="0"/>
          <w:bCs/>
          <w:color w:val="000000"/>
          <w:lang w:val="es-ES_tradnl" w:eastAsia="es-MX"/>
        </w:rPr>
        <w:t xml:space="preserve"> El informe de comentarios, opiniones y propuestas recibidas durante la consulta pública, así como de las consideraciones a los mismos, previsto en el artículo 138, fracción II, de la LFCE, fue elaborado por la Unidad de Competencia Económica y publicado en el sitio de Internet del Instituto el </w:t>
      </w:r>
      <w:r w:rsidR="008632D2">
        <w:rPr>
          <w:rFonts w:eastAsia="Times New Roman"/>
          <w:b w:val="0"/>
          <w:bCs/>
          <w:color w:val="000000"/>
          <w:lang w:val="es-ES_tradnl" w:eastAsia="es-MX"/>
        </w:rPr>
        <w:t>11</w:t>
      </w:r>
      <w:r w:rsidR="008632D2" w:rsidRPr="00370F00">
        <w:rPr>
          <w:rFonts w:eastAsia="Times New Roman"/>
          <w:b w:val="0"/>
          <w:bCs/>
          <w:color w:val="000000"/>
          <w:lang w:val="es-ES_tradnl" w:eastAsia="es-MX"/>
        </w:rPr>
        <w:t xml:space="preserve"> </w:t>
      </w:r>
      <w:r w:rsidR="00A5213A" w:rsidRPr="00370F00">
        <w:rPr>
          <w:rFonts w:eastAsia="Times New Roman"/>
          <w:b w:val="0"/>
          <w:bCs/>
          <w:color w:val="000000"/>
          <w:lang w:val="es-ES_tradnl" w:eastAsia="es-MX"/>
        </w:rPr>
        <w:t xml:space="preserve">de febrero de </w:t>
      </w:r>
      <w:r w:rsidR="008632D2">
        <w:rPr>
          <w:rFonts w:eastAsia="Times New Roman"/>
          <w:b w:val="0"/>
          <w:bCs/>
          <w:color w:val="000000"/>
          <w:lang w:val="es-ES_tradnl" w:eastAsia="es-MX"/>
        </w:rPr>
        <w:t>2016</w:t>
      </w:r>
      <w:r w:rsidR="00A5213A" w:rsidRPr="00370F00">
        <w:rPr>
          <w:rFonts w:eastAsia="Times New Roman"/>
          <w:b w:val="0"/>
          <w:bCs/>
          <w:color w:val="000000"/>
          <w:lang w:val="es-ES_tradnl" w:eastAsia="es-MX"/>
        </w:rPr>
        <w:t>.</w:t>
      </w:r>
      <w:r w:rsidR="00A5213A" w:rsidRPr="00370F00">
        <w:rPr>
          <w:rStyle w:val="Refdenotaalpie"/>
          <w:b w:val="0"/>
        </w:rPr>
        <w:footnoteReference w:id="1"/>
      </w:r>
    </w:p>
    <w:p w14:paraId="733B47EB" w14:textId="37CC4773" w:rsidR="00D60458" w:rsidRDefault="00A63FA7" w:rsidP="008632D2">
      <w:pPr>
        <w:pStyle w:val="Sinespaciado"/>
        <w:spacing w:before="120" w:after="120" w:line="276" w:lineRule="auto"/>
        <w:ind w:left="28"/>
        <w:jc w:val="both"/>
        <w:rPr>
          <w:rFonts w:ascii="ITC Avant Garde" w:eastAsia="Times New Roman" w:hAnsi="ITC Avant Garde"/>
          <w:bCs/>
          <w:color w:val="000000"/>
          <w:lang w:val="es-ES_tradnl" w:eastAsia="es-MX"/>
        </w:rPr>
      </w:pPr>
      <w:r>
        <w:rPr>
          <w:rFonts w:ascii="ITC Avant Garde" w:eastAsia="Times New Roman" w:hAnsi="ITC Avant Garde"/>
          <w:bCs/>
          <w:color w:val="000000"/>
          <w:lang w:val="es-ES_tradnl" w:eastAsia="es-MX"/>
        </w:rPr>
        <w:t>Previa consideración y análisis de</w:t>
      </w:r>
      <w:r w:rsidR="00522B07">
        <w:rPr>
          <w:rFonts w:ascii="ITC Avant Garde" w:eastAsia="Times New Roman" w:hAnsi="ITC Avant Garde"/>
          <w:bCs/>
          <w:color w:val="000000"/>
          <w:lang w:val="es-ES_tradnl" w:eastAsia="es-MX"/>
        </w:rPr>
        <w:t xml:space="preserve"> los</w:t>
      </w:r>
      <w:r w:rsidR="00522B07" w:rsidRPr="00522B07">
        <w:rPr>
          <w:rFonts w:ascii="ITC Avant Garde" w:eastAsia="Times New Roman" w:hAnsi="ITC Avant Garde"/>
          <w:bCs/>
          <w:color w:val="000000"/>
          <w:lang w:val="es-ES_tradnl" w:eastAsia="es-MX"/>
        </w:rPr>
        <w:t xml:space="preserve"> </w:t>
      </w:r>
      <w:r w:rsidR="00522B07" w:rsidRPr="00A5213A">
        <w:rPr>
          <w:rFonts w:ascii="ITC Avant Garde" w:eastAsia="Times New Roman" w:hAnsi="ITC Avant Garde"/>
          <w:bCs/>
          <w:color w:val="000000"/>
          <w:lang w:val="es-ES_tradnl" w:eastAsia="es-MX"/>
        </w:rPr>
        <w:t xml:space="preserve">comentarios, </w:t>
      </w:r>
      <w:r>
        <w:rPr>
          <w:rFonts w:ascii="ITC Avant Garde" w:eastAsia="Times New Roman" w:hAnsi="ITC Avant Garde"/>
          <w:bCs/>
          <w:color w:val="000000"/>
          <w:lang w:val="es-ES_tradnl" w:eastAsia="es-MX"/>
        </w:rPr>
        <w:t xml:space="preserve">las </w:t>
      </w:r>
      <w:r w:rsidR="00522B07" w:rsidRPr="00A5213A">
        <w:rPr>
          <w:rFonts w:ascii="ITC Avant Garde" w:eastAsia="Times New Roman" w:hAnsi="ITC Avant Garde"/>
          <w:bCs/>
          <w:color w:val="000000"/>
          <w:lang w:val="es-ES_tradnl" w:eastAsia="es-MX"/>
        </w:rPr>
        <w:t xml:space="preserve">opiniones y </w:t>
      </w:r>
      <w:r>
        <w:rPr>
          <w:rFonts w:ascii="ITC Avant Garde" w:eastAsia="Times New Roman" w:hAnsi="ITC Avant Garde"/>
          <w:bCs/>
          <w:color w:val="000000"/>
          <w:lang w:val="es-ES_tradnl" w:eastAsia="es-MX"/>
        </w:rPr>
        <w:t xml:space="preserve">las </w:t>
      </w:r>
      <w:r w:rsidR="00522B07" w:rsidRPr="00A5213A">
        <w:rPr>
          <w:rFonts w:ascii="ITC Avant Garde" w:eastAsia="Times New Roman" w:hAnsi="ITC Avant Garde"/>
          <w:bCs/>
          <w:color w:val="000000"/>
          <w:lang w:val="es-ES_tradnl" w:eastAsia="es-MX"/>
        </w:rPr>
        <w:t>propuestas recibidas durante la consulta pública</w:t>
      </w:r>
      <w:r w:rsidR="00522B07">
        <w:rPr>
          <w:rFonts w:ascii="ITC Avant Garde" w:eastAsia="Times New Roman" w:hAnsi="ITC Avant Garde"/>
          <w:bCs/>
          <w:color w:val="000000"/>
          <w:lang w:val="es-ES_tradnl" w:eastAsia="es-MX"/>
        </w:rPr>
        <w:t xml:space="preserve"> del Anteproyecto</w:t>
      </w:r>
      <w:r w:rsidR="00FB47FD" w:rsidRPr="00FB47FD">
        <w:rPr>
          <w:rFonts w:ascii="ITC Avant Garde" w:eastAsia="Times New Roman" w:hAnsi="ITC Avant Garde"/>
          <w:bCs/>
          <w:color w:val="000000"/>
          <w:lang w:val="es-ES_tradnl" w:eastAsia="es-MX"/>
        </w:rPr>
        <w:t xml:space="preserve"> </w:t>
      </w:r>
      <w:r w:rsidR="00FB47FD">
        <w:rPr>
          <w:rFonts w:ascii="ITC Avant Garde" w:eastAsia="Times New Roman" w:hAnsi="ITC Avant Garde"/>
          <w:bCs/>
          <w:color w:val="000000"/>
          <w:lang w:val="es-ES_tradnl" w:eastAsia="es-MX"/>
        </w:rPr>
        <w:t>de Criterio Técnico</w:t>
      </w:r>
      <w:r w:rsidR="00522B07">
        <w:rPr>
          <w:rFonts w:ascii="ITC Avant Garde" w:eastAsia="Times New Roman" w:hAnsi="ITC Avant Garde"/>
          <w:bCs/>
          <w:color w:val="000000"/>
          <w:lang w:val="es-ES_tradnl" w:eastAsia="es-MX"/>
        </w:rPr>
        <w:t>, así como de una revisión propia</w:t>
      </w:r>
      <w:r w:rsidR="001A5DA3">
        <w:rPr>
          <w:rFonts w:ascii="ITC Avant Garde" w:eastAsia="Times New Roman" w:hAnsi="ITC Avant Garde"/>
          <w:bCs/>
          <w:color w:val="000000"/>
          <w:lang w:val="es-ES_tradnl" w:eastAsia="es-MX"/>
        </w:rPr>
        <w:t xml:space="preserve"> del Instituto, se </w:t>
      </w:r>
      <w:r>
        <w:rPr>
          <w:rFonts w:ascii="ITC Avant Garde" w:eastAsia="Times New Roman" w:hAnsi="ITC Avant Garde"/>
          <w:bCs/>
          <w:color w:val="000000"/>
          <w:lang w:val="es-ES_tradnl" w:eastAsia="es-MX"/>
        </w:rPr>
        <w:t>determina:</w:t>
      </w:r>
    </w:p>
    <w:p w14:paraId="74EB5550" w14:textId="534CB170" w:rsidR="00FB47FD" w:rsidRDefault="00FB47FD" w:rsidP="008632D2">
      <w:pPr>
        <w:pStyle w:val="Sinespaciado"/>
        <w:numPr>
          <w:ilvl w:val="0"/>
          <w:numId w:val="21"/>
        </w:numPr>
        <w:spacing w:before="120" w:after="120" w:line="276" w:lineRule="auto"/>
        <w:jc w:val="both"/>
        <w:rPr>
          <w:rFonts w:ascii="ITC Avant Garde" w:eastAsia="Times New Roman" w:hAnsi="ITC Avant Garde"/>
          <w:bCs/>
          <w:color w:val="000000"/>
          <w:lang w:val="es-ES_tradnl" w:eastAsia="es-MX"/>
        </w:rPr>
      </w:pPr>
      <w:r>
        <w:rPr>
          <w:rFonts w:ascii="ITC Avant Garde" w:eastAsia="Times New Roman" w:hAnsi="ITC Avant Garde"/>
          <w:bCs/>
          <w:color w:val="000000"/>
          <w:lang w:val="es-ES_tradnl" w:eastAsia="es-MX"/>
        </w:rPr>
        <w:t xml:space="preserve">Establecer que los objetivos del Criterio Técnico son: 1) dar a conocer </w:t>
      </w:r>
      <w:r w:rsidRPr="000045D9">
        <w:rPr>
          <w:rFonts w:ascii="ITC Avant Garde" w:hAnsi="ITC Avant Garde"/>
        </w:rPr>
        <w:t xml:space="preserve">el índice mediante el cual el </w:t>
      </w:r>
      <w:r w:rsidRPr="000045D9">
        <w:rPr>
          <w:rFonts w:ascii="ITC Avant Garde" w:eastAsia="Times New Roman" w:hAnsi="ITC Avant Garde"/>
          <w:bCs/>
          <w:color w:val="000000"/>
          <w:lang w:eastAsia="es-MX"/>
        </w:rPr>
        <w:t xml:space="preserve">Instituto </w:t>
      </w:r>
      <w:r w:rsidRPr="000045D9">
        <w:rPr>
          <w:rFonts w:ascii="ITC Avant Garde" w:hAnsi="ITC Avant Garde"/>
        </w:rPr>
        <w:t xml:space="preserve">determinará el grado de concentración en los mercados </w:t>
      </w:r>
      <w:r>
        <w:rPr>
          <w:rFonts w:ascii="ITC Avant Garde" w:hAnsi="ITC Avant Garde"/>
        </w:rPr>
        <w:t xml:space="preserve">y servicios correspondientes </w:t>
      </w:r>
      <w:r>
        <w:rPr>
          <w:rFonts w:ascii="ITC Avant Garde" w:hAnsi="ITC Avant Garde"/>
        </w:rPr>
        <w:lastRenderedPageBreak/>
        <w:t>a los</w:t>
      </w:r>
      <w:r w:rsidRPr="000045D9">
        <w:rPr>
          <w:rFonts w:ascii="ITC Avant Garde" w:hAnsi="ITC Avant Garde"/>
        </w:rPr>
        <w:t xml:space="preserve"> sectores de telecomunicaciones y radiodifusión</w:t>
      </w:r>
      <w:r>
        <w:rPr>
          <w:rFonts w:ascii="ITC Avant Garde" w:hAnsi="ITC Avant Garde"/>
        </w:rPr>
        <w:t>;</w:t>
      </w:r>
      <w:r>
        <w:rPr>
          <w:rFonts w:ascii="ITC Avant Garde" w:eastAsia="Times New Roman" w:hAnsi="ITC Avant Garde"/>
          <w:bCs/>
          <w:color w:val="000000"/>
          <w:lang w:val="es-ES_tradnl" w:eastAsia="es-MX"/>
        </w:rPr>
        <w:t xml:space="preserve"> 2) contar con una herramienta que </w:t>
      </w:r>
      <w:r w:rsidRPr="00FB47FD">
        <w:rPr>
          <w:rFonts w:ascii="ITC Avant Garde" w:eastAsia="Times New Roman" w:hAnsi="ITC Avant Garde"/>
          <w:bCs/>
          <w:color w:val="000000"/>
          <w:lang w:val="es-ES_tradnl" w:eastAsia="es-MX"/>
        </w:rPr>
        <w:t>permit</w:t>
      </w:r>
      <w:r>
        <w:rPr>
          <w:rFonts w:ascii="ITC Avant Garde" w:eastAsia="Times New Roman" w:hAnsi="ITC Avant Garde"/>
          <w:bCs/>
          <w:color w:val="000000"/>
          <w:lang w:val="es-ES_tradnl" w:eastAsia="es-MX"/>
        </w:rPr>
        <w:t>a</w:t>
      </w:r>
      <w:r w:rsidRPr="00FB47FD">
        <w:rPr>
          <w:rFonts w:ascii="ITC Avant Garde" w:eastAsia="Times New Roman" w:hAnsi="ITC Avant Garde"/>
          <w:bCs/>
          <w:color w:val="000000"/>
          <w:lang w:val="es-ES_tradnl" w:eastAsia="es-MX"/>
        </w:rPr>
        <w:t xml:space="preserve"> identificar las  concentraciones que tienen poca probabilidad de obstaculizar, disminuir, dañar o impedir la competencia y la libre concurrencia</w:t>
      </w:r>
      <w:r>
        <w:rPr>
          <w:rFonts w:ascii="ITC Avant Garde" w:eastAsia="Times New Roman" w:hAnsi="ITC Avant Garde"/>
          <w:bCs/>
          <w:color w:val="000000"/>
          <w:lang w:val="es-ES_tradnl" w:eastAsia="es-MX"/>
        </w:rPr>
        <w:t xml:space="preserve"> y 3) delimitar </w:t>
      </w:r>
      <w:r>
        <w:rPr>
          <w:rFonts w:ascii="ITC Avant Garde" w:hAnsi="ITC Avant Garde"/>
        </w:rPr>
        <w:t xml:space="preserve">el ámbito de aplicación del índice y de los umbrales en </w:t>
      </w:r>
      <w:r w:rsidR="00C60911">
        <w:rPr>
          <w:rFonts w:ascii="ITC Avant Garde" w:hAnsi="ITC Avant Garde"/>
        </w:rPr>
        <w:t xml:space="preserve">los </w:t>
      </w:r>
      <w:r>
        <w:rPr>
          <w:rFonts w:ascii="ITC Avant Garde" w:hAnsi="ITC Avant Garde"/>
        </w:rPr>
        <w:t>procedimientos que tramita y resuelve el Instituto</w:t>
      </w:r>
      <w:r>
        <w:rPr>
          <w:rFonts w:ascii="ITC Avant Garde" w:eastAsia="Times New Roman" w:hAnsi="ITC Avant Garde"/>
          <w:bCs/>
          <w:color w:val="000000"/>
          <w:lang w:val="es-ES_tradnl" w:eastAsia="es-MX"/>
        </w:rPr>
        <w:t>.</w:t>
      </w:r>
    </w:p>
    <w:p w14:paraId="7CF98B19" w14:textId="6897FC04" w:rsidR="001A5DA3" w:rsidRPr="001E0BD1" w:rsidRDefault="00FB47FD" w:rsidP="008632D2">
      <w:pPr>
        <w:pStyle w:val="Sinespaciado"/>
        <w:numPr>
          <w:ilvl w:val="0"/>
          <w:numId w:val="21"/>
        </w:numPr>
        <w:spacing w:before="120" w:after="120" w:line="276" w:lineRule="auto"/>
        <w:jc w:val="both"/>
        <w:rPr>
          <w:rFonts w:ascii="ITC Avant Garde" w:eastAsia="Times New Roman" w:hAnsi="ITC Avant Garde"/>
          <w:bCs/>
          <w:color w:val="000000"/>
          <w:lang w:val="es-ES_tradnl" w:eastAsia="es-MX"/>
        </w:rPr>
      </w:pPr>
      <w:r>
        <w:rPr>
          <w:rFonts w:ascii="ITC Avant Garde" w:eastAsia="Times New Roman" w:hAnsi="ITC Avant Garde"/>
          <w:bCs/>
          <w:color w:val="000000"/>
          <w:lang w:val="es-ES_tradnl" w:eastAsia="es-MX"/>
        </w:rPr>
        <w:t>Señalar explícitamente que e</w:t>
      </w:r>
      <w:r w:rsidRPr="000045D9">
        <w:rPr>
          <w:rFonts w:ascii="ITC Avant Garde" w:hAnsi="ITC Avant Garde"/>
        </w:rPr>
        <w:t>n ningún caso</w:t>
      </w:r>
      <w:r w:rsidRPr="000045D9">
        <w:rPr>
          <w:rFonts w:ascii="ITC Avant Garde" w:hAnsi="ITC Avant Garde"/>
          <w:b/>
        </w:rPr>
        <w:t xml:space="preserve"> </w:t>
      </w:r>
      <w:r w:rsidRPr="000045D9">
        <w:rPr>
          <w:rFonts w:ascii="ITC Avant Garde" w:hAnsi="ITC Avant Garde"/>
        </w:rPr>
        <w:t xml:space="preserve">el Instituto tomará sus decisiones utilizando como único elemento de análisis </w:t>
      </w:r>
      <w:r>
        <w:rPr>
          <w:rFonts w:ascii="ITC Avant Garde" w:hAnsi="ITC Avant Garde"/>
        </w:rPr>
        <w:t xml:space="preserve">el </w:t>
      </w:r>
      <w:r w:rsidRPr="000045D9">
        <w:rPr>
          <w:rFonts w:ascii="ITC Avant Garde" w:hAnsi="ITC Avant Garde"/>
        </w:rPr>
        <w:t>índice de concentración</w:t>
      </w:r>
      <w:r>
        <w:rPr>
          <w:rFonts w:ascii="ITC Avant Garde" w:hAnsi="ITC Avant Garde"/>
        </w:rPr>
        <w:t xml:space="preserve"> y los umbrales contenidos en el Criterio Técnico.</w:t>
      </w:r>
    </w:p>
    <w:p w14:paraId="1A70E7EE" w14:textId="2245B359" w:rsidR="001E0BD1" w:rsidRPr="001E0BD1" w:rsidRDefault="007C6305" w:rsidP="008632D2">
      <w:pPr>
        <w:pStyle w:val="Sinespaciado"/>
        <w:numPr>
          <w:ilvl w:val="0"/>
          <w:numId w:val="21"/>
        </w:numPr>
        <w:spacing w:before="120" w:after="120" w:line="276" w:lineRule="auto"/>
        <w:jc w:val="both"/>
        <w:rPr>
          <w:rFonts w:ascii="ITC Avant Garde" w:eastAsia="Times New Roman" w:hAnsi="ITC Avant Garde"/>
          <w:bCs/>
          <w:color w:val="000000"/>
          <w:lang w:val="es-ES_tradnl" w:eastAsia="es-MX"/>
        </w:rPr>
      </w:pPr>
      <w:r>
        <w:rPr>
          <w:rFonts w:ascii="ITC Avant Garde" w:hAnsi="ITC Avant Garde"/>
        </w:rPr>
        <w:t>Utilizar</w:t>
      </w:r>
      <w:r w:rsidR="001E0BD1">
        <w:rPr>
          <w:rFonts w:ascii="ITC Avant Garde" w:hAnsi="ITC Avant Garde"/>
        </w:rPr>
        <w:t xml:space="preserve"> el </w:t>
      </w:r>
      <w:r w:rsidR="001E0BD1" w:rsidRPr="000045D9">
        <w:rPr>
          <w:rFonts w:ascii="ITC Avant Garde" w:eastAsia="Times New Roman" w:hAnsi="ITC Avant Garde"/>
          <w:color w:val="000000"/>
          <w:lang w:eastAsia="es-MX"/>
        </w:rPr>
        <w:t>índice conocido en la literatura especializada como índice de Herfindahl-Hirschman (</w:t>
      </w:r>
      <w:r w:rsidR="001E0BD1">
        <w:rPr>
          <w:rFonts w:ascii="ITC Avant Garde" w:eastAsia="Times New Roman" w:hAnsi="ITC Avant Garde"/>
          <w:color w:val="000000"/>
          <w:lang w:eastAsia="es-MX"/>
        </w:rPr>
        <w:t>I</w:t>
      </w:r>
      <w:r w:rsidR="001E0BD1" w:rsidRPr="000045D9">
        <w:rPr>
          <w:rFonts w:ascii="ITC Avant Garde" w:eastAsia="Times New Roman" w:hAnsi="ITC Avant Garde"/>
          <w:color w:val="000000"/>
          <w:lang w:eastAsia="es-MX"/>
        </w:rPr>
        <w:t>HH)</w:t>
      </w:r>
      <w:r w:rsidR="001E0BD1">
        <w:rPr>
          <w:rFonts w:ascii="ITC Avant Garde" w:eastAsia="Times New Roman" w:hAnsi="ITC Avant Garde"/>
          <w:color w:val="000000"/>
          <w:lang w:eastAsia="es-MX"/>
        </w:rPr>
        <w:t xml:space="preserve">, el cual guarda una relación directa con el </w:t>
      </w:r>
      <w:r w:rsidR="001E0BD1" w:rsidRPr="000045D9">
        <w:rPr>
          <w:rFonts w:ascii="ITC Avant Garde" w:eastAsia="Times New Roman" w:hAnsi="ITC Avant Garde"/>
          <w:color w:val="000000"/>
          <w:lang w:eastAsia="es-MX"/>
        </w:rPr>
        <w:t>grado de concentración</w:t>
      </w:r>
      <w:r w:rsidR="001E0BD1">
        <w:rPr>
          <w:rFonts w:ascii="ITC Avant Garde" w:eastAsia="Times New Roman" w:hAnsi="ITC Avant Garde"/>
          <w:color w:val="000000"/>
          <w:lang w:eastAsia="es-MX"/>
        </w:rPr>
        <w:t xml:space="preserve">, tienen </w:t>
      </w:r>
      <w:r w:rsidR="001E0BD1" w:rsidRPr="00CC3133">
        <w:rPr>
          <w:rFonts w:ascii="ITC Avant Garde" w:hAnsi="ITC Avant Garde"/>
        </w:rPr>
        <w:t>sustento microeconómico</w:t>
      </w:r>
      <w:r w:rsidR="001E0BD1">
        <w:rPr>
          <w:rFonts w:ascii="ITC Avant Garde" w:hAnsi="ITC Avant Garde"/>
        </w:rPr>
        <w:t xml:space="preserve"> y </w:t>
      </w:r>
      <w:r w:rsidR="001E0BD1" w:rsidRPr="001E0BD1">
        <w:rPr>
          <w:rFonts w:ascii="ITC Avant Garde" w:hAnsi="ITC Avant Garde"/>
        </w:rPr>
        <w:t xml:space="preserve">es utilizado para analizar las estructuras de mercado por prácticamente todas las autoridades en materia de competencia </w:t>
      </w:r>
      <w:r w:rsidR="001E0BD1">
        <w:rPr>
          <w:rFonts w:ascii="ITC Avant Garde" w:hAnsi="ITC Avant Garde"/>
        </w:rPr>
        <w:t xml:space="preserve">económica </w:t>
      </w:r>
      <w:r w:rsidR="001E0BD1" w:rsidRPr="001E0BD1">
        <w:rPr>
          <w:rFonts w:ascii="ITC Avant Garde" w:hAnsi="ITC Avant Garde"/>
        </w:rPr>
        <w:t>en el mundo</w:t>
      </w:r>
      <w:r w:rsidR="001E0BD1">
        <w:rPr>
          <w:rFonts w:ascii="ITC Avant Garde" w:hAnsi="ITC Avant Garde"/>
        </w:rPr>
        <w:t>.</w:t>
      </w:r>
    </w:p>
    <w:p w14:paraId="330AFA9C" w14:textId="25BE95DC" w:rsidR="001E0BD1" w:rsidRPr="00E72BBA" w:rsidRDefault="007C6305" w:rsidP="008632D2">
      <w:pPr>
        <w:pStyle w:val="Sinespaciado"/>
        <w:numPr>
          <w:ilvl w:val="0"/>
          <w:numId w:val="21"/>
        </w:numPr>
        <w:spacing w:before="120" w:after="120" w:line="276" w:lineRule="auto"/>
        <w:jc w:val="both"/>
        <w:rPr>
          <w:rFonts w:ascii="ITC Avant Garde" w:eastAsia="Times New Roman" w:hAnsi="ITC Avant Garde"/>
          <w:bCs/>
          <w:color w:val="000000"/>
          <w:lang w:val="es-ES_tradnl" w:eastAsia="es-MX"/>
        </w:rPr>
      </w:pPr>
      <w:r>
        <w:rPr>
          <w:rFonts w:ascii="ITC Avant Garde" w:hAnsi="ITC Avant Garde"/>
        </w:rPr>
        <w:t>Estimar l</w:t>
      </w:r>
      <w:r w:rsidR="001E0BD1">
        <w:rPr>
          <w:rFonts w:ascii="ITC Avant Garde" w:hAnsi="ITC Avant Garde"/>
        </w:rPr>
        <w:t xml:space="preserve">as participaciones de mercado para calcular el IHH con base en </w:t>
      </w:r>
      <w:r w:rsidR="001E0BD1" w:rsidRPr="001E0BD1">
        <w:rPr>
          <w:rFonts w:ascii="ITC Avant Garde" w:hAnsi="ITC Avant Garde"/>
        </w:rPr>
        <w:t xml:space="preserve">las variables que </w:t>
      </w:r>
      <w:r w:rsidR="001E0BD1">
        <w:rPr>
          <w:rFonts w:ascii="ITC Avant Garde" w:hAnsi="ITC Avant Garde"/>
        </w:rPr>
        <w:t xml:space="preserve">el Instituto </w:t>
      </w:r>
      <w:r w:rsidR="001E0BD1" w:rsidRPr="001E0BD1">
        <w:rPr>
          <w:rFonts w:ascii="ITC Avant Garde" w:hAnsi="ITC Avant Garde"/>
        </w:rPr>
        <w:t>considere más adecuadas para el caso particular de estudio y que sus valores provengan de fuentes de información confiables</w:t>
      </w:r>
      <w:r w:rsidR="00E72BBA">
        <w:rPr>
          <w:rFonts w:ascii="ITC Avant Garde" w:hAnsi="ITC Avant Garde"/>
        </w:rPr>
        <w:t xml:space="preserve">. De manera enunciativa mas no limitativa, las variables que se utilizarán son: </w:t>
      </w:r>
      <w:r w:rsidR="00E72BBA" w:rsidRPr="000045D9">
        <w:rPr>
          <w:rFonts w:ascii="ITC Avant Garde" w:eastAsia="Times New Roman" w:hAnsi="ITC Avant Garde"/>
          <w:color w:val="000000"/>
          <w:lang w:eastAsia="es-MX"/>
        </w:rPr>
        <w:t xml:space="preserve">usuarios, suscripciones, audiencia, tráfico en las redes, número de frecuencias o estaciones, capacidad instalada, </w:t>
      </w:r>
      <w:r w:rsidR="00E72BBA" w:rsidRPr="000045D9">
        <w:rPr>
          <w:rFonts w:ascii="ITC Avant Garde" w:hAnsi="ITC Avant Garde"/>
        </w:rPr>
        <w:t xml:space="preserve">valor o volumen de las </w:t>
      </w:r>
      <w:r w:rsidR="00E72BBA" w:rsidRPr="000045D9">
        <w:rPr>
          <w:rFonts w:ascii="ITC Avant Garde" w:eastAsia="Times New Roman" w:hAnsi="ITC Avant Garde"/>
          <w:color w:val="000000"/>
          <w:lang w:eastAsia="es-MX"/>
        </w:rPr>
        <w:t>ventas</w:t>
      </w:r>
      <w:r w:rsidR="00E72BBA">
        <w:rPr>
          <w:rFonts w:ascii="ITC Avant Garde" w:eastAsia="Times New Roman" w:hAnsi="ITC Avant Garde"/>
          <w:color w:val="000000"/>
          <w:lang w:eastAsia="es-MX"/>
        </w:rPr>
        <w:t>.</w:t>
      </w:r>
    </w:p>
    <w:p w14:paraId="38D481F7" w14:textId="63BC4B32" w:rsidR="00E72BBA" w:rsidRPr="001D1FD1" w:rsidRDefault="007C6305" w:rsidP="008632D2">
      <w:pPr>
        <w:pStyle w:val="Sinespaciado"/>
        <w:numPr>
          <w:ilvl w:val="0"/>
          <w:numId w:val="21"/>
        </w:numPr>
        <w:spacing w:before="120" w:after="120" w:line="276" w:lineRule="auto"/>
        <w:jc w:val="both"/>
        <w:rPr>
          <w:rFonts w:ascii="ITC Avant Garde" w:eastAsia="Times New Roman" w:hAnsi="ITC Avant Garde"/>
          <w:bCs/>
          <w:color w:val="000000"/>
          <w:lang w:val="es-ES_tradnl" w:eastAsia="es-MX"/>
        </w:rPr>
      </w:pPr>
      <w:r>
        <w:rPr>
          <w:rFonts w:ascii="ITC Avant Garde" w:hAnsi="ITC Avant Garde"/>
        </w:rPr>
        <w:lastRenderedPageBreak/>
        <w:t xml:space="preserve">Establecer </w:t>
      </w:r>
      <w:r w:rsidR="00E72BBA">
        <w:rPr>
          <w:rFonts w:ascii="ITC Avant Garde" w:hAnsi="ITC Avant Garde"/>
        </w:rPr>
        <w:t xml:space="preserve">umbrales para el IHH y su variación </w:t>
      </w:r>
      <w:r>
        <w:rPr>
          <w:rFonts w:ascii="ITC Avant Garde" w:hAnsi="ITC Avant Garde"/>
        </w:rPr>
        <w:t>que atiendan</w:t>
      </w:r>
      <w:r w:rsidR="00E72BBA" w:rsidRPr="00E72BBA">
        <w:rPr>
          <w:rFonts w:ascii="ITC Avant Garde" w:hAnsi="ITC Avant Garde"/>
        </w:rPr>
        <w:t xml:space="preserve"> las características particulares de los mercados y los servicios de telecomunicaciones y de radiodifusión en México</w:t>
      </w:r>
      <w:r w:rsidR="001D1FD1">
        <w:rPr>
          <w:rFonts w:ascii="ITC Avant Garde" w:hAnsi="ITC Avant Garde"/>
        </w:rPr>
        <w:t>,</w:t>
      </w:r>
      <w:r>
        <w:rPr>
          <w:rFonts w:ascii="ITC Avant Garde" w:hAnsi="ITC Avant Garde"/>
        </w:rPr>
        <w:t xml:space="preserve"> con base</w:t>
      </w:r>
      <w:r w:rsidR="00E72BBA">
        <w:rPr>
          <w:rFonts w:ascii="ITC Avant Garde" w:hAnsi="ITC Avant Garde"/>
        </w:rPr>
        <w:t xml:space="preserve"> en </w:t>
      </w:r>
      <w:r w:rsidR="001D1FD1">
        <w:rPr>
          <w:rFonts w:ascii="ITC Avant Garde" w:hAnsi="ITC Avant Garde"/>
        </w:rPr>
        <w:t>lo siguiente:</w:t>
      </w:r>
    </w:p>
    <w:p w14:paraId="7DC628C4" w14:textId="39BE3B79" w:rsidR="001D1FD1" w:rsidRPr="000045D9" w:rsidRDefault="001D1FD1" w:rsidP="008632D2">
      <w:pPr>
        <w:pStyle w:val="Prrafodelista"/>
        <w:numPr>
          <w:ilvl w:val="1"/>
          <w:numId w:val="21"/>
        </w:numPr>
        <w:autoSpaceDE w:val="0"/>
        <w:autoSpaceDN w:val="0"/>
        <w:adjustRightInd w:val="0"/>
        <w:spacing w:before="120" w:after="120"/>
        <w:ind w:right="-1"/>
        <w:contextualSpacing w:val="0"/>
        <w:jc w:val="both"/>
        <w:rPr>
          <w:rFonts w:ascii="ITC Avant Garde" w:hAnsi="ITC Avant Garde" w:cs="Times New Roman"/>
          <w:color w:val="000000"/>
        </w:rPr>
      </w:pPr>
      <w:r w:rsidRPr="000045D9">
        <w:rPr>
          <w:rFonts w:ascii="ITC Avant Garde" w:hAnsi="ITC Avant Garde" w:cs="Times New Roman"/>
          <w:color w:val="000000"/>
        </w:rPr>
        <w:t xml:space="preserve">Resoluciones previas que se han tomado para los sectores de telecomunicaciones y radiodifusión, tanto en el mismo Instituto como en </w:t>
      </w:r>
      <w:r>
        <w:rPr>
          <w:rFonts w:ascii="ITC Avant Garde" w:hAnsi="ITC Avant Garde" w:cs="Times New Roman"/>
          <w:color w:val="000000"/>
        </w:rPr>
        <w:t xml:space="preserve">práctica decisoria de la </w:t>
      </w:r>
      <w:r w:rsidRPr="000045D9">
        <w:rPr>
          <w:rFonts w:ascii="ITC Avant Garde" w:hAnsi="ITC Avant Garde" w:cs="Times New Roman"/>
          <w:color w:val="000000"/>
        </w:rPr>
        <w:t>extinta Comisión Federal de Competencia</w:t>
      </w:r>
      <w:r>
        <w:rPr>
          <w:rFonts w:ascii="ITC Avant Garde" w:hAnsi="ITC Avant Garde" w:cs="Times New Roman"/>
          <w:color w:val="000000"/>
        </w:rPr>
        <w:t xml:space="preserve"> (CFC)</w:t>
      </w:r>
      <w:r w:rsidRPr="000045D9">
        <w:rPr>
          <w:rFonts w:ascii="ITC Avant Garde" w:hAnsi="ITC Avant Garde" w:cs="Times New Roman"/>
          <w:color w:val="000000"/>
        </w:rPr>
        <w:t>;</w:t>
      </w:r>
    </w:p>
    <w:p w14:paraId="3616ED8D" w14:textId="77777777" w:rsidR="001D1FD1" w:rsidRPr="000045D9" w:rsidRDefault="001D1FD1" w:rsidP="008632D2">
      <w:pPr>
        <w:pStyle w:val="Prrafodelista"/>
        <w:numPr>
          <w:ilvl w:val="1"/>
          <w:numId w:val="21"/>
        </w:numPr>
        <w:autoSpaceDE w:val="0"/>
        <w:autoSpaceDN w:val="0"/>
        <w:adjustRightInd w:val="0"/>
        <w:spacing w:before="120" w:after="120"/>
        <w:ind w:right="-1"/>
        <w:contextualSpacing w:val="0"/>
        <w:jc w:val="both"/>
        <w:rPr>
          <w:rFonts w:ascii="ITC Avant Garde" w:hAnsi="ITC Avant Garde" w:cs="Times New Roman"/>
          <w:color w:val="000000"/>
        </w:rPr>
      </w:pPr>
      <w:r w:rsidRPr="000045D9">
        <w:rPr>
          <w:rFonts w:ascii="ITC Avant Garde" w:hAnsi="ITC Avant Garde" w:cs="Times New Roman"/>
          <w:color w:val="000000"/>
        </w:rPr>
        <w:t>Las estructuras actuales de diversos mercados en los sectores de telecomunicaciones y radiodifusión;</w:t>
      </w:r>
    </w:p>
    <w:p w14:paraId="28A407ED" w14:textId="499DB101" w:rsidR="001D1FD1" w:rsidRPr="000045D9" w:rsidRDefault="001D1FD1" w:rsidP="008632D2">
      <w:pPr>
        <w:pStyle w:val="Prrafodelista"/>
        <w:numPr>
          <w:ilvl w:val="1"/>
          <w:numId w:val="21"/>
        </w:numPr>
        <w:autoSpaceDE w:val="0"/>
        <w:autoSpaceDN w:val="0"/>
        <w:adjustRightInd w:val="0"/>
        <w:spacing w:before="120" w:after="120"/>
        <w:ind w:right="-1"/>
        <w:contextualSpacing w:val="0"/>
        <w:jc w:val="both"/>
        <w:rPr>
          <w:rFonts w:ascii="ITC Avant Garde" w:hAnsi="ITC Avant Garde" w:cs="Times New Roman"/>
          <w:color w:val="000000"/>
        </w:rPr>
      </w:pPr>
      <w:r w:rsidRPr="000045D9">
        <w:rPr>
          <w:rFonts w:ascii="ITC Avant Garde" w:hAnsi="ITC Avant Garde" w:cs="Times New Roman"/>
          <w:color w:val="000000"/>
        </w:rPr>
        <w:t xml:space="preserve">Las posibles modificaciones que podrían experimentar las estructuras de los mercados analizados, como consecuencia de </w:t>
      </w:r>
      <w:r>
        <w:rPr>
          <w:rFonts w:ascii="ITC Avant Garde" w:hAnsi="ITC Avant Garde" w:cs="Times New Roman"/>
          <w:color w:val="000000"/>
        </w:rPr>
        <w:t>mayor disponibilidad de recursos o entrada de nuevos participantes; y</w:t>
      </w:r>
    </w:p>
    <w:p w14:paraId="39F4C213" w14:textId="51FC6267" w:rsidR="001D1FD1" w:rsidRPr="00E72BBA" w:rsidRDefault="001D1FD1" w:rsidP="008632D2">
      <w:pPr>
        <w:pStyle w:val="Sinespaciado"/>
        <w:numPr>
          <w:ilvl w:val="1"/>
          <w:numId w:val="21"/>
        </w:numPr>
        <w:spacing w:before="120" w:after="120" w:line="276" w:lineRule="auto"/>
        <w:jc w:val="both"/>
        <w:rPr>
          <w:rFonts w:ascii="ITC Avant Garde" w:eastAsia="Times New Roman" w:hAnsi="ITC Avant Garde"/>
          <w:bCs/>
          <w:color w:val="000000"/>
          <w:lang w:val="es-ES_tradnl" w:eastAsia="es-MX"/>
        </w:rPr>
      </w:pPr>
      <w:r w:rsidRPr="000045D9">
        <w:rPr>
          <w:rFonts w:ascii="ITC Avant Garde" w:hAnsi="ITC Avant Garde"/>
          <w:color w:val="000000"/>
        </w:rPr>
        <w:t>Criterios utilizados por otras autoridades de competencia en el mundo y en México</w:t>
      </w:r>
      <w:r>
        <w:rPr>
          <w:rFonts w:ascii="ITC Avant Garde" w:hAnsi="ITC Avant Garde"/>
          <w:color w:val="000000"/>
        </w:rPr>
        <w:t>.</w:t>
      </w:r>
    </w:p>
    <w:p w14:paraId="60FD4CB9" w14:textId="233C61B9" w:rsidR="00E72BBA" w:rsidRPr="00E72BBA" w:rsidRDefault="007C6305" w:rsidP="008632D2">
      <w:pPr>
        <w:pStyle w:val="Sinespaciado"/>
        <w:numPr>
          <w:ilvl w:val="0"/>
          <w:numId w:val="21"/>
        </w:numPr>
        <w:spacing w:before="120" w:after="120" w:line="276" w:lineRule="auto"/>
        <w:jc w:val="both"/>
        <w:rPr>
          <w:rFonts w:ascii="ITC Avant Garde" w:eastAsia="Times New Roman" w:hAnsi="ITC Avant Garde"/>
          <w:bCs/>
          <w:color w:val="000000"/>
          <w:lang w:val="es-ES_tradnl" w:eastAsia="es-MX"/>
        </w:rPr>
      </w:pPr>
      <w:r>
        <w:rPr>
          <w:rFonts w:ascii="ITC Avant Garde" w:hAnsi="ITC Avant Garde"/>
        </w:rPr>
        <w:t>Establecer que, a</w:t>
      </w:r>
      <w:r w:rsidR="00E72BBA" w:rsidRPr="00E72BBA">
        <w:rPr>
          <w:rFonts w:ascii="ITC Avant Garde" w:hAnsi="ITC Avant Garde"/>
        </w:rPr>
        <w:t xml:space="preserve">demás de ser una referencia en la evaluación de concentraciones, el índice y, en su caso, los umbrales, también podrán emplearse en el análisis de otros asuntos en materia de libre concurrencia y competencia económica que el Instituto tenga facultades de estudiar </w:t>
      </w:r>
      <w:r w:rsidR="00E72BBA" w:rsidRPr="00E72BBA">
        <w:rPr>
          <w:rFonts w:ascii="ITC Avant Garde" w:hAnsi="ITC Avant Garde"/>
        </w:rPr>
        <w:lastRenderedPageBreak/>
        <w:t>y resolver. El Instituto también podrá utilizar el índice de concentración como un indicador del grado de concentración en mercados relacionados</w:t>
      </w:r>
      <w:r w:rsidR="00E72BBA">
        <w:rPr>
          <w:rFonts w:ascii="ITC Avant Garde" w:hAnsi="ITC Avant Garde"/>
        </w:rPr>
        <w:t>.</w:t>
      </w:r>
    </w:p>
    <w:p w14:paraId="454049F6" w14:textId="1661EA8F" w:rsidR="00E72BBA" w:rsidRDefault="007C6305" w:rsidP="008632D2">
      <w:pPr>
        <w:pStyle w:val="Sinespaciado"/>
        <w:numPr>
          <w:ilvl w:val="0"/>
          <w:numId w:val="21"/>
        </w:numPr>
        <w:spacing w:before="120" w:after="120" w:line="276" w:lineRule="auto"/>
        <w:jc w:val="both"/>
        <w:rPr>
          <w:rFonts w:ascii="ITC Avant Garde" w:eastAsia="Times New Roman" w:hAnsi="ITC Avant Garde"/>
          <w:bCs/>
          <w:color w:val="000000"/>
          <w:lang w:val="es-ES_tradnl" w:eastAsia="es-MX"/>
        </w:rPr>
      </w:pPr>
      <w:r w:rsidRPr="00DA582C">
        <w:rPr>
          <w:rFonts w:ascii="ITC Avant Garde" w:eastAsia="Times New Roman" w:hAnsi="ITC Avant Garde"/>
          <w:bCs/>
          <w:color w:val="000000"/>
          <w:lang w:val="es-ES_tradnl" w:eastAsia="es-MX"/>
        </w:rPr>
        <w:t xml:space="preserve">No adoptar el </w:t>
      </w:r>
      <w:r w:rsidR="00B83351" w:rsidRPr="00DA582C">
        <w:rPr>
          <w:rFonts w:ascii="ITC Avant Garde" w:eastAsia="Times New Roman" w:hAnsi="ITC Avant Garde"/>
          <w:bCs/>
          <w:color w:val="000000"/>
          <w:lang w:val="es-ES_tradnl" w:eastAsia="es-MX"/>
        </w:rPr>
        <w:t xml:space="preserve">criterio de aplicación del </w:t>
      </w:r>
      <w:r w:rsidRPr="00DA582C">
        <w:rPr>
          <w:rFonts w:ascii="ITC Avant Garde" w:eastAsia="Times New Roman" w:hAnsi="ITC Avant Garde"/>
          <w:bCs/>
          <w:color w:val="000000"/>
          <w:lang w:val="es-ES_tradnl" w:eastAsia="es-MX"/>
        </w:rPr>
        <w:t>Índice de Dominancia</w:t>
      </w:r>
      <w:r w:rsidR="00EA6FFA" w:rsidRPr="00DA582C">
        <w:rPr>
          <w:rFonts w:ascii="ITC Avant Garde" w:eastAsia="Times New Roman" w:hAnsi="ITC Avant Garde"/>
          <w:bCs/>
          <w:color w:val="000000"/>
          <w:lang w:val="es-ES_tradnl" w:eastAsia="es-MX"/>
        </w:rPr>
        <w:t xml:space="preserve"> (ID)</w:t>
      </w:r>
      <w:r w:rsidRPr="00DA582C">
        <w:rPr>
          <w:rFonts w:ascii="ITC Avant Garde" w:eastAsia="Times New Roman" w:hAnsi="ITC Avant Garde"/>
          <w:bCs/>
          <w:color w:val="000000"/>
          <w:lang w:val="es-ES_tradnl" w:eastAsia="es-MX"/>
        </w:rPr>
        <w:t xml:space="preserve"> referido</w:t>
      </w:r>
      <w:r>
        <w:rPr>
          <w:rFonts w:ascii="ITC Avant Garde" w:eastAsia="Times New Roman" w:hAnsi="ITC Avant Garde"/>
          <w:bCs/>
          <w:color w:val="000000"/>
          <w:lang w:val="es-ES_tradnl" w:eastAsia="es-MX"/>
        </w:rPr>
        <w:t xml:space="preserve"> en</w:t>
      </w:r>
      <w:r w:rsidR="00EA6FFA">
        <w:rPr>
          <w:rFonts w:ascii="ITC Avant Garde" w:eastAsia="Times New Roman" w:hAnsi="ITC Avant Garde"/>
          <w:bCs/>
          <w:color w:val="000000"/>
          <w:lang w:val="es-ES_tradnl" w:eastAsia="es-MX"/>
        </w:rPr>
        <w:t xml:space="preserve"> la “</w:t>
      </w:r>
      <w:r w:rsidR="00EA6FFA" w:rsidRPr="00EA6FFA">
        <w:rPr>
          <w:rFonts w:ascii="ITC Avant Garde" w:hAnsi="ITC Avant Garde"/>
          <w:i/>
        </w:rPr>
        <w:t xml:space="preserve">RESOLUCION por la que se da a conocer el </w:t>
      </w:r>
      <w:r w:rsidR="00EA6FFA" w:rsidRPr="00EA6FFA">
        <w:rPr>
          <w:rFonts w:ascii="ITC Avant Garde" w:eastAsia="Times New Roman" w:hAnsi="ITC Avant Garde"/>
          <w:bCs/>
          <w:i/>
          <w:color w:val="000000"/>
          <w:lang w:val="es-ES_tradnl" w:eastAsia="es-MX"/>
        </w:rPr>
        <w:t>método para el cálculo de los índices para determinar el grado de concentración que exista en el mercado relevante y los criterios para su aplicación</w:t>
      </w:r>
      <w:r w:rsidR="00EA6FFA">
        <w:rPr>
          <w:rFonts w:ascii="ITC Avant Garde" w:eastAsia="Times New Roman" w:hAnsi="ITC Avant Garde"/>
          <w:bCs/>
          <w:color w:val="000000"/>
          <w:lang w:val="es-ES_tradnl" w:eastAsia="es-MX"/>
        </w:rPr>
        <w:t>”,</w:t>
      </w:r>
      <w:r w:rsidR="00B83351">
        <w:rPr>
          <w:rStyle w:val="Refdenotaalpie"/>
          <w:rFonts w:ascii="ITC Avant Garde" w:eastAsia="Times New Roman" w:hAnsi="ITC Avant Garde"/>
          <w:bCs/>
          <w:color w:val="000000"/>
          <w:lang w:val="es-ES_tradnl" w:eastAsia="es-MX"/>
        </w:rPr>
        <w:footnoteReference w:id="2"/>
      </w:r>
      <w:r w:rsidR="00EA6FFA" w:rsidRPr="00EA6FFA">
        <w:rPr>
          <w:rFonts w:ascii="ITC Avant Garde" w:eastAsia="Times New Roman" w:hAnsi="ITC Avant Garde"/>
          <w:bCs/>
          <w:color w:val="000000"/>
          <w:lang w:val="es-ES_tradnl" w:eastAsia="es-MX"/>
        </w:rPr>
        <w:t xml:space="preserve"> </w:t>
      </w:r>
      <w:r w:rsidRPr="007C6305">
        <w:rPr>
          <w:rFonts w:ascii="ITC Avant Garde" w:eastAsia="Times New Roman" w:hAnsi="ITC Avant Garde"/>
          <w:bCs/>
          <w:color w:val="000000"/>
          <w:lang w:val="es-ES_tradnl" w:eastAsia="es-MX"/>
        </w:rPr>
        <w:t>publicad</w:t>
      </w:r>
      <w:r w:rsidR="00C60911">
        <w:rPr>
          <w:rFonts w:ascii="ITC Avant Garde" w:eastAsia="Times New Roman" w:hAnsi="ITC Avant Garde"/>
          <w:bCs/>
          <w:color w:val="000000"/>
          <w:lang w:val="es-ES_tradnl" w:eastAsia="es-MX"/>
        </w:rPr>
        <w:t>a</w:t>
      </w:r>
      <w:r w:rsidRPr="007C6305">
        <w:rPr>
          <w:rFonts w:ascii="ITC Avant Garde" w:eastAsia="Times New Roman" w:hAnsi="ITC Avant Garde"/>
          <w:bCs/>
          <w:color w:val="000000"/>
          <w:lang w:val="es-ES_tradnl" w:eastAsia="es-MX"/>
        </w:rPr>
        <w:t xml:space="preserve"> por la </w:t>
      </w:r>
      <w:r>
        <w:rPr>
          <w:rFonts w:ascii="ITC Avant Garde" w:eastAsia="Times New Roman" w:hAnsi="ITC Avant Garde"/>
          <w:bCs/>
          <w:color w:val="000000"/>
          <w:lang w:val="es-ES_tradnl" w:eastAsia="es-MX"/>
        </w:rPr>
        <w:t>extinta CFC</w:t>
      </w:r>
      <w:r w:rsidR="00B83351">
        <w:rPr>
          <w:rFonts w:ascii="ITC Avant Garde" w:eastAsia="Times New Roman" w:hAnsi="ITC Avant Garde"/>
          <w:bCs/>
          <w:color w:val="000000"/>
          <w:lang w:val="es-ES_tradnl" w:eastAsia="es-MX"/>
        </w:rPr>
        <w:t>, consistente en considerar que “</w:t>
      </w:r>
      <w:r w:rsidR="00B83351" w:rsidRPr="00B83351">
        <w:rPr>
          <w:rFonts w:ascii="ITC Avant Garde" w:eastAsia="Times New Roman" w:hAnsi="ITC Avant Garde"/>
          <w:bCs/>
          <w:i/>
          <w:color w:val="000000"/>
          <w:lang w:val="es-ES_tradnl" w:eastAsia="es-MX"/>
        </w:rPr>
        <w:t>una concentración tiene pocas probabilidades de afectar el proceso de competencia y libre concurrencia cuando el resultado estimado de la concentración (…) Disminuya el ID</w:t>
      </w:r>
      <w:r w:rsidR="00B83351">
        <w:rPr>
          <w:rFonts w:ascii="ITC Avant Garde" w:eastAsia="Times New Roman" w:hAnsi="ITC Avant Garde"/>
          <w:bCs/>
          <w:color w:val="000000"/>
          <w:lang w:val="es-ES_tradnl" w:eastAsia="es-MX"/>
        </w:rPr>
        <w:t>”</w:t>
      </w:r>
      <w:r>
        <w:rPr>
          <w:rFonts w:ascii="ITC Avant Garde" w:eastAsia="Times New Roman" w:hAnsi="ITC Avant Garde"/>
          <w:bCs/>
          <w:color w:val="000000"/>
          <w:lang w:val="es-ES_tradnl" w:eastAsia="es-MX"/>
        </w:rPr>
        <w:t>. Ello en virtud de que:</w:t>
      </w:r>
    </w:p>
    <w:p w14:paraId="4D652A69" w14:textId="0BA84F19" w:rsidR="007C6305" w:rsidRDefault="00C60911" w:rsidP="00EA6FFA">
      <w:pPr>
        <w:pStyle w:val="Sinespaciado"/>
        <w:numPr>
          <w:ilvl w:val="1"/>
          <w:numId w:val="21"/>
        </w:numPr>
        <w:spacing w:before="120" w:after="120" w:line="276" w:lineRule="auto"/>
        <w:ind w:left="1469"/>
        <w:jc w:val="both"/>
        <w:rPr>
          <w:rFonts w:ascii="ITC Avant Garde" w:eastAsia="Times New Roman" w:hAnsi="ITC Avant Garde"/>
          <w:bCs/>
          <w:color w:val="000000"/>
          <w:lang w:val="es-ES_tradnl" w:eastAsia="es-MX"/>
        </w:rPr>
      </w:pPr>
      <w:r>
        <w:rPr>
          <w:rFonts w:ascii="ITC Avant Garde" w:eastAsia="Times New Roman" w:hAnsi="ITC Avant Garde"/>
          <w:bCs/>
          <w:color w:val="000000"/>
          <w:lang w:val="es-ES_tradnl" w:eastAsia="es-MX"/>
        </w:rPr>
        <w:t>Su interpretación p</w:t>
      </w:r>
      <w:r w:rsidR="007C6305" w:rsidRPr="007C6305">
        <w:rPr>
          <w:rFonts w:ascii="ITC Avant Garde" w:eastAsia="Times New Roman" w:hAnsi="ITC Avant Garde"/>
          <w:bCs/>
          <w:color w:val="000000"/>
          <w:lang w:val="es-ES_tradnl" w:eastAsia="es-MX"/>
        </w:rPr>
        <w:t>uede dar lugar a conclusiones erróneas, principalmente cuando las operaciones d</w:t>
      </w:r>
      <w:r w:rsidR="00B83351">
        <w:rPr>
          <w:rFonts w:ascii="ITC Avant Garde" w:eastAsia="Times New Roman" w:hAnsi="ITC Avant Garde"/>
          <w:bCs/>
          <w:color w:val="000000"/>
          <w:lang w:val="es-ES_tradnl" w:eastAsia="es-MX"/>
        </w:rPr>
        <w:t>a</w:t>
      </w:r>
      <w:r w:rsidR="007C6305" w:rsidRPr="007C6305">
        <w:rPr>
          <w:rFonts w:ascii="ITC Avant Garde" w:eastAsia="Times New Roman" w:hAnsi="ITC Avant Garde"/>
          <w:bCs/>
          <w:color w:val="000000"/>
          <w:lang w:val="es-ES_tradnl" w:eastAsia="es-MX"/>
        </w:rPr>
        <w:t>n lugar a agentes económicos con participaciones significativas y simétricas</w:t>
      </w:r>
      <w:r w:rsidR="00E13A86">
        <w:rPr>
          <w:rFonts w:ascii="ITC Avant Garde" w:eastAsia="Times New Roman" w:hAnsi="ITC Avant Garde"/>
          <w:bCs/>
          <w:color w:val="000000"/>
          <w:lang w:val="es-ES_tradnl" w:eastAsia="es-MX"/>
        </w:rPr>
        <w:t>,</w:t>
      </w:r>
      <w:r w:rsidR="007C6305">
        <w:rPr>
          <w:rFonts w:ascii="ITC Avant Garde" w:eastAsia="Times New Roman" w:hAnsi="ITC Avant Garde"/>
          <w:bCs/>
          <w:color w:val="000000"/>
          <w:lang w:val="es-ES_tradnl" w:eastAsia="es-MX"/>
        </w:rPr>
        <w:t xml:space="preserve"> y</w:t>
      </w:r>
    </w:p>
    <w:p w14:paraId="4D4FBBAD" w14:textId="05C9057B" w:rsidR="00476C7A" w:rsidRPr="00476C7A" w:rsidRDefault="00AB1CCB" w:rsidP="00EA6FFA">
      <w:pPr>
        <w:pStyle w:val="Sinespaciado"/>
        <w:numPr>
          <w:ilvl w:val="1"/>
          <w:numId w:val="21"/>
        </w:numPr>
        <w:spacing w:before="120" w:after="120" w:line="276" w:lineRule="auto"/>
        <w:ind w:left="1469"/>
        <w:jc w:val="both"/>
        <w:rPr>
          <w:rFonts w:ascii="ITC Avant Garde" w:eastAsia="Times New Roman" w:hAnsi="ITC Avant Garde"/>
          <w:bCs/>
          <w:color w:val="000000"/>
          <w:lang w:val="es-ES_tradnl" w:eastAsia="es-MX"/>
        </w:rPr>
      </w:pPr>
      <w:r>
        <w:rPr>
          <w:rFonts w:ascii="ITC Avant Garde" w:eastAsia="Times New Roman" w:hAnsi="ITC Avant Garde"/>
          <w:bCs/>
          <w:color w:val="000000"/>
          <w:lang w:val="es-ES_tradnl" w:eastAsia="es-MX"/>
        </w:rPr>
        <w:t>El</w:t>
      </w:r>
      <w:r w:rsidR="00476C7A" w:rsidRPr="00476C7A">
        <w:rPr>
          <w:rFonts w:ascii="ITC Avant Garde" w:eastAsia="Times New Roman" w:hAnsi="ITC Avant Garde"/>
          <w:bCs/>
          <w:color w:val="000000"/>
          <w:lang w:val="es-ES_tradnl" w:eastAsia="es-MX"/>
        </w:rPr>
        <w:t xml:space="preserve"> ID disminuye su valor cuando las fusiones </w:t>
      </w:r>
      <w:r w:rsidR="00E13A86">
        <w:rPr>
          <w:rFonts w:ascii="ITC Avant Garde" w:eastAsia="Times New Roman" w:hAnsi="ITC Avant Garde"/>
          <w:bCs/>
          <w:color w:val="000000"/>
          <w:lang w:val="es-ES_tradnl" w:eastAsia="es-MX"/>
        </w:rPr>
        <w:t>ocurren</w:t>
      </w:r>
      <w:r w:rsidR="00E13A86" w:rsidRPr="00476C7A">
        <w:rPr>
          <w:rFonts w:ascii="ITC Avant Garde" w:eastAsia="Times New Roman" w:hAnsi="ITC Avant Garde"/>
          <w:bCs/>
          <w:color w:val="000000"/>
          <w:lang w:val="es-ES_tradnl" w:eastAsia="es-MX"/>
        </w:rPr>
        <w:t xml:space="preserve"> </w:t>
      </w:r>
      <w:r w:rsidR="00476C7A" w:rsidRPr="00476C7A">
        <w:rPr>
          <w:rFonts w:ascii="ITC Avant Garde" w:eastAsia="Times New Roman" w:hAnsi="ITC Avant Garde"/>
          <w:bCs/>
          <w:color w:val="000000"/>
          <w:lang w:val="es-ES_tradnl" w:eastAsia="es-MX"/>
        </w:rPr>
        <w:t xml:space="preserve">entre agentes económicos de tamaño relativamente pequeño. En ese sentido, puede argumentarse que las operaciones entre agentes económicos pequeños, las cuales generalmente no generan riesgos a la competencia económica y libre concurrencia, no son penalizadas por el </w:t>
      </w:r>
      <w:r w:rsidR="00476C7A" w:rsidRPr="00664998">
        <w:rPr>
          <w:rFonts w:ascii="ITC Avant Garde" w:eastAsia="Times New Roman" w:hAnsi="ITC Avant Garde"/>
          <w:bCs/>
          <w:color w:val="000000"/>
          <w:lang w:val="es-ES_tradnl" w:eastAsia="es-MX"/>
        </w:rPr>
        <w:t>ID</w:t>
      </w:r>
      <w:r w:rsidR="00476C7A" w:rsidRPr="00476C7A">
        <w:rPr>
          <w:rFonts w:ascii="ITC Avant Garde" w:eastAsia="Times New Roman" w:hAnsi="ITC Avant Garde"/>
          <w:bCs/>
          <w:color w:val="000000"/>
          <w:lang w:val="es-ES_tradnl" w:eastAsia="es-MX"/>
        </w:rPr>
        <w:t>.</w:t>
      </w:r>
    </w:p>
    <w:p w14:paraId="36861301" w14:textId="08474FDE" w:rsidR="00AB1CCB" w:rsidRDefault="00476C7A" w:rsidP="00A63FA7">
      <w:pPr>
        <w:pStyle w:val="Sinespaciado"/>
        <w:spacing w:before="120" w:after="120" w:line="276" w:lineRule="auto"/>
        <w:ind w:left="1469"/>
        <w:jc w:val="both"/>
        <w:rPr>
          <w:rFonts w:ascii="ITC Avant Garde" w:hAnsi="ITC Avant Garde"/>
        </w:rPr>
      </w:pPr>
      <w:r w:rsidRPr="00476C7A">
        <w:rPr>
          <w:rFonts w:ascii="ITC Avant Garde" w:eastAsia="Times New Roman" w:hAnsi="ITC Avant Garde"/>
          <w:bCs/>
          <w:color w:val="000000"/>
          <w:lang w:val="es-ES_tradnl" w:eastAsia="es-MX"/>
        </w:rPr>
        <w:lastRenderedPageBreak/>
        <w:t xml:space="preserve">El Criterio Técnico establece </w:t>
      </w:r>
      <w:r w:rsidR="00E13A86">
        <w:rPr>
          <w:rFonts w:ascii="ITC Avant Garde" w:eastAsia="Times New Roman" w:hAnsi="ITC Avant Garde"/>
          <w:bCs/>
          <w:color w:val="000000"/>
          <w:lang w:val="es-ES_tradnl" w:eastAsia="es-MX"/>
        </w:rPr>
        <w:t xml:space="preserve">umbrales con dos referencias: el nivel y el incremento en el IHH. De tal forma </w:t>
      </w:r>
      <w:r w:rsidRPr="00476C7A">
        <w:rPr>
          <w:rFonts w:ascii="ITC Avant Garde" w:eastAsia="Times New Roman" w:hAnsi="ITC Avant Garde"/>
          <w:bCs/>
          <w:color w:val="000000"/>
          <w:lang w:val="es-ES_tradnl" w:eastAsia="es-MX"/>
        </w:rPr>
        <w:t xml:space="preserve">que </w:t>
      </w:r>
      <w:r w:rsidR="00E13A86">
        <w:rPr>
          <w:rFonts w:ascii="ITC Avant Garde" w:eastAsia="Times New Roman" w:hAnsi="ITC Avant Garde"/>
          <w:bCs/>
          <w:color w:val="000000"/>
          <w:lang w:val="es-ES_tradnl" w:eastAsia="es-MX"/>
        </w:rPr>
        <w:t xml:space="preserve">– en un mercado que actualice el nivel del IHH – </w:t>
      </w:r>
      <w:r w:rsidRPr="00476C7A">
        <w:rPr>
          <w:rFonts w:ascii="ITC Avant Garde" w:eastAsia="Times New Roman" w:hAnsi="ITC Avant Garde"/>
          <w:bCs/>
          <w:color w:val="000000"/>
          <w:lang w:val="es-ES_tradnl" w:eastAsia="es-MX"/>
        </w:rPr>
        <w:t>si</w:t>
      </w:r>
      <w:r w:rsidR="00E13A86">
        <w:rPr>
          <w:rFonts w:ascii="ITC Avant Garde" w:eastAsia="Times New Roman" w:hAnsi="ITC Avant Garde"/>
          <w:bCs/>
          <w:color w:val="000000"/>
          <w:lang w:val="es-ES_tradnl" w:eastAsia="es-MX"/>
        </w:rPr>
        <w:t xml:space="preserve"> </w:t>
      </w:r>
      <w:r w:rsidRPr="00476C7A">
        <w:rPr>
          <w:rFonts w:ascii="ITC Avant Garde" w:eastAsia="Times New Roman" w:hAnsi="ITC Avant Garde"/>
          <w:bCs/>
          <w:color w:val="000000"/>
          <w:lang w:val="es-ES_tradnl" w:eastAsia="es-MX"/>
        </w:rPr>
        <w:t xml:space="preserve">una operación genera un ∆HH menor </w:t>
      </w:r>
      <w:r w:rsidR="00E13A86">
        <w:rPr>
          <w:rFonts w:ascii="ITC Avant Garde" w:eastAsia="Times New Roman" w:hAnsi="ITC Avant Garde"/>
          <w:bCs/>
          <w:color w:val="000000"/>
          <w:lang w:val="es-ES_tradnl" w:eastAsia="es-MX"/>
        </w:rPr>
        <w:t>al</w:t>
      </w:r>
      <w:r w:rsidRPr="00476C7A">
        <w:rPr>
          <w:rFonts w:ascii="ITC Avant Garde" w:eastAsia="Times New Roman" w:hAnsi="ITC Avant Garde"/>
          <w:bCs/>
          <w:color w:val="000000"/>
          <w:lang w:val="es-ES_tradnl" w:eastAsia="es-MX"/>
        </w:rPr>
        <w:t xml:space="preserve"> </w:t>
      </w:r>
      <w:r w:rsidR="00E13A86">
        <w:rPr>
          <w:rFonts w:ascii="ITC Avant Garde" w:eastAsia="Times New Roman" w:hAnsi="ITC Avant Garde"/>
          <w:bCs/>
          <w:color w:val="000000"/>
          <w:lang w:val="es-ES_tradnl" w:eastAsia="es-MX"/>
        </w:rPr>
        <w:t xml:space="preserve">previsto en el </w:t>
      </w:r>
      <w:r w:rsidRPr="00476C7A">
        <w:rPr>
          <w:rFonts w:ascii="ITC Avant Garde" w:eastAsia="Times New Roman" w:hAnsi="ITC Avant Garde"/>
          <w:bCs/>
          <w:color w:val="000000"/>
          <w:lang w:val="es-ES_tradnl" w:eastAsia="es-MX"/>
        </w:rPr>
        <w:t xml:space="preserve">umbral, lo cual sucede cuando se evalúan operaciones entre agentes económicos relativamente pequeños, se considerará que </w:t>
      </w:r>
      <w:r w:rsidRPr="00AB1CCB">
        <w:rPr>
          <w:rFonts w:ascii="ITC Avant Garde" w:eastAsia="Times New Roman" w:hAnsi="ITC Avant Garde"/>
          <w:bCs/>
          <w:color w:val="000000"/>
          <w:lang w:val="es-ES_tradnl" w:eastAsia="es-MX"/>
        </w:rPr>
        <w:t xml:space="preserve">es poco probable que tenga por objeto o efecto obstaculizar, disminuir, dañar o impedir la competencia y la libre concurrencia. Es decir, el Criterio Técnico </w:t>
      </w:r>
      <w:r w:rsidR="00AB1CCB" w:rsidRPr="00AB1CCB">
        <w:rPr>
          <w:rFonts w:ascii="ITC Avant Garde" w:eastAsia="Times New Roman" w:hAnsi="ITC Avant Garde"/>
          <w:bCs/>
          <w:color w:val="000000"/>
          <w:lang w:val="es-ES_tradnl" w:eastAsia="es-MX"/>
        </w:rPr>
        <w:t xml:space="preserve">implícitamente </w:t>
      </w:r>
      <w:r w:rsidRPr="00AB1CCB">
        <w:rPr>
          <w:rFonts w:ascii="ITC Avant Garde" w:eastAsia="Times New Roman" w:hAnsi="ITC Avant Garde"/>
          <w:bCs/>
          <w:color w:val="000000"/>
          <w:lang w:val="es-ES_tradnl" w:eastAsia="es-MX"/>
        </w:rPr>
        <w:t xml:space="preserve">incluye </w:t>
      </w:r>
      <w:r w:rsidR="00AB1CCB" w:rsidRPr="00AB1CCB">
        <w:rPr>
          <w:rFonts w:ascii="ITC Avant Garde" w:eastAsia="Times New Roman" w:hAnsi="ITC Avant Garde"/>
          <w:bCs/>
          <w:color w:val="000000"/>
          <w:lang w:val="es-ES_tradnl" w:eastAsia="es-MX"/>
        </w:rPr>
        <w:t>el criterio de aplicación del ID de mérito</w:t>
      </w:r>
      <w:r w:rsidRPr="00476C7A">
        <w:rPr>
          <w:rFonts w:ascii="ITC Avant Garde" w:eastAsia="Times New Roman" w:hAnsi="ITC Avant Garde"/>
          <w:bCs/>
          <w:color w:val="000000"/>
          <w:lang w:val="es-ES_tradnl" w:eastAsia="es-MX"/>
        </w:rPr>
        <w:t>.</w:t>
      </w:r>
    </w:p>
    <w:p w14:paraId="5093E39B" w14:textId="4E91DF84" w:rsidR="00AB1CCB" w:rsidRDefault="00EA6FFA" w:rsidP="00A63FA7">
      <w:pPr>
        <w:spacing w:before="120" w:after="120"/>
        <w:jc w:val="center"/>
        <w:rPr>
          <w:rFonts w:ascii="ITC Avant Garde" w:hAnsi="ITC Avant Garde"/>
        </w:rPr>
      </w:pPr>
      <w:r>
        <w:rPr>
          <w:rFonts w:ascii="ITC Avant Garde" w:hAnsi="ITC Avant Garde"/>
        </w:rPr>
        <w:t>***</w:t>
      </w:r>
    </w:p>
    <w:p w14:paraId="2C8B7574" w14:textId="27C36EF8" w:rsidR="008A39CF" w:rsidRDefault="008A39CF" w:rsidP="00894FC7">
      <w:pPr>
        <w:spacing w:before="120" w:after="120"/>
        <w:jc w:val="both"/>
        <w:rPr>
          <w:rFonts w:ascii="ITC Avant Garde" w:hAnsi="ITC Avant Garde"/>
        </w:rPr>
      </w:pPr>
      <w:r w:rsidRPr="00021217">
        <w:rPr>
          <w:rFonts w:ascii="ITC Avant Garde" w:hAnsi="ITC Avant Garde"/>
        </w:rPr>
        <w:t>Con base en lo anterior y con fundamento en lo dispuesto por los artículos 28, párrafo</w:t>
      </w:r>
      <w:r w:rsidR="00D60458">
        <w:rPr>
          <w:rFonts w:ascii="ITC Avant Garde" w:hAnsi="ITC Avant Garde"/>
        </w:rPr>
        <w:t>s</w:t>
      </w:r>
      <w:r w:rsidRPr="00021217">
        <w:rPr>
          <w:rFonts w:ascii="ITC Avant Garde" w:hAnsi="ITC Avant Garde"/>
        </w:rPr>
        <w:t xml:space="preserve"> décimo sexto</w:t>
      </w:r>
      <w:r w:rsidR="00D60458">
        <w:rPr>
          <w:rFonts w:ascii="ITC Avant Garde" w:hAnsi="ITC Avant Garde"/>
        </w:rPr>
        <w:t xml:space="preserve"> y</w:t>
      </w:r>
      <w:r w:rsidR="00D60458" w:rsidRPr="00D60458">
        <w:rPr>
          <w:rFonts w:ascii="ITC Avant Garde" w:hAnsi="ITC Avant Garde"/>
        </w:rPr>
        <w:t xml:space="preserve"> vigésimo, fracción IV</w:t>
      </w:r>
      <w:r w:rsidRPr="00021217">
        <w:rPr>
          <w:rFonts w:ascii="ITC Avant Garde" w:hAnsi="ITC Avant Garde"/>
        </w:rPr>
        <w:t>, de la Constitución Política de los Estados Unidos Mexicanos;</w:t>
      </w:r>
      <w:r w:rsidRPr="00021217">
        <w:rPr>
          <w:rFonts w:ascii="ITC Avant Garde" w:hAnsi="ITC Avant Garde"/>
          <w:bCs/>
          <w:color w:val="000000"/>
          <w:lang w:eastAsia="es-MX"/>
        </w:rPr>
        <w:t xml:space="preserve"> </w:t>
      </w:r>
      <w:r w:rsidR="00B90D85">
        <w:rPr>
          <w:rFonts w:ascii="ITC Avant Garde" w:hAnsi="ITC Avant Garde"/>
          <w:bCs/>
          <w:color w:val="000000"/>
          <w:lang w:eastAsia="es-MX"/>
        </w:rPr>
        <w:t>7, párrafo tercero, de la Ley Federal de Telecomunicaciones y Radiodifusión</w:t>
      </w:r>
      <w:r w:rsidR="00B90D85">
        <w:rPr>
          <w:rFonts w:ascii="ITC Avant Garde" w:hAnsi="ITC Avant Garde"/>
        </w:rPr>
        <w:t xml:space="preserve">; </w:t>
      </w:r>
      <w:r w:rsidRPr="00021217">
        <w:rPr>
          <w:rFonts w:ascii="ITC Avant Garde" w:hAnsi="ITC Avant Garde"/>
        </w:rPr>
        <w:t>1, 2, 5, párrafo primero, 12, fracciones I y XX</w:t>
      </w:r>
      <w:r w:rsidR="00577B45">
        <w:rPr>
          <w:rFonts w:ascii="ITC Avant Garde" w:hAnsi="ITC Avant Garde"/>
        </w:rPr>
        <w:t>II</w:t>
      </w:r>
      <w:r w:rsidRPr="00021217">
        <w:rPr>
          <w:rFonts w:ascii="ITC Avant Garde" w:hAnsi="ITC Avant Garde"/>
        </w:rPr>
        <w:t>,</w:t>
      </w:r>
      <w:r w:rsidR="00B90D85">
        <w:rPr>
          <w:rFonts w:ascii="ITC Avant Garde" w:hAnsi="ITC Avant Garde"/>
        </w:rPr>
        <w:t xml:space="preserve"> párrafo tercero,</w:t>
      </w:r>
      <w:r w:rsidRPr="00021217">
        <w:rPr>
          <w:rFonts w:ascii="ITC Avant Garde" w:hAnsi="ITC Avant Garde"/>
        </w:rPr>
        <w:t xml:space="preserve"> </w:t>
      </w:r>
      <w:r w:rsidR="00FC6AE4">
        <w:rPr>
          <w:rFonts w:ascii="ITC Avant Garde" w:hAnsi="ITC Avant Garde"/>
        </w:rPr>
        <w:t>inciso</w:t>
      </w:r>
      <w:r w:rsidR="00F8455A">
        <w:rPr>
          <w:rFonts w:ascii="ITC Avant Garde" w:hAnsi="ITC Avant Garde"/>
        </w:rPr>
        <w:t>s</w:t>
      </w:r>
      <w:r w:rsidR="00FC6AE4">
        <w:rPr>
          <w:rFonts w:ascii="ITC Avant Garde" w:hAnsi="ITC Avant Garde"/>
        </w:rPr>
        <w:t xml:space="preserve"> a)</w:t>
      </w:r>
      <w:r w:rsidR="00F8455A">
        <w:rPr>
          <w:rFonts w:ascii="ITC Avant Garde" w:hAnsi="ITC Avant Garde"/>
        </w:rPr>
        <w:t xml:space="preserve"> y g)</w:t>
      </w:r>
      <w:r w:rsidR="00FC6AE4">
        <w:rPr>
          <w:rFonts w:ascii="ITC Avant Garde" w:hAnsi="ITC Avant Garde"/>
        </w:rPr>
        <w:t xml:space="preserve">, </w:t>
      </w:r>
      <w:r w:rsidR="00577B45">
        <w:rPr>
          <w:rFonts w:ascii="ITC Avant Garde" w:hAnsi="ITC Avant Garde"/>
        </w:rPr>
        <w:t xml:space="preserve">18, párrafo séptimo, </w:t>
      </w:r>
      <w:r w:rsidR="00DB5697" w:rsidRPr="000045D9">
        <w:rPr>
          <w:rFonts w:ascii="ITC Avant Garde" w:hAnsi="ITC Avant Garde"/>
        </w:rPr>
        <w:t>63, fracción II</w:t>
      </w:r>
      <w:r w:rsidR="00664998">
        <w:rPr>
          <w:rFonts w:ascii="ITC Avant Garde" w:hAnsi="ITC Avant Garde"/>
        </w:rPr>
        <w:t>,</w:t>
      </w:r>
      <w:r w:rsidR="00DB5697" w:rsidDel="00DB5697">
        <w:rPr>
          <w:rFonts w:ascii="ITC Avant Garde" w:hAnsi="ITC Avant Garde"/>
        </w:rPr>
        <w:t xml:space="preserve"> </w:t>
      </w:r>
      <w:r w:rsidR="00B90D85">
        <w:rPr>
          <w:rFonts w:ascii="ITC Avant Garde" w:hAnsi="ITC Avant Garde"/>
        </w:rPr>
        <w:t>y 138, fracci</w:t>
      </w:r>
      <w:r w:rsidR="008B2131">
        <w:rPr>
          <w:rFonts w:ascii="ITC Avant Garde" w:hAnsi="ITC Avant Garde"/>
        </w:rPr>
        <w:t>ón III</w:t>
      </w:r>
      <w:r w:rsidR="00C6060B">
        <w:rPr>
          <w:rFonts w:ascii="ITC Avant Garde" w:hAnsi="ITC Avant Garde"/>
        </w:rPr>
        <w:t>,</w:t>
      </w:r>
      <w:r w:rsidRPr="00021217">
        <w:rPr>
          <w:rFonts w:ascii="ITC Avant Garde" w:hAnsi="ITC Avant Garde"/>
        </w:rPr>
        <w:t xml:space="preserve"> de la Ley Federal de Competencia Económica</w:t>
      </w:r>
      <w:r w:rsidRPr="00021217">
        <w:rPr>
          <w:rFonts w:ascii="ITC Avant Garde" w:hAnsi="ITC Avant Garde"/>
          <w:color w:val="000000"/>
          <w:shd w:val="clear" w:color="auto" w:fill="FFFFFF"/>
        </w:rPr>
        <w:t>;</w:t>
      </w:r>
      <w:r w:rsidR="003A33AD">
        <w:rPr>
          <w:rFonts w:ascii="ITC Avant Garde" w:hAnsi="ITC Avant Garde"/>
          <w:color w:val="000000"/>
          <w:shd w:val="clear" w:color="auto" w:fill="FFFFFF"/>
        </w:rPr>
        <w:t xml:space="preserve"> </w:t>
      </w:r>
      <w:r w:rsidR="00B90D85">
        <w:rPr>
          <w:rFonts w:ascii="ITC Avant Garde" w:hAnsi="ITC Avant Garde"/>
          <w:color w:val="000000"/>
          <w:shd w:val="clear" w:color="auto" w:fill="FFFFFF"/>
        </w:rPr>
        <w:t xml:space="preserve">13 </w:t>
      </w:r>
      <w:r w:rsidR="00D7302D">
        <w:rPr>
          <w:rFonts w:ascii="ITC Avant Garde" w:hAnsi="ITC Avant Garde"/>
          <w:color w:val="000000"/>
          <w:shd w:val="clear" w:color="auto" w:fill="FFFFFF"/>
        </w:rPr>
        <w:t xml:space="preserve">y 187 </w:t>
      </w:r>
      <w:r w:rsidR="00B90D85" w:rsidRPr="00B90D85">
        <w:rPr>
          <w:rFonts w:ascii="ITC Avant Garde" w:hAnsi="ITC Avant Garde"/>
          <w:color w:val="000000"/>
          <w:shd w:val="clear" w:color="auto" w:fill="FFFFFF"/>
        </w:rPr>
        <w:t>de las</w:t>
      </w:r>
      <w:r w:rsidR="003A33AD" w:rsidRPr="00B90D85">
        <w:rPr>
          <w:rFonts w:ascii="ITC Avant Garde" w:hAnsi="ITC Avant Garde"/>
          <w:color w:val="000000"/>
          <w:shd w:val="clear" w:color="auto" w:fill="FFFFFF"/>
        </w:rPr>
        <w:t xml:space="preserve"> Disposiciones Regulatorias de la Ley Federal de Competencia Económica para los sectores de telecomunicaciones y radiodifusión</w:t>
      </w:r>
      <w:r w:rsidR="003A33AD" w:rsidRPr="003A33AD">
        <w:rPr>
          <w:rFonts w:ascii="ITC Avant Garde" w:hAnsi="ITC Avant Garde"/>
          <w:color w:val="000000"/>
          <w:shd w:val="clear" w:color="auto" w:fill="FFFFFF"/>
        </w:rPr>
        <w:t>;</w:t>
      </w:r>
      <w:r w:rsidRPr="00021217">
        <w:rPr>
          <w:rFonts w:ascii="ITC Avant Garde" w:hAnsi="ITC Avant Garde"/>
        </w:rPr>
        <w:t xml:space="preserve"> y 1, párrafos pri</w:t>
      </w:r>
      <w:r w:rsidRPr="00021217">
        <w:rPr>
          <w:rFonts w:ascii="ITC Avant Garde" w:hAnsi="ITC Avant Garde"/>
        </w:rPr>
        <w:lastRenderedPageBreak/>
        <w:t>mero y tercero, 2, fracción X, 4, fracci</w:t>
      </w:r>
      <w:r w:rsidR="00B90D85">
        <w:rPr>
          <w:rFonts w:ascii="ITC Avant Garde" w:hAnsi="ITC Avant Garde"/>
        </w:rPr>
        <w:t>o</w:t>
      </w:r>
      <w:r w:rsidRPr="00021217">
        <w:rPr>
          <w:rFonts w:ascii="ITC Avant Garde" w:hAnsi="ITC Avant Garde"/>
        </w:rPr>
        <w:t>n</w:t>
      </w:r>
      <w:r w:rsidR="00B90D85">
        <w:rPr>
          <w:rFonts w:ascii="ITC Avant Garde" w:hAnsi="ITC Avant Garde"/>
        </w:rPr>
        <w:t>es</w:t>
      </w:r>
      <w:r w:rsidRPr="00021217">
        <w:rPr>
          <w:rFonts w:ascii="ITC Avant Garde" w:hAnsi="ITC Avant Garde"/>
        </w:rPr>
        <w:t xml:space="preserve"> I</w:t>
      </w:r>
      <w:r w:rsidR="00577B45">
        <w:rPr>
          <w:rFonts w:ascii="ITC Avant Garde" w:hAnsi="ITC Avant Garde"/>
        </w:rPr>
        <w:t>,</w:t>
      </w:r>
      <w:r w:rsidR="00B90D85">
        <w:rPr>
          <w:rFonts w:ascii="ITC Avant Garde" w:hAnsi="ITC Avant Garde"/>
        </w:rPr>
        <w:t xml:space="preserve"> V, inciso vi)</w:t>
      </w:r>
      <w:r w:rsidRPr="00021217">
        <w:rPr>
          <w:rFonts w:ascii="ITC Avant Garde" w:hAnsi="ITC Avant Garde"/>
        </w:rPr>
        <w:t>,</w:t>
      </w:r>
      <w:r w:rsidR="00577B45">
        <w:rPr>
          <w:rFonts w:ascii="ITC Avant Garde" w:hAnsi="ITC Avant Garde"/>
        </w:rPr>
        <w:t xml:space="preserve"> y VI,</w:t>
      </w:r>
      <w:r w:rsidR="00FC2753">
        <w:rPr>
          <w:rFonts w:ascii="ITC Avant Garde" w:hAnsi="ITC Avant Garde"/>
        </w:rPr>
        <w:t xml:space="preserve"> y</w:t>
      </w:r>
      <w:r w:rsidRPr="00021217">
        <w:rPr>
          <w:rFonts w:ascii="ITC Avant Garde" w:hAnsi="ITC Avant Garde"/>
        </w:rPr>
        <w:t xml:space="preserve"> 6, fracción XXXVII, del Estatuto Orgánico del Instituto Federal de Telecomunicaciones</w:t>
      </w:r>
      <w:r w:rsidRPr="00FC2753">
        <w:rPr>
          <w:rFonts w:ascii="ITC Avant Garde" w:hAnsi="ITC Avant Garde"/>
        </w:rPr>
        <w:t>, el Pleno del</w:t>
      </w:r>
      <w:r w:rsidRPr="00021217">
        <w:rPr>
          <w:rFonts w:ascii="ITC Avant Garde" w:hAnsi="ITC Avant Garde"/>
        </w:rPr>
        <w:t xml:space="preserve"> Instituto Federal de Telecomunicaciones </w:t>
      </w:r>
      <w:r w:rsidR="00747B12">
        <w:rPr>
          <w:rFonts w:ascii="ITC Avant Garde" w:hAnsi="ITC Avant Garde"/>
        </w:rPr>
        <w:t xml:space="preserve">emite </w:t>
      </w:r>
      <w:r w:rsidR="00A63FA7">
        <w:rPr>
          <w:rFonts w:ascii="ITC Avant Garde" w:hAnsi="ITC Avant Garde"/>
        </w:rPr>
        <w:t>el siguiente</w:t>
      </w:r>
      <w:r w:rsidRPr="00021217">
        <w:rPr>
          <w:rFonts w:ascii="ITC Avant Garde" w:hAnsi="ITC Avant Garde"/>
        </w:rPr>
        <w:t>:</w:t>
      </w:r>
    </w:p>
    <w:p w14:paraId="6E9D492F" w14:textId="77777777" w:rsidR="00C60911" w:rsidRPr="00021217" w:rsidRDefault="00C60911" w:rsidP="00894FC7">
      <w:pPr>
        <w:spacing w:before="120" w:after="120"/>
        <w:jc w:val="both"/>
        <w:rPr>
          <w:rFonts w:ascii="ITC Avant Garde" w:hAnsi="ITC Avant Garde"/>
        </w:rPr>
      </w:pPr>
    </w:p>
    <w:p w14:paraId="2BF7F90C" w14:textId="53706C2F" w:rsidR="008A39CF" w:rsidRPr="00021217" w:rsidRDefault="00B90D85" w:rsidP="00894FC7">
      <w:pPr>
        <w:pStyle w:val="Ttulo1"/>
        <w:keepNext w:val="0"/>
        <w:spacing w:before="120" w:after="120" w:line="276" w:lineRule="auto"/>
        <w:ind w:left="862" w:hanging="360"/>
        <w:rPr>
          <w:rStyle w:val="NormalIFTCar"/>
          <w:rFonts w:eastAsia="Calibri"/>
          <w:sz w:val="22"/>
          <w:szCs w:val="22"/>
        </w:rPr>
      </w:pPr>
      <w:r>
        <w:rPr>
          <w:rStyle w:val="NormalIFTCar"/>
          <w:rFonts w:eastAsia="Calibri"/>
          <w:sz w:val="22"/>
          <w:szCs w:val="22"/>
        </w:rPr>
        <w:t>ACUERDO</w:t>
      </w:r>
    </w:p>
    <w:p w14:paraId="7CD85BC7" w14:textId="7C1484BF" w:rsidR="008A39CF" w:rsidRDefault="008A39CF" w:rsidP="00894FC7">
      <w:pPr>
        <w:spacing w:before="120" w:after="120"/>
        <w:jc w:val="both"/>
        <w:rPr>
          <w:rFonts w:ascii="ITC Avant Garde" w:hAnsi="ITC Avant Garde"/>
        </w:rPr>
      </w:pPr>
      <w:r w:rsidRPr="00021217">
        <w:rPr>
          <w:rFonts w:ascii="ITC Avant Garde" w:hAnsi="ITC Avant Garde"/>
          <w:b/>
        </w:rPr>
        <w:t>PRIMERO</w:t>
      </w:r>
      <w:r w:rsidRPr="00021217">
        <w:rPr>
          <w:rFonts w:ascii="ITC Avant Garde" w:hAnsi="ITC Avant Garde"/>
        </w:rPr>
        <w:t xml:space="preserve">. </w:t>
      </w:r>
      <w:r w:rsidR="001A5DA3">
        <w:rPr>
          <w:rFonts w:ascii="ITC Avant Garde" w:hAnsi="ITC Avant Garde"/>
        </w:rPr>
        <w:t>Se e</w:t>
      </w:r>
      <w:r w:rsidR="00AC4CA4">
        <w:rPr>
          <w:rFonts w:ascii="ITC Avant Garde" w:hAnsi="ITC Avant Garde"/>
        </w:rPr>
        <w:t>xp</w:t>
      </w:r>
      <w:r w:rsidR="001A5DA3">
        <w:rPr>
          <w:rFonts w:ascii="ITC Avant Garde" w:hAnsi="ITC Avant Garde"/>
        </w:rPr>
        <w:t xml:space="preserve">ide </w:t>
      </w:r>
      <w:r w:rsidR="000D7361">
        <w:rPr>
          <w:rFonts w:ascii="ITC Avant Garde" w:hAnsi="ITC Avant Garde"/>
        </w:rPr>
        <w:t>el</w:t>
      </w:r>
      <w:r w:rsidR="00012092">
        <w:rPr>
          <w:rFonts w:ascii="ITC Avant Garde" w:hAnsi="ITC Avant Garde"/>
        </w:rPr>
        <w:t xml:space="preserve"> </w:t>
      </w:r>
      <w:r w:rsidR="00012092" w:rsidRPr="008B4D60">
        <w:rPr>
          <w:rFonts w:ascii="ITC Avant Garde" w:hAnsi="ITC Avant Garde"/>
        </w:rPr>
        <w:t>“</w:t>
      </w:r>
      <w:r w:rsidR="00A63FA7" w:rsidRPr="008B4D60">
        <w:rPr>
          <w:rFonts w:ascii="ITC Avant Garde" w:hAnsi="ITC Avant Garde"/>
        </w:rPr>
        <w:t>Criterio Técnico para el Cálculo y Aplicación de un Índice Cuantitativo a fin de Determinar el Grado de Concentración</w:t>
      </w:r>
      <w:r w:rsidR="00A63FA7">
        <w:rPr>
          <w:rFonts w:ascii="ITC Avant Garde" w:hAnsi="ITC Avant Garde"/>
        </w:rPr>
        <w:t xml:space="preserve"> en los Mercados y</w:t>
      </w:r>
      <w:r w:rsidR="00A63FA7" w:rsidRPr="008B4D60">
        <w:rPr>
          <w:rFonts w:ascii="ITC Avant Garde" w:hAnsi="ITC Avant Garde"/>
        </w:rPr>
        <w:t xml:space="preserve"> </w:t>
      </w:r>
      <w:r w:rsidR="00A63FA7">
        <w:rPr>
          <w:rFonts w:ascii="ITC Avant Garde" w:hAnsi="ITC Avant Garde"/>
        </w:rPr>
        <w:t xml:space="preserve">Servicios </w:t>
      </w:r>
      <w:r w:rsidR="00A63FA7" w:rsidRPr="00916E6B">
        <w:rPr>
          <w:rFonts w:ascii="ITC Avant Garde" w:hAnsi="ITC Avant Garde"/>
        </w:rPr>
        <w:t xml:space="preserve">Correspondientes a los </w:t>
      </w:r>
      <w:r w:rsidR="00A63FA7" w:rsidRPr="008B4D60">
        <w:rPr>
          <w:rFonts w:ascii="ITC Avant Garde" w:hAnsi="ITC Avant Garde"/>
        </w:rPr>
        <w:t>Sectores de Telecomunicaciones y Radiodifusión</w:t>
      </w:r>
      <w:r w:rsidR="00012092" w:rsidRPr="008B4D60">
        <w:rPr>
          <w:rFonts w:ascii="ITC Avant Garde" w:hAnsi="ITC Avant Garde"/>
        </w:rPr>
        <w:t>”</w:t>
      </w:r>
      <w:r w:rsidR="000D7361">
        <w:rPr>
          <w:rFonts w:ascii="ITC Avant Garde" w:hAnsi="ITC Avant Garde"/>
        </w:rPr>
        <w:t xml:space="preserve">, que </w:t>
      </w:r>
      <w:r w:rsidR="00A63FA7">
        <w:rPr>
          <w:rFonts w:ascii="ITC Avant Garde" w:hAnsi="ITC Avant Garde"/>
        </w:rPr>
        <w:t xml:space="preserve">se adjunta </w:t>
      </w:r>
      <w:r w:rsidR="000D7361">
        <w:rPr>
          <w:rFonts w:ascii="ITC Avant Garde" w:hAnsi="ITC Avant Garde"/>
        </w:rPr>
        <w:t>como Anexo Único</w:t>
      </w:r>
      <w:r w:rsidR="006F4657">
        <w:rPr>
          <w:rFonts w:ascii="ITC Avant Garde" w:hAnsi="ITC Avant Garde"/>
        </w:rPr>
        <w:t>.</w:t>
      </w:r>
    </w:p>
    <w:p w14:paraId="49C50DB9" w14:textId="014BA8A8" w:rsidR="006F4657" w:rsidRDefault="006F4657" w:rsidP="00894FC7">
      <w:pPr>
        <w:spacing w:before="120" w:after="120"/>
        <w:jc w:val="both"/>
        <w:rPr>
          <w:rFonts w:ascii="ITC Avant Garde" w:hAnsi="ITC Avant Garde"/>
        </w:rPr>
      </w:pPr>
      <w:r w:rsidRPr="006F4657">
        <w:rPr>
          <w:rFonts w:ascii="ITC Avant Garde" w:hAnsi="ITC Avant Garde"/>
          <w:b/>
        </w:rPr>
        <w:t>SEGUNDO.</w:t>
      </w:r>
      <w:r w:rsidRPr="00021217">
        <w:rPr>
          <w:rFonts w:ascii="ITC Avant Garde" w:hAnsi="ITC Avant Garde"/>
        </w:rPr>
        <w:t xml:space="preserve"> </w:t>
      </w:r>
      <w:r w:rsidR="002F451B">
        <w:rPr>
          <w:rFonts w:ascii="ITC Avant Garde" w:hAnsi="ITC Avant Garde"/>
        </w:rPr>
        <w:t>Publ</w:t>
      </w:r>
      <w:r w:rsidR="001A5DA3">
        <w:rPr>
          <w:rFonts w:ascii="ITC Avant Garde" w:hAnsi="ITC Avant Garde"/>
        </w:rPr>
        <w:t>íquese</w:t>
      </w:r>
      <w:r w:rsidR="002F451B">
        <w:rPr>
          <w:rFonts w:ascii="ITC Avant Garde" w:hAnsi="ITC Avant Garde"/>
        </w:rPr>
        <w:t xml:space="preserve"> </w:t>
      </w:r>
      <w:r w:rsidRPr="00012092">
        <w:rPr>
          <w:rFonts w:ascii="ITC Avant Garde" w:hAnsi="ITC Avant Garde"/>
        </w:rPr>
        <w:t xml:space="preserve">el </w:t>
      </w:r>
      <w:r>
        <w:rPr>
          <w:rFonts w:ascii="ITC Avant Garde" w:hAnsi="ITC Avant Garde"/>
        </w:rPr>
        <w:t>“</w:t>
      </w:r>
      <w:r w:rsidR="00A63FA7" w:rsidRPr="008B4D60">
        <w:rPr>
          <w:rFonts w:ascii="ITC Avant Garde" w:hAnsi="ITC Avant Garde"/>
        </w:rPr>
        <w:t>Criterio Técnico para el Cálculo y Aplicación de un Índice Cuantitativo a fin de Determinar el Grado de Concentración</w:t>
      </w:r>
      <w:r w:rsidR="00A63FA7">
        <w:rPr>
          <w:rFonts w:ascii="ITC Avant Garde" w:hAnsi="ITC Avant Garde"/>
        </w:rPr>
        <w:t xml:space="preserve"> en los Mercados y</w:t>
      </w:r>
      <w:r w:rsidR="00A63FA7" w:rsidRPr="008B4D60">
        <w:rPr>
          <w:rFonts w:ascii="ITC Avant Garde" w:hAnsi="ITC Avant Garde"/>
        </w:rPr>
        <w:t xml:space="preserve"> </w:t>
      </w:r>
      <w:r w:rsidR="00A63FA7">
        <w:rPr>
          <w:rFonts w:ascii="ITC Avant Garde" w:hAnsi="ITC Avant Garde"/>
        </w:rPr>
        <w:t xml:space="preserve">Servicios </w:t>
      </w:r>
      <w:r w:rsidR="00A63FA7" w:rsidRPr="00916E6B">
        <w:rPr>
          <w:rFonts w:ascii="ITC Avant Garde" w:hAnsi="ITC Avant Garde"/>
        </w:rPr>
        <w:t xml:space="preserve">Correspondientes a los </w:t>
      </w:r>
      <w:r w:rsidR="00A63FA7" w:rsidRPr="008B4D60">
        <w:rPr>
          <w:rFonts w:ascii="ITC Avant Garde" w:hAnsi="ITC Avant Garde"/>
        </w:rPr>
        <w:t>Sectores de Telecomunicaciones y Radiodifusión</w:t>
      </w:r>
      <w:r>
        <w:rPr>
          <w:rFonts w:ascii="ITC Avant Garde" w:hAnsi="ITC Avant Garde"/>
        </w:rPr>
        <w:t>”</w:t>
      </w:r>
      <w:r w:rsidRPr="00012092">
        <w:rPr>
          <w:rFonts w:ascii="ITC Avant Garde" w:hAnsi="ITC Avant Garde"/>
        </w:rPr>
        <w:t xml:space="preserve"> en el Diario Oficial de la Federación</w:t>
      </w:r>
      <w:r>
        <w:rPr>
          <w:rFonts w:ascii="ITC Avant Garde" w:hAnsi="ITC Avant Garde"/>
        </w:rPr>
        <w:t xml:space="preserve"> </w:t>
      </w:r>
      <w:r w:rsidR="00AC4CA4">
        <w:rPr>
          <w:rFonts w:ascii="ITC Avant Garde" w:hAnsi="ITC Avant Garde"/>
        </w:rPr>
        <w:t>y</w:t>
      </w:r>
      <w:r>
        <w:rPr>
          <w:rFonts w:ascii="ITC Avant Garde" w:hAnsi="ITC Avant Garde"/>
        </w:rPr>
        <w:t xml:space="preserve"> en el sitio de Internet del Instituto.</w:t>
      </w:r>
    </w:p>
    <w:p w14:paraId="47D60704" w14:textId="77777777" w:rsidR="006F4657" w:rsidRDefault="006F4657" w:rsidP="00894FC7">
      <w:pPr>
        <w:spacing w:before="120" w:after="120"/>
        <w:jc w:val="both"/>
        <w:rPr>
          <w:rFonts w:ascii="ITC Avant Garde" w:hAnsi="ITC Avant Garde"/>
        </w:rPr>
      </w:pPr>
    </w:p>
    <w:p w14:paraId="7DE243D4" w14:textId="77777777" w:rsidR="00575F64" w:rsidRDefault="00575F64" w:rsidP="00894FC7">
      <w:pPr>
        <w:spacing w:before="120" w:after="120"/>
        <w:jc w:val="both"/>
        <w:rPr>
          <w:rFonts w:ascii="ITC Avant Garde" w:hAnsi="ITC Avant Garde"/>
        </w:rPr>
      </w:pPr>
    </w:p>
    <w:p w14:paraId="06DF0BED" w14:textId="77777777" w:rsidR="008A39CF" w:rsidRPr="00021217" w:rsidRDefault="008A39CF" w:rsidP="00894FC7">
      <w:pPr>
        <w:autoSpaceDE w:val="0"/>
        <w:autoSpaceDN w:val="0"/>
        <w:adjustRightInd w:val="0"/>
        <w:spacing w:before="120" w:after="120"/>
        <w:jc w:val="center"/>
        <w:rPr>
          <w:rFonts w:ascii="ITC Avant Garde" w:eastAsia="Times New Roman" w:hAnsi="ITC Avant Garde"/>
          <w:b/>
          <w:bCs/>
          <w:lang w:eastAsia="es-ES"/>
        </w:rPr>
      </w:pPr>
    </w:p>
    <w:p w14:paraId="35D92A36" w14:textId="77777777" w:rsidR="008A39CF" w:rsidRPr="00021217" w:rsidRDefault="008A39CF" w:rsidP="00894FC7">
      <w:pPr>
        <w:keepNext/>
        <w:autoSpaceDE w:val="0"/>
        <w:autoSpaceDN w:val="0"/>
        <w:adjustRightInd w:val="0"/>
        <w:spacing w:before="120" w:after="120"/>
        <w:jc w:val="center"/>
        <w:rPr>
          <w:rFonts w:ascii="ITC Avant Garde" w:eastAsia="Times New Roman" w:hAnsi="ITC Avant Garde"/>
          <w:b/>
          <w:bCs/>
          <w:lang w:eastAsia="es-ES"/>
        </w:rPr>
      </w:pPr>
      <w:r w:rsidRPr="00021217">
        <w:rPr>
          <w:rFonts w:ascii="ITC Avant Garde" w:eastAsia="Times New Roman" w:hAnsi="ITC Avant Garde"/>
          <w:b/>
          <w:bCs/>
          <w:lang w:eastAsia="es-ES"/>
        </w:rPr>
        <w:lastRenderedPageBreak/>
        <w:t xml:space="preserve">Gabriel Oswaldo Contreras Saldívar </w:t>
      </w:r>
    </w:p>
    <w:p w14:paraId="67352C69" w14:textId="77777777" w:rsidR="008A39CF" w:rsidRPr="00021217" w:rsidRDefault="008A39CF" w:rsidP="00894FC7">
      <w:pPr>
        <w:keepNext/>
        <w:autoSpaceDE w:val="0"/>
        <w:autoSpaceDN w:val="0"/>
        <w:adjustRightInd w:val="0"/>
        <w:spacing w:before="120" w:after="120"/>
        <w:jc w:val="center"/>
        <w:rPr>
          <w:rFonts w:ascii="ITC Avant Garde" w:eastAsia="Times New Roman" w:hAnsi="ITC Avant Garde"/>
          <w:b/>
          <w:bCs/>
          <w:lang w:eastAsia="es-ES"/>
        </w:rPr>
      </w:pPr>
      <w:r w:rsidRPr="00021217">
        <w:rPr>
          <w:rFonts w:ascii="ITC Avant Garde" w:eastAsia="Times New Roman" w:hAnsi="ITC Avant Garde"/>
          <w:b/>
          <w:bCs/>
          <w:lang w:eastAsia="es-ES"/>
        </w:rPr>
        <w:t>Presidente</w:t>
      </w:r>
    </w:p>
    <w:p w14:paraId="7DF5AD54" w14:textId="77777777" w:rsidR="008A39CF" w:rsidRPr="00021217" w:rsidRDefault="008A39CF" w:rsidP="00894FC7">
      <w:pPr>
        <w:autoSpaceDE w:val="0"/>
        <w:autoSpaceDN w:val="0"/>
        <w:adjustRightInd w:val="0"/>
        <w:spacing w:before="120" w:after="120"/>
        <w:jc w:val="center"/>
        <w:rPr>
          <w:rFonts w:ascii="ITC Avant Garde" w:eastAsia="Times New Roman" w:hAnsi="ITC Avant Garde"/>
          <w:b/>
          <w:bCs/>
          <w:lang w:eastAsia="es-ES"/>
        </w:rPr>
      </w:pPr>
    </w:p>
    <w:p w14:paraId="33816DD6" w14:textId="77777777" w:rsidR="000760C8" w:rsidRPr="00021217" w:rsidRDefault="000760C8" w:rsidP="00894FC7">
      <w:pPr>
        <w:autoSpaceDE w:val="0"/>
        <w:autoSpaceDN w:val="0"/>
        <w:adjustRightInd w:val="0"/>
        <w:spacing w:before="120" w:after="120"/>
        <w:rPr>
          <w:rFonts w:ascii="ITC Avant Garde" w:eastAsia="Times New Roman" w:hAnsi="ITC Avant Garde"/>
          <w:b/>
          <w:bCs/>
          <w:lang w:eastAsia="es-ES"/>
        </w:rPr>
      </w:pPr>
    </w:p>
    <w:p w14:paraId="7C8B2F66" w14:textId="77777777" w:rsidR="008A39CF" w:rsidRPr="00021217" w:rsidRDefault="008A39CF" w:rsidP="00894FC7">
      <w:pPr>
        <w:autoSpaceDE w:val="0"/>
        <w:autoSpaceDN w:val="0"/>
        <w:adjustRightInd w:val="0"/>
        <w:spacing w:before="120" w:after="120"/>
        <w:rPr>
          <w:rFonts w:ascii="ITC Avant Garde" w:eastAsia="Times New Roman" w:hAnsi="ITC Avant Garde"/>
          <w:b/>
          <w:bCs/>
          <w:lang w:eastAsia="es-ES"/>
        </w:rPr>
      </w:pPr>
    </w:p>
    <w:tbl>
      <w:tblPr>
        <w:tblW w:w="10560" w:type="dxa"/>
        <w:jc w:val="center"/>
        <w:tblLayout w:type="fixed"/>
        <w:tblCellMar>
          <w:left w:w="70" w:type="dxa"/>
          <w:right w:w="70" w:type="dxa"/>
        </w:tblCellMar>
        <w:tblLook w:val="04A0" w:firstRow="1" w:lastRow="0" w:firstColumn="1" w:lastColumn="0" w:noHBand="0" w:noVBand="1"/>
      </w:tblPr>
      <w:tblGrid>
        <w:gridCol w:w="4570"/>
        <w:gridCol w:w="360"/>
        <w:gridCol w:w="5630"/>
      </w:tblGrid>
      <w:tr w:rsidR="008A39CF" w:rsidRPr="00021217" w14:paraId="334BE2F3" w14:textId="77777777" w:rsidTr="007508F7">
        <w:trPr>
          <w:trHeight w:val="1770"/>
          <w:jc w:val="center"/>
        </w:trPr>
        <w:tc>
          <w:tcPr>
            <w:tcW w:w="4570" w:type="dxa"/>
            <w:hideMark/>
          </w:tcPr>
          <w:p w14:paraId="013FA91A" w14:textId="77777777" w:rsidR="00386E07" w:rsidRPr="00021217" w:rsidRDefault="00386E07" w:rsidP="00386E07">
            <w:pPr>
              <w:autoSpaceDE w:val="0"/>
              <w:autoSpaceDN w:val="0"/>
              <w:adjustRightInd w:val="0"/>
              <w:spacing w:before="120" w:after="120"/>
              <w:jc w:val="center"/>
              <w:rPr>
                <w:rFonts w:ascii="ITC Avant Garde" w:eastAsia="Times New Roman" w:hAnsi="ITC Avant Garde"/>
                <w:b/>
                <w:bCs/>
                <w:lang w:eastAsia="es-ES"/>
              </w:rPr>
            </w:pPr>
            <w:r w:rsidRPr="00021217">
              <w:rPr>
                <w:rFonts w:ascii="ITC Avant Garde" w:eastAsia="Times New Roman" w:hAnsi="ITC Avant Garde"/>
                <w:b/>
                <w:bCs/>
                <w:lang w:eastAsia="es-ES"/>
              </w:rPr>
              <w:t>Ernesto Estrada González</w:t>
            </w:r>
          </w:p>
          <w:p w14:paraId="0246F456" w14:textId="77777777" w:rsidR="00386E07" w:rsidRPr="00021217" w:rsidRDefault="00386E07" w:rsidP="00386E07">
            <w:pPr>
              <w:autoSpaceDE w:val="0"/>
              <w:autoSpaceDN w:val="0"/>
              <w:adjustRightInd w:val="0"/>
              <w:spacing w:before="120" w:after="120"/>
              <w:jc w:val="center"/>
              <w:rPr>
                <w:rFonts w:ascii="ITC Avant Garde" w:eastAsia="Times New Roman" w:hAnsi="ITC Avant Garde"/>
                <w:b/>
                <w:bCs/>
                <w:lang w:eastAsia="es-ES"/>
              </w:rPr>
            </w:pPr>
            <w:r w:rsidRPr="00021217">
              <w:rPr>
                <w:rFonts w:ascii="ITC Avant Garde" w:eastAsia="Times New Roman" w:hAnsi="ITC Avant Garde"/>
                <w:b/>
                <w:bCs/>
                <w:lang w:eastAsia="es-ES"/>
              </w:rPr>
              <w:t>Comisionado</w:t>
            </w:r>
          </w:p>
          <w:p w14:paraId="434AE06E" w14:textId="664D1394" w:rsidR="008A39CF" w:rsidRPr="00021217" w:rsidRDefault="008A39CF" w:rsidP="00894FC7">
            <w:pPr>
              <w:autoSpaceDE w:val="0"/>
              <w:autoSpaceDN w:val="0"/>
              <w:adjustRightInd w:val="0"/>
              <w:spacing w:before="120" w:after="120"/>
              <w:jc w:val="center"/>
              <w:rPr>
                <w:rFonts w:ascii="ITC Avant Garde" w:eastAsia="Times New Roman" w:hAnsi="ITC Avant Garde"/>
                <w:b/>
                <w:bCs/>
                <w:lang w:eastAsia="es-ES"/>
              </w:rPr>
            </w:pPr>
          </w:p>
        </w:tc>
        <w:tc>
          <w:tcPr>
            <w:tcW w:w="360" w:type="dxa"/>
          </w:tcPr>
          <w:p w14:paraId="2A90B97A" w14:textId="77777777" w:rsidR="008A39CF" w:rsidRPr="00021217" w:rsidRDefault="008A39CF" w:rsidP="00894FC7">
            <w:pPr>
              <w:autoSpaceDE w:val="0"/>
              <w:autoSpaceDN w:val="0"/>
              <w:adjustRightInd w:val="0"/>
              <w:spacing w:before="120" w:after="120"/>
              <w:jc w:val="center"/>
              <w:rPr>
                <w:rFonts w:ascii="ITC Avant Garde" w:eastAsia="Times New Roman" w:hAnsi="ITC Avant Garde"/>
                <w:b/>
                <w:bCs/>
                <w:lang w:eastAsia="es-ES"/>
              </w:rPr>
            </w:pPr>
          </w:p>
        </w:tc>
        <w:tc>
          <w:tcPr>
            <w:tcW w:w="5630" w:type="dxa"/>
          </w:tcPr>
          <w:p w14:paraId="2B4F5712" w14:textId="77777777" w:rsidR="00386E07" w:rsidRDefault="00386E07" w:rsidP="00386E07">
            <w:pPr>
              <w:autoSpaceDE w:val="0"/>
              <w:autoSpaceDN w:val="0"/>
              <w:adjustRightInd w:val="0"/>
              <w:spacing w:before="120" w:after="120"/>
              <w:jc w:val="center"/>
              <w:rPr>
                <w:rFonts w:ascii="ITC Avant Garde" w:eastAsia="Times New Roman" w:hAnsi="ITC Avant Garde"/>
                <w:b/>
                <w:bCs/>
                <w:lang w:eastAsia="es-ES"/>
              </w:rPr>
            </w:pPr>
            <w:r w:rsidRPr="00021217">
              <w:rPr>
                <w:rFonts w:ascii="ITC Avant Garde" w:eastAsia="Times New Roman" w:hAnsi="ITC Avant Garde"/>
                <w:b/>
                <w:bCs/>
                <w:lang w:eastAsia="es-ES"/>
              </w:rPr>
              <w:t xml:space="preserve">Adriana Sofía Labardini </w:t>
            </w:r>
            <w:r>
              <w:rPr>
                <w:rFonts w:ascii="ITC Avant Garde" w:eastAsia="Times New Roman" w:hAnsi="ITC Avant Garde"/>
                <w:b/>
                <w:bCs/>
                <w:lang w:eastAsia="es-ES"/>
              </w:rPr>
              <w:t>Inzunza</w:t>
            </w:r>
          </w:p>
          <w:p w14:paraId="74E840A9" w14:textId="0D059C71" w:rsidR="00386E07" w:rsidRPr="00021217" w:rsidRDefault="00386E07" w:rsidP="00386E07">
            <w:pPr>
              <w:autoSpaceDE w:val="0"/>
              <w:autoSpaceDN w:val="0"/>
              <w:adjustRightInd w:val="0"/>
              <w:spacing w:before="120" w:after="120"/>
              <w:jc w:val="center"/>
              <w:rPr>
                <w:rFonts w:ascii="ITC Avant Garde" w:eastAsia="Times New Roman" w:hAnsi="ITC Avant Garde"/>
                <w:b/>
                <w:bCs/>
                <w:lang w:eastAsia="es-ES"/>
              </w:rPr>
            </w:pPr>
            <w:r w:rsidRPr="00021217">
              <w:rPr>
                <w:rFonts w:ascii="ITC Avant Garde" w:eastAsia="Times New Roman" w:hAnsi="ITC Avant Garde"/>
                <w:b/>
                <w:bCs/>
                <w:lang w:eastAsia="es-ES"/>
              </w:rPr>
              <w:t>Comisionada</w:t>
            </w:r>
          </w:p>
          <w:p w14:paraId="0D0C46FA" w14:textId="77777777" w:rsidR="008A39CF" w:rsidRPr="00021217" w:rsidRDefault="008A39CF" w:rsidP="00894FC7">
            <w:pPr>
              <w:autoSpaceDE w:val="0"/>
              <w:autoSpaceDN w:val="0"/>
              <w:adjustRightInd w:val="0"/>
              <w:spacing w:before="120" w:after="120"/>
              <w:jc w:val="center"/>
              <w:rPr>
                <w:rFonts w:ascii="ITC Avant Garde" w:eastAsia="Times New Roman" w:hAnsi="ITC Avant Garde"/>
                <w:b/>
                <w:bCs/>
                <w:lang w:eastAsia="es-ES"/>
              </w:rPr>
            </w:pPr>
          </w:p>
          <w:p w14:paraId="2B0B9D65" w14:textId="77777777" w:rsidR="008A39CF" w:rsidRPr="00021217" w:rsidRDefault="008A39CF" w:rsidP="00894FC7">
            <w:pPr>
              <w:autoSpaceDE w:val="0"/>
              <w:autoSpaceDN w:val="0"/>
              <w:adjustRightInd w:val="0"/>
              <w:spacing w:before="120" w:after="120"/>
              <w:jc w:val="center"/>
              <w:rPr>
                <w:rFonts w:ascii="ITC Avant Garde" w:eastAsia="Times New Roman" w:hAnsi="ITC Avant Garde"/>
                <w:b/>
                <w:bCs/>
                <w:lang w:eastAsia="es-ES"/>
              </w:rPr>
            </w:pPr>
          </w:p>
          <w:p w14:paraId="77A1E47C" w14:textId="77777777" w:rsidR="008A39CF" w:rsidRPr="00021217" w:rsidRDefault="008A39CF" w:rsidP="00894FC7">
            <w:pPr>
              <w:autoSpaceDE w:val="0"/>
              <w:autoSpaceDN w:val="0"/>
              <w:adjustRightInd w:val="0"/>
              <w:spacing w:before="120" w:after="120"/>
              <w:jc w:val="center"/>
              <w:rPr>
                <w:rFonts w:ascii="ITC Avant Garde" w:eastAsia="Times New Roman" w:hAnsi="ITC Avant Garde"/>
                <w:b/>
                <w:bCs/>
                <w:lang w:eastAsia="es-ES"/>
              </w:rPr>
            </w:pPr>
          </w:p>
          <w:p w14:paraId="18C75D1D" w14:textId="77777777" w:rsidR="008A39CF" w:rsidRPr="00021217" w:rsidRDefault="008A39CF" w:rsidP="00894FC7">
            <w:pPr>
              <w:autoSpaceDE w:val="0"/>
              <w:autoSpaceDN w:val="0"/>
              <w:adjustRightInd w:val="0"/>
              <w:spacing w:before="120" w:after="120"/>
              <w:jc w:val="center"/>
              <w:rPr>
                <w:rFonts w:ascii="ITC Avant Garde" w:eastAsia="Times New Roman" w:hAnsi="ITC Avant Garde"/>
                <w:b/>
                <w:bCs/>
                <w:lang w:eastAsia="es-ES"/>
              </w:rPr>
            </w:pPr>
          </w:p>
        </w:tc>
      </w:tr>
      <w:tr w:rsidR="008A39CF" w:rsidRPr="00021217" w14:paraId="2862351B" w14:textId="77777777" w:rsidTr="007508F7">
        <w:trPr>
          <w:trHeight w:val="1696"/>
          <w:jc w:val="center"/>
        </w:trPr>
        <w:tc>
          <w:tcPr>
            <w:tcW w:w="4570" w:type="dxa"/>
          </w:tcPr>
          <w:p w14:paraId="14ABA3FB" w14:textId="77777777" w:rsidR="00386E07" w:rsidRPr="00021217" w:rsidRDefault="00386E07" w:rsidP="00386E07">
            <w:pPr>
              <w:autoSpaceDE w:val="0"/>
              <w:autoSpaceDN w:val="0"/>
              <w:adjustRightInd w:val="0"/>
              <w:spacing w:before="120" w:after="120"/>
              <w:jc w:val="center"/>
              <w:rPr>
                <w:rFonts w:ascii="ITC Avant Garde" w:eastAsia="Times New Roman" w:hAnsi="ITC Avant Garde"/>
                <w:b/>
                <w:bCs/>
                <w:lang w:eastAsia="es-ES"/>
              </w:rPr>
            </w:pPr>
            <w:r w:rsidRPr="00021217">
              <w:rPr>
                <w:rFonts w:ascii="ITC Avant Garde" w:eastAsia="Times New Roman" w:hAnsi="ITC Avant Garde"/>
                <w:b/>
                <w:bCs/>
                <w:lang w:eastAsia="es-ES"/>
              </w:rPr>
              <w:t xml:space="preserve">María Elena Estavillo Flores </w:t>
            </w:r>
          </w:p>
          <w:p w14:paraId="17BE9752" w14:textId="77777777" w:rsidR="00386E07" w:rsidRPr="00021217" w:rsidRDefault="00386E07" w:rsidP="00386E07">
            <w:pPr>
              <w:autoSpaceDE w:val="0"/>
              <w:autoSpaceDN w:val="0"/>
              <w:adjustRightInd w:val="0"/>
              <w:spacing w:before="120" w:after="120"/>
              <w:jc w:val="center"/>
              <w:rPr>
                <w:rFonts w:ascii="ITC Avant Garde" w:eastAsia="Times New Roman" w:hAnsi="ITC Avant Garde"/>
                <w:b/>
                <w:bCs/>
                <w:lang w:eastAsia="es-ES"/>
              </w:rPr>
            </w:pPr>
            <w:r w:rsidRPr="00021217">
              <w:rPr>
                <w:rFonts w:ascii="ITC Avant Garde" w:eastAsia="Times New Roman" w:hAnsi="ITC Avant Garde"/>
                <w:b/>
                <w:bCs/>
                <w:lang w:eastAsia="es-ES"/>
              </w:rPr>
              <w:t>Comisionada</w:t>
            </w:r>
          </w:p>
          <w:p w14:paraId="3407F2E5" w14:textId="1DCC13F9" w:rsidR="008A39CF" w:rsidRPr="00021217" w:rsidRDefault="008A39CF" w:rsidP="00894FC7">
            <w:pPr>
              <w:autoSpaceDE w:val="0"/>
              <w:autoSpaceDN w:val="0"/>
              <w:adjustRightInd w:val="0"/>
              <w:spacing w:before="120" w:after="120"/>
              <w:jc w:val="center"/>
              <w:rPr>
                <w:rFonts w:ascii="ITC Avant Garde" w:eastAsia="Times New Roman" w:hAnsi="ITC Avant Garde"/>
                <w:b/>
                <w:bCs/>
                <w:lang w:eastAsia="es-ES"/>
              </w:rPr>
            </w:pPr>
          </w:p>
          <w:p w14:paraId="2FFE0260" w14:textId="77777777" w:rsidR="008A39CF" w:rsidRPr="00021217" w:rsidRDefault="008A39CF" w:rsidP="00894FC7">
            <w:pPr>
              <w:autoSpaceDE w:val="0"/>
              <w:autoSpaceDN w:val="0"/>
              <w:adjustRightInd w:val="0"/>
              <w:spacing w:before="120" w:after="120"/>
              <w:jc w:val="center"/>
              <w:rPr>
                <w:rFonts w:ascii="ITC Avant Garde" w:eastAsia="Times New Roman" w:hAnsi="ITC Avant Garde"/>
                <w:b/>
                <w:bCs/>
                <w:lang w:eastAsia="es-ES"/>
              </w:rPr>
            </w:pPr>
          </w:p>
          <w:p w14:paraId="3EADF148" w14:textId="77777777" w:rsidR="008A39CF" w:rsidRPr="00021217" w:rsidRDefault="008A39CF" w:rsidP="00894FC7">
            <w:pPr>
              <w:autoSpaceDE w:val="0"/>
              <w:autoSpaceDN w:val="0"/>
              <w:adjustRightInd w:val="0"/>
              <w:spacing w:before="120" w:after="120"/>
              <w:jc w:val="center"/>
              <w:rPr>
                <w:rFonts w:ascii="ITC Avant Garde" w:eastAsia="Times New Roman" w:hAnsi="ITC Avant Garde"/>
                <w:b/>
                <w:bCs/>
                <w:lang w:eastAsia="es-ES"/>
              </w:rPr>
            </w:pPr>
          </w:p>
          <w:p w14:paraId="320E3588" w14:textId="77777777" w:rsidR="008A39CF" w:rsidRPr="00021217" w:rsidRDefault="008A39CF" w:rsidP="00894FC7">
            <w:pPr>
              <w:autoSpaceDE w:val="0"/>
              <w:autoSpaceDN w:val="0"/>
              <w:adjustRightInd w:val="0"/>
              <w:spacing w:before="120" w:after="120"/>
              <w:jc w:val="center"/>
              <w:rPr>
                <w:rFonts w:ascii="ITC Avant Garde" w:eastAsia="Times New Roman" w:hAnsi="ITC Avant Garde"/>
                <w:b/>
                <w:bCs/>
                <w:lang w:eastAsia="es-ES"/>
              </w:rPr>
            </w:pPr>
          </w:p>
        </w:tc>
        <w:tc>
          <w:tcPr>
            <w:tcW w:w="360" w:type="dxa"/>
          </w:tcPr>
          <w:p w14:paraId="66286072" w14:textId="77777777" w:rsidR="008A39CF" w:rsidRPr="00021217" w:rsidRDefault="008A39CF" w:rsidP="00894FC7">
            <w:pPr>
              <w:autoSpaceDE w:val="0"/>
              <w:autoSpaceDN w:val="0"/>
              <w:adjustRightInd w:val="0"/>
              <w:spacing w:before="120" w:after="120"/>
              <w:jc w:val="center"/>
              <w:rPr>
                <w:rFonts w:ascii="ITC Avant Garde" w:eastAsia="Times New Roman" w:hAnsi="ITC Avant Garde"/>
                <w:b/>
                <w:bCs/>
                <w:lang w:eastAsia="es-ES"/>
              </w:rPr>
            </w:pPr>
          </w:p>
        </w:tc>
        <w:tc>
          <w:tcPr>
            <w:tcW w:w="5630" w:type="dxa"/>
          </w:tcPr>
          <w:p w14:paraId="7DBA47E8" w14:textId="77777777" w:rsidR="00386E07" w:rsidRDefault="00386E07" w:rsidP="00894FC7">
            <w:pPr>
              <w:autoSpaceDE w:val="0"/>
              <w:autoSpaceDN w:val="0"/>
              <w:adjustRightInd w:val="0"/>
              <w:spacing w:before="120" w:after="120"/>
              <w:jc w:val="center"/>
              <w:rPr>
                <w:rFonts w:ascii="ITC Avant Garde" w:eastAsia="Times New Roman" w:hAnsi="ITC Avant Garde"/>
                <w:b/>
                <w:bCs/>
                <w:lang w:eastAsia="es-ES"/>
              </w:rPr>
            </w:pPr>
            <w:r>
              <w:rPr>
                <w:rFonts w:ascii="ITC Avant Garde" w:eastAsia="Times New Roman" w:hAnsi="ITC Avant Garde"/>
                <w:b/>
                <w:bCs/>
                <w:lang w:eastAsia="es-ES"/>
              </w:rPr>
              <w:t>Mario Germán Fromow Rangel</w:t>
            </w:r>
          </w:p>
          <w:p w14:paraId="0A5DA59C" w14:textId="3665E2CB" w:rsidR="008A39CF" w:rsidRPr="00021217" w:rsidRDefault="00386E07" w:rsidP="00894FC7">
            <w:pPr>
              <w:autoSpaceDE w:val="0"/>
              <w:autoSpaceDN w:val="0"/>
              <w:adjustRightInd w:val="0"/>
              <w:spacing w:before="120" w:after="120"/>
              <w:jc w:val="center"/>
              <w:rPr>
                <w:rFonts w:ascii="ITC Avant Garde" w:eastAsia="Times New Roman" w:hAnsi="ITC Avant Garde"/>
                <w:b/>
                <w:bCs/>
                <w:lang w:eastAsia="es-ES"/>
              </w:rPr>
            </w:pPr>
            <w:r w:rsidRPr="00021217">
              <w:rPr>
                <w:rFonts w:ascii="ITC Avant Garde" w:eastAsia="Times New Roman" w:hAnsi="ITC Avant Garde"/>
                <w:b/>
                <w:bCs/>
                <w:lang w:eastAsia="es-ES"/>
              </w:rPr>
              <w:t>Comisionado</w:t>
            </w:r>
          </w:p>
          <w:p w14:paraId="45A6F93C" w14:textId="77777777" w:rsidR="008A39CF" w:rsidRPr="00021217" w:rsidRDefault="008A39CF" w:rsidP="00894FC7">
            <w:pPr>
              <w:autoSpaceDE w:val="0"/>
              <w:autoSpaceDN w:val="0"/>
              <w:adjustRightInd w:val="0"/>
              <w:spacing w:before="120" w:after="120"/>
              <w:jc w:val="center"/>
              <w:rPr>
                <w:rFonts w:ascii="ITC Avant Garde" w:eastAsia="Times New Roman" w:hAnsi="ITC Avant Garde"/>
                <w:b/>
                <w:bCs/>
                <w:lang w:eastAsia="es-ES"/>
              </w:rPr>
            </w:pPr>
          </w:p>
          <w:p w14:paraId="31B4490A" w14:textId="77777777" w:rsidR="008A39CF" w:rsidRPr="00021217" w:rsidRDefault="008A39CF" w:rsidP="00894FC7">
            <w:pPr>
              <w:autoSpaceDE w:val="0"/>
              <w:autoSpaceDN w:val="0"/>
              <w:adjustRightInd w:val="0"/>
              <w:spacing w:before="120" w:after="120"/>
              <w:jc w:val="center"/>
              <w:rPr>
                <w:rFonts w:ascii="ITC Avant Garde" w:eastAsia="Times New Roman" w:hAnsi="ITC Avant Garde"/>
                <w:b/>
                <w:bCs/>
                <w:lang w:eastAsia="es-ES"/>
              </w:rPr>
            </w:pPr>
          </w:p>
          <w:p w14:paraId="6C62E118" w14:textId="77777777" w:rsidR="008A39CF" w:rsidRPr="00021217" w:rsidRDefault="008A39CF" w:rsidP="00894FC7">
            <w:pPr>
              <w:autoSpaceDE w:val="0"/>
              <w:autoSpaceDN w:val="0"/>
              <w:adjustRightInd w:val="0"/>
              <w:spacing w:before="120" w:after="120"/>
              <w:jc w:val="center"/>
              <w:rPr>
                <w:rFonts w:ascii="ITC Avant Garde" w:eastAsia="Times New Roman" w:hAnsi="ITC Avant Garde"/>
                <w:b/>
                <w:bCs/>
                <w:lang w:eastAsia="es-ES"/>
              </w:rPr>
            </w:pPr>
          </w:p>
        </w:tc>
      </w:tr>
      <w:tr w:rsidR="008A39CF" w:rsidRPr="00021217" w14:paraId="71912ED6" w14:textId="77777777" w:rsidTr="007508F7">
        <w:trPr>
          <w:jc w:val="center"/>
        </w:trPr>
        <w:tc>
          <w:tcPr>
            <w:tcW w:w="4570" w:type="dxa"/>
            <w:hideMark/>
          </w:tcPr>
          <w:p w14:paraId="348F0C07" w14:textId="77777777" w:rsidR="00386E07" w:rsidRPr="00021217" w:rsidRDefault="00386E07" w:rsidP="00386E07">
            <w:pPr>
              <w:autoSpaceDE w:val="0"/>
              <w:autoSpaceDN w:val="0"/>
              <w:adjustRightInd w:val="0"/>
              <w:spacing w:before="120" w:after="120"/>
              <w:jc w:val="center"/>
              <w:rPr>
                <w:rFonts w:ascii="ITC Avant Garde" w:eastAsia="Times New Roman" w:hAnsi="ITC Avant Garde"/>
                <w:b/>
                <w:bCs/>
                <w:lang w:eastAsia="es-ES"/>
              </w:rPr>
            </w:pPr>
            <w:r w:rsidRPr="00021217">
              <w:rPr>
                <w:rFonts w:ascii="ITC Avant Garde" w:eastAsia="Times New Roman" w:hAnsi="ITC Avant Garde"/>
                <w:b/>
                <w:bCs/>
                <w:lang w:eastAsia="es-ES"/>
              </w:rPr>
              <w:lastRenderedPageBreak/>
              <w:t xml:space="preserve">Adolfo Cuevas Teja </w:t>
            </w:r>
          </w:p>
          <w:p w14:paraId="5A9C0920" w14:textId="6ECD3830" w:rsidR="008A39CF" w:rsidRPr="00021217" w:rsidRDefault="00386E07" w:rsidP="00386E07">
            <w:pPr>
              <w:autoSpaceDE w:val="0"/>
              <w:autoSpaceDN w:val="0"/>
              <w:adjustRightInd w:val="0"/>
              <w:spacing w:before="120" w:after="120"/>
              <w:jc w:val="center"/>
              <w:rPr>
                <w:rFonts w:ascii="ITC Avant Garde" w:eastAsia="Times New Roman" w:hAnsi="ITC Avant Garde"/>
                <w:b/>
                <w:bCs/>
                <w:lang w:eastAsia="es-ES"/>
              </w:rPr>
            </w:pPr>
            <w:r w:rsidRPr="00021217">
              <w:rPr>
                <w:rFonts w:ascii="ITC Avant Garde" w:eastAsia="Times New Roman" w:hAnsi="ITC Avant Garde"/>
                <w:b/>
                <w:bCs/>
                <w:lang w:eastAsia="es-ES"/>
              </w:rPr>
              <w:t>Comisionado</w:t>
            </w:r>
          </w:p>
        </w:tc>
        <w:tc>
          <w:tcPr>
            <w:tcW w:w="360" w:type="dxa"/>
          </w:tcPr>
          <w:p w14:paraId="2F16F2EF" w14:textId="77777777" w:rsidR="008A39CF" w:rsidRPr="00021217" w:rsidRDefault="008A39CF" w:rsidP="00894FC7">
            <w:pPr>
              <w:autoSpaceDE w:val="0"/>
              <w:autoSpaceDN w:val="0"/>
              <w:adjustRightInd w:val="0"/>
              <w:spacing w:before="120" w:after="120"/>
              <w:jc w:val="center"/>
              <w:rPr>
                <w:rFonts w:ascii="ITC Avant Garde" w:eastAsia="Times New Roman" w:hAnsi="ITC Avant Garde"/>
                <w:b/>
                <w:bCs/>
                <w:lang w:eastAsia="es-ES"/>
              </w:rPr>
            </w:pPr>
          </w:p>
        </w:tc>
        <w:tc>
          <w:tcPr>
            <w:tcW w:w="5630" w:type="dxa"/>
          </w:tcPr>
          <w:p w14:paraId="28CA3CF4" w14:textId="45B10EBC" w:rsidR="008A39CF" w:rsidRPr="00021217" w:rsidRDefault="008A39CF" w:rsidP="00894FC7">
            <w:pPr>
              <w:autoSpaceDE w:val="0"/>
              <w:autoSpaceDN w:val="0"/>
              <w:adjustRightInd w:val="0"/>
              <w:spacing w:before="120" w:after="120"/>
              <w:jc w:val="center"/>
              <w:rPr>
                <w:rFonts w:ascii="ITC Avant Garde" w:eastAsia="Times New Roman" w:hAnsi="ITC Avant Garde"/>
                <w:b/>
                <w:bCs/>
                <w:lang w:eastAsia="es-ES"/>
              </w:rPr>
            </w:pPr>
          </w:p>
        </w:tc>
      </w:tr>
    </w:tbl>
    <w:p w14:paraId="69BEAB8B" w14:textId="10F1E03F" w:rsidR="00073293" w:rsidRDefault="00073293" w:rsidP="00894FC7">
      <w:pPr>
        <w:pStyle w:val="estilo30"/>
        <w:spacing w:before="120" w:beforeAutospacing="0" w:after="120" w:afterAutospacing="0" w:line="276" w:lineRule="auto"/>
        <w:rPr>
          <w:rFonts w:ascii="ITC Avant Garde" w:hAnsi="ITC Avant Garde"/>
          <w:b/>
          <w:bCs/>
          <w:color w:val="000000"/>
          <w:sz w:val="22"/>
          <w:szCs w:val="22"/>
        </w:rPr>
      </w:pPr>
    </w:p>
    <w:p w14:paraId="28D253A4" w14:textId="77777777" w:rsidR="00DA582C" w:rsidRDefault="00DA582C" w:rsidP="00DA582C">
      <w:pPr>
        <w:spacing w:after="160" w:line="259" w:lineRule="auto"/>
        <w:rPr>
          <w:rFonts w:ascii="ITC Avant Garde" w:hAnsi="ITC Avant Garde"/>
          <w:b/>
        </w:rPr>
        <w:sectPr w:rsidR="00DA582C" w:rsidSect="004F3B88">
          <w:headerReference w:type="even" r:id="rId11"/>
          <w:headerReference w:type="default" r:id="rId12"/>
          <w:footerReference w:type="default" r:id="rId13"/>
          <w:headerReference w:type="first" r:id="rId14"/>
          <w:pgSz w:w="12240" w:h="15840"/>
          <w:pgMar w:top="2268" w:right="1467" w:bottom="1276" w:left="1418" w:header="709" w:footer="709" w:gutter="0"/>
          <w:cols w:space="708"/>
          <w:docGrid w:linePitch="360"/>
        </w:sectPr>
      </w:pPr>
    </w:p>
    <w:p w14:paraId="7437E109" w14:textId="3955BA21" w:rsidR="001A5DA3" w:rsidRPr="00DA582C" w:rsidRDefault="001A5DA3" w:rsidP="00DA582C">
      <w:pPr>
        <w:spacing w:after="160" w:line="259" w:lineRule="auto"/>
        <w:jc w:val="both"/>
        <w:rPr>
          <w:rFonts w:ascii="ITC Avant Garde" w:eastAsia="Times New Roman" w:hAnsi="ITC Avant Garde"/>
          <w:b/>
          <w:bCs/>
          <w:color w:val="000000"/>
          <w:lang w:eastAsia="es-MX"/>
        </w:rPr>
      </w:pPr>
      <w:r w:rsidRPr="000045D9">
        <w:rPr>
          <w:rFonts w:ascii="ITC Avant Garde" w:hAnsi="ITC Avant Garde"/>
          <w:b/>
        </w:rPr>
        <w:lastRenderedPageBreak/>
        <w:t xml:space="preserve">CRITERIO TÉCNICO PARA EL CÁLCULO Y APLICACIÓN DE UN ÍNDICE CUANTITATIVO A FIN DE DETERMINAR EL GRADO DE CONCENTRACIÓN EN LOS </w:t>
      </w:r>
      <w:r>
        <w:rPr>
          <w:rFonts w:ascii="ITC Avant Garde" w:hAnsi="ITC Avant Garde"/>
          <w:b/>
        </w:rPr>
        <w:t xml:space="preserve">MERCADOS Y SERVICIOS CORRESPONDIENTES A LOS </w:t>
      </w:r>
      <w:r w:rsidRPr="000045D9">
        <w:rPr>
          <w:rFonts w:ascii="ITC Avant Garde" w:hAnsi="ITC Avant Garde"/>
          <w:b/>
        </w:rPr>
        <w:t>SECTORES DE TELECOMUNICACIONES Y RADIODIFUSIÓN</w:t>
      </w:r>
    </w:p>
    <w:p w14:paraId="1EC11C9E" w14:textId="77777777" w:rsidR="001A5DA3" w:rsidRDefault="001A5DA3" w:rsidP="001A5DA3">
      <w:pPr>
        <w:spacing w:before="120" w:after="120"/>
        <w:ind w:right="-1" w:firstLine="1"/>
        <w:jc w:val="both"/>
        <w:rPr>
          <w:rFonts w:ascii="ITC Avant Garde" w:hAnsi="ITC Avant Garde"/>
          <w:b/>
        </w:rPr>
      </w:pPr>
    </w:p>
    <w:p w14:paraId="4C5427F1" w14:textId="1A999151" w:rsidR="00DB5697" w:rsidRDefault="00FA6F54" w:rsidP="00DB5697">
      <w:pPr>
        <w:pStyle w:val="Prrafodelista"/>
        <w:numPr>
          <w:ilvl w:val="0"/>
          <w:numId w:val="27"/>
        </w:numPr>
        <w:spacing w:before="120" w:after="120"/>
        <w:ind w:left="0" w:firstLine="0"/>
        <w:contextualSpacing w:val="0"/>
        <w:jc w:val="both"/>
        <w:rPr>
          <w:rFonts w:ascii="ITC Avant Garde" w:hAnsi="ITC Avant Garde"/>
        </w:rPr>
      </w:pPr>
      <w:r>
        <w:rPr>
          <w:rFonts w:ascii="ITC Avant Garde" w:hAnsi="ITC Avant Garde"/>
        </w:rPr>
        <w:t>El presente</w:t>
      </w:r>
      <w:r w:rsidRPr="00DB5697">
        <w:rPr>
          <w:rFonts w:ascii="ITC Avant Garde" w:hAnsi="ITC Avant Garde"/>
        </w:rPr>
        <w:t xml:space="preserve"> </w:t>
      </w:r>
      <w:r w:rsidR="001064F7" w:rsidRPr="00DB5697">
        <w:rPr>
          <w:rFonts w:ascii="ITC Avant Garde" w:hAnsi="ITC Avant Garde"/>
        </w:rPr>
        <w:t>C</w:t>
      </w:r>
      <w:r w:rsidR="001A5DA3" w:rsidRPr="00DB5697">
        <w:rPr>
          <w:rFonts w:ascii="ITC Avant Garde" w:hAnsi="ITC Avant Garde"/>
        </w:rPr>
        <w:t xml:space="preserve">riterio </w:t>
      </w:r>
      <w:r w:rsidR="001064F7" w:rsidRPr="00DB5697">
        <w:rPr>
          <w:rFonts w:ascii="ITC Avant Garde" w:hAnsi="ITC Avant Garde"/>
        </w:rPr>
        <w:t>T</w:t>
      </w:r>
      <w:r w:rsidR="001A5DA3" w:rsidRPr="00DB5697">
        <w:rPr>
          <w:rFonts w:ascii="ITC Avant Garde" w:hAnsi="ITC Avant Garde"/>
        </w:rPr>
        <w:t xml:space="preserve">écnico </w:t>
      </w:r>
      <w:r>
        <w:rPr>
          <w:rFonts w:ascii="ITC Avant Garde" w:hAnsi="ITC Avant Garde"/>
        </w:rPr>
        <w:t>tiene por</w:t>
      </w:r>
      <w:r w:rsidR="001A5DA3" w:rsidRPr="00DB5697">
        <w:rPr>
          <w:rFonts w:ascii="ITC Avant Garde" w:hAnsi="ITC Avant Garde"/>
        </w:rPr>
        <w:t xml:space="preserve"> objeto dar a conocer: 1) el índice mediante el cual el </w:t>
      </w:r>
      <w:r w:rsidR="001A5DA3" w:rsidRPr="00DB5697">
        <w:rPr>
          <w:rFonts w:ascii="ITC Avant Garde" w:eastAsia="Times New Roman" w:hAnsi="ITC Avant Garde"/>
          <w:bCs/>
          <w:color w:val="000000"/>
          <w:lang w:eastAsia="es-MX"/>
        </w:rPr>
        <w:t xml:space="preserve">Instituto Federal de Telecomunicaciones (Instituto) </w:t>
      </w:r>
      <w:r w:rsidR="001A5DA3" w:rsidRPr="00DB5697">
        <w:rPr>
          <w:rFonts w:ascii="ITC Avant Garde" w:hAnsi="ITC Avant Garde"/>
        </w:rPr>
        <w:t xml:space="preserve">determinará el grado de concentración en los mercados y servicios correspondientes a los sectores de telecomunicaciones y radiodifusión, 2) los umbrales que, como un indicio, permitirán al Instituto identificar las concentraciones que tienen poca probabilidad de obstaculizar, disminuir, dañar o impedir la competencia y la libre concurrencia, y 3) el ámbito de aplicación del índice y de los umbrales en procedimientos que tramita y resuelve el Instituto. </w:t>
      </w:r>
    </w:p>
    <w:p w14:paraId="77F44E7A" w14:textId="787E88DA" w:rsidR="001A5DA3" w:rsidRPr="00454E62" w:rsidRDefault="001A5DA3" w:rsidP="00454E62">
      <w:pPr>
        <w:pStyle w:val="Prrafodelista"/>
        <w:numPr>
          <w:ilvl w:val="0"/>
          <w:numId w:val="27"/>
        </w:numPr>
        <w:spacing w:before="120" w:after="120"/>
        <w:ind w:left="0" w:firstLine="0"/>
        <w:contextualSpacing w:val="0"/>
        <w:jc w:val="both"/>
        <w:rPr>
          <w:rFonts w:ascii="ITC Avant Garde" w:hAnsi="ITC Avant Garde"/>
          <w:b/>
        </w:rPr>
      </w:pPr>
      <w:r w:rsidRPr="00454E62">
        <w:rPr>
          <w:rFonts w:ascii="ITC Avant Garde" w:hAnsi="ITC Avant Garde"/>
        </w:rPr>
        <w:t xml:space="preserve">El Instituto utilizará el índice como </w:t>
      </w:r>
      <w:r w:rsidR="00683091" w:rsidRPr="00454E62">
        <w:rPr>
          <w:rFonts w:ascii="ITC Avant Garde" w:hAnsi="ITC Avant Garde"/>
        </w:rPr>
        <w:t xml:space="preserve">una primera aproximación a la estructura de mercado y como </w:t>
      </w:r>
      <w:r w:rsidRPr="00454E62">
        <w:rPr>
          <w:rFonts w:ascii="ITC Avant Garde" w:hAnsi="ITC Avant Garde"/>
        </w:rPr>
        <w:t>un indicador del grado de concentración en los mercados y servicios en los sectores de telecomunicaciones y radiodifusión. En la evaluación de concentraciones el Instituto utilizará el índice y los umbrales como referencia de la probabilidad de que éstas tengan por objeto o efecto obstaculizar, disminuir, dañar o impedir la competencia y la libre concurrencia en el mercado.</w:t>
      </w:r>
      <w:r w:rsidRPr="00454E62" w:rsidDel="00A843C9">
        <w:rPr>
          <w:rFonts w:ascii="ITC Avant Garde" w:hAnsi="ITC Avant Garde"/>
        </w:rPr>
        <w:t xml:space="preserve"> </w:t>
      </w:r>
    </w:p>
    <w:p w14:paraId="0CCE9537" w14:textId="542C1AB0" w:rsidR="00454E62" w:rsidRDefault="001A5DA3" w:rsidP="00454E62">
      <w:pPr>
        <w:pStyle w:val="Prrafodelista"/>
        <w:numPr>
          <w:ilvl w:val="0"/>
          <w:numId w:val="27"/>
        </w:numPr>
        <w:spacing w:before="120" w:after="120"/>
        <w:ind w:left="0" w:firstLine="0"/>
        <w:contextualSpacing w:val="0"/>
        <w:jc w:val="both"/>
        <w:rPr>
          <w:rFonts w:ascii="ITC Avant Garde" w:hAnsi="ITC Avant Garde"/>
        </w:rPr>
      </w:pPr>
      <w:r w:rsidRPr="000045D9">
        <w:rPr>
          <w:rFonts w:ascii="ITC Avant Garde" w:hAnsi="ITC Avant Garde"/>
        </w:rPr>
        <w:lastRenderedPageBreak/>
        <w:t xml:space="preserve">El </w:t>
      </w:r>
      <w:r w:rsidR="00454E62">
        <w:rPr>
          <w:rFonts w:ascii="ITC Avant Garde" w:hAnsi="ITC Avant Garde"/>
        </w:rPr>
        <w:t>Instituto utilizará e</w:t>
      </w:r>
      <w:r w:rsidR="00454E62" w:rsidRPr="00454E62">
        <w:rPr>
          <w:rFonts w:ascii="ITC Avant Garde" w:hAnsi="ITC Avant Garde"/>
        </w:rPr>
        <w:t>l índice de concentración conocido en la literatura especializada como índice de Herfindahl-Hirschman (IHH), el cual</w:t>
      </w:r>
      <w:r w:rsidRPr="000045D9">
        <w:rPr>
          <w:rFonts w:ascii="ITC Avant Garde" w:hAnsi="ITC Avant Garde"/>
        </w:rPr>
        <w:t xml:space="preserve"> se calcula a partir de las participaciones de los agentes económicos. </w:t>
      </w:r>
    </w:p>
    <w:p w14:paraId="5941C4AA" w14:textId="2CCE22C3" w:rsidR="001A5DA3" w:rsidRPr="00454E62" w:rsidRDefault="00454E62" w:rsidP="00454E62">
      <w:pPr>
        <w:pStyle w:val="Prrafodelista"/>
        <w:spacing w:before="120" w:after="120"/>
        <w:ind w:left="0"/>
        <w:contextualSpacing w:val="0"/>
        <w:jc w:val="both"/>
        <w:rPr>
          <w:rFonts w:ascii="ITC Avant Garde" w:hAnsi="ITC Avant Garde"/>
        </w:rPr>
      </w:pPr>
      <w:r>
        <w:rPr>
          <w:rFonts w:ascii="ITC Avant Garde" w:hAnsi="ITC Avant Garde"/>
        </w:rPr>
        <w:t>Las participaciones</w:t>
      </w:r>
      <w:r w:rsidRPr="000045D9">
        <w:rPr>
          <w:rFonts w:ascii="ITC Avant Garde" w:hAnsi="ITC Avant Garde"/>
        </w:rPr>
        <w:t xml:space="preserve"> </w:t>
      </w:r>
      <w:r w:rsidR="001A5DA3" w:rsidRPr="000045D9">
        <w:rPr>
          <w:rFonts w:ascii="ITC Avant Garde" w:hAnsi="ITC Avant Garde"/>
        </w:rPr>
        <w:t xml:space="preserve">se calcularán a partir de variables </w:t>
      </w:r>
      <w:r w:rsidR="00186F03" w:rsidRPr="00454E62">
        <w:rPr>
          <w:rFonts w:ascii="ITC Avant Garde" w:hAnsi="ITC Avant Garde"/>
        </w:rPr>
        <w:t>que el Instituto considere pertinentes para el caso particular de estudio, que incluyen sin limitar:</w:t>
      </w:r>
      <w:r w:rsidR="00186F03">
        <w:rPr>
          <w:rFonts w:ascii="ITC Avant Garde" w:hAnsi="ITC Avant Garde"/>
        </w:rPr>
        <w:t xml:space="preserve"> el número de </w:t>
      </w:r>
      <w:r w:rsidR="001A5DA3" w:rsidRPr="00454E62">
        <w:rPr>
          <w:rFonts w:ascii="ITC Avant Garde" w:hAnsi="ITC Avant Garde"/>
        </w:rPr>
        <w:t xml:space="preserve">usuarios, suscripciones, audiencia, tráfico en las redes, número de frecuencias o estaciones, capacidad instalada, </w:t>
      </w:r>
      <w:r w:rsidR="001A5DA3" w:rsidRPr="000045D9">
        <w:rPr>
          <w:rFonts w:ascii="ITC Avant Garde" w:hAnsi="ITC Avant Garde"/>
        </w:rPr>
        <w:t xml:space="preserve">valor o volumen de las </w:t>
      </w:r>
      <w:r w:rsidR="001A5DA3" w:rsidRPr="00454E62">
        <w:rPr>
          <w:rFonts w:ascii="ITC Avant Garde" w:hAnsi="ITC Avant Garde"/>
        </w:rPr>
        <w:t xml:space="preserve">ventas. </w:t>
      </w:r>
    </w:p>
    <w:p w14:paraId="4B22A378" w14:textId="77777777" w:rsidR="001A5DA3" w:rsidRDefault="001A5DA3" w:rsidP="001A5DA3">
      <w:pPr>
        <w:spacing w:before="120" w:after="120"/>
        <w:ind w:right="-1"/>
        <w:jc w:val="both"/>
        <w:rPr>
          <w:rFonts w:ascii="ITC Avant Garde" w:eastAsia="Times New Roman" w:hAnsi="ITC Avant Garde"/>
          <w:color w:val="000000"/>
          <w:lang w:eastAsia="es-MX"/>
        </w:rPr>
      </w:pPr>
      <w:r w:rsidRPr="000045D9">
        <w:rPr>
          <w:rFonts w:ascii="ITC Avant Garde" w:eastAsia="Times New Roman" w:hAnsi="ITC Avant Garde"/>
          <w:color w:val="000000"/>
          <w:lang w:eastAsia="es-MX"/>
        </w:rPr>
        <w:t xml:space="preserve">Por ejemplo, si se considera la variable de valor de las ventas y se define a </w:t>
      </w:r>
      <m:oMath>
        <m:sSub>
          <m:sSubPr>
            <m:ctrlPr>
              <w:rPr>
                <w:rFonts w:ascii="Cambria Math" w:eastAsia="Times New Roman" w:hAnsi="Cambria Math"/>
                <w:i/>
                <w:color w:val="000000"/>
                <w:lang w:eastAsia="es-MX"/>
              </w:rPr>
            </m:ctrlPr>
          </m:sSubPr>
          <m:e>
            <m:r>
              <w:rPr>
                <w:rFonts w:ascii="Cambria Math" w:eastAsia="Times New Roman" w:hAnsi="Cambria Math"/>
                <w:color w:val="000000"/>
                <w:lang w:eastAsia="es-MX"/>
              </w:rPr>
              <m:t>V</m:t>
            </m:r>
          </m:e>
          <m:sub>
            <m:r>
              <w:rPr>
                <w:rFonts w:ascii="Cambria Math" w:eastAsia="Times New Roman" w:hAnsi="Cambria Math"/>
                <w:color w:val="000000"/>
                <w:lang w:eastAsia="es-MX"/>
              </w:rPr>
              <m:t>i</m:t>
            </m:r>
          </m:sub>
        </m:sSub>
      </m:oMath>
      <w:r w:rsidRPr="000045D9">
        <w:rPr>
          <w:rFonts w:ascii="ITC Avant Garde" w:eastAsia="Times New Roman" w:hAnsi="ITC Avant Garde"/>
          <w:i/>
          <w:color w:val="000000"/>
          <w:lang w:eastAsia="es-MX"/>
        </w:rPr>
        <w:t xml:space="preserve"> </w:t>
      </w:r>
      <w:r w:rsidRPr="000045D9">
        <w:rPr>
          <w:rFonts w:ascii="ITC Avant Garde" w:eastAsia="Times New Roman" w:hAnsi="ITC Avant Garde"/>
          <w:color w:val="000000"/>
          <w:lang w:eastAsia="es-MX"/>
        </w:rPr>
        <w:t xml:space="preserve">como el valor de ventas del </w:t>
      </w:r>
      <m:oMath>
        <m:r>
          <w:rPr>
            <w:rFonts w:ascii="Cambria Math" w:eastAsia="Times New Roman" w:hAnsi="Cambria Math"/>
            <w:color w:val="000000"/>
            <w:lang w:eastAsia="es-MX"/>
          </w:rPr>
          <m:t>i</m:t>
        </m:r>
      </m:oMath>
      <w:r w:rsidRPr="000045D9">
        <w:rPr>
          <w:rFonts w:ascii="ITC Avant Garde" w:eastAsia="Times New Roman" w:hAnsi="ITC Avant Garde"/>
          <w:color w:val="000000"/>
          <w:lang w:eastAsia="es-MX"/>
        </w:rPr>
        <w:t xml:space="preserve">-ésimo agente económico, y a </w:t>
      </w:r>
      <m:oMath>
        <m:r>
          <w:rPr>
            <w:rFonts w:ascii="Cambria Math" w:eastAsia="Times New Roman" w:hAnsi="Cambria Math"/>
            <w:color w:val="000000"/>
            <w:lang w:eastAsia="es-MX"/>
          </w:rPr>
          <m:t>V</m:t>
        </m:r>
      </m:oMath>
      <w:r w:rsidRPr="000045D9">
        <w:rPr>
          <w:rFonts w:ascii="ITC Avant Garde" w:eastAsia="Times New Roman" w:hAnsi="ITC Avant Garde"/>
          <w:color w:val="000000"/>
          <w:lang w:eastAsia="es-MX"/>
        </w:rPr>
        <w:t xml:space="preserve"> como el valor de ventas </w:t>
      </w:r>
      <w:r>
        <w:rPr>
          <w:rFonts w:ascii="ITC Avant Garde" w:eastAsia="Times New Roman" w:hAnsi="ITC Avant Garde"/>
          <w:color w:val="000000"/>
          <w:lang w:eastAsia="es-MX"/>
        </w:rPr>
        <w:t>total</w:t>
      </w:r>
      <w:r w:rsidRPr="000045D9">
        <w:rPr>
          <w:rFonts w:ascii="ITC Avant Garde" w:eastAsia="Times New Roman" w:hAnsi="ITC Avant Garde"/>
          <w:color w:val="000000"/>
          <w:lang w:eastAsia="es-MX"/>
        </w:rPr>
        <w:t xml:space="preserve">, donde </w:t>
      </w:r>
      <m:oMath>
        <m:r>
          <w:rPr>
            <w:rFonts w:ascii="Cambria Math" w:eastAsia="Times New Roman" w:hAnsi="Cambria Math"/>
            <w:color w:val="000000"/>
            <w:lang w:eastAsia="es-MX"/>
          </w:rPr>
          <m:t>V=</m:t>
        </m:r>
        <m:nary>
          <m:naryPr>
            <m:chr m:val="∑"/>
            <m:limLoc m:val="undOvr"/>
            <m:supHide m:val="1"/>
            <m:ctrlPr>
              <w:rPr>
                <w:rFonts w:ascii="Cambria Math" w:eastAsia="Times New Roman" w:hAnsi="Cambria Math"/>
                <w:i/>
                <w:color w:val="000000"/>
                <w:lang w:eastAsia="es-MX"/>
              </w:rPr>
            </m:ctrlPr>
          </m:naryPr>
          <m:sub>
            <m:r>
              <w:rPr>
                <w:rFonts w:ascii="Cambria Math" w:eastAsia="Times New Roman" w:hAnsi="Cambria Math"/>
                <w:color w:val="000000"/>
                <w:lang w:eastAsia="es-MX"/>
              </w:rPr>
              <m:t>i</m:t>
            </m:r>
          </m:sub>
          <m:sup/>
          <m:e>
            <m:sSub>
              <m:sSubPr>
                <m:ctrlPr>
                  <w:rPr>
                    <w:rFonts w:ascii="Cambria Math" w:eastAsia="Times New Roman" w:hAnsi="Cambria Math"/>
                    <w:i/>
                    <w:color w:val="000000"/>
                    <w:lang w:eastAsia="es-MX"/>
                  </w:rPr>
                </m:ctrlPr>
              </m:sSubPr>
              <m:e>
                <m:r>
                  <w:rPr>
                    <w:rFonts w:ascii="Cambria Math" w:eastAsia="Times New Roman" w:hAnsi="Cambria Math"/>
                    <w:color w:val="000000"/>
                    <w:lang w:eastAsia="es-MX"/>
                  </w:rPr>
                  <m:t>V</m:t>
                </m:r>
              </m:e>
              <m:sub>
                <m:r>
                  <w:rPr>
                    <w:rFonts w:ascii="Cambria Math" w:eastAsia="Times New Roman" w:hAnsi="Cambria Math"/>
                    <w:color w:val="000000"/>
                    <w:lang w:eastAsia="es-MX"/>
                  </w:rPr>
                  <m:t>i</m:t>
                </m:r>
              </m:sub>
            </m:sSub>
          </m:e>
        </m:nary>
      </m:oMath>
      <w:r w:rsidRPr="000045D9">
        <w:rPr>
          <w:rFonts w:ascii="ITC Avant Garde" w:eastAsia="Times New Roman" w:hAnsi="ITC Avant Garde"/>
          <w:i/>
          <w:color w:val="000000"/>
          <w:lang w:eastAsia="es-MX"/>
        </w:rPr>
        <w:t>,</w:t>
      </w:r>
      <w:r w:rsidRPr="000045D9">
        <w:rPr>
          <w:rFonts w:ascii="ITC Avant Garde" w:eastAsia="Times New Roman" w:hAnsi="ITC Avant Garde"/>
          <w:color w:val="000000"/>
          <w:lang w:eastAsia="es-MX"/>
        </w:rPr>
        <w:t xml:space="preserve"> entonces, la </w:t>
      </w:r>
      <w:r w:rsidRPr="000045D9">
        <w:rPr>
          <w:rFonts w:ascii="ITC Avant Garde" w:eastAsia="Times New Roman" w:hAnsi="ITC Avant Garde"/>
          <w:b/>
          <w:color w:val="000000"/>
          <w:lang w:eastAsia="es-MX"/>
        </w:rPr>
        <w:t xml:space="preserve">participación </w:t>
      </w:r>
      <w:r w:rsidRPr="000045D9">
        <w:rPr>
          <w:rFonts w:ascii="ITC Avant Garde" w:eastAsia="Times New Roman" w:hAnsi="ITC Avant Garde"/>
          <w:color w:val="000000"/>
          <w:lang w:eastAsia="es-MX"/>
        </w:rPr>
        <w:t xml:space="preserve">del </w:t>
      </w:r>
      <m:oMath>
        <m:r>
          <w:rPr>
            <w:rFonts w:ascii="Cambria Math" w:eastAsia="Times New Roman" w:hAnsi="Cambria Math"/>
            <w:color w:val="000000"/>
            <w:lang w:eastAsia="es-MX"/>
          </w:rPr>
          <m:t>i</m:t>
        </m:r>
      </m:oMath>
      <w:r w:rsidRPr="000045D9">
        <w:rPr>
          <w:rFonts w:ascii="ITC Avant Garde" w:eastAsia="Times New Roman" w:hAnsi="ITC Avant Garde"/>
          <w:color w:val="000000"/>
          <w:lang w:eastAsia="es-MX"/>
        </w:rPr>
        <w:t xml:space="preserve">-ésimo agente económico, que se identificará como </w:t>
      </w:r>
      <m:oMath>
        <m:sSub>
          <m:sSubPr>
            <m:ctrlPr>
              <w:rPr>
                <w:rFonts w:ascii="Cambria Math" w:eastAsia="Times New Roman" w:hAnsi="Cambria Math"/>
                <w:i/>
                <w:color w:val="000000"/>
                <w:lang w:eastAsia="es-MX"/>
              </w:rPr>
            </m:ctrlPr>
          </m:sSubPr>
          <m:e>
            <m:r>
              <w:rPr>
                <w:rFonts w:ascii="Cambria Math" w:eastAsia="Times New Roman" w:hAnsi="Cambria Math"/>
                <w:color w:val="000000"/>
                <w:lang w:eastAsia="es-MX"/>
              </w:rPr>
              <m:t>α</m:t>
            </m:r>
          </m:e>
          <m:sub>
            <m:r>
              <w:rPr>
                <w:rFonts w:ascii="Cambria Math" w:eastAsia="Times New Roman" w:hAnsi="Cambria Math"/>
                <w:color w:val="000000"/>
                <w:lang w:eastAsia="es-MX"/>
              </w:rPr>
              <m:t>i</m:t>
            </m:r>
          </m:sub>
        </m:sSub>
      </m:oMath>
      <w:r w:rsidRPr="000045D9">
        <w:rPr>
          <w:rFonts w:ascii="ITC Avant Garde" w:eastAsia="Times New Roman" w:hAnsi="ITC Avant Garde"/>
          <w:color w:val="000000"/>
          <w:lang w:eastAsia="es-MX"/>
        </w:rPr>
        <w:t>, se define como:</w:t>
      </w:r>
    </w:p>
    <w:p w14:paraId="611FDA17" w14:textId="1DFE8F6F" w:rsidR="008F7DD4" w:rsidRPr="000045D9" w:rsidRDefault="00D65E34" w:rsidP="001A5DA3">
      <w:pPr>
        <w:spacing w:before="120" w:after="120"/>
        <w:ind w:right="-1"/>
        <w:jc w:val="both"/>
        <w:rPr>
          <w:rFonts w:ascii="ITC Avant Garde" w:eastAsia="Times New Roman" w:hAnsi="ITC Avant Garde"/>
          <w:color w:val="000000"/>
          <w:lang w:eastAsia="es-MX"/>
        </w:rPr>
      </w:pPr>
      <m:oMathPara>
        <m:oMath>
          <m:sSub>
            <m:sSubPr>
              <m:ctrlPr>
                <w:rPr>
                  <w:rFonts w:ascii="Cambria Math" w:eastAsia="Times New Roman" w:hAnsi="Cambria Math"/>
                  <w:i/>
                  <w:color w:val="000000"/>
                  <w:lang w:eastAsia="es-MX"/>
                </w:rPr>
              </m:ctrlPr>
            </m:sSubPr>
            <m:e>
              <m:r>
                <w:rPr>
                  <w:rFonts w:ascii="Cambria Math" w:eastAsia="Times New Roman" w:hAnsi="Cambria Math"/>
                  <w:color w:val="000000"/>
                  <w:lang w:eastAsia="es-MX"/>
                </w:rPr>
                <m:t>α</m:t>
              </m:r>
            </m:e>
            <m:sub>
              <m:r>
                <w:rPr>
                  <w:rFonts w:ascii="Cambria Math" w:eastAsia="Times New Roman" w:hAnsi="Cambria Math"/>
                  <w:color w:val="000000"/>
                  <w:lang w:eastAsia="es-MX"/>
                </w:rPr>
                <m:t>i</m:t>
              </m:r>
            </m:sub>
          </m:sSub>
          <m:r>
            <w:rPr>
              <w:rFonts w:ascii="Cambria Math" w:eastAsia="Times New Roman" w:hAnsi="Cambria Math"/>
              <w:color w:val="000000"/>
              <w:lang w:eastAsia="es-MX"/>
            </w:rPr>
            <m:t>=</m:t>
          </m:r>
          <m:d>
            <m:dPr>
              <m:ctrlPr>
                <w:rPr>
                  <w:rFonts w:ascii="Cambria Math" w:eastAsia="Times New Roman" w:hAnsi="Cambria Math"/>
                  <w:i/>
                  <w:color w:val="000000"/>
                  <w:lang w:eastAsia="es-MX"/>
                </w:rPr>
              </m:ctrlPr>
            </m:dPr>
            <m:e>
              <m:f>
                <m:fPr>
                  <m:ctrlPr>
                    <w:rPr>
                      <w:rFonts w:ascii="Cambria Math" w:eastAsia="Times New Roman" w:hAnsi="Cambria Math"/>
                      <w:i/>
                      <w:color w:val="000000"/>
                      <w:lang w:eastAsia="es-MX"/>
                    </w:rPr>
                  </m:ctrlPr>
                </m:fPr>
                <m:num>
                  <m:sSub>
                    <m:sSubPr>
                      <m:ctrlPr>
                        <w:rPr>
                          <w:rFonts w:ascii="Cambria Math" w:eastAsia="Times New Roman" w:hAnsi="Cambria Math"/>
                          <w:i/>
                          <w:color w:val="000000"/>
                          <w:lang w:eastAsia="es-MX"/>
                        </w:rPr>
                      </m:ctrlPr>
                    </m:sSubPr>
                    <m:e>
                      <m:r>
                        <w:rPr>
                          <w:rFonts w:ascii="Cambria Math" w:eastAsia="Times New Roman" w:hAnsi="Cambria Math"/>
                          <w:color w:val="000000"/>
                          <w:lang w:eastAsia="es-MX"/>
                        </w:rPr>
                        <m:t>V</m:t>
                      </m:r>
                    </m:e>
                    <m:sub>
                      <m:r>
                        <w:rPr>
                          <w:rFonts w:ascii="Cambria Math" w:eastAsia="Times New Roman" w:hAnsi="Cambria Math"/>
                          <w:color w:val="000000"/>
                          <w:lang w:eastAsia="es-MX"/>
                        </w:rPr>
                        <m:t>i</m:t>
                      </m:r>
                    </m:sub>
                  </m:sSub>
                </m:num>
                <m:den>
                  <m:r>
                    <w:rPr>
                      <w:rFonts w:ascii="Cambria Math" w:eastAsia="Times New Roman" w:hAnsi="Cambria Math"/>
                      <w:color w:val="000000"/>
                      <w:lang w:eastAsia="es-MX"/>
                    </w:rPr>
                    <m:t>V</m:t>
                  </m:r>
                </m:den>
              </m:f>
            </m:e>
          </m:d>
          <m:r>
            <w:rPr>
              <w:rFonts w:ascii="Cambria Math" w:eastAsia="Times New Roman" w:hAnsi="Cambria Math"/>
              <w:color w:val="000000"/>
              <w:lang w:eastAsia="es-MX"/>
            </w:rPr>
            <m:t xml:space="preserve"> X 100</m:t>
          </m:r>
        </m:oMath>
      </m:oMathPara>
    </w:p>
    <w:p w14:paraId="3885D855" w14:textId="003089B7" w:rsidR="001A5DA3" w:rsidRPr="00454E62" w:rsidRDefault="001A5DA3" w:rsidP="00454E62">
      <w:pPr>
        <w:pStyle w:val="Prrafodelista"/>
        <w:numPr>
          <w:ilvl w:val="0"/>
          <w:numId w:val="27"/>
        </w:numPr>
        <w:spacing w:before="120" w:after="120"/>
        <w:ind w:left="0" w:firstLine="0"/>
        <w:contextualSpacing w:val="0"/>
        <w:jc w:val="both"/>
        <w:rPr>
          <w:rFonts w:ascii="ITC Avant Garde" w:hAnsi="ITC Avant Garde"/>
        </w:rPr>
      </w:pPr>
      <w:r w:rsidRPr="00454E62">
        <w:rPr>
          <w:rFonts w:ascii="ITC Avant Garde" w:hAnsi="ITC Avant Garde"/>
        </w:rPr>
        <w:t>El IHH se calculará como la suma de las participaciones de cada agente económico elevadas al cuadrado, es decir,</w:t>
      </w:r>
    </w:p>
    <w:p w14:paraId="01C8F506" w14:textId="77777777" w:rsidR="001A5DA3" w:rsidRPr="00454E62" w:rsidRDefault="001A5DA3" w:rsidP="00454E62">
      <w:pPr>
        <w:pStyle w:val="Prrafodelista"/>
        <w:spacing w:before="120" w:after="120"/>
        <w:ind w:left="0"/>
        <w:contextualSpacing w:val="0"/>
        <w:jc w:val="center"/>
        <w:rPr>
          <w:rFonts w:ascii="ITC Avant Garde" w:hAnsi="ITC Avant Garde"/>
        </w:rPr>
      </w:pPr>
      <w:r w:rsidRPr="00454E62">
        <w:rPr>
          <w:rFonts w:ascii="ITC Avant Garde" w:hAnsi="ITC Avant Garde"/>
        </w:rPr>
        <w:lastRenderedPageBreak/>
        <w:t xml:space="preserve">IHH= </w:t>
      </w:r>
      <m:oMath>
        <m:sSubSup>
          <m:sSubSupPr>
            <m:ctrlPr>
              <w:rPr>
                <w:rFonts w:ascii="Cambria Math" w:hAnsi="Cambria Math"/>
              </w:rPr>
            </m:ctrlPr>
          </m:sSubSupPr>
          <m:e>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w:rPr>
                    <w:rFonts w:ascii="Cambria Math" w:hAnsi="Cambria Math"/>
                  </w:rPr>
                  <m:t>α</m:t>
                </m:r>
              </m:e>
            </m:nary>
          </m:e>
          <m:sub>
            <m:r>
              <w:rPr>
                <w:rFonts w:ascii="Cambria Math" w:hAnsi="Cambria Math"/>
              </w:rPr>
              <m:t>i</m:t>
            </m:r>
          </m:sub>
          <m:sup>
            <m:r>
              <m:rPr>
                <m:sty m:val="p"/>
              </m:rPr>
              <w:rPr>
                <w:rFonts w:ascii="Cambria Math" w:hAnsi="Cambria Math"/>
              </w:rPr>
              <m:t>2</m:t>
            </m:r>
          </m:sup>
        </m:sSubSup>
      </m:oMath>
    </w:p>
    <w:p w14:paraId="156C86E1" w14:textId="77777777" w:rsidR="001A5DA3" w:rsidRPr="000045D9" w:rsidRDefault="001A5DA3" w:rsidP="001A5DA3">
      <w:pPr>
        <w:shd w:val="clear" w:color="auto" w:fill="FFFFFF"/>
        <w:spacing w:before="120" w:after="120"/>
        <w:ind w:right="-1"/>
        <w:jc w:val="both"/>
        <w:rPr>
          <w:rFonts w:ascii="ITC Avant Garde" w:eastAsia="Times New Roman" w:hAnsi="ITC Avant Garde"/>
          <w:color w:val="000000"/>
          <w:lang w:eastAsia="es-MX"/>
        </w:rPr>
      </w:pPr>
      <w:r>
        <w:rPr>
          <w:rFonts w:ascii="ITC Avant Garde" w:eastAsia="Times New Roman" w:hAnsi="ITC Avant Garde"/>
          <w:color w:val="000000"/>
          <w:lang w:eastAsia="es-MX"/>
        </w:rPr>
        <w:t xml:space="preserve">Las </w:t>
      </w:r>
      <w:r w:rsidRPr="000045D9">
        <w:rPr>
          <w:rFonts w:ascii="ITC Avant Garde" w:eastAsia="Times New Roman" w:hAnsi="ITC Avant Garde"/>
          <w:color w:val="000000"/>
          <w:lang w:eastAsia="es-MX"/>
        </w:rPr>
        <w:t xml:space="preserve">características </w:t>
      </w:r>
      <w:r>
        <w:rPr>
          <w:rFonts w:ascii="ITC Avant Garde" w:eastAsia="Times New Roman" w:hAnsi="ITC Avant Garde"/>
          <w:color w:val="000000"/>
          <w:lang w:eastAsia="es-MX"/>
        </w:rPr>
        <w:t xml:space="preserve">más relevantes </w:t>
      </w:r>
      <w:r w:rsidRPr="000045D9">
        <w:rPr>
          <w:rFonts w:ascii="ITC Avant Garde" w:eastAsia="Times New Roman" w:hAnsi="ITC Avant Garde"/>
          <w:color w:val="000000"/>
          <w:lang w:eastAsia="es-MX"/>
        </w:rPr>
        <w:t xml:space="preserve">del </w:t>
      </w:r>
      <w:r>
        <w:rPr>
          <w:rFonts w:ascii="ITC Avant Garde" w:eastAsia="Times New Roman" w:hAnsi="ITC Avant Garde"/>
          <w:color w:val="000000"/>
          <w:lang w:eastAsia="es-MX"/>
        </w:rPr>
        <w:t>IHH</w:t>
      </w:r>
      <w:r w:rsidRPr="000045D9">
        <w:rPr>
          <w:rFonts w:ascii="ITC Avant Garde" w:eastAsia="Times New Roman" w:hAnsi="ITC Avant Garde"/>
          <w:color w:val="000000"/>
          <w:lang w:eastAsia="es-MX"/>
        </w:rPr>
        <w:t xml:space="preserve"> son las siguientes:</w:t>
      </w:r>
    </w:p>
    <w:p w14:paraId="7F7F12D8" w14:textId="6CCD34A3" w:rsidR="001A5DA3" w:rsidRPr="000045D9" w:rsidRDefault="009C545F" w:rsidP="001A5DA3">
      <w:pPr>
        <w:pStyle w:val="Prrafodelista"/>
        <w:numPr>
          <w:ilvl w:val="0"/>
          <w:numId w:val="24"/>
        </w:numPr>
        <w:shd w:val="clear" w:color="auto" w:fill="FFFFFF"/>
        <w:spacing w:before="120" w:after="120"/>
        <w:ind w:left="567" w:hanging="283"/>
        <w:contextualSpacing w:val="0"/>
        <w:jc w:val="both"/>
        <w:rPr>
          <w:rFonts w:ascii="ITC Avant Garde" w:eastAsia="Times New Roman" w:hAnsi="ITC Avant Garde" w:cs="Times New Roman"/>
          <w:color w:val="000000"/>
          <w:lang w:eastAsia="es-MX"/>
        </w:rPr>
      </w:pPr>
      <w:r>
        <w:rPr>
          <w:rFonts w:ascii="ITC Avant Garde" w:eastAsia="Times New Roman" w:hAnsi="ITC Avant Garde" w:cs="Times New Roman"/>
          <w:b/>
          <w:color w:val="000000"/>
          <w:lang w:eastAsia="es-MX"/>
        </w:rPr>
        <w:t>P</w:t>
      </w:r>
      <w:r w:rsidR="001A5DA3">
        <w:rPr>
          <w:rFonts w:ascii="ITC Avant Garde" w:eastAsia="Times New Roman" w:hAnsi="ITC Avant Garde" w:cs="Times New Roman"/>
          <w:b/>
          <w:color w:val="000000"/>
          <w:lang w:eastAsia="es-MX"/>
        </w:rPr>
        <w:t xml:space="preserve">uede </w:t>
      </w:r>
      <w:r w:rsidR="001A5DA3" w:rsidRPr="008E17DA">
        <w:rPr>
          <w:rFonts w:ascii="ITC Avant Garde" w:eastAsia="Times New Roman" w:hAnsi="ITC Avant Garde" w:cs="Times New Roman"/>
          <w:b/>
          <w:color w:val="000000"/>
          <w:lang w:eastAsia="es-MX"/>
        </w:rPr>
        <w:t>tomar valores entre cero y diez mil puntos.</w:t>
      </w:r>
      <w:r w:rsidR="001A5DA3" w:rsidRPr="000045D9">
        <w:rPr>
          <w:rFonts w:ascii="ITC Avant Garde" w:eastAsia="Times New Roman" w:hAnsi="ITC Avant Garde" w:cs="Times New Roman"/>
          <w:color w:val="000000"/>
          <w:lang w:eastAsia="es-MX"/>
        </w:rPr>
        <w:t xml:space="preserve"> Un valor bajo, cercano a cero, corresponde a una situación en la cual cada uno de</w:t>
      </w:r>
      <w:r w:rsidR="001A5DA3">
        <w:rPr>
          <w:rFonts w:ascii="ITC Avant Garde" w:eastAsia="Times New Roman" w:hAnsi="ITC Avant Garde" w:cs="Times New Roman"/>
          <w:color w:val="000000"/>
          <w:lang w:eastAsia="es-MX"/>
        </w:rPr>
        <w:t xml:space="preserve"> los</w:t>
      </w:r>
      <w:r w:rsidR="001A5DA3" w:rsidRPr="000045D9">
        <w:rPr>
          <w:rFonts w:ascii="ITC Avant Garde" w:eastAsia="Times New Roman" w:hAnsi="ITC Avant Garde" w:cs="Times New Roman"/>
          <w:color w:val="000000"/>
          <w:lang w:eastAsia="es-MX"/>
        </w:rPr>
        <w:t xml:space="preserve"> agentes económicos </w:t>
      </w:r>
      <w:r w:rsidR="001A5DA3">
        <w:rPr>
          <w:rFonts w:ascii="ITC Avant Garde" w:eastAsia="Times New Roman" w:hAnsi="ITC Avant Garde" w:cs="Times New Roman"/>
          <w:color w:val="000000"/>
          <w:lang w:eastAsia="es-MX"/>
        </w:rPr>
        <w:t xml:space="preserve">tiene una participación </w:t>
      </w:r>
      <w:r w:rsidR="001A5DA3" w:rsidRPr="000045D9">
        <w:rPr>
          <w:rFonts w:ascii="ITC Avant Garde" w:eastAsia="Times New Roman" w:hAnsi="ITC Avant Garde" w:cs="Times New Roman"/>
          <w:color w:val="000000"/>
          <w:lang w:eastAsia="es-MX"/>
        </w:rPr>
        <w:t>poco significativ</w:t>
      </w:r>
      <w:r w:rsidR="001A5DA3">
        <w:rPr>
          <w:rFonts w:ascii="ITC Avant Garde" w:eastAsia="Times New Roman" w:hAnsi="ITC Avant Garde" w:cs="Times New Roman"/>
          <w:color w:val="000000"/>
          <w:lang w:eastAsia="es-MX"/>
        </w:rPr>
        <w:t>a</w:t>
      </w:r>
      <w:r w:rsidR="001A5DA3" w:rsidRPr="000045D9">
        <w:rPr>
          <w:rFonts w:ascii="ITC Avant Garde" w:eastAsia="Times New Roman" w:hAnsi="ITC Avant Garde" w:cs="Times New Roman"/>
          <w:color w:val="000000"/>
          <w:lang w:eastAsia="es-MX"/>
        </w:rPr>
        <w:t xml:space="preserve">. En el otro extremo, el valor máximo corresponde a una situación en la que </w:t>
      </w:r>
      <w:r w:rsidR="001A5DA3">
        <w:rPr>
          <w:rFonts w:ascii="ITC Avant Garde" w:eastAsia="Times New Roman" w:hAnsi="ITC Avant Garde" w:cs="Times New Roman"/>
          <w:color w:val="000000"/>
          <w:lang w:eastAsia="es-MX"/>
        </w:rPr>
        <w:t xml:space="preserve">existe sólo </w:t>
      </w:r>
      <w:r w:rsidR="001A5DA3" w:rsidRPr="000045D9">
        <w:rPr>
          <w:rFonts w:ascii="ITC Avant Garde" w:eastAsia="Times New Roman" w:hAnsi="ITC Avant Garde" w:cs="Times New Roman"/>
          <w:color w:val="000000"/>
          <w:lang w:eastAsia="es-MX"/>
        </w:rPr>
        <w:t xml:space="preserve">un agente económico. Así, valores elevados del </w:t>
      </w:r>
      <w:r w:rsidR="001A5DA3">
        <w:rPr>
          <w:rFonts w:ascii="ITC Avant Garde" w:eastAsia="Times New Roman" w:hAnsi="ITC Avant Garde" w:cs="Times New Roman"/>
          <w:color w:val="000000"/>
          <w:lang w:eastAsia="es-MX"/>
        </w:rPr>
        <w:t>I</w:t>
      </w:r>
      <w:r w:rsidR="001A5DA3" w:rsidRPr="000045D9">
        <w:rPr>
          <w:rFonts w:ascii="ITC Avant Garde" w:eastAsia="Times New Roman" w:hAnsi="ITC Avant Garde" w:cs="Times New Roman"/>
          <w:color w:val="000000"/>
          <w:lang w:eastAsia="es-MX"/>
        </w:rPr>
        <w:t xml:space="preserve">HH son el reflejo de mercados con alto grado de concentración. </w:t>
      </w:r>
    </w:p>
    <w:p w14:paraId="4902E6A6" w14:textId="77777777" w:rsidR="001A5DA3" w:rsidRDefault="001A5DA3" w:rsidP="001A5DA3">
      <w:pPr>
        <w:pStyle w:val="Prrafodelista"/>
        <w:numPr>
          <w:ilvl w:val="0"/>
          <w:numId w:val="24"/>
        </w:numPr>
        <w:shd w:val="clear" w:color="auto" w:fill="FFFFFF"/>
        <w:spacing w:before="120" w:after="120"/>
        <w:ind w:left="567" w:hanging="283"/>
        <w:contextualSpacing w:val="0"/>
        <w:jc w:val="both"/>
        <w:rPr>
          <w:rFonts w:ascii="ITC Avant Garde" w:hAnsi="ITC Avant Garde"/>
        </w:rPr>
      </w:pPr>
      <w:r>
        <w:rPr>
          <w:rFonts w:ascii="ITC Avant Garde" w:hAnsi="ITC Avant Garde"/>
          <w:b/>
        </w:rPr>
        <w:t>El IHH</w:t>
      </w:r>
      <w:r w:rsidRPr="00CC3133">
        <w:rPr>
          <w:rFonts w:ascii="ITC Avant Garde" w:hAnsi="ITC Avant Garde"/>
          <w:b/>
        </w:rPr>
        <w:t xml:space="preserve"> </w:t>
      </w:r>
      <w:r>
        <w:rPr>
          <w:rFonts w:ascii="ITC Avant Garde" w:hAnsi="ITC Avant Garde"/>
          <w:b/>
        </w:rPr>
        <w:t xml:space="preserve">considera toda la actividad económica analizada y </w:t>
      </w:r>
      <w:r w:rsidRPr="00CC3133">
        <w:rPr>
          <w:rFonts w:ascii="ITC Avant Garde" w:hAnsi="ITC Avant Garde"/>
          <w:b/>
        </w:rPr>
        <w:t>refleja la</w:t>
      </w:r>
      <w:r>
        <w:rPr>
          <w:rFonts w:ascii="ITC Avant Garde" w:hAnsi="ITC Avant Garde"/>
          <w:b/>
        </w:rPr>
        <w:t xml:space="preserve"> posición relativa de los agente</w:t>
      </w:r>
      <w:r w:rsidRPr="00CC3133">
        <w:rPr>
          <w:rFonts w:ascii="ITC Avant Garde" w:hAnsi="ITC Avant Garde"/>
          <w:b/>
        </w:rPr>
        <w:t>s</w:t>
      </w:r>
      <w:r>
        <w:rPr>
          <w:rFonts w:ascii="ITC Avant Garde" w:hAnsi="ITC Avant Garde"/>
          <w:b/>
        </w:rPr>
        <w:t xml:space="preserve"> económicos</w:t>
      </w:r>
      <w:r w:rsidRPr="00CC3133">
        <w:rPr>
          <w:rFonts w:ascii="ITC Avant Garde" w:hAnsi="ITC Avant Garde"/>
        </w:rPr>
        <w:t xml:space="preserve">, </w:t>
      </w:r>
      <w:r>
        <w:rPr>
          <w:rFonts w:ascii="ITC Avant Garde" w:hAnsi="ITC Avant Garde"/>
        </w:rPr>
        <w:t xml:space="preserve">y </w:t>
      </w:r>
      <w:r w:rsidRPr="00CC3133">
        <w:rPr>
          <w:rFonts w:ascii="ITC Avant Garde" w:hAnsi="ITC Avant Garde"/>
        </w:rPr>
        <w:t xml:space="preserve">no es necesario determinar </w:t>
      </w:r>
      <w:r w:rsidRPr="00CC3133">
        <w:rPr>
          <w:rFonts w:ascii="ITC Avant Garde" w:hAnsi="ITC Avant Garde"/>
          <w:i/>
        </w:rPr>
        <w:t>a priori</w:t>
      </w:r>
      <w:r w:rsidRPr="00CC3133">
        <w:rPr>
          <w:rFonts w:ascii="ITC Avant Garde" w:hAnsi="ITC Avant Garde"/>
        </w:rPr>
        <w:t xml:space="preserve"> </w:t>
      </w:r>
      <w:r>
        <w:rPr>
          <w:rFonts w:ascii="ITC Avant Garde" w:hAnsi="ITC Avant Garde"/>
        </w:rPr>
        <w:t xml:space="preserve">a los </w:t>
      </w:r>
      <w:r w:rsidRPr="00CC3133">
        <w:rPr>
          <w:rFonts w:ascii="ITC Avant Garde" w:hAnsi="ITC Avant Garde"/>
        </w:rPr>
        <w:t>más importantes para calcularlo.</w:t>
      </w:r>
    </w:p>
    <w:p w14:paraId="0F5743A7" w14:textId="77777777" w:rsidR="001A5DA3" w:rsidRDefault="001A5DA3" w:rsidP="001A5DA3">
      <w:pPr>
        <w:pStyle w:val="Prrafodelista"/>
        <w:numPr>
          <w:ilvl w:val="0"/>
          <w:numId w:val="24"/>
        </w:numPr>
        <w:shd w:val="clear" w:color="auto" w:fill="FFFFFF"/>
        <w:spacing w:before="120" w:after="120"/>
        <w:ind w:left="567" w:hanging="283"/>
        <w:contextualSpacing w:val="0"/>
        <w:jc w:val="both"/>
        <w:rPr>
          <w:rFonts w:ascii="ITC Avant Garde" w:hAnsi="ITC Avant Garde"/>
        </w:rPr>
      </w:pPr>
      <w:r>
        <w:rPr>
          <w:rFonts w:ascii="ITC Avant Garde" w:hAnsi="ITC Avant Garde"/>
          <w:b/>
        </w:rPr>
        <w:t>El IHH</w:t>
      </w:r>
      <w:r w:rsidRPr="00BE0EE4">
        <w:rPr>
          <w:rFonts w:ascii="ITC Avant Garde" w:hAnsi="ITC Avant Garde"/>
          <w:b/>
        </w:rPr>
        <w:t xml:space="preserve"> aumenta cuando el número de empresas disminuye</w:t>
      </w:r>
      <w:r w:rsidRPr="00BE0EE4">
        <w:rPr>
          <w:rFonts w:ascii="ITC Avant Garde" w:hAnsi="ITC Avant Garde"/>
        </w:rPr>
        <w:t xml:space="preserve">. Esta característica implica que cualquier fusión o adquisición completa entre dos o más empresas </w:t>
      </w:r>
      <w:r>
        <w:rPr>
          <w:rFonts w:ascii="ITC Avant Garde" w:hAnsi="ITC Avant Garde"/>
        </w:rPr>
        <w:t>se ve reflejada en un valor más alto</w:t>
      </w:r>
      <w:r w:rsidRPr="00BE0EE4">
        <w:rPr>
          <w:rFonts w:ascii="ITC Avant Garde" w:hAnsi="ITC Avant Garde"/>
        </w:rPr>
        <w:t xml:space="preserve"> de</w:t>
      </w:r>
      <w:r>
        <w:rPr>
          <w:rFonts w:ascii="ITC Avant Garde" w:hAnsi="ITC Avant Garde"/>
        </w:rPr>
        <w:t>l IHH</w:t>
      </w:r>
      <w:r w:rsidRPr="00BE0EE4">
        <w:rPr>
          <w:rFonts w:ascii="ITC Avant Garde" w:hAnsi="ITC Avant Garde"/>
        </w:rPr>
        <w:t>.</w:t>
      </w:r>
      <w:r w:rsidRPr="00F4311C">
        <w:rPr>
          <w:rFonts w:ascii="ITC Avant Garde" w:eastAsia="Times New Roman" w:hAnsi="ITC Avant Garde"/>
          <w:lang w:eastAsia="es-MX"/>
        </w:rPr>
        <w:t xml:space="preserve"> </w:t>
      </w:r>
      <w:r w:rsidRPr="00CC3133">
        <w:rPr>
          <w:rFonts w:ascii="ITC Avant Garde" w:eastAsia="Times New Roman" w:hAnsi="ITC Avant Garde"/>
          <w:lang w:eastAsia="es-MX"/>
        </w:rPr>
        <w:t xml:space="preserve">Entre más pequeño sea el número de </w:t>
      </w:r>
      <w:r>
        <w:rPr>
          <w:rFonts w:ascii="ITC Avant Garde" w:eastAsia="Times New Roman" w:hAnsi="ITC Avant Garde"/>
          <w:lang w:eastAsia="es-MX"/>
        </w:rPr>
        <w:t>participantes</w:t>
      </w:r>
      <w:r w:rsidRPr="00CC3133">
        <w:rPr>
          <w:rFonts w:ascii="ITC Avant Garde" w:eastAsia="Times New Roman" w:hAnsi="ITC Avant Garde"/>
          <w:lang w:eastAsia="es-MX"/>
        </w:rPr>
        <w:t xml:space="preserve">, es más probable que </w:t>
      </w:r>
      <w:r>
        <w:rPr>
          <w:rFonts w:ascii="ITC Avant Garde" w:eastAsia="Times New Roman" w:hAnsi="ITC Avant Garde"/>
          <w:lang w:eastAsia="es-MX"/>
        </w:rPr>
        <w:t>las variaciones en el número de participantes o de las participaciones,</w:t>
      </w:r>
      <w:r w:rsidRPr="00CC3133">
        <w:rPr>
          <w:rFonts w:ascii="ITC Avant Garde" w:eastAsia="Times New Roman" w:hAnsi="ITC Avant Garde"/>
          <w:lang w:eastAsia="es-MX"/>
        </w:rPr>
        <w:t xml:space="preserve"> </w:t>
      </w:r>
      <w:r>
        <w:rPr>
          <w:rFonts w:ascii="ITC Avant Garde" w:eastAsia="Times New Roman" w:hAnsi="ITC Avant Garde"/>
          <w:lang w:eastAsia="es-MX"/>
        </w:rPr>
        <w:t xml:space="preserve">modifiquen las condiciones de </w:t>
      </w:r>
      <w:r w:rsidRPr="00CC3133">
        <w:rPr>
          <w:rFonts w:ascii="ITC Avant Garde" w:eastAsia="Times New Roman" w:hAnsi="ITC Avant Garde"/>
          <w:lang w:eastAsia="es-MX"/>
        </w:rPr>
        <w:t>competencia para el resto de los agentes</w:t>
      </w:r>
      <w:r>
        <w:rPr>
          <w:rFonts w:ascii="ITC Avant Garde" w:eastAsia="Times New Roman" w:hAnsi="ITC Avant Garde"/>
          <w:lang w:eastAsia="es-MX"/>
        </w:rPr>
        <w:t xml:space="preserve"> económicos</w:t>
      </w:r>
      <w:r w:rsidRPr="00CC3133">
        <w:rPr>
          <w:rFonts w:ascii="ITC Avant Garde" w:eastAsia="Times New Roman" w:hAnsi="ITC Avant Garde"/>
          <w:lang w:eastAsia="es-MX"/>
        </w:rPr>
        <w:t>. Est</w:t>
      </w:r>
      <w:r>
        <w:rPr>
          <w:rFonts w:ascii="ITC Avant Garde" w:eastAsia="Times New Roman" w:hAnsi="ITC Avant Garde"/>
          <w:lang w:eastAsia="es-MX"/>
        </w:rPr>
        <w:t>os cambios en las condiciones de</w:t>
      </w:r>
      <w:r w:rsidRPr="00CC3133">
        <w:rPr>
          <w:rFonts w:ascii="ITC Avant Garde" w:eastAsia="Times New Roman" w:hAnsi="ITC Avant Garde"/>
          <w:lang w:eastAsia="es-MX"/>
        </w:rPr>
        <w:t xml:space="preserve"> </w:t>
      </w:r>
      <w:r w:rsidRPr="00CC3133">
        <w:rPr>
          <w:rFonts w:ascii="ITC Avant Garde" w:eastAsia="Times New Roman" w:hAnsi="ITC Avant Garde"/>
          <w:lang w:eastAsia="es-MX"/>
        </w:rPr>
        <w:lastRenderedPageBreak/>
        <w:t>competencia es capturada mediante un</w:t>
      </w:r>
      <w:r>
        <w:rPr>
          <w:rFonts w:ascii="ITC Avant Garde" w:eastAsia="Times New Roman" w:hAnsi="ITC Avant Garde"/>
          <w:lang w:eastAsia="es-MX"/>
        </w:rPr>
        <w:t xml:space="preserve">a variación </w:t>
      </w:r>
      <w:r w:rsidRPr="00CC3133">
        <w:rPr>
          <w:rFonts w:ascii="ITC Avant Garde" w:eastAsia="Times New Roman" w:hAnsi="ITC Avant Garde"/>
          <w:lang w:eastAsia="es-MX"/>
        </w:rPr>
        <w:t xml:space="preserve">del </w:t>
      </w:r>
      <w:r>
        <w:rPr>
          <w:rFonts w:ascii="ITC Avant Garde" w:eastAsia="Times New Roman" w:hAnsi="ITC Avant Garde"/>
          <w:lang w:eastAsia="es-MX"/>
        </w:rPr>
        <w:t>IHH</w:t>
      </w:r>
      <w:r w:rsidRPr="00CC3133">
        <w:rPr>
          <w:rFonts w:ascii="ITC Avant Garde" w:eastAsia="Times New Roman" w:hAnsi="ITC Avant Garde"/>
          <w:lang w:eastAsia="es-MX"/>
        </w:rPr>
        <w:t>, pues éste aumenta cuando el número de competidores disminuye</w:t>
      </w:r>
      <w:r>
        <w:rPr>
          <w:rFonts w:ascii="ITC Avant Garde" w:eastAsia="Times New Roman" w:hAnsi="ITC Avant Garde"/>
          <w:lang w:eastAsia="es-MX"/>
        </w:rPr>
        <w:t xml:space="preserve"> y viceversa.</w:t>
      </w:r>
    </w:p>
    <w:p w14:paraId="268F3A30" w14:textId="42F6D11C" w:rsidR="00590AAF" w:rsidRDefault="00590AAF" w:rsidP="00590AAF">
      <w:pPr>
        <w:pStyle w:val="Prrafodelista"/>
        <w:spacing w:before="120" w:after="120"/>
        <w:ind w:left="0"/>
        <w:contextualSpacing w:val="0"/>
        <w:jc w:val="both"/>
        <w:rPr>
          <w:rFonts w:ascii="ITC Avant Garde" w:eastAsia="Times New Roman" w:hAnsi="ITC Avant Garde"/>
          <w:color w:val="000000"/>
          <w:lang w:eastAsia="es-MX"/>
        </w:rPr>
      </w:pPr>
      <w:r>
        <w:rPr>
          <w:rFonts w:ascii="ITC Avant Garde" w:eastAsia="Times New Roman" w:hAnsi="ITC Avant Garde"/>
          <w:color w:val="000000"/>
          <w:lang w:eastAsia="es-MX"/>
        </w:rPr>
        <w:t xml:space="preserve">Cuando no sea posible identificar a agentes económicos </w:t>
      </w:r>
      <w:r w:rsidR="000A20A1">
        <w:rPr>
          <w:rFonts w:ascii="ITC Avant Garde" w:eastAsia="Times New Roman" w:hAnsi="ITC Avant Garde"/>
          <w:color w:val="000000"/>
          <w:lang w:eastAsia="es-MX"/>
        </w:rPr>
        <w:t>cuyas</w:t>
      </w:r>
      <w:r>
        <w:rPr>
          <w:rFonts w:ascii="ITC Avant Garde" w:eastAsia="Times New Roman" w:hAnsi="ITC Avant Garde"/>
          <w:color w:val="000000"/>
          <w:lang w:eastAsia="es-MX"/>
        </w:rPr>
        <w:t xml:space="preserve"> participaciones </w:t>
      </w:r>
      <w:r w:rsidR="000A20A1">
        <w:rPr>
          <w:rFonts w:ascii="ITC Avant Garde" w:eastAsia="Times New Roman" w:hAnsi="ITC Avant Garde"/>
          <w:color w:val="000000"/>
          <w:lang w:eastAsia="es-MX"/>
        </w:rPr>
        <w:t xml:space="preserve">sean </w:t>
      </w:r>
      <w:r w:rsidR="00386E07">
        <w:rPr>
          <w:rFonts w:ascii="ITC Avant Garde" w:eastAsia="Times New Roman" w:hAnsi="ITC Avant Garde"/>
          <w:color w:val="000000"/>
          <w:lang w:eastAsia="es-MX"/>
        </w:rPr>
        <w:t>poco</w:t>
      </w:r>
      <w:r w:rsidR="000A20A1">
        <w:rPr>
          <w:rFonts w:ascii="ITC Avant Garde" w:eastAsia="Times New Roman" w:hAnsi="ITC Avant Garde"/>
          <w:color w:val="000000"/>
          <w:lang w:eastAsia="es-MX"/>
        </w:rPr>
        <w:t xml:space="preserve"> significativas</w:t>
      </w:r>
      <w:r w:rsidR="00C42271">
        <w:rPr>
          <w:rFonts w:ascii="ITC Avant Garde" w:eastAsia="Times New Roman" w:hAnsi="ITC Avant Garde"/>
          <w:color w:val="000000"/>
          <w:lang w:eastAsia="es-MX"/>
        </w:rPr>
        <w:t xml:space="preserve"> </w:t>
      </w:r>
      <w:r>
        <w:rPr>
          <w:rFonts w:ascii="ITC Avant Garde" w:eastAsia="Times New Roman" w:hAnsi="ITC Avant Garde"/>
          <w:color w:val="000000"/>
          <w:lang w:eastAsia="es-MX"/>
        </w:rPr>
        <w:t xml:space="preserve">(“otros”), para efectos del cálculo del IHH </w:t>
      </w:r>
      <w:r w:rsidR="006F55A0">
        <w:rPr>
          <w:rFonts w:ascii="ITC Avant Garde" w:eastAsia="Times New Roman" w:hAnsi="ITC Avant Garde"/>
          <w:color w:val="000000"/>
          <w:lang w:eastAsia="es-MX"/>
        </w:rPr>
        <w:t xml:space="preserve">la participación </w:t>
      </w:r>
      <w:r w:rsidR="003F0A18">
        <w:rPr>
          <w:rFonts w:ascii="ITC Avant Garde" w:eastAsia="Times New Roman" w:hAnsi="ITC Avant Garde"/>
          <w:color w:val="000000"/>
          <w:lang w:eastAsia="es-MX"/>
        </w:rPr>
        <w:t>agregada</w:t>
      </w:r>
      <w:r w:rsidR="006F55A0">
        <w:rPr>
          <w:rFonts w:ascii="ITC Avant Garde" w:eastAsia="Times New Roman" w:hAnsi="ITC Avant Garde"/>
          <w:color w:val="000000"/>
          <w:lang w:eastAsia="es-MX"/>
        </w:rPr>
        <w:t xml:space="preserve"> de </w:t>
      </w:r>
      <w:r w:rsidR="000A20A1">
        <w:rPr>
          <w:rFonts w:ascii="ITC Avant Garde" w:eastAsia="Times New Roman" w:hAnsi="ITC Avant Garde"/>
          <w:color w:val="000000"/>
          <w:lang w:eastAsia="es-MX"/>
        </w:rPr>
        <w:t>“</w:t>
      </w:r>
      <w:r w:rsidR="003F0A18">
        <w:rPr>
          <w:rFonts w:ascii="ITC Avant Garde" w:eastAsia="Times New Roman" w:hAnsi="ITC Avant Garde"/>
          <w:color w:val="000000"/>
          <w:lang w:eastAsia="es-MX"/>
        </w:rPr>
        <w:t>otros</w:t>
      </w:r>
      <w:r w:rsidR="000A20A1">
        <w:rPr>
          <w:rFonts w:ascii="ITC Avant Garde" w:eastAsia="Times New Roman" w:hAnsi="ITC Avant Garde"/>
          <w:color w:val="000000"/>
          <w:lang w:eastAsia="es-MX"/>
        </w:rPr>
        <w:t>”</w:t>
      </w:r>
      <w:r w:rsidR="006F55A0">
        <w:rPr>
          <w:rFonts w:ascii="ITC Avant Garde" w:eastAsia="Times New Roman" w:hAnsi="ITC Avant Garde"/>
          <w:color w:val="000000"/>
          <w:lang w:eastAsia="es-MX"/>
        </w:rPr>
        <w:t xml:space="preserve"> </w:t>
      </w:r>
      <w:r>
        <w:rPr>
          <w:rFonts w:ascii="ITC Avant Garde" w:eastAsia="Times New Roman" w:hAnsi="ITC Avant Garde"/>
          <w:color w:val="000000"/>
          <w:lang w:eastAsia="es-MX"/>
        </w:rPr>
        <w:t xml:space="preserve">se </w:t>
      </w:r>
      <w:r w:rsidR="006F55A0">
        <w:rPr>
          <w:rFonts w:ascii="ITC Avant Garde" w:eastAsia="Times New Roman" w:hAnsi="ITC Avant Garde"/>
          <w:color w:val="000000"/>
          <w:lang w:eastAsia="es-MX"/>
        </w:rPr>
        <w:t xml:space="preserve">dividirá entre </w:t>
      </w:r>
      <w:r w:rsidR="003F0A18">
        <w:rPr>
          <w:rFonts w:ascii="ITC Avant Garde" w:eastAsia="Times New Roman" w:hAnsi="ITC Avant Garde"/>
          <w:color w:val="000000"/>
          <w:lang w:eastAsia="es-MX"/>
        </w:rPr>
        <w:t xml:space="preserve">un número de agentes a los que se les asignará una </w:t>
      </w:r>
      <w:r>
        <w:rPr>
          <w:rFonts w:ascii="ITC Avant Garde" w:eastAsia="Times New Roman" w:hAnsi="ITC Avant Garde"/>
          <w:color w:val="000000"/>
          <w:lang w:eastAsia="es-MX"/>
        </w:rPr>
        <w:t>participación simétrica</w:t>
      </w:r>
      <w:r w:rsidR="00717FC6">
        <w:rPr>
          <w:rFonts w:ascii="ITC Avant Garde" w:eastAsia="Times New Roman" w:hAnsi="ITC Avant Garde"/>
          <w:color w:val="000000"/>
          <w:lang w:eastAsia="es-MX"/>
        </w:rPr>
        <w:t xml:space="preserve"> igual o menor </w:t>
      </w:r>
      <w:r>
        <w:rPr>
          <w:rFonts w:ascii="ITC Avant Garde" w:eastAsia="Times New Roman" w:hAnsi="ITC Avant Garde"/>
          <w:color w:val="000000"/>
          <w:lang w:eastAsia="es-MX"/>
        </w:rPr>
        <w:t>a la participación que tenga el agente económico identificado de menor tamaño.</w:t>
      </w:r>
    </w:p>
    <w:p w14:paraId="21CB0CE0" w14:textId="77777777" w:rsidR="001A5DA3" w:rsidRPr="00475BDA" w:rsidRDefault="001A5DA3" w:rsidP="00475BDA">
      <w:pPr>
        <w:pStyle w:val="Prrafodelista"/>
        <w:numPr>
          <w:ilvl w:val="0"/>
          <w:numId w:val="27"/>
        </w:numPr>
        <w:spacing w:before="120" w:after="120"/>
        <w:ind w:left="0" w:firstLine="0"/>
        <w:contextualSpacing w:val="0"/>
        <w:jc w:val="both"/>
        <w:rPr>
          <w:rFonts w:ascii="ITC Avant Garde" w:hAnsi="ITC Avant Garde"/>
        </w:rPr>
      </w:pPr>
      <w:r w:rsidRPr="00475BDA">
        <w:rPr>
          <w:rFonts w:ascii="ITC Avant Garde" w:hAnsi="ITC Avant Garde"/>
        </w:rPr>
        <w:t>En el análisis de concentraci</w:t>
      </w:r>
      <w:r w:rsidR="00475BDA">
        <w:rPr>
          <w:rFonts w:ascii="ITC Avant Garde" w:hAnsi="ITC Avant Garde"/>
        </w:rPr>
        <w:t>ones</w:t>
      </w:r>
      <w:r w:rsidRPr="00475BDA">
        <w:rPr>
          <w:rFonts w:ascii="ITC Avant Garde" w:hAnsi="ITC Avant Garde"/>
        </w:rPr>
        <w:t xml:space="preserve"> el Instituto calculará la variación del IHH (</w:t>
      </w:r>
      <m:oMath>
        <m:r>
          <m:rPr>
            <m:sty m:val="p"/>
          </m:rPr>
          <w:rPr>
            <w:rFonts w:ascii="Cambria Math" w:hAnsi="Cambria Math"/>
          </w:rPr>
          <m:t>∆HH</m:t>
        </m:r>
      </m:oMath>
      <w:r w:rsidRPr="00475BDA">
        <w:rPr>
          <w:rFonts w:ascii="ITC Avant Garde" w:hAnsi="ITC Avant Garde"/>
        </w:rPr>
        <w:t xml:space="preserve">) como una medida del cambio en el grado de concentración en el mercado derivado de la misma. La </w:t>
      </w:r>
      <m:oMath>
        <m:r>
          <m:rPr>
            <m:sty m:val="p"/>
          </m:rPr>
          <w:rPr>
            <w:rFonts w:ascii="Cambria Math" w:hAnsi="Cambria Math"/>
          </w:rPr>
          <m:t>∆HH</m:t>
        </m:r>
      </m:oMath>
      <w:r w:rsidRPr="00475BDA">
        <w:rPr>
          <w:rFonts w:ascii="ITC Avant Garde" w:hAnsi="ITC Avant Garde"/>
        </w:rPr>
        <w:t xml:space="preserve"> se calculará como la diferencia aritmética del valor del IHH después (</w:t>
      </w:r>
      <m:oMath>
        <m:r>
          <w:rPr>
            <w:rFonts w:ascii="Cambria Math" w:hAnsi="Cambria Math"/>
          </w:rPr>
          <m:t>I</m:t>
        </m:r>
        <m:sSub>
          <m:sSubPr>
            <m:ctrlPr>
              <w:rPr>
                <w:rFonts w:ascii="Cambria Math" w:hAnsi="Cambria Math"/>
              </w:rPr>
            </m:ctrlPr>
          </m:sSubPr>
          <m:e>
            <m:r>
              <w:rPr>
                <w:rFonts w:ascii="Cambria Math" w:hAnsi="Cambria Math"/>
              </w:rPr>
              <m:t>HH</m:t>
            </m:r>
          </m:e>
          <m:sub>
            <m:r>
              <w:rPr>
                <w:rFonts w:ascii="Cambria Math" w:hAnsi="Cambria Math"/>
              </w:rPr>
              <m:t>D</m:t>
            </m:r>
          </m:sub>
        </m:sSub>
      </m:oMath>
      <w:r w:rsidRPr="00475BDA">
        <w:rPr>
          <w:rFonts w:ascii="ITC Avant Garde" w:hAnsi="ITC Avant Garde"/>
        </w:rPr>
        <w:t>) y antes (</w:t>
      </w:r>
      <m:oMath>
        <m:r>
          <w:rPr>
            <w:rFonts w:ascii="Cambria Math" w:hAnsi="Cambria Math"/>
          </w:rPr>
          <m:t>I</m:t>
        </m:r>
        <m:sSub>
          <m:sSubPr>
            <m:ctrlPr>
              <w:rPr>
                <w:rFonts w:ascii="Cambria Math" w:hAnsi="Cambria Math"/>
              </w:rPr>
            </m:ctrlPr>
          </m:sSubPr>
          <m:e>
            <m:r>
              <w:rPr>
                <w:rFonts w:ascii="Cambria Math" w:hAnsi="Cambria Math"/>
              </w:rPr>
              <m:t>HH</m:t>
            </m:r>
          </m:e>
          <m:sub>
            <m:r>
              <w:rPr>
                <w:rFonts w:ascii="Cambria Math" w:hAnsi="Cambria Math"/>
              </w:rPr>
              <m:t>A</m:t>
            </m:r>
          </m:sub>
        </m:sSub>
      </m:oMath>
      <w:r w:rsidRPr="00475BDA">
        <w:rPr>
          <w:rFonts w:ascii="ITC Avant Garde" w:hAnsi="ITC Avant Garde"/>
        </w:rPr>
        <w:t xml:space="preserve">) de que se lleve a cabo la </w:t>
      </w:r>
      <w:r w:rsidR="009C545F" w:rsidRPr="00475BDA">
        <w:rPr>
          <w:rFonts w:ascii="ITC Avant Garde" w:hAnsi="ITC Avant Garde"/>
        </w:rPr>
        <w:t>concentración</w:t>
      </w:r>
      <w:r w:rsidRPr="00475BDA">
        <w:rPr>
          <w:rFonts w:ascii="ITC Avant Garde" w:hAnsi="ITC Avant Garde"/>
        </w:rPr>
        <w:t xml:space="preserve">. </w:t>
      </w:r>
    </w:p>
    <w:p w14:paraId="05B9B17D" w14:textId="0758C1F2" w:rsidR="001A5DA3" w:rsidRPr="000045D9" w:rsidRDefault="001A5DA3" w:rsidP="001A5DA3">
      <w:pPr>
        <w:shd w:val="clear" w:color="auto" w:fill="FFFFFF"/>
        <w:spacing w:before="120" w:after="120"/>
        <w:ind w:right="-1"/>
        <w:jc w:val="both"/>
        <w:rPr>
          <w:rFonts w:ascii="ITC Avant Garde" w:hAnsi="ITC Avant Garde"/>
          <w:color w:val="000000"/>
        </w:rPr>
      </w:pPr>
      <w:r w:rsidRPr="000045D9">
        <w:rPr>
          <w:rFonts w:ascii="ITC Avant Garde" w:hAnsi="ITC Avant Garde"/>
          <w:color w:val="000000"/>
        </w:rPr>
        <w:t xml:space="preserve">En el cálculo del </w:t>
      </w:r>
      <m:oMath>
        <m:r>
          <w:rPr>
            <w:rFonts w:ascii="Cambria Math" w:hAnsi="Cambria Math"/>
            <w:color w:val="000000"/>
          </w:rPr>
          <m:t>I</m:t>
        </m:r>
        <m:sSub>
          <m:sSubPr>
            <m:ctrlPr>
              <w:rPr>
                <w:rFonts w:ascii="Cambria Math" w:hAnsi="Cambria Math"/>
                <w:i/>
                <w:color w:val="000000"/>
              </w:rPr>
            </m:ctrlPr>
          </m:sSubPr>
          <m:e>
            <m:r>
              <w:rPr>
                <w:rFonts w:ascii="Cambria Math" w:hAnsi="Cambria Math"/>
                <w:color w:val="000000"/>
              </w:rPr>
              <m:t>HH</m:t>
            </m:r>
          </m:e>
          <m:sub>
            <m:r>
              <w:rPr>
                <w:rFonts w:ascii="Cambria Math" w:hAnsi="Cambria Math"/>
                <w:color w:val="000000"/>
              </w:rPr>
              <m:t>D</m:t>
            </m:r>
          </m:sub>
        </m:sSub>
      </m:oMath>
      <w:r w:rsidRPr="000045D9">
        <w:rPr>
          <w:rFonts w:ascii="ITC Avant Garde" w:hAnsi="ITC Avant Garde"/>
          <w:color w:val="000000"/>
        </w:rPr>
        <w:t xml:space="preserve"> se considera la participación que tendría el agente económico resultante de la </w:t>
      </w:r>
      <w:r w:rsidR="009C545F">
        <w:rPr>
          <w:rFonts w:ascii="ITC Avant Garde" w:hAnsi="ITC Avant Garde"/>
          <w:color w:val="000000"/>
        </w:rPr>
        <w:t>concentración</w:t>
      </w:r>
      <w:r w:rsidRPr="000045D9">
        <w:rPr>
          <w:rFonts w:ascii="ITC Avant Garde" w:hAnsi="ITC Avant Garde"/>
          <w:color w:val="000000"/>
        </w:rPr>
        <w:t xml:space="preserve">, mientras que en el cálculo del </w:t>
      </w:r>
      <m:oMath>
        <m:r>
          <w:rPr>
            <w:rFonts w:ascii="Cambria Math" w:hAnsi="Cambria Math"/>
            <w:color w:val="000000"/>
          </w:rPr>
          <m:t>I</m:t>
        </m:r>
        <m:sSub>
          <m:sSubPr>
            <m:ctrlPr>
              <w:rPr>
                <w:rFonts w:ascii="Cambria Math" w:hAnsi="Cambria Math"/>
                <w:i/>
                <w:color w:val="000000"/>
              </w:rPr>
            </m:ctrlPr>
          </m:sSubPr>
          <m:e>
            <m:r>
              <w:rPr>
                <w:rFonts w:ascii="Cambria Math" w:hAnsi="Cambria Math"/>
                <w:color w:val="000000"/>
              </w:rPr>
              <m:t>HH</m:t>
            </m:r>
          </m:e>
          <m:sub>
            <m:r>
              <w:rPr>
                <w:rFonts w:ascii="Cambria Math" w:hAnsi="Cambria Math"/>
                <w:color w:val="000000"/>
              </w:rPr>
              <m:t>A</m:t>
            </m:r>
          </m:sub>
        </m:sSub>
      </m:oMath>
      <w:r w:rsidRPr="000045D9">
        <w:rPr>
          <w:rFonts w:ascii="ITC Avant Garde" w:hAnsi="ITC Avant Garde"/>
          <w:color w:val="000000"/>
        </w:rPr>
        <w:t xml:space="preserve"> se consideran las participaciones por separado de cada uno de los agentes económicos </w:t>
      </w:r>
      <w:r>
        <w:rPr>
          <w:rFonts w:ascii="ITC Avant Garde" w:hAnsi="ITC Avant Garde"/>
          <w:color w:val="000000"/>
        </w:rPr>
        <w:t>involucrados.</w:t>
      </w:r>
      <w:r w:rsidRPr="000045D9">
        <w:rPr>
          <w:rFonts w:ascii="ITC Avant Garde" w:hAnsi="ITC Avant Garde"/>
          <w:color w:val="000000"/>
        </w:rPr>
        <w:t xml:space="preserve"> </w:t>
      </w:r>
      <w:r>
        <w:rPr>
          <w:rFonts w:ascii="ITC Avant Garde" w:hAnsi="ITC Avant Garde"/>
          <w:color w:val="000000"/>
        </w:rPr>
        <w:t>E</w:t>
      </w:r>
      <w:r w:rsidRPr="000045D9">
        <w:rPr>
          <w:rFonts w:ascii="ITC Avant Garde" w:hAnsi="ITC Avant Garde"/>
          <w:color w:val="000000"/>
        </w:rPr>
        <w:t xml:space="preserve">n ambos casos, las participaciones de los agentes económicos no involucrados en la </w:t>
      </w:r>
      <w:r w:rsidR="009C545F">
        <w:rPr>
          <w:rFonts w:ascii="ITC Avant Garde" w:hAnsi="ITC Avant Garde"/>
          <w:color w:val="000000"/>
        </w:rPr>
        <w:t>concentración</w:t>
      </w:r>
      <w:r w:rsidR="009C545F" w:rsidRPr="000045D9">
        <w:rPr>
          <w:rFonts w:ascii="ITC Avant Garde" w:hAnsi="ITC Avant Garde"/>
          <w:color w:val="000000"/>
        </w:rPr>
        <w:t xml:space="preserve"> </w:t>
      </w:r>
      <w:r w:rsidRPr="000045D9">
        <w:rPr>
          <w:rFonts w:ascii="ITC Avant Garde" w:hAnsi="ITC Avant Garde"/>
          <w:color w:val="000000"/>
        </w:rPr>
        <w:t>se mantienen sin variación.</w:t>
      </w:r>
    </w:p>
    <w:p w14:paraId="3FDAC028" w14:textId="77777777" w:rsidR="001A5DA3" w:rsidRPr="000045D9" w:rsidRDefault="001A5DA3" w:rsidP="001A5DA3">
      <w:pPr>
        <w:shd w:val="clear" w:color="auto" w:fill="FFFFFF"/>
        <w:spacing w:before="120" w:after="120"/>
        <w:ind w:right="-1"/>
        <w:jc w:val="both"/>
        <w:rPr>
          <w:rFonts w:ascii="ITC Avant Garde" w:hAnsi="ITC Avant Garde"/>
          <w:color w:val="000000"/>
        </w:rPr>
      </w:pPr>
      <w:r w:rsidRPr="000045D9">
        <w:rPr>
          <w:rFonts w:ascii="ITC Avant Garde" w:hAnsi="ITC Avant Garde"/>
          <w:color w:val="000000"/>
        </w:rPr>
        <w:lastRenderedPageBreak/>
        <w:t xml:space="preserve">Por ejemplo, en el caso particular de que 2 (dos) agentes económicos con participaciones </w:t>
      </w:r>
      <m:oMath>
        <m:sSub>
          <m:sSubPr>
            <m:ctrlPr>
              <w:rPr>
                <w:rFonts w:ascii="Cambria Math" w:hAnsi="Cambria Math"/>
                <w:i/>
                <w:color w:val="000000"/>
              </w:rPr>
            </m:ctrlPr>
          </m:sSubPr>
          <m:e>
            <m:r>
              <w:rPr>
                <w:rFonts w:ascii="Cambria Math" w:hAnsi="Cambria Math"/>
                <w:color w:val="000000"/>
              </w:rPr>
              <m:t>α</m:t>
            </m:r>
          </m:e>
          <m:sub>
            <m:r>
              <w:rPr>
                <w:rFonts w:ascii="Cambria Math" w:hAnsi="Cambria Math"/>
                <w:color w:val="000000"/>
              </w:rPr>
              <m:t>1</m:t>
            </m:r>
          </m:sub>
        </m:sSub>
      </m:oMath>
      <w:r w:rsidRPr="000045D9">
        <w:rPr>
          <w:rFonts w:ascii="ITC Avant Garde" w:hAnsi="ITC Avant Garde"/>
          <w:color w:val="000000"/>
        </w:rPr>
        <w:t xml:space="preserve"> y </w:t>
      </w:r>
      <m:oMath>
        <m:sSub>
          <m:sSubPr>
            <m:ctrlPr>
              <w:rPr>
                <w:rFonts w:ascii="Cambria Math" w:hAnsi="Cambria Math"/>
                <w:i/>
                <w:color w:val="000000"/>
              </w:rPr>
            </m:ctrlPr>
          </m:sSubPr>
          <m:e>
            <m:r>
              <w:rPr>
                <w:rFonts w:ascii="Cambria Math" w:hAnsi="Cambria Math"/>
                <w:color w:val="000000"/>
              </w:rPr>
              <m:t>α</m:t>
            </m:r>
          </m:e>
          <m:sub>
            <m:r>
              <w:rPr>
                <w:rFonts w:ascii="Cambria Math" w:hAnsi="Cambria Math"/>
                <w:color w:val="000000"/>
              </w:rPr>
              <m:t>2</m:t>
            </m:r>
          </m:sub>
        </m:sSub>
      </m:oMath>
      <w:r w:rsidRPr="000045D9">
        <w:rPr>
          <w:rFonts w:ascii="ITC Avant Garde" w:hAnsi="ITC Avant Garde"/>
          <w:color w:val="000000"/>
        </w:rPr>
        <w:t xml:space="preserve"> </w:t>
      </w:r>
      <w:r>
        <w:rPr>
          <w:rFonts w:ascii="ITC Avant Garde" w:hAnsi="ITC Avant Garde"/>
          <w:color w:val="000000"/>
        </w:rPr>
        <w:t>propusieran una</w:t>
      </w:r>
      <w:r w:rsidRPr="000045D9">
        <w:rPr>
          <w:rFonts w:ascii="ITC Avant Garde" w:hAnsi="ITC Avant Garde"/>
          <w:color w:val="000000"/>
        </w:rPr>
        <w:t xml:space="preserve"> concentra</w:t>
      </w:r>
      <w:r>
        <w:rPr>
          <w:rFonts w:ascii="ITC Avant Garde" w:hAnsi="ITC Avant Garde"/>
          <w:color w:val="000000"/>
        </w:rPr>
        <w:t>ción</w:t>
      </w:r>
      <w:r w:rsidRPr="000045D9">
        <w:rPr>
          <w:rFonts w:ascii="ITC Avant Garde" w:hAnsi="ITC Avant Garde"/>
          <w:color w:val="000000"/>
        </w:rPr>
        <w:t xml:space="preserve">, la variación del </w:t>
      </w:r>
      <w:r>
        <w:rPr>
          <w:rFonts w:ascii="ITC Avant Garde" w:hAnsi="ITC Avant Garde"/>
          <w:color w:val="000000"/>
        </w:rPr>
        <w:t>IHH</w:t>
      </w:r>
      <w:r w:rsidRPr="000045D9">
        <w:rPr>
          <w:rFonts w:ascii="ITC Avant Garde" w:hAnsi="ITC Avant Garde"/>
          <w:color w:val="000000"/>
        </w:rPr>
        <w:t xml:space="preserve"> (</w:t>
      </w:r>
      <m:oMath>
        <m:r>
          <w:rPr>
            <w:rFonts w:ascii="Cambria Math" w:hAnsi="Cambria Math"/>
            <w:color w:val="000000"/>
          </w:rPr>
          <m:t>∆HH</m:t>
        </m:r>
      </m:oMath>
      <w:r w:rsidRPr="000045D9">
        <w:rPr>
          <w:rFonts w:ascii="ITC Avant Garde" w:hAnsi="ITC Avant Garde"/>
          <w:color w:val="000000"/>
        </w:rPr>
        <w:t>) se calcularía como sigue:</w:t>
      </w:r>
    </w:p>
    <w:p w14:paraId="460A9DC4" w14:textId="77777777" w:rsidR="001A5DA3" w:rsidRPr="000045D9" w:rsidRDefault="001A5DA3" w:rsidP="001A5DA3">
      <w:pPr>
        <w:shd w:val="clear" w:color="auto" w:fill="FFFFFF"/>
        <w:spacing w:before="120" w:after="120"/>
        <w:ind w:right="-1"/>
        <w:jc w:val="both"/>
        <w:rPr>
          <w:rFonts w:ascii="ITC Avant Garde" w:eastAsiaTheme="minorEastAsia" w:hAnsi="ITC Avant Garde"/>
          <w:color w:val="000000"/>
        </w:rPr>
      </w:pPr>
      <m:oMathPara>
        <m:oMathParaPr>
          <m:jc m:val="left"/>
        </m:oMathParaPr>
        <m:oMath>
          <m:r>
            <w:rPr>
              <w:rFonts w:ascii="Cambria Math" w:hAnsi="Cambria Math"/>
              <w:color w:val="000000"/>
            </w:rPr>
            <m:t xml:space="preserve">∆HH =                                                            </m:t>
          </m:r>
          <m:sSub>
            <m:sSubPr>
              <m:ctrlPr>
                <w:rPr>
                  <w:rFonts w:ascii="Cambria Math" w:hAnsi="Cambria Math"/>
                  <w:i/>
                  <w:color w:val="000000"/>
                </w:rPr>
              </m:ctrlPr>
            </m:sSubPr>
            <m:e>
              <m:r>
                <w:rPr>
                  <w:rFonts w:ascii="Cambria Math" w:hAnsi="Cambria Math"/>
                  <w:color w:val="000000"/>
                </w:rPr>
                <m:t>IHH</m:t>
              </m:r>
            </m:e>
            <m:sub>
              <m:r>
                <w:rPr>
                  <w:rFonts w:ascii="Cambria Math" w:hAnsi="Cambria Math"/>
                  <w:color w:val="000000"/>
                </w:rPr>
                <m:t>D</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IHH</m:t>
              </m:r>
            </m:e>
            <m:sub>
              <m:r>
                <w:rPr>
                  <w:rFonts w:ascii="Cambria Math" w:hAnsi="Cambria Math"/>
                  <w:color w:val="000000"/>
                </w:rPr>
                <m:t>A</m:t>
              </m:r>
            </m:sub>
          </m:sSub>
        </m:oMath>
      </m:oMathPara>
    </w:p>
    <w:p w14:paraId="20533CE0" w14:textId="77777777" w:rsidR="001A5DA3" w:rsidRPr="000045D9" w:rsidRDefault="001A5DA3" w:rsidP="001A5DA3">
      <w:pPr>
        <w:shd w:val="clear" w:color="auto" w:fill="FFFFFF"/>
        <w:spacing w:before="120" w:after="120"/>
        <w:ind w:right="-1"/>
        <w:jc w:val="both"/>
        <w:rPr>
          <w:rFonts w:ascii="ITC Avant Garde" w:eastAsiaTheme="minorEastAsia" w:hAnsi="ITC Avant Garde"/>
          <w:color w:val="000000"/>
        </w:rPr>
      </w:pPr>
    </w:p>
    <w:p w14:paraId="34531A98" w14:textId="77777777" w:rsidR="001A5DA3" w:rsidRPr="000045D9" w:rsidRDefault="001A5DA3" w:rsidP="001A5DA3">
      <w:pPr>
        <w:shd w:val="clear" w:color="auto" w:fill="FFFFFF"/>
        <w:spacing w:before="120" w:after="120"/>
        <w:ind w:left="567" w:right="-1"/>
        <w:jc w:val="both"/>
        <w:rPr>
          <w:rFonts w:ascii="ITC Avant Garde" w:eastAsiaTheme="minorEastAsia" w:hAnsi="ITC Avant Garde"/>
          <w:color w:val="000000"/>
        </w:rPr>
      </w:pPr>
      <m:oMathPara>
        <m:oMathParaPr>
          <m:jc m:val="left"/>
        </m:oMathParaPr>
        <m:oMath>
          <m:r>
            <w:rPr>
              <w:rFonts w:ascii="Cambria Math" w:eastAsiaTheme="minorEastAsia" w:hAnsi="Cambria Math"/>
              <w:color w:val="000000"/>
            </w:rPr>
            <m:t xml:space="preserve">=                </m:t>
          </m:r>
          <m:d>
            <m:dPr>
              <m:begChr m:val="["/>
              <m:endChr m:val="]"/>
              <m:ctrlPr>
                <w:rPr>
                  <w:rFonts w:ascii="Cambria Math" w:hAnsi="Cambria Math"/>
                  <w:i/>
                  <w:color w:val="000000"/>
                </w:rPr>
              </m:ctrlPr>
            </m:dPr>
            <m:e>
              <m:sSup>
                <m:sSupPr>
                  <m:ctrlPr>
                    <w:rPr>
                      <w:rFonts w:ascii="Cambria Math" w:hAnsi="Cambria Math"/>
                      <w:i/>
                      <w:color w:val="000000"/>
                    </w:rPr>
                  </m:ctrlPr>
                </m:sSupPr>
                <m:e>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α</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α</m:t>
                          </m:r>
                        </m:e>
                        <m:sub>
                          <m:r>
                            <w:rPr>
                              <w:rFonts w:ascii="Cambria Math" w:hAnsi="Cambria Math"/>
                              <w:color w:val="000000"/>
                            </w:rPr>
                            <m:t>2</m:t>
                          </m:r>
                        </m:sub>
                      </m:sSub>
                    </m:e>
                  </m:d>
                </m:e>
                <m:sup>
                  <m:r>
                    <w:rPr>
                      <w:rFonts w:ascii="Cambria Math" w:hAnsi="Cambria Math"/>
                      <w:color w:val="000000"/>
                    </w:rPr>
                    <m:t>2</m:t>
                  </m:r>
                </m:sup>
              </m:s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α</m:t>
                  </m:r>
                </m:e>
                <m:sub>
                  <m:r>
                    <w:rPr>
                      <w:rFonts w:ascii="Cambria Math" w:hAnsi="Cambria Math"/>
                      <w:color w:val="000000"/>
                    </w:rPr>
                    <m:t>3</m:t>
                  </m:r>
                </m:sub>
                <m:sup>
                  <m:r>
                    <w:rPr>
                      <w:rFonts w:ascii="Cambria Math" w:hAnsi="Cambria Math"/>
                      <w:color w:val="000000"/>
                    </w:rPr>
                    <m:t>2</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α</m:t>
                  </m:r>
                </m:e>
                <m:sub>
                  <m:r>
                    <w:rPr>
                      <w:rFonts w:ascii="Cambria Math" w:hAnsi="Cambria Math"/>
                      <w:color w:val="000000"/>
                    </w:rPr>
                    <m:t>N</m:t>
                  </m:r>
                </m:sub>
                <m:sup>
                  <m:r>
                    <w:rPr>
                      <w:rFonts w:ascii="Cambria Math" w:hAnsi="Cambria Math"/>
                      <w:color w:val="000000"/>
                    </w:rPr>
                    <m:t>2</m:t>
                  </m:r>
                </m:sup>
              </m:sSubSup>
            </m:e>
          </m:d>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α</m:t>
              </m:r>
            </m:e>
            <m:sub>
              <m:r>
                <w:rPr>
                  <w:rFonts w:ascii="Cambria Math" w:hAnsi="Cambria Math"/>
                  <w:color w:val="000000"/>
                </w:rPr>
                <m:t>1</m:t>
              </m:r>
            </m:sub>
            <m:sup>
              <m:r>
                <w:rPr>
                  <w:rFonts w:ascii="Cambria Math" w:hAnsi="Cambria Math"/>
                  <w:color w:val="000000"/>
                </w:rPr>
                <m:t>2</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α</m:t>
              </m:r>
            </m:e>
            <m:sub>
              <m:r>
                <w:rPr>
                  <w:rFonts w:ascii="Cambria Math" w:hAnsi="Cambria Math"/>
                  <w:color w:val="000000"/>
                </w:rPr>
                <m:t>2</m:t>
              </m:r>
            </m:sub>
            <m:sup>
              <m:r>
                <w:rPr>
                  <w:rFonts w:ascii="Cambria Math" w:hAnsi="Cambria Math"/>
                  <w:color w:val="000000"/>
                </w:rPr>
                <m:t>2</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α</m:t>
              </m:r>
            </m:e>
            <m:sub>
              <m:r>
                <w:rPr>
                  <w:rFonts w:ascii="Cambria Math" w:hAnsi="Cambria Math"/>
                  <w:color w:val="000000"/>
                </w:rPr>
                <m:t>3</m:t>
              </m:r>
            </m:sub>
            <m:sup>
              <m:r>
                <w:rPr>
                  <w:rFonts w:ascii="Cambria Math" w:hAnsi="Cambria Math"/>
                  <w:color w:val="000000"/>
                </w:rPr>
                <m:t>2</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α</m:t>
              </m:r>
            </m:e>
            <m:sub>
              <m:r>
                <w:rPr>
                  <w:rFonts w:ascii="Cambria Math" w:hAnsi="Cambria Math"/>
                  <w:color w:val="000000"/>
                </w:rPr>
                <m:t>N</m:t>
              </m:r>
            </m:sub>
            <m:sup>
              <m:r>
                <w:rPr>
                  <w:rFonts w:ascii="Cambria Math" w:hAnsi="Cambria Math"/>
                  <w:color w:val="000000"/>
                </w:rPr>
                <m:t>2</m:t>
              </m:r>
            </m:sup>
          </m:sSubSup>
          <m:r>
            <w:rPr>
              <w:rFonts w:ascii="Cambria Math" w:hAnsi="Cambria Math"/>
              <w:color w:val="000000"/>
            </w:rPr>
            <m:t>]</m:t>
          </m:r>
        </m:oMath>
      </m:oMathPara>
    </w:p>
    <w:p w14:paraId="732FFC0D" w14:textId="77777777" w:rsidR="001A5DA3" w:rsidRPr="000045D9" w:rsidRDefault="001A5DA3" w:rsidP="001A5DA3">
      <w:pPr>
        <w:shd w:val="clear" w:color="auto" w:fill="FFFFFF"/>
        <w:spacing w:before="120" w:after="120"/>
        <w:ind w:left="567" w:right="-1"/>
        <w:jc w:val="both"/>
        <w:rPr>
          <w:rFonts w:ascii="ITC Avant Garde" w:eastAsiaTheme="minorEastAsia" w:hAnsi="ITC Avant Garde"/>
          <w:color w:val="000000"/>
        </w:rPr>
      </w:pPr>
    </w:p>
    <w:p w14:paraId="12E57FD4" w14:textId="77777777" w:rsidR="001A5DA3" w:rsidRPr="000045D9" w:rsidRDefault="001A5DA3" w:rsidP="001A5DA3">
      <w:pPr>
        <w:shd w:val="clear" w:color="auto" w:fill="FFFFFF"/>
        <w:spacing w:before="120" w:after="120"/>
        <w:ind w:left="567" w:right="-1"/>
        <w:jc w:val="both"/>
        <w:rPr>
          <w:rFonts w:ascii="ITC Avant Garde" w:eastAsiaTheme="minorEastAsia" w:hAnsi="ITC Avant Garde"/>
          <w:color w:val="000000"/>
        </w:rPr>
      </w:pPr>
      <m:oMathPara>
        <m:oMathParaPr>
          <m:jc m:val="left"/>
        </m:oMathParaPr>
        <m:oMath>
          <m:r>
            <w:rPr>
              <w:rFonts w:ascii="Cambria Math" w:hAnsi="Cambria Math"/>
              <w:color w:val="000000"/>
            </w:rPr>
            <m:t>=</m:t>
          </m:r>
          <m:d>
            <m:dPr>
              <m:begChr m:val="["/>
              <m:endChr m:val="]"/>
              <m:ctrlPr>
                <w:rPr>
                  <w:rFonts w:ascii="Cambria Math" w:hAnsi="Cambria Math"/>
                  <w:i/>
                  <w:color w:val="000000"/>
                </w:rPr>
              </m:ctrlPr>
            </m:dPr>
            <m:e>
              <m:sSubSup>
                <m:sSubSupPr>
                  <m:ctrlPr>
                    <w:rPr>
                      <w:rFonts w:ascii="Cambria Math" w:hAnsi="Cambria Math"/>
                      <w:i/>
                      <w:color w:val="000000"/>
                    </w:rPr>
                  </m:ctrlPr>
                </m:sSubSupPr>
                <m:e>
                  <m:r>
                    <w:rPr>
                      <w:rFonts w:ascii="Cambria Math" w:hAnsi="Cambria Math"/>
                      <w:color w:val="000000"/>
                    </w:rPr>
                    <m:t>(α</m:t>
                  </m:r>
                </m:e>
                <m:sub>
                  <m:r>
                    <w:rPr>
                      <w:rFonts w:ascii="Cambria Math" w:hAnsi="Cambria Math"/>
                      <w:color w:val="000000"/>
                    </w:rPr>
                    <m:t>1</m:t>
                  </m:r>
                </m:sub>
                <m:sup>
                  <m:r>
                    <w:rPr>
                      <w:rFonts w:ascii="Cambria Math" w:hAnsi="Cambria Math"/>
                      <w:color w:val="000000"/>
                    </w:rPr>
                    <m:t>2</m:t>
                  </m:r>
                </m:sup>
              </m:sSubSup>
              <m:r>
                <w:rPr>
                  <w:rFonts w:ascii="Cambria Math" w:hAnsi="Cambria Math"/>
                  <w:color w:val="000000"/>
                </w:rPr>
                <m:t>+2</m:t>
              </m:r>
              <m:sSub>
                <m:sSubPr>
                  <m:ctrlPr>
                    <w:rPr>
                      <w:rFonts w:ascii="Cambria Math" w:hAnsi="Cambria Math"/>
                      <w:i/>
                      <w:color w:val="000000"/>
                    </w:rPr>
                  </m:ctrlPr>
                </m:sSubPr>
                <m:e>
                  <m:r>
                    <w:rPr>
                      <w:rFonts w:ascii="Cambria Math" w:hAnsi="Cambria Math"/>
                      <w:color w:val="000000"/>
                    </w:rPr>
                    <m:t>α</m:t>
                  </m:r>
                </m:e>
                <m:sub>
                  <m:r>
                    <w:rPr>
                      <w:rFonts w:ascii="Cambria Math" w:hAnsi="Cambria Math"/>
                      <w:color w:val="000000"/>
                    </w:rPr>
                    <m:t>1</m:t>
                  </m:r>
                </m:sub>
              </m:sSub>
              <m:sSub>
                <m:sSubPr>
                  <m:ctrlPr>
                    <w:rPr>
                      <w:rFonts w:ascii="Cambria Math" w:hAnsi="Cambria Math"/>
                      <w:i/>
                      <w:color w:val="000000"/>
                    </w:rPr>
                  </m:ctrlPr>
                </m:sSubPr>
                <m:e>
                  <m:r>
                    <w:rPr>
                      <w:rFonts w:ascii="Cambria Math" w:hAnsi="Cambria Math"/>
                      <w:color w:val="000000"/>
                    </w:rPr>
                    <m:t>α</m:t>
                  </m:r>
                </m:e>
                <m:sub>
                  <m:r>
                    <w:rPr>
                      <w:rFonts w:ascii="Cambria Math" w:hAnsi="Cambria Math"/>
                      <w:color w:val="000000"/>
                    </w:rPr>
                    <m:t xml:space="preserve">2 </m:t>
                  </m:r>
                </m:sub>
              </m:sSub>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α</m:t>
                  </m:r>
                </m:e>
                <m:sub>
                  <m:r>
                    <w:rPr>
                      <w:rFonts w:ascii="Cambria Math" w:hAnsi="Cambria Math"/>
                      <w:color w:val="000000"/>
                    </w:rPr>
                    <m:t>2</m:t>
                  </m:r>
                </m:sub>
                <m:sup>
                  <m:r>
                    <w:rPr>
                      <w:rFonts w:ascii="Cambria Math" w:hAnsi="Cambria Math"/>
                      <w:color w:val="000000"/>
                    </w:rPr>
                    <m:t>2</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α</m:t>
                  </m:r>
                </m:e>
                <m:sub>
                  <m:r>
                    <w:rPr>
                      <w:rFonts w:ascii="Cambria Math" w:hAnsi="Cambria Math"/>
                      <w:color w:val="000000"/>
                    </w:rPr>
                    <m:t>3</m:t>
                  </m:r>
                </m:sub>
                <m:sup>
                  <m:r>
                    <w:rPr>
                      <w:rFonts w:ascii="Cambria Math" w:hAnsi="Cambria Math"/>
                      <w:color w:val="000000"/>
                    </w:rPr>
                    <m:t>2</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α</m:t>
                  </m:r>
                </m:e>
                <m:sub>
                  <m:r>
                    <w:rPr>
                      <w:rFonts w:ascii="Cambria Math" w:hAnsi="Cambria Math"/>
                      <w:color w:val="000000"/>
                    </w:rPr>
                    <m:t>N</m:t>
                  </m:r>
                </m:sub>
                <m:sup>
                  <m:r>
                    <w:rPr>
                      <w:rFonts w:ascii="Cambria Math" w:hAnsi="Cambria Math"/>
                      <w:color w:val="000000"/>
                    </w:rPr>
                    <m:t>2</m:t>
                  </m:r>
                </m:sup>
              </m:sSubSup>
            </m:e>
          </m:d>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α</m:t>
              </m:r>
            </m:e>
            <m:sub>
              <m:r>
                <w:rPr>
                  <w:rFonts w:ascii="Cambria Math" w:hAnsi="Cambria Math"/>
                  <w:color w:val="000000"/>
                </w:rPr>
                <m:t>1</m:t>
              </m:r>
            </m:sub>
            <m:sup>
              <m:r>
                <w:rPr>
                  <w:rFonts w:ascii="Cambria Math" w:hAnsi="Cambria Math"/>
                  <w:color w:val="000000"/>
                </w:rPr>
                <m:t>2</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α</m:t>
              </m:r>
            </m:e>
            <m:sub>
              <m:r>
                <w:rPr>
                  <w:rFonts w:ascii="Cambria Math" w:hAnsi="Cambria Math"/>
                  <w:color w:val="000000"/>
                </w:rPr>
                <m:t>2</m:t>
              </m:r>
            </m:sub>
            <m:sup>
              <m:r>
                <w:rPr>
                  <w:rFonts w:ascii="Cambria Math" w:hAnsi="Cambria Math"/>
                  <w:color w:val="000000"/>
                </w:rPr>
                <m:t>2</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α</m:t>
              </m:r>
            </m:e>
            <m:sub>
              <m:r>
                <w:rPr>
                  <w:rFonts w:ascii="Cambria Math" w:hAnsi="Cambria Math"/>
                  <w:color w:val="000000"/>
                </w:rPr>
                <m:t>3</m:t>
              </m:r>
            </m:sub>
            <m:sup>
              <m:r>
                <w:rPr>
                  <w:rFonts w:ascii="Cambria Math" w:hAnsi="Cambria Math"/>
                  <w:color w:val="000000"/>
                </w:rPr>
                <m:t>2</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α</m:t>
              </m:r>
            </m:e>
            <m:sub>
              <m:r>
                <w:rPr>
                  <w:rFonts w:ascii="Cambria Math" w:hAnsi="Cambria Math"/>
                  <w:color w:val="000000"/>
                </w:rPr>
                <m:t>N</m:t>
              </m:r>
            </m:sub>
            <m:sup>
              <m:r>
                <w:rPr>
                  <w:rFonts w:ascii="Cambria Math" w:hAnsi="Cambria Math"/>
                  <w:color w:val="000000"/>
                </w:rPr>
                <m:t>2</m:t>
              </m:r>
            </m:sup>
          </m:sSubSup>
          <m:r>
            <w:rPr>
              <w:rFonts w:ascii="Cambria Math" w:hAnsi="Cambria Math"/>
              <w:color w:val="000000"/>
            </w:rPr>
            <m:t>]</m:t>
          </m:r>
        </m:oMath>
      </m:oMathPara>
    </w:p>
    <w:p w14:paraId="09659A4C" w14:textId="77777777" w:rsidR="001A5DA3" w:rsidRPr="000045D9" w:rsidRDefault="001A5DA3" w:rsidP="001A5DA3">
      <w:pPr>
        <w:shd w:val="clear" w:color="auto" w:fill="FFFFFF"/>
        <w:spacing w:before="120" w:after="120"/>
        <w:ind w:left="567" w:right="-1"/>
        <w:jc w:val="both"/>
        <w:rPr>
          <w:rFonts w:ascii="ITC Avant Garde" w:eastAsiaTheme="minorEastAsia" w:hAnsi="ITC Avant Garde"/>
          <w:color w:val="000000"/>
        </w:rPr>
      </w:pPr>
    </w:p>
    <w:p w14:paraId="19DD0484" w14:textId="77777777" w:rsidR="001A5DA3" w:rsidRPr="000045D9" w:rsidRDefault="001A5DA3" w:rsidP="001A5DA3">
      <w:pPr>
        <w:shd w:val="clear" w:color="auto" w:fill="FFFFFF"/>
        <w:spacing w:before="120" w:after="120"/>
        <w:ind w:left="567" w:right="-1"/>
        <w:jc w:val="both"/>
        <w:rPr>
          <w:rFonts w:ascii="ITC Avant Garde" w:hAnsi="ITC Avant Garde"/>
        </w:rPr>
      </w:pPr>
      <m:oMathPara>
        <m:oMathParaPr>
          <m:jc m:val="left"/>
        </m:oMathParaPr>
        <m:oMath>
          <m:r>
            <w:rPr>
              <w:rFonts w:ascii="Cambria Math" w:hAnsi="Cambria Math"/>
              <w:color w:val="000000"/>
            </w:rPr>
            <m:t>=                                                                    2</m:t>
          </m:r>
          <m:sSub>
            <m:sSubPr>
              <m:ctrlPr>
                <w:rPr>
                  <w:rFonts w:ascii="Cambria Math" w:hAnsi="Cambria Math"/>
                  <w:i/>
                  <w:color w:val="000000"/>
                </w:rPr>
              </m:ctrlPr>
            </m:sSubPr>
            <m:e>
              <m:r>
                <w:rPr>
                  <w:rFonts w:ascii="Cambria Math" w:hAnsi="Cambria Math"/>
                  <w:color w:val="000000"/>
                </w:rPr>
                <m:t>α</m:t>
              </m:r>
            </m:e>
            <m:sub>
              <m:r>
                <w:rPr>
                  <w:rFonts w:ascii="Cambria Math" w:hAnsi="Cambria Math"/>
                  <w:color w:val="000000"/>
                </w:rPr>
                <m:t>1</m:t>
              </m:r>
            </m:sub>
          </m:sSub>
          <m:sSub>
            <m:sSubPr>
              <m:ctrlPr>
                <w:rPr>
                  <w:rFonts w:ascii="Cambria Math" w:hAnsi="Cambria Math"/>
                  <w:i/>
                  <w:color w:val="000000"/>
                </w:rPr>
              </m:ctrlPr>
            </m:sSubPr>
            <m:e>
              <m:r>
                <w:rPr>
                  <w:rFonts w:ascii="Cambria Math" w:hAnsi="Cambria Math"/>
                  <w:color w:val="000000"/>
                </w:rPr>
                <m:t>α</m:t>
              </m:r>
            </m:e>
            <m:sub>
              <m:r>
                <w:rPr>
                  <w:rFonts w:ascii="Cambria Math" w:hAnsi="Cambria Math"/>
                  <w:color w:val="000000"/>
                </w:rPr>
                <m:t xml:space="preserve">2 </m:t>
              </m:r>
            </m:sub>
          </m:sSub>
        </m:oMath>
      </m:oMathPara>
    </w:p>
    <w:p w14:paraId="4F030A8D" w14:textId="77777777" w:rsidR="001A5DA3" w:rsidRPr="00055241" w:rsidRDefault="001A5DA3" w:rsidP="001A5DA3">
      <w:pPr>
        <w:shd w:val="clear" w:color="auto" w:fill="FFFFFF"/>
        <w:spacing w:before="120" w:after="120"/>
        <w:ind w:right="-1"/>
        <w:jc w:val="both"/>
        <w:rPr>
          <w:rFonts w:ascii="ITC Avant Garde" w:hAnsi="ITC Avant Garde"/>
          <w:color w:val="000000"/>
        </w:rPr>
      </w:pPr>
      <w:r w:rsidRPr="00055241">
        <w:rPr>
          <w:rFonts w:ascii="ITC Avant Garde" w:hAnsi="ITC Avant Garde"/>
          <w:color w:val="000000"/>
        </w:rPr>
        <w:t xml:space="preserve">Es decir, para el ejemplo que se presenta, la variación del IHH se puede obtener de la diferencia entre el valor del </w:t>
      </w:r>
      <m:oMath>
        <m:r>
          <w:rPr>
            <w:rFonts w:ascii="Cambria Math" w:hAnsi="Cambria Math"/>
            <w:color w:val="000000"/>
          </w:rPr>
          <m:t>I</m:t>
        </m:r>
        <m:sSub>
          <m:sSubPr>
            <m:ctrlPr>
              <w:rPr>
                <w:rFonts w:ascii="Cambria Math" w:hAnsi="Cambria Math"/>
                <w:i/>
                <w:color w:val="000000"/>
              </w:rPr>
            </m:ctrlPr>
          </m:sSubPr>
          <m:e>
            <m:r>
              <w:rPr>
                <w:rFonts w:ascii="Cambria Math" w:hAnsi="Cambria Math"/>
                <w:color w:val="000000"/>
              </w:rPr>
              <m:t>HH</m:t>
            </m:r>
          </m:e>
          <m:sub>
            <m:r>
              <w:rPr>
                <w:rFonts w:ascii="Cambria Math" w:hAnsi="Cambria Math"/>
                <w:color w:val="000000"/>
              </w:rPr>
              <m:t>D</m:t>
            </m:r>
          </m:sub>
        </m:sSub>
      </m:oMath>
      <w:r w:rsidRPr="00055241">
        <w:rPr>
          <w:rFonts w:ascii="ITC Avant Garde" w:hAnsi="ITC Avant Garde"/>
          <w:color w:val="000000"/>
        </w:rPr>
        <w:t xml:space="preserve"> y del </w:t>
      </w:r>
      <m:oMath>
        <m:r>
          <w:rPr>
            <w:rFonts w:ascii="Cambria Math" w:hAnsi="Cambria Math"/>
            <w:color w:val="000000"/>
          </w:rPr>
          <m:t>I</m:t>
        </m:r>
        <m:sSub>
          <m:sSubPr>
            <m:ctrlPr>
              <w:rPr>
                <w:rFonts w:ascii="Cambria Math" w:hAnsi="Cambria Math"/>
                <w:i/>
                <w:color w:val="000000"/>
              </w:rPr>
            </m:ctrlPr>
          </m:sSubPr>
          <m:e>
            <m:r>
              <w:rPr>
                <w:rFonts w:ascii="Cambria Math" w:hAnsi="Cambria Math"/>
                <w:color w:val="000000"/>
              </w:rPr>
              <m:t>HH</m:t>
            </m:r>
          </m:e>
          <m:sub>
            <m:r>
              <w:rPr>
                <w:rFonts w:ascii="Cambria Math" w:hAnsi="Cambria Math"/>
                <w:color w:val="000000"/>
              </w:rPr>
              <m:t>A</m:t>
            </m:r>
          </m:sub>
        </m:sSub>
      </m:oMath>
      <w:r w:rsidRPr="00055241">
        <w:rPr>
          <w:rFonts w:ascii="ITC Avant Garde" w:eastAsiaTheme="minorEastAsia" w:hAnsi="ITC Avant Garde"/>
          <w:color w:val="000000"/>
        </w:rPr>
        <w:t xml:space="preserve"> o de multiplicar por dos el producto de las participaciones de los </w:t>
      </w:r>
      <w:r w:rsidRPr="00055241">
        <w:rPr>
          <w:rFonts w:ascii="ITC Avant Garde" w:hAnsi="ITC Avant Garde"/>
          <w:color w:val="000000"/>
        </w:rPr>
        <w:t>2 (dos) agentes económicos</w:t>
      </w:r>
      <w:r w:rsidRPr="00055241">
        <w:rPr>
          <w:rFonts w:ascii="ITC Avant Garde" w:eastAsiaTheme="minorEastAsia" w:hAnsi="ITC Avant Garde"/>
          <w:color w:val="000000"/>
        </w:rPr>
        <w:t xml:space="preserve"> que se concentran.</w:t>
      </w:r>
    </w:p>
    <w:p w14:paraId="428A7CA9" w14:textId="3E4365F6" w:rsidR="001A5DA3" w:rsidRPr="000045D9" w:rsidRDefault="001A5DA3" w:rsidP="00475BDA">
      <w:pPr>
        <w:pStyle w:val="Prrafodelista"/>
        <w:numPr>
          <w:ilvl w:val="0"/>
          <w:numId w:val="27"/>
        </w:numPr>
        <w:spacing w:before="120" w:after="120"/>
        <w:ind w:left="0" w:firstLine="0"/>
        <w:contextualSpacing w:val="0"/>
        <w:jc w:val="both"/>
        <w:rPr>
          <w:rFonts w:ascii="ITC Avant Garde" w:hAnsi="ITC Avant Garde"/>
        </w:rPr>
      </w:pPr>
      <w:r w:rsidRPr="00DC5F81">
        <w:rPr>
          <w:rFonts w:ascii="ITC Avant Garde" w:hAnsi="ITC Avant Garde"/>
        </w:rPr>
        <w:lastRenderedPageBreak/>
        <w:t>El Instituto considerará que es poco probable que una concentraci</w:t>
      </w:r>
      <w:r w:rsidR="00AF3FEE">
        <w:rPr>
          <w:rFonts w:ascii="ITC Avant Garde" w:hAnsi="ITC Avant Garde"/>
        </w:rPr>
        <w:t>ón</w:t>
      </w:r>
      <w:r w:rsidRPr="00DC5F81">
        <w:rPr>
          <w:rFonts w:ascii="ITC Avant Garde" w:hAnsi="ITC Avant Garde"/>
        </w:rPr>
        <w:t xml:space="preserve"> tiene p</w:t>
      </w:r>
      <w:r w:rsidRPr="000045D9">
        <w:rPr>
          <w:rFonts w:ascii="ITC Avant Garde" w:hAnsi="ITC Avant Garde"/>
        </w:rPr>
        <w:t>or objeto o efecto obstaculizar, disminuir, dañar o impedir la competencia y la libre concurrencia, cuando posterior</w:t>
      </w:r>
      <w:r w:rsidR="003F7F95">
        <w:rPr>
          <w:rFonts w:ascii="ITC Avant Garde" w:hAnsi="ITC Avant Garde"/>
        </w:rPr>
        <w:t>mente</w:t>
      </w:r>
      <w:r w:rsidRPr="000045D9">
        <w:rPr>
          <w:rFonts w:ascii="ITC Avant Garde" w:hAnsi="ITC Avant Garde"/>
        </w:rPr>
        <w:t xml:space="preserve"> a </w:t>
      </w:r>
      <w:r w:rsidR="00475BDA">
        <w:rPr>
          <w:rFonts w:ascii="ITC Avant Garde" w:hAnsi="ITC Avant Garde"/>
        </w:rPr>
        <w:t>ésta</w:t>
      </w:r>
      <w:r w:rsidRPr="000045D9">
        <w:rPr>
          <w:rFonts w:ascii="ITC Avant Garde" w:hAnsi="ITC Avant Garde"/>
        </w:rPr>
        <w:t xml:space="preserve"> suceda alguna de las siguientes situaciones:</w:t>
      </w:r>
    </w:p>
    <w:p w14:paraId="55DD4226" w14:textId="77777777" w:rsidR="001A5DA3" w:rsidRPr="000045D9" w:rsidRDefault="001A5DA3" w:rsidP="001A5DA3">
      <w:pPr>
        <w:pStyle w:val="Default"/>
        <w:numPr>
          <w:ilvl w:val="0"/>
          <w:numId w:val="22"/>
        </w:numPr>
        <w:spacing w:before="120" w:after="120" w:line="276" w:lineRule="auto"/>
        <w:ind w:left="2552" w:hanging="357"/>
        <w:jc w:val="both"/>
        <w:rPr>
          <w:rFonts w:ascii="ITC Avant Garde" w:hAnsi="ITC Avant Garde"/>
          <w:sz w:val="22"/>
          <w:szCs w:val="22"/>
        </w:rPr>
      </w:pPr>
      <w:r>
        <w:rPr>
          <w:rFonts w:ascii="ITC Avant Garde" w:hAnsi="ITC Avant Garde"/>
          <w:sz w:val="22"/>
          <w:szCs w:val="22"/>
        </w:rPr>
        <w:t>IHH</w:t>
      </w:r>
      <w:r w:rsidRPr="000045D9">
        <w:rPr>
          <w:rFonts w:ascii="ITC Avant Garde" w:hAnsi="ITC Avant Garde"/>
          <w:sz w:val="22"/>
          <w:szCs w:val="22"/>
        </w:rPr>
        <w:t xml:space="preserve"> </w:t>
      </w:r>
      <m:oMath>
        <m:r>
          <w:rPr>
            <w:rFonts w:ascii="Cambria Math" w:hAnsi="Cambria Math"/>
            <w:sz w:val="22"/>
            <w:szCs w:val="22"/>
          </w:rPr>
          <m:t>≤</m:t>
        </m:r>
      </m:oMath>
      <w:r w:rsidRPr="000045D9">
        <w:rPr>
          <w:rFonts w:ascii="ITC Avant Garde" w:hAnsi="ITC Avant Garde"/>
          <w:sz w:val="22"/>
          <w:szCs w:val="22"/>
        </w:rPr>
        <w:t xml:space="preserve"> 2,000</w:t>
      </w:r>
      <w:r>
        <w:rPr>
          <w:rFonts w:ascii="ITC Avant Garde" w:hAnsi="ITC Avant Garde"/>
          <w:sz w:val="22"/>
          <w:szCs w:val="22"/>
        </w:rPr>
        <w:t xml:space="preserve"> puntos</w:t>
      </w:r>
      <w:r w:rsidRPr="000045D9">
        <w:rPr>
          <w:rFonts w:ascii="ITC Avant Garde" w:hAnsi="ITC Avant Garde"/>
          <w:sz w:val="22"/>
          <w:szCs w:val="22"/>
        </w:rPr>
        <w:t>;</w:t>
      </w:r>
    </w:p>
    <w:p w14:paraId="243F9515" w14:textId="77777777" w:rsidR="001A5DA3" w:rsidRPr="000045D9" w:rsidRDefault="001A5DA3" w:rsidP="001A5DA3">
      <w:pPr>
        <w:pStyle w:val="Default"/>
        <w:numPr>
          <w:ilvl w:val="0"/>
          <w:numId w:val="22"/>
        </w:numPr>
        <w:spacing w:before="120" w:after="120" w:line="276" w:lineRule="auto"/>
        <w:ind w:left="2552" w:hanging="357"/>
        <w:jc w:val="both"/>
        <w:rPr>
          <w:rFonts w:ascii="ITC Avant Garde" w:hAnsi="ITC Avant Garde"/>
          <w:sz w:val="22"/>
          <w:szCs w:val="22"/>
        </w:rPr>
      </w:pPr>
      <w:r w:rsidRPr="000045D9">
        <w:rPr>
          <w:rFonts w:ascii="ITC Avant Garde" w:hAnsi="ITC Avant Garde"/>
          <w:sz w:val="22"/>
          <w:szCs w:val="22"/>
        </w:rPr>
        <w:t xml:space="preserve">2,000 &lt; </w:t>
      </w:r>
      <w:r>
        <w:rPr>
          <w:rFonts w:ascii="ITC Avant Garde" w:hAnsi="ITC Avant Garde"/>
          <w:sz w:val="22"/>
          <w:szCs w:val="22"/>
        </w:rPr>
        <w:t>IHH</w:t>
      </w:r>
      <w:r w:rsidRPr="000045D9">
        <w:rPr>
          <w:rFonts w:ascii="ITC Avant Garde" w:hAnsi="ITC Avant Garde"/>
          <w:sz w:val="22"/>
          <w:szCs w:val="22"/>
        </w:rPr>
        <w:t xml:space="preserve"> </w:t>
      </w:r>
      <m:oMath>
        <m:r>
          <w:rPr>
            <w:rFonts w:ascii="Cambria Math" w:hAnsi="Cambria Math"/>
            <w:sz w:val="22"/>
            <w:szCs w:val="22"/>
          </w:rPr>
          <m:t>≤</m:t>
        </m:r>
      </m:oMath>
      <w:r w:rsidRPr="000045D9">
        <w:rPr>
          <w:rFonts w:ascii="ITC Avant Garde" w:hAnsi="ITC Avant Garde"/>
          <w:sz w:val="22"/>
          <w:szCs w:val="22"/>
        </w:rPr>
        <w:t xml:space="preserve"> </w:t>
      </w:r>
      <w:r>
        <w:rPr>
          <w:rFonts w:ascii="ITC Avant Garde" w:hAnsi="ITC Avant Garde"/>
          <w:sz w:val="22"/>
          <w:szCs w:val="22"/>
        </w:rPr>
        <w:t>3,0</w:t>
      </w:r>
      <w:r w:rsidRPr="000045D9">
        <w:rPr>
          <w:rFonts w:ascii="ITC Avant Garde" w:hAnsi="ITC Avant Garde"/>
          <w:sz w:val="22"/>
          <w:szCs w:val="22"/>
        </w:rPr>
        <w:t>00 y</w:t>
      </w:r>
      <w:r w:rsidRPr="000045D9">
        <w:rPr>
          <w:rFonts w:ascii="ITC Avant Garde" w:eastAsiaTheme="minorEastAsia" w:hAnsi="ITC Avant Garde"/>
          <w:sz w:val="22"/>
          <w:szCs w:val="22"/>
        </w:rPr>
        <w:t xml:space="preserve"> </w:t>
      </w:r>
      <m:oMath>
        <m:r>
          <m:rPr>
            <m:sty m:val="p"/>
          </m:rPr>
          <w:rPr>
            <w:rFonts w:ascii="Cambria Math" w:hAnsi="Cambria Math"/>
            <w:sz w:val="22"/>
            <w:szCs w:val="22"/>
          </w:rPr>
          <m:t>∆HH</m:t>
        </m:r>
      </m:oMath>
      <w:r w:rsidRPr="000045D9">
        <w:rPr>
          <w:rFonts w:ascii="ITC Avant Garde" w:hAnsi="ITC Avant Garde"/>
          <w:sz w:val="22"/>
          <w:szCs w:val="22"/>
        </w:rPr>
        <w:t xml:space="preserve"> </w:t>
      </w:r>
      <m:oMath>
        <m:r>
          <w:rPr>
            <w:rFonts w:ascii="Cambria Math" w:hAnsi="Cambria Math"/>
            <w:sz w:val="22"/>
            <w:szCs w:val="22"/>
          </w:rPr>
          <m:t>≤</m:t>
        </m:r>
      </m:oMath>
      <w:r w:rsidRPr="000045D9">
        <w:rPr>
          <w:rFonts w:ascii="ITC Avant Garde" w:hAnsi="ITC Avant Garde"/>
          <w:sz w:val="22"/>
          <w:szCs w:val="22"/>
        </w:rPr>
        <w:t xml:space="preserve"> 150 puntos;</w:t>
      </w:r>
      <w:r>
        <w:rPr>
          <w:rFonts w:ascii="ITC Avant Garde" w:hAnsi="ITC Avant Garde"/>
          <w:sz w:val="22"/>
          <w:szCs w:val="22"/>
        </w:rPr>
        <w:t xml:space="preserve"> o</w:t>
      </w:r>
    </w:p>
    <w:p w14:paraId="364701F9" w14:textId="77777777" w:rsidR="001A5DA3" w:rsidRPr="000045D9" w:rsidRDefault="001A5DA3" w:rsidP="001A5DA3">
      <w:pPr>
        <w:pStyle w:val="Default"/>
        <w:numPr>
          <w:ilvl w:val="0"/>
          <w:numId w:val="22"/>
        </w:numPr>
        <w:spacing w:before="120" w:after="120" w:line="276" w:lineRule="auto"/>
        <w:ind w:left="2552" w:right="-1"/>
        <w:jc w:val="both"/>
        <w:rPr>
          <w:rFonts w:ascii="ITC Avant Garde" w:hAnsi="ITC Avant Garde"/>
          <w:sz w:val="22"/>
          <w:szCs w:val="22"/>
        </w:rPr>
      </w:pPr>
      <w:r>
        <w:rPr>
          <w:rFonts w:ascii="ITC Avant Garde" w:hAnsi="ITC Avant Garde"/>
          <w:sz w:val="22"/>
          <w:szCs w:val="22"/>
        </w:rPr>
        <w:t>IHH</w:t>
      </w:r>
      <w:r w:rsidRPr="000045D9">
        <w:rPr>
          <w:rFonts w:ascii="ITC Avant Garde" w:hAnsi="ITC Avant Garde"/>
          <w:sz w:val="22"/>
          <w:szCs w:val="22"/>
        </w:rPr>
        <w:t xml:space="preserve"> &gt; </w:t>
      </w:r>
      <w:r>
        <w:rPr>
          <w:rFonts w:ascii="ITC Avant Garde" w:hAnsi="ITC Avant Garde"/>
          <w:sz w:val="22"/>
          <w:szCs w:val="22"/>
        </w:rPr>
        <w:t>3,0</w:t>
      </w:r>
      <w:r w:rsidRPr="000045D9">
        <w:rPr>
          <w:rFonts w:ascii="ITC Avant Garde" w:hAnsi="ITC Avant Garde"/>
          <w:sz w:val="22"/>
          <w:szCs w:val="22"/>
        </w:rPr>
        <w:t xml:space="preserve">00 y </w:t>
      </w:r>
      <m:oMath>
        <m:r>
          <m:rPr>
            <m:sty m:val="p"/>
          </m:rPr>
          <w:rPr>
            <w:rFonts w:ascii="Cambria Math" w:hAnsi="Cambria Math"/>
            <w:sz w:val="22"/>
            <w:szCs w:val="22"/>
          </w:rPr>
          <m:t>∆HH</m:t>
        </m:r>
      </m:oMath>
      <w:r w:rsidRPr="000045D9">
        <w:rPr>
          <w:rFonts w:ascii="ITC Avant Garde" w:hAnsi="ITC Avant Garde"/>
          <w:sz w:val="22"/>
          <w:szCs w:val="22"/>
        </w:rPr>
        <w:t xml:space="preserve"> </w:t>
      </w:r>
      <m:oMath>
        <m:r>
          <w:rPr>
            <w:rFonts w:ascii="Cambria Math" w:hAnsi="Cambria Math"/>
            <w:sz w:val="22"/>
            <w:szCs w:val="22"/>
          </w:rPr>
          <m:t>≤</m:t>
        </m:r>
      </m:oMath>
      <w:r w:rsidRPr="000045D9">
        <w:rPr>
          <w:rFonts w:ascii="ITC Avant Garde" w:eastAsiaTheme="minorEastAsia" w:hAnsi="ITC Avant Garde"/>
          <w:sz w:val="22"/>
          <w:szCs w:val="22"/>
        </w:rPr>
        <w:t xml:space="preserve"> </w:t>
      </w:r>
      <w:r w:rsidRPr="000045D9">
        <w:rPr>
          <w:rFonts w:ascii="ITC Avant Garde" w:hAnsi="ITC Avant Garde"/>
          <w:sz w:val="22"/>
          <w:szCs w:val="22"/>
        </w:rPr>
        <w:t>100 puntos.</w:t>
      </w:r>
    </w:p>
    <w:p w14:paraId="1381351A" w14:textId="648E56A4" w:rsidR="001A5DA3" w:rsidRPr="00475BDA" w:rsidRDefault="001A5DA3" w:rsidP="00475BDA">
      <w:pPr>
        <w:pStyle w:val="Prrafodelista"/>
        <w:numPr>
          <w:ilvl w:val="0"/>
          <w:numId w:val="27"/>
        </w:numPr>
        <w:spacing w:before="120" w:after="120"/>
        <w:ind w:left="0" w:firstLine="0"/>
        <w:contextualSpacing w:val="0"/>
        <w:jc w:val="both"/>
        <w:rPr>
          <w:rFonts w:ascii="ITC Avant Garde" w:hAnsi="ITC Avant Garde"/>
        </w:rPr>
      </w:pPr>
      <w:r w:rsidRPr="000045D9">
        <w:rPr>
          <w:rFonts w:ascii="ITC Avant Garde" w:hAnsi="ITC Avant Garde"/>
        </w:rPr>
        <w:t xml:space="preserve">Aun cuando una </w:t>
      </w:r>
      <w:r w:rsidR="00475BDA">
        <w:rPr>
          <w:rFonts w:ascii="ITC Avant Garde" w:hAnsi="ITC Avant Garde"/>
        </w:rPr>
        <w:t xml:space="preserve">concentración </w:t>
      </w:r>
      <w:r>
        <w:rPr>
          <w:rFonts w:ascii="ITC Avant Garde" w:hAnsi="ITC Avant Garde"/>
        </w:rPr>
        <w:t xml:space="preserve">implique valores del IHH y de la </w:t>
      </w:r>
      <w:r w:rsidRPr="000045D9">
        <w:rPr>
          <w:rFonts w:ascii="ITC Avant Garde" w:hAnsi="ITC Avant Garde"/>
        </w:rPr>
        <w:t xml:space="preserve"> </w:t>
      </w:r>
      <m:oMath>
        <m:r>
          <m:rPr>
            <m:sty m:val="p"/>
          </m:rPr>
          <w:rPr>
            <w:rFonts w:ascii="Cambria Math" w:hAnsi="Cambria Math"/>
          </w:rPr>
          <m:t>∆HH</m:t>
        </m:r>
      </m:oMath>
      <w:r w:rsidRPr="000045D9">
        <w:rPr>
          <w:rFonts w:ascii="ITC Avant Garde" w:hAnsi="ITC Avant Garde"/>
        </w:rPr>
        <w:t xml:space="preserve"> </w:t>
      </w:r>
      <w:r>
        <w:rPr>
          <w:rFonts w:ascii="ITC Avant Garde" w:hAnsi="ITC Avant Garde"/>
        </w:rPr>
        <w:t xml:space="preserve">que </w:t>
      </w:r>
      <w:r w:rsidRPr="000045D9">
        <w:rPr>
          <w:rFonts w:ascii="ITC Avant Garde" w:hAnsi="ITC Avant Garde"/>
        </w:rPr>
        <w:t>se ubique</w:t>
      </w:r>
      <w:r>
        <w:rPr>
          <w:rFonts w:ascii="ITC Avant Garde" w:hAnsi="ITC Avant Garde"/>
        </w:rPr>
        <w:t>n</w:t>
      </w:r>
      <w:r w:rsidRPr="000045D9">
        <w:rPr>
          <w:rFonts w:ascii="ITC Avant Garde" w:hAnsi="ITC Avant Garde"/>
        </w:rPr>
        <w:t xml:space="preserve"> dentro de los umbrales establecidos en el numeral anterior, el Instituto podrá considerar que </w:t>
      </w:r>
      <w:r>
        <w:rPr>
          <w:rFonts w:ascii="ITC Avant Garde" w:hAnsi="ITC Avant Garde"/>
        </w:rPr>
        <w:t>existen potenciales riesgos de</w:t>
      </w:r>
      <w:r w:rsidRPr="000045D9">
        <w:rPr>
          <w:rFonts w:ascii="ITC Avant Garde" w:hAnsi="ITC Avant Garde"/>
        </w:rPr>
        <w:t xml:space="preserve"> que ésta tiene por objeto o efecto obstaculizar, disminuir, dañar o impedir la competencia y la libre concurrencia, si sucede </w:t>
      </w:r>
      <w:r w:rsidRPr="00475BDA">
        <w:rPr>
          <w:rFonts w:ascii="ITC Avant Garde" w:hAnsi="ITC Avant Garde"/>
        </w:rPr>
        <w:t>una o varias de las siguientes circunstancias:</w:t>
      </w:r>
    </w:p>
    <w:p w14:paraId="5EDEF38C" w14:textId="3D6188A9" w:rsidR="001A5DA3" w:rsidRPr="000045D9" w:rsidRDefault="001A5DA3" w:rsidP="001A5DA3">
      <w:pPr>
        <w:pStyle w:val="Prrafodelista"/>
        <w:numPr>
          <w:ilvl w:val="0"/>
          <w:numId w:val="23"/>
        </w:numPr>
        <w:autoSpaceDE w:val="0"/>
        <w:autoSpaceDN w:val="0"/>
        <w:adjustRightInd w:val="0"/>
        <w:spacing w:before="120" w:after="120"/>
        <w:ind w:left="426" w:hanging="357"/>
        <w:contextualSpacing w:val="0"/>
        <w:jc w:val="both"/>
        <w:rPr>
          <w:rFonts w:ascii="ITC Avant Garde" w:eastAsia="Times New Roman" w:hAnsi="ITC Avant Garde" w:cs="Times New Roman"/>
          <w:color w:val="000000"/>
          <w:lang w:eastAsia="es-MX"/>
        </w:rPr>
      </w:pPr>
      <w:r w:rsidRPr="000045D9">
        <w:rPr>
          <w:rFonts w:ascii="ITC Avant Garde" w:eastAsia="Times New Roman" w:hAnsi="ITC Avant Garde" w:cs="Times New Roman"/>
          <w:color w:val="000000"/>
          <w:lang w:eastAsia="es-MX"/>
        </w:rPr>
        <w:t xml:space="preserve">Los agentes económicos involucrados en la </w:t>
      </w:r>
      <w:r w:rsidR="00475BDA">
        <w:rPr>
          <w:rFonts w:ascii="ITC Avant Garde" w:eastAsia="Times New Roman" w:hAnsi="ITC Avant Garde" w:cs="Times New Roman"/>
          <w:color w:val="000000"/>
          <w:lang w:eastAsia="es-MX"/>
        </w:rPr>
        <w:t>concentración</w:t>
      </w:r>
      <w:r w:rsidR="00475BDA" w:rsidRPr="000045D9">
        <w:rPr>
          <w:rFonts w:ascii="ITC Avant Garde" w:eastAsia="Times New Roman" w:hAnsi="ITC Avant Garde" w:cs="Times New Roman"/>
          <w:color w:val="000000"/>
          <w:lang w:eastAsia="es-MX"/>
        </w:rPr>
        <w:t xml:space="preserve"> </w:t>
      </w:r>
      <w:r w:rsidRPr="000045D9">
        <w:rPr>
          <w:rFonts w:ascii="ITC Avant Garde" w:eastAsia="Times New Roman" w:hAnsi="ITC Avant Garde" w:cs="Times New Roman"/>
          <w:color w:val="000000"/>
          <w:lang w:eastAsia="es-MX"/>
        </w:rPr>
        <w:t>t</w:t>
      </w:r>
      <w:r w:rsidRPr="000045D9">
        <w:rPr>
          <w:rFonts w:ascii="ITC Avant Garde" w:hAnsi="ITC Avant Garde" w:cs="Times New Roman"/>
        </w:rPr>
        <w:t>engan o puedan llegar a adquirir poder sustancial en mercados relacionados;</w:t>
      </w:r>
    </w:p>
    <w:p w14:paraId="2A32182E" w14:textId="61C47D8E" w:rsidR="001A5DA3" w:rsidRPr="000045D9" w:rsidRDefault="001A5DA3" w:rsidP="001A5DA3">
      <w:pPr>
        <w:pStyle w:val="Prrafodelista"/>
        <w:numPr>
          <w:ilvl w:val="0"/>
          <w:numId w:val="23"/>
        </w:numPr>
        <w:autoSpaceDE w:val="0"/>
        <w:autoSpaceDN w:val="0"/>
        <w:adjustRightInd w:val="0"/>
        <w:spacing w:before="120" w:after="120"/>
        <w:ind w:left="426" w:hanging="357"/>
        <w:contextualSpacing w:val="0"/>
        <w:jc w:val="both"/>
        <w:rPr>
          <w:rFonts w:ascii="ITC Avant Garde" w:eastAsia="Times New Roman" w:hAnsi="ITC Avant Garde" w:cs="Times New Roman"/>
          <w:color w:val="000000"/>
          <w:lang w:eastAsia="es-MX"/>
        </w:rPr>
      </w:pPr>
      <w:r w:rsidRPr="000045D9">
        <w:rPr>
          <w:rFonts w:ascii="ITC Avant Garde" w:eastAsia="Times New Roman" w:hAnsi="ITC Avant Garde" w:cs="Times New Roman"/>
          <w:color w:val="000000"/>
          <w:lang w:eastAsia="es-MX"/>
        </w:rPr>
        <w:t xml:space="preserve">Los agentes económicos involucrados en la </w:t>
      </w:r>
      <w:r w:rsidR="00475BDA">
        <w:rPr>
          <w:rFonts w:ascii="ITC Avant Garde" w:eastAsia="Times New Roman" w:hAnsi="ITC Avant Garde" w:cs="Times New Roman"/>
          <w:color w:val="000000"/>
          <w:lang w:eastAsia="es-MX"/>
        </w:rPr>
        <w:t xml:space="preserve">concentración </w:t>
      </w:r>
      <w:r w:rsidRPr="000045D9">
        <w:rPr>
          <w:rFonts w:ascii="ITC Avant Garde" w:eastAsia="Times New Roman" w:hAnsi="ITC Avant Garde" w:cs="Times New Roman"/>
          <w:color w:val="000000"/>
          <w:lang w:eastAsia="es-MX"/>
        </w:rPr>
        <w:t>alcancen una participación superior al treinta y cinco por ciento</w:t>
      </w:r>
      <w:r w:rsidRPr="000045D9">
        <w:rPr>
          <w:rFonts w:ascii="ITC Avant Garde" w:hAnsi="ITC Avant Garde" w:cs="Times New Roman"/>
        </w:rPr>
        <w:t>;</w:t>
      </w:r>
    </w:p>
    <w:p w14:paraId="5ED659C7" w14:textId="77777777" w:rsidR="001A5DA3" w:rsidRPr="007A0278" w:rsidRDefault="001A5DA3" w:rsidP="001A5DA3">
      <w:pPr>
        <w:pStyle w:val="Prrafodelista"/>
        <w:numPr>
          <w:ilvl w:val="0"/>
          <w:numId w:val="23"/>
        </w:numPr>
        <w:autoSpaceDE w:val="0"/>
        <w:autoSpaceDN w:val="0"/>
        <w:adjustRightInd w:val="0"/>
        <w:spacing w:before="120" w:after="120"/>
        <w:ind w:left="426" w:hanging="357"/>
        <w:contextualSpacing w:val="0"/>
        <w:jc w:val="both"/>
        <w:rPr>
          <w:rFonts w:ascii="ITC Avant Garde" w:eastAsia="Times New Roman" w:hAnsi="ITC Avant Garde" w:cs="Times New Roman"/>
          <w:color w:val="000000"/>
          <w:lang w:eastAsia="es-MX"/>
        </w:rPr>
      </w:pPr>
      <w:r w:rsidRPr="000045D9">
        <w:rPr>
          <w:rFonts w:ascii="ITC Avant Garde" w:eastAsia="Times New Roman" w:hAnsi="ITC Avant Garde" w:cs="Times New Roman"/>
          <w:color w:val="000000"/>
          <w:lang w:eastAsia="es-MX"/>
        </w:rPr>
        <w:lastRenderedPageBreak/>
        <w:t xml:space="preserve">El </w:t>
      </w:r>
      <w:r>
        <w:rPr>
          <w:rFonts w:ascii="ITC Avant Garde" w:eastAsia="Times New Roman" w:hAnsi="ITC Avant Garde" w:cs="Times New Roman"/>
          <w:color w:val="000000"/>
          <w:lang w:eastAsia="es-MX"/>
        </w:rPr>
        <w:t xml:space="preserve">agente </w:t>
      </w:r>
      <w:r w:rsidRPr="007A0278">
        <w:rPr>
          <w:rFonts w:ascii="ITC Avant Garde" w:eastAsia="Times New Roman" w:hAnsi="ITC Avant Garde" w:cs="Times New Roman"/>
          <w:color w:val="000000"/>
          <w:lang w:eastAsia="es-MX"/>
        </w:rPr>
        <w:t xml:space="preserve">económico adquirido es un agente económico disruptivo (conocido como </w:t>
      </w:r>
      <w:r w:rsidRPr="007A0278">
        <w:rPr>
          <w:rFonts w:ascii="ITC Avant Garde" w:eastAsia="Times New Roman" w:hAnsi="ITC Avant Garde" w:cs="Times New Roman"/>
          <w:i/>
          <w:color w:val="000000"/>
          <w:lang w:eastAsia="es-MX"/>
        </w:rPr>
        <w:t>maverick</w:t>
      </w:r>
      <w:r w:rsidRPr="007A0278">
        <w:rPr>
          <w:rFonts w:ascii="ITC Avant Garde" w:eastAsia="Times New Roman" w:hAnsi="ITC Avant Garde" w:cs="Times New Roman"/>
          <w:color w:val="000000"/>
          <w:lang w:eastAsia="es-MX"/>
        </w:rPr>
        <w:t xml:space="preserve"> en inglés)</w:t>
      </w:r>
      <w:r w:rsidRPr="00327421">
        <w:rPr>
          <w:rFonts w:ascii="ITC Avant Garde" w:eastAsia="Times New Roman" w:hAnsi="ITC Avant Garde" w:cs="Times New Roman"/>
          <w:color w:val="000000"/>
          <w:lang w:eastAsia="es-MX"/>
        </w:rPr>
        <w:t xml:space="preserve"> </w:t>
      </w:r>
      <w:r>
        <w:rPr>
          <w:rFonts w:ascii="ITC Avant Garde" w:eastAsia="Times New Roman" w:hAnsi="ITC Avant Garde" w:cs="Times New Roman"/>
          <w:color w:val="000000"/>
          <w:lang w:eastAsia="es-MX"/>
        </w:rPr>
        <w:t>que se distinga, por ejemplo, por introducir o desarrollar nuevas tecnologías o modelos de negocios o que pueda disciplinar los precios con base en su habilidad e incentivos a expandirse rápidamente</w:t>
      </w:r>
      <w:r w:rsidRPr="007A0278">
        <w:rPr>
          <w:rFonts w:ascii="ITC Avant Garde" w:eastAsia="Times New Roman" w:hAnsi="ITC Avant Garde" w:cs="Times New Roman"/>
          <w:color w:val="000000"/>
          <w:lang w:eastAsia="es-MX"/>
        </w:rPr>
        <w:t>;</w:t>
      </w:r>
    </w:p>
    <w:p w14:paraId="603F028E" w14:textId="1A358D90" w:rsidR="001A5DA3" w:rsidRDefault="001A5DA3" w:rsidP="001A5DA3">
      <w:pPr>
        <w:pStyle w:val="Prrafodelista"/>
        <w:numPr>
          <w:ilvl w:val="0"/>
          <w:numId w:val="23"/>
        </w:numPr>
        <w:spacing w:before="120" w:after="120"/>
        <w:ind w:left="425" w:hanging="357"/>
        <w:contextualSpacing w:val="0"/>
        <w:jc w:val="both"/>
        <w:rPr>
          <w:rFonts w:ascii="ITC Avant Garde" w:eastAsia="Times New Roman" w:hAnsi="ITC Avant Garde" w:cs="Times New Roman"/>
          <w:color w:val="000000"/>
          <w:lang w:eastAsia="es-MX"/>
        </w:rPr>
      </w:pPr>
      <w:r w:rsidRPr="007A0278">
        <w:rPr>
          <w:rFonts w:ascii="ITC Avant Garde" w:eastAsia="Times New Roman" w:hAnsi="ITC Avant Garde" w:cs="Times New Roman"/>
          <w:color w:val="000000"/>
          <w:lang w:eastAsia="es-MX"/>
        </w:rPr>
        <w:t xml:space="preserve">Uno o más de los agentes económicos involucrados en la </w:t>
      </w:r>
      <w:r w:rsidR="00475BDA">
        <w:rPr>
          <w:rFonts w:ascii="ITC Avant Garde" w:eastAsia="Times New Roman" w:hAnsi="ITC Avant Garde" w:cs="Times New Roman"/>
          <w:color w:val="000000"/>
          <w:lang w:eastAsia="es-MX"/>
        </w:rPr>
        <w:t>concentración</w:t>
      </w:r>
      <w:r w:rsidR="00475BDA" w:rsidRPr="007A0278">
        <w:rPr>
          <w:rFonts w:ascii="ITC Avant Garde" w:eastAsia="Times New Roman" w:hAnsi="ITC Avant Garde" w:cs="Times New Roman"/>
          <w:color w:val="000000"/>
          <w:lang w:eastAsia="es-MX"/>
        </w:rPr>
        <w:t xml:space="preserve"> </w:t>
      </w:r>
      <w:r w:rsidRPr="007A0278">
        <w:rPr>
          <w:rFonts w:ascii="ITC Avant Garde" w:eastAsia="Times New Roman" w:hAnsi="ITC Avant Garde" w:cs="Times New Roman"/>
          <w:color w:val="000000"/>
          <w:lang w:eastAsia="es-MX"/>
        </w:rPr>
        <w:t xml:space="preserve">haya participado dentro de los últimos </w:t>
      </w:r>
      <w:r w:rsidRPr="000045D9">
        <w:rPr>
          <w:rFonts w:ascii="ITC Avant Garde" w:eastAsia="Times New Roman" w:hAnsi="ITC Avant Garde" w:cs="Times New Roman"/>
          <w:color w:val="000000"/>
          <w:lang w:eastAsia="es-MX"/>
        </w:rPr>
        <w:t xml:space="preserve">cinco años en </w:t>
      </w:r>
      <w:r>
        <w:rPr>
          <w:rFonts w:ascii="ITC Avant Garde" w:eastAsia="Times New Roman" w:hAnsi="ITC Avant Garde" w:cs="Times New Roman"/>
          <w:color w:val="000000"/>
          <w:lang w:eastAsia="es-MX"/>
        </w:rPr>
        <w:t>operaciones</w:t>
      </w:r>
      <w:r w:rsidRPr="000045D9">
        <w:rPr>
          <w:rFonts w:ascii="ITC Avant Garde" w:eastAsia="Times New Roman" w:hAnsi="ITC Avant Garde" w:cs="Times New Roman"/>
          <w:color w:val="000000"/>
          <w:lang w:eastAsia="es-MX"/>
        </w:rPr>
        <w:t xml:space="preserve"> previas en el </w:t>
      </w:r>
      <w:r>
        <w:rPr>
          <w:rFonts w:ascii="ITC Avant Garde" w:eastAsia="Times New Roman" w:hAnsi="ITC Avant Garde" w:cs="Times New Roman"/>
          <w:color w:val="000000"/>
          <w:lang w:eastAsia="es-MX"/>
        </w:rPr>
        <w:t xml:space="preserve">mismo </w:t>
      </w:r>
      <w:r w:rsidRPr="000045D9">
        <w:rPr>
          <w:rFonts w:ascii="ITC Avant Garde" w:eastAsia="Times New Roman" w:hAnsi="ITC Avant Garde" w:cs="Times New Roman"/>
          <w:color w:val="000000"/>
          <w:lang w:eastAsia="es-MX"/>
        </w:rPr>
        <w:t xml:space="preserve">mercado y que consideradas en conjunto con la </w:t>
      </w:r>
      <w:r w:rsidR="00475BDA">
        <w:rPr>
          <w:rFonts w:ascii="ITC Avant Garde" w:eastAsia="Times New Roman" w:hAnsi="ITC Avant Garde" w:cs="Times New Roman"/>
          <w:color w:val="000000"/>
          <w:lang w:eastAsia="es-MX"/>
        </w:rPr>
        <w:t>concentración</w:t>
      </w:r>
      <w:r w:rsidR="00475BDA" w:rsidRPr="000045D9">
        <w:rPr>
          <w:rFonts w:ascii="ITC Avant Garde" w:eastAsia="Times New Roman" w:hAnsi="ITC Avant Garde" w:cs="Times New Roman"/>
          <w:color w:val="000000"/>
          <w:lang w:eastAsia="es-MX"/>
        </w:rPr>
        <w:t xml:space="preserve"> </w:t>
      </w:r>
      <w:r w:rsidRPr="000045D9">
        <w:rPr>
          <w:rFonts w:ascii="ITC Avant Garde" w:eastAsia="Times New Roman" w:hAnsi="ITC Avant Garde" w:cs="Times New Roman"/>
          <w:color w:val="000000"/>
          <w:lang w:eastAsia="es-MX"/>
        </w:rPr>
        <w:t xml:space="preserve">analizada, rebasen los umbrales referidos en el </w:t>
      </w:r>
      <w:r w:rsidR="00455B39">
        <w:rPr>
          <w:rFonts w:ascii="ITC Avant Garde" w:eastAsia="Times New Roman" w:hAnsi="ITC Avant Garde" w:cs="Times New Roman"/>
          <w:color w:val="000000"/>
          <w:lang w:eastAsia="es-MX"/>
        </w:rPr>
        <w:t xml:space="preserve">Artículo 6 </w:t>
      </w:r>
      <w:r w:rsidR="005E31D1">
        <w:rPr>
          <w:rFonts w:ascii="ITC Avant Garde" w:eastAsia="Times New Roman" w:hAnsi="ITC Avant Garde" w:cs="Times New Roman"/>
          <w:color w:val="000000"/>
          <w:lang w:eastAsia="es-MX"/>
        </w:rPr>
        <w:t>del presente Criterio Técnico</w:t>
      </w:r>
      <w:r w:rsidR="003F7F95">
        <w:rPr>
          <w:rFonts w:ascii="ITC Avant Garde" w:eastAsia="Times New Roman" w:hAnsi="ITC Avant Garde" w:cs="Times New Roman"/>
          <w:color w:val="000000"/>
          <w:lang w:eastAsia="es-MX"/>
        </w:rPr>
        <w:t>;</w:t>
      </w:r>
    </w:p>
    <w:p w14:paraId="6C51E490" w14:textId="428896AF" w:rsidR="001A5DA3" w:rsidRDefault="001A5DA3" w:rsidP="001A5DA3">
      <w:pPr>
        <w:pStyle w:val="Prrafodelista"/>
        <w:numPr>
          <w:ilvl w:val="0"/>
          <w:numId w:val="23"/>
        </w:numPr>
        <w:spacing w:before="120" w:after="120"/>
        <w:ind w:left="425" w:hanging="357"/>
        <w:contextualSpacing w:val="0"/>
        <w:jc w:val="both"/>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La </w:t>
      </w:r>
      <w:r w:rsidR="00475BDA">
        <w:rPr>
          <w:rFonts w:ascii="ITC Avant Garde" w:eastAsia="Times New Roman" w:hAnsi="ITC Avant Garde" w:cs="Times New Roman"/>
          <w:color w:val="000000"/>
          <w:lang w:eastAsia="es-MX"/>
        </w:rPr>
        <w:t xml:space="preserve">concentración </w:t>
      </w:r>
      <w:r>
        <w:rPr>
          <w:rFonts w:ascii="ITC Avant Garde" w:eastAsia="Times New Roman" w:hAnsi="ITC Avant Garde" w:cs="Times New Roman"/>
          <w:color w:val="000000"/>
          <w:lang w:eastAsia="es-MX"/>
        </w:rPr>
        <w:t>pueda generar incentivos o facilitar la coordinación entre los agentes económicos que participen en el mercado analizado o mercados relacionados</w:t>
      </w:r>
      <w:r w:rsidR="003F7F95">
        <w:rPr>
          <w:rFonts w:ascii="ITC Avant Garde" w:eastAsia="Times New Roman" w:hAnsi="ITC Avant Garde" w:cs="Times New Roman"/>
          <w:color w:val="000000"/>
          <w:lang w:eastAsia="es-MX"/>
        </w:rPr>
        <w:t>;</w:t>
      </w:r>
    </w:p>
    <w:p w14:paraId="28D15893" w14:textId="672DB982" w:rsidR="003F7F95" w:rsidRDefault="003F7F95" w:rsidP="001A5DA3">
      <w:pPr>
        <w:pStyle w:val="Prrafodelista"/>
        <w:numPr>
          <w:ilvl w:val="0"/>
          <w:numId w:val="23"/>
        </w:numPr>
        <w:spacing w:before="120" w:after="120"/>
        <w:ind w:left="425" w:hanging="357"/>
        <w:contextualSpacing w:val="0"/>
        <w:jc w:val="both"/>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Se presente una concentración vertical donde las partes adquieran o cuenten previamente con una posición importante en un eslabón de la cadena de valor.</w:t>
      </w:r>
    </w:p>
    <w:p w14:paraId="23313767" w14:textId="1631F019" w:rsidR="00DB5697" w:rsidRDefault="00DB5697" w:rsidP="00475BDA">
      <w:pPr>
        <w:pStyle w:val="Prrafodelista"/>
        <w:numPr>
          <w:ilvl w:val="0"/>
          <w:numId w:val="27"/>
        </w:numPr>
        <w:spacing w:before="120" w:after="120"/>
        <w:ind w:left="0" w:firstLine="0"/>
        <w:contextualSpacing w:val="0"/>
        <w:jc w:val="both"/>
        <w:rPr>
          <w:rFonts w:ascii="ITC Avant Garde" w:hAnsi="ITC Avant Garde"/>
        </w:rPr>
      </w:pPr>
      <w:r w:rsidRPr="000045D9">
        <w:rPr>
          <w:rFonts w:ascii="ITC Avant Garde" w:hAnsi="ITC Avant Garde"/>
        </w:rPr>
        <w:t xml:space="preserve">Además de ser una referencia en la evaluación de concentraciones, el </w:t>
      </w:r>
      <w:r w:rsidR="001D1FD1">
        <w:rPr>
          <w:rFonts w:ascii="ITC Avant Garde" w:hAnsi="ITC Avant Garde"/>
        </w:rPr>
        <w:t>presente Criterio Técnico</w:t>
      </w:r>
      <w:r>
        <w:rPr>
          <w:rFonts w:ascii="ITC Avant Garde" w:hAnsi="ITC Avant Garde"/>
        </w:rPr>
        <w:t xml:space="preserve"> </w:t>
      </w:r>
      <w:r w:rsidRPr="000045D9">
        <w:rPr>
          <w:rFonts w:ascii="ITC Avant Garde" w:hAnsi="ITC Avant Garde"/>
        </w:rPr>
        <w:t xml:space="preserve">también </w:t>
      </w:r>
      <w:r>
        <w:rPr>
          <w:rFonts w:ascii="ITC Avant Garde" w:hAnsi="ITC Avant Garde"/>
        </w:rPr>
        <w:t xml:space="preserve">podrá </w:t>
      </w:r>
      <w:r w:rsidRPr="000045D9">
        <w:rPr>
          <w:rFonts w:ascii="ITC Avant Garde" w:hAnsi="ITC Avant Garde"/>
        </w:rPr>
        <w:t>emplear</w:t>
      </w:r>
      <w:r>
        <w:rPr>
          <w:rFonts w:ascii="ITC Avant Garde" w:hAnsi="ITC Avant Garde"/>
        </w:rPr>
        <w:t xml:space="preserve">se </w:t>
      </w:r>
      <w:r w:rsidRPr="000045D9">
        <w:rPr>
          <w:rFonts w:ascii="ITC Avant Garde" w:hAnsi="ITC Avant Garde"/>
        </w:rPr>
        <w:t xml:space="preserve">en el análisis de </w:t>
      </w:r>
      <w:r>
        <w:rPr>
          <w:rFonts w:ascii="ITC Avant Garde" w:hAnsi="ITC Avant Garde"/>
        </w:rPr>
        <w:t xml:space="preserve">solicitudes de </w:t>
      </w:r>
      <w:r w:rsidRPr="000045D9">
        <w:rPr>
          <w:rFonts w:ascii="ITC Avant Garde" w:hAnsi="ITC Avant Garde"/>
        </w:rPr>
        <w:t xml:space="preserve">otorgamiento </w:t>
      </w:r>
      <w:r>
        <w:rPr>
          <w:rFonts w:ascii="ITC Avant Garde" w:hAnsi="ITC Avant Garde"/>
        </w:rPr>
        <w:t xml:space="preserve">y cesiones </w:t>
      </w:r>
      <w:r w:rsidRPr="000045D9">
        <w:rPr>
          <w:rFonts w:ascii="ITC Avant Garde" w:hAnsi="ITC Avant Garde"/>
        </w:rPr>
        <w:t>de concesiones</w:t>
      </w:r>
      <w:r>
        <w:rPr>
          <w:rFonts w:ascii="ITC Avant Garde" w:hAnsi="ITC Avant Garde"/>
        </w:rPr>
        <w:t xml:space="preserve">; </w:t>
      </w:r>
      <w:r w:rsidRPr="000045D9">
        <w:rPr>
          <w:rFonts w:ascii="ITC Avant Garde" w:hAnsi="ITC Avant Garde"/>
        </w:rPr>
        <w:t>venta de acciones, suscripciones, enajenaciones,</w:t>
      </w:r>
      <w:r>
        <w:rPr>
          <w:rFonts w:ascii="ITC Avant Garde" w:hAnsi="ITC Avant Garde"/>
        </w:rPr>
        <w:t xml:space="preserve"> desincorporaciones o</w:t>
      </w:r>
      <w:r w:rsidRPr="000045D9">
        <w:rPr>
          <w:rFonts w:ascii="ITC Avant Garde" w:hAnsi="ITC Avant Garde"/>
        </w:rPr>
        <w:t xml:space="preserve"> movimientos en la </w:t>
      </w:r>
      <w:r w:rsidRPr="000045D9">
        <w:rPr>
          <w:rFonts w:ascii="ITC Avant Garde" w:hAnsi="ITC Avant Garde"/>
        </w:rPr>
        <w:lastRenderedPageBreak/>
        <w:t>estructura accionaria</w:t>
      </w:r>
      <w:r>
        <w:rPr>
          <w:rFonts w:ascii="ITC Avant Garde" w:hAnsi="ITC Avant Garde"/>
        </w:rPr>
        <w:t xml:space="preserve"> de agentes económicos;</w:t>
      </w:r>
      <w:r w:rsidRPr="000045D9">
        <w:rPr>
          <w:rFonts w:ascii="ITC Avant Garde" w:hAnsi="ITC Avant Garde"/>
        </w:rPr>
        <w:t xml:space="preserve"> arrendamiento</w:t>
      </w:r>
      <w:r>
        <w:rPr>
          <w:rFonts w:ascii="ITC Avant Garde" w:hAnsi="ITC Avant Garde"/>
        </w:rPr>
        <w:t xml:space="preserve"> o</w:t>
      </w:r>
      <w:r w:rsidRPr="000045D9">
        <w:rPr>
          <w:rFonts w:ascii="ITC Avant Garde" w:hAnsi="ITC Avant Garde"/>
        </w:rPr>
        <w:t xml:space="preserve"> cambio de bandas</w:t>
      </w:r>
      <w:r>
        <w:rPr>
          <w:rFonts w:ascii="ITC Avant Garde" w:hAnsi="ITC Avant Garde"/>
        </w:rPr>
        <w:t xml:space="preserve"> de frecuencias del espectro radioeléctrico.</w:t>
      </w:r>
    </w:p>
    <w:p w14:paraId="538A2C26" w14:textId="18959EBC" w:rsidR="00DB5697" w:rsidRDefault="00DB5697" w:rsidP="00E9016C">
      <w:pPr>
        <w:pStyle w:val="Default"/>
        <w:spacing w:before="120" w:after="120" w:line="276" w:lineRule="auto"/>
        <w:jc w:val="both"/>
        <w:rPr>
          <w:rFonts w:ascii="ITC Avant Garde" w:hAnsi="ITC Avant Garde" w:cs="Times New Roman"/>
          <w:b/>
        </w:rPr>
      </w:pPr>
      <w:r>
        <w:rPr>
          <w:rFonts w:ascii="ITC Avant Garde" w:hAnsi="ITC Avant Garde"/>
          <w:color w:val="auto"/>
          <w:sz w:val="22"/>
          <w:szCs w:val="22"/>
        </w:rPr>
        <w:t>Asimismo,</w:t>
      </w:r>
      <w:r w:rsidRPr="000045D9">
        <w:rPr>
          <w:rFonts w:ascii="ITC Avant Garde" w:hAnsi="ITC Avant Garde"/>
          <w:color w:val="auto"/>
          <w:sz w:val="22"/>
          <w:szCs w:val="22"/>
        </w:rPr>
        <w:t xml:space="preserve"> </w:t>
      </w:r>
      <w:r>
        <w:rPr>
          <w:rFonts w:ascii="ITC Avant Garde" w:hAnsi="ITC Avant Garde"/>
          <w:color w:val="auto"/>
          <w:sz w:val="22"/>
          <w:szCs w:val="22"/>
        </w:rPr>
        <w:t xml:space="preserve">el Instituto podrá utilizar el IHH </w:t>
      </w:r>
      <w:r w:rsidRPr="000045D9">
        <w:rPr>
          <w:rFonts w:ascii="ITC Avant Garde" w:hAnsi="ITC Avant Garde"/>
          <w:color w:val="auto"/>
          <w:sz w:val="22"/>
          <w:szCs w:val="22"/>
        </w:rPr>
        <w:t xml:space="preserve">como </w:t>
      </w:r>
      <w:r w:rsidRPr="000045D9">
        <w:rPr>
          <w:rFonts w:ascii="ITC Avant Garde" w:hAnsi="ITC Avant Garde"/>
          <w:sz w:val="22"/>
          <w:szCs w:val="22"/>
        </w:rPr>
        <w:t xml:space="preserve">un indicador del grado de concentración </w:t>
      </w:r>
      <w:r w:rsidRPr="000045D9">
        <w:rPr>
          <w:rFonts w:ascii="ITC Avant Garde" w:hAnsi="ITC Avant Garde"/>
          <w:color w:val="auto"/>
          <w:sz w:val="22"/>
          <w:szCs w:val="22"/>
        </w:rPr>
        <w:t xml:space="preserve">en </w:t>
      </w:r>
      <w:r>
        <w:rPr>
          <w:rFonts w:ascii="ITC Avant Garde" w:hAnsi="ITC Avant Garde"/>
          <w:color w:val="auto"/>
          <w:sz w:val="22"/>
          <w:szCs w:val="22"/>
        </w:rPr>
        <w:t xml:space="preserve">el análisis de existencia de </w:t>
      </w:r>
      <w:r w:rsidRPr="000045D9">
        <w:rPr>
          <w:rFonts w:ascii="ITC Avant Garde" w:hAnsi="ITC Avant Garde"/>
          <w:color w:val="auto"/>
          <w:sz w:val="22"/>
          <w:szCs w:val="22"/>
        </w:rPr>
        <w:t xml:space="preserve">poder sustancial, condiciones de competencia </w:t>
      </w:r>
      <w:r>
        <w:rPr>
          <w:rFonts w:ascii="ITC Avant Garde" w:hAnsi="ITC Avant Garde"/>
          <w:color w:val="auto"/>
          <w:sz w:val="22"/>
          <w:szCs w:val="22"/>
        </w:rPr>
        <w:t xml:space="preserve">efectiva </w:t>
      </w:r>
      <w:r>
        <w:rPr>
          <w:rFonts w:ascii="ITC Avant Garde" w:hAnsi="ITC Avant Garde"/>
          <w:sz w:val="22"/>
          <w:szCs w:val="22"/>
        </w:rPr>
        <w:t xml:space="preserve">u </w:t>
      </w:r>
      <w:r w:rsidRPr="000045D9">
        <w:rPr>
          <w:rFonts w:ascii="ITC Avant Garde" w:hAnsi="ITC Avant Garde"/>
          <w:color w:val="auto"/>
          <w:sz w:val="22"/>
          <w:szCs w:val="22"/>
        </w:rPr>
        <w:t xml:space="preserve">otros asuntos en materia de libre concurrencia y competencia económica que el Instituto tenga </w:t>
      </w:r>
      <w:r w:rsidRPr="009B2E71">
        <w:rPr>
          <w:rFonts w:ascii="ITC Avant Garde" w:hAnsi="ITC Avant Garde"/>
          <w:color w:val="auto"/>
          <w:sz w:val="22"/>
          <w:szCs w:val="22"/>
        </w:rPr>
        <w:t xml:space="preserve">facultades de estudiar y resolver en términos de lo que indica la </w:t>
      </w:r>
      <w:r w:rsidR="005E31D1">
        <w:rPr>
          <w:rFonts w:ascii="ITC Avant Garde" w:hAnsi="ITC Avant Garde"/>
          <w:color w:val="auto"/>
          <w:sz w:val="22"/>
          <w:szCs w:val="22"/>
        </w:rPr>
        <w:t>Ley Federal de Competencia Económica (</w:t>
      </w:r>
      <w:r w:rsidRPr="009B2E71">
        <w:rPr>
          <w:rFonts w:ascii="ITC Avant Garde" w:hAnsi="ITC Avant Garde"/>
          <w:color w:val="auto"/>
          <w:sz w:val="22"/>
          <w:szCs w:val="22"/>
        </w:rPr>
        <w:t>LFCE</w:t>
      </w:r>
      <w:r w:rsidR="005E31D1">
        <w:rPr>
          <w:rFonts w:ascii="ITC Avant Garde" w:hAnsi="ITC Avant Garde"/>
          <w:color w:val="auto"/>
          <w:sz w:val="22"/>
          <w:szCs w:val="22"/>
        </w:rPr>
        <w:t>)</w:t>
      </w:r>
      <w:r w:rsidRPr="009B2E71">
        <w:rPr>
          <w:rFonts w:ascii="ITC Avant Garde" w:hAnsi="ITC Avant Garde"/>
          <w:color w:val="auto"/>
          <w:sz w:val="22"/>
          <w:szCs w:val="22"/>
        </w:rPr>
        <w:t>, la</w:t>
      </w:r>
      <w:r w:rsidR="005E31D1" w:rsidRPr="005E31D1">
        <w:t xml:space="preserve"> </w:t>
      </w:r>
      <w:r w:rsidR="005E31D1" w:rsidRPr="005E31D1">
        <w:rPr>
          <w:rFonts w:ascii="ITC Avant Garde" w:hAnsi="ITC Avant Garde"/>
          <w:color w:val="auto"/>
          <w:sz w:val="22"/>
          <w:szCs w:val="22"/>
        </w:rPr>
        <w:t>Ley Federal de Telecom</w:t>
      </w:r>
      <w:r w:rsidR="005E31D1">
        <w:rPr>
          <w:rFonts w:ascii="ITC Avant Garde" w:hAnsi="ITC Avant Garde"/>
          <w:color w:val="auto"/>
          <w:sz w:val="22"/>
          <w:szCs w:val="22"/>
        </w:rPr>
        <w:t>unicaciones y Radiodifusión</w:t>
      </w:r>
      <w:r w:rsidRPr="009B2E71">
        <w:rPr>
          <w:rFonts w:ascii="ITC Avant Garde" w:hAnsi="ITC Avant Garde"/>
          <w:color w:val="auto"/>
          <w:sz w:val="22"/>
          <w:szCs w:val="22"/>
        </w:rPr>
        <w:t xml:space="preserve"> </w:t>
      </w:r>
      <w:r w:rsidR="005E31D1">
        <w:rPr>
          <w:rFonts w:ascii="ITC Avant Garde" w:hAnsi="ITC Avant Garde"/>
          <w:color w:val="auto"/>
          <w:sz w:val="22"/>
          <w:szCs w:val="22"/>
        </w:rPr>
        <w:t>(</w:t>
      </w:r>
      <w:r w:rsidRPr="009B2E71">
        <w:rPr>
          <w:rFonts w:ascii="ITC Avant Garde" w:hAnsi="ITC Avant Garde"/>
          <w:color w:val="auto"/>
          <w:sz w:val="22"/>
          <w:szCs w:val="22"/>
        </w:rPr>
        <w:t>LFTR</w:t>
      </w:r>
      <w:r w:rsidR="005E31D1">
        <w:rPr>
          <w:rFonts w:ascii="ITC Avant Garde" w:hAnsi="ITC Avant Garde"/>
          <w:color w:val="auto"/>
          <w:sz w:val="22"/>
          <w:szCs w:val="22"/>
        </w:rPr>
        <w:t>)</w:t>
      </w:r>
      <w:r w:rsidRPr="009B2E71">
        <w:rPr>
          <w:rFonts w:ascii="ITC Avant Garde" w:hAnsi="ITC Avant Garde"/>
          <w:color w:val="auto"/>
          <w:sz w:val="22"/>
          <w:szCs w:val="22"/>
        </w:rPr>
        <w:t xml:space="preserve"> y las </w:t>
      </w:r>
      <w:r w:rsidR="005E31D1" w:rsidRPr="005E31D1">
        <w:rPr>
          <w:rFonts w:ascii="ITC Avant Garde" w:hAnsi="ITC Avant Garde"/>
          <w:color w:val="auto"/>
          <w:sz w:val="22"/>
          <w:szCs w:val="22"/>
        </w:rPr>
        <w:t>Disposiciones Regulatorias de la Ley Federal de Competencia Económica para los sectores de telecomunicaciones y radiodifusión</w:t>
      </w:r>
      <w:r w:rsidR="005E31D1" w:rsidRPr="009B2E71">
        <w:rPr>
          <w:rFonts w:ascii="ITC Avant Garde" w:hAnsi="ITC Avant Garde"/>
          <w:color w:val="auto"/>
          <w:sz w:val="22"/>
          <w:szCs w:val="22"/>
        </w:rPr>
        <w:t xml:space="preserve"> </w:t>
      </w:r>
      <w:r w:rsidR="005E31D1">
        <w:rPr>
          <w:rFonts w:ascii="ITC Avant Garde" w:hAnsi="ITC Avant Garde"/>
          <w:color w:val="auto"/>
          <w:sz w:val="22"/>
          <w:szCs w:val="22"/>
        </w:rPr>
        <w:t>(</w:t>
      </w:r>
      <w:r w:rsidRPr="009B2E71">
        <w:rPr>
          <w:rFonts w:ascii="ITC Avant Garde" w:hAnsi="ITC Avant Garde"/>
          <w:color w:val="auto"/>
          <w:sz w:val="22"/>
          <w:szCs w:val="22"/>
        </w:rPr>
        <w:t>Disposiciones Regulatorias</w:t>
      </w:r>
      <w:r w:rsidR="005E31D1">
        <w:rPr>
          <w:rFonts w:ascii="ITC Avant Garde" w:hAnsi="ITC Avant Garde"/>
          <w:color w:val="auto"/>
          <w:sz w:val="22"/>
          <w:szCs w:val="22"/>
        </w:rPr>
        <w:t>)</w:t>
      </w:r>
      <w:r w:rsidRPr="009B2E71">
        <w:rPr>
          <w:rFonts w:ascii="ITC Avant Garde" w:hAnsi="ITC Avant Garde"/>
          <w:color w:val="auto"/>
          <w:sz w:val="22"/>
          <w:szCs w:val="22"/>
        </w:rPr>
        <w:t>.</w:t>
      </w:r>
      <w:r w:rsidR="009B2E71" w:rsidRPr="009B2E71">
        <w:rPr>
          <w:rFonts w:ascii="ITC Avant Garde" w:hAnsi="ITC Avant Garde"/>
          <w:sz w:val="22"/>
          <w:szCs w:val="22"/>
        </w:rPr>
        <w:t xml:space="preserve"> El Instituto también podrá utilizar el índice de concentración como un indicador del grado de concentración en mercados relacionados</w:t>
      </w:r>
      <w:r w:rsidR="00AA5798">
        <w:rPr>
          <w:rFonts w:ascii="ITC Avant Garde" w:hAnsi="ITC Avant Garde"/>
          <w:sz w:val="22"/>
          <w:szCs w:val="22"/>
        </w:rPr>
        <w:t>.</w:t>
      </w:r>
    </w:p>
    <w:p w14:paraId="63F69677" w14:textId="35569A32" w:rsidR="00454E62" w:rsidRDefault="00454E62" w:rsidP="00E9016C">
      <w:pPr>
        <w:pStyle w:val="Prrafodelista"/>
        <w:numPr>
          <w:ilvl w:val="0"/>
          <w:numId w:val="27"/>
        </w:numPr>
        <w:spacing w:before="120" w:after="120"/>
        <w:ind w:left="0" w:firstLine="0"/>
        <w:contextualSpacing w:val="0"/>
        <w:jc w:val="both"/>
        <w:rPr>
          <w:rFonts w:ascii="ITC Avant Garde" w:hAnsi="ITC Avant Garde"/>
        </w:rPr>
      </w:pPr>
      <w:r w:rsidRPr="000045D9">
        <w:rPr>
          <w:rFonts w:ascii="ITC Avant Garde" w:hAnsi="ITC Avant Garde"/>
        </w:rPr>
        <w:t>En ningún caso</w:t>
      </w:r>
      <w:r w:rsidRPr="00454E62">
        <w:rPr>
          <w:rFonts w:ascii="ITC Avant Garde" w:hAnsi="ITC Avant Garde"/>
        </w:rPr>
        <w:t xml:space="preserve"> </w:t>
      </w:r>
      <w:r w:rsidRPr="000045D9">
        <w:rPr>
          <w:rFonts w:ascii="ITC Avant Garde" w:hAnsi="ITC Avant Garde"/>
        </w:rPr>
        <w:t xml:space="preserve">el Instituto tomará sus decisiones utilizando como único elemento de análisis </w:t>
      </w:r>
      <w:r>
        <w:rPr>
          <w:rFonts w:ascii="ITC Avant Garde" w:hAnsi="ITC Avant Garde"/>
        </w:rPr>
        <w:t xml:space="preserve">el IHH y los umbrales. </w:t>
      </w:r>
      <w:r w:rsidR="00C409E2">
        <w:rPr>
          <w:rFonts w:ascii="ITC Avant Garde" w:hAnsi="ITC Avant Garde"/>
        </w:rPr>
        <w:t>E</w:t>
      </w:r>
      <w:r>
        <w:rPr>
          <w:rFonts w:ascii="ITC Avant Garde" w:hAnsi="ITC Avant Garde"/>
        </w:rPr>
        <w:t xml:space="preserve">l Instituto </w:t>
      </w:r>
      <w:r w:rsidRPr="000045D9">
        <w:rPr>
          <w:rFonts w:ascii="ITC Avant Garde" w:hAnsi="ITC Avant Garde"/>
        </w:rPr>
        <w:t>considerar</w:t>
      </w:r>
      <w:r w:rsidR="004550C1">
        <w:rPr>
          <w:rFonts w:ascii="ITC Avant Garde" w:hAnsi="ITC Avant Garde"/>
        </w:rPr>
        <w:t>á</w:t>
      </w:r>
      <w:r>
        <w:rPr>
          <w:rFonts w:ascii="ITC Avant Garde" w:hAnsi="ITC Avant Garde"/>
        </w:rPr>
        <w:t xml:space="preserve">, según corresponda, </w:t>
      </w:r>
      <w:r w:rsidRPr="000045D9">
        <w:rPr>
          <w:rFonts w:ascii="ITC Avant Garde" w:hAnsi="ITC Avant Garde"/>
        </w:rPr>
        <w:t>los elementos previstos en los artículos 58, 59,</w:t>
      </w:r>
      <w:r>
        <w:rPr>
          <w:rFonts w:ascii="ITC Avant Garde" w:hAnsi="ITC Avant Garde"/>
        </w:rPr>
        <w:t xml:space="preserve"> </w:t>
      </w:r>
      <w:r w:rsidRPr="000045D9">
        <w:rPr>
          <w:rFonts w:ascii="ITC Avant Garde" w:hAnsi="ITC Avant Garde"/>
        </w:rPr>
        <w:t>63 y 64 de</w:t>
      </w:r>
      <w:r w:rsidR="00455B39">
        <w:rPr>
          <w:rFonts w:ascii="ITC Avant Garde" w:hAnsi="ITC Avant Garde"/>
        </w:rPr>
        <w:t xml:space="preserve"> </w:t>
      </w:r>
      <w:r>
        <w:rPr>
          <w:rFonts w:ascii="ITC Avant Garde" w:hAnsi="ITC Avant Garde"/>
        </w:rPr>
        <w:t>l</w:t>
      </w:r>
      <w:r w:rsidR="00455B39">
        <w:rPr>
          <w:rFonts w:ascii="ITC Avant Garde" w:hAnsi="ITC Avant Garde"/>
        </w:rPr>
        <w:t>a LFCE</w:t>
      </w:r>
      <w:r w:rsidRPr="000045D9">
        <w:rPr>
          <w:rFonts w:ascii="ITC Avant Garde" w:hAnsi="ITC Avant Garde"/>
        </w:rPr>
        <w:t xml:space="preserve"> y los </w:t>
      </w:r>
      <w:r>
        <w:rPr>
          <w:rFonts w:ascii="ITC Avant Garde" w:hAnsi="ITC Avant Garde"/>
        </w:rPr>
        <w:t>relacionados de</w:t>
      </w:r>
      <w:r w:rsidRPr="000045D9">
        <w:rPr>
          <w:rFonts w:ascii="ITC Avant Garde" w:hAnsi="ITC Avant Garde"/>
        </w:rPr>
        <w:t xml:space="preserve"> las Disposiciones Regulatorias, tales como barreras a la entrada, poder sustancial de mercado, acceso a fuentes de insumos, comportamiento reciente de los agentes, así como los efectos de la concentración analizada y las eficiencias económicas derivadas de la misma.</w:t>
      </w:r>
    </w:p>
    <w:p w14:paraId="1CBA667F" w14:textId="41369709" w:rsidR="001A5DA3" w:rsidRDefault="001A5DA3" w:rsidP="00E9016C">
      <w:pPr>
        <w:pStyle w:val="Prrafodelista"/>
        <w:numPr>
          <w:ilvl w:val="0"/>
          <w:numId w:val="27"/>
        </w:numPr>
        <w:spacing w:before="120" w:after="120"/>
        <w:ind w:left="0" w:firstLine="0"/>
        <w:contextualSpacing w:val="0"/>
        <w:jc w:val="both"/>
        <w:rPr>
          <w:rFonts w:ascii="ITC Avant Garde" w:hAnsi="ITC Avant Garde"/>
        </w:rPr>
      </w:pPr>
      <w:r>
        <w:rPr>
          <w:rFonts w:ascii="ITC Avant Garde" w:hAnsi="ITC Avant Garde"/>
        </w:rPr>
        <w:lastRenderedPageBreak/>
        <w:t xml:space="preserve">El presente </w:t>
      </w:r>
      <w:r w:rsidR="001064F7">
        <w:rPr>
          <w:rFonts w:ascii="ITC Avant Garde" w:hAnsi="ITC Avant Garde"/>
        </w:rPr>
        <w:t>C</w:t>
      </w:r>
      <w:r>
        <w:rPr>
          <w:rFonts w:ascii="ITC Avant Garde" w:hAnsi="ITC Avant Garde"/>
        </w:rPr>
        <w:t xml:space="preserve">riterio </w:t>
      </w:r>
      <w:r w:rsidR="001064F7">
        <w:rPr>
          <w:rFonts w:ascii="ITC Avant Garde" w:hAnsi="ITC Avant Garde"/>
        </w:rPr>
        <w:t>T</w:t>
      </w:r>
      <w:r>
        <w:rPr>
          <w:rFonts w:ascii="ITC Avant Garde" w:hAnsi="ITC Avant Garde"/>
        </w:rPr>
        <w:t xml:space="preserve">écnico no se aplicará </w:t>
      </w:r>
      <w:r w:rsidR="003F7F95" w:rsidRPr="005E31A5">
        <w:rPr>
          <w:rFonts w:ascii="ITC Avant Garde" w:hAnsi="ITC Avant Garde"/>
        </w:rPr>
        <w:t>a nivel de sector</w:t>
      </w:r>
      <w:r w:rsidR="003F7F95">
        <w:rPr>
          <w:rFonts w:ascii="ITC Avant Garde" w:hAnsi="ITC Avant Garde"/>
        </w:rPr>
        <w:t xml:space="preserve"> </w:t>
      </w:r>
      <w:r>
        <w:rPr>
          <w:rFonts w:ascii="ITC Avant Garde" w:hAnsi="ITC Avant Garde"/>
        </w:rPr>
        <w:t>c</w:t>
      </w:r>
      <w:r w:rsidRPr="000045D9">
        <w:rPr>
          <w:rFonts w:ascii="ITC Avant Garde" w:hAnsi="ITC Avant Garde"/>
        </w:rPr>
        <w:t xml:space="preserve">uando el Instituto resuelva </w:t>
      </w:r>
      <w:r w:rsidR="00CB6A33">
        <w:rPr>
          <w:rFonts w:ascii="ITC Avant Garde" w:hAnsi="ITC Avant Garde"/>
        </w:rPr>
        <w:t>procedimientos</w:t>
      </w:r>
      <w:r w:rsidR="00403C44">
        <w:rPr>
          <w:rFonts w:ascii="ITC Avant Garde" w:hAnsi="ITC Avant Garde"/>
        </w:rPr>
        <w:t xml:space="preserve"> </w:t>
      </w:r>
      <w:r w:rsidRPr="000045D9">
        <w:rPr>
          <w:rFonts w:ascii="ITC Avant Garde" w:hAnsi="ITC Avant Garde"/>
        </w:rPr>
        <w:t xml:space="preserve">conforme a lo establecido en el artículo </w:t>
      </w:r>
      <w:r w:rsidR="004550C1">
        <w:rPr>
          <w:rFonts w:ascii="ITC Avant Garde" w:hAnsi="ITC Avant Garde"/>
        </w:rPr>
        <w:t>n</w:t>
      </w:r>
      <w:r w:rsidRPr="000045D9">
        <w:rPr>
          <w:rFonts w:ascii="ITC Avant Garde" w:hAnsi="ITC Avant Garde"/>
        </w:rPr>
        <w:t xml:space="preserve">oveno </w:t>
      </w:r>
      <w:r w:rsidR="004550C1">
        <w:rPr>
          <w:rFonts w:ascii="ITC Avant Garde" w:hAnsi="ITC Avant Garde"/>
        </w:rPr>
        <w:t>t</w:t>
      </w:r>
      <w:r w:rsidRPr="000045D9">
        <w:rPr>
          <w:rFonts w:ascii="ITC Avant Garde" w:hAnsi="ITC Avant Garde"/>
        </w:rPr>
        <w:t>ransitorio</w:t>
      </w:r>
      <w:r>
        <w:rPr>
          <w:rFonts w:ascii="ITC Avant Garde" w:hAnsi="ITC Avant Garde"/>
        </w:rPr>
        <w:t xml:space="preserve">, </w:t>
      </w:r>
      <w:r w:rsidRPr="000045D9">
        <w:rPr>
          <w:rFonts w:ascii="ITC Avant Garde" w:hAnsi="ITC Avant Garde"/>
        </w:rPr>
        <w:t>párrafos primero a cuarto</w:t>
      </w:r>
      <w:r>
        <w:rPr>
          <w:rFonts w:ascii="ITC Avant Garde" w:hAnsi="ITC Avant Garde"/>
        </w:rPr>
        <w:t>, del Decreto que expide la LFTR</w:t>
      </w:r>
      <w:r w:rsidRPr="000045D9">
        <w:rPr>
          <w:rFonts w:ascii="ITC Avant Garde" w:hAnsi="ITC Avant Garde"/>
        </w:rPr>
        <w:t>,</w:t>
      </w:r>
      <w:r w:rsidRPr="001D1FD1">
        <w:rPr>
          <w:rFonts w:ascii="ITC Avant Garde" w:hAnsi="ITC Avant Garde"/>
          <w:vertAlign w:val="superscript"/>
        </w:rPr>
        <w:footnoteReference w:id="3"/>
      </w:r>
      <w:r w:rsidRPr="000045D9">
        <w:rPr>
          <w:rFonts w:ascii="ITC Avant Garde" w:hAnsi="ITC Avant Garde"/>
        </w:rPr>
        <w:t xml:space="preserve"> </w:t>
      </w:r>
      <w:r>
        <w:rPr>
          <w:rFonts w:ascii="ITC Avant Garde" w:hAnsi="ITC Avant Garde"/>
        </w:rPr>
        <w:t>el cual señala explícitamente el cálculo y aplicación</w:t>
      </w:r>
      <w:r w:rsidRPr="000045D9">
        <w:rPr>
          <w:rFonts w:ascii="ITC Avant Garde" w:hAnsi="ITC Avant Garde"/>
        </w:rPr>
        <w:t xml:space="preserve"> </w:t>
      </w:r>
      <w:r w:rsidRPr="00811EF2">
        <w:rPr>
          <w:rFonts w:ascii="ITC Avant Garde" w:hAnsi="ITC Avant Garde"/>
        </w:rPr>
        <w:t>del Índice de Dominancia, el</w:t>
      </w:r>
      <w:r w:rsidRPr="000045D9">
        <w:rPr>
          <w:rFonts w:ascii="ITC Avant Garde" w:hAnsi="ITC Avant Garde"/>
        </w:rPr>
        <w:t xml:space="preserve"> </w:t>
      </w:r>
      <w:r>
        <w:rPr>
          <w:rFonts w:ascii="ITC Avant Garde" w:hAnsi="ITC Avant Garde"/>
        </w:rPr>
        <w:t>IHH</w:t>
      </w:r>
      <w:r w:rsidRPr="000045D9">
        <w:rPr>
          <w:rFonts w:ascii="ITC Avant Garde" w:hAnsi="ITC Avant Garde"/>
        </w:rPr>
        <w:t xml:space="preserve"> y la ∆HH.</w:t>
      </w:r>
    </w:p>
    <w:p w14:paraId="35FAC51E" w14:textId="3C272C39" w:rsidR="001A5DA3" w:rsidRDefault="001A5DA3" w:rsidP="00E9016C">
      <w:pPr>
        <w:pStyle w:val="Prrafodelista"/>
        <w:numPr>
          <w:ilvl w:val="0"/>
          <w:numId w:val="27"/>
        </w:numPr>
        <w:spacing w:before="120" w:after="120"/>
        <w:ind w:left="0" w:firstLine="0"/>
        <w:contextualSpacing w:val="0"/>
        <w:jc w:val="both"/>
        <w:rPr>
          <w:rFonts w:ascii="ITC Avant Garde" w:hAnsi="ITC Avant Garde"/>
        </w:rPr>
      </w:pPr>
      <w:r w:rsidRPr="000045D9">
        <w:rPr>
          <w:rFonts w:ascii="ITC Avant Garde" w:hAnsi="ITC Avant Garde"/>
        </w:rPr>
        <w:t xml:space="preserve">En términos del artículo 110 de la LFCE, el Instituto, a través de la Unidad de Competencia Económica, ofrecerá orientación a cualquier persona física o moral, así como a cualquier Autoridad Pública, en relación con la aplicación de este </w:t>
      </w:r>
      <w:r w:rsidR="00073293">
        <w:rPr>
          <w:rFonts w:ascii="ITC Avant Garde" w:hAnsi="ITC Avant Garde"/>
        </w:rPr>
        <w:t>C</w:t>
      </w:r>
      <w:r w:rsidRPr="000045D9">
        <w:rPr>
          <w:rFonts w:ascii="ITC Avant Garde" w:hAnsi="ITC Avant Garde"/>
        </w:rPr>
        <w:t xml:space="preserve">riterio </w:t>
      </w:r>
      <w:r w:rsidR="00073293">
        <w:rPr>
          <w:rFonts w:ascii="ITC Avant Garde" w:hAnsi="ITC Avant Garde"/>
        </w:rPr>
        <w:t>T</w:t>
      </w:r>
      <w:r w:rsidRPr="000045D9">
        <w:rPr>
          <w:rFonts w:ascii="ITC Avant Garde" w:hAnsi="ITC Avant Garde"/>
        </w:rPr>
        <w:t>écnico.</w:t>
      </w:r>
    </w:p>
    <w:p w14:paraId="3265EA3E" w14:textId="77777777" w:rsidR="004550C1" w:rsidRPr="000045D9" w:rsidRDefault="004550C1" w:rsidP="004550C1">
      <w:pPr>
        <w:pStyle w:val="Prrafodelista"/>
        <w:spacing w:before="120" w:after="120"/>
        <w:ind w:left="0" w:right="-1"/>
        <w:jc w:val="both"/>
        <w:rPr>
          <w:rFonts w:ascii="ITC Avant Garde" w:hAnsi="ITC Avant Garde"/>
        </w:rPr>
      </w:pPr>
    </w:p>
    <w:p w14:paraId="0337F0B5" w14:textId="77777777" w:rsidR="001A5DA3" w:rsidRPr="000045D9" w:rsidRDefault="001A5DA3" w:rsidP="001A5DA3">
      <w:pPr>
        <w:pStyle w:val="Default"/>
        <w:keepNext/>
        <w:spacing w:before="120" w:after="120" w:line="276" w:lineRule="auto"/>
        <w:jc w:val="center"/>
        <w:rPr>
          <w:rFonts w:ascii="ITC Avant Garde" w:hAnsi="ITC Avant Garde"/>
          <w:b/>
          <w:sz w:val="22"/>
          <w:szCs w:val="22"/>
        </w:rPr>
      </w:pPr>
      <w:r w:rsidRPr="000045D9">
        <w:rPr>
          <w:rFonts w:ascii="ITC Avant Garde" w:hAnsi="ITC Avant Garde"/>
          <w:b/>
          <w:sz w:val="22"/>
          <w:szCs w:val="22"/>
        </w:rPr>
        <w:t>TRANSITORIOS</w:t>
      </w:r>
    </w:p>
    <w:p w14:paraId="45A1789B" w14:textId="5E17C00F" w:rsidR="001A5DA3" w:rsidRPr="000045D9" w:rsidRDefault="001A5DA3" w:rsidP="001A5DA3">
      <w:pPr>
        <w:pStyle w:val="Default"/>
        <w:spacing w:before="120" w:after="120" w:line="276" w:lineRule="auto"/>
        <w:ind w:right="-1"/>
        <w:jc w:val="both"/>
        <w:rPr>
          <w:rFonts w:ascii="ITC Avant Garde" w:hAnsi="ITC Avant Garde"/>
          <w:sz w:val="22"/>
          <w:szCs w:val="22"/>
        </w:rPr>
      </w:pPr>
      <w:r w:rsidRPr="000045D9">
        <w:rPr>
          <w:rFonts w:ascii="ITC Avant Garde" w:hAnsi="ITC Avant Garde"/>
          <w:b/>
          <w:sz w:val="22"/>
          <w:szCs w:val="22"/>
        </w:rPr>
        <w:t>Primero</w:t>
      </w:r>
      <w:r w:rsidRPr="000045D9">
        <w:rPr>
          <w:rFonts w:ascii="ITC Avant Garde" w:hAnsi="ITC Avant Garde"/>
          <w:sz w:val="22"/>
          <w:szCs w:val="22"/>
        </w:rPr>
        <w:t xml:space="preserve">. El presente </w:t>
      </w:r>
      <w:r w:rsidR="00073293">
        <w:rPr>
          <w:rFonts w:ascii="ITC Avant Garde" w:hAnsi="ITC Avant Garde"/>
          <w:sz w:val="22"/>
          <w:szCs w:val="22"/>
        </w:rPr>
        <w:t>C</w:t>
      </w:r>
      <w:r w:rsidRPr="000045D9">
        <w:rPr>
          <w:rFonts w:ascii="ITC Avant Garde" w:hAnsi="ITC Avant Garde"/>
          <w:sz w:val="22"/>
          <w:szCs w:val="22"/>
        </w:rPr>
        <w:t xml:space="preserve">riterio </w:t>
      </w:r>
      <w:r w:rsidR="00073293">
        <w:rPr>
          <w:rFonts w:ascii="ITC Avant Garde" w:hAnsi="ITC Avant Garde"/>
          <w:sz w:val="22"/>
          <w:szCs w:val="22"/>
        </w:rPr>
        <w:t>T</w:t>
      </w:r>
      <w:r w:rsidRPr="000045D9">
        <w:rPr>
          <w:rFonts w:ascii="ITC Avant Garde" w:hAnsi="ITC Avant Garde"/>
          <w:sz w:val="22"/>
          <w:szCs w:val="22"/>
        </w:rPr>
        <w:t xml:space="preserve">écnico </w:t>
      </w:r>
      <w:r w:rsidRPr="00642494">
        <w:rPr>
          <w:rFonts w:ascii="ITC Avant Garde" w:hAnsi="ITC Avant Garde"/>
          <w:sz w:val="22"/>
          <w:szCs w:val="22"/>
        </w:rPr>
        <w:t xml:space="preserve">entrará en vigor </w:t>
      </w:r>
      <w:r w:rsidR="007F6A03">
        <w:rPr>
          <w:rFonts w:ascii="ITC Avant Garde" w:hAnsi="ITC Avant Garde"/>
          <w:sz w:val="22"/>
          <w:szCs w:val="22"/>
        </w:rPr>
        <w:t>e</w:t>
      </w:r>
      <w:r w:rsidR="0043753B">
        <w:rPr>
          <w:rFonts w:ascii="ITC Avant Garde" w:hAnsi="ITC Avant Garde"/>
          <w:sz w:val="22"/>
          <w:szCs w:val="22"/>
        </w:rPr>
        <w:t xml:space="preserve">l día </w:t>
      </w:r>
      <w:r w:rsidR="007F6A03">
        <w:rPr>
          <w:rFonts w:ascii="ITC Avant Garde" w:hAnsi="ITC Avant Garde"/>
          <w:sz w:val="22"/>
          <w:szCs w:val="22"/>
        </w:rPr>
        <w:t xml:space="preserve">hábil </w:t>
      </w:r>
      <w:r w:rsidR="0043753B">
        <w:rPr>
          <w:rFonts w:ascii="ITC Avant Garde" w:hAnsi="ITC Avant Garde"/>
          <w:sz w:val="22"/>
          <w:szCs w:val="22"/>
        </w:rPr>
        <w:t>siguiente</w:t>
      </w:r>
      <w:r>
        <w:rPr>
          <w:rFonts w:ascii="ITC Avant Garde" w:hAnsi="ITC Avant Garde"/>
          <w:sz w:val="22"/>
          <w:szCs w:val="22"/>
        </w:rPr>
        <w:t xml:space="preserve"> </w:t>
      </w:r>
      <w:r w:rsidRPr="000045D9">
        <w:rPr>
          <w:rFonts w:ascii="ITC Avant Garde" w:hAnsi="ITC Avant Garde"/>
          <w:sz w:val="22"/>
          <w:szCs w:val="22"/>
        </w:rPr>
        <w:t>de su publicación en el Diario Oficial de la Federación.</w:t>
      </w:r>
    </w:p>
    <w:p w14:paraId="3D9307CF" w14:textId="502FD936" w:rsidR="001A5DA3" w:rsidRPr="000045D9" w:rsidRDefault="001A5DA3" w:rsidP="001A5DA3">
      <w:pPr>
        <w:pStyle w:val="Default"/>
        <w:spacing w:before="120" w:after="120" w:line="276" w:lineRule="auto"/>
        <w:ind w:right="-1"/>
        <w:jc w:val="both"/>
        <w:rPr>
          <w:rFonts w:ascii="ITC Avant Garde" w:hAnsi="ITC Avant Garde"/>
          <w:sz w:val="22"/>
          <w:szCs w:val="22"/>
        </w:rPr>
      </w:pPr>
      <w:r w:rsidRPr="000045D9">
        <w:rPr>
          <w:rFonts w:ascii="ITC Avant Garde" w:hAnsi="ITC Avant Garde"/>
          <w:b/>
          <w:sz w:val="22"/>
          <w:szCs w:val="22"/>
        </w:rPr>
        <w:lastRenderedPageBreak/>
        <w:t>Segundo</w:t>
      </w:r>
      <w:r w:rsidRPr="000045D9">
        <w:rPr>
          <w:rFonts w:ascii="ITC Avant Garde" w:hAnsi="ITC Avant Garde"/>
          <w:sz w:val="22"/>
          <w:szCs w:val="22"/>
        </w:rPr>
        <w:t xml:space="preserve">. En términos del artículo </w:t>
      </w:r>
      <w:r w:rsidR="004550C1">
        <w:rPr>
          <w:rFonts w:ascii="ITC Avant Garde" w:hAnsi="ITC Avant Garde"/>
          <w:sz w:val="22"/>
          <w:szCs w:val="22"/>
        </w:rPr>
        <w:t>c</w:t>
      </w:r>
      <w:r w:rsidRPr="000045D9">
        <w:rPr>
          <w:rFonts w:ascii="ITC Avant Garde" w:hAnsi="ITC Avant Garde"/>
          <w:sz w:val="22"/>
          <w:szCs w:val="22"/>
        </w:rPr>
        <w:t xml:space="preserve">uarto </w:t>
      </w:r>
      <w:r w:rsidR="004550C1">
        <w:rPr>
          <w:rFonts w:ascii="ITC Avant Garde" w:hAnsi="ITC Avant Garde"/>
          <w:sz w:val="22"/>
          <w:szCs w:val="22"/>
        </w:rPr>
        <w:t>t</w:t>
      </w:r>
      <w:r w:rsidRPr="000045D9">
        <w:rPr>
          <w:rFonts w:ascii="ITC Avant Garde" w:hAnsi="ITC Avant Garde"/>
          <w:sz w:val="22"/>
          <w:szCs w:val="22"/>
        </w:rPr>
        <w:t xml:space="preserve">ransitorio, párrafo segundo, de las </w:t>
      </w:r>
      <w:r w:rsidRPr="00CD62D8">
        <w:rPr>
          <w:rFonts w:ascii="ITC Avant Garde" w:hAnsi="ITC Avant Garde"/>
          <w:i/>
          <w:sz w:val="22"/>
          <w:szCs w:val="22"/>
        </w:rPr>
        <w:t>Disposiciones Regulatorias de la Ley Federal de Competencia Económica para los sectores de telecomunicaciones y radiodifusión</w:t>
      </w:r>
      <w:r w:rsidRPr="000045D9">
        <w:rPr>
          <w:rFonts w:ascii="ITC Avant Garde" w:hAnsi="ITC Avant Garde"/>
          <w:sz w:val="22"/>
          <w:szCs w:val="22"/>
        </w:rPr>
        <w:t>,</w:t>
      </w:r>
      <w:r>
        <w:rPr>
          <w:rFonts w:ascii="ITC Avant Garde" w:hAnsi="ITC Avant Garde"/>
          <w:sz w:val="22"/>
          <w:szCs w:val="22"/>
        </w:rPr>
        <w:t xml:space="preserve"> publicadas en el Diario Oficial de la Federación el doce de enero de dos mil quince,</w:t>
      </w:r>
      <w:r w:rsidRPr="000045D9">
        <w:rPr>
          <w:rFonts w:ascii="ITC Avant Garde" w:hAnsi="ITC Avant Garde"/>
          <w:sz w:val="22"/>
          <w:szCs w:val="22"/>
        </w:rPr>
        <w:t xml:space="preserve"> los métodos de cálculo publicados por la </w:t>
      </w:r>
      <w:r>
        <w:rPr>
          <w:rFonts w:ascii="ITC Avant Garde" w:hAnsi="ITC Avant Garde"/>
          <w:sz w:val="22"/>
          <w:szCs w:val="22"/>
        </w:rPr>
        <w:t xml:space="preserve">extinta </w:t>
      </w:r>
      <w:r w:rsidRPr="000045D9">
        <w:rPr>
          <w:rFonts w:ascii="ITC Avant Garde" w:hAnsi="ITC Avant Garde"/>
          <w:sz w:val="22"/>
          <w:szCs w:val="22"/>
        </w:rPr>
        <w:t>Comisión Federal de Competencia el veinticuatro de julio de mil novecientos noventa y ocho en el Diario Oficial de la Federación, no serán aplicables para el Instituto</w:t>
      </w:r>
      <w:r>
        <w:rPr>
          <w:rFonts w:ascii="ITC Avant Garde" w:hAnsi="ITC Avant Garde"/>
          <w:sz w:val="22"/>
          <w:szCs w:val="22"/>
        </w:rPr>
        <w:t xml:space="preserve"> Federal de Telecomunicaciones</w:t>
      </w:r>
      <w:r w:rsidRPr="000045D9">
        <w:rPr>
          <w:rFonts w:ascii="ITC Avant Garde" w:hAnsi="ITC Avant Garde"/>
          <w:sz w:val="22"/>
          <w:szCs w:val="22"/>
        </w:rPr>
        <w:t xml:space="preserve"> </w:t>
      </w:r>
      <w:r w:rsidR="00CD62D8">
        <w:rPr>
          <w:rFonts w:ascii="ITC Avant Garde" w:hAnsi="ITC Avant Garde"/>
          <w:sz w:val="22"/>
          <w:szCs w:val="22"/>
        </w:rPr>
        <w:t xml:space="preserve">a partir de </w:t>
      </w:r>
      <w:r w:rsidR="007F6A03">
        <w:rPr>
          <w:rFonts w:ascii="ITC Avant Garde" w:hAnsi="ITC Avant Garde"/>
          <w:sz w:val="22"/>
          <w:szCs w:val="22"/>
        </w:rPr>
        <w:t>la entrada</w:t>
      </w:r>
      <w:r w:rsidR="00CD62D8">
        <w:rPr>
          <w:rFonts w:ascii="ITC Avant Garde" w:hAnsi="ITC Avant Garde"/>
          <w:sz w:val="22"/>
          <w:szCs w:val="22"/>
        </w:rPr>
        <w:t xml:space="preserve"> en vigor </w:t>
      </w:r>
      <w:r w:rsidR="007F6A03">
        <w:rPr>
          <w:rFonts w:ascii="ITC Avant Garde" w:hAnsi="ITC Avant Garde"/>
          <w:sz w:val="22"/>
          <w:szCs w:val="22"/>
        </w:rPr>
        <w:t>d</w:t>
      </w:r>
      <w:r w:rsidR="00CD62D8">
        <w:rPr>
          <w:rFonts w:ascii="ITC Avant Garde" w:hAnsi="ITC Avant Garde"/>
          <w:sz w:val="22"/>
          <w:szCs w:val="22"/>
        </w:rPr>
        <w:t xml:space="preserve">el presente Criterio Técnico, </w:t>
      </w:r>
      <w:r w:rsidRPr="000045D9">
        <w:rPr>
          <w:rFonts w:ascii="ITC Avant Garde" w:hAnsi="ITC Avant Garde"/>
          <w:sz w:val="22"/>
          <w:szCs w:val="22"/>
        </w:rPr>
        <w:t xml:space="preserve">conforme a lo expuesto en el artículo </w:t>
      </w:r>
      <w:r>
        <w:rPr>
          <w:rFonts w:ascii="ITC Avant Garde" w:hAnsi="ITC Avant Garde"/>
          <w:sz w:val="22"/>
          <w:szCs w:val="22"/>
        </w:rPr>
        <w:t xml:space="preserve">transitorio </w:t>
      </w:r>
      <w:r w:rsidRPr="000045D9">
        <w:rPr>
          <w:rFonts w:ascii="ITC Avant Garde" w:hAnsi="ITC Avant Garde"/>
          <w:sz w:val="22"/>
          <w:szCs w:val="22"/>
        </w:rPr>
        <w:t>que antecede.</w:t>
      </w:r>
    </w:p>
    <w:p w14:paraId="11192FB3" w14:textId="77777777" w:rsidR="008C6F86" w:rsidRPr="00021217" w:rsidRDefault="008C6F86" w:rsidP="00894FC7">
      <w:pPr>
        <w:spacing w:before="120" w:after="120"/>
        <w:rPr>
          <w:rFonts w:ascii="ITC Avant Garde" w:hAnsi="ITC Avant Garde"/>
        </w:rPr>
      </w:pPr>
    </w:p>
    <w:sectPr w:rsidR="008C6F86" w:rsidRPr="00021217" w:rsidSect="00DA582C">
      <w:footerReference w:type="default" r:id="rId15"/>
      <w:pgSz w:w="12240" w:h="15840"/>
      <w:pgMar w:top="2268" w:right="1467" w:bottom="1276"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415BD" w14:textId="77777777" w:rsidR="00D65E34" w:rsidRDefault="00D65E34" w:rsidP="008A39CF">
      <w:pPr>
        <w:spacing w:after="0" w:line="240" w:lineRule="auto"/>
      </w:pPr>
      <w:r>
        <w:separator/>
      </w:r>
    </w:p>
  </w:endnote>
  <w:endnote w:type="continuationSeparator" w:id="0">
    <w:p w14:paraId="14BA00D2" w14:textId="77777777" w:rsidR="00D65E34" w:rsidRDefault="00D65E34" w:rsidP="008A3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93771"/>
      <w:docPartObj>
        <w:docPartGallery w:val="Page Numbers (Bottom of Page)"/>
        <w:docPartUnique/>
      </w:docPartObj>
    </w:sdtPr>
    <w:sdtEndPr>
      <w:rPr>
        <w:rFonts w:ascii="ITC Avant Garde" w:hAnsi="ITC Avant Garde"/>
      </w:rPr>
    </w:sdtEndPr>
    <w:sdtContent>
      <w:p w14:paraId="26748E42" w14:textId="02800E7B" w:rsidR="00073293" w:rsidRPr="00073293" w:rsidRDefault="00073293">
        <w:pPr>
          <w:pStyle w:val="Piedepgina"/>
          <w:jc w:val="center"/>
          <w:rPr>
            <w:rFonts w:ascii="ITC Avant Garde" w:hAnsi="ITC Avant Garde"/>
          </w:rPr>
        </w:pPr>
        <w:r w:rsidRPr="00073293">
          <w:rPr>
            <w:rFonts w:ascii="ITC Avant Garde" w:hAnsi="ITC Avant Garde"/>
          </w:rPr>
          <w:fldChar w:fldCharType="begin"/>
        </w:r>
        <w:r w:rsidRPr="00073293">
          <w:rPr>
            <w:rFonts w:ascii="ITC Avant Garde" w:hAnsi="ITC Avant Garde"/>
          </w:rPr>
          <w:instrText>PAGE   \* MERGEFORMAT</w:instrText>
        </w:r>
        <w:r w:rsidRPr="00073293">
          <w:rPr>
            <w:rFonts w:ascii="ITC Avant Garde" w:hAnsi="ITC Avant Garde"/>
          </w:rPr>
          <w:fldChar w:fldCharType="separate"/>
        </w:r>
        <w:r w:rsidR="00C01FA3" w:rsidRPr="00C01FA3">
          <w:rPr>
            <w:rFonts w:ascii="ITC Avant Garde" w:hAnsi="ITC Avant Garde"/>
            <w:noProof/>
            <w:lang w:val="es-ES"/>
          </w:rPr>
          <w:t>1</w:t>
        </w:r>
        <w:r w:rsidRPr="00073293">
          <w:rPr>
            <w:rFonts w:ascii="ITC Avant Garde" w:hAnsi="ITC Avant Garde"/>
          </w:rPr>
          <w:fldChar w:fldCharType="end"/>
        </w:r>
      </w:p>
    </w:sdtContent>
  </w:sdt>
  <w:p w14:paraId="182E5E3D" w14:textId="77777777" w:rsidR="00073293" w:rsidRDefault="0007329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110717"/>
      <w:docPartObj>
        <w:docPartGallery w:val="Page Numbers (Bottom of Page)"/>
        <w:docPartUnique/>
      </w:docPartObj>
    </w:sdtPr>
    <w:sdtEndPr>
      <w:rPr>
        <w:rFonts w:ascii="ITC Avant Garde" w:hAnsi="ITC Avant Garde"/>
      </w:rPr>
    </w:sdtEndPr>
    <w:sdtContent>
      <w:p w14:paraId="4E3F2700" w14:textId="002C353F" w:rsidR="00DA582C" w:rsidRPr="00DA582C" w:rsidRDefault="00DA582C">
        <w:pPr>
          <w:pStyle w:val="Piedepgina"/>
          <w:jc w:val="center"/>
          <w:rPr>
            <w:rFonts w:ascii="ITC Avant Garde" w:hAnsi="ITC Avant Garde"/>
          </w:rPr>
        </w:pPr>
        <w:r w:rsidRPr="00DA582C">
          <w:rPr>
            <w:rFonts w:ascii="ITC Avant Garde" w:hAnsi="ITC Avant Garde"/>
          </w:rPr>
          <w:fldChar w:fldCharType="begin"/>
        </w:r>
        <w:r w:rsidRPr="00DA582C">
          <w:rPr>
            <w:rFonts w:ascii="ITC Avant Garde" w:hAnsi="ITC Avant Garde"/>
          </w:rPr>
          <w:instrText>PAGE   \* MERGEFORMAT</w:instrText>
        </w:r>
        <w:r w:rsidRPr="00DA582C">
          <w:rPr>
            <w:rFonts w:ascii="ITC Avant Garde" w:hAnsi="ITC Avant Garde"/>
          </w:rPr>
          <w:fldChar w:fldCharType="separate"/>
        </w:r>
        <w:r w:rsidR="008F7DD4" w:rsidRPr="008F7DD4">
          <w:rPr>
            <w:rFonts w:ascii="ITC Avant Garde" w:hAnsi="ITC Avant Garde"/>
            <w:noProof/>
            <w:lang w:val="es-ES"/>
          </w:rPr>
          <w:t>5</w:t>
        </w:r>
        <w:r w:rsidRPr="00DA582C">
          <w:rPr>
            <w:rFonts w:ascii="ITC Avant Garde" w:hAnsi="ITC Avant Garde"/>
          </w:rPr>
          <w:fldChar w:fldCharType="end"/>
        </w:r>
      </w:p>
    </w:sdtContent>
  </w:sdt>
  <w:p w14:paraId="295035AB" w14:textId="77777777" w:rsidR="00DA582C" w:rsidRDefault="00DA58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25EE6" w14:textId="77777777" w:rsidR="00D65E34" w:rsidRDefault="00D65E34" w:rsidP="008A39CF">
      <w:pPr>
        <w:spacing w:after="0" w:line="240" w:lineRule="auto"/>
      </w:pPr>
      <w:r>
        <w:separator/>
      </w:r>
    </w:p>
  </w:footnote>
  <w:footnote w:type="continuationSeparator" w:id="0">
    <w:p w14:paraId="128BF12D" w14:textId="77777777" w:rsidR="00D65E34" w:rsidRDefault="00D65E34" w:rsidP="008A39CF">
      <w:pPr>
        <w:spacing w:after="0" w:line="240" w:lineRule="auto"/>
      </w:pPr>
      <w:r>
        <w:continuationSeparator/>
      </w:r>
    </w:p>
  </w:footnote>
  <w:footnote w:id="1">
    <w:p w14:paraId="087066D3" w14:textId="20A2BD64" w:rsidR="00A5213A" w:rsidRPr="00972E2C" w:rsidRDefault="00A5213A" w:rsidP="00A5213A">
      <w:pPr>
        <w:pStyle w:val="Textonotapie"/>
        <w:jc w:val="both"/>
        <w:rPr>
          <w:rFonts w:ascii="ITC Avant Garde" w:hAnsi="ITC Avant Garde"/>
          <w:sz w:val="16"/>
          <w:szCs w:val="16"/>
        </w:rPr>
      </w:pPr>
      <w:r w:rsidRPr="00972E2C">
        <w:rPr>
          <w:rStyle w:val="Refdenotaalpie"/>
          <w:rFonts w:ascii="ITC Avant Garde" w:hAnsi="ITC Avant Garde"/>
          <w:sz w:val="16"/>
          <w:szCs w:val="16"/>
        </w:rPr>
        <w:footnoteRef/>
      </w:r>
      <w:r w:rsidRPr="00972E2C">
        <w:rPr>
          <w:rFonts w:ascii="ITC Avant Garde" w:hAnsi="ITC Avant Garde"/>
          <w:sz w:val="16"/>
          <w:szCs w:val="16"/>
        </w:rPr>
        <w:t xml:space="preserve"> La información relacionada con la consulta pública del Anteproyecto </w:t>
      </w:r>
      <w:r w:rsidR="00FB47FD" w:rsidRPr="00972E2C">
        <w:rPr>
          <w:rFonts w:ascii="ITC Avant Garde" w:hAnsi="ITC Avant Garde"/>
          <w:sz w:val="16"/>
          <w:szCs w:val="16"/>
        </w:rPr>
        <w:t xml:space="preserve">de Criterio Técnico </w:t>
      </w:r>
      <w:r w:rsidRPr="00972E2C">
        <w:rPr>
          <w:rFonts w:ascii="ITC Avant Garde" w:hAnsi="ITC Avant Garde"/>
          <w:sz w:val="16"/>
          <w:szCs w:val="16"/>
        </w:rPr>
        <w:t xml:space="preserve">se encuentra disponible en: </w:t>
      </w:r>
      <w:hyperlink r:id="rId1" w:history="1">
        <w:r w:rsidRPr="00972E2C">
          <w:rPr>
            <w:rStyle w:val="Hipervnculo"/>
            <w:rFonts w:ascii="ITC Avant Garde" w:hAnsi="ITC Avant Garde"/>
            <w:sz w:val="16"/>
            <w:szCs w:val="16"/>
          </w:rPr>
          <w:t>http://www.ift.org.mx/industria/consultas-publicas/consulta-publica-sobre-el-criterio-tecnico-para-el-calculo-y-aplicacion-de-un-indice-cuantitativo</w:t>
        </w:r>
      </w:hyperlink>
      <w:r w:rsidRPr="00972E2C">
        <w:rPr>
          <w:rFonts w:ascii="ITC Avant Garde" w:hAnsi="ITC Avant Garde"/>
          <w:sz w:val="16"/>
          <w:szCs w:val="16"/>
        </w:rPr>
        <w:t xml:space="preserve">. </w:t>
      </w:r>
    </w:p>
  </w:footnote>
  <w:footnote w:id="2">
    <w:p w14:paraId="6E93F5EA" w14:textId="0ED41CA7" w:rsidR="00B83351" w:rsidRPr="00972E2C" w:rsidRDefault="00B83351" w:rsidP="00B83351">
      <w:pPr>
        <w:pStyle w:val="Default"/>
        <w:spacing w:line="276" w:lineRule="auto"/>
        <w:ind w:right="-1"/>
        <w:jc w:val="both"/>
        <w:rPr>
          <w:rFonts w:ascii="ITC Avant Garde" w:hAnsi="ITC Avant Garde"/>
          <w:sz w:val="16"/>
          <w:szCs w:val="16"/>
        </w:rPr>
      </w:pPr>
      <w:r w:rsidRPr="00972E2C">
        <w:rPr>
          <w:rStyle w:val="Refdenotaalpie"/>
          <w:rFonts w:ascii="ITC Avant Garde" w:hAnsi="ITC Avant Garde"/>
          <w:sz w:val="16"/>
          <w:szCs w:val="16"/>
        </w:rPr>
        <w:footnoteRef/>
      </w:r>
      <w:r w:rsidRPr="00972E2C">
        <w:rPr>
          <w:rFonts w:ascii="ITC Avant Garde" w:hAnsi="ITC Avant Garde"/>
          <w:sz w:val="16"/>
          <w:szCs w:val="16"/>
        </w:rPr>
        <w:t xml:space="preserve"> Disponible en </w:t>
      </w:r>
      <w:hyperlink r:id="rId2" w:history="1">
        <w:r w:rsidRPr="00972E2C">
          <w:rPr>
            <w:rStyle w:val="Hipervnculo"/>
            <w:rFonts w:ascii="ITC Avant Garde" w:hAnsi="ITC Avant Garde"/>
            <w:sz w:val="16"/>
            <w:szCs w:val="16"/>
          </w:rPr>
          <w:t>http://dof.gob.mx/nota_detalle.php?codigo=4888039&amp;fecha=24/07/1998</w:t>
        </w:r>
      </w:hyperlink>
      <w:r w:rsidRPr="00972E2C">
        <w:rPr>
          <w:rStyle w:val="Hipervnculo"/>
          <w:rFonts w:ascii="ITC Avant Garde" w:hAnsi="ITC Avant Garde"/>
          <w:sz w:val="16"/>
          <w:szCs w:val="16"/>
        </w:rPr>
        <w:t>.</w:t>
      </w:r>
    </w:p>
  </w:footnote>
  <w:footnote w:id="3">
    <w:p w14:paraId="4C9F76B3" w14:textId="77777777" w:rsidR="001A5DA3" w:rsidRPr="00692CC9" w:rsidRDefault="001A5DA3" w:rsidP="001A5DA3">
      <w:pPr>
        <w:pStyle w:val="Textonotapie"/>
        <w:jc w:val="both"/>
        <w:rPr>
          <w:rFonts w:ascii="ITC Avant Garde" w:hAnsi="ITC Avant Garde"/>
          <w:sz w:val="16"/>
          <w:szCs w:val="22"/>
        </w:rPr>
      </w:pPr>
      <w:r w:rsidRPr="00692CC9">
        <w:rPr>
          <w:rStyle w:val="Refdenotaalpie"/>
          <w:rFonts w:ascii="ITC Avant Garde" w:hAnsi="ITC Avant Garde"/>
          <w:sz w:val="16"/>
          <w:szCs w:val="22"/>
        </w:rPr>
        <w:footnoteRef/>
      </w:r>
      <w:r w:rsidRPr="00692CC9">
        <w:rPr>
          <w:rFonts w:ascii="ITC Avant Garde" w:hAnsi="ITC Avant Garde"/>
          <w:sz w:val="16"/>
          <w:szCs w:val="22"/>
        </w:rPr>
        <w:t xml:space="preserv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Disponible en: </w:t>
      </w:r>
      <w:hyperlink r:id="rId3" w:history="1">
        <w:r w:rsidRPr="00692CC9">
          <w:rPr>
            <w:rStyle w:val="Hipervnculo"/>
            <w:rFonts w:ascii="ITC Avant Garde" w:hAnsi="ITC Avant Garde"/>
            <w:sz w:val="16"/>
            <w:szCs w:val="22"/>
          </w:rPr>
          <w:t>http://www.dof.gob.mx/nota_detalle.php?codigo=5352323&amp;fecha=14/07/2014</w:t>
        </w:r>
      </w:hyperlink>
      <w:r w:rsidRPr="00692CC9">
        <w:rPr>
          <w:rFonts w:ascii="ITC Avant Garde" w:hAnsi="ITC Avant Garde"/>
          <w:sz w:val="16"/>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04CC1" w14:textId="77777777" w:rsidR="001C5B2D" w:rsidRDefault="00D65E34">
    <w:pPr>
      <w:pStyle w:val="Encabezado"/>
    </w:pPr>
    <w:r>
      <w:rPr>
        <w:noProof/>
        <w:lang w:eastAsia="es-MX"/>
      </w:rPr>
      <w:pict w14:anchorId="7197C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ABD7C" w14:textId="77777777" w:rsidR="001C5B2D" w:rsidRDefault="001C5B2D" w:rsidP="007508F7">
    <w:pPr>
      <w:pStyle w:val="Encabezado"/>
      <w:rPr>
        <w:rFonts w:ascii="ITC Avant Garde" w:hAnsi="ITC Avant Garde"/>
        <w:b/>
      </w:rPr>
    </w:pPr>
  </w:p>
  <w:p w14:paraId="35B423CD" w14:textId="77777777" w:rsidR="001C5B2D" w:rsidRDefault="001C5B2D" w:rsidP="007508F7">
    <w:pPr>
      <w:pStyle w:val="Encabezado"/>
      <w:rPr>
        <w:rFonts w:ascii="ITC Avant Garde" w:hAnsi="ITC Avant Garde"/>
        <w:b/>
      </w:rPr>
    </w:pPr>
  </w:p>
  <w:p w14:paraId="5ACE3C93" w14:textId="77777777" w:rsidR="001C5B2D" w:rsidRDefault="001C5B2D" w:rsidP="007508F7">
    <w:pPr>
      <w:pStyle w:val="Encabezado"/>
      <w:rPr>
        <w:rFonts w:ascii="ITC Avant Garde" w:hAnsi="ITC Avant Garde"/>
        <w:b/>
      </w:rPr>
    </w:pPr>
  </w:p>
  <w:p w14:paraId="34F6A9B9" w14:textId="4820F7CF" w:rsidR="001C5B2D" w:rsidRDefault="001C5B2D" w:rsidP="007508F7">
    <w:pPr>
      <w:pStyle w:val="Encabezado"/>
      <w:tabs>
        <w:tab w:val="clear" w:pos="4419"/>
        <w:tab w:val="clear" w:pos="8838"/>
        <w:tab w:val="left" w:pos="6912"/>
      </w:tabs>
      <w:rPr>
        <w:rFonts w:ascii="ITC Avant Garde" w:hAnsi="ITC Avant Garde"/>
        <w:b/>
      </w:rPr>
    </w:pPr>
  </w:p>
  <w:p w14:paraId="240654B7" w14:textId="77777777" w:rsidR="001C5B2D" w:rsidRPr="0068053A" w:rsidRDefault="001C5B2D" w:rsidP="005232E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E305C" w14:textId="77777777" w:rsidR="001C5B2D" w:rsidRDefault="00D65E34">
    <w:pPr>
      <w:pStyle w:val="Encabezado"/>
    </w:pPr>
    <w:r>
      <w:rPr>
        <w:noProof/>
        <w:lang w:eastAsia="es-MX"/>
      </w:rPr>
      <w:pict w14:anchorId="661CE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A6393"/>
    <w:multiLevelType w:val="hybridMultilevel"/>
    <w:tmpl w:val="9A1EE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E67AB6"/>
    <w:multiLevelType w:val="hybridMultilevel"/>
    <w:tmpl w:val="DADC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8D40E1"/>
    <w:multiLevelType w:val="multilevel"/>
    <w:tmpl w:val="6A107F4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52856BA"/>
    <w:multiLevelType w:val="hybridMultilevel"/>
    <w:tmpl w:val="ADC4E2C2"/>
    <w:lvl w:ilvl="0" w:tplc="E5B631AE">
      <w:start w:val="1"/>
      <w:numFmt w:val="decimal"/>
      <w:lvlText w:val="Artículo %1."/>
      <w:lvlJc w:val="left"/>
      <w:pPr>
        <w:ind w:left="721" w:hanging="360"/>
      </w:pPr>
      <w:rPr>
        <w:rFonts w:hint="default"/>
        <w:b/>
      </w:r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4" w15:restartNumberingAfterBreak="0">
    <w:nsid w:val="1DEC20E2"/>
    <w:multiLevelType w:val="hybridMultilevel"/>
    <w:tmpl w:val="04EA056A"/>
    <w:lvl w:ilvl="0" w:tplc="080A0013">
      <w:start w:val="1"/>
      <w:numFmt w:val="upperRoman"/>
      <w:lvlText w:val="%1."/>
      <w:lvlJc w:val="righ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EF43CAB"/>
    <w:multiLevelType w:val="hybridMultilevel"/>
    <w:tmpl w:val="3EA82C4C"/>
    <w:lvl w:ilvl="0" w:tplc="A866E858">
      <w:start w:val="1"/>
      <w:numFmt w:val="decimal"/>
      <w:pStyle w:val="Ttulo3"/>
      <w:lvlText w:val="6.%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741BA4"/>
    <w:multiLevelType w:val="hybridMultilevel"/>
    <w:tmpl w:val="BF164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AB3446"/>
    <w:multiLevelType w:val="hybridMultilevel"/>
    <w:tmpl w:val="1884F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CF0DF7"/>
    <w:multiLevelType w:val="hybridMultilevel"/>
    <w:tmpl w:val="DD326BE2"/>
    <w:lvl w:ilvl="0" w:tplc="3676D7E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7C5C32"/>
    <w:multiLevelType w:val="hybridMultilevel"/>
    <w:tmpl w:val="796CC4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AF66AD7"/>
    <w:multiLevelType w:val="hybridMultilevel"/>
    <w:tmpl w:val="9FA4FE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B82F18"/>
    <w:multiLevelType w:val="hybridMultilevel"/>
    <w:tmpl w:val="C0F03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2B0BB7"/>
    <w:multiLevelType w:val="hybridMultilevel"/>
    <w:tmpl w:val="60A4DB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42D475C1"/>
    <w:multiLevelType w:val="hybridMultilevel"/>
    <w:tmpl w:val="1B223EEC"/>
    <w:lvl w:ilvl="0" w:tplc="080A0001">
      <w:start w:val="1"/>
      <w:numFmt w:val="bullet"/>
      <w:lvlText w:val=""/>
      <w:lvlJc w:val="left"/>
      <w:pPr>
        <w:ind w:left="748" w:hanging="360"/>
      </w:pPr>
      <w:rPr>
        <w:rFonts w:ascii="Symbol" w:hAnsi="Symbol" w:hint="default"/>
      </w:rPr>
    </w:lvl>
    <w:lvl w:ilvl="1" w:tplc="974CC89E">
      <w:start w:val="1"/>
      <w:numFmt w:val="lowerRoman"/>
      <w:lvlText w:val="%2."/>
      <w:lvlJc w:val="left"/>
      <w:pPr>
        <w:ind w:left="1468" w:hanging="360"/>
      </w:pPr>
      <w:rPr>
        <w:rFonts w:hint="default"/>
      </w:rPr>
    </w:lvl>
    <w:lvl w:ilvl="2" w:tplc="080A0005" w:tentative="1">
      <w:start w:val="1"/>
      <w:numFmt w:val="bullet"/>
      <w:lvlText w:val=""/>
      <w:lvlJc w:val="left"/>
      <w:pPr>
        <w:ind w:left="2188" w:hanging="360"/>
      </w:pPr>
      <w:rPr>
        <w:rFonts w:ascii="Wingdings" w:hAnsi="Wingdings" w:hint="default"/>
      </w:rPr>
    </w:lvl>
    <w:lvl w:ilvl="3" w:tplc="080A0001" w:tentative="1">
      <w:start w:val="1"/>
      <w:numFmt w:val="bullet"/>
      <w:lvlText w:val=""/>
      <w:lvlJc w:val="left"/>
      <w:pPr>
        <w:ind w:left="2908" w:hanging="360"/>
      </w:pPr>
      <w:rPr>
        <w:rFonts w:ascii="Symbol" w:hAnsi="Symbol" w:hint="default"/>
      </w:rPr>
    </w:lvl>
    <w:lvl w:ilvl="4" w:tplc="080A0003" w:tentative="1">
      <w:start w:val="1"/>
      <w:numFmt w:val="bullet"/>
      <w:lvlText w:val="o"/>
      <w:lvlJc w:val="left"/>
      <w:pPr>
        <w:ind w:left="3628" w:hanging="360"/>
      </w:pPr>
      <w:rPr>
        <w:rFonts w:ascii="Courier New" w:hAnsi="Courier New" w:cs="Courier New" w:hint="default"/>
      </w:rPr>
    </w:lvl>
    <w:lvl w:ilvl="5" w:tplc="080A0005" w:tentative="1">
      <w:start w:val="1"/>
      <w:numFmt w:val="bullet"/>
      <w:lvlText w:val=""/>
      <w:lvlJc w:val="left"/>
      <w:pPr>
        <w:ind w:left="4348" w:hanging="360"/>
      </w:pPr>
      <w:rPr>
        <w:rFonts w:ascii="Wingdings" w:hAnsi="Wingdings" w:hint="default"/>
      </w:rPr>
    </w:lvl>
    <w:lvl w:ilvl="6" w:tplc="080A0001" w:tentative="1">
      <w:start w:val="1"/>
      <w:numFmt w:val="bullet"/>
      <w:lvlText w:val=""/>
      <w:lvlJc w:val="left"/>
      <w:pPr>
        <w:ind w:left="5068" w:hanging="360"/>
      </w:pPr>
      <w:rPr>
        <w:rFonts w:ascii="Symbol" w:hAnsi="Symbol" w:hint="default"/>
      </w:rPr>
    </w:lvl>
    <w:lvl w:ilvl="7" w:tplc="080A0003" w:tentative="1">
      <w:start w:val="1"/>
      <w:numFmt w:val="bullet"/>
      <w:lvlText w:val="o"/>
      <w:lvlJc w:val="left"/>
      <w:pPr>
        <w:ind w:left="5788" w:hanging="360"/>
      </w:pPr>
      <w:rPr>
        <w:rFonts w:ascii="Courier New" w:hAnsi="Courier New" w:cs="Courier New" w:hint="default"/>
      </w:rPr>
    </w:lvl>
    <w:lvl w:ilvl="8" w:tplc="080A0005" w:tentative="1">
      <w:start w:val="1"/>
      <w:numFmt w:val="bullet"/>
      <w:lvlText w:val=""/>
      <w:lvlJc w:val="left"/>
      <w:pPr>
        <w:ind w:left="6508" w:hanging="360"/>
      </w:pPr>
      <w:rPr>
        <w:rFonts w:ascii="Wingdings" w:hAnsi="Wingdings" w:hint="default"/>
      </w:rPr>
    </w:lvl>
  </w:abstractNum>
  <w:abstractNum w:abstractNumId="14" w15:restartNumberingAfterBreak="0">
    <w:nsid w:val="4BFC3A31"/>
    <w:multiLevelType w:val="hybridMultilevel"/>
    <w:tmpl w:val="3682A9F4"/>
    <w:lvl w:ilvl="0" w:tplc="89BC53B8">
      <w:start w:val="1"/>
      <w:numFmt w:val="lowerLetter"/>
      <w:lvlText w:val="(%1)"/>
      <w:lvlJc w:val="left"/>
      <w:pPr>
        <w:ind w:left="1287" w:hanging="360"/>
      </w:pPr>
      <w:rPr>
        <w:rFonts w:ascii="ITC Avant Garde" w:eastAsia="Calibri" w:hAnsi="ITC Avant Garde" w:cs="Times New Roman"/>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527471FC"/>
    <w:multiLevelType w:val="hybridMultilevel"/>
    <w:tmpl w:val="2A78B218"/>
    <w:lvl w:ilvl="0" w:tplc="B6B4A8FA">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30232B6"/>
    <w:multiLevelType w:val="multilevel"/>
    <w:tmpl w:val="6A107F4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5AA8304D"/>
    <w:multiLevelType w:val="hybridMultilevel"/>
    <w:tmpl w:val="6478D1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CB22AB"/>
    <w:multiLevelType w:val="hybridMultilevel"/>
    <w:tmpl w:val="01AEF20A"/>
    <w:lvl w:ilvl="0" w:tplc="54269762">
      <w:start w:val="100"/>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6773AE"/>
    <w:multiLevelType w:val="multilevel"/>
    <w:tmpl w:val="6A107F4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5DB232BB"/>
    <w:multiLevelType w:val="hybridMultilevel"/>
    <w:tmpl w:val="F946B70A"/>
    <w:lvl w:ilvl="0" w:tplc="A3FA3FEE">
      <w:start w:val="1"/>
      <w:numFmt w:val="decimal"/>
      <w:lvlText w:val="%1."/>
      <w:lvlJc w:val="left"/>
      <w:pPr>
        <w:ind w:left="361" w:hanging="360"/>
      </w:pPr>
      <w:rPr>
        <w:rFonts w:hint="default"/>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21" w15:restartNumberingAfterBreak="0">
    <w:nsid w:val="61A70E01"/>
    <w:multiLevelType w:val="hybridMultilevel"/>
    <w:tmpl w:val="EC1CA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1C475C1"/>
    <w:multiLevelType w:val="hybridMultilevel"/>
    <w:tmpl w:val="62944AD6"/>
    <w:lvl w:ilvl="0" w:tplc="F2A2F9FC">
      <w:start w:val="1"/>
      <w:numFmt w:val="upperRoman"/>
      <w:pStyle w:val="NormalIFT"/>
      <w:lvlText w:val="%1."/>
      <w:lvlJc w:val="right"/>
      <w:pPr>
        <w:ind w:left="720" w:hanging="360"/>
      </w:pPr>
      <w:rPr>
        <w:rFonts w:ascii="Times New Roman" w:hAnsi="Times New Roman" w:cs="Times New Roman" w:hint="default"/>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98418A"/>
    <w:multiLevelType w:val="hybridMultilevel"/>
    <w:tmpl w:val="AB58BBA0"/>
    <w:lvl w:ilvl="0" w:tplc="D204993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72312214"/>
    <w:multiLevelType w:val="hybridMultilevel"/>
    <w:tmpl w:val="4A005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2BA1E15"/>
    <w:multiLevelType w:val="hybridMultilevel"/>
    <w:tmpl w:val="D1F07928"/>
    <w:lvl w:ilvl="0" w:tplc="6AD4E228">
      <w:start w:val="1"/>
      <w:numFmt w:val="lowerRoman"/>
      <w:lvlText w:val="%1)"/>
      <w:lvlJc w:val="left"/>
      <w:pPr>
        <w:ind w:left="1156" w:hanging="720"/>
      </w:pPr>
      <w:rPr>
        <w:rFonts w:hint="default"/>
      </w:rPr>
    </w:lvl>
    <w:lvl w:ilvl="1" w:tplc="080A0019" w:tentative="1">
      <w:start w:val="1"/>
      <w:numFmt w:val="lowerLetter"/>
      <w:lvlText w:val="%2."/>
      <w:lvlJc w:val="left"/>
      <w:pPr>
        <w:ind w:left="1516" w:hanging="360"/>
      </w:pPr>
    </w:lvl>
    <w:lvl w:ilvl="2" w:tplc="080A001B" w:tentative="1">
      <w:start w:val="1"/>
      <w:numFmt w:val="lowerRoman"/>
      <w:lvlText w:val="%3."/>
      <w:lvlJc w:val="right"/>
      <w:pPr>
        <w:ind w:left="2236" w:hanging="180"/>
      </w:pPr>
    </w:lvl>
    <w:lvl w:ilvl="3" w:tplc="080A000F" w:tentative="1">
      <w:start w:val="1"/>
      <w:numFmt w:val="decimal"/>
      <w:lvlText w:val="%4."/>
      <w:lvlJc w:val="left"/>
      <w:pPr>
        <w:ind w:left="2956" w:hanging="360"/>
      </w:pPr>
    </w:lvl>
    <w:lvl w:ilvl="4" w:tplc="080A0019" w:tentative="1">
      <w:start w:val="1"/>
      <w:numFmt w:val="lowerLetter"/>
      <w:lvlText w:val="%5."/>
      <w:lvlJc w:val="left"/>
      <w:pPr>
        <w:ind w:left="3676" w:hanging="360"/>
      </w:pPr>
    </w:lvl>
    <w:lvl w:ilvl="5" w:tplc="080A001B" w:tentative="1">
      <w:start w:val="1"/>
      <w:numFmt w:val="lowerRoman"/>
      <w:lvlText w:val="%6."/>
      <w:lvlJc w:val="right"/>
      <w:pPr>
        <w:ind w:left="4396" w:hanging="180"/>
      </w:pPr>
    </w:lvl>
    <w:lvl w:ilvl="6" w:tplc="080A000F" w:tentative="1">
      <w:start w:val="1"/>
      <w:numFmt w:val="decimal"/>
      <w:lvlText w:val="%7."/>
      <w:lvlJc w:val="left"/>
      <w:pPr>
        <w:ind w:left="5116" w:hanging="360"/>
      </w:pPr>
    </w:lvl>
    <w:lvl w:ilvl="7" w:tplc="080A0019" w:tentative="1">
      <w:start w:val="1"/>
      <w:numFmt w:val="lowerLetter"/>
      <w:lvlText w:val="%8."/>
      <w:lvlJc w:val="left"/>
      <w:pPr>
        <w:ind w:left="5836" w:hanging="360"/>
      </w:pPr>
    </w:lvl>
    <w:lvl w:ilvl="8" w:tplc="080A001B" w:tentative="1">
      <w:start w:val="1"/>
      <w:numFmt w:val="lowerRoman"/>
      <w:lvlText w:val="%9."/>
      <w:lvlJc w:val="right"/>
      <w:pPr>
        <w:ind w:left="6556" w:hanging="180"/>
      </w:pPr>
    </w:lvl>
  </w:abstractNum>
  <w:abstractNum w:abstractNumId="26" w15:restartNumberingAfterBreak="0">
    <w:nsid w:val="74C912C3"/>
    <w:multiLevelType w:val="hybridMultilevel"/>
    <w:tmpl w:val="EB863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EA71077"/>
    <w:multiLevelType w:val="hybridMultilevel"/>
    <w:tmpl w:val="46B610E2"/>
    <w:lvl w:ilvl="0" w:tplc="4C5489D6">
      <w:start w:val="1"/>
      <w:numFmt w:val="ordinalText"/>
      <w:suff w:val="space"/>
      <w:lvlText w:val="%1."/>
      <w:lvlJc w:val="right"/>
      <w:pPr>
        <w:ind w:left="567" w:hanging="283"/>
      </w:pPr>
      <w:rPr>
        <w:rFonts w:ascii="ITC Avant Garde" w:hAnsi="ITC Avant Garde" w:hint="default"/>
        <w:b/>
        <w:i w:val="0"/>
        <w:small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18"/>
  </w:num>
  <w:num w:numId="3">
    <w:abstractNumId w:val="16"/>
  </w:num>
  <w:num w:numId="4">
    <w:abstractNumId w:val="4"/>
  </w:num>
  <w:num w:numId="5">
    <w:abstractNumId w:val="5"/>
  </w:num>
  <w:num w:numId="6">
    <w:abstractNumId w:val="19"/>
  </w:num>
  <w:num w:numId="7">
    <w:abstractNumId w:val="21"/>
  </w:num>
  <w:num w:numId="8">
    <w:abstractNumId w:val="11"/>
  </w:num>
  <w:num w:numId="9">
    <w:abstractNumId w:val="23"/>
  </w:num>
  <w:num w:numId="10">
    <w:abstractNumId w:val="14"/>
  </w:num>
  <w:num w:numId="11">
    <w:abstractNumId w:val="12"/>
  </w:num>
  <w:num w:numId="12">
    <w:abstractNumId w:val="9"/>
  </w:num>
  <w:num w:numId="13">
    <w:abstractNumId w:val="6"/>
  </w:num>
  <w:num w:numId="14">
    <w:abstractNumId w:val="24"/>
  </w:num>
  <w:num w:numId="15">
    <w:abstractNumId w:val="0"/>
  </w:num>
  <w:num w:numId="16">
    <w:abstractNumId w:val="26"/>
  </w:num>
  <w:num w:numId="17">
    <w:abstractNumId w:val="10"/>
  </w:num>
  <w:num w:numId="18">
    <w:abstractNumId w:val="2"/>
  </w:num>
  <w:num w:numId="19">
    <w:abstractNumId w:val="7"/>
  </w:num>
  <w:num w:numId="20">
    <w:abstractNumId w:val="27"/>
  </w:num>
  <w:num w:numId="21">
    <w:abstractNumId w:val="13"/>
  </w:num>
  <w:num w:numId="22">
    <w:abstractNumId w:val="1"/>
  </w:num>
  <w:num w:numId="23">
    <w:abstractNumId w:val="17"/>
  </w:num>
  <w:num w:numId="24">
    <w:abstractNumId w:val="25"/>
  </w:num>
  <w:num w:numId="25">
    <w:abstractNumId w:val="15"/>
  </w:num>
  <w:num w:numId="26">
    <w:abstractNumId w:val="20"/>
  </w:num>
  <w:num w:numId="27">
    <w:abstractNumId w:val="3"/>
  </w:num>
  <w:num w:numId="2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CF"/>
    <w:rsid w:val="00000DA5"/>
    <w:rsid w:val="0000247F"/>
    <w:rsid w:val="000045E5"/>
    <w:rsid w:val="00004BA6"/>
    <w:rsid w:val="000052D6"/>
    <w:rsid w:val="00005A78"/>
    <w:rsid w:val="00012092"/>
    <w:rsid w:val="000143BF"/>
    <w:rsid w:val="00016B01"/>
    <w:rsid w:val="00017765"/>
    <w:rsid w:val="000209AC"/>
    <w:rsid w:val="00021217"/>
    <w:rsid w:val="00023DB9"/>
    <w:rsid w:val="00024668"/>
    <w:rsid w:val="00033979"/>
    <w:rsid w:val="00034263"/>
    <w:rsid w:val="000349B1"/>
    <w:rsid w:val="00036D0E"/>
    <w:rsid w:val="0004084B"/>
    <w:rsid w:val="000415B4"/>
    <w:rsid w:val="0004325F"/>
    <w:rsid w:val="00043AB9"/>
    <w:rsid w:val="00043AC9"/>
    <w:rsid w:val="00043E1D"/>
    <w:rsid w:val="00044064"/>
    <w:rsid w:val="00044784"/>
    <w:rsid w:val="00050838"/>
    <w:rsid w:val="0005283A"/>
    <w:rsid w:val="00055241"/>
    <w:rsid w:val="000618D8"/>
    <w:rsid w:val="00064591"/>
    <w:rsid w:val="00073293"/>
    <w:rsid w:val="0007557E"/>
    <w:rsid w:val="000760C8"/>
    <w:rsid w:val="000765BB"/>
    <w:rsid w:val="000816B4"/>
    <w:rsid w:val="00083308"/>
    <w:rsid w:val="00084F1C"/>
    <w:rsid w:val="00084FF6"/>
    <w:rsid w:val="000902F7"/>
    <w:rsid w:val="00094E7B"/>
    <w:rsid w:val="00095198"/>
    <w:rsid w:val="000972D0"/>
    <w:rsid w:val="000A0635"/>
    <w:rsid w:val="000A20A1"/>
    <w:rsid w:val="000A3631"/>
    <w:rsid w:val="000B00B2"/>
    <w:rsid w:val="000B0DC3"/>
    <w:rsid w:val="000B6C6B"/>
    <w:rsid w:val="000B6D54"/>
    <w:rsid w:val="000C5501"/>
    <w:rsid w:val="000C5E23"/>
    <w:rsid w:val="000D4D74"/>
    <w:rsid w:val="000D5C30"/>
    <w:rsid w:val="000D6F64"/>
    <w:rsid w:val="000D7361"/>
    <w:rsid w:val="000E234F"/>
    <w:rsid w:val="000E237C"/>
    <w:rsid w:val="000E5026"/>
    <w:rsid w:val="000F0B6D"/>
    <w:rsid w:val="000F117A"/>
    <w:rsid w:val="000F164A"/>
    <w:rsid w:val="000F5DCE"/>
    <w:rsid w:val="000F619C"/>
    <w:rsid w:val="001001BA"/>
    <w:rsid w:val="00104BB9"/>
    <w:rsid w:val="0010553E"/>
    <w:rsid w:val="001064F7"/>
    <w:rsid w:val="00107B4A"/>
    <w:rsid w:val="0011217F"/>
    <w:rsid w:val="00112FC4"/>
    <w:rsid w:val="0011656A"/>
    <w:rsid w:val="00116EB4"/>
    <w:rsid w:val="001173CC"/>
    <w:rsid w:val="001229D4"/>
    <w:rsid w:val="00122AB2"/>
    <w:rsid w:val="00124DD7"/>
    <w:rsid w:val="001252A0"/>
    <w:rsid w:val="0012549E"/>
    <w:rsid w:val="001339C6"/>
    <w:rsid w:val="00134133"/>
    <w:rsid w:val="00137437"/>
    <w:rsid w:val="00137EA6"/>
    <w:rsid w:val="00140AA5"/>
    <w:rsid w:val="00141BEC"/>
    <w:rsid w:val="00144C0D"/>
    <w:rsid w:val="001467B0"/>
    <w:rsid w:val="00146A74"/>
    <w:rsid w:val="00152067"/>
    <w:rsid w:val="00162FE0"/>
    <w:rsid w:val="00163547"/>
    <w:rsid w:val="0016456B"/>
    <w:rsid w:val="001653E5"/>
    <w:rsid w:val="0016728D"/>
    <w:rsid w:val="00172BCA"/>
    <w:rsid w:val="001756DD"/>
    <w:rsid w:val="00177445"/>
    <w:rsid w:val="00181262"/>
    <w:rsid w:val="00185679"/>
    <w:rsid w:val="00185A29"/>
    <w:rsid w:val="00186F03"/>
    <w:rsid w:val="00187045"/>
    <w:rsid w:val="00190F90"/>
    <w:rsid w:val="00194D80"/>
    <w:rsid w:val="00194E7A"/>
    <w:rsid w:val="00197335"/>
    <w:rsid w:val="001A3A60"/>
    <w:rsid w:val="001A5DA3"/>
    <w:rsid w:val="001B142D"/>
    <w:rsid w:val="001B61C0"/>
    <w:rsid w:val="001C5929"/>
    <w:rsid w:val="001C5B2D"/>
    <w:rsid w:val="001D1FD1"/>
    <w:rsid w:val="001D390D"/>
    <w:rsid w:val="001E0BD1"/>
    <w:rsid w:val="001F0411"/>
    <w:rsid w:val="001F3745"/>
    <w:rsid w:val="001F5A0F"/>
    <w:rsid w:val="001F7167"/>
    <w:rsid w:val="001F7981"/>
    <w:rsid w:val="00201F8F"/>
    <w:rsid w:val="002029E4"/>
    <w:rsid w:val="0020445A"/>
    <w:rsid w:val="00204B07"/>
    <w:rsid w:val="0020653D"/>
    <w:rsid w:val="00206A41"/>
    <w:rsid w:val="00211578"/>
    <w:rsid w:val="002128C4"/>
    <w:rsid w:val="00213B5C"/>
    <w:rsid w:val="002164C0"/>
    <w:rsid w:val="00220056"/>
    <w:rsid w:val="00221228"/>
    <w:rsid w:val="00222887"/>
    <w:rsid w:val="0022306A"/>
    <w:rsid w:val="00225150"/>
    <w:rsid w:val="00225851"/>
    <w:rsid w:val="00225FA2"/>
    <w:rsid w:val="0022750A"/>
    <w:rsid w:val="00230016"/>
    <w:rsid w:val="00230441"/>
    <w:rsid w:val="00232D72"/>
    <w:rsid w:val="00237988"/>
    <w:rsid w:val="00243C9A"/>
    <w:rsid w:val="0024471F"/>
    <w:rsid w:val="00245B0A"/>
    <w:rsid w:val="00247EFF"/>
    <w:rsid w:val="00250FD0"/>
    <w:rsid w:val="00252C2A"/>
    <w:rsid w:val="00253EC5"/>
    <w:rsid w:val="002559DE"/>
    <w:rsid w:val="00255C09"/>
    <w:rsid w:val="00260613"/>
    <w:rsid w:val="00260675"/>
    <w:rsid w:val="00261EBE"/>
    <w:rsid w:val="00264E57"/>
    <w:rsid w:val="00266658"/>
    <w:rsid w:val="002673C4"/>
    <w:rsid w:val="00272C9B"/>
    <w:rsid w:val="0027455C"/>
    <w:rsid w:val="0027644C"/>
    <w:rsid w:val="0027728B"/>
    <w:rsid w:val="002804B3"/>
    <w:rsid w:val="00280B81"/>
    <w:rsid w:val="00282D6D"/>
    <w:rsid w:val="00283CB5"/>
    <w:rsid w:val="002902C5"/>
    <w:rsid w:val="00290AD9"/>
    <w:rsid w:val="00291BDC"/>
    <w:rsid w:val="00292354"/>
    <w:rsid w:val="002931E1"/>
    <w:rsid w:val="002A082E"/>
    <w:rsid w:val="002A120A"/>
    <w:rsid w:val="002A2285"/>
    <w:rsid w:val="002A4CC8"/>
    <w:rsid w:val="002A4F7D"/>
    <w:rsid w:val="002A5195"/>
    <w:rsid w:val="002A7B18"/>
    <w:rsid w:val="002A7B2A"/>
    <w:rsid w:val="002B07F1"/>
    <w:rsid w:val="002B09FC"/>
    <w:rsid w:val="002B3AE1"/>
    <w:rsid w:val="002B6E90"/>
    <w:rsid w:val="002B727C"/>
    <w:rsid w:val="002B7430"/>
    <w:rsid w:val="002D19A5"/>
    <w:rsid w:val="002D443D"/>
    <w:rsid w:val="002D47F6"/>
    <w:rsid w:val="002E263D"/>
    <w:rsid w:val="002E3596"/>
    <w:rsid w:val="002E436E"/>
    <w:rsid w:val="002E5A4D"/>
    <w:rsid w:val="002E63B1"/>
    <w:rsid w:val="002F451B"/>
    <w:rsid w:val="00300A75"/>
    <w:rsid w:val="00303CA3"/>
    <w:rsid w:val="00303D29"/>
    <w:rsid w:val="00307DE9"/>
    <w:rsid w:val="0031356D"/>
    <w:rsid w:val="00314C1D"/>
    <w:rsid w:val="00314E21"/>
    <w:rsid w:val="00325A56"/>
    <w:rsid w:val="00327290"/>
    <w:rsid w:val="0032748D"/>
    <w:rsid w:val="00331001"/>
    <w:rsid w:val="00336F5E"/>
    <w:rsid w:val="003400DB"/>
    <w:rsid w:val="00342FE5"/>
    <w:rsid w:val="0034471F"/>
    <w:rsid w:val="0035185E"/>
    <w:rsid w:val="00357C22"/>
    <w:rsid w:val="003606DD"/>
    <w:rsid w:val="00362F92"/>
    <w:rsid w:val="003665C2"/>
    <w:rsid w:val="00370F00"/>
    <w:rsid w:val="0037350D"/>
    <w:rsid w:val="00373D69"/>
    <w:rsid w:val="00377883"/>
    <w:rsid w:val="00377E6A"/>
    <w:rsid w:val="00380DAD"/>
    <w:rsid w:val="003819E1"/>
    <w:rsid w:val="00384554"/>
    <w:rsid w:val="00386E07"/>
    <w:rsid w:val="0039184A"/>
    <w:rsid w:val="003930D8"/>
    <w:rsid w:val="003A0FE0"/>
    <w:rsid w:val="003A1438"/>
    <w:rsid w:val="003A2251"/>
    <w:rsid w:val="003A293E"/>
    <w:rsid w:val="003A33AD"/>
    <w:rsid w:val="003A605F"/>
    <w:rsid w:val="003A79DA"/>
    <w:rsid w:val="003B02C3"/>
    <w:rsid w:val="003B4E70"/>
    <w:rsid w:val="003B6828"/>
    <w:rsid w:val="003C17CD"/>
    <w:rsid w:val="003C52BE"/>
    <w:rsid w:val="003C579C"/>
    <w:rsid w:val="003C5DCE"/>
    <w:rsid w:val="003C791C"/>
    <w:rsid w:val="003C7A7E"/>
    <w:rsid w:val="003D2F73"/>
    <w:rsid w:val="003D303E"/>
    <w:rsid w:val="003D68EF"/>
    <w:rsid w:val="003E1FCE"/>
    <w:rsid w:val="003E5BB7"/>
    <w:rsid w:val="003E7B36"/>
    <w:rsid w:val="003F0A18"/>
    <w:rsid w:val="003F22F2"/>
    <w:rsid w:val="003F30B8"/>
    <w:rsid w:val="003F6E64"/>
    <w:rsid w:val="003F7676"/>
    <w:rsid w:val="003F7A6D"/>
    <w:rsid w:val="003F7F95"/>
    <w:rsid w:val="00400DB3"/>
    <w:rsid w:val="0040188F"/>
    <w:rsid w:val="004033D8"/>
    <w:rsid w:val="00403C44"/>
    <w:rsid w:val="00407C0A"/>
    <w:rsid w:val="00413586"/>
    <w:rsid w:val="0041429B"/>
    <w:rsid w:val="004201AB"/>
    <w:rsid w:val="00420CA2"/>
    <w:rsid w:val="00421D08"/>
    <w:rsid w:val="004223DC"/>
    <w:rsid w:val="00423E27"/>
    <w:rsid w:val="00425849"/>
    <w:rsid w:val="00426C4D"/>
    <w:rsid w:val="00427962"/>
    <w:rsid w:val="004329D2"/>
    <w:rsid w:val="00433421"/>
    <w:rsid w:val="0043753B"/>
    <w:rsid w:val="004428AE"/>
    <w:rsid w:val="00442A49"/>
    <w:rsid w:val="00443905"/>
    <w:rsid w:val="00446512"/>
    <w:rsid w:val="00446C15"/>
    <w:rsid w:val="00451E55"/>
    <w:rsid w:val="00454E62"/>
    <w:rsid w:val="004550C1"/>
    <w:rsid w:val="00455B39"/>
    <w:rsid w:val="00460187"/>
    <w:rsid w:val="00462902"/>
    <w:rsid w:val="004665A5"/>
    <w:rsid w:val="00466926"/>
    <w:rsid w:val="00467581"/>
    <w:rsid w:val="00473D5E"/>
    <w:rsid w:val="00474D16"/>
    <w:rsid w:val="00475BDA"/>
    <w:rsid w:val="00476C7A"/>
    <w:rsid w:val="00481F6F"/>
    <w:rsid w:val="00484867"/>
    <w:rsid w:val="00490515"/>
    <w:rsid w:val="004966C2"/>
    <w:rsid w:val="004A14AE"/>
    <w:rsid w:val="004B194B"/>
    <w:rsid w:val="004B28C8"/>
    <w:rsid w:val="004B4755"/>
    <w:rsid w:val="004B760D"/>
    <w:rsid w:val="004B78E8"/>
    <w:rsid w:val="004C0069"/>
    <w:rsid w:val="004C3FE3"/>
    <w:rsid w:val="004C779B"/>
    <w:rsid w:val="004D0464"/>
    <w:rsid w:val="004D5605"/>
    <w:rsid w:val="004D6CEE"/>
    <w:rsid w:val="004D78FE"/>
    <w:rsid w:val="004D79F8"/>
    <w:rsid w:val="004E0610"/>
    <w:rsid w:val="004E2736"/>
    <w:rsid w:val="004E2C3A"/>
    <w:rsid w:val="004E3D60"/>
    <w:rsid w:val="004E4F5F"/>
    <w:rsid w:val="004E78CD"/>
    <w:rsid w:val="004F09A0"/>
    <w:rsid w:val="004F3B88"/>
    <w:rsid w:val="004F3F78"/>
    <w:rsid w:val="004F555A"/>
    <w:rsid w:val="00502CCB"/>
    <w:rsid w:val="00504776"/>
    <w:rsid w:val="00504C49"/>
    <w:rsid w:val="005051B4"/>
    <w:rsid w:val="00510473"/>
    <w:rsid w:val="005226B1"/>
    <w:rsid w:val="00522B07"/>
    <w:rsid w:val="005232ED"/>
    <w:rsid w:val="005303EE"/>
    <w:rsid w:val="0053170A"/>
    <w:rsid w:val="00534533"/>
    <w:rsid w:val="0054253E"/>
    <w:rsid w:val="0054541C"/>
    <w:rsid w:val="00555F70"/>
    <w:rsid w:val="0056100F"/>
    <w:rsid w:val="0056192D"/>
    <w:rsid w:val="00562759"/>
    <w:rsid w:val="0056317D"/>
    <w:rsid w:val="005632EF"/>
    <w:rsid w:val="00564DBB"/>
    <w:rsid w:val="005667FB"/>
    <w:rsid w:val="005671DC"/>
    <w:rsid w:val="005678B7"/>
    <w:rsid w:val="00567D77"/>
    <w:rsid w:val="0057282C"/>
    <w:rsid w:val="00573260"/>
    <w:rsid w:val="0057589A"/>
    <w:rsid w:val="00575C7D"/>
    <w:rsid w:val="00575F64"/>
    <w:rsid w:val="00577A56"/>
    <w:rsid w:val="00577B45"/>
    <w:rsid w:val="00581408"/>
    <w:rsid w:val="00581EB7"/>
    <w:rsid w:val="00582468"/>
    <w:rsid w:val="0058263F"/>
    <w:rsid w:val="005833FD"/>
    <w:rsid w:val="00584E71"/>
    <w:rsid w:val="00585CAE"/>
    <w:rsid w:val="0058642B"/>
    <w:rsid w:val="00590AAF"/>
    <w:rsid w:val="005945E3"/>
    <w:rsid w:val="0059783B"/>
    <w:rsid w:val="005A0422"/>
    <w:rsid w:val="005A05F2"/>
    <w:rsid w:val="005A1A28"/>
    <w:rsid w:val="005A2563"/>
    <w:rsid w:val="005A3BEB"/>
    <w:rsid w:val="005B0E7D"/>
    <w:rsid w:val="005B0F2F"/>
    <w:rsid w:val="005B7C2F"/>
    <w:rsid w:val="005D038D"/>
    <w:rsid w:val="005D4A1E"/>
    <w:rsid w:val="005D5DC7"/>
    <w:rsid w:val="005D5E5C"/>
    <w:rsid w:val="005D7698"/>
    <w:rsid w:val="005E1B47"/>
    <w:rsid w:val="005E2708"/>
    <w:rsid w:val="005E31A5"/>
    <w:rsid w:val="005E31D1"/>
    <w:rsid w:val="005E38DE"/>
    <w:rsid w:val="005E4689"/>
    <w:rsid w:val="005E4D97"/>
    <w:rsid w:val="005F0C85"/>
    <w:rsid w:val="005F4FA0"/>
    <w:rsid w:val="005F55B3"/>
    <w:rsid w:val="0060122E"/>
    <w:rsid w:val="0060222B"/>
    <w:rsid w:val="006027E2"/>
    <w:rsid w:val="006075BD"/>
    <w:rsid w:val="006117E3"/>
    <w:rsid w:val="00611ECA"/>
    <w:rsid w:val="00612A31"/>
    <w:rsid w:val="0061349A"/>
    <w:rsid w:val="00613A3D"/>
    <w:rsid w:val="0061789A"/>
    <w:rsid w:val="006235B7"/>
    <w:rsid w:val="006263B2"/>
    <w:rsid w:val="006363CE"/>
    <w:rsid w:val="006419F7"/>
    <w:rsid w:val="00641E15"/>
    <w:rsid w:val="00642494"/>
    <w:rsid w:val="006440B0"/>
    <w:rsid w:val="0064567F"/>
    <w:rsid w:val="00645D46"/>
    <w:rsid w:val="006464DA"/>
    <w:rsid w:val="00654097"/>
    <w:rsid w:val="006632D0"/>
    <w:rsid w:val="00664998"/>
    <w:rsid w:val="006656BC"/>
    <w:rsid w:val="00671B78"/>
    <w:rsid w:val="00675D3B"/>
    <w:rsid w:val="0068053A"/>
    <w:rsid w:val="00680595"/>
    <w:rsid w:val="0068079D"/>
    <w:rsid w:val="00681543"/>
    <w:rsid w:val="00682723"/>
    <w:rsid w:val="00682C5A"/>
    <w:rsid w:val="00683091"/>
    <w:rsid w:val="006861EA"/>
    <w:rsid w:val="00687234"/>
    <w:rsid w:val="0068753F"/>
    <w:rsid w:val="006924D7"/>
    <w:rsid w:val="00692CC9"/>
    <w:rsid w:val="00695750"/>
    <w:rsid w:val="00697D77"/>
    <w:rsid w:val="006A1D51"/>
    <w:rsid w:val="006A1E8E"/>
    <w:rsid w:val="006A4710"/>
    <w:rsid w:val="006A50A9"/>
    <w:rsid w:val="006A67D1"/>
    <w:rsid w:val="006B4FC2"/>
    <w:rsid w:val="006B5232"/>
    <w:rsid w:val="006B68CB"/>
    <w:rsid w:val="006B6BE8"/>
    <w:rsid w:val="006C6090"/>
    <w:rsid w:val="006C6973"/>
    <w:rsid w:val="006C6AE8"/>
    <w:rsid w:val="006C7FC6"/>
    <w:rsid w:val="006D3735"/>
    <w:rsid w:val="006D48AC"/>
    <w:rsid w:val="006D5D73"/>
    <w:rsid w:val="006E4348"/>
    <w:rsid w:val="006E5E53"/>
    <w:rsid w:val="006E7570"/>
    <w:rsid w:val="006F07F7"/>
    <w:rsid w:val="006F3C3B"/>
    <w:rsid w:val="006F4657"/>
    <w:rsid w:val="006F55A0"/>
    <w:rsid w:val="006F6620"/>
    <w:rsid w:val="006F7586"/>
    <w:rsid w:val="00702BC9"/>
    <w:rsid w:val="00704F4B"/>
    <w:rsid w:val="007051F6"/>
    <w:rsid w:val="0070629C"/>
    <w:rsid w:val="00710E09"/>
    <w:rsid w:val="00710E9C"/>
    <w:rsid w:val="00711D82"/>
    <w:rsid w:val="007125ED"/>
    <w:rsid w:val="0071325C"/>
    <w:rsid w:val="00715248"/>
    <w:rsid w:val="00715C28"/>
    <w:rsid w:val="00716037"/>
    <w:rsid w:val="00717909"/>
    <w:rsid w:val="00717FC6"/>
    <w:rsid w:val="007212EB"/>
    <w:rsid w:val="00721857"/>
    <w:rsid w:val="00725F47"/>
    <w:rsid w:val="007263A4"/>
    <w:rsid w:val="00731423"/>
    <w:rsid w:val="00731970"/>
    <w:rsid w:val="007337D9"/>
    <w:rsid w:val="00735FD2"/>
    <w:rsid w:val="00737F68"/>
    <w:rsid w:val="007443B8"/>
    <w:rsid w:val="00744F92"/>
    <w:rsid w:val="007455D7"/>
    <w:rsid w:val="00745FAD"/>
    <w:rsid w:val="00746490"/>
    <w:rsid w:val="007466BC"/>
    <w:rsid w:val="00746B27"/>
    <w:rsid w:val="00747B12"/>
    <w:rsid w:val="007508F7"/>
    <w:rsid w:val="00750E11"/>
    <w:rsid w:val="007512FD"/>
    <w:rsid w:val="00751C8D"/>
    <w:rsid w:val="00752E7E"/>
    <w:rsid w:val="00753051"/>
    <w:rsid w:val="0075561F"/>
    <w:rsid w:val="00756626"/>
    <w:rsid w:val="00761A8B"/>
    <w:rsid w:val="00762289"/>
    <w:rsid w:val="007631E9"/>
    <w:rsid w:val="007658DB"/>
    <w:rsid w:val="00773BCC"/>
    <w:rsid w:val="00774114"/>
    <w:rsid w:val="007779E5"/>
    <w:rsid w:val="00782649"/>
    <w:rsid w:val="0078478C"/>
    <w:rsid w:val="00785996"/>
    <w:rsid w:val="007933D4"/>
    <w:rsid w:val="00795633"/>
    <w:rsid w:val="007A174A"/>
    <w:rsid w:val="007B11DD"/>
    <w:rsid w:val="007B21FE"/>
    <w:rsid w:val="007B2854"/>
    <w:rsid w:val="007C026C"/>
    <w:rsid w:val="007C1CA9"/>
    <w:rsid w:val="007C1F3A"/>
    <w:rsid w:val="007C37D3"/>
    <w:rsid w:val="007C4BDB"/>
    <w:rsid w:val="007C6305"/>
    <w:rsid w:val="007C7C07"/>
    <w:rsid w:val="007D0C61"/>
    <w:rsid w:val="007D325B"/>
    <w:rsid w:val="007D4910"/>
    <w:rsid w:val="007D7078"/>
    <w:rsid w:val="007D79CD"/>
    <w:rsid w:val="007E01D6"/>
    <w:rsid w:val="007E268F"/>
    <w:rsid w:val="007F0A41"/>
    <w:rsid w:val="007F3DC1"/>
    <w:rsid w:val="007F6A03"/>
    <w:rsid w:val="007F6FED"/>
    <w:rsid w:val="007F7F63"/>
    <w:rsid w:val="00803669"/>
    <w:rsid w:val="00803BBB"/>
    <w:rsid w:val="00803F40"/>
    <w:rsid w:val="00805E7D"/>
    <w:rsid w:val="00806DE4"/>
    <w:rsid w:val="008101AA"/>
    <w:rsid w:val="00812373"/>
    <w:rsid w:val="00815EBF"/>
    <w:rsid w:val="00821327"/>
    <w:rsid w:val="00821DC5"/>
    <w:rsid w:val="0082608A"/>
    <w:rsid w:val="008271B8"/>
    <w:rsid w:val="00833E0B"/>
    <w:rsid w:val="00834965"/>
    <w:rsid w:val="00836787"/>
    <w:rsid w:val="00837B2B"/>
    <w:rsid w:val="00840704"/>
    <w:rsid w:val="0084088E"/>
    <w:rsid w:val="00841C30"/>
    <w:rsid w:val="00845290"/>
    <w:rsid w:val="00846C93"/>
    <w:rsid w:val="00850F23"/>
    <w:rsid w:val="00851162"/>
    <w:rsid w:val="00853144"/>
    <w:rsid w:val="0085708B"/>
    <w:rsid w:val="008601DC"/>
    <w:rsid w:val="008632D2"/>
    <w:rsid w:val="00866A46"/>
    <w:rsid w:val="00867210"/>
    <w:rsid w:val="008676DA"/>
    <w:rsid w:val="008748FA"/>
    <w:rsid w:val="00875023"/>
    <w:rsid w:val="008828CD"/>
    <w:rsid w:val="00883458"/>
    <w:rsid w:val="00890242"/>
    <w:rsid w:val="00890A71"/>
    <w:rsid w:val="00892080"/>
    <w:rsid w:val="00893237"/>
    <w:rsid w:val="00894927"/>
    <w:rsid w:val="00894D99"/>
    <w:rsid w:val="00894FC7"/>
    <w:rsid w:val="00896B1B"/>
    <w:rsid w:val="008A1268"/>
    <w:rsid w:val="008A1D3A"/>
    <w:rsid w:val="008A39CF"/>
    <w:rsid w:val="008A43AB"/>
    <w:rsid w:val="008A68B5"/>
    <w:rsid w:val="008B075B"/>
    <w:rsid w:val="008B2131"/>
    <w:rsid w:val="008B266A"/>
    <w:rsid w:val="008B4494"/>
    <w:rsid w:val="008B4D60"/>
    <w:rsid w:val="008B75A5"/>
    <w:rsid w:val="008C05B3"/>
    <w:rsid w:val="008C0B3C"/>
    <w:rsid w:val="008C3831"/>
    <w:rsid w:val="008C6F86"/>
    <w:rsid w:val="008D1B59"/>
    <w:rsid w:val="008D2CCA"/>
    <w:rsid w:val="008D34D4"/>
    <w:rsid w:val="008D3647"/>
    <w:rsid w:val="008D5359"/>
    <w:rsid w:val="008D55A4"/>
    <w:rsid w:val="008D5E1A"/>
    <w:rsid w:val="008E0EC8"/>
    <w:rsid w:val="008E4A41"/>
    <w:rsid w:val="008E5BEE"/>
    <w:rsid w:val="008F0AC8"/>
    <w:rsid w:val="008F0B5F"/>
    <w:rsid w:val="008F7487"/>
    <w:rsid w:val="008F7DD4"/>
    <w:rsid w:val="00906529"/>
    <w:rsid w:val="00907272"/>
    <w:rsid w:val="00910806"/>
    <w:rsid w:val="00914C3C"/>
    <w:rsid w:val="00914F2D"/>
    <w:rsid w:val="00916E6B"/>
    <w:rsid w:val="00926894"/>
    <w:rsid w:val="0093171F"/>
    <w:rsid w:val="00935B1E"/>
    <w:rsid w:val="00942443"/>
    <w:rsid w:val="0094528A"/>
    <w:rsid w:val="00947D3B"/>
    <w:rsid w:val="009504EF"/>
    <w:rsid w:val="009507C4"/>
    <w:rsid w:val="00953B2F"/>
    <w:rsid w:val="0095608C"/>
    <w:rsid w:val="009572EF"/>
    <w:rsid w:val="00960E72"/>
    <w:rsid w:val="00962894"/>
    <w:rsid w:val="00962EC4"/>
    <w:rsid w:val="0096491A"/>
    <w:rsid w:val="009650D6"/>
    <w:rsid w:val="009654CF"/>
    <w:rsid w:val="00966D29"/>
    <w:rsid w:val="009679A2"/>
    <w:rsid w:val="009724C4"/>
    <w:rsid w:val="00972723"/>
    <w:rsid w:val="009727DB"/>
    <w:rsid w:val="00972E2C"/>
    <w:rsid w:val="009730EE"/>
    <w:rsid w:val="00974B5B"/>
    <w:rsid w:val="00974C70"/>
    <w:rsid w:val="00977E64"/>
    <w:rsid w:val="00985324"/>
    <w:rsid w:val="0098604A"/>
    <w:rsid w:val="00995896"/>
    <w:rsid w:val="00997A3C"/>
    <w:rsid w:val="009A0943"/>
    <w:rsid w:val="009A11E6"/>
    <w:rsid w:val="009A1FDF"/>
    <w:rsid w:val="009A210F"/>
    <w:rsid w:val="009A3878"/>
    <w:rsid w:val="009A51AF"/>
    <w:rsid w:val="009B121E"/>
    <w:rsid w:val="009B1BD3"/>
    <w:rsid w:val="009B1C63"/>
    <w:rsid w:val="009B2E71"/>
    <w:rsid w:val="009B4412"/>
    <w:rsid w:val="009B469D"/>
    <w:rsid w:val="009B46B6"/>
    <w:rsid w:val="009B46C9"/>
    <w:rsid w:val="009B51F4"/>
    <w:rsid w:val="009B76DC"/>
    <w:rsid w:val="009C2A19"/>
    <w:rsid w:val="009C545F"/>
    <w:rsid w:val="009D2B1B"/>
    <w:rsid w:val="009D2B79"/>
    <w:rsid w:val="009D4964"/>
    <w:rsid w:val="009D5FCF"/>
    <w:rsid w:val="009D7703"/>
    <w:rsid w:val="009E1E24"/>
    <w:rsid w:val="009E2124"/>
    <w:rsid w:val="009E255E"/>
    <w:rsid w:val="009E4F94"/>
    <w:rsid w:val="009F0466"/>
    <w:rsid w:val="009F162C"/>
    <w:rsid w:val="009F3D85"/>
    <w:rsid w:val="009F4297"/>
    <w:rsid w:val="009F4D26"/>
    <w:rsid w:val="00A00741"/>
    <w:rsid w:val="00A043CE"/>
    <w:rsid w:val="00A06CC2"/>
    <w:rsid w:val="00A11B38"/>
    <w:rsid w:val="00A12F5A"/>
    <w:rsid w:val="00A12F63"/>
    <w:rsid w:val="00A15C6B"/>
    <w:rsid w:val="00A171C6"/>
    <w:rsid w:val="00A20FAB"/>
    <w:rsid w:val="00A238A0"/>
    <w:rsid w:val="00A24B88"/>
    <w:rsid w:val="00A24D3F"/>
    <w:rsid w:val="00A35AEE"/>
    <w:rsid w:val="00A365A0"/>
    <w:rsid w:val="00A407A2"/>
    <w:rsid w:val="00A41C73"/>
    <w:rsid w:val="00A42D82"/>
    <w:rsid w:val="00A45545"/>
    <w:rsid w:val="00A4764B"/>
    <w:rsid w:val="00A508D3"/>
    <w:rsid w:val="00A512B2"/>
    <w:rsid w:val="00A51AE9"/>
    <w:rsid w:val="00A5213A"/>
    <w:rsid w:val="00A56321"/>
    <w:rsid w:val="00A63FA7"/>
    <w:rsid w:val="00A64890"/>
    <w:rsid w:val="00A649BD"/>
    <w:rsid w:val="00A64C5F"/>
    <w:rsid w:val="00A669AB"/>
    <w:rsid w:val="00A679BF"/>
    <w:rsid w:val="00A70215"/>
    <w:rsid w:val="00A74256"/>
    <w:rsid w:val="00A77C2D"/>
    <w:rsid w:val="00A837FB"/>
    <w:rsid w:val="00A85421"/>
    <w:rsid w:val="00A8609A"/>
    <w:rsid w:val="00A90004"/>
    <w:rsid w:val="00A92572"/>
    <w:rsid w:val="00A978E3"/>
    <w:rsid w:val="00AA0688"/>
    <w:rsid w:val="00AA490A"/>
    <w:rsid w:val="00AA4FD6"/>
    <w:rsid w:val="00AA5798"/>
    <w:rsid w:val="00AB1CCB"/>
    <w:rsid w:val="00AB251D"/>
    <w:rsid w:val="00AB321B"/>
    <w:rsid w:val="00AC0CF7"/>
    <w:rsid w:val="00AC2111"/>
    <w:rsid w:val="00AC35C8"/>
    <w:rsid w:val="00AC3BC7"/>
    <w:rsid w:val="00AC4CA4"/>
    <w:rsid w:val="00AC4DF4"/>
    <w:rsid w:val="00AD1008"/>
    <w:rsid w:val="00AD2808"/>
    <w:rsid w:val="00AD7872"/>
    <w:rsid w:val="00AD7E92"/>
    <w:rsid w:val="00AE2487"/>
    <w:rsid w:val="00AE36A6"/>
    <w:rsid w:val="00AE3E96"/>
    <w:rsid w:val="00AE542F"/>
    <w:rsid w:val="00AE6BE2"/>
    <w:rsid w:val="00AF33B2"/>
    <w:rsid w:val="00AF3FEE"/>
    <w:rsid w:val="00B01F7D"/>
    <w:rsid w:val="00B0237D"/>
    <w:rsid w:val="00B03C7C"/>
    <w:rsid w:val="00B05518"/>
    <w:rsid w:val="00B137FD"/>
    <w:rsid w:val="00B13B6D"/>
    <w:rsid w:val="00B143EF"/>
    <w:rsid w:val="00B15FB7"/>
    <w:rsid w:val="00B1627F"/>
    <w:rsid w:val="00B218AA"/>
    <w:rsid w:val="00B22796"/>
    <w:rsid w:val="00B256E5"/>
    <w:rsid w:val="00B27EFC"/>
    <w:rsid w:val="00B3250A"/>
    <w:rsid w:val="00B407DC"/>
    <w:rsid w:val="00B40B5D"/>
    <w:rsid w:val="00B41EB8"/>
    <w:rsid w:val="00B43B19"/>
    <w:rsid w:val="00B5426C"/>
    <w:rsid w:val="00B54791"/>
    <w:rsid w:val="00B56A61"/>
    <w:rsid w:val="00B575EB"/>
    <w:rsid w:val="00B640BE"/>
    <w:rsid w:val="00B64169"/>
    <w:rsid w:val="00B669AB"/>
    <w:rsid w:val="00B70684"/>
    <w:rsid w:val="00B772EA"/>
    <w:rsid w:val="00B777B1"/>
    <w:rsid w:val="00B81FB2"/>
    <w:rsid w:val="00B83351"/>
    <w:rsid w:val="00B83B31"/>
    <w:rsid w:val="00B8524E"/>
    <w:rsid w:val="00B85DCB"/>
    <w:rsid w:val="00B86CC6"/>
    <w:rsid w:val="00B87D2A"/>
    <w:rsid w:val="00B90D85"/>
    <w:rsid w:val="00B93137"/>
    <w:rsid w:val="00B9540A"/>
    <w:rsid w:val="00B97900"/>
    <w:rsid w:val="00BA2369"/>
    <w:rsid w:val="00BA36A3"/>
    <w:rsid w:val="00BB0787"/>
    <w:rsid w:val="00BB07BC"/>
    <w:rsid w:val="00BB6628"/>
    <w:rsid w:val="00BB6FE5"/>
    <w:rsid w:val="00BC17E9"/>
    <w:rsid w:val="00BD06AF"/>
    <w:rsid w:val="00BD0ACA"/>
    <w:rsid w:val="00BD3495"/>
    <w:rsid w:val="00BD5750"/>
    <w:rsid w:val="00BE0A92"/>
    <w:rsid w:val="00BE21E3"/>
    <w:rsid w:val="00BE6671"/>
    <w:rsid w:val="00BF4CF4"/>
    <w:rsid w:val="00C000E7"/>
    <w:rsid w:val="00C01433"/>
    <w:rsid w:val="00C0193D"/>
    <w:rsid w:val="00C01FA3"/>
    <w:rsid w:val="00C04A12"/>
    <w:rsid w:val="00C05F31"/>
    <w:rsid w:val="00C10818"/>
    <w:rsid w:val="00C1109A"/>
    <w:rsid w:val="00C20C04"/>
    <w:rsid w:val="00C22153"/>
    <w:rsid w:val="00C22FCD"/>
    <w:rsid w:val="00C240D1"/>
    <w:rsid w:val="00C26C32"/>
    <w:rsid w:val="00C301F6"/>
    <w:rsid w:val="00C3067C"/>
    <w:rsid w:val="00C409E2"/>
    <w:rsid w:val="00C40F0B"/>
    <w:rsid w:val="00C4182C"/>
    <w:rsid w:val="00C42271"/>
    <w:rsid w:val="00C545A5"/>
    <w:rsid w:val="00C56307"/>
    <w:rsid w:val="00C6046B"/>
    <w:rsid w:val="00C6060B"/>
    <w:rsid w:val="00C60911"/>
    <w:rsid w:val="00C63357"/>
    <w:rsid w:val="00C659E5"/>
    <w:rsid w:val="00C65C20"/>
    <w:rsid w:val="00C65DEA"/>
    <w:rsid w:val="00C70983"/>
    <w:rsid w:val="00C72947"/>
    <w:rsid w:val="00C737EA"/>
    <w:rsid w:val="00C74D10"/>
    <w:rsid w:val="00C751C2"/>
    <w:rsid w:val="00C82269"/>
    <w:rsid w:val="00C830FA"/>
    <w:rsid w:val="00C84112"/>
    <w:rsid w:val="00C845ED"/>
    <w:rsid w:val="00C86957"/>
    <w:rsid w:val="00C96DB7"/>
    <w:rsid w:val="00CA16F7"/>
    <w:rsid w:val="00CA30AB"/>
    <w:rsid w:val="00CA3718"/>
    <w:rsid w:val="00CA4DED"/>
    <w:rsid w:val="00CA4F86"/>
    <w:rsid w:val="00CB0F3D"/>
    <w:rsid w:val="00CB2A35"/>
    <w:rsid w:val="00CB56D3"/>
    <w:rsid w:val="00CB5E52"/>
    <w:rsid w:val="00CB6A33"/>
    <w:rsid w:val="00CB7D3B"/>
    <w:rsid w:val="00CC2D1F"/>
    <w:rsid w:val="00CC4496"/>
    <w:rsid w:val="00CC4544"/>
    <w:rsid w:val="00CD3034"/>
    <w:rsid w:val="00CD334A"/>
    <w:rsid w:val="00CD5227"/>
    <w:rsid w:val="00CD5E86"/>
    <w:rsid w:val="00CD62D8"/>
    <w:rsid w:val="00CD7D69"/>
    <w:rsid w:val="00CE0866"/>
    <w:rsid w:val="00CE24EF"/>
    <w:rsid w:val="00CE3489"/>
    <w:rsid w:val="00CE67E7"/>
    <w:rsid w:val="00CF2661"/>
    <w:rsid w:val="00CF5B96"/>
    <w:rsid w:val="00CF63C8"/>
    <w:rsid w:val="00CF673A"/>
    <w:rsid w:val="00D021F9"/>
    <w:rsid w:val="00D0438C"/>
    <w:rsid w:val="00D06C30"/>
    <w:rsid w:val="00D10F4A"/>
    <w:rsid w:val="00D155DB"/>
    <w:rsid w:val="00D16ABE"/>
    <w:rsid w:val="00D17668"/>
    <w:rsid w:val="00D1771A"/>
    <w:rsid w:val="00D203A0"/>
    <w:rsid w:val="00D2368D"/>
    <w:rsid w:val="00D23C3D"/>
    <w:rsid w:val="00D23CCF"/>
    <w:rsid w:val="00D27901"/>
    <w:rsid w:val="00D31628"/>
    <w:rsid w:val="00D32499"/>
    <w:rsid w:val="00D34195"/>
    <w:rsid w:val="00D3773F"/>
    <w:rsid w:val="00D37F23"/>
    <w:rsid w:val="00D4067A"/>
    <w:rsid w:val="00D407E0"/>
    <w:rsid w:val="00D435BB"/>
    <w:rsid w:val="00D510E9"/>
    <w:rsid w:val="00D5387F"/>
    <w:rsid w:val="00D548E6"/>
    <w:rsid w:val="00D57A96"/>
    <w:rsid w:val="00D60458"/>
    <w:rsid w:val="00D61F2B"/>
    <w:rsid w:val="00D6435F"/>
    <w:rsid w:val="00D65E34"/>
    <w:rsid w:val="00D663A3"/>
    <w:rsid w:val="00D7289F"/>
    <w:rsid w:val="00D7302D"/>
    <w:rsid w:val="00D74486"/>
    <w:rsid w:val="00D74696"/>
    <w:rsid w:val="00D80AB3"/>
    <w:rsid w:val="00D81087"/>
    <w:rsid w:val="00D81DEA"/>
    <w:rsid w:val="00D81F75"/>
    <w:rsid w:val="00D820D5"/>
    <w:rsid w:val="00D859F1"/>
    <w:rsid w:val="00D86F81"/>
    <w:rsid w:val="00D91D85"/>
    <w:rsid w:val="00D94FCC"/>
    <w:rsid w:val="00D96DE7"/>
    <w:rsid w:val="00DA035A"/>
    <w:rsid w:val="00DA0DC9"/>
    <w:rsid w:val="00DA582C"/>
    <w:rsid w:val="00DB18FB"/>
    <w:rsid w:val="00DB1CC4"/>
    <w:rsid w:val="00DB5697"/>
    <w:rsid w:val="00DB75F9"/>
    <w:rsid w:val="00DC28DF"/>
    <w:rsid w:val="00DC4EC6"/>
    <w:rsid w:val="00DD0C18"/>
    <w:rsid w:val="00DD1462"/>
    <w:rsid w:val="00DD46FE"/>
    <w:rsid w:val="00DD5245"/>
    <w:rsid w:val="00DE3863"/>
    <w:rsid w:val="00DE5910"/>
    <w:rsid w:val="00DF2E11"/>
    <w:rsid w:val="00DF4CEF"/>
    <w:rsid w:val="00DF57C8"/>
    <w:rsid w:val="00DF791F"/>
    <w:rsid w:val="00DF7DB7"/>
    <w:rsid w:val="00E00DC4"/>
    <w:rsid w:val="00E021F9"/>
    <w:rsid w:val="00E026D5"/>
    <w:rsid w:val="00E0500B"/>
    <w:rsid w:val="00E05663"/>
    <w:rsid w:val="00E05721"/>
    <w:rsid w:val="00E0649A"/>
    <w:rsid w:val="00E071E0"/>
    <w:rsid w:val="00E11F27"/>
    <w:rsid w:val="00E13A86"/>
    <w:rsid w:val="00E21CD6"/>
    <w:rsid w:val="00E232FB"/>
    <w:rsid w:val="00E23F56"/>
    <w:rsid w:val="00E240E4"/>
    <w:rsid w:val="00E245A7"/>
    <w:rsid w:val="00E30A75"/>
    <w:rsid w:val="00E321AD"/>
    <w:rsid w:val="00E34064"/>
    <w:rsid w:val="00E34E6D"/>
    <w:rsid w:val="00E35FF3"/>
    <w:rsid w:val="00E37B9A"/>
    <w:rsid w:val="00E43426"/>
    <w:rsid w:val="00E44BDC"/>
    <w:rsid w:val="00E4509D"/>
    <w:rsid w:val="00E46620"/>
    <w:rsid w:val="00E5709C"/>
    <w:rsid w:val="00E575F8"/>
    <w:rsid w:val="00E57C15"/>
    <w:rsid w:val="00E57D52"/>
    <w:rsid w:val="00E62300"/>
    <w:rsid w:val="00E624EE"/>
    <w:rsid w:val="00E626E4"/>
    <w:rsid w:val="00E63347"/>
    <w:rsid w:val="00E63372"/>
    <w:rsid w:val="00E669AA"/>
    <w:rsid w:val="00E7093D"/>
    <w:rsid w:val="00E72BBA"/>
    <w:rsid w:val="00E812DA"/>
    <w:rsid w:val="00E81C00"/>
    <w:rsid w:val="00E832D4"/>
    <w:rsid w:val="00E85FF4"/>
    <w:rsid w:val="00E86141"/>
    <w:rsid w:val="00E861FF"/>
    <w:rsid w:val="00E878F4"/>
    <w:rsid w:val="00E8799F"/>
    <w:rsid w:val="00E9016C"/>
    <w:rsid w:val="00E967B4"/>
    <w:rsid w:val="00E97456"/>
    <w:rsid w:val="00EA6FFA"/>
    <w:rsid w:val="00EA7856"/>
    <w:rsid w:val="00EB01EC"/>
    <w:rsid w:val="00EB1742"/>
    <w:rsid w:val="00EB1888"/>
    <w:rsid w:val="00EB20F0"/>
    <w:rsid w:val="00EB39A0"/>
    <w:rsid w:val="00EB3BAA"/>
    <w:rsid w:val="00EB475E"/>
    <w:rsid w:val="00EB58D5"/>
    <w:rsid w:val="00EB6575"/>
    <w:rsid w:val="00EB6867"/>
    <w:rsid w:val="00EB7733"/>
    <w:rsid w:val="00EB7D9B"/>
    <w:rsid w:val="00ED0E68"/>
    <w:rsid w:val="00ED22BB"/>
    <w:rsid w:val="00ED62EA"/>
    <w:rsid w:val="00ED635A"/>
    <w:rsid w:val="00EE186D"/>
    <w:rsid w:val="00EE265A"/>
    <w:rsid w:val="00EF03E9"/>
    <w:rsid w:val="00EF4D98"/>
    <w:rsid w:val="00EF737D"/>
    <w:rsid w:val="00F004B2"/>
    <w:rsid w:val="00F009E4"/>
    <w:rsid w:val="00F02F44"/>
    <w:rsid w:val="00F049DE"/>
    <w:rsid w:val="00F10E82"/>
    <w:rsid w:val="00F117D2"/>
    <w:rsid w:val="00F15338"/>
    <w:rsid w:val="00F17026"/>
    <w:rsid w:val="00F17F58"/>
    <w:rsid w:val="00F20414"/>
    <w:rsid w:val="00F22A1D"/>
    <w:rsid w:val="00F23D6A"/>
    <w:rsid w:val="00F258E2"/>
    <w:rsid w:val="00F32190"/>
    <w:rsid w:val="00F32401"/>
    <w:rsid w:val="00F33313"/>
    <w:rsid w:val="00F35AB7"/>
    <w:rsid w:val="00F3603E"/>
    <w:rsid w:val="00F36111"/>
    <w:rsid w:val="00F401E4"/>
    <w:rsid w:val="00F40A2C"/>
    <w:rsid w:val="00F41EDB"/>
    <w:rsid w:val="00F43257"/>
    <w:rsid w:val="00F47B6E"/>
    <w:rsid w:val="00F51B92"/>
    <w:rsid w:val="00F57CB6"/>
    <w:rsid w:val="00F61886"/>
    <w:rsid w:val="00F63281"/>
    <w:rsid w:val="00F63841"/>
    <w:rsid w:val="00F642F0"/>
    <w:rsid w:val="00F65CDA"/>
    <w:rsid w:val="00F66619"/>
    <w:rsid w:val="00F71209"/>
    <w:rsid w:val="00F72F31"/>
    <w:rsid w:val="00F73545"/>
    <w:rsid w:val="00F74D40"/>
    <w:rsid w:val="00F7660F"/>
    <w:rsid w:val="00F76729"/>
    <w:rsid w:val="00F769E6"/>
    <w:rsid w:val="00F83951"/>
    <w:rsid w:val="00F8455A"/>
    <w:rsid w:val="00F86218"/>
    <w:rsid w:val="00F93FCA"/>
    <w:rsid w:val="00F94443"/>
    <w:rsid w:val="00FA6F54"/>
    <w:rsid w:val="00FB05E4"/>
    <w:rsid w:val="00FB13F6"/>
    <w:rsid w:val="00FB1E72"/>
    <w:rsid w:val="00FB2B3D"/>
    <w:rsid w:val="00FB3D7A"/>
    <w:rsid w:val="00FB4541"/>
    <w:rsid w:val="00FB47FD"/>
    <w:rsid w:val="00FB4CAE"/>
    <w:rsid w:val="00FC1068"/>
    <w:rsid w:val="00FC2753"/>
    <w:rsid w:val="00FC293E"/>
    <w:rsid w:val="00FC5BD7"/>
    <w:rsid w:val="00FC6AE4"/>
    <w:rsid w:val="00FD1C47"/>
    <w:rsid w:val="00FD3F53"/>
    <w:rsid w:val="00FD43D7"/>
    <w:rsid w:val="00FD48E7"/>
    <w:rsid w:val="00FE1DD2"/>
    <w:rsid w:val="00FE38B7"/>
    <w:rsid w:val="00FF08F7"/>
    <w:rsid w:val="00FF4C49"/>
    <w:rsid w:val="00FF54E6"/>
    <w:rsid w:val="00FF5647"/>
    <w:rsid w:val="00FF66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88995B"/>
  <w15:chartTrackingRefBased/>
  <w15:docId w15:val="{3B1CCE00-B5DB-40A2-9EAB-34BE61F4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9CF"/>
    <w:pPr>
      <w:spacing w:after="200" w:line="276" w:lineRule="auto"/>
    </w:pPr>
    <w:rPr>
      <w:rFonts w:ascii="Calibri" w:eastAsia="Calibri" w:hAnsi="Calibri" w:cs="Times New Roman"/>
    </w:rPr>
  </w:style>
  <w:style w:type="paragraph" w:styleId="Ttulo1">
    <w:name w:val="heading 1"/>
    <w:basedOn w:val="Normal"/>
    <w:next w:val="Normal"/>
    <w:link w:val="Ttulo1Car"/>
    <w:qFormat/>
    <w:rsid w:val="008A39CF"/>
    <w:pPr>
      <w:keepNext/>
      <w:spacing w:after="0" w:line="240" w:lineRule="auto"/>
      <w:jc w:val="center"/>
      <w:outlineLvl w:val="0"/>
    </w:pPr>
    <w:rPr>
      <w:rFonts w:ascii="Times New Roman" w:eastAsia="Times New Roman" w:hAnsi="Times New Roman"/>
      <w:b/>
      <w:bCs/>
      <w:sz w:val="20"/>
      <w:szCs w:val="24"/>
      <w:lang w:eastAsia="es-ES"/>
    </w:rPr>
  </w:style>
  <w:style w:type="paragraph" w:styleId="Ttulo2">
    <w:name w:val="heading 2"/>
    <w:basedOn w:val="Normal"/>
    <w:next w:val="Normal"/>
    <w:link w:val="Ttulo2Car"/>
    <w:uiPriority w:val="9"/>
    <w:unhideWhenUsed/>
    <w:qFormat/>
    <w:rsid w:val="008A39CF"/>
    <w:pPr>
      <w:keepNext/>
      <w:keepLines/>
      <w:autoSpaceDE w:val="0"/>
      <w:autoSpaceDN w:val="0"/>
      <w:adjustRightInd w:val="0"/>
      <w:spacing w:after="120"/>
      <w:jc w:val="both"/>
      <w:outlineLvl w:val="1"/>
    </w:pPr>
    <w:rPr>
      <w:rFonts w:ascii="ITC Avant Garde" w:hAnsi="ITC Avant Garde"/>
      <w:b/>
    </w:rPr>
  </w:style>
  <w:style w:type="paragraph" w:styleId="Ttulo3">
    <w:name w:val="heading 3"/>
    <w:basedOn w:val="Normal"/>
    <w:next w:val="Normal"/>
    <w:link w:val="Ttulo3Car"/>
    <w:uiPriority w:val="9"/>
    <w:unhideWhenUsed/>
    <w:qFormat/>
    <w:rsid w:val="008A39CF"/>
    <w:pPr>
      <w:numPr>
        <w:numId w:val="5"/>
      </w:numPr>
      <w:spacing w:after="0"/>
      <w:contextualSpacing/>
      <w:jc w:val="both"/>
      <w:outlineLvl w:val="2"/>
    </w:pPr>
    <w:rPr>
      <w:rFonts w:ascii="ITC Avant Garde" w:hAnsi="ITC Avant Garde"/>
      <w:b/>
      <w:i/>
    </w:rPr>
  </w:style>
  <w:style w:type="paragraph" w:styleId="Ttulo4">
    <w:name w:val="heading 4"/>
    <w:basedOn w:val="Ttulo2"/>
    <w:next w:val="Normal"/>
    <w:link w:val="Ttulo4Car"/>
    <w:uiPriority w:val="9"/>
    <w:unhideWhenUsed/>
    <w:qFormat/>
    <w:rsid w:val="008A39CF"/>
    <w:pPr>
      <w:autoSpaceDE/>
      <w:autoSpaceDN/>
      <w:adjustRightInd/>
      <w:spacing w:before="240" w:line="240" w:lineRule="auto"/>
      <w:ind w:left="658" w:hanging="658"/>
      <w:outlineLvl w:val="3"/>
    </w:pPr>
    <w:rPr>
      <w:rFonts w:eastAsiaTheme="minorHAn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A39CF"/>
    <w:rPr>
      <w:rFonts w:ascii="Times New Roman" w:eastAsia="Times New Roman" w:hAnsi="Times New Roman" w:cs="Times New Roman"/>
      <w:b/>
      <w:bCs/>
      <w:sz w:val="20"/>
      <w:szCs w:val="24"/>
      <w:lang w:eastAsia="es-ES"/>
    </w:rPr>
  </w:style>
  <w:style w:type="character" w:customStyle="1" w:styleId="Ttulo2Car">
    <w:name w:val="Título 2 Car"/>
    <w:basedOn w:val="Fuentedeprrafopredeter"/>
    <w:link w:val="Ttulo2"/>
    <w:uiPriority w:val="9"/>
    <w:rsid w:val="008A39CF"/>
    <w:rPr>
      <w:rFonts w:ascii="ITC Avant Garde" w:eastAsia="Calibri" w:hAnsi="ITC Avant Garde" w:cs="Times New Roman"/>
      <w:b/>
    </w:rPr>
  </w:style>
  <w:style w:type="character" w:customStyle="1" w:styleId="Ttulo3Car">
    <w:name w:val="Título 3 Car"/>
    <w:basedOn w:val="Fuentedeprrafopredeter"/>
    <w:link w:val="Ttulo3"/>
    <w:uiPriority w:val="9"/>
    <w:rsid w:val="008A39CF"/>
    <w:rPr>
      <w:rFonts w:ascii="ITC Avant Garde" w:eastAsia="Calibri" w:hAnsi="ITC Avant Garde" w:cs="Times New Roman"/>
      <w:b/>
      <w:i/>
    </w:rPr>
  </w:style>
  <w:style w:type="character" w:customStyle="1" w:styleId="Ttulo4Car">
    <w:name w:val="Título 4 Car"/>
    <w:basedOn w:val="Fuentedeprrafopredeter"/>
    <w:link w:val="Ttulo4"/>
    <w:uiPriority w:val="9"/>
    <w:rsid w:val="008A39CF"/>
    <w:rPr>
      <w:rFonts w:ascii="ITC Avant Garde" w:hAnsi="ITC Avant Garde" w:cs="Times New Roman"/>
      <w:b/>
    </w:rPr>
  </w:style>
  <w:style w:type="paragraph" w:styleId="Encabezado">
    <w:name w:val="header"/>
    <w:basedOn w:val="Normal"/>
    <w:link w:val="EncabezadoCar"/>
    <w:uiPriority w:val="99"/>
    <w:unhideWhenUsed/>
    <w:rsid w:val="008A39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39CF"/>
    <w:rPr>
      <w:rFonts w:ascii="Calibri" w:eastAsia="Calibri" w:hAnsi="Calibri" w:cs="Times New Roman"/>
    </w:rPr>
  </w:style>
  <w:style w:type="paragraph" w:styleId="Piedepgina">
    <w:name w:val="footer"/>
    <w:basedOn w:val="Normal"/>
    <w:link w:val="PiedepginaCar"/>
    <w:uiPriority w:val="99"/>
    <w:unhideWhenUsed/>
    <w:rsid w:val="008A39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39CF"/>
    <w:rPr>
      <w:rFonts w:ascii="Calibri" w:eastAsia="Calibri" w:hAnsi="Calibri" w:cs="Times New Roman"/>
    </w:rPr>
  </w:style>
  <w:style w:type="paragraph" w:customStyle="1" w:styleId="estilo30">
    <w:name w:val="estilo30"/>
    <w:basedOn w:val="Normal"/>
    <w:rsid w:val="008A39CF"/>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A39C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8A39CF"/>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Refdenotaalpie">
    <w:name w:val="footnote reference"/>
    <w:aliases w:val="Ref,de nota al pie,fr,(NECG) Footnote Reference,o,Appel note de bas de p,Style 12,Style 124,Style 13,Style 3,Style 17,FR,Footnote Reference/,callout,Style 6,Footnote,Style 20"/>
    <w:basedOn w:val="Fuentedeprrafopredeter"/>
    <w:uiPriority w:val="99"/>
    <w:qFormat/>
    <w:rsid w:val="008A39CF"/>
    <w:rPr>
      <w:vertAlign w:val="superscript"/>
    </w:rPr>
  </w:style>
  <w:style w:type="paragraph" w:styleId="Prrafodelista">
    <w:name w:val="List Paragraph"/>
    <w:basedOn w:val="Normal"/>
    <w:link w:val="PrrafodelistaCar"/>
    <w:uiPriority w:val="34"/>
    <w:qFormat/>
    <w:rsid w:val="008A39CF"/>
    <w:pPr>
      <w:ind w:left="720"/>
      <w:contextualSpacing/>
    </w:pPr>
    <w:rPr>
      <w:rFonts w:asciiTheme="minorHAnsi" w:eastAsiaTheme="minorHAnsi" w:hAnsiTheme="minorHAnsi" w:cstheme="minorBidi"/>
    </w:rPr>
  </w:style>
  <w:style w:type="paragraph" w:styleId="Textoindependiente2">
    <w:name w:val="Body Text 2"/>
    <w:basedOn w:val="Normal"/>
    <w:link w:val="Textoindependiente2Car"/>
    <w:semiHidden/>
    <w:rsid w:val="008A39CF"/>
    <w:pPr>
      <w:tabs>
        <w:tab w:val="left" w:pos="0"/>
        <w:tab w:val="left" w:pos="142"/>
      </w:tabs>
      <w:spacing w:after="0" w:line="240" w:lineRule="auto"/>
      <w:jc w:val="both"/>
    </w:pPr>
    <w:rPr>
      <w:rFonts w:ascii="Times New Roman" w:eastAsia="Times New Roman" w:hAnsi="Times New Roman"/>
      <w:sz w:val="24"/>
      <w:szCs w:val="20"/>
      <w:lang w:eastAsia="es-ES"/>
    </w:rPr>
  </w:style>
  <w:style w:type="character" w:customStyle="1" w:styleId="Textoindependiente2Car">
    <w:name w:val="Texto independiente 2 Car"/>
    <w:basedOn w:val="Fuentedeprrafopredeter"/>
    <w:link w:val="Textoindependiente2"/>
    <w:semiHidden/>
    <w:rsid w:val="008A39CF"/>
    <w:rPr>
      <w:rFonts w:ascii="Times New Roman" w:eastAsia="Times New Roman" w:hAnsi="Times New Roman" w:cs="Times New Roman"/>
      <w:sz w:val="24"/>
      <w:szCs w:val="20"/>
      <w:lang w:eastAsia="es-ES"/>
    </w:rPr>
  </w:style>
  <w:style w:type="paragraph" w:customStyle="1" w:styleId="Texto">
    <w:name w:val="Texto"/>
    <w:basedOn w:val="Normal"/>
    <w:link w:val="TextoCar"/>
    <w:rsid w:val="008A39C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A39CF"/>
    <w:rPr>
      <w:rFonts w:ascii="Arial" w:eastAsia="Times New Roman" w:hAnsi="Arial" w:cs="Arial"/>
      <w:sz w:val="18"/>
      <w:szCs w:val="20"/>
      <w:lang w:val="es-ES" w:eastAsia="es-ES"/>
    </w:rPr>
  </w:style>
  <w:style w:type="paragraph" w:customStyle="1" w:styleId="Prrafodelista1">
    <w:name w:val="Párrafo de lista1"/>
    <w:basedOn w:val="Normal"/>
    <w:uiPriority w:val="34"/>
    <w:qFormat/>
    <w:rsid w:val="008A39CF"/>
    <w:pPr>
      <w:spacing w:after="0" w:line="240" w:lineRule="auto"/>
      <w:ind w:left="708"/>
    </w:pPr>
    <w:rPr>
      <w:rFonts w:ascii="Arial" w:hAnsi="Arial"/>
    </w:rPr>
  </w:style>
  <w:style w:type="paragraph" w:styleId="Textoindependiente">
    <w:name w:val="Body Text"/>
    <w:basedOn w:val="Normal"/>
    <w:link w:val="TextoindependienteCar"/>
    <w:uiPriority w:val="99"/>
    <w:semiHidden/>
    <w:unhideWhenUsed/>
    <w:rsid w:val="008A39CF"/>
    <w:pPr>
      <w:spacing w:after="120"/>
    </w:pPr>
  </w:style>
  <w:style w:type="character" w:customStyle="1" w:styleId="TextoindependienteCar">
    <w:name w:val="Texto independiente Car"/>
    <w:basedOn w:val="Fuentedeprrafopredeter"/>
    <w:link w:val="Textoindependiente"/>
    <w:uiPriority w:val="99"/>
    <w:semiHidden/>
    <w:rsid w:val="008A39CF"/>
    <w:rPr>
      <w:rFonts w:ascii="Calibri" w:eastAsia="Calibri" w:hAnsi="Calibri" w:cs="Times New Roman"/>
    </w:rPr>
  </w:style>
  <w:style w:type="paragraph" w:styleId="Textodeglobo">
    <w:name w:val="Balloon Text"/>
    <w:basedOn w:val="Normal"/>
    <w:link w:val="TextodegloboCar"/>
    <w:uiPriority w:val="99"/>
    <w:semiHidden/>
    <w:unhideWhenUsed/>
    <w:rsid w:val="008A39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39CF"/>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8A39CF"/>
    <w:rPr>
      <w:sz w:val="16"/>
      <w:szCs w:val="16"/>
    </w:rPr>
  </w:style>
  <w:style w:type="paragraph" w:styleId="Textocomentario">
    <w:name w:val="annotation text"/>
    <w:basedOn w:val="Normal"/>
    <w:link w:val="TextocomentarioCar"/>
    <w:uiPriority w:val="99"/>
    <w:unhideWhenUsed/>
    <w:rsid w:val="008A39CF"/>
    <w:pPr>
      <w:spacing w:line="240" w:lineRule="auto"/>
    </w:pPr>
    <w:rPr>
      <w:sz w:val="20"/>
      <w:szCs w:val="20"/>
    </w:rPr>
  </w:style>
  <w:style w:type="character" w:customStyle="1" w:styleId="TextocomentarioCar">
    <w:name w:val="Texto comentario Car"/>
    <w:basedOn w:val="Fuentedeprrafopredeter"/>
    <w:link w:val="Textocomentario"/>
    <w:uiPriority w:val="99"/>
    <w:rsid w:val="008A39C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A39CF"/>
    <w:rPr>
      <w:b/>
      <w:bCs/>
    </w:rPr>
  </w:style>
  <w:style w:type="character" w:customStyle="1" w:styleId="AsuntodelcomentarioCar">
    <w:name w:val="Asunto del comentario Car"/>
    <w:basedOn w:val="TextocomentarioCar"/>
    <w:link w:val="Asuntodelcomentario"/>
    <w:uiPriority w:val="99"/>
    <w:semiHidden/>
    <w:rsid w:val="008A39CF"/>
    <w:rPr>
      <w:rFonts w:ascii="Calibri" w:eastAsia="Calibri" w:hAnsi="Calibri" w:cs="Times New Roman"/>
      <w:b/>
      <w:bCs/>
      <w:sz w:val="20"/>
      <w:szCs w:val="20"/>
    </w:rPr>
  </w:style>
  <w:style w:type="table" w:styleId="Tablaconcuadrcula">
    <w:name w:val="Table Grid"/>
    <w:basedOn w:val="Tablanormal"/>
    <w:uiPriority w:val="39"/>
    <w:rsid w:val="008A39C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8A39CF"/>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A39CF"/>
    <w:rPr>
      <w:rFonts w:ascii="Calibri" w:eastAsia="Calibri" w:hAnsi="Calibri" w:cs="Times New Roman"/>
      <w:sz w:val="20"/>
      <w:szCs w:val="20"/>
    </w:rPr>
  </w:style>
  <w:style w:type="character" w:styleId="Hipervnculo">
    <w:name w:val="Hyperlink"/>
    <w:basedOn w:val="Fuentedeprrafopredeter"/>
    <w:uiPriority w:val="99"/>
    <w:rsid w:val="008A39CF"/>
    <w:rPr>
      <w:color w:val="0000FF"/>
      <w:u w:val="single"/>
    </w:rPr>
  </w:style>
  <w:style w:type="paragraph" w:styleId="Sinespaciado">
    <w:name w:val="No Spacing"/>
    <w:uiPriority w:val="1"/>
    <w:qFormat/>
    <w:rsid w:val="008A39CF"/>
    <w:pPr>
      <w:spacing w:after="0" w:line="240" w:lineRule="auto"/>
    </w:pPr>
    <w:rPr>
      <w:rFonts w:ascii="Calibri" w:eastAsia="Calibri" w:hAnsi="Calibri" w:cs="Times New Roman"/>
    </w:rPr>
  </w:style>
  <w:style w:type="paragraph" w:styleId="Revisin">
    <w:name w:val="Revision"/>
    <w:hidden/>
    <w:uiPriority w:val="99"/>
    <w:semiHidden/>
    <w:rsid w:val="008A39CF"/>
    <w:pPr>
      <w:spacing w:after="0" w:line="240" w:lineRule="auto"/>
    </w:pPr>
    <w:rPr>
      <w:rFonts w:ascii="Calibri" w:eastAsia="Calibri" w:hAnsi="Calibri" w:cs="Times New Roman"/>
    </w:rPr>
  </w:style>
  <w:style w:type="paragraph" w:customStyle="1" w:styleId="NormalIFT">
    <w:name w:val="Normal IFT"/>
    <w:basedOn w:val="Prrafodelista"/>
    <w:link w:val="NormalIFTCar"/>
    <w:qFormat/>
    <w:rsid w:val="008A39CF"/>
    <w:pPr>
      <w:numPr>
        <w:numId w:val="1"/>
      </w:numPr>
      <w:autoSpaceDE w:val="0"/>
      <w:autoSpaceDN w:val="0"/>
      <w:adjustRightInd w:val="0"/>
      <w:spacing w:after="0" w:line="240" w:lineRule="auto"/>
      <w:contextualSpacing w:val="0"/>
      <w:jc w:val="both"/>
    </w:pPr>
    <w:rPr>
      <w:rFonts w:ascii="ITC Avant Garde" w:eastAsia="Times New Roman" w:hAnsi="ITC Avant Garde" w:cs="Times New Roman"/>
      <w:bCs/>
      <w:color w:val="000000"/>
      <w:sz w:val="24"/>
      <w:szCs w:val="24"/>
      <w:lang w:val="es-ES_tradnl" w:eastAsia="es-ES"/>
    </w:rPr>
  </w:style>
  <w:style w:type="character" w:customStyle="1" w:styleId="NormalIFTCar">
    <w:name w:val="Normal IFT Car"/>
    <w:link w:val="NormalIFT"/>
    <w:rsid w:val="008A39CF"/>
    <w:rPr>
      <w:rFonts w:ascii="ITC Avant Garde" w:eastAsia="Times New Roman" w:hAnsi="ITC Avant Garde" w:cs="Times New Roman"/>
      <w:bCs/>
      <w:color w:val="000000"/>
      <w:sz w:val="24"/>
      <w:szCs w:val="24"/>
      <w:lang w:val="es-ES_tradnl" w:eastAsia="es-ES"/>
    </w:rPr>
  </w:style>
  <w:style w:type="character" w:customStyle="1" w:styleId="apple-converted-space">
    <w:name w:val="apple-converted-space"/>
    <w:rsid w:val="008A39CF"/>
  </w:style>
  <w:style w:type="character" w:styleId="Hipervnculovisitado">
    <w:name w:val="FollowedHyperlink"/>
    <w:basedOn w:val="Fuentedeprrafopredeter"/>
    <w:uiPriority w:val="99"/>
    <w:semiHidden/>
    <w:unhideWhenUsed/>
    <w:rsid w:val="008A39CF"/>
    <w:rPr>
      <w:color w:val="954F72" w:themeColor="followedHyperlink"/>
      <w:u w:val="single"/>
    </w:rPr>
  </w:style>
  <w:style w:type="character" w:customStyle="1" w:styleId="hps">
    <w:name w:val="hps"/>
    <w:basedOn w:val="Fuentedeprrafopredeter"/>
    <w:rsid w:val="008A39CF"/>
  </w:style>
  <w:style w:type="character" w:customStyle="1" w:styleId="atn">
    <w:name w:val="atn"/>
    <w:basedOn w:val="Fuentedeprrafopredeter"/>
    <w:rsid w:val="008A39CF"/>
  </w:style>
  <w:style w:type="table" w:customStyle="1" w:styleId="Tabladecuadrcula4-nfasis51">
    <w:name w:val="Tabla de cuadrícula 4 - Énfasis 51"/>
    <w:basedOn w:val="Tablanormal"/>
    <w:uiPriority w:val="49"/>
    <w:rsid w:val="008A39C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PrrafodelistaCar">
    <w:name w:val="Párrafo de lista Car"/>
    <w:link w:val="Prrafodelista"/>
    <w:uiPriority w:val="34"/>
    <w:rsid w:val="008A39CF"/>
  </w:style>
  <w:style w:type="paragraph" w:customStyle="1" w:styleId="texto0">
    <w:name w:val="texto"/>
    <w:basedOn w:val="Normal"/>
    <w:rsid w:val="004F555A"/>
    <w:pPr>
      <w:spacing w:after="101" w:line="240" w:lineRule="auto"/>
      <w:ind w:firstLine="288"/>
      <w:jc w:val="both"/>
    </w:pPr>
    <w:rPr>
      <w:rFonts w:ascii="Times New Roman" w:eastAsia="Times New Roman" w:hAnsi="Times New Roman"/>
      <w:color w:val="2F2F2F"/>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8464">
      <w:bodyDiv w:val="1"/>
      <w:marLeft w:val="0"/>
      <w:marRight w:val="0"/>
      <w:marTop w:val="0"/>
      <w:marBottom w:val="0"/>
      <w:divBdr>
        <w:top w:val="none" w:sz="0" w:space="0" w:color="auto"/>
        <w:left w:val="none" w:sz="0" w:space="0" w:color="auto"/>
        <w:bottom w:val="none" w:sz="0" w:space="0" w:color="auto"/>
        <w:right w:val="none" w:sz="0" w:space="0" w:color="auto"/>
      </w:divBdr>
    </w:div>
    <w:div w:id="131098948">
      <w:bodyDiv w:val="1"/>
      <w:marLeft w:val="0"/>
      <w:marRight w:val="0"/>
      <w:marTop w:val="0"/>
      <w:marBottom w:val="0"/>
      <w:divBdr>
        <w:top w:val="none" w:sz="0" w:space="0" w:color="auto"/>
        <w:left w:val="none" w:sz="0" w:space="0" w:color="auto"/>
        <w:bottom w:val="none" w:sz="0" w:space="0" w:color="auto"/>
        <w:right w:val="none" w:sz="0" w:space="0" w:color="auto"/>
      </w:divBdr>
    </w:div>
    <w:div w:id="156120758">
      <w:bodyDiv w:val="1"/>
      <w:marLeft w:val="0"/>
      <w:marRight w:val="0"/>
      <w:marTop w:val="0"/>
      <w:marBottom w:val="0"/>
      <w:divBdr>
        <w:top w:val="none" w:sz="0" w:space="0" w:color="auto"/>
        <w:left w:val="none" w:sz="0" w:space="0" w:color="auto"/>
        <w:bottom w:val="none" w:sz="0" w:space="0" w:color="auto"/>
        <w:right w:val="none" w:sz="0" w:space="0" w:color="auto"/>
      </w:divBdr>
    </w:div>
    <w:div w:id="186023866">
      <w:bodyDiv w:val="1"/>
      <w:marLeft w:val="0"/>
      <w:marRight w:val="0"/>
      <w:marTop w:val="0"/>
      <w:marBottom w:val="0"/>
      <w:divBdr>
        <w:top w:val="none" w:sz="0" w:space="0" w:color="auto"/>
        <w:left w:val="none" w:sz="0" w:space="0" w:color="auto"/>
        <w:bottom w:val="none" w:sz="0" w:space="0" w:color="auto"/>
        <w:right w:val="none" w:sz="0" w:space="0" w:color="auto"/>
      </w:divBdr>
    </w:div>
    <w:div w:id="212543814">
      <w:bodyDiv w:val="1"/>
      <w:marLeft w:val="0"/>
      <w:marRight w:val="0"/>
      <w:marTop w:val="0"/>
      <w:marBottom w:val="0"/>
      <w:divBdr>
        <w:top w:val="none" w:sz="0" w:space="0" w:color="auto"/>
        <w:left w:val="none" w:sz="0" w:space="0" w:color="auto"/>
        <w:bottom w:val="none" w:sz="0" w:space="0" w:color="auto"/>
        <w:right w:val="none" w:sz="0" w:space="0" w:color="auto"/>
      </w:divBdr>
    </w:div>
    <w:div w:id="446659671">
      <w:bodyDiv w:val="1"/>
      <w:marLeft w:val="0"/>
      <w:marRight w:val="0"/>
      <w:marTop w:val="0"/>
      <w:marBottom w:val="0"/>
      <w:divBdr>
        <w:top w:val="none" w:sz="0" w:space="0" w:color="auto"/>
        <w:left w:val="none" w:sz="0" w:space="0" w:color="auto"/>
        <w:bottom w:val="none" w:sz="0" w:space="0" w:color="auto"/>
        <w:right w:val="none" w:sz="0" w:space="0" w:color="auto"/>
      </w:divBdr>
    </w:div>
    <w:div w:id="551498342">
      <w:bodyDiv w:val="1"/>
      <w:marLeft w:val="0"/>
      <w:marRight w:val="0"/>
      <w:marTop w:val="0"/>
      <w:marBottom w:val="0"/>
      <w:divBdr>
        <w:top w:val="none" w:sz="0" w:space="0" w:color="auto"/>
        <w:left w:val="none" w:sz="0" w:space="0" w:color="auto"/>
        <w:bottom w:val="none" w:sz="0" w:space="0" w:color="auto"/>
        <w:right w:val="none" w:sz="0" w:space="0" w:color="auto"/>
      </w:divBdr>
    </w:div>
    <w:div w:id="596408429">
      <w:bodyDiv w:val="1"/>
      <w:marLeft w:val="0"/>
      <w:marRight w:val="0"/>
      <w:marTop w:val="0"/>
      <w:marBottom w:val="0"/>
      <w:divBdr>
        <w:top w:val="none" w:sz="0" w:space="0" w:color="auto"/>
        <w:left w:val="none" w:sz="0" w:space="0" w:color="auto"/>
        <w:bottom w:val="none" w:sz="0" w:space="0" w:color="auto"/>
        <w:right w:val="none" w:sz="0" w:space="0" w:color="auto"/>
      </w:divBdr>
    </w:div>
    <w:div w:id="615722016">
      <w:bodyDiv w:val="1"/>
      <w:marLeft w:val="0"/>
      <w:marRight w:val="0"/>
      <w:marTop w:val="0"/>
      <w:marBottom w:val="0"/>
      <w:divBdr>
        <w:top w:val="none" w:sz="0" w:space="0" w:color="auto"/>
        <w:left w:val="none" w:sz="0" w:space="0" w:color="auto"/>
        <w:bottom w:val="none" w:sz="0" w:space="0" w:color="auto"/>
        <w:right w:val="none" w:sz="0" w:space="0" w:color="auto"/>
      </w:divBdr>
    </w:div>
    <w:div w:id="673648373">
      <w:bodyDiv w:val="1"/>
      <w:marLeft w:val="0"/>
      <w:marRight w:val="0"/>
      <w:marTop w:val="0"/>
      <w:marBottom w:val="0"/>
      <w:divBdr>
        <w:top w:val="none" w:sz="0" w:space="0" w:color="auto"/>
        <w:left w:val="none" w:sz="0" w:space="0" w:color="auto"/>
        <w:bottom w:val="none" w:sz="0" w:space="0" w:color="auto"/>
        <w:right w:val="none" w:sz="0" w:space="0" w:color="auto"/>
      </w:divBdr>
      <w:divsChild>
        <w:div w:id="2007593523">
          <w:marLeft w:val="0"/>
          <w:marRight w:val="0"/>
          <w:marTop w:val="240"/>
          <w:marBottom w:val="0"/>
          <w:divBdr>
            <w:top w:val="none" w:sz="0" w:space="0" w:color="auto"/>
            <w:left w:val="none" w:sz="0" w:space="0" w:color="auto"/>
            <w:bottom w:val="none" w:sz="0" w:space="0" w:color="auto"/>
            <w:right w:val="none" w:sz="0" w:space="0" w:color="auto"/>
          </w:divBdr>
          <w:divsChild>
            <w:div w:id="659501590">
              <w:marLeft w:val="0"/>
              <w:marRight w:val="0"/>
              <w:marTop w:val="0"/>
              <w:marBottom w:val="0"/>
              <w:divBdr>
                <w:top w:val="none" w:sz="0" w:space="0" w:color="auto"/>
                <w:left w:val="none" w:sz="0" w:space="0" w:color="auto"/>
                <w:bottom w:val="none" w:sz="0" w:space="0" w:color="auto"/>
                <w:right w:val="none" w:sz="0" w:space="0" w:color="auto"/>
              </w:divBdr>
              <w:divsChild>
                <w:div w:id="1505247614">
                  <w:marLeft w:val="0"/>
                  <w:marRight w:val="0"/>
                  <w:marTop w:val="0"/>
                  <w:marBottom w:val="0"/>
                  <w:divBdr>
                    <w:top w:val="none" w:sz="0" w:space="0" w:color="auto"/>
                    <w:left w:val="none" w:sz="0" w:space="0" w:color="auto"/>
                    <w:bottom w:val="none" w:sz="0" w:space="0" w:color="auto"/>
                    <w:right w:val="none" w:sz="0" w:space="0" w:color="auto"/>
                  </w:divBdr>
                  <w:divsChild>
                    <w:div w:id="122672309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7563298">
      <w:bodyDiv w:val="1"/>
      <w:marLeft w:val="0"/>
      <w:marRight w:val="0"/>
      <w:marTop w:val="0"/>
      <w:marBottom w:val="0"/>
      <w:divBdr>
        <w:top w:val="none" w:sz="0" w:space="0" w:color="auto"/>
        <w:left w:val="none" w:sz="0" w:space="0" w:color="auto"/>
        <w:bottom w:val="none" w:sz="0" w:space="0" w:color="auto"/>
        <w:right w:val="none" w:sz="0" w:space="0" w:color="auto"/>
      </w:divBdr>
    </w:div>
    <w:div w:id="833296366">
      <w:bodyDiv w:val="1"/>
      <w:marLeft w:val="0"/>
      <w:marRight w:val="0"/>
      <w:marTop w:val="0"/>
      <w:marBottom w:val="0"/>
      <w:divBdr>
        <w:top w:val="none" w:sz="0" w:space="0" w:color="auto"/>
        <w:left w:val="none" w:sz="0" w:space="0" w:color="auto"/>
        <w:bottom w:val="none" w:sz="0" w:space="0" w:color="auto"/>
        <w:right w:val="none" w:sz="0" w:space="0" w:color="auto"/>
      </w:divBdr>
    </w:div>
    <w:div w:id="912936541">
      <w:bodyDiv w:val="1"/>
      <w:marLeft w:val="0"/>
      <w:marRight w:val="0"/>
      <w:marTop w:val="0"/>
      <w:marBottom w:val="0"/>
      <w:divBdr>
        <w:top w:val="none" w:sz="0" w:space="0" w:color="auto"/>
        <w:left w:val="none" w:sz="0" w:space="0" w:color="auto"/>
        <w:bottom w:val="none" w:sz="0" w:space="0" w:color="auto"/>
        <w:right w:val="none" w:sz="0" w:space="0" w:color="auto"/>
      </w:divBdr>
    </w:div>
    <w:div w:id="958875154">
      <w:bodyDiv w:val="1"/>
      <w:marLeft w:val="0"/>
      <w:marRight w:val="0"/>
      <w:marTop w:val="0"/>
      <w:marBottom w:val="0"/>
      <w:divBdr>
        <w:top w:val="none" w:sz="0" w:space="0" w:color="auto"/>
        <w:left w:val="none" w:sz="0" w:space="0" w:color="auto"/>
        <w:bottom w:val="none" w:sz="0" w:space="0" w:color="auto"/>
        <w:right w:val="none" w:sz="0" w:space="0" w:color="auto"/>
      </w:divBdr>
    </w:div>
    <w:div w:id="986976872">
      <w:bodyDiv w:val="1"/>
      <w:marLeft w:val="0"/>
      <w:marRight w:val="0"/>
      <w:marTop w:val="0"/>
      <w:marBottom w:val="0"/>
      <w:divBdr>
        <w:top w:val="none" w:sz="0" w:space="0" w:color="auto"/>
        <w:left w:val="none" w:sz="0" w:space="0" w:color="auto"/>
        <w:bottom w:val="none" w:sz="0" w:space="0" w:color="auto"/>
        <w:right w:val="none" w:sz="0" w:space="0" w:color="auto"/>
      </w:divBdr>
    </w:div>
    <w:div w:id="994990953">
      <w:bodyDiv w:val="1"/>
      <w:marLeft w:val="0"/>
      <w:marRight w:val="0"/>
      <w:marTop w:val="0"/>
      <w:marBottom w:val="0"/>
      <w:divBdr>
        <w:top w:val="none" w:sz="0" w:space="0" w:color="auto"/>
        <w:left w:val="none" w:sz="0" w:space="0" w:color="auto"/>
        <w:bottom w:val="none" w:sz="0" w:space="0" w:color="auto"/>
        <w:right w:val="none" w:sz="0" w:space="0" w:color="auto"/>
      </w:divBdr>
    </w:div>
    <w:div w:id="1091128060">
      <w:bodyDiv w:val="1"/>
      <w:marLeft w:val="0"/>
      <w:marRight w:val="0"/>
      <w:marTop w:val="0"/>
      <w:marBottom w:val="0"/>
      <w:divBdr>
        <w:top w:val="none" w:sz="0" w:space="0" w:color="auto"/>
        <w:left w:val="none" w:sz="0" w:space="0" w:color="auto"/>
        <w:bottom w:val="none" w:sz="0" w:space="0" w:color="auto"/>
        <w:right w:val="none" w:sz="0" w:space="0" w:color="auto"/>
      </w:divBdr>
      <w:divsChild>
        <w:div w:id="1848984415">
          <w:marLeft w:val="0"/>
          <w:marRight w:val="0"/>
          <w:marTop w:val="240"/>
          <w:marBottom w:val="0"/>
          <w:divBdr>
            <w:top w:val="none" w:sz="0" w:space="0" w:color="auto"/>
            <w:left w:val="none" w:sz="0" w:space="0" w:color="auto"/>
            <w:bottom w:val="none" w:sz="0" w:space="0" w:color="auto"/>
            <w:right w:val="none" w:sz="0" w:space="0" w:color="auto"/>
          </w:divBdr>
          <w:divsChild>
            <w:div w:id="4562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1982">
      <w:bodyDiv w:val="1"/>
      <w:marLeft w:val="0"/>
      <w:marRight w:val="0"/>
      <w:marTop w:val="0"/>
      <w:marBottom w:val="0"/>
      <w:divBdr>
        <w:top w:val="none" w:sz="0" w:space="0" w:color="auto"/>
        <w:left w:val="none" w:sz="0" w:space="0" w:color="auto"/>
        <w:bottom w:val="none" w:sz="0" w:space="0" w:color="auto"/>
        <w:right w:val="none" w:sz="0" w:space="0" w:color="auto"/>
      </w:divBdr>
    </w:div>
    <w:div w:id="1337076771">
      <w:bodyDiv w:val="1"/>
      <w:marLeft w:val="0"/>
      <w:marRight w:val="0"/>
      <w:marTop w:val="0"/>
      <w:marBottom w:val="0"/>
      <w:divBdr>
        <w:top w:val="none" w:sz="0" w:space="0" w:color="auto"/>
        <w:left w:val="none" w:sz="0" w:space="0" w:color="auto"/>
        <w:bottom w:val="none" w:sz="0" w:space="0" w:color="auto"/>
        <w:right w:val="none" w:sz="0" w:space="0" w:color="auto"/>
      </w:divBdr>
    </w:div>
    <w:div w:id="1354307343">
      <w:bodyDiv w:val="1"/>
      <w:marLeft w:val="0"/>
      <w:marRight w:val="0"/>
      <w:marTop w:val="0"/>
      <w:marBottom w:val="0"/>
      <w:divBdr>
        <w:top w:val="none" w:sz="0" w:space="0" w:color="auto"/>
        <w:left w:val="none" w:sz="0" w:space="0" w:color="auto"/>
        <w:bottom w:val="none" w:sz="0" w:space="0" w:color="auto"/>
        <w:right w:val="none" w:sz="0" w:space="0" w:color="auto"/>
      </w:divBdr>
    </w:div>
    <w:div w:id="1371958009">
      <w:bodyDiv w:val="1"/>
      <w:marLeft w:val="0"/>
      <w:marRight w:val="0"/>
      <w:marTop w:val="0"/>
      <w:marBottom w:val="0"/>
      <w:divBdr>
        <w:top w:val="none" w:sz="0" w:space="0" w:color="auto"/>
        <w:left w:val="none" w:sz="0" w:space="0" w:color="auto"/>
        <w:bottom w:val="none" w:sz="0" w:space="0" w:color="auto"/>
        <w:right w:val="none" w:sz="0" w:space="0" w:color="auto"/>
      </w:divBdr>
    </w:div>
    <w:div w:id="1382747056">
      <w:bodyDiv w:val="1"/>
      <w:marLeft w:val="0"/>
      <w:marRight w:val="0"/>
      <w:marTop w:val="0"/>
      <w:marBottom w:val="0"/>
      <w:divBdr>
        <w:top w:val="none" w:sz="0" w:space="0" w:color="auto"/>
        <w:left w:val="none" w:sz="0" w:space="0" w:color="auto"/>
        <w:bottom w:val="none" w:sz="0" w:space="0" w:color="auto"/>
        <w:right w:val="none" w:sz="0" w:space="0" w:color="auto"/>
      </w:divBdr>
      <w:divsChild>
        <w:div w:id="475217980">
          <w:marLeft w:val="0"/>
          <w:marRight w:val="0"/>
          <w:marTop w:val="0"/>
          <w:marBottom w:val="0"/>
          <w:divBdr>
            <w:top w:val="none" w:sz="0" w:space="0" w:color="auto"/>
            <w:left w:val="none" w:sz="0" w:space="0" w:color="auto"/>
            <w:bottom w:val="none" w:sz="0" w:space="0" w:color="auto"/>
            <w:right w:val="none" w:sz="0" w:space="0" w:color="auto"/>
          </w:divBdr>
          <w:divsChild>
            <w:div w:id="2037461216">
              <w:marLeft w:val="0"/>
              <w:marRight w:val="0"/>
              <w:marTop w:val="0"/>
              <w:marBottom w:val="0"/>
              <w:divBdr>
                <w:top w:val="none" w:sz="0" w:space="0" w:color="auto"/>
                <w:left w:val="none" w:sz="0" w:space="0" w:color="auto"/>
                <w:bottom w:val="none" w:sz="0" w:space="0" w:color="auto"/>
                <w:right w:val="none" w:sz="0" w:space="0" w:color="auto"/>
              </w:divBdr>
              <w:divsChild>
                <w:div w:id="470749675">
                  <w:marLeft w:val="0"/>
                  <w:marRight w:val="0"/>
                  <w:marTop w:val="0"/>
                  <w:marBottom w:val="0"/>
                  <w:divBdr>
                    <w:top w:val="none" w:sz="0" w:space="0" w:color="auto"/>
                    <w:left w:val="none" w:sz="0" w:space="0" w:color="auto"/>
                    <w:bottom w:val="none" w:sz="0" w:space="0" w:color="auto"/>
                    <w:right w:val="none" w:sz="0" w:space="0" w:color="auto"/>
                  </w:divBdr>
                  <w:divsChild>
                    <w:div w:id="1511290612">
                      <w:marLeft w:val="0"/>
                      <w:marRight w:val="0"/>
                      <w:marTop w:val="0"/>
                      <w:marBottom w:val="0"/>
                      <w:divBdr>
                        <w:top w:val="none" w:sz="0" w:space="0" w:color="auto"/>
                        <w:left w:val="none" w:sz="0" w:space="0" w:color="auto"/>
                        <w:bottom w:val="none" w:sz="0" w:space="0" w:color="auto"/>
                        <w:right w:val="none" w:sz="0" w:space="0" w:color="auto"/>
                      </w:divBdr>
                      <w:divsChild>
                        <w:div w:id="245194284">
                          <w:marLeft w:val="0"/>
                          <w:marRight w:val="0"/>
                          <w:marTop w:val="0"/>
                          <w:marBottom w:val="0"/>
                          <w:divBdr>
                            <w:top w:val="none" w:sz="0" w:space="0" w:color="auto"/>
                            <w:left w:val="none" w:sz="0" w:space="0" w:color="auto"/>
                            <w:bottom w:val="none" w:sz="0" w:space="0" w:color="auto"/>
                            <w:right w:val="none" w:sz="0" w:space="0" w:color="auto"/>
                          </w:divBdr>
                          <w:divsChild>
                            <w:div w:id="1595894748">
                              <w:marLeft w:val="0"/>
                              <w:marRight w:val="0"/>
                              <w:marTop w:val="0"/>
                              <w:marBottom w:val="0"/>
                              <w:divBdr>
                                <w:top w:val="none" w:sz="0" w:space="0" w:color="auto"/>
                                <w:left w:val="none" w:sz="0" w:space="0" w:color="auto"/>
                                <w:bottom w:val="none" w:sz="0" w:space="0" w:color="auto"/>
                                <w:right w:val="none" w:sz="0" w:space="0" w:color="auto"/>
                              </w:divBdr>
                              <w:divsChild>
                                <w:div w:id="1127971354">
                                  <w:marLeft w:val="0"/>
                                  <w:marRight w:val="0"/>
                                  <w:marTop w:val="0"/>
                                  <w:marBottom w:val="0"/>
                                  <w:divBdr>
                                    <w:top w:val="none" w:sz="0" w:space="0" w:color="auto"/>
                                    <w:left w:val="none" w:sz="0" w:space="0" w:color="auto"/>
                                    <w:bottom w:val="none" w:sz="0" w:space="0" w:color="auto"/>
                                    <w:right w:val="none" w:sz="0" w:space="0" w:color="auto"/>
                                  </w:divBdr>
                                  <w:divsChild>
                                    <w:div w:id="1350109650">
                                      <w:marLeft w:val="0"/>
                                      <w:marRight w:val="0"/>
                                      <w:marTop w:val="0"/>
                                      <w:marBottom w:val="0"/>
                                      <w:divBdr>
                                        <w:top w:val="none" w:sz="0" w:space="0" w:color="auto"/>
                                        <w:left w:val="none" w:sz="0" w:space="0" w:color="auto"/>
                                        <w:bottom w:val="none" w:sz="0" w:space="0" w:color="auto"/>
                                        <w:right w:val="none" w:sz="0" w:space="0" w:color="auto"/>
                                      </w:divBdr>
                                      <w:divsChild>
                                        <w:div w:id="1663776540">
                                          <w:marLeft w:val="0"/>
                                          <w:marRight w:val="0"/>
                                          <w:marTop w:val="0"/>
                                          <w:marBottom w:val="0"/>
                                          <w:divBdr>
                                            <w:top w:val="none" w:sz="0" w:space="0" w:color="auto"/>
                                            <w:left w:val="none" w:sz="0" w:space="0" w:color="auto"/>
                                            <w:bottom w:val="none" w:sz="0" w:space="0" w:color="auto"/>
                                            <w:right w:val="none" w:sz="0" w:space="0" w:color="auto"/>
                                          </w:divBdr>
                                          <w:divsChild>
                                            <w:div w:id="1582058133">
                                              <w:marLeft w:val="0"/>
                                              <w:marRight w:val="0"/>
                                              <w:marTop w:val="0"/>
                                              <w:marBottom w:val="0"/>
                                              <w:divBdr>
                                                <w:top w:val="single" w:sz="12" w:space="2" w:color="FFFFCC"/>
                                                <w:left w:val="single" w:sz="12" w:space="2" w:color="FFFFCC"/>
                                                <w:bottom w:val="single" w:sz="12" w:space="2" w:color="FFFFCC"/>
                                                <w:right w:val="single" w:sz="12" w:space="0" w:color="FFFFCC"/>
                                              </w:divBdr>
                                              <w:divsChild>
                                                <w:div w:id="1382628712">
                                                  <w:marLeft w:val="0"/>
                                                  <w:marRight w:val="0"/>
                                                  <w:marTop w:val="0"/>
                                                  <w:marBottom w:val="0"/>
                                                  <w:divBdr>
                                                    <w:top w:val="none" w:sz="0" w:space="0" w:color="auto"/>
                                                    <w:left w:val="none" w:sz="0" w:space="0" w:color="auto"/>
                                                    <w:bottom w:val="none" w:sz="0" w:space="0" w:color="auto"/>
                                                    <w:right w:val="none" w:sz="0" w:space="0" w:color="auto"/>
                                                  </w:divBdr>
                                                  <w:divsChild>
                                                    <w:div w:id="473956864">
                                                      <w:marLeft w:val="0"/>
                                                      <w:marRight w:val="0"/>
                                                      <w:marTop w:val="0"/>
                                                      <w:marBottom w:val="0"/>
                                                      <w:divBdr>
                                                        <w:top w:val="none" w:sz="0" w:space="0" w:color="auto"/>
                                                        <w:left w:val="none" w:sz="0" w:space="0" w:color="auto"/>
                                                        <w:bottom w:val="none" w:sz="0" w:space="0" w:color="auto"/>
                                                        <w:right w:val="none" w:sz="0" w:space="0" w:color="auto"/>
                                                      </w:divBdr>
                                                      <w:divsChild>
                                                        <w:div w:id="1213541336">
                                                          <w:marLeft w:val="0"/>
                                                          <w:marRight w:val="0"/>
                                                          <w:marTop w:val="0"/>
                                                          <w:marBottom w:val="0"/>
                                                          <w:divBdr>
                                                            <w:top w:val="none" w:sz="0" w:space="0" w:color="auto"/>
                                                            <w:left w:val="none" w:sz="0" w:space="0" w:color="auto"/>
                                                            <w:bottom w:val="none" w:sz="0" w:space="0" w:color="auto"/>
                                                            <w:right w:val="none" w:sz="0" w:space="0" w:color="auto"/>
                                                          </w:divBdr>
                                                          <w:divsChild>
                                                            <w:div w:id="892929863">
                                                              <w:marLeft w:val="0"/>
                                                              <w:marRight w:val="0"/>
                                                              <w:marTop w:val="0"/>
                                                              <w:marBottom w:val="0"/>
                                                              <w:divBdr>
                                                                <w:top w:val="none" w:sz="0" w:space="0" w:color="auto"/>
                                                                <w:left w:val="none" w:sz="0" w:space="0" w:color="auto"/>
                                                                <w:bottom w:val="none" w:sz="0" w:space="0" w:color="auto"/>
                                                                <w:right w:val="none" w:sz="0" w:space="0" w:color="auto"/>
                                                              </w:divBdr>
                                                              <w:divsChild>
                                                                <w:div w:id="1101022901">
                                                                  <w:marLeft w:val="0"/>
                                                                  <w:marRight w:val="0"/>
                                                                  <w:marTop w:val="0"/>
                                                                  <w:marBottom w:val="0"/>
                                                                  <w:divBdr>
                                                                    <w:top w:val="none" w:sz="0" w:space="0" w:color="auto"/>
                                                                    <w:left w:val="none" w:sz="0" w:space="0" w:color="auto"/>
                                                                    <w:bottom w:val="none" w:sz="0" w:space="0" w:color="auto"/>
                                                                    <w:right w:val="none" w:sz="0" w:space="0" w:color="auto"/>
                                                                  </w:divBdr>
                                                                  <w:divsChild>
                                                                    <w:div w:id="781921751">
                                                                      <w:marLeft w:val="0"/>
                                                                      <w:marRight w:val="0"/>
                                                                      <w:marTop w:val="0"/>
                                                                      <w:marBottom w:val="0"/>
                                                                      <w:divBdr>
                                                                        <w:top w:val="none" w:sz="0" w:space="0" w:color="auto"/>
                                                                        <w:left w:val="none" w:sz="0" w:space="0" w:color="auto"/>
                                                                        <w:bottom w:val="none" w:sz="0" w:space="0" w:color="auto"/>
                                                                        <w:right w:val="none" w:sz="0" w:space="0" w:color="auto"/>
                                                                      </w:divBdr>
                                                                      <w:divsChild>
                                                                        <w:div w:id="389307663">
                                                                          <w:marLeft w:val="0"/>
                                                                          <w:marRight w:val="0"/>
                                                                          <w:marTop w:val="0"/>
                                                                          <w:marBottom w:val="0"/>
                                                                          <w:divBdr>
                                                                            <w:top w:val="none" w:sz="0" w:space="0" w:color="auto"/>
                                                                            <w:left w:val="none" w:sz="0" w:space="0" w:color="auto"/>
                                                                            <w:bottom w:val="none" w:sz="0" w:space="0" w:color="auto"/>
                                                                            <w:right w:val="none" w:sz="0" w:space="0" w:color="auto"/>
                                                                          </w:divBdr>
                                                                          <w:divsChild>
                                                                            <w:div w:id="2001763838">
                                                                              <w:marLeft w:val="0"/>
                                                                              <w:marRight w:val="0"/>
                                                                              <w:marTop w:val="0"/>
                                                                              <w:marBottom w:val="0"/>
                                                                              <w:divBdr>
                                                                                <w:top w:val="none" w:sz="0" w:space="0" w:color="auto"/>
                                                                                <w:left w:val="none" w:sz="0" w:space="0" w:color="auto"/>
                                                                                <w:bottom w:val="none" w:sz="0" w:space="0" w:color="auto"/>
                                                                                <w:right w:val="none" w:sz="0" w:space="0" w:color="auto"/>
                                                                              </w:divBdr>
                                                                              <w:divsChild>
                                                                                <w:div w:id="255019306">
                                                                                  <w:marLeft w:val="0"/>
                                                                                  <w:marRight w:val="0"/>
                                                                                  <w:marTop w:val="0"/>
                                                                                  <w:marBottom w:val="0"/>
                                                                                  <w:divBdr>
                                                                                    <w:top w:val="none" w:sz="0" w:space="0" w:color="auto"/>
                                                                                    <w:left w:val="none" w:sz="0" w:space="0" w:color="auto"/>
                                                                                    <w:bottom w:val="none" w:sz="0" w:space="0" w:color="auto"/>
                                                                                    <w:right w:val="none" w:sz="0" w:space="0" w:color="auto"/>
                                                                                  </w:divBdr>
                                                                                  <w:divsChild>
                                                                                    <w:div w:id="1706951570">
                                                                                      <w:marLeft w:val="0"/>
                                                                                      <w:marRight w:val="0"/>
                                                                                      <w:marTop w:val="0"/>
                                                                                      <w:marBottom w:val="0"/>
                                                                                      <w:divBdr>
                                                                                        <w:top w:val="none" w:sz="0" w:space="0" w:color="auto"/>
                                                                                        <w:left w:val="none" w:sz="0" w:space="0" w:color="auto"/>
                                                                                        <w:bottom w:val="none" w:sz="0" w:space="0" w:color="auto"/>
                                                                                        <w:right w:val="none" w:sz="0" w:space="0" w:color="auto"/>
                                                                                      </w:divBdr>
                                                                                      <w:divsChild>
                                                                                        <w:div w:id="69237458">
                                                                                          <w:marLeft w:val="0"/>
                                                                                          <w:marRight w:val="120"/>
                                                                                          <w:marTop w:val="0"/>
                                                                                          <w:marBottom w:val="150"/>
                                                                                          <w:divBdr>
                                                                                            <w:top w:val="single" w:sz="2" w:space="0" w:color="EFEFEF"/>
                                                                                            <w:left w:val="single" w:sz="6" w:space="0" w:color="EFEFEF"/>
                                                                                            <w:bottom w:val="single" w:sz="6" w:space="0" w:color="E2E2E2"/>
                                                                                            <w:right w:val="single" w:sz="6" w:space="0" w:color="EFEFEF"/>
                                                                                          </w:divBdr>
                                                                                          <w:divsChild>
                                                                                            <w:div w:id="501504944">
                                                                                              <w:marLeft w:val="0"/>
                                                                                              <w:marRight w:val="0"/>
                                                                                              <w:marTop w:val="0"/>
                                                                                              <w:marBottom w:val="0"/>
                                                                                              <w:divBdr>
                                                                                                <w:top w:val="none" w:sz="0" w:space="0" w:color="auto"/>
                                                                                                <w:left w:val="none" w:sz="0" w:space="0" w:color="auto"/>
                                                                                                <w:bottom w:val="none" w:sz="0" w:space="0" w:color="auto"/>
                                                                                                <w:right w:val="none" w:sz="0" w:space="0" w:color="auto"/>
                                                                                              </w:divBdr>
                                                                                              <w:divsChild>
                                                                                                <w:div w:id="989479341">
                                                                                                  <w:marLeft w:val="0"/>
                                                                                                  <w:marRight w:val="0"/>
                                                                                                  <w:marTop w:val="0"/>
                                                                                                  <w:marBottom w:val="0"/>
                                                                                                  <w:divBdr>
                                                                                                    <w:top w:val="none" w:sz="0" w:space="0" w:color="auto"/>
                                                                                                    <w:left w:val="none" w:sz="0" w:space="0" w:color="auto"/>
                                                                                                    <w:bottom w:val="none" w:sz="0" w:space="0" w:color="auto"/>
                                                                                                    <w:right w:val="none" w:sz="0" w:space="0" w:color="auto"/>
                                                                                                  </w:divBdr>
                                                                                                  <w:divsChild>
                                                                                                    <w:div w:id="1405761935">
                                                                                                      <w:marLeft w:val="0"/>
                                                                                                      <w:marRight w:val="0"/>
                                                                                                      <w:marTop w:val="0"/>
                                                                                                      <w:marBottom w:val="0"/>
                                                                                                      <w:divBdr>
                                                                                                        <w:top w:val="none" w:sz="0" w:space="0" w:color="auto"/>
                                                                                                        <w:left w:val="none" w:sz="0" w:space="0" w:color="auto"/>
                                                                                                        <w:bottom w:val="none" w:sz="0" w:space="0" w:color="auto"/>
                                                                                                        <w:right w:val="none" w:sz="0" w:space="0" w:color="auto"/>
                                                                                                      </w:divBdr>
                                                                                                      <w:divsChild>
                                                                                                        <w:div w:id="1081221898">
                                                                                                          <w:marLeft w:val="0"/>
                                                                                                          <w:marRight w:val="0"/>
                                                                                                          <w:marTop w:val="0"/>
                                                                                                          <w:marBottom w:val="0"/>
                                                                                                          <w:divBdr>
                                                                                                            <w:top w:val="none" w:sz="0" w:space="0" w:color="auto"/>
                                                                                                            <w:left w:val="none" w:sz="0" w:space="0" w:color="auto"/>
                                                                                                            <w:bottom w:val="none" w:sz="0" w:space="0" w:color="auto"/>
                                                                                                            <w:right w:val="none" w:sz="0" w:space="0" w:color="auto"/>
                                                                                                          </w:divBdr>
                                                                                                          <w:divsChild>
                                                                                                            <w:div w:id="385181695">
                                                                                                              <w:marLeft w:val="0"/>
                                                                                                              <w:marRight w:val="0"/>
                                                                                                              <w:marTop w:val="0"/>
                                                                                                              <w:marBottom w:val="0"/>
                                                                                                              <w:divBdr>
                                                                                                                <w:top w:val="single" w:sz="2" w:space="4" w:color="D0D0D0"/>
                                                                                                                <w:left w:val="single" w:sz="2" w:space="0" w:color="D0D0D0"/>
                                                                                                                <w:bottom w:val="single" w:sz="2" w:space="4" w:color="D0D0D0"/>
                                                                                                                <w:right w:val="single" w:sz="2" w:space="0" w:color="D0D0D0"/>
                                                                                                              </w:divBdr>
                                                                                                              <w:divsChild>
                                                                                                                <w:div w:id="268006962">
                                                                                                                  <w:marLeft w:val="225"/>
                                                                                                                  <w:marRight w:val="225"/>
                                                                                                                  <w:marTop w:val="75"/>
                                                                                                                  <w:marBottom w:val="75"/>
                                                                                                                  <w:divBdr>
                                                                                                                    <w:top w:val="none" w:sz="0" w:space="0" w:color="auto"/>
                                                                                                                    <w:left w:val="none" w:sz="0" w:space="0" w:color="auto"/>
                                                                                                                    <w:bottom w:val="none" w:sz="0" w:space="0" w:color="auto"/>
                                                                                                                    <w:right w:val="none" w:sz="0" w:space="0" w:color="auto"/>
                                                                                                                  </w:divBdr>
                                                                                                                  <w:divsChild>
                                                                                                                    <w:div w:id="853224878">
                                                                                                                      <w:marLeft w:val="0"/>
                                                                                                                      <w:marRight w:val="0"/>
                                                                                                                      <w:marTop w:val="0"/>
                                                                                                                      <w:marBottom w:val="0"/>
                                                                                                                      <w:divBdr>
                                                                                                                        <w:top w:val="single" w:sz="6" w:space="0" w:color="auto"/>
                                                                                                                        <w:left w:val="single" w:sz="6" w:space="0" w:color="auto"/>
                                                                                                                        <w:bottom w:val="single" w:sz="6" w:space="0" w:color="auto"/>
                                                                                                                        <w:right w:val="single" w:sz="6" w:space="0" w:color="auto"/>
                                                                                                                      </w:divBdr>
                                                                                                                      <w:divsChild>
                                                                                                                        <w:div w:id="8922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895150">
      <w:bodyDiv w:val="1"/>
      <w:marLeft w:val="0"/>
      <w:marRight w:val="0"/>
      <w:marTop w:val="0"/>
      <w:marBottom w:val="0"/>
      <w:divBdr>
        <w:top w:val="none" w:sz="0" w:space="0" w:color="auto"/>
        <w:left w:val="none" w:sz="0" w:space="0" w:color="auto"/>
        <w:bottom w:val="none" w:sz="0" w:space="0" w:color="auto"/>
        <w:right w:val="none" w:sz="0" w:space="0" w:color="auto"/>
      </w:divBdr>
    </w:div>
    <w:div w:id="1969823320">
      <w:bodyDiv w:val="1"/>
      <w:marLeft w:val="0"/>
      <w:marRight w:val="0"/>
      <w:marTop w:val="0"/>
      <w:marBottom w:val="0"/>
      <w:divBdr>
        <w:top w:val="none" w:sz="0" w:space="0" w:color="auto"/>
        <w:left w:val="none" w:sz="0" w:space="0" w:color="auto"/>
        <w:bottom w:val="none" w:sz="0" w:space="0" w:color="auto"/>
        <w:right w:val="none" w:sz="0" w:space="0" w:color="auto"/>
      </w:divBdr>
    </w:div>
    <w:div w:id="21148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dof.gob.mx/nota_detalle.php?codigo=5352323&amp;fecha=14/07/2014" TargetMode="External"/><Relationship Id="rId2" Type="http://schemas.openxmlformats.org/officeDocument/2006/relationships/hyperlink" Target="http://dof.gob.mx/nota_detalle.php?codigo=4888039&amp;fecha=24/07/1998" TargetMode="External"/><Relationship Id="rId1" Type="http://schemas.openxmlformats.org/officeDocument/2006/relationships/hyperlink" Target="http://www.ift.org.mx/industria/consultas-publicas/consulta-publica-sobre-el-criterio-tecnico-para-el-calculo-y-aplicacion-de-un-indice-cuantitativ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E12A381C69BBB40A41F4905B54F69B7" ma:contentTypeVersion="0" ma:contentTypeDescription="Crear nuevo documento." ma:contentTypeScope="" ma:versionID="7fdd3910c246c363038fa5a52eccbfc0">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330AE-21FD-492B-A66A-6F43938DE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4648B2-BD6C-42C7-A32E-BC7D73FB6A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A8848C-E832-4033-B14E-E9CB9A7C92A7}">
  <ds:schemaRefs>
    <ds:schemaRef ds:uri="http://schemas.microsoft.com/sharepoint/v3/contenttype/forms"/>
  </ds:schemaRefs>
</ds:datastoreItem>
</file>

<file path=customXml/itemProps4.xml><?xml version="1.0" encoding="utf-8"?>
<ds:datastoreItem xmlns:ds="http://schemas.openxmlformats.org/officeDocument/2006/customXml" ds:itemID="{33FF7878-C4C6-45BF-A612-BC565AF88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3644</Words>
  <Characters>20042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Adriana Requena Stringer</dc:creator>
  <cp:keywords/>
  <dc:description/>
  <cp:lastModifiedBy>Luis Fernando Rosas Yanez</cp:lastModifiedBy>
  <cp:revision>2</cp:revision>
  <cp:lastPrinted>2015-10-16T19:08:00Z</cp:lastPrinted>
  <dcterms:created xsi:type="dcterms:W3CDTF">2016-03-17T18:11:00Z</dcterms:created>
  <dcterms:modified xsi:type="dcterms:W3CDTF">2016-03-17T18:11:00Z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0x0101009E12A381C69BBB40A41F4905B54F69B7</vt:lpwstr>
  </property>
</Properties>
</file>